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01113">
      <w:pPr>
        <w:spacing w:line="400" w:lineRule="exact"/>
        <w:jc w:val="center"/>
        <w:rPr>
          <w:rFonts w:ascii="宋体" w:hAnsi="宋体" w:cs="宋体"/>
          <w:b/>
          <w:color w:val="auto"/>
          <w:sz w:val="32"/>
          <w:szCs w:val="32"/>
          <w:highlight w:val="none"/>
        </w:rPr>
      </w:pPr>
    </w:p>
    <w:p w14:paraId="14E7FC2D">
      <w:pPr>
        <w:jc w:val="center"/>
        <w:rPr>
          <w:rFonts w:hint="eastAsia" w:ascii="宋体" w:hAnsi="宋体" w:cs="宋体"/>
          <w:b/>
          <w:color w:val="auto"/>
          <w:sz w:val="40"/>
          <w:szCs w:val="40"/>
          <w:highlight w:val="none"/>
          <w:lang w:eastAsia="zh-CN"/>
        </w:rPr>
      </w:pPr>
      <w:r>
        <w:rPr>
          <w:rFonts w:hint="eastAsia" w:ascii="宋体" w:hAnsi="宋体" w:cs="宋体"/>
          <w:b/>
          <w:color w:val="auto"/>
          <w:sz w:val="40"/>
          <w:szCs w:val="40"/>
          <w:highlight w:val="none"/>
        </w:rPr>
        <w:t>项目名称：</w:t>
      </w:r>
      <w:r>
        <w:rPr>
          <w:rFonts w:hint="eastAsia" w:ascii="宋体" w:hAnsi="宋体" w:cs="宋体"/>
          <w:b/>
          <w:color w:val="auto"/>
          <w:sz w:val="40"/>
          <w:szCs w:val="40"/>
          <w:highlight w:val="none"/>
          <w:lang w:eastAsia="zh-CN"/>
        </w:rPr>
        <w:t>2025年重庆高速集团网络安全咨询维护服务</w:t>
      </w:r>
    </w:p>
    <w:p w14:paraId="76478170">
      <w:pPr>
        <w:jc w:val="center"/>
        <w:rPr>
          <w:rFonts w:ascii="宋体" w:hAnsi="宋体" w:cs="宋体"/>
          <w:b/>
          <w:color w:val="auto"/>
          <w:sz w:val="48"/>
          <w:szCs w:val="48"/>
          <w:highlight w:val="none"/>
        </w:rPr>
      </w:pPr>
    </w:p>
    <w:p w14:paraId="38FF606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31985C6A">
      <w:pPr>
        <w:jc w:val="center"/>
        <w:rPr>
          <w:rFonts w:ascii="宋体" w:hAnsi="宋体" w:cs="宋体"/>
          <w:b/>
          <w:color w:val="auto"/>
          <w:sz w:val="48"/>
          <w:szCs w:val="48"/>
          <w:highlight w:val="none"/>
        </w:rPr>
      </w:pPr>
    </w:p>
    <w:p w14:paraId="080982C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B511704">
      <w:pPr>
        <w:jc w:val="center"/>
        <w:rPr>
          <w:rFonts w:ascii="宋体" w:hAnsi="宋体" w:cs="宋体"/>
          <w:b/>
          <w:color w:val="auto"/>
          <w:sz w:val="48"/>
          <w:szCs w:val="48"/>
          <w:highlight w:val="none"/>
        </w:rPr>
      </w:pPr>
    </w:p>
    <w:p w14:paraId="2B1A75F6">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4EABF554">
      <w:pPr>
        <w:jc w:val="center"/>
        <w:rPr>
          <w:rFonts w:ascii="宋体" w:hAnsi="宋体" w:cs="宋体"/>
          <w:b/>
          <w:color w:val="auto"/>
          <w:sz w:val="48"/>
          <w:szCs w:val="48"/>
          <w:highlight w:val="none"/>
        </w:rPr>
      </w:pPr>
    </w:p>
    <w:p w14:paraId="71B1F15A">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B1B8168">
      <w:pPr>
        <w:jc w:val="center"/>
        <w:rPr>
          <w:rFonts w:ascii="宋体" w:hAnsi="宋体" w:cs="宋体"/>
          <w:b/>
          <w:color w:val="auto"/>
          <w:sz w:val="48"/>
          <w:szCs w:val="48"/>
          <w:highlight w:val="none"/>
        </w:rPr>
      </w:pPr>
    </w:p>
    <w:p w14:paraId="7474829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选</w:t>
      </w:r>
    </w:p>
    <w:p w14:paraId="2EF2DE0B">
      <w:pPr>
        <w:jc w:val="center"/>
        <w:rPr>
          <w:rFonts w:ascii="宋体" w:hAnsi="宋体" w:cs="宋体"/>
          <w:b/>
          <w:color w:val="auto"/>
          <w:sz w:val="48"/>
          <w:szCs w:val="48"/>
          <w:highlight w:val="none"/>
        </w:rPr>
      </w:pPr>
    </w:p>
    <w:p w14:paraId="5247C08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686BA601">
      <w:pPr>
        <w:jc w:val="center"/>
        <w:rPr>
          <w:rFonts w:ascii="宋体" w:hAnsi="宋体" w:cs="宋体"/>
          <w:b/>
          <w:color w:val="auto"/>
          <w:sz w:val="48"/>
          <w:szCs w:val="48"/>
          <w:highlight w:val="none"/>
        </w:rPr>
      </w:pPr>
    </w:p>
    <w:p w14:paraId="021519C7">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14F2232E">
      <w:pPr>
        <w:spacing w:line="400" w:lineRule="exact"/>
        <w:rPr>
          <w:rFonts w:ascii="宋体" w:hAnsi="宋体" w:cs="宋体"/>
          <w:color w:val="auto"/>
          <w:highlight w:val="none"/>
        </w:rPr>
      </w:pPr>
    </w:p>
    <w:p w14:paraId="2D173240">
      <w:pPr>
        <w:spacing w:line="400" w:lineRule="exact"/>
        <w:rPr>
          <w:rFonts w:ascii="宋体" w:hAnsi="宋体" w:cs="宋体"/>
          <w:color w:val="auto"/>
          <w:highlight w:val="none"/>
        </w:rPr>
      </w:pPr>
    </w:p>
    <w:p w14:paraId="62A7237E">
      <w:pPr>
        <w:spacing w:line="400" w:lineRule="exact"/>
        <w:rPr>
          <w:rFonts w:ascii="宋体" w:hAnsi="宋体" w:cs="宋体"/>
          <w:color w:val="auto"/>
          <w:highlight w:val="none"/>
        </w:rPr>
      </w:pPr>
    </w:p>
    <w:p w14:paraId="25C57890">
      <w:pPr>
        <w:rPr>
          <w:color w:val="auto"/>
          <w:highlight w:val="none"/>
        </w:rPr>
      </w:pPr>
    </w:p>
    <w:p w14:paraId="40FE3ED2">
      <w:pPr>
        <w:jc w:val="center"/>
        <w:rPr>
          <w:rFonts w:ascii="宋体" w:hAnsi="宋体" w:cs="宋体"/>
          <w:b/>
          <w:color w:val="auto"/>
          <w:sz w:val="28"/>
          <w:szCs w:val="28"/>
          <w:highlight w:val="none"/>
        </w:rPr>
      </w:pPr>
      <w:r>
        <w:rPr>
          <w:rFonts w:hint="eastAsia" w:ascii="宋体" w:hAnsi="宋体" w:cs="宋体"/>
          <w:b/>
          <w:color w:val="auto"/>
          <w:sz w:val="28"/>
          <w:szCs w:val="28"/>
          <w:highlight w:val="none"/>
        </w:rPr>
        <w:t>采购人：重庆首讯科技股份有限公司</w:t>
      </w:r>
    </w:p>
    <w:p w14:paraId="58EE24F3">
      <w:pPr>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202</w:t>
      </w:r>
      <w:r>
        <w:rPr>
          <w:rFonts w:hint="eastAsia" w:ascii="宋体" w:hAnsi="宋体" w:cs="宋体"/>
          <w:b/>
          <w:color w:val="auto"/>
          <w:sz w:val="28"/>
          <w:szCs w:val="28"/>
          <w:highlight w:val="none"/>
          <w:u w:val="single"/>
          <w:lang w:val="en-US" w:eastAsia="zh-CN"/>
        </w:rPr>
        <w:t>5</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年</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u w:val="single"/>
          <w:lang w:val="en-US" w:eastAsia="zh-CN"/>
        </w:rPr>
        <w:t>01</w:t>
      </w: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月</w:t>
      </w:r>
    </w:p>
    <w:p w14:paraId="432BDDC2">
      <w:pPr>
        <w:pStyle w:val="29"/>
        <w:jc w:val="center"/>
        <w:rPr>
          <w:rFonts w:ascii="宋体" w:hAnsi="宋体" w:cs="宋体"/>
          <w:color w:val="auto"/>
          <w:szCs w:val="21"/>
          <w:highlight w:val="none"/>
        </w:rPr>
      </w:pPr>
      <w:r>
        <w:rPr>
          <w:color w:val="auto"/>
          <w:highlight w:val="none"/>
        </w:rPr>
        <w:br w:type="page"/>
      </w:r>
      <w:bookmarkStart w:id="0" w:name="_Toc296602400"/>
      <w:bookmarkStart w:id="1" w:name="_Toc246996898"/>
      <w:bookmarkStart w:id="2" w:name="_Toc247085669"/>
      <w:bookmarkStart w:id="3" w:name="_Toc507319889"/>
      <w:bookmarkStart w:id="4" w:name="_Toc507428442"/>
      <w:r>
        <w:rPr>
          <w:rFonts w:hint="eastAsia" w:ascii="宋体" w:hAnsi="宋体" w:cs="宋体"/>
          <w:b w:val="0"/>
          <w:color w:val="auto"/>
          <w:sz w:val="32"/>
          <w:highlight w:val="none"/>
        </w:rPr>
        <w:t>目   录</w:t>
      </w:r>
      <w:bookmarkEnd w:id="0"/>
      <w:bookmarkEnd w:id="1"/>
      <w:bookmarkEnd w:id="2"/>
      <w:bookmarkEnd w:id="3"/>
      <w:bookmarkEnd w:id="4"/>
    </w:p>
    <w:p w14:paraId="72969439">
      <w:pPr>
        <w:pStyle w:val="29"/>
        <w:tabs>
          <w:tab w:val="right" w:leader="dot" w:pos="9638"/>
        </w:tabs>
        <w:rPr>
          <w:color w:val="auto"/>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color w:val="auto"/>
          <w:highlight w:val="none"/>
        </w:rPr>
        <w:fldChar w:fldCharType="begin"/>
      </w:r>
      <w:r>
        <w:rPr>
          <w:color w:val="auto"/>
          <w:highlight w:val="none"/>
        </w:rPr>
        <w:instrText xml:space="preserve"> HYPERLINK \l "_Toc8052" </w:instrText>
      </w:r>
      <w:r>
        <w:rPr>
          <w:color w:val="auto"/>
          <w:highlight w:val="none"/>
        </w:rPr>
        <w:fldChar w:fldCharType="separate"/>
      </w:r>
      <w:r>
        <w:rPr>
          <w:rFonts w:hint="eastAsia" w:ascii="宋体" w:hAnsi="宋体" w:cs="宋体"/>
          <w:color w:val="auto"/>
          <w:highlight w:val="none"/>
        </w:rPr>
        <w:t>第一章 比选公告</w:t>
      </w:r>
      <w:r>
        <w:rPr>
          <w:color w:val="auto"/>
          <w:highlight w:val="none"/>
        </w:rPr>
        <w:tab/>
      </w:r>
      <w:r>
        <w:rPr>
          <w:color w:val="auto"/>
          <w:highlight w:val="none"/>
        </w:rPr>
        <w:fldChar w:fldCharType="begin"/>
      </w:r>
      <w:r>
        <w:rPr>
          <w:color w:val="auto"/>
          <w:highlight w:val="none"/>
        </w:rPr>
        <w:instrText xml:space="preserve"> PAGEREF _Toc8052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791119DD">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"_Toc16020" </w:instrText>
      </w:r>
      <w:r>
        <w:rPr>
          <w:color w:val="auto"/>
          <w:highlight w:val="none"/>
        </w:rPr>
        <w:fldChar w:fldCharType="separate"/>
      </w:r>
      <w:r>
        <w:rPr>
          <w:rFonts w:hint="eastAsia" w:ascii="宋体" w:hAnsi="宋体" w:cs="宋体"/>
          <w:color w:val="auto"/>
          <w:highlight w:val="none"/>
        </w:rPr>
        <w:t>第二章 报价人须知</w:t>
      </w:r>
      <w:r>
        <w:rPr>
          <w:color w:val="auto"/>
          <w:highlight w:val="none"/>
        </w:rPr>
        <w:tab/>
      </w:r>
      <w:r>
        <w:rPr>
          <w:color w:val="auto"/>
          <w:highlight w:val="none"/>
        </w:rPr>
        <w:fldChar w:fldCharType="begin"/>
      </w:r>
      <w:r>
        <w:rPr>
          <w:color w:val="auto"/>
          <w:highlight w:val="none"/>
        </w:rPr>
        <w:instrText xml:space="preserve"> PAGEREF _Toc16020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14:paraId="17AE5C12">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"_Toc154" </w:instrText>
      </w:r>
      <w:r>
        <w:rPr>
          <w:color w:val="auto"/>
          <w:highlight w:val="none"/>
        </w:rPr>
        <w:fldChar w:fldCharType="separate"/>
      </w:r>
      <w:r>
        <w:rPr>
          <w:rFonts w:hint="eastAsia" w:ascii="Times New Roman" w:hAnsi="Times New Roman"/>
          <w:color w:val="auto"/>
          <w:kern w:val="44"/>
          <w:szCs w:val="44"/>
          <w:highlight w:val="none"/>
        </w:rPr>
        <w:t>第三章</w:t>
      </w:r>
      <w:r>
        <w:rPr>
          <w:rFonts w:hint="eastAsia" w:ascii="宋体" w:hAnsi="宋体" w:cs="宋体"/>
          <w:color w:val="auto"/>
          <w:highlight w:val="none"/>
        </w:rPr>
        <w:t xml:space="preserve"> 评标办法</w:t>
      </w:r>
      <w:r>
        <w:rPr>
          <w:color w:val="auto"/>
          <w:highlight w:val="none"/>
        </w:rPr>
        <w:tab/>
      </w:r>
      <w:r>
        <w:rPr>
          <w:color w:val="auto"/>
          <w:highlight w:val="none"/>
        </w:rPr>
        <w:fldChar w:fldCharType="begin"/>
      </w:r>
      <w:r>
        <w:rPr>
          <w:color w:val="auto"/>
          <w:highlight w:val="none"/>
        </w:rPr>
        <w:instrText xml:space="preserve"> PAGEREF _Toc154 \h </w:instrText>
      </w:r>
      <w:r>
        <w:rPr>
          <w:color w:val="auto"/>
          <w:highlight w:val="none"/>
        </w:rPr>
        <w:fldChar w:fldCharType="separate"/>
      </w:r>
      <w:r>
        <w:rPr>
          <w:color w:val="auto"/>
          <w:highlight w:val="none"/>
        </w:rPr>
        <w:t>11</w:t>
      </w:r>
      <w:r>
        <w:rPr>
          <w:color w:val="auto"/>
          <w:highlight w:val="none"/>
        </w:rPr>
        <w:fldChar w:fldCharType="end"/>
      </w:r>
      <w:r>
        <w:rPr>
          <w:color w:val="auto"/>
          <w:highlight w:val="none"/>
        </w:rPr>
        <w:fldChar w:fldCharType="end"/>
      </w:r>
    </w:p>
    <w:p w14:paraId="6840918A">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"_Toc19386" </w:instrText>
      </w:r>
      <w:r>
        <w:rPr>
          <w:color w:val="auto"/>
          <w:highlight w:val="none"/>
        </w:rPr>
        <w:fldChar w:fldCharType="separate"/>
      </w:r>
      <w:r>
        <w:rPr>
          <w:rFonts w:hint="eastAsia" w:ascii="宋体" w:hAnsi="宋体" w:cs="宋体"/>
          <w:color w:val="auto"/>
          <w:kern w:val="44"/>
          <w:szCs w:val="44"/>
          <w:highlight w:val="none"/>
        </w:rPr>
        <w:t xml:space="preserve">第四章 </w:t>
      </w:r>
      <w:r>
        <w:rPr>
          <w:rFonts w:hint="eastAsia" w:ascii="宋体" w:hAnsi="宋体" w:cs="宋体"/>
          <w:color w:val="auto"/>
          <w:highlight w:val="none"/>
        </w:rPr>
        <w:t>报价说明</w:t>
      </w:r>
      <w:r>
        <w:rPr>
          <w:color w:val="auto"/>
          <w:highlight w:val="none"/>
        </w:rPr>
        <w:tab/>
      </w:r>
      <w:r>
        <w:rPr>
          <w:color w:val="auto"/>
          <w:highlight w:val="none"/>
        </w:rPr>
        <w:fldChar w:fldCharType="begin"/>
      </w:r>
      <w:r>
        <w:rPr>
          <w:color w:val="auto"/>
          <w:highlight w:val="none"/>
        </w:rPr>
        <w:instrText xml:space="preserve"> PAGEREF _Toc19386 \h </w:instrText>
      </w:r>
      <w:r>
        <w:rPr>
          <w:color w:val="auto"/>
          <w:highlight w:val="none"/>
        </w:rPr>
        <w:fldChar w:fldCharType="separate"/>
      </w:r>
      <w:r>
        <w:rPr>
          <w:color w:val="auto"/>
          <w:highlight w:val="none"/>
        </w:rPr>
        <w:t>16</w:t>
      </w:r>
      <w:r>
        <w:rPr>
          <w:color w:val="auto"/>
          <w:highlight w:val="none"/>
        </w:rPr>
        <w:fldChar w:fldCharType="end"/>
      </w:r>
      <w:r>
        <w:rPr>
          <w:color w:val="auto"/>
          <w:highlight w:val="none"/>
        </w:rPr>
        <w:fldChar w:fldCharType="end"/>
      </w:r>
    </w:p>
    <w:p w14:paraId="04F877D5">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"_Toc21033" </w:instrText>
      </w:r>
      <w:r>
        <w:rPr>
          <w:color w:val="auto"/>
          <w:highlight w:val="none"/>
        </w:rPr>
        <w:fldChar w:fldCharType="separate"/>
      </w:r>
      <w:r>
        <w:rPr>
          <w:rFonts w:hint="eastAsia" w:ascii="宋体" w:hAnsi="宋体" w:cs="宋体"/>
          <w:color w:val="auto"/>
          <w:kern w:val="44"/>
          <w:szCs w:val="44"/>
          <w:highlight w:val="none"/>
        </w:rPr>
        <w:t>第五章</w:t>
      </w:r>
      <w:r>
        <w:rPr>
          <w:rFonts w:ascii="宋体" w:hAnsi="宋体" w:cs="宋体"/>
          <w:color w:val="auto"/>
          <w:highlight w:val="none"/>
        </w:rPr>
        <w:t xml:space="preserve"> </w:t>
      </w:r>
      <w:r>
        <w:rPr>
          <w:rFonts w:hint="eastAsia" w:ascii="宋体" w:hAnsi="宋体" w:cs="宋体"/>
          <w:color w:val="auto"/>
          <w:highlight w:val="none"/>
        </w:rPr>
        <w:t>采购清单</w:t>
      </w:r>
      <w:r>
        <w:rPr>
          <w:color w:val="auto"/>
          <w:highlight w:val="none"/>
        </w:rPr>
        <w:tab/>
      </w:r>
      <w:r>
        <w:rPr>
          <w:color w:val="auto"/>
          <w:highlight w:val="none"/>
        </w:rPr>
        <w:fldChar w:fldCharType="begin"/>
      </w:r>
      <w:r>
        <w:rPr>
          <w:color w:val="auto"/>
          <w:highlight w:val="none"/>
        </w:rPr>
        <w:instrText xml:space="preserve"> PAGEREF _Toc21033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14:paraId="550F64F7">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"_Toc15894" </w:instrText>
      </w:r>
      <w:r>
        <w:rPr>
          <w:color w:val="auto"/>
          <w:highlight w:val="none"/>
        </w:rPr>
        <w:fldChar w:fldCharType="separate"/>
      </w:r>
      <w:r>
        <w:rPr>
          <w:rFonts w:hint="eastAsia" w:ascii="宋体" w:hAnsi="宋体" w:cs="宋体"/>
          <w:color w:val="auto"/>
          <w:kern w:val="44"/>
          <w:szCs w:val="44"/>
          <w:highlight w:val="none"/>
        </w:rPr>
        <w:t>第六章</w:t>
      </w:r>
      <w:r>
        <w:rPr>
          <w:rFonts w:hint="eastAsia" w:ascii="宋体" w:hAnsi="宋体" w:cs="宋体"/>
          <w:color w:val="auto"/>
          <w:highlight w:val="none"/>
        </w:rPr>
        <w:t xml:space="preserve"> 服务要求</w:t>
      </w:r>
      <w:r>
        <w:rPr>
          <w:color w:val="auto"/>
          <w:highlight w:val="none"/>
        </w:rPr>
        <w:tab/>
      </w:r>
      <w:r>
        <w:rPr>
          <w:color w:val="auto"/>
          <w:highlight w:val="none"/>
        </w:rPr>
        <w:fldChar w:fldCharType="begin"/>
      </w:r>
      <w:r>
        <w:rPr>
          <w:color w:val="auto"/>
          <w:highlight w:val="none"/>
        </w:rPr>
        <w:instrText xml:space="preserve"> PAGEREF _Toc15894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14:paraId="68B8B605">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"_Toc18777" </w:instrText>
      </w:r>
      <w:r>
        <w:rPr>
          <w:color w:val="auto"/>
          <w:highlight w:val="none"/>
        </w:rPr>
        <w:fldChar w:fldCharType="separate"/>
      </w:r>
      <w:r>
        <w:rPr>
          <w:rFonts w:hint="eastAsia" w:ascii="宋体" w:hAnsi="宋体" w:cs="宋体"/>
          <w:color w:val="auto"/>
          <w:highlight w:val="none"/>
        </w:rPr>
        <w:t>第七章 合同范本</w:t>
      </w:r>
      <w:r>
        <w:rPr>
          <w:color w:val="auto"/>
          <w:highlight w:val="none"/>
        </w:rPr>
        <w:tab/>
      </w:r>
      <w:r>
        <w:rPr>
          <w:color w:val="auto"/>
          <w:highlight w:val="none"/>
        </w:rPr>
        <w:fldChar w:fldCharType="begin"/>
      </w:r>
      <w:r>
        <w:rPr>
          <w:color w:val="auto"/>
          <w:highlight w:val="none"/>
        </w:rPr>
        <w:instrText xml:space="preserve"> PAGEREF _Toc18777 \h </w:instrText>
      </w:r>
      <w:r>
        <w:rPr>
          <w:color w:val="auto"/>
          <w:highlight w:val="none"/>
        </w:rPr>
        <w:fldChar w:fldCharType="separate"/>
      </w:r>
      <w:r>
        <w:rPr>
          <w:color w:val="auto"/>
          <w:highlight w:val="none"/>
        </w:rPr>
        <w:t>21</w:t>
      </w:r>
      <w:r>
        <w:rPr>
          <w:color w:val="auto"/>
          <w:highlight w:val="none"/>
        </w:rPr>
        <w:fldChar w:fldCharType="end"/>
      </w:r>
      <w:r>
        <w:rPr>
          <w:color w:val="auto"/>
          <w:highlight w:val="none"/>
        </w:rPr>
        <w:fldChar w:fldCharType="end"/>
      </w:r>
    </w:p>
    <w:p w14:paraId="754F5C94">
      <w:pPr>
        <w:pStyle w:val="29"/>
        <w:tabs>
          <w:tab w:val="right" w:leader="dot" w:pos="9638"/>
        </w:tabs>
        <w:rPr>
          <w:color w:val="auto"/>
          <w:highlight w:val="none"/>
        </w:rPr>
      </w:pPr>
      <w:r>
        <w:rPr>
          <w:color w:val="auto"/>
          <w:highlight w:val="none"/>
        </w:rPr>
        <w:fldChar w:fldCharType="begin"/>
      </w:r>
      <w:r>
        <w:rPr>
          <w:color w:val="auto"/>
          <w:highlight w:val="none"/>
        </w:rPr>
        <w:instrText xml:space="preserve"> HYPERLINK \l "_Toc16885" </w:instrText>
      </w:r>
      <w:r>
        <w:rPr>
          <w:color w:val="auto"/>
          <w:highlight w:val="none"/>
        </w:rPr>
        <w:fldChar w:fldCharType="separate"/>
      </w:r>
      <w:r>
        <w:rPr>
          <w:rFonts w:hint="eastAsia" w:ascii="宋体" w:hAnsi="宋体" w:cs="宋体"/>
          <w:color w:val="auto"/>
          <w:highlight w:val="none"/>
        </w:rPr>
        <w:t>第八章 竞争性比选响应文件格式</w:t>
      </w:r>
      <w:r>
        <w:rPr>
          <w:color w:val="auto"/>
          <w:highlight w:val="none"/>
        </w:rPr>
        <w:tab/>
      </w:r>
      <w:r>
        <w:rPr>
          <w:color w:val="auto"/>
          <w:highlight w:val="none"/>
        </w:rPr>
        <w:fldChar w:fldCharType="begin"/>
      </w:r>
      <w:r>
        <w:rPr>
          <w:color w:val="auto"/>
          <w:highlight w:val="none"/>
        </w:rPr>
        <w:instrText xml:space="preserve"> PAGEREF _Toc16885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14:paraId="3A81ED1A">
      <w:pPr>
        <w:pStyle w:val="35"/>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宋体" w:hAnsi="宋体" w:cs="宋体"/>
          <w:bCs/>
          <w:caps/>
          <w:color w:val="auto"/>
          <w:highlight w:val="none"/>
        </w:rPr>
        <w:fldChar w:fldCharType="end"/>
      </w:r>
    </w:p>
    <w:p w14:paraId="1667C2E1">
      <w:pPr>
        <w:pStyle w:val="3"/>
        <w:spacing w:before="0" w:after="0" w:line="360" w:lineRule="auto"/>
        <w:jc w:val="center"/>
        <w:rPr>
          <w:rFonts w:ascii="宋体" w:hAnsi="宋体" w:cs="宋体"/>
          <w:color w:val="auto"/>
          <w:highlight w:val="none"/>
        </w:rPr>
      </w:pPr>
      <w:bookmarkStart w:id="5" w:name="_Toc2000404"/>
      <w:bookmarkStart w:id="6" w:name="_Toc144974479"/>
      <w:bookmarkStart w:id="7" w:name="_Toc179632527"/>
      <w:bookmarkStart w:id="8" w:name="_Toc246996157"/>
      <w:bookmarkStart w:id="9" w:name="_Toc247096243"/>
      <w:bookmarkStart w:id="10" w:name="_Toc152045511"/>
      <w:bookmarkStart w:id="11" w:name="_Toc247085671"/>
      <w:bookmarkStart w:id="12" w:name="_Toc246996900"/>
      <w:bookmarkStart w:id="13" w:name="_Toc152042287"/>
      <w:bookmarkStart w:id="14" w:name="_Toc507319890"/>
      <w:bookmarkStart w:id="15" w:name="_Toc8052"/>
      <w:r>
        <w:rPr>
          <w:rFonts w:hint="eastAsia" w:ascii="宋体" w:hAnsi="宋体" w:cs="宋体"/>
          <w:color w:val="auto"/>
          <w:highlight w:val="none"/>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auto"/>
          <w:highlight w:val="none"/>
        </w:rPr>
        <w:t>比选公告</w:t>
      </w:r>
      <w:bookmarkEnd w:id="15"/>
    </w:p>
    <w:p w14:paraId="018191C9">
      <w:pPr>
        <w:spacing w:line="440" w:lineRule="exact"/>
        <w:jc w:val="center"/>
        <w:rPr>
          <w:rFonts w:ascii="宋体" w:hAnsi="宋体" w:cs="宋体"/>
          <w:b/>
          <w:color w:val="auto"/>
          <w:sz w:val="28"/>
          <w:szCs w:val="28"/>
          <w:highlight w:val="none"/>
        </w:rPr>
      </w:pPr>
      <w:bookmarkStart w:id="16" w:name="OLE_LINK2"/>
      <w:bookmarkStart w:id="17" w:name="OLE_LINK3"/>
    </w:p>
    <w:p w14:paraId="1B5ACF33">
      <w:pPr>
        <w:pStyle w:val="4"/>
        <w:spacing w:before="0" w:after="0" w:line="400" w:lineRule="exact"/>
        <w:rPr>
          <w:rFonts w:ascii="宋体" w:hAnsi="宋体" w:eastAsia="宋体" w:cs="宋体"/>
          <w:color w:val="auto"/>
          <w:highlight w:val="none"/>
        </w:rPr>
      </w:pPr>
      <w:bookmarkStart w:id="18" w:name="_Toc179632528"/>
      <w:bookmarkStart w:id="19" w:name="_Toc10076"/>
      <w:bookmarkStart w:id="20" w:name="_Toc10155"/>
      <w:bookmarkStart w:id="21" w:name="_Toc152045512"/>
      <w:bookmarkStart w:id="22" w:name="_Toc17643"/>
      <w:bookmarkStart w:id="23" w:name="_Toc144974480"/>
      <w:bookmarkStart w:id="24" w:name="_Toc246996158"/>
      <w:bookmarkStart w:id="25" w:name="_Toc24874"/>
      <w:bookmarkStart w:id="26" w:name="_Toc30430"/>
      <w:bookmarkStart w:id="27" w:name="_Toc11329213"/>
      <w:bookmarkStart w:id="28" w:name="_Toc6549"/>
      <w:bookmarkStart w:id="29" w:name="_Toc152042288"/>
      <w:bookmarkStart w:id="30" w:name="_Toc22916"/>
      <w:bookmarkStart w:id="31" w:name="_Toc507319891"/>
      <w:bookmarkStart w:id="32" w:name="_Toc246996901"/>
      <w:bookmarkStart w:id="33" w:name="_Toc247085672"/>
      <w:r>
        <w:rPr>
          <w:rFonts w:hint="eastAsia" w:ascii="宋体" w:hAnsi="宋体" w:eastAsia="宋体" w:cs="宋体"/>
          <w:color w:val="auto"/>
          <w:highlight w:val="none"/>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373B73D7">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本竞争性比选项目</w:t>
      </w:r>
      <w:r>
        <w:rPr>
          <w:rFonts w:hint="eastAsia" w:ascii="宋体" w:hAnsi="宋体" w:cs="宋体"/>
          <w:color w:val="auto"/>
          <w:szCs w:val="21"/>
          <w:highlight w:val="none"/>
          <w:u w:val="single"/>
          <w:lang w:eastAsia="zh-CN"/>
        </w:rPr>
        <w:t>2025年重庆高速集团网络安全咨询维护服务</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 xml:space="preserve"> 重庆首讯科技股份有限公司 </w:t>
      </w:r>
      <w:r>
        <w:rPr>
          <w:rFonts w:hint="eastAsia" w:ascii="宋体" w:hAnsi="宋体" w:cs="宋体"/>
          <w:color w:val="auto"/>
          <w:szCs w:val="21"/>
          <w:highlight w:val="none"/>
        </w:rPr>
        <w:t>，该项目已具备比选条件，现对该项目进行竞争性比选。</w:t>
      </w:r>
    </w:p>
    <w:p w14:paraId="38F9B280">
      <w:pPr>
        <w:pStyle w:val="4"/>
        <w:spacing w:before="0" w:after="0" w:line="400" w:lineRule="exact"/>
        <w:rPr>
          <w:rFonts w:ascii="宋体" w:hAnsi="宋体" w:eastAsia="宋体" w:cs="宋体"/>
          <w:color w:val="auto"/>
          <w:highlight w:val="none"/>
        </w:rPr>
      </w:pPr>
      <w:bookmarkStart w:id="34" w:name="_Toc247085673"/>
      <w:bookmarkStart w:id="35" w:name="_Toc11329214"/>
      <w:bookmarkStart w:id="36" w:name="_Toc17685"/>
      <w:bookmarkStart w:id="37" w:name="_Toc26906"/>
      <w:bookmarkStart w:id="38" w:name="_Toc10952"/>
      <w:bookmarkStart w:id="39" w:name="_Toc18109"/>
      <w:bookmarkStart w:id="40" w:name="_Toc21343"/>
      <w:bookmarkStart w:id="41" w:name="_Toc507319892"/>
      <w:bookmarkStart w:id="42" w:name="_Toc246996902"/>
      <w:bookmarkStart w:id="43" w:name="_Toc30995"/>
      <w:bookmarkStart w:id="44" w:name="_Toc246996159"/>
      <w:bookmarkStart w:id="45" w:name="_Toc152045513"/>
      <w:bookmarkStart w:id="46" w:name="_Toc144974481"/>
      <w:bookmarkStart w:id="47" w:name="_Toc152042289"/>
      <w:bookmarkStart w:id="48" w:name="_Toc13546"/>
      <w:bookmarkStart w:id="49" w:name="_Toc179632529"/>
      <w:r>
        <w:rPr>
          <w:rFonts w:hint="eastAsia" w:ascii="宋体" w:hAnsi="宋体" w:eastAsia="宋体" w:cs="宋体"/>
          <w:color w:val="auto"/>
          <w:highlight w:val="none"/>
        </w:rPr>
        <w:t>2. 项目概况与比选范围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3909C28E">
      <w:pPr>
        <w:pStyle w:val="13"/>
        <w:adjustRightInd w:val="0"/>
        <w:spacing w:line="400" w:lineRule="exact"/>
        <w:rPr>
          <w:rFonts w:ascii="宋体" w:hAnsi="宋体" w:cs="宋体"/>
          <w:color w:val="auto"/>
          <w:szCs w:val="21"/>
          <w:highlight w:val="none"/>
        </w:rPr>
      </w:pPr>
      <w:bookmarkStart w:id="50" w:name="_Toc446247226"/>
      <w:r>
        <w:rPr>
          <w:rFonts w:hint="eastAsia" w:ascii="宋体" w:hAnsi="宋体" w:cs="宋体"/>
          <w:color w:val="auto"/>
          <w:szCs w:val="21"/>
          <w:highlight w:val="none"/>
        </w:rPr>
        <w:t>2.1项目名称：</w:t>
      </w:r>
      <w:bookmarkEnd w:id="50"/>
      <w:r>
        <w:rPr>
          <w:rFonts w:hint="eastAsia" w:ascii="宋体" w:hAnsi="宋体" w:cs="宋体"/>
          <w:color w:val="auto"/>
          <w:szCs w:val="21"/>
          <w:highlight w:val="none"/>
          <w:lang w:eastAsia="zh-CN"/>
        </w:rPr>
        <w:t>2025年重庆高速集团网络安全咨询维护服务</w:t>
      </w:r>
      <w:r>
        <w:rPr>
          <w:rFonts w:hint="eastAsia" w:ascii="宋体" w:hAnsi="宋体" w:cs="宋体"/>
          <w:color w:val="auto"/>
          <w:szCs w:val="21"/>
          <w:highlight w:val="none"/>
        </w:rPr>
        <w:t>。</w:t>
      </w:r>
    </w:p>
    <w:p w14:paraId="249D4899">
      <w:pPr>
        <w:pStyle w:val="13"/>
        <w:adjustRightInd w:val="0"/>
        <w:spacing w:line="400" w:lineRule="exact"/>
        <w:rPr>
          <w:rFonts w:ascii="宋体" w:hAnsi="宋体" w:cs="宋体"/>
          <w:color w:val="auto"/>
          <w:szCs w:val="21"/>
          <w:highlight w:val="none"/>
        </w:rPr>
      </w:pPr>
      <w:bookmarkStart w:id="51" w:name="OLE_LINK4"/>
      <w:r>
        <w:rPr>
          <w:rFonts w:hint="eastAsia" w:ascii="宋体" w:hAnsi="宋体" w:cs="宋体"/>
          <w:color w:val="auto"/>
          <w:szCs w:val="21"/>
          <w:highlight w:val="none"/>
        </w:rPr>
        <w:t>2.2项目概况：负责高速集团生产业务系统、办公网相关业务系统及基础设施的网络安全服务。开展网络安全日常维护及整体安全咨询。根据《网络安全法》及GB/T 22239-2019《信息安全技术网络安全等级保护要求》（以下简称“等保2.0”）等要求，对其提供包括且不限于安全管理体系建设、培训及演练服务、应急响应服务、网络安全检查、安全咨询服务、专项通报服务等服务等工作内容。</w:t>
      </w:r>
    </w:p>
    <w:p w14:paraId="5C28B9F5">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2.3服务地点：</w:t>
      </w:r>
      <w:r>
        <w:rPr>
          <w:rFonts w:hint="eastAsia" w:ascii="宋体" w:hAnsi="宋体" w:cs="宋体"/>
          <w:color w:val="auto"/>
          <w:highlight w:val="none"/>
          <w:lang w:val="en-US" w:eastAsia="zh-CN"/>
        </w:rPr>
        <w:t xml:space="preserve"> 重庆高速集团本部</w:t>
      </w:r>
      <w:r>
        <w:rPr>
          <w:rFonts w:hint="eastAsia" w:ascii="宋体" w:hAnsi="宋体" w:cs="宋体"/>
          <w:color w:val="auto"/>
          <w:highlight w:val="none"/>
        </w:rPr>
        <w:t>。</w:t>
      </w:r>
    </w:p>
    <w:p w14:paraId="1E0D8D72">
      <w:pPr>
        <w:adjustRightIn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2.4预计采购金额</w:t>
      </w:r>
      <w:bookmarkStart w:id="52" w:name="OLE_LINK78"/>
      <w:r>
        <w:rPr>
          <w:rFonts w:hint="eastAsia" w:ascii="宋体" w:hAnsi="宋体" w:cs="宋体"/>
          <w:color w:val="auto"/>
          <w:highlight w:val="none"/>
        </w:rPr>
        <w:t>：</w:t>
      </w:r>
      <w:bookmarkEnd w:id="52"/>
      <w:r>
        <w:rPr>
          <w:rFonts w:hint="eastAsia" w:ascii="宋体" w:hAnsi="宋体" w:cs="宋体"/>
          <w:color w:val="auto"/>
          <w:highlight w:val="none"/>
          <w:lang w:val="en-US" w:eastAsia="zh-CN"/>
        </w:rPr>
        <w:t>315000.00</w:t>
      </w:r>
      <w:r>
        <w:rPr>
          <w:rFonts w:hint="eastAsia" w:ascii="宋体" w:hAnsi="宋体" w:cs="宋体"/>
          <w:color w:val="auto"/>
          <w:highlight w:val="none"/>
        </w:rPr>
        <w:t>元。</w:t>
      </w:r>
    </w:p>
    <w:bookmarkEnd w:id="51"/>
    <w:p w14:paraId="2B86EAD6">
      <w:pPr>
        <w:adjustRightInd w:val="0"/>
        <w:spacing w:line="400" w:lineRule="exact"/>
        <w:ind w:firstLine="420" w:firstLineChars="200"/>
        <w:rPr>
          <w:rFonts w:ascii="宋体" w:hAnsi="宋体" w:cs="宋体"/>
          <w:color w:val="auto"/>
          <w:highlight w:val="none"/>
        </w:rPr>
      </w:pPr>
      <w:r>
        <w:rPr>
          <w:rFonts w:hint="eastAsia" w:ascii="宋体" w:hAnsi="宋体" w:cs="宋体"/>
          <w:color w:val="auto"/>
          <w:highlight w:val="none"/>
        </w:rPr>
        <w:t>2.5服务范围：</w:t>
      </w:r>
      <w:r>
        <w:rPr>
          <w:rFonts w:hint="eastAsia" w:ascii="宋体" w:hAnsi="宋体" w:cs="宋体"/>
          <w:color w:val="auto"/>
          <w:highlight w:val="none"/>
          <w:lang w:eastAsia="zh-CN"/>
        </w:rPr>
        <w:t>2025年重庆高速集团网络安全咨询维护服务</w:t>
      </w:r>
      <w:r>
        <w:rPr>
          <w:rFonts w:hint="eastAsia" w:ascii="宋体" w:hAnsi="宋体" w:cs="宋体"/>
          <w:color w:val="auto"/>
          <w:highlight w:val="none"/>
        </w:rPr>
        <w:t>（详见第五章采购清单）,包括但不限于根据甲方工作要求完成</w:t>
      </w:r>
      <w:r>
        <w:rPr>
          <w:rFonts w:hint="eastAsia" w:ascii="宋体" w:hAnsi="宋体" w:cs="宋体"/>
          <w:color w:val="auto"/>
          <w:highlight w:val="none"/>
          <w:lang w:val="en-US" w:eastAsia="zh-CN"/>
        </w:rPr>
        <w:t>全部</w:t>
      </w:r>
      <w:r>
        <w:rPr>
          <w:rFonts w:hint="eastAsia" w:ascii="宋体" w:hAnsi="宋体" w:cs="宋体"/>
          <w:color w:val="auto"/>
          <w:highlight w:val="none"/>
        </w:rPr>
        <w:t>工作内容（详见第六章服务要求）。</w:t>
      </w:r>
    </w:p>
    <w:p w14:paraId="124E977F">
      <w:pPr>
        <w:spacing w:line="400" w:lineRule="exact"/>
        <w:ind w:firstLine="420" w:firstLineChars="200"/>
        <w:rPr>
          <w:rFonts w:ascii="宋体" w:hAnsi="宋体" w:cs="宋体"/>
          <w:color w:val="auto"/>
          <w:highlight w:val="none"/>
        </w:rPr>
      </w:pPr>
      <w:r>
        <w:rPr>
          <w:rFonts w:hint="eastAsia" w:ascii="宋体" w:hAnsi="宋体" w:cs="宋体"/>
          <w:color w:val="auto"/>
          <w:highlight w:val="none"/>
        </w:rPr>
        <w:t>2.6</w:t>
      </w:r>
      <w:r>
        <w:rPr>
          <w:rFonts w:hint="eastAsia" w:ascii="宋体" w:hAnsi="宋体" w:cs="宋体"/>
          <w:color w:val="auto"/>
          <w:szCs w:val="21"/>
          <w:highlight w:val="none"/>
        </w:rPr>
        <w:t>服务期限</w:t>
      </w:r>
      <w:r>
        <w:rPr>
          <w:rFonts w:hint="eastAsia" w:ascii="宋体" w:hAnsi="宋体" w:cs="宋体"/>
          <w:color w:val="auto"/>
          <w:highlight w:val="none"/>
        </w:rPr>
        <w:t>：</w:t>
      </w:r>
      <w:r>
        <w:rPr>
          <w:rFonts w:hint="eastAsia" w:ascii="宋体" w:hAnsi="宋体" w:cs="宋体"/>
          <w:color w:val="auto"/>
          <w:highlight w:val="none"/>
          <w:lang w:val="en-US" w:eastAsia="zh-CN"/>
        </w:rPr>
        <w:t>合同签订之日起至2025年12月31日</w:t>
      </w:r>
      <w:r>
        <w:rPr>
          <w:rFonts w:hint="eastAsia" w:ascii="宋体" w:hAnsi="宋体" w:cs="宋体"/>
          <w:color w:val="auto"/>
          <w:highlight w:val="none"/>
        </w:rPr>
        <w:t>。</w:t>
      </w:r>
    </w:p>
    <w:p w14:paraId="6773B071">
      <w:pPr>
        <w:spacing w:line="400" w:lineRule="exact"/>
        <w:ind w:firstLine="420" w:firstLineChars="200"/>
        <w:rPr>
          <w:color w:val="auto"/>
          <w:highlight w:val="none"/>
        </w:rPr>
      </w:pPr>
      <w:r>
        <w:rPr>
          <w:rFonts w:hint="eastAsia" w:ascii="宋体" w:hAnsi="宋体" w:cs="宋体"/>
          <w:color w:val="auto"/>
          <w:highlight w:val="none"/>
        </w:rPr>
        <w:t>2.7标段划分：</w:t>
      </w:r>
      <w:r>
        <w:rPr>
          <w:rFonts w:hint="eastAsia" w:ascii="宋体" w:hAnsi="宋体" w:cs="宋体"/>
          <w:color w:val="auto"/>
          <w:szCs w:val="21"/>
          <w:highlight w:val="none"/>
        </w:rPr>
        <w:t>/。</w:t>
      </w:r>
    </w:p>
    <w:p w14:paraId="44173196">
      <w:pPr>
        <w:pStyle w:val="4"/>
        <w:spacing w:before="0" w:after="0" w:line="400" w:lineRule="exact"/>
        <w:rPr>
          <w:rFonts w:ascii="宋体" w:hAnsi="宋体" w:cs="宋体"/>
          <w:color w:val="auto"/>
          <w:szCs w:val="21"/>
          <w:highlight w:val="none"/>
          <w:shd w:val="clear" w:color="auto" w:fill="FFFFFF"/>
        </w:rPr>
      </w:pPr>
      <w:bookmarkStart w:id="53" w:name="_Toc23539"/>
      <w:bookmarkStart w:id="54" w:name="_Toc1159"/>
      <w:bookmarkStart w:id="55" w:name="_Toc30356"/>
      <w:bookmarkStart w:id="56" w:name="_Toc246996903"/>
      <w:bookmarkStart w:id="57" w:name="_Toc11874"/>
      <w:bookmarkStart w:id="58" w:name="_Toc152045514"/>
      <w:bookmarkStart w:id="59" w:name="_Toc144974482"/>
      <w:bookmarkStart w:id="60" w:name="_Toc507319893"/>
      <w:bookmarkStart w:id="61" w:name="_Toc247085674"/>
      <w:bookmarkStart w:id="62" w:name="_Toc30807"/>
      <w:bookmarkStart w:id="63" w:name="_Toc246996160"/>
      <w:bookmarkStart w:id="64" w:name="_Toc11329215"/>
      <w:bookmarkStart w:id="65" w:name="_Toc10171"/>
      <w:bookmarkStart w:id="66" w:name="_Toc152042290"/>
      <w:bookmarkStart w:id="67" w:name="_Toc179632530"/>
      <w:bookmarkStart w:id="68" w:name="_Toc7065"/>
      <w:r>
        <w:rPr>
          <w:rFonts w:hint="eastAsia" w:ascii="宋体" w:hAnsi="宋体" w:eastAsia="宋体" w:cs="宋体"/>
          <w:color w:val="auto"/>
          <w:highlight w:val="none"/>
        </w:rPr>
        <w:t>3. 报价人资格要求</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OLE_LINK6"/>
      <w:bookmarkStart w:id="70" w:name="_Toc144974483"/>
      <w:bookmarkStart w:id="71" w:name="_Toc152045515"/>
      <w:bookmarkStart w:id="72" w:name="_Toc247085675"/>
      <w:bookmarkStart w:id="73" w:name="_Toc152042291"/>
      <w:bookmarkStart w:id="74" w:name="_Toc246996904"/>
      <w:bookmarkStart w:id="75" w:name="_Toc246996161"/>
      <w:bookmarkStart w:id="76" w:name="_Toc179632531"/>
    </w:p>
    <w:p w14:paraId="2663A7DF">
      <w:pPr>
        <w:pStyle w:val="13"/>
        <w:adjustRightInd w:val="0"/>
        <w:spacing w:line="400" w:lineRule="exact"/>
        <w:rPr>
          <w:rFonts w:ascii="宋体" w:hAnsi="宋体" w:cs="宋体"/>
          <w:color w:val="auto"/>
          <w:szCs w:val="21"/>
          <w:highlight w:val="none"/>
          <w:shd w:val="clear" w:color="auto" w:fill="FFFFFF"/>
        </w:rPr>
      </w:pPr>
      <w:r>
        <w:rPr>
          <w:rFonts w:ascii="宋体" w:hAnsi="宋体" w:cs="宋体"/>
          <w:color w:val="auto"/>
          <w:szCs w:val="21"/>
          <w:highlight w:val="none"/>
          <w:shd w:val="clear" w:color="auto" w:fill="FFFFFF"/>
        </w:rPr>
        <w:t>3.1 资质要求：</w:t>
      </w:r>
    </w:p>
    <w:p w14:paraId="33176029">
      <w:pPr>
        <w:pStyle w:val="13"/>
        <w:adjustRightInd w:val="0"/>
        <w:spacing w:line="400" w:lineRule="exact"/>
        <w:rPr>
          <w:rFonts w:hint="eastAsia" w:ascii="宋体" w:hAnsi="宋体" w:eastAsia="宋体" w:cs="宋体"/>
          <w:color w:val="auto"/>
          <w:szCs w:val="21"/>
          <w:highlight w:val="none"/>
          <w:shd w:val="clear" w:color="auto" w:fill="FFFFFF"/>
          <w:lang w:val="en-US" w:eastAsia="zh-CN"/>
        </w:rPr>
      </w:pPr>
      <w:r>
        <w:rPr>
          <w:rFonts w:hint="eastAsia" w:ascii="宋体" w:hAnsi="宋体" w:cs="宋体"/>
          <w:color w:val="auto"/>
          <w:szCs w:val="21"/>
          <w:highlight w:val="none"/>
          <w:shd w:val="clear" w:color="auto" w:fill="FFFFFF"/>
        </w:rPr>
        <w:t>3.1.1</w:t>
      </w:r>
      <w:r>
        <w:rPr>
          <w:rFonts w:ascii="宋体" w:hAnsi="宋体" w:cs="宋体"/>
          <w:color w:val="auto"/>
          <w:szCs w:val="21"/>
          <w:highlight w:val="none"/>
          <w:shd w:val="clear" w:color="auto" w:fill="FFFFFF"/>
        </w:rPr>
        <w:t>报价人具有独立法人资格及有效的营业执照。</w:t>
      </w:r>
    </w:p>
    <w:p w14:paraId="76D5170E">
      <w:pPr>
        <w:pStyle w:val="13"/>
        <w:adjustRightInd w:val="0"/>
        <w:spacing w:line="400" w:lineRule="exact"/>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3.1.2</w:t>
      </w:r>
      <w:r>
        <w:rPr>
          <w:rFonts w:hint="eastAsia" w:ascii="宋体" w:hAnsi="宋体" w:cs="宋体"/>
          <w:color w:val="auto"/>
          <w:szCs w:val="21"/>
          <w:highlight w:val="none"/>
          <w:shd w:val="clear" w:color="auto" w:fill="FFFFFF"/>
        </w:rPr>
        <w:t>报价人具备中国信息安全测评中心颁发的有效的《信息安全服务资质认证证书》安全工程类一级及以上的资质或CCRC颁发的信息安全服务资质认证证书（风险评估二级及以上）资质。</w:t>
      </w:r>
    </w:p>
    <w:bookmarkEnd w:id="69"/>
    <w:p w14:paraId="190E1542">
      <w:pPr>
        <w:pStyle w:val="13"/>
        <w:adjustRightInd w:val="0"/>
        <w:spacing w:line="400" w:lineRule="exact"/>
        <w:rPr>
          <w:rFonts w:ascii="宋体" w:hAnsi="宋体" w:cs="宋体"/>
          <w:color w:val="auto"/>
          <w:highlight w:val="none"/>
        </w:rPr>
      </w:pPr>
      <w:bookmarkStart w:id="77" w:name="OLE_LINK8"/>
      <w:r>
        <w:rPr>
          <w:rFonts w:hint="eastAsia" w:ascii="宋体" w:hAnsi="宋体" w:cs="宋体"/>
          <w:color w:val="auto"/>
          <w:highlight w:val="none"/>
        </w:rPr>
        <w:t>3.2业绩要求：</w:t>
      </w:r>
      <w:bookmarkStart w:id="78" w:name="OLE_LINK20"/>
    </w:p>
    <w:bookmarkEnd w:id="77"/>
    <w:bookmarkEnd w:id="78"/>
    <w:p w14:paraId="7D8A48ED">
      <w:pPr>
        <w:widowControl/>
        <w:kinsoku w:val="0"/>
        <w:autoSpaceDE w:val="0"/>
        <w:autoSpaceDN w:val="0"/>
        <w:adjustRightInd w:val="0"/>
        <w:snapToGrid w:val="0"/>
        <w:spacing w:before="105" w:line="321" w:lineRule="auto"/>
        <w:ind w:right="38" w:firstLine="439"/>
        <w:jc w:val="left"/>
        <w:textAlignment w:val="baseline"/>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报价人在2021年1月1日至报价截止日期（以合同签订时间为准）至少具有一个合同金额在</w:t>
      </w:r>
      <w:r>
        <w:rPr>
          <w:rFonts w:hint="eastAsia" w:ascii="宋体" w:hAnsi="宋体" w:cs="宋体"/>
          <w:color w:val="auto"/>
          <w:szCs w:val="21"/>
          <w:highlight w:val="none"/>
          <w:shd w:val="clear" w:color="auto" w:fill="FFFFFF"/>
          <w:lang w:val="en-US" w:eastAsia="zh-CN"/>
        </w:rPr>
        <w:t>15</w:t>
      </w:r>
      <w:r>
        <w:rPr>
          <w:rFonts w:hint="eastAsia" w:ascii="宋体" w:hAnsi="宋体" w:cs="宋体"/>
          <w:color w:val="auto"/>
          <w:szCs w:val="21"/>
          <w:highlight w:val="none"/>
          <w:shd w:val="clear" w:color="auto" w:fill="FFFFFF"/>
        </w:rPr>
        <w:t>万元及以上的类似</w:t>
      </w:r>
      <w:r>
        <w:rPr>
          <w:rFonts w:hint="eastAsia" w:ascii="宋体" w:hAnsi="宋体" w:cs="宋体"/>
          <w:color w:val="auto"/>
          <w:szCs w:val="21"/>
          <w:highlight w:val="none"/>
          <w:shd w:val="clear" w:color="auto" w:fill="FFFFFF"/>
          <w:lang w:val="en-US" w:eastAsia="zh-CN"/>
        </w:rPr>
        <w:t>网络</w:t>
      </w:r>
      <w:r>
        <w:rPr>
          <w:rFonts w:hint="eastAsia" w:ascii="宋体" w:hAnsi="宋体" w:cs="宋体"/>
          <w:color w:val="auto"/>
          <w:szCs w:val="21"/>
          <w:highlight w:val="none"/>
          <w:shd w:val="clear" w:color="auto" w:fill="FFFFFF"/>
        </w:rPr>
        <w:t>安全服务项目业绩（提供合同扫描件）。</w:t>
      </w:r>
    </w:p>
    <w:p w14:paraId="06556899">
      <w:pPr>
        <w:pStyle w:val="13"/>
        <w:wordWrap w:val="0"/>
        <w:adjustRightInd w:val="0"/>
        <w:spacing w:line="400" w:lineRule="exact"/>
        <w:rPr>
          <w:rFonts w:ascii="宋体" w:hAnsi="宋体" w:cs="宋体"/>
          <w:color w:val="auto"/>
          <w:highlight w:val="none"/>
        </w:rPr>
      </w:pPr>
      <w:r>
        <w:rPr>
          <w:rFonts w:hint="eastAsia" w:ascii="宋体" w:hAnsi="宋体" w:cs="宋体"/>
          <w:color w:val="auto"/>
          <w:highlight w:val="none"/>
        </w:rPr>
        <w:t>3.3信誉要求：</w:t>
      </w:r>
    </w:p>
    <w:p w14:paraId="624F22C0">
      <w:pPr>
        <w:pStyle w:val="13"/>
        <w:wordWrap w:val="0"/>
        <w:adjustRightInd w:val="0"/>
        <w:spacing w:line="400" w:lineRule="exact"/>
        <w:rPr>
          <w:rFonts w:ascii="宋体" w:hAnsi="宋体" w:cs="宋体"/>
          <w:color w:val="auto"/>
          <w:highlight w:val="none"/>
        </w:rPr>
      </w:pPr>
      <w:r>
        <w:rPr>
          <w:rFonts w:hint="eastAsia" w:ascii="宋体" w:hAnsi="宋体" w:cs="宋体"/>
          <w:color w:val="auto"/>
          <w:szCs w:val="21"/>
          <w:highlight w:val="none"/>
        </w:rPr>
        <w:t>在国家企业信用信息公示系统（http://www.gsxt.gov.cn/）中未被列入严重违法失信企业名单（黑名单）信息；在“信用中国”网站（http://www.creditchina.gov.cn/）中未被列入严重失信主体名单。</w:t>
      </w:r>
    </w:p>
    <w:p w14:paraId="456CD919">
      <w:pPr>
        <w:pStyle w:val="13"/>
        <w:adjustRightInd w:val="0"/>
        <w:spacing w:line="400" w:lineRule="exact"/>
        <w:rPr>
          <w:rFonts w:ascii="宋体" w:hAnsi="宋体" w:cs="宋体"/>
          <w:color w:val="auto"/>
          <w:highlight w:val="none"/>
        </w:rPr>
      </w:pPr>
      <w:r>
        <w:rPr>
          <w:rFonts w:hint="eastAsia" w:ascii="宋体" w:hAnsi="宋体" w:cs="宋体"/>
          <w:color w:val="auto"/>
          <w:highlight w:val="none"/>
        </w:rPr>
        <w:t>3.4报价人须提供采购人要求的所有资质要求、业绩要求、 信誉要求等资料并加盖单位</w:t>
      </w:r>
      <w:r>
        <w:rPr>
          <w:rFonts w:hint="eastAsia" w:ascii="宋体" w:hAnsi="宋体" w:cs="宋体"/>
          <w:color w:val="auto"/>
          <w:szCs w:val="21"/>
          <w:highlight w:val="none"/>
          <w:shd w:val="clear" w:color="auto" w:fill="FFFFFF"/>
        </w:rPr>
        <w:t>公章</w:t>
      </w:r>
      <w:r>
        <w:rPr>
          <w:rFonts w:hint="eastAsia" w:ascii="宋体" w:hAnsi="宋体" w:cs="宋体"/>
          <w:color w:val="auto"/>
          <w:highlight w:val="none"/>
        </w:rPr>
        <w:t>。</w:t>
      </w:r>
    </w:p>
    <w:p w14:paraId="603091B1">
      <w:pPr>
        <w:pStyle w:val="13"/>
        <w:adjustRightInd w:val="0"/>
        <w:spacing w:line="400" w:lineRule="exact"/>
        <w:rPr>
          <w:rFonts w:ascii="宋体" w:hAnsi="宋体" w:cs="宋体"/>
          <w:color w:val="auto"/>
          <w:highlight w:val="none"/>
        </w:rPr>
      </w:pPr>
      <w:r>
        <w:rPr>
          <w:rFonts w:hint="eastAsia" w:ascii="宋体" w:hAnsi="宋体" w:cs="宋体"/>
          <w:color w:val="auto"/>
          <w:highlight w:val="none"/>
        </w:rPr>
        <w:t>3.5本次比选不接受联合体报价。</w:t>
      </w:r>
    </w:p>
    <w:p w14:paraId="2CFC970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3.6单位负责人为同一人或者存在控股、管理关系的不同单位，不得同时参加本项目报价，否则均按无效报价处理。</w:t>
      </w:r>
    </w:p>
    <w:p w14:paraId="5BF82B85">
      <w:pPr>
        <w:pStyle w:val="4"/>
        <w:spacing w:before="0" w:after="0" w:line="400" w:lineRule="exact"/>
        <w:rPr>
          <w:rFonts w:ascii="宋体" w:hAnsi="宋体" w:eastAsia="宋体" w:cs="宋体"/>
          <w:color w:val="auto"/>
          <w:highlight w:val="none"/>
        </w:rPr>
      </w:pPr>
      <w:bookmarkStart w:id="79" w:name="_Toc9941"/>
      <w:bookmarkStart w:id="80" w:name="_Toc25344"/>
      <w:bookmarkStart w:id="81" w:name="_Toc29440"/>
      <w:bookmarkStart w:id="82" w:name="_Toc29918"/>
      <w:r>
        <w:rPr>
          <w:rFonts w:hint="eastAsia" w:ascii="宋体" w:hAnsi="宋体" w:eastAsia="宋体" w:cs="宋体"/>
          <w:color w:val="auto"/>
          <w:highlight w:val="none"/>
        </w:rPr>
        <w:t>4. 评标办法</w:t>
      </w:r>
      <w:bookmarkEnd w:id="79"/>
      <w:bookmarkEnd w:id="80"/>
      <w:bookmarkEnd w:id="81"/>
      <w:bookmarkEnd w:id="82"/>
    </w:p>
    <w:p w14:paraId="5A12223C">
      <w:pPr>
        <w:pStyle w:val="13"/>
        <w:adjustRightInd w:val="0"/>
        <w:spacing w:line="400" w:lineRule="exact"/>
        <w:rPr>
          <w:rFonts w:ascii="宋体" w:hAnsi="宋体" w:cs="宋体"/>
          <w:color w:val="auto"/>
          <w:highlight w:val="none"/>
        </w:rPr>
      </w:pPr>
      <w:r>
        <w:rPr>
          <w:rFonts w:hint="eastAsia" w:ascii="宋体" w:hAnsi="宋体" w:cs="宋体"/>
          <w:color w:val="auto"/>
          <w:highlight w:val="none"/>
        </w:rPr>
        <w:t>本项目采用综合评估法。</w:t>
      </w:r>
    </w:p>
    <w:p w14:paraId="4D428355">
      <w:pPr>
        <w:pStyle w:val="4"/>
        <w:spacing w:before="0" w:after="0" w:line="400" w:lineRule="exact"/>
        <w:rPr>
          <w:rFonts w:ascii="宋体" w:hAnsi="宋体"/>
          <w:color w:val="auto"/>
          <w:szCs w:val="21"/>
          <w:highlight w:val="none"/>
        </w:rPr>
      </w:pPr>
      <w:bookmarkStart w:id="83" w:name="_Toc20441"/>
      <w:bookmarkStart w:id="84" w:name="_Toc14361"/>
      <w:bookmarkStart w:id="85" w:name="_Toc11329216"/>
      <w:bookmarkStart w:id="86" w:name="_Toc507319894"/>
      <w:bookmarkStart w:id="87" w:name="_Toc25619"/>
      <w:bookmarkStart w:id="88" w:name="_Toc6980"/>
      <w:bookmarkStart w:id="89" w:name="_Toc24813"/>
      <w:bookmarkStart w:id="90" w:name="_Toc12460"/>
      <w:r>
        <w:rPr>
          <w:rFonts w:hint="eastAsia" w:ascii="宋体" w:hAnsi="宋体" w:eastAsia="宋体" w:cs="宋体"/>
          <w:color w:val="auto"/>
          <w:highlight w:val="none"/>
        </w:rPr>
        <w:t>5. 比选文件的获取</w:t>
      </w:r>
      <w:bookmarkEnd w:id="70"/>
      <w:bookmarkEnd w:id="71"/>
      <w:bookmarkEnd w:id="72"/>
      <w:bookmarkEnd w:id="73"/>
      <w:bookmarkEnd w:id="74"/>
      <w:bookmarkEnd w:id="75"/>
      <w:bookmarkEnd w:id="76"/>
      <w:bookmarkEnd w:id="83"/>
      <w:bookmarkEnd w:id="84"/>
      <w:bookmarkEnd w:id="85"/>
      <w:bookmarkEnd w:id="86"/>
      <w:bookmarkEnd w:id="87"/>
      <w:bookmarkEnd w:id="88"/>
      <w:bookmarkEnd w:id="89"/>
      <w:bookmarkEnd w:id="90"/>
      <w:bookmarkStart w:id="91" w:name="_Toc144974484"/>
      <w:bookmarkStart w:id="92" w:name="_Toc246996162"/>
      <w:bookmarkStart w:id="93" w:name="_Toc152045516"/>
      <w:bookmarkStart w:id="94" w:name="_Toc246996905"/>
      <w:bookmarkStart w:id="95" w:name="_Toc247085676"/>
      <w:bookmarkStart w:id="96" w:name="_Toc11329217"/>
      <w:bookmarkStart w:id="97" w:name="_Toc179632532"/>
      <w:bookmarkStart w:id="98" w:name="_Toc507319895"/>
      <w:bookmarkStart w:id="99" w:name="_Toc152042292"/>
      <w:bookmarkStart w:id="100" w:name="_Toc16686"/>
      <w:bookmarkStart w:id="101" w:name="_Toc31493"/>
      <w:bookmarkStart w:id="102" w:name="_Toc9131"/>
    </w:p>
    <w:p w14:paraId="69E37DCD">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凡愿意参加的潜在报价人，在报价截止时间前在重庆高速集团官网（http://www.cegc.com.cn/）获取竞争性比选文件，各报价人应随时关注网上发布的竞争性比选文件答疑、补遗、澄清等文件内容，不管报价人是否下载，均视为已知晓竞争性比选文件的全部内容和有关事宜。</w:t>
      </w:r>
    </w:p>
    <w:p w14:paraId="5D3BE0C9">
      <w:pPr>
        <w:pStyle w:val="4"/>
        <w:spacing w:before="0" w:after="0" w:line="400" w:lineRule="exact"/>
        <w:rPr>
          <w:rFonts w:ascii="宋体" w:hAnsi="宋体" w:cs="宋体"/>
          <w:color w:val="auto"/>
          <w:highlight w:val="none"/>
        </w:rPr>
      </w:pPr>
      <w:bookmarkStart w:id="103" w:name="_Toc13856"/>
      <w:bookmarkStart w:id="104" w:name="_Toc1439"/>
      <w:bookmarkStart w:id="105" w:name="_Toc6883"/>
      <w:bookmarkStart w:id="106" w:name="_Toc27611"/>
      <w:r>
        <w:rPr>
          <w:rFonts w:hint="eastAsia" w:ascii="宋体" w:hAnsi="宋体" w:eastAsia="宋体" w:cs="宋体"/>
          <w:color w:val="auto"/>
          <w:highlight w:val="none"/>
        </w:rPr>
        <w:t>6. 竞争性比选响应文件的递交</w:t>
      </w:r>
      <w:bookmarkEnd w:id="91"/>
      <w:bookmarkEnd w:id="92"/>
      <w:bookmarkEnd w:id="93"/>
      <w:bookmarkEnd w:id="94"/>
      <w:bookmarkEnd w:id="95"/>
      <w:bookmarkEnd w:id="96"/>
      <w:bookmarkEnd w:id="97"/>
      <w:bookmarkEnd w:id="98"/>
      <w:bookmarkEnd w:id="99"/>
      <w:r>
        <w:rPr>
          <w:rFonts w:hint="eastAsia" w:ascii="宋体" w:hAnsi="宋体" w:eastAsia="宋体" w:cs="宋体"/>
          <w:color w:val="auto"/>
          <w:highlight w:val="none"/>
        </w:rPr>
        <w:t>及相关事宜</w:t>
      </w:r>
      <w:bookmarkEnd w:id="100"/>
      <w:bookmarkEnd w:id="101"/>
      <w:bookmarkEnd w:id="102"/>
      <w:bookmarkEnd w:id="103"/>
      <w:bookmarkEnd w:id="104"/>
      <w:bookmarkEnd w:id="105"/>
      <w:bookmarkEnd w:id="106"/>
      <w:bookmarkStart w:id="107" w:name="_Toc393"/>
      <w:bookmarkStart w:id="108" w:name="_Toc152042293"/>
      <w:bookmarkStart w:id="109" w:name="_Toc21615"/>
      <w:bookmarkStart w:id="110" w:name="_Toc179632534"/>
      <w:bookmarkStart w:id="111" w:name="_Toc152045517"/>
      <w:bookmarkStart w:id="112" w:name="_Toc507319897"/>
      <w:bookmarkStart w:id="113" w:name="_Toc247085678"/>
      <w:bookmarkStart w:id="114" w:name="_Toc18402"/>
      <w:bookmarkStart w:id="115" w:name="_Toc246996907"/>
      <w:bookmarkStart w:id="116" w:name="_Toc246996164"/>
      <w:bookmarkStart w:id="117" w:name="_Toc144974485"/>
      <w:bookmarkStart w:id="118" w:name="_Toc11329219"/>
    </w:p>
    <w:p w14:paraId="3A4718FD">
      <w:pPr>
        <w:pStyle w:val="13"/>
        <w:adjustRightInd w:val="0"/>
        <w:spacing w:line="400" w:lineRule="exact"/>
        <w:outlineLvl w:val="2"/>
        <w:rPr>
          <w:rFonts w:ascii="宋体" w:hAnsi="宋体" w:cs="宋体"/>
          <w:color w:val="auto"/>
          <w:highlight w:val="none"/>
        </w:rPr>
      </w:pPr>
      <w:r>
        <w:rPr>
          <w:rFonts w:hint="eastAsia" w:ascii="宋体" w:hAnsi="宋体" w:cs="宋体"/>
          <w:color w:val="auto"/>
          <w:highlight w:val="none"/>
        </w:rPr>
        <w:t>6.1竞争性比选响应文件递交截止时间：</w:t>
      </w:r>
      <w:r>
        <w:rPr>
          <w:rFonts w:hint="eastAsia" w:ascii="宋体" w:hAnsi="宋体" w:cs="宋体"/>
          <w:color w:val="auto"/>
          <w:highlight w:val="none"/>
          <w:u w:val="single"/>
        </w:rPr>
        <w:t xml:space="preserve"> 202</w:t>
      </w:r>
      <w:r>
        <w:rPr>
          <w:rFonts w:hint="eastAsia" w:ascii="宋体" w:hAnsi="宋体" w:cs="宋体"/>
          <w:color w:val="auto"/>
          <w:highlight w:val="none"/>
          <w:u w:val="single"/>
          <w:lang w:val="en-US" w:eastAsia="zh-CN"/>
        </w:rPr>
        <w:t>5</w:t>
      </w:r>
      <w:r>
        <w:rPr>
          <w:rFonts w:hint="eastAsia" w:ascii="宋体" w:hAnsi="宋体" w:cs="宋体"/>
          <w:color w:val="auto"/>
          <w:highlight w:val="none"/>
          <w:u w:val="single"/>
        </w:rPr>
        <w:t xml:space="preserve"> </w:t>
      </w:r>
      <w:r>
        <w:rPr>
          <w:rFonts w:hint="eastAsia" w:ascii="宋体" w:hAnsi="宋体" w:cs="宋体"/>
          <w:color w:val="auto"/>
          <w:highlight w:val="none"/>
        </w:rPr>
        <w:t>年</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01</w:t>
      </w:r>
      <w:r>
        <w:rPr>
          <w:rFonts w:hint="eastAsia" w:ascii="宋体" w:hAnsi="宋体" w:cs="宋体"/>
          <w:color w:val="auto"/>
          <w:highlight w:val="none"/>
          <w:u w:val="single"/>
        </w:rPr>
        <w:t xml:space="preserve"> </w:t>
      </w:r>
      <w:r>
        <w:rPr>
          <w:rFonts w:hint="eastAsia" w:ascii="宋体" w:hAnsi="宋体" w:cs="宋体"/>
          <w:color w:val="auto"/>
          <w:highlight w:val="none"/>
        </w:rPr>
        <w:t>月</w:t>
      </w:r>
      <w:r>
        <w:rPr>
          <w:rFonts w:hint="eastAsia" w:ascii="宋体" w:hAnsi="宋体" w:cs="宋体"/>
          <w:color w:val="auto"/>
          <w:highlight w:val="none"/>
          <w:u w:val="single"/>
        </w:rPr>
        <w:t xml:space="preserve"> </w:t>
      </w:r>
      <w:r>
        <w:rPr>
          <w:rFonts w:hint="eastAsia" w:ascii="宋体" w:hAnsi="宋体" w:cs="宋体"/>
          <w:color w:val="auto"/>
          <w:highlight w:val="none"/>
          <w:u w:val="single"/>
          <w:lang w:val="en-US" w:eastAsia="zh-CN"/>
        </w:rPr>
        <w:t>10</w:t>
      </w:r>
      <w:r>
        <w:rPr>
          <w:rFonts w:hint="eastAsia" w:ascii="宋体" w:hAnsi="宋体" w:cs="宋体"/>
          <w:color w:val="auto"/>
          <w:highlight w:val="none"/>
          <w:u w:val="single"/>
        </w:rPr>
        <w:t xml:space="preserve"> </w:t>
      </w:r>
      <w:r>
        <w:rPr>
          <w:rFonts w:hint="eastAsia" w:ascii="宋体" w:hAnsi="宋体" w:cs="宋体"/>
          <w:color w:val="auto"/>
          <w:highlight w:val="none"/>
        </w:rPr>
        <w:t>日上午1</w:t>
      </w:r>
      <w:r>
        <w:rPr>
          <w:rFonts w:hint="eastAsia" w:ascii="宋体" w:hAnsi="宋体" w:cs="宋体"/>
          <w:color w:val="auto"/>
          <w:highlight w:val="none"/>
          <w:lang w:val="en-US" w:eastAsia="zh-CN"/>
        </w:rPr>
        <w:t>0</w:t>
      </w:r>
      <w:r>
        <w:rPr>
          <w:rFonts w:hint="eastAsia" w:ascii="宋体" w:hAnsi="宋体" w:cs="宋体"/>
          <w:color w:val="auto"/>
          <w:highlight w:val="none"/>
        </w:rPr>
        <w:t>时00分（北京时间）。</w:t>
      </w:r>
    </w:p>
    <w:p w14:paraId="7E91DCA9">
      <w:pPr>
        <w:pStyle w:val="13"/>
        <w:adjustRightInd w:val="0"/>
        <w:spacing w:line="400" w:lineRule="exact"/>
        <w:outlineLvl w:val="2"/>
        <w:rPr>
          <w:rFonts w:ascii="宋体" w:hAnsi="宋体" w:cs="宋体"/>
          <w:color w:val="auto"/>
          <w:highlight w:val="none"/>
        </w:rPr>
      </w:pPr>
      <w:r>
        <w:rPr>
          <w:rFonts w:hint="eastAsia" w:ascii="宋体" w:hAnsi="宋体" w:cs="宋体"/>
          <w:color w:val="auto"/>
          <w:highlight w:val="none"/>
        </w:rPr>
        <w:t>6.2开标时间：同竞争性比选响应文件递交截止时间。</w:t>
      </w:r>
    </w:p>
    <w:p w14:paraId="07D207CA">
      <w:pPr>
        <w:pStyle w:val="13"/>
        <w:adjustRightInd w:val="0"/>
        <w:spacing w:line="400" w:lineRule="exact"/>
        <w:outlineLvl w:val="2"/>
        <w:rPr>
          <w:rFonts w:ascii="宋体" w:hAnsi="宋体" w:cs="宋体"/>
          <w:color w:val="auto"/>
          <w:highlight w:val="none"/>
        </w:rPr>
      </w:pPr>
      <w:r>
        <w:rPr>
          <w:rFonts w:hint="eastAsia" w:ascii="宋体" w:hAnsi="宋体" w:cs="宋体"/>
          <w:color w:val="auto"/>
          <w:highlight w:val="none"/>
        </w:rPr>
        <w:t>6.3投标文件递交地点：重庆市渝北区龙溪街道新南路52号1楼（重庆首讯科技股份有限公司）。</w:t>
      </w:r>
    </w:p>
    <w:p w14:paraId="38A6F80D">
      <w:pPr>
        <w:pStyle w:val="13"/>
        <w:adjustRightInd w:val="0"/>
        <w:spacing w:line="400" w:lineRule="exact"/>
        <w:outlineLvl w:val="2"/>
        <w:rPr>
          <w:rFonts w:ascii="宋体" w:hAnsi="宋体" w:cs="宋体"/>
          <w:color w:val="auto"/>
          <w:highlight w:val="none"/>
        </w:rPr>
      </w:pPr>
      <w:r>
        <w:rPr>
          <w:rFonts w:hint="eastAsia" w:ascii="宋体" w:hAnsi="宋体" w:cs="宋体"/>
          <w:color w:val="auto"/>
          <w:highlight w:val="none"/>
        </w:rPr>
        <w:t>6.4采购人不组织现场踏勘，不召开报价预备会。</w:t>
      </w:r>
    </w:p>
    <w:p w14:paraId="300F9E13">
      <w:pPr>
        <w:pStyle w:val="13"/>
        <w:adjustRightInd w:val="0"/>
        <w:spacing w:line="400" w:lineRule="exact"/>
        <w:outlineLvl w:val="2"/>
        <w:rPr>
          <w:rFonts w:ascii="宋体" w:hAnsi="宋体" w:cs="宋体"/>
          <w:color w:val="auto"/>
          <w:highlight w:val="none"/>
        </w:rPr>
      </w:pPr>
      <w:r>
        <w:rPr>
          <w:rFonts w:hint="eastAsia" w:ascii="宋体" w:hAnsi="宋体" w:cs="宋体"/>
          <w:color w:val="auto"/>
          <w:highlight w:val="none"/>
        </w:rPr>
        <w:t>6.5逾期送达的或未送达指定地点的或未按要求密封的竞争性比选响应文件，采购人不予受理。</w:t>
      </w:r>
    </w:p>
    <w:p w14:paraId="00B1CE6C">
      <w:pPr>
        <w:pStyle w:val="13"/>
        <w:adjustRightInd w:val="0"/>
        <w:spacing w:line="400" w:lineRule="exact"/>
        <w:outlineLvl w:val="2"/>
        <w:rPr>
          <w:rFonts w:ascii="宋体" w:hAnsi="宋体" w:cs="宋体"/>
          <w:color w:val="auto"/>
          <w:highlight w:val="none"/>
        </w:rPr>
      </w:pPr>
      <w:r>
        <w:rPr>
          <w:rFonts w:hint="eastAsia" w:ascii="宋体" w:hAnsi="宋体" w:cs="宋体"/>
          <w:color w:val="auto"/>
          <w:highlight w:val="none"/>
        </w:rPr>
        <w:t>6.6递交方式：现场递交或邮寄，若采用现场递交方式需在竞争性比选响应文件递交截止时间前将竞争性比选响应文件送达并参与现场开标；若采用邮寄方式的需在竞争性比选响应文件递交截止时间前将竞争性比选响应文件邮寄至重庆首讯科技股份有限公司（重庆市渝北区龙溪街道新南路52号东界龙湖三楼），并按要求进行密封，否则采购人有权拒收，采用邮寄方式的报价人默认认可采购人的开标结果，不得由此提出任何质疑。</w:t>
      </w:r>
    </w:p>
    <w:p w14:paraId="3DEC1360">
      <w:pPr>
        <w:pStyle w:val="13"/>
        <w:adjustRightInd w:val="0"/>
        <w:spacing w:line="400" w:lineRule="exact"/>
        <w:outlineLvl w:val="2"/>
        <w:rPr>
          <w:rFonts w:ascii="宋体" w:hAnsi="宋体" w:cs="宋体"/>
          <w:color w:val="auto"/>
          <w:highlight w:val="none"/>
        </w:rPr>
      </w:pPr>
    </w:p>
    <w:p w14:paraId="474D93D5">
      <w:pPr>
        <w:pStyle w:val="4"/>
        <w:spacing w:before="0" w:after="0" w:line="400" w:lineRule="exact"/>
        <w:rPr>
          <w:rFonts w:ascii="宋体" w:hAnsi="宋体" w:eastAsia="宋体" w:cs="宋体"/>
          <w:color w:val="auto"/>
          <w:highlight w:val="none"/>
        </w:rPr>
      </w:pPr>
      <w:bookmarkStart w:id="119" w:name="_Toc28014"/>
      <w:bookmarkStart w:id="120" w:name="_Toc16800"/>
      <w:bookmarkStart w:id="121" w:name="_Toc8843"/>
      <w:bookmarkStart w:id="122" w:name="_Toc12272"/>
      <w:r>
        <w:rPr>
          <w:rFonts w:hint="eastAsia" w:ascii="宋体" w:hAnsi="宋体" w:eastAsia="宋体" w:cs="宋体"/>
          <w:color w:val="auto"/>
          <w:highlight w:val="none"/>
        </w:rPr>
        <w:t>7. 联系方式</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tbl>
      <w:tblPr>
        <w:tblStyle w:val="44"/>
        <w:tblW w:w="9388" w:type="dxa"/>
        <w:tblInd w:w="0" w:type="dxa"/>
        <w:tblLayout w:type="fixed"/>
        <w:tblCellMar>
          <w:top w:w="0" w:type="dxa"/>
          <w:left w:w="108" w:type="dxa"/>
          <w:bottom w:w="0" w:type="dxa"/>
          <w:right w:w="108" w:type="dxa"/>
        </w:tblCellMar>
      </w:tblPr>
      <w:tblGrid>
        <w:gridCol w:w="9388"/>
      </w:tblGrid>
      <w:tr w14:paraId="47F4019B">
        <w:tblPrEx>
          <w:tblCellMar>
            <w:top w:w="0" w:type="dxa"/>
            <w:left w:w="108" w:type="dxa"/>
            <w:bottom w:w="0" w:type="dxa"/>
            <w:right w:w="108" w:type="dxa"/>
          </w:tblCellMar>
        </w:tblPrEx>
        <w:trPr>
          <w:trHeight w:val="470" w:hRule="atLeast"/>
        </w:trPr>
        <w:tc>
          <w:tcPr>
            <w:tcW w:w="9388" w:type="dxa"/>
            <w:vAlign w:val="center"/>
          </w:tcPr>
          <w:p w14:paraId="4CFD3093">
            <w:pPr>
              <w:pStyle w:val="105"/>
              <w:spacing w:before="0" w:beforeAutospacing="0" w:after="0" w:afterAutospacing="0" w:line="400" w:lineRule="exact"/>
              <w:ind w:firstLine="420" w:firstLineChars="200"/>
              <w:jc w:val="both"/>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679E92ED">
        <w:tblPrEx>
          <w:tblCellMar>
            <w:top w:w="0" w:type="dxa"/>
            <w:left w:w="108" w:type="dxa"/>
            <w:bottom w:w="0" w:type="dxa"/>
            <w:right w:w="108" w:type="dxa"/>
          </w:tblCellMar>
        </w:tblPrEx>
        <w:trPr>
          <w:trHeight w:val="461" w:hRule="atLeast"/>
        </w:trPr>
        <w:tc>
          <w:tcPr>
            <w:tcW w:w="9388" w:type="dxa"/>
            <w:vAlign w:val="center"/>
          </w:tcPr>
          <w:p w14:paraId="77EAF863">
            <w:pPr>
              <w:topLinePunct/>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地址：重庆市渝北区新南路52号东界龙湖三楼</w:t>
            </w:r>
          </w:p>
        </w:tc>
      </w:tr>
      <w:tr w14:paraId="5E7AB3EE">
        <w:tblPrEx>
          <w:tblCellMar>
            <w:top w:w="0" w:type="dxa"/>
            <w:left w:w="108" w:type="dxa"/>
            <w:bottom w:w="0" w:type="dxa"/>
            <w:right w:w="108" w:type="dxa"/>
          </w:tblCellMar>
        </w:tblPrEx>
        <w:trPr>
          <w:trHeight w:val="405" w:hRule="atLeast"/>
        </w:trPr>
        <w:tc>
          <w:tcPr>
            <w:tcW w:w="9388" w:type="dxa"/>
            <w:vAlign w:val="center"/>
          </w:tcPr>
          <w:p w14:paraId="4C0B22D9">
            <w:pPr>
              <w:topLinePunct/>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技术联系人：</w:t>
            </w:r>
            <w:r>
              <w:rPr>
                <w:rFonts w:hint="eastAsia" w:ascii="宋体" w:hAnsi="宋体" w:cs="宋体"/>
                <w:color w:val="auto"/>
                <w:szCs w:val="21"/>
                <w:highlight w:val="none"/>
                <w:lang w:val="en-US" w:eastAsia="zh-CN"/>
              </w:rPr>
              <w:t>甘</w:t>
            </w:r>
            <w:r>
              <w:rPr>
                <w:rFonts w:hint="eastAsia" w:ascii="宋体" w:hAnsi="宋体" w:cs="宋体"/>
                <w:color w:val="auto"/>
                <w:szCs w:val="21"/>
                <w:highlight w:val="none"/>
              </w:rPr>
              <w:t>老师  电 话：18502336095</w:t>
            </w:r>
          </w:p>
        </w:tc>
      </w:tr>
      <w:tr w14:paraId="76EB3A23">
        <w:tblPrEx>
          <w:tblCellMar>
            <w:top w:w="0" w:type="dxa"/>
            <w:left w:w="108" w:type="dxa"/>
            <w:bottom w:w="0" w:type="dxa"/>
            <w:right w:w="108" w:type="dxa"/>
          </w:tblCellMar>
        </w:tblPrEx>
        <w:trPr>
          <w:trHeight w:val="405" w:hRule="atLeast"/>
        </w:trPr>
        <w:tc>
          <w:tcPr>
            <w:tcW w:w="9388" w:type="dxa"/>
            <w:vAlign w:val="center"/>
          </w:tcPr>
          <w:p w14:paraId="2B373679">
            <w:pPr>
              <w:topLinePunct/>
              <w:spacing w:line="400" w:lineRule="exact"/>
              <w:ind w:firstLine="420" w:firstLineChars="200"/>
              <w:rPr>
                <w:color w:val="auto"/>
                <w:highlight w:val="none"/>
              </w:rPr>
            </w:pPr>
            <w:r>
              <w:rPr>
                <w:rFonts w:hint="eastAsia" w:ascii="宋体" w:hAnsi="宋体" w:cs="宋体"/>
                <w:color w:val="auto"/>
                <w:szCs w:val="21"/>
                <w:highlight w:val="none"/>
              </w:rPr>
              <w:t>商务联系人：潘老师  电 话：18523970401</w:t>
            </w:r>
          </w:p>
        </w:tc>
      </w:tr>
    </w:tbl>
    <w:p w14:paraId="4E7A8B3A">
      <w:pPr>
        <w:rPr>
          <w:color w:val="auto"/>
          <w:highlight w:val="none"/>
        </w:rPr>
      </w:pPr>
    </w:p>
    <w:p w14:paraId="6266F928">
      <w:pPr>
        <w:pStyle w:val="29"/>
        <w:rPr>
          <w:color w:val="auto"/>
          <w:highlight w:val="none"/>
        </w:rPr>
      </w:pPr>
    </w:p>
    <w:p w14:paraId="6590890C">
      <w:pPr>
        <w:rPr>
          <w:color w:val="auto"/>
          <w:highlight w:val="none"/>
        </w:rPr>
      </w:pPr>
    </w:p>
    <w:p w14:paraId="2B41300D">
      <w:pPr>
        <w:pStyle w:val="29"/>
        <w:rPr>
          <w:color w:val="auto"/>
          <w:highlight w:val="none"/>
        </w:rPr>
      </w:pPr>
    </w:p>
    <w:bookmarkEnd w:id="16"/>
    <w:bookmarkEnd w:id="17"/>
    <w:p w14:paraId="7E3B0F11">
      <w:pPr>
        <w:pStyle w:val="3"/>
        <w:numPr>
          <w:ilvl w:val="0"/>
          <w:numId w:val="2"/>
        </w:numPr>
        <w:spacing w:before="0" w:after="0" w:line="360" w:lineRule="auto"/>
        <w:jc w:val="center"/>
        <w:rPr>
          <w:rFonts w:ascii="宋体" w:hAnsi="宋体" w:cs="宋体"/>
          <w:color w:val="auto"/>
          <w:highlight w:val="none"/>
        </w:rPr>
      </w:pPr>
      <w:bookmarkStart w:id="123" w:name="_Toc152045527"/>
      <w:bookmarkStart w:id="124" w:name="_Toc507319898"/>
      <w:bookmarkStart w:id="125" w:name="_Toc152042303"/>
      <w:bookmarkStart w:id="126" w:name="_Toc247085687"/>
      <w:bookmarkStart w:id="127" w:name="_Toc246996916"/>
      <w:bookmarkStart w:id="128" w:name="_Toc2000405"/>
      <w:bookmarkStart w:id="129" w:name="_Toc179632544"/>
      <w:bookmarkStart w:id="130" w:name="_Toc246996173"/>
      <w:bookmarkStart w:id="131" w:name="_Toc144974495"/>
      <w:r>
        <w:rPr>
          <w:rFonts w:hint="eastAsia" w:ascii="宋体" w:hAnsi="宋体" w:cs="宋体"/>
          <w:color w:val="auto"/>
          <w:highlight w:val="none"/>
        </w:rPr>
        <w:br w:type="page"/>
      </w:r>
      <w:bookmarkEnd w:id="123"/>
      <w:bookmarkEnd w:id="124"/>
      <w:bookmarkEnd w:id="125"/>
      <w:bookmarkEnd w:id="126"/>
      <w:bookmarkEnd w:id="127"/>
      <w:bookmarkEnd w:id="128"/>
      <w:bookmarkEnd w:id="129"/>
      <w:bookmarkEnd w:id="130"/>
      <w:bookmarkEnd w:id="131"/>
      <w:bookmarkStart w:id="132" w:name="_Toc16020"/>
      <w:r>
        <w:rPr>
          <w:rFonts w:hint="eastAsia" w:ascii="宋体" w:hAnsi="宋体" w:cs="宋体"/>
          <w:color w:val="auto"/>
          <w:highlight w:val="none"/>
        </w:rPr>
        <w:t>报价人须知</w:t>
      </w:r>
      <w:bookmarkEnd w:id="132"/>
    </w:p>
    <w:p w14:paraId="6DA3362C">
      <w:pPr>
        <w:rPr>
          <w:color w:val="auto"/>
          <w:highlight w:val="none"/>
        </w:rPr>
      </w:pPr>
      <w:r>
        <w:rPr>
          <w:rFonts w:hint="eastAsia"/>
          <w:color w:val="auto"/>
          <w:highlight w:val="none"/>
        </w:rPr>
        <w:t>报价人须知前附表</w:t>
      </w:r>
    </w:p>
    <w:tbl>
      <w:tblPr>
        <w:tblStyle w:val="44"/>
        <w:tblpPr w:leftFromText="180" w:rightFromText="180" w:vertAnchor="text" w:horzAnchor="page" w:tblpX="1111"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2C518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97" w:type="dxa"/>
            <w:vAlign w:val="center"/>
          </w:tcPr>
          <w:p w14:paraId="34F9D8A3">
            <w:pPr>
              <w:spacing w:line="360" w:lineRule="exact"/>
              <w:jc w:val="center"/>
              <w:rPr>
                <w:rFonts w:ascii="宋体" w:hAnsi="宋体" w:cs="宋体"/>
                <w:b/>
                <w:color w:val="auto"/>
                <w:kern w:val="0"/>
                <w:szCs w:val="21"/>
                <w:highlight w:val="none"/>
              </w:rPr>
            </w:pPr>
            <w:bookmarkStart w:id="133" w:name="_Toc326760840"/>
            <w:bookmarkStart w:id="134" w:name="_Toc224103317"/>
            <w:r>
              <w:rPr>
                <w:rFonts w:hint="eastAsia" w:ascii="宋体" w:hAnsi="宋体" w:cs="宋体"/>
                <w:b/>
                <w:color w:val="auto"/>
                <w:kern w:val="0"/>
                <w:szCs w:val="21"/>
                <w:highlight w:val="none"/>
              </w:rPr>
              <w:t>序号</w:t>
            </w:r>
          </w:p>
        </w:tc>
        <w:tc>
          <w:tcPr>
            <w:tcW w:w="2106" w:type="dxa"/>
            <w:vAlign w:val="center"/>
          </w:tcPr>
          <w:p w14:paraId="0BCF4522">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66D8D044">
            <w:pPr>
              <w:spacing w:line="360" w:lineRule="exact"/>
              <w:ind w:firstLine="422" w:firstLineChars="200"/>
              <w:jc w:val="center"/>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9A00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4438E53C">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74BB7216">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178C3E02">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采购人：重庆首讯科技股份有限公司</w:t>
            </w:r>
          </w:p>
          <w:p w14:paraId="146178C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地  址：重庆市渝北区新南路52号东界龙湖三楼</w:t>
            </w:r>
          </w:p>
          <w:p w14:paraId="1091262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联系人：潘老师</w:t>
            </w:r>
          </w:p>
          <w:p w14:paraId="02D37F2F">
            <w:pPr>
              <w:topLinePunct/>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电  话：18523970401</w:t>
            </w:r>
          </w:p>
        </w:tc>
      </w:tr>
      <w:tr w14:paraId="54488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753F8BBF">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3C0FA320">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7A9C87B9">
            <w:pPr>
              <w:spacing w:line="360" w:lineRule="exact"/>
              <w:ind w:firstLine="420" w:firstLineChars="200"/>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2025年重庆高速集团网络安全咨询维护服务</w:t>
            </w:r>
          </w:p>
        </w:tc>
      </w:tr>
      <w:tr w14:paraId="674D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10B4674D">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04E61D7A">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采购内容</w:t>
            </w:r>
          </w:p>
        </w:tc>
        <w:tc>
          <w:tcPr>
            <w:tcW w:w="7104" w:type="dxa"/>
            <w:vAlign w:val="center"/>
          </w:tcPr>
          <w:p w14:paraId="54542C48">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见比选公告</w:t>
            </w:r>
          </w:p>
        </w:tc>
      </w:tr>
      <w:tr w14:paraId="7E772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2169B9A2">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65FF25F2">
            <w:pPr>
              <w:spacing w:line="360" w:lineRule="exact"/>
              <w:jc w:val="center"/>
              <w:rPr>
                <w:rFonts w:ascii="宋体" w:hAnsi="宋体" w:cs="宋体"/>
                <w:color w:val="auto"/>
                <w:szCs w:val="21"/>
                <w:highlight w:val="none"/>
              </w:rPr>
            </w:pPr>
            <w:r>
              <w:rPr>
                <w:rFonts w:hint="eastAsia" w:ascii="宋体" w:hAnsi="宋体" w:cs="宋体"/>
                <w:color w:val="auto"/>
                <w:highlight w:val="none"/>
              </w:rPr>
              <w:t>服务地点</w:t>
            </w:r>
          </w:p>
        </w:tc>
        <w:tc>
          <w:tcPr>
            <w:tcW w:w="7104" w:type="dxa"/>
            <w:vAlign w:val="center"/>
          </w:tcPr>
          <w:p w14:paraId="7C7B9D72">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5F7AC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D9AACC1">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FA0AD17">
            <w:pPr>
              <w:spacing w:line="360" w:lineRule="exact"/>
              <w:jc w:val="center"/>
              <w:rPr>
                <w:rFonts w:ascii="宋体" w:hAnsi="宋体" w:cs="宋体"/>
                <w:color w:val="auto"/>
                <w:highlight w:val="none"/>
              </w:rPr>
            </w:pPr>
            <w:r>
              <w:rPr>
                <w:rFonts w:hint="eastAsia" w:ascii="宋体" w:hAnsi="宋体" w:cs="宋体"/>
                <w:color w:val="auto"/>
                <w:szCs w:val="21"/>
                <w:highlight w:val="none"/>
              </w:rPr>
              <w:t>服务期限</w:t>
            </w:r>
          </w:p>
        </w:tc>
        <w:tc>
          <w:tcPr>
            <w:tcW w:w="7104" w:type="dxa"/>
            <w:vAlign w:val="center"/>
          </w:tcPr>
          <w:p w14:paraId="03C10058">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7305B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1E4A1BC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4B3AF36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缺陷责任期（质保期）</w:t>
            </w:r>
          </w:p>
        </w:tc>
        <w:tc>
          <w:tcPr>
            <w:tcW w:w="7104" w:type="dxa"/>
            <w:vAlign w:val="center"/>
          </w:tcPr>
          <w:p w14:paraId="16920167">
            <w:pPr>
              <w:tabs>
                <w:tab w:val="left" w:pos="3000"/>
                <w:tab w:val="left" w:pos="3280"/>
                <w:tab w:val="left" w:pos="6120"/>
                <w:tab w:val="left" w:pos="7540"/>
                <w:tab w:val="left" w:pos="8320"/>
              </w:tabs>
              <w:autoSpaceDE w:val="0"/>
              <w:autoSpaceDN w:val="0"/>
              <w:adjustRightInd w:val="0"/>
              <w:spacing w:line="360" w:lineRule="exact"/>
              <w:ind w:firstLine="420" w:firstLineChars="200"/>
              <w:rPr>
                <w:rFonts w:ascii="宋体" w:hAnsi="宋体" w:cs="宋体"/>
                <w:color w:val="auto"/>
                <w:kern w:val="10"/>
                <w:szCs w:val="21"/>
                <w:highlight w:val="none"/>
              </w:rPr>
            </w:pPr>
            <w:r>
              <w:rPr>
                <w:rFonts w:hint="eastAsia" w:ascii="宋体" w:hAnsi="宋体" w:cs="宋体"/>
                <w:color w:val="auto"/>
                <w:kern w:val="10"/>
                <w:szCs w:val="21"/>
                <w:highlight w:val="none"/>
              </w:rPr>
              <w:t>/</w:t>
            </w:r>
          </w:p>
        </w:tc>
      </w:tr>
      <w:tr w14:paraId="2ABE2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3489027">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4AD2F460">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服务要求</w:t>
            </w:r>
          </w:p>
        </w:tc>
        <w:tc>
          <w:tcPr>
            <w:tcW w:w="7104" w:type="dxa"/>
            <w:vAlign w:val="center"/>
          </w:tcPr>
          <w:p w14:paraId="1A9F269F">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详见第六章 服务要求</w:t>
            </w:r>
          </w:p>
        </w:tc>
      </w:tr>
      <w:tr w14:paraId="30399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0C20CD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0B0CDDF0">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报价人资格要求</w:t>
            </w:r>
          </w:p>
        </w:tc>
        <w:tc>
          <w:tcPr>
            <w:tcW w:w="7104" w:type="dxa"/>
            <w:vAlign w:val="center"/>
          </w:tcPr>
          <w:p w14:paraId="07EE21C2">
            <w:pPr>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01F57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11B8D5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B051B0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0694915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CE5DEEA">
            <w:pPr>
              <w:spacing w:line="360" w:lineRule="exact"/>
              <w:ind w:firstLine="420" w:firstLineChars="200"/>
              <w:rPr>
                <w:rFonts w:ascii="宋体" w:hAnsi="宋体" w:cs="宋体"/>
                <w:color w:val="auto"/>
                <w:szCs w:val="21"/>
                <w:highlight w:val="none"/>
              </w:rPr>
            </w:pPr>
            <w:r>
              <w:rPr>
                <w:rFonts w:hint="eastAsia" w:ascii="宋体" w:hAnsi="宋体" w:cs="宋体"/>
                <w:color w:val="auto"/>
                <w:kern w:val="0"/>
                <w:szCs w:val="21"/>
                <w:highlight w:val="none"/>
              </w:rPr>
              <w:t>不接受</w:t>
            </w:r>
          </w:p>
        </w:tc>
      </w:tr>
      <w:tr w14:paraId="41DE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259F408">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0BFFF28E">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37D51C8C">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6D84D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6F209613">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62A99A46">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7763540B">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F4D3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348AAEF5">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2106" w:type="dxa"/>
            <w:vAlign w:val="center"/>
          </w:tcPr>
          <w:p w14:paraId="708BBA92">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1A4113E1">
            <w:pPr>
              <w:spacing w:line="360" w:lineRule="exact"/>
              <w:ind w:firstLine="422" w:firstLineChars="200"/>
              <w:rPr>
                <w:rFonts w:ascii="宋体" w:hAnsi="宋体" w:cs="宋体"/>
                <w:color w:val="auto"/>
                <w:kern w:val="0"/>
                <w:szCs w:val="21"/>
                <w:highlight w:val="none"/>
              </w:rPr>
            </w:pPr>
            <w:bookmarkStart w:id="135" w:name="OLE_LINK9"/>
            <w:r>
              <w:rPr>
                <w:rFonts w:hint="eastAsia" w:ascii="宋体" w:hAnsi="宋体" w:cs="宋体"/>
                <w:b/>
                <w:bCs/>
                <w:color w:val="auto"/>
                <w:szCs w:val="21"/>
                <w:highlight w:val="none"/>
              </w:rPr>
              <w:t>不允许负偏差</w:t>
            </w:r>
            <w:r>
              <w:rPr>
                <w:rFonts w:ascii="宋体" w:hAnsi="宋体" w:cs="宋体"/>
                <w:b/>
                <w:bCs/>
                <w:color w:val="auto"/>
                <w:szCs w:val="21"/>
                <w:highlight w:val="none"/>
              </w:rPr>
              <w:t>。</w:t>
            </w:r>
            <w:bookmarkEnd w:id="135"/>
          </w:p>
        </w:tc>
      </w:tr>
      <w:tr w14:paraId="4D25A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56C036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2106" w:type="dxa"/>
            <w:vAlign w:val="center"/>
          </w:tcPr>
          <w:p w14:paraId="6FBC4C86">
            <w:pPr>
              <w:spacing w:line="360" w:lineRule="exact"/>
              <w:jc w:val="center"/>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3116F557">
            <w:pPr>
              <w:spacing w:line="360" w:lineRule="exact"/>
              <w:ind w:firstLine="420" w:firstLineChars="200"/>
              <w:rPr>
                <w:rFonts w:ascii="宋体" w:hAnsi="宋体" w:cs="宋体"/>
                <w:color w:val="auto"/>
                <w:kern w:val="0"/>
                <w:szCs w:val="21"/>
                <w:highlight w:val="none"/>
              </w:rPr>
            </w:pPr>
            <w:r>
              <w:rPr>
                <w:rFonts w:hint="eastAsia" w:ascii="宋体" w:hAnsi="宋体" w:cs="宋体"/>
                <w:color w:val="auto"/>
                <w:szCs w:val="21"/>
                <w:highlight w:val="none"/>
              </w:rPr>
              <w:t>采购人发布的图纸、补遗书、答疑、澄清、最高限价通知等附件。</w:t>
            </w:r>
          </w:p>
        </w:tc>
      </w:tr>
      <w:tr w14:paraId="4B21B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1FA9EBA3">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2106" w:type="dxa"/>
            <w:vAlign w:val="center"/>
          </w:tcPr>
          <w:p w14:paraId="0608F51A">
            <w:pPr>
              <w:spacing w:line="360" w:lineRule="exact"/>
              <w:jc w:val="center"/>
              <w:rPr>
                <w:rFonts w:ascii="宋体" w:hAnsi="宋体" w:cs="宋体"/>
                <w:color w:val="auto"/>
                <w:kern w:val="0"/>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641367D3">
            <w:pPr>
              <w:pStyle w:val="152"/>
              <w:spacing w:line="360" w:lineRule="exact"/>
              <w:ind w:firstLine="420" w:firstLineChars="200"/>
              <w:jc w:val="both"/>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892D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0B9FC514">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2106" w:type="dxa"/>
            <w:vAlign w:val="center"/>
          </w:tcPr>
          <w:p w14:paraId="01025668">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报价清单的填写方式</w:t>
            </w:r>
          </w:p>
        </w:tc>
        <w:tc>
          <w:tcPr>
            <w:tcW w:w="7104" w:type="dxa"/>
            <w:vAlign w:val="center"/>
          </w:tcPr>
          <w:p w14:paraId="5428015A">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报价人按照采购人提供的报价清单填写报价。</w:t>
            </w:r>
          </w:p>
          <w:p w14:paraId="65FE1506">
            <w:pPr>
              <w:spacing w:line="400" w:lineRule="exact"/>
              <w:ind w:firstLine="420" w:firstLineChars="200"/>
              <w:rPr>
                <w:color w:val="auto"/>
                <w:highlight w:val="none"/>
              </w:rPr>
            </w:pPr>
            <w:r>
              <w:rPr>
                <w:rFonts w:hint="eastAsia"/>
                <w:color w:val="auto"/>
                <w:highlight w:val="none"/>
              </w:rPr>
              <w:t>综合单价取小数点后两位，小数点后第三位四舍五入。</w:t>
            </w:r>
          </w:p>
          <w:p w14:paraId="65787F97">
            <w:pPr>
              <w:spacing w:line="360" w:lineRule="exact"/>
              <w:ind w:firstLine="420" w:firstLineChars="200"/>
              <w:rPr>
                <w:rFonts w:ascii="宋体" w:hAnsi="宋体" w:cs="宋体"/>
                <w:color w:val="auto"/>
                <w:szCs w:val="21"/>
                <w:highlight w:val="none"/>
              </w:rPr>
            </w:pPr>
            <w:r>
              <w:rPr>
                <w:rFonts w:hint="eastAsia"/>
                <w:color w:val="auto"/>
                <w:highlight w:val="none"/>
              </w:rPr>
              <w:t>本项目报价清单及说明随比选文件一并发布，详见后文。</w:t>
            </w:r>
          </w:p>
        </w:tc>
      </w:tr>
      <w:tr w14:paraId="0707D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shd w:val="clear" w:color="auto" w:fill="auto"/>
            <w:vAlign w:val="center"/>
          </w:tcPr>
          <w:p w14:paraId="102FF12B">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2106" w:type="dxa"/>
            <w:tcBorders>
              <w:bottom w:val="single" w:color="auto" w:sz="4" w:space="0"/>
            </w:tcBorders>
            <w:vAlign w:val="center"/>
          </w:tcPr>
          <w:p w14:paraId="3116B2FA">
            <w:pPr>
              <w:spacing w:line="360" w:lineRule="exact"/>
              <w:jc w:val="center"/>
              <w:rPr>
                <w:rFonts w:ascii="宋体" w:hAnsi="宋体" w:cs="宋体"/>
                <w:color w:val="auto"/>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vAlign w:val="center"/>
          </w:tcPr>
          <w:p w14:paraId="5AE6AF6B">
            <w:pPr>
              <w:spacing w:line="360" w:lineRule="exact"/>
              <w:ind w:firstLine="422" w:firstLineChars="200"/>
              <w:rPr>
                <w:rFonts w:ascii="宋体" w:hAnsi="宋体" w:cs="宋体"/>
                <w:color w:val="auto"/>
                <w:szCs w:val="21"/>
                <w:highlight w:val="none"/>
              </w:rPr>
            </w:pPr>
            <w:r>
              <w:rPr>
                <w:rFonts w:hint="eastAsia" w:ascii="宋体" w:hAnsi="宋体" w:cs="宋体"/>
                <w:b/>
                <w:bCs/>
                <w:color w:val="auto"/>
                <w:szCs w:val="21"/>
                <w:highlight w:val="none"/>
              </w:rPr>
              <w:t>本项目总价最高限价：</w:t>
            </w:r>
            <w:r>
              <w:rPr>
                <w:rFonts w:hint="eastAsia" w:ascii="宋体" w:hAnsi="宋体"/>
                <w:b/>
                <w:bCs/>
                <w:color w:val="auto"/>
                <w:szCs w:val="21"/>
                <w:highlight w:val="none"/>
                <w:lang w:val="en-US" w:eastAsia="zh-CN"/>
              </w:rPr>
              <w:t>315000.00</w:t>
            </w:r>
            <w:r>
              <w:rPr>
                <w:rFonts w:hint="eastAsia" w:ascii="宋体" w:hAnsi="宋体"/>
                <w:b/>
                <w:bCs/>
                <w:color w:val="auto"/>
                <w:szCs w:val="21"/>
                <w:highlight w:val="none"/>
              </w:rPr>
              <w:t>元。</w:t>
            </w:r>
          </w:p>
          <w:p w14:paraId="2F19B8D1">
            <w:pPr>
              <w:spacing w:line="360" w:lineRule="exact"/>
              <w:ind w:firstLine="422" w:firstLineChars="200"/>
              <w:rPr>
                <w:rFonts w:ascii="宋体" w:hAnsi="宋体" w:cs="宋体"/>
                <w:b/>
                <w:bCs/>
                <w:color w:val="auto"/>
                <w:kern w:val="0"/>
                <w:szCs w:val="21"/>
                <w:highlight w:val="none"/>
              </w:rPr>
            </w:pPr>
            <w:bookmarkStart w:id="136" w:name="OLE_LINK80"/>
            <w:r>
              <w:rPr>
                <w:rFonts w:hint="eastAsia" w:ascii="宋体" w:hAnsi="宋体"/>
                <w:b/>
                <w:bCs/>
                <w:color w:val="auto"/>
                <w:szCs w:val="21"/>
                <w:highlight w:val="none"/>
              </w:rPr>
              <w:t>若有报价高于采购人发布总价最高限价，其竞</w:t>
            </w:r>
            <w:bookmarkEnd w:id="136"/>
            <w:r>
              <w:rPr>
                <w:rFonts w:hint="eastAsia" w:ascii="宋体" w:hAnsi="宋体"/>
                <w:b/>
                <w:bCs/>
                <w:color w:val="auto"/>
                <w:szCs w:val="21"/>
                <w:highlight w:val="none"/>
              </w:rPr>
              <w:t>争性比选响应文件视为重大偏差，竞争性比选响应文件将按否决报价处理。</w:t>
            </w:r>
          </w:p>
        </w:tc>
      </w:tr>
      <w:tr w14:paraId="019CC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tcBorders>
              <w:bottom w:val="single" w:color="auto" w:sz="4" w:space="0"/>
            </w:tcBorders>
            <w:shd w:val="clear" w:color="auto" w:fill="auto"/>
            <w:vAlign w:val="center"/>
          </w:tcPr>
          <w:p w14:paraId="63DD00E2">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17</w:t>
            </w:r>
          </w:p>
        </w:tc>
        <w:tc>
          <w:tcPr>
            <w:tcW w:w="2106" w:type="dxa"/>
            <w:tcBorders>
              <w:bottom w:val="single" w:color="auto" w:sz="4" w:space="0"/>
            </w:tcBorders>
            <w:vAlign w:val="center"/>
          </w:tcPr>
          <w:p w14:paraId="49B78A38">
            <w:pPr>
              <w:spacing w:line="3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373455BA">
            <w:pPr>
              <w:widowControl/>
              <w:spacing w:line="3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每次支付前需由乙方提交书面支付申请、相关证明材料以及对应增值税专用发票经甲方审核无误后，按以下节点支付：</w:t>
            </w:r>
          </w:p>
          <w:p w14:paraId="1CD2C574">
            <w:pPr>
              <w:widowControl/>
              <w:numPr>
                <w:ilvl w:val="0"/>
                <w:numId w:val="3"/>
              </w:numPr>
              <w:spacing w:line="360" w:lineRule="exact"/>
              <w:ind w:firstLine="420" w:firstLineChars="200"/>
              <w:rPr>
                <w:rFonts w:hint="eastAsia" w:eastAsia="宋体"/>
                <w:color w:val="auto"/>
                <w:highlight w:val="none"/>
                <w:lang w:eastAsia="zh-CN"/>
              </w:rPr>
            </w:pPr>
            <w:r>
              <w:rPr>
                <w:rFonts w:hint="eastAsia" w:ascii="宋体" w:hAnsi="宋体" w:cs="宋体"/>
                <w:color w:val="auto"/>
                <w:szCs w:val="21"/>
                <w:highlight w:val="none"/>
              </w:rPr>
              <w:t>合同签订完成</w:t>
            </w:r>
            <w:r>
              <w:rPr>
                <w:rFonts w:hint="eastAsia" w:ascii="宋体" w:hAnsi="宋体" w:cs="宋体"/>
                <w:color w:val="auto"/>
                <w:szCs w:val="21"/>
                <w:highlight w:val="none"/>
                <w:lang w:val="en-US" w:eastAsia="zh-CN"/>
              </w:rPr>
              <w:t>后，</w:t>
            </w:r>
            <w:r>
              <w:rPr>
                <w:rFonts w:hint="eastAsia" w:ascii="宋体" w:hAnsi="宋体" w:cs="宋体"/>
                <w:color w:val="auto"/>
                <w:szCs w:val="21"/>
                <w:highlight w:val="none"/>
              </w:rPr>
              <w:t>乙方履行</w:t>
            </w:r>
            <w:r>
              <w:rPr>
                <w:rFonts w:hint="eastAsia" w:ascii="宋体" w:hAnsi="宋体" w:cs="宋体"/>
                <w:color w:val="auto"/>
                <w:szCs w:val="21"/>
                <w:highlight w:val="none"/>
                <w:lang w:val="en-US" w:eastAsia="zh-CN"/>
              </w:rPr>
              <w:t>完</w:t>
            </w:r>
            <w:r>
              <w:rPr>
                <w:rFonts w:hint="eastAsia" w:ascii="宋体" w:hAnsi="宋体" w:cs="宋体"/>
                <w:color w:val="auto"/>
                <w:szCs w:val="21"/>
                <w:highlight w:val="none"/>
              </w:rPr>
              <w:t>合同要求</w:t>
            </w:r>
            <w:r>
              <w:rPr>
                <w:rFonts w:hint="eastAsia" w:ascii="宋体" w:hAnsi="宋体" w:cs="宋体"/>
                <w:color w:val="auto"/>
                <w:szCs w:val="21"/>
                <w:highlight w:val="none"/>
                <w:lang w:val="en-US" w:eastAsia="zh-CN"/>
              </w:rPr>
              <w:t>的全部</w:t>
            </w:r>
            <w:r>
              <w:rPr>
                <w:rFonts w:hint="eastAsia" w:ascii="宋体" w:hAnsi="宋体" w:cs="宋体"/>
                <w:color w:val="auto"/>
                <w:szCs w:val="21"/>
                <w:highlight w:val="none"/>
              </w:rPr>
              <w:t>工作并根据合同内容提供全套流程资料及相应的专业安全报告后，甲方向乙方支付至合同金额</w:t>
            </w:r>
            <w:r>
              <w:rPr>
                <w:rFonts w:hint="eastAsia" w:ascii="宋体" w:hAnsi="宋体" w:cs="宋体"/>
                <w:color w:val="auto"/>
                <w:szCs w:val="21"/>
                <w:highlight w:val="none"/>
                <w:lang w:val="en-US" w:eastAsia="zh-CN"/>
              </w:rPr>
              <w:t>的10</w:t>
            </w:r>
            <w:r>
              <w:rPr>
                <w:rFonts w:hint="eastAsia" w:ascii="宋体" w:hAnsi="宋体" w:cs="宋体"/>
                <w:color w:val="auto"/>
                <w:szCs w:val="21"/>
                <w:highlight w:val="none"/>
              </w:rPr>
              <w:t>0%</w:t>
            </w:r>
            <w:r>
              <w:rPr>
                <w:rFonts w:hint="eastAsia" w:ascii="宋体" w:hAnsi="宋体" w:cs="宋体"/>
                <w:color w:val="auto"/>
                <w:szCs w:val="21"/>
                <w:highlight w:val="none"/>
                <w:lang w:eastAsia="zh-CN"/>
              </w:rPr>
              <w:t>。</w:t>
            </w:r>
          </w:p>
        </w:tc>
      </w:tr>
      <w:tr w14:paraId="1DCC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7A65701E">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18</w:t>
            </w:r>
          </w:p>
        </w:tc>
        <w:tc>
          <w:tcPr>
            <w:tcW w:w="2106" w:type="dxa"/>
            <w:vAlign w:val="center"/>
          </w:tcPr>
          <w:p w14:paraId="7DB2018D">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C08B843">
            <w:pPr>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推荐的中标候选人数：2名。</w:t>
            </w:r>
          </w:p>
        </w:tc>
      </w:tr>
      <w:tr w14:paraId="1FBF4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5E694714">
            <w:pPr>
              <w:pStyle w:val="152"/>
              <w:spacing w:line="360" w:lineRule="exact"/>
              <w:jc w:val="center"/>
              <w:rPr>
                <w:rFonts w:hAnsi="宋体"/>
                <w:color w:val="auto"/>
                <w:sz w:val="21"/>
                <w:szCs w:val="21"/>
                <w:highlight w:val="none"/>
              </w:rPr>
            </w:pPr>
            <w:r>
              <w:rPr>
                <w:rFonts w:hint="eastAsia" w:hAnsi="宋体"/>
                <w:color w:val="auto"/>
                <w:sz w:val="21"/>
                <w:szCs w:val="21"/>
                <w:highlight w:val="none"/>
              </w:rPr>
              <w:t>19</w:t>
            </w:r>
          </w:p>
        </w:tc>
        <w:tc>
          <w:tcPr>
            <w:tcW w:w="2106" w:type="dxa"/>
            <w:vAlign w:val="center"/>
          </w:tcPr>
          <w:p w14:paraId="23EB27A1">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71D1092A">
            <w:pPr>
              <w:pStyle w:val="152"/>
              <w:tabs>
                <w:tab w:val="left" w:pos="284"/>
              </w:tabs>
              <w:spacing w:line="400" w:lineRule="exact"/>
              <w:ind w:firstLine="420" w:firstLineChars="200"/>
              <w:rPr>
                <w:rFonts w:hAnsi="宋体"/>
                <w:color w:val="auto"/>
                <w:sz w:val="21"/>
                <w:szCs w:val="21"/>
                <w:highlight w:val="none"/>
              </w:rPr>
            </w:pPr>
            <w:bookmarkStart w:id="137" w:name="OLE_LINK76"/>
            <w:r>
              <w:rPr>
                <w:rFonts w:hint="eastAsia" w:hAnsi="宋体"/>
                <w:color w:val="auto"/>
                <w:sz w:val="21"/>
                <w:szCs w:val="21"/>
                <w:highlight w:val="none"/>
              </w:rPr>
              <w:t>一、投标保证金</w:t>
            </w:r>
          </w:p>
          <w:p w14:paraId="30917BA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报价人是否提供投标保证金：</w:t>
            </w:r>
            <w:r>
              <w:rPr>
                <w:rFonts w:hint="eastAsia" w:hAnsi="宋体"/>
                <w:color w:val="auto"/>
                <w:sz w:val="21"/>
                <w:szCs w:val="18"/>
                <w:highlight w:val="none"/>
                <w:lang w:bidi="ar"/>
              </w:rPr>
              <w:t>☑是   □否</w:t>
            </w:r>
          </w:p>
          <w:p w14:paraId="5C5DDBED">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1、报价人须缴纳投标保证金</w:t>
            </w:r>
            <w:r>
              <w:rPr>
                <w:rFonts w:hint="eastAsia" w:hAnsi="宋体"/>
                <w:color w:val="auto"/>
                <w:sz w:val="21"/>
                <w:szCs w:val="21"/>
                <w:highlight w:val="none"/>
                <w:lang w:val="en-US" w:eastAsia="zh-CN"/>
              </w:rPr>
              <w:t>5</w:t>
            </w:r>
            <w:r>
              <w:rPr>
                <w:rFonts w:hint="eastAsia" w:hAnsi="宋体"/>
                <w:color w:val="auto"/>
                <w:sz w:val="21"/>
                <w:szCs w:val="21"/>
                <w:highlight w:val="none"/>
              </w:rPr>
              <w:t>000.00元，</w:t>
            </w:r>
            <w:bookmarkEnd w:id="137"/>
            <w:r>
              <w:rPr>
                <w:rFonts w:hint="eastAsia" w:hAnsi="宋体"/>
                <w:color w:val="auto"/>
                <w:sz w:val="21"/>
                <w:szCs w:val="21"/>
                <w:highlight w:val="none"/>
              </w:rPr>
              <w:t>由报价人从公司基本账户将投标保证金汇至以下指定账户。</w:t>
            </w:r>
          </w:p>
          <w:p w14:paraId="6CED93C6">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保证金到账截止时间：202</w:t>
            </w:r>
            <w:r>
              <w:rPr>
                <w:rFonts w:hint="eastAsia" w:hAnsi="宋体"/>
                <w:color w:val="auto"/>
                <w:sz w:val="21"/>
                <w:szCs w:val="21"/>
                <w:highlight w:val="none"/>
                <w:lang w:val="en-US" w:eastAsia="zh-CN"/>
              </w:rPr>
              <w:t>5</w:t>
            </w:r>
            <w:r>
              <w:rPr>
                <w:rFonts w:hint="eastAsia" w:hAnsi="宋体"/>
                <w:color w:val="auto"/>
                <w:sz w:val="21"/>
                <w:szCs w:val="21"/>
                <w:highlight w:val="none"/>
              </w:rPr>
              <w:t>年</w:t>
            </w:r>
            <w:r>
              <w:rPr>
                <w:rFonts w:hint="eastAsia" w:hAnsi="宋体"/>
                <w:color w:val="auto"/>
                <w:sz w:val="21"/>
                <w:szCs w:val="21"/>
                <w:highlight w:val="none"/>
                <w:lang w:val="en-US" w:eastAsia="zh-CN"/>
              </w:rPr>
              <w:t>01</w:t>
            </w:r>
            <w:r>
              <w:rPr>
                <w:rFonts w:hint="eastAsia" w:hAnsi="宋体"/>
                <w:color w:val="auto"/>
                <w:sz w:val="21"/>
                <w:szCs w:val="21"/>
                <w:highlight w:val="none"/>
              </w:rPr>
              <w:t>月</w:t>
            </w:r>
            <w:r>
              <w:rPr>
                <w:rFonts w:hint="eastAsia" w:hAnsi="宋体"/>
                <w:color w:val="auto"/>
                <w:sz w:val="21"/>
                <w:szCs w:val="21"/>
                <w:highlight w:val="none"/>
                <w:lang w:val="en-US" w:eastAsia="zh-CN"/>
              </w:rPr>
              <w:t>10</w:t>
            </w:r>
            <w:r>
              <w:rPr>
                <w:rFonts w:hint="eastAsia" w:hAnsi="宋体"/>
                <w:color w:val="auto"/>
                <w:sz w:val="21"/>
                <w:szCs w:val="21"/>
                <w:highlight w:val="none"/>
              </w:rPr>
              <w:t>日上午1</w:t>
            </w:r>
            <w:r>
              <w:rPr>
                <w:rFonts w:hint="eastAsia" w:hAnsi="宋体"/>
                <w:color w:val="auto"/>
                <w:sz w:val="21"/>
                <w:szCs w:val="21"/>
                <w:highlight w:val="none"/>
                <w:lang w:val="en-US" w:eastAsia="zh-CN"/>
              </w:rPr>
              <w:t>0</w:t>
            </w:r>
            <w:r>
              <w:rPr>
                <w:rFonts w:hint="eastAsia" w:hAnsi="宋体"/>
                <w:color w:val="auto"/>
                <w:sz w:val="21"/>
                <w:szCs w:val="21"/>
                <w:highlight w:val="none"/>
              </w:rPr>
              <w:t>时00分前。</w:t>
            </w:r>
          </w:p>
          <w:p w14:paraId="42BDEC17">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若竞争性比选响应文件内无投标保证金缴纳凭证，采购人有权作废标处理，若投标保证金存在虚假不实情况，采购人有权作废标处理。</w:t>
            </w:r>
          </w:p>
          <w:p w14:paraId="31DAC3E5">
            <w:pPr>
              <w:pStyle w:val="152"/>
              <w:spacing w:line="400" w:lineRule="exact"/>
              <w:ind w:firstLine="420" w:firstLineChars="200"/>
              <w:rPr>
                <w:rFonts w:hAnsi="宋体"/>
                <w:b/>
                <w:bCs/>
                <w:color w:val="auto"/>
                <w:sz w:val="21"/>
                <w:szCs w:val="18"/>
                <w:highlight w:val="none"/>
              </w:rPr>
            </w:pPr>
            <w:r>
              <w:rPr>
                <w:rFonts w:hint="eastAsia" w:hAnsi="宋体"/>
                <w:color w:val="auto"/>
                <w:sz w:val="21"/>
                <w:szCs w:val="21"/>
                <w:highlight w:val="none"/>
              </w:rPr>
              <w:t>转款备注：</w:t>
            </w:r>
            <w:r>
              <w:rPr>
                <w:rFonts w:hint="eastAsia" w:hAnsi="宋体"/>
                <w:b/>
                <w:bCs/>
                <w:color w:val="auto"/>
                <w:sz w:val="21"/>
                <w:szCs w:val="21"/>
                <w:highlight w:val="none"/>
                <w:u w:val="single"/>
              </w:rPr>
              <w:t>******（项目名称）</w:t>
            </w:r>
            <w:r>
              <w:rPr>
                <w:rFonts w:hint="eastAsia" w:hAnsi="宋体"/>
                <w:b/>
                <w:bCs/>
                <w:color w:val="auto"/>
                <w:sz w:val="21"/>
                <w:szCs w:val="18"/>
                <w:highlight w:val="none"/>
              </w:rPr>
              <w:t>投标保证金</w:t>
            </w:r>
            <w:r>
              <w:rPr>
                <w:rFonts w:hint="eastAsia" w:hAnsi="宋体"/>
                <w:b/>
                <w:bCs/>
                <w:color w:val="auto"/>
                <w:sz w:val="21"/>
                <w:szCs w:val="21"/>
                <w:highlight w:val="none"/>
              </w:rPr>
              <w:t>。</w:t>
            </w:r>
          </w:p>
          <w:p w14:paraId="468AE170">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2、投标保证金退还方式</w:t>
            </w:r>
          </w:p>
          <w:p w14:paraId="7B908003">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为便于及时退还，报价人在递交响应文件的同时，递交本项目保证金银行回单和公司的开户许可证复印件。</w:t>
            </w:r>
          </w:p>
          <w:p w14:paraId="0BC7232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未中标报价人的投标保证金，于该项目结果公示期结束后15个工作日内无息退还至报价人基本账户。</w:t>
            </w:r>
          </w:p>
          <w:p w14:paraId="093BA2F9">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中标人的投标保证金，自合同签订后15个工作日内无息退还至中标人基本账户。</w:t>
            </w:r>
          </w:p>
          <w:p w14:paraId="7B5B4D0E">
            <w:pPr>
              <w:pStyle w:val="152"/>
              <w:spacing w:line="400" w:lineRule="exact"/>
              <w:ind w:left="420" w:leftChars="200"/>
              <w:rPr>
                <w:rFonts w:hAnsi="宋体"/>
                <w:color w:val="auto"/>
                <w:sz w:val="21"/>
                <w:szCs w:val="21"/>
                <w:highlight w:val="none"/>
              </w:rPr>
            </w:pPr>
            <w:bookmarkStart w:id="138" w:name="OLE_LINK77"/>
            <w:r>
              <w:rPr>
                <w:rFonts w:hint="eastAsia" w:hAnsi="宋体"/>
                <w:color w:val="auto"/>
                <w:sz w:val="21"/>
                <w:szCs w:val="21"/>
                <w:highlight w:val="none"/>
              </w:rPr>
              <w:t>二、履约保证金</w:t>
            </w:r>
          </w:p>
          <w:p w14:paraId="546FBA6F">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bidi="ar"/>
              </w:rPr>
              <w:t>报价人是否提供履约保证金：</w:t>
            </w:r>
            <w:r>
              <w:rPr>
                <w:rFonts w:hint="eastAsia" w:hAnsi="宋体" w:cs="宋体"/>
                <w:color w:val="auto"/>
                <w:kern w:val="0"/>
                <w:szCs w:val="18"/>
                <w:highlight w:val="none"/>
                <w:lang w:eastAsia="zh-CN" w:bidi="ar"/>
              </w:rPr>
              <w:t>☑</w:t>
            </w:r>
            <w:r>
              <w:rPr>
                <w:rFonts w:hint="eastAsia" w:ascii="宋体" w:hAnsi="宋体" w:cs="宋体"/>
                <w:color w:val="auto"/>
                <w:kern w:val="0"/>
                <w:szCs w:val="18"/>
                <w:highlight w:val="none"/>
                <w:lang w:bidi="ar"/>
              </w:rPr>
              <w:t>是</w:t>
            </w:r>
            <w:r>
              <w:rPr>
                <w:rFonts w:hint="eastAsia" w:hAnsi="宋体" w:cs="宋体"/>
                <w:color w:val="auto"/>
                <w:kern w:val="0"/>
                <w:szCs w:val="18"/>
                <w:highlight w:val="none"/>
                <w:lang w:bidi="ar"/>
              </w:rPr>
              <w:t xml:space="preserve">   </w:t>
            </w:r>
            <w:r>
              <w:rPr>
                <w:rFonts w:hint="eastAsia" w:hAnsi="宋体" w:cs="宋体"/>
                <w:color w:val="auto"/>
                <w:kern w:val="0"/>
                <w:szCs w:val="18"/>
                <w:highlight w:val="none"/>
                <w:lang w:eastAsia="zh-CN" w:bidi="ar"/>
              </w:rPr>
              <w:t>□</w:t>
            </w:r>
            <w:r>
              <w:rPr>
                <w:rFonts w:hint="eastAsia" w:hAnsi="宋体" w:cs="宋体"/>
                <w:color w:val="auto"/>
                <w:kern w:val="0"/>
                <w:szCs w:val="18"/>
                <w:highlight w:val="none"/>
                <w:lang w:bidi="ar"/>
              </w:rPr>
              <w:t>否</w:t>
            </w:r>
          </w:p>
          <w:p w14:paraId="4F35D2CE">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1、履约担保作为本项目合同附件。</w:t>
            </w:r>
          </w:p>
          <w:p w14:paraId="609DF8BA">
            <w:pPr>
              <w:pStyle w:val="152"/>
              <w:spacing w:line="400" w:lineRule="exact"/>
              <w:ind w:firstLine="420" w:firstLineChars="200"/>
              <w:rPr>
                <w:rFonts w:hAnsi="宋体"/>
                <w:color w:val="auto"/>
                <w:sz w:val="21"/>
                <w:szCs w:val="21"/>
                <w:highlight w:val="none"/>
              </w:rPr>
            </w:pPr>
            <w:bookmarkStart w:id="139" w:name="OLE_LINK13"/>
            <w:r>
              <w:rPr>
                <w:rFonts w:hint="eastAsia" w:hAnsi="宋体"/>
                <w:color w:val="auto"/>
                <w:sz w:val="21"/>
                <w:szCs w:val="21"/>
                <w:highlight w:val="none"/>
              </w:rPr>
              <w:t>2、履约保证金的金额：中标金额的</w:t>
            </w:r>
            <w:r>
              <w:rPr>
                <w:rFonts w:hint="eastAsia" w:hAnsi="宋体"/>
                <w:color w:val="auto"/>
                <w:sz w:val="21"/>
                <w:szCs w:val="21"/>
                <w:highlight w:val="none"/>
                <w:lang w:val="en-US" w:eastAsia="zh-CN"/>
              </w:rPr>
              <w:t>5</w:t>
            </w:r>
            <w:r>
              <w:rPr>
                <w:rFonts w:hint="eastAsia" w:hAnsi="宋体"/>
                <w:color w:val="auto"/>
                <w:sz w:val="21"/>
                <w:szCs w:val="21"/>
                <w:highlight w:val="none"/>
              </w:rPr>
              <w:t>%。</w:t>
            </w:r>
          </w:p>
          <w:bookmarkEnd w:id="138"/>
          <w:bookmarkEnd w:id="139"/>
          <w:p w14:paraId="1DAE4C95">
            <w:pPr>
              <w:pStyle w:val="152"/>
              <w:spacing w:line="400" w:lineRule="exact"/>
              <w:ind w:firstLine="420" w:firstLineChars="200"/>
              <w:rPr>
                <w:rFonts w:hAnsi="宋体"/>
                <w:color w:val="auto"/>
                <w:sz w:val="21"/>
                <w:szCs w:val="21"/>
                <w:highlight w:val="none"/>
              </w:rPr>
            </w:pPr>
            <w:r>
              <w:rPr>
                <w:rFonts w:hint="eastAsia" w:hAnsi="宋体"/>
                <w:color w:val="auto"/>
                <w:sz w:val="21"/>
                <w:szCs w:val="21"/>
                <w:highlight w:val="none"/>
              </w:rPr>
              <w:t>3、履约保证金有效期：自双方签订的合同文件生效之日起，至合同约定时间或暂定金额使用完成为止。</w:t>
            </w:r>
          </w:p>
          <w:p w14:paraId="404A416B">
            <w:pPr>
              <w:pStyle w:val="152"/>
              <w:spacing w:line="360" w:lineRule="auto"/>
              <w:ind w:firstLine="420" w:firstLineChars="200"/>
              <w:rPr>
                <w:rFonts w:hAnsi="宋体"/>
                <w:color w:val="auto"/>
                <w:sz w:val="21"/>
                <w:szCs w:val="21"/>
                <w:highlight w:val="none"/>
              </w:rPr>
            </w:pPr>
            <w:r>
              <w:rPr>
                <w:rFonts w:hint="eastAsia" w:hAnsi="宋体"/>
                <w:color w:val="auto"/>
                <w:kern w:val="2"/>
                <w:sz w:val="21"/>
                <w:szCs w:val="21"/>
                <w:highlight w:val="none"/>
              </w:rPr>
              <w:t>4、履约保证金缴纳方式：现金或保函</w:t>
            </w:r>
          </w:p>
          <w:p w14:paraId="01FAAE3F">
            <w:pPr>
              <w:pStyle w:val="38"/>
              <w:numPr>
                <w:ilvl w:val="0"/>
                <w:numId w:val="4"/>
              </w:numPr>
              <w:spacing w:before="0" w:beforeAutospacing="0" w:after="0" w:afterAutospacing="0" w:line="360" w:lineRule="auto"/>
              <w:ind w:firstLine="420"/>
              <w:rPr>
                <w:color w:val="auto"/>
                <w:sz w:val="21"/>
                <w:szCs w:val="21"/>
                <w:highlight w:val="none"/>
              </w:rPr>
            </w:pPr>
            <w:r>
              <w:rPr>
                <w:rFonts w:hint="eastAsia"/>
                <w:color w:val="auto"/>
                <w:sz w:val="21"/>
                <w:szCs w:val="21"/>
                <w:highlight w:val="none"/>
              </w:rPr>
              <w:t>履约保证金的提交：在甲方发出中标通知书后28个工作日内（合同签订之前），中标人向采购人提供履约保证金缴纳凭证。报价人从企业的账户（开户行）在采购人规定时间内，向采购人通过电汇方式直接划付至采购人指定的保证金账户，否则，保证金无效。报价人自行考虑汇入时间风险，如同城汇入、异地汇入、跨行汇入的时间要求。若缴纳现金的，则需备注，</w:t>
            </w:r>
          </w:p>
          <w:p w14:paraId="602CC6E1">
            <w:pPr>
              <w:pStyle w:val="38"/>
              <w:spacing w:before="0" w:beforeAutospacing="0" w:after="0" w:afterAutospacing="0" w:line="360" w:lineRule="auto"/>
              <w:ind w:firstLine="422" w:firstLineChars="200"/>
              <w:rPr>
                <w:b/>
                <w:bCs/>
                <w:color w:val="auto"/>
                <w:sz w:val="21"/>
                <w:szCs w:val="21"/>
                <w:highlight w:val="none"/>
              </w:rPr>
            </w:pPr>
            <w:r>
              <w:rPr>
                <w:rFonts w:hint="eastAsia"/>
                <w:b/>
                <w:bCs/>
                <w:color w:val="auto"/>
                <w:sz w:val="21"/>
                <w:szCs w:val="21"/>
                <w:highlight w:val="none"/>
              </w:rPr>
              <w:t>转款备注：</w:t>
            </w:r>
            <w:r>
              <w:rPr>
                <w:rFonts w:hint="eastAsia"/>
                <w:b/>
                <w:bCs/>
                <w:color w:val="auto"/>
                <w:sz w:val="21"/>
                <w:szCs w:val="21"/>
                <w:highlight w:val="none"/>
                <w:u w:val="single"/>
              </w:rPr>
              <w:t>******（项目名称）</w:t>
            </w:r>
            <w:r>
              <w:rPr>
                <w:rFonts w:hint="eastAsia"/>
                <w:b/>
                <w:bCs/>
                <w:color w:val="auto"/>
                <w:sz w:val="21"/>
                <w:szCs w:val="21"/>
                <w:highlight w:val="none"/>
              </w:rPr>
              <w:t>履约保证金。</w:t>
            </w:r>
          </w:p>
          <w:p w14:paraId="55B2E53E">
            <w:pPr>
              <w:pStyle w:val="38"/>
              <w:spacing w:before="0" w:beforeAutospacing="0" w:after="0" w:afterAutospacing="0" w:line="360" w:lineRule="auto"/>
              <w:ind w:firstLine="420"/>
              <w:rPr>
                <w:color w:val="auto"/>
                <w:sz w:val="21"/>
                <w:szCs w:val="21"/>
                <w:highlight w:val="none"/>
              </w:rPr>
            </w:pPr>
            <w:r>
              <w:rPr>
                <w:rFonts w:hint="eastAsia"/>
                <w:color w:val="auto"/>
                <w:kern w:val="2"/>
                <w:sz w:val="21"/>
                <w:szCs w:val="21"/>
                <w:highlight w:val="none"/>
              </w:rPr>
              <w:t>6</w:t>
            </w:r>
            <w:r>
              <w:rPr>
                <w:rFonts w:hint="eastAsia"/>
                <w:color w:val="auto"/>
                <w:sz w:val="21"/>
                <w:szCs w:val="21"/>
                <w:highlight w:val="none"/>
              </w:rPr>
              <w:t>、若提供保函的：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14:paraId="2F0ECAF7">
            <w:pPr>
              <w:spacing w:line="360" w:lineRule="auto"/>
              <w:ind w:firstLine="420" w:firstLineChars="200"/>
              <w:rPr>
                <w:rFonts w:hAnsi="宋体"/>
                <w:color w:val="auto"/>
                <w:szCs w:val="21"/>
                <w:highlight w:val="none"/>
              </w:rPr>
            </w:pPr>
            <w:r>
              <w:rPr>
                <w:rFonts w:hint="eastAsia" w:ascii="宋体" w:hAnsi="宋体" w:cs="宋体"/>
                <w:color w:val="auto"/>
                <w:kern w:val="0"/>
                <w:szCs w:val="21"/>
                <w:highlight w:val="none"/>
              </w:rPr>
              <w:t>7、</w:t>
            </w:r>
            <w:r>
              <w:rPr>
                <w:rFonts w:ascii="宋体" w:hAnsi="宋体" w:cs="宋体"/>
                <w:color w:val="auto"/>
                <w:kern w:val="0"/>
                <w:szCs w:val="21"/>
                <w:highlight w:val="none"/>
              </w:rPr>
              <w:t>履约保证金</w:t>
            </w:r>
            <w:r>
              <w:rPr>
                <w:rFonts w:hint="eastAsia" w:ascii="宋体" w:hAnsi="宋体" w:cs="宋体"/>
                <w:color w:val="auto"/>
                <w:kern w:val="0"/>
                <w:szCs w:val="21"/>
                <w:highlight w:val="none"/>
              </w:rPr>
              <w:t>的</w:t>
            </w:r>
            <w:r>
              <w:rPr>
                <w:rFonts w:ascii="宋体" w:hAnsi="宋体" w:cs="宋体"/>
                <w:color w:val="auto"/>
                <w:kern w:val="0"/>
                <w:szCs w:val="21"/>
                <w:highlight w:val="none"/>
              </w:rPr>
              <w:t>退还：缴纳现金保函的，在完成合同约定的全部工作内容后</w:t>
            </w:r>
            <w:r>
              <w:rPr>
                <w:rFonts w:hint="eastAsia" w:ascii="宋体" w:hAnsi="宋体" w:cs="宋体"/>
                <w:color w:val="auto"/>
                <w:szCs w:val="21"/>
                <w:highlight w:val="none"/>
              </w:rPr>
              <w:t>由中标人提出申请，</w:t>
            </w:r>
            <w:r>
              <w:rPr>
                <w:rFonts w:ascii="宋体" w:hAnsi="宋体" w:cs="宋体"/>
                <w:color w:val="auto"/>
                <w:kern w:val="0"/>
                <w:szCs w:val="21"/>
                <w:highlight w:val="none"/>
              </w:rPr>
              <w:t>28天后无息退还剩余部分。</w:t>
            </w:r>
          </w:p>
          <w:p w14:paraId="0B0C1D8E">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三、</w:t>
            </w:r>
            <w:bookmarkStart w:id="140" w:name="OLE_LINK14"/>
            <w:r>
              <w:rPr>
                <w:rFonts w:hint="eastAsia" w:hAnsi="宋体"/>
                <w:color w:val="auto"/>
                <w:kern w:val="2"/>
                <w:sz w:val="21"/>
                <w:szCs w:val="21"/>
                <w:highlight w:val="none"/>
              </w:rPr>
              <w:t>低价风险担保金</w:t>
            </w:r>
            <w:bookmarkEnd w:id="140"/>
          </w:p>
          <w:p w14:paraId="5122CE35">
            <w:pPr>
              <w:spacing w:line="360" w:lineRule="auto"/>
              <w:ind w:firstLine="420" w:firstLineChars="200"/>
              <w:rPr>
                <w:rFonts w:hAnsi="宋体"/>
                <w:color w:val="auto"/>
                <w:szCs w:val="21"/>
                <w:highlight w:val="none"/>
              </w:rPr>
            </w:pPr>
            <w:r>
              <w:rPr>
                <w:rFonts w:hint="eastAsia" w:ascii="宋体" w:hAnsi="宋体" w:cs="宋体"/>
                <w:color w:val="auto"/>
                <w:kern w:val="0"/>
                <w:szCs w:val="21"/>
                <w:highlight w:val="none"/>
                <w:lang w:bidi="ar"/>
              </w:rPr>
              <w:t>报价人是否提供</w:t>
            </w:r>
            <w:r>
              <w:rPr>
                <w:rFonts w:hint="eastAsia" w:hAnsi="宋体"/>
                <w:color w:val="auto"/>
                <w:szCs w:val="21"/>
                <w:highlight w:val="none"/>
              </w:rPr>
              <w:t>低价风险担保金</w:t>
            </w:r>
            <w:r>
              <w:rPr>
                <w:rFonts w:hint="eastAsia" w:ascii="宋体" w:hAnsi="宋体" w:cs="宋体"/>
                <w:color w:val="auto"/>
                <w:kern w:val="0"/>
                <w:szCs w:val="21"/>
                <w:highlight w:val="none"/>
                <w:lang w:bidi="ar"/>
              </w:rPr>
              <w:t>：</w:t>
            </w:r>
            <w:r>
              <w:rPr>
                <w:rFonts w:hint="eastAsia" w:hAnsi="宋体" w:cs="宋体"/>
                <w:color w:val="auto"/>
                <w:kern w:val="0"/>
                <w:szCs w:val="18"/>
                <w:highlight w:val="none"/>
                <w:lang w:bidi="ar"/>
              </w:rPr>
              <w:t>☑</w:t>
            </w:r>
            <w:r>
              <w:rPr>
                <w:rFonts w:hint="eastAsia" w:ascii="宋体" w:hAnsi="宋体" w:cs="宋体"/>
                <w:color w:val="auto"/>
                <w:kern w:val="0"/>
                <w:szCs w:val="18"/>
                <w:highlight w:val="none"/>
                <w:lang w:bidi="ar"/>
              </w:rPr>
              <w:t>是</w:t>
            </w:r>
            <w:r>
              <w:rPr>
                <w:rFonts w:hint="eastAsia" w:hAnsi="宋体" w:cs="宋体"/>
                <w:color w:val="auto"/>
                <w:kern w:val="0"/>
                <w:szCs w:val="18"/>
                <w:highlight w:val="none"/>
                <w:lang w:bidi="ar"/>
              </w:rPr>
              <w:t xml:space="preserve">   □否</w:t>
            </w:r>
          </w:p>
          <w:p w14:paraId="701ADA0E">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1．低价风险担保：中标价低于最高限价的85%时提供，如不按时足额提供，视为中标人放弃中标，采购人有权不退还其投标保证金。</w:t>
            </w:r>
          </w:p>
          <w:p w14:paraId="25125E47">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2．中标人提供低价风险担保的形式、金额及期限：</w:t>
            </w:r>
          </w:p>
          <w:p w14:paraId="75373B9F">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附件合同条款及格式附件，中标人出具保函时，不得修改“低价风险担保保函”名称，也不得对低价风险担保保函示范文本中付款条件等实质性内容进行修改，否则视为不符合招标文件规定。</w:t>
            </w:r>
          </w:p>
          <w:p w14:paraId="4BF5F37C">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314494C3">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（3）低价风险担保送达采购人的时间：从采购人中标通知书送达拟中标人之日起 20 个工作日内。</w:t>
            </w:r>
          </w:p>
          <w:p w14:paraId="32CD0CA9">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38F441E4">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7E0DC87E">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的退还时间：采用现金担保的，在现场工程师确认供货完成后28天内全额退还，合同履行期间允许乙方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14:paraId="7BFC7F12">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08B0E9DC">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63D7F1DF">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②因乙方违约被解除合同的，低价风险担保将全额扣除；</w:t>
            </w:r>
          </w:p>
          <w:p w14:paraId="445AF156">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③因乙方原因导致的其他情形。</w:t>
            </w:r>
          </w:p>
          <w:p w14:paraId="4FC691E3">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4．采用经评审最低投标价法的项目，拟中标人或者中标人放弃中标项目，无正当理由不与采购人签订合同，在签订合同时向采购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1D152857">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备注：当中标人或拟中标人未按时提交低价风险担保，且属于可以延长低价风险担保提交期限的特殊情形时，经采购人同意，可适当延长低价风险担保的提交期限。</w:t>
            </w:r>
          </w:p>
          <w:p w14:paraId="0B3FBC26">
            <w:pPr>
              <w:spacing w:line="360" w:lineRule="auto"/>
              <w:ind w:firstLine="420" w:firstLineChars="200"/>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投标总报价低于最高限价85%的，报价人应在编制投标文件时，在投标函部分中递交低价风险担保提交承诺书。格式自拟。</w:t>
            </w:r>
          </w:p>
          <w:p w14:paraId="636E7F38">
            <w:pPr>
              <w:spacing w:line="360" w:lineRule="auto"/>
              <w:ind w:firstLine="420" w:firstLineChars="200"/>
              <w:rPr>
                <w:rFonts w:ascii="宋体" w:hAnsi="宋体" w:cs="宋体"/>
                <w:color w:val="auto"/>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75453144">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四、采购人指定的开户银行及账号如下：</w:t>
            </w:r>
          </w:p>
          <w:p w14:paraId="235B7ACE">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账户名称：重庆首讯科技股份有限公司</w:t>
            </w:r>
          </w:p>
          <w:p w14:paraId="0634D4FC">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开户银行：兴业银行重庆分行营业部</w:t>
            </w:r>
          </w:p>
          <w:p w14:paraId="0700B182">
            <w:pPr>
              <w:pStyle w:val="152"/>
              <w:spacing w:line="36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帐    号：3460 1010 0100 4791 14</w:t>
            </w:r>
          </w:p>
          <w:p w14:paraId="17D317FD">
            <w:pPr>
              <w:pStyle w:val="152"/>
              <w:spacing w:line="360" w:lineRule="exact"/>
              <w:ind w:firstLine="422" w:firstLineChars="200"/>
              <w:jc w:val="both"/>
              <w:rPr>
                <w:rFonts w:hAnsi="宋体"/>
                <w:color w:val="auto"/>
                <w:kern w:val="2"/>
                <w:sz w:val="21"/>
                <w:szCs w:val="21"/>
                <w:highlight w:val="none"/>
              </w:rPr>
            </w:pPr>
            <w:r>
              <w:rPr>
                <w:rFonts w:hint="eastAsia" w:hAnsi="宋体"/>
                <w:b/>
                <w:bCs/>
                <w:color w:val="auto"/>
                <w:kern w:val="2"/>
                <w:sz w:val="21"/>
                <w:szCs w:val="21"/>
                <w:highlight w:val="none"/>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2B88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2FD3899C">
            <w:pPr>
              <w:pStyle w:val="152"/>
              <w:spacing w:line="360" w:lineRule="exact"/>
              <w:jc w:val="center"/>
              <w:rPr>
                <w:rFonts w:hAnsi="宋体"/>
                <w:color w:val="auto"/>
                <w:sz w:val="21"/>
                <w:szCs w:val="21"/>
                <w:highlight w:val="none"/>
              </w:rPr>
            </w:pPr>
            <w:r>
              <w:rPr>
                <w:rFonts w:hint="eastAsia" w:hAnsi="宋体"/>
                <w:color w:val="auto"/>
                <w:sz w:val="21"/>
                <w:szCs w:val="21"/>
                <w:highlight w:val="none"/>
              </w:rPr>
              <w:t>20</w:t>
            </w:r>
          </w:p>
        </w:tc>
        <w:tc>
          <w:tcPr>
            <w:tcW w:w="2106" w:type="dxa"/>
            <w:vAlign w:val="center"/>
          </w:tcPr>
          <w:p w14:paraId="6E4ADF91">
            <w:pPr>
              <w:pStyle w:val="152"/>
              <w:spacing w:line="360" w:lineRule="exact"/>
              <w:jc w:val="center"/>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712E759B">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1C1F435B">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地    址：重庆市渝北区新南路52号东界龙湖三楼</w:t>
            </w:r>
          </w:p>
          <w:p w14:paraId="159325C4">
            <w:pPr>
              <w:pStyle w:val="152"/>
              <w:spacing w:line="360" w:lineRule="exact"/>
              <w:ind w:firstLine="420" w:firstLineChars="200"/>
              <w:jc w:val="both"/>
              <w:rPr>
                <w:rFonts w:hAnsi="宋体"/>
                <w:color w:val="auto"/>
                <w:sz w:val="21"/>
                <w:szCs w:val="21"/>
                <w:highlight w:val="none"/>
              </w:rPr>
            </w:pPr>
            <w:r>
              <w:rPr>
                <w:rFonts w:hint="eastAsia" w:hAnsi="宋体"/>
                <w:color w:val="auto"/>
                <w:kern w:val="2"/>
                <w:sz w:val="21"/>
                <w:szCs w:val="21"/>
                <w:highlight w:val="none"/>
              </w:rPr>
              <w:t>电    话：023-63132246</w:t>
            </w:r>
          </w:p>
        </w:tc>
      </w:tr>
      <w:tr w14:paraId="3D09F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549B29BE">
            <w:pPr>
              <w:pStyle w:val="152"/>
              <w:spacing w:line="360" w:lineRule="exact"/>
              <w:jc w:val="center"/>
              <w:rPr>
                <w:rFonts w:hAnsi="宋体"/>
                <w:color w:val="auto"/>
                <w:sz w:val="21"/>
                <w:szCs w:val="21"/>
                <w:highlight w:val="none"/>
              </w:rPr>
            </w:pPr>
            <w:r>
              <w:rPr>
                <w:rFonts w:hint="eastAsia" w:hAnsi="宋体"/>
                <w:color w:val="auto"/>
                <w:sz w:val="21"/>
                <w:szCs w:val="21"/>
                <w:highlight w:val="none"/>
              </w:rPr>
              <w:t>21</w:t>
            </w:r>
          </w:p>
        </w:tc>
        <w:tc>
          <w:tcPr>
            <w:tcW w:w="2106" w:type="dxa"/>
            <w:vAlign w:val="center"/>
          </w:tcPr>
          <w:p w14:paraId="71B4D5F7">
            <w:pPr>
              <w:pStyle w:val="152"/>
              <w:spacing w:line="400" w:lineRule="exact"/>
              <w:jc w:val="center"/>
              <w:rPr>
                <w:rFonts w:hAnsi="宋体"/>
                <w:color w:val="auto"/>
                <w:kern w:val="2"/>
                <w:sz w:val="21"/>
                <w:szCs w:val="21"/>
                <w:highlight w:val="none"/>
              </w:rPr>
            </w:pPr>
            <w:r>
              <w:rPr>
                <w:rFonts w:hint="eastAsia" w:hAnsi="宋体"/>
                <w:color w:val="auto"/>
                <w:kern w:val="2"/>
                <w:sz w:val="21"/>
                <w:szCs w:val="21"/>
                <w:highlight w:val="none"/>
              </w:rPr>
              <w:t>竞争性比选响应文件的递交</w:t>
            </w:r>
          </w:p>
        </w:tc>
        <w:tc>
          <w:tcPr>
            <w:tcW w:w="7104" w:type="dxa"/>
            <w:vAlign w:val="center"/>
          </w:tcPr>
          <w:p w14:paraId="29F73D32">
            <w:pPr>
              <w:pStyle w:val="13"/>
              <w:adjustRightInd w:val="0"/>
              <w:spacing w:line="400" w:lineRule="exact"/>
              <w:rPr>
                <w:rFonts w:hAnsi="宋体"/>
                <w:color w:val="auto"/>
                <w:szCs w:val="21"/>
                <w:highlight w:val="none"/>
              </w:rPr>
            </w:pPr>
            <w:r>
              <w:rPr>
                <w:rFonts w:hint="eastAsia" w:hAnsi="宋体"/>
                <w:color w:val="auto"/>
                <w:szCs w:val="21"/>
                <w:highlight w:val="none"/>
              </w:rPr>
              <w:t>1.报价截止时间和开标时间：202</w:t>
            </w:r>
            <w:r>
              <w:rPr>
                <w:rFonts w:hint="eastAsia" w:hAnsi="宋体"/>
                <w:color w:val="auto"/>
                <w:szCs w:val="21"/>
                <w:highlight w:val="none"/>
                <w:lang w:val="en-US" w:eastAsia="zh-CN"/>
              </w:rPr>
              <w:t>5</w:t>
            </w:r>
            <w:r>
              <w:rPr>
                <w:rFonts w:hint="eastAsia" w:hAnsi="宋体"/>
                <w:color w:val="auto"/>
                <w:szCs w:val="21"/>
                <w:highlight w:val="none"/>
              </w:rPr>
              <w:t>年</w:t>
            </w:r>
            <w:r>
              <w:rPr>
                <w:rFonts w:hint="eastAsia" w:hAnsi="宋体"/>
                <w:color w:val="auto"/>
                <w:szCs w:val="21"/>
                <w:highlight w:val="none"/>
                <w:lang w:val="en-US" w:eastAsia="zh-CN"/>
              </w:rPr>
              <w:t>01</w:t>
            </w:r>
            <w:r>
              <w:rPr>
                <w:rFonts w:hint="eastAsia" w:hAnsi="宋体"/>
                <w:color w:val="auto"/>
                <w:szCs w:val="21"/>
                <w:highlight w:val="none"/>
              </w:rPr>
              <w:t>月</w:t>
            </w:r>
            <w:r>
              <w:rPr>
                <w:rFonts w:hint="eastAsia" w:hAnsi="宋体"/>
                <w:color w:val="auto"/>
                <w:szCs w:val="21"/>
                <w:highlight w:val="none"/>
                <w:lang w:val="en-US" w:eastAsia="zh-CN"/>
              </w:rPr>
              <w:t>10</w:t>
            </w:r>
            <w:r>
              <w:rPr>
                <w:rFonts w:hint="eastAsia" w:hAnsi="宋体"/>
                <w:color w:val="auto"/>
                <w:szCs w:val="21"/>
                <w:highlight w:val="none"/>
              </w:rPr>
              <w:t>日上午1</w:t>
            </w:r>
            <w:r>
              <w:rPr>
                <w:rFonts w:hint="eastAsia" w:hAnsi="宋体"/>
                <w:color w:val="auto"/>
                <w:szCs w:val="21"/>
                <w:highlight w:val="none"/>
                <w:lang w:val="en-US" w:eastAsia="zh-CN"/>
              </w:rPr>
              <w:t>0</w:t>
            </w:r>
            <w:r>
              <w:rPr>
                <w:rFonts w:hint="eastAsia" w:hAnsi="宋体"/>
                <w:color w:val="auto"/>
                <w:szCs w:val="21"/>
                <w:highlight w:val="none"/>
              </w:rPr>
              <w:t>时 00分（北京时间）。</w:t>
            </w:r>
          </w:p>
          <w:p w14:paraId="323D63D1">
            <w:pPr>
              <w:pStyle w:val="13"/>
              <w:adjustRightInd w:val="0"/>
              <w:spacing w:line="400" w:lineRule="exact"/>
              <w:rPr>
                <w:rFonts w:hAnsi="宋体"/>
                <w:color w:val="auto"/>
                <w:szCs w:val="21"/>
                <w:highlight w:val="none"/>
              </w:rPr>
            </w:pPr>
            <w:r>
              <w:rPr>
                <w:rFonts w:hint="eastAsia" w:hAnsi="宋体"/>
                <w:color w:val="auto"/>
                <w:szCs w:val="21"/>
                <w:highlight w:val="none"/>
              </w:rPr>
              <w:t>2.报价地点和开标地点：重庆首讯科技股份有限公司（重庆市渝北区新南路52号东界龙湖三楼）。</w:t>
            </w:r>
          </w:p>
          <w:p w14:paraId="6E2DB844">
            <w:pPr>
              <w:pStyle w:val="13"/>
              <w:adjustRightInd w:val="0"/>
              <w:spacing w:line="400" w:lineRule="exact"/>
              <w:rPr>
                <w:rFonts w:hAnsi="宋体"/>
                <w:color w:val="auto"/>
                <w:szCs w:val="21"/>
                <w:highlight w:val="none"/>
              </w:rPr>
            </w:pPr>
            <w:r>
              <w:rPr>
                <w:rFonts w:hint="eastAsia" w:hAnsi="宋体"/>
                <w:color w:val="auto"/>
                <w:szCs w:val="21"/>
                <w:highlight w:val="none"/>
              </w:rPr>
              <w:t>3.逾期送达，或未送达指定地点，或未密封的竞争性比选响应文件，采购人不予受理。</w:t>
            </w:r>
          </w:p>
        </w:tc>
      </w:tr>
      <w:tr w14:paraId="49F10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shd w:val="clear" w:color="auto" w:fill="auto"/>
            <w:vAlign w:val="center"/>
          </w:tcPr>
          <w:p w14:paraId="7EBCAB55">
            <w:pPr>
              <w:pStyle w:val="152"/>
              <w:spacing w:line="360" w:lineRule="exact"/>
              <w:jc w:val="center"/>
              <w:rPr>
                <w:rFonts w:hAnsi="宋体"/>
                <w:color w:val="auto"/>
                <w:sz w:val="21"/>
                <w:szCs w:val="21"/>
                <w:highlight w:val="none"/>
              </w:rPr>
            </w:pPr>
            <w:r>
              <w:rPr>
                <w:rFonts w:hint="eastAsia" w:hAnsi="宋体"/>
                <w:color w:val="auto"/>
                <w:sz w:val="21"/>
                <w:szCs w:val="21"/>
                <w:highlight w:val="none"/>
              </w:rPr>
              <w:t>22</w:t>
            </w:r>
          </w:p>
        </w:tc>
        <w:tc>
          <w:tcPr>
            <w:tcW w:w="2106" w:type="dxa"/>
            <w:vAlign w:val="center"/>
          </w:tcPr>
          <w:p w14:paraId="6C5AA737">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竞争性比选响应文件的组成</w:t>
            </w:r>
          </w:p>
        </w:tc>
        <w:tc>
          <w:tcPr>
            <w:tcW w:w="7104" w:type="dxa"/>
            <w:vAlign w:val="center"/>
          </w:tcPr>
          <w:p w14:paraId="62B5F169">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1.竞争性比选文件需加盖报价人的公章，竞争性比选响应文件提交</w:t>
            </w:r>
            <w:r>
              <w:rPr>
                <w:rFonts w:hint="eastAsia" w:hAnsi="宋体"/>
                <w:b/>
                <w:bCs/>
                <w:color w:val="auto"/>
                <w:kern w:val="2"/>
                <w:sz w:val="21"/>
                <w:szCs w:val="21"/>
                <w:highlight w:val="none"/>
              </w:rPr>
              <w:t>正本1份，副本1份，电子文件1份</w:t>
            </w:r>
            <w:r>
              <w:rPr>
                <w:rFonts w:hint="eastAsia" w:hAnsi="宋体"/>
                <w:color w:val="auto"/>
                <w:kern w:val="2"/>
                <w:sz w:val="21"/>
                <w:szCs w:val="21"/>
                <w:highlight w:val="none"/>
              </w:rPr>
              <w:t>，副本可为正本的复印件，竞争性比选响应文件需装订成册；电子文件1份应提供竞争性比选响应文件（盖章版）</w:t>
            </w:r>
            <w:r>
              <w:rPr>
                <w:rFonts w:hint="eastAsia" w:hAnsi="宋体"/>
                <w:b/>
                <w:bCs/>
                <w:color w:val="auto"/>
                <w:kern w:val="2"/>
                <w:sz w:val="21"/>
                <w:szCs w:val="21"/>
                <w:highlight w:val="none"/>
              </w:rPr>
              <w:t>扫描件PDF格式和excel版本报价清单</w:t>
            </w:r>
            <w:r>
              <w:rPr>
                <w:rFonts w:hint="eastAsia" w:hAnsi="宋体"/>
                <w:color w:val="auto"/>
                <w:kern w:val="2"/>
                <w:sz w:val="21"/>
                <w:szCs w:val="21"/>
                <w:highlight w:val="none"/>
              </w:rPr>
              <w:t>（U盘1份，电子文件内容须包括竞争性比选响应文件全部内容）。当电子文件与纸质版竞争性比选响应文件不一致时，以纸质版竞争性比选响应文件为准，当正本与副本不一致时，以正本为准。</w:t>
            </w:r>
          </w:p>
          <w:p w14:paraId="644CFBC7">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2.竞争性比选响应声明书、报价函、法定代表人身份证明和法定代表人授权委托书、资格要求材料、承诺书、报价人认为需要提供的其他相关文件，根据第八章竞争性比选响应文件格式编制。（</w:t>
            </w:r>
            <w:r>
              <w:rPr>
                <w:rFonts w:hint="eastAsia" w:hAnsi="宋体"/>
                <w:b/>
                <w:bCs/>
                <w:color w:val="auto"/>
                <w:kern w:val="2"/>
                <w:sz w:val="21"/>
                <w:szCs w:val="21"/>
                <w:highlight w:val="none"/>
              </w:rPr>
              <w:t>注：以上所有文件均须逐页加盖报价人的公章</w:t>
            </w:r>
            <w:r>
              <w:rPr>
                <w:rFonts w:hint="eastAsia" w:hAnsi="宋体"/>
                <w:color w:val="auto"/>
                <w:kern w:val="2"/>
                <w:sz w:val="21"/>
                <w:szCs w:val="21"/>
                <w:highlight w:val="none"/>
              </w:rPr>
              <w:t>）。</w:t>
            </w:r>
          </w:p>
          <w:p w14:paraId="3D97C7A4">
            <w:pPr>
              <w:pStyle w:val="152"/>
              <w:spacing w:line="400" w:lineRule="exact"/>
              <w:ind w:firstLine="422" w:firstLineChars="200"/>
              <w:rPr>
                <w:rFonts w:hAnsi="宋体"/>
                <w:b/>
                <w:bCs/>
                <w:color w:val="auto"/>
                <w:kern w:val="2"/>
                <w:sz w:val="21"/>
                <w:szCs w:val="21"/>
                <w:highlight w:val="none"/>
              </w:rPr>
            </w:pPr>
            <w:r>
              <w:rPr>
                <w:rFonts w:hint="eastAsia" w:hAnsi="宋体"/>
                <w:b/>
                <w:bCs/>
                <w:color w:val="auto"/>
                <w:kern w:val="2"/>
                <w:sz w:val="21"/>
                <w:szCs w:val="21"/>
                <w:highlight w:val="none"/>
              </w:rPr>
              <w:t>3.密封要求：</w:t>
            </w:r>
          </w:p>
          <w:p w14:paraId="236DEBFB">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14:paraId="7844F6FE">
            <w:pPr>
              <w:pStyle w:val="152"/>
              <w:spacing w:line="400" w:lineRule="exact"/>
              <w:ind w:firstLine="420" w:firstLineChars="200"/>
              <w:rPr>
                <w:rFonts w:hAnsi="宋体"/>
                <w:color w:val="auto"/>
                <w:kern w:val="2"/>
                <w:sz w:val="21"/>
                <w:szCs w:val="21"/>
                <w:highlight w:val="none"/>
              </w:rPr>
            </w:pPr>
            <w:r>
              <w:rPr>
                <w:rFonts w:hint="eastAsia" w:hAnsi="宋体"/>
                <w:color w:val="auto"/>
                <w:kern w:val="2"/>
                <w:sz w:val="21"/>
                <w:szCs w:val="21"/>
                <w:highlight w:val="none"/>
                <w:u w:val="single"/>
              </w:rPr>
              <w:t>******</w:t>
            </w:r>
            <w:r>
              <w:rPr>
                <w:rFonts w:hint="eastAsia" w:hAnsi="宋体"/>
                <w:color w:val="auto"/>
                <w:kern w:val="2"/>
                <w:sz w:val="21"/>
                <w:szCs w:val="21"/>
                <w:highlight w:val="none"/>
              </w:rPr>
              <w:t>（项目名称）竞争性比选响应文件（加盖报价人的公章）</w:t>
            </w:r>
          </w:p>
          <w:p w14:paraId="0AC1BC33">
            <w:pPr>
              <w:pStyle w:val="152"/>
              <w:spacing w:line="360" w:lineRule="exact"/>
              <w:ind w:firstLine="420" w:firstLineChars="200"/>
              <w:jc w:val="both"/>
              <w:rPr>
                <w:rFonts w:hAnsi="宋体"/>
                <w:color w:val="auto"/>
                <w:kern w:val="2"/>
                <w:sz w:val="21"/>
                <w:szCs w:val="21"/>
                <w:highlight w:val="none"/>
              </w:rPr>
            </w:pPr>
            <w:r>
              <w:rPr>
                <w:rFonts w:hint="eastAsia" w:hAnsi="宋体"/>
                <w:color w:val="auto"/>
                <w:kern w:val="2"/>
                <w:sz w:val="21"/>
                <w:szCs w:val="21"/>
                <w:highlight w:val="none"/>
              </w:rPr>
              <w:t>在</w:t>
            </w:r>
            <w:r>
              <w:rPr>
                <w:rFonts w:hint="eastAsia" w:hAnsi="宋体"/>
                <w:color w:val="auto"/>
                <w:kern w:val="2"/>
                <w:sz w:val="21"/>
                <w:szCs w:val="21"/>
                <w:highlight w:val="none"/>
                <w:u w:val="single"/>
              </w:rPr>
              <w:t xml:space="preserve"> </w:t>
            </w:r>
            <w:r>
              <w:rPr>
                <w:rFonts w:hint="eastAsia" w:hAnsi="宋体"/>
                <w:color w:val="auto"/>
                <w:sz w:val="21"/>
                <w:szCs w:val="18"/>
                <w:highlight w:val="none"/>
                <w:u w:val="single"/>
              </w:rPr>
              <w:t>202</w:t>
            </w:r>
            <w:r>
              <w:rPr>
                <w:rFonts w:hint="eastAsia" w:hAnsi="宋体"/>
                <w:color w:val="auto"/>
                <w:sz w:val="21"/>
                <w:szCs w:val="18"/>
                <w:highlight w:val="none"/>
                <w:u w:val="single"/>
                <w:lang w:val="en-US" w:eastAsia="zh-CN"/>
              </w:rPr>
              <w:t>5</w:t>
            </w:r>
            <w:r>
              <w:rPr>
                <w:rFonts w:hint="eastAsia" w:hAnsi="宋体"/>
                <w:color w:val="auto"/>
                <w:sz w:val="21"/>
                <w:szCs w:val="18"/>
                <w:highlight w:val="none"/>
                <w:u w:val="single"/>
              </w:rPr>
              <w:t xml:space="preserve"> </w:t>
            </w:r>
            <w:r>
              <w:rPr>
                <w:rFonts w:hint="eastAsia" w:hAnsi="宋体"/>
                <w:color w:val="auto"/>
                <w:sz w:val="21"/>
                <w:szCs w:val="18"/>
                <w:highlight w:val="none"/>
              </w:rPr>
              <w:t>年</w:t>
            </w:r>
            <w:r>
              <w:rPr>
                <w:rFonts w:hint="eastAsia" w:hAnsi="宋体"/>
                <w:color w:val="auto"/>
                <w:sz w:val="21"/>
                <w:szCs w:val="18"/>
                <w:highlight w:val="none"/>
                <w:u w:val="single"/>
              </w:rPr>
              <w:t xml:space="preserve"> </w:t>
            </w:r>
            <w:r>
              <w:rPr>
                <w:rFonts w:hint="eastAsia" w:hAnsi="宋体"/>
                <w:color w:val="auto"/>
                <w:sz w:val="21"/>
                <w:szCs w:val="18"/>
                <w:highlight w:val="none"/>
                <w:u w:val="single"/>
                <w:lang w:val="en-US" w:eastAsia="zh-CN"/>
              </w:rPr>
              <w:t>01</w:t>
            </w:r>
            <w:r>
              <w:rPr>
                <w:rFonts w:hint="eastAsia" w:hAnsi="宋体"/>
                <w:color w:val="auto"/>
                <w:sz w:val="21"/>
                <w:szCs w:val="18"/>
                <w:highlight w:val="none"/>
                <w:u w:val="single"/>
              </w:rPr>
              <w:t xml:space="preserve"> </w:t>
            </w:r>
            <w:r>
              <w:rPr>
                <w:rFonts w:hint="eastAsia" w:hAnsi="宋体"/>
                <w:color w:val="auto"/>
                <w:sz w:val="21"/>
                <w:szCs w:val="18"/>
                <w:highlight w:val="none"/>
              </w:rPr>
              <w:t>月</w:t>
            </w:r>
            <w:r>
              <w:rPr>
                <w:rFonts w:hint="eastAsia" w:hAnsi="宋体"/>
                <w:color w:val="auto"/>
                <w:sz w:val="21"/>
                <w:szCs w:val="18"/>
                <w:highlight w:val="none"/>
                <w:u w:val="single"/>
              </w:rPr>
              <w:t xml:space="preserve"> </w:t>
            </w:r>
            <w:r>
              <w:rPr>
                <w:rFonts w:hint="eastAsia" w:hAnsi="宋体"/>
                <w:color w:val="auto"/>
                <w:sz w:val="21"/>
                <w:szCs w:val="18"/>
                <w:highlight w:val="none"/>
                <w:u w:val="single"/>
                <w:lang w:val="en-US" w:eastAsia="zh-CN"/>
              </w:rPr>
              <w:t>10</w:t>
            </w:r>
            <w:bookmarkStart w:id="908" w:name="_GoBack"/>
            <w:bookmarkEnd w:id="908"/>
            <w:r>
              <w:rPr>
                <w:rFonts w:hAnsi="宋体"/>
                <w:color w:val="auto"/>
                <w:sz w:val="21"/>
                <w:szCs w:val="18"/>
                <w:highlight w:val="none"/>
                <w:u w:val="single"/>
              </w:rPr>
              <w:t xml:space="preserve"> </w:t>
            </w:r>
            <w:r>
              <w:rPr>
                <w:rFonts w:hint="eastAsia" w:hAnsi="宋体"/>
                <w:color w:val="auto"/>
                <w:sz w:val="21"/>
                <w:szCs w:val="18"/>
                <w:highlight w:val="none"/>
              </w:rPr>
              <w:t>日上</w:t>
            </w:r>
            <w:r>
              <w:rPr>
                <w:rFonts w:hint="eastAsia" w:hAnsi="宋体"/>
                <w:color w:val="auto"/>
                <w:kern w:val="2"/>
                <w:sz w:val="21"/>
                <w:szCs w:val="21"/>
                <w:highlight w:val="none"/>
              </w:rPr>
              <w:t>午1</w:t>
            </w:r>
            <w:r>
              <w:rPr>
                <w:rFonts w:hint="eastAsia" w:hAnsi="宋体"/>
                <w:color w:val="auto"/>
                <w:kern w:val="2"/>
                <w:sz w:val="21"/>
                <w:szCs w:val="21"/>
                <w:highlight w:val="none"/>
                <w:lang w:val="en-US" w:eastAsia="zh-CN"/>
              </w:rPr>
              <w:t>0</w:t>
            </w:r>
            <w:r>
              <w:rPr>
                <w:rFonts w:hint="eastAsia" w:hAnsi="宋体"/>
                <w:color w:val="auto"/>
                <w:kern w:val="2"/>
                <w:sz w:val="21"/>
                <w:szCs w:val="21"/>
                <w:highlight w:val="none"/>
              </w:rPr>
              <w:t>：00（同报价截止时间）前不得开启。</w:t>
            </w:r>
          </w:p>
        </w:tc>
      </w:tr>
      <w:tr w14:paraId="0AAA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69DD70C8">
            <w:pPr>
              <w:pStyle w:val="152"/>
              <w:spacing w:line="360" w:lineRule="exact"/>
              <w:jc w:val="center"/>
              <w:rPr>
                <w:rFonts w:hAnsi="宋体"/>
                <w:color w:val="auto"/>
                <w:sz w:val="21"/>
                <w:szCs w:val="21"/>
                <w:highlight w:val="none"/>
              </w:rPr>
            </w:pPr>
            <w:r>
              <w:rPr>
                <w:rFonts w:hint="eastAsia" w:hAnsi="宋体"/>
                <w:color w:val="auto"/>
                <w:sz w:val="21"/>
                <w:szCs w:val="21"/>
                <w:highlight w:val="none"/>
              </w:rPr>
              <w:t>23</w:t>
            </w:r>
          </w:p>
        </w:tc>
        <w:tc>
          <w:tcPr>
            <w:tcW w:w="2106" w:type="dxa"/>
            <w:vAlign w:val="center"/>
          </w:tcPr>
          <w:p w14:paraId="7AB6307E">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中标候选人公示</w:t>
            </w:r>
          </w:p>
        </w:tc>
        <w:tc>
          <w:tcPr>
            <w:tcW w:w="7104" w:type="dxa"/>
            <w:vAlign w:val="center"/>
          </w:tcPr>
          <w:p w14:paraId="1744F0D4">
            <w:pPr>
              <w:wordWrap w:val="0"/>
              <w:spacing w:line="36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评标结果将在</w:t>
            </w:r>
            <w:r>
              <w:rPr>
                <w:rFonts w:hint="eastAsia" w:ascii="宋体" w:hAnsi="宋体"/>
                <w:color w:val="auto"/>
                <w:szCs w:val="21"/>
                <w:highlight w:val="none"/>
              </w:rPr>
              <w:t>重庆高速集团官网（http://www.cegc.com.cn/）</w:t>
            </w:r>
            <w:r>
              <w:rPr>
                <w:rFonts w:hint="eastAsia" w:ascii="宋体" w:hAnsi="宋体" w:cs="宋体"/>
                <w:color w:val="auto"/>
                <w:szCs w:val="21"/>
                <w:highlight w:val="none"/>
              </w:rPr>
              <w:t>上进行公示，公示期为3日。公示内容包括中标候选人名称、排序、投标报价；提出异议、投诉的渠道和方式。</w:t>
            </w:r>
          </w:p>
        </w:tc>
      </w:tr>
      <w:tr w14:paraId="396E5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07D35A7E">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24</w:t>
            </w:r>
          </w:p>
        </w:tc>
        <w:tc>
          <w:tcPr>
            <w:tcW w:w="9210" w:type="dxa"/>
            <w:gridSpan w:val="2"/>
            <w:vAlign w:val="center"/>
          </w:tcPr>
          <w:p w14:paraId="66056FF9">
            <w:pPr>
              <w:pStyle w:val="152"/>
              <w:spacing w:line="360" w:lineRule="exact"/>
              <w:ind w:firstLine="422" w:firstLineChars="200"/>
              <w:jc w:val="center"/>
              <w:rPr>
                <w:rFonts w:hAnsi="宋体"/>
                <w:color w:val="auto"/>
                <w:kern w:val="2"/>
                <w:sz w:val="21"/>
                <w:szCs w:val="21"/>
                <w:highlight w:val="none"/>
              </w:rPr>
            </w:pPr>
            <w:r>
              <w:rPr>
                <w:rFonts w:hint="eastAsia" w:hAnsi="宋体"/>
                <w:b/>
                <w:bCs/>
                <w:color w:val="auto"/>
                <w:sz w:val="21"/>
                <w:szCs w:val="21"/>
                <w:highlight w:val="none"/>
              </w:rPr>
              <w:t>需要补充的其他内容</w:t>
            </w:r>
          </w:p>
        </w:tc>
      </w:tr>
      <w:tr w14:paraId="4F849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97" w:type="dxa"/>
            <w:vAlign w:val="center"/>
          </w:tcPr>
          <w:p w14:paraId="225E1529">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24.1</w:t>
            </w:r>
          </w:p>
        </w:tc>
        <w:tc>
          <w:tcPr>
            <w:tcW w:w="9210" w:type="dxa"/>
            <w:gridSpan w:val="2"/>
            <w:vAlign w:val="center"/>
          </w:tcPr>
          <w:p w14:paraId="365EA2FE">
            <w:pPr>
              <w:pStyle w:val="152"/>
              <w:spacing w:line="360" w:lineRule="exact"/>
              <w:ind w:firstLine="420" w:firstLineChars="200"/>
              <w:jc w:val="both"/>
              <w:rPr>
                <w:rFonts w:hAnsi="宋体"/>
                <w:b/>
                <w:bCs/>
                <w:color w:val="auto"/>
                <w:sz w:val="21"/>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66054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34CB36F3">
            <w:pPr>
              <w:pStyle w:val="152"/>
              <w:spacing w:line="360" w:lineRule="exact"/>
              <w:jc w:val="center"/>
              <w:rPr>
                <w:rFonts w:hAnsi="宋体"/>
                <w:color w:val="auto"/>
                <w:kern w:val="2"/>
                <w:sz w:val="21"/>
                <w:szCs w:val="21"/>
                <w:highlight w:val="none"/>
              </w:rPr>
            </w:pPr>
            <w:bookmarkStart w:id="141" w:name="OLE_LINK17" w:colFirst="0" w:colLast="1"/>
            <w:r>
              <w:rPr>
                <w:rFonts w:hint="eastAsia" w:hAnsi="宋体"/>
                <w:color w:val="auto"/>
                <w:kern w:val="2"/>
                <w:sz w:val="21"/>
                <w:szCs w:val="21"/>
                <w:highlight w:val="none"/>
              </w:rPr>
              <w:t>24.2</w:t>
            </w:r>
          </w:p>
        </w:tc>
        <w:tc>
          <w:tcPr>
            <w:tcW w:w="9210" w:type="dxa"/>
            <w:gridSpan w:val="2"/>
            <w:vAlign w:val="center"/>
          </w:tcPr>
          <w:p w14:paraId="63F015B1">
            <w:pPr>
              <w:pStyle w:val="152"/>
              <w:spacing w:line="360" w:lineRule="exact"/>
              <w:ind w:firstLine="420" w:firstLineChars="200"/>
              <w:jc w:val="both"/>
              <w:rPr>
                <w:rFonts w:hAnsi="宋体"/>
                <w:b/>
                <w:bCs/>
                <w:color w:val="auto"/>
                <w:sz w:val="21"/>
                <w:szCs w:val="21"/>
                <w:highlight w:val="none"/>
              </w:rPr>
            </w:pPr>
            <w:r>
              <w:rPr>
                <w:rFonts w:hint="eastAsia" w:hAnsi="宋体"/>
                <w:color w:val="auto"/>
                <w:sz w:val="21"/>
                <w:szCs w:val="21"/>
                <w:highlight w:val="none"/>
              </w:rPr>
              <w:t>如中标人提供的服务无法满足本项目需求</w:t>
            </w:r>
            <w:bookmarkStart w:id="142" w:name="OLE_LINK16"/>
            <w:r>
              <w:rPr>
                <w:rFonts w:hint="eastAsia" w:hAnsi="宋体"/>
                <w:color w:val="auto"/>
                <w:sz w:val="21"/>
                <w:szCs w:val="21"/>
                <w:highlight w:val="none"/>
              </w:rPr>
              <w:t>的，采购人有权终止合同，并扣除合同</w:t>
            </w:r>
            <w:bookmarkEnd w:id="142"/>
            <w:r>
              <w:rPr>
                <w:rFonts w:hint="eastAsia" w:hAnsi="宋体"/>
                <w:color w:val="auto"/>
                <w:sz w:val="21"/>
                <w:szCs w:val="21"/>
                <w:highlight w:val="none"/>
              </w:rPr>
              <w:t>总金额的5%。</w:t>
            </w:r>
          </w:p>
        </w:tc>
      </w:tr>
      <w:bookmarkEnd w:id="141"/>
      <w:tr w14:paraId="1B81D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97" w:type="dxa"/>
            <w:vAlign w:val="center"/>
          </w:tcPr>
          <w:p w14:paraId="65C98D3D">
            <w:pPr>
              <w:pStyle w:val="152"/>
              <w:spacing w:line="360" w:lineRule="exact"/>
              <w:jc w:val="center"/>
              <w:rPr>
                <w:rFonts w:hAnsi="宋体"/>
                <w:color w:val="auto"/>
                <w:kern w:val="2"/>
                <w:sz w:val="21"/>
                <w:szCs w:val="21"/>
                <w:highlight w:val="none"/>
              </w:rPr>
            </w:pPr>
            <w:r>
              <w:rPr>
                <w:rFonts w:hint="eastAsia" w:hAnsi="宋体"/>
                <w:color w:val="auto"/>
                <w:kern w:val="2"/>
                <w:sz w:val="21"/>
                <w:szCs w:val="21"/>
                <w:highlight w:val="none"/>
              </w:rPr>
              <w:t>24.3</w:t>
            </w:r>
          </w:p>
        </w:tc>
        <w:tc>
          <w:tcPr>
            <w:tcW w:w="9210" w:type="dxa"/>
            <w:gridSpan w:val="2"/>
            <w:vAlign w:val="center"/>
          </w:tcPr>
          <w:p w14:paraId="22CFA749">
            <w:pPr>
              <w:pStyle w:val="152"/>
              <w:spacing w:line="360" w:lineRule="exact"/>
              <w:ind w:firstLine="420" w:firstLineChars="200"/>
              <w:jc w:val="both"/>
              <w:rPr>
                <w:rFonts w:hAnsi="宋体"/>
                <w:color w:val="auto"/>
                <w:sz w:val="21"/>
                <w:szCs w:val="21"/>
                <w:highlight w:val="none"/>
              </w:rPr>
            </w:pPr>
            <w:r>
              <w:rPr>
                <w:rFonts w:hint="eastAsia" w:hAnsi="宋体"/>
                <w:color w:val="auto"/>
                <w:sz w:val="21"/>
                <w:szCs w:val="21"/>
                <w:highlight w:val="none"/>
              </w:rPr>
              <w:t>需提供投标保证金银行回执。</w:t>
            </w:r>
          </w:p>
        </w:tc>
      </w:tr>
      <w:bookmarkEnd w:id="133"/>
    </w:tbl>
    <w:p w14:paraId="6234DD30">
      <w:pPr>
        <w:pStyle w:val="4"/>
        <w:widowControl/>
        <w:spacing w:before="0" w:after="0" w:line="300" w:lineRule="exact"/>
        <w:rPr>
          <w:rFonts w:ascii="黑体" w:hAnsi="宋体" w:cs="黑体"/>
          <w:color w:val="auto"/>
          <w:sz w:val="21"/>
          <w:szCs w:val="21"/>
          <w:highlight w:val="none"/>
        </w:rPr>
      </w:pPr>
      <w:r>
        <w:rPr>
          <w:rFonts w:hint="eastAsia" w:ascii="黑体" w:hAnsi="宋体" w:cs="黑体"/>
          <w:color w:val="auto"/>
          <w:sz w:val="21"/>
          <w:szCs w:val="21"/>
          <w:highlight w:val="none"/>
        </w:rPr>
        <w:t>报价人须知正文部分：</w:t>
      </w:r>
    </w:p>
    <w:p w14:paraId="786BBFFF">
      <w:pPr>
        <w:pStyle w:val="4"/>
        <w:widowControl/>
        <w:spacing w:before="0" w:after="0" w:line="300" w:lineRule="exact"/>
        <w:rPr>
          <w:rFonts w:ascii="宋体" w:hAnsi="宋体"/>
          <w:color w:val="auto"/>
          <w:sz w:val="21"/>
          <w:szCs w:val="21"/>
          <w:highlight w:val="none"/>
        </w:rPr>
      </w:pPr>
      <w:bookmarkStart w:id="143" w:name="_Toc5673"/>
      <w:bookmarkEnd w:id="143"/>
      <w:bookmarkStart w:id="144" w:name="_Toc17808"/>
      <w:bookmarkEnd w:id="144"/>
      <w:bookmarkStart w:id="145" w:name="_Toc9035"/>
      <w:bookmarkEnd w:id="145"/>
      <w:bookmarkStart w:id="146" w:name="_Toc28401"/>
      <w:bookmarkStart w:id="147" w:name="_Toc26326763"/>
      <w:r>
        <w:rPr>
          <w:rFonts w:hint="eastAsia" w:ascii="黑体" w:hAnsi="宋体" w:cs="黑体"/>
          <w:color w:val="auto"/>
          <w:sz w:val="21"/>
          <w:szCs w:val="21"/>
          <w:highlight w:val="none"/>
        </w:rPr>
        <w:t xml:space="preserve">1.  </w:t>
      </w:r>
      <w:bookmarkEnd w:id="146"/>
      <w:r>
        <w:rPr>
          <w:rFonts w:hint="eastAsia" w:ascii="黑体" w:hAnsi="宋体" w:cs="黑体"/>
          <w:color w:val="auto"/>
          <w:sz w:val="21"/>
          <w:szCs w:val="21"/>
          <w:highlight w:val="none"/>
        </w:rPr>
        <w:t>总则</w:t>
      </w:r>
      <w:bookmarkEnd w:id="147"/>
    </w:p>
    <w:p w14:paraId="52069B1F">
      <w:pPr>
        <w:pStyle w:val="5"/>
        <w:widowControl/>
        <w:spacing w:before="0" w:after="0" w:line="300" w:lineRule="exact"/>
        <w:rPr>
          <w:rFonts w:ascii="宋体" w:hAnsi="宋体"/>
          <w:color w:val="auto"/>
          <w:kern w:val="2"/>
          <w:sz w:val="21"/>
          <w:szCs w:val="21"/>
          <w:highlight w:val="none"/>
        </w:rPr>
      </w:pPr>
      <w:bookmarkStart w:id="148" w:name="_Toc4661907"/>
      <w:bookmarkEnd w:id="148"/>
      <w:bookmarkStart w:id="149" w:name="_Toc4661671"/>
      <w:bookmarkEnd w:id="149"/>
      <w:bookmarkStart w:id="150" w:name="_Toc11657"/>
      <w:bookmarkEnd w:id="150"/>
      <w:bookmarkStart w:id="151" w:name="_Toc4662143"/>
      <w:bookmarkEnd w:id="151"/>
      <w:bookmarkStart w:id="152" w:name="_Toc224103318"/>
      <w:bookmarkEnd w:id="152"/>
      <w:bookmarkStart w:id="153" w:name="_Toc40455273"/>
      <w:bookmarkEnd w:id="153"/>
      <w:bookmarkStart w:id="154" w:name="_Toc40455646"/>
      <w:bookmarkEnd w:id="154"/>
      <w:bookmarkStart w:id="155" w:name="_Toc4661429"/>
      <w:bookmarkEnd w:id="155"/>
      <w:bookmarkStart w:id="156" w:name="_Toc287607747"/>
      <w:bookmarkEnd w:id="156"/>
      <w:bookmarkStart w:id="157" w:name="_Toc200513127"/>
      <w:bookmarkEnd w:id="157"/>
      <w:bookmarkStart w:id="158" w:name="_Toc277082553"/>
      <w:bookmarkEnd w:id="158"/>
      <w:bookmarkStart w:id="159" w:name="_Toc40780255"/>
      <w:r>
        <w:rPr>
          <w:rFonts w:hint="eastAsia" w:ascii="宋体" w:hAnsi="宋体"/>
          <w:color w:val="auto"/>
          <w:kern w:val="2"/>
          <w:sz w:val="21"/>
          <w:szCs w:val="21"/>
          <w:highlight w:val="none"/>
        </w:rPr>
        <w:t xml:space="preserve">1.1  </w:t>
      </w:r>
      <w:bookmarkEnd w:id="159"/>
      <w:r>
        <w:rPr>
          <w:rFonts w:hint="eastAsia" w:ascii="宋体" w:hAnsi="宋体" w:cs="宋体"/>
          <w:color w:val="auto"/>
          <w:kern w:val="2"/>
          <w:sz w:val="21"/>
          <w:szCs w:val="21"/>
          <w:highlight w:val="none"/>
        </w:rPr>
        <w:t>项目概况</w:t>
      </w:r>
    </w:p>
    <w:p w14:paraId="2FCC8D30">
      <w:pPr>
        <w:autoSpaceDE w:val="0"/>
        <w:autoSpaceDN w:val="0"/>
        <w:adjustRightInd w:val="0"/>
        <w:spacing w:line="300" w:lineRule="exact"/>
        <w:ind w:firstLine="354" w:firstLineChars="169"/>
        <w:jc w:val="left"/>
        <w:rPr>
          <w:rFonts w:ascii="宋体" w:hAnsi="宋体" w:cs="Calibri"/>
          <w:color w:val="auto"/>
          <w:kern w:val="0"/>
          <w:szCs w:val="21"/>
          <w:highlight w:val="none"/>
        </w:rPr>
      </w:pPr>
      <w:r>
        <w:rPr>
          <w:rFonts w:hint="eastAsia" w:ascii="宋体" w:hAnsi="宋体" w:cs="Calibri"/>
          <w:color w:val="auto"/>
          <w:kern w:val="0"/>
          <w:szCs w:val="21"/>
          <w:highlight w:val="none"/>
          <w:lang w:bidi="ar"/>
        </w:rPr>
        <w:t xml:space="preserve">1.1.1  </w:t>
      </w:r>
      <w:r>
        <w:rPr>
          <w:rFonts w:hint="eastAsia" w:ascii="宋体" w:hAnsi="宋体" w:cs="宋体"/>
          <w:color w:val="auto"/>
          <w:kern w:val="0"/>
          <w:szCs w:val="21"/>
          <w:highlight w:val="none"/>
          <w:lang w:bidi="ar"/>
        </w:rPr>
        <w:t>根据国家有关法律、法规和规章的规定，本竞争性比选项目已具备竞争性比选条件，现对本项目进行竞争性比选。</w:t>
      </w:r>
    </w:p>
    <w:p w14:paraId="14CB1369">
      <w:pPr>
        <w:autoSpaceDE w:val="0"/>
        <w:autoSpaceDN w:val="0"/>
        <w:adjustRightInd w:val="0"/>
        <w:spacing w:line="300" w:lineRule="exact"/>
        <w:ind w:firstLine="354" w:firstLineChars="169"/>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1.1.2  </w:t>
      </w:r>
      <w:r>
        <w:rPr>
          <w:rFonts w:hint="eastAsia" w:ascii="宋体" w:hAnsi="宋体" w:cs="宋体"/>
          <w:color w:val="auto"/>
          <w:kern w:val="0"/>
          <w:szCs w:val="21"/>
          <w:highlight w:val="none"/>
          <w:lang w:bidi="ar"/>
        </w:rPr>
        <w:t>本竞争性比选项目采购人：见报价人须知前附表。</w:t>
      </w:r>
    </w:p>
    <w:p w14:paraId="77D67F12">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1.1.3 </w:t>
      </w:r>
      <w:r>
        <w:rPr>
          <w:rFonts w:ascii="宋体" w:hAnsi="宋体" w:cs="Calibri"/>
          <w:color w:val="auto"/>
          <w:kern w:val="0"/>
          <w:szCs w:val="21"/>
          <w:highlight w:val="none"/>
          <w:lang w:bidi="ar"/>
        </w:rPr>
        <w:t xml:space="preserve"> </w:t>
      </w:r>
      <w:r>
        <w:rPr>
          <w:rFonts w:hint="eastAsia" w:ascii="宋体" w:hAnsi="宋体" w:cs="宋体"/>
          <w:color w:val="auto"/>
          <w:kern w:val="0"/>
          <w:szCs w:val="21"/>
          <w:highlight w:val="none"/>
          <w:lang w:bidi="ar"/>
        </w:rPr>
        <w:t>本竞争性比选项目名称：见报价人须知前附表。</w:t>
      </w:r>
    </w:p>
    <w:p w14:paraId="7ADE6199">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1.1.4  </w:t>
      </w:r>
      <w:r>
        <w:rPr>
          <w:rFonts w:hint="eastAsia" w:ascii="宋体" w:hAnsi="宋体" w:cs="宋体"/>
          <w:color w:val="auto"/>
          <w:kern w:val="0"/>
          <w:szCs w:val="21"/>
          <w:highlight w:val="none"/>
          <w:lang w:bidi="ar"/>
        </w:rPr>
        <w:t>本项目建设地点：见报价人须知前附表。</w:t>
      </w:r>
    </w:p>
    <w:p w14:paraId="2513FCB4">
      <w:pPr>
        <w:pStyle w:val="5"/>
        <w:widowControl/>
        <w:spacing w:before="0" w:after="0" w:line="300" w:lineRule="exact"/>
        <w:rPr>
          <w:rFonts w:ascii="宋体" w:hAnsi="宋体"/>
          <w:color w:val="auto"/>
          <w:kern w:val="2"/>
          <w:sz w:val="21"/>
          <w:szCs w:val="21"/>
          <w:highlight w:val="none"/>
        </w:rPr>
      </w:pPr>
      <w:bookmarkStart w:id="160" w:name="_Toc21776"/>
      <w:bookmarkEnd w:id="160"/>
      <w:bookmarkStart w:id="161" w:name="_Toc4661908"/>
      <w:bookmarkEnd w:id="161"/>
      <w:bookmarkStart w:id="162" w:name="_Toc40455274"/>
      <w:bookmarkEnd w:id="162"/>
      <w:bookmarkStart w:id="163" w:name="_Toc287607748"/>
      <w:bookmarkEnd w:id="163"/>
      <w:bookmarkStart w:id="164" w:name="_Toc4661672"/>
      <w:bookmarkEnd w:id="164"/>
      <w:bookmarkStart w:id="165" w:name="_Toc224103319"/>
      <w:bookmarkEnd w:id="165"/>
      <w:bookmarkStart w:id="166" w:name="_Toc200513128"/>
      <w:bookmarkEnd w:id="166"/>
      <w:bookmarkStart w:id="167" w:name="_Toc4661430"/>
      <w:bookmarkEnd w:id="167"/>
      <w:bookmarkStart w:id="168" w:name="_Toc40780256"/>
      <w:bookmarkEnd w:id="168"/>
      <w:bookmarkStart w:id="169" w:name="_Toc40455647"/>
      <w:bookmarkEnd w:id="169"/>
      <w:bookmarkStart w:id="170" w:name="_Toc4662144"/>
      <w:bookmarkEnd w:id="170"/>
      <w:bookmarkStart w:id="171" w:name="_Toc277082554"/>
      <w:r>
        <w:rPr>
          <w:rFonts w:hint="eastAsia" w:ascii="宋体" w:hAnsi="宋体"/>
          <w:color w:val="auto"/>
          <w:kern w:val="2"/>
          <w:sz w:val="21"/>
          <w:szCs w:val="21"/>
          <w:highlight w:val="none"/>
        </w:rPr>
        <w:t xml:space="preserve">1.2  </w:t>
      </w:r>
      <w:bookmarkEnd w:id="171"/>
      <w:r>
        <w:rPr>
          <w:rFonts w:hint="eastAsia" w:ascii="宋体" w:hAnsi="宋体" w:cs="宋体"/>
          <w:color w:val="auto"/>
          <w:kern w:val="2"/>
          <w:sz w:val="21"/>
          <w:szCs w:val="21"/>
          <w:highlight w:val="none"/>
        </w:rPr>
        <w:t>竞争性比选范围、工期和质量要求</w:t>
      </w:r>
    </w:p>
    <w:p w14:paraId="7D117E8B">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1.3.1  </w:t>
      </w:r>
      <w:r>
        <w:rPr>
          <w:rFonts w:hint="eastAsia" w:ascii="宋体" w:hAnsi="宋体" w:cs="宋体"/>
          <w:color w:val="auto"/>
          <w:kern w:val="0"/>
          <w:szCs w:val="21"/>
          <w:highlight w:val="none"/>
          <w:lang w:bidi="ar"/>
        </w:rPr>
        <w:t>本次竞争性比选范围：见报价人须知前附表。</w:t>
      </w:r>
    </w:p>
    <w:p w14:paraId="5DFAE71E">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1.3.2  </w:t>
      </w:r>
      <w:r>
        <w:rPr>
          <w:rFonts w:hint="eastAsia" w:ascii="宋体" w:hAnsi="宋体" w:cs="宋体"/>
          <w:color w:val="auto"/>
          <w:kern w:val="0"/>
          <w:szCs w:val="21"/>
          <w:highlight w:val="none"/>
          <w:lang w:bidi="ar"/>
        </w:rPr>
        <w:t>本项目的计划工期：见报价人须知前附表。</w:t>
      </w:r>
    </w:p>
    <w:p w14:paraId="18454FB6">
      <w:pPr>
        <w:autoSpaceDE w:val="0"/>
        <w:autoSpaceDN w:val="0"/>
        <w:adjustRightInd w:val="0"/>
        <w:spacing w:line="300" w:lineRule="exact"/>
        <w:ind w:left="359" w:leftChars="171"/>
        <w:jc w:val="left"/>
        <w:rPr>
          <w:rFonts w:ascii="宋体" w:hAnsi="宋体" w:cs="宋体"/>
          <w:color w:val="auto"/>
          <w:kern w:val="0"/>
          <w:szCs w:val="21"/>
          <w:highlight w:val="none"/>
          <w:lang w:bidi="ar"/>
        </w:rPr>
      </w:pPr>
      <w:r>
        <w:rPr>
          <w:rFonts w:hint="eastAsia" w:ascii="宋体" w:hAnsi="宋体" w:cs="Calibri"/>
          <w:color w:val="auto"/>
          <w:kern w:val="0"/>
          <w:szCs w:val="21"/>
          <w:highlight w:val="none"/>
          <w:lang w:bidi="ar"/>
        </w:rPr>
        <w:t xml:space="preserve">1.3.3  </w:t>
      </w:r>
      <w:r>
        <w:rPr>
          <w:rFonts w:hint="eastAsia" w:ascii="宋体" w:hAnsi="宋体" w:cs="宋体"/>
          <w:color w:val="auto"/>
          <w:kern w:val="0"/>
          <w:szCs w:val="21"/>
          <w:highlight w:val="none"/>
          <w:lang w:bidi="ar"/>
        </w:rPr>
        <w:t>本项目的质量要求：见报价人须知前附表。</w:t>
      </w:r>
    </w:p>
    <w:p w14:paraId="5713FB12">
      <w:pPr>
        <w:autoSpaceDE w:val="0"/>
        <w:autoSpaceDN w:val="0"/>
        <w:adjustRightInd w:val="0"/>
        <w:spacing w:line="300" w:lineRule="exact"/>
        <w:ind w:left="359" w:leftChars="171"/>
        <w:jc w:val="left"/>
        <w:rPr>
          <w:color w:val="auto"/>
          <w:highlight w:val="none"/>
        </w:rPr>
      </w:pPr>
      <w:r>
        <w:rPr>
          <w:rFonts w:hint="eastAsia" w:ascii="宋体" w:hAnsi="宋体" w:cs="Calibri"/>
          <w:color w:val="auto"/>
          <w:kern w:val="0"/>
          <w:szCs w:val="21"/>
          <w:highlight w:val="none"/>
          <w:lang w:bidi="ar"/>
        </w:rPr>
        <w:t xml:space="preserve">1.3.4  </w:t>
      </w:r>
      <w:r>
        <w:rPr>
          <w:rFonts w:hint="eastAsia" w:ascii="宋体" w:hAnsi="宋体" w:cs="宋体"/>
          <w:color w:val="auto"/>
          <w:kern w:val="0"/>
          <w:szCs w:val="21"/>
          <w:highlight w:val="none"/>
          <w:lang w:bidi="ar"/>
        </w:rPr>
        <w:t>本项目的安全目标：见报价人须知前附表。</w:t>
      </w:r>
    </w:p>
    <w:p w14:paraId="4E629471">
      <w:pPr>
        <w:pStyle w:val="5"/>
        <w:widowControl/>
        <w:spacing w:before="0" w:after="0" w:line="300" w:lineRule="exact"/>
        <w:rPr>
          <w:rFonts w:ascii="宋体" w:hAnsi="宋体"/>
          <w:color w:val="auto"/>
          <w:kern w:val="2"/>
          <w:sz w:val="21"/>
          <w:szCs w:val="21"/>
          <w:highlight w:val="none"/>
        </w:rPr>
      </w:pPr>
      <w:bookmarkStart w:id="172" w:name="_Toc4661910"/>
      <w:bookmarkEnd w:id="172"/>
      <w:bookmarkStart w:id="173" w:name="_Toc287607751"/>
      <w:bookmarkEnd w:id="173"/>
      <w:bookmarkStart w:id="174" w:name="_Toc40455649"/>
      <w:bookmarkEnd w:id="174"/>
      <w:bookmarkStart w:id="175" w:name="_Toc4662146"/>
      <w:bookmarkEnd w:id="175"/>
      <w:bookmarkStart w:id="176" w:name="_Toc200513131"/>
      <w:bookmarkEnd w:id="176"/>
      <w:bookmarkStart w:id="177" w:name="_Toc4661674"/>
      <w:bookmarkEnd w:id="177"/>
      <w:bookmarkStart w:id="178" w:name="_Toc224103322"/>
      <w:bookmarkEnd w:id="178"/>
      <w:bookmarkStart w:id="179" w:name="_Toc15725"/>
      <w:bookmarkEnd w:id="179"/>
      <w:bookmarkStart w:id="180" w:name="_Toc40455276"/>
      <w:bookmarkEnd w:id="180"/>
      <w:bookmarkStart w:id="181" w:name="_Toc4661432"/>
      <w:bookmarkEnd w:id="181"/>
      <w:bookmarkStart w:id="182" w:name="_Toc40780258"/>
      <w:bookmarkEnd w:id="182"/>
      <w:bookmarkStart w:id="183" w:name="_Toc277082557"/>
      <w:r>
        <w:rPr>
          <w:rFonts w:hint="eastAsia" w:ascii="宋体" w:hAnsi="宋体"/>
          <w:color w:val="auto"/>
          <w:kern w:val="2"/>
          <w:sz w:val="21"/>
          <w:szCs w:val="21"/>
          <w:highlight w:val="none"/>
        </w:rPr>
        <w:t xml:space="preserve">1.4  </w:t>
      </w:r>
      <w:bookmarkEnd w:id="183"/>
      <w:r>
        <w:rPr>
          <w:rFonts w:hint="eastAsia" w:ascii="宋体" w:hAnsi="宋体" w:cs="宋体"/>
          <w:color w:val="auto"/>
          <w:kern w:val="2"/>
          <w:sz w:val="21"/>
          <w:szCs w:val="21"/>
          <w:highlight w:val="none"/>
        </w:rPr>
        <w:t>报价人资格要求</w:t>
      </w:r>
    </w:p>
    <w:p w14:paraId="0F7508AB">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1.4.1 </w:t>
      </w:r>
      <w:r>
        <w:rPr>
          <w:rFonts w:hint="eastAsia" w:ascii="宋体" w:hAnsi="宋体" w:cs="宋体"/>
          <w:color w:val="auto"/>
          <w:kern w:val="0"/>
          <w:szCs w:val="21"/>
          <w:highlight w:val="none"/>
          <w:lang w:bidi="ar"/>
        </w:rPr>
        <w:t>报价人应具备承担本项目的资质条件、能力和信誉。</w:t>
      </w:r>
    </w:p>
    <w:p w14:paraId="43F2E660">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w:t>
      </w:r>
      <w:r>
        <w:rPr>
          <w:rFonts w:hint="eastAsia" w:ascii="宋体" w:hAnsi="宋体" w:cs="宋体"/>
          <w:color w:val="auto"/>
          <w:szCs w:val="21"/>
          <w:highlight w:val="none"/>
          <w:lang w:bidi="ar"/>
        </w:rPr>
        <w:t>营业执照、资质要求</w:t>
      </w:r>
      <w:r>
        <w:rPr>
          <w:rFonts w:hint="eastAsia" w:ascii="宋体" w:hAnsi="宋体" w:cs="宋体"/>
          <w:color w:val="auto"/>
          <w:kern w:val="0"/>
          <w:szCs w:val="21"/>
          <w:highlight w:val="none"/>
          <w:lang w:bidi="ar"/>
        </w:rPr>
        <w:t>：见报价人须知前附表；</w:t>
      </w:r>
    </w:p>
    <w:p w14:paraId="7E8A61FF">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）业绩要求：见报价人须知前附表；</w:t>
      </w:r>
    </w:p>
    <w:p w14:paraId="055C8325">
      <w:pPr>
        <w:autoSpaceDE w:val="0"/>
        <w:autoSpaceDN w:val="0"/>
        <w:adjustRightInd w:val="0"/>
        <w:spacing w:line="300" w:lineRule="exact"/>
        <w:ind w:firstLine="357" w:firstLineChars="170"/>
        <w:jc w:val="left"/>
        <w:rPr>
          <w:rFonts w:ascii="宋体" w:hAnsi="宋体" w:cs="Calibri"/>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）项目主要人员要求：见报价人须知前附表；</w:t>
      </w:r>
    </w:p>
    <w:p w14:paraId="7D65DC3B">
      <w:pPr>
        <w:autoSpaceDE w:val="0"/>
        <w:autoSpaceDN w:val="0"/>
        <w:adjustRightInd w:val="0"/>
        <w:spacing w:line="300" w:lineRule="exact"/>
        <w:ind w:firstLine="357" w:firstLineChars="170"/>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4</w:t>
      </w:r>
      <w:r>
        <w:rPr>
          <w:rFonts w:hint="eastAsia" w:ascii="宋体" w:hAnsi="宋体" w:cs="宋体"/>
          <w:color w:val="auto"/>
          <w:kern w:val="0"/>
          <w:szCs w:val="21"/>
          <w:highlight w:val="none"/>
          <w:lang w:bidi="ar"/>
        </w:rPr>
        <w:t>）信誉要求：见报价人须知前附表。</w:t>
      </w:r>
    </w:p>
    <w:p w14:paraId="138CB3DF">
      <w:pPr>
        <w:autoSpaceDE w:val="0"/>
        <w:autoSpaceDN w:val="0"/>
        <w:adjustRightInd w:val="0"/>
        <w:spacing w:line="300" w:lineRule="exact"/>
        <w:ind w:firstLine="357" w:firstLineChars="170"/>
        <w:jc w:val="left"/>
        <w:rPr>
          <w:color w:val="auto"/>
          <w:highlight w:val="none"/>
        </w:rPr>
      </w:pPr>
      <w:r>
        <w:rPr>
          <w:rFonts w:hint="eastAsia" w:ascii="宋体" w:hAnsi="宋体" w:cs="宋体"/>
          <w:color w:val="auto"/>
          <w:kern w:val="0"/>
          <w:szCs w:val="21"/>
          <w:highlight w:val="none"/>
          <w:lang w:bidi="ar"/>
        </w:rPr>
        <w:t>（</w:t>
      </w:r>
      <w:r>
        <w:rPr>
          <w:rFonts w:ascii="宋体" w:hAnsi="宋体" w:cs="宋体"/>
          <w:color w:val="auto"/>
          <w:kern w:val="0"/>
          <w:szCs w:val="21"/>
          <w:highlight w:val="none"/>
          <w:lang w:bidi="ar"/>
        </w:rPr>
        <w:t>5</w:t>
      </w:r>
      <w:r>
        <w:rPr>
          <w:rFonts w:hint="eastAsia" w:ascii="宋体" w:hAnsi="宋体" w:cs="宋体"/>
          <w:color w:val="auto"/>
          <w:kern w:val="0"/>
          <w:szCs w:val="21"/>
          <w:highlight w:val="none"/>
          <w:lang w:bidi="ar"/>
        </w:rPr>
        <w:t>）其他要求：见报价人须知前附表。</w:t>
      </w:r>
    </w:p>
    <w:p w14:paraId="0E660DC3">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1.4.2  </w:t>
      </w:r>
      <w:r>
        <w:rPr>
          <w:rFonts w:hint="eastAsia" w:ascii="宋体" w:hAnsi="宋体" w:cs="宋体"/>
          <w:color w:val="auto"/>
          <w:kern w:val="0"/>
          <w:szCs w:val="21"/>
          <w:highlight w:val="none"/>
          <w:lang w:bidi="ar"/>
        </w:rPr>
        <w:t>报价人须知前附表规定接受联合体投标的，除应符合本章第</w:t>
      </w:r>
      <w:r>
        <w:rPr>
          <w:rFonts w:hint="eastAsia" w:ascii="宋体" w:hAnsi="宋体" w:cs="Calibri"/>
          <w:color w:val="auto"/>
          <w:kern w:val="0"/>
          <w:szCs w:val="21"/>
          <w:highlight w:val="none"/>
          <w:lang w:bidi="ar"/>
        </w:rPr>
        <w:t>1.4.1</w:t>
      </w:r>
      <w:r>
        <w:rPr>
          <w:rFonts w:hint="eastAsia" w:ascii="宋体" w:hAnsi="宋体" w:cs="宋体"/>
          <w:color w:val="auto"/>
          <w:kern w:val="0"/>
          <w:szCs w:val="21"/>
          <w:highlight w:val="none"/>
          <w:lang w:bidi="ar"/>
        </w:rPr>
        <w:t>项和报价人须知前附表的要求外，还应遵守以下规定：</w:t>
      </w:r>
    </w:p>
    <w:p w14:paraId="3E9DC7B7">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）联合体各方应按竞争性比选文件提供的格式签订联合体协议书，明确联合体牵头人和各方权利义务；</w:t>
      </w:r>
    </w:p>
    <w:p w14:paraId="178C19E9">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）由同一专业的单位组成的联合体，按照资质等级较低的单位确定资质等级；</w:t>
      </w:r>
    </w:p>
    <w:p w14:paraId="21D2CEEA">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）联合体各方不得再以自己名义单独或参加其他联合体在同一项目中投标。</w:t>
      </w:r>
    </w:p>
    <w:p w14:paraId="3D13A640">
      <w:pPr>
        <w:autoSpaceDE w:val="0"/>
        <w:autoSpaceDN w:val="0"/>
        <w:adjustRightInd w:val="0"/>
        <w:spacing w:line="300" w:lineRule="exact"/>
        <w:ind w:firstLine="357" w:firstLineChars="17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1.4.3  </w:t>
      </w:r>
      <w:r>
        <w:rPr>
          <w:rFonts w:hint="eastAsia" w:ascii="宋体" w:hAnsi="宋体" w:cs="宋体"/>
          <w:color w:val="auto"/>
          <w:kern w:val="0"/>
          <w:szCs w:val="21"/>
          <w:highlight w:val="none"/>
          <w:lang w:bidi="ar"/>
        </w:rPr>
        <w:t>报价人不得存在下列情形之一：</w:t>
      </w:r>
    </w:p>
    <w:p w14:paraId="69A91DF5">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bookmarkStart w:id="184" w:name="_Toc40780259"/>
      <w:bookmarkEnd w:id="184"/>
      <w:bookmarkStart w:id="185" w:name="_Toc224103323"/>
      <w:bookmarkEnd w:id="185"/>
      <w:bookmarkStart w:id="186" w:name="_Toc40455650"/>
      <w:bookmarkEnd w:id="186"/>
      <w:bookmarkStart w:id="187" w:name="_Toc4661911"/>
      <w:bookmarkEnd w:id="187"/>
      <w:bookmarkStart w:id="188" w:name="_Toc4661433"/>
      <w:bookmarkEnd w:id="188"/>
      <w:bookmarkStart w:id="189" w:name="_Toc40455277"/>
      <w:bookmarkEnd w:id="189"/>
      <w:bookmarkStart w:id="190" w:name="_Toc4662147"/>
      <w:bookmarkEnd w:id="190"/>
      <w:bookmarkStart w:id="191" w:name="_Toc200513132"/>
      <w:bookmarkEnd w:id="191"/>
      <w:bookmarkStart w:id="192" w:name="_Toc277082558"/>
      <w:bookmarkEnd w:id="192"/>
      <w:bookmarkStart w:id="193" w:name="_Toc4661675"/>
      <w:bookmarkEnd w:id="193"/>
      <w:bookmarkStart w:id="194" w:name="_Toc287607752"/>
      <w:bookmarkEnd w:id="194"/>
      <w:r>
        <w:rPr>
          <w:rFonts w:hint="eastAsia" w:ascii="宋体" w:hAnsi="宋体" w:cs="MingLiU"/>
          <w:color w:val="auto"/>
          <w:kern w:val="0"/>
          <w:szCs w:val="21"/>
          <w:highlight w:val="none"/>
          <w:lang w:bidi="ar"/>
        </w:rPr>
        <w:t>与本竞争性比选项目的其他报价人为同一个单位负责人；</w:t>
      </w:r>
    </w:p>
    <w:p w14:paraId="661AE885">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与本竞争性比选项目的其他报价人存在控股、管理关系；</w:t>
      </w:r>
    </w:p>
    <w:p w14:paraId="755552F0">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被依法暂停或者取消投标资格；</w:t>
      </w:r>
    </w:p>
    <w:p w14:paraId="16156B11">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被责令停产停业、暂扣或者吊销许可证、暂扣或者吊销执照；</w:t>
      </w:r>
    </w:p>
    <w:p w14:paraId="6E3B8A78">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进入清算程序，或被宣告破产，或其他丧失履约能力的情形；</w:t>
      </w:r>
    </w:p>
    <w:p w14:paraId="2EC791EB">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在最近三年内发生重大产品质量问题；</w:t>
      </w:r>
    </w:p>
    <w:p w14:paraId="33076B4A">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被工商行政管理机关在全国企业信用信息公示系统中列入严重违法失信企业名单；</w:t>
      </w:r>
    </w:p>
    <w:p w14:paraId="4F5C6EDC">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在“信用中国”网站（www.creditchina.gov.cn）中被列入失信惩戒对象名单；</w:t>
      </w:r>
    </w:p>
    <w:p w14:paraId="7DCC073F">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在国家企业信用信息公示系统（http://www.gsxt.gov.cn/）中被列入严重违法失信企业名单；</w:t>
      </w:r>
    </w:p>
    <w:p w14:paraId="796CE312">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2018年1月1日至</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日止报价人或其法定代表人有行贿犯罪行为的；</w:t>
      </w:r>
    </w:p>
    <w:p w14:paraId="0DAE77F2">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有过以他人名义投标或以其他方式弄虚作假，骗取中标行为；</w:t>
      </w:r>
    </w:p>
    <w:p w14:paraId="33997759">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财产被重组、接管、查封、扣押或冻结的；</w:t>
      </w:r>
    </w:p>
    <w:p w14:paraId="49B3D37A">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被国家、重庆市（含市</w:t>
      </w:r>
      <w:r>
        <w:rPr>
          <w:rFonts w:ascii="宋体" w:hAnsi="宋体" w:cs="MingLiU"/>
          <w:color w:val="auto"/>
          <w:kern w:val="0"/>
          <w:szCs w:val="21"/>
          <w:highlight w:val="none"/>
          <w:lang w:bidi="ar"/>
        </w:rPr>
        <w:t>区</w:t>
      </w:r>
      <w:r>
        <w:rPr>
          <w:rFonts w:hint="eastAsia" w:ascii="宋体" w:hAnsi="宋体" w:cs="MingLiU"/>
          <w:color w:val="auto"/>
          <w:kern w:val="0"/>
          <w:szCs w:val="21"/>
          <w:highlight w:val="none"/>
          <w:lang w:bidi="ar"/>
        </w:rPr>
        <w:t>或任意区县）有关行政部门处以暂停投标资格行政处罚，且在处罚期限内；</w:t>
      </w:r>
    </w:p>
    <w:p w14:paraId="7949A94F">
      <w:pPr>
        <w:numPr>
          <w:ilvl w:val="0"/>
          <w:numId w:val="5"/>
        </w:numPr>
        <w:autoSpaceDE w:val="0"/>
        <w:autoSpaceDN w:val="0"/>
        <w:adjustRightInd w:val="0"/>
        <w:spacing w:line="300" w:lineRule="exact"/>
        <w:ind w:left="420" w:leftChars="20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法律法规或报价人须知前附表规定的其他情形。</w:t>
      </w:r>
    </w:p>
    <w:p w14:paraId="2D35E0B5">
      <w:pPr>
        <w:pStyle w:val="5"/>
        <w:widowControl/>
        <w:spacing w:before="0" w:after="0" w:line="300" w:lineRule="exact"/>
        <w:rPr>
          <w:rFonts w:ascii="宋体" w:hAnsi="宋体"/>
          <w:color w:val="auto"/>
          <w:kern w:val="2"/>
          <w:sz w:val="21"/>
          <w:szCs w:val="21"/>
          <w:highlight w:val="none"/>
        </w:rPr>
      </w:pPr>
      <w:r>
        <w:rPr>
          <w:rFonts w:hint="eastAsia" w:ascii="宋体" w:hAnsi="宋体"/>
          <w:color w:val="auto"/>
          <w:kern w:val="2"/>
          <w:sz w:val="21"/>
          <w:szCs w:val="21"/>
          <w:highlight w:val="none"/>
        </w:rPr>
        <w:t>1.5  费用承担</w:t>
      </w:r>
    </w:p>
    <w:p w14:paraId="2E6840A9">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报价人准备和参加竞争性比选活动发生的费用自理。</w:t>
      </w:r>
    </w:p>
    <w:p w14:paraId="56CBCCFE">
      <w:pPr>
        <w:pStyle w:val="5"/>
        <w:widowControl/>
        <w:spacing w:before="0" w:after="0" w:line="300" w:lineRule="exact"/>
        <w:rPr>
          <w:rFonts w:ascii="宋体" w:hAnsi="宋体"/>
          <w:color w:val="auto"/>
          <w:kern w:val="2"/>
          <w:sz w:val="21"/>
          <w:szCs w:val="21"/>
          <w:highlight w:val="none"/>
        </w:rPr>
      </w:pPr>
      <w:bookmarkStart w:id="195" w:name="_Toc4661912"/>
      <w:bookmarkEnd w:id="195"/>
      <w:bookmarkStart w:id="196" w:name="_Toc40455651"/>
      <w:bookmarkEnd w:id="196"/>
      <w:bookmarkStart w:id="197" w:name="_Toc277082559"/>
      <w:bookmarkEnd w:id="197"/>
      <w:bookmarkStart w:id="198" w:name="_Toc224103324"/>
      <w:bookmarkEnd w:id="198"/>
      <w:bookmarkStart w:id="199" w:name="_Toc4662148"/>
      <w:bookmarkEnd w:id="199"/>
      <w:bookmarkStart w:id="200" w:name="_Toc200513133"/>
      <w:bookmarkEnd w:id="200"/>
      <w:bookmarkStart w:id="201" w:name="_Toc706"/>
      <w:bookmarkEnd w:id="201"/>
      <w:bookmarkStart w:id="202" w:name="_Toc40455278"/>
      <w:bookmarkEnd w:id="202"/>
      <w:bookmarkStart w:id="203" w:name="_Toc287607753"/>
      <w:bookmarkEnd w:id="203"/>
      <w:bookmarkStart w:id="204" w:name="_Toc4661676"/>
      <w:bookmarkEnd w:id="204"/>
      <w:bookmarkStart w:id="205" w:name="_Toc4661434"/>
      <w:bookmarkEnd w:id="205"/>
      <w:bookmarkStart w:id="206" w:name="_Toc40780260"/>
      <w:r>
        <w:rPr>
          <w:rFonts w:hint="eastAsia" w:ascii="宋体" w:hAnsi="宋体"/>
          <w:color w:val="auto"/>
          <w:kern w:val="2"/>
          <w:sz w:val="21"/>
          <w:szCs w:val="21"/>
          <w:highlight w:val="none"/>
        </w:rPr>
        <w:t xml:space="preserve">1.6  </w:t>
      </w:r>
      <w:bookmarkEnd w:id="206"/>
      <w:r>
        <w:rPr>
          <w:rFonts w:hint="eastAsia" w:ascii="宋体" w:hAnsi="宋体" w:cs="宋体"/>
          <w:color w:val="auto"/>
          <w:kern w:val="2"/>
          <w:sz w:val="21"/>
          <w:szCs w:val="21"/>
          <w:highlight w:val="none"/>
        </w:rPr>
        <w:t>保密</w:t>
      </w:r>
    </w:p>
    <w:p w14:paraId="2A0D7F11">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参与竞争性比选投标活动的各方应对竞争性比选文件和比选响应文件中的商业和技术等秘密保密，违者应对由此造成的后果承担法律责任。</w:t>
      </w:r>
    </w:p>
    <w:p w14:paraId="796E5B43">
      <w:pPr>
        <w:pStyle w:val="5"/>
        <w:widowControl/>
        <w:spacing w:before="0" w:after="0" w:line="300" w:lineRule="exact"/>
        <w:rPr>
          <w:rFonts w:ascii="宋体" w:hAnsi="宋体"/>
          <w:color w:val="auto"/>
          <w:kern w:val="2"/>
          <w:sz w:val="21"/>
          <w:szCs w:val="21"/>
          <w:highlight w:val="none"/>
        </w:rPr>
      </w:pPr>
      <w:bookmarkStart w:id="207" w:name="_Toc277082560"/>
      <w:bookmarkEnd w:id="207"/>
      <w:bookmarkStart w:id="208" w:name="_Toc200513134"/>
      <w:bookmarkEnd w:id="208"/>
      <w:bookmarkStart w:id="209" w:name="_Toc4264"/>
      <w:bookmarkEnd w:id="209"/>
      <w:bookmarkStart w:id="210" w:name="_Toc40455652"/>
      <w:bookmarkEnd w:id="210"/>
      <w:bookmarkStart w:id="211" w:name="_Toc4661677"/>
      <w:bookmarkEnd w:id="211"/>
      <w:bookmarkStart w:id="212" w:name="_Toc287607754"/>
      <w:bookmarkEnd w:id="212"/>
      <w:bookmarkStart w:id="213" w:name="_Toc40780261"/>
      <w:bookmarkEnd w:id="213"/>
      <w:bookmarkStart w:id="214" w:name="_Toc224103325"/>
      <w:bookmarkEnd w:id="214"/>
      <w:bookmarkStart w:id="215" w:name="_Toc4661913"/>
      <w:bookmarkEnd w:id="215"/>
      <w:bookmarkStart w:id="216" w:name="_Toc4661435"/>
      <w:bookmarkEnd w:id="216"/>
      <w:bookmarkStart w:id="217" w:name="_Toc40455279"/>
      <w:bookmarkEnd w:id="217"/>
      <w:bookmarkStart w:id="218" w:name="_Toc4662149"/>
      <w:r>
        <w:rPr>
          <w:rFonts w:hint="eastAsia" w:ascii="宋体" w:hAnsi="宋体"/>
          <w:color w:val="auto"/>
          <w:kern w:val="2"/>
          <w:sz w:val="21"/>
          <w:szCs w:val="21"/>
          <w:highlight w:val="none"/>
        </w:rPr>
        <w:t xml:space="preserve">1.7  </w:t>
      </w:r>
      <w:bookmarkEnd w:id="218"/>
      <w:r>
        <w:rPr>
          <w:rFonts w:hint="eastAsia" w:ascii="宋体" w:hAnsi="宋体" w:cs="宋体"/>
          <w:color w:val="auto"/>
          <w:kern w:val="2"/>
          <w:sz w:val="21"/>
          <w:szCs w:val="21"/>
          <w:highlight w:val="none"/>
        </w:rPr>
        <w:t>语言文字</w:t>
      </w:r>
    </w:p>
    <w:p w14:paraId="43DB3391">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除专用术语外，与竞争性比选投标有关的语言均使用中文。必要时专用术语应附有中文注释。</w:t>
      </w:r>
    </w:p>
    <w:p w14:paraId="1682DFC3">
      <w:pPr>
        <w:pStyle w:val="5"/>
        <w:widowControl/>
        <w:spacing w:before="0" w:after="0" w:line="300" w:lineRule="exact"/>
        <w:rPr>
          <w:rFonts w:ascii="宋体" w:hAnsi="宋体"/>
          <w:color w:val="auto"/>
          <w:kern w:val="2"/>
          <w:sz w:val="21"/>
          <w:szCs w:val="21"/>
          <w:highlight w:val="none"/>
        </w:rPr>
      </w:pPr>
      <w:bookmarkStart w:id="219" w:name="_Toc934"/>
      <w:bookmarkEnd w:id="219"/>
      <w:bookmarkStart w:id="220" w:name="_Toc40455280"/>
      <w:bookmarkEnd w:id="220"/>
      <w:bookmarkStart w:id="221" w:name="_Toc4661678"/>
      <w:bookmarkEnd w:id="221"/>
      <w:bookmarkStart w:id="222" w:name="_Toc4662150"/>
      <w:bookmarkEnd w:id="222"/>
      <w:bookmarkStart w:id="223" w:name="_Toc40455653"/>
      <w:bookmarkEnd w:id="223"/>
      <w:bookmarkStart w:id="224" w:name="_Toc277082561"/>
      <w:bookmarkEnd w:id="224"/>
      <w:bookmarkStart w:id="225" w:name="_Toc224103326"/>
      <w:bookmarkEnd w:id="225"/>
      <w:bookmarkStart w:id="226" w:name="_Toc40780262"/>
      <w:bookmarkEnd w:id="226"/>
      <w:bookmarkStart w:id="227" w:name="_Toc200513135"/>
      <w:bookmarkEnd w:id="227"/>
      <w:bookmarkStart w:id="228" w:name="_Toc287607755"/>
      <w:bookmarkEnd w:id="228"/>
      <w:bookmarkStart w:id="229" w:name="_Toc4661436"/>
      <w:bookmarkEnd w:id="229"/>
      <w:bookmarkStart w:id="230" w:name="_Toc4661914"/>
      <w:r>
        <w:rPr>
          <w:rFonts w:hint="eastAsia" w:ascii="宋体" w:hAnsi="宋体"/>
          <w:color w:val="auto"/>
          <w:kern w:val="2"/>
          <w:sz w:val="21"/>
          <w:szCs w:val="21"/>
          <w:highlight w:val="none"/>
        </w:rPr>
        <w:t xml:space="preserve">1.8  </w:t>
      </w:r>
      <w:bookmarkEnd w:id="230"/>
      <w:r>
        <w:rPr>
          <w:rFonts w:hint="eastAsia" w:ascii="宋体" w:hAnsi="宋体" w:cs="宋体"/>
          <w:color w:val="auto"/>
          <w:kern w:val="2"/>
          <w:sz w:val="21"/>
          <w:szCs w:val="21"/>
          <w:highlight w:val="none"/>
        </w:rPr>
        <w:t>计量单位</w:t>
      </w:r>
    </w:p>
    <w:p w14:paraId="19F0C32D">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所有计量均采用中华人民共和国法定计量单位。</w:t>
      </w:r>
    </w:p>
    <w:p w14:paraId="0E978A1A">
      <w:pPr>
        <w:pStyle w:val="5"/>
        <w:widowControl/>
        <w:spacing w:before="0" w:after="0" w:line="300" w:lineRule="exact"/>
        <w:rPr>
          <w:rFonts w:ascii="宋体" w:hAnsi="宋体"/>
          <w:color w:val="auto"/>
          <w:kern w:val="2"/>
          <w:sz w:val="21"/>
          <w:szCs w:val="21"/>
          <w:highlight w:val="none"/>
        </w:rPr>
      </w:pPr>
      <w:bookmarkStart w:id="231" w:name="_Toc4661679"/>
      <w:bookmarkEnd w:id="231"/>
      <w:bookmarkStart w:id="232" w:name="_Toc14666"/>
      <w:bookmarkEnd w:id="232"/>
      <w:bookmarkStart w:id="233" w:name="_Toc224103327"/>
      <w:bookmarkEnd w:id="233"/>
      <w:bookmarkStart w:id="234" w:name="_Toc4661437"/>
      <w:bookmarkEnd w:id="234"/>
      <w:bookmarkStart w:id="235" w:name="_Toc4661915"/>
      <w:bookmarkEnd w:id="235"/>
      <w:bookmarkStart w:id="236" w:name="_Toc277082562"/>
      <w:bookmarkEnd w:id="236"/>
      <w:bookmarkStart w:id="237" w:name="_Toc40455654"/>
      <w:bookmarkEnd w:id="237"/>
      <w:bookmarkStart w:id="238" w:name="_Toc200513136"/>
      <w:bookmarkEnd w:id="238"/>
      <w:bookmarkStart w:id="239" w:name="_Toc4662151"/>
      <w:bookmarkEnd w:id="239"/>
      <w:bookmarkStart w:id="240" w:name="_Toc287607756"/>
      <w:bookmarkEnd w:id="240"/>
      <w:bookmarkStart w:id="241" w:name="_Toc40455281"/>
      <w:bookmarkEnd w:id="241"/>
      <w:bookmarkStart w:id="242" w:name="_Toc40780263"/>
      <w:r>
        <w:rPr>
          <w:rFonts w:hint="eastAsia" w:ascii="宋体" w:hAnsi="宋体"/>
          <w:color w:val="auto"/>
          <w:kern w:val="2"/>
          <w:sz w:val="21"/>
          <w:szCs w:val="21"/>
          <w:highlight w:val="none"/>
        </w:rPr>
        <w:t xml:space="preserve">1.9  </w:t>
      </w:r>
      <w:bookmarkEnd w:id="242"/>
      <w:r>
        <w:rPr>
          <w:rFonts w:hint="eastAsia" w:ascii="宋体" w:hAnsi="宋体" w:cs="宋体"/>
          <w:color w:val="auto"/>
          <w:kern w:val="2"/>
          <w:sz w:val="21"/>
          <w:szCs w:val="21"/>
          <w:highlight w:val="none"/>
        </w:rPr>
        <w:t>踏勘现场</w:t>
      </w:r>
    </w:p>
    <w:p w14:paraId="1230DC0C">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1.9.1  </w:t>
      </w:r>
      <w:r>
        <w:rPr>
          <w:rFonts w:hint="eastAsia" w:ascii="宋体" w:hAnsi="宋体" w:cs="宋体"/>
          <w:color w:val="auto"/>
          <w:kern w:val="0"/>
          <w:szCs w:val="21"/>
          <w:highlight w:val="none"/>
          <w:lang w:bidi="ar"/>
        </w:rPr>
        <w:t>报价人须知前附表规定组织踏勘现场的，采购人按报价人须知前附表规定的时间、</w:t>
      </w:r>
      <w:r>
        <w:rPr>
          <w:rFonts w:hint="eastAsia" w:ascii="宋体" w:hAnsi="宋体" w:cs="MingLiU"/>
          <w:color w:val="auto"/>
          <w:kern w:val="0"/>
          <w:szCs w:val="21"/>
          <w:highlight w:val="none"/>
          <w:lang w:bidi="ar"/>
        </w:rPr>
        <w:t xml:space="preserve"> </w:t>
      </w:r>
      <w:r>
        <w:rPr>
          <w:rFonts w:hint="eastAsia" w:ascii="宋体" w:hAnsi="宋体" w:cs="宋体"/>
          <w:color w:val="auto"/>
          <w:kern w:val="0"/>
          <w:szCs w:val="21"/>
          <w:highlight w:val="none"/>
          <w:lang w:bidi="ar"/>
        </w:rPr>
        <w:t>地点组织报价人踏勘项目现场。</w:t>
      </w:r>
    </w:p>
    <w:p w14:paraId="67D13847">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1.9.2  </w:t>
      </w:r>
      <w:r>
        <w:rPr>
          <w:rFonts w:hint="eastAsia" w:ascii="宋体" w:hAnsi="宋体" w:cs="宋体"/>
          <w:color w:val="auto"/>
          <w:kern w:val="0"/>
          <w:szCs w:val="21"/>
          <w:highlight w:val="none"/>
          <w:lang w:bidi="ar"/>
        </w:rPr>
        <w:t>报价人踏勘现场发生的费用自理。</w:t>
      </w:r>
    </w:p>
    <w:p w14:paraId="1EE0125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1.9.3  </w:t>
      </w:r>
      <w:r>
        <w:rPr>
          <w:rFonts w:hint="eastAsia" w:ascii="宋体" w:hAnsi="宋体" w:cs="宋体"/>
          <w:color w:val="auto"/>
          <w:kern w:val="0"/>
          <w:szCs w:val="21"/>
          <w:highlight w:val="none"/>
          <w:lang w:bidi="ar"/>
        </w:rPr>
        <w:t>除采购人的原因外，报价人自行负责在踏勘现场中所发生的人员伤亡和财产损失。</w:t>
      </w:r>
    </w:p>
    <w:p w14:paraId="02730239">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1.9.4  </w:t>
      </w:r>
      <w:r>
        <w:rPr>
          <w:rFonts w:hint="eastAsia" w:ascii="宋体" w:hAnsi="宋体" w:cs="宋体"/>
          <w:color w:val="auto"/>
          <w:kern w:val="0"/>
          <w:szCs w:val="21"/>
          <w:highlight w:val="none"/>
          <w:lang w:bidi="ar"/>
        </w:rPr>
        <w:t>采购人在踏勘现场中介绍的工程场地和相关的周边环境情况，供报价人在编制</w:t>
      </w:r>
      <w:r>
        <w:rPr>
          <w:rFonts w:ascii="宋体" w:hAnsi="宋体" w:cs="宋体"/>
          <w:color w:val="auto"/>
          <w:kern w:val="0"/>
          <w:szCs w:val="21"/>
          <w:highlight w:val="none"/>
          <w:lang w:bidi="ar"/>
        </w:rPr>
        <w:t>比选响应</w:t>
      </w:r>
      <w:r>
        <w:rPr>
          <w:rFonts w:hint="eastAsia" w:ascii="宋体" w:hAnsi="宋体" w:cs="宋体"/>
          <w:color w:val="auto"/>
          <w:kern w:val="0"/>
          <w:szCs w:val="21"/>
          <w:highlight w:val="none"/>
          <w:lang w:bidi="ar"/>
        </w:rPr>
        <w:t>文件时参考，采购人不对报价人据此做出的判断和决策负责。</w:t>
      </w:r>
    </w:p>
    <w:p w14:paraId="23EE5F1C">
      <w:pPr>
        <w:pStyle w:val="5"/>
        <w:widowControl/>
        <w:spacing w:before="0" w:after="0" w:line="300" w:lineRule="exact"/>
        <w:rPr>
          <w:rFonts w:ascii="宋体" w:hAnsi="宋体"/>
          <w:color w:val="auto"/>
          <w:kern w:val="2"/>
          <w:sz w:val="21"/>
          <w:szCs w:val="21"/>
          <w:highlight w:val="none"/>
        </w:rPr>
      </w:pPr>
      <w:bookmarkStart w:id="243" w:name="_Toc4661916"/>
      <w:bookmarkEnd w:id="243"/>
      <w:bookmarkStart w:id="244" w:name="_Toc4661438"/>
      <w:bookmarkEnd w:id="244"/>
      <w:bookmarkStart w:id="245" w:name="_Toc32378"/>
      <w:bookmarkEnd w:id="245"/>
      <w:bookmarkStart w:id="246" w:name="_Toc277082563"/>
      <w:bookmarkEnd w:id="246"/>
      <w:bookmarkStart w:id="247" w:name="_Toc4661680"/>
      <w:bookmarkEnd w:id="247"/>
      <w:bookmarkStart w:id="248" w:name="_Toc4662152"/>
      <w:bookmarkEnd w:id="248"/>
      <w:bookmarkStart w:id="249" w:name="_Toc40455282"/>
      <w:bookmarkEnd w:id="249"/>
      <w:bookmarkStart w:id="250" w:name="_Toc224103328"/>
      <w:bookmarkEnd w:id="250"/>
      <w:bookmarkStart w:id="251" w:name="_Toc40780264"/>
      <w:bookmarkEnd w:id="251"/>
      <w:bookmarkStart w:id="252" w:name="_Toc200513137"/>
      <w:bookmarkEnd w:id="252"/>
      <w:bookmarkStart w:id="253" w:name="_Toc287607757"/>
      <w:bookmarkEnd w:id="253"/>
      <w:bookmarkStart w:id="254" w:name="_Toc40455655"/>
      <w:r>
        <w:rPr>
          <w:rFonts w:hint="eastAsia" w:ascii="宋体" w:hAnsi="宋体"/>
          <w:color w:val="auto"/>
          <w:kern w:val="2"/>
          <w:sz w:val="21"/>
          <w:szCs w:val="21"/>
          <w:highlight w:val="none"/>
        </w:rPr>
        <w:t xml:space="preserve">1.10  </w:t>
      </w:r>
      <w:bookmarkEnd w:id="254"/>
      <w:r>
        <w:rPr>
          <w:rFonts w:hint="eastAsia" w:ascii="宋体" w:hAnsi="宋体" w:cs="宋体"/>
          <w:color w:val="auto"/>
          <w:kern w:val="2"/>
          <w:sz w:val="21"/>
          <w:szCs w:val="21"/>
          <w:highlight w:val="none"/>
        </w:rPr>
        <w:t>投标预备会</w:t>
      </w:r>
    </w:p>
    <w:p w14:paraId="54B7389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1.10.1  </w:t>
      </w:r>
      <w:r>
        <w:rPr>
          <w:rFonts w:hint="eastAsia" w:ascii="宋体" w:hAnsi="宋体" w:cs="宋体"/>
          <w:color w:val="auto"/>
          <w:kern w:val="0"/>
          <w:szCs w:val="21"/>
          <w:highlight w:val="none"/>
          <w:lang w:bidi="ar"/>
        </w:rPr>
        <w:t>报价人须知前附表规定召开投标预备会的，采购人按报价人须知前附表规定的时间和地点召开投标预备会，澄清报价人提出的问题。</w:t>
      </w:r>
    </w:p>
    <w:p w14:paraId="2A8F432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1.10.2  </w:t>
      </w:r>
      <w:r>
        <w:rPr>
          <w:rFonts w:hint="eastAsia" w:ascii="宋体" w:hAnsi="宋体" w:cs="宋体"/>
          <w:color w:val="auto"/>
          <w:kern w:val="0"/>
          <w:szCs w:val="21"/>
          <w:highlight w:val="none"/>
          <w:lang w:bidi="ar"/>
        </w:rPr>
        <w:t>报价人应在报价人须知前附表规定的时间前，以书面形式将提出的问题送达采购人，以便采购人在会议期间澄清。</w:t>
      </w:r>
    </w:p>
    <w:p w14:paraId="7A1A7986">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1.10.3  </w:t>
      </w:r>
      <w:r>
        <w:rPr>
          <w:rFonts w:hint="eastAsia" w:ascii="宋体" w:hAnsi="宋体" w:cs="宋体"/>
          <w:color w:val="auto"/>
          <w:kern w:val="0"/>
          <w:szCs w:val="21"/>
          <w:highlight w:val="none"/>
          <w:lang w:bidi="ar"/>
        </w:rPr>
        <w:t>投标预备会后，采购人在报价人须知前附表规定的时间内，将对报价人所提问题</w:t>
      </w:r>
      <w:r>
        <w:rPr>
          <w:rFonts w:hint="eastAsia" w:ascii="宋体" w:hAnsi="宋体" w:cs="宋体"/>
          <w:color w:val="auto"/>
          <w:kern w:val="0"/>
          <w:position w:val="-2"/>
          <w:szCs w:val="21"/>
          <w:highlight w:val="none"/>
          <w:lang w:bidi="ar"/>
        </w:rPr>
        <w:t>的澄清，以书面方式通知所有购买竞争性比选文件的报价人。该澄清内容为竞争性比选文件的组成部分。</w:t>
      </w:r>
    </w:p>
    <w:p w14:paraId="78FDB669">
      <w:pPr>
        <w:pStyle w:val="5"/>
        <w:widowControl/>
        <w:spacing w:before="0" w:after="0" w:line="300" w:lineRule="exact"/>
        <w:rPr>
          <w:rFonts w:ascii="宋体" w:hAnsi="宋体" w:cs="MingLiU"/>
          <w:b w:val="0"/>
          <w:color w:val="auto"/>
          <w:sz w:val="21"/>
          <w:szCs w:val="21"/>
          <w:highlight w:val="none"/>
        </w:rPr>
      </w:pPr>
      <w:bookmarkStart w:id="255" w:name="_Toc277082564"/>
      <w:bookmarkEnd w:id="255"/>
      <w:bookmarkStart w:id="256" w:name="_Toc40455656"/>
      <w:bookmarkEnd w:id="256"/>
      <w:bookmarkStart w:id="257" w:name="_Toc4662153"/>
      <w:bookmarkEnd w:id="257"/>
      <w:bookmarkStart w:id="258" w:name="_Toc4661917"/>
      <w:bookmarkEnd w:id="258"/>
      <w:bookmarkStart w:id="259" w:name="_Toc40455283"/>
      <w:bookmarkEnd w:id="259"/>
      <w:bookmarkStart w:id="260" w:name="_Toc1732"/>
      <w:bookmarkEnd w:id="260"/>
      <w:bookmarkStart w:id="261" w:name="_Toc4661439"/>
      <w:bookmarkEnd w:id="261"/>
      <w:bookmarkStart w:id="262" w:name="_Toc224103329"/>
      <w:bookmarkEnd w:id="262"/>
      <w:bookmarkStart w:id="263" w:name="_Toc40780265"/>
      <w:bookmarkEnd w:id="263"/>
      <w:bookmarkStart w:id="264" w:name="_Toc4661681"/>
      <w:bookmarkEnd w:id="264"/>
      <w:bookmarkStart w:id="265" w:name="_Toc287607758"/>
      <w:bookmarkEnd w:id="265"/>
      <w:bookmarkStart w:id="266" w:name="_Toc200513138"/>
      <w:r>
        <w:rPr>
          <w:rFonts w:hint="eastAsia" w:ascii="宋体" w:hAnsi="宋体"/>
          <w:color w:val="auto"/>
          <w:kern w:val="2"/>
          <w:sz w:val="21"/>
          <w:szCs w:val="21"/>
          <w:highlight w:val="none"/>
        </w:rPr>
        <w:t xml:space="preserve">1.11  </w:t>
      </w:r>
      <w:bookmarkEnd w:id="266"/>
      <w:r>
        <w:rPr>
          <w:rFonts w:hint="eastAsia" w:ascii="宋体" w:hAnsi="宋体" w:cs="宋体"/>
          <w:color w:val="auto"/>
          <w:kern w:val="2"/>
          <w:sz w:val="21"/>
          <w:szCs w:val="21"/>
          <w:highlight w:val="none"/>
        </w:rPr>
        <w:t>分包</w:t>
      </w:r>
    </w:p>
    <w:p w14:paraId="1F37A050">
      <w:pPr>
        <w:autoSpaceDE w:val="0"/>
        <w:autoSpaceDN w:val="0"/>
        <w:adjustRightInd w:val="0"/>
        <w:spacing w:line="300" w:lineRule="exact"/>
        <w:ind w:firstLine="424" w:firstLineChars="202"/>
        <w:jc w:val="left"/>
        <w:rPr>
          <w:rFonts w:ascii="宋体" w:hAnsi="宋体" w:cs="MingLiU"/>
          <w:color w:val="auto"/>
          <w:kern w:val="0"/>
          <w:szCs w:val="21"/>
          <w:highlight w:val="none"/>
        </w:rPr>
      </w:pPr>
      <w:bookmarkStart w:id="267" w:name="_Toc4662154"/>
      <w:bookmarkEnd w:id="267"/>
      <w:bookmarkStart w:id="268" w:name="_Toc4661682"/>
      <w:bookmarkEnd w:id="268"/>
      <w:bookmarkStart w:id="269" w:name="_Toc287607759"/>
      <w:bookmarkEnd w:id="269"/>
      <w:bookmarkStart w:id="270" w:name="_Toc40780266"/>
      <w:bookmarkEnd w:id="270"/>
      <w:bookmarkStart w:id="271" w:name="_Toc40455284"/>
      <w:bookmarkEnd w:id="271"/>
      <w:bookmarkStart w:id="272" w:name="_Toc1991"/>
      <w:bookmarkEnd w:id="272"/>
      <w:bookmarkStart w:id="273" w:name="_Toc40455657"/>
      <w:bookmarkEnd w:id="273"/>
      <w:bookmarkStart w:id="274" w:name="_Toc277082565"/>
      <w:bookmarkEnd w:id="274"/>
      <w:bookmarkStart w:id="275" w:name="_Toc200513139"/>
      <w:bookmarkEnd w:id="275"/>
      <w:bookmarkStart w:id="276" w:name="_Toc4661918"/>
      <w:bookmarkEnd w:id="276"/>
      <w:bookmarkStart w:id="277" w:name="_Toc4661440"/>
      <w:bookmarkEnd w:id="277"/>
      <w:bookmarkStart w:id="278" w:name="_Toc224103330"/>
      <w:r>
        <w:rPr>
          <w:rFonts w:hint="eastAsia" w:ascii="宋体" w:hAnsi="宋体" w:cs="MingLiU"/>
          <w:color w:val="auto"/>
          <w:kern w:val="0"/>
          <w:szCs w:val="21"/>
          <w:highlight w:val="none"/>
        </w:rPr>
        <w:t>1.11.1</w:t>
      </w:r>
      <w:r>
        <w:rPr>
          <w:rFonts w:hint="eastAsia" w:ascii="宋体" w:hAnsi="宋体" w:cs="Calibri"/>
          <w:color w:val="auto"/>
          <w:kern w:val="0"/>
          <w:szCs w:val="21"/>
          <w:highlight w:val="none"/>
          <w:lang w:bidi="ar"/>
        </w:rPr>
        <w:t xml:space="preserve">  </w:t>
      </w:r>
      <w:r>
        <w:rPr>
          <w:rFonts w:hint="eastAsia" w:ascii="宋体" w:hAnsi="宋体" w:cs="MingLiU"/>
          <w:color w:val="auto"/>
          <w:kern w:val="0"/>
          <w:szCs w:val="21"/>
          <w:highlight w:val="none"/>
        </w:rPr>
        <w:t>本项目竞争性比选范围内的内容如需分包，分包单位的确定须采购人书面批准同意。否则采购人均有权取消中标人资格。</w:t>
      </w:r>
      <w:bookmarkEnd w:id="278"/>
    </w:p>
    <w:p w14:paraId="184B67D1">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MingLiU"/>
          <w:color w:val="auto"/>
          <w:kern w:val="0"/>
          <w:szCs w:val="21"/>
          <w:highlight w:val="none"/>
        </w:rPr>
        <w:t>1.11.2</w:t>
      </w:r>
      <w:r>
        <w:rPr>
          <w:rFonts w:ascii="宋体" w:hAnsi="宋体" w:cs="MingLiU"/>
          <w:color w:val="auto"/>
          <w:kern w:val="0"/>
          <w:szCs w:val="21"/>
          <w:highlight w:val="none"/>
        </w:rPr>
        <w:t xml:space="preserve">  </w:t>
      </w:r>
      <w:r>
        <w:rPr>
          <w:rFonts w:hint="eastAsia" w:ascii="宋体" w:hAnsi="宋体" w:cs="MingLiU"/>
          <w:color w:val="auto"/>
          <w:kern w:val="0"/>
          <w:szCs w:val="21"/>
          <w:highlight w:val="none"/>
        </w:rPr>
        <w:t>严禁转包、转让中标项目，也不得将中标项目肢解后分别转包、转让，否则采购人有权取消中标人资格。</w:t>
      </w:r>
    </w:p>
    <w:p w14:paraId="3DD1F7FD">
      <w:pPr>
        <w:pStyle w:val="5"/>
        <w:widowControl/>
        <w:spacing w:before="0" w:after="0" w:line="300" w:lineRule="exact"/>
        <w:rPr>
          <w:rFonts w:ascii="宋体" w:hAnsi="宋体"/>
          <w:color w:val="auto"/>
          <w:kern w:val="2"/>
          <w:sz w:val="21"/>
          <w:szCs w:val="21"/>
          <w:highlight w:val="none"/>
        </w:rPr>
      </w:pPr>
      <w:r>
        <w:rPr>
          <w:rFonts w:hint="eastAsia" w:ascii="宋体" w:hAnsi="宋体"/>
          <w:color w:val="auto"/>
          <w:kern w:val="2"/>
          <w:sz w:val="21"/>
          <w:szCs w:val="21"/>
          <w:highlight w:val="none"/>
        </w:rPr>
        <w:t>1.12  偏离</w:t>
      </w:r>
    </w:p>
    <w:p w14:paraId="7F296A69">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报价人须知前附表允许比选响应文件偏离竞争性比选文件某些要求的，偏离应当符合竞争性比选文件规定的偏离范围和幅度。</w:t>
      </w:r>
    </w:p>
    <w:p w14:paraId="20EBD0EA">
      <w:pPr>
        <w:pStyle w:val="4"/>
        <w:widowControl/>
        <w:spacing w:before="0" w:after="0" w:line="300" w:lineRule="exact"/>
        <w:rPr>
          <w:rFonts w:ascii="宋体" w:hAnsi="宋体"/>
          <w:color w:val="auto"/>
          <w:sz w:val="21"/>
          <w:szCs w:val="21"/>
          <w:highlight w:val="none"/>
        </w:rPr>
      </w:pPr>
      <w:bookmarkStart w:id="279" w:name="_Toc4661919"/>
      <w:bookmarkEnd w:id="279"/>
      <w:bookmarkStart w:id="280" w:name="_Toc200513140"/>
      <w:bookmarkEnd w:id="280"/>
      <w:bookmarkStart w:id="281" w:name="_Toc30989"/>
      <w:bookmarkEnd w:id="281"/>
      <w:bookmarkStart w:id="282" w:name="_Toc4661683"/>
      <w:bookmarkEnd w:id="282"/>
      <w:bookmarkStart w:id="283" w:name="_Toc4662155"/>
      <w:bookmarkEnd w:id="283"/>
      <w:bookmarkStart w:id="284" w:name="_Toc40455658"/>
      <w:bookmarkEnd w:id="284"/>
      <w:bookmarkStart w:id="285" w:name="_Toc277082566"/>
      <w:bookmarkEnd w:id="285"/>
      <w:bookmarkStart w:id="286" w:name="_Toc287607760"/>
      <w:bookmarkEnd w:id="286"/>
      <w:bookmarkStart w:id="287" w:name="_Toc27390"/>
      <w:bookmarkEnd w:id="287"/>
      <w:bookmarkStart w:id="288" w:name="_Toc143"/>
      <w:bookmarkEnd w:id="288"/>
      <w:bookmarkStart w:id="289" w:name="_Toc4661441"/>
      <w:bookmarkEnd w:id="289"/>
      <w:bookmarkStart w:id="290" w:name="_Toc224103331"/>
      <w:bookmarkEnd w:id="290"/>
      <w:bookmarkStart w:id="291" w:name="_Toc25763"/>
      <w:bookmarkEnd w:id="291"/>
      <w:bookmarkStart w:id="292" w:name="_Toc40455285"/>
      <w:bookmarkEnd w:id="292"/>
      <w:bookmarkStart w:id="293" w:name="_Toc4806"/>
      <w:bookmarkEnd w:id="293"/>
      <w:bookmarkStart w:id="294" w:name="_Toc24734"/>
      <w:bookmarkStart w:id="295" w:name="_Toc1321001590"/>
      <w:r>
        <w:rPr>
          <w:rFonts w:hint="eastAsia" w:ascii="宋体" w:hAnsi="宋体"/>
          <w:color w:val="auto"/>
          <w:sz w:val="21"/>
          <w:szCs w:val="21"/>
          <w:highlight w:val="none"/>
        </w:rPr>
        <w:t xml:space="preserve">2.  </w:t>
      </w:r>
      <w:bookmarkEnd w:id="294"/>
      <w:r>
        <w:rPr>
          <w:rFonts w:hint="eastAsia" w:ascii="黑体" w:hAnsi="宋体" w:cs="黑体"/>
          <w:color w:val="auto"/>
          <w:sz w:val="21"/>
          <w:szCs w:val="21"/>
          <w:highlight w:val="none"/>
        </w:rPr>
        <w:t>竞争性比选文件</w:t>
      </w:r>
      <w:bookmarkEnd w:id="295"/>
    </w:p>
    <w:p w14:paraId="6CB910BF">
      <w:pPr>
        <w:pStyle w:val="5"/>
        <w:widowControl/>
        <w:spacing w:before="0" w:after="0" w:line="300" w:lineRule="exact"/>
        <w:rPr>
          <w:rFonts w:ascii="宋体" w:hAnsi="宋体"/>
          <w:color w:val="auto"/>
          <w:kern w:val="2"/>
          <w:sz w:val="21"/>
          <w:szCs w:val="21"/>
          <w:highlight w:val="none"/>
        </w:rPr>
      </w:pPr>
      <w:bookmarkStart w:id="296" w:name="_Toc29861"/>
      <w:bookmarkEnd w:id="296"/>
      <w:bookmarkStart w:id="297" w:name="_Toc224103332"/>
      <w:bookmarkEnd w:id="297"/>
      <w:bookmarkStart w:id="298" w:name="_Toc200513141"/>
      <w:bookmarkEnd w:id="298"/>
      <w:bookmarkStart w:id="299" w:name="_Toc4662156"/>
      <w:bookmarkEnd w:id="299"/>
      <w:bookmarkStart w:id="300" w:name="_Toc4661920"/>
      <w:bookmarkEnd w:id="300"/>
      <w:bookmarkStart w:id="301" w:name="_Toc40455659"/>
      <w:bookmarkEnd w:id="301"/>
      <w:bookmarkStart w:id="302" w:name="_Toc40780268"/>
      <w:bookmarkEnd w:id="302"/>
      <w:bookmarkStart w:id="303" w:name="_Toc277082567"/>
      <w:bookmarkEnd w:id="303"/>
      <w:bookmarkStart w:id="304" w:name="_Toc40455286"/>
      <w:bookmarkEnd w:id="304"/>
      <w:bookmarkStart w:id="305" w:name="_Toc4661684"/>
      <w:bookmarkEnd w:id="305"/>
      <w:bookmarkStart w:id="306" w:name="_Toc287607761"/>
      <w:bookmarkEnd w:id="306"/>
      <w:bookmarkStart w:id="307" w:name="_Toc4661442"/>
      <w:r>
        <w:rPr>
          <w:rFonts w:hint="eastAsia" w:ascii="宋体" w:hAnsi="宋体"/>
          <w:color w:val="auto"/>
          <w:kern w:val="2"/>
          <w:sz w:val="21"/>
          <w:szCs w:val="21"/>
          <w:highlight w:val="none"/>
        </w:rPr>
        <w:t xml:space="preserve">2.1  </w:t>
      </w:r>
      <w:bookmarkEnd w:id="307"/>
      <w:r>
        <w:rPr>
          <w:rFonts w:hint="eastAsia" w:ascii="宋体" w:hAnsi="宋体" w:cs="宋体"/>
          <w:color w:val="auto"/>
          <w:kern w:val="2"/>
          <w:sz w:val="21"/>
          <w:szCs w:val="21"/>
          <w:highlight w:val="none"/>
        </w:rPr>
        <w:t>竞争性比选文件的组成</w:t>
      </w:r>
    </w:p>
    <w:p w14:paraId="6D19F860">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本竞争性比选文件包括：</w:t>
      </w:r>
    </w:p>
    <w:p w14:paraId="5797CF3A">
      <w:pPr>
        <w:numPr>
          <w:ilvl w:val="0"/>
          <w:numId w:val="6"/>
        </w:numPr>
        <w:autoSpaceDE w:val="0"/>
        <w:autoSpaceDN w:val="0"/>
        <w:adjustRightInd w:val="0"/>
        <w:spacing w:line="300" w:lineRule="exact"/>
        <w:jc w:val="left"/>
        <w:rPr>
          <w:rFonts w:ascii="宋体" w:hAnsi="宋体" w:cs="宋体"/>
          <w:color w:val="auto"/>
          <w:kern w:val="0"/>
          <w:szCs w:val="21"/>
          <w:highlight w:val="none"/>
          <w:lang w:bidi="ar"/>
        </w:rPr>
      </w:pPr>
      <w:r>
        <w:rPr>
          <w:rFonts w:hint="eastAsia" w:ascii="宋体" w:hAnsi="宋体" w:cs="宋体"/>
          <w:color w:val="auto"/>
          <w:kern w:val="0"/>
          <w:szCs w:val="21"/>
          <w:highlight w:val="none"/>
          <w:lang w:bidi="ar"/>
        </w:rPr>
        <w:t>竞争性比选公告；</w:t>
      </w:r>
    </w:p>
    <w:p w14:paraId="1A628A38">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报价人须知；</w:t>
      </w:r>
    </w:p>
    <w:p w14:paraId="73148454">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评标办法；</w:t>
      </w:r>
    </w:p>
    <w:p w14:paraId="32CE4352">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MingLiU"/>
          <w:color w:val="auto"/>
          <w:kern w:val="0"/>
          <w:szCs w:val="21"/>
          <w:highlight w:val="none"/>
        </w:rPr>
        <w:t>报价说明；</w:t>
      </w:r>
    </w:p>
    <w:p w14:paraId="63600FD7">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宋体"/>
          <w:color w:val="auto"/>
          <w:kern w:val="0"/>
          <w:szCs w:val="21"/>
          <w:highlight w:val="none"/>
          <w:lang w:bidi="ar"/>
        </w:rPr>
        <w:t>工程量清单；</w:t>
      </w:r>
    </w:p>
    <w:p w14:paraId="063DCDC3">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ascii="宋体" w:hAnsi="宋体" w:cs="宋体"/>
          <w:color w:val="auto"/>
          <w:kern w:val="0"/>
          <w:szCs w:val="21"/>
          <w:highlight w:val="none"/>
          <w:lang w:bidi="ar"/>
        </w:rPr>
        <w:t>图纸；</w:t>
      </w:r>
    </w:p>
    <w:p w14:paraId="6140CE68">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技术标准和要求；</w:t>
      </w:r>
    </w:p>
    <w:p w14:paraId="3FA8C29A">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合同条款及格式；</w:t>
      </w:r>
    </w:p>
    <w:p w14:paraId="1B6B2C69">
      <w:pPr>
        <w:numPr>
          <w:ilvl w:val="0"/>
          <w:numId w:val="6"/>
        </w:num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比选响应文件格式；</w:t>
      </w:r>
    </w:p>
    <w:p w14:paraId="185B514B">
      <w:pPr>
        <w:numPr>
          <w:ilvl w:val="0"/>
          <w:numId w:val="6"/>
        </w:numPr>
        <w:autoSpaceDE w:val="0"/>
        <w:autoSpaceDN w:val="0"/>
        <w:spacing w:line="300" w:lineRule="exact"/>
        <w:jc w:val="left"/>
        <w:rPr>
          <w:rFonts w:ascii="宋体" w:hAnsi="宋体" w:cs="Calibri"/>
          <w:color w:val="auto"/>
          <w:spacing w:val="11"/>
          <w:kern w:val="0"/>
          <w:sz w:val="24"/>
          <w:highlight w:val="none"/>
        </w:rPr>
      </w:pPr>
      <w:r>
        <w:rPr>
          <w:rFonts w:hint="eastAsia" w:cs="MingLiU"/>
          <w:color w:val="auto"/>
          <w:kern w:val="0"/>
          <w:szCs w:val="21"/>
          <w:highlight w:val="none"/>
        </w:rPr>
        <w:t>报价人须知</w:t>
      </w:r>
      <w:r>
        <w:rPr>
          <w:rFonts w:hint="eastAsia" w:ascii="宋体" w:hAnsi="宋体" w:cs="MingLiU"/>
          <w:color w:val="auto"/>
          <w:kern w:val="0"/>
          <w:szCs w:val="21"/>
          <w:highlight w:val="none"/>
        </w:rPr>
        <w:t>前附表规定的其他材料。</w:t>
      </w:r>
    </w:p>
    <w:p w14:paraId="7D62B277">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根据本章第</w:t>
      </w:r>
      <w:r>
        <w:rPr>
          <w:rFonts w:hint="eastAsia" w:ascii="宋体" w:hAnsi="宋体" w:cs="Calibri"/>
          <w:color w:val="auto"/>
          <w:kern w:val="0"/>
          <w:szCs w:val="21"/>
          <w:highlight w:val="none"/>
          <w:lang w:bidi="ar"/>
        </w:rPr>
        <w:t>1.10</w:t>
      </w:r>
      <w:r>
        <w:rPr>
          <w:rFonts w:hint="eastAsia" w:ascii="宋体" w:hAnsi="宋体" w:cs="宋体"/>
          <w:color w:val="auto"/>
          <w:kern w:val="0"/>
          <w:szCs w:val="21"/>
          <w:highlight w:val="none"/>
          <w:lang w:bidi="ar"/>
        </w:rPr>
        <w:t>款、第</w:t>
      </w:r>
      <w:r>
        <w:rPr>
          <w:rFonts w:hint="eastAsia" w:ascii="宋体" w:hAnsi="宋体" w:cs="Calibri"/>
          <w:color w:val="auto"/>
          <w:kern w:val="0"/>
          <w:szCs w:val="21"/>
          <w:highlight w:val="none"/>
          <w:lang w:bidi="ar"/>
        </w:rPr>
        <w:t>2.2</w:t>
      </w:r>
      <w:r>
        <w:rPr>
          <w:rFonts w:hint="eastAsia" w:ascii="宋体" w:hAnsi="宋体" w:cs="宋体"/>
          <w:color w:val="auto"/>
          <w:kern w:val="0"/>
          <w:szCs w:val="21"/>
          <w:highlight w:val="none"/>
          <w:lang w:bidi="ar"/>
        </w:rPr>
        <w:t>款和第</w:t>
      </w:r>
      <w:r>
        <w:rPr>
          <w:rFonts w:hint="eastAsia" w:ascii="宋体" w:hAnsi="宋体" w:cs="Calibri"/>
          <w:color w:val="auto"/>
          <w:kern w:val="0"/>
          <w:szCs w:val="21"/>
          <w:highlight w:val="none"/>
          <w:lang w:bidi="ar"/>
        </w:rPr>
        <w:t>2.3</w:t>
      </w:r>
      <w:r>
        <w:rPr>
          <w:rFonts w:hint="eastAsia" w:ascii="宋体" w:hAnsi="宋体" w:cs="宋体"/>
          <w:color w:val="auto"/>
          <w:kern w:val="0"/>
          <w:szCs w:val="21"/>
          <w:highlight w:val="none"/>
          <w:lang w:bidi="ar"/>
        </w:rPr>
        <w:t>款对竞争性比选文件所作的澄清、修改，构成竞争性比选文件的组成部分。</w:t>
      </w:r>
    </w:p>
    <w:p w14:paraId="227CE1B8">
      <w:pPr>
        <w:pStyle w:val="5"/>
        <w:widowControl/>
        <w:spacing w:before="0" w:after="0" w:line="300" w:lineRule="exact"/>
        <w:rPr>
          <w:rFonts w:ascii="宋体" w:hAnsi="宋体"/>
          <w:color w:val="auto"/>
          <w:kern w:val="2"/>
          <w:sz w:val="21"/>
          <w:szCs w:val="21"/>
          <w:highlight w:val="none"/>
        </w:rPr>
      </w:pPr>
      <w:bookmarkStart w:id="308" w:name="_Toc200513142"/>
      <w:bookmarkEnd w:id="308"/>
      <w:bookmarkStart w:id="309" w:name="_Toc4661921"/>
      <w:bookmarkEnd w:id="309"/>
      <w:bookmarkStart w:id="310" w:name="_Toc32674"/>
      <w:bookmarkEnd w:id="310"/>
      <w:bookmarkStart w:id="311" w:name="_Toc277082568"/>
      <w:bookmarkEnd w:id="311"/>
      <w:bookmarkStart w:id="312" w:name="_Toc224103333"/>
      <w:bookmarkEnd w:id="312"/>
      <w:bookmarkStart w:id="313" w:name="_Toc40780269"/>
      <w:bookmarkEnd w:id="313"/>
      <w:bookmarkStart w:id="314" w:name="_Toc287607762"/>
      <w:bookmarkEnd w:id="314"/>
      <w:bookmarkStart w:id="315" w:name="_Toc4662157"/>
      <w:bookmarkEnd w:id="315"/>
      <w:bookmarkStart w:id="316" w:name="_Toc40455660"/>
      <w:bookmarkEnd w:id="316"/>
      <w:bookmarkStart w:id="317" w:name="_Toc40455287"/>
      <w:bookmarkEnd w:id="317"/>
      <w:bookmarkStart w:id="318" w:name="_Toc4661443"/>
      <w:bookmarkEnd w:id="318"/>
      <w:bookmarkStart w:id="319" w:name="_Toc4661685"/>
      <w:r>
        <w:rPr>
          <w:rFonts w:hint="eastAsia" w:ascii="宋体" w:hAnsi="宋体"/>
          <w:color w:val="auto"/>
          <w:kern w:val="2"/>
          <w:sz w:val="21"/>
          <w:szCs w:val="21"/>
          <w:highlight w:val="none"/>
        </w:rPr>
        <w:t xml:space="preserve">2.2  </w:t>
      </w:r>
      <w:bookmarkEnd w:id="319"/>
      <w:r>
        <w:rPr>
          <w:rFonts w:hint="eastAsia" w:ascii="宋体" w:hAnsi="宋体" w:cs="宋体"/>
          <w:color w:val="auto"/>
          <w:kern w:val="2"/>
          <w:sz w:val="21"/>
          <w:szCs w:val="21"/>
          <w:highlight w:val="none"/>
        </w:rPr>
        <w:t>竞争性比选文件的澄清</w:t>
      </w:r>
    </w:p>
    <w:p w14:paraId="100FDA06">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2.2.1  </w:t>
      </w:r>
      <w:r>
        <w:rPr>
          <w:rFonts w:hint="eastAsia" w:ascii="宋体" w:hAnsi="宋体" w:cs="宋体"/>
          <w:color w:val="auto"/>
          <w:kern w:val="0"/>
          <w:szCs w:val="21"/>
          <w:highlight w:val="none"/>
          <w:lang w:bidi="ar"/>
        </w:rPr>
        <w:t>报价人应仔细阅读和检查竞争性比选文件的全部内容。如发现缺页或附件不全，应及时向采购人提出，以便补齐。如有疑问，应在报价人须知前附表规定的时间前提交质疑，要求采购人对竞争性比选文件予以澄清。</w:t>
      </w:r>
    </w:p>
    <w:p w14:paraId="2F431EA8">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2.2.2  </w:t>
      </w:r>
      <w:r>
        <w:rPr>
          <w:rFonts w:hint="eastAsia" w:ascii="宋体" w:hAnsi="宋体" w:cs="宋体"/>
          <w:color w:val="auto"/>
          <w:kern w:val="0"/>
          <w:szCs w:val="21"/>
          <w:highlight w:val="none"/>
          <w:lang w:bidi="ar"/>
        </w:rPr>
        <w:t>竞争性比选文件的澄清将在报价人须知前附表规定的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天前在重庆</w:t>
      </w:r>
      <w:r>
        <w:rPr>
          <w:rFonts w:ascii="宋体" w:hAnsi="宋体" w:cs="宋体"/>
          <w:color w:val="auto"/>
          <w:kern w:val="0"/>
          <w:szCs w:val="21"/>
          <w:highlight w:val="none"/>
          <w:lang w:bidi="ar"/>
        </w:rPr>
        <w:t>高速集团官方网站</w:t>
      </w:r>
      <w:r>
        <w:rPr>
          <w:rFonts w:hint="eastAsia" w:ascii="宋体" w:hAnsi="宋体" w:cs="宋体"/>
          <w:color w:val="auto"/>
          <w:kern w:val="0"/>
          <w:szCs w:val="21"/>
          <w:highlight w:val="none"/>
          <w:lang w:bidi="ar"/>
        </w:rPr>
        <w:t>发布答疑，但不指明澄清问题的来源。如果澄清发出的时间距</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时间不足</w:t>
      </w:r>
      <w:r>
        <w:rPr>
          <w:rFonts w:ascii="宋体" w:hAnsi="宋体" w:cs="宋体"/>
          <w:color w:val="auto"/>
          <w:kern w:val="0"/>
          <w:szCs w:val="21"/>
          <w:highlight w:val="none"/>
          <w:lang w:bidi="ar"/>
        </w:rPr>
        <w:t>3</w:t>
      </w:r>
      <w:r>
        <w:rPr>
          <w:rFonts w:hint="eastAsia" w:ascii="宋体" w:hAnsi="宋体" w:cs="宋体"/>
          <w:color w:val="auto"/>
          <w:kern w:val="0"/>
          <w:szCs w:val="21"/>
          <w:highlight w:val="none"/>
          <w:lang w:bidi="ar"/>
        </w:rPr>
        <w:t>天，相应延长</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p>
    <w:p w14:paraId="2D7C84B7">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position w:val="-2"/>
          <w:szCs w:val="21"/>
          <w:highlight w:val="none"/>
          <w:lang w:bidi="ar"/>
        </w:rPr>
        <w:t xml:space="preserve">2.2.3  </w:t>
      </w:r>
      <w:r>
        <w:rPr>
          <w:rFonts w:hint="eastAsia" w:ascii="宋体" w:hAnsi="宋体" w:cs="宋体"/>
          <w:color w:val="auto"/>
          <w:kern w:val="0"/>
          <w:szCs w:val="21"/>
          <w:highlight w:val="none"/>
          <w:lang w:bidi="ar"/>
        </w:rPr>
        <w:t>补遗内容可能影响比选响应文件编制的，须在</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w:t>
      </w:r>
      <w:r>
        <w:rPr>
          <w:rFonts w:ascii="宋体" w:hAnsi="宋体" w:cs="宋体"/>
          <w:color w:val="auto"/>
          <w:kern w:val="0"/>
          <w:szCs w:val="21"/>
          <w:highlight w:val="none"/>
          <w:lang w:bidi="ar"/>
        </w:rPr>
        <w:t>3</w:t>
      </w:r>
      <w:r>
        <w:rPr>
          <w:rFonts w:hint="eastAsia" w:ascii="宋体" w:hAnsi="宋体" w:cs="MingLiU"/>
          <w:color w:val="auto"/>
          <w:kern w:val="0"/>
          <w:szCs w:val="21"/>
          <w:highlight w:val="none"/>
          <w:lang w:bidi="ar"/>
        </w:rPr>
        <w:t>日前发布，发布时间至</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时间不足</w:t>
      </w:r>
      <w:r>
        <w:rPr>
          <w:rFonts w:ascii="宋体" w:hAnsi="宋体" w:cs="MingLiU"/>
          <w:color w:val="auto"/>
          <w:kern w:val="0"/>
          <w:szCs w:val="21"/>
          <w:highlight w:val="none"/>
          <w:lang w:bidi="ar"/>
        </w:rPr>
        <w:t>3</w:t>
      </w:r>
      <w:r>
        <w:rPr>
          <w:rFonts w:hint="eastAsia" w:ascii="宋体" w:hAnsi="宋体" w:cs="MingLiU"/>
          <w:color w:val="auto"/>
          <w:kern w:val="0"/>
          <w:szCs w:val="21"/>
          <w:highlight w:val="none"/>
          <w:lang w:bidi="ar"/>
        </w:rPr>
        <w:t>日的，须相应延后</w:t>
      </w:r>
      <w:r>
        <w:rPr>
          <w:rFonts w:ascii="宋体" w:hAnsi="宋体" w:cs="MingLiU"/>
          <w:color w:val="auto"/>
          <w:kern w:val="0"/>
          <w:szCs w:val="21"/>
          <w:highlight w:val="none"/>
          <w:lang w:bidi="ar"/>
        </w:rPr>
        <w:t>报价截止</w:t>
      </w:r>
      <w:r>
        <w:rPr>
          <w:rFonts w:hint="eastAsia" w:ascii="宋体" w:hAnsi="宋体" w:cs="MingLiU"/>
          <w:color w:val="auto"/>
          <w:kern w:val="0"/>
          <w:szCs w:val="21"/>
          <w:highlight w:val="none"/>
          <w:lang w:bidi="ar"/>
        </w:rPr>
        <w:t>时间。</w:t>
      </w:r>
    </w:p>
    <w:p w14:paraId="561D0A77">
      <w:pPr>
        <w:pStyle w:val="5"/>
        <w:widowControl/>
        <w:spacing w:before="0" w:after="0" w:line="300" w:lineRule="exact"/>
        <w:rPr>
          <w:rFonts w:ascii="宋体" w:hAnsi="宋体"/>
          <w:color w:val="auto"/>
          <w:kern w:val="2"/>
          <w:sz w:val="21"/>
          <w:szCs w:val="21"/>
          <w:highlight w:val="none"/>
        </w:rPr>
      </w:pPr>
      <w:bookmarkStart w:id="320" w:name="_Toc4661444"/>
      <w:bookmarkEnd w:id="320"/>
      <w:bookmarkStart w:id="321" w:name="_Toc200513143"/>
      <w:bookmarkEnd w:id="321"/>
      <w:bookmarkStart w:id="322" w:name="_Toc287607763"/>
      <w:bookmarkEnd w:id="322"/>
      <w:bookmarkStart w:id="323" w:name="_Toc40780270"/>
      <w:bookmarkEnd w:id="323"/>
      <w:bookmarkStart w:id="324" w:name="_Toc4661922"/>
      <w:bookmarkEnd w:id="324"/>
      <w:bookmarkStart w:id="325" w:name="_Toc4661686"/>
      <w:bookmarkEnd w:id="325"/>
      <w:bookmarkStart w:id="326" w:name="_Toc224103334"/>
      <w:bookmarkEnd w:id="326"/>
      <w:bookmarkStart w:id="327" w:name="_Toc277082569"/>
      <w:bookmarkEnd w:id="327"/>
      <w:bookmarkStart w:id="328" w:name="_Toc40455288"/>
      <w:bookmarkEnd w:id="328"/>
      <w:bookmarkStart w:id="329" w:name="_Toc4662158"/>
      <w:bookmarkEnd w:id="329"/>
      <w:bookmarkStart w:id="330" w:name="_Toc24909"/>
      <w:bookmarkEnd w:id="330"/>
      <w:bookmarkStart w:id="331" w:name="_Toc40455661"/>
      <w:r>
        <w:rPr>
          <w:rFonts w:hint="eastAsia" w:ascii="宋体" w:hAnsi="宋体"/>
          <w:color w:val="auto"/>
          <w:kern w:val="2"/>
          <w:sz w:val="21"/>
          <w:szCs w:val="21"/>
          <w:highlight w:val="none"/>
        </w:rPr>
        <w:t xml:space="preserve">2.3  </w:t>
      </w:r>
      <w:bookmarkEnd w:id="331"/>
      <w:r>
        <w:rPr>
          <w:rFonts w:ascii="宋体" w:hAnsi="宋体"/>
          <w:color w:val="auto"/>
          <w:kern w:val="2"/>
          <w:sz w:val="21"/>
          <w:szCs w:val="21"/>
          <w:highlight w:val="none"/>
        </w:rPr>
        <w:t>报价</w:t>
      </w:r>
      <w:r>
        <w:rPr>
          <w:rFonts w:hint="eastAsia" w:ascii="宋体" w:hAnsi="宋体" w:cs="宋体"/>
          <w:color w:val="auto"/>
          <w:kern w:val="2"/>
          <w:sz w:val="21"/>
          <w:szCs w:val="21"/>
          <w:highlight w:val="none"/>
        </w:rPr>
        <w:t>截止时间</w:t>
      </w:r>
    </w:p>
    <w:p w14:paraId="6A0957ED">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详见报价人须知前附表。</w:t>
      </w:r>
    </w:p>
    <w:p w14:paraId="381ED8E8">
      <w:pPr>
        <w:pStyle w:val="4"/>
        <w:widowControl/>
        <w:spacing w:before="0" w:after="0" w:line="300" w:lineRule="exact"/>
        <w:rPr>
          <w:rFonts w:ascii="宋体" w:hAnsi="宋体"/>
          <w:color w:val="auto"/>
          <w:sz w:val="21"/>
          <w:szCs w:val="21"/>
          <w:highlight w:val="none"/>
        </w:rPr>
      </w:pPr>
      <w:bookmarkStart w:id="332" w:name="_Toc40455662"/>
      <w:bookmarkEnd w:id="332"/>
      <w:bookmarkStart w:id="333" w:name="_Toc14104"/>
      <w:bookmarkEnd w:id="333"/>
      <w:bookmarkStart w:id="334" w:name="_Toc4661445"/>
      <w:bookmarkEnd w:id="334"/>
      <w:bookmarkStart w:id="335" w:name="_Toc6118"/>
      <w:bookmarkEnd w:id="335"/>
      <w:bookmarkStart w:id="336" w:name="_Toc9348"/>
      <w:bookmarkEnd w:id="336"/>
      <w:bookmarkStart w:id="337" w:name="_Toc4661687"/>
      <w:bookmarkEnd w:id="337"/>
      <w:bookmarkStart w:id="338" w:name="_Toc200513144"/>
      <w:bookmarkEnd w:id="338"/>
      <w:bookmarkStart w:id="339" w:name="_Toc6279"/>
      <w:bookmarkEnd w:id="339"/>
      <w:bookmarkStart w:id="340" w:name="_Toc4662159"/>
      <w:bookmarkEnd w:id="340"/>
      <w:bookmarkStart w:id="341" w:name="_Toc4661923"/>
      <w:bookmarkEnd w:id="341"/>
      <w:bookmarkStart w:id="342" w:name="_Toc40455289"/>
      <w:bookmarkEnd w:id="342"/>
      <w:bookmarkStart w:id="343" w:name="_Toc22553"/>
      <w:bookmarkEnd w:id="343"/>
      <w:bookmarkStart w:id="344" w:name="_Toc277082570"/>
      <w:bookmarkEnd w:id="344"/>
      <w:bookmarkStart w:id="345" w:name="_Toc224103335"/>
      <w:bookmarkEnd w:id="345"/>
      <w:bookmarkStart w:id="346" w:name="_Toc287607764"/>
      <w:bookmarkEnd w:id="346"/>
      <w:bookmarkStart w:id="347" w:name="_Toc26853"/>
      <w:bookmarkStart w:id="348" w:name="_Toc228431514"/>
      <w:r>
        <w:rPr>
          <w:rFonts w:hint="eastAsia" w:ascii="宋体" w:hAnsi="宋体"/>
          <w:color w:val="auto"/>
          <w:sz w:val="21"/>
          <w:szCs w:val="21"/>
          <w:highlight w:val="none"/>
        </w:rPr>
        <w:t xml:space="preserve">3.  </w:t>
      </w:r>
      <w:bookmarkEnd w:id="347"/>
      <w:r>
        <w:rPr>
          <w:rFonts w:hint="eastAsia" w:ascii="黑体" w:hAnsi="宋体" w:cs="黑体"/>
          <w:color w:val="auto"/>
          <w:sz w:val="21"/>
          <w:szCs w:val="21"/>
          <w:highlight w:val="none"/>
        </w:rPr>
        <w:t>比选响应文件</w:t>
      </w:r>
      <w:bookmarkEnd w:id="348"/>
    </w:p>
    <w:p w14:paraId="46D108D8">
      <w:pPr>
        <w:pStyle w:val="5"/>
        <w:widowControl/>
        <w:spacing w:before="0" w:after="0" w:line="300" w:lineRule="exact"/>
        <w:rPr>
          <w:rFonts w:ascii="宋体" w:hAnsi="宋体"/>
          <w:color w:val="auto"/>
          <w:kern w:val="2"/>
          <w:sz w:val="21"/>
          <w:szCs w:val="21"/>
          <w:highlight w:val="none"/>
        </w:rPr>
      </w:pPr>
      <w:bookmarkStart w:id="349" w:name="_Toc40455290"/>
      <w:bookmarkEnd w:id="349"/>
      <w:bookmarkStart w:id="350" w:name="_Toc40780272"/>
      <w:bookmarkEnd w:id="350"/>
      <w:bookmarkStart w:id="351" w:name="_Toc32064"/>
      <w:bookmarkEnd w:id="351"/>
      <w:bookmarkStart w:id="352" w:name="_Toc40455663"/>
      <w:bookmarkEnd w:id="352"/>
      <w:bookmarkStart w:id="353" w:name="_Toc200513145"/>
      <w:bookmarkEnd w:id="353"/>
      <w:bookmarkStart w:id="354" w:name="_Toc4661446"/>
      <w:bookmarkEnd w:id="354"/>
      <w:bookmarkStart w:id="355" w:name="_Toc277082571"/>
      <w:bookmarkEnd w:id="355"/>
      <w:bookmarkStart w:id="356" w:name="_Toc287607765"/>
      <w:bookmarkEnd w:id="356"/>
      <w:bookmarkStart w:id="357" w:name="_Toc4662160"/>
      <w:bookmarkEnd w:id="357"/>
      <w:bookmarkStart w:id="358" w:name="_Toc4661688"/>
      <w:bookmarkEnd w:id="358"/>
      <w:bookmarkStart w:id="359" w:name="_Toc224103336"/>
      <w:bookmarkEnd w:id="359"/>
      <w:bookmarkStart w:id="360" w:name="_Toc4661924"/>
      <w:r>
        <w:rPr>
          <w:rFonts w:hint="eastAsia" w:ascii="宋体" w:hAnsi="宋体"/>
          <w:color w:val="auto"/>
          <w:kern w:val="2"/>
          <w:sz w:val="21"/>
          <w:szCs w:val="21"/>
          <w:highlight w:val="none"/>
        </w:rPr>
        <w:t xml:space="preserve">3.1  </w:t>
      </w:r>
      <w:bookmarkEnd w:id="360"/>
      <w:r>
        <w:rPr>
          <w:rFonts w:hint="eastAsia" w:ascii="宋体" w:hAnsi="宋体" w:cs="宋体"/>
          <w:color w:val="auto"/>
          <w:kern w:val="2"/>
          <w:sz w:val="21"/>
          <w:szCs w:val="21"/>
          <w:highlight w:val="none"/>
        </w:rPr>
        <w:t>比选响应文件的组成</w:t>
      </w:r>
    </w:p>
    <w:p w14:paraId="58B6479E">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3.1.1 </w:t>
      </w:r>
      <w:r>
        <w:rPr>
          <w:rFonts w:hint="eastAsia" w:ascii="宋体" w:hAnsi="宋体" w:cs="宋体"/>
          <w:color w:val="auto"/>
          <w:kern w:val="0"/>
          <w:szCs w:val="21"/>
          <w:highlight w:val="none"/>
          <w:lang w:bidi="ar"/>
        </w:rPr>
        <w:t>比选响应文件应包括下列内容：</w:t>
      </w:r>
    </w:p>
    <w:p w14:paraId="715239BF">
      <w:pPr>
        <w:spacing w:line="300" w:lineRule="exact"/>
        <w:ind w:firstLine="420" w:firstLineChars="200"/>
        <w:rPr>
          <w:rFonts w:ascii="宋体" w:hAnsi="宋体" w:cs="Calibri"/>
          <w:color w:val="auto"/>
          <w:szCs w:val="21"/>
          <w:highlight w:val="none"/>
        </w:rPr>
      </w:pPr>
      <w:r>
        <w:rPr>
          <w:rFonts w:hint="eastAsia" w:ascii="宋体" w:hAnsi="宋体" w:cs="Calibri"/>
          <w:color w:val="auto"/>
          <w:szCs w:val="21"/>
          <w:highlight w:val="none"/>
          <w:lang w:bidi="ar"/>
        </w:rPr>
        <w:t xml:space="preserve">3.1.1.1 </w:t>
      </w:r>
      <w:r>
        <w:rPr>
          <w:rFonts w:hint="eastAsia" w:ascii="宋体" w:hAnsi="宋体" w:cs="宋体"/>
          <w:color w:val="auto"/>
          <w:szCs w:val="21"/>
          <w:highlight w:val="none"/>
          <w:lang w:bidi="ar"/>
        </w:rPr>
        <w:t>比选响应文件及报价人与采购人之间与</w:t>
      </w:r>
      <w:r>
        <w:rPr>
          <w:rFonts w:ascii="宋体" w:hAnsi="宋体" w:cs="宋体"/>
          <w:color w:val="auto"/>
          <w:szCs w:val="21"/>
          <w:highlight w:val="none"/>
          <w:lang w:bidi="ar"/>
        </w:rPr>
        <w:t>报价</w:t>
      </w:r>
      <w:r>
        <w:rPr>
          <w:rFonts w:hint="eastAsia" w:ascii="宋体" w:hAnsi="宋体" w:cs="宋体"/>
          <w:color w:val="auto"/>
          <w:szCs w:val="21"/>
          <w:highlight w:val="none"/>
          <w:lang w:bidi="ar"/>
        </w:rPr>
        <w:t>有关的来往通知、函件和文件均应使用中文。</w:t>
      </w:r>
    </w:p>
    <w:p w14:paraId="58D333D5">
      <w:pPr>
        <w:spacing w:line="300" w:lineRule="exact"/>
        <w:ind w:firstLine="420" w:firstLineChars="200"/>
        <w:rPr>
          <w:rFonts w:ascii="宋体" w:hAnsi="宋体" w:cs="Calibri"/>
          <w:color w:val="auto"/>
          <w:szCs w:val="21"/>
          <w:highlight w:val="none"/>
        </w:rPr>
      </w:pPr>
      <w:r>
        <w:rPr>
          <w:rFonts w:hint="eastAsia" w:ascii="宋体" w:hAnsi="宋体" w:cs="Calibri"/>
          <w:color w:val="auto"/>
          <w:szCs w:val="21"/>
          <w:highlight w:val="none"/>
          <w:lang w:bidi="ar"/>
        </w:rPr>
        <w:t>3.1.1.2比选响应文件由以下内容组成：</w:t>
      </w:r>
    </w:p>
    <w:p w14:paraId="7A961491">
      <w:pPr>
        <w:spacing w:line="300" w:lineRule="exact"/>
        <w:ind w:firstLine="420" w:firstLineChars="200"/>
        <w:rPr>
          <w:rFonts w:ascii="宋体" w:hAnsi="宋体" w:cs="Calibri"/>
          <w:color w:val="auto"/>
          <w:szCs w:val="21"/>
          <w:highlight w:val="none"/>
        </w:rPr>
      </w:pPr>
      <w:r>
        <w:rPr>
          <w:rFonts w:hint="eastAsia" w:ascii="宋体" w:hAnsi="宋体" w:cs="宋体"/>
          <w:color w:val="auto"/>
          <w:szCs w:val="21"/>
          <w:highlight w:val="none"/>
          <w:lang w:bidi="ar"/>
        </w:rPr>
        <w:t>详见第九章</w:t>
      </w:r>
    </w:p>
    <w:p w14:paraId="53D9BBCE">
      <w:pPr>
        <w:pStyle w:val="5"/>
        <w:widowControl/>
        <w:spacing w:before="0" w:after="0" w:line="300" w:lineRule="exact"/>
        <w:rPr>
          <w:rFonts w:ascii="宋体" w:hAnsi="宋体"/>
          <w:color w:val="auto"/>
          <w:kern w:val="2"/>
          <w:sz w:val="21"/>
          <w:szCs w:val="21"/>
          <w:highlight w:val="none"/>
        </w:rPr>
      </w:pPr>
      <w:bookmarkStart w:id="361" w:name="_Toc287607766"/>
      <w:bookmarkEnd w:id="361"/>
      <w:bookmarkStart w:id="362" w:name="_Toc40455291"/>
      <w:bookmarkEnd w:id="362"/>
      <w:bookmarkStart w:id="363" w:name="_Toc40780273"/>
      <w:bookmarkEnd w:id="363"/>
      <w:bookmarkStart w:id="364" w:name="_Toc40455664"/>
      <w:bookmarkEnd w:id="364"/>
      <w:bookmarkStart w:id="365" w:name="_Toc27743"/>
      <w:bookmarkEnd w:id="365"/>
      <w:bookmarkStart w:id="366" w:name="_Toc277082572"/>
      <w:bookmarkEnd w:id="366"/>
      <w:bookmarkStart w:id="367" w:name="_Toc200513146"/>
      <w:bookmarkEnd w:id="367"/>
      <w:bookmarkStart w:id="368" w:name="_Toc224103337"/>
      <w:bookmarkEnd w:id="368"/>
      <w:bookmarkStart w:id="369" w:name="_Toc4661925"/>
      <w:bookmarkEnd w:id="369"/>
      <w:bookmarkStart w:id="370" w:name="_Toc4661689"/>
      <w:bookmarkEnd w:id="370"/>
      <w:bookmarkStart w:id="371" w:name="_Toc4661447"/>
      <w:bookmarkEnd w:id="371"/>
      <w:bookmarkStart w:id="372" w:name="_Toc4662161"/>
      <w:r>
        <w:rPr>
          <w:rFonts w:hint="eastAsia" w:ascii="宋体" w:hAnsi="宋体"/>
          <w:color w:val="auto"/>
          <w:kern w:val="2"/>
          <w:sz w:val="21"/>
          <w:szCs w:val="21"/>
          <w:highlight w:val="none"/>
        </w:rPr>
        <w:t xml:space="preserve">3.2  </w:t>
      </w:r>
      <w:bookmarkEnd w:id="372"/>
      <w:r>
        <w:rPr>
          <w:rFonts w:hint="eastAsia" w:ascii="宋体" w:hAnsi="宋体" w:cs="宋体"/>
          <w:color w:val="auto"/>
          <w:kern w:val="2"/>
          <w:sz w:val="21"/>
          <w:szCs w:val="21"/>
          <w:highlight w:val="none"/>
        </w:rPr>
        <w:t>报价</w:t>
      </w:r>
    </w:p>
    <w:p w14:paraId="2A31DA0B">
      <w:pPr>
        <w:spacing w:line="300" w:lineRule="exact"/>
        <w:ind w:firstLine="420" w:firstLineChars="200"/>
        <w:rPr>
          <w:rFonts w:ascii="宋体" w:hAnsi="宋体" w:cs="MingLiU"/>
          <w:color w:val="auto"/>
          <w:kern w:val="0"/>
          <w:szCs w:val="21"/>
          <w:highlight w:val="none"/>
        </w:rPr>
      </w:pPr>
      <w:r>
        <w:rPr>
          <w:rFonts w:hint="eastAsia" w:ascii="宋体" w:hAnsi="宋体" w:cs="宋体"/>
          <w:color w:val="auto"/>
          <w:kern w:val="0"/>
          <w:szCs w:val="21"/>
          <w:highlight w:val="none"/>
          <w:lang w:bidi="ar"/>
        </w:rPr>
        <w:t>见本章报价人须知前附表。</w:t>
      </w:r>
      <w:bookmarkStart w:id="373" w:name="_Toc4661926"/>
      <w:bookmarkEnd w:id="373"/>
      <w:bookmarkStart w:id="374" w:name="_Toc287607767"/>
      <w:bookmarkEnd w:id="374"/>
      <w:bookmarkStart w:id="375" w:name="_Toc4661448"/>
      <w:bookmarkEnd w:id="375"/>
      <w:bookmarkStart w:id="376" w:name="_Toc20908"/>
      <w:bookmarkEnd w:id="376"/>
      <w:bookmarkStart w:id="377" w:name="_Toc40780274"/>
      <w:bookmarkEnd w:id="377"/>
      <w:bookmarkStart w:id="378" w:name="_Toc40455665"/>
      <w:bookmarkEnd w:id="378"/>
      <w:bookmarkStart w:id="379" w:name="_Toc224103338"/>
      <w:bookmarkEnd w:id="379"/>
      <w:bookmarkStart w:id="380" w:name="_Toc4661690"/>
      <w:bookmarkEnd w:id="380"/>
      <w:bookmarkStart w:id="381" w:name="_Toc200513147"/>
      <w:bookmarkEnd w:id="381"/>
      <w:bookmarkStart w:id="382" w:name="_Toc277082573"/>
      <w:bookmarkEnd w:id="382"/>
      <w:bookmarkStart w:id="383" w:name="_Toc4662162"/>
      <w:bookmarkEnd w:id="383"/>
    </w:p>
    <w:p w14:paraId="3B33AE67">
      <w:pPr>
        <w:pStyle w:val="5"/>
        <w:widowControl/>
        <w:spacing w:before="0" w:after="0" w:line="300" w:lineRule="exact"/>
        <w:rPr>
          <w:rFonts w:ascii="宋体" w:hAnsi="宋体"/>
          <w:color w:val="auto"/>
          <w:kern w:val="2"/>
          <w:sz w:val="21"/>
          <w:szCs w:val="21"/>
          <w:highlight w:val="none"/>
        </w:rPr>
      </w:pPr>
      <w:bookmarkStart w:id="384" w:name="_Toc224103339"/>
      <w:bookmarkEnd w:id="384"/>
      <w:bookmarkStart w:id="385" w:name="_Toc200513148"/>
      <w:bookmarkEnd w:id="385"/>
      <w:bookmarkStart w:id="386" w:name="_Toc277082574"/>
      <w:bookmarkEnd w:id="386"/>
      <w:bookmarkStart w:id="387" w:name="_Toc4661691"/>
      <w:bookmarkEnd w:id="387"/>
      <w:bookmarkStart w:id="388" w:name="_Toc4661449"/>
      <w:bookmarkEnd w:id="388"/>
      <w:bookmarkStart w:id="389" w:name="_Toc4662163"/>
      <w:bookmarkEnd w:id="389"/>
      <w:bookmarkStart w:id="390" w:name="_Toc4661927"/>
      <w:bookmarkEnd w:id="390"/>
      <w:bookmarkStart w:id="391" w:name="_Toc40455666"/>
      <w:bookmarkEnd w:id="391"/>
      <w:bookmarkStart w:id="392" w:name="_Toc287607768"/>
      <w:bookmarkEnd w:id="392"/>
      <w:bookmarkStart w:id="393" w:name="_Toc40455293"/>
      <w:bookmarkEnd w:id="393"/>
      <w:bookmarkStart w:id="394" w:name="_Toc40780275"/>
      <w:bookmarkEnd w:id="394"/>
      <w:bookmarkStart w:id="395" w:name="_Toc25463"/>
      <w:r>
        <w:rPr>
          <w:rFonts w:hint="eastAsia" w:ascii="宋体" w:hAnsi="宋体"/>
          <w:color w:val="auto"/>
          <w:kern w:val="2"/>
          <w:sz w:val="21"/>
          <w:szCs w:val="21"/>
          <w:highlight w:val="none"/>
        </w:rPr>
        <w:t xml:space="preserve">3.3  </w:t>
      </w:r>
      <w:bookmarkEnd w:id="395"/>
      <w:r>
        <w:rPr>
          <w:rFonts w:hint="eastAsia" w:ascii="宋体" w:hAnsi="宋体" w:cs="宋体"/>
          <w:color w:val="auto"/>
          <w:kern w:val="2"/>
          <w:sz w:val="21"/>
          <w:szCs w:val="21"/>
          <w:highlight w:val="none"/>
        </w:rPr>
        <w:t>保证金</w:t>
      </w:r>
    </w:p>
    <w:p w14:paraId="48109EA4">
      <w:pPr>
        <w:autoSpaceDE w:val="0"/>
        <w:autoSpaceDN w:val="0"/>
        <w:adjustRightInd w:val="0"/>
        <w:spacing w:line="300" w:lineRule="exact"/>
        <w:ind w:firstLine="420" w:firstLineChars="20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3.3.1  </w:t>
      </w:r>
      <w:r>
        <w:rPr>
          <w:rFonts w:hint="eastAsia" w:ascii="宋体" w:hAnsi="宋体" w:cs="宋体"/>
          <w:color w:val="auto"/>
          <w:kern w:val="0"/>
          <w:szCs w:val="21"/>
          <w:highlight w:val="none"/>
          <w:lang w:bidi="ar"/>
        </w:rPr>
        <w:t>报价人在递交比选响应文件的同时，应按报价人须知前附表规定的金额、担保形式递交投标保证金，并作为其比选响应文件的组成部分。联合体</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的，其投标保证金由牵头人递交，并应符合报价人须知前附表的规定。</w:t>
      </w:r>
    </w:p>
    <w:p w14:paraId="560030A8">
      <w:pPr>
        <w:autoSpaceDE w:val="0"/>
        <w:autoSpaceDN w:val="0"/>
        <w:adjustRightInd w:val="0"/>
        <w:spacing w:line="300" w:lineRule="exact"/>
        <w:ind w:left="13" w:leftChars="6" w:firstLine="403" w:firstLineChars="19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3.3.2  </w:t>
      </w:r>
      <w:r>
        <w:rPr>
          <w:rFonts w:hint="eastAsia" w:ascii="宋体" w:hAnsi="宋体" w:cs="宋体"/>
          <w:color w:val="auto"/>
          <w:kern w:val="0"/>
          <w:szCs w:val="21"/>
          <w:highlight w:val="none"/>
          <w:lang w:bidi="ar"/>
        </w:rPr>
        <w:t>报价人不按报价人须知前附表要求提交投标保证金的，其比选响应文件作否决</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处理。</w:t>
      </w:r>
    </w:p>
    <w:p w14:paraId="52D14DD4">
      <w:pPr>
        <w:autoSpaceDE w:val="0"/>
        <w:autoSpaceDN w:val="0"/>
        <w:adjustRightInd w:val="0"/>
        <w:spacing w:line="300" w:lineRule="exact"/>
        <w:ind w:left="13" w:leftChars="6" w:firstLine="403" w:firstLineChars="192"/>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3.3.3  </w:t>
      </w:r>
      <w:r>
        <w:rPr>
          <w:rFonts w:hint="eastAsia" w:ascii="宋体" w:hAnsi="宋体" w:cs="宋体"/>
          <w:color w:val="auto"/>
          <w:kern w:val="0"/>
          <w:szCs w:val="21"/>
          <w:highlight w:val="none"/>
          <w:lang w:bidi="ar"/>
        </w:rPr>
        <w:t>投标</w:t>
      </w:r>
      <w:r>
        <w:rPr>
          <w:rFonts w:hint="eastAsia" w:ascii="宋体" w:hAnsi="宋体" w:cs="宋体"/>
          <w:color w:val="auto"/>
          <w:kern w:val="0"/>
          <w:position w:val="-2"/>
          <w:szCs w:val="21"/>
          <w:highlight w:val="none"/>
          <w:lang w:bidi="ar"/>
        </w:rPr>
        <w:t>保证金</w:t>
      </w:r>
      <w:r>
        <w:rPr>
          <w:rFonts w:hint="eastAsia" w:ascii="宋体" w:hAnsi="宋体" w:cs="宋体"/>
          <w:color w:val="auto"/>
          <w:kern w:val="0"/>
          <w:szCs w:val="21"/>
          <w:highlight w:val="none"/>
          <w:lang w:bidi="ar"/>
        </w:rPr>
        <w:t>退还：见报价人须知前附表</w:t>
      </w:r>
      <w:r>
        <w:rPr>
          <w:rFonts w:hint="eastAsia" w:ascii="宋体" w:hAnsi="宋体" w:cs="宋体"/>
          <w:color w:val="auto"/>
          <w:kern w:val="0"/>
          <w:position w:val="-2"/>
          <w:szCs w:val="21"/>
          <w:highlight w:val="none"/>
          <w:lang w:bidi="ar"/>
        </w:rPr>
        <w:t>。</w:t>
      </w:r>
    </w:p>
    <w:p w14:paraId="0B649B7A">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3.3.4  </w:t>
      </w:r>
      <w:r>
        <w:rPr>
          <w:rFonts w:hint="eastAsia" w:ascii="宋体" w:hAnsi="宋体" w:cs="宋体"/>
          <w:color w:val="auto"/>
          <w:kern w:val="0"/>
          <w:szCs w:val="21"/>
          <w:highlight w:val="none"/>
          <w:lang w:bidi="ar"/>
        </w:rPr>
        <w:t>有下列情形之一的，投标保证金将不予退还：</w:t>
      </w:r>
    </w:p>
    <w:p w14:paraId="3AC620A7">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1</w:t>
      </w:r>
      <w:r>
        <w:rPr>
          <w:rFonts w:hint="eastAsia" w:ascii="宋体" w:hAnsi="宋体" w:cs="宋体"/>
          <w:color w:val="auto"/>
          <w:kern w:val="0"/>
          <w:szCs w:val="21"/>
          <w:highlight w:val="none"/>
          <w:lang w:bidi="ar"/>
        </w:rPr>
        <w:t>）报价人在规定的投标有效期内撤销或修改其比选响应文件；</w:t>
      </w:r>
    </w:p>
    <w:p w14:paraId="292B768A">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Calibri"/>
          <w:color w:val="auto"/>
          <w:kern w:val="0"/>
          <w:szCs w:val="21"/>
          <w:highlight w:val="none"/>
          <w:lang w:bidi="ar"/>
        </w:rPr>
        <w:t>2</w:t>
      </w:r>
      <w:r>
        <w:rPr>
          <w:rFonts w:hint="eastAsia" w:ascii="宋体" w:hAnsi="宋体" w:cs="宋体"/>
          <w:color w:val="auto"/>
          <w:kern w:val="0"/>
          <w:szCs w:val="21"/>
          <w:highlight w:val="none"/>
          <w:lang w:bidi="ar"/>
        </w:rPr>
        <w:t>）中标人在收到中标通知书后，无正当理由拒签合同协议书或未按竞争性比选文件规定提交履约担保；</w:t>
      </w:r>
    </w:p>
    <w:p w14:paraId="3D6E32CC">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3）法律法规和本竞争性比选文件规定的其他情形。</w:t>
      </w:r>
    </w:p>
    <w:p w14:paraId="7A7C213F">
      <w:pPr>
        <w:pStyle w:val="5"/>
        <w:widowControl/>
        <w:spacing w:before="0" w:after="0" w:line="300" w:lineRule="exact"/>
        <w:rPr>
          <w:rFonts w:ascii="宋体" w:hAnsi="宋体"/>
          <w:color w:val="auto"/>
          <w:kern w:val="2"/>
          <w:sz w:val="21"/>
          <w:szCs w:val="21"/>
          <w:highlight w:val="none"/>
        </w:rPr>
      </w:pPr>
      <w:bookmarkStart w:id="396" w:name="_Toc7158"/>
      <w:bookmarkEnd w:id="396"/>
      <w:bookmarkStart w:id="397" w:name="_Toc4662164"/>
      <w:bookmarkEnd w:id="397"/>
      <w:bookmarkStart w:id="398" w:name="_Toc277082576"/>
      <w:bookmarkEnd w:id="398"/>
      <w:bookmarkStart w:id="399" w:name="_Toc4661692"/>
      <w:bookmarkEnd w:id="399"/>
      <w:bookmarkStart w:id="400" w:name="_Toc287607770"/>
      <w:bookmarkEnd w:id="400"/>
      <w:bookmarkStart w:id="401" w:name="_Toc40455294"/>
      <w:bookmarkEnd w:id="401"/>
      <w:bookmarkStart w:id="402" w:name="_Toc4661928"/>
      <w:bookmarkEnd w:id="402"/>
      <w:bookmarkStart w:id="403" w:name="_Toc40455667"/>
      <w:bookmarkEnd w:id="403"/>
      <w:bookmarkStart w:id="404" w:name="_Toc200513150"/>
      <w:bookmarkEnd w:id="404"/>
      <w:bookmarkStart w:id="405" w:name="_Toc40780276"/>
      <w:bookmarkEnd w:id="405"/>
      <w:bookmarkStart w:id="406" w:name="_Toc224103341"/>
      <w:bookmarkEnd w:id="406"/>
      <w:bookmarkStart w:id="407" w:name="_Toc4661450"/>
      <w:r>
        <w:rPr>
          <w:rFonts w:hint="eastAsia" w:ascii="宋体" w:hAnsi="宋体"/>
          <w:color w:val="auto"/>
          <w:kern w:val="2"/>
          <w:sz w:val="21"/>
          <w:szCs w:val="21"/>
          <w:highlight w:val="none"/>
        </w:rPr>
        <w:t xml:space="preserve">3.4  </w:t>
      </w:r>
      <w:bookmarkEnd w:id="407"/>
      <w:r>
        <w:rPr>
          <w:rFonts w:hint="eastAsia" w:ascii="宋体" w:hAnsi="宋体" w:cs="宋体"/>
          <w:color w:val="auto"/>
          <w:kern w:val="2"/>
          <w:sz w:val="21"/>
          <w:szCs w:val="21"/>
          <w:highlight w:val="none"/>
        </w:rPr>
        <w:t>资格审查资料</w:t>
      </w:r>
    </w:p>
    <w:p w14:paraId="0A07B01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详见报价人须知前附表。</w:t>
      </w:r>
    </w:p>
    <w:p w14:paraId="6F89BD88">
      <w:pPr>
        <w:pStyle w:val="5"/>
        <w:widowControl/>
        <w:spacing w:before="0" w:after="0" w:line="300" w:lineRule="exact"/>
        <w:rPr>
          <w:rFonts w:ascii="宋体" w:hAnsi="宋体"/>
          <w:color w:val="auto"/>
          <w:kern w:val="2"/>
          <w:sz w:val="21"/>
          <w:szCs w:val="21"/>
          <w:highlight w:val="none"/>
        </w:rPr>
      </w:pPr>
      <w:bookmarkStart w:id="408" w:name="_Toc40780277"/>
      <w:bookmarkEnd w:id="408"/>
      <w:bookmarkStart w:id="409" w:name="_Toc200513151"/>
      <w:bookmarkEnd w:id="409"/>
      <w:bookmarkStart w:id="410" w:name="_Toc4661693"/>
      <w:bookmarkEnd w:id="410"/>
      <w:bookmarkStart w:id="411" w:name="_Toc287607771"/>
      <w:bookmarkEnd w:id="411"/>
      <w:bookmarkStart w:id="412" w:name="_Toc20488"/>
      <w:bookmarkEnd w:id="412"/>
      <w:bookmarkStart w:id="413" w:name="_Toc224103342"/>
      <w:bookmarkEnd w:id="413"/>
      <w:bookmarkStart w:id="414" w:name="_Toc4661451"/>
      <w:bookmarkEnd w:id="414"/>
      <w:bookmarkStart w:id="415" w:name="_Toc40455668"/>
      <w:bookmarkEnd w:id="415"/>
      <w:bookmarkStart w:id="416" w:name="_Toc40455295"/>
      <w:bookmarkEnd w:id="416"/>
      <w:bookmarkStart w:id="417" w:name="_Toc277082577"/>
      <w:bookmarkEnd w:id="417"/>
      <w:bookmarkStart w:id="418" w:name="_Toc4662165"/>
      <w:bookmarkEnd w:id="418"/>
      <w:bookmarkStart w:id="419" w:name="_Toc4661929"/>
      <w:r>
        <w:rPr>
          <w:rFonts w:hint="eastAsia" w:ascii="宋体" w:hAnsi="宋体"/>
          <w:color w:val="auto"/>
          <w:kern w:val="2"/>
          <w:sz w:val="21"/>
          <w:szCs w:val="21"/>
          <w:highlight w:val="none"/>
        </w:rPr>
        <w:t xml:space="preserve">3.5 </w:t>
      </w:r>
      <w:bookmarkEnd w:id="419"/>
      <w:r>
        <w:rPr>
          <w:rFonts w:hint="eastAsia" w:ascii="宋体" w:hAnsi="宋体" w:cs="宋体"/>
          <w:color w:val="auto"/>
          <w:kern w:val="2"/>
          <w:sz w:val="21"/>
          <w:szCs w:val="21"/>
          <w:highlight w:val="none"/>
        </w:rPr>
        <w:t>备选</w:t>
      </w:r>
      <w:r>
        <w:rPr>
          <w:rFonts w:ascii="宋体" w:hAnsi="宋体" w:cs="宋体"/>
          <w:color w:val="auto"/>
          <w:kern w:val="2"/>
          <w:sz w:val="21"/>
          <w:szCs w:val="21"/>
          <w:highlight w:val="none"/>
        </w:rPr>
        <w:t>报价</w:t>
      </w:r>
      <w:r>
        <w:rPr>
          <w:rFonts w:hint="eastAsia" w:ascii="宋体" w:hAnsi="宋体" w:cs="宋体"/>
          <w:color w:val="auto"/>
          <w:kern w:val="2"/>
          <w:sz w:val="21"/>
          <w:szCs w:val="21"/>
          <w:highlight w:val="none"/>
        </w:rPr>
        <w:t>方案</w:t>
      </w:r>
    </w:p>
    <w:p w14:paraId="7174EB44">
      <w:pPr>
        <w:autoSpaceDE w:val="0"/>
        <w:autoSpaceDN w:val="0"/>
        <w:adjustRightInd w:val="0"/>
        <w:spacing w:line="300" w:lineRule="exact"/>
        <w:ind w:left="120" w:right="-109" w:firstLine="420"/>
        <w:jc w:val="left"/>
        <w:rPr>
          <w:rFonts w:ascii="宋体" w:hAnsi="宋体" w:cs="黑体"/>
          <w:color w:val="auto"/>
          <w:kern w:val="0"/>
          <w:szCs w:val="21"/>
          <w:highlight w:val="none"/>
        </w:rPr>
      </w:pPr>
      <w:bookmarkStart w:id="420" w:name="_Toc277082578"/>
      <w:bookmarkEnd w:id="420"/>
      <w:bookmarkStart w:id="421" w:name="_Toc4661452"/>
      <w:bookmarkEnd w:id="421"/>
      <w:bookmarkStart w:id="422" w:name="_Toc287607772"/>
      <w:bookmarkEnd w:id="422"/>
      <w:bookmarkStart w:id="423" w:name="_Toc4661694"/>
      <w:bookmarkEnd w:id="423"/>
      <w:bookmarkStart w:id="424" w:name="_Toc224103343"/>
      <w:bookmarkEnd w:id="424"/>
      <w:bookmarkStart w:id="425" w:name="_Toc4661930"/>
      <w:bookmarkEnd w:id="425"/>
      <w:bookmarkStart w:id="426" w:name="_Toc200513152"/>
      <w:bookmarkEnd w:id="426"/>
      <w:bookmarkStart w:id="427" w:name="_Toc4662166"/>
      <w:r>
        <w:rPr>
          <w:rFonts w:hint="eastAsia" w:ascii="宋体" w:hAnsi="宋体" w:cs="宋体"/>
          <w:color w:val="auto"/>
          <w:kern w:val="0"/>
          <w:szCs w:val="21"/>
          <w:highlight w:val="none"/>
          <w:lang w:bidi="ar"/>
        </w:rPr>
        <w:t>采购人不接受报价人的备选</w:t>
      </w:r>
      <w:r>
        <w:rPr>
          <w:rFonts w:ascii="宋体" w:hAnsi="宋体" w:cs="宋体"/>
          <w:color w:val="auto"/>
          <w:kern w:val="0"/>
          <w:szCs w:val="21"/>
          <w:highlight w:val="none"/>
          <w:lang w:bidi="ar"/>
        </w:rPr>
        <w:t>报价</w:t>
      </w:r>
      <w:r>
        <w:rPr>
          <w:rFonts w:hint="eastAsia" w:ascii="宋体" w:hAnsi="宋体" w:cs="宋体"/>
          <w:color w:val="auto"/>
          <w:kern w:val="0"/>
          <w:szCs w:val="21"/>
          <w:highlight w:val="none"/>
          <w:lang w:bidi="ar"/>
        </w:rPr>
        <w:t>方案。</w:t>
      </w:r>
      <w:bookmarkEnd w:id="427"/>
    </w:p>
    <w:p w14:paraId="66C89782">
      <w:pPr>
        <w:pStyle w:val="5"/>
        <w:widowControl/>
        <w:spacing w:before="0" w:after="0" w:line="300" w:lineRule="exact"/>
        <w:rPr>
          <w:rFonts w:ascii="宋体" w:hAnsi="宋体"/>
          <w:color w:val="auto"/>
          <w:kern w:val="2"/>
          <w:sz w:val="21"/>
          <w:szCs w:val="21"/>
          <w:highlight w:val="none"/>
        </w:rPr>
      </w:pPr>
      <w:bookmarkStart w:id="428" w:name="_Toc26001"/>
      <w:bookmarkEnd w:id="428"/>
      <w:bookmarkStart w:id="429" w:name="_Toc40780278"/>
      <w:bookmarkEnd w:id="429"/>
      <w:bookmarkStart w:id="430" w:name="_Toc40455669"/>
      <w:bookmarkEnd w:id="430"/>
      <w:bookmarkStart w:id="431" w:name="_Toc40455296"/>
      <w:r>
        <w:rPr>
          <w:rFonts w:hint="eastAsia" w:ascii="宋体" w:hAnsi="宋体"/>
          <w:color w:val="auto"/>
          <w:kern w:val="2"/>
          <w:sz w:val="21"/>
          <w:szCs w:val="21"/>
          <w:highlight w:val="none"/>
        </w:rPr>
        <w:t>3</w:t>
      </w:r>
      <w:bookmarkEnd w:id="431"/>
      <w:r>
        <w:rPr>
          <w:rFonts w:hint="eastAsia" w:ascii="宋体" w:hAnsi="宋体"/>
          <w:color w:val="auto"/>
          <w:kern w:val="2"/>
          <w:sz w:val="21"/>
          <w:szCs w:val="21"/>
          <w:highlight w:val="none"/>
        </w:rPr>
        <w:t xml:space="preserve">.6  </w:t>
      </w:r>
      <w:r>
        <w:rPr>
          <w:rFonts w:hint="eastAsia" w:ascii="宋体" w:hAnsi="宋体" w:cs="宋体"/>
          <w:color w:val="auto"/>
          <w:kern w:val="2"/>
          <w:sz w:val="21"/>
          <w:szCs w:val="21"/>
          <w:highlight w:val="none"/>
        </w:rPr>
        <w:t>比选响应文件的编制</w:t>
      </w:r>
    </w:p>
    <w:p w14:paraId="5263E617">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3.6.1  </w:t>
      </w:r>
      <w:r>
        <w:rPr>
          <w:rFonts w:hint="eastAsia" w:ascii="宋体" w:hAnsi="宋体" w:cs="宋体"/>
          <w:color w:val="auto"/>
          <w:kern w:val="0"/>
          <w:szCs w:val="21"/>
          <w:highlight w:val="none"/>
          <w:lang w:bidi="ar"/>
        </w:rPr>
        <w:t>比选响应文件应按第九章</w:t>
      </w:r>
      <w:r>
        <w:rPr>
          <w:rFonts w:hint="eastAsia" w:ascii="宋体" w:hAnsi="宋体" w:cs="MingLiU"/>
          <w:color w:val="auto"/>
          <w:kern w:val="0"/>
          <w:szCs w:val="21"/>
          <w:highlight w:val="none"/>
          <w:lang w:bidi="ar"/>
        </w:rPr>
        <w:t>“比选响应文件格式”进行编写，如有必要，可以增加附页，作为比选响应文件的组成部分。</w:t>
      </w:r>
    </w:p>
    <w:p w14:paraId="4C6BF44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3.6.2  </w:t>
      </w:r>
      <w:r>
        <w:rPr>
          <w:rFonts w:hint="eastAsia" w:ascii="宋体" w:hAnsi="宋体" w:cs="宋体"/>
          <w:color w:val="auto"/>
          <w:kern w:val="0"/>
          <w:szCs w:val="21"/>
          <w:highlight w:val="none"/>
          <w:lang w:bidi="ar"/>
        </w:rPr>
        <w:t>比选响应文件应当对竞争性比选文件有关工期、投标有效期、质量要求、技术标准和要求、服务要求、竞争性比选范围等实质性内容做出响应。</w:t>
      </w:r>
    </w:p>
    <w:p w14:paraId="3F6FD7DB">
      <w:pPr>
        <w:autoSpaceDE w:val="0"/>
        <w:autoSpaceDN w:val="0"/>
        <w:adjustRightInd w:val="0"/>
        <w:spacing w:line="300" w:lineRule="exact"/>
        <w:ind w:firstLine="424" w:firstLineChars="202"/>
        <w:jc w:val="left"/>
        <w:rPr>
          <w:rFonts w:ascii="宋体" w:hAnsi="宋体" w:cs="MingLiU"/>
          <w:color w:val="auto"/>
          <w:kern w:val="0"/>
          <w:szCs w:val="21"/>
          <w:highlight w:val="none"/>
        </w:rPr>
      </w:pPr>
      <w:r>
        <w:rPr>
          <w:rFonts w:hint="eastAsia" w:ascii="宋体" w:hAnsi="宋体" w:cs="Calibri"/>
          <w:color w:val="auto"/>
          <w:kern w:val="0"/>
          <w:position w:val="-2"/>
          <w:szCs w:val="21"/>
          <w:highlight w:val="none"/>
          <w:lang w:bidi="ar"/>
        </w:rPr>
        <w:t xml:space="preserve">3.6.3  </w:t>
      </w:r>
      <w:r>
        <w:rPr>
          <w:rFonts w:hint="eastAsia" w:ascii="宋体" w:hAnsi="宋体" w:cs="宋体"/>
          <w:color w:val="auto"/>
          <w:kern w:val="0"/>
          <w:position w:val="-2"/>
          <w:szCs w:val="21"/>
          <w:highlight w:val="none"/>
          <w:lang w:bidi="ar"/>
        </w:rPr>
        <w:t>比选响应文件应用不褪色的材料书写或打印，并由报价人的法定代表人或其委托代理</w:t>
      </w:r>
      <w:r>
        <w:rPr>
          <w:rFonts w:hint="eastAsia" w:ascii="宋体" w:hAnsi="宋体" w:cs="宋体"/>
          <w:color w:val="auto"/>
          <w:kern w:val="0"/>
          <w:szCs w:val="21"/>
          <w:highlight w:val="none"/>
          <w:lang w:bidi="ar"/>
        </w:rPr>
        <w:t>人签字、盖单位</w:t>
      </w:r>
      <w:r>
        <w:rPr>
          <w:rFonts w:hint="eastAsia" w:hAnsi="宋体"/>
          <w:color w:val="auto"/>
          <w:szCs w:val="21"/>
          <w:highlight w:val="none"/>
        </w:rPr>
        <w:t>公章</w:t>
      </w:r>
      <w:r>
        <w:rPr>
          <w:rFonts w:hint="eastAsia" w:ascii="宋体" w:hAnsi="宋体" w:cs="宋体"/>
          <w:color w:val="auto"/>
          <w:kern w:val="0"/>
          <w:szCs w:val="21"/>
          <w:highlight w:val="none"/>
          <w:lang w:bidi="ar"/>
        </w:rPr>
        <w:t>。委托代理人签字的，比选响应文件应附法定代表人签署的授权委托书。比选响应文件应尽量避免涂改、行间插字或删除。如果出现上述情况，改动之处应加盖单位</w:t>
      </w:r>
      <w:r>
        <w:rPr>
          <w:rFonts w:hint="eastAsia" w:hAnsi="宋体"/>
          <w:color w:val="auto"/>
          <w:szCs w:val="21"/>
          <w:highlight w:val="none"/>
        </w:rPr>
        <w:t>公章</w:t>
      </w:r>
      <w:r>
        <w:rPr>
          <w:rFonts w:hint="eastAsia" w:ascii="宋体" w:hAnsi="宋体" w:cs="宋体"/>
          <w:color w:val="auto"/>
          <w:kern w:val="0"/>
          <w:szCs w:val="21"/>
          <w:highlight w:val="none"/>
          <w:lang w:bidi="ar"/>
        </w:rPr>
        <w:t>或由报价人的法定代表人或其授权的代理人签字确认。签字或盖章的具体要求见报价人须知前附表。</w:t>
      </w:r>
    </w:p>
    <w:p w14:paraId="56D85187">
      <w:pPr>
        <w:autoSpaceDE w:val="0"/>
        <w:autoSpaceDN w:val="0"/>
        <w:adjustRightInd w:val="0"/>
        <w:spacing w:line="300" w:lineRule="exact"/>
        <w:ind w:right="-164" w:firstLine="426"/>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3.6.4  </w:t>
      </w:r>
      <w:r>
        <w:rPr>
          <w:rFonts w:hint="eastAsia" w:ascii="宋体" w:hAnsi="宋体" w:cs="宋体"/>
          <w:color w:val="auto"/>
          <w:kern w:val="0"/>
          <w:szCs w:val="21"/>
          <w:highlight w:val="none"/>
          <w:lang w:bidi="ar"/>
        </w:rPr>
        <w:t>比选响应文件正本一份，副本份数见报价人须知前附表。正本和副本的封面上应清楚地标记</w:t>
      </w:r>
      <w:r>
        <w:rPr>
          <w:rFonts w:hint="eastAsia" w:ascii="宋体" w:hAnsi="宋体" w:cs="MingLiU"/>
          <w:color w:val="auto"/>
          <w:kern w:val="0"/>
          <w:szCs w:val="21"/>
          <w:highlight w:val="none"/>
          <w:lang w:bidi="ar"/>
        </w:rPr>
        <w:t>“正本”或“副本”的字样，正本和副本封面均须加盖单位</w:t>
      </w:r>
      <w:r>
        <w:rPr>
          <w:rFonts w:hint="eastAsia" w:hAnsi="宋体"/>
          <w:color w:val="auto"/>
          <w:szCs w:val="21"/>
          <w:highlight w:val="none"/>
        </w:rPr>
        <w:t>公章</w:t>
      </w:r>
      <w:r>
        <w:rPr>
          <w:rFonts w:hint="eastAsia" w:ascii="宋体" w:hAnsi="宋体" w:cs="MingLiU"/>
          <w:color w:val="auto"/>
          <w:kern w:val="0"/>
          <w:szCs w:val="21"/>
          <w:highlight w:val="none"/>
          <w:lang w:bidi="ar"/>
        </w:rPr>
        <w:t>。当副本和正本不一致时，以正本为准。</w:t>
      </w:r>
    </w:p>
    <w:p w14:paraId="535E74A6">
      <w:pPr>
        <w:autoSpaceDE w:val="0"/>
        <w:autoSpaceDN w:val="0"/>
        <w:adjustRightInd w:val="0"/>
        <w:spacing w:line="300" w:lineRule="exact"/>
        <w:ind w:right="-109" w:firstLine="426"/>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3.6.5  </w:t>
      </w:r>
      <w:r>
        <w:rPr>
          <w:rFonts w:hint="eastAsia" w:ascii="宋体" w:hAnsi="宋体" w:cs="宋体"/>
          <w:color w:val="auto"/>
          <w:kern w:val="0"/>
          <w:szCs w:val="21"/>
          <w:highlight w:val="none"/>
          <w:lang w:bidi="ar"/>
        </w:rPr>
        <w:t>比选响应文件的正本与副本应分别装订成册，并编制目录，具体装订要求见报价人须知前附表规定。</w:t>
      </w:r>
    </w:p>
    <w:p w14:paraId="115900A1">
      <w:pPr>
        <w:pStyle w:val="4"/>
        <w:widowControl/>
        <w:spacing w:before="0" w:after="0" w:line="300" w:lineRule="exact"/>
        <w:rPr>
          <w:rFonts w:ascii="宋体" w:hAnsi="宋体"/>
          <w:color w:val="auto"/>
          <w:sz w:val="21"/>
          <w:szCs w:val="21"/>
          <w:highlight w:val="none"/>
        </w:rPr>
      </w:pPr>
      <w:bookmarkStart w:id="432" w:name="_Toc16777"/>
      <w:bookmarkEnd w:id="432"/>
      <w:bookmarkStart w:id="433" w:name="_Toc287607773"/>
      <w:bookmarkEnd w:id="433"/>
      <w:bookmarkStart w:id="434" w:name="_Toc4661453"/>
      <w:bookmarkEnd w:id="434"/>
      <w:bookmarkStart w:id="435" w:name="_Toc200513153"/>
      <w:bookmarkEnd w:id="435"/>
      <w:bookmarkStart w:id="436" w:name="_Toc4661695"/>
      <w:bookmarkEnd w:id="436"/>
      <w:bookmarkStart w:id="437" w:name="_Toc4661931"/>
      <w:bookmarkEnd w:id="437"/>
      <w:bookmarkStart w:id="438" w:name="_Toc4662167"/>
      <w:bookmarkEnd w:id="438"/>
      <w:bookmarkStart w:id="439" w:name="_Toc40455670"/>
      <w:bookmarkEnd w:id="439"/>
      <w:bookmarkStart w:id="440" w:name="_Toc30351"/>
      <w:bookmarkEnd w:id="440"/>
      <w:bookmarkStart w:id="441" w:name="_Toc7095"/>
      <w:bookmarkEnd w:id="441"/>
      <w:bookmarkStart w:id="442" w:name="_Toc28775"/>
      <w:bookmarkEnd w:id="442"/>
      <w:bookmarkStart w:id="443" w:name="_Toc40455297"/>
      <w:bookmarkEnd w:id="443"/>
      <w:bookmarkStart w:id="444" w:name="_Toc277082579"/>
      <w:bookmarkEnd w:id="444"/>
      <w:bookmarkStart w:id="445" w:name="_Toc778"/>
      <w:bookmarkEnd w:id="445"/>
      <w:bookmarkStart w:id="446" w:name="_Toc224103344"/>
      <w:bookmarkEnd w:id="446"/>
      <w:bookmarkStart w:id="447" w:name="_Toc4633"/>
      <w:bookmarkStart w:id="448" w:name="_Toc164430122"/>
      <w:r>
        <w:rPr>
          <w:rFonts w:hint="eastAsia" w:ascii="宋体" w:hAnsi="宋体"/>
          <w:color w:val="auto"/>
          <w:sz w:val="21"/>
          <w:szCs w:val="21"/>
          <w:highlight w:val="none"/>
        </w:rPr>
        <w:t xml:space="preserve">4.  </w:t>
      </w:r>
      <w:bookmarkEnd w:id="447"/>
      <w:r>
        <w:rPr>
          <w:rFonts w:ascii="宋体" w:hAnsi="宋体"/>
          <w:color w:val="auto"/>
          <w:sz w:val="21"/>
          <w:szCs w:val="21"/>
          <w:highlight w:val="none"/>
        </w:rPr>
        <w:t>报价</w:t>
      </w:r>
      <w:bookmarkEnd w:id="448"/>
    </w:p>
    <w:p w14:paraId="4900B65F">
      <w:pPr>
        <w:pStyle w:val="5"/>
        <w:widowControl/>
        <w:spacing w:before="0" w:after="0" w:line="300" w:lineRule="exact"/>
        <w:rPr>
          <w:rFonts w:ascii="宋体" w:hAnsi="宋体"/>
          <w:color w:val="auto"/>
          <w:kern w:val="2"/>
          <w:sz w:val="21"/>
          <w:szCs w:val="21"/>
          <w:highlight w:val="none"/>
        </w:rPr>
      </w:pPr>
      <w:bookmarkStart w:id="449" w:name="_Toc2952"/>
      <w:bookmarkEnd w:id="449"/>
      <w:bookmarkStart w:id="450" w:name="_Toc200513154"/>
      <w:bookmarkEnd w:id="450"/>
      <w:bookmarkStart w:id="451" w:name="_Toc40455298"/>
      <w:bookmarkEnd w:id="451"/>
      <w:bookmarkStart w:id="452" w:name="_Toc4661454"/>
      <w:bookmarkEnd w:id="452"/>
      <w:bookmarkStart w:id="453" w:name="_Toc277082580"/>
      <w:bookmarkEnd w:id="453"/>
      <w:bookmarkStart w:id="454" w:name="_Toc40455671"/>
      <w:bookmarkEnd w:id="454"/>
      <w:bookmarkStart w:id="455" w:name="_Toc4661932"/>
      <w:bookmarkEnd w:id="455"/>
      <w:bookmarkStart w:id="456" w:name="_Toc287607774"/>
      <w:bookmarkEnd w:id="456"/>
      <w:bookmarkStart w:id="457" w:name="_Toc4661696"/>
      <w:bookmarkEnd w:id="457"/>
      <w:bookmarkStart w:id="458" w:name="_Toc40780280"/>
      <w:bookmarkEnd w:id="458"/>
      <w:bookmarkStart w:id="459" w:name="_Toc4662168"/>
      <w:bookmarkEnd w:id="459"/>
      <w:bookmarkStart w:id="460" w:name="_Toc224103345"/>
      <w:r>
        <w:rPr>
          <w:rFonts w:hint="eastAsia" w:ascii="宋体" w:hAnsi="宋体"/>
          <w:color w:val="auto"/>
          <w:kern w:val="2"/>
          <w:sz w:val="21"/>
          <w:szCs w:val="21"/>
          <w:highlight w:val="none"/>
        </w:rPr>
        <w:t xml:space="preserve">4.1  </w:t>
      </w:r>
      <w:bookmarkEnd w:id="460"/>
      <w:r>
        <w:rPr>
          <w:rFonts w:hint="eastAsia" w:ascii="宋体" w:hAnsi="宋体" w:cs="宋体"/>
          <w:color w:val="auto"/>
          <w:kern w:val="2"/>
          <w:sz w:val="21"/>
          <w:szCs w:val="21"/>
          <w:highlight w:val="none"/>
        </w:rPr>
        <w:t>比选响应文件的密封和标记</w:t>
      </w:r>
    </w:p>
    <w:p w14:paraId="1AA90663">
      <w:pPr>
        <w:autoSpaceDE w:val="0"/>
        <w:autoSpaceDN w:val="0"/>
        <w:adjustRightInd w:val="0"/>
        <w:spacing w:line="300" w:lineRule="exact"/>
        <w:ind w:left="359" w:leftChars="171"/>
        <w:jc w:val="left"/>
        <w:rPr>
          <w:rFonts w:ascii="宋体" w:hAnsi="宋体" w:cs="MingLiU"/>
          <w:color w:val="auto"/>
          <w:kern w:val="0"/>
          <w:szCs w:val="21"/>
          <w:highlight w:val="none"/>
        </w:rPr>
      </w:pPr>
      <w:bookmarkStart w:id="461" w:name="_Toc200513155"/>
      <w:bookmarkEnd w:id="461"/>
      <w:r>
        <w:rPr>
          <w:rFonts w:hint="eastAsia" w:ascii="宋体" w:hAnsi="宋体" w:cs="MingLiU"/>
          <w:color w:val="auto"/>
          <w:kern w:val="0"/>
          <w:szCs w:val="21"/>
          <w:highlight w:val="none"/>
          <w:lang w:bidi="ar"/>
        </w:rPr>
        <w:t>4.1.1  比选响应文件的正本与副本密封见报价人须知前附表。</w:t>
      </w:r>
    </w:p>
    <w:p w14:paraId="7CC644A4">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4.1.2  比选响应文件的封套上应写明的内容见报价人须知前附表。</w:t>
      </w:r>
    </w:p>
    <w:p w14:paraId="259683D5">
      <w:pPr>
        <w:pStyle w:val="5"/>
        <w:widowControl/>
        <w:spacing w:before="0" w:after="0" w:line="300" w:lineRule="exact"/>
        <w:rPr>
          <w:rFonts w:ascii="宋体" w:hAnsi="宋体"/>
          <w:color w:val="auto"/>
          <w:kern w:val="2"/>
          <w:sz w:val="21"/>
          <w:szCs w:val="21"/>
          <w:highlight w:val="none"/>
        </w:rPr>
      </w:pPr>
      <w:bookmarkStart w:id="462" w:name="_Toc28009"/>
      <w:bookmarkEnd w:id="462"/>
      <w:bookmarkStart w:id="463" w:name="_Toc40780281"/>
      <w:bookmarkEnd w:id="463"/>
      <w:bookmarkStart w:id="464" w:name="_Toc40455672"/>
      <w:bookmarkEnd w:id="464"/>
      <w:bookmarkStart w:id="465" w:name="_Toc277082581"/>
      <w:bookmarkEnd w:id="465"/>
      <w:bookmarkStart w:id="466" w:name="_Toc224103346"/>
      <w:bookmarkEnd w:id="466"/>
      <w:bookmarkStart w:id="467" w:name="_Toc4661933"/>
      <w:bookmarkEnd w:id="467"/>
      <w:bookmarkStart w:id="468" w:name="_Toc4661697"/>
      <w:bookmarkEnd w:id="468"/>
      <w:bookmarkStart w:id="469" w:name="_Toc40455299"/>
      <w:bookmarkEnd w:id="469"/>
      <w:bookmarkStart w:id="470" w:name="_Toc4661455"/>
      <w:bookmarkEnd w:id="470"/>
      <w:bookmarkStart w:id="471" w:name="_Toc4662169"/>
      <w:bookmarkEnd w:id="471"/>
      <w:bookmarkStart w:id="472" w:name="_Toc287607775"/>
      <w:r>
        <w:rPr>
          <w:rFonts w:hint="eastAsia" w:ascii="宋体" w:hAnsi="宋体"/>
          <w:color w:val="auto"/>
          <w:kern w:val="2"/>
          <w:sz w:val="21"/>
          <w:szCs w:val="21"/>
          <w:highlight w:val="none"/>
        </w:rPr>
        <w:t xml:space="preserve">4.2  </w:t>
      </w:r>
      <w:bookmarkEnd w:id="472"/>
      <w:r>
        <w:rPr>
          <w:rFonts w:hint="eastAsia" w:ascii="宋体" w:hAnsi="宋体" w:cs="宋体"/>
          <w:color w:val="auto"/>
          <w:kern w:val="2"/>
          <w:sz w:val="21"/>
          <w:szCs w:val="21"/>
          <w:highlight w:val="none"/>
        </w:rPr>
        <w:t>比选响应文件的递交</w:t>
      </w:r>
    </w:p>
    <w:p w14:paraId="5B539E97">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4.2.1  </w:t>
      </w:r>
      <w:r>
        <w:rPr>
          <w:rFonts w:hint="eastAsia" w:ascii="宋体" w:hAnsi="宋体" w:cs="宋体"/>
          <w:color w:val="auto"/>
          <w:kern w:val="0"/>
          <w:szCs w:val="21"/>
          <w:highlight w:val="none"/>
          <w:lang w:bidi="ar"/>
        </w:rPr>
        <w:t>报价人应在本章第</w:t>
      </w:r>
      <w:r>
        <w:rPr>
          <w:rFonts w:hint="eastAsia" w:ascii="宋体" w:hAnsi="宋体" w:cs="Calibri"/>
          <w:color w:val="auto"/>
          <w:kern w:val="0"/>
          <w:szCs w:val="21"/>
          <w:highlight w:val="none"/>
          <w:lang w:bidi="ar"/>
        </w:rPr>
        <w:t xml:space="preserve"> 2.2.2 </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时间前递交比选响应文件。</w:t>
      </w:r>
    </w:p>
    <w:p w14:paraId="0FA91CF1">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4.2.2  </w:t>
      </w:r>
      <w:r>
        <w:rPr>
          <w:rFonts w:hint="eastAsia" w:ascii="宋体" w:hAnsi="宋体" w:cs="宋体"/>
          <w:color w:val="auto"/>
          <w:kern w:val="0"/>
          <w:szCs w:val="21"/>
          <w:highlight w:val="none"/>
          <w:lang w:bidi="ar"/>
        </w:rPr>
        <w:t>报价人递交比选响应文件的地点：见报价人须知前附表。</w:t>
      </w:r>
    </w:p>
    <w:p w14:paraId="2200F8E1">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4.2.3  </w:t>
      </w:r>
      <w:r>
        <w:rPr>
          <w:rFonts w:hint="eastAsia" w:ascii="宋体" w:hAnsi="宋体" w:cs="宋体"/>
          <w:color w:val="auto"/>
          <w:kern w:val="0"/>
          <w:szCs w:val="21"/>
          <w:highlight w:val="none"/>
          <w:lang w:bidi="ar"/>
        </w:rPr>
        <w:t>除报价人须知前附表另有规定外，报价人所递交的比选响应文件不予退还。</w:t>
      </w:r>
    </w:p>
    <w:p w14:paraId="07031D1F">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4.2.4  </w:t>
      </w:r>
      <w:r>
        <w:rPr>
          <w:rFonts w:hint="eastAsia" w:ascii="宋体" w:hAnsi="宋体" w:cs="宋体"/>
          <w:color w:val="auto"/>
          <w:kern w:val="0"/>
          <w:szCs w:val="21"/>
          <w:highlight w:val="none"/>
          <w:lang w:bidi="ar"/>
        </w:rPr>
        <w:t>采购人收到比选响应文件后，向报价人出具签收凭证。</w:t>
      </w:r>
    </w:p>
    <w:p w14:paraId="4CB538EA">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4.2.5  </w:t>
      </w:r>
      <w:r>
        <w:rPr>
          <w:rFonts w:hint="eastAsia" w:ascii="宋体" w:hAnsi="宋体" w:cs="宋体"/>
          <w:color w:val="auto"/>
          <w:kern w:val="0"/>
          <w:szCs w:val="21"/>
          <w:highlight w:val="none"/>
          <w:lang w:bidi="ar"/>
        </w:rPr>
        <w:t>逾期送达的或者未送达指定地点的比选响应文件，采购人不予受理。</w:t>
      </w:r>
    </w:p>
    <w:p w14:paraId="7B879A5C">
      <w:pPr>
        <w:pStyle w:val="5"/>
        <w:widowControl/>
        <w:spacing w:before="0" w:after="0" w:line="300" w:lineRule="exact"/>
        <w:rPr>
          <w:rFonts w:ascii="宋体" w:hAnsi="宋体"/>
          <w:color w:val="auto"/>
          <w:kern w:val="2"/>
          <w:sz w:val="21"/>
          <w:szCs w:val="21"/>
          <w:highlight w:val="none"/>
        </w:rPr>
      </w:pPr>
      <w:bookmarkStart w:id="473" w:name="_Toc40455673"/>
      <w:bookmarkEnd w:id="473"/>
      <w:bookmarkStart w:id="474" w:name="_Toc40780282"/>
      <w:bookmarkEnd w:id="474"/>
      <w:bookmarkStart w:id="475" w:name="_Toc287607776"/>
      <w:bookmarkEnd w:id="475"/>
      <w:bookmarkStart w:id="476" w:name="_Toc4661456"/>
      <w:bookmarkEnd w:id="476"/>
      <w:bookmarkStart w:id="477" w:name="_Toc4661934"/>
      <w:bookmarkEnd w:id="477"/>
      <w:bookmarkStart w:id="478" w:name="_Toc4661698"/>
      <w:bookmarkEnd w:id="478"/>
      <w:bookmarkStart w:id="479" w:name="_Toc15210"/>
      <w:bookmarkEnd w:id="479"/>
      <w:bookmarkStart w:id="480" w:name="_Toc40455300"/>
      <w:bookmarkEnd w:id="480"/>
      <w:bookmarkStart w:id="481" w:name="_Toc224103347"/>
      <w:bookmarkEnd w:id="481"/>
      <w:bookmarkStart w:id="482" w:name="_Toc200513156"/>
      <w:bookmarkEnd w:id="482"/>
      <w:bookmarkStart w:id="483" w:name="_Toc277082582"/>
      <w:bookmarkEnd w:id="483"/>
      <w:bookmarkStart w:id="484" w:name="_Toc4662170"/>
      <w:r>
        <w:rPr>
          <w:rFonts w:hint="eastAsia" w:ascii="宋体" w:hAnsi="宋体"/>
          <w:color w:val="auto"/>
          <w:kern w:val="2"/>
          <w:sz w:val="21"/>
          <w:szCs w:val="21"/>
          <w:highlight w:val="none"/>
        </w:rPr>
        <w:t xml:space="preserve">4.3  </w:t>
      </w:r>
      <w:bookmarkEnd w:id="484"/>
      <w:r>
        <w:rPr>
          <w:rFonts w:hint="eastAsia" w:ascii="宋体" w:hAnsi="宋体" w:cs="宋体"/>
          <w:color w:val="auto"/>
          <w:kern w:val="2"/>
          <w:sz w:val="21"/>
          <w:szCs w:val="21"/>
          <w:highlight w:val="none"/>
        </w:rPr>
        <w:t>比选响应文件的修改与撤回</w:t>
      </w:r>
    </w:p>
    <w:p w14:paraId="0CBB16CA">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4.3.1  </w:t>
      </w:r>
      <w:r>
        <w:rPr>
          <w:rFonts w:hint="eastAsia" w:ascii="宋体" w:hAnsi="宋体" w:cs="宋体"/>
          <w:color w:val="auto"/>
          <w:kern w:val="0"/>
          <w:szCs w:val="21"/>
          <w:highlight w:val="none"/>
          <w:lang w:bidi="ar"/>
        </w:rPr>
        <w:t>在本章第</w:t>
      </w:r>
      <w:r>
        <w:rPr>
          <w:rFonts w:hint="eastAsia" w:ascii="宋体" w:hAnsi="宋体" w:cs="Calibri"/>
          <w:color w:val="auto"/>
          <w:kern w:val="0"/>
          <w:szCs w:val="21"/>
          <w:highlight w:val="none"/>
          <w:lang w:bidi="ar"/>
        </w:rPr>
        <w:t>2.2.2</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时间前，报价人可以修改或撤回已递交的比选响应文件，但应以书面形式通知采购人。</w:t>
      </w:r>
    </w:p>
    <w:p w14:paraId="5AF3540B">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4.3.2  </w:t>
      </w:r>
      <w:r>
        <w:rPr>
          <w:rFonts w:hint="eastAsia" w:ascii="宋体" w:hAnsi="宋体" w:cs="宋体"/>
          <w:color w:val="auto"/>
          <w:kern w:val="0"/>
          <w:szCs w:val="21"/>
          <w:highlight w:val="none"/>
          <w:lang w:bidi="ar"/>
        </w:rPr>
        <w:t>报价人修改或撤回已递交比选响应文件的书面通知应按照本章第</w:t>
      </w:r>
      <w:r>
        <w:rPr>
          <w:rFonts w:hint="eastAsia" w:ascii="宋体" w:hAnsi="宋体" w:cs="Calibri"/>
          <w:color w:val="auto"/>
          <w:kern w:val="0"/>
          <w:szCs w:val="21"/>
          <w:highlight w:val="none"/>
          <w:lang w:bidi="ar"/>
        </w:rPr>
        <w:t>3.7.3</w:t>
      </w:r>
      <w:r>
        <w:rPr>
          <w:rFonts w:hint="eastAsia" w:ascii="宋体" w:hAnsi="宋体" w:cs="宋体"/>
          <w:color w:val="auto"/>
          <w:kern w:val="0"/>
          <w:szCs w:val="21"/>
          <w:highlight w:val="none"/>
          <w:lang w:bidi="ar"/>
        </w:rPr>
        <w:t>项的要求签字或盖章。采购人收到书面通知后，向报价人出具签收凭证。</w:t>
      </w:r>
    </w:p>
    <w:p w14:paraId="33AEB7B8">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4.3.3  </w:t>
      </w:r>
      <w:r>
        <w:rPr>
          <w:rFonts w:hint="eastAsia" w:ascii="宋体" w:hAnsi="宋体" w:cs="宋体"/>
          <w:color w:val="auto"/>
          <w:kern w:val="0"/>
          <w:szCs w:val="21"/>
          <w:highlight w:val="none"/>
          <w:lang w:bidi="ar"/>
        </w:rPr>
        <w:t>修改的内容为比选响应文件的组成部分。修改的比选响应文件应按照本章第</w:t>
      </w:r>
      <w:r>
        <w:rPr>
          <w:rFonts w:hint="eastAsia" w:ascii="宋体" w:hAnsi="宋体" w:cs="Calibri"/>
          <w:color w:val="auto"/>
          <w:kern w:val="0"/>
          <w:szCs w:val="21"/>
          <w:highlight w:val="none"/>
          <w:lang w:bidi="ar"/>
        </w:rPr>
        <w:t>3</w:t>
      </w:r>
      <w:r>
        <w:rPr>
          <w:rFonts w:hint="eastAsia" w:ascii="宋体" w:hAnsi="宋体" w:cs="宋体"/>
          <w:color w:val="auto"/>
          <w:kern w:val="0"/>
          <w:szCs w:val="21"/>
          <w:highlight w:val="none"/>
          <w:lang w:bidi="ar"/>
        </w:rPr>
        <w:t>条、第</w:t>
      </w:r>
      <w:r>
        <w:rPr>
          <w:rFonts w:hint="eastAsia" w:ascii="宋体" w:hAnsi="宋体" w:cs="Calibri"/>
          <w:color w:val="auto"/>
          <w:kern w:val="0"/>
          <w:szCs w:val="21"/>
          <w:highlight w:val="none"/>
          <w:lang w:bidi="ar"/>
        </w:rPr>
        <w:t>4</w:t>
      </w:r>
      <w:r>
        <w:rPr>
          <w:rFonts w:hint="eastAsia" w:ascii="宋体" w:hAnsi="宋体" w:cs="宋体"/>
          <w:color w:val="auto"/>
          <w:kern w:val="0"/>
          <w:szCs w:val="21"/>
          <w:highlight w:val="none"/>
          <w:lang w:bidi="ar"/>
        </w:rPr>
        <w:t>条规定进行编制、密封、标记和递交，并标明</w:t>
      </w:r>
      <w:r>
        <w:rPr>
          <w:rFonts w:hint="eastAsia" w:ascii="宋体" w:hAnsi="宋体" w:cs="MingLiU"/>
          <w:color w:val="auto"/>
          <w:kern w:val="0"/>
          <w:szCs w:val="21"/>
          <w:highlight w:val="none"/>
          <w:lang w:bidi="ar"/>
        </w:rPr>
        <w:t>“修改”字样。</w:t>
      </w:r>
    </w:p>
    <w:p w14:paraId="073A9180">
      <w:pPr>
        <w:pStyle w:val="4"/>
        <w:widowControl/>
        <w:spacing w:before="0" w:after="0" w:line="300" w:lineRule="exact"/>
        <w:rPr>
          <w:rFonts w:ascii="宋体" w:hAnsi="宋体"/>
          <w:color w:val="auto"/>
          <w:sz w:val="21"/>
          <w:szCs w:val="21"/>
          <w:highlight w:val="none"/>
        </w:rPr>
      </w:pPr>
      <w:bookmarkStart w:id="485" w:name="_Toc26569"/>
      <w:bookmarkEnd w:id="485"/>
      <w:bookmarkStart w:id="486" w:name="_Toc4661457"/>
      <w:bookmarkEnd w:id="486"/>
      <w:bookmarkStart w:id="487" w:name="_Toc4661935"/>
      <w:bookmarkEnd w:id="487"/>
      <w:bookmarkStart w:id="488" w:name="_Toc200513157"/>
      <w:bookmarkEnd w:id="488"/>
      <w:bookmarkStart w:id="489" w:name="_Toc2667"/>
      <w:bookmarkEnd w:id="489"/>
      <w:bookmarkStart w:id="490" w:name="_Toc4661699"/>
      <w:bookmarkEnd w:id="490"/>
      <w:bookmarkStart w:id="491" w:name="_Toc40455301"/>
      <w:bookmarkEnd w:id="491"/>
      <w:bookmarkStart w:id="492" w:name="_Toc224103348"/>
      <w:bookmarkEnd w:id="492"/>
      <w:bookmarkStart w:id="493" w:name="_Toc4662171"/>
      <w:bookmarkEnd w:id="493"/>
      <w:bookmarkStart w:id="494" w:name="_Toc13110"/>
      <w:bookmarkEnd w:id="494"/>
      <w:bookmarkStart w:id="495" w:name="_Toc277082583"/>
      <w:bookmarkEnd w:id="495"/>
      <w:bookmarkStart w:id="496" w:name="_Toc27819"/>
      <w:bookmarkEnd w:id="496"/>
      <w:bookmarkStart w:id="497" w:name="_Toc40455674"/>
      <w:bookmarkEnd w:id="497"/>
      <w:bookmarkStart w:id="498" w:name="_Toc287607777"/>
      <w:bookmarkEnd w:id="498"/>
      <w:bookmarkStart w:id="499" w:name="_Toc3631"/>
      <w:bookmarkEnd w:id="499"/>
      <w:bookmarkStart w:id="500" w:name="_Toc665"/>
      <w:bookmarkStart w:id="501" w:name="_Toc1034437832"/>
      <w:r>
        <w:rPr>
          <w:rFonts w:hint="eastAsia" w:ascii="宋体" w:hAnsi="宋体"/>
          <w:color w:val="auto"/>
          <w:sz w:val="21"/>
          <w:szCs w:val="21"/>
          <w:highlight w:val="none"/>
        </w:rPr>
        <w:t xml:space="preserve">5.  </w:t>
      </w:r>
      <w:bookmarkEnd w:id="500"/>
      <w:r>
        <w:rPr>
          <w:rFonts w:hint="eastAsia" w:ascii="黑体" w:hAnsi="宋体" w:cs="黑体"/>
          <w:color w:val="auto"/>
          <w:sz w:val="21"/>
          <w:szCs w:val="21"/>
          <w:highlight w:val="none"/>
        </w:rPr>
        <w:t>开标</w:t>
      </w:r>
      <w:bookmarkEnd w:id="501"/>
    </w:p>
    <w:p w14:paraId="39963E29">
      <w:pPr>
        <w:pStyle w:val="5"/>
        <w:widowControl/>
        <w:spacing w:before="0" w:after="0" w:line="300" w:lineRule="exact"/>
        <w:rPr>
          <w:rFonts w:ascii="宋体" w:hAnsi="宋体"/>
          <w:color w:val="auto"/>
          <w:kern w:val="2"/>
          <w:sz w:val="21"/>
          <w:szCs w:val="21"/>
          <w:highlight w:val="none"/>
        </w:rPr>
      </w:pPr>
      <w:bookmarkStart w:id="502" w:name="_Toc4661458"/>
      <w:bookmarkEnd w:id="502"/>
      <w:bookmarkStart w:id="503" w:name="_Toc200513158"/>
      <w:bookmarkEnd w:id="503"/>
      <w:bookmarkStart w:id="504" w:name="_Toc4661700"/>
      <w:bookmarkEnd w:id="504"/>
      <w:bookmarkStart w:id="505" w:name="_Toc40455302"/>
      <w:bookmarkEnd w:id="505"/>
      <w:bookmarkStart w:id="506" w:name="_Toc277082584"/>
      <w:bookmarkEnd w:id="506"/>
      <w:bookmarkStart w:id="507" w:name="_Toc4662172"/>
      <w:bookmarkEnd w:id="507"/>
      <w:bookmarkStart w:id="508" w:name="_Toc224103349"/>
      <w:bookmarkEnd w:id="508"/>
      <w:bookmarkStart w:id="509" w:name="_Toc40455675"/>
      <w:bookmarkEnd w:id="509"/>
      <w:bookmarkStart w:id="510" w:name="_Toc40780284"/>
      <w:bookmarkEnd w:id="510"/>
      <w:bookmarkStart w:id="511" w:name="_Toc22642"/>
      <w:bookmarkEnd w:id="511"/>
      <w:bookmarkStart w:id="512" w:name="_Toc287607778"/>
      <w:bookmarkEnd w:id="512"/>
      <w:bookmarkStart w:id="513" w:name="_Toc4661936"/>
      <w:r>
        <w:rPr>
          <w:rFonts w:hint="eastAsia" w:ascii="宋体" w:hAnsi="宋体"/>
          <w:color w:val="auto"/>
          <w:kern w:val="2"/>
          <w:sz w:val="21"/>
          <w:szCs w:val="21"/>
          <w:highlight w:val="none"/>
        </w:rPr>
        <w:t>5.1  开标时间和地点</w:t>
      </w:r>
      <w:bookmarkEnd w:id="513"/>
    </w:p>
    <w:p w14:paraId="3ACE705D">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采购人在本章第</w:t>
      </w:r>
      <w:r>
        <w:rPr>
          <w:rFonts w:hint="eastAsia" w:ascii="宋体" w:hAnsi="宋体" w:cs="Calibri"/>
          <w:color w:val="auto"/>
          <w:kern w:val="0"/>
          <w:szCs w:val="21"/>
          <w:highlight w:val="none"/>
          <w:lang w:bidi="ar"/>
        </w:rPr>
        <w:t xml:space="preserve"> 2.2</w:t>
      </w:r>
      <w:r>
        <w:rPr>
          <w:rFonts w:hint="eastAsia" w:ascii="宋体" w:hAnsi="宋体" w:cs="宋体"/>
          <w:color w:val="auto"/>
          <w:kern w:val="0"/>
          <w:szCs w:val="21"/>
          <w:highlight w:val="none"/>
          <w:lang w:bidi="ar"/>
        </w:rPr>
        <w:t>项规定的</w:t>
      </w:r>
      <w:r>
        <w:rPr>
          <w:rFonts w:ascii="宋体" w:hAnsi="宋体" w:cs="宋体"/>
          <w:color w:val="auto"/>
          <w:kern w:val="0"/>
          <w:szCs w:val="21"/>
          <w:highlight w:val="none"/>
          <w:lang w:bidi="ar"/>
        </w:rPr>
        <w:t>报价截止</w:t>
      </w:r>
      <w:r>
        <w:rPr>
          <w:rFonts w:hint="eastAsia" w:ascii="宋体" w:hAnsi="宋体" w:cs="宋体"/>
          <w:color w:val="auto"/>
          <w:kern w:val="0"/>
          <w:szCs w:val="21"/>
          <w:highlight w:val="none"/>
          <w:lang w:bidi="ar"/>
        </w:rPr>
        <w:t>时间（开标时间）和报价人须知前附表规定的情况进行开标。</w:t>
      </w:r>
    </w:p>
    <w:p w14:paraId="5D983A09">
      <w:pPr>
        <w:pStyle w:val="4"/>
        <w:widowControl/>
        <w:spacing w:before="0" w:after="0" w:line="300" w:lineRule="exact"/>
        <w:rPr>
          <w:rFonts w:ascii="宋体" w:hAnsi="宋体"/>
          <w:color w:val="auto"/>
          <w:sz w:val="21"/>
          <w:szCs w:val="21"/>
          <w:highlight w:val="none"/>
        </w:rPr>
      </w:pPr>
      <w:bookmarkStart w:id="514" w:name="_Toc4661701"/>
      <w:bookmarkEnd w:id="514"/>
      <w:bookmarkStart w:id="515" w:name="_Toc1823"/>
      <w:bookmarkEnd w:id="515"/>
      <w:bookmarkStart w:id="516" w:name="_Toc4661938"/>
      <w:bookmarkEnd w:id="516"/>
      <w:bookmarkStart w:id="517" w:name="_Toc287607779"/>
      <w:bookmarkEnd w:id="517"/>
      <w:bookmarkStart w:id="518" w:name="_Toc5895"/>
      <w:bookmarkEnd w:id="518"/>
      <w:bookmarkStart w:id="519" w:name="_Toc4662174"/>
      <w:bookmarkEnd w:id="519"/>
      <w:bookmarkStart w:id="520" w:name="_Toc4904"/>
      <w:bookmarkEnd w:id="520"/>
      <w:bookmarkStart w:id="521" w:name="_Toc40780285"/>
      <w:bookmarkEnd w:id="521"/>
      <w:bookmarkStart w:id="522" w:name="_Toc4661459"/>
      <w:bookmarkEnd w:id="522"/>
      <w:bookmarkStart w:id="523" w:name="_Toc4661460"/>
      <w:bookmarkEnd w:id="523"/>
      <w:bookmarkStart w:id="524" w:name="_Toc40455677"/>
      <w:bookmarkEnd w:id="524"/>
      <w:bookmarkStart w:id="525" w:name="_Toc277082585"/>
      <w:bookmarkEnd w:id="525"/>
      <w:bookmarkStart w:id="526" w:name="_Toc26714"/>
      <w:bookmarkEnd w:id="526"/>
      <w:bookmarkStart w:id="527" w:name="_Toc4662173"/>
      <w:bookmarkEnd w:id="527"/>
      <w:bookmarkStart w:id="528" w:name="_Toc4661937"/>
      <w:bookmarkEnd w:id="528"/>
      <w:bookmarkStart w:id="529" w:name="_Toc224103350"/>
      <w:bookmarkEnd w:id="529"/>
      <w:bookmarkStart w:id="530" w:name="_Toc40455304"/>
      <w:bookmarkEnd w:id="530"/>
      <w:bookmarkStart w:id="531" w:name="_Toc6592"/>
      <w:bookmarkEnd w:id="531"/>
      <w:bookmarkStart w:id="532" w:name="_Toc29816"/>
      <w:bookmarkEnd w:id="532"/>
      <w:bookmarkStart w:id="533" w:name="_Toc40455676"/>
      <w:bookmarkEnd w:id="533"/>
      <w:bookmarkStart w:id="534" w:name="_Toc40455303"/>
      <w:bookmarkEnd w:id="534"/>
      <w:bookmarkStart w:id="535" w:name="_Toc4661702"/>
      <w:bookmarkEnd w:id="535"/>
      <w:bookmarkStart w:id="536" w:name="_Toc5685"/>
      <w:bookmarkStart w:id="537" w:name="_Toc1701692102"/>
      <w:r>
        <w:rPr>
          <w:rFonts w:hint="eastAsia" w:ascii="宋体" w:hAnsi="宋体"/>
          <w:color w:val="auto"/>
          <w:sz w:val="21"/>
          <w:szCs w:val="21"/>
          <w:highlight w:val="none"/>
        </w:rPr>
        <w:t xml:space="preserve">6.  </w:t>
      </w:r>
      <w:bookmarkEnd w:id="536"/>
      <w:r>
        <w:rPr>
          <w:rFonts w:hint="eastAsia" w:ascii="黑体" w:hAnsi="宋体" w:cs="黑体"/>
          <w:color w:val="auto"/>
          <w:sz w:val="21"/>
          <w:szCs w:val="21"/>
          <w:highlight w:val="none"/>
        </w:rPr>
        <w:t>评标</w:t>
      </w:r>
      <w:bookmarkEnd w:id="537"/>
    </w:p>
    <w:p w14:paraId="19E1BF5E">
      <w:pPr>
        <w:pStyle w:val="5"/>
        <w:widowControl/>
        <w:spacing w:before="0" w:after="0" w:line="300" w:lineRule="exact"/>
        <w:rPr>
          <w:rFonts w:ascii="宋体" w:hAnsi="宋体"/>
          <w:color w:val="auto"/>
          <w:kern w:val="2"/>
          <w:sz w:val="21"/>
          <w:szCs w:val="21"/>
          <w:highlight w:val="none"/>
        </w:rPr>
      </w:pPr>
      <w:bookmarkStart w:id="538" w:name="_Toc277082587"/>
      <w:bookmarkEnd w:id="538"/>
      <w:bookmarkStart w:id="539" w:name="_Toc9614"/>
      <w:bookmarkEnd w:id="539"/>
      <w:bookmarkStart w:id="540" w:name="_Toc4662175"/>
      <w:bookmarkEnd w:id="540"/>
      <w:bookmarkStart w:id="541" w:name="_Toc4661461"/>
      <w:bookmarkEnd w:id="541"/>
      <w:bookmarkStart w:id="542" w:name="_Toc224103352"/>
      <w:bookmarkEnd w:id="542"/>
      <w:bookmarkStart w:id="543" w:name="_Toc200513161"/>
      <w:bookmarkEnd w:id="543"/>
      <w:bookmarkStart w:id="544" w:name="_Toc40780287"/>
      <w:bookmarkEnd w:id="544"/>
      <w:bookmarkStart w:id="545" w:name="_Toc287607781"/>
      <w:bookmarkEnd w:id="545"/>
      <w:bookmarkStart w:id="546" w:name="_Toc4661703"/>
      <w:bookmarkEnd w:id="546"/>
      <w:bookmarkStart w:id="547" w:name="_Toc40455305"/>
      <w:bookmarkEnd w:id="547"/>
      <w:bookmarkStart w:id="548" w:name="_Toc40455678"/>
      <w:bookmarkEnd w:id="548"/>
      <w:bookmarkStart w:id="549" w:name="_Toc4661939"/>
      <w:r>
        <w:rPr>
          <w:rFonts w:hint="eastAsia" w:ascii="宋体" w:hAnsi="宋体"/>
          <w:color w:val="auto"/>
          <w:kern w:val="2"/>
          <w:sz w:val="21"/>
          <w:szCs w:val="21"/>
          <w:highlight w:val="none"/>
        </w:rPr>
        <w:t xml:space="preserve">6.1  </w:t>
      </w:r>
      <w:bookmarkEnd w:id="549"/>
      <w:r>
        <w:rPr>
          <w:rFonts w:hint="eastAsia" w:ascii="宋体" w:hAnsi="宋体" w:cs="宋体"/>
          <w:color w:val="auto"/>
          <w:kern w:val="2"/>
          <w:sz w:val="21"/>
          <w:szCs w:val="21"/>
          <w:highlight w:val="none"/>
        </w:rPr>
        <w:t>评标委员会</w:t>
      </w:r>
    </w:p>
    <w:p w14:paraId="010BA599">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6.1.1  </w:t>
      </w:r>
      <w:r>
        <w:rPr>
          <w:rFonts w:hint="eastAsia" w:ascii="宋体" w:hAnsi="宋体" w:cs="宋体"/>
          <w:color w:val="auto"/>
          <w:kern w:val="0"/>
          <w:szCs w:val="21"/>
          <w:highlight w:val="none"/>
          <w:lang w:bidi="ar"/>
        </w:rPr>
        <w:t>评标由采购人依法组建的评标委员会负责。评标委员会由采购人或其委托的竞争性比选代理机构熟悉相关业务的代表，以及有关技术、经济等方面的专家组成。</w:t>
      </w:r>
    </w:p>
    <w:p w14:paraId="4823E7C5">
      <w:pPr>
        <w:autoSpaceDE w:val="0"/>
        <w:autoSpaceDN w:val="0"/>
        <w:adjustRightInd w:val="0"/>
        <w:spacing w:line="300" w:lineRule="exact"/>
        <w:ind w:firstLine="420" w:firstLineChars="20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6.1.2  </w:t>
      </w:r>
      <w:r>
        <w:rPr>
          <w:rFonts w:hint="eastAsia" w:ascii="宋体" w:hAnsi="宋体" w:cs="宋体"/>
          <w:color w:val="auto"/>
          <w:kern w:val="0"/>
          <w:szCs w:val="21"/>
          <w:highlight w:val="none"/>
          <w:lang w:bidi="ar"/>
        </w:rPr>
        <w:t>评标委员会成员有下列情形之一的，应当回避：</w:t>
      </w:r>
    </w:p>
    <w:p w14:paraId="0D04A084">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1）采购人或竞争性比选代理机构主要负责人的近亲属，或与报价人法定代表人或其委托代理人有近亲属关系；</w:t>
      </w:r>
    </w:p>
    <w:p w14:paraId="7E72EAAF">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2</w:t>
      </w:r>
      <w:r>
        <w:rPr>
          <w:rFonts w:hint="eastAsia" w:ascii="宋体" w:hAnsi="宋体" w:cs="宋体"/>
          <w:color w:val="auto"/>
          <w:kern w:val="0"/>
          <w:szCs w:val="21"/>
          <w:highlight w:val="none"/>
          <w:lang w:bidi="ar"/>
        </w:rPr>
        <w:t>）为报价人的工作人员或退休人员；</w:t>
      </w:r>
    </w:p>
    <w:p w14:paraId="431C6A67">
      <w:pPr>
        <w:autoSpaceDE w:val="0"/>
        <w:autoSpaceDN w:val="0"/>
        <w:adjustRightInd w:val="0"/>
        <w:spacing w:line="300" w:lineRule="exact"/>
        <w:ind w:left="359" w:leftChars="171"/>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3</w:t>
      </w:r>
      <w:r>
        <w:rPr>
          <w:rFonts w:hint="eastAsia" w:ascii="宋体" w:hAnsi="宋体" w:cs="宋体"/>
          <w:color w:val="auto"/>
          <w:kern w:val="0"/>
          <w:szCs w:val="21"/>
          <w:highlight w:val="none"/>
          <w:lang w:bidi="ar"/>
        </w:rPr>
        <w:t>）与报价人有其他利害关系，可能影响评标活动公正性；</w:t>
      </w:r>
    </w:p>
    <w:p w14:paraId="6713DF27">
      <w:pPr>
        <w:autoSpaceDE w:val="0"/>
        <w:autoSpaceDN w:val="0"/>
        <w:adjustRightInd w:val="0"/>
        <w:spacing w:line="300" w:lineRule="exact"/>
        <w:ind w:firstLine="361" w:firstLineChars="172"/>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w:t>
      </w:r>
      <w:r>
        <w:rPr>
          <w:rFonts w:hint="eastAsia" w:ascii="宋体" w:hAnsi="宋体" w:cs="MingLiU"/>
          <w:color w:val="auto"/>
          <w:kern w:val="0"/>
          <w:szCs w:val="21"/>
          <w:highlight w:val="none"/>
          <w:lang w:bidi="ar"/>
        </w:rPr>
        <w:t>4）在与竞争性比选投标有关的活动中有过违法违规行为、曾受过行政处罚或刑事处罚；</w:t>
      </w:r>
    </w:p>
    <w:p w14:paraId="75041C26">
      <w:pPr>
        <w:pStyle w:val="5"/>
        <w:widowControl/>
        <w:spacing w:before="0" w:after="0" w:line="300" w:lineRule="exact"/>
        <w:rPr>
          <w:rFonts w:ascii="宋体" w:hAnsi="宋体"/>
          <w:color w:val="auto"/>
          <w:kern w:val="2"/>
          <w:sz w:val="21"/>
          <w:szCs w:val="21"/>
          <w:highlight w:val="none"/>
        </w:rPr>
      </w:pPr>
      <w:bookmarkStart w:id="550" w:name="_Toc224103353"/>
      <w:bookmarkEnd w:id="550"/>
      <w:bookmarkStart w:id="551" w:name="_Toc4662176"/>
      <w:bookmarkEnd w:id="551"/>
      <w:bookmarkStart w:id="552" w:name="_Toc277082588"/>
      <w:bookmarkEnd w:id="552"/>
      <w:bookmarkStart w:id="553" w:name="_Toc40455679"/>
      <w:bookmarkEnd w:id="553"/>
      <w:bookmarkStart w:id="554" w:name="_Toc4661940"/>
      <w:bookmarkEnd w:id="554"/>
      <w:bookmarkStart w:id="555" w:name="_Toc287607782"/>
      <w:bookmarkEnd w:id="555"/>
      <w:bookmarkStart w:id="556" w:name="_Toc40455306"/>
      <w:bookmarkEnd w:id="556"/>
      <w:bookmarkStart w:id="557" w:name="_Toc4661462"/>
      <w:bookmarkEnd w:id="557"/>
      <w:bookmarkStart w:id="558" w:name="_Toc40780288"/>
      <w:bookmarkEnd w:id="558"/>
      <w:bookmarkStart w:id="559" w:name="_Toc4661704"/>
      <w:bookmarkEnd w:id="559"/>
      <w:bookmarkStart w:id="560" w:name="_Toc200513162"/>
      <w:bookmarkEnd w:id="560"/>
      <w:bookmarkStart w:id="561" w:name="_Toc3788"/>
      <w:r>
        <w:rPr>
          <w:rFonts w:hint="eastAsia" w:ascii="宋体" w:hAnsi="宋体"/>
          <w:color w:val="auto"/>
          <w:kern w:val="2"/>
          <w:sz w:val="21"/>
          <w:szCs w:val="21"/>
          <w:highlight w:val="none"/>
        </w:rPr>
        <w:t xml:space="preserve">6.2  </w:t>
      </w:r>
      <w:bookmarkEnd w:id="561"/>
      <w:r>
        <w:rPr>
          <w:rFonts w:hint="eastAsia" w:ascii="宋体" w:hAnsi="宋体" w:cs="宋体"/>
          <w:color w:val="auto"/>
          <w:kern w:val="2"/>
          <w:sz w:val="21"/>
          <w:szCs w:val="21"/>
          <w:highlight w:val="none"/>
        </w:rPr>
        <w:t>评标原则</w:t>
      </w:r>
    </w:p>
    <w:p w14:paraId="29193B9D">
      <w:pPr>
        <w:autoSpaceDE w:val="0"/>
        <w:autoSpaceDN w:val="0"/>
        <w:adjustRightInd w:val="0"/>
        <w:spacing w:line="300" w:lineRule="exact"/>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 xml:space="preserve">    </w:t>
      </w:r>
      <w:r>
        <w:rPr>
          <w:rFonts w:hint="eastAsia" w:ascii="宋体" w:hAnsi="宋体" w:cs="宋体"/>
          <w:color w:val="auto"/>
          <w:kern w:val="0"/>
          <w:szCs w:val="21"/>
          <w:highlight w:val="none"/>
          <w:lang w:bidi="ar"/>
        </w:rPr>
        <w:t>评标活动遵循公平、公正、科学和择优的原则。</w:t>
      </w:r>
    </w:p>
    <w:p w14:paraId="50D45438">
      <w:pPr>
        <w:pStyle w:val="5"/>
        <w:widowControl/>
        <w:spacing w:before="0" w:after="0" w:line="300" w:lineRule="exact"/>
        <w:rPr>
          <w:rFonts w:ascii="宋体" w:hAnsi="宋体"/>
          <w:color w:val="auto"/>
          <w:kern w:val="2"/>
          <w:sz w:val="21"/>
          <w:szCs w:val="21"/>
          <w:highlight w:val="none"/>
        </w:rPr>
      </w:pPr>
      <w:bookmarkStart w:id="562" w:name="_Toc40455307"/>
      <w:bookmarkEnd w:id="562"/>
      <w:bookmarkStart w:id="563" w:name="_Toc4661705"/>
      <w:bookmarkEnd w:id="563"/>
      <w:bookmarkStart w:id="564" w:name="_Toc4661463"/>
      <w:bookmarkEnd w:id="564"/>
      <w:bookmarkStart w:id="565" w:name="_Toc277082589"/>
      <w:bookmarkEnd w:id="565"/>
      <w:bookmarkStart w:id="566" w:name="_Toc40780289"/>
      <w:bookmarkEnd w:id="566"/>
      <w:bookmarkStart w:id="567" w:name="_Toc224103354"/>
      <w:bookmarkEnd w:id="567"/>
      <w:bookmarkStart w:id="568" w:name="_Toc40455680"/>
      <w:bookmarkEnd w:id="568"/>
      <w:bookmarkStart w:id="569" w:name="_Toc287607783"/>
      <w:bookmarkEnd w:id="569"/>
      <w:bookmarkStart w:id="570" w:name="_Toc26101"/>
      <w:bookmarkEnd w:id="570"/>
      <w:bookmarkStart w:id="571" w:name="_Toc200513163"/>
      <w:bookmarkEnd w:id="571"/>
      <w:bookmarkStart w:id="572" w:name="_Toc4661941"/>
      <w:bookmarkEnd w:id="572"/>
      <w:bookmarkStart w:id="573" w:name="_Toc4662177"/>
      <w:r>
        <w:rPr>
          <w:rFonts w:hint="eastAsia" w:ascii="宋体" w:hAnsi="宋体"/>
          <w:color w:val="auto"/>
          <w:kern w:val="2"/>
          <w:sz w:val="21"/>
          <w:szCs w:val="21"/>
          <w:highlight w:val="none"/>
        </w:rPr>
        <w:t xml:space="preserve">6.3  </w:t>
      </w:r>
      <w:bookmarkEnd w:id="573"/>
      <w:r>
        <w:rPr>
          <w:rFonts w:hint="eastAsia" w:ascii="宋体" w:hAnsi="宋体" w:cs="宋体"/>
          <w:color w:val="auto"/>
          <w:kern w:val="2"/>
          <w:sz w:val="21"/>
          <w:szCs w:val="21"/>
          <w:highlight w:val="none"/>
        </w:rPr>
        <w:t>评标</w:t>
      </w:r>
    </w:p>
    <w:p w14:paraId="6AAA8CB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6.3.1评标委员会按照第三章“评标办法”规定的方法、评审因素、标准和程序对比选响应文件进行评审。第三章“评标办法”没有规定的方法、评审因素和标准，不得作为评标依据。</w:t>
      </w:r>
    </w:p>
    <w:p w14:paraId="471C82B5">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MingLiU"/>
          <w:color w:val="auto"/>
          <w:kern w:val="0"/>
          <w:szCs w:val="21"/>
          <w:highlight w:val="none"/>
          <w:lang w:bidi="ar"/>
        </w:rPr>
        <w:t>6.3.2评标完成后，评标委员会应向采购人提交书面评标报告和中标候选人名单。评标委员会推荐中标候选人的人数见报价人须知前附表。</w:t>
      </w:r>
    </w:p>
    <w:p w14:paraId="272DA7CC">
      <w:pPr>
        <w:pStyle w:val="4"/>
        <w:widowControl/>
        <w:spacing w:before="0" w:after="0" w:line="300" w:lineRule="exact"/>
        <w:rPr>
          <w:rFonts w:ascii="宋体" w:hAnsi="宋体"/>
          <w:color w:val="auto"/>
          <w:sz w:val="21"/>
          <w:szCs w:val="21"/>
          <w:highlight w:val="none"/>
        </w:rPr>
      </w:pPr>
      <w:bookmarkStart w:id="574" w:name="_Toc6853"/>
      <w:bookmarkEnd w:id="574"/>
      <w:bookmarkStart w:id="575" w:name="_Toc224103355"/>
      <w:bookmarkEnd w:id="575"/>
      <w:bookmarkStart w:id="576" w:name="_Toc277082590"/>
      <w:bookmarkEnd w:id="576"/>
      <w:bookmarkStart w:id="577" w:name="_Toc40455308"/>
      <w:bookmarkEnd w:id="577"/>
      <w:bookmarkStart w:id="578" w:name="_Toc20858"/>
      <w:bookmarkEnd w:id="578"/>
      <w:bookmarkStart w:id="579" w:name="_Toc4662178"/>
      <w:bookmarkEnd w:id="579"/>
      <w:bookmarkStart w:id="580" w:name="_Toc200513164"/>
      <w:bookmarkEnd w:id="580"/>
      <w:bookmarkStart w:id="581" w:name="_Toc287607784"/>
      <w:bookmarkEnd w:id="581"/>
      <w:bookmarkStart w:id="582" w:name="_Toc2883"/>
      <w:bookmarkEnd w:id="582"/>
      <w:bookmarkStart w:id="583" w:name="_Toc4661942"/>
      <w:bookmarkEnd w:id="583"/>
      <w:bookmarkStart w:id="584" w:name="_Toc40455681"/>
      <w:bookmarkEnd w:id="584"/>
      <w:bookmarkStart w:id="585" w:name="_Toc4661706"/>
      <w:bookmarkEnd w:id="585"/>
      <w:bookmarkStart w:id="586" w:name="_Toc4661464"/>
      <w:bookmarkEnd w:id="586"/>
      <w:bookmarkStart w:id="587" w:name="_Toc13060"/>
      <w:bookmarkEnd w:id="587"/>
      <w:bookmarkStart w:id="588" w:name="_Toc28253"/>
      <w:bookmarkEnd w:id="588"/>
      <w:bookmarkStart w:id="589" w:name="_Toc28602"/>
      <w:bookmarkStart w:id="590" w:name="_Toc678157388"/>
      <w:r>
        <w:rPr>
          <w:rFonts w:hint="eastAsia" w:ascii="宋体" w:hAnsi="宋体"/>
          <w:color w:val="auto"/>
          <w:sz w:val="21"/>
          <w:szCs w:val="21"/>
          <w:highlight w:val="none"/>
        </w:rPr>
        <w:t xml:space="preserve">7.  </w:t>
      </w:r>
      <w:bookmarkEnd w:id="589"/>
      <w:r>
        <w:rPr>
          <w:rFonts w:hint="eastAsia" w:ascii="宋体" w:hAnsi="宋体" w:eastAsia="宋体" w:cs="宋体"/>
          <w:color w:val="auto"/>
          <w:kern w:val="2"/>
          <w:sz w:val="21"/>
          <w:szCs w:val="21"/>
          <w:highlight w:val="none"/>
        </w:rPr>
        <w:t>合同授予</w:t>
      </w:r>
      <w:bookmarkEnd w:id="590"/>
    </w:p>
    <w:p w14:paraId="36406F02">
      <w:pPr>
        <w:pStyle w:val="5"/>
        <w:widowControl/>
        <w:spacing w:before="0" w:after="0" w:line="300" w:lineRule="exact"/>
        <w:rPr>
          <w:rFonts w:ascii="宋体" w:hAnsi="宋体"/>
          <w:color w:val="auto"/>
          <w:kern w:val="2"/>
          <w:sz w:val="21"/>
          <w:szCs w:val="21"/>
          <w:highlight w:val="none"/>
        </w:rPr>
      </w:pPr>
      <w:bookmarkStart w:id="591" w:name="_Toc40455682"/>
      <w:bookmarkEnd w:id="591"/>
      <w:bookmarkStart w:id="592" w:name="_Toc4661707"/>
      <w:bookmarkEnd w:id="592"/>
      <w:bookmarkStart w:id="593" w:name="_Toc40455309"/>
      <w:bookmarkEnd w:id="593"/>
      <w:bookmarkStart w:id="594" w:name="_Toc200513165"/>
      <w:bookmarkEnd w:id="594"/>
      <w:bookmarkStart w:id="595" w:name="_Toc277082591"/>
      <w:bookmarkEnd w:id="595"/>
      <w:bookmarkStart w:id="596" w:name="_Toc4661943"/>
      <w:bookmarkEnd w:id="596"/>
      <w:bookmarkStart w:id="597" w:name="_Toc224103356"/>
      <w:bookmarkEnd w:id="597"/>
      <w:bookmarkStart w:id="598" w:name="_Toc12458"/>
      <w:bookmarkEnd w:id="598"/>
      <w:bookmarkStart w:id="599" w:name="_Toc287607785"/>
      <w:bookmarkEnd w:id="599"/>
      <w:bookmarkStart w:id="600" w:name="_Toc4662179"/>
      <w:bookmarkEnd w:id="600"/>
      <w:bookmarkStart w:id="601" w:name="_Toc4661465"/>
      <w:bookmarkEnd w:id="601"/>
      <w:bookmarkStart w:id="602" w:name="_Toc40780291"/>
      <w:r>
        <w:rPr>
          <w:rFonts w:hint="eastAsia" w:ascii="宋体" w:hAnsi="宋体"/>
          <w:color w:val="auto"/>
          <w:kern w:val="2"/>
          <w:sz w:val="21"/>
          <w:szCs w:val="21"/>
          <w:highlight w:val="none"/>
        </w:rPr>
        <w:t xml:space="preserve">7.1  </w:t>
      </w:r>
      <w:bookmarkEnd w:id="602"/>
      <w:r>
        <w:rPr>
          <w:rFonts w:hint="eastAsia" w:ascii="宋体" w:hAnsi="宋体" w:cs="宋体"/>
          <w:color w:val="auto"/>
          <w:kern w:val="2"/>
          <w:sz w:val="21"/>
          <w:szCs w:val="21"/>
          <w:highlight w:val="none"/>
        </w:rPr>
        <w:t>定标方式</w:t>
      </w:r>
    </w:p>
    <w:p w14:paraId="7EF22E3F">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除报价人须知前附表规定评标委员会直接确定中标人外，采购人依据评标委员会推荐的中标候选人中的第一名综合得分者为中标人，评标委员会推荐中标候选人的人数见报价人须知前附表。</w:t>
      </w:r>
    </w:p>
    <w:p w14:paraId="43501777">
      <w:pPr>
        <w:pStyle w:val="5"/>
        <w:widowControl/>
        <w:spacing w:before="0" w:after="0" w:line="300" w:lineRule="exact"/>
        <w:rPr>
          <w:rFonts w:ascii="宋体" w:hAnsi="宋体"/>
          <w:color w:val="auto"/>
          <w:kern w:val="2"/>
          <w:sz w:val="21"/>
          <w:szCs w:val="21"/>
          <w:highlight w:val="none"/>
        </w:rPr>
      </w:pPr>
      <w:bookmarkStart w:id="603" w:name="_Toc4661708"/>
      <w:bookmarkEnd w:id="603"/>
      <w:bookmarkStart w:id="604" w:name="_Toc277082592"/>
      <w:bookmarkEnd w:id="604"/>
      <w:bookmarkStart w:id="605" w:name="_Toc4661466"/>
      <w:bookmarkEnd w:id="605"/>
      <w:bookmarkStart w:id="606" w:name="_Toc4661944"/>
      <w:bookmarkEnd w:id="606"/>
      <w:bookmarkStart w:id="607" w:name="_Toc200513166"/>
      <w:bookmarkEnd w:id="607"/>
      <w:bookmarkStart w:id="608" w:name="_Toc32622"/>
      <w:bookmarkEnd w:id="608"/>
      <w:bookmarkStart w:id="609" w:name="_Toc287607786"/>
      <w:bookmarkEnd w:id="609"/>
      <w:bookmarkStart w:id="610" w:name="_Toc40455683"/>
      <w:bookmarkEnd w:id="610"/>
      <w:bookmarkStart w:id="611" w:name="_Toc40780292"/>
      <w:bookmarkEnd w:id="611"/>
      <w:bookmarkStart w:id="612" w:name="_Toc4662180"/>
      <w:bookmarkEnd w:id="612"/>
      <w:bookmarkStart w:id="613" w:name="_Toc40455310"/>
      <w:bookmarkEnd w:id="613"/>
      <w:bookmarkStart w:id="614" w:name="_Toc224103357"/>
      <w:r>
        <w:rPr>
          <w:rFonts w:hint="eastAsia" w:ascii="宋体" w:hAnsi="宋体"/>
          <w:color w:val="auto"/>
          <w:kern w:val="2"/>
          <w:sz w:val="21"/>
          <w:szCs w:val="21"/>
          <w:highlight w:val="none"/>
        </w:rPr>
        <w:t xml:space="preserve">7.2  </w:t>
      </w:r>
      <w:bookmarkEnd w:id="614"/>
      <w:r>
        <w:rPr>
          <w:rFonts w:hint="eastAsia" w:ascii="宋体" w:hAnsi="宋体" w:cs="宋体"/>
          <w:color w:val="auto"/>
          <w:kern w:val="2"/>
          <w:sz w:val="21"/>
          <w:szCs w:val="21"/>
          <w:highlight w:val="none"/>
        </w:rPr>
        <w:t>中标通知</w:t>
      </w:r>
    </w:p>
    <w:p w14:paraId="0BBB109E">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采购人以书面形式向中标人发出中标通知书，同时将中标结果通知未中标的报价人。</w:t>
      </w:r>
    </w:p>
    <w:p w14:paraId="72CED52B">
      <w:pPr>
        <w:pStyle w:val="5"/>
        <w:widowControl/>
        <w:spacing w:before="0" w:after="0" w:line="300" w:lineRule="exact"/>
        <w:rPr>
          <w:rFonts w:ascii="宋体" w:hAnsi="宋体"/>
          <w:color w:val="auto"/>
          <w:kern w:val="2"/>
          <w:sz w:val="21"/>
          <w:szCs w:val="21"/>
          <w:highlight w:val="none"/>
        </w:rPr>
      </w:pPr>
      <w:bookmarkStart w:id="615" w:name="_Toc4661467"/>
      <w:bookmarkEnd w:id="615"/>
      <w:bookmarkStart w:id="616" w:name="_Toc4661945"/>
      <w:bookmarkEnd w:id="616"/>
      <w:bookmarkStart w:id="617" w:name="_Toc224103358"/>
      <w:bookmarkEnd w:id="617"/>
      <w:bookmarkStart w:id="618" w:name="_Toc200513167"/>
      <w:bookmarkEnd w:id="618"/>
      <w:bookmarkStart w:id="619" w:name="_Toc40455311"/>
      <w:bookmarkEnd w:id="619"/>
      <w:bookmarkStart w:id="620" w:name="_Toc40780293"/>
      <w:bookmarkEnd w:id="620"/>
      <w:bookmarkStart w:id="621" w:name="_Toc6509"/>
      <w:bookmarkEnd w:id="621"/>
      <w:bookmarkStart w:id="622" w:name="_Toc277082593"/>
      <w:bookmarkEnd w:id="622"/>
      <w:bookmarkStart w:id="623" w:name="_Toc40455684"/>
      <w:bookmarkEnd w:id="623"/>
      <w:bookmarkStart w:id="624" w:name="_Toc4661709"/>
      <w:bookmarkEnd w:id="624"/>
      <w:bookmarkStart w:id="625" w:name="_Toc287607787"/>
      <w:bookmarkEnd w:id="625"/>
      <w:bookmarkStart w:id="626" w:name="_Toc4662181"/>
      <w:r>
        <w:rPr>
          <w:rFonts w:hint="eastAsia" w:ascii="宋体" w:hAnsi="宋体"/>
          <w:color w:val="auto"/>
          <w:kern w:val="2"/>
          <w:sz w:val="21"/>
          <w:szCs w:val="21"/>
          <w:highlight w:val="none"/>
        </w:rPr>
        <w:t xml:space="preserve">7.3  </w:t>
      </w:r>
      <w:bookmarkEnd w:id="626"/>
      <w:r>
        <w:rPr>
          <w:rFonts w:hint="eastAsia" w:ascii="宋体" w:hAnsi="宋体" w:cs="宋体"/>
          <w:color w:val="auto"/>
          <w:kern w:val="2"/>
          <w:sz w:val="21"/>
          <w:szCs w:val="21"/>
          <w:highlight w:val="none"/>
        </w:rPr>
        <w:t>履约担保</w:t>
      </w:r>
    </w:p>
    <w:p w14:paraId="304E59E5">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7.3.1  </w:t>
      </w:r>
      <w:r>
        <w:rPr>
          <w:rFonts w:hint="eastAsia" w:ascii="宋体" w:hAnsi="宋体" w:cs="宋体"/>
          <w:color w:val="auto"/>
          <w:kern w:val="0"/>
          <w:szCs w:val="21"/>
          <w:highlight w:val="none"/>
          <w:lang w:bidi="ar"/>
        </w:rPr>
        <w:t>在签订合同前，中标人应按报价人须知前附表规定的金额、担保形式和竞争性比选文件</w:t>
      </w:r>
      <w:r>
        <w:rPr>
          <w:rFonts w:hint="eastAsia" w:ascii="宋体" w:hAnsi="宋体" w:cs="Calibri"/>
          <w:color w:val="auto"/>
          <w:kern w:val="0"/>
          <w:szCs w:val="21"/>
          <w:highlight w:val="none"/>
          <w:lang w:bidi="ar"/>
        </w:rPr>
        <w:t xml:space="preserve"> </w:t>
      </w:r>
      <w:r>
        <w:rPr>
          <w:rFonts w:hint="eastAsia" w:ascii="宋体" w:hAnsi="宋体" w:cs="宋体"/>
          <w:color w:val="auto"/>
          <w:kern w:val="0"/>
          <w:szCs w:val="21"/>
          <w:highlight w:val="none"/>
          <w:lang w:bidi="ar"/>
        </w:rPr>
        <w:t>第</w:t>
      </w:r>
      <w:r>
        <w:rPr>
          <w:rFonts w:ascii="宋体" w:hAnsi="宋体" w:cs="宋体"/>
          <w:color w:val="auto"/>
          <w:kern w:val="0"/>
          <w:szCs w:val="21"/>
          <w:highlight w:val="none"/>
          <w:lang w:bidi="ar"/>
        </w:rPr>
        <w:t>八</w:t>
      </w:r>
      <w:r>
        <w:rPr>
          <w:rFonts w:hint="eastAsia" w:ascii="宋体" w:hAnsi="宋体" w:cs="宋体"/>
          <w:color w:val="auto"/>
          <w:kern w:val="0"/>
          <w:szCs w:val="21"/>
          <w:highlight w:val="none"/>
          <w:lang w:bidi="ar"/>
        </w:rPr>
        <w:t>章</w:t>
      </w:r>
      <w:r>
        <w:rPr>
          <w:rFonts w:hint="eastAsia" w:ascii="宋体" w:hAnsi="宋体" w:cs="MingLiU"/>
          <w:color w:val="auto"/>
          <w:kern w:val="0"/>
          <w:szCs w:val="21"/>
          <w:highlight w:val="none"/>
          <w:lang w:bidi="ar"/>
        </w:rPr>
        <w:t>“合同条款及格式”规定的履约担保格式向采购人提交履约担保。</w:t>
      </w:r>
    </w:p>
    <w:p w14:paraId="03E0F360">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7.3.2  </w:t>
      </w:r>
      <w:r>
        <w:rPr>
          <w:rFonts w:hint="eastAsia" w:ascii="宋体" w:hAnsi="宋体" w:cs="宋体"/>
          <w:color w:val="auto"/>
          <w:kern w:val="0"/>
          <w:szCs w:val="21"/>
          <w:highlight w:val="none"/>
          <w:lang w:bidi="ar"/>
        </w:rPr>
        <w:t>中标人不能按本章第</w:t>
      </w:r>
      <w:r>
        <w:rPr>
          <w:rFonts w:hint="eastAsia" w:ascii="宋体" w:hAnsi="宋体" w:cs="Calibri"/>
          <w:color w:val="auto"/>
          <w:kern w:val="0"/>
          <w:szCs w:val="21"/>
          <w:highlight w:val="none"/>
          <w:lang w:bidi="ar"/>
        </w:rPr>
        <w:t xml:space="preserve"> 7.3.1 </w:t>
      </w:r>
      <w:r>
        <w:rPr>
          <w:rFonts w:hint="eastAsia" w:ascii="宋体" w:hAnsi="宋体" w:cs="宋体"/>
          <w:color w:val="auto"/>
          <w:kern w:val="0"/>
          <w:szCs w:val="21"/>
          <w:highlight w:val="none"/>
          <w:lang w:bidi="ar"/>
        </w:rPr>
        <w:t>项要求提交履约担保的，视为放弃中标，其投标保证金不予退还，给采购人造成的损失超过投标保证金数额的，中标人还应当对超过部分予以赔偿。</w:t>
      </w:r>
    </w:p>
    <w:p w14:paraId="1C49D044">
      <w:pPr>
        <w:pStyle w:val="5"/>
        <w:widowControl/>
        <w:spacing w:before="0" w:after="0" w:line="300" w:lineRule="exact"/>
        <w:rPr>
          <w:rFonts w:ascii="宋体" w:hAnsi="宋体"/>
          <w:color w:val="auto"/>
          <w:kern w:val="2"/>
          <w:sz w:val="21"/>
          <w:szCs w:val="21"/>
          <w:highlight w:val="none"/>
        </w:rPr>
      </w:pPr>
      <w:bookmarkStart w:id="627" w:name="_Toc40455312"/>
      <w:bookmarkEnd w:id="627"/>
      <w:bookmarkStart w:id="628" w:name="_Toc277082594"/>
      <w:bookmarkEnd w:id="628"/>
      <w:bookmarkStart w:id="629" w:name="_Toc4661946"/>
      <w:bookmarkEnd w:id="629"/>
      <w:bookmarkStart w:id="630" w:name="_Toc40780294"/>
      <w:bookmarkEnd w:id="630"/>
      <w:bookmarkStart w:id="631" w:name="_Toc40455685"/>
      <w:bookmarkEnd w:id="631"/>
      <w:bookmarkStart w:id="632" w:name="_Toc4661468"/>
      <w:bookmarkEnd w:id="632"/>
      <w:bookmarkStart w:id="633" w:name="_Toc12031"/>
      <w:bookmarkEnd w:id="633"/>
      <w:bookmarkStart w:id="634" w:name="_Toc4661710"/>
      <w:bookmarkEnd w:id="634"/>
      <w:bookmarkStart w:id="635" w:name="_Toc224103359"/>
      <w:bookmarkEnd w:id="635"/>
      <w:bookmarkStart w:id="636" w:name="_Toc4662182"/>
      <w:bookmarkEnd w:id="636"/>
      <w:bookmarkStart w:id="637" w:name="_Toc200513168"/>
      <w:bookmarkEnd w:id="637"/>
      <w:bookmarkStart w:id="638" w:name="_Toc287607788"/>
      <w:r>
        <w:rPr>
          <w:rFonts w:hint="eastAsia" w:ascii="宋体" w:hAnsi="宋体"/>
          <w:color w:val="auto"/>
          <w:kern w:val="2"/>
          <w:sz w:val="21"/>
          <w:szCs w:val="21"/>
          <w:highlight w:val="none"/>
        </w:rPr>
        <w:t xml:space="preserve">7.4  </w:t>
      </w:r>
      <w:bookmarkEnd w:id="638"/>
      <w:r>
        <w:rPr>
          <w:rFonts w:hint="eastAsia" w:ascii="宋体" w:hAnsi="宋体" w:cs="宋体"/>
          <w:color w:val="auto"/>
          <w:kern w:val="2"/>
          <w:sz w:val="21"/>
          <w:szCs w:val="21"/>
          <w:highlight w:val="none"/>
        </w:rPr>
        <w:t>签订合同</w:t>
      </w:r>
    </w:p>
    <w:p w14:paraId="3774B139">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7.4.1 </w:t>
      </w:r>
      <w:r>
        <w:rPr>
          <w:rFonts w:hint="eastAsia" w:ascii="宋体" w:hAnsi="宋体" w:cs="宋体"/>
          <w:color w:val="auto"/>
          <w:kern w:val="0"/>
          <w:szCs w:val="21"/>
          <w:highlight w:val="none"/>
          <w:lang w:bidi="ar"/>
        </w:rPr>
        <w:t>采购人和中标人应当自中标通知书发出之日起</w:t>
      </w:r>
      <w:r>
        <w:rPr>
          <w:rFonts w:hint="eastAsia" w:ascii="宋体" w:hAnsi="宋体" w:cs="Calibri"/>
          <w:color w:val="auto"/>
          <w:kern w:val="0"/>
          <w:szCs w:val="21"/>
          <w:highlight w:val="none"/>
          <w:lang w:bidi="ar"/>
        </w:rPr>
        <w:t xml:space="preserve"> 28 </w:t>
      </w:r>
      <w:r>
        <w:rPr>
          <w:rFonts w:hint="eastAsia" w:ascii="宋体" w:hAnsi="宋体" w:cs="宋体"/>
          <w:color w:val="auto"/>
          <w:kern w:val="0"/>
          <w:szCs w:val="21"/>
          <w:highlight w:val="none"/>
          <w:lang w:bidi="ar"/>
        </w:rPr>
        <w:t>天内，根据竞争性比选文件和中标人的比选响应文件订立书面合同。中标人无正当理由拒签合同的，采购人取消其中标资格，其投标保证金不予退还；给采购人造成的损失超过投标保证金数额的，中标人还应当对超过部分予以赔偿。</w:t>
      </w:r>
    </w:p>
    <w:p w14:paraId="2F622386">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Calibri"/>
          <w:color w:val="auto"/>
          <w:kern w:val="0"/>
          <w:szCs w:val="21"/>
          <w:highlight w:val="none"/>
          <w:lang w:bidi="ar"/>
        </w:rPr>
        <w:t xml:space="preserve">7.4.2  </w:t>
      </w:r>
      <w:r>
        <w:rPr>
          <w:rFonts w:hint="eastAsia" w:ascii="宋体" w:hAnsi="宋体" w:cs="宋体"/>
          <w:color w:val="auto"/>
          <w:kern w:val="0"/>
          <w:szCs w:val="21"/>
          <w:highlight w:val="none"/>
          <w:lang w:bidi="ar"/>
        </w:rPr>
        <w:t>发出中标通知书后，采购人无正当理由拒签合同的，采购人向中标人退还投标保证金；</w:t>
      </w:r>
    </w:p>
    <w:p w14:paraId="651C6366">
      <w:pPr>
        <w:autoSpaceDE w:val="0"/>
        <w:autoSpaceDN w:val="0"/>
        <w:adjustRightInd w:val="0"/>
        <w:spacing w:line="300" w:lineRule="exact"/>
        <w:jc w:val="left"/>
        <w:rPr>
          <w:rFonts w:ascii="宋体" w:hAnsi="宋体"/>
          <w:b/>
          <w:color w:val="auto"/>
          <w:szCs w:val="21"/>
          <w:highlight w:val="none"/>
        </w:rPr>
      </w:pPr>
      <w:bookmarkStart w:id="639" w:name="_Toc277082595"/>
      <w:bookmarkEnd w:id="639"/>
      <w:bookmarkStart w:id="640" w:name="_Toc40455686"/>
      <w:bookmarkEnd w:id="640"/>
      <w:bookmarkStart w:id="641" w:name="_Toc40455313"/>
      <w:bookmarkEnd w:id="641"/>
      <w:bookmarkStart w:id="642" w:name="_Toc287607789"/>
      <w:bookmarkEnd w:id="642"/>
      <w:bookmarkStart w:id="643" w:name="_Toc8265"/>
      <w:bookmarkEnd w:id="643"/>
      <w:bookmarkStart w:id="644" w:name="_Toc4662183"/>
      <w:bookmarkEnd w:id="644"/>
      <w:bookmarkStart w:id="645" w:name="_Toc200513169"/>
      <w:bookmarkEnd w:id="645"/>
      <w:bookmarkStart w:id="646" w:name="_Toc4661469"/>
      <w:bookmarkEnd w:id="646"/>
      <w:bookmarkStart w:id="647" w:name="_Toc4661947"/>
      <w:bookmarkEnd w:id="647"/>
      <w:bookmarkStart w:id="648" w:name="_Toc4661711"/>
      <w:bookmarkEnd w:id="648"/>
      <w:bookmarkStart w:id="649" w:name="_Toc224103360"/>
      <w:bookmarkEnd w:id="649"/>
      <w:bookmarkStart w:id="650" w:name="_Toc14976"/>
      <w:r>
        <w:rPr>
          <w:rFonts w:hint="eastAsia" w:ascii="宋体" w:hAnsi="宋体"/>
          <w:b/>
          <w:color w:val="auto"/>
          <w:szCs w:val="21"/>
          <w:highlight w:val="none"/>
          <w:lang w:bidi="ar"/>
        </w:rPr>
        <w:t xml:space="preserve">8.  </w:t>
      </w:r>
      <w:bookmarkEnd w:id="650"/>
      <w:bookmarkStart w:id="651" w:name="_Toc224103363"/>
      <w:bookmarkEnd w:id="651"/>
      <w:bookmarkStart w:id="652" w:name="_Toc14831"/>
      <w:bookmarkEnd w:id="652"/>
      <w:bookmarkStart w:id="653" w:name="_Toc40455689"/>
      <w:bookmarkEnd w:id="653"/>
      <w:bookmarkStart w:id="654" w:name="_Toc4661472"/>
      <w:bookmarkEnd w:id="654"/>
      <w:bookmarkStart w:id="655" w:name="_Toc4661950"/>
      <w:bookmarkEnd w:id="655"/>
      <w:bookmarkStart w:id="656" w:name="_Toc277082598"/>
      <w:bookmarkEnd w:id="656"/>
      <w:bookmarkStart w:id="657" w:name="_Toc4661714"/>
      <w:bookmarkEnd w:id="657"/>
      <w:bookmarkStart w:id="658" w:name="_Toc287607792"/>
      <w:bookmarkEnd w:id="658"/>
      <w:bookmarkStart w:id="659" w:name="_Toc31835"/>
      <w:bookmarkEnd w:id="659"/>
      <w:bookmarkStart w:id="660" w:name="_Toc4662186"/>
      <w:bookmarkEnd w:id="660"/>
      <w:bookmarkStart w:id="661" w:name="_Toc200513172"/>
      <w:bookmarkEnd w:id="661"/>
      <w:bookmarkStart w:id="662" w:name="_Toc40455316"/>
      <w:bookmarkEnd w:id="662"/>
      <w:r>
        <w:rPr>
          <w:rFonts w:hint="eastAsia" w:ascii="宋体" w:hAnsi="宋体"/>
          <w:b/>
          <w:color w:val="auto"/>
          <w:szCs w:val="21"/>
          <w:highlight w:val="none"/>
          <w:lang w:bidi="ar"/>
        </w:rPr>
        <w:t xml:space="preserve"> </w:t>
      </w:r>
      <w:r>
        <w:rPr>
          <w:rFonts w:hint="eastAsia" w:ascii="宋体" w:hAnsi="宋体" w:cs="宋体"/>
          <w:b/>
          <w:color w:val="auto"/>
          <w:szCs w:val="21"/>
          <w:highlight w:val="none"/>
          <w:lang w:bidi="ar"/>
        </w:rPr>
        <w:t>纪律和监督</w:t>
      </w:r>
    </w:p>
    <w:p w14:paraId="1426760F">
      <w:pPr>
        <w:pStyle w:val="5"/>
        <w:widowControl/>
        <w:spacing w:before="0" w:after="0" w:line="300" w:lineRule="exact"/>
        <w:rPr>
          <w:rFonts w:ascii="宋体" w:hAnsi="宋体"/>
          <w:color w:val="auto"/>
          <w:kern w:val="2"/>
          <w:sz w:val="21"/>
          <w:szCs w:val="21"/>
          <w:highlight w:val="none"/>
        </w:rPr>
      </w:pPr>
      <w:bookmarkStart w:id="663" w:name="_Toc4661473"/>
      <w:bookmarkEnd w:id="663"/>
      <w:bookmarkStart w:id="664" w:name="_Toc200513173"/>
      <w:bookmarkEnd w:id="664"/>
      <w:bookmarkStart w:id="665" w:name="_Toc40455690"/>
      <w:bookmarkEnd w:id="665"/>
      <w:bookmarkStart w:id="666" w:name="_Toc4662187"/>
      <w:bookmarkEnd w:id="666"/>
      <w:bookmarkStart w:id="667" w:name="_Toc4661715"/>
      <w:bookmarkEnd w:id="667"/>
      <w:bookmarkStart w:id="668" w:name="_Toc8515"/>
      <w:bookmarkEnd w:id="668"/>
      <w:bookmarkStart w:id="669" w:name="_Toc224103364"/>
      <w:bookmarkEnd w:id="669"/>
      <w:bookmarkStart w:id="670" w:name="_Toc277082599"/>
      <w:bookmarkEnd w:id="670"/>
      <w:bookmarkStart w:id="671" w:name="_Toc287607793"/>
      <w:bookmarkEnd w:id="671"/>
      <w:bookmarkStart w:id="672" w:name="_Toc40780299"/>
      <w:bookmarkEnd w:id="672"/>
      <w:bookmarkStart w:id="673" w:name="_Toc40455317"/>
      <w:bookmarkEnd w:id="673"/>
      <w:bookmarkStart w:id="674" w:name="_Toc4661951"/>
      <w:r>
        <w:rPr>
          <w:rFonts w:hint="eastAsia" w:ascii="宋体" w:hAnsi="宋体"/>
          <w:color w:val="auto"/>
          <w:kern w:val="2"/>
          <w:sz w:val="21"/>
          <w:szCs w:val="21"/>
          <w:highlight w:val="none"/>
        </w:rPr>
        <w:t>8</w:t>
      </w:r>
      <w:bookmarkEnd w:id="674"/>
      <w:r>
        <w:rPr>
          <w:rFonts w:hint="eastAsia" w:ascii="宋体" w:hAnsi="宋体"/>
          <w:color w:val="auto"/>
          <w:kern w:val="2"/>
          <w:sz w:val="21"/>
          <w:szCs w:val="21"/>
          <w:highlight w:val="none"/>
        </w:rPr>
        <w:t xml:space="preserve">.1  </w:t>
      </w:r>
      <w:r>
        <w:rPr>
          <w:rFonts w:hint="eastAsia" w:ascii="宋体" w:hAnsi="宋体" w:cs="宋体"/>
          <w:color w:val="auto"/>
          <w:kern w:val="2"/>
          <w:sz w:val="21"/>
          <w:szCs w:val="21"/>
          <w:highlight w:val="none"/>
        </w:rPr>
        <w:t>对采购人的纪律要求</w:t>
      </w:r>
    </w:p>
    <w:p w14:paraId="51D96A6C">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采购人不得泄漏竞争性比选投标活动中应当保密的情况和资料，不得与报价人串通损害国家利益、社会公共利益或者他人合法权益，</w:t>
      </w:r>
      <w:r>
        <w:rPr>
          <w:rFonts w:hint="eastAsia" w:ascii="宋体" w:hAnsi="宋体" w:cs="宋体"/>
          <w:color w:val="auto"/>
          <w:szCs w:val="21"/>
          <w:highlight w:val="none"/>
          <w:lang w:bidi="ar"/>
        </w:rPr>
        <w:t>禁止采购人与报价人串通投标。</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有下列情形之一的，属于采购人与报价人串通投标：</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（1）采购人在开标前开启比选响应文件并将有关信息泄露给其他报价人;</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（2）采购人直接或者间接向报价人泄露标底、评标委员会成员等信息；</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（3）采购人明示或者暗示报价人压低或者抬高投标报价；</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（4）采购人授意报价人撤换、修改比选响应文件；</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（5）采购人明示或者暗示报价人为特定报价人中标提供方便；</w:t>
      </w:r>
      <w:r>
        <w:rPr>
          <w:rFonts w:hint="eastAsia" w:ascii="宋体" w:hAnsi="宋体" w:cs="Calibri"/>
          <w:color w:val="auto"/>
          <w:szCs w:val="21"/>
          <w:highlight w:val="none"/>
          <w:lang w:bidi="ar"/>
        </w:rPr>
        <w:br w:type="textWrapping"/>
      </w:r>
      <w:r>
        <w:rPr>
          <w:rFonts w:hint="eastAsia" w:ascii="宋体" w:hAnsi="宋体" w:cs="Calibri"/>
          <w:color w:val="auto"/>
          <w:szCs w:val="21"/>
          <w:highlight w:val="none"/>
          <w:lang w:bidi="ar"/>
        </w:rPr>
        <w:t xml:space="preserve">  （6）采购人与报价人为谋求特定报价人中标而采取的其他串通行为。</w:t>
      </w:r>
    </w:p>
    <w:p w14:paraId="53C74420">
      <w:pPr>
        <w:pStyle w:val="5"/>
        <w:widowControl/>
        <w:spacing w:before="0" w:after="0" w:line="300" w:lineRule="exact"/>
        <w:rPr>
          <w:rFonts w:ascii="宋体" w:hAnsi="宋体"/>
          <w:color w:val="auto"/>
          <w:kern w:val="2"/>
          <w:sz w:val="21"/>
          <w:szCs w:val="21"/>
          <w:highlight w:val="none"/>
        </w:rPr>
      </w:pPr>
      <w:bookmarkStart w:id="675" w:name="_Toc40455318"/>
      <w:bookmarkEnd w:id="675"/>
      <w:bookmarkStart w:id="676" w:name="_Toc200513174"/>
      <w:bookmarkEnd w:id="676"/>
      <w:bookmarkStart w:id="677" w:name="_Toc40455691"/>
      <w:bookmarkEnd w:id="677"/>
      <w:bookmarkStart w:id="678" w:name="_Toc287607794"/>
      <w:bookmarkEnd w:id="678"/>
      <w:bookmarkStart w:id="679" w:name="_Toc224103365"/>
      <w:bookmarkEnd w:id="679"/>
      <w:bookmarkStart w:id="680" w:name="_Toc4661952"/>
      <w:bookmarkEnd w:id="680"/>
      <w:bookmarkStart w:id="681" w:name="_Toc4661716"/>
      <w:bookmarkEnd w:id="681"/>
      <w:bookmarkStart w:id="682" w:name="_Toc40780300"/>
      <w:bookmarkEnd w:id="682"/>
      <w:bookmarkStart w:id="683" w:name="_Toc19536"/>
      <w:bookmarkEnd w:id="683"/>
      <w:bookmarkStart w:id="684" w:name="_Toc4661474"/>
      <w:bookmarkEnd w:id="684"/>
      <w:bookmarkStart w:id="685" w:name="_Toc4662188"/>
      <w:bookmarkEnd w:id="685"/>
      <w:bookmarkStart w:id="686" w:name="_Toc277082600"/>
      <w:r>
        <w:rPr>
          <w:rFonts w:hint="eastAsia" w:ascii="宋体" w:hAnsi="宋体"/>
          <w:color w:val="auto"/>
          <w:kern w:val="2"/>
          <w:sz w:val="21"/>
          <w:szCs w:val="21"/>
          <w:highlight w:val="none"/>
        </w:rPr>
        <w:t>8</w:t>
      </w:r>
      <w:bookmarkEnd w:id="686"/>
      <w:r>
        <w:rPr>
          <w:rFonts w:hint="eastAsia" w:ascii="宋体" w:hAnsi="宋体"/>
          <w:color w:val="auto"/>
          <w:kern w:val="2"/>
          <w:sz w:val="21"/>
          <w:szCs w:val="21"/>
          <w:highlight w:val="none"/>
        </w:rPr>
        <w:t xml:space="preserve">.2  </w:t>
      </w:r>
      <w:r>
        <w:rPr>
          <w:rFonts w:hint="eastAsia" w:ascii="宋体" w:hAnsi="宋体" w:cs="宋体"/>
          <w:color w:val="auto"/>
          <w:kern w:val="2"/>
          <w:sz w:val="21"/>
          <w:szCs w:val="21"/>
          <w:highlight w:val="none"/>
        </w:rPr>
        <w:t>对报价人的纪律要求</w:t>
      </w:r>
    </w:p>
    <w:p w14:paraId="10752D9D">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报价人不得相互串通投标或者与采购人串通投标，不得向采购人或者评标委员会成员行贿谋取中标，不得以他人名义投标或者以其他方式弄虚作假骗取中标；报价人不得以任何方式干扰、影响评标工作。</w:t>
      </w:r>
    </w:p>
    <w:p w14:paraId="01E7FC94">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8.2.1有下列情形之一的，属于报价人相互串通投标：</w:t>
      </w:r>
    </w:p>
    <w:p w14:paraId="5C2DBFF7">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1）报价人之间协商投标报价等比选响应文件的实质性内容；</w:t>
      </w:r>
    </w:p>
    <w:p w14:paraId="643CC93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2）报价人之间约定中标人；</w:t>
      </w:r>
    </w:p>
    <w:p w14:paraId="5B2C67AE">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3）报价人之间约定部分报价人放弃投标或者中标；</w:t>
      </w:r>
    </w:p>
    <w:p w14:paraId="308CC9C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4）报价人之间为谋取中标或者排斥特定报价人而采取的其他联合行动。</w:t>
      </w:r>
    </w:p>
    <w:p w14:paraId="121AD726">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8.2.2有下列情形之一的，视为报价人相互串通投标：</w:t>
      </w:r>
    </w:p>
    <w:p w14:paraId="0AD2D926">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1）不同报价人的比选响应文件由同一单位或者个人编制；</w:t>
      </w:r>
    </w:p>
    <w:p w14:paraId="63D92F1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2）不同报价人委托同一单位或者个人办理投标事宜；</w:t>
      </w:r>
    </w:p>
    <w:p w14:paraId="5F218F6F">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3）不同报价人的比选响应文件载明的项目管理成员为同一人；</w:t>
      </w:r>
    </w:p>
    <w:p w14:paraId="565329A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4）不同报价人的比选响应文件异常一致或者投标报价呈规律性差异；</w:t>
      </w:r>
    </w:p>
    <w:p w14:paraId="344D974B">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5）不同报价人的比选响应文件相互混装；</w:t>
      </w:r>
    </w:p>
    <w:p w14:paraId="551C5771">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6）不同报价人的投标保证金从同一单位或者个人的账户转出。</w:t>
      </w:r>
    </w:p>
    <w:p w14:paraId="0DA7D8C4">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8.2.3使用通过受让或者租借等方式获取的资格、资质证书投标的，属于以他人名义投标。</w:t>
      </w:r>
    </w:p>
    <w:p w14:paraId="15ED7B5D">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Calibri"/>
          <w:color w:val="auto"/>
          <w:szCs w:val="21"/>
          <w:highlight w:val="none"/>
          <w:lang w:bidi="ar"/>
        </w:rPr>
        <w:t>8.2.4报价人有下列情形之一的，属于以其他方式弄虚作假的行为：</w:t>
      </w:r>
    </w:p>
    <w:p w14:paraId="41D166B9">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1）使用伪造、变造的许可证件；</w:t>
      </w:r>
    </w:p>
    <w:p w14:paraId="575FC02A">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2）提供虚假的财务状况或者业绩；</w:t>
      </w:r>
    </w:p>
    <w:p w14:paraId="516D13A0">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3）提供虚假的项目负责人或者主要技术人员简历、劳动关系证明；</w:t>
      </w:r>
    </w:p>
    <w:p w14:paraId="12A9FC7B">
      <w:pPr>
        <w:autoSpaceDE w:val="0"/>
        <w:autoSpaceDN w:val="0"/>
        <w:adjustRightInd w:val="0"/>
        <w:spacing w:line="300" w:lineRule="exact"/>
        <w:ind w:firstLine="420"/>
        <w:rPr>
          <w:rFonts w:ascii="宋体" w:hAnsi="宋体" w:cs="Calibri"/>
          <w:color w:val="auto"/>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4）提供虚假的信用状况；</w:t>
      </w:r>
    </w:p>
    <w:p w14:paraId="32C1EE10">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szCs w:val="21"/>
          <w:highlight w:val="none"/>
          <w:lang w:bidi="ar"/>
        </w:rPr>
        <w:t>（</w:t>
      </w:r>
      <w:r>
        <w:rPr>
          <w:rFonts w:hint="eastAsia" w:ascii="宋体" w:hAnsi="宋体" w:cs="Calibri"/>
          <w:color w:val="auto"/>
          <w:szCs w:val="21"/>
          <w:highlight w:val="none"/>
          <w:lang w:bidi="ar"/>
        </w:rPr>
        <w:t>5）其他弄虚作假的行为。</w:t>
      </w:r>
    </w:p>
    <w:p w14:paraId="6E097581">
      <w:pPr>
        <w:pStyle w:val="5"/>
        <w:widowControl/>
        <w:spacing w:before="0" w:after="0" w:line="300" w:lineRule="exact"/>
        <w:rPr>
          <w:rFonts w:ascii="宋体" w:hAnsi="宋体"/>
          <w:color w:val="auto"/>
          <w:kern w:val="2"/>
          <w:sz w:val="21"/>
          <w:szCs w:val="21"/>
          <w:highlight w:val="none"/>
        </w:rPr>
      </w:pPr>
      <w:bookmarkStart w:id="687" w:name="_Toc277082601"/>
      <w:bookmarkEnd w:id="687"/>
      <w:bookmarkStart w:id="688" w:name="_Toc287607795"/>
      <w:bookmarkEnd w:id="688"/>
      <w:bookmarkStart w:id="689" w:name="_Toc40455692"/>
      <w:bookmarkEnd w:id="689"/>
      <w:bookmarkStart w:id="690" w:name="_Toc224103366"/>
      <w:bookmarkEnd w:id="690"/>
      <w:bookmarkStart w:id="691" w:name="_Toc200513175"/>
      <w:bookmarkEnd w:id="691"/>
      <w:bookmarkStart w:id="692" w:name="_Toc40455319"/>
      <w:bookmarkEnd w:id="692"/>
      <w:bookmarkStart w:id="693" w:name="_Toc40780301"/>
      <w:bookmarkEnd w:id="693"/>
      <w:bookmarkStart w:id="694" w:name="_Toc4661475"/>
      <w:bookmarkEnd w:id="694"/>
      <w:bookmarkStart w:id="695" w:name="_Toc6459"/>
      <w:bookmarkEnd w:id="695"/>
      <w:bookmarkStart w:id="696" w:name="_Toc4662189"/>
      <w:bookmarkEnd w:id="696"/>
      <w:bookmarkStart w:id="697" w:name="_Toc4661717"/>
      <w:bookmarkEnd w:id="697"/>
      <w:bookmarkStart w:id="698" w:name="_Toc4661953"/>
      <w:r>
        <w:rPr>
          <w:rFonts w:hint="eastAsia" w:ascii="宋体" w:hAnsi="宋体"/>
          <w:color w:val="auto"/>
          <w:kern w:val="2"/>
          <w:sz w:val="21"/>
          <w:szCs w:val="21"/>
          <w:highlight w:val="none"/>
        </w:rPr>
        <w:t>8</w:t>
      </w:r>
      <w:bookmarkEnd w:id="698"/>
      <w:r>
        <w:rPr>
          <w:rFonts w:hint="eastAsia" w:ascii="宋体" w:hAnsi="宋体"/>
          <w:color w:val="auto"/>
          <w:kern w:val="2"/>
          <w:sz w:val="21"/>
          <w:szCs w:val="21"/>
          <w:highlight w:val="none"/>
        </w:rPr>
        <w:t xml:space="preserve">.3  </w:t>
      </w:r>
      <w:r>
        <w:rPr>
          <w:rFonts w:hint="eastAsia" w:ascii="宋体" w:hAnsi="宋体" w:cs="宋体"/>
          <w:color w:val="auto"/>
          <w:kern w:val="2"/>
          <w:sz w:val="21"/>
          <w:szCs w:val="21"/>
          <w:highlight w:val="none"/>
        </w:rPr>
        <w:t>对评标委员会成员的纪律要求</w:t>
      </w:r>
    </w:p>
    <w:p w14:paraId="30FD21CA">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评标委员会成员不得收受他人的财物或者其他好处，不得向他人透漏对比选响应文件的评审和比较、中标候选人的推荐情况以及评标有关的其他情况。在评标活动中，评标委员会成员不得擅离职守，影响评标程序正常进行，不得使用第三章</w:t>
      </w:r>
      <w:r>
        <w:rPr>
          <w:rFonts w:hint="eastAsia" w:ascii="宋体" w:hAnsi="宋体" w:cs="MingLiU"/>
          <w:color w:val="auto"/>
          <w:kern w:val="0"/>
          <w:szCs w:val="21"/>
          <w:highlight w:val="none"/>
          <w:lang w:bidi="ar"/>
        </w:rPr>
        <w:t>“评标办法”没有规定的评审因素和标准进行评标。</w:t>
      </w:r>
    </w:p>
    <w:p w14:paraId="374CF0F2">
      <w:pPr>
        <w:pStyle w:val="5"/>
        <w:widowControl/>
        <w:spacing w:before="0" w:after="0" w:line="300" w:lineRule="exact"/>
        <w:rPr>
          <w:rFonts w:ascii="宋体" w:hAnsi="宋体"/>
          <w:color w:val="auto"/>
          <w:kern w:val="2"/>
          <w:sz w:val="21"/>
          <w:szCs w:val="21"/>
          <w:highlight w:val="none"/>
        </w:rPr>
      </w:pPr>
      <w:bookmarkStart w:id="699" w:name="_Toc40780302"/>
      <w:bookmarkEnd w:id="699"/>
      <w:bookmarkStart w:id="700" w:name="_Toc4661954"/>
      <w:bookmarkEnd w:id="700"/>
      <w:bookmarkStart w:id="701" w:name="_Toc13495"/>
      <w:bookmarkEnd w:id="701"/>
      <w:bookmarkStart w:id="702" w:name="_Toc224103367"/>
      <w:bookmarkEnd w:id="702"/>
      <w:bookmarkStart w:id="703" w:name="_Toc40455693"/>
      <w:bookmarkEnd w:id="703"/>
      <w:bookmarkStart w:id="704" w:name="_Toc287607796"/>
      <w:bookmarkEnd w:id="704"/>
      <w:bookmarkStart w:id="705" w:name="_Toc40455320"/>
      <w:bookmarkEnd w:id="705"/>
      <w:bookmarkStart w:id="706" w:name="_Toc277082602"/>
      <w:bookmarkEnd w:id="706"/>
      <w:bookmarkStart w:id="707" w:name="_Toc200513176"/>
      <w:bookmarkEnd w:id="707"/>
      <w:bookmarkStart w:id="708" w:name="_Toc4661476"/>
      <w:bookmarkEnd w:id="708"/>
      <w:bookmarkStart w:id="709" w:name="_Toc4662190"/>
      <w:bookmarkEnd w:id="709"/>
      <w:bookmarkStart w:id="710" w:name="_Toc4661718"/>
      <w:r>
        <w:rPr>
          <w:rFonts w:hint="eastAsia" w:ascii="宋体" w:hAnsi="宋体"/>
          <w:color w:val="auto"/>
          <w:kern w:val="2"/>
          <w:sz w:val="21"/>
          <w:szCs w:val="21"/>
          <w:highlight w:val="none"/>
        </w:rPr>
        <w:t>8</w:t>
      </w:r>
      <w:bookmarkEnd w:id="710"/>
      <w:r>
        <w:rPr>
          <w:rFonts w:hint="eastAsia" w:ascii="宋体" w:hAnsi="宋体"/>
          <w:color w:val="auto"/>
          <w:kern w:val="2"/>
          <w:sz w:val="21"/>
          <w:szCs w:val="21"/>
          <w:highlight w:val="none"/>
        </w:rPr>
        <w:t xml:space="preserve">.4  </w:t>
      </w:r>
      <w:r>
        <w:rPr>
          <w:rFonts w:hint="eastAsia" w:ascii="宋体" w:hAnsi="宋体" w:cs="宋体"/>
          <w:color w:val="auto"/>
          <w:kern w:val="2"/>
          <w:sz w:val="21"/>
          <w:szCs w:val="21"/>
          <w:highlight w:val="none"/>
        </w:rPr>
        <w:t>对与评标活动有关的工作人员的纪律要求</w:t>
      </w:r>
    </w:p>
    <w:p w14:paraId="35C5E20A">
      <w:pPr>
        <w:autoSpaceDE w:val="0"/>
        <w:autoSpaceDN w:val="0"/>
        <w:adjustRightInd w:val="0"/>
        <w:spacing w:line="300" w:lineRule="exact"/>
        <w:ind w:firstLine="420"/>
        <w:rPr>
          <w:rFonts w:ascii="宋体" w:hAnsi="宋体" w:cs="MingLiU"/>
          <w:color w:val="auto"/>
          <w:kern w:val="0"/>
          <w:szCs w:val="21"/>
          <w:highlight w:val="none"/>
        </w:rPr>
      </w:pPr>
      <w:r>
        <w:rPr>
          <w:rFonts w:hint="eastAsia" w:ascii="宋体" w:hAnsi="宋体" w:cs="宋体"/>
          <w:color w:val="auto"/>
          <w:kern w:val="0"/>
          <w:szCs w:val="21"/>
          <w:highlight w:val="none"/>
          <w:lang w:bidi="ar"/>
        </w:rPr>
        <w:t>与评标活动有关的工作人员不得收受他人的财物或者其他好处，不得向他人透漏对比选响应文件的评审和比较、中标候选人的推荐情况以及与评标有关的其他情况。在评标活动中，与评标活动有关的工作人员不得擅离职守，影响评标程序正常进行。</w:t>
      </w:r>
    </w:p>
    <w:p w14:paraId="138C778C">
      <w:pPr>
        <w:pStyle w:val="5"/>
        <w:widowControl/>
        <w:spacing w:before="0" w:after="0" w:line="300" w:lineRule="exact"/>
        <w:rPr>
          <w:rFonts w:ascii="宋体" w:hAnsi="宋体"/>
          <w:color w:val="auto"/>
          <w:kern w:val="2"/>
          <w:sz w:val="21"/>
          <w:szCs w:val="21"/>
          <w:highlight w:val="none"/>
        </w:rPr>
      </w:pPr>
      <w:bookmarkStart w:id="711" w:name="_Toc287607797"/>
      <w:bookmarkEnd w:id="711"/>
      <w:bookmarkStart w:id="712" w:name="_Toc22072"/>
      <w:bookmarkEnd w:id="712"/>
      <w:bookmarkStart w:id="713" w:name="_Toc4661719"/>
      <w:bookmarkEnd w:id="713"/>
      <w:bookmarkStart w:id="714" w:name="_Toc4662191"/>
      <w:bookmarkEnd w:id="714"/>
      <w:bookmarkStart w:id="715" w:name="_Toc224103368"/>
      <w:bookmarkEnd w:id="715"/>
      <w:bookmarkStart w:id="716" w:name="_Toc40455321"/>
      <w:bookmarkEnd w:id="716"/>
      <w:bookmarkStart w:id="717" w:name="_Toc40455694"/>
      <w:bookmarkEnd w:id="717"/>
      <w:bookmarkStart w:id="718" w:name="_Toc40780303"/>
      <w:bookmarkEnd w:id="718"/>
      <w:bookmarkStart w:id="719" w:name="_Toc277082603"/>
      <w:bookmarkEnd w:id="719"/>
      <w:bookmarkStart w:id="720" w:name="_Toc4661477"/>
      <w:bookmarkEnd w:id="720"/>
      <w:bookmarkStart w:id="721" w:name="_Toc200513177"/>
      <w:bookmarkEnd w:id="721"/>
      <w:bookmarkStart w:id="722" w:name="_Toc4661955"/>
      <w:r>
        <w:rPr>
          <w:rFonts w:hint="eastAsia" w:ascii="宋体" w:hAnsi="宋体"/>
          <w:color w:val="auto"/>
          <w:kern w:val="2"/>
          <w:sz w:val="21"/>
          <w:szCs w:val="21"/>
          <w:highlight w:val="none"/>
        </w:rPr>
        <w:t>8</w:t>
      </w:r>
      <w:bookmarkEnd w:id="722"/>
      <w:r>
        <w:rPr>
          <w:rFonts w:hint="eastAsia" w:ascii="宋体" w:hAnsi="宋体"/>
          <w:color w:val="auto"/>
          <w:kern w:val="2"/>
          <w:sz w:val="21"/>
          <w:szCs w:val="21"/>
          <w:highlight w:val="none"/>
        </w:rPr>
        <w:t xml:space="preserve">.5  </w:t>
      </w:r>
      <w:r>
        <w:rPr>
          <w:rFonts w:hint="eastAsia" w:ascii="宋体" w:hAnsi="宋体" w:cs="宋体"/>
          <w:color w:val="auto"/>
          <w:kern w:val="2"/>
          <w:sz w:val="21"/>
          <w:szCs w:val="21"/>
          <w:highlight w:val="none"/>
        </w:rPr>
        <w:t>投诉</w:t>
      </w:r>
    </w:p>
    <w:p w14:paraId="5410BE22">
      <w:pPr>
        <w:autoSpaceDE w:val="0"/>
        <w:autoSpaceDN w:val="0"/>
        <w:adjustRightInd w:val="0"/>
        <w:spacing w:line="300" w:lineRule="exact"/>
        <w:ind w:firstLine="420"/>
        <w:jc w:val="left"/>
        <w:rPr>
          <w:rFonts w:ascii="宋体" w:hAnsi="宋体" w:cs="MingLiU"/>
          <w:color w:val="auto"/>
          <w:kern w:val="0"/>
          <w:szCs w:val="21"/>
          <w:highlight w:val="none"/>
        </w:rPr>
      </w:pPr>
      <w:r>
        <w:rPr>
          <w:rFonts w:hint="eastAsia" w:ascii="宋体" w:hAnsi="宋体" w:cs="宋体"/>
          <w:color w:val="auto"/>
          <w:kern w:val="0"/>
          <w:szCs w:val="21"/>
          <w:highlight w:val="none"/>
          <w:lang w:bidi="ar"/>
        </w:rPr>
        <w:t>报价人和其他利害关系人认为本次竞争性比选活动违反法律、法规和规章规定的，有权向有关监督部门投诉。具体见报价人须知前附表。</w:t>
      </w:r>
    </w:p>
    <w:p w14:paraId="7CBCB3F9">
      <w:pPr>
        <w:pStyle w:val="5"/>
        <w:widowControl/>
        <w:spacing w:before="0" w:after="0" w:line="300" w:lineRule="exact"/>
        <w:rPr>
          <w:rFonts w:ascii="宋体" w:hAnsi="宋体" w:cs="宋体"/>
          <w:color w:val="auto"/>
          <w:sz w:val="28"/>
          <w:szCs w:val="28"/>
          <w:highlight w:val="none"/>
        </w:rPr>
        <w:sectPr>
          <w:footerReference r:id="rId7" w:type="default"/>
          <w:pgSz w:w="11906" w:h="16838"/>
          <w:pgMar w:top="1418" w:right="1134" w:bottom="1418" w:left="1134" w:header="851" w:footer="992" w:gutter="0"/>
          <w:pgBorders>
            <w:top w:val="none" w:sz="0" w:space="0"/>
            <w:left w:val="none" w:sz="0" w:space="0"/>
            <w:bottom w:val="none" w:sz="0" w:space="0"/>
            <w:right w:val="none" w:sz="0" w:space="0"/>
          </w:pgBorders>
          <w:pgNumType w:start="1"/>
          <w:cols w:space="720" w:num="1"/>
          <w:docGrid w:type="lines" w:linePitch="312" w:charSpace="0"/>
        </w:sectPr>
      </w:pPr>
      <w:bookmarkStart w:id="723" w:name="_Toc4661478"/>
      <w:bookmarkEnd w:id="723"/>
      <w:bookmarkStart w:id="724" w:name="_Toc287620737"/>
      <w:bookmarkEnd w:id="724"/>
      <w:bookmarkStart w:id="725" w:name="_Toc40455695"/>
      <w:bookmarkEnd w:id="725"/>
      <w:bookmarkStart w:id="726" w:name="_Toc287607798"/>
      <w:bookmarkEnd w:id="726"/>
      <w:bookmarkStart w:id="727" w:name="_Toc277082604"/>
      <w:bookmarkEnd w:id="727"/>
      <w:bookmarkStart w:id="728" w:name="_Toc26060"/>
      <w:bookmarkEnd w:id="728"/>
      <w:bookmarkStart w:id="729" w:name="_Toc40455322"/>
      <w:bookmarkEnd w:id="729"/>
      <w:bookmarkStart w:id="730" w:name="_Toc4662192"/>
      <w:bookmarkEnd w:id="730"/>
      <w:bookmarkStart w:id="731" w:name="_Toc224103369"/>
      <w:bookmarkEnd w:id="731"/>
      <w:bookmarkStart w:id="732" w:name="_Toc4661720"/>
      <w:bookmarkEnd w:id="732"/>
      <w:bookmarkStart w:id="733" w:name="_Toc4661956"/>
      <w:bookmarkEnd w:id="733"/>
      <w:bookmarkStart w:id="734" w:name="_Toc200513178"/>
      <w:r>
        <w:rPr>
          <w:rFonts w:hint="eastAsia" w:ascii="宋体" w:hAnsi="宋体"/>
          <w:color w:val="auto"/>
          <w:kern w:val="2"/>
          <w:sz w:val="21"/>
          <w:szCs w:val="21"/>
          <w:highlight w:val="none"/>
        </w:rPr>
        <w:t>9</w:t>
      </w:r>
      <w:bookmarkEnd w:id="734"/>
      <w:r>
        <w:rPr>
          <w:rFonts w:hint="eastAsia" w:ascii="宋体" w:hAnsi="宋体"/>
          <w:color w:val="auto"/>
          <w:kern w:val="2"/>
          <w:sz w:val="21"/>
          <w:szCs w:val="21"/>
          <w:highlight w:val="none"/>
        </w:rPr>
        <w:t>.需要补充的其他内容</w:t>
      </w:r>
    </w:p>
    <w:p w14:paraId="3F26D856">
      <w:pPr>
        <w:rPr>
          <w:rFonts w:ascii="黑体" w:hAnsi="宋体" w:cs="黑体"/>
          <w:color w:val="auto"/>
          <w:szCs w:val="21"/>
          <w:highlight w:val="none"/>
        </w:rPr>
      </w:pPr>
    </w:p>
    <w:bookmarkEnd w:id="134"/>
    <w:p w14:paraId="7A786FC7">
      <w:pPr>
        <w:pStyle w:val="4"/>
        <w:jc w:val="center"/>
        <w:rPr>
          <w:rFonts w:ascii="宋体" w:hAnsi="宋体" w:eastAsia="宋体" w:cs="宋体"/>
          <w:bCs w:val="0"/>
          <w:color w:val="auto"/>
          <w:sz w:val="28"/>
          <w:szCs w:val="28"/>
          <w:highlight w:val="none"/>
        </w:rPr>
      </w:pPr>
      <w:bookmarkStart w:id="735" w:name="_Toc11284"/>
      <w:bookmarkStart w:id="736" w:name="_Toc17532"/>
      <w:bookmarkStart w:id="737" w:name="_Toc11329222"/>
      <w:bookmarkStart w:id="738" w:name="_Toc30198"/>
      <w:bookmarkStart w:id="739" w:name="_Toc30300"/>
      <w:bookmarkStart w:id="740" w:name="_Toc26404"/>
      <w:bookmarkStart w:id="741" w:name="_Toc32070"/>
      <w:bookmarkStart w:id="742" w:name="OLE_LINK47"/>
      <w:r>
        <w:rPr>
          <w:rFonts w:hint="eastAsia" w:ascii="宋体" w:hAnsi="宋体" w:eastAsia="宋体" w:cs="宋体"/>
          <w:color w:val="auto"/>
          <w:sz w:val="28"/>
          <w:szCs w:val="28"/>
          <w:highlight w:val="none"/>
        </w:rPr>
        <w:t xml:space="preserve">附录1  </w:t>
      </w:r>
      <w:bookmarkEnd w:id="735"/>
      <w:bookmarkEnd w:id="736"/>
      <w:bookmarkEnd w:id="737"/>
      <w:bookmarkEnd w:id="738"/>
      <w:bookmarkStart w:id="743" w:name="_Toc25591"/>
      <w:bookmarkStart w:id="744" w:name="_Toc27096"/>
      <w:bookmarkStart w:id="745" w:name="_Toc12773"/>
      <w:bookmarkStart w:id="746" w:name="_Toc11329226"/>
      <w:r>
        <w:rPr>
          <w:rFonts w:hint="eastAsia" w:ascii="宋体" w:hAnsi="宋体" w:eastAsia="宋体" w:cs="宋体"/>
          <w:bCs w:val="0"/>
          <w:color w:val="auto"/>
          <w:sz w:val="28"/>
          <w:szCs w:val="28"/>
          <w:highlight w:val="none"/>
        </w:rPr>
        <w:t>报价人资格要求</w:t>
      </w:r>
      <w:bookmarkEnd w:id="739"/>
      <w:bookmarkEnd w:id="740"/>
      <w:bookmarkEnd w:id="741"/>
      <w:bookmarkEnd w:id="743"/>
      <w:bookmarkEnd w:id="744"/>
      <w:bookmarkEnd w:id="745"/>
      <w:bookmarkEnd w:id="746"/>
    </w:p>
    <w:bookmarkEnd w:id="742"/>
    <w:tbl>
      <w:tblPr>
        <w:tblStyle w:val="44"/>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69945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4E5FD1FF">
            <w:pPr>
              <w:spacing w:line="400" w:lineRule="exact"/>
              <w:jc w:val="center"/>
              <w:rPr>
                <w:rFonts w:ascii="宋体" w:hAnsi="宋体" w:cs="宋体"/>
                <w:color w:val="auto"/>
                <w:szCs w:val="21"/>
                <w:highlight w:val="none"/>
              </w:rPr>
            </w:pPr>
            <w:bookmarkStart w:id="747" w:name="_Toc387234996"/>
            <w:bookmarkStart w:id="748" w:name="_Toc388534043"/>
            <w:bookmarkStart w:id="749" w:name="OLE_LINK48"/>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2277021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78D2E09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4398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4" w:type="dxa"/>
            <w:tcBorders>
              <w:top w:val="single" w:color="auto" w:sz="4" w:space="0"/>
              <w:left w:val="single" w:color="auto" w:sz="4" w:space="0"/>
              <w:right w:val="single" w:color="auto" w:sz="4" w:space="0"/>
            </w:tcBorders>
            <w:vAlign w:val="center"/>
          </w:tcPr>
          <w:p w14:paraId="5374503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right w:val="single" w:color="auto" w:sz="4" w:space="0"/>
            </w:tcBorders>
            <w:vAlign w:val="center"/>
          </w:tcPr>
          <w:p w14:paraId="71CFC0F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46F47DE7">
            <w:pPr>
              <w:numPr>
                <w:ilvl w:val="0"/>
                <w:numId w:val="7"/>
              </w:numPr>
              <w:spacing w:line="400" w:lineRule="exact"/>
              <w:ind w:firstLine="420" w:firstLineChars="200"/>
              <w:rPr>
                <w:rFonts w:hint="eastAsia"/>
                <w:color w:val="auto"/>
                <w:highlight w:val="none"/>
              </w:rPr>
            </w:pPr>
            <w:r>
              <w:rPr>
                <w:rFonts w:hint="eastAsia"/>
                <w:color w:val="auto"/>
                <w:highlight w:val="none"/>
              </w:rPr>
              <w:t>报价人具有独立法人资格及有效的营业执照。</w:t>
            </w:r>
          </w:p>
          <w:p w14:paraId="4EDAFF0F">
            <w:pPr>
              <w:numPr>
                <w:ilvl w:val="0"/>
                <w:numId w:val="7"/>
              </w:numPr>
              <w:spacing w:line="400" w:lineRule="exact"/>
              <w:ind w:firstLine="420" w:firstLineChars="200"/>
              <w:rPr>
                <w:color w:val="auto"/>
                <w:highlight w:val="none"/>
              </w:rPr>
            </w:pPr>
            <w:r>
              <w:rPr>
                <w:rFonts w:hint="eastAsia"/>
                <w:color w:val="auto"/>
                <w:highlight w:val="none"/>
              </w:rPr>
              <w:t>报价人具备中国信息安全测评中心颁发的有效的《信息安全服务资质认证证书》安全工程类一级及以上的资质或CCRC颁发的信息安全服务资质认证证书（风险评估二级及以上）资质。</w:t>
            </w:r>
          </w:p>
        </w:tc>
      </w:tr>
      <w:tr w14:paraId="0276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64" w:type="dxa"/>
            <w:tcBorders>
              <w:top w:val="single" w:color="auto" w:sz="4" w:space="0"/>
              <w:left w:val="single" w:color="auto" w:sz="4" w:space="0"/>
              <w:bottom w:val="single" w:color="auto" w:sz="4" w:space="0"/>
              <w:right w:val="single" w:color="auto" w:sz="4" w:space="0"/>
            </w:tcBorders>
            <w:vAlign w:val="center"/>
          </w:tcPr>
          <w:p w14:paraId="5332FA2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465" w:type="dxa"/>
            <w:tcBorders>
              <w:top w:val="single" w:color="auto" w:sz="4" w:space="0"/>
              <w:left w:val="single" w:color="auto" w:sz="4" w:space="0"/>
              <w:bottom w:val="single" w:color="auto" w:sz="4" w:space="0"/>
              <w:right w:val="single" w:color="auto" w:sz="4" w:space="0"/>
            </w:tcBorders>
            <w:vAlign w:val="center"/>
          </w:tcPr>
          <w:p w14:paraId="39E5E7E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5475FFEE">
            <w:pPr>
              <w:spacing w:line="400" w:lineRule="exact"/>
              <w:ind w:firstLine="420" w:firstLineChars="200"/>
              <w:rPr>
                <w:color w:val="auto"/>
                <w:highlight w:val="none"/>
              </w:rPr>
            </w:pPr>
            <w:r>
              <w:rPr>
                <w:rFonts w:hint="eastAsia"/>
                <w:color w:val="auto"/>
                <w:highlight w:val="none"/>
              </w:rPr>
              <w:t>1、报价人在2021年1月1日至报价截止日期（以合同签订时间为准）至少具有一个合同金额在15万元及以上的类似网络安全服务项目业绩（提供合同扫描件）。</w:t>
            </w:r>
          </w:p>
          <w:p w14:paraId="01879D30">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注：须提供合同复印件或关键页，关键页包括但不限于合同首尾页、签章页、金额页，关键页需能充分体现以上业绩要求各项要素。提供有关资料，加盖报价单位公章。不满足上述业绩要求的业绩视为无效。</w:t>
            </w:r>
          </w:p>
        </w:tc>
      </w:tr>
      <w:tr w14:paraId="3E76E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715E9FC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465" w:type="dxa"/>
            <w:tcBorders>
              <w:top w:val="single" w:color="auto" w:sz="4" w:space="0"/>
              <w:left w:val="single" w:color="auto" w:sz="4" w:space="0"/>
              <w:bottom w:val="single" w:color="auto" w:sz="4" w:space="0"/>
              <w:right w:val="single" w:color="auto" w:sz="4" w:space="0"/>
            </w:tcBorders>
            <w:vAlign w:val="center"/>
          </w:tcPr>
          <w:p w14:paraId="2A35024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4513C5A">
            <w:pPr>
              <w:wordWrap w:val="0"/>
              <w:spacing w:line="400" w:lineRule="exact"/>
              <w:ind w:firstLine="420" w:firstLineChars="200"/>
              <w:rPr>
                <w:color w:val="auto"/>
                <w:highlight w:val="none"/>
              </w:rPr>
            </w:pPr>
            <w:r>
              <w:rPr>
                <w:rFonts w:hint="eastAsia"/>
                <w:color w:val="auto"/>
                <w:highlight w:val="none"/>
              </w:rPr>
              <w:t>1、在国家企业信用信息公示系统（http://www.gsxt.gov.cn/）中未被列入严重违法失信企业名单（黑名单）信息；在“信用中国”网站（http://www.creditchina.gov.cn/）中未被列入严重失信主体名单。</w:t>
            </w:r>
          </w:p>
          <w:p w14:paraId="5C7DA9A0">
            <w:pPr>
              <w:wordWrap w:val="0"/>
              <w:spacing w:line="400" w:lineRule="exact"/>
              <w:ind w:firstLine="420" w:firstLineChars="200"/>
              <w:rPr>
                <w:color w:val="auto"/>
                <w:highlight w:val="none"/>
              </w:rPr>
            </w:pPr>
            <w:r>
              <w:rPr>
                <w:rFonts w:hint="eastAsia"/>
                <w:color w:val="auto"/>
                <w:highlight w:val="none"/>
              </w:rPr>
              <w:t>注：信誉要求报价人自行通过上述网站进行查询，经查询存在相应记录的，应回避本次比选；查询后无相应记录的，需按竞争性比选响应文件中承诺格式进行承诺并盖单位</w:t>
            </w:r>
            <w:r>
              <w:rPr>
                <w:rFonts w:hint="eastAsia" w:hAnsi="宋体"/>
                <w:color w:val="auto"/>
                <w:szCs w:val="21"/>
                <w:highlight w:val="none"/>
              </w:rPr>
              <w:t>公章</w:t>
            </w:r>
            <w:r>
              <w:rPr>
                <w:rFonts w:hint="eastAsia"/>
                <w:color w:val="auto"/>
                <w:highlight w:val="none"/>
              </w:rPr>
              <w:t>。采购人保留对报价人承诺真实性进行查询的权利，如果发现报价人承诺不实的，将取消其中标资格，采购人可以按照评审报告中标结果的排序，依次递补其他报价人为中标候选人或中标人，也可重新采购。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27EEA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1474BFA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4</w:t>
            </w:r>
          </w:p>
        </w:tc>
        <w:tc>
          <w:tcPr>
            <w:tcW w:w="1465" w:type="dxa"/>
            <w:tcBorders>
              <w:top w:val="single" w:color="auto" w:sz="4" w:space="0"/>
              <w:left w:val="single" w:color="auto" w:sz="4" w:space="0"/>
              <w:bottom w:val="single" w:color="auto" w:sz="4" w:space="0"/>
              <w:right w:val="single" w:color="auto" w:sz="4" w:space="0"/>
            </w:tcBorders>
            <w:vAlign w:val="center"/>
          </w:tcPr>
          <w:p w14:paraId="0C5A08D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3772EAA1">
            <w:pPr>
              <w:wordWrap w:val="0"/>
              <w:spacing w:line="400" w:lineRule="exact"/>
              <w:rPr>
                <w:rFonts w:hint="eastAsia"/>
                <w:color w:val="auto"/>
                <w:highlight w:val="none"/>
              </w:rPr>
            </w:pPr>
            <w:r>
              <w:rPr>
                <w:rFonts w:hint="eastAsia"/>
                <w:color w:val="auto"/>
                <w:highlight w:val="none"/>
              </w:rPr>
              <w:t xml:space="preserve">    1、项目负责人1人，3年及以上工作经验，具有CISP或CISSP资质认证证书。</w:t>
            </w:r>
          </w:p>
          <w:p w14:paraId="587A0F30">
            <w:pPr>
              <w:wordWrap w:val="0"/>
              <w:spacing w:line="400" w:lineRule="exact"/>
              <w:rPr>
                <w:color w:val="auto"/>
                <w:highlight w:val="none"/>
              </w:rPr>
            </w:pPr>
            <w:r>
              <w:rPr>
                <w:rFonts w:hint="eastAsia"/>
                <w:color w:val="auto"/>
                <w:highlight w:val="none"/>
              </w:rPr>
              <w:t xml:space="preserve">    2、其他人员2人，3年及以上工作经验。</w:t>
            </w:r>
          </w:p>
          <w:p w14:paraId="3EEEE2F4">
            <w:pPr>
              <w:wordWrap w:val="0"/>
              <w:spacing w:line="400" w:lineRule="exact"/>
              <w:ind w:firstLine="420" w:firstLineChars="200"/>
              <w:rPr>
                <w:rFonts w:ascii="宋体" w:hAnsi="宋体" w:cs="宋体"/>
                <w:color w:val="auto"/>
                <w:szCs w:val="21"/>
                <w:highlight w:val="none"/>
                <w:lang w:bidi="ar"/>
              </w:rPr>
            </w:pPr>
            <w:r>
              <w:rPr>
                <w:rFonts w:hint="eastAsia"/>
                <w:color w:val="auto"/>
                <w:highlight w:val="none"/>
              </w:rPr>
              <w:t>注：人员名单（表格形式），需提供身份证、资格证书复印件和由社保局出具的报价人为以上人员缴纳的近3个月</w:t>
            </w:r>
            <w:r>
              <w:rPr>
                <w:rFonts w:hint="eastAsia" w:ascii="宋体" w:hAnsi="宋体" w:cs="宋体"/>
                <w:color w:val="auto"/>
                <w:szCs w:val="21"/>
                <w:highlight w:val="none"/>
                <w:lang w:bidi="ar"/>
              </w:rPr>
              <w:t>（2024年</w:t>
            </w:r>
            <w:r>
              <w:rPr>
                <w:rFonts w:hint="eastAsia" w:ascii="宋体" w:hAnsi="宋体" w:cs="宋体"/>
                <w:color w:val="auto"/>
                <w:szCs w:val="21"/>
                <w:highlight w:val="none"/>
                <w:lang w:val="en-US" w:eastAsia="zh-CN" w:bidi="ar"/>
              </w:rPr>
              <w:t>9</w:t>
            </w:r>
            <w:r>
              <w:rPr>
                <w:rFonts w:hint="eastAsia" w:ascii="宋体" w:hAnsi="宋体" w:cs="宋体"/>
                <w:color w:val="auto"/>
                <w:szCs w:val="21"/>
                <w:highlight w:val="none"/>
                <w:lang w:bidi="ar"/>
              </w:rPr>
              <w:t>月-2024年1</w:t>
            </w:r>
            <w:r>
              <w:rPr>
                <w:rFonts w:hint="eastAsia" w:ascii="宋体" w:hAnsi="宋体" w:cs="宋体"/>
                <w:color w:val="auto"/>
                <w:szCs w:val="21"/>
                <w:highlight w:val="none"/>
                <w:lang w:val="en-US" w:eastAsia="zh-CN" w:bidi="ar"/>
              </w:rPr>
              <w:t>2</w:t>
            </w:r>
            <w:r>
              <w:rPr>
                <w:rFonts w:hint="eastAsia" w:ascii="宋体" w:hAnsi="宋体" w:cs="宋体"/>
                <w:color w:val="auto"/>
                <w:szCs w:val="21"/>
                <w:highlight w:val="none"/>
                <w:lang w:bidi="ar"/>
              </w:rPr>
              <w:t>月）</w:t>
            </w:r>
            <w:r>
              <w:rPr>
                <w:rFonts w:hint="eastAsia"/>
                <w:color w:val="auto"/>
                <w:highlight w:val="none"/>
              </w:rPr>
              <w:t>社保查询证明资料（带有社保部门公章或社保部门的有效电子印章）</w:t>
            </w:r>
            <w:r>
              <w:rPr>
                <w:rFonts w:hint="eastAsia" w:ascii="宋体" w:hAnsi="宋体" w:cs="宋体"/>
                <w:color w:val="auto"/>
                <w:szCs w:val="21"/>
                <w:highlight w:val="none"/>
                <w:lang w:bidi="ar"/>
              </w:rPr>
              <w:t>，</w:t>
            </w:r>
            <w:r>
              <w:rPr>
                <w:rFonts w:hint="eastAsia" w:ascii="宋体" w:hAnsi="宋体" w:cs="宋体"/>
                <w:color w:val="auto"/>
                <w:szCs w:val="21"/>
                <w:highlight w:val="none"/>
                <w:shd w:val="clear" w:color="auto" w:fill="FFFFFF"/>
              </w:rPr>
              <w:t>并加盖单位</w:t>
            </w:r>
            <w:r>
              <w:rPr>
                <w:rFonts w:hint="eastAsia" w:hAnsi="宋体"/>
                <w:color w:val="auto"/>
                <w:szCs w:val="21"/>
                <w:highlight w:val="none"/>
              </w:rPr>
              <w:t>公章</w:t>
            </w:r>
            <w:r>
              <w:rPr>
                <w:rFonts w:hint="eastAsia" w:ascii="宋体" w:hAnsi="宋体" w:cs="宋体"/>
                <w:color w:val="auto"/>
                <w:szCs w:val="21"/>
                <w:highlight w:val="none"/>
                <w:lang w:bidi="ar"/>
              </w:rPr>
              <w:t>。</w:t>
            </w:r>
          </w:p>
        </w:tc>
      </w:tr>
    </w:tbl>
    <w:p w14:paraId="5C67A69E">
      <w:pPr>
        <w:spacing w:line="360" w:lineRule="auto"/>
        <w:jc w:val="left"/>
        <w:rPr>
          <w:rFonts w:hAnsi="宋体"/>
          <w:color w:val="auto"/>
          <w:kern w:val="0"/>
          <w:szCs w:val="21"/>
          <w:highlight w:val="none"/>
        </w:rPr>
      </w:pPr>
      <w:r>
        <w:rPr>
          <w:rFonts w:hint="eastAsia" w:ascii="宋体" w:hAnsi="宋体" w:cs="宋体"/>
          <w:color w:val="auto"/>
          <w:szCs w:val="21"/>
          <w:highlight w:val="none"/>
        </w:rPr>
        <w:t xml:space="preserve">  </w:t>
      </w:r>
      <w:r>
        <w:rPr>
          <w:rFonts w:hint="eastAsia" w:hAnsi="宋体"/>
          <w:color w:val="auto"/>
          <w:kern w:val="0"/>
          <w:szCs w:val="21"/>
          <w:highlight w:val="none"/>
        </w:rPr>
        <w:t xml:space="preserve"> 注：</w:t>
      </w:r>
    </w:p>
    <w:p w14:paraId="41DEDD62">
      <w:pPr>
        <w:numPr>
          <w:ilvl w:val="0"/>
          <w:numId w:val="0"/>
        </w:numPr>
        <w:spacing w:line="360" w:lineRule="auto"/>
        <w:ind w:firstLine="420" w:firstLineChars="200"/>
        <w:jc w:val="left"/>
        <w:rPr>
          <w:rFonts w:hAnsi="宋体"/>
          <w:color w:val="auto"/>
          <w:kern w:val="0"/>
          <w:szCs w:val="21"/>
          <w:highlight w:val="none"/>
        </w:rPr>
      </w:pPr>
      <w:r>
        <w:rPr>
          <w:rFonts w:ascii="Times New Roman" w:hAnsi="宋体" w:eastAsia="宋体" w:cs="Times New Roman"/>
          <w:color w:val="auto"/>
          <w:kern w:val="0"/>
          <w:sz w:val="21"/>
          <w:szCs w:val="21"/>
          <w:highlight w:val="none"/>
          <w:lang w:val="en-US" w:eastAsia="zh-CN" w:bidi="ar-SA"/>
        </w:rPr>
        <w:t>1、</w:t>
      </w:r>
      <w:r>
        <w:rPr>
          <w:rFonts w:hint="eastAsia" w:hAnsi="宋体"/>
          <w:color w:val="auto"/>
          <w:kern w:val="0"/>
          <w:szCs w:val="21"/>
          <w:highlight w:val="none"/>
        </w:rPr>
        <w:t>报价人提供采购人要求的所有资质要求、业绩要求、信誉要求等资料并加盖单位单位</w:t>
      </w:r>
      <w:r>
        <w:rPr>
          <w:rFonts w:hint="eastAsia" w:hAnsi="宋体"/>
          <w:color w:val="auto"/>
          <w:szCs w:val="21"/>
          <w:highlight w:val="none"/>
        </w:rPr>
        <w:t>公章</w:t>
      </w:r>
      <w:r>
        <w:rPr>
          <w:rFonts w:hint="eastAsia" w:hAnsi="宋体"/>
          <w:color w:val="auto"/>
          <w:kern w:val="0"/>
          <w:szCs w:val="21"/>
          <w:highlight w:val="none"/>
        </w:rPr>
        <w:t>。</w:t>
      </w:r>
    </w:p>
    <w:p w14:paraId="24076EAC">
      <w:pPr>
        <w:rPr>
          <w:color w:val="auto"/>
          <w:highlight w:val="none"/>
        </w:rPr>
      </w:pPr>
      <w:r>
        <w:rPr>
          <w:color w:val="auto"/>
          <w:highlight w:val="none"/>
        </w:rPr>
        <w:br w:type="page"/>
      </w:r>
      <w:bookmarkEnd w:id="747"/>
      <w:bookmarkEnd w:id="748"/>
    </w:p>
    <w:bookmarkEnd w:id="749"/>
    <w:p w14:paraId="26F612B5">
      <w:pPr>
        <w:pStyle w:val="3"/>
        <w:spacing w:before="0" w:after="0" w:line="360" w:lineRule="auto"/>
        <w:jc w:val="center"/>
        <w:rPr>
          <w:color w:val="auto"/>
          <w:highlight w:val="none"/>
        </w:rPr>
      </w:pPr>
      <w:bookmarkStart w:id="750" w:name="_Toc179632605"/>
      <w:bookmarkStart w:id="751" w:name="_Toc152042364"/>
      <w:bookmarkStart w:id="752" w:name="_Toc507319957"/>
      <w:bookmarkStart w:id="753" w:name="_Toc247085745"/>
      <w:bookmarkStart w:id="754" w:name="_Toc144974554"/>
      <w:bookmarkStart w:id="755" w:name="_Toc154"/>
      <w:bookmarkStart w:id="756" w:name="_Toc152045587"/>
      <w:bookmarkStart w:id="757" w:name="_Toc2000406"/>
      <w:bookmarkStart w:id="758" w:name="_Toc246996230"/>
      <w:bookmarkStart w:id="759" w:name="_Toc246996973"/>
      <w:r>
        <w:rPr>
          <w:rFonts w:hint="eastAsia"/>
          <w:color w:val="auto"/>
          <w:highlight w:val="none"/>
        </w:rPr>
        <w:t>第三章</w:t>
      </w:r>
      <w:r>
        <w:rPr>
          <w:rFonts w:hint="eastAsia" w:ascii="宋体" w:hAnsi="宋体" w:cs="宋体"/>
          <w:color w:val="auto"/>
          <w:highlight w:val="none"/>
        </w:rPr>
        <w:t xml:space="preserve"> 评标办法</w:t>
      </w:r>
      <w:bookmarkEnd w:id="750"/>
      <w:bookmarkEnd w:id="751"/>
      <w:bookmarkEnd w:id="752"/>
      <w:bookmarkEnd w:id="753"/>
      <w:bookmarkEnd w:id="754"/>
      <w:bookmarkEnd w:id="755"/>
      <w:bookmarkEnd w:id="756"/>
      <w:bookmarkEnd w:id="757"/>
      <w:bookmarkEnd w:id="758"/>
      <w:bookmarkEnd w:id="759"/>
      <w:r>
        <w:rPr>
          <w:rFonts w:hint="eastAsia" w:ascii="宋体" w:hAnsi="宋体" w:cs="宋体"/>
          <w:color w:val="auto"/>
          <w:highlight w:val="none"/>
        </w:rPr>
        <w:t>（综合评估法）</w:t>
      </w:r>
    </w:p>
    <w:p w14:paraId="27044CDB">
      <w:pPr>
        <w:spacing w:line="420" w:lineRule="exact"/>
        <w:jc w:val="center"/>
        <w:rPr>
          <w:rFonts w:hint="eastAsia" w:ascii="宋体" w:hAnsi="宋体" w:cs="宋体"/>
          <w:b/>
          <w:bCs/>
          <w:color w:val="auto"/>
          <w:sz w:val="28"/>
          <w:szCs w:val="28"/>
          <w:highlight w:val="none"/>
        </w:rPr>
      </w:pPr>
      <w:bookmarkStart w:id="760" w:name="_Toc18631"/>
      <w:r>
        <w:rPr>
          <w:rFonts w:hint="eastAsia" w:ascii="宋体" w:hAnsi="宋体" w:cs="宋体"/>
          <w:b/>
          <w:bCs/>
          <w:color w:val="auto"/>
          <w:sz w:val="28"/>
          <w:szCs w:val="28"/>
          <w:highlight w:val="none"/>
        </w:rPr>
        <w:t>评标方法前附表</w:t>
      </w:r>
      <w:bookmarkEnd w:id="760"/>
    </w:p>
    <w:tbl>
      <w:tblPr>
        <w:tblStyle w:val="44"/>
        <w:tblpPr w:leftFromText="180" w:rightFromText="180" w:vertAnchor="text" w:horzAnchor="page" w:tblpXSpec="center" w:tblpY="296"/>
        <w:tblOverlap w:val="never"/>
        <w:tblW w:w="4998"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8"/>
        <w:gridCol w:w="777"/>
        <w:gridCol w:w="815"/>
        <w:gridCol w:w="1788"/>
        <w:gridCol w:w="3840"/>
        <w:gridCol w:w="481"/>
      </w:tblGrid>
      <w:tr w14:paraId="255061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blHeader/>
          <w:jc w:val="center"/>
        </w:trPr>
        <w:tc>
          <w:tcPr>
            <w:tcW w:w="1414" w:type="pct"/>
            <w:gridSpan w:val="3"/>
            <w:tcBorders>
              <w:top w:val="single" w:color="auto" w:sz="4" w:space="0"/>
              <w:bottom w:val="single" w:color="auto" w:sz="4" w:space="0"/>
              <w:right w:val="single" w:color="auto" w:sz="4" w:space="0"/>
            </w:tcBorders>
            <w:vAlign w:val="center"/>
          </w:tcPr>
          <w:p w14:paraId="5B0C66D3">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049" w:type="pct"/>
            <w:tcBorders>
              <w:top w:val="single" w:color="auto" w:sz="4" w:space="0"/>
              <w:left w:val="single" w:color="auto" w:sz="4" w:space="0"/>
              <w:bottom w:val="single" w:color="auto" w:sz="4" w:space="0"/>
              <w:right w:val="single" w:color="auto" w:sz="4" w:space="0"/>
            </w:tcBorders>
            <w:vAlign w:val="center"/>
          </w:tcPr>
          <w:p w14:paraId="1CE919BE">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2536" w:type="pct"/>
            <w:gridSpan w:val="2"/>
            <w:tcBorders>
              <w:top w:val="single" w:color="auto" w:sz="4" w:space="0"/>
              <w:left w:val="single" w:color="auto" w:sz="4" w:space="0"/>
              <w:bottom w:val="single" w:color="auto" w:sz="4" w:space="0"/>
            </w:tcBorders>
            <w:vAlign w:val="center"/>
          </w:tcPr>
          <w:p w14:paraId="209C5883">
            <w:pPr>
              <w:spacing w:line="36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6FC3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480" w:type="pct"/>
            <w:tcBorders>
              <w:top w:val="single" w:color="auto" w:sz="4" w:space="0"/>
              <w:right w:val="single" w:color="auto" w:sz="4" w:space="0"/>
            </w:tcBorders>
            <w:vAlign w:val="center"/>
          </w:tcPr>
          <w:p w14:paraId="071EF368">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934" w:type="pct"/>
            <w:gridSpan w:val="2"/>
            <w:tcBorders>
              <w:top w:val="single" w:color="auto" w:sz="4" w:space="0"/>
              <w:left w:val="single" w:color="auto" w:sz="4" w:space="0"/>
              <w:right w:val="single" w:color="auto" w:sz="4" w:space="0"/>
            </w:tcBorders>
            <w:vAlign w:val="center"/>
          </w:tcPr>
          <w:p w14:paraId="265F5A75">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049" w:type="pct"/>
            <w:tcBorders>
              <w:top w:val="single" w:color="auto" w:sz="4" w:space="0"/>
              <w:left w:val="single" w:color="auto" w:sz="4" w:space="0"/>
              <w:bottom w:val="single" w:color="auto" w:sz="4" w:space="0"/>
              <w:right w:val="single" w:color="auto" w:sz="4" w:space="0"/>
            </w:tcBorders>
            <w:vAlign w:val="center"/>
          </w:tcPr>
          <w:p w14:paraId="299C37C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2536" w:type="pct"/>
            <w:gridSpan w:val="2"/>
            <w:tcBorders>
              <w:top w:val="single" w:color="auto" w:sz="4" w:space="0"/>
              <w:left w:val="single" w:color="auto" w:sz="4" w:space="0"/>
              <w:bottom w:val="single" w:color="auto" w:sz="4" w:space="0"/>
            </w:tcBorders>
          </w:tcPr>
          <w:p w14:paraId="17E10713">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2CE5DEC7">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36B2695D">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042DF4C4">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637734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right w:val="single" w:color="auto" w:sz="4" w:space="0"/>
            </w:tcBorders>
            <w:vAlign w:val="center"/>
          </w:tcPr>
          <w:p w14:paraId="5701B150">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w:t>
            </w:r>
          </w:p>
        </w:tc>
        <w:tc>
          <w:tcPr>
            <w:tcW w:w="934" w:type="pct"/>
            <w:gridSpan w:val="2"/>
            <w:vMerge w:val="restart"/>
            <w:tcBorders>
              <w:top w:val="single" w:color="auto" w:sz="4" w:space="0"/>
              <w:left w:val="single" w:color="auto" w:sz="4" w:space="0"/>
              <w:right w:val="single" w:color="auto" w:sz="4" w:space="0"/>
            </w:tcBorders>
            <w:vAlign w:val="center"/>
          </w:tcPr>
          <w:p w14:paraId="1D75C4D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049" w:type="pct"/>
            <w:tcBorders>
              <w:top w:val="single" w:color="auto" w:sz="4" w:space="0"/>
              <w:left w:val="single" w:color="auto" w:sz="4" w:space="0"/>
              <w:bottom w:val="single" w:color="auto" w:sz="4" w:space="0"/>
              <w:right w:val="single" w:color="auto" w:sz="4" w:space="0"/>
            </w:tcBorders>
            <w:vAlign w:val="center"/>
          </w:tcPr>
          <w:p w14:paraId="454085A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2536" w:type="pct"/>
            <w:gridSpan w:val="2"/>
            <w:tcBorders>
              <w:top w:val="single" w:color="auto" w:sz="4" w:space="0"/>
              <w:left w:val="single" w:color="auto" w:sz="4" w:space="0"/>
              <w:bottom w:val="single" w:color="auto" w:sz="4" w:space="0"/>
            </w:tcBorders>
            <w:vAlign w:val="center"/>
          </w:tcPr>
          <w:p w14:paraId="43F74A18">
            <w:pPr>
              <w:spacing w:line="360" w:lineRule="exact"/>
              <w:rPr>
                <w:rFonts w:asciiTheme="minorEastAsia" w:hAnsiTheme="minorEastAsia" w:eastAsiaTheme="minorEastAsia" w:cstheme="minorEastAsia"/>
                <w:color w:val="auto"/>
                <w:szCs w:val="21"/>
                <w:highlight w:val="none"/>
              </w:rPr>
            </w:pPr>
            <w:r>
              <w:rPr>
                <w:color w:val="auto"/>
                <w:highlight w:val="none"/>
              </w:rPr>
              <w:t>与营业执照、资质证书</w:t>
            </w:r>
            <w:r>
              <w:rPr>
                <w:rFonts w:hint="eastAsia"/>
                <w:color w:val="auto"/>
                <w:highlight w:val="none"/>
              </w:rPr>
              <w:t>等资料</w:t>
            </w:r>
            <w:r>
              <w:rPr>
                <w:color w:val="auto"/>
                <w:highlight w:val="none"/>
              </w:rPr>
              <w:t>一致。</w:t>
            </w:r>
          </w:p>
        </w:tc>
      </w:tr>
      <w:tr w14:paraId="5105F64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3560BB93">
            <w:pPr>
              <w:spacing w:line="360" w:lineRule="exact"/>
              <w:jc w:val="center"/>
              <w:rPr>
                <w:rFonts w:asciiTheme="minorEastAsia" w:hAnsiTheme="minorEastAsia" w:eastAsiaTheme="minorEastAsia" w:cstheme="minorEastAsia"/>
                <w:color w:val="auto"/>
                <w:szCs w:val="21"/>
                <w:highlight w:val="none"/>
              </w:rPr>
            </w:pPr>
            <w:bookmarkStart w:id="761" w:name="OLE_LINK21" w:colFirst="3" w:colLast="3"/>
          </w:p>
        </w:tc>
        <w:tc>
          <w:tcPr>
            <w:tcW w:w="934" w:type="pct"/>
            <w:gridSpan w:val="2"/>
            <w:vMerge w:val="continue"/>
            <w:tcBorders>
              <w:top w:val="single" w:color="auto" w:sz="4" w:space="0"/>
              <w:left w:val="single" w:color="auto" w:sz="4" w:space="0"/>
              <w:right w:val="single" w:color="auto" w:sz="4" w:space="0"/>
            </w:tcBorders>
            <w:vAlign w:val="center"/>
          </w:tcPr>
          <w:p w14:paraId="46E64DE4">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1248C81F">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报价函签名盖章</w:t>
            </w:r>
          </w:p>
        </w:tc>
        <w:tc>
          <w:tcPr>
            <w:tcW w:w="2536" w:type="pct"/>
            <w:gridSpan w:val="2"/>
            <w:tcBorders>
              <w:top w:val="single" w:color="auto" w:sz="4" w:space="0"/>
              <w:left w:val="single" w:color="auto" w:sz="4" w:space="0"/>
              <w:bottom w:val="single" w:color="auto" w:sz="4" w:space="0"/>
            </w:tcBorders>
            <w:vAlign w:val="center"/>
          </w:tcPr>
          <w:p w14:paraId="729BDF9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有法定代表人或委托代理人签名或加盖单位</w:t>
            </w:r>
            <w:r>
              <w:rPr>
                <w:rFonts w:hint="eastAsia" w:hAnsi="宋体"/>
                <w:color w:val="auto"/>
                <w:szCs w:val="21"/>
                <w:highlight w:val="none"/>
              </w:rPr>
              <w:t>公章</w:t>
            </w:r>
            <w:r>
              <w:rPr>
                <w:rFonts w:hint="eastAsia" w:asciiTheme="minorEastAsia" w:hAnsiTheme="minorEastAsia" w:eastAsiaTheme="minorEastAsia" w:cstheme="minorEastAsia"/>
                <w:color w:val="auto"/>
                <w:szCs w:val="21"/>
                <w:highlight w:val="none"/>
              </w:rPr>
              <w:t>。</w:t>
            </w:r>
          </w:p>
        </w:tc>
      </w:tr>
      <w:tr w14:paraId="0697B5C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31E7D970">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right w:val="single" w:color="auto" w:sz="4" w:space="0"/>
            </w:tcBorders>
            <w:vAlign w:val="center"/>
          </w:tcPr>
          <w:p w14:paraId="5B80AE4A">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662EDC33">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2536" w:type="pct"/>
            <w:gridSpan w:val="2"/>
            <w:tcBorders>
              <w:top w:val="single" w:color="auto" w:sz="4" w:space="0"/>
              <w:left w:val="single" w:color="auto" w:sz="4" w:space="0"/>
              <w:bottom w:val="single" w:color="auto" w:sz="4" w:space="0"/>
            </w:tcBorders>
            <w:vAlign w:val="center"/>
          </w:tcPr>
          <w:p w14:paraId="5469FB5F">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符合第八章“竞争性比选响应文件格式”的要求，字迹清晰可辨。</w:t>
            </w:r>
          </w:p>
          <w:p w14:paraId="6F10701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76172141">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bookmarkEnd w:id="761"/>
      <w:tr w14:paraId="6A43D7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79116B8F">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right w:val="single" w:color="auto" w:sz="4" w:space="0"/>
            </w:tcBorders>
            <w:vAlign w:val="center"/>
          </w:tcPr>
          <w:p w14:paraId="76F4C57D">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79ABAC29">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采购清单</w:t>
            </w:r>
          </w:p>
        </w:tc>
        <w:tc>
          <w:tcPr>
            <w:tcW w:w="2536" w:type="pct"/>
            <w:gridSpan w:val="2"/>
            <w:tcBorders>
              <w:top w:val="single" w:color="auto" w:sz="4" w:space="0"/>
              <w:left w:val="single" w:color="auto" w:sz="4" w:space="0"/>
              <w:bottom w:val="single" w:color="auto" w:sz="4" w:space="0"/>
            </w:tcBorders>
            <w:vAlign w:val="center"/>
          </w:tcPr>
          <w:p w14:paraId="5CA977DD">
            <w:pPr>
              <w:spacing w:line="360" w:lineRule="exact"/>
              <w:rPr>
                <w:rFonts w:asciiTheme="minorEastAsia" w:hAnsiTheme="minorEastAsia" w:eastAsiaTheme="minorEastAsia" w:cstheme="minorEastAsia"/>
                <w:color w:val="auto"/>
                <w:szCs w:val="21"/>
                <w:highlight w:val="none"/>
              </w:rPr>
            </w:pPr>
            <w:bookmarkStart w:id="762" w:name="OLE_LINK22"/>
            <w:r>
              <w:rPr>
                <w:rFonts w:hint="eastAsia" w:asciiTheme="minorEastAsia" w:hAnsiTheme="minorEastAsia" w:eastAsiaTheme="minorEastAsia" w:cstheme="minorEastAsia"/>
                <w:color w:val="auto"/>
                <w:szCs w:val="21"/>
                <w:highlight w:val="none"/>
              </w:rPr>
              <w:t>符合第五章“采购清单”给出的范围及数量。</w:t>
            </w:r>
            <w:bookmarkEnd w:id="762"/>
          </w:p>
        </w:tc>
      </w:tr>
      <w:tr w14:paraId="3CA132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right w:val="single" w:color="auto" w:sz="4" w:space="0"/>
            </w:tcBorders>
            <w:vAlign w:val="center"/>
          </w:tcPr>
          <w:p w14:paraId="517FA825">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right w:val="single" w:color="auto" w:sz="4" w:space="0"/>
            </w:tcBorders>
            <w:vAlign w:val="center"/>
          </w:tcPr>
          <w:p w14:paraId="0BA29A62">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748F6E2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2536" w:type="pct"/>
            <w:gridSpan w:val="2"/>
            <w:tcBorders>
              <w:top w:val="single" w:color="auto" w:sz="4" w:space="0"/>
              <w:left w:val="single" w:color="auto" w:sz="4" w:space="0"/>
              <w:bottom w:val="single" w:color="auto" w:sz="4" w:space="0"/>
            </w:tcBorders>
            <w:vAlign w:val="center"/>
          </w:tcPr>
          <w:p w14:paraId="7480176C">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071D52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right w:val="single" w:color="auto" w:sz="4" w:space="0"/>
            </w:tcBorders>
            <w:vAlign w:val="center"/>
          </w:tcPr>
          <w:p w14:paraId="09B19DDB">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left w:val="single" w:color="auto" w:sz="4" w:space="0"/>
              <w:right w:val="single" w:color="auto" w:sz="4" w:space="0"/>
            </w:tcBorders>
            <w:vAlign w:val="center"/>
          </w:tcPr>
          <w:p w14:paraId="4CDE6CB0">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right w:val="single" w:color="auto" w:sz="4" w:space="0"/>
            </w:tcBorders>
            <w:vAlign w:val="center"/>
          </w:tcPr>
          <w:p w14:paraId="7CD8D03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2536" w:type="pct"/>
            <w:gridSpan w:val="2"/>
            <w:tcBorders>
              <w:top w:val="single" w:color="auto" w:sz="4" w:space="0"/>
              <w:left w:val="single" w:color="auto" w:sz="4" w:space="0"/>
              <w:bottom w:val="single" w:color="auto" w:sz="4" w:space="0"/>
            </w:tcBorders>
            <w:vAlign w:val="center"/>
          </w:tcPr>
          <w:p w14:paraId="6A81D9E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191D8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right w:val="single" w:color="auto" w:sz="4" w:space="0"/>
            </w:tcBorders>
            <w:vAlign w:val="center"/>
          </w:tcPr>
          <w:p w14:paraId="7D3FDFF0">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left w:val="single" w:color="auto" w:sz="4" w:space="0"/>
              <w:right w:val="single" w:color="auto" w:sz="4" w:space="0"/>
            </w:tcBorders>
            <w:vAlign w:val="center"/>
          </w:tcPr>
          <w:p w14:paraId="58BC99B8">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right w:val="single" w:color="auto" w:sz="4" w:space="0"/>
            </w:tcBorders>
            <w:vAlign w:val="center"/>
          </w:tcPr>
          <w:p w14:paraId="4D21CF9A">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其它材料</w:t>
            </w:r>
          </w:p>
        </w:tc>
        <w:tc>
          <w:tcPr>
            <w:tcW w:w="2536" w:type="pct"/>
            <w:gridSpan w:val="2"/>
            <w:tcBorders>
              <w:top w:val="single" w:color="auto" w:sz="4" w:space="0"/>
              <w:left w:val="single" w:color="auto" w:sz="4" w:space="0"/>
            </w:tcBorders>
            <w:vAlign w:val="center"/>
          </w:tcPr>
          <w:p w14:paraId="370E6E69">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3E7DA9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bottom w:val="single" w:color="auto" w:sz="4" w:space="0"/>
              <w:right w:val="single" w:color="auto" w:sz="4" w:space="0"/>
            </w:tcBorders>
            <w:vAlign w:val="center"/>
          </w:tcPr>
          <w:p w14:paraId="7D2AE044">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w:t>
            </w:r>
          </w:p>
        </w:tc>
        <w:tc>
          <w:tcPr>
            <w:tcW w:w="934" w:type="pct"/>
            <w:gridSpan w:val="2"/>
            <w:vMerge w:val="restart"/>
            <w:tcBorders>
              <w:top w:val="single" w:color="auto" w:sz="4" w:space="0"/>
              <w:left w:val="single" w:color="auto" w:sz="4" w:space="0"/>
              <w:bottom w:val="single" w:color="auto" w:sz="4" w:space="0"/>
              <w:right w:val="single" w:color="auto" w:sz="4" w:space="0"/>
            </w:tcBorders>
            <w:vAlign w:val="center"/>
          </w:tcPr>
          <w:p w14:paraId="43CE551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516C5BB1">
            <w:pPr>
              <w:spacing w:line="360" w:lineRule="exact"/>
              <w:jc w:val="center"/>
              <w:rPr>
                <w:rFonts w:asciiTheme="minorEastAsia" w:hAnsiTheme="minorEastAsia" w:eastAsiaTheme="minorEastAsia" w:cstheme="minorEastAsia"/>
                <w:color w:val="auto"/>
                <w:szCs w:val="21"/>
                <w:highlight w:val="none"/>
              </w:rPr>
            </w:pPr>
            <w:r>
              <w:rPr>
                <w:color w:val="auto"/>
                <w:highlight w:val="none"/>
              </w:rPr>
              <w:t>资质要求</w:t>
            </w:r>
          </w:p>
        </w:tc>
        <w:tc>
          <w:tcPr>
            <w:tcW w:w="2536" w:type="pct"/>
            <w:gridSpan w:val="2"/>
            <w:tcBorders>
              <w:top w:val="single" w:color="auto" w:sz="4" w:space="0"/>
              <w:left w:val="single" w:color="auto" w:sz="4" w:space="0"/>
              <w:bottom w:val="single" w:color="auto" w:sz="4" w:space="0"/>
            </w:tcBorders>
            <w:shd w:val="clear" w:color="auto" w:fill="auto"/>
            <w:vAlign w:val="center"/>
          </w:tcPr>
          <w:p w14:paraId="440E4EA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177673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AC99CA3">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146141D2">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27231AF5">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2536" w:type="pct"/>
            <w:gridSpan w:val="2"/>
            <w:tcBorders>
              <w:top w:val="single" w:color="auto" w:sz="4" w:space="0"/>
              <w:left w:val="single" w:color="auto" w:sz="4" w:space="0"/>
              <w:bottom w:val="single" w:color="auto" w:sz="4" w:space="0"/>
            </w:tcBorders>
            <w:vAlign w:val="center"/>
          </w:tcPr>
          <w:p w14:paraId="5F38E24B">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380EC9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A8FB5BF">
            <w:pPr>
              <w:spacing w:line="360" w:lineRule="exact"/>
              <w:jc w:val="center"/>
              <w:rPr>
                <w:rFonts w:asciiTheme="minorEastAsia" w:hAnsiTheme="minorEastAsia" w:eastAsiaTheme="minorEastAsia" w:cstheme="minorEastAsia"/>
                <w:color w:val="auto"/>
                <w:szCs w:val="21"/>
                <w:highlight w:val="none"/>
              </w:rPr>
            </w:pPr>
            <w:bookmarkStart w:id="763" w:name="OLE_LINK72" w:colFirst="2" w:colLast="3"/>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6A60EB06">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14685D5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2536" w:type="pct"/>
            <w:gridSpan w:val="2"/>
            <w:tcBorders>
              <w:top w:val="single" w:color="auto" w:sz="4" w:space="0"/>
              <w:left w:val="single" w:color="auto" w:sz="4" w:space="0"/>
              <w:bottom w:val="single" w:color="auto" w:sz="4" w:space="0"/>
            </w:tcBorders>
            <w:shd w:val="clear" w:color="auto" w:fill="auto"/>
          </w:tcPr>
          <w:p w14:paraId="1BBDF7BB">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tr w14:paraId="3D54671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5EB3C791">
            <w:pPr>
              <w:spacing w:line="360" w:lineRule="exact"/>
              <w:jc w:val="center"/>
              <w:rPr>
                <w:rFonts w:asciiTheme="minorEastAsia" w:hAnsiTheme="minorEastAsia" w:eastAsiaTheme="minorEastAsia" w:cstheme="minorEastAsia"/>
                <w:color w:val="auto"/>
                <w:szCs w:val="21"/>
                <w:highlight w:val="none"/>
              </w:rPr>
            </w:pPr>
            <w:bookmarkStart w:id="764" w:name="OLE_LINK52" w:colFirst="2" w:colLast="3"/>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4D4CDF8B">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4D1E7FA1">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人员要求</w:t>
            </w:r>
          </w:p>
        </w:tc>
        <w:tc>
          <w:tcPr>
            <w:tcW w:w="2536" w:type="pct"/>
            <w:gridSpan w:val="2"/>
            <w:tcBorders>
              <w:top w:val="single" w:color="auto" w:sz="4" w:space="0"/>
              <w:left w:val="single" w:color="auto" w:sz="4" w:space="0"/>
              <w:bottom w:val="single" w:color="auto" w:sz="4" w:space="0"/>
            </w:tcBorders>
            <w:shd w:val="clear" w:color="auto" w:fill="auto"/>
          </w:tcPr>
          <w:p w14:paraId="37F19F01">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bookmarkEnd w:id="763"/>
      <w:tr w14:paraId="0910D16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A22A236">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68AE474F">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11EF0916">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其他要求</w:t>
            </w:r>
          </w:p>
        </w:tc>
        <w:tc>
          <w:tcPr>
            <w:tcW w:w="2536" w:type="pct"/>
            <w:gridSpan w:val="2"/>
            <w:tcBorders>
              <w:top w:val="single" w:color="auto" w:sz="4" w:space="0"/>
              <w:left w:val="single" w:color="auto" w:sz="4" w:space="0"/>
              <w:bottom w:val="single" w:color="auto" w:sz="4" w:space="0"/>
            </w:tcBorders>
          </w:tcPr>
          <w:p w14:paraId="484ADEB6">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符合第二章“报价人须知”第8项规定</w:t>
            </w:r>
          </w:p>
        </w:tc>
      </w:tr>
      <w:bookmarkEnd w:id="764"/>
      <w:tr w14:paraId="4FF5FF0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bottom w:val="single" w:color="auto" w:sz="4" w:space="0"/>
              <w:right w:val="single" w:color="auto" w:sz="4" w:space="0"/>
            </w:tcBorders>
            <w:vAlign w:val="center"/>
          </w:tcPr>
          <w:p w14:paraId="6D75C30A">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w:t>
            </w:r>
          </w:p>
        </w:tc>
        <w:tc>
          <w:tcPr>
            <w:tcW w:w="934" w:type="pct"/>
            <w:gridSpan w:val="2"/>
            <w:vMerge w:val="restart"/>
            <w:tcBorders>
              <w:top w:val="single" w:color="auto" w:sz="4" w:space="0"/>
              <w:left w:val="single" w:color="auto" w:sz="4" w:space="0"/>
              <w:bottom w:val="single" w:color="auto" w:sz="4" w:space="0"/>
              <w:right w:val="single" w:color="auto" w:sz="4" w:space="0"/>
            </w:tcBorders>
            <w:vAlign w:val="center"/>
          </w:tcPr>
          <w:p w14:paraId="48A6CE94">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049" w:type="pct"/>
            <w:tcBorders>
              <w:top w:val="single" w:color="auto" w:sz="4" w:space="0"/>
              <w:left w:val="single" w:color="auto" w:sz="4" w:space="0"/>
              <w:bottom w:val="single" w:color="auto" w:sz="4" w:space="0"/>
              <w:right w:val="single" w:color="auto" w:sz="4" w:space="0"/>
            </w:tcBorders>
            <w:vAlign w:val="center"/>
          </w:tcPr>
          <w:p w14:paraId="5B6D55FB">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w:t>
            </w:r>
            <w:r>
              <w:rPr>
                <w:rFonts w:hint="eastAsia" w:ascii="宋体" w:hAnsi="宋体" w:cs="宋体"/>
                <w:color w:val="auto"/>
                <w:highlight w:val="none"/>
              </w:rPr>
              <w:t>内容</w:t>
            </w:r>
          </w:p>
        </w:tc>
        <w:tc>
          <w:tcPr>
            <w:tcW w:w="2536" w:type="pct"/>
            <w:gridSpan w:val="2"/>
            <w:tcBorders>
              <w:top w:val="single" w:color="auto" w:sz="4" w:space="0"/>
              <w:left w:val="single" w:color="auto" w:sz="4" w:space="0"/>
              <w:bottom w:val="single" w:color="auto" w:sz="4" w:space="0"/>
            </w:tcBorders>
            <w:vAlign w:val="center"/>
          </w:tcPr>
          <w:p w14:paraId="5395DC7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符合第二章“报价人须知”第3项规定</w:t>
            </w:r>
          </w:p>
        </w:tc>
      </w:tr>
      <w:tr w14:paraId="73BC519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right w:val="single" w:color="auto" w:sz="4" w:space="0"/>
            </w:tcBorders>
            <w:vAlign w:val="center"/>
          </w:tcPr>
          <w:p w14:paraId="49DE374F">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left w:val="single" w:color="auto" w:sz="4" w:space="0"/>
              <w:right w:val="single" w:color="auto" w:sz="4" w:space="0"/>
            </w:tcBorders>
            <w:vAlign w:val="center"/>
          </w:tcPr>
          <w:p w14:paraId="21DC5152">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022F484D">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w:t>
            </w:r>
          </w:p>
        </w:tc>
        <w:tc>
          <w:tcPr>
            <w:tcW w:w="2536" w:type="pct"/>
            <w:gridSpan w:val="2"/>
            <w:tcBorders>
              <w:top w:val="single" w:color="auto" w:sz="4" w:space="0"/>
              <w:left w:val="single" w:color="auto" w:sz="4" w:space="0"/>
              <w:bottom w:val="single" w:color="auto" w:sz="4" w:space="0"/>
            </w:tcBorders>
            <w:vAlign w:val="center"/>
          </w:tcPr>
          <w:p w14:paraId="7163FBD3">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符合比选文件给出的范围及数量，且报价不得超过采购人公布的最高限价。</w:t>
            </w:r>
          </w:p>
        </w:tc>
      </w:tr>
      <w:tr w14:paraId="1C1C32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C5FE92D">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10031F61">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vAlign w:val="center"/>
          </w:tcPr>
          <w:p w14:paraId="2D921049">
            <w:pPr>
              <w:spacing w:line="360" w:lineRule="exact"/>
              <w:jc w:val="center"/>
              <w:rPr>
                <w:rFonts w:asciiTheme="minorEastAsia" w:hAnsiTheme="minorEastAsia" w:eastAsiaTheme="minorEastAsia" w:cstheme="minorEastAsia"/>
                <w:color w:val="auto"/>
                <w:szCs w:val="21"/>
                <w:highlight w:val="none"/>
              </w:rPr>
            </w:pPr>
            <w:r>
              <w:rPr>
                <w:rFonts w:hint="eastAsia"/>
                <w:color w:val="auto"/>
                <w:highlight w:val="none"/>
              </w:rPr>
              <w:t>服务地点</w:t>
            </w:r>
          </w:p>
        </w:tc>
        <w:tc>
          <w:tcPr>
            <w:tcW w:w="2536" w:type="pct"/>
            <w:gridSpan w:val="2"/>
            <w:tcBorders>
              <w:top w:val="single" w:color="auto" w:sz="4" w:space="0"/>
              <w:left w:val="single" w:color="auto" w:sz="4" w:space="0"/>
              <w:bottom w:val="single" w:color="auto" w:sz="4" w:space="0"/>
            </w:tcBorders>
            <w:vAlign w:val="center"/>
          </w:tcPr>
          <w:p w14:paraId="3ACB4F6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符合第二章“报价人须知”第4项规定</w:t>
            </w:r>
          </w:p>
        </w:tc>
      </w:tr>
      <w:tr w14:paraId="35606A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1483687B">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7D97BD83">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4F507394">
            <w:pPr>
              <w:spacing w:line="36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服务期限</w:t>
            </w:r>
          </w:p>
        </w:tc>
        <w:tc>
          <w:tcPr>
            <w:tcW w:w="2536" w:type="pct"/>
            <w:gridSpan w:val="2"/>
            <w:tcBorders>
              <w:top w:val="single" w:color="auto" w:sz="4" w:space="0"/>
              <w:left w:val="single" w:color="auto" w:sz="4" w:space="0"/>
              <w:bottom w:val="single" w:color="auto" w:sz="4" w:space="0"/>
            </w:tcBorders>
            <w:shd w:val="clear" w:color="auto" w:fill="auto"/>
            <w:vAlign w:val="center"/>
          </w:tcPr>
          <w:p w14:paraId="57CE4B81">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符合第二章“报价人须知”第5项规定</w:t>
            </w:r>
          </w:p>
        </w:tc>
      </w:tr>
      <w:tr w14:paraId="365A90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28ECDF10">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51C0EA28">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5B5DE195">
            <w:pPr>
              <w:spacing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缺陷责任期（质保期）</w:t>
            </w:r>
          </w:p>
        </w:tc>
        <w:tc>
          <w:tcPr>
            <w:tcW w:w="2536" w:type="pct"/>
            <w:gridSpan w:val="2"/>
            <w:tcBorders>
              <w:top w:val="single" w:color="auto" w:sz="4" w:space="0"/>
              <w:left w:val="single" w:color="auto" w:sz="4" w:space="0"/>
              <w:bottom w:val="single" w:color="auto" w:sz="4" w:space="0"/>
            </w:tcBorders>
            <w:shd w:val="clear" w:color="auto" w:fill="auto"/>
            <w:vAlign w:val="center"/>
          </w:tcPr>
          <w:p w14:paraId="363DD08F">
            <w:pPr>
              <w:spacing w:line="400" w:lineRule="exact"/>
              <w:rPr>
                <w:rFonts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6</w:t>
            </w:r>
            <w:r>
              <w:rPr>
                <w:color w:val="auto"/>
                <w:highlight w:val="none"/>
              </w:rPr>
              <w:t>项规定</w:t>
            </w:r>
          </w:p>
        </w:tc>
      </w:tr>
      <w:tr w14:paraId="415A98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2DEC7C74">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624A8E44">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14F525FA">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工作要求</w:t>
            </w:r>
          </w:p>
        </w:tc>
        <w:tc>
          <w:tcPr>
            <w:tcW w:w="2536" w:type="pct"/>
            <w:gridSpan w:val="2"/>
            <w:tcBorders>
              <w:top w:val="single" w:color="auto" w:sz="4" w:space="0"/>
              <w:left w:val="single" w:color="auto" w:sz="4" w:space="0"/>
              <w:bottom w:val="single" w:color="auto" w:sz="4" w:space="0"/>
            </w:tcBorders>
            <w:shd w:val="clear" w:color="auto" w:fill="auto"/>
            <w:vAlign w:val="center"/>
          </w:tcPr>
          <w:p w14:paraId="2B7561E8">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符合第二章“报价人须知”第7项规定</w:t>
            </w:r>
          </w:p>
        </w:tc>
      </w:tr>
      <w:tr w14:paraId="10E2881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777F172C">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29D93A70">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18E878AC">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偏差</w:t>
            </w:r>
          </w:p>
        </w:tc>
        <w:tc>
          <w:tcPr>
            <w:tcW w:w="2536" w:type="pct"/>
            <w:gridSpan w:val="2"/>
            <w:tcBorders>
              <w:top w:val="single" w:color="auto" w:sz="4" w:space="0"/>
              <w:left w:val="single" w:color="auto" w:sz="4" w:space="0"/>
              <w:bottom w:val="single" w:color="auto" w:sz="4" w:space="0"/>
            </w:tcBorders>
            <w:shd w:val="clear" w:color="auto" w:fill="auto"/>
            <w:vAlign w:val="center"/>
          </w:tcPr>
          <w:p w14:paraId="4AF9A574">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符合第二章“报价人须知”第12项规定</w:t>
            </w:r>
          </w:p>
        </w:tc>
      </w:tr>
      <w:tr w14:paraId="64399D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continue"/>
            <w:tcBorders>
              <w:top w:val="single" w:color="auto" w:sz="4" w:space="0"/>
              <w:bottom w:val="single" w:color="auto" w:sz="4" w:space="0"/>
              <w:right w:val="single" w:color="auto" w:sz="4" w:space="0"/>
            </w:tcBorders>
            <w:vAlign w:val="center"/>
          </w:tcPr>
          <w:p w14:paraId="5EEF1B92">
            <w:pPr>
              <w:spacing w:line="360" w:lineRule="exact"/>
              <w:jc w:val="center"/>
              <w:rPr>
                <w:rFonts w:asciiTheme="minorEastAsia" w:hAnsiTheme="minorEastAsia" w:eastAsiaTheme="minorEastAsia" w:cstheme="minorEastAsia"/>
                <w:color w:val="auto"/>
                <w:szCs w:val="21"/>
                <w:highlight w:val="none"/>
              </w:rPr>
            </w:pPr>
          </w:p>
        </w:tc>
        <w:tc>
          <w:tcPr>
            <w:tcW w:w="934" w:type="pct"/>
            <w:gridSpan w:val="2"/>
            <w:vMerge w:val="continue"/>
            <w:tcBorders>
              <w:top w:val="single" w:color="auto" w:sz="4" w:space="0"/>
              <w:left w:val="single" w:color="auto" w:sz="4" w:space="0"/>
              <w:bottom w:val="single" w:color="auto" w:sz="4" w:space="0"/>
              <w:right w:val="single" w:color="auto" w:sz="4" w:space="0"/>
            </w:tcBorders>
            <w:vAlign w:val="center"/>
          </w:tcPr>
          <w:p w14:paraId="7CC96475">
            <w:pPr>
              <w:spacing w:line="360" w:lineRule="exact"/>
              <w:jc w:val="center"/>
              <w:rPr>
                <w:rFonts w:asciiTheme="minorEastAsia" w:hAnsiTheme="minorEastAsia" w:eastAsiaTheme="minorEastAsia" w:cstheme="minorEastAsia"/>
                <w:color w:val="auto"/>
                <w:szCs w:val="21"/>
                <w:highlight w:val="none"/>
              </w:rPr>
            </w:pPr>
          </w:p>
        </w:tc>
        <w:tc>
          <w:tcPr>
            <w:tcW w:w="1049" w:type="pct"/>
            <w:tcBorders>
              <w:top w:val="single" w:color="auto" w:sz="4" w:space="0"/>
              <w:left w:val="single" w:color="auto" w:sz="4" w:space="0"/>
              <w:bottom w:val="single" w:color="auto" w:sz="4" w:space="0"/>
              <w:right w:val="single" w:color="auto" w:sz="4" w:space="0"/>
            </w:tcBorders>
            <w:shd w:val="clear" w:color="auto" w:fill="auto"/>
            <w:vAlign w:val="center"/>
          </w:tcPr>
          <w:p w14:paraId="35F588B0">
            <w:pPr>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保证金</w:t>
            </w:r>
          </w:p>
        </w:tc>
        <w:tc>
          <w:tcPr>
            <w:tcW w:w="2536" w:type="pct"/>
            <w:gridSpan w:val="2"/>
            <w:tcBorders>
              <w:top w:val="single" w:color="auto" w:sz="4" w:space="0"/>
              <w:left w:val="single" w:color="auto" w:sz="4" w:space="0"/>
              <w:bottom w:val="single" w:color="auto" w:sz="4" w:space="0"/>
            </w:tcBorders>
            <w:shd w:val="clear" w:color="auto" w:fill="auto"/>
            <w:vAlign w:val="center"/>
          </w:tcPr>
          <w:p w14:paraId="36551850">
            <w:pPr>
              <w:spacing w:line="36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符合第二章“报价人须知”第19项规定</w:t>
            </w:r>
          </w:p>
        </w:tc>
      </w:tr>
      <w:tr w14:paraId="1A0A40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tcBorders>
              <w:top w:val="single" w:color="auto" w:sz="4" w:space="0"/>
              <w:bottom w:val="single" w:color="auto" w:sz="4" w:space="0"/>
              <w:right w:val="single" w:color="auto" w:sz="4" w:space="0"/>
            </w:tcBorders>
            <w:vAlign w:val="center"/>
          </w:tcPr>
          <w:p w14:paraId="15A17C21">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5</w:t>
            </w:r>
          </w:p>
        </w:tc>
        <w:tc>
          <w:tcPr>
            <w:tcW w:w="934" w:type="pct"/>
            <w:gridSpan w:val="2"/>
            <w:tcBorders>
              <w:top w:val="single" w:color="auto" w:sz="4" w:space="0"/>
              <w:left w:val="single" w:color="auto" w:sz="4" w:space="0"/>
              <w:bottom w:val="single" w:color="auto" w:sz="4" w:space="0"/>
              <w:right w:val="single" w:color="auto" w:sz="4" w:space="0"/>
            </w:tcBorders>
            <w:vAlign w:val="center"/>
          </w:tcPr>
          <w:p w14:paraId="0E95EC2E">
            <w:pPr>
              <w:tabs>
                <w:tab w:val="left" w:pos="1875"/>
              </w:tabs>
              <w:spacing w:line="36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992041C">
            <w:pPr>
              <w:tabs>
                <w:tab w:val="left" w:pos="1875"/>
              </w:tabs>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3585" w:type="pct"/>
            <w:gridSpan w:val="3"/>
            <w:tcBorders>
              <w:top w:val="single" w:color="auto" w:sz="4" w:space="0"/>
              <w:left w:val="single" w:color="auto" w:sz="4" w:space="0"/>
              <w:bottom w:val="single" w:color="auto" w:sz="4" w:space="0"/>
            </w:tcBorders>
          </w:tcPr>
          <w:p w14:paraId="3ADD98AE">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w:t>
            </w:r>
            <w:r>
              <w:rPr>
                <w:rFonts w:hint="eastAsia" w:asciiTheme="minorEastAsia" w:hAnsiTheme="minorEastAsia" w:eastAsiaTheme="minorEastAsia" w:cstheme="minorEastAsia"/>
                <w:color w:val="auto"/>
                <w:szCs w:val="21"/>
                <w:highlight w:val="none"/>
                <w:lang w:val="en-US" w:eastAsia="zh-CN"/>
              </w:rPr>
              <w:t>6</w:t>
            </w:r>
            <w:r>
              <w:rPr>
                <w:rFonts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rPr>
              <w:t>分；</w:t>
            </w:r>
          </w:p>
          <w:p w14:paraId="056907E4">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w:t>
            </w:r>
            <w:r>
              <w:rPr>
                <w:rFonts w:hint="eastAsia" w:asciiTheme="minorEastAsia" w:hAnsiTheme="minorEastAsia" w:eastAsiaTheme="minorEastAsia" w:cstheme="minorEastAsia"/>
                <w:color w:val="auto"/>
                <w:szCs w:val="21"/>
                <w:highlight w:val="none"/>
                <w:lang w:val="en-US" w:eastAsia="zh-CN"/>
              </w:rPr>
              <w:t>2</w:t>
            </w:r>
            <w:r>
              <w:rPr>
                <w:rFonts w:asciiTheme="minorEastAsia" w:hAnsiTheme="minorEastAsia" w:eastAsiaTheme="minorEastAsia" w:cstheme="minorEastAsia"/>
                <w:color w:val="auto"/>
                <w:szCs w:val="21"/>
                <w:highlight w:val="none"/>
              </w:rPr>
              <w:t>0</w:t>
            </w:r>
            <w:r>
              <w:rPr>
                <w:rFonts w:hint="eastAsia" w:asciiTheme="minorEastAsia" w:hAnsiTheme="minorEastAsia" w:eastAsiaTheme="minorEastAsia" w:cstheme="minorEastAsia"/>
                <w:color w:val="auto"/>
                <w:szCs w:val="21"/>
                <w:highlight w:val="none"/>
              </w:rPr>
              <w:t>分；</w:t>
            </w:r>
          </w:p>
          <w:p w14:paraId="5FB11BC1">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w:t>
            </w:r>
            <w:r>
              <w:rPr>
                <w:rFonts w:asciiTheme="minorEastAsia" w:hAnsiTheme="minorEastAsia" w:eastAsiaTheme="minorEastAsia" w:cstheme="minorEastAsia"/>
                <w:color w:val="auto"/>
                <w:szCs w:val="21"/>
                <w:highlight w:val="none"/>
              </w:rPr>
              <w:t>20</w:t>
            </w:r>
            <w:r>
              <w:rPr>
                <w:rFonts w:hint="eastAsia" w:asciiTheme="minorEastAsia" w:hAnsiTheme="minorEastAsia" w:eastAsiaTheme="minorEastAsia" w:cstheme="minorEastAsia"/>
                <w:color w:val="auto"/>
                <w:szCs w:val="21"/>
                <w:highlight w:val="none"/>
              </w:rPr>
              <w:t>分。</w:t>
            </w:r>
          </w:p>
        </w:tc>
      </w:tr>
      <w:tr w14:paraId="0C33B7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766" w:hRule="atLeast"/>
          <w:jc w:val="center"/>
        </w:trPr>
        <w:tc>
          <w:tcPr>
            <w:tcW w:w="480" w:type="pct"/>
            <w:tcBorders>
              <w:top w:val="single" w:color="auto" w:sz="4" w:space="0"/>
              <w:bottom w:val="single" w:color="auto" w:sz="4" w:space="0"/>
              <w:right w:val="single" w:color="auto" w:sz="4" w:space="0"/>
            </w:tcBorders>
            <w:vAlign w:val="center"/>
          </w:tcPr>
          <w:p w14:paraId="67E60E01">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6</w:t>
            </w:r>
          </w:p>
        </w:tc>
        <w:tc>
          <w:tcPr>
            <w:tcW w:w="934" w:type="pct"/>
            <w:gridSpan w:val="2"/>
            <w:tcBorders>
              <w:top w:val="single" w:color="auto" w:sz="4" w:space="0"/>
              <w:left w:val="single" w:color="auto" w:sz="4" w:space="0"/>
              <w:bottom w:val="single" w:color="auto" w:sz="4" w:space="0"/>
              <w:right w:val="single" w:color="auto" w:sz="4" w:space="0"/>
            </w:tcBorders>
            <w:vAlign w:val="center"/>
          </w:tcPr>
          <w:p w14:paraId="6110E948">
            <w:pPr>
              <w:spacing w:line="36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3585" w:type="pct"/>
            <w:gridSpan w:val="3"/>
            <w:tcBorders>
              <w:top w:val="single" w:color="auto" w:sz="4" w:space="0"/>
              <w:left w:val="single" w:color="auto" w:sz="4" w:space="0"/>
              <w:bottom w:val="single" w:color="auto" w:sz="4" w:space="0"/>
            </w:tcBorders>
          </w:tcPr>
          <w:p w14:paraId="52C49EFA">
            <w:pPr>
              <w:keepLines/>
              <w:adjustRightInd w:val="0"/>
              <w:snapToGrid w:val="0"/>
              <w:spacing w:line="360" w:lineRule="exact"/>
              <w:ind w:firstLine="420" w:firstLineChars="200"/>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1.有效报价：系指初步评审均合格且其响应内容满足比选文件要求的报价人的投标报价。</w:t>
            </w:r>
          </w:p>
          <w:p w14:paraId="3F59D83B">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（1）评标价的确定：评标价＝投标函文字报价</w:t>
            </w:r>
          </w:p>
          <w:p w14:paraId="541614EF">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（2）评标基准价的确定：</w:t>
            </w:r>
          </w:p>
          <w:p w14:paraId="5A4AEE90">
            <w:pPr>
              <w:spacing w:line="36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在通过初步评审后且不高于最高限价的有效投标报价中去掉六分之一（不能整除的按小数前整数取整，不足六家报价则不去掉）的最低价和相同家数的最高价后的算术平均值为评标基准价。</w:t>
            </w:r>
          </w:p>
          <w:p w14:paraId="6CBE3684">
            <w:pPr>
              <w:spacing w:line="360" w:lineRule="exact"/>
              <w:ind w:firstLine="420"/>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rPr>
              <w:t>以上计算取小数点后两位，第三位四舍五入。</w:t>
            </w:r>
          </w:p>
        </w:tc>
      </w:tr>
      <w:tr w14:paraId="7672A5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56" w:hRule="atLeast"/>
          <w:jc w:val="center"/>
        </w:trPr>
        <w:tc>
          <w:tcPr>
            <w:tcW w:w="480" w:type="pct"/>
            <w:tcBorders>
              <w:top w:val="single" w:color="auto" w:sz="4" w:space="0"/>
              <w:bottom w:val="single" w:color="auto" w:sz="4" w:space="0"/>
              <w:right w:val="single" w:color="auto" w:sz="4" w:space="0"/>
            </w:tcBorders>
            <w:vAlign w:val="center"/>
          </w:tcPr>
          <w:p w14:paraId="7F555C9C">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7</w:t>
            </w:r>
          </w:p>
        </w:tc>
        <w:tc>
          <w:tcPr>
            <w:tcW w:w="934" w:type="pct"/>
            <w:gridSpan w:val="2"/>
            <w:tcBorders>
              <w:top w:val="single" w:color="auto" w:sz="4" w:space="0"/>
              <w:left w:val="single" w:color="auto" w:sz="4" w:space="0"/>
              <w:bottom w:val="single" w:color="auto" w:sz="4" w:space="0"/>
              <w:right w:val="single" w:color="auto" w:sz="4" w:space="0"/>
            </w:tcBorders>
            <w:vAlign w:val="center"/>
          </w:tcPr>
          <w:p w14:paraId="721A99D1">
            <w:pPr>
              <w:spacing w:line="36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3585" w:type="pct"/>
            <w:gridSpan w:val="3"/>
            <w:tcBorders>
              <w:top w:val="single" w:color="auto" w:sz="4" w:space="0"/>
              <w:left w:val="single" w:color="auto" w:sz="4" w:space="0"/>
              <w:bottom w:val="single" w:color="auto" w:sz="4" w:space="0"/>
            </w:tcBorders>
            <w:vAlign w:val="center"/>
          </w:tcPr>
          <w:p w14:paraId="19C9EAA3">
            <w:pPr>
              <w:adjustRightInd w:val="0"/>
              <w:snapToGrid w:val="0"/>
              <w:spacing w:line="36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100％×（投标价-评标基准价）／评标基准价</w:t>
            </w:r>
          </w:p>
          <w:p w14:paraId="0851870F">
            <w:pPr>
              <w:spacing w:line="360" w:lineRule="exact"/>
              <w:ind w:firstLine="420" w:firstLineChars="200"/>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3E972F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tcBorders>
              <w:top w:val="single" w:color="auto" w:sz="4" w:space="0"/>
              <w:bottom w:val="single" w:color="auto" w:sz="4" w:space="0"/>
              <w:right w:val="single" w:color="auto" w:sz="4" w:space="0"/>
            </w:tcBorders>
            <w:vAlign w:val="center"/>
          </w:tcPr>
          <w:p w14:paraId="72A6EBCE">
            <w:pPr>
              <w:spacing w:line="36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934" w:type="pct"/>
            <w:gridSpan w:val="2"/>
            <w:tcBorders>
              <w:top w:val="single" w:color="auto" w:sz="4" w:space="0"/>
              <w:left w:val="single" w:color="auto" w:sz="4" w:space="0"/>
              <w:bottom w:val="single" w:color="auto" w:sz="4" w:space="0"/>
              <w:right w:val="single" w:color="auto" w:sz="4" w:space="0"/>
            </w:tcBorders>
            <w:vAlign w:val="center"/>
          </w:tcPr>
          <w:p w14:paraId="3C167A87">
            <w:pPr>
              <w:spacing w:line="36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3303" w:type="pct"/>
            <w:gridSpan w:val="2"/>
            <w:tcBorders>
              <w:top w:val="single" w:color="auto" w:sz="4" w:space="0"/>
              <w:left w:val="single" w:color="auto" w:sz="4" w:space="0"/>
              <w:bottom w:val="single" w:color="auto" w:sz="4" w:space="0"/>
            </w:tcBorders>
            <w:vAlign w:val="center"/>
          </w:tcPr>
          <w:p w14:paraId="1831BBEC">
            <w:pPr>
              <w:spacing w:line="36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282" w:type="pct"/>
            <w:tcBorders>
              <w:top w:val="single" w:color="auto" w:sz="4" w:space="0"/>
              <w:left w:val="single" w:color="auto" w:sz="4" w:space="0"/>
              <w:bottom w:val="single" w:color="auto" w:sz="4" w:space="0"/>
            </w:tcBorders>
            <w:vAlign w:val="center"/>
          </w:tcPr>
          <w:p w14:paraId="2BED7AF3">
            <w:pPr>
              <w:spacing w:line="36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4F24AC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vMerge w:val="restart"/>
            <w:tcBorders>
              <w:top w:val="single" w:color="auto" w:sz="4" w:space="0"/>
              <w:right w:val="single" w:color="auto" w:sz="4" w:space="0"/>
            </w:tcBorders>
            <w:vAlign w:val="center"/>
          </w:tcPr>
          <w:p w14:paraId="6B8E151D">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8</w:t>
            </w:r>
          </w:p>
        </w:tc>
        <w:tc>
          <w:tcPr>
            <w:tcW w:w="456" w:type="pct"/>
            <w:vMerge w:val="restart"/>
            <w:tcBorders>
              <w:top w:val="single" w:color="auto" w:sz="4" w:space="0"/>
              <w:left w:val="single" w:color="auto" w:sz="4" w:space="0"/>
              <w:right w:val="single" w:color="auto" w:sz="4" w:space="0"/>
            </w:tcBorders>
            <w:vAlign w:val="center"/>
          </w:tcPr>
          <w:p w14:paraId="6DA5CE74">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B.商务评分标准（</w:t>
            </w:r>
            <w:r>
              <w:rPr>
                <w:rFonts w:hint="eastAsia" w:asciiTheme="minorEastAsia" w:hAnsiTheme="minorEastAsia" w:eastAsiaTheme="minorEastAsia" w:cstheme="minorEastAsia"/>
                <w:bCs/>
                <w:color w:val="auto"/>
                <w:szCs w:val="21"/>
                <w:highlight w:val="none"/>
                <w:lang w:val="en-US" w:eastAsia="zh-CN" w:bidi="ar"/>
              </w:rPr>
              <w:t>2</w:t>
            </w:r>
            <w:r>
              <w:rPr>
                <w:rFonts w:hint="eastAsia" w:asciiTheme="minorEastAsia" w:hAnsiTheme="minorEastAsia" w:eastAsiaTheme="minorEastAsia" w:cstheme="minorEastAsia"/>
                <w:bCs/>
                <w:color w:val="auto"/>
                <w:szCs w:val="21"/>
                <w:highlight w:val="none"/>
                <w:lang w:bidi="ar"/>
              </w:rPr>
              <w:t>0分）</w:t>
            </w:r>
          </w:p>
        </w:tc>
        <w:tc>
          <w:tcPr>
            <w:tcW w:w="478" w:type="pct"/>
            <w:tcBorders>
              <w:top w:val="single" w:color="auto" w:sz="4" w:space="0"/>
              <w:left w:val="single" w:color="auto" w:sz="4" w:space="0"/>
              <w:bottom w:val="single" w:color="auto" w:sz="4" w:space="0"/>
              <w:right w:val="single" w:color="auto" w:sz="4" w:space="0"/>
            </w:tcBorders>
            <w:vAlign w:val="center"/>
          </w:tcPr>
          <w:p w14:paraId="5846BA4F">
            <w:pPr>
              <w:widowControl/>
              <w:spacing w:line="360" w:lineRule="exact"/>
              <w:jc w:val="center"/>
              <w:textAlignment w:val="center"/>
              <w:rPr>
                <w:rFonts w:asciiTheme="minorEastAsia" w:hAnsiTheme="minorEastAsia" w:eastAsiaTheme="minorEastAsia" w:cstheme="minorEastAsia"/>
                <w:bCs/>
                <w:color w:val="auto"/>
                <w:szCs w:val="21"/>
                <w:highlight w:val="none"/>
                <w:lang w:bidi="ar"/>
              </w:rPr>
            </w:pPr>
            <w:r>
              <w:rPr>
                <w:rFonts w:hint="eastAsia" w:ascii="宋体" w:hAnsi="宋体" w:cs="宋体"/>
                <w:szCs w:val="21"/>
                <w:highlight w:val="none"/>
              </w:rPr>
              <w:t>项目团队（</w:t>
            </w:r>
            <w:r>
              <w:rPr>
                <w:rFonts w:hint="eastAsia" w:ascii="宋体" w:hAnsi="宋体" w:cs="宋体"/>
                <w:szCs w:val="21"/>
                <w:highlight w:val="none"/>
                <w:lang w:val="en-US" w:eastAsia="zh-CN"/>
              </w:rPr>
              <w:t>2</w:t>
            </w:r>
            <w:r>
              <w:rPr>
                <w:rFonts w:hint="eastAsia" w:ascii="宋体" w:hAnsi="宋体" w:cs="宋体"/>
                <w:szCs w:val="21"/>
                <w:highlight w:val="none"/>
              </w:rPr>
              <w:t>分）</w:t>
            </w:r>
          </w:p>
        </w:tc>
        <w:tc>
          <w:tcPr>
            <w:tcW w:w="3303" w:type="pct"/>
            <w:gridSpan w:val="2"/>
            <w:tcBorders>
              <w:top w:val="single" w:color="auto" w:sz="4" w:space="0"/>
              <w:left w:val="single" w:color="auto" w:sz="4" w:space="0"/>
              <w:bottom w:val="single" w:color="auto" w:sz="4" w:space="0"/>
            </w:tcBorders>
            <w:vAlign w:val="center"/>
          </w:tcPr>
          <w:p w14:paraId="32B1BEA7">
            <w:pPr>
              <w:widowControl/>
              <w:spacing w:line="420" w:lineRule="exact"/>
              <w:ind w:firstLine="420" w:firstLineChars="200"/>
              <w:jc w:val="left"/>
              <w:rPr>
                <w:rFonts w:hint="eastAsia" w:asciiTheme="minorEastAsia" w:hAnsiTheme="minorEastAsia" w:eastAsiaTheme="minorEastAsia" w:cstheme="minorEastAsia"/>
                <w:kern w:val="0"/>
                <w:szCs w:val="21"/>
                <w:highlight w:val="none"/>
                <w:shd w:val="clear" w:color="auto" w:fill="FFFFFF"/>
                <w:lang w:bidi="ar"/>
              </w:rPr>
            </w:pPr>
            <w:r>
              <w:rPr>
                <w:rFonts w:hint="eastAsia" w:asciiTheme="minorEastAsia" w:hAnsiTheme="minorEastAsia" w:eastAsiaTheme="minorEastAsia" w:cstheme="minorEastAsia"/>
                <w:kern w:val="0"/>
                <w:szCs w:val="21"/>
                <w:highlight w:val="none"/>
                <w:shd w:val="clear" w:color="auto" w:fill="FFFFFF"/>
                <w:lang w:bidi="ar"/>
              </w:rPr>
              <w:t>1.项目团队中每增加1人具备中国信息安全测评中心颁发的注册信息安全人员（CISP）认证证书得</w:t>
            </w:r>
            <w:r>
              <w:rPr>
                <w:rFonts w:hint="eastAsia" w:asciiTheme="minorEastAsia" w:hAnsiTheme="minorEastAsia" w:eastAsiaTheme="minorEastAsia" w:cstheme="minorEastAsia"/>
                <w:kern w:val="0"/>
                <w:szCs w:val="21"/>
                <w:highlight w:val="none"/>
                <w:shd w:val="clear" w:color="auto" w:fill="FFFFFF"/>
                <w:lang w:val="en-US" w:eastAsia="zh-CN" w:bidi="ar"/>
              </w:rPr>
              <w:t>2</w:t>
            </w:r>
            <w:r>
              <w:rPr>
                <w:rFonts w:hint="eastAsia" w:asciiTheme="minorEastAsia" w:hAnsiTheme="minorEastAsia" w:eastAsiaTheme="minorEastAsia" w:cstheme="minorEastAsia"/>
                <w:kern w:val="0"/>
                <w:szCs w:val="21"/>
                <w:highlight w:val="none"/>
                <w:shd w:val="clear" w:color="auto" w:fill="FFFFFF"/>
                <w:lang w:bidi="ar"/>
              </w:rPr>
              <w:t>分，该项最多得</w:t>
            </w:r>
            <w:r>
              <w:rPr>
                <w:rFonts w:hint="eastAsia" w:asciiTheme="minorEastAsia" w:hAnsiTheme="minorEastAsia" w:eastAsiaTheme="minorEastAsia" w:cstheme="minorEastAsia"/>
                <w:kern w:val="0"/>
                <w:szCs w:val="21"/>
                <w:highlight w:val="none"/>
                <w:shd w:val="clear" w:color="auto" w:fill="FFFFFF"/>
                <w:lang w:val="en-US" w:eastAsia="zh-CN" w:bidi="ar"/>
              </w:rPr>
              <w:t>2</w:t>
            </w:r>
            <w:r>
              <w:rPr>
                <w:rFonts w:hint="eastAsia" w:asciiTheme="minorEastAsia" w:hAnsiTheme="minorEastAsia" w:eastAsiaTheme="minorEastAsia" w:cstheme="minorEastAsia"/>
                <w:kern w:val="0"/>
                <w:szCs w:val="21"/>
                <w:highlight w:val="none"/>
                <w:shd w:val="clear" w:color="auto" w:fill="FFFFFF"/>
                <w:lang w:bidi="ar"/>
              </w:rPr>
              <w:t>分。</w:t>
            </w:r>
          </w:p>
          <w:p w14:paraId="61FE8C27">
            <w:pPr>
              <w:widowControl/>
              <w:spacing w:line="420" w:lineRule="exact"/>
              <w:ind w:firstLine="420" w:firstLineChars="200"/>
              <w:jc w:val="left"/>
              <w:rPr>
                <w:rFonts w:asciiTheme="minorEastAsia" w:hAnsiTheme="minorEastAsia" w:eastAsiaTheme="minorEastAsia" w:cstheme="minorEastAsia"/>
                <w:color w:val="auto"/>
                <w:kern w:val="0"/>
                <w:szCs w:val="21"/>
                <w:highlight w:val="none"/>
                <w:shd w:val="clear" w:color="auto" w:fill="FFFFFF"/>
                <w:lang w:bidi="ar"/>
              </w:rPr>
            </w:pPr>
            <w:r>
              <w:rPr>
                <w:rFonts w:hint="eastAsia" w:asciiTheme="minorEastAsia" w:hAnsiTheme="minorEastAsia" w:eastAsiaTheme="minorEastAsia" w:cstheme="minorEastAsia"/>
                <w:kern w:val="0"/>
                <w:szCs w:val="21"/>
                <w:highlight w:val="none"/>
                <w:shd w:val="clear" w:color="auto" w:fill="FFFFFF"/>
                <w:lang w:bidi="ar"/>
              </w:rPr>
              <w:t>注：需提供项目团队人员名单（表格形式），以上人员相关资质证件、身份证复印件及由社保局出具的报价人为以上人员缴纳2024年9月至2024年1</w:t>
            </w:r>
            <w:r>
              <w:rPr>
                <w:rFonts w:hint="eastAsia" w:asciiTheme="minorEastAsia" w:hAnsiTheme="minorEastAsia" w:eastAsiaTheme="minorEastAsia" w:cstheme="minorEastAsia"/>
                <w:kern w:val="0"/>
                <w:szCs w:val="21"/>
                <w:highlight w:val="none"/>
                <w:shd w:val="clear" w:color="auto" w:fill="FFFFFF"/>
                <w:lang w:val="en-US" w:eastAsia="zh-CN" w:bidi="ar"/>
              </w:rPr>
              <w:t>2</w:t>
            </w:r>
            <w:r>
              <w:rPr>
                <w:rFonts w:hint="eastAsia" w:asciiTheme="minorEastAsia" w:hAnsiTheme="minorEastAsia" w:eastAsiaTheme="minorEastAsia" w:cstheme="minorEastAsia"/>
                <w:kern w:val="0"/>
                <w:szCs w:val="21"/>
                <w:highlight w:val="none"/>
                <w:shd w:val="clear" w:color="auto" w:fill="FFFFFF"/>
                <w:lang w:bidi="ar"/>
              </w:rPr>
              <w:t>月连续三个月的养老保险证明（带有社保部门公章或社保部门的有效电子印章），并加盖单位公章。</w:t>
            </w:r>
          </w:p>
        </w:tc>
        <w:tc>
          <w:tcPr>
            <w:tcW w:w="282" w:type="pct"/>
            <w:tcBorders>
              <w:top w:val="single" w:color="auto" w:sz="4" w:space="0"/>
              <w:left w:val="single" w:color="auto" w:sz="4" w:space="0"/>
              <w:bottom w:val="single" w:color="auto" w:sz="4" w:space="0"/>
            </w:tcBorders>
            <w:vAlign w:val="center"/>
          </w:tcPr>
          <w:p w14:paraId="039747C6">
            <w:pPr>
              <w:spacing w:line="360" w:lineRule="exact"/>
              <w:jc w:val="center"/>
              <w:rPr>
                <w:rFonts w:asciiTheme="minorEastAsia" w:hAnsiTheme="minorEastAsia" w:eastAsiaTheme="minorEastAsia" w:cstheme="minorEastAsia"/>
                <w:b/>
                <w:color w:val="auto"/>
                <w:szCs w:val="21"/>
                <w:highlight w:val="none"/>
                <w:lang w:bidi="ar"/>
              </w:rPr>
            </w:pPr>
          </w:p>
          <w:p w14:paraId="2DEE3F90">
            <w:pPr>
              <w:pStyle w:val="29"/>
              <w:spacing w:before="0" w:after="0" w:line="360" w:lineRule="exact"/>
              <w:rPr>
                <w:color w:val="auto"/>
                <w:highlight w:val="none"/>
              </w:rPr>
            </w:pPr>
          </w:p>
        </w:tc>
      </w:tr>
      <w:tr w14:paraId="3890DAC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51" w:hRule="atLeast"/>
          <w:jc w:val="center"/>
        </w:trPr>
        <w:tc>
          <w:tcPr>
            <w:tcW w:w="480" w:type="pct"/>
            <w:vMerge w:val="continue"/>
            <w:tcBorders>
              <w:bottom w:val="single" w:color="auto" w:sz="4" w:space="0"/>
              <w:right w:val="single" w:color="auto" w:sz="4" w:space="0"/>
            </w:tcBorders>
            <w:vAlign w:val="center"/>
          </w:tcPr>
          <w:p w14:paraId="1A7F7BE9">
            <w:pPr>
              <w:spacing w:line="360" w:lineRule="exact"/>
              <w:jc w:val="center"/>
              <w:rPr>
                <w:rFonts w:asciiTheme="minorEastAsia" w:hAnsiTheme="minorEastAsia" w:eastAsiaTheme="minorEastAsia" w:cstheme="minorEastAsia"/>
                <w:b/>
                <w:color w:val="auto"/>
                <w:szCs w:val="21"/>
                <w:highlight w:val="none"/>
                <w:lang w:bidi="ar"/>
              </w:rPr>
            </w:pPr>
          </w:p>
        </w:tc>
        <w:tc>
          <w:tcPr>
            <w:tcW w:w="456" w:type="pct"/>
            <w:vMerge w:val="continue"/>
            <w:tcBorders>
              <w:left w:val="single" w:color="auto" w:sz="4" w:space="0"/>
              <w:bottom w:val="single" w:color="auto" w:sz="4" w:space="0"/>
              <w:right w:val="single" w:color="auto" w:sz="4" w:space="0"/>
            </w:tcBorders>
            <w:vAlign w:val="center"/>
          </w:tcPr>
          <w:p w14:paraId="7A1218F5">
            <w:pPr>
              <w:spacing w:line="360" w:lineRule="exact"/>
              <w:jc w:val="center"/>
              <w:rPr>
                <w:rFonts w:asciiTheme="minorEastAsia" w:hAnsiTheme="minorEastAsia" w:eastAsiaTheme="minorEastAsia" w:cstheme="minorEastAsia"/>
                <w:bCs/>
                <w:color w:val="auto"/>
                <w:szCs w:val="21"/>
                <w:highlight w:val="none"/>
                <w:lang w:bidi="ar"/>
              </w:rPr>
            </w:pPr>
          </w:p>
        </w:tc>
        <w:tc>
          <w:tcPr>
            <w:tcW w:w="478" w:type="pct"/>
            <w:tcBorders>
              <w:top w:val="single" w:color="auto" w:sz="4" w:space="0"/>
              <w:left w:val="single" w:color="auto" w:sz="4" w:space="0"/>
              <w:bottom w:val="single" w:color="auto" w:sz="4" w:space="0"/>
              <w:right w:val="single" w:color="auto" w:sz="4" w:space="0"/>
            </w:tcBorders>
            <w:vAlign w:val="center"/>
          </w:tcPr>
          <w:p w14:paraId="57045D7D">
            <w:pPr>
              <w:numPr>
                <w:ilvl w:val="0"/>
                <w:numId w:val="0"/>
              </w:numPr>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shd w:val="clear" w:color="auto" w:fill="FFFFFF"/>
                <w:lang w:bidi="ar"/>
              </w:rPr>
            </w:pPr>
            <w:r>
              <w:rPr>
                <w:rFonts w:hint="eastAsia" w:asciiTheme="minorEastAsia" w:hAnsiTheme="minorEastAsia" w:eastAsiaTheme="minorEastAsia" w:cstheme="minorEastAsia"/>
                <w:color w:val="auto"/>
                <w:kern w:val="0"/>
                <w:szCs w:val="21"/>
                <w:highlight w:val="none"/>
                <w:shd w:val="clear" w:color="auto" w:fill="FFFFFF"/>
                <w:lang w:bidi="ar"/>
              </w:rPr>
              <w:t>企业实力</w:t>
            </w:r>
            <w:r>
              <w:rPr>
                <w:rFonts w:asciiTheme="minorEastAsia" w:hAnsiTheme="minorEastAsia" w:eastAsiaTheme="minorEastAsia" w:cstheme="minorEastAsia"/>
                <w:color w:val="auto"/>
                <w:kern w:val="0"/>
                <w:szCs w:val="21"/>
                <w:highlight w:val="none"/>
                <w:shd w:val="clear" w:color="auto" w:fill="FFFFFF"/>
                <w:lang w:bidi="ar"/>
              </w:rPr>
              <w:t>（</w:t>
            </w:r>
            <w:r>
              <w:rPr>
                <w:rFonts w:hint="eastAsia" w:asciiTheme="minorEastAsia" w:hAnsiTheme="minorEastAsia" w:eastAsiaTheme="minorEastAsia" w:cstheme="minorEastAsia"/>
                <w:color w:val="auto"/>
                <w:kern w:val="0"/>
                <w:szCs w:val="21"/>
                <w:highlight w:val="none"/>
                <w:shd w:val="clear" w:color="auto" w:fill="FFFFFF"/>
                <w:lang w:val="en-US" w:eastAsia="zh-CN" w:bidi="ar"/>
              </w:rPr>
              <w:t>9</w:t>
            </w:r>
            <w:r>
              <w:rPr>
                <w:rFonts w:asciiTheme="minorEastAsia" w:hAnsiTheme="minorEastAsia" w:eastAsiaTheme="minorEastAsia" w:cstheme="minorEastAsia"/>
                <w:color w:val="auto"/>
                <w:kern w:val="0"/>
                <w:szCs w:val="21"/>
                <w:highlight w:val="none"/>
                <w:shd w:val="clear" w:color="auto" w:fill="FFFFFF"/>
                <w:lang w:bidi="ar"/>
              </w:rPr>
              <w:t>分）</w:t>
            </w:r>
          </w:p>
        </w:tc>
        <w:tc>
          <w:tcPr>
            <w:tcW w:w="3303" w:type="pct"/>
            <w:gridSpan w:val="2"/>
            <w:tcBorders>
              <w:top w:val="single" w:color="auto" w:sz="4" w:space="0"/>
              <w:left w:val="single" w:color="auto" w:sz="4" w:space="0"/>
              <w:bottom w:val="single" w:color="auto" w:sz="4" w:space="0"/>
            </w:tcBorders>
            <w:vAlign w:val="center"/>
          </w:tcPr>
          <w:p w14:paraId="66DB38AA">
            <w:pPr>
              <w:numPr>
                <w:ilvl w:val="0"/>
                <w:numId w:val="0"/>
              </w:numPr>
              <w:adjustRightInd w:val="0"/>
              <w:snapToGrid w:val="0"/>
              <w:spacing w:line="400" w:lineRule="exact"/>
              <w:ind w:firstLine="420" w:firstLineChars="200"/>
              <w:rPr>
                <w:rFonts w:hint="eastAsia"/>
              </w:rPr>
            </w:pPr>
            <w:r>
              <w:rPr>
                <w:rFonts w:hint="eastAsia" w:asciiTheme="minorEastAsia" w:hAnsiTheme="minorEastAsia" w:eastAsiaTheme="minorEastAsia" w:cstheme="minorEastAsia"/>
                <w:color w:val="auto"/>
                <w:kern w:val="0"/>
                <w:szCs w:val="21"/>
                <w:highlight w:val="none"/>
                <w:shd w:val="clear" w:color="auto" w:fill="FFFFFF"/>
                <w:lang w:val="en-US" w:eastAsia="zh-CN" w:bidi="ar"/>
              </w:rPr>
              <w:t>1</w:t>
            </w:r>
            <w:r>
              <w:rPr>
                <w:rFonts w:hint="eastAsia" w:asciiTheme="minorEastAsia" w:hAnsiTheme="minorEastAsia" w:eastAsiaTheme="minorEastAsia" w:cstheme="minorEastAsia"/>
                <w:color w:val="auto"/>
                <w:kern w:val="0"/>
                <w:szCs w:val="21"/>
                <w:highlight w:val="none"/>
                <w:shd w:val="clear" w:color="auto" w:fill="FFFFFF"/>
                <w:lang w:bidi="ar"/>
              </w:rPr>
              <w:t>.</w:t>
            </w:r>
            <w:r>
              <w:rPr>
                <w:rFonts w:hint="eastAsia" w:asciiTheme="minorEastAsia" w:hAnsiTheme="minorEastAsia" w:eastAsiaTheme="minorEastAsia" w:cstheme="minorEastAsia"/>
                <w:color w:val="auto"/>
                <w:kern w:val="0"/>
                <w:szCs w:val="21"/>
                <w:highlight w:val="none"/>
                <w:shd w:val="clear" w:color="auto" w:fill="FFFFFF"/>
                <w:lang w:val="en-US" w:eastAsia="zh-CN" w:bidi="ar"/>
              </w:rPr>
              <w:t>报价人</w:t>
            </w:r>
            <w:r>
              <w:rPr>
                <w:rFonts w:hint="eastAsia" w:asciiTheme="minorEastAsia" w:hAnsiTheme="minorEastAsia" w:eastAsiaTheme="minorEastAsia" w:cstheme="minorEastAsia"/>
                <w:color w:val="auto"/>
                <w:kern w:val="0"/>
                <w:szCs w:val="21"/>
                <w:highlight w:val="none"/>
                <w:shd w:val="clear" w:color="auto" w:fill="FFFFFF"/>
                <w:lang w:bidi="ar"/>
              </w:rPr>
              <w:t>具有有效期内网络安全服务认证证书等级保护测评服务认证的，满足得</w:t>
            </w:r>
            <w:r>
              <w:rPr>
                <w:rFonts w:hint="eastAsia" w:asciiTheme="minorEastAsia" w:hAnsiTheme="minorEastAsia" w:eastAsiaTheme="minorEastAsia" w:cstheme="minorEastAsia"/>
                <w:color w:val="auto"/>
                <w:kern w:val="0"/>
                <w:szCs w:val="21"/>
                <w:highlight w:val="none"/>
                <w:shd w:val="clear" w:color="auto" w:fill="FFFFFF"/>
                <w:lang w:val="en-US" w:eastAsia="zh-CN" w:bidi="ar"/>
              </w:rPr>
              <w:t>3</w:t>
            </w:r>
            <w:r>
              <w:rPr>
                <w:rFonts w:hint="eastAsia" w:asciiTheme="minorEastAsia" w:hAnsiTheme="minorEastAsia" w:eastAsiaTheme="minorEastAsia" w:cstheme="minorEastAsia"/>
                <w:color w:val="auto"/>
                <w:kern w:val="0"/>
                <w:szCs w:val="21"/>
                <w:highlight w:val="none"/>
                <w:shd w:val="clear" w:color="auto" w:fill="FFFFFF"/>
                <w:lang w:bidi="ar"/>
              </w:rPr>
              <w:t>分，未提供的不得分；</w:t>
            </w:r>
          </w:p>
          <w:p w14:paraId="0D3D1DE6">
            <w:pPr>
              <w:numPr>
                <w:ilvl w:val="0"/>
                <w:numId w:val="0"/>
              </w:numPr>
              <w:adjustRightInd w:val="0"/>
              <w:snapToGrid w:val="0"/>
              <w:spacing w:line="400" w:lineRule="exact"/>
              <w:ind w:firstLine="420" w:firstLineChars="200"/>
              <w:rPr>
                <w:rFonts w:hint="eastAsia" w:asciiTheme="minorEastAsia" w:hAnsiTheme="minorEastAsia" w:eastAsiaTheme="minorEastAsia" w:cstheme="minorEastAsia"/>
                <w:color w:val="auto"/>
                <w:kern w:val="0"/>
                <w:szCs w:val="21"/>
                <w:highlight w:val="none"/>
                <w:shd w:val="clear" w:color="auto" w:fill="FFFFFF"/>
                <w:lang w:bidi="ar"/>
              </w:rPr>
            </w:pPr>
            <w:r>
              <w:rPr>
                <w:rFonts w:hint="eastAsia" w:asciiTheme="minorEastAsia" w:hAnsiTheme="minorEastAsia" w:eastAsiaTheme="minorEastAsia" w:cstheme="minorEastAsia"/>
                <w:color w:val="auto"/>
                <w:kern w:val="0"/>
                <w:szCs w:val="21"/>
                <w:highlight w:val="none"/>
                <w:shd w:val="clear" w:color="auto" w:fill="FFFFFF"/>
                <w:lang w:bidi="ar"/>
              </w:rPr>
              <w:t>2.报价人具备有效的《质量管理体系认证证书》（ISO9001），满足得</w:t>
            </w:r>
            <w:r>
              <w:rPr>
                <w:rFonts w:hint="eastAsia" w:asciiTheme="minorEastAsia" w:hAnsiTheme="minorEastAsia" w:eastAsiaTheme="minorEastAsia" w:cstheme="minorEastAsia"/>
                <w:color w:val="auto"/>
                <w:kern w:val="0"/>
                <w:szCs w:val="21"/>
                <w:highlight w:val="none"/>
                <w:shd w:val="clear" w:color="auto" w:fill="FFFFFF"/>
                <w:lang w:val="en-US" w:eastAsia="zh-CN" w:bidi="ar"/>
              </w:rPr>
              <w:t>3</w:t>
            </w:r>
            <w:r>
              <w:rPr>
                <w:rFonts w:hint="eastAsia" w:asciiTheme="minorEastAsia" w:hAnsiTheme="minorEastAsia" w:eastAsiaTheme="minorEastAsia" w:cstheme="minorEastAsia"/>
                <w:color w:val="auto"/>
                <w:kern w:val="0"/>
                <w:szCs w:val="21"/>
                <w:highlight w:val="none"/>
                <w:shd w:val="clear" w:color="auto" w:fill="FFFFFF"/>
                <w:lang w:bidi="ar"/>
              </w:rPr>
              <w:t>分，未提供的不得分；</w:t>
            </w:r>
          </w:p>
          <w:p w14:paraId="6222648A">
            <w:pPr>
              <w:numPr>
                <w:ilvl w:val="0"/>
                <w:numId w:val="0"/>
              </w:numPr>
              <w:adjustRightInd w:val="0"/>
              <w:snapToGrid w:val="0"/>
              <w:spacing w:line="400" w:lineRule="exact"/>
              <w:ind w:firstLine="420" w:firstLineChars="200"/>
              <w:rPr>
                <w:rFonts w:hint="eastAsia"/>
              </w:rPr>
            </w:pPr>
            <w:r>
              <w:rPr>
                <w:rFonts w:hint="eastAsia" w:asciiTheme="minorEastAsia" w:hAnsiTheme="minorEastAsia" w:eastAsiaTheme="minorEastAsia" w:cstheme="minorEastAsia"/>
                <w:color w:val="auto"/>
                <w:kern w:val="0"/>
                <w:szCs w:val="21"/>
                <w:highlight w:val="none"/>
                <w:shd w:val="clear" w:color="auto" w:fill="FFFFFF"/>
                <w:lang w:val="en-US" w:eastAsia="zh-CN" w:bidi="ar"/>
              </w:rPr>
              <w:t>3</w:t>
            </w:r>
            <w:r>
              <w:rPr>
                <w:rFonts w:hint="eastAsia" w:asciiTheme="minorEastAsia" w:hAnsiTheme="minorEastAsia" w:eastAsiaTheme="minorEastAsia" w:cstheme="minorEastAsia"/>
                <w:color w:val="auto"/>
                <w:kern w:val="0"/>
                <w:szCs w:val="21"/>
                <w:highlight w:val="none"/>
                <w:shd w:val="clear" w:color="auto" w:fill="FFFFFF"/>
                <w:lang w:bidi="ar"/>
              </w:rPr>
              <w:t>.报价人具有</w:t>
            </w:r>
            <w:r>
              <w:rPr>
                <w:rFonts w:hint="eastAsia" w:asciiTheme="minorEastAsia" w:hAnsiTheme="minorEastAsia" w:eastAsiaTheme="minorEastAsia" w:cstheme="minorEastAsia"/>
                <w:color w:val="auto"/>
                <w:kern w:val="0"/>
                <w:szCs w:val="21"/>
                <w:highlight w:val="none"/>
                <w:shd w:val="clear" w:color="auto" w:fill="FFFFFF"/>
                <w:lang w:val="en-US" w:eastAsia="zh-CN" w:bidi="ar"/>
              </w:rPr>
              <w:t>有效的</w:t>
            </w:r>
            <w:r>
              <w:rPr>
                <w:rFonts w:hint="eastAsia" w:asciiTheme="minorEastAsia" w:hAnsiTheme="minorEastAsia" w:eastAsiaTheme="minorEastAsia" w:cstheme="minorEastAsia"/>
                <w:color w:val="auto"/>
                <w:kern w:val="0"/>
                <w:szCs w:val="21"/>
                <w:highlight w:val="none"/>
                <w:shd w:val="clear" w:color="auto" w:fill="FFFFFF"/>
                <w:lang w:bidi="ar"/>
              </w:rPr>
              <w:t>信息安全管理体系认证证书ISO 27001，满足得</w:t>
            </w:r>
            <w:r>
              <w:rPr>
                <w:rFonts w:hint="eastAsia" w:asciiTheme="minorEastAsia" w:hAnsiTheme="minorEastAsia" w:eastAsiaTheme="minorEastAsia" w:cstheme="minorEastAsia"/>
                <w:color w:val="auto"/>
                <w:kern w:val="0"/>
                <w:szCs w:val="21"/>
                <w:highlight w:val="none"/>
                <w:shd w:val="clear" w:color="auto" w:fill="FFFFFF"/>
                <w:lang w:val="en-US" w:eastAsia="zh-CN" w:bidi="ar"/>
              </w:rPr>
              <w:t>3</w:t>
            </w:r>
            <w:r>
              <w:rPr>
                <w:rFonts w:hint="eastAsia" w:asciiTheme="minorEastAsia" w:hAnsiTheme="minorEastAsia" w:eastAsiaTheme="minorEastAsia" w:cstheme="minorEastAsia"/>
                <w:color w:val="auto"/>
                <w:kern w:val="0"/>
                <w:szCs w:val="21"/>
                <w:highlight w:val="none"/>
                <w:shd w:val="clear" w:color="auto" w:fill="FFFFFF"/>
                <w:lang w:bidi="ar"/>
              </w:rPr>
              <w:t>分，未提供的不得分。</w:t>
            </w:r>
          </w:p>
          <w:p w14:paraId="7C766257">
            <w:pPr>
              <w:numPr>
                <w:ilvl w:val="0"/>
                <w:numId w:val="0"/>
              </w:numPr>
              <w:adjustRightInd w:val="0"/>
              <w:snapToGrid w:val="0"/>
              <w:spacing w:line="400" w:lineRule="exact"/>
              <w:ind w:firstLine="420" w:firstLineChars="200"/>
              <w:rPr>
                <w:rFonts w:hint="default" w:asciiTheme="minorEastAsia" w:hAnsiTheme="minorEastAsia" w:eastAsiaTheme="minorEastAsia" w:cstheme="minorEastAsia"/>
                <w:color w:val="auto"/>
                <w:kern w:val="0"/>
                <w:szCs w:val="21"/>
                <w:highlight w:val="none"/>
                <w:shd w:val="clear" w:color="auto" w:fill="FFFFFF"/>
                <w:lang w:val="en-US" w:eastAsia="zh-CN" w:bidi="ar"/>
              </w:rPr>
            </w:pPr>
            <w:r>
              <w:rPr>
                <w:rFonts w:hint="eastAsia" w:asciiTheme="minorEastAsia" w:hAnsiTheme="minorEastAsia" w:eastAsiaTheme="minorEastAsia" w:cstheme="minorEastAsia"/>
                <w:color w:val="auto"/>
                <w:kern w:val="0"/>
                <w:szCs w:val="21"/>
                <w:highlight w:val="none"/>
                <w:shd w:val="clear" w:color="auto" w:fill="FFFFFF"/>
                <w:lang w:val="en-US" w:eastAsia="zh-CN" w:bidi="ar"/>
              </w:rPr>
              <w:t>注：提供相关认证证书并加盖单位公章。</w:t>
            </w:r>
          </w:p>
        </w:tc>
        <w:tc>
          <w:tcPr>
            <w:tcW w:w="282" w:type="pct"/>
            <w:tcBorders>
              <w:top w:val="single" w:color="auto" w:sz="4" w:space="0"/>
              <w:left w:val="single" w:color="auto" w:sz="4" w:space="0"/>
              <w:bottom w:val="single" w:color="auto" w:sz="4" w:space="0"/>
            </w:tcBorders>
            <w:vAlign w:val="center"/>
          </w:tcPr>
          <w:p w14:paraId="266750A3">
            <w:pPr>
              <w:spacing w:line="360" w:lineRule="exact"/>
              <w:jc w:val="center"/>
              <w:rPr>
                <w:rFonts w:asciiTheme="minorEastAsia" w:hAnsiTheme="minorEastAsia" w:eastAsiaTheme="minorEastAsia" w:cstheme="minorEastAsia"/>
                <w:b/>
                <w:color w:val="auto"/>
                <w:szCs w:val="21"/>
                <w:highlight w:val="none"/>
                <w:lang w:bidi="ar"/>
              </w:rPr>
            </w:pPr>
          </w:p>
        </w:tc>
      </w:tr>
      <w:tr w14:paraId="46E520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2488" w:hRule="atLeast"/>
          <w:jc w:val="center"/>
        </w:trPr>
        <w:tc>
          <w:tcPr>
            <w:tcW w:w="480" w:type="pct"/>
            <w:vMerge w:val="continue"/>
            <w:tcBorders>
              <w:bottom w:val="single" w:color="auto" w:sz="4" w:space="0"/>
              <w:right w:val="single" w:color="auto" w:sz="4" w:space="0"/>
            </w:tcBorders>
            <w:vAlign w:val="center"/>
          </w:tcPr>
          <w:p w14:paraId="201A4CA7">
            <w:pPr>
              <w:spacing w:line="360" w:lineRule="exact"/>
              <w:jc w:val="center"/>
              <w:rPr>
                <w:rFonts w:asciiTheme="minorEastAsia" w:hAnsiTheme="minorEastAsia" w:eastAsiaTheme="minorEastAsia" w:cstheme="minorEastAsia"/>
                <w:b/>
                <w:color w:val="auto"/>
                <w:szCs w:val="21"/>
                <w:highlight w:val="none"/>
                <w:lang w:bidi="ar"/>
              </w:rPr>
            </w:pPr>
          </w:p>
        </w:tc>
        <w:tc>
          <w:tcPr>
            <w:tcW w:w="456" w:type="pct"/>
            <w:vMerge w:val="continue"/>
            <w:tcBorders>
              <w:left w:val="single" w:color="auto" w:sz="4" w:space="0"/>
              <w:bottom w:val="single" w:color="auto" w:sz="4" w:space="0"/>
              <w:right w:val="single" w:color="auto" w:sz="4" w:space="0"/>
            </w:tcBorders>
            <w:vAlign w:val="center"/>
          </w:tcPr>
          <w:p w14:paraId="2079E45D">
            <w:pPr>
              <w:spacing w:line="360" w:lineRule="exact"/>
              <w:jc w:val="center"/>
              <w:rPr>
                <w:rFonts w:asciiTheme="minorEastAsia" w:hAnsiTheme="minorEastAsia" w:eastAsiaTheme="minorEastAsia" w:cstheme="minorEastAsia"/>
                <w:bCs/>
                <w:color w:val="auto"/>
                <w:szCs w:val="21"/>
                <w:highlight w:val="none"/>
                <w:lang w:bidi="ar"/>
              </w:rPr>
            </w:pPr>
          </w:p>
        </w:tc>
        <w:tc>
          <w:tcPr>
            <w:tcW w:w="478" w:type="pct"/>
            <w:tcBorders>
              <w:top w:val="single" w:color="auto" w:sz="4" w:space="0"/>
              <w:left w:val="single" w:color="auto" w:sz="4" w:space="0"/>
              <w:bottom w:val="single" w:color="auto" w:sz="4" w:space="0"/>
              <w:right w:val="single" w:color="auto" w:sz="4" w:space="0"/>
            </w:tcBorders>
            <w:vAlign w:val="center"/>
          </w:tcPr>
          <w:p w14:paraId="4FFFA3AC">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w:t>
            </w:r>
          </w:p>
          <w:p w14:paraId="4C236813">
            <w:pPr>
              <w:widowControl/>
              <w:spacing w:line="360" w:lineRule="exact"/>
              <w:jc w:val="center"/>
              <w:textAlignment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业绩</w:t>
            </w:r>
          </w:p>
          <w:p w14:paraId="0B6FF942">
            <w:pPr>
              <w:widowControl/>
              <w:spacing w:line="360" w:lineRule="exact"/>
              <w:jc w:val="center"/>
              <w:textAlignment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color w:val="auto"/>
                <w:szCs w:val="21"/>
                <w:highlight w:val="none"/>
              </w:rPr>
              <w:t>（</w:t>
            </w:r>
            <w:r>
              <w:rPr>
                <w:rFonts w:hint="eastAsia" w:asciiTheme="minorEastAsia" w:hAnsiTheme="minorEastAsia" w:eastAsiaTheme="minorEastAsia" w:cstheme="minorEastAsia"/>
                <w:color w:val="auto"/>
                <w:szCs w:val="21"/>
                <w:highlight w:val="none"/>
                <w:lang w:val="en-US" w:eastAsia="zh-CN"/>
              </w:rPr>
              <w:t>9</w:t>
            </w:r>
            <w:r>
              <w:rPr>
                <w:rFonts w:hint="eastAsia" w:asciiTheme="minorEastAsia" w:hAnsiTheme="minorEastAsia" w:eastAsiaTheme="minorEastAsia" w:cstheme="minorEastAsia"/>
                <w:color w:val="auto"/>
                <w:szCs w:val="21"/>
                <w:highlight w:val="none"/>
              </w:rPr>
              <w:t>分）</w:t>
            </w:r>
          </w:p>
        </w:tc>
        <w:tc>
          <w:tcPr>
            <w:tcW w:w="3303" w:type="pct"/>
            <w:gridSpan w:val="2"/>
            <w:tcBorders>
              <w:top w:val="single" w:color="auto" w:sz="4" w:space="0"/>
              <w:left w:val="single" w:color="auto" w:sz="4" w:space="0"/>
              <w:bottom w:val="single" w:color="auto" w:sz="4" w:space="0"/>
            </w:tcBorders>
            <w:vAlign w:val="center"/>
          </w:tcPr>
          <w:p w14:paraId="17BFA7D0">
            <w:pPr>
              <w:widowControl/>
              <w:spacing w:line="420" w:lineRule="exact"/>
              <w:ind w:firstLine="420" w:firstLineChars="200"/>
              <w:jc w:val="left"/>
              <w:rPr>
                <w:rFonts w:hint="eastAsia" w:asciiTheme="minorEastAsia" w:hAnsiTheme="minorEastAsia" w:eastAsiaTheme="minorEastAsia" w:cstheme="minorEastAsia"/>
                <w:color w:val="auto"/>
                <w:kern w:val="0"/>
                <w:szCs w:val="21"/>
                <w:highlight w:val="none"/>
                <w:shd w:val="clear" w:color="auto" w:fill="FFFFFF"/>
                <w:lang w:bidi="ar"/>
              </w:rPr>
            </w:pPr>
            <w:r>
              <w:rPr>
                <w:rFonts w:hint="eastAsia" w:asciiTheme="minorEastAsia" w:hAnsiTheme="minorEastAsia" w:eastAsiaTheme="minorEastAsia" w:cstheme="minorEastAsia"/>
                <w:color w:val="auto"/>
                <w:kern w:val="0"/>
                <w:szCs w:val="21"/>
                <w:highlight w:val="none"/>
                <w:shd w:val="clear" w:color="auto" w:fill="FFFFFF"/>
                <w:lang w:val="en-US" w:eastAsia="zh-CN" w:bidi="ar"/>
              </w:rPr>
              <w:t>1.</w:t>
            </w:r>
            <w:r>
              <w:rPr>
                <w:rFonts w:hint="eastAsia" w:asciiTheme="minorEastAsia" w:hAnsiTheme="minorEastAsia" w:eastAsiaTheme="minorEastAsia" w:cstheme="minorEastAsia"/>
                <w:color w:val="auto"/>
                <w:kern w:val="0"/>
                <w:szCs w:val="21"/>
                <w:highlight w:val="none"/>
                <w:shd w:val="clear" w:color="auto" w:fill="FFFFFF"/>
                <w:lang w:bidi="ar"/>
              </w:rPr>
              <w:t>报价人在2021年1月1日至报价截止日期（以合同签订时间为准）每增加一个合同金额在15万元及以上的类似网络安全服务项目业绩得3分，满分</w:t>
            </w:r>
            <w:r>
              <w:rPr>
                <w:rFonts w:hint="eastAsia" w:asciiTheme="minorEastAsia" w:hAnsiTheme="minorEastAsia" w:eastAsiaTheme="minorEastAsia" w:cstheme="minorEastAsia"/>
                <w:color w:val="auto"/>
                <w:kern w:val="0"/>
                <w:szCs w:val="21"/>
                <w:highlight w:val="none"/>
                <w:shd w:val="clear" w:color="auto" w:fill="FFFFFF"/>
                <w:lang w:val="en-US" w:eastAsia="zh-CN" w:bidi="ar"/>
              </w:rPr>
              <w:t>9</w:t>
            </w:r>
            <w:r>
              <w:rPr>
                <w:rFonts w:hint="eastAsia" w:asciiTheme="minorEastAsia" w:hAnsiTheme="minorEastAsia" w:eastAsiaTheme="minorEastAsia" w:cstheme="minorEastAsia"/>
                <w:color w:val="auto"/>
                <w:kern w:val="0"/>
                <w:szCs w:val="21"/>
                <w:highlight w:val="none"/>
                <w:shd w:val="clear" w:color="auto" w:fill="FFFFFF"/>
                <w:lang w:bidi="ar"/>
              </w:rPr>
              <w:t>分。</w:t>
            </w:r>
          </w:p>
          <w:p w14:paraId="75FD4262">
            <w:pPr>
              <w:widowControl/>
              <w:spacing w:line="420" w:lineRule="exact"/>
              <w:ind w:firstLine="420" w:firstLineChars="200"/>
              <w:jc w:val="left"/>
              <w:rPr>
                <w:rFonts w:cs="宋体" w:asciiTheme="minorEastAsia" w:hAnsiTheme="minorEastAsia"/>
                <w:color w:val="auto"/>
                <w:szCs w:val="21"/>
                <w:highlight w:val="none"/>
                <w:lang w:bidi="ar"/>
              </w:rPr>
            </w:pPr>
            <w:r>
              <w:rPr>
                <w:rFonts w:hint="eastAsia" w:asciiTheme="minorEastAsia" w:hAnsiTheme="minorEastAsia" w:eastAsiaTheme="minorEastAsia" w:cstheme="minorEastAsia"/>
                <w:color w:val="auto"/>
                <w:kern w:val="0"/>
                <w:szCs w:val="21"/>
                <w:highlight w:val="none"/>
                <w:shd w:val="clear" w:color="auto" w:fill="FFFFFF"/>
                <w:lang w:bidi="ar"/>
              </w:rPr>
              <w:t>注：</w:t>
            </w:r>
            <w:r>
              <w:rPr>
                <w:rFonts w:hint="eastAsia" w:asciiTheme="minorEastAsia" w:hAnsiTheme="minorEastAsia" w:eastAsiaTheme="minorEastAsia" w:cstheme="minorEastAsia"/>
                <w:color w:val="auto"/>
                <w:kern w:val="0"/>
                <w:szCs w:val="21"/>
                <w:highlight w:val="none"/>
                <w:shd w:val="clear" w:color="auto" w:fill="FFFFFF"/>
                <w:lang w:val="en-US" w:eastAsia="zh-CN" w:bidi="ar"/>
              </w:rPr>
              <w:t>业绩不重复计算得分，</w:t>
            </w:r>
            <w:r>
              <w:rPr>
                <w:rFonts w:hint="eastAsia" w:asciiTheme="minorEastAsia" w:hAnsiTheme="minorEastAsia" w:eastAsiaTheme="minorEastAsia" w:cstheme="minorEastAsia"/>
                <w:color w:val="auto"/>
                <w:kern w:val="0"/>
                <w:szCs w:val="21"/>
                <w:highlight w:val="none"/>
                <w:shd w:val="clear" w:color="auto" w:fill="FFFFFF"/>
                <w:lang w:bidi="ar"/>
              </w:rPr>
              <w:t>提供合同（合同需清晰反映上述业绩要求的主要内容，包括但不限于合同签订时间、合同金额及工作内容）复印件或扫描件。若合同中无法体现上述内容的，则还需提供业主出具的业绩证明材料（加盖业主单位鲜公章）。</w:t>
            </w:r>
          </w:p>
        </w:tc>
        <w:tc>
          <w:tcPr>
            <w:tcW w:w="282" w:type="pct"/>
            <w:tcBorders>
              <w:top w:val="single" w:color="auto" w:sz="4" w:space="0"/>
              <w:left w:val="single" w:color="auto" w:sz="4" w:space="0"/>
              <w:bottom w:val="single" w:color="auto" w:sz="4" w:space="0"/>
            </w:tcBorders>
            <w:vAlign w:val="center"/>
          </w:tcPr>
          <w:p w14:paraId="00D417FB">
            <w:pPr>
              <w:spacing w:line="360" w:lineRule="exact"/>
              <w:jc w:val="center"/>
              <w:rPr>
                <w:rFonts w:asciiTheme="minorEastAsia" w:hAnsiTheme="minorEastAsia" w:eastAsiaTheme="minorEastAsia" w:cstheme="minorEastAsia"/>
                <w:b/>
                <w:color w:val="auto"/>
                <w:szCs w:val="21"/>
                <w:highlight w:val="none"/>
                <w:lang w:bidi="ar"/>
              </w:rPr>
            </w:pPr>
          </w:p>
        </w:tc>
      </w:tr>
      <w:tr w14:paraId="2ACA27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377" w:hRule="atLeast"/>
          <w:jc w:val="center"/>
        </w:trPr>
        <w:tc>
          <w:tcPr>
            <w:tcW w:w="480" w:type="pct"/>
            <w:tcBorders>
              <w:top w:val="single" w:color="auto" w:sz="4" w:space="0"/>
              <w:bottom w:val="single" w:color="auto" w:sz="4" w:space="0"/>
              <w:right w:val="single" w:color="auto" w:sz="4" w:space="0"/>
            </w:tcBorders>
            <w:vAlign w:val="center"/>
          </w:tcPr>
          <w:p w14:paraId="0E941E52">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9</w:t>
            </w:r>
          </w:p>
        </w:tc>
        <w:tc>
          <w:tcPr>
            <w:tcW w:w="456" w:type="pct"/>
            <w:tcBorders>
              <w:top w:val="single" w:color="auto" w:sz="4" w:space="0"/>
              <w:left w:val="single" w:color="auto" w:sz="4" w:space="0"/>
              <w:bottom w:val="single" w:color="auto" w:sz="4" w:space="0"/>
              <w:right w:val="single" w:color="auto" w:sz="4" w:space="0"/>
            </w:tcBorders>
            <w:vAlign w:val="center"/>
          </w:tcPr>
          <w:p w14:paraId="4102B603">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C.技术评分标准（</w:t>
            </w:r>
            <w:r>
              <w:rPr>
                <w:rFonts w:asciiTheme="minorEastAsia" w:hAnsiTheme="minorEastAsia" w:eastAsiaTheme="minorEastAsia" w:cstheme="minorEastAsia"/>
                <w:bCs/>
                <w:color w:val="auto"/>
                <w:szCs w:val="21"/>
                <w:highlight w:val="none"/>
                <w:lang w:bidi="ar"/>
              </w:rPr>
              <w:t>20</w:t>
            </w:r>
            <w:r>
              <w:rPr>
                <w:rFonts w:hint="eastAsia" w:asciiTheme="minorEastAsia" w:hAnsiTheme="minorEastAsia" w:eastAsiaTheme="minorEastAsia" w:cstheme="minorEastAsia"/>
                <w:bCs/>
                <w:color w:val="auto"/>
                <w:szCs w:val="21"/>
                <w:highlight w:val="none"/>
                <w:lang w:bidi="ar"/>
              </w:rPr>
              <w:t>分）</w:t>
            </w:r>
          </w:p>
        </w:tc>
        <w:tc>
          <w:tcPr>
            <w:tcW w:w="478" w:type="pct"/>
            <w:tcBorders>
              <w:top w:val="single" w:color="auto" w:sz="4" w:space="0"/>
              <w:left w:val="single" w:color="auto" w:sz="4" w:space="0"/>
              <w:bottom w:val="single" w:color="auto" w:sz="4" w:space="0"/>
              <w:right w:val="single" w:color="auto" w:sz="4" w:space="0"/>
            </w:tcBorders>
            <w:vAlign w:val="center"/>
          </w:tcPr>
          <w:p w14:paraId="23396090">
            <w:pPr>
              <w:adjustRightInd w:val="0"/>
              <w:snapToGrid w:val="0"/>
              <w:spacing w:line="400" w:lineRule="exact"/>
              <w:jc w:val="center"/>
              <w:rPr>
                <w:rFonts w:hint="eastAsia" w:asciiTheme="minorEastAsia" w:hAnsiTheme="minorEastAsia" w:eastAsiaTheme="minorEastAsia" w:cstheme="minorEastAsia"/>
                <w:bCs/>
                <w:color w:val="auto"/>
                <w:szCs w:val="21"/>
                <w:highlight w:val="none"/>
              </w:rPr>
            </w:pPr>
            <w:r>
              <w:rPr>
                <w:rFonts w:hint="eastAsia" w:asciiTheme="minorEastAsia" w:hAnsiTheme="minorEastAsia" w:eastAsiaTheme="minorEastAsia" w:cstheme="minorEastAsia"/>
                <w:color w:val="auto"/>
                <w:szCs w:val="21"/>
                <w:highlight w:val="none"/>
              </w:rPr>
              <w:t>项目实施方案（20分</w:t>
            </w:r>
            <w:r>
              <w:rPr>
                <w:rFonts w:asciiTheme="minorEastAsia" w:hAnsiTheme="minorEastAsia" w:eastAsiaTheme="minorEastAsia" w:cstheme="minorEastAsia"/>
                <w:color w:val="auto"/>
                <w:szCs w:val="21"/>
                <w:highlight w:val="none"/>
              </w:rPr>
              <w:t>）</w:t>
            </w:r>
          </w:p>
        </w:tc>
        <w:tc>
          <w:tcPr>
            <w:tcW w:w="3303" w:type="pct"/>
            <w:gridSpan w:val="2"/>
            <w:tcBorders>
              <w:top w:val="single" w:color="auto" w:sz="4" w:space="0"/>
              <w:left w:val="single" w:color="auto" w:sz="4" w:space="0"/>
              <w:bottom w:val="single" w:color="auto" w:sz="4" w:space="0"/>
              <w:right w:val="single" w:color="auto" w:sz="4" w:space="0"/>
            </w:tcBorders>
            <w:vAlign w:val="center"/>
          </w:tcPr>
          <w:p w14:paraId="4AD9C70D">
            <w:pPr>
              <w:pStyle w:val="184"/>
              <w:adjustRightInd w:val="0"/>
              <w:snapToGrid w:val="0"/>
              <w:spacing w:line="400" w:lineRule="exact"/>
              <w:ind w:firstLine="420" w:firstLineChars="200"/>
              <w:textAlignment w:val="baseline"/>
              <w:rPr>
                <w:rFonts w:hint="eastAsia" w:asciiTheme="minorEastAsia" w:hAnsiTheme="minorEastAsia" w:eastAsiaTheme="minorEastAsia" w:cstheme="minorEastAsia"/>
                <w:color w:val="auto"/>
                <w:szCs w:val="21"/>
                <w:highlight w:val="none"/>
                <w:shd w:val="clear" w:color="auto" w:fill="FFFFFF"/>
              </w:rPr>
            </w:pPr>
            <w:r>
              <w:rPr>
                <w:rFonts w:hint="eastAsia" w:asciiTheme="minorEastAsia" w:hAnsiTheme="minorEastAsia" w:eastAsiaTheme="minorEastAsia" w:cstheme="minorEastAsia"/>
                <w:color w:val="auto"/>
                <w:szCs w:val="21"/>
                <w:highlight w:val="none"/>
              </w:rPr>
              <w:t>提供完整的技术方案，可完全覆盖招标要求，对</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rPr>
              <w:t>人现状及业务有较深的理解，能够站在</w:t>
            </w:r>
            <w:r>
              <w:rPr>
                <w:rFonts w:hint="eastAsia" w:asciiTheme="minorEastAsia" w:hAnsiTheme="minorEastAsia" w:eastAsiaTheme="minorEastAsia" w:cstheme="minorEastAsia"/>
                <w:color w:val="auto"/>
                <w:szCs w:val="21"/>
                <w:highlight w:val="none"/>
                <w:lang w:val="en-US" w:eastAsia="zh-CN"/>
              </w:rPr>
              <w:t>采购</w:t>
            </w:r>
            <w:r>
              <w:rPr>
                <w:rFonts w:hint="eastAsia" w:asciiTheme="minorEastAsia" w:hAnsiTheme="minorEastAsia" w:eastAsiaTheme="minorEastAsia" w:cstheme="minorEastAsia"/>
                <w:color w:val="auto"/>
                <w:szCs w:val="21"/>
                <w:highlight w:val="none"/>
              </w:rPr>
              <w:t>人角度合理规划工作定位，为安全工作提供有价值的建议。</w:t>
            </w:r>
            <w:r>
              <w:rPr>
                <w:rFonts w:hint="eastAsia" w:asciiTheme="minorEastAsia" w:hAnsiTheme="minorEastAsia" w:eastAsiaTheme="minorEastAsia" w:cstheme="minorEastAsia"/>
                <w:color w:val="auto"/>
                <w:szCs w:val="21"/>
                <w:highlight w:val="none"/>
                <w:shd w:val="clear" w:color="auto" w:fill="FFFFFF"/>
              </w:rPr>
              <w:t>提出完善的项目管理方案，并对项目风险管理、沟通管理等有明确的质量控制方法。综合比较打分:方案较好:</w:t>
            </w:r>
            <w:r>
              <w:rPr>
                <w:rFonts w:hint="eastAsia" w:asciiTheme="minorEastAsia" w:hAnsiTheme="minorEastAsia" w:eastAsiaTheme="minorEastAsia" w:cstheme="minorEastAsia"/>
                <w:color w:val="auto"/>
                <w:szCs w:val="21"/>
                <w:highlight w:val="none"/>
                <w:shd w:val="clear" w:color="auto" w:fill="FFFFFF"/>
                <w:lang w:val="en-US" w:eastAsia="zh-CN"/>
              </w:rPr>
              <w:t>20</w:t>
            </w:r>
            <w:r>
              <w:rPr>
                <w:rFonts w:hint="eastAsia" w:asciiTheme="minorEastAsia" w:hAnsiTheme="minorEastAsia" w:eastAsiaTheme="minorEastAsia" w:cstheme="minorEastAsia"/>
                <w:color w:val="auto"/>
                <w:szCs w:val="21"/>
                <w:highlight w:val="none"/>
                <w:shd w:val="clear" w:color="auto" w:fill="FFFFFF"/>
              </w:rPr>
              <w:t>-</w:t>
            </w:r>
            <w:r>
              <w:rPr>
                <w:rFonts w:hint="eastAsia" w:asciiTheme="minorEastAsia" w:hAnsiTheme="minorEastAsia" w:eastAsiaTheme="minorEastAsia" w:cstheme="minorEastAsia"/>
                <w:color w:val="auto"/>
                <w:szCs w:val="21"/>
                <w:highlight w:val="none"/>
                <w:shd w:val="clear" w:color="auto" w:fill="FFFFFF"/>
                <w:lang w:val="en-US" w:eastAsia="zh-CN"/>
              </w:rPr>
              <w:t>16</w:t>
            </w:r>
            <w:r>
              <w:rPr>
                <w:rFonts w:hint="eastAsia" w:asciiTheme="minorEastAsia" w:hAnsiTheme="minorEastAsia" w:eastAsiaTheme="minorEastAsia" w:cstheme="minorEastAsia"/>
                <w:color w:val="auto"/>
                <w:szCs w:val="21"/>
                <w:highlight w:val="none"/>
                <w:shd w:val="clear" w:color="auto" w:fill="FFFFFF"/>
              </w:rPr>
              <w:t>分，一般:</w:t>
            </w:r>
            <w:r>
              <w:rPr>
                <w:rFonts w:hint="eastAsia" w:asciiTheme="minorEastAsia" w:hAnsiTheme="minorEastAsia" w:eastAsiaTheme="minorEastAsia" w:cstheme="minorEastAsia"/>
                <w:color w:val="auto"/>
                <w:szCs w:val="21"/>
                <w:highlight w:val="none"/>
                <w:shd w:val="clear" w:color="auto" w:fill="FFFFFF"/>
                <w:lang w:val="en-US" w:eastAsia="zh-CN"/>
              </w:rPr>
              <w:t>1</w:t>
            </w:r>
            <w:r>
              <w:rPr>
                <w:rFonts w:hint="eastAsia" w:asciiTheme="minorEastAsia" w:hAnsiTheme="minorEastAsia" w:eastAsiaTheme="minorEastAsia" w:cstheme="minorEastAsia"/>
                <w:color w:val="auto"/>
                <w:szCs w:val="21"/>
                <w:highlight w:val="none"/>
                <w:shd w:val="clear" w:color="auto" w:fill="FFFFFF"/>
              </w:rPr>
              <w:t>6-1</w:t>
            </w:r>
            <w:r>
              <w:rPr>
                <w:rFonts w:hint="eastAsia" w:asciiTheme="minorEastAsia" w:hAnsiTheme="minorEastAsia" w:eastAsiaTheme="minorEastAsia" w:cstheme="minorEastAsia"/>
                <w:color w:val="auto"/>
                <w:szCs w:val="21"/>
                <w:highlight w:val="none"/>
                <w:shd w:val="clear" w:color="auto" w:fill="FFFFFF"/>
                <w:lang w:val="en-US" w:eastAsia="zh-CN"/>
              </w:rPr>
              <w:t>2</w:t>
            </w:r>
            <w:r>
              <w:rPr>
                <w:rFonts w:hint="eastAsia" w:asciiTheme="minorEastAsia" w:hAnsiTheme="minorEastAsia" w:eastAsiaTheme="minorEastAsia" w:cstheme="minorEastAsia"/>
                <w:color w:val="auto"/>
                <w:szCs w:val="21"/>
                <w:highlight w:val="none"/>
                <w:shd w:val="clear" w:color="auto" w:fill="FFFFFF"/>
              </w:rPr>
              <w:t>分，较差1</w:t>
            </w:r>
            <w:r>
              <w:rPr>
                <w:rFonts w:hint="eastAsia" w:asciiTheme="minorEastAsia" w:hAnsiTheme="minorEastAsia" w:eastAsiaTheme="minorEastAsia" w:cstheme="minorEastAsia"/>
                <w:color w:val="auto"/>
                <w:szCs w:val="21"/>
                <w:highlight w:val="none"/>
                <w:shd w:val="clear" w:color="auto" w:fill="FFFFFF"/>
                <w:lang w:val="en-US" w:eastAsia="zh-CN"/>
              </w:rPr>
              <w:t>2</w:t>
            </w:r>
            <w:r>
              <w:rPr>
                <w:rFonts w:hint="eastAsia" w:asciiTheme="minorEastAsia" w:hAnsiTheme="minorEastAsia" w:eastAsiaTheme="minorEastAsia" w:cstheme="minorEastAsia"/>
                <w:color w:val="auto"/>
                <w:szCs w:val="21"/>
                <w:highlight w:val="none"/>
                <w:shd w:val="clear" w:color="auto" w:fill="FFFFFF"/>
              </w:rPr>
              <w:t>-</w:t>
            </w:r>
            <w:r>
              <w:rPr>
                <w:rFonts w:hint="eastAsia" w:asciiTheme="minorEastAsia" w:hAnsiTheme="minorEastAsia" w:eastAsiaTheme="minorEastAsia" w:cstheme="minorEastAsia"/>
                <w:color w:val="auto"/>
                <w:szCs w:val="21"/>
                <w:highlight w:val="none"/>
                <w:shd w:val="clear" w:color="auto" w:fill="FFFFFF"/>
                <w:lang w:val="en-US" w:eastAsia="zh-CN"/>
              </w:rPr>
              <w:t>0</w:t>
            </w:r>
            <w:r>
              <w:rPr>
                <w:rFonts w:hint="eastAsia" w:asciiTheme="minorEastAsia" w:hAnsiTheme="minorEastAsia" w:eastAsiaTheme="minorEastAsia" w:cstheme="minorEastAsia"/>
                <w:color w:val="auto"/>
                <w:szCs w:val="21"/>
                <w:highlight w:val="none"/>
                <w:shd w:val="clear" w:color="auto" w:fill="FFFFFF"/>
              </w:rPr>
              <w:t>分。</w:t>
            </w:r>
          </w:p>
          <w:p w14:paraId="15FE7ACD">
            <w:pPr>
              <w:pStyle w:val="184"/>
              <w:adjustRightInd w:val="0"/>
              <w:snapToGrid w:val="0"/>
              <w:spacing w:line="400" w:lineRule="exact"/>
              <w:ind w:firstLine="420" w:firstLineChars="200"/>
              <w:textAlignment w:val="baseline"/>
              <w:rPr>
                <w:rFonts w:hint="eastAsia" w:asciiTheme="minorEastAsia" w:hAnsiTheme="minorEastAsia" w:eastAsiaTheme="minorEastAsia" w:cstheme="minorEastAsia"/>
                <w:color w:val="auto"/>
                <w:szCs w:val="21"/>
                <w:highlight w:val="none"/>
                <w:shd w:val="clear" w:color="auto" w:fill="FFFFFF"/>
              </w:rPr>
            </w:pPr>
            <w:r>
              <w:rPr>
                <w:rFonts w:hint="eastAsia" w:asciiTheme="minorEastAsia" w:hAnsiTheme="minorEastAsia" w:eastAsiaTheme="minorEastAsia" w:cstheme="minorEastAsia"/>
                <w:color w:val="auto"/>
                <w:szCs w:val="21"/>
                <w:highlight w:val="none"/>
                <w:shd w:val="clear" w:color="auto" w:fill="FFFFFF"/>
              </w:rPr>
              <w:t>注：提供详细技术方案并加盖报价人单位公章</w:t>
            </w:r>
            <w:r>
              <w:rPr>
                <w:rFonts w:hint="eastAsia" w:asciiTheme="minorEastAsia" w:hAnsiTheme="minorEastAsia" w:eastAsiaTheme="minorEastAsia" w:cstheme="minorEastAsia"/>
                <w:color w:val="auto"/>
                <w:szCs w:val="21"/>
                <w:highlight w:val="none"/>
                <w:shd w:val="clear" w:color="auto" w:fill="FFFFFF"/>
                <w:lang w:eastAsia="zh-CN"/>
              </w:rPr>
              <w:t>，</w:t>
            </w:r>
            <w:r>
              <w:rPr>
                <w:rFonts w:hint="eastAsia" w:asciiTheme="minorEastAsia" w:hAnsiTheme="minorEastAsia" w:eastAsiaTheme="minorEastAsia" w:cstheme="minorEastAsia"/>
                <w:color w:val="auto"/>
                <w:szCs w:val="21"/>
                <w:highlight w:val="none"/>
                <w:shd w:val="clear" w:color="auto" w:fill="FFFFFF"/>
              </w:rPr>
              <w:t>由报价人自行编制，格式自拟。未提供的不得分。</w:t>
            </w:r>
          </w:p>
        </w:tc>
        <w:tc>
          <w:tcPr>
            <w:tcW w:w="282" w:type="pct"/>
            <w:tcBorders>
              <w:left w:val="single" w:color="auto" w:sz="4" w:space="0"/>
            </w:tcBorders>
            <w:vAlign w:val="center"/>
          </w:tcPr>
          <w:p w14:paraId="6C152FCB">
            <w:pPr>
              <w:spacing w:line="360" w:lineRule="exact"/>
              <w:jc w:val="center"/>
              <w:rPr>
                <w:rFonts w:asciiTheme="minorEastAsia" w:hAnsiTheme="minorEastAsia" w:eastAsiaTheme="minorEastAsia" w:cstheme="minorEastAsia"/>
                <w:b/>
                <w:color w:val="auto"/>
                <w:sz w:val="18"/>
                <w:szCs w:val="18"/>
                <w:highlight w:val="none"/>
                <w:lang w:bidi="ar"/>
              </w:rPr>
            </w:pPr>
          </w:p>
        </w:tc>
      </w:tr>
      <w:tr w14:paraId="370BF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tcBorders>
              <w:top w:val="single" w:color="auto" w:sz="4" w:space="0"/>
              <w:bottom w:val="single" w:color="auto" w:sz="4" w:space="0"/>
              <w:right w:val="single" w:color="auto" w:sz="4" w:space="0"/>
            </w:tcBorders>
            <w:vAlign w:val="center"/>
          </w:tcPr>
          <w:p w14:paraId="3A8CBD36">
            <w:pPr>
              <w:spacing w:line="36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10</w:t>
            </w:r>
          </w:p>
        </w:tc>
        <w:tc>
          <w:tcPr>
            <w:tcW w:w="456" w:type="pct"/>
            <w:tcBorders>
              <w:top w:val="single" w:color="auto" w:sz="4" w:space="0"/>
              <w:left w:val="single" w:color="auto" w:sz="4" w:space="0"/>
              <w:bottom w:val="single" w:color="auto" w:sz="4" w:space="0"/>
              <w:right w:val="single" w:color="auto" w:sz="4" w:space="0"/>
            </w:tcBorders>
            <w:vAlign w:val="center"/>
          </w:tcPr>
          <w:p w14:paraId="58B10922">
            <w:pPr>
              <w:pStyle w:val="38"/>
              <w:widowControl w:val="0"/>
              <w:adjustRightInd w:val="0"/>
              <w:spacing w:before="0" w:beforeAutospacing="0" w:after="0" w:afterAutospacing="0" w:line="360" w:lineRule="exact"/>
              <w:jc w:val="center"/>
              <w:textAlignment w:val="baseline"/>
              <w:rPr>
                <w:rFonts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bCs/>
                <w:color w:val="auto"/>
                <w:kern w:val="2"/>
                <w:sz w:val="21"/>
                <w:szCs w:val="21"/>
                <w:highlight w:val="none"/>
                <w:lang w:bidi="ar"/>
              </w:rPr>
              <w:t>A.评标价（</w:t>
            </w:r>
            <w:r>
              <w:rPr>
                <w:rFonts w:hint="eastAsia" w:asciiTheme="minorEastAsia" w:hAnsiTheme="minorEastAsia" w:eastAsiaTheme="minorEastAsia" w:cstheme="minorEastAsia"/>
                <w:bCs/>
                <w:color w:val="auto"/>
                <w:kern w:val="2"/>
                <w:sz w:val="21"/>
                <w:szCs w:val="21"/>
                <w:highlight w:val="none"/>
                <w:lang w:val="en-US" w:eastAsia="zh-CN" w:bidi="ar"/>
              </w:rPr>
              <w:t>6</w:t>
            </w:r>
            <w:r>
              <w:rPr>
                <w:rFonts w:asciiTheme="minorEastAsia" w:hAnsiTheme="minorEastAsia" w:eastAsiaTheme="minorEastAsia" w:cstheme="minorEastAsia"/>
                <w:bCs/>
                <w:color w:val="auto"/>
                <w:kern w:val="2"/>
                <w:sz w:val="21"/>
                <w:szCs w:val="21"/>
                <w:highlight w:val="none"/>
                <w:lang w:bidi="ar"/>
              </w:rPr>
              <w:t>0</w:t>
            </w:r>
            <w:r>
              <w:rPr>
                <w:rFonts w:hint="eastAsia" w:asciiTheme="minorEastAsia" w:hAnsiTheme="minorEastAsia" w:eastAsiaTheme="minorEastAsia" w:cstheme="minorEastAsia"/>
                <w:bCs/>
                <w:color w:val="auto"/>
                <w:kern w:val="2"/>
                <w:sz w:val="21"/>
                <w:szCs w:val="21"/>
                <w:highlight w:val="none"/>
                <w:lang w:bidi="ar"/>
              </w:rPr>
              <w:t>分）</w:t>
            </w:r>
          </w:p>
        </w:tc>
        <w:tc>
          <w:tcPr>
            <w:tcW w:w="478" w:type="pct"/>
            <w:tcBorders>
              <w:top w:val="single" w:color="auto" w:sz="4" w:space="0"/>
              <w:left w:val="single" w:color="auto" w:sz="4" w:space="0"/>
              <w:bottom w:val="single" w:color="auto" w:sz="4" w:space="0"/>
              <w:right w:val="single" w:color="auto" w:sz="4" w:space="0"/>
            </w:tcBorders>
            <w:vAlign w:val="center"/>
          </w:tcPr>
          <w:p w14:paraId="2CFE6526">
            <w:pPr>
              <w:pStyle w:val="38"/>
              <w:widowControl w:val="0"/>
              <w:adjustRightInd w:val="0"/>
              <w:spacing w:before="0" w:beforeAutospacing="0" w:after="0" w:afterAutospacing="0" w:line="36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3303" w:type="pct"/>
            <w:gridSpan w:val="2"/>
            <w:tcBorders>
              <w:top w:val="single" w:color="auto" w:sz="4" w:space="0"/>
              <w:left w:val="single" w:color="auto" w:sz="4" w:space="0"/>
              <w:bottom w:val="single" w:color="auto" w:sz="4" w:space="0"/>
              <w:right w:val="single" w:color="auto" w:sz="4" w:space="0"/>
            </w:tcBorders>
            <w:vAlign w:val="center"/>
          </w:tcPr>
          <w:p w14:paraId="01F894A1">
            <w:pPr>
              <w:pStyle w:val="42"/>
              <w:snapToGrid w:val="0"/>
              <w:spacing w:after="0" w:line="400" w:lineRule="exact"/>
              <w:ind w:firstLineChars="200"/>
              <w:rPr>
                <w:rFonts w:hAnsi="宋体" w:eastAsia="宋体" w:cs="宋体"/>
                <w:color w:val="auto"/>
                <w:sz w:val="21"/>
                <w:szCs w:val="24"/>
                <w:highlight w:val="none"/>
              </w:rPr>
            </w:pPr>
            <w:r>
              <w:rPr>
                <w:rFonts w:hint="eastAsia" w:hAnsi="宋体" w:eastAsia="宋体" w:cs="宋体"/>
                <w:color w:val="auto"/>
                <w:sz w:val="21"/>
                <w:szCs w:val="24"/>
                <w:highlight w:val="none"/>
              </w:rPr>
              <w:t>所有有效投标报价分别与评标基准价相比较，等于基准价得</w:t>
            </w:r>
            <w:r>
              <w:rPr>
                <w:rFonts w:hint="eastAsia" w:hAnsi="宋体" w:eastAsia="宋体" w:cs="宋体"/>
                <w:color w:val="auto"/>
                <w:sz w:val="21"/>
                <w:szCs w:val="24"/>
                <w:highlight w:val="none"/>
                <w:lang w:val="en-US" w:eastAsia="zh-CN"/>
              </w:rPr>
              <w:t>6</w:t>
            </w:r>
            <w:r>
              <w:rPr>
                <w:rFonts w:hint="eastAsia" w:hAnsi="宋体" w:eastAsia="宋体" w:cs="宋体"/>
                <w:color w:val="auto"/>
                <w:sz w:val="21"/>
                <w:szCs w:val="24"/>
                <w:highlight w:val="none"/>
              </w:rPr>
              <w:t>0分，每增加1%扣0.5分；每减少1%扣0.2</w:t>
            </w:r>
            <w:r>
              <w:rPr>
                <w:rFonts w:hint="eastAsia" w:hAnsi="宋体" w:eastAsia="宋体" w:cs="宋体"/>
                <w:color w:val="auto"/>
                <w:sz w:val="21"/>
                <w:szCs w:val="24"/>
                <w:highlight w:val="none"/>
                <w:lang w:val="en-US" w:eastAsia="zh-CN"/>
              </w:rPr>
              <w:t>5</w:t>
            </w:r>
            <w:r>
              <w:rPr>
                <w:rFonts w:hint="eastAsia" w:hAnsi="宋体" w:eastAsia="宋体" w:cs="宋体"/>
                <w:color w:val="auto"/>
                <w:sz w:val="21"/>
                <w:szCs w:val="24"/>
                <w:highlight w:val="none"/>
              </w:rPr>
              <w:t>分，</w:t>
            </w:r>
            <w:r>
              <w:rPr>
                <w:rFonts w:hint="eastAsia" w:asciiTheme="minorEastAsia" w:hAnsiTheme="minorEastAsia" w:eastAsiaTheme="minorEastAsia" w:cstheme="minorEastAsia"/>
                <w:color w:val="auto"/>
                <w:kern w:val="2"/>
                <w:sz w:val="21"/>
                <w:szCs w:val="21"/>
                <w:highlight w:val="none"/>
                <w:lang w:bidi="ar"/>
              </w:rPr>
              <w:t>最多扣10分</w:t>
            </w:r>
            <w:r>
              <w:rPr>
                <w:rFonts w:hint="eastAsia" w:hAnsi="宋体" w:eastAsia="宋体" w:cs="宋体"/>
                <w:color w:val="auto"/>
                <w:sz w:val="21"/>
                <w:szCs w:val="24"/>
                <w:highlight w:val="none"/>
              </w:rPr>
              <w:t>。按插入法计算得分。</w:t>
            </w:r>
          </w:p>
          <w:p w14:paraId="591C6FC3">
            <w:pPr>
              <w:pStyle w:val="38"/>
              <w:widowControl w:val="0"/>
              <w:adjustRightInd w:val="0"/>
              <w:spacing w:before="0" w:beforeAutospacing="0" w:after="0" w:afterAutospacing="0" w:line="360" w:lineRule="exact"/>
              <w:ind w:firstLine="420" w:firstLineChars="200"/>
              <w:jc w:val="both"/>
              <w:textAlignment w:val="baseline"/>
              <w:rPr>
                <w:rFonts w:asciiTheme="minorEastAsia" w:hAnsiTheme="minorEastAsia" w:eastAsiaTheme="minorEastAsia" w:cstheme="minorEastAsia"/>
                <w:color w:val="auto"/>
                <w:kern w:val="2"/>
                <w:sz w:val="21"/>
                <w:szCs w:val="21"/>
                <w:highlight w:val="none"/>
              </w:rPr>
            </w:pPr>
            <w:r>
              <w:rPr>
                <w:rFonts w:hint="eastAsia"/>
                <w:color w:val="auto"/>
                <w:sz w:val="21"/>
                <w:highlight w:val="none"/>
              </w:rPr>
              <w:t>以上计算取小数点后两位，第三位四舍五入。</w:t>
            </w:r>
          </w:p>
        </w:tc>
        <w:tc>
          <w:tcPr>
            <w:tcW w:w="282" w:type="pct"/>
            <w:tcBorders>
              <w:top w:val="single" w:color="auto" w:sz="4" w:space="0"/>
              <w:left w:val="single" w:color="auto" w:sz="4" w:space="0"/>
              <w:bottom w:val="single" w:color="auto" w:sz="4" w:space="0"/>
            </w:tcBorders>
            <w:vAlign w:val="center"/>
          </w:tcPr>
          <w:p w14:paraId="3A3B3D25">
            <w:pPr>
              <w:spacing w:line="360" w:lineRule="exact"/>
              <w:jc w:val="center"/>
              <w:rPr>
                <w:rFonts w:asciiTheme="minorEastAsia" w:hAnsiTheme="minorEastAsia" w:eastAsiaTheme="minorEastAsia" w:cstheme="minorEastAsia"/>
                <w:b/>
                <w:color w:val="auto"/>
                <w:szCs w:val="21"/>
                <w:highlight w:val="none"/>
                <w:lang w:bidi="ar"/>
              </w:rPr>
            </w:pPr>
          </w:p>
        </w:tc>
      </w:tr>
      <w:tr w14:paraId="189DA0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tcBorders>
              <w:top w:val="single" w:color="auto" w:sz="4" w:space="0"/>
              <w:bottom w:val="single" w:color="auto" w:sz="4" w:space="0"/>
              <w:right w:val="single" w:color="auto" w:sz="4" w:space="0"/>
            </w:tcBorders>
            <w:vAlign w:val="center"/>
          </w:tcPr>
          <w:p w14:paraId="6A53FDC3">
            <w:pPr>
              <w:adjustRightInd w:val="0"/>
              <w:snapToGrid w:val="0"/>
              <w:spacing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highlight w:val="none"/>
              </w:rPr>
              <w:t>11</w:t>
            </w:r>
          </w:p>
        </w:tc>
        <w:tc>
          <w:tcPr>
            <w:tcW w:w="934" w:type="pct"/>
            <w:gridSpan w:val="2"/>
            <w:tcBorders>
              <w:top w:val="single" w:color="auto" w:sz="4" w:space="0"/>
              <w:left w:val="single" w:color="auto" w:sz="4" w:space="0"/>
              <w:bottom w:val="single" w:color="auto" w:sz="4" w:space="0"/>
              <w:right w:val="single" w:color="auto" w:sz="4" w:space="0"/>
            </w:tcBorders>
            <w:vAlign w:val="center"/>
          </w:tcPr>
          <w:p w14:paraId="34A06D8F">
            <w:pPr>
              <w:adjustRightInd w:val="0"/>
              <w:snapToGrid w:val="0"/>
              <w:spacing w:line="400" w:lineRule="exact"/>
              <w:jc w:val="center"/>
              <w:rPr>
                <w:rFonts w:asciiTheme="minorEastAsia" w:hAnsiTheme="minorEastAsia" w:eastAsiaTheme="minorEastAsia" w:cstheme="minorEastAsia"/>
                <w:color w:val="auto"/>
                <w:szCs w:val="21"/>
                <w:highlight w:val="none"/>
                <w:lang w:bidi="ar"/>
              </w:rPr>
            </w:pPr>
            <w:r>
              <w:rPr>
                <w:rFonts w:hint="eastAsia" w:ascii="宋体" w:hAnsi="宋体" w:cs="宋体"/>
                <w:color w:val="auto"/>
                <w:highlight w:val="none"/>
              </w:rPr>
              <w:t>报价人得分</w:t>
            </w:r>
          </w:p>
        </w:tc>
        <w:tc>
          <w:tcPr>
            <w:tcW w:w="3303" w:type="pct"/>
            <w:gridSpan w:val="2"/>
            <w:tcBorders>
              <w:top w:val="single" w:color="auto" w:sz="4" w:space="0"/>
              <w:left w:val="single" w:color="auto" w:sz="4" w:space="0"/>
              <w:bottom w:val="single" w:color="auto" w:sz="4" w:space="0"/>
              <w:right w:val="single" w:color="auto" w:sz="4" w:space="0"/>
            </w:tcBorders>
            <w:vAlign w:val="center"/>
          </w:tcPr>
          <w:p w14:paraId="28197AEF">
            <w:pPr>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highlight w:val="none"/>
              </w:rPr>
              <w:t>报价人得分=</w:t>
            </w:r>
            <w:r>
              <w:rPr>
                <w:rFonts w:hint="eastAsia" w:ascii="宋体" w:hAnsi="宋体" w:cs="宋体"/>
                <w:color w:val="auto"/>
                <w:kern w:val="0"/>
                <w:szCs w:val="21"/>
                <w:highlight w:val="none"/>
              </w:rPr>
              <w:t>A+B+C</w:t>
            </w:r>
          </w:p>
        </w:tc>
        <w:tc>
          <w:tcPr>
            <w:tcW w:w="282" w:type="pct"/>
            <w:tcBorders>
              <w:top w:val="single" w:color="auto" w:sz="4" w:space="0"/>
              <w:left w:val="single" w:color="auto" w:sz="4" w:space="0"/>
              <w:bottom w:val="single" w:color="auto" w:sz="4" w:space="0"/>
            </w:tcBorders>
            <w:vAlign w:val="center"/>
          </w:tcPr>
          <w:p w14:paraId="790E3F5D">
            <w:pPr>
              <w:spacing w:line="360" w:lineRule="exact"/>
              <w:jc w:val="center"/>
              <w:rPr>
                <w:rFonts w:asciiTheme="minorEastAsia" w:hAnsiTheme="minorEastAsia" w:eastAsiaTheme="minorEastAsia" w:cstheme="minorEastAsia"/>
                <w:b/>
                <w:color w:val="auto"/>
                <w:szCs w:val="21"/>
                <w:highlight w:val="none"/>
                <w:lang w:bidi="ar"/>
              </w:rPr>
            </w:pPr>
          </w:p>
        </w:tc>
      </w:tr>
      <w:tr w14:paraId="5BBA68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480" w:type="pct"/>
            <w:tcBorders>
              <w:top w:val="single" w:color="auto" w:sz="4" w:space="0"/>
              <w:bottom w:val="single" w:color="auto" w:sz="4" w:space="0"/>
              <w:right w:val="single" w:color="auto" w:sz="4" w:space="0"/>
            </w:tcBorders>
            <w:vAlign w:val="center"/>
          </w:tcPr>
          <w:p w14:paraId="6EFE0D57">
            <w:pPr>
              <w:pStyle w:val="38"/>
              <w:widowControl w:val="0"/>
              <w:adjustRightInd w:val="0"/>
              <w:spacing w:before="0" w:beforeAutospacing="0" w:after="0" w:afterAutospacing="0" w:line="360" w:lineRule="exact"/>
              <w:jc w:val="center"/>
              <w:textAlignment w:val="baseline"/>
              <w:rPr>
                <w:rFonts w:asciiTheme="minorEastAsia" w:hAnsiTheme="minorEastAsia" w:eastAsiaTheme="minorEastAsia" w:cstheme="minorEastAsia"/>
                <w:b/>
                <w:color w:val="auto"/>
                <w:kern w:val="2"/>
                <w:sz w:val="21"/>
                <w:szCs w:val="21"/>
                <w:highlight w:val="none"/>
                <w:lang w:bidi="ar"/>
              </w:rPr>
            </w:pPr>
            <w:bookmarkStart w:id="765" w:name="OLE_LINK39" w:colFirst="0" w:colLast="1"/>
            <w:r>
              <w:rPr>
                <w:rFonts w:hint="eastAsia" w:asciiTheme="minorEastAsia" w:hAnsiTheme="minorEastAsia" w:eastAsiaTheme="minorEastAsia" w:cstheme="minorEastAsia"/>
                <w:color w:val="auto"/>
                <w:kern w:val="2"/>
                <w:sz w:val="21"/>
                <w:szCs w:val="21"/>
                <w:highlight w:val="none"/>
                <w:lang w:bidi="ar"/>
              </w:rPr>
              <w:t>12</w:t>
            </w:r>
          </w:p>
        </w:tc>
        <w:tc>
          <w:tcPr>
            <w:tcW w:w="4519" w:type="pct"/>
            <w:gridSpan w:val="5"/>
            <w:tcBorders>
              <w:top w:val="single" w:color="auto" w:sz="4" w:space="0"/>
              <w:left w:val="single" w:color="auto" w:sz="4" w:space="0"/>
              <w:bottom w:val="single" w:color="auto" w:sz="4" w:space="0"/>
            </w:tcBorders>
            <w:vAlign w:val="bottom"/>
          </w:tcPr>
          <w:p w14:paraId="2B1C2282">
            <w:pPr>
              <w:adjustRightInd w:val="0"/>
              <w:snapToGrid w:val="0"/>
              <w:spacing w:line="400" w:lineRule="exact"/>
              <w:rPr>
                <w:rFonts w:asciiTheme="minorEastAsia" w:hAnsiTheme="minorEastAsia" w:eastAsiaTheme="minorEastAsia" w:cstheme="minorEastAsia"/>
                <w:color w:val="auto"/>
                <w:szCs w:val="21"/>
                <w:highlight w:val="none"/>
                <w:lang w:bidi="ar"/>
              </w:rPr>
            </w:pPr>
            <w:r>
              <w:rPr>
                <w:rFonts w:hint="eastAsia" w:ascii="宋体" w:hAnsi="宋体" w:cs="宋体"/>
                <w:color w:val="auto"/>
                <w:highlight w:val="none"/>
              </w:rPr>
              <w:t>除第二章“报价人须知”前附表授权直接确定中标人外，评标委员会按照得分由高到低的顺序推荐2名中标候选人，并标明排序。</w:t>
            </w:r>
          </w:p>
        </w:tc>
      </w:tr>
      <w:bookmarkEnd w:id="765"/>
    </w:tbl>
    <w:p w14:paraId="7B4071B0">
      <w:pPr>
        <w:spacing w:line="360" w:lineRule="exact"/>
        <w:ind w:firstLine="420" w:firstLineChars="200"/>
        <w:jc w:val="left"/>
        <w:outlineLvl w:val="1"/>
        <w:rPr>
          <w:rFonts w:ascii="宋体" w:hAnsi="宋体" w:cs="宋体"/>
          <w:color w:val="auto"/>
          <w:szCs w:val="21"/>
          <w:highlight w:val="none"/>
        </w:rPr>
      </w:pPr>
      <w:bookmarkStart w:id="766" w:name="_Toc9238"/>
      <w:bookmarkStart w:id="767" w:name="_Toc26227"/>
      <w:r>
        <w:rPr>
          <w:rFonts w:hint="eastAsia" w:ascii="宋体" w:hAnsi="宋体" w:cs="宋体"/>
          <w:color w:val="auto"/>
          <w:szCs w:val="21"/>
          <w:highlight w:val="none"/>
        </w:rPr>
        <w:t>1.  评标方法</w:t>
      </w:r>
      <w:bookmarkEnd w:id="766"/>
      <w:bookmarkEnd w:id="767"/>
    </w:p>
    <w:p w14:paraId="2A4AC664">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比选文件实质性要求的响应文件，按照本章规定的评分标准进行评分，并按得分由高到低顺序推荐中标候选人，或根据采购人授权直接确定中标人。综合评分相等时，以评标办法前附表约定的原则确定中标候选人顺序。</w:t>
      </w:r>
    </w:p>
    <w:p w14:paraId="2AF5DE76">
      <w:pPr>
        <w:spacing w:line="360" w:lineRule="exact"/>
        <w:ind w:firstLine="420" w:firstLineChars="200"/>
        <w:jc w:val="left"/>
        <w:outlineLvl w:val="1"/>
        <w:rPr>
          <w:rFonts w:ascii="宋体" w:hAnsi="宋体" w:cs="宋体"/>
          <w:color w:val="auto"/>
          <w:szCs w:val="21"/>
          <w:highlight w:val="none"/>
        </w:rPr>
      </w:pPr>
      <w:bookmarkStart w:id="768" w:name="_Toc8753"/>
      <w:bookmarkStart w:id="769" w:name="_Toc6954"/>
      <w:r>
        <w:rPr>
          <w:rFonts w:hint="eastAsia" w:ascii="宋体" w:hAnsi="宋体" w:cs="宋体"/>
          <w:color w:val="auto"/>
          <w:szCs w:val="21"/>
          <w:highlight w:val="none"/>
        </w:rPr>
        <w:t>2.  评审标准</w:t>
      </w:r>
      <w:bookmarkEnd w:id="768"/>
      <w:bookmarkEnd w:id="769"/>
    </w:p>
    <w:p w14:paraId="5F68C252">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6F1C7E01">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2.1.1A  资格评审标准：见评标办法前附表（适用于未进行资格预审的）。</w:t>
      </w:r>
    </w:p>
    <w:p w14:paraId="5E73ABB6">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2.1.1B  资格评审标准：见资格预审文件第三章“资格审查办法”详细审查标准（适用于已进行资格预审的）。</w:t>
      </w:r>
    </w:p>
    <w:p w14:paraId="52B41FF8">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2.1.2  形式评审标准：见评标办法前附表。</w:t>
      </w:r>
    </w:p>
    <w:p w14:paraId="3B8F639F">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7AD302AF">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65151D98">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7437173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1C3637DD">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6440CE09">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96E7B4">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62F5B0D1">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287BDB45">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10070C0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4CC196C3">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0E319A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3EAC3340">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26D1AD7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（3）投标函部分评审标准：见评标办法前附表；</w:t>
      </w:r>
    </w:p>
    <w:p w14:paraId="2960324E">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（4）投标报价评分标准：见评标办法前附表。</w:t>
      </w:r>
    </w:p>
    <w:p w14:paraId="64F0D89B">
      <w:pPr>
        <w:spacing w:line="360" w:lineRule="exact"/>
        <w:ind w:firstLine="420" w:firstLineChars="200"/>
        <w:jc w:val="left"/>
        <w:outlineLvl w:val="1"/>
        <w:rPr>
          <w:rFonts w:ascii="宋体" w:hAnsi="宋体" w:cs="宋体"/>
          <w:color w:val="auto"/>
          <w:szCs w:val="21"/>
          <w:highlight w:val="none"/>
        </w:rPr>
      </w:pPr>
      <w:bookmarkStart w:id="770" w:name="_Toc8345"/>
      <w:bookmarkStart w:id="771" w:name="_Toc4980"/>
      <w:r>
        <w:rPr>
          <w:rFonts w:hint="eastAsia" w:ascii="宋体" w:hAnsi="宋体" w:cs="宋体"/>
          <w:color w:val="auto"/>
          <w:szCs w:val="21"/>
          <w:highlight w:val="none"/>
        </w:rPr>
        <w:t>3.  评标程序</w:t>
      </w:r>
      <w:bookmarkEnd w:id="770"/>
      <w:bookmarkEnd w:id="771"/>
    </w:p>
    <w:p w14:paraId="69F19500">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38512E3A">
      <w:pPr>
        <w:spacing w:line="360" w:lineRule="exact"/>
        <w:ind w:firstLine="420" w:firstLineChars="200"/>
        <w:jc w:val="left"/>
        <w:rPr>
          <w:rFonts w:ascii="宋体" w:hAnsi="宋体" w:cs="宋体"/>
          <w:color w:val="auto"/>
          <w:szCs w:val="21"/>
          <w:highlight w:val="none"/>
        </w:rPr>
      </w:pPr>
      <w:bookmarkStart w:id="772" w:name="OLE_LINK40"/>
      <w:r>
        <w:rPr>
          <w:rFonts w:hint="eastAsia" w:ascii="宋体" w:hAnsi="宋体" w:cs="宋体"/>
          <w:color w:val="auto"/>
          <w:szCs w:val="21"/>
          <w:highlight w:val="none"/>
        </w:rPr>
        <w:t>3.1.1  评标委员会依据本章第 2.1 款规定的标准对响应文件进行初步评审。有一项不符合评审标准的，作否决投标处理。（适用于未进行资格预审的）</w:t>
      </w:r>
    </w:p>
    <w:p w14:paraId="73B7D69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投标文件进行初步评审。有一项不符合评审标准的，作否决投标处理。当报价人资格预审申请文件的内容发生重大变化时，评标委员会依据本章第2.1.1项规定的标准对其更新资料进行评审。（适用于已进行资格预审的）</w:t>
      </w:r>
    </w:p>
    <w:bookmarkEnd w:id="772"/>
    <w:p w14:paraId="03A98C9D">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3.1.2  报价人有以下情形之一的，其投标作否决投标处理：</w:t>
      </w:r>
    </w:p>
    <w:p w14:paraId="3F34605F">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（1）投标文件没有对招标文件的实质性要求和条件作出响应，或者对招标文件的偏差超出招标文件规定的偏差范围或最高项数；</w:t>
      </w:r>
    </w:p>
    <w:p w14:paraId="6A2C10DE">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67E4634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3D5584D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投标报价有算术错误及其他错误的，评标委员会按以下原则要求报价人对投标报价进行修正，并要求报价人书面澄清确认。报价人拒不澄清确认的，评标委员会应当否决其投标：</w:t>
      </w:r>
    </w:p>
    <w:p w14:paraId="0B7FE0AC">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（1）投标文件中的大写金额与小写金额不一致的，以大写金额为准；</w:t>
      </w:r>
    </w:p>
    <w:p w14:paraId="7A71224F">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F54392C">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560D854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7E7ECEE1">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48DDD08">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5E4DAB78">
      <w:pPr>
        <w:spacing w:line="360" w:lineRule="exact"/>
        <w:ind w:firstLine="420" w:firstLineChars="200"/>
        <w:jc w:val="left"/>
        <w:rPr>
          <w:rFonts w:ascii="宋体" w:hAnsi="宋体" w:cs="宋体"/>
          <w:color w:val="auto"/>
          <w:szCs w:val="21"/>
          <w:highlight w:val="none"/>
        </w:rPr>
      </w:pPr>
      <w:bookmarkStart w:id="773" w:name="OLE_LINK41"/>
      <w:r>
        <w:rPr>
          <w:rFonts w:hint="eastAsia" w:ascii="宋体" w:hAnsi="宋体" w:cs="宋体"/>
          <w:color w:val="auto"/>
          <w:szCs w:val="21"/>
          <w:highlight w:val="none"/>
        </w:rPr>
        <w:t>（1）按本章第 2.2.4（1）目规定的评审因素和分值对技术部分计算出得分</w:t>
      </w:r>
      <w:bookmarkStart w:id="774" w:name="OLE_LINK56"/>
      <w:r>
        <w:rPr>
          <w:rFonts w:hint="eastAsia" w:ascii="宋体" w:hAnsi="宋体" w:cs="宋体"/>
          <w:color w:val="auto"/>
          <w:szCs w:val="21"/>
          <w:highlight w:val="none"/>
        </w:rPr>
        <w:t xml:space="preserve"> </w:t>
      </w:r>
      <w:bookmarkEnd w:id="774"/>
      <w:r>
        <w:rPr>
          <w:rFonts w:hint="eastAsia" w:ascii="宋体" w:hAnsi="宋体" w:cs="宋体"/>
          <w:color w:val="auto"/>
          <w:szCs w:val="21"/>
          <w:highlight w:val="none"/>
        </w:rPr>
        <w:t>C；</w:t>
      </w:r>
    </w:p>
    <w:p w14:paraId="2855E67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1612480F">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（3）按本章第 2.2.4（4）目规定的评审因素和分值对投标报价计算出得分 A；</w:t>
      </w:r>
    </w:p>
    <w:bookmarkEnd w:id="773"/>
    <w:p w14:paraId="4FC1F9D9">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45569191">
      <w:pPr>
        <w:spacing w:line="360" w:lineRule="exact"/>
        <w:ind w:firstLine="420" w:firstLineChars="200"/>
        <w:jc w:val="left"/>
        <w:outlineLvl w:val="3"/>
        <w:rPr>
          <w:rFonts w:ascii="宋体" w:hAnsi="宋体" w:cs="宋体"/>
          <w:color w:val="auto"/>
          <w:szCs w:val="21"/>
          <w:highlight w:val="none"/>
        </w:rPr>
      </w:pPr>
      <w:r>
        <w:rPr>
          <w:rFonts w:hint="eastAsia" w:ascii="宋体" w:hAnsi="宋体" w:cs="宋体"/>
          <w:color w:val="auto"/>
          <w:szCs w:val="21"/>
          <w:highlight w:val="none"/>
        </w:rPr>
        <w:t>3.2.3  报价人得分=A+B+C。</w:t>
      </w:r>
    </w:p>
    <w:p w14:paraId="4D789639">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3.3  投标文件的澄清</w:t>
      </w:r>
    </w:p>
    <w:p w14:paraId="6CD2EB0A">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报价人对所提交投标文件中含义不明确、对同类问题表述不一致或者有明显文字和计算错误的内容作必要的澄清、说明或补正。澄清、说明或补正应以书面方式进行。评标委员会不接受报价人主动提出的澄清、说明或补正。</w:t>
      </w:r>
    </w:p>
    <w:p w14:paraId="340797ED">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3.3.2  澄清、说明或补正不得超出投标文件的范围且不得改变投标文件的实质性内容，并构成投标文件的组成部分。</w:t>
      </w:r>
    </w:p>
    <w:p w14:paraId="213688C2">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3.3.3  评标委员会对报价人提交的澄清、说明或补正有疑问的，可以要求报价人进一步澄清、说明或补正，直至满足评标委员会的要求。</w:t>
      </w:r>
    </w:p>
    <w:p w14:paraId="60A2CBD1">
      <w:pPr>
        <w:spacing w:line="360" w:lineRule="exact"/>
        <w:ind w:firstLine="420" w:firstLineChars="200"/>
        <w:jc w:val="left"/>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3ECA7F33">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3.4.1  除第二章“报价人须知”前附表授权直接确定中标人外，评标委员会按照得分由高到低的顺序推荐中标候选人，并标明排序。</w:t>
      </w:r>
    </w:p>
    <w:p w14:paraId="5935647B">
      <w:pPr>
        <w:spacing w:line="360" w:lineRule="exact"/>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3.4.2  评标委员会完成评标后，应当向采购人提交书面评标报告和中标候选人名单。</w:t>
      </w:r>
    </w:p>
    <w:p w14:paraId="1D5B214C">
      <w:pPr>
        <w:rPr>
          <w:color w:val="auto"/>
          <w:highlight w:val="none"/>
        </w:rPr>
      </w:pPr>
    </w:p>
    <w:p w14:paraId="53CAA5A0">
      <w:pPr>
        <w:rPr>
          <w:rFonts w:ascii="宋体" w:hAnsi="宋体" w:cs="宋体"/>
          <w:color w:val="auto"/>
          <w:szCs w:val="21"/>
          <w:highlight w:val="none"/>
        </w:rPr>
      </w:pPr>
      <w:r>
        <w:rPr>
          <w:rFonts w:hint="eastAsia" w:ascii="宋体" w:hAnsi="宋体" w:cs="宋体"/>
          <w:color w:val="auto"/>
          <w:szCs w:val="21"/>
          <w:highlight w:val="none"/>
        </w:rPr>
        <w:br w:type="page"/>
      </w:r>
    </w:p>
    <w:p w14:paraId="1D506C30">
      <w:pPr>
        <w:pStyle w:val="3"/>
        <w:spacing w:before="156" w:beforeLines="50" w:after="156" w:afterLines="50" w:line="360" w:lineRule="auto"/>
        <w:jc w:val="center"/>
        <w:rPr>
          <w:rFonts w:ascii="宋体" w:hAnsi="宋体" w:cs="宋体"/>
          <w:color w:val="auto"/>
          <w:highlight w:val="none"/>
        </w:rPr>
      </w:pPr>
      <w:bookmarkStart w:id="775" w:name="_Toc28162"/>
      <w:bookmarkStart w:id="776" w:name="_Toc19386"/>
      <w:r>
        <w:rPr>
          <w:rFonts w:hint="eastAsia" w:ascii="宋体" w:hAnsi="宋体" w:cs="宋体"/>
          <w:color w:val="auto"/>
          <w:highlight w:val="none"/>
        </w:rPr>
        <w:t>第四章 报价说明</w:t>
      </w:r>
      <w:bookmarkEnd w:id="775"/>
      <w:bookmarkEnd w:id="776"/>
    </w:p>
    <w:p w14:paraId="224B0076">
      <w:pPr>
        <w:pStyle w:val="29"/>
        <w:keepNext w:val="0"/>
        <w:keepLines w:val="0"/>
        <w:pageBreakBefore w:val="0"/>
        <w:widowControl w:val="0"/>
        <w:kinsoku/>
        <w:wordWrap/>
        <w:overflowPunct/>
        <w:topLinePunct w:val="0"/>
        <w:autoSpaceDE/>
        <w:autoSpaceDN/>
        <w:bidi w:val="0"/>
        <w:adjustRightInd/>
        <w:snapToGrid/>
        <w:spacing w:line="380" w:lineRule="exact"/>
        <w:ind w:left="0" w:lef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1、采购清单应与本工程竞争性比选文件、技术标准和要求等文件结合起来查阅与理解。</w:t>
      </w:r>
    </w:p>
    <w:p w14:paraId="5BAA56A3">
      <w:pPr>
        <w:pStyle w:val="29"/>
        <w:keepNext w:val="0"/>
        <w:keepLines w:val="0"/>
        <w:pageBreakBefore w:val="0"/>
        <w:widowControl w:val="0"/>
        <w:kinsoku/>
        <w:wordWrap/>
        <w:overflowPunct/>
        <w:topLinePunct w:val="0"/>
        <w:autoSpaceDE/>
        <w:autoSpaceDN/>
        <w:bidi w:val="0"/>
        <w:adjustRightInd/>
        <w:snapToGrid/>
        <w:spacing w:line="380" w:lineRule="exact"/>
        <w:ind w:left="0" w:leftChars="0"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本竞争性比选报价采用综合单价报价。</w:t>
      </w:r>
      <w:r>
        <w:rPr>
          <w:rFonts w:hint="eastAsia" w:ascii="宋体" w:hAnsi="宋体" w:eastAsia="宋体" w:cs="宋体"/>
          <w:b w:val="0"/>
          <w:bCs w:val="0"/>
          <w:color w:val="auto"/>
          <w:sz w:val="21"/>
          <w:szCs w:val="21"/>
          <w:highlight w:val="none"/>
          <w:lang w:val="en-US" w:eastAsia="zh-CN"/>
        </w:rPr>
        <w:t>综合单价是指</w:t>
      </w:r>
      <w:r>
        <w:rPr>
          <w:rFonts w:hint="eastAsia" w:ascii="宋体" w:hAnsi="宋体" w:eastAsia="宋体" w:cs="宋体"/>
          <w:b w:val="0"/>
          <w:bCs w:val="0"/>
          <w:color w:val="auto"/>
          <w:sz w:val="21"/>
          <w:szCs w:val="21"/>
          <w:highlight w:val="none"/>
        </w:rPr>
        <w:t>根据甲方工作要求完成</w:t>
      </w:r>
      <w:r>
        <w:rPr>
          <w:rFonts w:hint="eastAsia" w:ascii="宋体" w:hAnsi="宋体" w:eastAsia="宋体" w:cs="宋体"/>
          <w:b w:val="0"/>
          <w:bCs w:val="0"/>
          <w:color w:val="auto"/>
          <w:sz w:val="21"/>
          <w:szCs w:val="21"/>
          <w:highlight w:val="none"/>
          <w:lang w:val="en-US" w:eastAsia="zh-CN"/>
        </w:rPr>
        <w:t>全部</w:t>
      </w:r>
      <w:r>
        <w:rPr>
          <w:rFonts w:hint="eastAsia" w:ascii="宋体" w:hAnsi="宋体" w:eastAsia="宋体" w:cs="宋体"/>
          <w:b w:val="0"/>
          <w:bCs w:val="0"/>
          <w:color w:val="auto"/>
          <w:sz w:val="21"/>
          <w:szCs w:val="21"/>
          <w:highlight w:val="none"/>
        </w:rPr>
        <w:t>工作内容的全部费用，报价人应</w:t>
      </w:r>
      <w:r>
        <w:rPr>
          <w:rFonts w:hint="eastAsia" w:ascii="宋体" w:hAnsi="宋体" w:eastAsia="宋体" w:cs="宋体"/>
          <w:b w:val="0"/>
          <w:bCs w:val="0"/>
          <w:color w:val="auto"/>
          <w:sz w:val="21"/>
          <w:szCs w:val="21"/>
          <w:highlight w:val="none"/>
          <w:lang w:val="en-US" w:eastAsia="zh-CN"/>
        </w:rPr>
        <w:t>充分</w:t>
      </w:r>
      <w:r>
        <w:rPr>
          <w:rFonts w:hint="eastAsia" w:ascii="宋体" w:hAnsi="宋体" w:eastAsia="宋体" w:cs="宋体"/>
          <w:b w:val="0"/>
          <w:bCs w:val="0"/>
          <w:color w:val="auto"/>
          <w:sz w:val="21"/>
          <w:szCs w:val="21"/>
          <w:highlight w:val="none"/>
        </w:rPr>
        <w:t>考虑人员工资、税金、五险一金、商业险、意外险、交通、话费、食宿补助、办公场地、办公费用、生活费用、利润、加班赶工</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服务中所有中间件、第三方平台、第三方插件的永久授权，人员培训、技术服务、</w:t>
      </w:r>
      <w:r>
        <w:rPr>
          <w:rFonts w:hint="eastAsia" w:ascii="宋体" w:hAnsi="宋体" w:eastAsia="宋体" w:cs="宋体"/>
          <w:b w:val="0"/>
          <w:bCs w:val="0"/>
          <w:color w:val="auto"/>
          <w:sz w:val="21"/>
          <w:szCs w:val="21"/>
          <w:highlight w:val="none"/>
        </w:rPr>
        <w:t>等一切相关费用及竞争性文件所包含的所有责任、义务和风险等各项费用</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如报价人提供的人员在本项目服务期间发生任何意外事故均有报价人承担，相应费用考虑在报价中</w:t>
      </w:r>
      <w:r>
        <w:rPr>
          <w:rFonts w:hint="eastAsia" w:ascii="宋体" w:hAnsi="宋体" w:eastAsia="宋体" w:cs="宋体"/>
          <w:b w:val="0"/>
          <w:bCs w:val="0"/>
          <w:color w:val="auto"/>
          <w:sz w:val="21"/>
          <w:szCs w:val="21"/>
          <w:highlight w:val="none"/>
          <w:lang w:eastAsia="zh-CN"/>
        </w:rPr>
        <w:t>。</w:t>
      </w:r>
    </w:p>
    <w:p w14:paraId="23474530">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3、报价人应结合现场实际和现在的市场情况、自身技术及管理水平、经营状况及制定的方案的要求自行报价，该报价不低于报价人完成该项目的成本。</w:t>
      </w:r>
    </w:p>
    <w:p w14:paraId="2FF1ECA5">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4、报价中的单价和合价全部以人民币（元）表示。</w:t>
      </w:r>
    </w:p>
    <w:p w14:paraId="5456FC78">
      <w:pPr>
        <w:pStyle w:val="29"/>
        <w:spacing w:line="380" w:lineRule="exact"/>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5、合同为单价合同，合同期间不予调价。</w:t>
      </w:r>
    </w:p>
    <w:p w14:paraId="6E8B3374">
      <w:pPr>
        <w:pStyle w:val="29"/>
        <w:spacing w:line="380" w:lineRule="exact"/>
        <w:ind w:firstLine="420" w:firstLineChars="200"/>
        <w:rPr>
          <w:color w:val="auto"/>
          <w:highlight w:val="none"/>
        </w:rPr>
        <w:sectPr>
          <w:footerReference r:id="rId8"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r>
        <w:rPr>
          <w:rFonts w:hint="eastAsia" w:ascii="宋体" w:hAnsi="宋体" w:cs="宋体"/>
          <w:b w:val="0"/>
          <w:bCs w:val="0"/>
          <w:color w:val="auto"/>
          <w:sz w:val="21"/>
          <w:szCs w:val="21"/>
          <w:highlight w:val="none"/>
        </w:rPr>
        <w:t>6、对于符合要求的竞争性比选响应文件，如发现报价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579CE36">
      <w:pPr>
        <w:spacing w:line="400" w:lineRule="exact"/>
        <w:ind w:firstLine="420" w:firstLineChars="200"/>
        <w:rPr>
          <w:rFonts w:asciiTheme="minorEastAsia" w:hAnsiTheme="minorEastAsia" w:eastAsiaTheme="minorEastAsia" w:cstheme="minorEastAsia"/>
          <w:color w:val="auto"/>
          <w:szCs w:val="21"/>
          <w:highlight w:val="none"/>
        </w:rPr>
      </w:pPr>
    </w:p>
    <w:p w14:paraId="49C8B7BE">
      <w:pPr>
        <w:rPr>
          <w:rFonts w:ascii="宋体" w:hAnsi="宋体" w:cs="宋体"/>
          <w:color w:val="auto"/>
          <w:szCs w:val="21"/>
          <w:highlight w:val="none"/>
        </w:rPr>
      </w:pPr>
    </w:p>
    <w:p w14:paraId="78897544">
      <w:pPr>
        <w:pStyle w:val="3"/>
        <w:spacing w:before="0" w:after="0" w:line="360" w:lineRule="auto"/>
        <w:jc w:val="center"/>
        <w:rPr>
          <w:rFonts w:ascii="宋体" w:hAnsi="宋体" w:cs="宋体"/>
          <w:color w:val="auto"/>
          <w:highlight w:val="none"/>
        </w:rPr>
      </w:pPr>
      <w:bookmarkStart w:id="777" w:name="_Toc21033"/>
      <w:r>
        <w:rPr>
          <w:rFonts w:hint="eastAsia" w:ascii="宋体" w:hAnsi="宋体" w:cs="宋体"/>
          <w:color w:val="auto"/>
          <w:highlight w:val="none"/>
        </w:rPr>
        <w:t>第五章</w:t>
      </w:r>
      <w:r>
        <w:rPr>
          <w:rFonts w:ascii="宋体" w:hAnsi="宋体" w:cs="宋体"/>
          <w:color w:val="auto"/>
          <w:highlight w:val="none"/>
        </w:rPr>
        <w:t xml:space="preserve"> </w:t>
      </w:r>
      <w:r>
        <w:rPr>
          <w:rFonts w:hint="eastAsia" w:ascii="宋体" w:hAnsi="宋体" w:cs="宋体"/>
          <w:color w:val="auto"/>
          <w:highlight w:val="none"/>
        </w:rPr>
        <w:t>采购清单</w:t>
      </w:r>
      <w:bookmarkEnd w:id="777"/>
    </w:p>
    <w:p w14:paraId="748102B3">
      <w:pPr>
        <w:jc w:val="center"/>
        <w:rPr>
          <w:color w:val="auto"/>
          <w:highlight w:val="none"/>
        </w:rPr>
      </w:pPr>
    </w:p>
    <w:tbl>
      <w:tblPr>
        <w:tblStyle w:val="45"/>
        <w:tblpPr w:leftFromText="180" w:rightFromText="180" w:vertAnchor="text" w:horzAnchor="page" w:tblpXSpec="center" w:tblpY="299"/>
        <w:tblOverlap w:val="never"/>
        <w:tblW w:w="94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2932"/>
        <w:gridCol w:w="1132"/>
        <w:gridCol w:w="1091"/>
        <w:gridCol w:w="954"/>
        <w:gridCol w:w="1287"/>
        <w:gridCol w:w="1182"/>
      </w:tblGrid>
      <w:tr w14:paraId="34EFF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850" w:type="dxa"/>
            <w:vAlign w:val="center"/>
          </w:tcPr>
          <w:p w14:paraId="46024008">
            <w:pPr>
              <w:widowControl/>
              <w:jc w:val="center"/>
              <w:rPr>
                <w:rFonts w:ascii="宋体" w:hAnsi="宋体" w:eastAsia="Times New Roman" w:cs="宋体"/>
                <w:color w:val="auto"/>
                <w:kern w:val="0"/>
                <w:szCs w:val="21"/>
                <w:highlight w:val="none"/>
              </w:rPr>
            </w:pPr>
            <w:bookmarkStart w:id="778" w:name="_Toc144974855"/>
            <w:bookmarkStart w:id="779" w:name="_Toc152042575"/>
            <w:bookmarkStart w:id="780" w:name="_Toc152045786"/>
            <w:bookmarkStart w:id="781" w:name="_Toc247085872"/>
            <w:bookmarkStart w:id="782" w:name="_Toc246997097"/>
            <w:bookmarkStart w:id="783" w:name="_Toc179632806"/>
            <w:bookmarkStart w:id="784" w:name="_Toc246996354"/>
            <w:r>
              <w:rPr>
                <w:rFonts w:hint="eastAsia" w:ascii="宋体" w:hAnsi="宋体" w:eastAsia="Times New Roman" w:cs="宋体"/>
                <w:color w:val="auto"/>
                <w:kern w:val="0"/>
                <w:szCs w:val="21"/>
                <w:highlight w:val="none"/>
              </w:rPr>
              <w:t>序号</w:t>
            </w:r>
          </w:p>
        </w:tc>
        <w:tc>
          <w:tcPr>
            <w:tcW w:w="2932" w:type="dxa"/>
            <w:vAlign w:val="center"/>
          </w:tcPr>
          <w:p w14:paraId="14761682">
            <w:pPr>
              <w:widowControl/>
              <w:jc w:val="center"/>
              <w:rPr>
                <w:rFonts w:hint="default" w:ascii="宋体" w:hAnsi="宋体" w:eastAsia="宋体" w:cs="宋体"/>
                <w:color w:val="auto"/>
                <w:kern w:val="0"/>
                <w:szCs w:val="21"/>
                <w:highlight w:val="none"/>
                <w:lang w:val="en-US" w:eastAsia="zh-CN"/>
              </w:rPr>
            </w:pPr>
            <w:r>
              <w:rPr>
                <w:rFonts w:hint="eastAsia" w:eastAsia="Times New Roman"/>
                <w:color w:val="auto"/>
                <w:highlight w:val="none"/>
              </w:rPr>
              <w:t>服务名称</w:t>
            </w:r>
          </w:p>
        </w:tc>
        <w:tc>
          <w:tcPr>
            <w:tcW w:w="1132" w:type="dxa"/>
            <w:vAlign w:val="center"/>
          </w:tcPr>
          <w:p w14:paraId="60F393E4">
            <w:pPr>
              <w:widowControl/>
              <w:jc w:val="center"/>
              <w:rPr>
                <w:rFonts w:ascii="宋体" w:hAnsi="宋体" w:eastAsia="Times New Roman" w:cs="宋体"/>
                <w:color w:val="auto"/>
                <w:kern w:val="0"/>
                <w:szCs w:val="21"/>
                <w:highlight w:val="none"/>
              </w:rPr>
            </w:pPr>
            <w:r>
              <w:rPr>
                <w:rFonts w:hint="eastAsia" w:ascii="宋体" w:hAnsi="宋体" w:eastAsia="Times New Roman" w:cs="宋体"/>
                <w:color w:val="auto"/>
                <w:kern w:val="0"/>
                <w:szCs w:val="21"/>
                <w:highlight w:val="none"/>
              </w:rPr>
              <w:t>单位</w:t>
            </w:r>
          </w:p>
        </w:tc>
        <w:tc>
          <w:tcPr>
            <w:tcW w:w="1091" w:type="dxa"/>
            <w:vAlign w:val="center"/>
          </w:tcPr>
          <w:p w14:paraId="1E159886">
            <w:pPr>
              <w:widowControl/>
              <w:jc w:val="center"/>
              <w:rPr>
                <w:rFonts w:ascii="宋体" w:hAnsi="宋体" w:eastAsia="Times New Roman" w:cs="宋体"/>
                <w:color w:val="auto"/>
                <w:kern w:val="0"/>
                <w:szCs w:val="21"/>
                <w:highlight w:val="none"/>
              </w:rPr>
            </w:pPr>
            <w:r>
              <w:rPr>
                <w:rFonts w:hint="eastAsia" w:ascii="宋体" w:hAnsi="宋体" w:eastAsia="Times New Roman" w:cs="宋体"/>
                <w:color w:val="auto"/>
                <w:kern w:val="0"/>
                <w:szCs w:val="21"/>
                <w:highlight w:val="none"/>
              </w:rPr>
              <w:t>数量</w:t>
            </w:r>
          </w:p>
        </w:tc>
        <w:tc>
          <w:tcPr>
            <w:tcW w:w="954" w:type="dxa"/>
            <w:vAlign w:val="center"/>
          </w:tcPr>
          <w:p w14:paraId="312D3AEA">
            <w:pPr>
              <w:widowControl/>
              <w:jc w:val="center"/>
              <w:textAlignment w:val="center"/>
              <w:rPr>
                <w:rFonts w:ascii="宋体" w:hAnsi="宋体" w:eastAsia="Times New Roman" w:cs="宋体"/>
                <w:color w:val="auto"/>
                <w:kern w:val="0"/>
                <w:szCs w:val="21"/>
                <w:highlight w:val="none"/>
              </w:rPr>
            </w:pPr>
            <w:r>
              <w:rPr>
                <w:rFonts w:hint="eastAsia" w:ascii="等线" w:hAnsi="等线" w:eastAsia="等线" w:cs="等线"/>
                <w:color w:val="auto"/>
                <w:kern w:val="0"/>
                <w:sz w:val="22"/>
                <w:szCs w:val="22"/>
                <w:highlight w:val="none"/>
                <w:lang w:bidi="ar"/>
              </w:rPr>
              <w:t>税率</w:t>
            </w:r>
          </w:p>
        </w:tc>
        <w:tc>
          <w:tcPr>
            <w:tcW w:w="1287" w:type="dxa"/>
            <w:vAlign w:val="center"/>
          </w:tcPr>
          <w:p w14:paraId="7DD179DE">
            <w:pPr>
              <w:widowControl/>
              <w:jc w:val="center"/>
              <w:textAlignment w:val="center"/>
              <w:rPr>
                <w:rFonts w:ascii="宋体" w:hAnsi="宋体" w:eastAsia="Times New Roman" w:cs="宋体"/>
                <w:color w:val="auto"/>
                <w:kern w:val="0"/>
                <w:szCs w:val="21"/>
                <w:highlight w:val="none"/>
              </w:rPr>
            </w:pPr>
            <w:r>
              <w:rPr>
                <w:rFonts w:hint="eastAsia" w:ascii="等线" w:hAnsi="等线" w:eastAsia="等线" w:cs="等线"/>
                <w:color w:val="auto"/>
                <w:kern w:val="0"/>
                <w:sz w:val="22"/>
                <w:szCs w:val="22"/>
                <w:highlight w:val="none"/>
                <w:lang w:bidi="ar"/>
              </w:rPr>
              <w:t>含税限价（元）</w:t>
            </w:r>
          </w:p>
        </w:tc>
        <w:tc>
          <w:tcPr>
            <w:tcW w:w="1182" w:type="dxa"/>
            <w:vAlign w:val="center"/>
          </w:tcPr>
          <w:p w14:paraId="25B2450E">
            <w:pPr>
              <w:widowControl/>
              <w:jc w:val="center"/>
              <w:rPr>
                <w:rFonts w:ascii="宋体" w:hAnsi="宋体" w:eastAsia="Times New Roman" w:cs="宋体"/>
                <w:color w:val="auto"/>
                <w:kern w:val="0"/>
                <w:szCs w:val="21"/>
                <w:highlight w:val="none"/>
              </w:rPr>
            </w:pPr>
            <w:r>
              <w:rPr>
                <w:rFonts w:hint="eastAsia" w:ascii="等线" w:hAnsi="等线" w:eastAsia="等线" w:cs="等线"/>
                <w:color w:val="auto"/>
                <w:kern w:val="0"/>
                <w:sz w:val="22"/>
                <w:szCs w:val="22"/>
                <w:highlight w:val="none"/>
                <w:lang w:bidi="ar"/>
              </w:rPr>
              <w:t>备注</w:t>
            </w:r>
          </w:p>
        </w:tc>
      </w:tr>
      <w:tr w14:paraId="0239B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exact"/>
          <w:jc w:val="center"/>
        </w:trPr>
        <w:tc>
          <w:tcPr>
            <w:tcW w:w="850" w:type="dxa"/>
            <w:vAlign w:val="center"/>
          </w:tcPr>
          <w:p w14:paraId="58F77C4F">
            <w:pPr>
              <w:widowControl/>
              <w:jc w:val="center"/>
              <w:rPr>
                <w:rFonts w:eastAsia="Times New Roman"/>
                <w:color w:val="auto"/>
                <w:highlight w:val="none"/>
              </w:rPr>
            </w:pPr>
            <w:bookmarkStart w:id="785" w:name="OLE_LINK11" w:colFirst="3" w:colLast="4"/>
            <w:r>
              <w:rPr>
                <w:rFonts w:hint="eastAsia" w:eastAsia="Times New Roman"/>
                <w:color w:val="auto"/>
                <w:highlight w:val="none"/>
              </w:rPr>
              <w:t>1</w:t>
            </w:r>
          </w:p>
        </w:tc>
        <w:tc>
          <w:tcPr>
            <w:tcW w:w="2932" w:type="dxa"/>
            <w:vAlign w:val="center"/>
          </w:tcPr>
          <w:p w14:paraId="70829C8C">
            <w:pPr>
              <w:widowControl/>
              <w:jc w:val="left"/>
              <w:rPr>
                <w:rFonts w:eastAsia="Times New Roman"/>
                <w:color w:val="auto"/>
                <w:highlight w:val="none"/>
              </w:rPr>
            </w:pPr>
            <w:r>
              <w:rPr>
                <w:rFonts w:hint="eastAsia"/>
                <w:color w:val="auto"/>
                <w:highlight w:val="none"/>
                <w:lang w:eastAsia="zh-CN"/>
              </w:rPr>
              <w:t>2025年重庆高速集团网络安全咨询维护服务</w:t>
            </w:r>
          </w:p>
        </w:tc>
        <w:tc>
          <w:tcPr>
            <w:tcW w:w="1132" w:type="dxa"/>
            <w:vAlign w:val="center"/>
          </w:tcPr>
          <w:p w14:paraId="72E7B14E">
            <w:pPr>
              <w:widowControl/>
              <w:jc w:val="center"/>
              <w:rPr>
                <w:rFonts w:eastAsia="Times New Roman"/>
                <w:color w:val="auto"/>
                <w:highlight w:val="none"/>
              </w:rPr>
            </w:pPr>
            <w:r>
              <w:rPr>
                <w:rFonts w:hint="eastAsia" w:eastAsia="Times New Roman"/>
                <w:color w:val="auto"/>
                <w:highlight w:val="none"/>
              </w:rPr>
              <w:t>项</w:t>
            </w:r>
          </w:p>
        </w:tc>
        <w:tc>
          <w:tcPr>
            <w:tcW w:w="1091" w:type="dxa"/>
            <w:vAlign w:val="center"/>
          </w:tcPr>
          <w:p w14:paraId="105B4519">
            <w:pPr>
              <w:widowControl/>
              <w:jc w:val="left"/>
              <w:rPr>
                <w:rFonts w:hint="eastAsia"/>
                <w:color w:val="auto"/>
                <w:highlight w:val="none"/>
                <w:lang w:eastAsia="zh-CN"/>
              </w:rPr>
            </w:pPr>
            <w:r>
              <w:rPr>
                <w:rFonts w:hint="eastAsia"/>
                <w:color w:val="auto"/>
                <w:highlight w:val="none"/>
                <w:lang w:eastAsia="zh-CN"/>
              </w:rPr>
              <w:t>1</w:t>
            </w:r>
          </w:p>
        </w:tc>
        <w:tc>
          <w:tcPr>
            <w:tcW w:w="954" w:type="dxa"/>
            <w:vAlign w:val="center"/>
          </w:tcPr>
          <w:p w14:paraId="730E5C08">
            <w:pPr>
              <w:widowControl/>
              <w:jc w:val="left"/>
              <w:rPr>
                <w:rFonts w:hint="eastAsia"/>
                <w:color w:val="auto"/>
                <w:highlight w:val="none"/>
                <w:lang w:eastAsia="zh-CN"/>
              </w:rPr>
            </w:pPr>
            <w:r>
              <w:rPr>
                <w:rFonts w:hint="eastAsia"/>
                <w:color w:val="auto"/>
                <w:highlight w:val="none"/>
                <w:lang w:eastAsia="zh-CN"/>
              </w:rPr>
              <w:t>6%</w:t>
            </w:r>
          </w:p>
        </w:tc>
        <w:tc>
          <w:tcPr>
            <w:tcW w:w="1287" w:type="dxa"/>
            <w:vAlign w:val="center"/>
          </w:tcPr>
          <w:p w14:paraId="37A725F7">
            <w:pPr>
              <w:widowControl/>
              <w:jc w:val="left"/>
              <w:rPr>
                <w:rFonts w:hint="default"/>
                <w:color w:val="auto"/>
                <w:highlight w:val="none"/>
                <w:lang w:val="en-US" w:eastAsia="zh-CN"/>
              </w:rPr>
            </w:pPr>
            <w:r>
              <w:rPr>
                <w:rFonts w:hint="eastAsia"/>
                <w:color w:val="auto"/>
                <w:highlight w:val="none"/>
                <w:lang w:eastAsia="zh-CN"/>
              </w:rPr>
              <w:t>315000</w:t>
            </w:r>
            <w:r>
              <w:rPr>
                <w:rFonts w:hint="eastAsia"/>
                <w:color w:val="auto"/>
                <w:highlight w:val="none"/>
                <w:lang w:val="en-US" w:eastAsia="zh-CN"/>
              </w:rPr>
              <w:t>.00</w:t>
            </w:r>
          </w:p>
        </w:tc>
        <w:tc>
          <w:tcPr>
            <w:tcW w:w="1182" w:type="dxa"/>
            <w:vAlign w:val="center"/>
          </w:tcPr>
          <w:p w14:paraId="5E613EE9">
            <w:pPr>
              <w:widowControl/>
              <w:jc w:val="left"/>
              <w:rPr>
                <w:rFonts w:hint="eastAsia"/>
                <w:color w:val="auto"/>
                <w:highlight w:val="none"/>
                <w:lang w:eastAsia="zh-CN"/>
              </w:rPr>
            </w:pPr>
          </w:p>
        </w:tc>
      </w:tr>
      <w:tr w14:paraId="20BF3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exact"/>
          <w:jc w:val="center"/>
        </w:trPr>
        <w:tc>
          <w:tcPr>
            <w:tcW w:w="3782" w:type="dxa"/>
            <w:gridSpan w:val="2"/>
            <w:vAlign w:val="center"/>
          </w:tcPr>
          <w:p w14:paraId="74056CC8">
            <w:pPr>
              <w:widowControl/>
              <w:jc w:val="center"/>
              <w:rPr>
                <w:rFonts w:eastAsia="Times New Roman"/>
                <w:color w:val="auto"/>
                <w:highlight w:val="none"/>
              </w:rPr>
            </w:pPr>
            <w:r>
              <w:rPr>
                <w:rFonts w:hint="eastAsia" w:eastAsia="Times New Roman"/>
                <w:color w:val="auto"/>
                <w:highlight w:val="none"/>
              </w:rPr>
              <w:t>合计</w:t>
            </w:r>
          </w:p>
        </w:tc>
        <w:tc>
          <w:tcPr>
            <w:tcW w:w="1132" w:type="dxa"/>
            <w:vAlign w:val="center"/>
          </w:tcPr>
          <w:p w14:paraId="50CF141B">
            <w:pPr>
              <w:widowControl/>
              <w:jc w:val="center"/>
              <w:rPr>
                <w:rFonts w:eastAsia="Times New Roman"/>
                <w:color w:val="auto"/>
                <w:highlight w:val="none"/>
              </w:rPr>
            </w:pPr>
          </w:p>
        </w:tc>
        <w:tc>
          <w:tcPr>
            <w:tcW w:w="1091" w:type="dxa"/>
            <w:vAlign w:val="center"/>
          </w:tcPr>
          <w:p w14:paraId="34F2F6B1">
            <w:pPr>
              <w:widowControl/>
              <w:jc w:val="center"/>
              <w:rPr>
                <w:rFonts w:eastAsia="Times New Roman"/>
                <w:color w:val="auto"/>
                <w:highlight w:val="none"/>
              </w:rPr>
            </w:pPr>
          </w:p>
        </w:tc>
        <w:tc>
          <w:tcPr>
            <w:tcW w:w="954" w:type="dxa"/>
            <w:vAlign w:val="center"/>
          </w:tcPr>
          <w:p w14:paraId="12063797">
            <w:pPr>
              <w:widowControl/>
              <w:jc w:val="center"/>
              <w:rPr>
                <w:rFonts w:eastAsia="Times New Roman"/>
                <w:color w:val="auto"/>
                <w:highlight w:val="none"/>
              </w:rPr>
            </w:pPr>
          </w:p>
        </w:tc>
        <w:tc>
          <w:tcPr>
            <w:tcW w:w="1287" w:type="dxa"/>
            <w:vAlign w:val="center"/>
          </w:tcPr>
          <w:p w14:paraId="26BEC84B">
            <w:pPr>
              <w:widowControl/>
              <w:jc w:val="center"/>
              <w:rPr>
                <w:rFonts w:eastAsia="Times New Roman"/>
                <w:color w:val="auto"/>
                <w:highlight w:val="none"/>
              </w:rPr>
            </w:pPr>
            <w:r>
              <w:rPr>
                <w:rFonts w:hint="eastAsia"/>
                <w:color w:val="auto"/>
                <w:highlight w:val="none"/>
                <w:lang w:eastAsia="zh-CN"/>
              </w:rPr>
              <w:t>315000</w:t>
            </w:r>
            <w:r>
              <w:rPr>
                <w:rFonts w:hint="eastAsia"/>
                <w:color w:val="auto"/>
                <w:highlight w:val="none"/>
                <w:lang w:val="en-US" w:eastAsia="zh-CN"/>
              </w:rPr>
              <w:t>.00</w:t>
            </w:r>
          </w:p>
        </w:tc>
        <w:tc>
          <w:tcPr>
            <w:tcW w:w="1182" w:type="dxa"/>
            <w:vAlign w:val="center"/>
          </w:tcPr>
          <w:p w14:paraId="64F4A9F5">
            <w:pPr>
              <w:widowControl/>
              <w:jc w:val="center"/>
              <w:rPr>
                <w:rFonts w:eastAsia="Times New Roman"/>
                <w:color w:val="auto"/>
                <w:highlight w:val="none"/>
              </w:rPr>
            </w:pPr>
          </w:p>
        </w:tc>
      </w:tr>
      <w:bookmarkEnd w:id="785"/>
    </w:tbl>
    <w:p w14:paraId="52A9D6D0">
      <w:pPr>
        <w:pStyle w:val="17"/>
        <w:rPr>
          <w:color w:val="auto"/>
          <w:highlight w:val="none"/>
        </w:rPr>
      </w:pPr>
    </w:p>
    <w:p w14:paraId="7FA1D63B">
      <w:pPr>
        <w:pStyle w:val="17"/>
        <w:rPr>
          <w:color w:val="auto"/>
          <w:highlight w:val="none"/>
        </w:rPr>
      </w:pPr>
    </w:p>
    <w:p w14:paraId="7411C905">
      <w:pPr>
        <w:rPr>
          <w:color w:val="auto"/>
          <w:highlight w:val="none"/>
        </w:rPr>
      </w:pPr>
    </w:p>
    <w:p w14:paraId="64366795">
      <w:pPr>
        <w:pStyle w:val="17"/>
        <w:rPr>
          <w:color w:val="auto"/>
          <w:highlight w:val="none"/>
        </w:rPr>
      </w:pPr>
    </w:p>
    <w:p w14:paraId="34151215">
      <w:pPr>
        <w:pStyle w:val="3"/>
        <w:numPr>
          <w:ilvl w:val="0"/>
          <w:numId w:val="8"/>
        </w:numPr>
        <w:spacing w:before="0" w:after="0" w:line="360" w:lineRule="auto"/>
        <w:jc w:val="center"/>
        <w:rPr>
          <w:color w:val="auto"/>
          <w:highlight w:val="none"/>
        </w:rPr>
        <w:sectPr>
          <w:footerReference r:id="rId9" w:type="default"/>
          <w:pgSz w:w="11906" w:h="16838"/>
          <w:pgMar w:top="1440" w:right="1800" w:bottom="1440" w:left="1800" w:header="851" w:footer="992" w:gutter="0"/>
          <w:pgBorders>
            <w:top w:val="none" w:sz="0" w:space="0"/>
            <w:left w:val="none" w:sz="0" w:space="0"/>
            <w:bottom w:val="none" w:sz="0" w:space="0"/>
            <w:right w:val="none" w:sz="0" w:space="0"/>
          </w:pgBorders>
          <w:cols w:space="720" w:num="1"/>
          <w:titlePg/>
          <w:docGrid w:type="lines" w:linePitch="312" w:charSpace="0"/>
        </w:sectPr>
      </w:pPr>
      <w:bookmarkStart w:id="786" w:name="_Toc2000409"/>
      <w:bookmarkStart w:id="787" w:name="_Toc152045772"/>
      <w:bookmarkStart w:id="788" w:name="_Toc247085855"/>
      <w:bookmarkStart w:id="789" w:name="_Toc144974834"/>
      <w:bookmarkStart w:id="790" w:name="_Toc179632789"/>
      <w:bookmarkStart w:id="791" w:name="_Toc246996340"/>
      <w:bookmarkStart w:id="792" w:name="_Toc152042554"/>
      <w:bookmarkStart w:id="793" w:name="_Toc246997083"/>
      <w:bookmarkStart w:id="794" w:name="_Toc514858705"/>
    </w:p>
    <w:bookmarkEnd w:id="786"/>
    <w:bookmarkEnd w:id="787"/>
    <w:bookmarkEnd w:id="788"/>
    <w:bookmarkEnd w:id="789"/>
    <w:bookmarkEnd w:id="790"/>
    <w:bookmarkEnd w:id="791"/>
    <w:bookmarkEnd w:id="792"/>
    <w:bookmarkEnd w:id="793"/>
    <w:bookmarkEnd w:id="794"/>
    <w:p w14:paraId="73561ADA">
      <w:pPr>
        <w:pStyle w:val="3"/>
        <w:spacing w:before="159" w:beforeLines="50" w:after="159" w:afterLines="50" w:line="360" w:lineRule="auto"/>
        <w:jc w:val="center"/>
        <w:rPr>
          <w:rFonts w:ascii="宋体" w:hAnsi="宋体" w:cs="宋体"/>
          <w:color w:val="auto"/>
          <w:highlight w:val="none"/>
        </w:rPr>
      </w:pPr>
      <w:bookmarkStart w:id="795" w:name="_Toc246996353"/>
      <w:bookmarkStart w:id="796" w:name="_Toc179632804"/>
      <w:bookmarkStart w:id="797" w:name="_Toc514858707"/>
      <w:bookmarkStart w:id="798" w:name="_Toc503951043"/>
      <w:bookmarkStart w:id="799" w:name="_Toc513633964"/>
      <w:bookmarkStart w:id="800" w:name="_Toc152042574"/>
      <w:bookmarkStart w:id="801" w:name="_Toc152045785"/>
      <w:bookmarkStart w:id="802" w:name="_Toc447827049"/>
      <w:bookmarkStart w:id="803" w:name="_Toc144974854"/>
      <w:bookmarkStart w:id="804" w:name="_Toc2000411"/>
      <w:bookmarkStart w:id="805" w:name="_Toc247085870"/>
      <w:bookmarkStart w:id="806" w:name="_Toc246997096"/>
      <w:bookmarkStart w:id="807" w:name="_Toc15894"/>
      <w:r>
        <w:rPr>
          <w:rFonts w:hint="eastAsia" w:ascii="宋体" w:hAnsi="宋体" w:cs="宋体"/>
          <w:color w:val="auto"/>
          <w:highlight w:val="none"/>
        </w:rPr>
        <w:t xml:space="preserve">第六章 </w:t>
      </w:r>
      <w:bookmarkEnd w:id="795"/>
      <w:bookmarkEnd w:id="796"/>
      <w:bookmarkEnd w:id="797"/>
      <w:bookmarkEnd w:id="798"/>
      <w:bookmarkEnd w:id="799"/>
      <w:bookmarkEnd w:id="800"/>
      <w:bookmarkEnd w:id="801"/>
      <w:bookmarkEnd w:id="802"/>
      <w:bookmarkEnd w:id="803"/>
      <w:bookmarkEnd w:id="804"/>
      <w:bookmarkEnd w:id="805"/>
      <w:bookmarkEnd w:id="806"/>
      <w:r>
        <w:rPr>
          <w:rFonts w:hint="eastAsia" w:ascii="宋体" w:hAnsi="宋体" w:cs="宋体"/>
          <w:color w:val="auto"/>
          <w:highlight w:val="none"/>
        </w:rPr>
        <w:t>服务要求</w:t>
      </w:r>
      <w:bookmarkEnd w:id="807"/>
    </w:p>
    <w:tbl>
      <w:tblPr>
        <w:tblStyle w:val="44"/>
        <w:tblW w:w="9062" w:type="dxa"/>
        <w:tblInd w:w="0" w:type="dxa"/>
        <w:tblLayout w:type="autofit"/>
        <w:tblCellMar>
          <w:top w:w="0" w:type="dxa"/>
          <w:left w:w="108" w:type="dxa"/>
          <w:bottom w:w="0" w:type="dxa"/>
          <w:right w:w="108" w:type="dxa"/>
        </w:tblCellMar>
      </w:tblPr>
      <w:tblGrid>
        <w:gridCol w:w="623"/>
        <w:gridCol w:w="623"/>
        <w:gridCol w:w="1296"/>
        <w:gridCol w:w="6520"/>
      </w:tblGrid>
      <w:tr w14:paraId="78A6826F">
        <w:tblPrEx>
          <w:tblCellMar>
            <w:top w:w="0" w:type="dxa"/>
            <w:left w:w="108" w:type="dxa"/>
            <w:bottom w:w="0" w:type="dxa"/>
            <w:right w:w="108" w:type="dxa"/>
          </w:tblCellMar>
        </w:tblPrEx>
        <w:trPr>
          <w:trHeight w:val="263" w:hRule="atLeast"/>
        </w:trPr>
        <w:tc>
          <w:tcPr>
            <w:tcW w:w="623" w:type="dxa"/>
            <w:tcBorders>
              <w:top w:val="single" w:color="000000" w:sz="8" w:space="0"/>
              <w:left w:val="single" w:color="000000" w:sz="8" w:space="0"/>
              <w:bottom w:val="single" w:color="000000" w:sz="8" w:space="0"/>
              <w:right w:val="single" w:color="000000" w:sz="8" w:space="0"/>
            </w:tcBorders>
            <w:shd w:val="clear" w:color="000000" w:fill="9BC2E6"/>
            <w:vAlign w:val="center"/>
          </w:tcPr>
          <w:p w14:paraId="167F5065">
            <w:pPr>
              <w:widowControl/>
              <w:jc w:val="center"/>
              <w:rPr>
                <w:rFonts w:ascii="宋体" w:hAnsi="宋体" w:cs="宋体"/>
                <w:b/>
                <w:bCs/>
                <w:color w:val="auto"/>
                <w:kern w:val="0"/>
                <w:szCs w:val="21"/>
                <w:highlight w:val="none"/>
              </w:rPr>
            </w:pPr>
            <w:r>
              <w:rPr>
                <w:rFonts w:hint="eastAsia" w:ascii="宋体" w:hAnsi="宋体" w:cs="宋体"/>
                <w:b/>
                <w:bCs/>
                <w:color w:val="auto"/>
                <w:kern w:val="0"/>
                <w:szCs w:val="21"/>
                <w:highlight w:val="none"/>
              </w:rPr>
              <w:t>序号</w:t>
            </w:r>
          </w:p>
        </w:tc>
        <w:tc>
          <w:tcPr>
            <w:tcW w:w="1919" w:type="dxa"/>
            <w:gridSpan w:val="2"/>
            <w:tcBorders>
              <w:top w:val="single" w:color="000000" w:sz="8" w:space="0"/>
              <w:left w:val="nil"/>
              <w:bottom w:val="single" w:color="000000" w:sz="8" w:space="0"/>
              <w:right w:val="single" w:color="000000" w:sz="8" w:space="0"/>
            </w:tcBorders>
            <w:shd w:val="clear" w:color="000000" w:fill="9BC2E6"/>
            <w:vAlign w:val="center"/>
          </w:tcPr>
          <w:p w14:paraId="1FAAE478">
            <w:pPr>
              <w:widowControl/>
              <w:jc w:val="center"/>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服务类型</w:t>
            </w:r>
          </w:p>
        </w:tc>
        <w:tc>
          <w:tcPr>
            <w:tcW w:w="6520" w:type="dxa"/>
            <w:tcBorders>
              <w:top w:val="single" w:color="000000" w:sz="8" w:space="0"/>
              <w:left w:val="nil"/>
              <w:bottom w:val="single" w:color="000000" w:sz="8" w:space="0"/>
              <w:right w:val="single" w:color="000000" w:sz="8" w:space="0"/>
            </w:tcBorders>
            <w:shd w:val="clear" w:color="000000" w:fill="9BC2E6"/>
            <w:vAlign w:val="center"/>
          </w:tcPr>
          <w:p w14:paraId="0D105480">
            <w:pPr>
              <w:widowControl/>
              <w:jc w:val="center"/>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服务要求</w:t>
            </w:r>
          </w:p>
        </w:tc>
      </w:tr>
      <w:tr w14:paraId="35E4C05B">
        <w:tblPrEx>
          <w:tblCellMar>
            <w:top w:w="0" w:type="dxa"/>
            <w:left w:w="108" w:type="dxa"/>
            <w:bottom w:w="0" w:type="dxa"/>
            <w:right w:w="108" w:type="dxa"/>
          </w:tblCellMar>
        </w:tblPrEx>
        <w:trPr>
          <w:trHeight w:val="513"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6F2C928E">
            <w:pPr>
              <w:widowControl/>
              <w:jc w:val="center"/>
              <w:rPr>
                <w:rFonts w:hint="eastAsia"/>
                <w:color w:val="auto"/>
                <w:kern w:val="0"/>
                <w:szCs w:val="21"/>
                <w:highlight w:val="none"/>
              </w:rPr>
            </w:pPr>
            <w:r>
              <w:rPr>
                <w:color w:val="auto"/>
                <w:kern w:val="0"/>
                <w:szCs w:val="21"/>
                <w:highlight w:val="none"/>
              </w:rPr>
              <w:t>1</w:t>
            </w:r>
          </w:p>
        </w:tc>
        <w:tc>
          <w:tcPr>
            <w:tcW w:w="1919" w:type="dxa"/>
            <w:gridSpan w:val="2"/>
            <w:tcBorders>
              <w:top w:val="nil"/>
              <w:left w:val="nil"/>
              <w:bottom w:val="single" w:color="000000" w:sz="8" w:space="0"/>
              <w:right w:val="single" w:color="000000" w:sz="8" w:space="0"/>
            </w:tcBorders>
            <w:shd w:val="clear" w:color="auto" w:fill="auto"/>
            <w:vAlign w:val="center"/>
          </w:tcPr>
          <w:p w14:paraId="579F1E01">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安全管理体系建设服务</w:t>
            </w:r>
          </w:p>
        </w:tc>
        <w:tc>
          <w:tcPr>
            <w:tcW w:w="6520" w:type="dxa"/>
            <w:tcBorders>
              <w:top w:val="nil"/>
              <w:left w:val="nil"/>
              <w:bottom w:val="single" w:color="000000" w:sz="8" w:space="0"/>
              <w:right w:val="single" w:color="000000" w:sz="8" w:space="0"/>
            </w:tcBorders>
            <w:shd w:val="clear" w:color="auto" w:fill="auto"/>
            <w:vAlign w:val="center"/>
          </w:tcPr>
          <w:p w14:paraId="0D4E9C82">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参照国家及行业相关政策要求以及国内国际权威安全管理体系标准，结合工作实际，配合业主单位完善和修订网络安全数据安全相关管理制度，完善安全管理体系，并对制度的可实施性、可操作性提出相关合理建议。</w:t>
            </w:r>
          </w:p>
        </w:tc>
      </w:tr>
      <w:tr w14:paraId="46FA1D6D">
        <w:tblPrEx>
          <w:tblCellMar>
            <w:top w:w="0" w:type="dxa"/>
            <w:left w:w="108" w:type="dxa"/>
            <w:bottom w:w="0" w:type="dxa"/>
            <w:right w:w="108" w:type="dxa"/>
          </w:tblCellMar>
        </w:tblPrEx>
        <w:trPr>
          <w:trHeight w:val="513"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66794093">
            <w:pPr>
              <w:widowControl/>
              <w:jc w:val="center"/>
              <w:rPr>
                <w:rFonts w:hint="eastAsia"/>
                <w:color w:val="auto"/>
                <w:kern w:val="0"/>
                <w:szCs w:val="21"/>
                <w:highlight w:val="none"/>
              </w:rPr>
            </w:pPr>
            <w:r>
              <w:rPr>
                <w:color w:val="auto"/>
                <w:kern w:val="0"/>
                <w:szCs w:val="21"/>
                <w:highlight w:val="none"/>
              </w:rPr>
              <w:t>2</w:t>
            </w:r>
          </w:p>
        </w:tc>
        <w:tc>
          <w:tcPr>
            <w:tcW w:w="1919" w:type="dxa"/>
            <w:gridSpan w:val="2"/>
            <w:tcBorders>
              <w:top w:val="nil"/>
              <w:left w:val="nil"/>
              <w:bottom w:val="single" w:color="000000" w:sz="8" w:space="0"/>
              <w:right w:val="single" w:color="000000" w:sz="8" w:space="0"/>
            </w:tcBorders>
            <w:shd w:val="clear" w:color="auto" w:fill="auto"/>
            <w:vAlign w:val="center"/>
          </w:tcPr>
          <w:p w14:paraId="32765CF8">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资产测绘</w:t>
            </w:r>
          </w:p>
        </w:tc>
        <w:tc>
          <w:tcPr>
            <w:tcW w:w="6520" w:type="dxa"/>
            <w:tcBorders>
              <w:top w:val="nil"/>
              <w:left w:val="nil"/>
              <w:bottom w:val="single" w:color="000000" w:sz="8" w:space="0"/>
              <w:right w:val="single" w:color="000000" w:sz="8" w:space="0"/>
            </w:tcBorders>
            <w:shd w:val="clear" w:color="auto" w:fill="auto"/>
            <w:vAlign w:val="center"/>
          </w:tcPr>
          <w:p w14:paraId="34A02922">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通过爬虫、信息收集等技术手段，收集高速集团及下属单位的公网面资产信息，配合业主单位确认资产，每季度更新维护资产表</w:t>
            </w:r>
          </w:p>
        </w:tc>
      </w:tr>
      <w:tr w14:paraId="201A7CC6">
        <w:tblPrEx>
          <w:tblCellMar>
            <w:top w:w="0" w:type="dxa"/>
            <w:left w:w="108" w:type="dxa"/>
            <w:bottom w:w="0" w:type="dxa"/>
            <w:right w:w="108" w:type="dxa"/>
          </w:tblCellMar>
        </w:tblPrEx>
        <w:trPr>
          <w:trHeight w:val="784"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1097503F">
            <w:pPr>
              <w:widowControl/>
              <w:jc w:val="center"/>
              <w:rPr>
                <w:rFonts w:hint="eastAsia"/>
                <w:color w:val="auto"/>
                <w:kern w:val="0"/>
                <w:szCs w:val="21"/>
                <w:highlight w:val="none"/>
              </w:rPr>
            </w:pPr>
            <w:r>
              <w:rPr>
                <w:color w:val="auto"/>
                <w:kern w:val="0"/>
                <w:szCs w:val="21"/>
                <w:highlight w:val="none"/>
              </w:rPr>
              <w:t>3</w:t>
            </w:r>
          </w:p>
        </w:tc>
        <w:tc>
          <w:tcPr>
            <w:tcW w:w="1919" w:type="dxa"/>
            <w:gridSpan w:val="2"/>
            <w:tcBorders>
              <w:top w:val="nil"/>
              <w:left w:val="nil"/>
              <w:bottom w:val="single" w:color="000000" w:sz="8" w:space="0"/>
              <w:right w:val="single" w:color="000000" w:sz="8" w:space="0"/>
            </w:tcBorders>
            <w:shd w:val="clear" w:color="auto" w:fill="auto"/>
            <w:vAlign w:val="center"/>
          </w:tcPr>
          <w:p w14:paraId="04DE9CB5">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等保服务</w:t>
            </w:r>
          </w:p>
        </w:tc>
        <w:tc>
          <w:tcPr>
            <w:tcW w:w="6520" w:type="dxa"/>
            <w:tcBorders>
              <w:top w:val="nil"/>
              <w:left w:val="nil"/>
              <w:bottom w:val="single" w:color="000000" w:sz="8" w:space="0"/>
              <w:right w:val="single" w:color="000000" w:sz="8" w:space="0"/>
            </w:tcBorders>
            <w:shd w:val="clear" w:color="auto" w:fill="auto"/>
            <w:vAlign w:val="center"/>
          </w:tcPr>
          <w:p w14:paraId="3B545694">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根据等保</w:t>
            </w:r>
            <w:r>
              <w:rPr>
                <w:color w:val="auto"/>
                <w:kern w:val="0"/>
                <w:szCs w:val="21"/>
                <w:highlight w:val="none"/>
              </w:rPr>
              <w:t>2.0</w:t>
            </w:r>
            <w:r>
              <w:rPr>
                <w:rFonts w:hint="eastAsia" w:ascii="宋体" w:hAnsi="宋体" w:cs="宋体"/>
                <w:color w:val="auto"/>
                <w:kern w:val="0"/>
                <w:szCs w:val="21"/>
                <w:highlight w:val="none"/>
              </w:rPr>
              <w:t>等相关文件要求，协助业主单位对需要备案的信息系统完成定级备案，协调和邀请专家对所有需要定级备案的信息系统进行定级报告评审；协助业主开展整改工作，确保顺利通过等保；协助开展等保测评工作，根据等保测评结果，制订合理的整改方案，并提供多种形式的技术响应和支持协助落实。</w:t>
            </w:r>
          </w:p>
        </w:tc>
      </w:tr>
      <w:tr w14:paraId="4BA3ED75">
        <w:tblPrEx>
          <w:tblCellMar>
            <w:top w:w="0" w:type="dxa"/>
            <w:left w:w="108" w:type="dxa"/>
            <w:bottom w:w="0" w:type="dxa"/>
            <w:right w:w="108" w:type="dxa"/>
          </w:tblCellMar>
        </w:tblPrEx>
        <w:trPr>
          <w:trHeight w:val="1055"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03E2E3B9">
            <w:pPr>
              <w:widowControl/>
              <w:jc w:val="center"/>
              <w:rPr>
                <w:rFonts w:hint="eastAsia"/>
                <w:color w:val="auto"/>
                <w:kern w:val="0"/>
                <w:szCs w:val="21"/>
                <w:highlight w:val="none"/>
              </w:rPr>
            </w:pPr>
            <w:r>
              <w:rPr>
                <w:color w:val="auto"/>
                <w:kern w:val="0"/>
                <w:szCs w:val="21"/>
                <w:highlight w:val="none"/>
              </w:rPr>
              <w:t>4</w:t>
            </w:r>
          </w:p>
        </w:tc>
        <w:tc>
          <w:tcPr>
            <w:tcW w:w="1919" w:type="dxa"/>
            <w:gridSpan w:val="2"/>
            <w:tcBorders>
              <w:top w:val="nil"/>
              <w:left w:val="nil"/>
              <w:bottom w:val="single" w:color="000000" w:sz="8" w:space="0"/>
              <w:right w:val="single" w:color="000000" w:sz="8" w:space="0"/>
            </w:tcBorders>
            <w:shd w:val="clear" w:color="auto" w:fill="auto"/>
            <w:vAlign w:val="center"/>
          </w:tcPr>
          <w:p w14:paraId="3658CF9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培训及演练服务</w:t>
            </w:r>
          </w:p>
        </w:tc>
        <w:tc>
          <w:tcPr>
            <w:tcW w:w="6520" w:type="dxa"/>
            <w:tcBorders>
              <w:top w:val="nil"/>
              <w:left w:val="nil"/>
              <w:bottom w:val="single" w:color="000000" w:sz="8" w:space="0"/>
              <w:right w:val="single" w:color="000000" w:sz="8" w:space="0"/>
            </w:tcBorders>
            <w:shd w:val="clear" w:color="auto" w:fill="auto"/>
            <w:vAlign w:val="center"/>
          </w:tcPr>
          <w:p w14:paraId="4DC786E4">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根据业主安排，提供培训、演练服务，每年至少一次；提供完善的培训实施计划、培训材料，由有网络安全相关资质的讲师承担；提供全面的演练实施方案，提供相关应急物资，提供演练技术服务，并形成完整的演练资料，根据演练情况完善或修改应急预案；根据业主单位完成保网</w:t>
            </w:r>
            <w:r>
              <w:rPr>
                <w:color w:val="auto"/>
                <w:kern w:val="0"/>
                <w:szCs w:val="21"/>
                <w:highlight w:val="none"/>
              </w:rPr>
              <w:t>/</w:t>
            </w:r>
            <w:r>
              <w:rPr>
                <w:rFonts w:hint="eastAsia" w:ascii="宋体" w:hAnsi="宋体" w:cs="宋体"/>
                <w:color w:val="auto"/>
                <w:kern w:val="0"/>
                <w:szCs w:val="21"/>
                <w:highlight w:val="none"/>
              </w:rPr>
              <w:t>护网工作，提供全面的保网</w:t>
            </w:r>
            <w:r>
              <w:rPr>
                <w:color w:val="auto"/>
                <w:kern w:val="0"/>
                <w:szCs w:val="21"/>
                <w:highlight w:val="none"/>
              </w:rPr>
              <w:t>/</w:t>
            </w:r>
            <w:r>
              <w:rPr>
                <w:rFonts w:hint="eastAsia" w:ascii="宋体" w:hAnsi="宋体" w:cs="宋体"/>
                <w:color w:val="auto"/>
                <w:kern w:val="0"/>
                <w:szCs w:val="21"/>
                <w:highlight w:val="none"/>
              </w:rPr>
              <w:t>护网方案，提供技术支撑，并形成完整的保网</w:t>
            </w:r>
            <w:r>
              <w:rPr>
                <w:color w:val="auto"/>
                <w:kern w:val="0"/>
                <w:szCs w:val="21"/>
                <w:highlight w:val="none"/>
              </w:rPr>
              <w:t>/</w:t>
            </w:r>
            <w:r>
              <w:rPr>
                <w:rFonts w:hint="eastAsia" w:ascii="宋体" w:hAnsi="宋体" w:cs="宋体"/>
                <w:color w:val="auto"/>
                <w:kern w:val="0"/>
                <w:szCs w:val="21"/>
                <w:highlight w:val="none"/>
              </w:rPr>
              <w:t>护网材料，并在保网</w:t>
            </w:r>
            <w:r>
              <w:rPr>
                <w:color w:val="auto"/>
                <w:kern w:val="0"/>
                <w:szCs w:val="21"/>
                <w:highlight w:val="none"/>
              </w:rPr>
              <w:t>/</w:t>
            </w:r>
            <w:r>
              <w:rPr>
                <w:rFonts w:hint="eastAsia" w:ascii="宋体" w:hAnsi="宋体" w:cs="宋体"/>
                <w:color w:val="auto"/>
                <w:kern w:val="0"/>
                <w:szCs w:val="21"/>
                <w:highlight w:val="none"/>
              </w:rPr>
              <w:t>护网期间安排驻场值守人员。</w:t>
            </w:r>
          </w:p>
        </w:tc>
      </w:tr>
      <w:tr w14:paraId="36BA168F">
        <w:tblPrEx>
          <w:tblCellMar>
            <w:top w:w="0" w:type="dxa"/>
            <w:left w:w="108" w:type="dxa"/>
            <w:bottom w:w="0" w:type="dxa"/>
            <w:right w:w="108" w:type="dxa"/>
          </w:tblCellMar>
        </w:tblPrEx>
        <w:trPr>
          <w:trHeight w:val="1040"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646246EF">
            <w:pPr>
              <w:widowControl/>
              <w:jc w:val="center"/>
              <w:rPr>
                <w:rFonts w:hint="eastAsia"/>
                <w:color w:val="auto"/>
                <w:kern w:val="0"/>
                <w:szCs w:val="21"/>
                <w:highlight w:val="none"/>
              </w:rPr>
            </w:pPr>
            <w:r>
              <w:rPr>
                <w:color w:val="auto"/>
                <w:kern w:val="0"/>
                <w:szCs w:val="21"/>
                <w:highlight w:val="none"/>
              </w:rPr>
              <w:t>5</w:t>
            </w:r>
          </w:p>
        </w:tc>
        <w:tc>
          <w:tcPr>
            <w:tcW w:w="1919" w:type="dxa"/>
            <w:gridSpan w:val="2"/>
            <w:tcBorders>
              <w:top w:val="nil"/>
              <w:left w:val="nil"/>
              <w:bottom w:val="single" w:color="000000" w:sz="8" w:space="0"/>
              <w:right w:val="single" w:color="000000" w:sz="8" w:space="0"/>
            </w:tcBorders>
            <w:shd w:val="clear" w:color="auto" w:fill="auto"/>
            <w:vAlign w:val="center"/>
          </w:tcPr>
          <w:p w14:paraId="4331A84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应急响应服务</w:t>
            </w:r>
          </w:p>
        </w:tc>
        <w:tc>
          <w:tcPr>
            <w:tcW w:w="6520" w:type="dxa"/>
            <w:tcBorders>
              <w:top w:val="nil"/>
              <w:left w:val="nil"/>
              <w:bottom w:val="single" w:color="000000" w:sz="8" w:space="0"/>
              <w:right w:val="single" w:color="000000" w:sz="8" w:space="0"/>
            </w:tcBorders>
            <w:shd w:val="clear" w:color="auto" w:fill="auto"/>
            <w:vAlign w:val="center"/>
          </w:tcPr>
          <w:p w14:paraId="6FDC8452">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提供重大时刻安全保障；对业主网站提供</w:t>
            </w:r>
            <w:r>
              <w:rPr>
                <w:color w:val="auto"/>
                <w:kern w:val="0"/>
                <w:szCs w:val="21"/>
                <w:highlight w:val="none"/>
              </w:rPr>
              <w:t>7*24</w:t>
            </w:r>
            <w:r>
              <w:rPr>
                <w:rFonts w:hint="eastAsia" w:ascii="宋体" w:hAnsi="宋体" w:cs="宋体"/>
                <w:color w:val="auto"/>
                <w:kern w:val="0"/>
                <w:szCs w:val="21"/>
                <w:highlight w:val="none"/>
              </w:rPr>
              <w:t>小时实时监测服务；当业主单位发生网络安全事件或事件预警时，应半小时响应，并根据情况派出安全专家团队开展事件响应工作，制订应急处置方案，现场排查处理安全事件，保障业务系统的连续性，阻止和减小安全事件带来的负面影响；专家团队必须第一时间通过电话进行远程指导，一小时内到达现场；事后完善相关过程资料。</w:t>
            </w:r>
          </w:p>
        </w:tc>
      </w:tr>
      <w:tr w14:paraId="6D278B4D">
        <w:tblPrEx>
          <w:tblCellMar>
            <w:top w:w="0" w:type="dxa"/>
            <w:left w:w="108" w:type="dxa"/>
            <w:bottom w:w="0" w:type="dxa"/>
            <w:right w:w="108" w:type="dxa"/>
          </w:tblCellMar>
        </w:tblPrEx>
        <w:trPr>
          <w:trHeight w:val="1026" w:hRule="atLeast"/>
        </w:trPr>
        <w:tc>
          <w:tcPr>
            <w:tcW w:w="623" w:type="dxa"/>
            <w:vMerge w:val="restart"/>
            <w:tcBorders>
              <w:top w:val="nil"/>
              <w:left w:val="single" w:color="000000" w:sz="8" w:space="0"/>
              <w:bottom w:val="single" w:color="000000" w:sz="8" w:space="0"/>
              <w:right w:val="single" w:color="000000" w:sz="8" w:space="0"/>
            </w:tcBorders>
            <w:shd w:val="clear" w:color="auto" w:fill="auto"/>
            <w:vAlign w:val="center"/>
          </w:tcPr>
          <w:p w14:paraId="094D1950">
            <w:pPr>
              <w:widowControl/>
              <w:jc w:val="center"/>
              <w:rPr>
                <w:rFonts w:hint="eastAsia"/>
                <w:color w:val="auto"/>
                <w:kern w:val="0"/>
                <w:szCs w:val="21"/>
                <w:highlight w:val="none"/>
              </w:rPr>
            </w:pPr>
            <w:r>
              <w:rPr>
                <w:color w:val="auto"/>
                <w:kern w:val="0"/>
                <w:szCs w:val="21"/>
                <w:highlight w:val="none"/>
              </w:rPr>
              <w:t>6</w:t>
            </w:r>
          </w:p>
        </w:tc>
        <w:tc>
          <w:tcPr>
            <w:tcW w:w="623" w:type="dxa"/>
            <w:vMerge w:val="restart"/>
            <w:tcBorders>
              <w:top w:val="nil"/>
              <w:left w:val="nil"/>
              <w:bottom w:val="single" w:color="000000" w:sz="8" w:space="0"/>
              <w:right w:val="single" w:color="000000" w:sz="8" w:space="0"/>
            </w:tcBorders>
            <w:shd w:val="clear" w:color="auto" w:fill="auto"/>
            <w:vAlign w:val="center"/>
          </w:tcPr>
          <w:p w14:paraId="61E9A49D">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网络安全检查服务</w:t>
            </w:r>
          </w:p>
        </w:tc>
        <w:tc>
          <w:tcPr>
            <w:tcW w:w="1296" w:type="dxa"/>
            <w:vMerge w:val="restart"/>
            <w:tcBorders>
              <w:top w:val="nil"/>
              <w:left w:val="nil"/>
              <w:bottom w:val="single" w:color="000000" w:sz="8" w:space="0"/>
              <w:right w:val="single" w:color="000000" w:sz="8" w:space="0"/>
            </w:tcBorders>
            <w:shd w:val="clear" w:color="auto" w:fill="auto"/>
            <w:vAlign w:val="center"/>
          </w:tcPr>
          <w:p w14:paraId="2E05B019">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专项安全检查</w:t>
            </w:r>
          </w:p>
        </w:tc>
        <w:tc>
          <w:tcPr>
            <w:tcW w:w="6520" w:type="dxa"/>
            <w:tcBorders>
              <w:top w:val="nil"/>
              <w:left w:val="nil"/>
              <w:bottom w:val="single" w:color="000000" w:sz="8" w:space="0"/>
              <w:right w:val="single" w:color="000000" w:sz="8" w:space="0"/>
            </w:tcBorders>
            <w:shd w:val="clear" w:color="auto" w:fill="auto"/>
            <w:vAlign w:val="center"/>
          </w:tcPr>
          <w:p w14:paraId="4BDC2671">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配合业主对业主及下属单位网络安全情况进行季度检查和不定期抽查，编制检查方案，形成检查记录，汇总分析，并提供可行整改方案；配合业主接受上级单位安全检查，编制迎检方案，协助准备迎检材料，做好前期迎检工作，现场协助检查，提供相关技术支持，对检查情况进行问题汇总分析，并提供可行整改方案；协助业主开展问题整改。</w:t>
            </w:r>
          </w:p>
        </w:tc>
      </w:tr>
      <w:tr w14:paraId="46FADFF6">
        <w:tblPrEx>
          <w:tblCellMar>
            <w:top w:w="0" w:type="dxa"/>
            <w:left w:w="108" w:type="dxa"/>
            <w:bottom w:w="0" w:type="dxa"/>
            <w:right w:w="108" w:type="dxa"/>
          </w:tblCellMar>
        </w:tblPrEx>
        <w:trPr>
          <w:trHeight w:val="527" w:hRule="atLeast"/>
        </w:trPr>
        <w:tc>
          <w:tcPr>
            <w:tcW w:w="623" w:type="dxa"/>
            <w:vMerge w:val="continue"/>
            <w:tcBorders>
              <w:top w:val="nil"/>
              <w:left w:val="single" w:color="000000" w:sz="8" w:space="0"/>
              <w:bottom w:val="single" w:color="000000" w:sz="8" w:space="0"/>
              <w:right w:val="single" w:color="000000" w:sz="8" w:space="0"/>
            </w:tcBorders>
            <w:vAlign w:val="center"/>
          </w:tcPr>
          <w:p w14:paraId="0829F6F6">
            <w:pPr>
              <w:widowControl/>
              <w:jc w:val="left"/>
              <w:rPr>
                <w:color w:val="auto"/>
                <w:kern w:val="0"/>
                <w:szCs w:val="21"/>
                <w:highlight w:val="none"/>
              </w:rPr>
            </w:pPr>
          </w:p>
        </w:tc>
        <w:tc>
          <w:tcPr>
            <w:tcW w:w="623" w:type="dxa"/>
            <w:vMerge w:val="continue"/>
            <w:tcBorders>
              <w:top w:val="nil"/>
              <w:left w:val="nil"/>
              <w:bottom w:val="single" w:color="000000" w:sz="8" w:space="0"/>
              <w:right w:val="single" w:color="000000" w:sz="8" w:space="0"/>
            </w:tcBorders>
            <w:vAlign w:val="center"/>
          </w:tcPr>
          <w:p w14:paraId="3AF34E55">
            <w:pPr>
              <w:widowControl/>
              <w:jc w:val="left"/>
              <w:rPr>
                <w:rFonts w:ascii="宋体" w:hAnsi="宋体" w:cs="宋体"/>
                <w:color w:val="auto"/>
                <w:kern w:val="0"/>
                <w:szCs w:val="21"/>
                <w:highlight w:val="none"/>
              </w:rPr>
            </w:pPr>
          </w:p>
        </w:tc>
        <w:tc>
          <w:tcPr>
            <w:tcW w:w="1296" w:type="dxa"/>
            <w:vMerge w:val="continue"/>
            <w:tcBorders>
              <w:top w:val="nil"/>
              <w:left w:val="nil"/>
              <w:bottom w:val="single" w:color="000000" w:sz="8" w:space="0"/>
              <w:right w:val="single" w:color="000000" w:sz="8" w:space="0"/>
            </w:tcBorders>
            <w:vAlign w:val="center"/>
          </w:tcPr>
          <w:p w14:paraId="5DC5B8A0">
            <w:pPr>
              <w:widowControl/>
              <w:jc w:val="left"/>
              <w:rPr>
                <w:rFonts w:ascii="宋体" w:hAnsi="宋体" w:cs="宋体"/>
                <w:color w:val="auto"/>
                <w:kern w:val="0"/>
                <w:szCs w:val="21"/>
                <w:highlight w:val="none"/>
              </w:rPr>
            </w:pPr>
          </w:p>
        </w:tc>
        <w:tc>
          <w:tcPr>
            <w:tcW w:w="6520" w:type="dxa"/>
            <w:tcBorders>
              <w:top w:val="nil"/>
              <w:left w:val="nil"/>
              <w:bottom w:val="single" w:color="000000" w:sz="8" w:space="0"/>
              <w:right w:val="single" w:color="000000" w:sz="8" w:space="0"/>
            </w:tcBorders>
            <w:shd w:val="clear" w:color="auto" w:fill="auto"/>
            <w:vAlign w:val="center"/>
          </w:tcPr>
          <w:p w14:paraId="35EF4BAD">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重大节假日、重要会议、重大活动、敏感时期等重要期间前期配合业主开展节前巡检、安全自查、检查与整改，期间安全值守，形成相关方案、记录等。（</w:t>
            </w:r>
            <w:r>
              <w:rPr>
                <w:color w:val="auto"/>
                <w:kern w:val="0"/>
                <w:szCs w:val="21"/>
                <w:highlight w:val="none"/>
              </w:rPr>
              <w:t>24</w:t>
            </w:r>
            <w:r>
              <w:rPr>
                <w:rFonts w:hint="eastAsia" w:ascii="宋体" w:hAnsi="宋体" w:cs="宋体"/>
                <w:color w:val="auto"/>
                <w:kern w:val="0"/>
                <w:szCs w:val="21"/>
                <w:highlight w:val="none"/>
              </w:rPr>
              <w:t>小时现场值班，至少</w:t>
            </w:r>
            <w:r>
              <w:rPr>
                <w:color w:val="auto"/>
                <w:kern w:val="0"/>
                <w:szCs w:val="21"/>
                <w:highlight w:val="none"/>
              </w:rPr>
              <w:t>2</w:t>
            </w:r>
            <w:r>
              <w:rPr>
                <w:rFonts w:hint="eastAsia" w:ascii="宋体" w:hAnsi="宋体" w:cs="宋体"/>
                <w:color w:val="auto"/>
                <w:kern w:val="0"/>
                <w:szCs w:val="21"/>
                <w:highlight w:val="none"/>
              </w:rPr>
              <w:t>人同时在场）</w:t>
            </w:r>
          </w:p>
        </w:tc>
      </w:tr>
      <w:tr w14:paraId="4F7E2FC7">
        <w:tblPrEx>
          <w:tblCellMar>
            <w:top w:w="0" w:type="dxa"/>
            <w:left w:w="108" w:type="dxa"/>
            <w:bottom w:w="0" w:type="dxa"/>
            <w:right w:w="108" w:type="dxa"/>
          </w:tblCellMar>
        </w:tblPrEx>
        <w:trPr>
          <w:trHeight w:val="263" w:hRule="atLeast"/>
        </w:trPr>
        <w:tc>
          <w:tcPr>
            <w:tcW w:w="623" w:type="dxa"/>
            <w:vMerge w:val="continue"/>
            <w:tcBorders>
              <w:top w:val="nil"/>
              <w:left w:val="single" w:color="000000" w:sz="8" w:space="0"/>
              <w:bottom w:val="single" w:color="000000" w:sz="8" w:space="0"/>
              <w:right w:val="single" w:color="000000" w:sz="8" w:space="0"/>
            </w:tcBorders>
            <w:vAlign w:val="center"/>
          </w:tcPr>
          <w:p w14:paraId="6D6A472D">
            <w:pPr>
              <w:widowControl/>
              <w:jc w:val="left"/>
              <w:rPr>
                <w:color w:val="auto"/>
                <w:kern w:val="0"/>
                <w:szCs w:val="21"/>
                <w:highlight w:val="none"/>
              </w:rPr>
            </w:pPr>
          </w:p>
        </w:tc>
        <w:tc>
          <w:tcPr>
            <w:tcW w:w="1919" w:type="dxa"/>
            <w:gridSpan w:val="2"/>
            <w:tcBorders>
              <w:top w:val="nil"/>
              <w:left w:val="nil"/>
              <w:bottom w:val="single" w:color="000000" w:sz="8" w:space="0"/>
              <w:right w:val="single" w:color="000000" w:sz="8" w:space="0"/>
            </w:tcBorders>
            <w:shd w:val="clear" w:color="auto" w:fill="auto"/>
            <w:vAlign w:val="center"/>
          </w:tcPr>
          <w:p w14:paraId="4C870182">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新建信息化项目安全保障</w:t>
            </w:r>
          </w:p>
        </w:tc>
        <w:tc>
          <w:tcPr>
            <w:tcW w:w="6520" w:type="dxa"/>
            <w:tcBorders>
              <w:top w:val="nil"/>
              <w:left w:val="nil"/>
              <w:bottom w:val="single" w:color="000000" w:sz="8" w:space="0"/>
              <w:right w:val="single" w:color="000000" w:sz="8" w:space="0"/>
            </w:tcBorders>
            <w:shd w:val="clear" w:color="auto" w:fill="auto"/>
            <w:vAlign w:val="center"/>
          </w:tcPr>
          <w:p w14:paraId="43BECBB5">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对新系统提出整体安全建议及规划，发布上线前进行安全漏洞扫描、渗透测试等，并提供检测报告。</w:t>
            </w:r>
          </w:p>
        </w:tc>
      </w:tr>
      <w:tr w14:paraId="54241AF9">
        <w:tblPrEx>
          <w:tblCellMar>
            <w:top w:w="0" w:type="dxa"/>
            <w:left w:w="108" w:type="dxa"/>
            <w:bottom w:w="0" w:type="dxa"/>
            <w:right w:w="108" w:type="dxa"/>
          </w:tblCellMar>
        </w:tblPrEx>
        <w:trPr>
          <w:trHeight w:val="527" w:hRule="atLeast"/>
        </w:trPr>
        <w:tc>
          <w:tcPr>
            <w:tcW w:w="623" w:type="dxa"/>
            <w:vMerge w:val="continue"/>
            <w:tcBorders>
              <w:top w:val="nil"/>
              <w:left w:val="single" w:color="000000" w:sz="8" w:space="0"/>
              <w:bottom w:val="single" w:color="000000" w:sz="8" w:space="0"/>
              <w:right w:val="single" w:color="000000" w:sz="8" w:space="0"/>
            </w:tcBorders>
            <w:vAlign w:val="center"/>
          </w:tcPr>
          <w:p w14:paraId="2CE08FF5">
            <w:pPr>
              <w:widowControl/>
              <w:jc w:val="left"/>
              <w:rPr>
                <w:color w:val="auto"/>
                <w:kern w:val="0"/>
                <w:szCs w:val="21"/>
                <w:highlight w:val="none"/>
              </w:rPr>
            </w:pPr>
          </w:p>
        </w:tc>
        <w:tc>
          <w:tcPr>
            <w:tcW w:w="1919" w:type="dxa"/>
            <w:gridSpan w:val="2"/>
            <w:tcBorders>
              <w:top w:val="nil"/>
              <w:left w:val="nil"/>
              <w:bottom w:val="single" w:color="000000" w:sz="8" w:space="0"/>
              <w:right w:val="single" w:color="000000" w:sz="8" w:space="0"/>
            </w:tcBorders>
            <w:shd w:val="clear" w:color="auto" w:fill="auto"/>
            <w:vAlign w:val="center"/>
          </w:tcPr>
          <w:p w14:paraId="1289477C">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日常巡检</w:t>
            </w:r>
          </w:p>
        </w:tc>
        <w:tc>
          <w:tcPr>
            <w:tcW w:w="6520" w:type="dxa"/>
            <w:tcBorders>
              <w:top w:val="nil"/>
              <w:left w:val="nil"/>
              <w:bottom w:val="single" w:color="000000" w:sz="8" w:space="0"/>
              <w:right w:val="single" w:color="000000" w:sz="8" w:space="0"/>
            </w:tcBorders>
            <w:shd w:val="clear" w:color="auto" w:fill="auto"/>
            <w:vAlign w:val="center"/>
          </w:tcPr>
          <w:p w14:paraId="0859A414">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提供资产梳理及日常巡检服务，</w:t>
            </w:r>
            <w:r>
              <w:rPr>
                <w:color w:val="auto"/>
                <w:kern w:val="0"/>
                <w:szCs w:val="21"/>
                <w:highlight w:val="none"/>
              </w:rPr>
              <w:t>7*24</w:t>
            </w:r>
            <w:r>
              <w:rPr>
                <w:rFonts w:hint="eastAsia" w:ascii="宋体" w:hAnsi="宋体" w:cs="宋体"/>
                <w:color w:val="auto"/>
                <w:kern w:val="0"/>
                <w:szCs w:val="21"/>
                <w:highlight w:val="none"/>
              </w:rPr>
              <w:t>小时网站实时安全监测、不定期对服务器、网络、终端关键设备开展日常巡检，并形成记录文档，并及时更新资产。</w:t>
            </w:r>
          </w:p>
        </w:tc>
      </w:tr>
      <w:tr w14:paraId="1DCA55E4">
        <w:tblPrEx>
          <w:tblCellMar>
            <w:top w:w="0" w:type="dxa"/>
            <w:left w:w="108" w:type="dxa"/>
            <w:bottom w:w="0" w:type="dxa"/>
            <w:right w:w="108" w:type="dxa"/>
          </w:tblCellMar>
        </w:tblPrEx>
        <w:trPr>
          <w:trHeight w:val="263" w:hRule="atLeast"/>
        </w:trPr>
        <w:tc>
          <w:tcPr>
            <w:tcW w:w="623" w:type="dxa"/>
            <w:vMerge w:val="continue"/>
            <w:tcBorders>
              <w:top w:val="nil"/>
              <w:left w:val="single" w:color="000000" w:sz="8" w:space="0"/>
              <w:bottom w:val="single" w:color="000000" w:sz="8" w:space="0"/>
              <w:right w:val="single" w:color="000000" w:sz="8" w:space="0"/>
            </w:tcBorders>
            <w:vAlign w:val="center"/>
          </w:tcPr>
          <w:p w14:paraId="45FEB7CF">
            <w:pPr>
              <w:widowControl/>
              <w:jc w:val="left"/>
              <w:rPr>
                <w:color w:val="auto"/>
                <w:kern w:val="0"/>
                <w:szCs w:val="21"/>
                <w:highlight w:val="none"/>
              </w:rPr>
            </w:pPr>
          </w:p>
        </w:tc>
        <w:tc>
          <w:tcPr>
            <w:tcW w:w="1919" w:type="dxa"/>
            <w:gridSpan w:val="2"/>
            <w:tcBorders>
              <w:top w:val="nil"/>
              <w:left w:val="nil"/>
              <w:bottom w:val="single" w:color="000000" w:sz="8" w:space="0"/>
              <w:right w:val="single" w:color="000000" w:sz="8" w:space="0"/>
            </w:tcBorders>
            <w:shd w:val="clear" w:color="auto" w:fill="auto"/>
            <w:vAlign w:val="center"/>
          </w:tcPr>
          <w:p w14:paraId="66C02E8A">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风险评估</w:t>
            </w:r>
          </w:p>
        </w:tc>
        <w:tc>
          <w:tcPr>
            <w:tcW w:w="6520" w:type="dxa"/>
            <w:tcBorders>
              <w:top w:val="nil"/>
              <w:left w:val="nil"/>
              <w:bottom w:val="single" w:color="000000" w:sz="8" w:space="0"/>
              <w:right w:val="single" w:color="000000" w:sz="8" w:space="0"/>
            </w:tcBorders>
            <w:shd w:val="clear" w:color="auto" w:fill="auto"/>
            <w:vAlign w:val="center"/>
          </w:tcPr>
          <w:p w14:paraId="7CF5CBD4">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每年至少开展一次风险评估。</w:t>
            </w:r>
          </w:p>
        </w:tc>
      </w:tr>
      <w:tr w14:paraId="05DF60CB">
        <w:tblPrEx>
          <w:tblCellMar>
            <w:top w:w="0" w:type="dxa"/>
            <w:left w:w="108" w:type="dxa"/>
            <w:bottom w:w="0" w:type="dxa"/>
            <w:right w:w="108" w:type="dxa"/>
          </w:tblCellMar>
        </w:tblPrEx>
        <w:trPr>
          <w:trHeight w:val="527" w:hRule="atLeast"/>
        </w:trPr>
        <w:tc>
          <w:tcPr>
            <w:tcW w:w="623" w:type="dxa"/>
            <w:vMerge w:val="continue"/>
            <w:tcBorders>
              <w:top w:val="nil"/>
              <w:left w:val="single" w:color="000000" w:sz="8" w:space="0"/>
              <w:bottom w:val="single" w:color="000000" w:sz="8" w:space="0"/>
              <w:right w:val="single" w:color="000000" w:sz="8" w:space="0"/>
            </w:tcBorders>
            <w:vAlign w:val="center"/>
          </w:tcPr>
          <w:p w14:paraId="6E634A9E">
            <w:pPr>
              <w:widowControl/>
              <w:jc w:val="left"/>
              <w:rPr>
                <w:color w:val="auto"/>
                <w:kern w:val="0"/>
                <w:szCs w:val="21"/>
                <w:highlight w:val="none"/>
              </w:rPr>
            </w:pPr>
          </w:p>
        </w:tc>
        <w:tc>
          <w:tcPr>
            <w:tcW w:w="1919" w:type="dxa"/>
            <w:gridSpan w:val="2"/>
            <w:tcBorders>
              <w:top w:val="nil"/>
              <w:left w:val="nil"/>
              <w:bottom w:val="single" w:color="000000" w:sz="8" w:space="0"/>
              <w:right w:val="single" w:color="000000" w:sz="8" w:space="0"/>
            </w:tcBorders>
            <w:shd w:val="clear" w:color="auto" w:fill="auto"/>
            <w:vAlign w:val="center"/>
          </w:tcPr>
          <w:p w14:paraId="70BB97C7">
            <w:pPr>
              <w:widowControl/>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季度巡检</w:t>
            </w:r>
          </w:p>
        </w:tc>
        <w:tc>
          <w:tcPr>
            <w:tcW w:w="6520" w:type="dxa"/>
            <w:tcBorders>
              <w:top w:val="nil"/>
              <w:left w:val="nil"/>
              <w:bottom w:val="single" w:color="000000" w:sz="8" w:space="0"/>
              <w:right w:val="single" w:color="000000" w:sz="8" w:space="0"/>
            </w:tcBorders>
            <w:shd w:val="clear" w:color="auto" w:fill="auto"/>
            <w:vAlign w:val="center"/>
          </w:tcPr>
          <w:p w14:paraId="233EB82F">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每季度开展不少于一次的巡检服务，内容包括且不限于现场物理环境检查、渗透测试、风险评估、基线核查、</w:t>
            </w:r>
            <w:r>
              <w:rPr>
                <w:color w:val="auto"/>
                <w:kern w:val="0"/>
                <w:szCs w:val="21"/>
                <w:highlight w:val="none"/>
              </w:rPr>
              <w:t>WEB</w:t>
            </w:r>
            <w:r>
              <w:rPr>
                <w:rFonts w:hint="eastAsia" w:ascii="宋体" w:hAnsi="宋体" w:cs="宋体"/>
                <w:color w:val="auto"/>
                <w:kern w:val="0"/>
                <w:szCs w:val="21"/>
                <w:highlight w:val="none"/>
              </w:rPr>
              <w:t>扫描、漏洞扫描、基线检查、弱口令、恶意代码检查、日志审计等。</w:t>
            </w:r>
          </w:p>
        </w:tc>
      </w:tr>
      <w:tr w14:paraId="3B79FE33">
        <w:tblPrEx>
          <w:tblCellMar>
            <w:top w:w="0" w:type="dxa"/>
            <w:left w:w="108" w:type="dxa"/>
            <w:bottom w:w="0" w:type="dxa"/>
            <w:right w:w="108" w:type="dxa"/>
          </w:tblCellMar>
        </w:tblPrEx>
        <w:trPr>
          <w:trHeight w:val="513"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16ED73AB">
            <w:pPr>
              <w:widowControl/>
              <w:jc w:val="center"/>
              <w:rPr>
                <w:rFonts w:hint="eastAsia"/>
                <w:color w:val="auto"/>
                <w:kern w:val="0"/>
                <w:szCs w:val="21"/>
                <w:highlight w:val="none"/>
              </w:rPr>
            </w:pPr>
            <w:r>
              <w:rPr>
                <w:color w:val="auto"/>
                <w:kern w:val="0"/>
                <w:szCs w:val="21"/>
                <w:highlight w:val="none"/>
              </w:rPr>
              <w:t>7</w:t>
            </w:r>
          </w:p>
        </w:tc>
        <w:tc>
          <w:tcPr>
            <w:tcW w:w="1919" w:type="dxa"/>
            <w:gridSpan w:val="2"/>
            <w:tcBorders>
              <w:top w:val="nil"/>
              <w:left w:val="nil"/>
              <w:bottom w:val="single" w:color="000000" w:sz="8" w:space="0"/>
              <w:right w:val="single" w:color="000000" w:sz="8" w:space="0"/>
            </w:tcBorders>
            <w:shd w:val="clear" w:color="auto" w:fill="auto"/>
            <w:vAlign w:val="center"/>
          </w:tcPr>
          <w:p w14:paraId="399B30B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加固服务</w:t>
            </w:r>
          </w:p>
        </w:tc>
        <w:tc>
          <w:tcPr>
            <w:tcW w:w="6520" w:type="dxa"/>
            <w:tcBorders>
              <w:top w:val="nil"/>
              <w:left w:val="nil"/>
              <w:bottom w:val="single" w:color="000000" w:sz="8" w:space="0"/>
              <w:right w:val="single" w:color="000000" w:sz="8" w:space="0"/>
            </w:tcBorders>
            <w:shd w:val="clear" w:color="auto" w:fill="auto"/>
            <w:vAlign w:val="center"/>
          </w:tcPr>
          <w:p w14:paraId="514D21BA">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提供安全漏洞修复、安全基线配置、网络及主机安全策略优化等服务，若需外单位协助整改，提供整改细则说明及相关配合工作。</w:t>
            </w:r>
          </w:p>
        </w:tc>
      </w:tr>
      <w:tr w14:paraId="485ED154">
        <w:tblPrEx>
          <w:tblCellMar>
            <w:top w:w="0" w:type="dxa"/>
            <w:left w:w="108" w:type="dxa"/>
            <w:bottom w:w="0" w:type="dxa"/>
            <w:right w:w="108" w:type="dxa"/>
          </w:tblCellMar>
        </w:tblPrEx>
        <w:trPr>
          <w:trHeight w:val="513"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28E95286">
            <w:pPr>
              <w:widowControl/>
              <w:jc w:val="center"/>
              <w:rPr>
                <w:rFonts w:hint="eastAsia"/>
                <w:color w:val="auto"/>
                <w:kern w:val="0"/>
                <w:szCs w:val="21"/>
                <w:highlight w:val="none"/>
              </w:rPr>
            </w:pPr>
            <w:r>
              <w:rPr>
                <w:color w:val="auto"/>
                <w:kern w:val="0"/>
                <w:szCs w:val="21"/>
                <w:highlight w:val="none"/>
              </w:rPr>
              <w:t>8</w:t>
            </w:r>
          </w:p>
        </w:tc>
        <w:tc>
          <w:tcPr>
            <w:tcW w:w="1919" w:type="dxa"/>
            <w:gridSpan w:val="2"/>
            <w:tcBorders>
              <w:top w:val="nil"/>
              <w:left w:val="nil"/>
              <w:bottom w:val="single" w:color="000000" w:sz="8" w:space="0"/>
              <w:right w:val="single" w:color="000000" w:sz="8" w:space="0"/>
            </w:tcBorders>
            <w:shd w:val="clear" w:color="auto" w:fill="auto"/>
            <w:vAlign w:val="center"/>
          </w:tcPr>
          <w:p w14:paraId="0155FA66">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安全咨询服务</w:t>
            </w:r>
          </w:p>
        </w:tc>
        <w:tc>
          <w:tcPr>
            <w:tcW w:w="6520" w:type="dxa"/>
            <w:tcBorders>
              <w:top w:val="nil"/>
              <w:left w:val="nil"/>
              <w:bottom w:val="single" w:color="000000" w:sz="8" w:space="0"/>
              <w:right w:val="single" w:color="000000" w:sz="8" w:space="0"/>
            </w:tcBorders>
            <w:shd w:val="clear" w:color="auto" w:fill="auto"/>
            <w:vAlign w:val="center"/>
          </w:tcPr>
          <w:p w14:paraId="0313009B">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包含且不限于按照路网公司要求落实网络安全整体建设规划、设计网络结构改造及优化方案、网络技术咨询、安全技术咨询、安全需求分析、建设期间安全咨询、相关政策文件及上级单位文件落实咨询等服务。</w:t>
            </w:r>
          </w:p>
        </w:tc>
      </w:tr>
      <w:tr w14:paraId="0EEADDF7">
        <w:tblPrEx>
          <w:tblCellMar>
            <w:top w:w="0" w:type="dxa"/>
            <w:left w:w="108" w:type="dxa"/>
            <w:bottom w:w="0" w:type="dxa"/>
            <w:right w:w="108" w:type="dxa"/>
          </w:tblCellMar>
        </w:tblPrEx>
        <w:trPr>
          <w:trHeight w:val="769"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15AC71DD">
            <w:pPr>
              <w:widowControl/>
              <w:jc w:val="center"/>
              <w:rPr>
                <w:rFonts w:hint="eastAsia"/>
                <w:color w:val="auto"/>
                <w:kern w:val="0"/>
                <w:szCs w:val="21"/>
                <w:highlight w:val="none"/>
              </w:rPr>
            </w:pPr>
            <w:r>
              <w:rPr>
                <w:color w:val="auto"/>
                <w:kern w:val="0"/>
                <w:szCs w:val="21"/>
                <w:highlight w:val="none"/>
              </w:rPr>
              <w:t>9</w:t>
            </w:r>
          </w:p>
        </w:tc>
        <w:tc>
          <w:tcPr>
            <w:tcW w:w="1919" w:type="dxa"/>
            <w:gridSpan w:val="2"/>
            <w:tcBorders>
              <w:top w:val="nil"/>
              <w:left w:val="nil"/>
              <w:bottom w:val="single" w:color="000000" w:sz="8" w:space="0"/>
              <w:right w:val="single" w:color="000000" w:sz="8" w:space="0"/>
            </w:tcBorders>
            <w:shd w:val="clear" w:color="auto" w:fill="auto"/>
            <w:vAlign w:val="center"/>
          </w:tcPr>
          <w:p w14:paraId="576019B0">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专项通报服务</w:t>
            </w:r>
          </w:p>
        </w:tc>
        <w:tc>
          <w:tcPr>
            <w:tcW w:w="6520" w:type="dxa"/>
            <w:tcBorders>
              <w:top w:val="nil"/>
              <w:left w:val="nil"/>
              <w:bottom w:val="single" w:color="000000" w:sz="8" w:space="0"/>
              <w:right w:val="single" w:color="000000" w:sz="8" w:space="0"/>
            </w:tcBorders>
            <w:shd w:val="clear" w:color="auto" w:fill="auto"/>
            <w:vAlign w:val="center"/>
          </w:tcPr>
          <w:p w14:paraId="43154FF4">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根据上级单位要求及本单位通报规范，提供通报数据来源分析、通报信息汇总等服务；针对网监、网信办、交通部、交通局等上级单位及互联网安全漏洞预警通知、安全通报、安全风险排查等响应，提供技术解决方案并处理，提交处理反馈报告；制定重大时刻工作计划与工作方案等。</w:t>
            </w:r>
          </w:p>
        </w:tc>
      </w:tr>
      <w:tr w14:paraId="743128A1">
        <w:tblPrEx>
          <w:tblCellMar>
            <w:top w:w="0" w:type="dxa"/>
            <w:left w:w="108" w:type="dxa"/>
            <w:bottom w:w="0" w:type="dxa"/>
            <w:right w:w="108" w:type="dxa"/>
          </w:tblCellMar>
        </w:tblPrEx>
        <w:trPr>
          <w:trHeight w:val="542" w:hRule="atLeast"/>
        </w:trPr>
        <w:tc>
          <w:tcPr>
            <w:tcW w:w="623" w:type="dxa"/>
            <w:vMerge w:val="restart"/>
            <w:tcBorders>
              <w:top w:val="nil"/>
              <w:left w:val="single" w:color="000000" w:sz="8" w:space="0"/>
              <w:bottom w:val="single" w:color="000000" w:sz="8" w:space="0"/>
              <w:right w:val="single" w:color="000000" w:sz="8" w:space="0"/>
            </w:tcBorders>
            <w:shd w:val="clear" w:color="auto" w:fill="auto"/>
            <w:vAlign w:val="center"/>
          </w:tcPr>
          <w:p w14:paraId="6300C397">
            <w:pPr>
              <w:widowControl/>
              <w:jc w:val="center"/>
              <w:rPr>
                <w:rFonts w:hint="eastAsia"/>
                <w:color w:val="auto"/>
                <w:kern w:val="0"/>
                <w:szCs w:val="21"/>
                <w:highlight w:val="none"/>
              </w:rPr>
            </w:pPr>
            <w:r>
              <w:rPr>
                <w:color w:val="auto"/>
                <w:kern w:val="0"/>
                <w:szCs w:val="21"/>
                <w:highlight w:val="none"/>
              </w:rPr>
              <w:t>10</w:t>
            </w:r>
          </w:p>
        </w:tc>
        <w:tc>
          <w:tcPr>
            <w:tcW w:w="1919" w:type="dxa"/>
            <w:gridSpan w:val="2"/>
            <w:vMerge w:val="restart"/>
            <w:tcBorders>
              <w:top w:val="nil"/>
              <w:left w:val="nil"/>
              <w:bottom w:val="single" w:color="000000" w:sz="8" w:space="0"/>
              <w:right w:val="single" w:color="000000" w:sz="8" w:space="0"/>
            </w:tcBorders>
            <w:shd w:val="clear" w:color="auto" w:fill="auto"/>
            <w:vAlign w:val="center"/>
          </w:tcPr>
          <w:p w14:paraId="33377AEA">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网站安全监测</w:t>
            </w:r>
          </w:p>
        </w:tc>
        <w:tc>
          <w:tcPr>
            <w:tcW w:w="6520" w:type="dxa"/>
            <w:tcBorders>
              <w:top w:val="nil"/>
              <w:left w:val="nil"/>
              <w:bottom w:val="nil"/>
              <w:right w:val="single" w:color="000000" w:sz="8" w:space="0"/>
            </w:tcBorders>
            <w:shd w:val="clear" w:color="auto" w:fill="auto"/>
          </w:tcPr>
          <w:p w14:paraId="2035461E">
            <w:pPr>
              <w:widowControl/>
              <w:jc w:val="left"/>
              <w:rPr>
                <w:rFonts w:hint="eastAsia"/>
                <w:color w:val="auto"/>
                <w:kern w:val="0"/>
                <w:szCs w:val="21"/>
                <w:highlight w:val="none"/>
              </w:rPr>
            </w:pPr>
            <w:r>
              <w:rPr>
                <w:color w:val="auto"/>
                <w:kern w:val="0"/>
                <w:szCs w:val="21"/>
                <w:highlight w:val="none"/>
              </w:rPr>
              <w:t>1</w:t>
            </w:r>
            <w:r>
              <w:rPr>
                <w:rFonts w:hint="eastAsia" w:ascii="宋体" w:hAnsi="宋体"/>
                <w:color w:val="auto"/>
                <w:kern w:val="0"/>
                <w:szCs w:val="21"/>
                <w:highlight w:val="none"/>
              </w:rPr>
              <w:t>、对部署在云上的核心业务系统（</w:t>
            </w:r>
            <w:r>
              <w:rPr>
                <w:color w:val="auto"/>
                <w:kern w:val="0"/>
                <w:szCs w:val="21"/>
                <w:highlight w:val="none"/>
              </w:rPr>
              <w:t>OA</w:t>
            </w:r>
            <w:r>
              <w:rPr>
                <w:rFonts w:hint="eastAsia" w:ascii="宋体" w:hAnsi="宋体"/>
                <w:color w:val="auto"/>
                <w:kern w:val="0"/>
                <w:szCs w:val="21"/>
                <w:highlight w:val="none"/>
              </w:rPr>
              <w:t>系统、门户网站、财务等）的安全状况采用设备进行监测和预警通报，及时发现网站的安全事件和存在的隐患。对网站各方面进行</w:t>
            </w:r>
            <w:r>
              <w:rPr>
                <w:color w:val="auto"/>
                <w:kern w:val="0"/>
                <w:szCs w:val="21"/>
                <w:highlight w:val="none"/>
              </w:rPr>
              <w:t>7x24</w:t>
            </w:r>
            <w:r>
              <w:rPr>
                <w:rFonts w:hint="eastAsia" w:ascii="宋体" w:hAnsi="宋体"/>
                <w:color w:val="auto"/>
                <w:kern w:val="0"/>
                <w:szCs w:val="21"/>
                <w:highlight w:val="none"/>
              </w:rPr>
              <w:t>小时监测；</w:t>
            </w:r>
          </w:p>
        </w:tc>
      </w:tr>
      <w:tr w14:paraId="4F2306CC">
        <w:tblPrEx>
          <w:tblCellMar>
            <w:top w:w="0" w:type="dxa"/>
            <w:left w:w="108" w:type="dxa"/>
            <w:bottom w:w="0" w:type="dxa"/>
            <w:right w:w="108" w:type="dxa"/>
          </w:tblCellMar>
        </w:tblPrEx>
        <w:trPr>
          <w:trHeight w:val="271" w:hRule="atLeast"/>
        </w:trPr>
        <w:tc>
          <w:tcPr>
            <w:tcW w:w="623" w:type="dxa"/>
            <w:vMerge w:val="continue"/>
            <w:tcBorders>
              <w:top w:val="nil"/>
              <w:left w:val="single" w:color="000000" w:sz="8" w:space="0"/>
              <w:bottom w:val="single" w:color="000000" w:sz="8" w:space="0"/>
              <w:right w:val="single" w:color="000000" w:sz="8" w:space="0"/>
            </w:tcBorders>
            <w:vAlign w:val="center"/>
          </w:tcPr>
          <w:p w14:paraId="1832C719">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1349664A">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18AA0D01">
            <w:pPr>
              <w:widowControl/>
              <w:jc w:val="left"/>
              <w:rPr>
                <w:color w:val="auto"/>
                <w:kern w:val="0"/>
                <w:szCs w:val="21"/>
                <w:highlight w:val="none"/>
              </w:rPr>
            </w:pPr>
            <w:r>
              <w:rPr>
                <w:color w:val="auto"/>
                <w:kern w:val="0"/>
                <w:szCs w:val="21"/>
                <w:highlight w:val="none"/>
              </w:rPr>
              <w:t>2</w:t>
            </w:r>
            <w:r>
              <w:rPr>
                <w:rFonts w:hint="eastAsia" w:ascii="宋体" w:hAnsi="宋体"/>
                <w:color w:val="auto"/>
                <w:kern w:val="0"/>
                <w:szCs w:val="21"/>
                <w:highlight w:val="none"/>
              </w:rPr>
              <w:t>、网站安全监测要求如下：</w:t>
            </w:r>
          </w:p>
        </w:tc>
      </w:tr>
      <w:tr w14:paraId="5C24646A">
        <w:tblPrEx>
          <w:tblCellMar>
            <w:top w:w="0" w:type="dxa"/>
            <w:left w:w="108" w:type="dxa"/>
            <w:bottom w:w="0" w:type="dxa"/>
            <w:right w:w="108" w:type="dxa"/>
          </w:tblCellMar>
        </w:tblPrEx>
        <w:trPr>
          <w:trHeight w:val="527" w:hRule="atLeast"/>
        </w:trPr>
        <w:tc>
          <w:tcPr>
            <w:tcW w:w="623" w:type="dxa"/>
            <w:vMerge w:val="continue"/>
            <w:tcBorders>
              <w:top w:val="nil"/>
              <w:left w:val="single" w:color="000000" w:sz="8" w:space="0"/>
              <w:bottom w:val="single" w:color="000000" w:sz="8" w:space="0"/>
              <w:right w:val="single" w:color="000000" w:sz="8" w:space="0"/>
            </w:tcBorders>
            <w:vAlign w:val="center"/>
          </w:tcPr>
          <w:p w14:paraId="2AACF79A">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53772D5F">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102B7B8A">
            <w:pPr>
              <w:widowControl/>
              <w:jc w:val="left"/>
              <w:rPr>
                <w:rFonts w:ascii="宋体" w:hAnsi="宋体" w:cs="宋体"/>
                <w:color w:val="auto"/>
                <w:kern w:val="0"/>
                <w:szCs w:val="21"/>
                <w:highlight w:val="none"/>
              </w:rPr>
            </w:pPr>
            <w:r>
              <w:rPr>
                <w:rFonts w:hint="eastAsia" w:ascii="宋体" w:hAnsi="宋体" w:cs="宋体"/>
                <w:color w:val="auto"/>
                <w:kern w:val="0"/>
                <w:szCs w:val="21"/>
                <w:highlight w:val="none"/>
              </w:rPr>
              <w:t>监测内容与范围：能够对网站常见的隐患和安全灾害事故进行监测：漏洞隐患包括</w:t>
            </w:r>
            <w:r>
              <w:rPr>
                <w:color w:val="auto"/>
                <w:kern w:val="0"/>
                <w:szCs w:val="21"/>
                <w:highlight w:val="none"/>
              </w:rPr>
              <w:t>Web</w:t>
            </w:r>
            <w:r>
              <w:rPr>
                <w:rFonts w:hint="eastAsia" w:ascii="宋体" w:hAnsi="宋体" w:cs="宋体"/>
                <w:color w:val="auto"/>
                <w:kern w:val="0"/>
                <w:szCs w:val="21"/>
                <w:highlight w:val="none"/>
              </w:rPr>
              <w:t xml:space="preserve">漏洞和系统漏洞，常见的灾害事故包括挂马网页、篡改网页、含敏感内容网页。 </w:t>
            </w:r>
          </w:p>
        </w:tc>
      </w:tr>
      <w:tr w14:paraId="70EEBBE4">
        <w:tblPrEx>
          <w:tblCellMar>
            <w:top w:w="0" w:type="dxa"/>
            <w:left w:w="108" w:type="dxa"/>
            <w:bottom w:w="0" w:type="dxa"/>
            <w:right w:w="108" w:type="dxa"/>
          </w:tblCellMar>
        </w:tblPrEx>
        <w:trPr>
          <w:trHeight w:val="271" w:hRule="atLeast"/>
        </w:trPr>
        <w:tc>
          <w:tcPr>
            <w:tcW w:w="623" w:type="dxa"/>
            <w:vMerge w:val="continue"/>
            <w:tcBorders>
              <w:top w:val="nil"/>
              <w:left w:val="single" w:color="000000" w:sz="8" w:space="0"/>
              <w:bottom w:val="single" w:color="000000" w:sz="8" w:space="0"/>
              <w:right w:val="single" w:color="000000" w:sz="8" w:space="0"/>
            </w:tcBorders>
            <w:vAlign w:val="center"/>
          </w:tcPr>
          <w:p w14:paraId="1733B83D">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625BA093">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5B2E2F78">
            <w:pPr>
              <w:widowControl/>
              <w:jc w:val="left"/>
              <w:rPr>
                <w:rFonts w:hint="eastAsia"/>
                <w:b/>
                <w:bCs/>
                <w:color w:val="auto"/>
                <w:kern w:val="0"/>
                <w:szCs w:val="21"/>
                <w:highlight w:val="none"/>
              </w:rPr>
            </w:pPr>
            <w:r>
              <w:rPr>
                <w:b/>
                <w:bCs/>
                <w:color w:val="auto"/>
                <w:kern w:val="0"/>
                <w:szCs w:val="21"/>
                <w:highlight w:val="none"/>
              </w:rPr>
              <w:t>Web</w:t>
            </w:r>
            <w:r>
              <w:rPr>
                <w:rFonts w:hint="eastAsia" w:ascii="宋体" w:hAnsi="宋体"/>
                <w:b/>
                <w:bCs/>
                <w:color w:val="auto"/>
                <w:kern w:val="0"/>
                <w:szCs w:val="21"/>
                <w:highlight w:val="none"/>
              </w:rPr>
              <w:t>漏洞监测与扫描要求：</w:t>
            </w:r>
            <w:r>
              <w:rPr>
                <w:rFonts w:hint="eastAsia" w:ascii="宋体" w:hAnsi="宋体"/>
                <w:color w:val="auto"/>
                <w:kern w:val="0"/>
                <w:szCs w:val="21"/>
                <w:highlight w:val="none"/>
              </w:rPr>
              <w:t>每个月可以对所监测的网站进行至少一次</w:t>
            </w:r>
            <w:r>
              <w:rPr>
                <w:color w:val="auto"/>
                <w:kern w:val="0"/>
                <w:szCs w:val="21"/>
                <w:highlight w:val="none"/>
              </w:rPr>
              <w:t>Web</w:t>
            </w:r>
            <w:r>
              <w:rPr>
                <w:rFonts w:hint="eastAsia" w:ascii="宋体" w:hAnsi="宋体"/>
                <w:color w:val="auto"/>
                <w:kern w:val="0"/>
                <w:szCs w:val="21"/>
                <w:highlight w:val="none"/>
              </w:rPr>
              <w:t>漏洞的扫描与检查。</w:t>
            </w:r>
          </w:p>
        </w:tc>
      </w:tr>
      <w:tr w14:paraId="3FEED830">
        <w:tblPrEx>
          <w:tblCellMar>
            <w:top w:w="0" w:type="dxa"/>
            <w:left w:w="108" w:type="dxa"/>
            <w:bottom w:w="0" w:type="dxa"/>
            <w:right w:w="108" w:type="dxa"/>
          </w:tblCellMar>
        </w:tblPrEx>
        <w:trPr>
          <w:trHeight w:val="263" w:hRule="atLeast"/>
        </w:trPr>
        <w:tc>
          <w:tcPr>
            <w:tcW w:w="623" w:type="dxa"/>
            <w:vMerge w:val="continue"/>
            <w:tcBorders>
              <w:top w:val="nil"/>
              <w:left w:val="single" w:color="000000" w:sz="8" w:space="0"/>
              <w:bottom w:val="single" w:color="000000" w:sz="8" w:space="0"/>
              <w:right w:val="single" w:color="000000" w:sz="8" w:space="0"/>
            </w:tcBorders>
            <w:vAlign w:val="center"/>
          </w:tcPr>
          <w:p w14:paraId="25151478">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73A910A9">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481BFA3C">
            <w:pPr>
              <w:widowControl/>
              <w:jc w:val="left"/>
              <w:rPr>
                <w:rFonts w:ascii="宋体" w:hAnsi="宋体" w:cs="宋体"/>
                <w:b/>
                <w:bCs/>
                <w:color w:val="auto"/>
                <w:kern w:val="0"/>
                <w:szCs w:val="21"/>
                <w:highlight w:val="none"/>
              </w:rPr>
            </w:pPr>
            <w:r>
              <w:rPr>
                <w:rFonts w:hint="eastAsia" w:ascii="宋体" w:hAnsi="宋体" w:cs="宋体"/>
                <w:b/>
                <w:bCs/>
                <w:color w:val="auto"/>
                <w:kern w:val="0"/>
                <w:szCs w:val="21"/>
                <w:highlight w:val="none"/>
              </w:rPr>
              <w:t>系统漏洞监测与扫描要求：</w:t>
            </w:r>
            <w:r>
              <w:rPr>
                <w:rFonts w:hint="eastAsia" w:ascii="宋体" w:hAnsi="宋体" w:cs="宋体"/>
                <w:color w:val="auto"/>
                <w:kern w:val="0"/>
                <w:szCs w:val="21"/>
                <w:highlight w:val="none"/>
              </w:rPr>
              <w:t>每个月可以对所监测的网站进行至少一次系统漏洞的扫描与检查。</w:t>
            </w:r>
          </w:p>
        </w:tc>
      </w:tr>
      <w:tr w14:paraId="24BA8270">
        <w:tblPrEx>
          <w:tblCellMar>
            <w:top w:w="0" w:type="dxa"/>
            <w:left w:w="108" w:type="dxa"/>
            <w:bottom w:w="0" w:type="dxa"/>
            <w:right w:w="108" w:type="dxa"/>
          </w:tblCellMar>
        </w:tblPrEx>
        <w:trPr>
          <w:trHeight w:val="513" w:hRule="atLeast"/>
        </w:trPr>
        <w:tc>
          <w:tcPr>
            <w:tcW w:w="623" w:type="dxa"/>
            <w:vMerge w:val="continue"/>
            <w:tcBorders>
              <w:top w:val="nil"/>
              <w:left w:val="single" w:color="000000" w:sz="8" w:space="0"/>
              <w:bottom w:val="single" w:color="000000" w:sz="8" w:space="0"/>
              <w:right w:val="single" w:color="000000" w:sz="8" w:space="0"/>
            </w:tcBorders>
            <w:vAlign w:val="center"/>
          </w:tcPr>
          <w:p w14:paraId="44752AAF">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0BEBA94B">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1AB23914">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漏洞验证要求：</w:t>
            </w:r>
            <w:r>
              <w:rPr>
                <w:rFonts w:hint="eastAsia" w:ascii="宋体" w:hAnsi="宋体" w:cs="宋体"/>
                <w:color w:val="auto"/>
                <w:kern w:val="0"/>
                <w:szCs w:val="21"/>
                <w:highlight w:val="none"/>
              </w:rPr>
              <w:t xml:space="preserve">能够提供所有中高危漏洞的验证能力，通过周期扫描获取当前漏洞的所处状态，根据漏洞待修复、待复验、已修复等状态的指引，做好漏洞的闭环管理 </w:t>
            </w:r>
          </w:p>
        </w:tc>
      </w:tr>
      <w:tr w14:paraId="3A4E1E42">
        <w:tblPrEx>
          <w:tblCellMar>
            <w:top w:w="0" w:type="dxa"/>
            <w:left w:w="108" w:type="dxa"/>
            <w:bottom w:w="0" w:type="dxa"/>
            <w:right w:w="108" w:type="dxa"/>
          </w:tblCellMar>
        </w:tblPrEx>
        <w:trPr>
          <w:trHeight w:val="784" w:hRule="atLeast"/>
        </w:trPr>
        <w:tc>
          <w:tcPr>
            <w:tcW w:w="623" w:type="dxa"/>
            <w:vMerge w:val="continue"/>
            <w:tcBorders>
              <w:top w:val="nil"/>
              <w:left w:val="single" w:color="000000" w:sz="8" w:space="0"/>
              <w:bottom w:val="single" w:color="000000" w:sz="8" w:space="0"/>
              <w:right w:val="single" w:color="000000" w:sz="8" w:space="0"/>
            </w:tcBorders>
            <w:vAlign w:val="center"/>
          </w:tcPr>
          <w:p w14:paraId="45CF8C66">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2B5DE49C">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54588EDD">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挂马监测要求：</w:t>
            </w:r>
            <w:r>
              <w:rPr>
                <w:rFonts w:hint="eastAsia" w:ascii="宋体" w:hAnsi="宋体" w:cs="宋体"/>
                <w:color w:val="auto"/>
                <w:kern w:val="0"/>
                <w:szCs w:val="21"/>
                <w:highlight w:val="none"/>
              </w:rPr>
              <w:t>能够对网站主要页面提供挂马监测能力，检测网页中嵌入的恶意代码，例如</w:t>
            </w:r>
            <w:r>
              <w:rPr>
                <w:color w:val="auto"/>
                <w:kern w:val="0"/>
                <w:szCs w:val="21"/>
                <w:highlight w:val="none"/>
              </w:rPr>
              <w:t>JS</w:t>
            </w:r>
            <w:r>
              <w:rPr>
                <w:rFonts w:hint="eastAsia" w:ascii="宋体" w:hAnsi="宋体" w:cs="宋体"/>
                <w:color w:val="auto"/>
                <w:kern w:val="0"/>
                <w:szCs w:val="21"/>
                <w:highlight w:val="none"/>
              </w:rPr>
              <w:t xml:space="preserve">挂马，恶意加密挂马，框架隐藏，挖矿脚本，搜索引擎劫持等。根据不同页面的重要等级提供不同频率监测，提供事件验证能力，排除误报。 </w:t>
            </w:r>
          </w:p>
        </w:tc>
      </w:tr>
      <w:tr w14:paraId="029CB6BA">
        <w:tblPrEx>
          <w:tblCellMar>
            <w:top w:w="0" w:type="dxa"/>
            <w:left w:w="108" w:type="dxa"/>
            <w:bottom w:w="0" w:type="dxa"/>
            <w:right w:w="108" w:type="dxa"/>
          </w:tblCellMar>
        </w:tblPrEx>
        <w:trPr>
          <w:trHeight w:val="513" w:hRule="atLeast"/>
        </w:trPr>
        <w:tc>
          <w:tcPr>
            <w:tcW w:w="623" w:type="dxa"/>
            <w:vMerge w:val="continue"/>
            <w:tcBorders>
              <w:top w:val="nil"/>
              <w:left w:val="single" w:color="000000" w:sz="8" w:space="0"/>
              <w:bottom w:val="single" w:color="000000" w:sz="8" w:space="0"/>
              <w:right w:val="single" w:color="000000" w:sz="8" w:space="0"/>
            </w:tcBorders>
            <w:vAlign w:val="center"/>
          </w:tcPr>
          <w:p w14:paraId="79F649A4">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58451696">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5B1E6647">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黑链监测要求：</w:t>
            </w:r>
            <w:r>
              <w:rPr>
                <w:rFonts w:hint="eastAsia" w:ascii="宋体" w:hAnsi="宋体" w:cs="宋体"/>
                <w:color w:val="auto"/>
                <w:kern w:val="0"/>
                <w:szCs w:val="21"/>
                <w:highlight w:val="none"/>
              </w:rPr>
              <w:t xml:space="preserve">能够对网站主要页面提供黑链监测能力，检测网页中嵌入的恶意暗链（黄赌毒私服等）。根据不同页面的重要等级提供不同频率监测，提供事件验证能力，排除误报。 </w:t>
            </w:r>
          </w:p>
        </w:tc>
      </w:tr>
      <w:tr w14:paraId="19F4DA95">
        <w:tblPrEx>
          <w:tblCellMar>
            <w:top w:w="0" w:type="dxa"/>
            <w:left w:w="108" w:type="dxa"/>
            <w:bottom w:w="0" w:type="dxa"/>
            <w:right w:w="108" w:type="dxa"/>
          </w:tblCellMar>
        </w:tblPrEx>
        <w:trPr>
          <w:trHeight w:val="513" w:hRule="atLeast"/>
        </w:trPr>
        <w:tc>
          <w:tcPr>
            <w:tcW w:w="623" w:type="dxa"/>
            <w:vMerge w:val="continue"/>
            <w:tcBorders>
              <w:top w:val="nil"/>
              <w:left w:val="single" w:color="000000" w:sz="8" w:space="0"/>
              <w:bottom w:val="single" w:color="000000" w:sz="8" w:space="0"/>
              <w:right w:val="single" w:color="000000" w:sz="8" w:space="0"/>
            </w:tcBorders>
            <w:vAlign w:val="center"/>
          </w:tcPr>
          <w:p w14:paraId="09EA4E67">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765ACF2D">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55620993">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篡改监测要求：</w:t>
            </w:r>
            <w:r>
              <w:rPr>
                <w:rFonts w:hint="eastAsia" w:ascii="宋体" w:hAnsi="宋体" w:cs="宋体"/>
                <w:color w:val="auto"/>
                <w:kern w:val="0"/>
                <w:szCs w:val="21"/>
                <w:highlight w:val="none"/>
              </w:rPr>
              <w:t>能够对网站主要页面提供篡改监测能力，根据不同页面的重要等级提供不同频率监测，提供事件验证能力，排除误报。</w:t>
            </w:r>
          </w:p>
        </w:tc>
      </w:tr>
      <w:tr w14:paraId="6087A83F">
        <w:tblPrEx>
          <w:tblCellMar>
            <w:top w:w="0" w:type="dxa"/>
            <w:left w:w="108" w:type="dxa"/>
            <w:bottom w:w="0" w:type="dxa"/>
            <w:right w:w="108" w:type="dxa"/>
          </w:tblCellMar>
        </w:tblPrEx>
        <w:trPr>
          <w:trHeight w:val="513" w:hRule="atLeast"/>
        </w:trPr>
        <w:tc>
          <w:tcPr>
            <w:tcW w:w="623" w:type="dxa"/>
            <w:vMerge w:val="continue"/>
            <w:tcBorders>
              <w:top w:val="nil"/>
              <w:left w:val="single" w:color="000000" w:sz="8" w:space="0"/>
              <w:bottom w:val="single" w:color="000000" w:sz="8" w:space="0"/>
              <w:right w:val="single" w:color="000000" w:sz="8" w:space="0"/>
            </w:tcBorders>
            <w:vAlign w:val="center"/>
          </w:tcPr>
          <w:p w14:paraId="6DA56E86">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1147940F">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74C0EFEC">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敏感内容监测要求：</w:t>
            </w:r>
            <w:r>
              <w:rPr>
                <w:rFonts w:hint="eastAsia" w:ascii="宋体" w:hAnsi="宋体" w:cs="宋体"/>
                <w:color w:val="auto"/>
                <w:kern w:val="0"/>
                <w:szCs w:val="21"/>
                <w:highlight w:val="none"/>
              </w:rPr>
              <w:t xml:space="preserve">能够对网站主要页面提供敏感内容监测能力，根据不同页面的重要等级提供不同频率监测，提供事件验证能力，排除误报。可以在全网范围内进行搜索检测。 </w:t>
            </w:r>
          </w:p>
        </w:tc>
      </w:tr>
      <w:tr w14:paraId="059A0A1C">
        <w:tblPrEx>
          <w:tblCellMar>
            <w:top w:w="0" w:type="dxa"/>
            <w:left w:w="108" w:type="dxa"/>
            <w:bottom w:w="0" w:type="dxa"/>
            <w:right w:w="108" w:type="dxa"/>
          </w:tblCellMar>
        </w:tblPrEx>
        <w:trPr>
          <w:trHeight w:val="263" w:hRule="atLeast"/>
        </w:trPr>
        <w:tc>
          <w:tcPr>
            <w:tcW w:w="623" w:type="dxa"/>
            <w:vMerge w:val="continue"/>
            <w:tcBorders>
              <w:top w:val="nil"/>
              <w:left w:val="single" w:color="000000" w:sz="8" w:space="0"/>
              <w:bottom w:val="single" w:color="000000" w:sz="8" w:space="0"/>
              <w:right w:val="single" w:color="000000" w:sz="8" w:space="0"/>
            </w:tcBorders>
            <w:vAlign w:val="center"/>
          </w:tcPr>
          <w:p w14:paraId="6B8FDA43">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220B3932">
            <w:pPr>
              <w:widowControl/>
              <w:jc w:val="left"/>
              <w:rPr>
                <w:rFonts w:ascii="宋体" w:hAnsi="宋体" w:cs="宋体"/>
                <w:color w:val="auto"/>
                <w:kern w:val="0"/>
                <w:szCs w:val="21"/>
                <w:highlight w:val="none"/>
              </w:rPr>
            </w:pPr>
          </w:p>
        </w:tc>
        <w:tc>
          <w:tcPr>
            <w:tcW w:w="6520" w:type="dxa"/>
            <w:tcBorders>
              <w:top w:val="nil"/>
              <w:left w:val="nil"/>
              <w:bottom w:val="nil"/>
              <w:right w:val="single" w:color="000000" w:sz="8" w:space="0"/>
            </w:tcBorders>
            <w:shd w:val="clear" w:color="auto" w:fill="auto"/>
          </w:tcPr>
          <w:p w14:paraId="70FAB427">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运营支撑要求：</w:t>
            </w:r>
            <w:r>
              <w:rPr>
                <w:rFonts w:hint="eastAsia" w:ascii="宋体" w:hAnsi="宋体" w:cs="宋体"/>
                <w:color w:val="auto"/>
                <w:kern w:val="0"/>
                <w:szCs w:val="21"/>
                <w:highlight w:val="none"/>
              </w:rPr>
              <w:t xml:space="preserve">能够对监测的站点、监测项、进行配置与管理。 </w:t>
            </w:r>
          </w:p>
        </w:tc>
      </w:tr>
      <w:tr w14:paraId="7E94ADC6">
        <w:tblPrEx>
          <w:tblCellMar>
            <w:top w:w="0" w:type="dxa"/>
            <w:left w:w="108" w:type="dxa"/>
            <w:bottom w:w="0" w:type="dxa"/>
            <w:right w:w="108" w:type="dxa"/>
          </w:tblCellMar>
        </w:tblPrEx>
        <w:trPr>
          <w:trHeight w:val="271" w:hRule="atLeast"/>
        </w:trPr>
        <w:tc>
          <w:tcPr>
            <w:tcW w:w="623" w:type="dxa"/>
            <w:vMerge w:val="continue"/>
            <w:tcBorders>
              <w:top w:val="nil"/>
              <w:left w:val="single" w:color="000000" w:sz="8" w:space="0"/>
              <w:bottom w:val="single" w:color="000000" w:sz="8" w:space="0"/>
              <w:right w:val="single" w:color="000000" w:sz="8" w:space="0"/>
            </w:tcBorders>
            <w:vAlign w:val="center"/>
          </w:tcPr>
          <w:p w14:paraId="492017E5">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367C0950">
            <w:pPr>
              <w:widowControl/>
              <w:jc w:val="left"/>
              <w:rPr>
                <w:rFonts w:ascii="宋体" w:hAnsi="宋体" w:cs="宋体"/>
                <w:color w:val="auto"/>
                <w:kern w:val="0"/>
                <w:szCs w:val="21"/>
                <w:highlight w:val="none"/>
              </w:rPr>
            </w:pPr>
          </w:p>
        </w:tc>
        <w:tc>
          <w:tcPr>
            <w:tcW w:w="6520" w:type="dxa"/>
            <w:tcBorders>
              <w:top w:val="nil"/>
              <w:left w:val="nil"/>
              <w:bottom w:val="single" w:color="000000" w:sz="8" w:space="0"/>
              <w:right w:val="single" w:color="000000" w:sz="8" w:space="0"/>
            </w:tcBorders>
            <w:shd w:val="clear" w:color="auto" w:fill="auto"/>
            <w:vAlign w:val="center"/>
          </w:tcPr>
          <w:p w14:paraId="09473ECA">
            <w:pPr>
              <w:widowControl/>
              <w:jc w:val="left"/>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数据存储要求：</w:t>
            </w:r>
            <w:r>
              <w:rPr>
                <w:rFonts w:hint="eastAsia" w:ascii="宋体" w:hAnsi="宋体" w:cs="宋体"/>
                <w:color w:val="auto"/>
                <w:kern w:val="0"/>
                <w:szCs w:val="21"/>
                <w:highlight w:val="none"/>
              </w:rPr>
              <w:t>要求至少存储备份</w:t>
            </w:r>
            <w:r>
              <w:rPr>
                <w:color w:val="auto"/>
                <w:kern w:val="0"/>
                <w:szCs w:val="21"/>
                <w:highlight w:val="none"/>
              </w:rPr>
              <w:t>6</w:t>
            </w:r>
            <w:r>
              <w:rPr>
                <w:rFonts w:hint="eastAsia" w:ascii="宋体" w:hAnsi="宋体" w:cs="宋体"/>
                <w:color w:val="auto"/>
                <w:kern w:val="0"/>
                <w:szCs w:val="21"/>
                <w:highlight w:val="none"/>
              </w:rPr>
              <w:t xml:space="preserve">个月以上监测数据。 </w:t>
            </w:r>
          </w:p>
        </w:tc>
      </w:tr>
      <w:tr w14:paraId="68071AD4">
        <w:tblPrEx>
          <w:tblCellMar>
            <w:top w:w="0" w:type="dxa"/>
            <w:left w:w="108" w:type="dxa"/>
            <w:bottom w:w="0" w:type="dxa"/>
            <w:right w:w="108" w:type="dxa"/>
          </w:tblCellMar>
        </w:tblPrEx>
        <w:trPr>
          <w:trHeight w:val="769"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2FC0499C">
            <w:pPr>
              <w:widowControl/>
              <w:jc w:val="center"/>
              <w:rPr>
                <w:rFonts w:hint="eastAsia"/>
                <w:color w:val="auto"/>
                <w:kern w:val="0"/>
                <w:szCs w:val="21"/>
                <w:highlight w:val="none"/>
              </w:rPr>
            </w:pPr>
            <w:r>
              <w:rPr>
                <w:color w:val="auto"/>
                <w:kern w:val="0"/>
                <w:szCs w:val="21"/>
                <w:highlight w:val="none"/>
              </w:rPr>
              <w:t>11</w:t>
            </w:r>
          </w:p>
        </w:tc>
        <w:tc>
          <w:tcPr>
            <w:tcW w:w="1919" w:type="dxa"/>
            <w:gridSpan w:val="2"/>
            <w:tcBorders>
              <w:top w:val="nil"/>
              <w:left w:val="nil"/>
              <w:bottom w:val="single" w:color="000000" w:sz="8" w:space="0"/>
              <w:right w:val="single" w:color="000000" w:sz="8" w:space="0"/>
            </w:tcBorders>
            <w:shd w:val="clear" w:color="auto" w:fill="auto"/>
            <w:vAlign w:val="center"/>
          </w:tcPr>
          <w:p w14:paraId="7A330488">
            <w:pPr>
              <w:widowControl/>
              <w:jc w:val="left"/>
              <w:rPr>
                <w:rFonts w:ascii="宋体" w:hAnsi="宋体" w:cs="宋体"/>
                <w:color w:val="auto"/>
                <w:kern w:val="0"/>
                <w:szCs w:val="21"/>
                <w:highlight w:val="none"/>
              </w:rPr>
            </w:pPr>
            <w:r>
              <w:rPr>
                <w:rFonts w:hint="eastAsia" w:ascii="宋体" w:hAnsi="宋体" w:cs="宋体"/>
                <w:color w:val="auto"/>
                <w:kern w:val="0"/>
                <w:szCs w:val="21"/>
                <w:highlight w:val="none"/>
              </w:rPr>
              <w:t>研发需求网络安全分析</w:t>
            </w:r>
          </w:p>
        </w:tc>
        <w:tc>
          <w:tcPr>
            <w:tcW w:w="6520" w:type="dxa"/>
            <w:tcBorders>
              <w:top w:val="nil"/>
              <w:left w:val="nil"/>
              <w:bottom w:val="single" w:color="000000" w:sz="8" w:space="0"/>
              <w:right w:val="single" w:color="000000" w:sz="8" w:space="0"/>
            </w:tcBorders>
            <w:shd w:val="clear" w:color="auto" w:fill="auto"/>
            <w:vAlign w:val="center"/>
          </w:tcPr>
          <w:p w14:paraId="446C9164">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深度参与开发项目需求评审过程，从合规需求和安全功能需求两个方面进行安全需求分析，输出针对应用系统的《安全需求分析报告》。《安全需求分析报告》将作为应用系统概要设计方案的输入，在架构设计阶段将安全考虑进去，减少架构相关的安全问题导致的架构大幅修改。</w:t>
            </w:r>
          </w:p>
        </w:tc>
      </w:tr>
      <w:tr w14:paraId="5800CBBF">
        <w:tblPrEx>
          <w:tblCellMar>
            <w:top w:w="0" w:type="dxa"/>
            <w:left w:w="108" w:type="dxa"/>
            <w:bottom w:w="0" w:type="dxa"/>
            <w:right w:w="108" w:type="dxa"/>
          </w:tblCellMar>
        </w:tblPrEx>
        <w:trPr>
          <w:trHeight w:val="769" w:hRule="atLeast"/>
        </w:trPr>
        <w:tc>
          <w:tcPr>
            <w:tcW w:w="623" w:type="dxa"/>
            <w:tcBorders>
              <w:top w:val="nil"/>
              <w:left w:val="single" w:color="000000" w:sz="8" w:space="0"/>
              <w:bottom w:val="single" w:color="000000" w:sz="8" w:space="0"/>
              <w:right w:val="single" w:color="000000" w:sz="8" w:space="0"/>
            </w:tcBorders>
            <w:shd w:val="clear" w:color="auto" w:fill="auto"/>
            <w:vAlign w:val="center"/>
          </w:tcPr>
          <w:p w14:paraId="13105FEC">
            <w:pPr>
              <w:widowControl/>
              <w:jc w:val="center"/>
              <w:rPr>
                <w:rFonts w:hint="eastAsia"/>
                <w:color w:val="auto"/>
                <w:kern w:val="0"/>
                <w:szCs w:val="21"/>
                <w:highlight w:val="none"/>
              </w:rPr>
            </w:pPr>
            <w:r>
              <w:rPr>
                <w:rFonts w:hint="eastAsia"/>
                <w:color w:val="auto"/>
                <w:kern w:val="0"/>
                <w:szCs w:val="21"/>
                <w:highlight w:val="none"/>
              </w:rPr>
              <w:t>12</w:t>
            </w:r>
          </w:p>
        </w:tc>
        <w:tc>
          <w:tcPr>
            <w:tcW w:w="1919" w:type="dxa"/>
            <w:gridSpan w:val="2"/>
            <w:tcBorders>
              <w:top w:val="nil"/>
              <w:left w:val="nil"/>
              <w:bottom w:val="single" w:color="000000" w:sz="8" w:space="0"/>
              <w:right w:val="single" w:color="000000" w:sz="8" w:space="0"/>
            </w:tcBorders>
            <w:shd w:val="clear" w:color="auto" w:fill="auto"/>
            <w:vAlign w:val="center"/>
          </w:tcPr>
          <w:p w14:paraId="595809F6">
            <w:pPr>
              <w:widowControl/>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驻场服务</w:t>
            </w:r>
          </w:p>
        </w:tc>
        <w:tc>
          <w:tcPr>
            <w:tcW w:w="6520" w:type="dxa"/>
            <w:tcBorders>
              <w:top w:val="nil"/>
              <w:left w:val="nil"/>
              <w:bottom w:val="single" w:color="000000" w:sz="8" w:space="0"/>
              <w:right w:val="single" w:color="000000" w:sz="8" w:space="0"/>
            </w:tcBorders>
            <w:shd w:val="clear" w:color="auto" w:fill="auto"/>
            <w:vAlign w:val="center"/>
          </w:tcPr>
          <w:p w14:paraId="1A0111BC">
            <w:pPr>
              <w:widowControl/>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安排1名驻场工程。驻场人员掌握信息安全技术相关技能，包括但不限于:安全咨询、安全评估、等保服务等方面;掌握等级保护标准、分级保护标准、安全风险评估规范和实施流程及方法，具备等级保护、风险评估、数据中心等信息安全领域咨询和建设的相关标准和测评实施的方法和经验。</w:t>
            </w:r>
          </w:p>
        </w:tc>
      </w:tr>
      <w:tr w14:paraId="02A29F2F">
        <w:tblPrEx>
          <w:tblCellMar>
            <w:top w:w="0" w:type="dxa"/>
            <w:left w:w="108" w:type="dxa"/>
            <w:bottom w:w="0" w:type="dxa"/>
            <w:right w:w="108" w:type="dxa"/>
          </w:tblCellMar>
        </w:tblPrEx>
        <w:trPr>
          <w:trHeight w:val="799" w:hRule="atLeast"/>
        </w:trPr>
        <w:tc>
          <w:tcPr>
            <w:tcW w:w="623" w:type="dxa"/>
            <w:vMerge w:val="restart"/>
            <w:tcBorders>
              <w:top w:val="nil"/>
              <w:left w:val="single" w:color="000000" w:sz="8" w:space="0"/>
              <w:bottom w:val="single" w:color="000000" w:sz="8" w:space="0"/>
              <w:right w:val="single" w:color="000000" w:sz="8" w:space="0"/>
            </w:tcBorders>
            <w:shd w:val="clear" w:color="auto" w:fill="auto"/>
            <w:vAlign w:val="center"/>
          </w:tcPr>
          <w:p w14:paraId="26948ED3">
            <w:pPr>
              <w:widowControl/>
              <w:jc w:val="center"/>
              <w:rPr>
                <w:rFonts w:hint="eastAsia"/>
                <w:color w:val="auto"/>
                <w:kern w:val="0"/>
                <w:szCs w:val="21"/>
                <w:highlight w:val="none"/>
              </w:rPr>
            </w:pPr>
            <w:r>
              <w:rPr>
                <w:color w:val="auto"/>
                <w:kern w:val="0"/>
                <w:szCs w:val="21"/>
                <w:highlight w:val="none"/>
              </w:rPr>
              <w:t>1</w:t>
            </w:r>
            <w:r>
              <w:rPr>
                <w:rFonts w:hint="eastAsia"/>
                <w:color w:val="auto"/>
                <w:kern w:val="0"/>
                <w:szCs w:val="21"/>
                <w:highlight w:val="none"/>
              </w:rPr>
              <w:t>3</w:t>
            </w:r>
          </w:p>
        </w:tc>
        <w:tc>
          <w:tcPr>
            <w:tcW w:w="1919" w:type="dxa"/>
            <w:gridSpan w:val="2"/>
            <w:vMerge w:val="restart"/>
            <w:tcBorders>
              <w:top w:val="nil"/>
              <w:left w:val="nil"/>
              <w:bottom w:val="single" w:color="000000" w:sz="8" w:space="0"/>
              <w:right w:val="single" w:color="000000" w:sz="8" w:space="0"/>
            </w:tcBorders>
            <w:shd w:val="clear" w:color="auto" w:fill="auto"/>
            <w:vAlign w:val="center"/>
          </w:tcPr>
          <w:p w14:paraId="1697F4B7">
            <w:pPr>
              <w:widowControl/>
              <w:jc w:val="center"/>
              <w:rPr>
                <w:rFonts w:ascii="宋体" w:hAnsi="宋体" w:cs="宋体"/>
                <w:color w:val="auto"/>
                <w:kern w:val="0"/>
                <w:szCs w:val="21"/>
                <w:highlight w:val="none"/>
              </w:rPr>
            </w:pPr>
            <w:r>
              <w:rPr>
                <w:rFonts w:hint="eastAsia" w:ascii="宋体" w:hAnsi="宋体" w:cs="宋体"/>
                <w:color w:val="auto"/>
                <w:kern w:val="0"/>
                <w:szCs w:val="21"/>
                <w:highlight w:val="none"/>
              </w:rPr>
              <w:t>其它</w:t>
            </w:r>
          </w:p>
        </w:tc>
        <w:tc>
          <w:tcPr>
            <w:tcW w:w="6520" w:type="dxa"/>
            <w:tcBorders>
              <w:top w:val="nil"/>
              <w:left w:val="nil"/>
              <w:bottom w:val="single" w:color="000000" w:sz="8" w:space="0"/>
              <w:right w:val="single" w:color="000000" w:sz="8" w:space="0"/>
            </w:tcBorders>
            <w:shd w:val="clear" w:color="auto" w:fill="auto"/>
            <w:vAlign w:val="center"/>
          </w:tcPr>
          <w:p w14:paraId="1906D326">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在服务过程中</w:t>
            </w:r>
            <w:r>
              <w:rPr>
                <w:color w:val="auto"/>
                <w:kern w:val="0"/>
                <w:szCs w:val="21"/>
                <w:highlight w:val="none"/>
              </w:rPr>
              <w:t>,</w:t>
            </w:r>
            <w:r>
              <w:rPr>
                <w:rFonts w:hint="eastAsia" w:ascii="宋体" w:hAnsi="宋体" w:cs="宋体"/>
                <w:color w:val="auto"/>
                <w:kern w:val="0"/>
                <w:szCs w:val="21"/>
                <w:highlight w:val="none"/>
              </w:rPr>
              <w:t>业主根据实际需求</w:t>
            </w:r>
            <w:r>
              <w:rPr>
                <w:color w:val="auto"/>
                <w:kern w:val="0"/>
                <w:szCs w:val="21"/>
                <w:highlight w:val="none"/>
              </w:rPr>
              <w:t>,</w:t>
            </w:r>
            <w:r>
              <w:rPr>
                <w:rFonts w:hint="eastAsia" w:ascii="宋体" w:hAnsi="宋体" w:cs="宋体"/>
                <w:color w:val="auto"/>
                <w:kern w:val="0"/>
                <w:szCs w:val="21"/>
                <w:highlight w:val="none"/>
              </w:rPr>
              <w:t>可能要求增加人员到场工作，或延长工作时长；乙方项目参与人员及角色不得随意更换，若需更换，应经业主同意且提供人员更换书面函；若服务质量不达标，业主有权进行处罚直至终止合同</w:t>
            </w:r>
            <w:r>
              <w:rPr>
                <w:color w:val="auto"/>
                <w:kern w:val="0"/>
                <w:szCs w:val="21"/>
                <w:highlight w:val="none"/>
              </w:rPr>
              <w:t>;</w:t>
            </w:r>
            <w:r>
              <w:rPr>
                <w:rFonts w:hint="eastAsia" w:ascii="宋体" w:hAnsi="宋体" w:cs="宋体"/>
                <w:color w:val="auto"/>
                <w:kern w:val="0"/>
                <w:szCs w:val="21"/>
                <w:highlight w:val="none"/>
              </w:rPr>
              <w:t>。</w:t>
            </w:r>
          </w:p>
        </w:tc>
      </w:tr>
      <w:tr w14:paraId="64629EEC">
        <w:tblPrEx>
          <w:tblCellMar>
            <w:top w:w="0" w:type="dxa"/>
            <w:left w:w="108" w:type="dxa"/>
            <w:bottom w:w="0" w:type="dxa"/>
            <w:right w:w="108" w:type="dxa"/>
          </w:tblCellMar>
        </w:tblPrEx>
        <w:trPr>
          <w:trHeight w:val="263" w:hRule="atLeast"/>
        </w:trPr>
        <w:tc>
          <w:tcPr>
            <w:tcW w:w="623" w:type="dxa"/>
            <w:vMerge w:val="continue"/>
            <w:tcBorders>
              <w:top w:val="nil"/>
              <w:left w:val="single" w:color="000000" w:sz="8" w:space="0"/>
              <w:bottom w:val="single" w:color="000000" w:sz="8" w:space="0"/>
              <w:right w:val="single" w:color="000000" w:sz="8" w:space="0"/>
            </w:tcBorders>
            <w:vAlign w:val="center"/>
          </w:tcPr>
          <w:p w14:paraId="771EF84F">
            <w:pPr>
              <w:widowControl/>
              <w:jc w:val="left"/>
              <w:rPr>
                <w:color w:val="auto"/>
                <w:kern w:val="0"/>
                <w:szCs w:val="21"/>
                <w:highlight w:val="none"/>
              </w:rPr>
            </w:pPr>
          </w:p>
        </w:tc>
        <w:tc>
          <w:tcPr>
            <w:tcW w:w="1919" w:type="dxa"/>
            <w:gridSpan w:val="2"/>
            <w:vMerge w:val="continue"/>
            <w:tcBorders>
              <w:top w:val="nil"/>
              <w:left w:val="nil"/>
              <w:bottom w:val="single" w:color="000000" w:sz="8" w:space="0"/>
              <w:right w:val="single" w:color="000000" w:sz="8" w:space="0"/>
            </w:tcBorders>
            <w:vAlign w:val="center"/>
          </w:tcPr>
          <w:p w14:paraId="31D41CA5">
            <w:pPr>
              <w:widowControl/>
              <w:jc w:val="left"/>
              <w:rPr>
                <w:rFonts w:ascii="宋体" w:hAnsi="宋体" w:cs="宋体"/>
                <w:color w:val="auto"/>
                <w:kern w:val="0"/>
                <w:szCs w:val="21"/>
                <w:highlight w:val="none"/>
              </w:rPr>
            </w:pPr>
          </w:p>
        </w:tc>
        <w:tc>
          <w:tcPr>
            <w:tcW w:w="6520" w:type="dxa"/>
            <w:tcBorders>
              <w:top w:val="nil"/>
              <w:left w:val="nil"/>
              <w:bottom w:val="single" w:color="000000" w:sz="8" w:space="0"/>
              <w:right w:val="single" w:color="000000" w:sz="8" w:space="0"/>
            </w:tcBorders>
            <w:shd w:val="clear" w:color="auto" w:fill="auto"/>
            <w:vAlign w:val="center"/>
          </w:tcPr>
          <w:p w14:paraId="0E68090D">
            <w:pPr>
              <w:widowControl/>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根据业主需要，提供市场排名领先品牌的安全服务工具、基线核查工具、检测工具等。</w:t>
            </w:r>
          </w:p>
        </w:tc>
      </w:tr>
    </w:tbl>
    <w:p w14:paraId="3BD9DBD5">
      <w:pPr>
        <w:rPr>
          <w:color w:val="auto"/>
          <w:highlight w:val="none"/>
        </w:rPr>
      </w:pPr>
    </w:p>
    <w:bookmarkEnd w:id="778"/>
    <w:bookmarkEnd w:id="779"/>
    <w:bookmarkEnd w:id="780"/>
    <w:bookmarkEnd w:id="781"/>
    <w:bookmarkEnd w:id="782"/>
    <w:bookmarkEnd w:id="783"/>
    <w:bookmarkEnd w:id="784"/>
    <w:p w14:paraId="7F219843">
      <w:pPr>
        <w:pStyle w:val="3"/>
        <w:spacing w:before="0" w:after="0" w:line="360" w:lineRule="auto"/>
        <w:jc w:val="center"/>
        <w:rPr>
          <w:rFonts w:ascii="宋体" w:hAnsi="宋体" w:cs="宋体"/>
          <w:color w:val="auto"/>
          <w:highlight w:val="none"/>
        </w:rPr>
      </w:pPr>
      <w:bookmarkStart w:id="808" w:name="_Toc2000412"/>
      <w:bookmarkStart w:id="809" w:name="_Toc514430114"/>
      <w:bookmarkStart w:id="810" w:name="_Toc514858708"/>
      <w:bookmarkStart w:id="811" w:name="_Toc507320039"/>
      <w:bookmarkStart w:id="812" w:name="_Toc246996355"/>
      <w:bookmarkStart w:id="813" w:name="_Toc152042576"/>
      <w:bookmarkStart w:id="814" w:name="_Toc152045787"/>
      <w:bookmarkStart w:id="815" w:name="_Toc179632807"/>
      <w:bookmarkStart w:id="816" w:name="_Toc246997098"/>
      <w:bookmarkStart w:id="817" w:name="_Toc247085873"/>
      <w:bookmarkStart w:id="818" w:name="_Toc144974856"/>
      <w:r>
        <w:rPr>
          <w:rFonts w:hint="eastAsia" w:ascii="宋体" w:hAnsi="宋体" w:cs="宋体"/>
          <w:color w:val="auto"/>
          <w:highlight w:val="none"/>
        </w:rPr>
        <w:br w:type="page"/>
      </w:r>
      <w:bookmarkStart w:id="819" w:name="_Toc18777"/>
      <w:r>
        <w:rPr>
          <w:rFonts w:hint="eastAsia" w:ascii="宋体" w:hAnsi="宋体" w:cs="宋体"/>
          <w:color w:val="auto"/>
          <w:highlight w:val="none"/>
        </w:rPr>
        <w:t xml:space="preserve">第七章 </w:t>
      </w:r>
      <w:bookmarkEnd w:id="808"/>
      <w:bookmarkEnd w:id="809"/>
      <w:bookmarkEnd w:id="810"/>
      <w:r>
        <w:rPr>
          <w:rFonts w:hint="eastAsia" w:ascii="宋体" w:hAnsi="宋体" w:cs="宋体"/>
          <w:color w:val="auto"/>
          <w:highlight w:val="none"/>
        </w:rPr>
        <w:t>合同范本</w:t>
      </w:r>
      <w:bookmarkEnd w:id="819"/>
    </w:p>
    <w:p w14:paraId="7C76ED13">
      <w:pPr>
        <w:spacing w:line="500" w:lineRule="exact"/>
        <w:jc w:val="center"/>
        <w:rPr>
          <w:rFonts w:hint="eastAsia" w:ascii="宋体" w:hAnsi="宋体" w:eastAsia="宋体" w:cs="宋体"/>
          <w:b w:val="0"/>
          <w:bCs w:val="0"/>
          <w:caps/>
          <w:color w:val="auto"/>
          <w:kern w:val="2"/>
          <w:sz w:val="21"/>
          <w:szCs w:val="21"/>
          <w:highlight w:val="none"/>
          <w:lang w:val="en-US" w:eastAsia="zh-CN" w:bidi="ar-SA"/>
        </w:rPr>
      </w:pPr>
      <w:bookmarkStart w:id="820" w:name="_Toc2000413"/>
      <w:bookmarkStart w:id="821" w:name="_Toc513633965"/>
      <w:bookmarkStart w:id="822" w:name="_Toc514858709"/>
      <w:r>
        <w:rPr>
          <w:rFonts w:hint="eastAsia" w:ascii="宋体" w:hAnsi="宋体" w:eastAsia="宋体" w:cs="宋体"/>
          <w:b w:val="0"/>
          <w:bCs w:val="0"/>
          <w:caps/>
          <w:color w:val="auto"/>
          <w:kern w:val="2"/>
          <w:sz w:val="21"/>
          <w:szCs w:val="21"/>
          <w:highlight w:val="none"/>
          <w:lang w:val="en-US" w:eastAsia="zh-CN" w:bidi="ar-SA"/>
        </w:rPr>
        <w:t>详见附件</w:t>
      </w:r>
    </w:p>
    <w:p w14:paraId="5E3CAAA3">
      <w:pPr>
        <w:pStyle w:val="17"/>
        <w:spacing w:line="360" w:lineRule="auto"/>
        <w:jc w:val="center"/>
        <w:rPr>
          <w:rFonts w:ascii="宋体" w:hAnsi="宋体"/>
          <w:color w:val="auto"/>
          <w:sz w:val="22"/>
          <w:szCs w:val="22"/>
          <w:highlight w:val="none"/>
        </w:rPr>
      </w:pPr>
      <w:r>
        <w:rPr>
          <w:rFonts w:ascii="宋体" w:hAnsi="宋体"/>
          <w:color w:val="auto"/>
          <w:sz w:val="22"/>
          <w:szCs w:val="22"/>
          <w:highlight w:val="none"/>
        </w:rPr>
        <w:br w:type="page"/>
      </w:r>
    </w:p>
    <w:p w14:paraId="11D7DB0D">
      <w:pPr>
        <w:rPr>
          <w:color w:val="auto"/>
          <w:highlight w:val="none"/>
        </w:rPr>
      </w:pPr>
    </w:p>
    <w:p w14:paraId="28A53981">
      <w:pPr>
        <w:pStyle w:val="3"/>
        <w:spacing w:before="0" w:after="0" w:line="360" w:lineRule="auto"/>
        <w:jc w:val="center"/>
        <w:rPr>
          <w:rFonts w:ascii="宋体" w:hAnsi="宋体" w:cs="宋体"/>
          <w:color w:val="auto"/>
          <w:highlight w:val="none"/>
        </w:rPr>
      </w:pPr>
      <w:bookmarkStart w:id="823" w:name="_Toc16885"/>
      <w:bookmarkStart w:id="824" w:name="OLE_LINK43"/>
      <w:r>
        <w:rPr>
          <w:rFonts w:hint="eastAsia" w:ascii="宋体" w:hAnsi="宋体" w:cs="宋体"/>
          <w:color w:val="auto"/>
          <w:highlight w:val="none"/>
        </w:rPr>
        <w:t>第八章 竞争性比选响应文件格式</w:t>
      </w:r>
      <w:bookmarkEnd w:id="820"/>
      <w:bookmarkEnd w:id="821"/>
      <w:bookmarkEnd w:id="822"/>
      <w:bookmarkEnd w:id="823"/>
    </w:p>
    <w:bookmarkEnd w:id="824"/>
    <w:p w14:paraId="79AA5AFF">
      <w:pPr>
        <w:rPr>
          <w:rFonts w:ascii="宋体" w:hAnsi="宋体" w:cs="宋体"/>
          <w:color w:val="auto"/>
          <w:highlight w:val="none"/>
        </w:rPr>
      </w:pPr>
    </w:p>
    <w:p w14:paraId="59D65551">
      <w:pPr>
        <w:rPr>
          <w:rFonts w:ascii="宋体" w:hAnsi="宋体" w:cs="宋体"/>
          <w:color w:val="auto"/>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19" w:charSpace="0"/>
        </w:sectPr>
      </w:pPr>
    </w:p>
    <w:p w14:paraId="0B5D137C">
      <w:pPr>
        <w:rPr>
          <w:rFonts w:ascii="宋体" w:hAnsi="宋体" w:cs="宋体"/>
          <w:color w:val="auto"/>
          <w:highlight w:val="none"/>
        </w:rPr>
      </w:pPr>
    </w:p>
    <w:p w14:paraId="2AAE373E">
      <w:pPr>
        <w:jc w:val="center"/>
        <w:rPr>
          <w:rFonts w:ascii="宋体" w:hAnsi="宋体" w:cs="宋体"/>
          <w:color w:val="auto"/>
          <w:sz w:val="52"/>
          <w:szCs w:val="52"/>
          <w:highlight w:val="none"/>
          <w:u w:val="single"/>
        </w:rPr>
      </w:pPr>
      <w:bookmarkStart w:id="825" w:name="_Toc513633967"/>
      <w:bookmarkStart w:id="826" w:name="_Toc514858710"/>
      <w:bookmarkStart w:id="827" w:name="_Toc503951046"/>
      <w:bookmarkStart w:id="828" w:name="_Toc513646738"/>
      <w:bookmarkStart w:id="829" w:name="_Toc503971829"/>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825"/>
      <w:bookmarkEnd w:id="826"/>
      <w:bookmarkEnd w:id="827"/>
      <w:bookmarkEnd w:id="828"/>
      <w:bookmarkEnd w:id="829"/>
      <w:r>
        <w:rPr>
          <w:rFonts w:hint="eastAsia" w:ascii="宋体" w:hAnsi="宋体" w:cs="宋体"/>
          <w:color w:val="auto"/>
          <w:sz w:val="52"/>
          <w:szCs w:val="52"/>
          <w:highlight w:val="none"/>
          <w:u w:val="single"/>
        </w:rPr>
        <w:t xml:space="preserve"> </w:t>
      </w:r>
    </w:p>
    <w:p w14:paraId="3872DACC">
      <w:pPr>
        <w:rPr>
          <w:rFonts w:ascii="宋体" w:hAnsi="宋体" w:cs="宋体"/>
          <w:color w:val="auto"/>
          <w:sz w:val="20"/>
          <w:szCs w:val="20"/>
          <w:highlight w:val="none"/>
        </w:rPr>
      </w:pPr>
    </w:p>
    <w:p w14:paraId="2F3DD8A3">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EE2E3BC">
      <w:pPr>
        <w:rPr>
          <w:rFonts w:ascii="宋体" w:hAnsi="宋体" w:cs="宋体"/>
          <w:color w:val="auto"/>
          <w:sz w:val="28"/>
          <w:szCs w:val="28"/>
          <w:highlight w:val="none"/>
        </w:rPr>
      </w:pPr>
    </w:p>
    <w:p w14:paraId="3F60D779">
      <w:pPr>
        <w:rPr>
          <w:rFonts w:ascii="宋体" w:hAnsi="宋体" w:cs="宋体"/>
          <w:color w:val="auto"/>
          <w:sz w:val="28"/>
          <w:szCs w:val="28"/>
          <w:highlight w:val="none"/>
        </w:rPr>
      </w:pPr>
    </w:p>
    <w:p w14:paraId="7AFC9D27">
      <w:pPr>
        <w:rPr>
          <w:rFonts w:ascii="宋体" w:hAnsi="宋体" w:cs="宋体"/>
          <w:color w:val="auto"/>
          <w:sz w:val="28"/>
          <w:szCs w:val="28"/>
          <w:highlight w:val="none"/>
        </w:rPr>
      </w:pPr>
    </w:p>
    <w:p w14:paraId="364EADFE">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F8110C0">
      <w:pPr>
        <w:jc w:val="center"/>
        <w:rPr>
          <w:rFonts w:ascii="宋体" w:hAnsi="宋体" w:cs="宋体"/>
          <w:b/>
          <w:color w:val="auto"/>
          <w:sz w:val="32"/>
          <w:szCs w:val="32"/>
          <w:highlight w:val="none"/>
        </w:rPr>
      </w:pPr>
    </w:p>
    <w:p w14:paraId="0E35CBA4">
      <w:pPr>
        <w:rPr>
          <w:rFonts w:ascii="宋体" w:hAnsi="宋体" w:cs="宋体"/>
          <w:color w:val="auto"/>
          <w:sz w:val="28"/>
          <w:szCs w:val="28"/>
          <w:highlight w:val="none"/>
        </w:rPr>
      </w:pPr>
    </w:p>
    <w:p w14:paraId="22A96B88">
      <w:pPr>
        <w:rPr>
          <w:rFonts w:ascii="宋体" w:hAnsi="宋体" w:cs="宋体"/>
          <w:color w:val="auto"/>
          <w:sz w:val="28"/>
          <w:szCs w:val="28"/>
          <w:highlight w:val="none"/>
        </w:rPr>
      </w:pPr>
    </w:p>
    <w:p w14:paraId="7A89945C">
      <w:pPr>
        <w:rPr>
          <w:rFonts w:ascii="宋体" w:hAnsi="宋体" w:cs="宋体"/>
          <w:color w:val="auto"/>
          <w:sz w:val="28"/>
          <w:szCs w:val="28"/>
          <w:highlight w:val="none"/>
        </w:rPr>
      </w:pPr>
    </w:p>
    <w:p w14:paraId="329E944D">
      <w:pPr>
        <w:rPr>
          <w:rFonts w:ascii="宋体" w:hAnsi="宋体" w:cs="宋体"/>
          <w:color w:val="auto"/>
          <w:sz w:val="28"/>
          <w:szCs w:val="28"/>
          <w:highlight w:val="none"/>
        </w:rPr>
      </w:pPr>
    </w:p>
    <w:p w14:paraId="4879E729">
      <w:pPr>
        <w:rPr>
          <w:rFonts w:ascii="宋体" w:hAnsi="宋体" w:cs="宋体"/>
          <w:color w:val="auto"/>
          <w:sz w:val="28"/>
          <w:szCs w:val="28"/>
          <w:highlight w:val="none"/>
        </w:rPr>
      </w:pPr>
    </w:p>
    <w:p w14:paraId="2B1E80A4">
      <w:pPr>
        <w:pStyle w:val="29"/>
        <w:rPr>
          <w:color w:val="auto"/>
          <w:highlight w:val="none"/>
        </w:rPr>
      </w:pPr>
    </w:p>
    <w:p w14:paraId="56CFF350">
      <w:pPr>
        <w:rPr>
          <w:color w:val="auto"/>
          <w:highlight w:val="none"/>
        </w:rPr>
      </w:pPr>
    </w:p>
    <w:p w14:paraId="51738B3C">
      <w:pPr>
        <w:pStyle w:val="29"/>
        <w:rPr>
          <w:color w:val="auto"/>
          <w:highlight w:val="none"/>
        </w:rPr>
      </w:pPr>
    </w:p>
    <w:p w14:paraId="028D5353">
      <w:pPr>
        <w:rPr>
          <w:color w:val="auto"/>
          <w:highlight w:val="none"/>
        </w:rPr>
      </w:pPr>
    </w:p>
    <w:p w14:paraId="715D2414">
      <w:pPr>
        <w:pStyle w:val="29"/>
        <w:rPr>
          <w:color w:val="auto"/>
          <w:highlight w:val="none"/>
        </w:rPr>
      </w:pPr>
    </w:p>
    <w:p w14:paraId="3ABC0AC1">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28F8D3C9">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（签名）</w:t>
      </w:r>
    </w:p>
    <w:p w14:paraId="7795B50A">
      <w:pPr>
        <w:jc w:val="center"/>
        <w:rPr>
          <w:rFonts w:ascii="宋体" w:hAnsi="宋体" w:cs="宋体"/>
          <w:color w:val="auto"/>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7BC0C65F">
      <w:pPr>
        <w:rPr>
          <w:rFonts w:ascii="宋体" w:hAnsi="宋体" w:cs="宋体"/>
          <w:color w:val="auto"/>
          <w:highlight w:val="none"/>
        </w:rPr>
      </w:pPr>
      <w:bookmarkStart w:id="830" w:name="_Toc1368"/>
      <w:bookmarkStart w:id="831" w:name="_Toc26420"/>
      <w:bookmarkStart w:id="832" w:name="_Toc11329273"/>
      <w:bookmarkStart w:id="833" w:name="_Toc28780"/>
      <w:bookmarkStart w:id="834" w:name="_Toc5459"/>
      <w:r>
        <w:rPr>
          <w:rFonts w:hint="eastAsia" w:ascii="宋体" w:hAnsi="宋体" w:cs="宋体"/>
          <w:color w:val="auto"/>
          <w:highlight w:val="none"/>
        </w:rPr>
        <w:br w:type="page"/>
      </w:r>
    </w:p>
    <w:p w14:paraId="362816D6">
      <w:pPr>
        <w:jc w:val="center"/>
        <w:rPr>
          <w:rFonts w:ascii="宋体" w:hAnsi="宋体" w:cs="宋体"/>
          <w:b/>
          <w:bCs/>
          <w:color w:val="auto"/>
          <w:sz w:val="32"/>
          <w:szCs w:val="40"/>
          <w:highlight w:val="none"/>
        </w:rPr>
      </w:pPr>
      <w:r>
        <w:rPr>
          <w:rFonts w:hint="eastAsia" w:ascii="宋体" w:hAnsi="宋体" w:cs="宋体"/>
          <w:b/>
          <w:bCs/>
          <w:color w:val="auto"/>
          <w:sz w:val="32"/>
          <w:szCs w:val="40"/>
          <w:highlight w:val="none"/>
        </w:rPr>
        <w:t>目    录</w:t>
      </w:r>
      <w:bookmarkEnd w:id="811"/>
      <w:bookmarkEnd w:id="812"/>
      <w:bookmarkEnd w:id="813"/>
      <w:bookmarkEnd w:id="814"/>
      <w:bookmarkEnd w:id="815"/>
      <w:bookmarkEnd w:id="816"/>
      <w:bookmarkEnd w:id="817"/>
      <w:bookmarkEnd w:id="818"/>
      <w:bookmarkEnd w:id="830"/>
      <w:bookmarkEnd w:id="831"/>
      <w:bookmarkEnd w:id="832"/>
      <w:bookmarkEnd w:id="833"/>
      <w:bookmarkEnd w:id="834"/>
    </w:p>
    <w:p w14:paraId="176AA625">
      <w:pPr>
        <w:numPr>
          <w:ilvl w:val="0"/>
          <w:numId w:val="9"/>
        </w:numPr>
        <w:spacing w:line="400" w:lineRule="exact"/>
        <w:rPr>
          <w:rFonts w:ascii="宋体" w:hAnsi="宋体" w:cs="宋体"/>
          <w:color w:val="auto"/>
          <w:highlight w:val="none"/>
        </w:rPr>
      </w:pPr>
      <w:r>
        <w:rPr>
          <w:rFonts w:hint="eastAsia" w:ascii="宋体" w:hAnsi="宋体" w:cs="宋体"/>
          <w:color w:val="auto"/>
          <w:highlight w:val="none"/>
        </w:rPr>
        <w:t>竞争性响应声明书</w:t>
      </w:r>
    </w:p>
    <w:p w14:paraId="5342FA90">
      <w:pPr>
        <w:numPr>
          <w:ilvl w:val="0"/>
          <w:numId w:val="9"/>
        </w:numPr>
        <w:spacing w:line="400" w:lineRule="exact"/>
        <w:rPr>
          <w:rFonts w:ascii="宋体" w:hAnsi="宋体" w:cs="宋体"/>
          <w:color w:val="auto"/>
          <w:highlight w:val="none"/>
        </w:rPr>
      </w:pPr>
      <w:r>
        <w:rPr>
          <w:rFonts w:ascii="宋体" w:hAnsi="宋体" w:cs="宋体"/>
          <w:color w:val="auto"/>
          <w:highlight w:val="none"/>
        </w:rPr>
        <w:t>法定代表人身份证明或法定代表人授权委托书</w:t>
      </w:r>
    </w:p>
    <w:p w14:paraId="466AAE37">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5DFB9DF2">
      <w:pPr>
        <w:spacing w:line="400" w:lineRule="exact"/>
        <w:rPr>
          <w:rFonts w:ascii="宋体" w:hAnsi="宋体" w:cs="宋体"/>
          <w:color w:val="auto"/>
          <w:highlight w:val="none"/>
        </w:rPr>
      </w:pPr>
      <w:r>
        <w:rPr>
          <w:rFonts w:hint="eastAsia" w:ascii="宋体" w:hAnsi="宋体" w:cs="宋体"/>
          <w:color w:val="auto"/>
          <w:highlight w:val="none"/>
        </w:rPr>
        <w:t>四、审查资料</w:t>
      </w:r>
    </w:p>
    <w:p w14:paraId="4B8F998B">
      <w:pPr>
        <w:spacing w:line="400" w:lineRule="exact"/>
        <w:rPr>
          <w:rFonts w:ascii="宋体" w:hAnsi="宋体" w:cs="宋体"/>
          <w:color w:val="auto"/>
          <w:highlight w:val="none"/>
        </w:rPr>
      </w:pPr>
      <w:r>
        <w:rPr>
          <w:rFonts w:hint="eastAsia" w:ascii="宋体" w:hAnsi="宋体" w:cs="宋体"/>
          <w:color w:val="auto"/>
          <w:highlight w:val="none"/>
        </w:rPr>
        <w:t>五、商务部分</w:t>
      </w:r>
    </w:p>
    <w:p w14:paraId="2800B24D">
      <w:pPr>
        <w:spacing w:line="400" w:lineRule="exact"/>
        <w:rPr>
          <w:rFonts w:ascii="宋体" w:hAnsi="宋体" w:cs="宋体"/>
          <w:color w:val="auto"/>
          <w:highlight w:val="none"/>
        </w:rPr>
      </w:pPr>
      <w:r>
        <w:rPr>
          <w:rFonts w:hint="eastAsia" w:ascii="宋体" w:hAnsi="宋体" w:cs="宋体"/>
          <w:color w:val="auto"/>
          <w:highlight w:val="none"/>
        </w:rPr>
        <w:t>六、技术部分</w:t>
      </w:r>
    </w:p>
    <w:p w14:paraId="698BF81C">
      <w:pPr>
        <w:spacing w:line="400" w:lineRule="exact"/>
        <w:rPr>
          <w:rFonts w:ascii="宋体" w:hAnsi="宋体" w:cs="宋体"/>
          <w:color w:val="auto"/>
          <w:szCs w:val="21"/>
          <w:highlight w:val="none"/>
        </w:rPr>
      </w:pPr>
      <w:r>
        <w:rPr>
          <w:rFonts w:hint="eastAsia" w:ascii="宋体" w:hAnsi="宋体" w:cs="宋体"/>
          <w:color w:val="auto"/>
          <w:highlight w:val="none"/>
        </w:rPr>
        <w:t>七、</w:t>
      </w:r>
      <w:r>
        <w:rPr>
          <w:rFonts w:hint="eastAsia" w:ascii="宋体" w:hAnsi="宋体" w:cs="宋体"/>
          <w:color w:val="auto"/>
          <w:szCs w:val="21"/>
          <w:highlight w:val="none"/>
        </w:rPr>
        <w:t>报价人承诺</w:t>
      </w:r>
    </w:p>
    <w:p w14:paraId="078BA05E">
      <w:pPr>
        <w:spacing w:line="400" w:lineRule="exact"/>
        <w:rPr>
          <w:rFonts w:ascii="宋体" w:hAnsi="宋体" w:cs="宋体"/>
          <w:color w:val="auto"/>
          <w:highlight w:val="none"/>
        </w:rPr>
      </w:pPr>
      <w:r>
        <w:rPr>
          <w:rFonts w:hint="eastAsia" w:ascii="宋体" w:hAnsi="宋体" w:cs="宋体"/>
          <w:color w:val="auto"/>
          <w:highlight w:val="none"/>
        </w:rPr>
        <w:t>八、报价人提供的其他资料</w:t>
      </w:r>
    </w:p>
    <w:p w14:paraId="79E0B792">
      <w:pPr>
        <w:spacing w:line="400" w:lineRule="exact"/>
        <w:rPr>
          <w:rFonts w:ascii="宋体" w:hAnsi="宋体" w:cs="宋体"/>
          <w:color w:val="auto"/>
          <w:highlight w:val="none"/>
        </w:rPr>
      </w:pPr>
      <w:r>
        <w:rPr>
          <w:rFonts w:hint="eastAsia" w:ascii="宋体" w:hAnsi="宋体" w:cs="宋体"/>
          <w:color w:val="auto"/>
          <w:highlight w:val="none"/>
        </w:rPr>
        <w:t>九、低价风险担保提交承诺书（如有）</w:t>
      </w:r>
    </w:p>
    <w:p w14:paraId="577E33C1">
      <w:pPr>
        <w:spacing w:line="400" w:lineRule="exact"/>
        <w:rPr>
          <w:rFonts w:ascii="宋体" w:hAnsi="宋体" w:cs="宋体"/>
          <w:color w:val="auto"/>
          <w:highlight w:val="none"/>
        </w:rPr>
      </w:pPr>
    </w:p>
    <w:p w14:paraId="3A142038">
      <w:pPr>
        <w:spacing w:line="400" w:lineRule="exact"/>
        <w:rPr>
          <w:rFonts w:ascii="宋体" w:hAnsi="宋体" w:cs="宋体"/>
          <w:color w:val="auto"/>
          <w:highlight w:val="none"/>
        </w:rPr>
      </w:pPr>
    </w:p>
    <w:p w14:paraId="62924BB2">
      <w:pPr>
        <w:spacing w:line="400" w:lineRule="exact"/>
        <w:rPr>
          <w:rFonts w:ascii="宋体" w:hAnsi="宋体" w:cs="宋体"/>
          <w:color w:val="auto"/>
          <w:highlight w:val="none"/>
        </w:rPr>
      </w:pPr>
    </w:p>
    <w:p w14:paraId="04754DEB">
      <w:pPr>
        <w:spacing w:line="400" w:lineRule="exact"/>
        <w:rPr>
          <w:rFonts w:ascii="宋体" w:hAnsi="宋体" w:cs="宋体"/>
          <w:color w:val="auto"/>
          <w:highlight w:val="none"/>
        </w:rPr>
      </w:pPr>
    </w:p>
    <w:p w14:paraId="18858F66">
      <w:pPr>
        <w:spacing w:line="400" w:lineRule="exact"/>
        <w:rPr>
          <w:rFonts w:ascii="宋体" w:hAnsi="宋体" w:cs="宋体"/>
          <w:color w:val="auto"/>
          <w:highlight w:val="none"/>
        </w:rPr>
      </w:pPr>
    </w:p>
    <w:p w14:paraId="7EA02AB4">
      <w:pPr>
        <w:spacing w:line="400" w:lineRule="exact"/>
        <w:rPr>
          <w:rFonts w:ascii="宋体" w:hAnsi="宋体" w:cs="宋体"/>
          <w:color w:val="auto"/>
          <w:highlight w:val="none"/>
        </w:rPr>
      </w:pPr>
    </w:p>
    <w:p w14:paraId="53E4ADF4">
      <w:pPr>
        <w:spacing w:line="400" w:lineRule="exact"/>
        <w:rPr>
          <w:rFonts w:ascii="宋体" w:hAnsi="宋体" w:cs="宋体"/>
          <w:color w:val="auto"/>
          <w:highlight w:val="none"/>
        </w:rPr>
      </w:pPr>
    </w:p>
    <w:p w14:paraId="6A488674">
      <w:pPr>
        <w:spacing w:line="400" w:lineRule="exact"/>
        <w:rPr>
          <w:rFonts w:ascii="宋体" w:hAnsi="宋体" w:cs="宋体"/>
          <w:color w:val="auto"/>
          <w:highlight w:val="none"/>
        </w:rPr>
      </w:pPr>
    </w:p>
    <w:p w14:paraId="4626489E">
      <w:pPr>
        <w:spacing w:line="400" w:lineRule="exact"/>
        <w:rPr>
          <w:rFonts w:ascii="宋体" w:hAnsi="宋体" w:cs="宋体"/>
          <w:color w:val="auto"/>
          <w:highlight w:val="none"/>
        </w:rPr>
      </w:pPr>
    </w:p>
    <w:p w14:paraId="28F7ABBC">
      <w:pPr>
        <w:spacing w:line="400" w:lineRule="exact"/>
        <w:rPr>
          <w:rFonts w:ascii="宋体" w:hAnsi="宋体" w:cs="宋体"/>
          <w:color w:val="auto"/>
          <w:highlight w:val="none"/>
        </w:rPr>
      </w:pPr>
    </w:p>
    <w:p w14:paraId="69508D69">
      <w:pPr>
        <w:spacing w:line="400" w:lineRule="exact"/>
        <w:rPr>
          <w:rFonts w:ascii="宋体" w:hAnsi="宋体" w:cs="宋体"/>
          <w:color w:val="auto"/>
          <w:highlight w:val="none"/>
        </w:rPr>
      </w:pPr>
    </w:p>
    <w:p w14:paraId="197BB36F">
      <w:pPr>
        <w:spacing w:line="400" w:lineRule="exact"/>
        <w:rPr>
          <w:rFonts w:ascii="宋体" w:hAnsi="宋体" w:cs="宋体"/>
          <w:color w:val="auto"/>
          <w:highlight w:val="none"/>
        </w:rPr>
      </w:pPr>
    </w:p>
    <w:p w14:paraId="55A505AA">
      <w:pPr>
        <w:spacing w:line="400" w:lineRule="exact"/>
        <w:rPr>
          <w:rFonts w:ascii="宋体" w:hAnsi="宋体" w:cs="宋体"/>
          <w:color w:val="auto"/>
          <w:highlight w:val="none"/>
        </w:rPr>
      </w:pPr>
    </w:p>
    <w:p w14:paraId="2ADC04FD">
      <w:pPr>
        <w:spacing w:line="400" w:lineRule="exact"/>
        <w:rPr>
          <w:rFonts w:ascii="宋体" w:hAnsi="宋体" w:cs="宋体"/>
          <w:color w:val="auto"/>
          <w:highlight w:val="none"/>
        </w:rPr>
      </w:pPr>
    </w:p>
    <w:p w14:paraId="30DD3F03">
      <w:pPr>
        <w:spacing w:line="400" w:lineRule="exact"/>
        <w:rPr>
          <w:rFonts w:ascii="宋体" w:hAnsi="宋体" w:cs="宋体"/>
          <w:color w:val="auto"/>
          <w:highlight w:val="none"/>
        </w:rPr>
      </w:pPr>
    </w:p>
    <w:p w14:paraId="705190A0">
      <w:pPr>
        <w:spacing w:line="400" w:lineRule="exact"/>
        <w:rPr>
          <w:rFonts w:ascii="宋体" w:hAnsi="宋体" w:cs="宋体"/>
          <w:color w:val="auto"/>
          <w:highlight w:val="none"/>
        </w:rPr>
      </w:pPr>
    </w:p>
    <w:p w14:paraId="4D25EC51">
      <w:pPr>
        <w:spacing w:line="400" w:lineRule="exact"/>
        <w:rPr>
          <w:rFonts w:ascii="宋体" w:hAnsi="宋体" w:cs="宋体"/>
          <w:color w:val="auto"/>
          <w:highlight w:val="none"/>
        </w:rPr>
      </w:pPr>
    </w:p>
    <w:p w14:paraId="084DDB43">
      <w:pPr>
        <w:spacing w:line="400" w:lineRule="exact"/>
        <w:rPr>
          <w:rFonts w:ascii="宋体" w:hAnsi="宋体" w:cs="宋体"/>
          <w:color w:val="auto"/>
          <w:highlight w:val="none"/>
        </w:rPr>
      </w:pPr>
    </w:p>
    <w:p w14:paraId="710F35C7">
      <w:pPr>
        <w:spacing w:line="400" w:lineRule="exact"/>
        <w:rPr>
          <w:rFonts w:ascii="宋体" w:hAnsi="宋体" w:cs="宋体"/>
          <w:color w:val="auto"/>
          <w:highlight w:val="none"/>
        </w:rPr>
      </w:pPr>
    </w:p>
    <w:p w14:paraId="1921902C">
      <w:pPr>
        <w:spacing w:line="400" w:lineRule="exact"/>
        <w:rPr>
          <w:rFonts w:ascii="宋体" w:hAnsi="宋体" w:cs="宋体"/>
          <w:color w:val="auto"/>
          <w:highlight w:val="none"/>
        </w:rPr>
      </w:pPr>
    </w:p>
    <w:p w14:paraId="0F40FC00">
      <w:pPr>
        <w:spacing w:line="400" w:lineRule="exact"/>
        <w:rPr>
          <w:rFonts w:ascii="宋体" w:hAnsi="宋体" w:cs="宋体"/>
          <w:color w:val="auto"/>
          <w:highlight w:val="none"/>
        </w:rPr>
      </w:pPr>
      <w:r>
        <w:rPr>
          <w:rFonts w:ascii="宋体" w:hAnsi="宋体" w:cs="宋体"/>
          <w:color w:val="auto"/>
          <w:highlight w:val="none"/>
        </w:rPr>
        <w:br w:type="page"/>
      </w:r>
    </w:p>
    <w:p w14:paraId="3F95D59F">
      <w:pPr>
        <w:pStyle w:val="4"/>
        <w:numPr>
          <w:ilvl w:val="0"/>
          <w:numId w:val="10"/>
        </w:numPr>
        <w:spacing w:before="0" w:after="0" w:line="360" w:lineRule="auto"/>
        <w:jc w:val="center"/>
        <w:rPr>
          <w:rFonts w:ascii="宋体" w:hAnsi="宋体" w:eastAsia="宋体" w:cs="宋体"/>
          <w:color w:val="auto"/>
          <w:sz w:val="28"/>
          <w:highlight w:val="none"/>
        </w:rPr>
      </w:pPr>
      <w:bookmarkStart w:id="835" w:name="_Toc3047"/>
      <w:bookmarkStart w:id="836" w:name="_Toc25874"/>
      <w:bookmarkStart w:id="837" w:name="_Toc29547"/>
      <w:bookmarkStart w:id="838" w:name="_Toc28976"/>
      <w:bookmarkStart w:id="839" w:name="_Toc20832"/>
      <w:bookmarkStart w:id="840" w:name="_Toc15863"/>
      <w:bookmarkStart w:id="841" w:name="_Toc447827053"/>
      <w:bookmarkStart w:id="842" w:name="_Toc513633969"/>
      <w:bookmarkStart w:id="843" w:name="_Toc503951048"/>
      <w:r>
        <w:rPr>
          <w:rFonts w:hint="eastAsia" w:ascii="宋体" w:hAnsi="宋体" w:eastAsia="宋体" w:cs="宋体"/>
          <w:color w:val="auto"/>
          <w:sz w:val="28"/>
          <w:highlight w:val="none"/>
        </w:rPr>
        <w:t>竞争比选响应声明书</w:t>
      </w:r>
      <w:bookmarkEnd w:id="835"/>
      <w:bookmarkEnd w:id="836"/>
      <w:bookmarkEnd w:id="837"/>
      <w:bookmarkEnd w:id="838"/>
      <w:bookmarkEnd w:id="839"/>
      <w:bookmarkEnd w:id="840"/>
    </w:p>
    <w:p w14:paraId="2BE4725E">
      <w:pPr>
        <w:tabs>
          <w:tab w:val="left" w:pos="900"/>
        </w:tabs>
        <w:spacing w:line="300" w:lineRule="auto"/>
        <w:outlineLvl w:val="2"/>
        <w:rPr>
          <w:color w:val="auto"/>
          <w:highlight w:val="none"/>
        </w:rPr>
      </w:pPr>
      <w:r>
        <w:rPr>
          <w:rFonts w:ascii="Arial" w:hAnsi="Arial" w:cs="Arial"/>
          <w:color w:val="auto"/>
          <w:sz w:val="24"/>
          <w:highlight w:val="none"/>
        </w:rPr>
        <w:t xml:space="preserve"> </w:t>
      </w: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161C18C7">
      <w:pPr>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根据贵方为</w:t>
      </w:r>
      <w:r>
        <w:rPr>
          <w:rFonts w:hint="eastAsia" w:ascii="Arial" w:hAnsi="Arial" w:cs="Arial"/>
          <w:color w:val="auto"/>
          <w:sz w:val="24"/>
          <w:highlight w:val="none"/>
          <w:u w:val="single"/>
          <w:lang w:eastAsia="zh-CN"/>
        </w:rPr>
        <w:t>2025年重庆高速集团网络安全咨询维护服务</w:t>
      </w:r>
      <w:r>
        <w:rPr>
          <w:rFonts w:hint="eastAsia" w:ascii="Arial" w:hAnsi="Arial" w:cs="Arial"/>
          <w:color w:val="auto"/>
          <w:sz w:val="24"/>
          <w:highlight w:val="none"/>
          <w:u w:val="single"/>
        </w:rPr>
        <w:t>项目</w:t>
      </w:r>
      <w:r>
        <w:rPr>
          <w:rFonts w:hint="eastAsia" w:ascii="Arial" w:hAnsi="Arial" w:cs="Arial"/>
          <w:color w:val="auto"/>
          <w:sz w:val="24"/>
          <w:highlight w:val="none"/>
        </w:rPr>
        <w:t>竞争比选项目的竞争比选公告，签名代表</w:t>
      </w:r>
      <w:r>
        <w:rPr>
          <w:rFonts w:ascii="Arial" w:hAnsi="Arial" w:cs="Arial"/>
          <w:color w:val="auto"/>
          <w:sz w:val="24"/>
          <w:highlight w:val="none"/>
          <w:u w:val="single"/>
        </w:rPr>
        <w:t xml:space="preserve">          </w:t>
      </w:r>
      <w:r>
        <w:rPr>
          <w:rFonts w:hint="eastAsia" w:ascii="Arial" w:hAnsi="Arial" w:cs="Arial"/>
          <w:color w:val="auto"/>
          <w:sz w:val="24"/>
          <w:highlight w:val="none"/>
          <w:u w:val="single"/>
        </w:rPr>
        <w:t>（全名、职务）</w:t>
      </w:r>
      <w:r>
        <w:rPr>
          <w:rFonts w:hint="eastAsia" w:ascii="Arial" w:hAnsi="Arial" w:cs="Arial"/>
          <w:color w:val="auto"/>
          <w:sz w:val="24"/>
          <w:highlight w:val="none"/>
        </w:rPr>
        <w:t>经正式授权并代表竞争比选响应单位</w:t>
      </w:r>
      <w:r>
        <w:rPr>
          <w:rFonts w:ascii="Arial" w:hAnsi="Arial" w:cs="Arial"/>
          <w:color w:val="auto"/>
          <w:sz w:val="24"/>
          <w:highlight w:val="none"/>
          <w:u w:val="single"/>
        </w:rPr>
        <w:t xml:space="preserve"> </w:t>
      </w:r>
      <w:r>
        <w:rPr>
          <w:rFonts w:hint="eastAsia" w:ascii="Arial" w:hAnsi="Arial" w:cs="Arial"/>
          <w:color w:val="auto"/>
          <w:sz w:val="24"/>
          <w:highlight w:val="none"/>
          <w:u w:val="single"/>
        </w:rPr>
        <w:t>（竞争比选响应单位名称）</w:t>
      </w:r>
      <w:r>
        <w:rPr>
          <w:rFonts w:ascii="Arial" w:hAnsi="Arial" w:cs="Arial"/>
          <w:color w:val="auto"/>
          <w:sz w:val="24"/>
          <w:highlight w:val="none"/>
          <w:u w:val="single"/>
        </w:rPr>
        <w:t xml:space="preserve"> </w:t>
      </w:r>
      <w:r>
        <w:rPr>
          <w:rFonts w:hint="eastAsia" w:ascii="Arial" w:hAnsi="Arial" w:cs="Arial"/>
          <w:color w:val="auto"/>
          <w:sz w:val="24"/>
          <w:highlight w:val="none"/>
        </w:rPr>
        <w:t>提交报价文件。</w:t>
      </w:r>
    </w:p>
    <w:p w14:paraId="612D3D19">
      <w:pPr>
        <w:spacing w:line="480" w:lineRule="auto"/>
        <w:ind w:firstLine="480" w:firstLineChars="200"/>
        <w:rPr>
          <w:rFonts w:ascii="Arial" w:hAnsi="Arial" w:cs="Arial"/>
          <w:color w:val="auto"/>
          <w:sz w:val="24"/>
          <w:highlight w:val="none"/>
          <w:u w:val="single"/>
        </w:rPr>
      </w:pPr>
      <w:r>
        <w:rPr>
          <w:rFonts w:hint="eastAsia" w:ascii="Arial" w:hAnsi="Arial" w:cs="Arial"/>
          <w:color w:val="auto"/>
          <w:sz w:val="24"/>
          <w:highlight w:val="none"/>
          <w:u w:val="single"/>
        </w:rPr>
        <w:t>我方愿以：           元（大写：    ）的报价按照竞争比选文件的要求，提供本次竞争比选文件要求的设备及服务。</w:t>
      </w:r>
    </w:p>
    <w:p w14:paraId="431C3608">
      <w:pPr>
        <w:tabs>
          <w:tab w:val="left" w:pos="540"/>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据此函，签名代表宣布同意如下：</w:t>
      </w:r>
    </w:p>
    <w:p w14:paraId="4475DE67">
      <w:pPr>
        <w:tabs>
          <w:tab w:val="left" w:pos="540"/>
          <w:tab w:val="left" w:pos="900"/>
        </w:tabs>
        <w:spacing w:line="480" w:lineRule="auto"/>
        <w:ind w:firstLine="480" w:firstLineChars="200"/>
        <w:outlineLvl w:val="2"/>
        <w:rPr>
          <w:rFonts w:ascii="Arial" w:hAnsi="Arial" w:cs="Arial"/>
          <w:color w:val="auto"/>
          <w:sz w:val="24"/>
          <w:highlight w:val="none"/>
        </w:rPr>
      </w:pPr>
      <w:r>
        <w:rPr>
          <w:rFonts w:ascii="Arial" w:hAnsi="Arial" w:cs="Arial"/>
          <w:color w:val="auto"/>
          <w:sz w:val="24"/>
          <w:highlight w:val="none"/>
        </w:rPr>
        <w:t>1</w:t>
      </w:r>
      <w:r>
        <w:rPr>
          <w:rFonts w:hint="eastAsia" w:ascii="Arial" w:hAnsi="Arial" w:cs="Arial"/>
          <w:color w:val="auto"/>
          <w:sz w:val="24"/>
          <w:highlight w:val="none"/>
        </w:rPr>
        <w:t>、竞争比选响应单位将按竞争比选文件规定履行合同责任和义务。</w:t>
      </w:r>
    </w:p>
    <w:p w14:paraId="4C385AFD">
      <w:pPr>
        <w:tabs>
          <w:tab w:val="left" w:pos="900"/>
        </w:tabs>
        <w:spacing w:line="480" w:lineRule="auto"/>
        <w:ind w:firstLine="480" w:firstLineChars="200"/>
        <w:rPr>
          <w:rFonts w:ascii="Arial" w:hAnsi="Arial" w:cs="Arial"/>
          <w:b/>
          <w:color w:val="auto"/>
          <w:sz w:val="24"/>
          <w:highlight w:val="none"/>
        </w:rPr>
      </w:pPr>
      <w:r>
        <w:rPr>
          <w:rFonts w:ascii="Arial" w:hAnsi="Arial" w:cs="Arial"/>
          <w:color w:val="auto"/>
          <w:sz w:val="24"/>
          <w:highlight w:val="none"/>
        </w:rPr>
        <w:t>2</w:t>
      </w:r>
      <w:r>
        <w:rPr>
          <w:rFonts w:hint="eastAsia" w:ascii="Arial" w:hAnsi="Arial" w:cs="Arial"/>
          <w:color w:val="auto"/>
          <w:sz w:val="24"/>
          <w:highlight w:val="none"/>
        </w:rPr>
        <w:t>、竞争比选响应单位已详细审查全部竞争比选文件，包括修改文件（如有的话）以及全部参考资料和相关附件。我们完全理解并同意放弃对这方面有不明及误解的权利。</w:t>
      </w:r>
    </w:p>
    <w:p w14:paraId="1C71E342">
      <w:pPr>
        <w:tabs>
          <w:tab w:val="left" w:pos="900"/>
        </w:tabs>
        <w:spacing w:line="480" w:lineRule="auto"/>
        <w:ind w:firstLine="480" w:firstLineChars="200"/>
        <w:rPr>
          <w:rFonts w:ascii="Arial" w:hAnsi="Arial" w:cs="Arial"/>
          <w:b/>
          <w:color w:val="auto"/>
          <w:sz w:val="24"/>
          <w:highlight w:val="none"/>
        </w:rPr>
      </w:pPr>
      <w:r>
        <w:rPr>
          <w:rFonts w:hint="eastAsia" w:ascii="Arial" w:hAnsi="Arial" w:cs="Arial"/>
          <w:color w:val="auto"/>
          <w:sz w:val="24"/>
          <w:highlight w:val="none"/>
        </w:rPr>
        <w:t>3、竞争比选响应单位同意提供采购人可能要求的与其竞争比选响应文件有关的一切数据或资料，完全理解采购人不一定要接受最低报价的竞争比选响应或收到的任何报价。</w:t>
      </w:r>
    </w:p>
    <w:p w14:paraId="25537687">
      <w:pPr>
        <w:tabs>
          <w:tab w:val="left" w:pos="900"/>
        </w:tabs>
        <w:spacing w:line="480" w:lineRule="auto"/>
        <w:ind w:firstLine="480" w:firstLineChars="200"/>
        <w:outlineLvl w:val="2"/>
        <w:rPr>
          <w:rFonts w:ascii="Arial" w:hAnsi="Arial" w:cs="Arial"/>
          <w:b/>
          <w:color w:val="auto"/>
          <w:sz w:val="24"/>
          <w:highlight w:val="none"/>
        </w:rPr>
      </w:pPr>
      <w:r>
        <w:rPr>
          <w:rFonts w:hint="eastAsia" w:ascii="Arial" w:hAnsi="Arial" w:cs="Arial"/>
          <w:color w:val="auto"/>
          <w:sz w:val="24"/>
          <w:highlight w:val="none"/>
        </w:rPr>
        <w:t>4、与本竞争比选响应有关的一切正式往来通讯请寄：</w:t>
      </w:r>
    </w:p>
    <w:p w14:paraId="0822FC1E">
      <w:pPr>
        <w:tabs>
          <w:tab w:val="left" w:pos="900"/>
        </w:tabs>
        <w:spacing w:line="480" w:lineRule="auto"/>
        <w:ind w:firstLine="480" w:firstLineChars="200"/>
        <w:rPr>
          <w:rFonts w:ascii="Arial" w:hAnsi="Arial" w:cs="Arial"/>
          <w:b/>
          <w:color w:val="auto"/>
          <w:sz w:val="24"/>
          <w:highlight w:val="none"/>
        </w:rPr>
      </w:pPr>
      <w:r>
        <w:rPr>
          <w:rFonts w:hint="eastAsia" w:ascii="Arial" w:hAnsi="Arial" w:cs="Arial"/>
          <w:color w:val="auto"/>
          <w:sz w:val="24"/>
          <w:highlight w:val="none"/>
        </w:rPr>
        <w:t>地址：</w:t>
      </w:r>
      <w:r>
        <w:rPr>
          <w:rFonts w:ascii="Arial" w:hAnsi="Arial" w:cs="Arial"/>
          <w:color w:val="auto"/>
          <w:sz w:val="24"/>
          <w:highlight w:val="none"/>
          <w:u w:val="single"/>
        </w:rPr>
        <w:t xml:space="preserve">                         </w:t>
      </w:r>
      <w:r>
        <w:rPr>
          <w:rFonts w:ascii="Arial" w:hAnsi="Arial" w:cs="Arial"/>
          <w:color w:val="auto"/>
          <w:sz w:val="24"/>
          <w:highlight w:val="none"/>
        </w:rPr>
        <w:t xml:space="preserve">   </w:t>
      </w:r>
      <w:r>
        <w:rPr>
          <w:rFonts w:hint="eastAsia" w:ascii="Arial" w:hAnsi="Arial" w:cs="Arial"/>
          <w:color w:val="auto"/>
          <w:sz w:val="24"/>
          <w:highlight w:val="none"/>
        </w:rPr>
        <w:t>邮编：</w:t>
      </w:r>
      <w:r>
        <w:rPr>
          <w:rFonts w:ascii="Arial" w:hAnsi="Arial" w:cs="Arial"/>
          <w:color w:val="auto"/>
          <w:sz w:val="24"/>
          <w:highlight w:val="none"/>
          <w:u w:val="single"/>
        </w:rPr>
        <w:t xml:space="preserve">            </w:t>
      </w:r>
      <w:r>
        <w:rPr>
          <w:rFonts w:ascii="Arial" w:hAnsi="Arial" w:cs="Arial"/>
          <w:b/>
          <w:color w:val="auto"/>
          <w:sz w:val="24"/>
          <w:highlight w:val="none"/>
        </w:rPr>
        <w:t xml:space="preserve">  </w:t>
      </w:r>
    </w:p>
    <w:p w14:paraId="3AB8350E">
      <w:pPr>
        <w:tabs>
          <w:tab w:val="left" w:pos="900"/>
        </w:tabs>
        <w:spacing w:line="480" w:lineRule="auto"/>
        <w:ind w:firstLine="480" w:firstLineChars="200"/>
        <w:rPr>
          <w:rFonts w:ascii="Arial" w:hAnsi="Arial" w:cs="Arial"/>
          <w:color w:val="auto"/>
          <w:sz w:val="24"/>
          <w:highlight w:val="none"/>
          <w:u w:val="single"/>
        </w:rPr>
      </w:pPr>
      <w:r>
        <w:rPr>
          <w:rFonts w:hint="eastAsia" w:ascii="Arial" w:hAnsi="Arial" w:cs="Arial"/>
          <w:color w:val="auto"/>
          <w:sz w:val="24"/>
          <w:highlight w:val="none"/>
        </w:rPr>
        <w:t>电话：</w:t>
      </w:r>
      <w:r>
        <w:rPr>
          <w:rFonts w:ascii="Arial" w:hAnsi="Arial" w:cs="Arial"/>
          <w:color w:val="auto"/>
          <w:sz w:val="24"/>
          <w:highlight w:val="none"/>
          <w:u w:val="single"/>
        </w:rPr>
        <w:t xml:space="preserve">                         </w:t>
      </w:r>
      <w:r>
        <w:rPr>
          <w:rFonts w:ascii="Arial" w:hAnsi="Arial" w:cs="Arial"/>
          <w:color w:val="auto"/>
          <w:sz w:val="24"/>
          <w:highlight w:val="none"/>
        </w:rPr>
        <w:t xml:space="preserve">   </w:t>
      </w:r>
      <w:r>
        <w:rPr>
          <w:rFonts w:hint="eastAsia" w:ascii="Arial" w:hAnsi="Arial" w:cs="Arial"/>
          <w:color w:val="auto"/>
          <w:sz w:val="24"/>
          <w:highlight w:val="none"/>
        </w:rPr>
        <w:t>传真：</w:t>
      </w:r>
      <w:r>
        <w:rPr>
          <w:rFonts w:ascii="Arial" w:hAnsi="Arial" w:cs="Arial"/>
          <w:color w:val="auto"/>
          <w:sz w:val="24"/>
          <w:highlight w:val="none"/>
          <w:u w:val="single"/>
        </w:rPr>
        <w:t xml:space="preserve">            </w:t>
      </w:r>
    </w:p>
    <w:p w14:paraId="55DE2E9A">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竞争比选响应单位法定代表人或授权代表人（签名）：</w:t>
      </w:r>
      <w:r>
        <w:rPr>
          <w:rFonts w:ascii="Arial" w:hAnsi="Arial" w:cs="Arial"/>
          <w:color w:val="auto"/>
          <w:sz w:val="24"/>
          <w:highlight w:val="none"/>
          <w:u w:val="single"/>
        </w:rPr>
        <w:t xml:space="preserve">             </w:t>
      </w:r>
      <w:r>
        <w:rPr>
          <w:rFonts w:ascii="Arial" w:hAnsi="Arial" w:cs="Arial"/>
          <w:color w:val="auto"/>
          <w:sz w:val="24"/>
          <w:highlight w:val="none"/>
        </w:rPr>
        <w:t xml:space="preserve">  </w:t>
      </w:r>
    </w:p>
    <w:p w14:paraId="2EAAC2C9">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竞争比选响应单位法定代表人或授权代表人职务：</w:t>
      </w:r>
      <w:r>
        <w:rPr>
          <w:rFonts w:ascii="Arial" w:hAnsi="Arial" w:cs="Arial"/>
          <w:color w:val="auto"/>
          <w:sz w:val="24"/>
          <w:highlight w:val="none"/>
          <w:u w:val="single"/>
        </w:rPr>
        <w:t xml:space="preserve">             </w:t>
      </w:r>
      <w:r>
        <w:rPr>
          <w:rFonts w:ascii="Arial" w:hAnsi="Arial" w:cs="Arial"/>
          <w:color w:val="auto"/>
          <w:sz w:val="24"/>
          <w:highlight w:val="none"/>
        </w:rPr>
        <w:t xml:space="preserve">               </w:t>
      </w:r>
    </w:p>
    <w:p w14:paraId="2050F711">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竞争比选响应单位名称（加盖单位公章）：</w:t>
      </w:r>
      <w:r>
        <w:rPr>
          <w:rFonts w:ascii="Arial" w:hAnsi="Arial" w:cs="Arial"/>
          <w:color w:val="auto"/>
          <w:sz w:val="24"/>
          <w:highlight w:val="none"/>
          <w:u w:val="single"/>
        </w:rPr>
        <w:t xml:space="preserve">                        </w:t>
      </w:r>
    </w:p>
    <w:p w14:paraId="00E6232F">
      <w:pPr>
        <w:tabs>
          <w:tab w:val="left" w:pos="900"/>
        </w:tabs>
        <w:spacing w:line="480" w:lineRule="auto"/>
        <w:ind w:firstLine="480" w:firstLineChars="200"/>
        <w:rPr>
          <w:rFonts w:ascii="Arial" w:hAnsi="Arial" w:cs="Arial"/>
          <w:color w:val="auto"/>
          <w:sz w:val="24"/>
          <w:highlight w:val="none"/>
        </w:rPr>
      </w:pPr>
      <w:r>
        <w:rPr>
          <w:rFonts w:hint="eastAsia" w:ascii="Arial" w:hAnsi="Arial" w:cs="Arial"/>
          <w:color w:val="auto"/>
          <w:sz w:val="24"/>
          <w:highlight w:val="none"/>
        </w:rPr>
        <w:t>日期：</w:t>
      </w:r>
      <w:r>
        <w:rPr>
          <w:rFonts w:hint="eastAsia" w:ascii="Arial" w:hAnsi="Arial" w:cs="Arial"/>
          <w:color w:val="auto"/>
          <w:sz w:val="24"/>
          <w:highlight w:val="none"/>
          <w:u w:val="single"/>
        </w:rPr>
        <w:t xml:space="preserve">     </w:t>
      </w:r>
      <w:r>
        <w:rPr>
          <w:rFonts w:hint="eastAsia" w:ascii="Arial" w:hAnsi="Arial" w:cs="Arial"/>
          <w:color w:val="auto"/>
          <w:sz w:val="24"/>
          <w:highlight w:val="none"/>
        </w:rPr>
        <w:t>年</w:t>
      </w:r>
      <w:r>
        <w:rPr>
          <w:rFonts w:ascii="Arial" w:hAnsi="Arial" w:cs="Arial"/>
          <w:color w:val="auto"/>
          <w:sz w:val="24"/>
          <w:highlight w:val="none"/>
          <w:u w:val="single"/>
        </w:rPr>
        <w:t xml:space="preserve">      </w:t>
      </w:r>
      <w:r>
        <w:rPr>
          <w:rFonts w:hint="eastAsia" w:ascii="Arial" w:hAnsi="Arial" w:cs="Arial"/>
          <w:color w:val="auto"/>
          <w:sz w:val="24"/>
          <w:highlight w:val="none"/>
        </w:rPr>
        <w:t>月</w:t>
      </w:r>
      <w:r>
        <w:rPr>
          <w:rFonts w:ascii="Arial" w:hAnsi="Arial" w:cs="Arial"/>
          <w:color w:val="auto"/>
          <w:sz w:val="24"/>
          <w:highlight w:val="none"/>
          <w:u w:val="single"/>
        </w:rPr>
        <w:t xml:space="preserve">    </w:t>
      </w:r>
      <w:r>
        <w:rPr>
          <w:rFonts w:hint="eastAsia" w:ascii="Arial" w:hAnsi="Arial" w:cs="Arial"/>
          <w:color w:val="auto"/>
          <w:sz w:val="24"/>
          <w:highlight w:val="none"/>
          <w:u w:val="single"/>
        </w:rPr>
        <w:t xml:space="preserve">  </w:t>
      </w:r>
      <w:r>
        <w:rPr>
          <w:rFonts w:hint="eastAsia" w:ascii="Arial" w:hAnsi="Arial" w:cs="Arial"/>
          <w:color w:val="auto"/>
          <w:sz w:val="24"/>
          <w:highlight w:val="none"/>
        </w:rPr>
        <w:t>日</w:t>
      </w:r>
      <w:r>
        <w:rPr>
          <w:rFonts w:ascii="Arial" w:hAnsi="Arial" w:cs="Arial"/>
          <w:color w:val="auto"/>
          <w:sz w:val="24"/>
          <w:highlight w:val="none"/>
        </w:rPr>
        <w:t xml:space="preserve"> </w:t>
      </w:r>
    </w:p>
    <w:p w14:paraId="5EE5E5F8">
      <w:pPr>
        <w:pStyle w:val="4"/>
        <w:numPr>
          <w:ilvl w:val="0"/>
          <w:numId w:val="10"/>
        </w:numPr>
        <w:spacing w:before="0" w:after="0" w:line="360" w:lineRule="auto"/>
        <w:jc w:val="center"/>
        <w:rPr>
          <w:rFonts w:ascii="宋体" w:hAnsi="宋体" w:eastAsia="宋体" w:cs="宋体"/>
          <w:color w:val="auto"/>
          <w:sz w:val="28"/>
          <w:highlight w:val="none"/>
        </w:rPr>
      </w:pPr>
      <w:bookmarkStart w:id="844" w:name="_Toc27815"/>
      <w:bookmarkStart w:id="845" w:name="_Toc18931"/>
      <w:bookmarkStart w:id="846" w:name="_Toc10970"/>
      <w:bookmarkStart w:id="847" w:name="_Toc16435"/>
      <w:bookmarkStart w:id="848" w:name="_Toc491883232"/>
      <w:r>
        <w:rPr>
          <w:rFonts w:hint="eastAsia" w:ascii="宋体" w:hAnsi="宋体" w:eastAsia="宋体" w:cs="宋体"/>
          <w:color w:val="auto"/>
          <w:sz w:val="28"/>
          <w:highlight w:val="none"/>
        </w:rPr>
        <w:t>法定代表人身份证明或法定代表人授权委托书</w:t>
      </w:r>
      <w:bookmarkEnd w:id="844"/>
      <w:bookmarkEnd w:id="845"/>
      <w:bookmarkEnd w:id="846"/>
      <w:bookmarkEnd w:id="847"/>
    </w:p>
    <w:p w14:paraId="412B1509">
      <w:pPr>
        <w:pStyle w:val="4"/>
        <w:spacing w:line="480" w:lineRule="auto"/>
        <w:jc w:val="center"/>
        <w:rPr>
          <w:rFonts w:ascii="宋体" w:hAnsi="宋体" w:eastAsia="宋体" w:cs="宋体"/>
          <w:color w:val="auto"/>
          <w:sz w:val="24"/>
          <w:szCs w:val="24"/>
          <w:highlight w:val="none"/>
        </w:rPr>
      </w:pPr>
      <w:bookmarkStart w:id="849" w:name="_Toc20985"/>
      <w:bookmarkStart w:id="850" w:name="_Toc14141"/>
      <w:r>
        <w:rPr>
          <w:rFonts w:hint="eastAsia" w:ascii="宋体" w:hAnsi="宋体" w:eastAsia="宋体" w:cs="宋体"/>
          <w:color w:val="auto"/>
          <w:sz w:val="24"/>
          <w:szCs w:val="24"/>
          <w:highlight w:val="none"/>
        </w:rPr>
        <w:t>（一）法定代表人身份证明</w:t>
      </w:r>
      <w:bookmarkEnd w:id="848"/>
      <w:bookmarkEnd w:id="849"/>
      <w:bookmarkEnd w:id="850"/>
    </w:p>
    <w:p w14:paraId="5A5EE68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0A0D721A">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851" w:name="_Toc352691662"/>
      <w:bookmarkStart w:id="852" w:name="_Toc369531698"/>
      <w:bookmarkStart w:id="853" w:name="_Toc27897"/>
      <w:r>
        <w:rPr>
          <w:rFonts w:ascii="宋体" w:hAnsi="宋体"/>
          <w:color w:val="auto"/>
          <w:highlight w:val="none"/>
          <w:u w:val="single"/>
        </w:rPr>
        <w:t xml:space="preserve">        </w:t>
      </w:r>
      <w:r>
        <w:rPr>
          <w:rFonts w:ascii="宋体" w:hAnsi="宋体"/>
          <w:color w:val="auto"/>
          <w:highlight w:val="none"/>
        </w:rPr>
        <w:t>年</w:t>
      </w:r>
      <w:bookmarkEnd w:id="851"/>
      <w:bookmarkEnd w:id="852"/>
      <w:bookmarkEnd w:id="853"/>
      <w:r>
        <w:rPr>
          <w:rFonts w:ascii="宋体" w:hAnsi="宋体"/>
          <w:color w:val="auto"/>
          <w:highlight w:val="none"/>
        </w:rPr>
        <w:t>龄</w:t>
      </w:r>
      <w:bookmarkStart w:id="854" w:name="_Toc144974858"/>
      <w:bookmarkStart w:id="855" w:name="_Toc361508754"/>
      <w:bookmarkStart w:id="856" w:name="_Toc247514248"/>
      <w:bookmarkStart w:id="857" w:name="_Toc300835211"/>
      <w:bookmarkStart w:id="858" w:name="_Toc152045789"/>
      <w:bookmarkStart w:id="859" w:name="_Toc152042578"/>
      <w:bookmarkStart w:id="860" w:name="_Toc15573"/>
      <w:bookmarkStart w:id="861" w:name="_Toc247527829"/>
      <w:bookmarkStart w:id="862" w:name="_Toc369531699"/>
      <w:bookmarkStart w:id="863" w:name="_Toc384308377"/>
      <w:bookmarkStart w:id="864" w:name="_Toc352691663"/>
      <w:r>
        <w:rPr>
          <w:rFonts w:ascii="宋体" w:hAnsi="宋体"/>
          <w:color w:val="auto"/>
          <w:highlight w:val="none"/>
        </w:rPr>
        <w:t>：</w:t>
      </w:r>
      <w:bookmarkEnd w:id="854"/>
      <w:bookmarkEnd w:id="855"/>
      <w:bookmarkEnd w:id="856"/>
      <w:bookmarkEnd w:id="857"/>
      <w:bookmarkEnd w:id="858"/>
      <w:bookmarkEnd w:id="859"/>
      <w:bookmarkEnd w:id="860"/>
      <w:bookmarkEnd w:id="861"/>
      <w:bookmarkEnd w:id="862"/>
      <w:bookmarkEnd w:id="863"/>
      <w:bookmarkEnd w:id="864"/>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41B29A71">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169490AE">
      <w:pPr>
        <w:spacing w:line="480" w:lineRule="auto"/>
        <w:ind w:firstLine="420" w:firstLineChars="200"/>
        <w:rPr>
          <w:rFonts w:ascii="宋体" w:hAnsi="宋体"/>
          <w:color w:val="auto"/>
          <w:highlight w:val="none"/>
        </w:rPr>
      </w:pPr>
      <w:r>
        <w:rPr>
          <w:rFonts w:ascii="宋体" w:hAnsi="宋体"/>
          <w:color w:val="auto"/>
          <w:highlight w:val="none"/>
        </w:rPr>
        <w:t>特此证明。</w:t>
      </w:r>
    </w:p>
    <w:p w14:paraId="078818DC">
      <w:pPr>
        <w:spacing w:line="480" w:lineRule="auto"/>
        <w:rPr>
          <w:rFonts w:ascii="宋体" w:hAnsi="宋体"/>
          <w:color w:val="auto"/>
          <w:highlight w:val="none"/>
        </w:rPr>
      </w:pPr>
      <w:r>
        <w:rPr>
          <w:rFonts w:ascii="宋体" w:hAnsi="宋体"/>
          <w:color w:val="auto"/>
          <w:highlight w:val="none"/>
        </w:rPr>
        <w:t>附：法定代表人身份证复印件</w:t>
      </w:r>
      <w:r>
        <w:rPr>
          <w:rFonts w:hint="eastAsia" w:ascii="宋体" w:hAnsi="宋体"/>
          <w:color w:val="auto"/>
          <w:highlight w:val="none"/>
        </w:rPr>
        <w:t>（正、反面）</w:t>
      </w:r>
      <w:r>
        <w:rPr>
          <w:rFonts w:ascii="宋体" w:hAnsi="宋体"/>
          <w:color w:val="auto"/>
          <w:highlight w:val="none"/>
        </w:rPr>
        <w:t>。</w:t>
      </w:r>
    </w:p>
    <w:p w14:paraId="00CD19A0">
      <w:pPr>
        <w:spacing w:line="480" w:lineRule="auto"/>
        <w:rPr>
          <w:rFonts w:ascii="宋体" w:hAnsi="宋体"/>
          <w:color w:val="auto"/>
          <w:highlight w:val="none"/>
        </w:rPr>
      </w:pP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15875</wp:posOffset>
                </wp:positionH>
                <wp:positionV relativeFrom="paragraph">
                  <wp:posOffset>25400</wp:posOffset>
                </wp:positionV>
                <wp:extent cx="5664200" cy="1885950"/>
                <wp:effectExtent l="5080" t="4445" r="15240" b="14605"/>
                <wp:wrapNone/>
                <wp:docPr id="7" name="文本框 7"/>
                <wp:cNvGraphicFramePr/>
                <a:graphic xmlns:a="http://schemas.openxmlformats.org/drawingml/2006/main">
                  <a:graphicData uri="http://schemas.microsoft.com/office/word/2010/wordprocessingShape">
                    <wps:wsp>
                      <wps:cNvSpPr txBox="1"/>
                      <wps:spPr>
                        <a:xfrm>
                          <a:off x="944880" y="4511040"/>
                          <a:ext cx="5664200" cy="1885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B2DE7AE">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0E23454E"/>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5pt;margin-top:2pt;height:148.5pt;width:446pt;z-index:251659264;mso-width-relative:page;mso-height-relative:page;" fillcolor="#FFFFFF [3201]" filled="t" stroked="t" coordsize="21600,21600" o:gfxdata="UEsDBAoAAAAAAIdO4kAAAAAAAAAAAAAAAAAEAAAAZHJzL1BLAwQUAAAACACHTuJAggV2t9MAAAAH&#10;AQAADwAAAGRycy9kb3ducmV2LnhtbE2PwU7DMBBE70j8g7VI3KidpFQlxKkEEhLiRsmFmxtvkwh7&#10;HdluU/6e5QTH0Yxm3jS7i3fijDFNgTQUKwUCqQ92okFD9/FytwWRsiFrXCDU8I0Jdu31VWNqGxZ6&#10;x/M+D4JLKNVGw5jzXEuZ+hG9SaswI7F3DNGbzDIO0kazcLl3slRqI72ZiBdGM+PziP3X/uQ1vG6e&#10;8id29s1WZRWWTvbx6JLWtzeFegSR8ZL/wvCLz+jQMtMhnMgm4TSU9xzUsOZD7G4f1qwPGipVKJBt&#10;I//ztz9QSwMEFAAAAAgAh07iQGGirw9kAgAAwwQAAA4AAABkcnMvZTJvRG9jLnhtbK1UwW4TMRC9&#10;I/EPlu90s2WTplE2VWgVhFTRSgVxdrzerIXtMbaT3fIB8AecuHDnu/odjL2btLQceiAHZ+x5eTPz&#10;Zibzs04rshPOSzAlzY9GlAjDoZJmU9KPH1avppT4wEzFFBhR0lvh6dni5Yt5a2fiGBpQlXAESYyf&#10;tbakTQh2lmWeN0IzfwRWGHTW4DQLeHWbrHKsRXatsuPRaJK14CrrgAvv8fWid9KB0T2HEOpacnEB&#10;fKuFCT2rE4oFLMk30nq6SNnWteDhqq69CESVFCsN6cQgaK/jmS3mbLZxzDaSDymw56TwqCbNpMGg&#10;B6oLFhjZOvmESkvuwEMdjjjorC8kKYJV5KNH2tw0zIpUC0rt7UF0//9o+fvdtSOyKukJJYZpbPjd&#10;j+93P3/f/fpGTqI8rfUzRN1YxIXuDXQ4NPt3j4+x6q52On5jPQT9p0UxnaLCtyUtxnk+KgadRRcI&#10;R/94MilwFCjhiMin0/HpOCGyeybrfHgrQJNolNRhI5O+bHfpA2aF0D0kBvagZLWSSqWL26zPlSM7&#10;hk1fpU9MGH/yF0wZ0pZ08hpjP6GI3AeKtWL881MG5FMGaaNAvRDRCt26G1RbQ3WLojnop85bvpLI&#10;e8l8uGYOxwwVwEUMV3jUCjAZGCxKGnBf//Ue8dh99FLS4tiW1H/ZMicoUe8MzsVpXqDaJKRLMT45&#10;xot76Fk/9JitPgcUKceVtzyZER/U3qwd6E+4r8sYFV3McIxd0rA3z0O/TLjvXCyXCYSTbVm4NDeW&#10;R+ooroHlNkAtU+uiTL02g3o426k9wx7G5Xl4T6j7/57F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IFdrfTAAAABwEAAA8AAAAAAAAAAQAgAAAAIgAAAGRycy9kb3ducmV2LnhtbFBLAQIUABQAAAAI&#10;AIdO4kBhoq8PZAIAAMMEAAAOAAAAAAAAAAEAIAAAACIBAABkcnMvZTJvRG9jLnhtbFBLBQYAAAAA&#10;BgAGAFkBAAD4BQAAAAA=&#10;">
                <v:fill on="t" focussize="0,0"/>
                <v:stroke weight="0.5pt" color="#000000 [3204]" joinstyle="round"/>
                <v:imagedata o:title=""/>
                <o:lock v:ext="edit" aspectratio="f"/>
                <v:textbox>
                  <w:txbxContent>
                    <w:p w14:paraId="1B2DE7AE">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0E23454E"/>
                  </w:txbxContent>
                </v:textbox>
              </v:shape>
            </w:pict>
          </mc:Fallback>
        </mc:AlternateContent>
      </w:r>
    </w:p>
    <w:p w14:paraId="796970ED">
      <w:pPr>
        <w:spacing w:line="440" w:lineRule="exact"/>
        <w:rPr>
          <w:rFonts w:ascii="宋体" w:hAnsi="宋体"/>
          <w:color w:val="auto"/>
          <w:highlight w:val="none"/>
        </w:rPr>
      </w:pPr>
    </w:p>
    <w:p w14:paraId="1DA4D331">
      <w:pPr>
        <w:spacing w:line="440" w:lineRule="exact"/>
        <w:rPr>
          <w:rFonts w:ascii="宋体" w:hAnsi="宋体"/>
          <w:color w:val="auto"/>
          <w:highlight w:val="none"/>
        </w:rPr>
      </w:pPr>
    </w:p>
    <w:p w14:paraId="2B62F5AA">
      <w:pPr>
        <w:spacing w:line="440" w:lineRule="exact"/>
        <w:rPr>
          <w:rFonts w:ascii="宋体" w:hAnsi="宋体"/>
          <w:color w:val="auto"/>
          <w:highlight w:val="none"/>
        </w:rPr>
      </w:pPr>
    </w:p>
    <w:p w14:paraId="6C9E5549">
      <w:pPr>
        <w:spacing w:line="440" w:lineRule="exact"/>
        <w:rPr>
          <w:rFonts w:ascii="宋体" w:hAnsi="宋体"/>
          <w:color w:val="auto"/>
          <w:highlight w:val="none"/>
        </w:rPr>
      </w:pPr>
    </w:p>
    <w:p w14:paraId="3CC43FCF">
      <w:pPr>
        <w:spacing w:line="440" w:lineRule="exact"/>
        <w:rPr>
          <w:rFonts w:ascii="宋体" w:hAnsi="宋体"/>
          <w:color w:val="auto"/>
          <w:highlight w:val="none"/>
        </w:rPr>
      </w:pPr>
    </w:p>
    <w:p w14:paraId="2FF1762A">
      <w:pPr>
        <w:spacing w:line="440" w:lineRule="exact"/>
        <w:rPr>
          <w:rFonts w:ascii="宋体" w:hAnsi="宋体"/>
          <w:color w:val="auto"/>
          <w:highlight w:val="none"/>
        </w:rPr>
      </w:pPr>
    </w:p>
    <w:p w14:paraId="20DD1F60">
      <w:pPr>
        <w:spacing w:line="440" w:lineRule="exact"/>
        <w:rPr>
          <w:rFonts w:ascii="宋体" w:hAnsi="宋体"/>
          <w:color w:val="auto"/>
          <w:highlight w:val="none"/>
        </w:rPr>
      </w:pPr>
    </w:p>
    <w:p w14:paraId="50BE66A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5908F7D5">
      <w:pPr>
        <w:spacing w:line="440" w:lineRule="exact"/>
        <w:rPr>
          <w:rFonts w:ascii="宋体" w:hAnsi="宋体"/>
          <w:color w:val="auto"/>
          <w:highlight w:val="none"/>
        </w:rPr>
      </w:pPr>
    </w:p>
    <w:p w14:paraId="0430DBC6">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29E1884D">
      <w:pPr>
        <w:rPr>
          <w:rFonts w:ascii="宋体" w:hAnsi="宋体"/>
          <w:color w:val="auto"/>
          <w:highlight w:val="none"/>
        </w:rPr>
      </w:pPr>
    </w:p>
    <w:p w14:paraId="146CAC86">
      <w:pPr>
        <w:rPr>
          <w:rFonts w:ascii="宋体" w:hAnsi="宋体"/>
          <w:color w:val="auto"/>
          <w:highlight w:val="none"/>
        </w:rPr>
      </w:pPr>
    </w:p>
    <w:p w14:paraId="25F66FC4">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50E2878D">
      <w:pPr>
        <w:spacing w:line="440" w:lineRule="exact"/>
        <w:rPr>
          <w:rFonts w:ascii="宋体" w:hAnsi="宋体"/>
          <w:color w:val="auto"/>
          <w:sz w:val="20"/>
          <w:highlight w:val="none"/>
        </w:rPr>
      </w:pPr>
    </w:p>
    <w:p w14:paraId="40333F00">
      <w:pPr>
        <w:spacing w:line="20" w:lineRule="exact"/>
        <w:jc w:val="center"/>
        <w:rPr>
          <w:rFonts w:ascii="宋体" w:hAnsi="宋体"/>
          <w:color w:val="auto"/>
          <w:sz w:val="20"/>
          <w:highlight w:val="none"/>
        </w:rPr>
      </w:pPr>
      <w:r>
        <w:rPr>
          <w:rFonts w:ascii="宋体" w:hAnsi="宋体"/>
          <w:color w:val="auto"/>
          <w:sz w:val="20"/>
          <w:highlight w:val="none"/>
        </w:rPr>
        <w:br w:type="page"/>
      </w:r>
    </w:p>
    <w:p w14:paraId="3022740C">
      <w:pPr>
        <w:pStyle w:val="4"/>
        <w:spacing w:line="480" w:lineRule="auto"/>
        <w:jc w:val="center"/>
        <w:rPr>
          <w:rFonts w:ascii="宋体" w:hAnsi="宋体"/>
          <w:color w:val="auto"/>
          <w:sz w:val="28"/>
          <w:szCs w:val="28"/>
          <w:highlight w:val="none"/>
        </w:rPr>
      </w:pPr>
      <w:bookmarkStart w:id="865" w:name="_Toc491883233"/>
      <w:bookmarkStart w:id="866" w:name="_Toc58"/>
      <w:bookmarkStart w:id="867" w:name="_Toc3882"/>
      <w:r>
        <w:rPr>
          <w:rFonts w:hint="eastAsia" w:ascii="宋体" w:hAnsi="宋体" w:eastAsia="宋体" w:cs="宋体"/>
          <w:color w:val="auto"/>
          <w:sz w:val="24"/>
          <w:szCs w:val="24"/>
          <w:highlight w:val="none"/>
        </w:rPr>
        <w:t>（二）</w:t>
      </w:r>
      <w:bookmarkEnd w:id="865"/>
      <w:r>
        <w:rPr>
          <w:rFonts w:hint="eastAsia" w:ascii="宋体" w:hAnsi="宋体" w:eastAsia="宋体" w:cs="宋体"/>
          <w:color w:val="auto"/>
          <w:sz w:val="24"/>
          <w:szCs w:val="24"/>
          <w:highlight w:val="none"/>
        </w:rPr>
        <w:t>法定代表人授权委托书</w:t>
      </w:r>
      <w:bookmarkEnd w:id="866"/>
      <w:bookmarkEnd w:id="867"/>
    </w:p>
    <w:p w14:paraId="3BD8EB45">
      <w:pPr>
        <w:topLinePunct/>
        <w:spacing w:line="480" w:lineRule="auto"/>
        <w:ind w:firstLine="420" w:firstLineChars="200"/>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（姓名）为我方代理人。代理人根据授权，以我方名义签署、澄清确认、递交、撤回、修改招标项目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B7679FA">
      <w:pPr>
        <w:spacing w:line="480" w:lineRule="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A7DF25A">
      <w:pPr>
        <w:spacing w:line="480" w:lineRule="auto"/>
        <w:ind w:firstLine="420" w:firstLineChars="200"/>
        <w:rPr>
          <w:rFonts w:ascii="宋体" w:hAnsi="宋体"/>
          <w:color w:val="auto"/>
          <w:highlight w:val="none"/>
        </w:rPr>
      </w:pPr>
      <w:r>
        <w:rPr>
          <w:rFonts w:ascii="宋体" w:hAnsi="宋体"/>
          <w:color w:val="auto"/>
          <w:highlight w:val="none"/>
        </w:rPr>
        <w:t>代理人无转委托权。</w:t>
      </w:r>
    </w:p>
    <w:p w14:paraId="11E15218">
      <w:pPr>
        <w:spacing w:line="480" w:lineRule="auto"/>
        <w:rPr>
          <w:rFonts w:ascii="宋体" w:hAnsi="宋体"/>
          <w:color w:val="auto"/>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-187325</wp:posOffset>
                </wp:positionH>
                <wp:positionV relativeFrom="paragraph">
                  <wp:posOffset>330200</wp:posOffset>
                </wp:positionV>
                <wp:extent cx="5930900" cy="1746250"/>
                <wp:effectExtent l="5080" t="4445" r="7620" b="17145"/>
                <wp:wrapNone/>
                <wp:docPr id="8" name="文本框 8"/>
                <wp:cNvGraphicFramePr/>
                <a:graphic xmlns:a="http://schemas.openxmlformats.org/drawingml/2006/main">
                  <a:graphicData uri="http://schemas.microsoft.com/office/word/2010/wordprocessingShape">
                    <wps:wsp>
                      <wps:cNvSpPr txBox="1"/>
                      <wps:spPr>
                        <a:xfrm>
                          <a:off x="741680" y="3840480"/>
                          <a:ext cx="5930900" cy="1746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A124E2">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681D6B8F">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75pt;margin-top:26pt;height:137.5pt;width:467pt;z-index:251660288;mso-width-relative:page;mso-height-relative:page;" fillcolor="#FFFFFF [3201]" filled="t" stroked="t" coordsize="21600,21600" o:gfxdata="UEsDBAoAAAAAAIdO4kAAAAAAAAAAAAAAAAAEAAAAZHJzL1BLAwQUAAAACACHTuJAyt+pZNcAAAAK&#10;AQAADwAAAGRycy9kb3ducmV2LnhtbE2PwU7DMAyG70i8Q2Qkbluylg1Wmk4CCQlxY/TCLWu8tiJx&#10;qiRbx9tjTnC0/en399e7i3fijDGNgTSslgoEUhfsSL2G9uNl8QAiZUPWuECo4RsT7Jrrq9pUNsz0&#10;jud97gWHUKqMhiHnqZIydQN6k5ZhQuLbMURvMo+xlzaamcO9k4VSG+nNSPxhMBM+D9h97U9ew+vm&#10;KX9ia99sWZRhbmUXjy5pfXuzUo8gMl7yHwy/+qwODTsdwolsEk7DotiuGdWwLrgTA1t1x4uDhrK4&#10;VyCbWv6v0PwAUEsDBBQAAAAIAIdO4kAw2NOnZAIAAMMEAAAOAAAAZHJzL2Uyb0RvYy54bWytVMFu&#10;EzEQvSPxD5bvdDfpNk2jblBoFYRU0UoFcXa83qyF1za2k93yAfAHnLhw57v6HTx7k7a0HHogB2fG&#10;8/LG82Ymp6/7VpGtcF4aXdLRQU6J0NxUUq9L+vHD8tWUEh+YrpgyWpT0Rnj6ev7yxWlnZ2JsGqMq&#10;4QhItJ91tqRNCHaWZZ43omX+wFihEayNa1mA69ZZ5VgH9lZl4zyfZJ1xlXWGC+9xez4E6Y7RPYfQ&#10;1LXk4tzwTSt0GFidUCygJN9I6+k8vbauBQ+Xde1FIKqkqDSkE0lgr+KZzU/ZbO2YbSTfPYE95wmP&#10;amqZ1Eh6R3XOAiMbJ59QtZI7400dDrhps6GQpAiqGOWPtLlumBWpFkjt7Z3o/v/R8vfbK0dkVVK0&#10;XbMWDb/98f325+/bX9/INMrTWT8D6toCF/o3psfQ7O89LmPVfe3a+I16COLHxWgyhcI3JT2cFnkB&#10;O+ks+kA44kcnh/lJDgAHYnRcTMZHCZHdM1nnw1thWhKNkjo0MunLthc+gAzQPSQm9kbJaimVSo5b&#10;r86UI1uGpi/TJ+bHT/6CKU26kk4OkfsJReS+o1gpxj8/ZQCf0qCNAg1CRCv0q36n2spUNxDNmWHq&#10;vOVLCd4L5sMVcxgzKIBFDJc4amXwGLOzKGmM+/qv+4hH9xGlpMPYltR/2TAnKFHvNObiZFQUoA3J&#10;KY6Ox3Dcw8jqYURv2jMDkUZYecuTGfFB7c3amfYT9nURsyLENEfukoa9eRaGZcK+c7FYJBAm27Jw&#10;oa8tj9RRXG0Wm2BqmVoXZRq02amH2U7t2e1hXJ6HfkLd//fM/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K36lk1wAAAAoBAAAPAAAAAAAAAAEAIAAAACIAAABkcnMvZG93bnJldi54bWxQSwECFAAU&#10;AAAACACHTuJAMNjTp2QCAADDBAAADgAAAAAAAAABACAAAAAmAQAAZHJzL2Uyb0RvYy54bWxQSwUG&#10;AAAAAAYABgBZAQAA/AUAAAAA&#10;">
                <v:fill on="t" focussize="0,0"/>
                <v:stroke weight="0.5pt" color="#000000 [3204]" joinstyle="round"/>
                <v:imagedata o:title=""/>
                <o:lock v:ext="edit" aspectratio="f"/>
                <v:textbox>
                  <w:txbxContent>
                    <w:p w14:paraId="64A124E2">
                      <w:pPr>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此处粘贴法定代表人身份证复印件（双面）</w:t>
                      </w:r>
                    </w:p>
                    <w:p w14:paraId="681D6B8F">
                      <w:pPr>
                        <w:jc w:val="center"/>
                      </w:pPr>
                    </w:p>
                  </w:txbxContent>
                </v:textbox>
              </v:shape>
            </w:pict>
          </mc:Fallback>
        </mc:AlternateContent>
      </w:r>
      <w:r>
        <w:rPr>
          <w:rFonts w:ascii="宋体" w:hAnsi="宋体"/>
          <w:color w:val="auto"/>
          <w:highlight w:val="none"/>
        </w:rPr>
        <w:t>附：法定代表人身份证复印件</w:t>
      </w:r>
      <w:bookmarkStart w:id="868" w:name="OLE_LINK44"/>
      <w:r>
        <w:rPr>
          <w:rFonts w:ascii="宋体" w:hAnsi="宋体"/>
          <w:b/>
          <w:bCs/>
          <w:color w:val="auto"/>
          <w:highlight w:val="none"/>
        </w:rPr>
        <w:t>及</w:t>
      </w:r>
      <w:bookmarkEnd w:id="868"/>
      <w:r>
        <w:rPr>
          <w:rFonts w:ascii="宋体" w:hAnsi="宋体"/>
          <w:color w:val="auto"/>
          <w:highlight w:val="none"/>
        </w:rPr>
        <w:t>委托代理人身份证复印件</w:t>
      </w:r>
      <w:r>
        <w:rPr>
          <w:rFonts w:hint="eastAsia" w:ascii="宋体" w:hAnsi="宋体"/>
          <w:color w:val="auto"/>
          <w:highlight w:val="none"/>
        </w:rPr>
        <w:t>（正、反面）</w:t>
      </w:r>
    </w:p>
    <w:p w14:paraId="47A3C76A">
      <w:pPr>
        <w:spacing w:line="480" w:lineRule="auto"/>
        <w:rPr>
          <w:rFonts w:ascii="宋体" w:hAnsi="宋体"/>
          <w:color w:val="auto"/>
          <w:highlight w:val="none"/>
        </w:rPr>
      </w:pPr>
    </w:p>
    <w:p w14:paraId="75AE8D57">
      <w:pPr>
        <w:spacing w:line="440" w:lineRule="exact"/>
        <w:rPr>
          <w:rFonts w:ascii="宋体" w:hAnsi="宋体"/>
          <w:color w:val="auto"/>
          <w:highlight w:val="none"/>
        </w:rPr>
      </w:pPr>
    </w:p>
    <w:p w14:paraId="3C73FB15">
      <w:pPr>
        <w:spacing w:line="440" w:lineRule="exact"/>
        <w:rPr>
          <w:rFonts w:ascii="宋体" w:hAnsi="宋体"/>
          <w:color w:val="auto"/>
          <w:highlight w:val="none"/>
        </w:rPr>
      </w:pPr>
    </w:p>
    <w:p w14:paraId="1888BADB">
      <w:pPr>
        <w:spacing w:line="440" w:lineRule="exact"/>
        <w:rPr>
          <w:rFonts w:ascii="宋体" w:hAnsi="宋体"/>
          <w:color w:val="auto"/>
          <w:highlight w:val="none"/>
        </w:rPr>
      </w:pPr>
    </w:p>
    <w:p w14:paraId="36AD49B3">
      <w:pPr>
        <w:spacing w:line="440" w:lineRule="exact"/>
        <w:rPr>
          <w:rFonts w:ascii="宋体" w:hAnsi="宋体"/>
          <w:color w:val="auto"/>
          <w:highlight w:val="none"/>
        </w:rPr>
      </w:pPr>
    </w:p>
    <w:p w14:paraId="58F9E64E">
      <w:pPr>
        <w:spacing w:line="440" w:lineRule="exact"/>
        <w:rPr>
          <w:rFonts w:ascii="宋体" w:hAnsi="宋体"/>
          <w:color w:val="auto"/>
          <w:highlight w:val="none"/>
        </w:rPr>
      </w:pPr>
      <w:r>
        <w:rPr>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-193675</wp:posOffset>
                </wp:positionH>
                <wp:positionV relativeFrom="paragraph">
                  <wp:posOffset>218440</wp:posOffset>
                </wp:positionV>
                <wp:extent cx="5937250" cy="1943735"/>
                <wp:effectExtent l="4445" t="4445" r="17145" b="17780"/>
                <wp:wrapNone/>
                <wp:docPr id="9" name="文本框 9"/>
                <wp:cNvGraphicFramePr/>
                <a:graphic xmlns:a="http://schemas.openxmlformats.org/drawingml/2006/main">
                  <a:graphicData uri="http://schemas.microsoft.com/office/word/2010/wordprocessingShape">
                    <wps:wsp>
                      <wps:cNvSpPr txBox="1"/>
                      <wps:spPr>
                        <a:xfrm>
                          <a:off x="760730" y="5637530"/>
                          <a:ext cx="5937250" cy="19437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C3B5482">
                            <w:pPr>
                              <w:tabs>
                                <w:tab w:val="left" w:pos="1680"/>
                                <w:tab w:val="left" w:pos="4215"/>
                                <w:tab w:val="left" w:pos="4305"/>
                                <w:tab w:val="left" w:pos="8000"/>
                              </w:tabs>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此处粘贴委托代理人身份证复印件（双面）</w:t>
                            </w:r>
                          </w:p>
                          <w:p w14:paraId="57405CA3">
                            <w:pPr>
                              <w:jc w:val="cente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25pt;margin-top:17.2pt;height:153.05pt;width:467.5pt;z-index:251661312;mso-width-relative:page;mso-height-relative:page;" fillcolor="#FFFFFF [3201]" filled="t" stroked="t" coordsize="21600,21600" o:gfxdata="UEsDBAoAAAAAAIdO4kAAAAAAAAAAAAAAAAAEAAAAZHJzL1BLAwQUAAAACACHTuJAD9iAmtUAAAAK&#10;AQAADwAAAGRycy9kb3ducmV2LnhtbE2PwU7DMBBE70j8g7VI3Fq7TaggxKkEEhLiRpsLNzfeJhH2&#10;OrLdpvw92xMcd+ZpdqbeXrwTZ4xpDKRhtVQgkLpgR+o1tPu3xSOIlA1Z4wKhhh9MsG1ub2pT2TDT&#10;J553uRccQqkyGoacp0rK1A3oTVqGCYm9Y4jeZD5jL200M4d7J9dKbaQ3I/GHwUz4OmD3vTt5De+b&#10;l/yFrf2wxboIcyu7eHRJ6/u7lXoGkfGS/2C41ufq0HCnQziRTcJpWBTqgVENRVmCYOBJlSwcrgI7&#10;sqnl/wnNL1BLAwQUAAAACACHTuJA5aL6ymICAADDBAAADgAAAGRycy9lMm9Eb2MueG1srVTNbhMx&#10;EL4j8Q6W73TzHxJlU4VWQUgVrRQQZ8frzVrYHmM72S0PAG/AiQt3nqvPwdi7aUPLoQdycMaeT9/M&#10;fDOzi/NGK3IQzkswOe2f9SgRhkMhzS6nHz+sX72mxAdmCqbAiJzeCk/Ply9fLGo7FwOoQBXCESQx&#10;fl7bnFYh2HmWeV4JzfwZWGHQWYLTLODV7bLCsRrZtcoGvd4kq8EV1gEX3uPrZeukHaN7DiGUpeTi&#10;EvheCxNaVicUC1iSr6T1dJmyLUvBw3VZehGIyilWGtKJQdDexjNbLth855itJO9SYM9J4VFNmkmD&#10;Qe+pLllgZO/kEyotuQMPZTjjoLO2kKQIVtHvPdJmUzErUi0otbf3ovv/R8vfH24ckUVOZ5QYprHh&#10;dz++3/38fffrG5lFeWrr54jaWMSF5g00ODTHd4+PseqmdDr+Yz0E/dNJbzpEhW9zOp4Mp2O0k86i&#10;CYSjfzwbTgdjBHBE9Gej4XQ4jojsgck6H94K0CQaOXXYyKQvO1z50EKPkBjYg5LFWiqVLm63vVCO&#10;HBg2fZ1+HftfMGVIndPJEBN5QhG57ym2ivHPTxkwW2Uw6ShQK0S0QrNtOtW2UNyiaA7aqfOWryXy&#10;XjEfbpjDMUMFcBHDNR6lAkwGOouSCtzXf71HPHYfvZTUOLY59V/2zAlK1DuDczHrj0ZIG9JlNJ4O&#10;8OJOPdtTj9nrC0CR+rjylicz4oM6mqUD/Qn3dRWjoosZjrFzGo7mRWiXCfedi9UqgXCyLQtXZmN5&#10;pI7iGljtA5QytS7K1GrTqYeznZrf7WFcntN7Qj18e5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A/YgJrVAAAACgEAAA8AAAAAAAAAAQAgAAAAIgAAAGRycy9kb3ducmV2LnhtbFBLAQIUABQAAAAI&#10;AIdO4kDlovrKYgIAAMMEAAAOAAAAAAAAAAEAIAAAACQBAABkcnMvZTJvRG9jLnhtbFBLBQYAAAAA&#10;BgAGAFkBAAD4BQAAAAA=&#10;">
                <v:fill on="t" focussize="0,0"/>
                <v:stroke weight="0.5pt" color="#000000 [3204]" joinstyle="round"/>
                <v:imagedata o:title=""/>
                <o:lock v:ext="edit" aspectratio="f"/>
                <v:textbox>
                  <w:txbxContent>
                    <w:p w14:paraId="1C3B5482">
                      <w:pPr>
                        <w:tabs>
                          <w:tab w:val="left" w:pos="1680"/>
                          <w:tab w:val="left" w:pos="4215"/>
                          <w:tab w:val="left" w:pos="4305"/>
                          <w:tab w:val="left" w:pos="8000"/>
                        </w:tabs>
                        <w:autoSpaceDE w:val="0"/>
                        <w:autoSpaceDN w:val="0"/>
                        <w:adjustRightInd w:val="0"/>
                        <w:snapToGrid w:val="0"/>
                        <w:spacing w:line="360" w:lineRule="auto"/>
                        <w:rPr>
                          <w:rFonts w:ascii="宋体" w:hAnsi="宋体" w:cs="宋体"/>
                          <w:kern w:val="0"/>
                        </w:rPr>
                      </w:pPr>
                      <w:r>
                        <w:rPr>
                          <w:rFonts w:hint="eastAsia" w:ascii="宋体" w:hAnsi="宋体" w:cs="宋体"/>
                          <w:kern w:val="0"/>
                          <w:lang w:bidi="ar"/>
                        </w:rPr>
                        <w:t>此处粘贴委托代理人身份证复印件（双面）</w:t>
                      </w:r>
                    </w:p>
                    <w:p w14:paraId="57405CA3">
                      <w:pPr>
                        <w:jc w:val="center"/>
                      </w:pPr>
                    </w:p>
                  </w:txbxContent>
                </v:textbox>
              </v:shape>
            </w:pict>
          </mc:Fallback>
        </mc:AlternateContent>
      </w:r>
    </w:p>
    <w:p w14:paraId="71D613DC">
      <w:pPr>
        <w:spacing w:line="440" w:lineRule="exact"/>
        <w:rPr>
          <w:rFonts w:ascii="宋体" w:hAnsi="宋体"/>
          <w:color w:val="auto"/>
          <w:highlight w:val="none"/>
        </w:rPr>
      </w:pPr>
    </w:p>
    <w:p w14:paraId="110B098B">
      <w:pPr>
        <w:spacing w:line="440" w:lineRule="exact"/>
        <w:rPr>
          <w:rFonts w:ascii="宋体" w:hAnsi="宋体"/>
          <w:color w:val="auto"/>
          <w:highlight w:val="none"/>
        </w:rPr>
      </w:pPr>
    </w:p>
    <w:p w14:paraId="2392E4F9">
      <w:pPr>
        <w:spacing w:line="440" w:lineRule="exact"/>
        <w:rPr>
          <w:rFonts w:ascii="宋体" w:hAnsi="宋体"/>
          <w:color w:val="auto"/>
          <w:highlight w:val="none"/>
        </w:rPr>
      </w:pPr>
    </w:p>
    <w:p w14:paraId="52C33163">
      <w:pPr>
        <w:spacing w:line="440" w:lineRule="exact"/>
        <w:rPr>
          <w:rFonts w:ascii="宋体" w:hAnsi="宋体"/>
          <w:color w:val="auto"/>
          <w:highlight w:val="none"/>
        </w:rPr>
      </w:pPr>
    </w:p>
    <w:p w14:paraId="7798E8B0">
      <w:pPr>
        <w:spacing w:line="440" w:lineRule="exact"/>
        <w:rPr>
          <w:rFonts w:ascii="宋体" w:hAnsi="宋体"/>
          <w:color w:val="auto"/>
          <w:highlight w:val="none"/>
        </w:rPr>
      </w:pPr>
    </w:p>
    <w:p w14:paraId="4D16A976">
      <w:pPr>
        <w:spacing w:line="440" w:lineRule="exact"/>
        <w:ind w:firstLine="2692" w:firstLineChars="1282"/>
        <w:rPr>
          <w:rFonts w:ascii="宋体" w:hAnsi="宋体"/>
          <w:color w:val="auto"/>
          <w:highlight w:val="none"/>
        </w:rPr>
      </w:pPr>
    </w:p>
    <w:p w14:paraId="3F2B6756">
      <w:pPr>
        <w:spacing w:line="440" w:lineRule="exact"/>
        <w:ind w:firstLine="2692" w:firstLineChars="1282"/>
        <w:rPr>
          <w:rFonts w:ascii="宋体" w:hAnsi="宋体"/>
          <w:color w:val="auto"/>
          <w:highlight w:val="none"/>
        </w:rPr>
      </w:pPr>
    </w:p>
    <w:p w14:paraId="02F64618">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A501BB9">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 xml:space="preserve">签名 </w:t>
      </w:r>
      <w:r>
        <w:rPr>
          <w:rFonts w:ascii="宋体" w:hAnsi="宋体"/>
          <w:color w:val="auto"/>
          <w:highlight w:val="none"/>
        </w:rPr>
        <w:t>）</w:t>
      </w:r>
    </w:p>
    <w:p w14:paraId="3FD64F5A">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1068C9A">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签名</w:t>
      </w:r>
      <w:r>
        <w:rPr>
          <w:rFonts w:ascii="宋体" w:hAnsi="宋体"/>
          <w:color w:val="auto"/>
          <w:highlight w:val="none"/>
        </w:rPr>
        <w:t>）</w:t>
      </w:r>
    </w:p>
    <w:p w14:paraId="73947AD9">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7E9AA3D8">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1858399B">
      <w:pPr>
        <w:spacing w:line="440" w:lineRule="exact"/>
        <w:rPr>
          <w:rFonts w:ascii="宋体" w:hAnsi="宋体" w:cs="宋体"/>
          <w:color w:val="auto"/>
          <w:sz w:val="28"/>
          <w:highlight w:val="none"/>
        </w:rPr>
        <w:sectPr>
          <w:footerReference r:id="rId11" w:type="first"/>
          <w:footerReference r:id="rId10" w:type="default"/>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19" w:charSpace="0"/>
        </w:sect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bookmarkStart w:id="869" w:name="_Toc11329275"/>
      <w:bookmarkStart w:id="870" w:name="_Toc29500"/>
    </w:p>
    <w:bookmarkEnd w:id="841"/>
    <w:bookmarkEnd w:id="842"/>
    <w:bookmarkEnd w:id="843"/>
    <w:bookmarkEnd w:id="869"/>
    <w:p w14:paraId="1D73A314">
      <w:pPr>
        <w:pStyle w:val="4"/>
        <w:numPr>
          <w:ilvl w:val="0"/>
          <w:numId w:val="10"/>
        </w:numPr>
        <w:spacing w:before="0" w:after="0" w:line="360" w:lineRule="auto"/>
        <w:jc w:val="center"/>
        <w:rPr>
          <w:rFonts w:ascii="宋体" w:hAnsi="宋体" w:eastAsia="宋体" w:cs="宋体"/>
          <w:color w:val="auto"/>
          <w:sz w:val="28"/>
          <w:highlight w:val="none"/>
        </w:rPr>
      </w:pPr>
      <w:bookmarkStart w:id="871" w:name="_Toc22163"/>
      <w:bookmarkStart w:id="872" w:name="_Toc8564"/>
      <w:r>
        <w:rPr>
          <w:rFonts w:hint="eastAsia" w:ascii="宋体" w:hAnsi="宋体" w:eastAsia="宋体" w:cs="宋体"/>
          <w:color w:val="auto"/>
          <w:sz w:val="28"/>
          <w:highlight w:val="none"/>
        </w:rPr>
        <w:t>报价一览表</w:t>
      </w:r>
      <w:bookmarkEnd w:id="870"/>
      <w:bookmarkEnd w:id="871"/>
      <w:bookmarkEnd w:id="872"/>
    </w:p>
    <w:p w14:paraId="02F41939">
      <w:pPr>
        <w:pStyle w:val="39"/>
        <w:spacing w:line="480" w:lineRule="auto"/>
        <w:jc w:val="both"/>
        <w:rPr>
          <w:rFonts w:hAnsi="宋体"/>
          <w:color w:val="auto"/>
          <w:highlight w:val="none"/>
        </w:rPr>
      </w:pPr>
      <w:r>
        <w:rPr>
          <w:rFonts w:hint="eastAsia" w:hAnsi="宋体"/>
          <w:color w:val="auto"/>
          <w:highlight w:val="none"/>
        </w:rPr>
        <w:t>重庆首讯科技股份有限公司：</w:t>
      </w:r>
    </w:p>
    <w:p w14:paraId="2D7A173E">
      <w:pPr>
        <w:pStyle w:val="39"/>
        <w:spacing w:line="480" w:lineRule="auto"/>
        <w:ind w:firstLine="480" w:firstLineChars="200"/>
        <w:jc w:val="both"/>
        <w:rPr>
          <w:rFonts w:hAnsi="宋体" w:cs="Times New Roman"/>
          <w:color w:val="auto"/>
          <w:highlight w:val="none"/>
        </w:rPr>
      </w:pPr>
      <w:r>
        <w:rPr>
          <w:rFonts w:hint="eastAsia" w:hAnsi="宋体"/>
          <w:b w:val="0"/>
          <w:bCs/>
          <w:color w:val="auto"/>
          <w:highlight w:val="none"/>
        </w:rPr>
        <w:t>在研究了竞争比选文件中所有文件后，我司对</w:t>
      </w:r>
      <w:bookmarkStart w:id="873" w:name="OLE_LINK45"/>
      <w:r>
        <w:rPr>
          <w:rFonts w:hint="eastAsia" w:hAnsi="宋体"/>
          <w:b w:val="0"/>
          <w:bCs/>
          <w:color w:val="auto"/>
          <w:highlight w:val="none"/>
          <w:u w:val="single"/>
        </w:rPr>
        <w:t>******</w:t>
      </w:r>
      <w:bookmarkEnd w:id="873"/>
      <w:r>
        <w:rPr>
          <w:rFonts w:hint="eastAsia" w:hAnsi="宋体"/>
          <w:b w:val="0"/>
          <w:bCs/>
          <w:color w:val="auto"/>
          <w:highlight w:val="none"/>
          <w:u w:val="single"/>
        </w:rPr>
        <w:t>采购</w:t>
      </w:r>
      <w:r>
        <w:rPr>
          <w:rFonts w:hint="eastAsia" w:hAnsi="宋体"/>
          <w:b w:val="0"/>
          <w:bCs/>
          <w:color w:val="auto"/>
          <w:highlight w:val="none"/>
        </w:rPr>
        <w:t xml:space="preserve">项目竞争比选响应报价如下： </w:t>
      </w:r>
    </w:p>
    <w:tbl>
      <w:tblPr>
        <w:tblStyle w:val="44"/>
        <w:tblW w:w="13955" w:type="dxa"/>
        <w:jc w:val="center"/>
        <w:tblLayout w:type="fixed"/>
        <w:tblCellMar>
          <w:top w:w="0" w:type="dxa"/>
          <w:left w:w="108" w:type="dxa"/>
          <w:bottom w:w="0" w:type="dxa"/>
          <w:right w:w="108" w:type="dxa"/>
        </w:tblCellMar>
      </w:tblPr>
      <w:tblGrid>
        <w:gridCol w:w="1715"/>
        <w:gridCol w:w="3545"/>
        <w:gridCol w:w="1091"/>
        <w:gridCol w:w="1227"/>
        <w:gridCol w:w="955"/>
        <w:gridCol w:w="1677"/>
        <w:gridCol w:w="2059"/>
        <w:gridCol w:w="1686"/>
      </w:tblGrid>
      <w:tr w14:paraId="6310221E">
        <w:tblPrEx>
          <w:tblCellMar>
            <w:top w:w="0" w:type="dxa"/>
            <w:left w:w="108" w:type="dxa"/>
            <w:bottom w:w="0" w:type="dxa"/>
            <w:right w:w="108" w:type="dxa"/>
          </w:tblCellMar>
        </w:tblPrEx>
        <w:trPr>
          <w:trHeight w:val="713" w:hRule="atLeast"/>
          <w:jc w:val="center"/>
        </w:trPr>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5023DDF6">
            <w:pPr>
              <w:widowControl/>
              <w:jc w:val="center"/>
              <w:rPr>
                <w:rFonts w:ascii="宋体" w:hAnsi="宋体" w:cs="宋体"/>
                <w:b/>
                <w:bCs/>
                <w:color w:val="auto"/>
                <w:kern w:val="0"/>
                <w:sz w:val="20"/>
                <w:szCs w:val="20"/>
                <w:highlight w:val="none"/>
              </w:rPr>
            </w:pPr>
            <w:bookmarkStart w:id="874" w:name="OLE_LINK46"/>
            <w:r>
              <w:rPr>
                <w:rFonts w:hint="eastAsia" w:ascii="宋体" w:hAnsi="宋体" w:cs="宋体"/>
                <w:b/>
                <w:bCs/>
                <w:color w:val="auto"/>
                <w:kern w:val="0"/>
                <w:sz w:val="20"/>
                <w:szCs w:val="20"/>
                <w:highlight w:val="none"/>
              </w:rPr>
              <w:t>序号</w:t>
            </w:r>
          </w:p>
        </w:tc>
        <w:tc>
          <w:tcPr>
            <w:tcW w:w="3545" w:type="dxa"/>
            <w:tcBorders>
              <w:top w:val="single" w:color="auto" w:sz="4" w:space="0"/>
              <w:left w:val="nil"/>
              <w:bottom w:val="single" w:color="auto" w:sz="4" w:space="0"/>
              <w:right w:val="single" w:color="auto" w:sz="4" w:space="0"/>
            </w:tcBorders>
            <w:shd w:val="clear" w:color="auto" w:fill="auto"/>
            <w:vAlign w:val="center"/>
          </w:tcPr>
          <w:p w14:paraId="3C1E0D19">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服务名称</w:t>
            </w:r>
          </w:p>
        </w:tc>
        <w:tc>
          <w:tcPr>
            <w:tcW w:w="1091" w:type="dxa"/>
            <w:tcBorders>
              <w:top w:val="single" w:color="auto" w:sz="4" w:space="0"/>
              <w:left w:val="nil"/>
              <w:bottom w:val="single" w:color="auto" w:sz="4" w:space="0"/>
              <w:right w:val="single" w:color="auto" w:sz="4" w:space="0"/>
            </w:tcBorders>
            <w:shd w:val="clear" w:color="auto" w:fill="auto"/>
            <w:vAlign w:val="center"/>
          </w:tcPr>
          <w:p w14:paraId="49EB15B1">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数量</w:t>
            </w:r>
          </w:p>
        </w:tc>
        <w:tc>
          <w:tcPr>
            <w:tcW w:w="1227" w:type="dxa"/>
            <w:tcBorders>
              <w:top w:val="single" w:color="auto" w:sz="4" w:space="0"/>
              <w:left w:val="nil"/>
              <w:bottom w:val="single" w:color="auto" w:sz="4" w:space="0"/>
              <w:right w:val="single" w:color="auto" w:sz="4" w:space="0"/>
            </w:tcBorders>
            <w:shd w:val="clear" w:color="auto" w:fill="auto"/>
            <w:vAlign w:val="center"/>
          </w:tcPr>
          <w:p w14:paraId="135BA366">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单位</w:t>
            </w:r>
          </w:p>
        </w:tc>
        <w:tc>
          <w:tcPr>
            <w:tcW w:w="955" w:type="dxa"/>
            <w:tcBorders>
              <w:top w:val="single" w:color="auto" w:sz="4" w:space="0"/>
              <w:left w:val="nil"/>
              <w:bottom w:val="single" w:color="auto" w:sz="4" w:space="0"/>
              <w:right w:val="single" w:color="auto" w:sz="4" w:space="0"/>
            </w:tcBorders>
            <w:shd w:val="clear" w:color="auto" w:fill="auto"/>
            <w:vAlign w:val="center"/>
          </w:tcPr>
          <w:p w14:paraId="60AD459F">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税率</w:t>
            </w:r>
          </w:p>
        </w:tc>
        <w:tc>
          <w:tcPr>
            <w:tcW w:w="1677" w:type="dxa"/>
            <w:tcBorders>
              <w:top w:val="single" w:color="auto" w:sz="4" w:space="0"/>
              <w:left w:val="nil"/>
              <w:bottom w:val="single" w:color="auto" w:sz="4" w:space="0"/>
              <w:right w:val="single" w:color="auto" w:sz="4" w:space="0"/>
            </w:tcBorders>
            <w:shd w:val="clear" w:color="auto" w:fill="auto"/>
            <w:noWrap/>
            <w:vAlign w:val="center"/>
          </w:tcPr>
          <w:p w14:paraId="6686055D">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含税综合单价</w:t>
            </w:r>
          </w:p>
        </w:tc>
        <w:tc>
          <w:tcPr>
            <w:tcW w:w="2059" w:type="dxa"/>
            <w:tcBorders>
              <w:top w:val="single" w:color="auto" w:sz="4" w:space="0"/>
              <w:left w:val="nil"/>
              <w:bottom w:val="single" w:color="auto" w:sz="4" w:space="0"/>
              <w:right w:val="single" w:color="auto" w:sz="4" w:space="0"/>
            </w:tcBorders>
            <w:shd w:val="clear" w:color="auto" w:fill="auto"/>
            <w:noWrap/>
            <w:vAlign w:val="center"/>
          </w:tcPr>
          <w:p w14:paraId="6825F83C">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含税金额</w:t>
            </w:r>
          </w:p>
        </w:tc>
        <w:tc>
          <w:tcPr>
            <w:tcW w:w="1686" w:type="dxa"/>
            <w:tcBorders>
              <w:top w:val="single" w:color="auto" w:sz="4" w:space="0"/>
              <w:left w:val="nil"/>
              <w:bottom w:val="single" w:color="auto" w:sz="4" w:space="0"/>
              <w:right w:val="single" w:color="auto" w:sz="4" w:space="0"/>
            </w:tcBorders>
            <w:shd w:val="clear" w:color="auto" w:fill="auto"/>
            <w:noWrap/>
            <w:vAlign w:val="center"/>
          </w:tcPr>
          <w:p w14:paraId="05500B41">
            <w:pPr>
              <w:widowControl/>
              <w:jc w:val="center"/>
              <w:rPr>
                <w:rFonts w:ascii="宋体" w:hAnsi="宋体" w:cs="宋体"/>
                <w:b/>
                <w:bCs/>
                <w:color w:val="auto"/>
                <w:kern w:val="0"/>
                <w:sz w:val="20"/>
                <w:szCs w:val="20"/>
                <w:highlight w:val="none"/>
              </w:rPr>
            </w:pPr>
            <w:r>
              <w:rPr>
                <w:rFonts w:hint="eastAsia" w:ascii="宋体" w:hAnsi="宋体" w:cs="宋体"/>
                <w:b/>
                <w:bCs/>
                <w:color w:val="auto"/>
                <w:kern w:val="0"/>
                <w:sz w:val="20"/>
                <w:szCs w:val="20"/>
                <w:highlight w:val="none"/>
              </w:rPr>
              <w:t>备注</w:t>
            </w:r>
          </w:p>
        </w:tc>
      </w:tr>
      <w:tr w14:paraId="4FF14697">
        <w:tblPrEx>
          <w:tblCellMar>
            <w:top w:w="0" w:type="dxa"/>
            <w:left w:w="108" w:type="dxa"/>
            <w:bottom w:w="0" w:type="dxa"/>
            <w:right w:w="108" w:type="dxa"/>
          </w:tblCellMar>
        </w:tblPrEx>
        <w:trPr>
          <w:trHeight w:val="936" w:hRule="atLeast"/>
          <w:jc w:val="center"/>
        </w:trPr>
        <w:tc>
          <w:tcPr>
            <w:tcW w:w="1715" w:type="dxa"/>
            <w:tcBorders>
              <w:top w:val="nil"/>
              <w:left w:val="single" w:color="auto" w:sz="4" w:space="0"/>
              <w:bottom w:val="single" w:color="auto" w:sz="4" w:space="0"/>
              <w:right w:val="single" w:color="auto" w:sz="4" w:space="0"/>
            </w:tcBorders>
            <w:shd w:val="clear" w:color="auto" w:fill="auto"/>
            <w:vAlign w:val="center"/>
          </w:tcPr>
          <w:p w14:paraId="305F1559">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w:t>
            </w:r>
          </w:p>
        </w:tc>
        <w:tc>
          <w:tcPr>
            <w:tcW w:w="3545" w:type="dxa"/>
            <w:tcBorders>
              <w:top w:val="nil"/>
              <w:left w:val="nil"/>
              <w:bottom w:val="single" w:color="auto" w:sz="4" w:space="0"/>
              <w:right w:val="single" w:color="auto" w:sz="4" w:space="0"/>
            </w:tcBorders>
            <w:shd w:val="clear" w:color="auto" w:fill="auto"/>
            <w:vAlign w:val="center"/>
          </w:tcPr>
          <w:p w14:paraId="60DA22B1">
            <w:pPr>
              <w:widowControl/>
              <w:jc w:val="left"/>
              <w:rPr>
                <w:color w:val="auto"/>
                <w:highlight w:val="none"/>
              </w:rPr>
            </w:pPr>
            <w:r>
              <w:rPr>
                <w:rFonts w:hint="eastAsia"/>
                <w:color w:val="auto"/>
                <w:highlight w:val="none"/>
                <w:lang w:eastAsia="zh-CN"/>
              </w:rPr>
              <w:t>2025年重庆高速集团网络安全咨询维护服务</w:t>
            </w:r>
          </w:p>
        </w:tc>
        <w:tc>
          <w:tcPr>
            <w:tcW w:w="1091" w:type="dxa"/>
            <w:tcBorders>
              <w:top w:val="nil"/>
              <w:left w:val="nil"/>
              <w:bottom w:val="single" w:color="auto" w:sz="4" w:space="0"/>
              <w:right w:val="single" w:color="auto" w:sz="4" w:space="0"/>
            </w:tcBorders>
            <w:shd w:val="clear" w:color="auto" w:fill="auto"/>
            <w:noWrap/>
            <w:vAlign w:val="center"/>
          </w:tcPr>
          <w:p w14:paraId="19EE9838">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1</w:t>
            </w:r>
          </w:p>
        </w:tc>
        <w:tc>
          <w:tcPr>
            <w:tcW w:w="1227" w:type="dxa"/>
            <w:tcBorders>
              <w:top w:val="nil"/>
              <w:left w:val="nil"/>
              <w:bottom w:val="single" w:color="auto" w:sz="4" w:space="0"/>
              <w:right w:val="single" w:color="auto" w:sz="4" w:space="0"/>
            </w:tcBorders>
            <w:shd w:val="clear" w:color="auto" w:fill="auto"/>
            <w:vAlign w:val="center"/>
          </w:tcPr>
          <w:p w14:paraId="35C91713">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项</w:t>
            </w:r>
          </w:p>
        </w:tc>
        <w:tc>
          <w:tcPr>
            <w:tcW w:w="955" w:type="dxa"/>
            <w:tcBorders>
              <w:top w:val="nil"/>
              <w:left w:val="nil"/>
              <w:bottom w:val="single" w:color="auto" w:sz="4" w:space="0"/>
              <w:right w:val="single" w:color="auto" w:sz="4" w:space="0"/>
            </w:tcBorders>
            <w:shd w:val="clear" w:color="auto" w:fill="auto"/>
            <w:vAlign w:val="center"/>
          </w:tcPr>
          <w:p w14:paraId="0AE4DD41">
            <w:pPr>
              <w:widowControl/>
              <w:jc w:val="center"/>
              <w:rPr>
                <w:rFonts w:ascii="宋体" w:hAnsi="宋体" w:cs="宋体"/>
                <w:color w:val="auto"/>
                <w:kern w:val="0"/>
                <w:sz w:val="20"/>
                <w:szCs w:val="20"/>
                <w:highlight w:val="none"/>
              </w:rPr>
            </w:pPr>
            <w:r>
              <w:rPr>
                <w:rFonts w:hint="eastAsia" w:ascii="宋体" w:hAnsi="宋体" w:cs="宋体"/>
                <w:color w:val="auto"/>
                <w:kern w:val="0"/>
                <w:sz w:val="20"/>
                <w:szCs w:val="20"/>
                <w:highlight w:val="none"/>
              </w:rPr>
              <w:t>6%</w:t>
            </w:r>
          </w:p>
        </w:tc>
        <w:tc>
          <w:tcPr>
            <w:tcW w:w="1677" w:type="dxa"/>
            <w:tcBorders>
              <w:top w:val="nil"/>
              <w:left w:val="nil"/>
              <w:bottom w:val="single" w:color="auto" w:sz="4" w:space="0"/>
              <w:right w:val="single" w:color="auto" w:sz="4" w:space="0"/>
            </w:tcBorders>
            <w:shd w:val="clear" w:color="auto" w:fill="auto"/>
            <w:noWrap/>
            <w:vAlign w:val="bottom"/>
          </w:tcPr>
          <w:p w14:paraId="10DAA62C">
            <w:pPr>
              <w:widowControl/>
              <w:jc w:val="left"/>
              <w:rPr>
                <w:rFonts w:ascii="等线" w:hAnsi="等线" w:eastAsia="等线" w:cs="宋体"/>
                <w:color w:val="auto"/>
                <w:kern w:val="0"/>
                <w:sz w:val="22"/>
                <w:szCs w:val="22"/>
                <w:highlight w:val="none"/>
              </w:rPr>
            </w:pPr>
          </w:p>
        </w:tc>
        <w:tc>
          <w:tcPr>
            <w:tcW w:w="2059" w:type="dxa"/>
            <w:tcBorders>
              <w:top w:val="nil"/>
              <w:left w:val="nil"/>
              <w:bottom w:val="single" w:color="auto" w:sz="4" w:space="0"/>
              <w:right w:val="single" w:color="auto" w:sz="4" w:space="0"/>
            </w:tcBorders>
            <w:shd w:val="clear" w:color="auto" w:fill="auto"/>
            <w:noWrap/>
            <w:vAlign w:val="bottom"/>
          </w:tcPr>
          <w:p w14:paraId="4FAA5205">
            <w:pPr>
              <w:widowControl/>
              <w:jc w:val="left"/>
              <w:rPr>
                <w:rFonts w:ascii="等线" w:hAnsi="等线" w:eastAsia="等线" w:cs="宋体"/>
                <w:color w:val="auto"/>
                <w:kern w:val="0"/>
                <w:sz w:val="22"/>
                <w:szCs w:val="22"/>
                <w:highlight w:val="none"/>
              </w:rPr>
            </w:pPr>
          </w:p>
        </w:tc>
        <w:tc>
          <w:tcPr>
            <w:tcW w:w="1686" w:type="dxa"/>
            <w:tcBorders>
              <w:top w:val="nil"/>
              <w:left w:val="nil"/>
              <w:bottom w:val="single" w:color="auto" w:sz="4" w:space="0"/>
              <w:right w:val="single" w:color="auto" w:sz="4" w:space="0"/>
            </w:tcBorders>
            <w:shd w:val="clear" w:color="auto" w:fill="auto"/>
            <w:noWrap/>
            <w:vAlign w:val="bottom"/>
          </w:tcPr>
          <w:p w14:paraId="616D5854">
            <w:pPr>
              <w:widowControl/>
              <w:jc w:val="left"/>
              <w:rPr>
                <w:rFonts w:ascii="等线" w:hAnsi="等线" w:eastAsia="等线" w:cs="宋体"/>
                <w:color w:val="auto"/>
                <w:kern w:val="0"/>
                <w:sz w:val="22"/>
                <w:szCs w:val="22"/>
                <w:highlight w:val="none"/>
              </w:rPr>
            </w:pPr>
          </w:p>
        </w:tc>
      </w:tr>
      <w:tr w14:paraId="5DA71B25">
        <w:tblPrEx>
          <w:tblCellMar>
            <w:top w:w="0" w:type="dxa"/>
            <w:left w:w="108" w:type="dxa"/>
            <w:bottom w:w="0" w:type="dxa"/>
            <w:right w:w="108" w:type="dxa"/>
          </w:tblCellMar>
        </w:tblPrEx>
        <w:trPr>
          <w:trHeight w:val="674" w:hRule="atLeast"/>
          <w:jc w:val="center"/>
        </w:trPr>
        <w:tc>
          <w:tcPr>
            <w:tcW w:w="10210"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AD3E9A2">
            <w:pPr>
              <w:widowControl/>
              <w:jc w:val="center"/>
              <w:rPr>
                <w:rFonts w:ascii="等线" w:hAnsi="等线" w:eastAsia="等线" w:cs="宋体"/>
                <w:color w:val="auto"/>
                <w:kern w:val="0"/>
                <w:sz w:val="22"/>
                <w:szCs w:val="22"/>
                <w:highlight w:val="none"/>
              </w:rPr>
            </w:pPr>
            <w:r>
              <w:rPr>
                <w:rFonts w:hint="eastAsia" w:asciiTheme="minorEastAsia" w:hAnsiTheme="minorEastAsia" w:eastAsiaTheme="minorEastAsia" w:cstheme="minorEastAsia"/>
                <w:color w:val="auto"/>
                <w:kern w:val="0"/>
                <w:sz w:val="22"/>
                <w:szCs w:val="22"/>
                <w:highlight w:val="none"/>
              </w:rPr>
              <w:t>合计</w:t>
            </w:r>
          </w:p>
        </w:tc>
        <w:tc>
          <w:tcPr>
            <w:tcW w:w="2059" w:type="dxa"/>
            <w:tcBorders>
              <w:top w:val="single" w:color="auto" w:sz="4" w:space="0"/>
              <w:left w:val="nil"/>
              <w:bottom w:val="single" w:color="auto" w:sz="4" w:space="0"/>
              <w:right w:val="single" w:color="auto" w:sz="4" w:space="0"/>
            </w:tcBorders>
            <w:shd w:val="clear" w:color="auto" w:fill="auto"/>
            <w:noWrap/>
            <w:vAlign w:val="bottom"/>
          </w:tcPr>
          <w:p w14:paraId="6141639E">
            <w:pPr>
              <w:widowControl/>
              <w:jc w:val="center"/>
              <w:rPr>
                <w:rFonts w:ascii="等线" w:hAnsi="等线" w:eastAsia="等线" w:cs="宋体"/>
                <w:color w:val="auto"/>
                <w:kern w:val="0"/>
                <w:sz w:val="22"/>
                <w:szCs w:val="22"/>
                <w:highlight w:val="none"/>
              </w:rPr>
            </w:pPr>
          </w:p>
        </w:tc>
        <w:tc>
          <w:tcPr>
            <w:tcW w:w="1686" w:type="dxa"/>
            <w:tcBorders>
              <w:top w:val="single" w:color="auto" w:sz="4" w:space="0"/>
              <w:left w:val="nil"/>
              <w:bottom w:val="single" w:color="auto" w:sz="4" w:space="0"/>
              <w:right w:val="single" w:color="auto" w:sz="4" w:space="0"/>
            </w:tcBorders>
            <w:shd w:val="clear" w:color="auto" w:fill="auto"/>
            <w:noWrap/>
            <w:vAlign w:val="bottom"/>
          </w:tcPr>
          <w:p w14:paraId="36E3E298">
            <w:pPr>
              <w:widowControl/>
              <w:jc w:val="center"/>
              <w:rPr>
                <w:rFonts w:ascii="等线" w:hAnsi="等线" w:eastAsia="等线" w:cs="宋体"/>
                <w:color w:val="auto"/>
                <w:kern w:val="0"/>
                <w:sz w:val="22"/>
                <w:szCs w:val="22"/>
                <w:highlight w:val="none"/>
              </w:rPr>
            </w:pPr>
          </w:p>
        </w:tc>
      </w:tr>
    </w:tbl>
    <w:p w14:paraId="797B4F71">
      <w:pPr>
        <w:rPr>
          <w:color w:val="auto"/>
          <w:highlight w:val="none"/>
        </w:rPr>
      </w:pPr>
      <w:r>
        <w:rPr>
          <w:rFonts w:hint="eastAsia"/>
          <w:color w:val="auto"/>
          <w:highlight w:val="none"/>
        </w:rPr>
        <w:t>注：</w:t>
      </w:r>
    </w:p>
    <w:p w14:paraId="68DE0D2E">
      <w:pPr>
        <w:spacing w:line="420" w:lineRule="exact"/>
        <w:ind w:firstLine="420" w:firstLineChars="200"/>
        <w:rPr>
          <w:rFonts w:ascii="宋体" w:hAnsi="宋体"/>
          <w:snapToGrid w:val="0"/>
          <w:color w:val="auto"/>
          <w:w w:val="99"/>
          <w:highlight w:val="none"/>
        </w:rPr>
      </w:pPr>
      <w:r>
        <w:rPr>
          <w:rFonts w:hint="eastAsia" w:ascii="宋体" w:hAnsi="宋体"/>
          <w:color w:val="auto"/>
          <w:highlight w:val="none"/>
        </w:rPr>
        <w:t>1、含税金额合计</w:t>
      </w:r>
      <w:r>
        <w:rPr>
          <w:rFonts w:ascii="宋体" w:hAnsi="宋体"/>
          <w:color w:val="auto"/>
          <w:highlight w:val="none"/>
        </w:rPr>
        <w:t>应与投标函中的</w:t>
      </w:r>
      <w:r>
        <w:rPr>
          <w:rFonts w:hint="eastAsia" w:ascii="宋体" w:hAnsi="宋体"/>
          <w:color w:val="auto"/>
          <w:highlight w:val="none"/>
        </w:rPr>
        <w:t>报价</w:t>
      </w:r>
      <w:r>
        <w:rPr>
          <w:rFonts w:ascii="宋体" w:hAnsi="宋体"/>
          <w:color w:val="auto"/>
          <w:highlight w:val="none"/>
        </w:rPr>
        <w:t>一致</w:t>
      </w:r>
      <w:r>
        <w:rPr>
          <w:rFonts w:hint="eastAsia" w:ascii="宋体" w:hAnsi="宋体"/>
          <w:color w:val="auto"/>
          <w:highlight w:val="none"/>
        </w:rPr>
        <w:t>，</w:t>
      </w:r>
      <w:r>
        <w:rPr>
          <w:rFonts w:ascii="宋体" w:hAnsi="宋体"/>
          <w:color w:val="auto"/>
          <w:highlight w:val="none"/>
        </w:rPr>
        <w:t>所有价格均系用人民币表示，单位为“元”，报价最多精确到小数点后两位。</w:t>
      </w:r>
    </w:p>
    <w:p w14:paraId="7F8ED5B4">
      <w:pPr>
        <w:spacing w:line="420" w:lineRule="exact"/>
        <w:ind w:firstLine="420" w:firstLineChars="200"/>
        <w:rPr>
          <w:rFonts w:ascii="宋体" w:hAnsi="宋体"/>
          <w:color w:val="auto"/>
          <w:highlight w:val="none"/>
        </w:rPr>
      </w:pPr>
      <w:r>
        <w:rPr>
          <w:rFonts w:hint="eastAsia" w:ascii="宋体" w:hAnsi="宋体"/>
          <w:color w:val="auto"/>
          <w:highlight w:val="none"/>
        </w:rPr>
        <w:t>2、报价</w:t>
      </w:r>
      <w:r>
        <w:rPr>
          <w:rFonts w:ascii="宋体" w:hAnsi="宋体"/>
          <w:color w:val="auto"/>
          <w:highlight w:val="none"/>
        </w:rPr>
        <w:t>人应仔细核实</w:t>
      </w:r>
      <w:r>
        <w:rPr>
          <w:rFonts w:hint="eastAsia" w:ascii="宋体" w:hAnsi="宋体"/>
          <w:color w:val="auto"/>
          <w:highlight w:val="none"/>
        </w:rPr>
        <w:t>比选</w:t>
      </w:r>
      <w:r>
        <w:rPr>
          <w:rFonts w:ascii="宋体" w:hAnsi="宋体"/>
          <w:color w:val="auto"/>
          <w:highlight w:val="none"/>
        </w:rPr>
        <w:t>范围内所包含的所有计费项目，</w:t>
      </w:r>
      <w:r>
        <w:rPr>
          <w:rFonts w:hint="eastAsia" w:ascii="宋体" w:hAnsi="宋体"/>
          <w:color w:val="auto"/>
          <w:highlight w:val="none"/>
        </w:rPr>
        <w:t>综合单价为已考虑各种风险后的所有费用，</w:t>
      </w:r>
      <w:r>
        <w:rPr>
          <w:rFonts w:ascii="宋体" w:hAnsi="宋体"/>
          <w:color w:val="auto"/>
          <w:highlight w:val="none"/>
        </w:rPr>
        <w:t>未报及漏报的项目将视为是</w:t>
      </w:r>
      <w:r>
        <w:rPr>
          <w:rFonts w:hint="eastAsia" w:ascii="宋体" w:hAnsi="宋体"/>
          <w:color w:val="auto"/>
          <w:highlight w:val="none"/>
        </w:rPr>
        <w:t>报价</w:t>
      </w:r>
      <w:r>
        <w:rPr>
          <w:rFonts w:ascii="宋体" w:hAnsi="宋体"/>
          <w:color w:val="auto"/>
          <w:highlight w:val="none"/>
        </w:rPr>
        <w:t>人对</w:t>
      </w:r>
      <w:r>
        <w:rPr>
          <w:rFonts w:hint="eastAsia" w:ascii="宋体" w:hAnsi="宋体"/>
          <w:color w:val="auto"/>
          <w:highlight w:val="none"/>
        </w:rPr>
        <w:t>采购</w:t>
      </w:r>
      <w:r>
        <w:rPr>
          <w:rFonts w:ascii="宋体" w:hAnsi="宋体"/>
          <w:color w:val="auto"/>
          <w:highlight w:val="none"/>
        </w:rPr>
        <w:t>人进行优惠，结算时不再进行增加。</w:t>
      </w:r>
    </w:p>
    <w:p w14:paraId="6DAAB345">
      <w:pPr>
        <w:spacing w:line="420" w:lineRule="exact"/>
        <w:ind w:firstLine="420" w:firstLineChars="200"/>
        <w:rPr>
          <w:rFonts w:ascii="宋体" w:hAnsi="宋体"/>
          <w:color w:val="auto"/>
          <w:highlight w:val="none"/>
        </w:rPr>
      </w:pPr>
      <w:r>
        <w:rPr>
          <w:rFonts w:hint="eastAsia" w:ascii="宋体" w:hAnsi="宋体"/>
          <w:color w:val="auto"/>
          <w:highlight w:val="none"/>
        </w:rPr>
        <w:t>3、合同为固定单价合同，合同期间不予调价。</w:t>
      </w:r>
    </w:p>
    <w:p w14:paraId="284A22A4">
      <w:pPr>
        <w:spacing w:line="420" w:lineRule="exact"/>
        <w:ind w:firstLine="420" w:firstLineChars="200"/>
        <w:jc w:val="left"/>
        <w:rPr>
          <w:rFonts w:cs="宋体" w:asciiTheme="minorEastAsia" w:hAnsiTheme="minorEastAsia"/>
          <w:color w:val="auto"/>
          <w:szCs w:val="21"/>
          <w:highlight w:val="none"/>
        </w:rPr>
      </w:pPr>
    </w:p>
    <w:p w14:paraId="332723BA">
      <w:pPr>
        <w:tabs>
          <w:tab w:val="left" w:pos="7140"/>
          <w:tab w:val="left" w:pos="7560"/>
          <w:tab w:val="left" w:pos="8300"/>
        </w:tabs>
        <w:autoSpaceDE w:val="0"/>
        <w:autoSpaceDN w:val="0"/>
        <w:adjustRightInd w:val="0"/>
        <w:spacing w:line="360" w:lineRule="auto"/>
        <w:ind w:right="210" w:firstLine="4907" w:firstLineChars="2337"/>
        <w:rPr>
          <w:rFonts w:ascii="宋体" w:hAnsi="宋体"/>
          <w:snapToGrid w:val="0"/>
          <w:color w:val="auto"/>
          <w:kern w:val="0"/>
          <w:szCs w:val="21"/>
          <w:highlight w:val="none"/>
        </w:rPr>
      </w:pPr>
      <w:r>
        <w:rPr>
          <w:rFonts w:hint="eastAsia" w:ascii="宋体" w:hAnsi="宋体"/>
          <w:snapToGrid w:val="0"/>
          <w:color w:val="auto"/>
          <w:kern w:val="0"/>
          <w:szCs w:val="21"/>
          <w:highlight w:val="none"/>
        </w:rPr>
        <w:t>报</w:t>
      </w:r>
      <w:r>
        <w:rPr>
          <w:rFonts w:ascii="宋体" w:hAnsi="宋体"/>
          <w:snapToGrid w:val="0"/>
          <w:color w:val="auto"/>
          <w:kern w:val="0"/>
          <w:szCs w:val="21"/>
          <w:highlight w:val="none"/>
        </w:rPr>
        <w:t xml:space="preserve">  </w:t>
      </w:r>
      <w:r>
        <w:rPr>
          <w:rFonts w:hint="eastAsia" w:ascii="宋体" w:hAnsi="宋体"/>
          <w:snapToGrid w:val="0"/>
          <w:color w:val="auto"/>
          <w:kern w:val="0"/>
          <w:szCs w:val="21"/>
          <w:highlight w:val="none"/>
        </w:rPr>
        <w:t>价</w:t>
      </w:r>
      <w:r>
        <w:rPr>
          <w:rFonts w:ascii="宋体" w:hAnsi="宋体"/>
          <w:snapToGrid w:val="0"/>
          <w:color w:val="auto"/>
          <w:kern w:val="0"/>
          <w:szCs w:val="21"/>
          <w:highlight w:val="none"/>
        </w:rPr>
        <w:t xml:space="preserve">  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（盖单位</w:t>
      </w:r>
      <w:r>
        <w:rPr>
          <w:rFonts w:hint="eastAsia" w:ascii="宋体" w:hAnsi="宋体"/>
          <w:snapToGrid w:val="0"/>
          <w:color w:val="auto"/>
          <w:kern w:val="0"/>
          <w:szCs w:val="21"/>
          <w:highlight w:val="none"/>
        </w:rPr>
        <w:t>公章</w:t>
      </w:r>
      <w:r>
        <w:rPr>
          <w:rFonts w:ascii="宋体" w:hAnsi="宋体"/>
          <w:snapToGrid w:val="0"/>
          <w:color w:val="auto"/>
          <w:kern w:val="0"/>
          <w:szCs w:val="21"/>
          <w:highlight w:val="none"/>
        </w:rPr>
        <w:t xml:space="preserve">） </w:t>
      </w:r>
    </w:p>
    <w:p w14:paraId="32F32B46">
      <w:pPr>
        <w:tabs>
          <w:tab w:val="left" w:pos="7140"/>
          <w:tab w:val="left" w:pos="7560"/>
          <w:tab w:val="left" w:pos="8300"/>
        </w:tabs>
        <w:autoSpaceDE w:val="0"/>
        <w:autoSpaceDN w:val="0"/>
        <w:adjustRightInd w:val="0"/>
        <w:spacing w:line="360" w:lineRule="auto"/>
        <w:ind w:right="210" w:firstLine="4935" w:firstLineChars="235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 xml:space="preserve">或盖章） </w:t>
      </w:r>
    </w:p>
    <w:p w14:paraId="617A6576">
      <w:pPr>
        <w:rPr>
          <w:rFonts w:ascii="宋体" w:hAnsi="宋体" w:cs="宋体"/>
          <w:color w:val="auto"/>
          <w:kern w:val="0"/>
          <w:szCs w:val="21"/>
          <w:highlight w:val="none"/>
        </w:rPr>
      </w:pPr>
    </w:p>
    <w:p w14:paraId="063B5D41">
      <w:pPr>
        <w:jc w:val="center"/>
        <w:rPr>
          <w:color w:val="auto"/>
          <w:highlight w:val="none"/>
        </w:rPr>
        <w:sectPr>
          <w:pgSz w:w="16838" w:h="11906" w:orient="landscape"/>
          <w:pgMar w:top="1463" w:right="1440" w:bottom="1576" w:left="1440" w:header="851" w:footer="992" w:gutter="0"/>
          <w:pgBorders>
            <w:top w:val="none" w:sz="0" w:space="0"/>
            <w:left w:val="none" w:sz="0" w:space="0"/>
            <w:bottom w:val="none" w:sz="0" w:space="0"/>
            <w:right w:val="none" w:sz="0" w:space="0"/>
          </w:pgBorders>
          <w:cols w:space="0" w:num="1"/>
          <w:titlePg/>
          <w:docGrid w:type="lines" w:linePitch="328" w:charSpace="0"/>
        </w:sectPr>
      </w:pPr>
      <w:r>
        <w:rPr>
          <w:rFonts w:hint="eastAsia"/>
          <w:color w:val="auto"/>
          <w:highlight w:val="none"/>
        </w:rPr>
        <w:t>日期：</w:t>
      </w:r>
      <w:r>
        <w:rPr>
          <w:rFonts w:hint="eastAsia"/>
          <w:color w:val="auto"/>
          <w:highlight w:val="none"/>
          <w:u w:val="single"/>
        </w:rPr>
        <w:t xml:space="preserve">    </w:t>
      </w:r>
      <w:r>
        <w:rPr>
          <w:rFonts w:hint="eastAsia"/>
          <w:color w:val="auto"/>
          <w:highlight w:val="none"/>
        </w:rPr>
        <w:t>年</w:t>
      </w:r>
      <w:r>
        <w:rPr>
          <w:rFonts w:hint="eastAsia"/>
          <w:color w:val="auto"/>
          <w:highlight w:val="none"/>
          <w:u w:val="single"/>
        </w:rPr>
        <w:t xml:space="preserve">   </w:t>
      </w:r>
      <w:r>
        <w:rPr>
          <w:rFonts w:hint="eastAsia"/>
          <w:color w:val="auto"/>
          <w:highlight w:val="none"/>
        </w:rPr>
        <w:t>月</w:t>
      </w:r>
      <w:r>
        <w:rPr>
          <w:rFonts w:hint="eastAsia"/>
          <w:color w:val="auto"/>
          <w:highlight w:val="none"/>
          <w:u w:val="single"/>
        </w:rPr>
        <w:t xml:space="preserve">   日</w:t>
      </w:r>
    </w:p>
    <w:bookmarkEnd w:id="874"/>
    <w:p w14:paraId="25DD6B54">
      <w:pPr>
        <w:pStyle w:val="4"/>
        <w:numPr>
          <w:ilvl w:val="0"/>
          <w:numId w:val="10"/>
        </w:numPr>
        <w:spacing w:before="0" w:after="0" w:line="360" w:lineRule="auto"/>
        <w:jc w:val="center"/>
        <w:rPr>
          <w:rFonts w:ascii="宋体" w:hAnsi="宋体" w:eastAsia="宋体" w:cs="宋体"/>
          <w:color w:val="auto"/>
          <w:sz w:val="28"/>
          <w:highlight w:val="none"/>
        </w:rPr>
      </w:pPr>
      <w:bookmarkStart w:id="875" w:name="_Toc19734"/>
      <w:bookmarkStart w:id="876" w:name="_Toc11961"/>
      <w:bookmarkStart w:id="877" w:name="_Toc12910"/>
      <w:bookmarkStart w:id="878" w:name="_Toc503951050"/>
      <w:bookmarkStart w:id="879" w:name="_Toc24319"/>
      <w:bookmarkStart w:id="880" w:name="_Toc23170"/>
      <w:bookmarkStart w:id="881" w:name="_Toc513633971"/>
      <w:bookmarkStart w:id="882" w:name="_Toc11329278"/>
      <w:bookmarkStart w:id="883" w:name="_Toc18757"/>
      <w:bookmarkStart w:id="884" w:name="_Toc246997112"/>
      <w:bookmarkStart w:id="885" w:name="_Toc152045803"/>
      <w:bookmarkStart w:id="886" w:name="_Toc144974871"/>
      <w:bookmarkStart w:id="887" w:name="_Toc179632823"/>
      <w:bookmarkStart w:id="888" w:name="_Toc247085887"/>
      <w:bookmarkStart w:id="889" w:name="_Toc447827058"/>
      <w:bookmarkStart w:id="890" w:name="_Toc152042592"/>
      <w:bookmarkStart w:id="891" w:name="_Toc246996369"/>
      <w:r>
        <w:rPr>
          <w:rFonts w:hint="eastAsia" w:ascii="宋体" w:hAnsi="宋体" w:eastAsia="宋体" w:cs="宋体"/>
          <w:color w:val="auto"/>
          <w:sz w:val="28"/>
          <w:highlight w:val="none"/>
        </w:rPr>
        <w:t>审查资料</w:t>
      </w:r>
      <w:bookmarkEnd w:id="875"/>
      <w:bookmarkEnd w:id="876"/>
      <w:bookmarkEnd w:id="877"/>
      <w:bookmarkEnd w:id="878"/>
      <w:bookmarkEnd w:id="879"/>
      <w:bookmarkEnd w:id="880"/>
      <w:bookmarkEnd w:id="881"/>
      <w:bookmarkEnd w:id="882"/>
      <w:bookmarkEnd w:id="883"/>
    </w:p>
    <w:p w14:paraId="5E97B535">
      <w:pPr>
        <w:pStyle w:val="4"/>
        <w:jc w:val="center"/>
        <w:rPr>
          <w:rFonts w:ascii="宋体" w:hAnsi="宋体" w:eastAsia="宋体" w:cs="宋体"/>
          <w:bCs w:val="0"/>
          <w:color w:val="auto"/>
          <w:sz w:val="28"/>
          <w:szCs w:val="28"/>
          <w:highlight w:val="none"/>
        </w:rPr>
      </w:pPr>
      <w:r>
        <w:rPr>
          <w:rFonts w:hint="eastAsia" w:ascii="宋体" w:hAnsi="宋体" w:eastAsia="宋体" w:cs="宋体"/>
          <w:color w:val="auto"/>
          <w:sz w:val="28"/>
          <w:highlight w:val="none"/>
        </w:rPr>
        <w:t>（一）资格审查资料</w:t>
      </w:r>
    </w:p>
    <w:tbl>
      <w:tblPr>
        <w:tblStyle w:val="44"/>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CC65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2FF0D03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6A1FF0E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8C58DE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5411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64" w:type="dxa"/>
            <w:tcBorders>
              <w:top w:val="single" w:color="auto" w:sz="4" w:space="0"/>
              <w:left w:val="single" w:color="auto" w:sz="4" w:space="0"/>
              <w:right w:val="single" w:color="auto" w:sz="4" w:space="0"/>
            </w:tcBorders>
            <w:vAlign w:val="center"/>
          </w:tcPr>
          <w:p w14:paraId="78B9DB3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right w:val="single" w:color="auto" w:sz="4" w:space="0"/>
            </w:tcBorders>
            <w:vAlign w:val="center"/>
          </w:tcPr>
          <w:p w14:paraId="16D3FFF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0B4E58CA">
            <w:pPr>
              <w:numPr>
                <w:ilvl w:val="0"/>
                <w:numId w:val="11"/>
              </w:numPr>
              <w:spacing w:line="400" w:lineRule="exact"/>
              <w:ind w:firstLine="420" w:firstLineChars="200"/>
              <w:rPr>
                <w:rFonts w:hint="eastAsia"/>
                <w:color w:val="auto"/>
                <w:highlight w:val="none"/>
              </w:rPr>
            </w:pPr>
            <w:r>
              <w:rPr>
                <w:rFonts w:hint="eastAsia"/>
                <w:color w:val="auto"/>
                <w:highlight w:val="none"/>
              </w:rPr>
              <w:t>报价人具有独立法人资格及有效的营业执照。</w:t>
            </w:r>
          </w:p>
          <w:p w14:paraId="4C3F4B72">
            <w:pPr>
              <w:numPr>
                <w:ilvl w:val="0"/>
                <w:numId w:val="11"/>
              </w:numPr>
              <w:spacing w:line="400" w:lineRule="exact"/>
              <w:ind w:firstLine="420" w:firstLineChars="200"/>
              <w:rPr>
                <w:color w:val="auto"/>
                <w:highlight w:val="none"/>
              </w:rPr>
            </w:pPr>
            <w:r>
              <w:rPr>
                <w:rFonts w:hint="eastAsia"/>
                <w:color w:val="auto"/>
                <w:highlight w:val="none"/>
              </w:rPr>
              <w:t>报价人具备中国信息安全测评中心颁发的有效的《信息安全服务资质认证证书》安全工程类一级及以上的资质或CCRC颁发的信息安全服务资质认证证书（风险评估二级及以上）资质。</w:t>
            </w:r>
          </w:p>
        </w:tc>
      </w:tr>
      <w:tr w14:paraId="4229B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trPr>
        <w:tc>
          <w:tcPr>
            <w:tcW w:w="664" w:type="dxa"/>
            <w:tcBorders>
              <w:top w:val="single" w:color="auto" w:sz="4" w:space="0"/>
              <w:left w:val="single" w:color="auto" w:sz="4" w:space="0"/>
              <w:bottom w:val="single" w:color="auto" w:sz="4" w:space="0"/>
              <w:right w:val="single" w:color="auto" w:sz="4" w:space="0"/>
            </w:tcBorders>
            <w:vAlign w:val="center"/>
          </w:tcPr>
          <w:p w14:paraId="17B97662">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465" w:type="dxa"/>
            <w:tcBorders>
              <w:top w:val="single" w:color="auto" w:sz="4" w:space="0"/>
              <w:left w:val="single" w:color="auto" w:sz="4" w:space="0"/>
              <w:bottom w:val="single" w:color="auto" w:sz="4" w:space="0"/>
              <w:right w:val="single" w:color="auto" w:sz="4" w:space="0"/>
            </w:tcBorders>
            <w:vAlign w:val="center"/>
          </w:tcPr>
          <w:p w14:paraId="7E29520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5D9561CE">
            <w:pPr>
              <w:spacing w:line="400" w:lineRule="exact"/>
              <w:ind w:firstLine="420" w:firstLineChars="200"/>
              <w:rPr>
                <w:color w:val="auto"/>
                <w:highlight w:val="none"/>
              </w:rPr>
            </w:pPr>
            <w:r>
              <w:rPr>
                <w:rFonts w:hint="eastAsia"/>
                <w:color w:val="auto"/>
                <w:highlight w:val="none"/>
              </w:rPr>
              <w:t>1、报价人在2021年1月1日至报价截止日期（以合同签订时间为准）至少具有一个合同金额在15万元及以上的类似网络安全服务项目业绩（提供合同扫描件）。</w:t>
            </w:r>
          </w:p>
          <w:p w14:paraId="68635CC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注：须提供合同复印件或关键页，关键页包括但不限于合同首尾页、签章页、金额页，关键页需能充分体现以上业绩要求各项要素。提供有关资料，加盖报价单位公章。不满足上述业绩要求的业绩视为无效。</w:t>
            </w:r>
          </w:p>
        </w:tc>
      </w:tr>
      <w:tr w14:paraId="10D2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7911040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465" w:type="dxa"/>
            <w:tcBorders>
              <w:top w:val="single" w:color="auto" w:sz="4" w:space="0"/>
              <w:left w:val="single" w:color="auto" w:sz="4" w:space="0"/>
              <w:bottom w:val="single" w:color="auto" w:sz="4" w:space="0"/>
              <w:right w:val="single" w:color="auto" w:sz="4" w:space="0"/>
            </w:tcBorders>
            <w:vAlign w:val="center"/>
          </w:tcPr>
          <w:p w14:paraId="09990458">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4BF39DC2">
            <w:pPr>
              <w:wordWrap w:val="0"/>
              <w:spacing w:line="400" w:lineRule="exact"/>
              <w:ind w:firstLine="420" w:firstLineChars="200"/>
              <w:rPr>
                <w:color w:val="auto"/>
                <w:highlight w:val="none"/>
              </w:rPr>
            </w:pPr>
            <w:r>
              <w:rPr>
                <w:rFonts w:hint="eastAsia"/>
                <w:color w:val="auto"/>
                <w:highlight w:val="none"/>
              </w:rPr>
              <w:t>1、在国家企业信用信息公示系统（http://www.gsxt.gov.cn/）中未被列入严重违法失信企业名单（黑名单）信息；在“信用中国”网站（http://www.creditchina.gov.cn/）中未被列入严重失信主体名单。</w:t>
            </w:r>
          </w:p>
          <w:p w14:paraId="1FA61540">
            <w:pPr>
              <w:wordWrap w:val="0"/>
              <w:spacing w:line="400" w:lineRule="exact"/>
              <w:ind w:firstLine="420" w:firstLineChars="200"/>
              <w:rPr>
                <w:color w:val="auto"/>
                <w:highlight w:val="none"/>
              </w:rPr>
            </w:pPr>
            <w:r>
              <w:rPr>
                <w:rFonts w:hint="eastAsia"/>
                <w:color w:val="auto"/>
                <w:highlight w:val="none"/>
              </w:rPr>
              <w:t>注：信誉要求报价人自行通过上述网站进行查询，经查询存在相应记录的，应回避本次比选；查询后无相应记录的，需按竞争性比选响应文件中承诺格式进行承诺并盖单位</w:t>
            </w:r>
            <w:r>
              <w:rPr>
                <w:rFonts w:hint="eastAsia" w:hAnsi="宋体"/>
                <w:color w:val="auto"/>
                <w:szCs w:val="21"/>
                <w:highlight w:val="none"/>
              </w:rPr>
              <w:t>公章</w:t>
            </w:r>
            <w:r>
              <w:rPr>
                <w:rFonts w:hint="eastAsia"/>
                <w:color w:val="auto"/>
                <w:highlight w:val="none"/>
              </w:rPr>
              <w:t>。采购人保留对报价人承诺真实性进行查询的权利，如果发现报价人承诺不实的，将取消其中标资格，采购人可以按照评审报告中标结果的排序，依次递补其他报价人为中标候选人或中标人，也可重新采购。</w:t>
            </w:r>
          </w:p>
        </w:tc>
      </w:tr>
      <w:tr w14:paraId="487C9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664" w:type="dxa"/>
            <w:tcBorders>
              <w:top w:val="single" w:color="auto" w:sz="4" w:space="0"/>
              <w:left w:val="single" w:color="auto" w:sz="4" w:space="0"/>
              <w:bottom w:val="single" w:color="auto" w:sz="4" w:space="0"/>
              <w:right w:val="single" w:color="auto" w:sz="4" w:space="0"/>
            </w:tcBorders>
            <w:vAlign w:val="center"/>
          </w:tcPr>
          <w:p w14:paraId="30354DAF">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4</w:t>
            </w:r>
          </w:p>
        </w:tc>
        <w:tc>
          <w:tcPr>
            <w:tcW w:w="1465" w:type="dxa"/>
            <w:tcBorders>
              <w:top w:val="single" w:color="auto" w:sz="4" w:space="0"/>
              <w:left w:val="single" w:color="auto" w:sz="4" w:space="0"/>
              <w:bottom w:val="single" w:color="auto" w:sz="4" w:space="0"/>
              <w:right w:val="single" w:color="auto" w:sz="4" w:space="0"/>
            </w:tcBorders>
            <w:vAlign w:val="center"/>
          </w:tcPr>
          <w:p w14:paraId="0518337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5BB5512">
            <w:pPr>
              <w:wordWrap w:val="0"/>
              <w:spacing w:line="400" w:lineRule="exact"/>
              <w:rPr>
                <w:rFonts w:hint="eastAsia"/>
                <w:color w:val="auto"/>
                <w:highlight w:val="none"/>
              </w:rPr>
            </w:pPr>
            <w:r>
              <w:rPr>
                <w:rFonts w:hint="eastAsia"/>
                <w:color w:val="auto"/>
                <w:highlight w:val="none"/>
              </w:rPr>
              <w:t xml:space="preserve">    1、项目负责人1人，3年及以上工作经验，具有CISP或CISSP资质认证证书。</w:t>
            </w:r>
          </w:p>
          <w:p w14:paraId="0741EB77">
            <w:pPr>
              <w:wordWrap w:val="0"/>
              <w:spacing w:line="400" w:lineRule="exact"/>
              <w:rPr>
                <w:color w:val="auto"/>
                <w:highlight w:val="none"/>
              </w:rPr>
            </w:pPr>
            <w:r>
              <w:rPr>
                <w:rFonts w:hint="eastAsia"/>
                <w:color w:val="auto"/>
                <w:highlight w:val="none"/>
              </w:rPr>
              <w:t xml:space="preserve">    2、其他人员2人，3年及以上工作经验。</w:t>
            </w:r>
          </w:p>
          <w:p w14:paraId="7E94E418">
            <w:pPr>
              <w:wordWrap w:val="0"/>
              <w:spacing w:line="400" w:lineRule="exact"/>
              <w:ind w:firstLine="420" w:firstLineChars="200"/>
              <w:rPr>
                <w:rFonts w:ascii="宋体" w:hAnsi="宋体" w:cs="宋体"/>
                <w:color w:val="auto"/>
                <w:szCs w:val="21"/>
                <w:highlight w:val="none"/>
                <w:lang w:bidi="ar"/>
              </w:rPr>
            </w:pPr>
            <w:r>
              <w:rPr>
                <w:rFonts w:hint="eastAsia"/>
                <w:color w:val="auto"/>
                <w:highlight w:val="none"/>
              </w:rPr>
              <w:t>注：人员名单（表格形式），需提供身份证、资格证书复印件和由社保局出具的报价人为以上人员缴纳的近3个月</w:t>
            </w:r>
            <w:r>
              <w:rPr>
                <w:rFonts w:hint="eastAsia" w:ascii="宋体" w:hAnsi="宋体" w:cs="宋体"/>
                <w:color w:val="auto"/>
                <w:szCs w:val="21"/>
                <w:highlight w:val="none"/>
                <w:lang w:bidi="ar"/>
              </w:rPr>
              <w:t>（2024年</w:t>
            </w:r>
            <w:r>
              <w:rPr>
                <w:rFonts w:hint="eastAsia" w:ascii="宋体" w:hAnsi="宋体" w:cs="宋体"/>
                <w:color w:val="auto"/>
                <w:szCs w:val="21"/>
                <w:highlight w:val="none"/>
                <w:lang w:val="en-US" w:eastAsia="zh-CN" w:bidi="ar"/>
              </w:rPr>
              <w:t>9</w:t>
            </w:r>
            <w:r>
              <w:rPr>
                <w:rFonts w:hint="eastAsia" w:ascii="宋体" w:hAnsi="宋体" w:cs="宋体"/>
                <w:color w:val="auto"/>
                <w:szCs w:val="21"/>
                <w:highlight w:val="none"/>
                <w:lang w:bidi="ar"/>
              </w:rPr>
              <w:t>月-2024年1</w:t>
            </w:r>
            <w:r>
              <w:rPr>
                <w:rFonts w:hint="eastAsia" w:ascii="宋体" w:hAnsi="宋体" w:cs="宋体"/>
                <w:color w:val="auto"/>
                <w:szCs w:val="21"/>
                <w:highlight w:val="none"/>
                <w:lang w:val="en-US" w:eastAsia="zh-CN" w:bidi="ar"/>
              </w:rPr>
              <w:t>2</w:t>
            </w:r>
            <w:r>
              <w:rPr>
                <w:rFonts w:hint="eastAsia" w:ascii="宋体" w:hAnsi="宋体" w:cs="宋体"/>
                <w:color w:val="auto"/>
                <w:szCs w:val="21"/>
                <w:highlight w:val="none"/>
                <w:lang w:bidi="ar"/>
              </w:rPr>
              <w:t>月）</w:t>
            </w:r>
            <w:r>
              <w:rPr>
                <w:rFonts w:hint="eastAsia"/>
                <w:color w:val="auto"/>
                <w:highlight w:val="none"/>
              </w:rPr>
              <w:t>社保查询证明资料（带有社保部门公章或社保部门的有效电子印章）</w:t>
            </w:r>
            <w:r>
              <w:rPr>
                <w:rFonts w:hint="eastAsia" w:ascii="宋体" w:hAnsi="宋体" w:cs="宋体"/>
                <w:color w:val="auto"/>
                <w:szCs w:val="21"/>
                <w:highlight w:val="none"/>
                <w:lang w:bidi="ar"/>
              </w:rPr>
              <w:t>，</w:t>
            </w:r>
            <w:r>
              <w:rPr>
                <w:rFonts w:hint="eastAsia" w:ascii="宋体" w:hAnsi="宋体" w:cs="宋体"/>
                <w:color w:val="auto"/>
                <w:szCs w:val="21"/>
                <w:highlight w:val="none"/>
                <w:shd w:val="clear" w:color="auto" w:fill="FFFFFF"/>
              </w:rPr>
              <w:t>并加盖单位</w:t>
            </w:r>
            <w:r>
              <w:rPr>
                <w:rFonts w:hint="eastAsia" w:hAnsi="宋体"/>
                <w:color w:val="auto"/>
                <w:szCs w:val="21"/>
                <w:highlight w:val="none"/>
              </w:rPr>
              <w:t>公章</w:t>
            </w:r>
            <w:r>
              <w:rPr>
                <w:rFonts w:hint="eastAsia" w:ascii="宋体" w:hAnsi="宋体" w:cs="宋体"/>
                <w:color w:val="auto"/>
                <w:szCs w:val="21"/>
                <w:highlight w:val="none"/>
                <w:lang w:bidi="ar"/>
              </w:rPr>
              <w:t>。</w:t>
            </w:r>
          </w:p>
        </w:tc>
      </w:tr>
    </w:tbl>
    <w:p w14:paraId="4CDA129A">
      <w:pPr>
        <w:spacing w:line="360" w:lineRule="auto"/>
        <w:jc w:val="left"/>
        <w:rPr>
          <w:rFonts w:hAnsi="宋体"/>
          <w:color w:val="auto"/>
          <w:kern w:val="0"/>
          <w:szCs w:val="21"/>
          <w:highlight w:val="none"/>
        </w:rPr>
      </w:pPr>
      <w:r>
        <w:rPr>
          <w:rFonts w:hint="eastAsia" w:ascii="宋体" w:hAnsi="宋体" w:cs="宋体"/>
          <w:color w:val="auto"/>
          <w:szCs w:val="21"/>
          <w:highlight w:val="none"/>
        </w:rPr>
        <w:t xml:space="preserve">  </w:t>
      </w:r>
      <w:r>
        <w:rPr>
          <w:rFonts w:hint="eastAsia" w:hAnsi="宋体"/>
          <w:color w:val="auto"/>
          <w:kern w:val="0"/>
          <w:szCs w:val="21"/>
          <w:highlight w:val="none"/>
        </w:rPr>
        <w:t xml:space="preserve"> 注：</w:t>
      </w:r>
    </w:p>
    <w:p w14:paraId="05585188">
      <w:pPr>
        <w:numPr>
          <w:ilvl w:val="0"/>
          <w:numId w:val="0"/>
        </w:numPr>
        <w:spacing w:line="360" w:lineRule="auto"/>
        <w:ind w:firstLine="420" w:firstLineChars="200"/>
        <w:jc w:val="left"/>
        <w:rPr>
          <w:rFonts w:hAnsi="宋体"/>
          <w:color w:val="auto"/>
          <w:kern w:val="0"/>
          <w:szCs w:val="21"/>
          <w:highlight w:val="none"/>
        </w:rPr>
      </w:pPr>
      <w:r>
        <w:rPr>
          <w:rFonts w:ascii="Times New Roman" w:hAnsi="宋体" w:eastAsia="宋体" w:cs="Times New Roman"/>
          <w:color w:val="auto"/>
          <w:kern w:val="0"/>
          <w:sz w:val="21"/>
          <w:szCs w:val="21"/>
          <w:highlight w:val="none"/>
          <w:lang w:val="en-US" w:eastAsia="zh-CN" w:bidi="ar-SA"/>
        </w:rPr>
        <w:t>1、</w:t>
      </w:r>
      <w:r>
        <w:rPr>
          <w:rFonts w:hint="eastAsia" w:hAnsi="宋体"/>
          <w:color w:val="auto"/>
          <w:kern w:val="0"/>
          <w:szCs w:val="21"/>
          <w:highlight w:val="none"/>
        </w:rPr>
        <w:t>报价人提供采购人要求的所有资质要求、业绩要求、信誉要求等资料并加盖单位单位</w:t>
      </w:r>
      <w:r>
        <w:rPr>
          <w:rFonts w:hint="eastAsia" w:hAnsi="宋体"/>
          <w:color w:val="auto"/>
          <w:szCs w:val="21"/>
          <w:highlight w:val="none"/>
        </w:rPr>
        <w:t>公章</w:t>
      </w:r>
      <w:r>
        <w:rPr>
          <w:rFonts w:hint="eastAsia" w:hAnsi="宋体"/>
          <w:color w:val="auto"/>
          <w:kern w:val="0"/>
          <w:szCs w:val="21"/>
          <w:highlight w:val="none"/>
        </w:rPr>
        <w:t>。</w:t>
      </w:r>
    </w:p>
    <w:p w14:paraId="498357FE">
      <w:pPr>
        <w:numPr>
          <w:ilvl w:val="0"/>
          <w:numId w:val="0"/>
        </w:numPr>
        <w:spacing w:line="360" w:lineRule="auto"/>
        <w:jc w:val="left"/>
        <w:rPr>
          <w:rFonts w:hAnsi="宋体"/>
          <w:color w:val="auto"/>
          <w:kern w:val="0"/>
          <w:szCs w:val="21"/>
          <w:highlight w:val="none"/>
        </w:rPr>
      </w:pPr>
    </w:p>
    <w:bookmarkEnd w:id="884"/>
    <w:bookmarkEnd w:id="885"/>
    <w:bookmarkEnd w:id="886"/>
    <w:bookmarkEnd w:id="887"/>
    <w:bookmarkEnd w:id="888"/>
    <w:bookmarkEnd w:id="889"/>
    <w:bookmarkEnd w:id="890"/>
    <w:bookmarkEnd w:id="891"/>
    <w:p w14:paraId="02BA25DC">
      <w:pPr>
        <w:spacing w:before="149"/>
        <w:ind w:right="32"/>
        <w:jc w:val="center"/>
        <w:rPr>
          <w:rFonts w:ascii="宋体" w:hAnsi="宋体" w:cs="宋体"/>
          <w:color w:val="auto"/>
          <w:szCs w:val="21"/>
          <w:highlight w:val="none"/>
        </w:rPr>
      </w:pPr>
      <w:bookmarkStart w:id="892" w:name="OLE_LINK63"/>
      <w:bookmarkStart w:id="893" w:name="_Toc503951058"/>
      <w:bookmarkStart w:id="894" w:name="_Toc513633974"/>
    </w:p>
    <w:p w14:paraId="136747E1">
      <w:pPr>
        <w:spacing w:before="149"/>
        <w:ind w:right="32"/>
        <w:jc w:val="center"/>
        <w:rPr>
          <w:rFonts w:ascii="宋体" w:hAnsi="宋体" w:cs="宋体"/>
          <w:color w:val="auto"/>
          <w:szCs w:val="21"/>
          <w:highlight w:val="none"/>
        </w:rPr>
      </w:pPr>
    </w:p>
    <w:tbl>
      <w:tblPr>
        <w:tblStyle w:val="44"/>
        <w:tblW w:w="10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342"/>
        <w:gridCol w:w="1575"/>
        <w:gridCol w:w="2800"/>
        <w:gridCol w:w="2533"/>
        <w:gridCol w:w="1095"/>
      </w:tblGrid>
      <w:tr w14:paraId="78C1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27E4675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2" w:type="dxa"/>
            <w:tcBorders>
              <w:top w:val="single" w:color="auto" w:sz="4" w:space="0"/>
              <w:left w:val="single" w:color="auto" w:sz="4" w:space="0"/>
              <w:bottom w:val="single" w:color="auto" w:sz="4" w:space="0"/>
              <w:right w:val="single" w:color="auto" w:sz="4" w:space="0"/>
            </w:tcBorders>
            <w:vAlign w:val="center"/>
          </w:tcPr>
          <w:p w14:paraId="7AABBF7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人员</w:t>
            </w:r>
          </w:p>
        </w:tc>
        <w:tc>
          <w:tcPr>
            <w:tcW w:w="1575" w:type="dxa"/>
            <w:tcBorders>
              <w:top w:val="single" w:color="auto" w:sz="4" w:space="0"/>
              <w:left w:val="single" w:color="auto" w:sz="4" w:space="0"/>
              <w:bottom w:val="single" w:color="auto" w:sz="4" w:space="0"/>
              <w:right w:val="single" w:color="auto" w:sz="4" w:space="0"/>
            </w:tcBorders>
            <w:vAlign w:val="center"/>
          </w:tcPr>
          <w:p w14:paraId="273B49F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2800" w:type="dxa"/>
            <w:tcBorders>
              <w:top w:val="single" w:color="auto" w:sz="4" w:space="0"/>
              <w:left w:val="single" w:color="auto" w:sz="4" w:space="0"/>
              <w:bottom w:val="single" w:color="auto" w:sz="4" w:space="0"/>
              <w:right w:val="single" w:color="auto" w:sz="4" w:space="0"/>
            </w:tcBorders>
            <w:vAlign w:val="center"/>
          </w:tcPr>
          <w:p w14:paraId="715DCEE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身份证号码</w:t>
            </w:r>
          </w:p>
        </w:tc>
        <w:tc>
          <w:tcPr>
            <w:tcW w:w="2533" w:type="dxa"/>
            <w:tcBorders>
              <w:top w:val="single" w:color="auto" w:sz="4" w:space="0"/>
              <w:left w:val="single" w:color="auto" w:sz="4" w:space="0"/>
              <w:bottom w:val="single" w:color="auto" w:sz="4" w:space="0"/>
              <w:right w:val="single" w:color="auto" w:sz="4" w:space="0"/>
            </w:tcBorders>
            <w:vAlign w:val="center"/>
          </w:tcPr>
          <w:p w14:paraId="3ADED2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执业资格证件号码</w:t>
            </w:r>
          </w:p>
        </w:tc>
        <w:tc>
          <w:tcPr>
            <w:tcW w:w="1095" w:type="dxa"/>
            <w:tcBorders>
              <w:top w:val="single" w:color="auto" w:sz="4" w:space="0"/>
              <w:left w:val="single" w:color="auto" w:sz="4" w:space="0"/>
              <w:bottom w:val="single" w:color="auto" w:sz="4" w:space="0"/>
              <w:right w:val="single" w:color="auto" w:sz="4" w:space="0"/>
            </w:tcBorders>
            <w:vAlign w:val="center"/>
          </w:tcPr>
          <w:p w14:paraId="5B1A93F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r>
      <w:tr w14:paraId="6676B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6D99FB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342" w:type="dxa"/>
            <w:tcBorders>
              <w:top w:val="single" w:color="auto" w:sz="4" w:space="0"/>
              <w:left w:val="single" w:color="auto" w:sz="4" w:space="0"/>
              <w:bottom w:val="single" w:color="auto" w:sz="4" w:space="0"/>
              <w:right w:val="single" w:color="auto" w:sz="4" w:space="0"/>
            </w:tcBorders>
            <w:vAlign w:val="center"/>
          </w:tcPr>
          <w:p w14:paraId="2D3C16BB">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1575" w:type="dxa"/>
            <w:tcBorders>
              <w:top w:val="single" w:color="auto" w:sz="4" w:space="0"/>
              <w:left w:val="single" w:color="auto" w:sz="4" w:space="0"/>
              <w:bottom w:val="single" w:color="auto" w:sz="4" w:space="0"/>
              <w:right w:val="single" w:color="auto" w:sz="4" w:space="0"/>
            </w:tcBorders>
            <w:vAlign w:val="center"/>
          </w:tcPr>
          <w:p w14:paraId="0FD5CC17">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463273C2">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7296906C">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6D6CAA14">
            <w:pPr>
              <w:spacing w:line="400" w:lineRule="exact"/>
              <w:jc w:val="center"/>
              <w:rPr>
                <w:rFonts w:ascii="宋体" w:hAnsi="宋体" w:cs="宋体"/>
                <w:color w:val="auto"/>
                <w:szCs w:val="21"/>
                <w:highlight w:val="none"/>
              </w:rPr>
            </w:pPr>
          </w:p>
        </w:tc>
      </w:tr>
      <w:tr w14:paraId="4A424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0D73F489">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w:t>
            </w:r>
          </w:p>
        </w:tc>
        <w:tc>
          <w:tcPr>
            <w:tcW w:w="1342" w:type="dxa"/>
            <w:tcBorders>
              <w:top w:val="single" w:color="auto" w:sz="4" w:space="0"/>
              <w:left w:val="single" w:color="auto" w:sz="4" w:space="0"/>
              <w:bottom w:val="single" w:color="auto" w:sz="4" w:space="0"/>
              <w:right w:val="single" w:color="auto" w:sz="4" w:space="0"/>
            </w:tcBorders>
            <w:vAlign w:val="center"/>
          </w:tcPr>
          <w:p w14:paraId="524EDC3E">
            <w:pPr>
              <w:spacing w:line="400" w:lineRule="exact"/>
              <w:jc w:val="center"/>
              <w:rPr>
                <w:rFonts w:ascii="宋体" w:hAnsi="宋体" w:cs="宋体"/>
                <w:color w:val="auto"/>
                <w:szCs w:val="21"/>
                <w:highlight w:val="none"/>
              </w:rPr>
            </w:pPr>
          </w:p>
        </w:tc>
        <w:tc>
          <w:tcPr>
            <w:tcW w:w="1575" w:type="dxa"/>
            <w:tcBorders>
              <w:top w:val="single" w:color="auto" w:sz="4" w:space="0"/>
              <w:left w:val="single" w:color="auto" w:sz="4" w:space="0"/>
              <w:bottom w:val="single" w:color="auto" w:sz="4" w:space="0"/>
              <w:right w:val="single" w:color="auto" w:sz="4" w:space="0"/>
            </w:tcBorders>
            <w:vAlign w:val="center"/>
          </w:tcPr>
          <w:p w14:paraId="40C812B4">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1C9F1010">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376BEBCA">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0271C267">
            <w:pPr>
              <w:spacing w:line="400" w:lineRule="exact"/>
              <w:jc w:val="center"/>
              <w:rPr>
                <w:rFonts w:ascii="宋体" w:hAnsi="宋体" w:cs="宋体"/>
                <w:color w:val="auto"/>
                <w:szCs w:val="21"/>
                <w:highlight w:val="none"/>
              </w:rPr>
            </w:pPr>
          </w:p>
        </w:tc>
      </w:tr>
      <w:tr w14:paraId="1966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3AD57AE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w:t>
            </w:r>
          </w:p>
        </w:tc>
        <w:tc>
          <w:tcPr>
            <w:tcW w:w="1342" w:type="dxa"/>
            <w:tcBorders>
              <w:top w:val="single" w:color="auto" w:sz="4" w:space="0"/>
              <w:left w:val="single" w:color="auto" w:sz="4" w:space="0"/>
              <w:bottom w:val="single" w:color="auto" w:sz="4" w:space="0"/>
              <w:right w:val="single" w:color="auto" w:sz="4" w:space="0"/>
            </w:tcBorders>
            <w:vAlign w:val="center"/>
          </w:tcPr>
          <w:p w14:paraId="778319FE">
            <w:pPr>
              <w:spacing w:line="400" w:lineRule="exact"/>
              <w:jc w:val="center"/>
              <w:rPr>
                <w:rFonts w:ascii="宋体" w:hAnsi="宋体" w:cs="宋体"/>
                <w:color w:val="auto"/>
                <w:szCs w:val="21"/>
                <w:highlight w:val="none"/>
              </w:rPr>
            </w:pPr>
          </w:p>
        </w:tc>
        <w:tc>
          <w:tcPr>
            <w:tcW w:w="1575" w:type="dxa"/>
            <w:tcBorders>
              <w:top w:val="single" w:color="auto" w:sz="4" w:space="0"/>
              <w:left w:val="single" w:color="auto" w:sz="4" w:space="0"/>
              <w:bottom w:val="single" w:color="auto" w:sz="4" w:space="0"/>
              <w:right w:val="single" w:color="auto" w:sz="4" w:space="0"/>
            </w:tcBorders>
            <w:vAlign w:val="center"/>
          </w:tcPr>
          <w:p w14:paraId="1E104363">
            <w:pPr>
              <w:spacing w:line="400" w:lineRule="exact"/>
              <w:jc w:val="center"/>
              <w:rPr>
                <w:rFonts w:ascii="宋体" w:hAnsi="宋体" w:cs="宋体"/>
                <w:color w:val="auto"/>
                <w:szCs w:val="21"/>
                <w:highlight w:val="none"/>
              </w:rPr>
            </w:pPr>
          </w:p>
        </w:tc>
        <w:tc>
          <w:tcPr>
            <w:tcW w:w="2800" w:type="dxa"/>
            <w:tcBorders>
              <w:top w:val="single" w:color="auto" w:sz="4" w:space="0"/>
              <w:left w:val="single" w:color="auto" w:sz="4" w:space="0"/>
              <w:bottom w:val="single" w:color="auto" w:sz="4" w:space="0"/>
              <w:right w:val="single" w:color="auto" w:sz="4" w:space="0"/>
            </w:tcBorders>
            <w:vAlign w:val="center"/>
          </w:tcPr>
          <w:p w14:paraId="765209D1">
            <w:pPr>
              <w:spacing w:line="400" w:lineRule="exact"/>
              <w:jc w:val="center"/>
              <w:rPr>
                <w:rFonts w:ascii="宋体" w:hAnsi="宋体" w:cs="宋体"/>
                <w:color w:val="auto"/>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14:paraId="0447239C">
            <w:pPr>
              <w:spacing w:line="400" w:lineRule="exact"/>
              <w:jc w:val="center"/>
              <w:rPr>
                <w:rFonts w:ascii="宋体" w:hAnsi="宋体" w:cs="宋体"/>
                <w:color w:val="auto"/>
                <w:szCs w:val="21"/>
                <w:highlight w:val="none"/>
              </w:rPr>
            </w:pPr>
          </w:p>
        </w:tc>
        <w:tc>
          <w:tcPr>
            <w:tcW w:w="1095" w:type="dxa"/>
            <w:tcBorders>
              <w:top w:val="single" w:color="auto" w:sz="4" w:space="0"/>
              <w:left w:val="single" w:color="auto" w:sz="4" w:space="0"/>
              <w:bottom w:val="single" w:color="auto" w:sz="4" w:space="0"/>
              <w:right w:val="single" w:color="auto" w:sz="4" w:space="0"/>
            </w:tcBorders>
            <w:vAlign w:val="center"/>
          </w:tcPr>
          <w:p w14:paraId="574017C8">
            <w:pPr>
              <w:spacing w:line="400" w:lineRule="exact"/>
              <w:jc w:val="center"/>
              <w:rPr>
                <w:rFonts w:ascii="宋体" w:hAnsi="宋体" w:cs="宋体"/>
                <w:color w:val="auto"/>
                <w:szCs w:val="21"/>
                <w:highlight w:val="none"/>
              </w:rPr>
            </w:pPr>
          </w:p>
        </w:tc>
      </w:tr>
      <w:tr w14:paraId="55B99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76" w:type="dxa"/>
            <w:tcBorders>
              <w:top w:val="single" w:color="auto" w:sz="4" w:space="0"/>
              <w:left w:val="single" w:color="auto" w:sz="4" w:space="0"/>
              <w:bottom w:val="single" w:color="auto" w:sz="4" w:space="0"/>
              <w:right w:val="single" w:color="auto" w:sz="4" w:space="0"/>
            </w:tcBorders>
            <w:vAlign w:val="center"/>
          </w:tcPr>
          <w:p w14:paraId="075709F7">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1342" w:type="dxa"/>
            <w:tcBorders>
              <w:top w:val="single" w:color="auto" w:sz="4" w:space="0"/>
              <w:left w:val="single" w:color="auto" w:sz="4" w:space="0"/>
              <w:bottom w:val="single" w:color="auto" w:sz="4" w:space="0"/>
              <w:right w:val="single" w:color="auto" w:sz="4" w:space="0"/>
            </w:tcBorders>
            <w:vAlign w:val="center"/>
          </w:tcPr>
          <w:p w14:paraId="25C5892E">
            <w:pPr>
              <w:spacing w:line="400" w:lineRule="exact"/>
              <w:jc w:val="center"/>
              <w:rPr>
                <w:rFonts w:ascii="宋体" w:hAnsi="宋体" w:cs="宋体"/>
                <w:color w:val="auto"/>
                <w:szCs w:val="21"/>
                <w:highlight w:val="none"/>
              </w:rPr>
            </w:pPr>
          </w:p>
        </w:tc>
        <w:tc>
          <w:tcPr>
            <w:tcW w:w="1575" w:type="dxa"/>
            <w:tcBorders>
              <w:top w:val="single" w:color="auto" w:sz="4" w:space="0"/>
              <w:left w:val="single" w:color="auto" w:sz="4" w:space="0"/>
              <w:bottom w:val="single" w:color="auto" w:sz="4" w:space="0"/>
              <w:right w:val="single" w:color="auto" w:sz="4" w:space="0"/>
            </w:tcBorders>
            <w:vAlign w:val="center"/>
          </w:tcPr>
          <w:p w14:paraId="57DCAF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800" w:type="dxa"/>
            <w:tcBorders>
              <w:top w:val="single" w:color="auto" w:sz="4" w:space="0"/>
              <w:left w:val="single" w:color="auto" w:sz="4" w:space="0"/>
              <w:bottom w:val="single" w:color="auto" w:sz="4" w:space="0"/>
              <w:right w:val="single" w:color="auto" w:sz="4" w:space="0"/>
            </w:tcBorders>
            <w:vAlign w:val="center"/>
          </w:tcPr>
          <w:p w14:paraId="58FB21C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2533" w:type="dxa"/>
            <w:tcBorders>
              <w:top w:val="single" w:color="auto" w:sz="4" w:space="0"/>
              <w:left w:val="single" w:color="auto" w:sz="4" w:space="0"/>
              <w:bottom w:val="single" w:color="auto" w:sz="4" w:space="0"/>
              <w:right w:val="single" w:color="auto" w:sz="4" w:space="0"/>
            </w:tcBorders>
            <w:vAlign w:val="center"/>
          </w:tcPr>
          <w:p w14:paraId="7A3B2EF1">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w:t>
            </w:r>
          </w:p>
        </w:tc>
        <w:tc>
          <w:tcPr>
            <w:tcW w:w="1095" w:type="dxa"/>
            <w:tcBorders>
              <w:top w:val="single" w:color="auto" w:sz="4" w:space="0"/>
              <w:left w:val="single" w:color="auto" w:sz="4" w:space="0"/>
              <w:bottom w:val="single" w:color="auto" w:sz="4" w:space="0"/>
              <w:right w:val="single" w:color="auto" w:sz="4" w:space="0"/>
            </w:tcBorders>
            <w:vAlign w:val="center"/>
          </w:tcPr>
          <w:p w14:paraId="241BCB0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w:t>
            </w:r>
          </w:p>
        </w:tc>
      </w:tr>
    </w:tbl>
    <w:p w14:paraId="11769CCA">
      <w:pPr>
        <w:spacing w:before="149"/>
        <w:ind w:right="32"/>
        <w:jc w:val="center"/>
        <w:rPr>
          <w:rFonts w:ascii="宋体" w:hAnsi="宋体" w:cs="宋体"/>
          <w:color w:val="auto"/>
          <w:szCs w:val="21"/>
          <w:highlight w:val="none"/>
        </w:rPr>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pPr>
      <w:r>
        <w:rPr>
          <w:rFonts w:hint="eastAsia" w:ascii="宋体" w:hAnsi="宋体" w:cs="宋体"/>
          <w:color w:val="auto"/>
          <w:szCs w:val="21"/>
          <w:highlight w:val="none"/>
        </w:rPr>
        <w:t xml:space="preserve"> </w:t>
      </w:r>
      <w:bookmarkEnd w:id="892"/>
      <w:bookmarkStart w:id="895" w:name="_Toc8299"/>
    </w:p>
    <w:bookmarkEnd w:id="895"/>
    <w:p w14:paraId="47AE5339">
      <w:pPr>
        <w:spacing w:line="800" w:lineRule="exact"/>
        <w:jc w:val="center"/>
        <w:outlineLvl w:val="3"/>
        <w:rPr>
          <w:rFonts w:ascii="宋体" w:hAnsi="宋体"/>
          <w:b/>
          <w:color w:val="auto"/>
          <w:kern w:val="0"/>
          <w:sz w:val="32"/>
          <w:szCs w:val="32"/>
          <w:highlight w:val="none"/>
        </w:rPr>
      </w:pPr>
      <w:bookmarkStart w:id="896" w:name="_Toc30447"/>
      <w:r>
        <w:rPr>
          <w:rFonts w:hint="eastAsia" w:ascii="宋体" w:hAnsi="宋体" w:cs="宋体"/>
          <w:b/>
          <w:bCs/>
          <w:color w:val="auto"/>
          <w:kern w:val="0"/>
          <w:sz w:val="28"/>
          <w:szCs w:val="32"/>
          <w:highlight w:val="none"/>
        </w:rPr>
        <w:t>五、</w:t>
      </w:r>
      <w:r>
        <w:rPr>
          <w:rFonts w:hint="eastAsia" w:ascii="宋体" w:hAnsi="宋体" w:cs="宋体"/>
          <w:b/>
          <w:bCs/>
          <w:color w:val="auto"/>
          <w:kern w:val="0"/>
          <w:sz w:val="28"/>
          <w:szCs w:val="20"/>
          <w:highlight w:val="none"/>
        </w:rPr>
        <w:t>商务部分</w:t>
      </w:r>
    </w:p>
    <w:p w14:paraId="65AE5B2B">
      <w:pPr>
        <w:pStyle w:val="17"/>
        <w:spacing w:line="460" w:lineRule="exact"/>
        <w:ind w:firstLine="422" w:firstLineChars="200"/>
        <w:jc w:val="left"/>
        <w:rPr>
          <w:rFonts w:ascii="宋体" w:hAnsi="宋体" w:cs="宋体"/>
          <w:b/>
          <w:color w:val="auto"/>
          <w:sz w:val="21"/>
          <w:szCs w:val="21"/>
          <w:highlight w:val="none"/>
          <w:lang w:bidi="ar"/>
        </w:rPr>
      </w:pPr>
      <w:r>
        <w:rPr>
          <w:rFonts w:hint="eastAsia" w:ascii="宋体" w:hAnsi="宋体" w:cs="宋体"/>
          <w:b/>
          <w:color w:val="auto"/>
          <w:sz w:val="21"/>
          <w:szCs w:val="21"/>
          <w:highlight w:val="none"/>
          <w:lang w:bidi="ar"/>
        </w:rPr>
        <w:t>[提示：商务部分评分标准所涉及的内容及相关佐证资料由报价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2C33002E">
      <w:pPr>
        <w:rPr>
          <w:color w:val="auto"/>
          <w:highlight w:val="none"/>
        </w:rPr>
      </w:pPr>
    </w:p>
    <w:tbl>
      <w:tblPr>
        <w:tblStyle w:val="44"/>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610"/>
        <w:gridCol w:w="2390"/>
        <w:gridCol w:w="2490"/>
        <w:gridCol w:w="1682"/>
      </w:tblGrid>
      <w:tr w14:paraId="61A9B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78" w:type="dxa"/>
            <w:vAlign w:val="center"/>
          </w:tcPr>
          <w:p w14:paraId="39718BFC">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序号</w:t>
            </w:r>
          </w:p>
        </w:tc>
        <w:tc>
          <w:tcPr>
            <w:tcW w:w="1610" w:type="dxa"/>
            <w:vAlign w:val="center"/>
          </w:tcPr>
          <w:p w14:paraId="2F94D44C">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bCs/>
                <w:color w:val="auto"/>
                <w:sz w:val="18"/>
                <w:szCs w:val="18"/>
                <w:highlight w:val="none"/>
              </w:rPr>
              <w:t>对应评分标准</w:t>
            </w:r>
          </w:p>
        </w:tc>
        <w:tc>
          <w:tcPr>
            <w:tcW w:w="2390" w:type="dxa"/>
            <w:vAlign w:val="center"/>
          </w:tcPr>
          <w:p w14:paraId="594C391E">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证明材料</w:t>
            </w:r>
          </w:p>
        </w:tc>
        <w:tc>
          <w:tcPr>
            <w:tcW w:w="2490" w:type="dxa"/>
            <w:vAlign w:val="center"/>
          </w:tcPr>
          <w:p w14:paraId="41263D5A">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对应页码</w:t>
            </w:r>
          </w:p>
        </w:tc>
        <w:tc>
          <w:tcPr>
            <w:tcW w:w="1682" w:type="dxa"/>
            <w:vAlign w:val="center"/>
          </w:tcPr>
          <w:p w14:paraId="7D2D0E7C">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备注</w:t>
            </w:r>
          </w:p>
        </w:tc>
      </w:tr>
      <w:tr w14:paraId="437A9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678" w:type="dxa"/>
            <w:vAlign w:val="center"/>
          </w:tcPr>
          <w:p w14:paraId="0B532D3A">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例</w:t>
            </w:r>
          </w:p>
        </w:tc>
        <w:tc>
          <w:tcPr>
            <w:tcW w:w="1610" w:type="dxa"/>
            <w:vAlign w:val="center"/>
          </w:tcPr>
          <w:p w14:paraId="237B0E5B">
            <w:pPr>
              <w:spacing w:line="360" w:lineRule="auto"/>
              <w:jc w:val="center"/>
              <w:rPr>
                <w:rFonts w:ascii="宋体" w:hAnsi="宋体" w:cs="宋体"/>
                <w:b/>
                <w:color w:val="auto"/>
                <w:sz w:val="18"/>
                <w:szCs w:val="18"/>
                <w:highlight w:val="none"/>
              </w:rPr>
            </w:pPr>
          </w:p>
        </w:tc>
        <w:tc>
          <w:tcPr>
            <w:tcW w:w="2390" w:type="dxa"/>
            <w:vAlign w:val="center"/>
          </w:tcPr>
          <w:p w14:paraId="1EE844A1">
            <w:pPr>
              <w:spacing w:line="360" w:lineRule="auto"/>
              <w:jc w:val="center"/>
              <w:rPr>
                <w:rFonts w:ascii="宋体" w:hAnsi="宋体" w:cs="宋体"/>
                <w:b/>
                <w:color w:val="auto"/>
                <w:sz w:val="18"/>
                <w:szCs w:val="18"/>
                <w:highlight w:val="none"/>
              </w:rPr>
            </w:pPr>
          </w:p>
        </w:tc>
        <w:tc>
          <w:tcPr>
            <w:tcW w:w="2490" w:type="dxa"/>
            <w:vAlign w:val="center"/>
          </w:tcPr>
          <w:p w14:paraId="5AEA0885">
            <w:pPr>
              <w:spacing w:line="360" w:lineRule="auto"/>
              <w:jc w:val="center"/>
              <w:rPr>
                <w:rFonts w:ascii="宋体" w:hAnsi="宋体" w:cs="宋体"/>
                <w:b/>
                <w:color w:val="auto"/>
                <w:sz w:val="18"/>
                <w:szCs w:val="18"/>
                <w:highlight w:val="none"/>
              </w:rPr>
            </w:pPr>
          </w:p>
        </w:tc>
        <w:tc>
          <w:tcPr>
            <w:tcW w:w="1682" w:type="dxa"/>
            <w:vAlign w:val="center"/>
          </w:tcPr>
          <w:p w14:paraId="6E991C71">
            <w:pPr>
              <w:spacing w:line="360" w:lineRule="auto"/>
              <w:jc w:val="center"/>
              <w:rPr>
                <w:rFonts w:ascii="宋体" w:hAnsi="宋体" w:cs="宋体"/>
                <w:b/>
                <w:color w:val="auto"/>
                <w:sz w:val="18"/>
                <w:szCs w:val="18"/>
                <w:highlight w:val="none"/>
              </w:rPr>
            </w:pPr>
          </w:p>
        </w:tc>
      </w:tr>
      <w:tr w14:paraId="7B4CA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78" w:type="dxa"/>
            <w:vAlign w:val="center"/>
          </w:tcPr>
          <w:p w14:paraId="71DCDBF0">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1610" w:type="dxa"/>
            <w:shd w:val="clear" w:color="auto" w:fill="auto"/>
            <w:vAlign w:val="center"/>
          </w:tcPr>
          <w:p w14:paraId="23EF5E64">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项目团队</w:t>
            </w:r>
          </w:p>
        </w:tc>
        <w:tc>
          <w:tcPr>
            <w:tcW w:w="2390" w:type="dxa"/>
            <w:vAlign w:val="center"/>
          </w:tcPr>
          <w:p w14:paraId="7A6DC41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490" w:type="dxa"/>
            <w:shd w:val="clear" w:color="auto" w:fill="auto"/>
            <w:vAlign w:val="center"/>
          </w:tcPr>
          <w:p w14:paraId="401DCF7C">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**页-**页</w:t>
            </w:r>
          </w:p>
        </w:tc>
        <w:tc>
          <w:tcPr>
            <w:tcW w:w="1682" w:type="dxa"/>
            <w:shd w:val="clear" w:color="auto" w:fill="auto"/>
            <w:vAlign w:val="center"/>
          </w:tcPr>
          <w:p w14:paraId="50A1C06E">
            <w:pPr>
              <w:snapToGrid w:val="0"/>
              <w:spacing w:line="400" w:lineRule="exact"/>
              <w:jc w:val="center"/>
              <w:rPr>
                <w:rFonts w:ascii="宋体" w:hAnsi="宋体" w:cs="宋体"/>
                <w:color w:val="auto"/>
                <w:sz w:val="18"/>
                <w:szCs w:val="18"/>
                <w:highlight w:val="none"/>
              </w:rPr>
            </w:pPr>
          </w:p>
        </w:tc>
      </w:tr>
      <w:tr w14:paraId="19827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4E73D436">
            <w:pPr>
              <w:snapToGrid w:val="0"/>
              <w:spacing w:line="400" w:lineRule="exact"/>
              <w:jc w:val="center"/>
              <w:rPr>
                <w:rFonts w:ascii="宋体" w:hAnsi="宋体" w:cs="宋体"/>
                <w:color w:val="auto"/>
                <w:sz w:val="18"/>
                <w:szCs w:val="18"/>
                <w:highlight w:val="none"/>
              </w:rPr>
            </w:pPr>
          </w:p>
        </w:tc>
        <w:tc>
          <w:tcPr>
            <w:tcW w:w="1610" w:type="dxa"/>
            <w:vAlign w:val="center"/>
          </w:tcPr>
          <w:p w14:paraId="3A8A8B3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26999C1F">
            <w:pPr>
              <w:snapToGrid w:val="0"/>
              <w:spacing w:line="400" w:lineRule="exact"/>
              <w:jc w:val="center"/>
              <w:rPr>
                <w:rFonts w:ascii="宋体" w:hAnsi="宋体" w:cs="宋体"/>
                <w:color w:val="auto"/>
                <w:sz w:val="18"/>
                <w:szCs w:val="18"/>
                <w:highlight w:val="none"/>
              </w:rPr>
            </w:pPr>
          </w:p>
        </w:tc>
        <w:tc>
          <w:tcPr>
            <w:tcW w:w="2490" w:type="dxa"/>
            <w:vAlign w:val="center"/>
          </w:tcPr>
          <w:p w14:paraId="7895F878">
            <w:pPr>
              <w:snapToGrid w:val="0"/>
              <w:spacing w:line="400" w:lineRule="exact"/>
              <w:jc w:val="center"/>
              <w:rPr>
                <w:rFonts w:ascii="宋体" w:hAnsi="宋体" w:cs="宋体"/>
                <w:color w:val="auto"/>
                <w:sz w:val="18"/>
                <w:szCs w:val="18"/>
                <w:highlight w:val="none"/>
              </w:rPr>
            </w:pPr>
          </w:p>
        </w:tc>
        <w:tc>
          <w:tcPr>
            <w:tcW w:w="1682" w:type="dxa"/>
            <w:vAlign w:val="center"/>
          </w:tcPr>
          <w:p w14:paraId="00D74791">
            <w:pPr>
              <w:snapToGrid w:val="0"/>
              <w:spacing w:line="400" w:lineRule="exact"/>
              <w:jc w:val="center"/>
              <w:rPr>
                <w:rFonts w:ascii="宋体" w:hAnsi="宋体" w:cs="宋体"/>
                <w:color w:val="auto"/>
                <w:sz w:val="18"/>
                <w:szCs w:val="18"/>
                <w:highlight w:val="none"/>
              </w:rPr>
            </w:pPr>
          </w:p>
        </w:tc>
      </w:tr>
      <w:tr w14:paraId="3042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346E9BDB">
            <w:pPr>
              <w:snapToGrid w:val="0"/>
              <w:spacing w:line="400" w:lineRule="exact"/>
              <w:jc w:val="center"/>
              <w:rPr>
                <w:rFonts w:ascii="宋体" w:hAnsi="宋体" w:cs="宋体"/>
                <w:color w:val="auto"/>
                <w:sz w:val="18"/>
                <w:szCs w:val="18"/>
                <w:highlight w:val="none"/>
              </w:rPr>
            </w:pPr>
          </w:p>
        </w:tc>
        <w:tc>
          <w:tcPr>
            <w:tcW w:w="1610" w:type="dxa"/>
            <w:vAlign w:val="center"/>
          </w:tcPr>
          <w:p w14:paraId="009ACEB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2616AC36">
            <w:pPr>
              <w:snapToGrid w:val="0"/>
              <w:spacing w:line="400" w:lineRule="exact"/>
              <w:jc w:val="center"/>
              <w:rPr>
                <w:rFonts w:ascii="宋体" w:hAnsi="宋体" w:cs="宋体"/>
                <w:color w:val="auto"/>
                <w:sz w:val="18"/>
                <w:szCs w:val="18"/>
                <w:highlight w:val="none"/>
              </w:rPr>
            </w:pPr>
          </w:p>
        </w:tc>
        <w:tc>
          <w:tcPr>
            <w:tcW w:w="2490" w:type="dxa"/>
            <w:vAlign w:val="center"/>
          </w:tcPr>
          <w:p w14:paraId="7A5DA033">
            <w:pPr>
              <w:snapToGrid w:val="0"/>
              <w:spacing w:line="400" w:lineRule="exact"/>
              <w:jc w:val="center"/>
              <w:rPr>
                <w:rFonts w:ascii="宋体" w:hAnsi="宋体" w:cs="宋体"/>
                <w:color w:val="auto"/>
                <w:sz w:val="18"/>
                <w:szCs w:val="18"/>
                <w:highlight w:val="none"/>
              </w:rPr>
            </w:pPr>
          </w:p>
        </w:tc>
        <w:tc>
          <w:tcPr>
            <w:tcW w:w="1682" w:type="dxa"/>
            <w:vAlign w:val="center"/>
          </w:tcPr>
          <w:p w14:paraId="308D1407">
            <w:pPr>
              <w:snapToGrid w:val="0"/>
              <w:spacing w:line="400" w:lineRule="exact"/>
              <w:jc w:val="center"/>
              <w:rPr>
                <w:rFonts w:ascii="宋体" w:hAnsi="宋体" w:cs="宋体"/>
                <w:color w:val="auto"/>
                <w:sz w:val="18"/>
                <w:szCs w:val="18"/>
                <w:highlight w:val="none"/>
              </w:rPr>
            </w:pPr>
          </w:p>
        </w:tc>
      </w:tr>
      <w:tr w14:paraId="298AC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3B6297A1">
            <w:pPr>
              <w:snapToGrid w:val="0"/>
              <w:spacing w:line="400" w:lineRule="exact"/>
              <w:jc w:val="center"/>
              <w:rPr>
                <w:rFonts w:ascii="宋体" w:hAnsi="宋体" w:cs="宋体"/>
                <w:color w:val="auto"/>
                <w:sz w:val="18"/>
                <w:szCs w:val="18"/>
                <w:highlight w:val="none"/>
              </w:rPr>
            </w:pPr>
          </w:p>
        </w:tc>
        <w:tc>
          <w:tcPr>
            <w:tcW w:w="1610" w:type="dxa"/>
            <w:vAlign w:val="center"/>
          </w:tcPr>
          <w:p w14:paraId="264F2D37">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0F273695">
            <w:pPr>
              <w:snapToGrid w:val="0"/>
              <w:spacing w:line="400" w:lineRule="exact"/>
              <w:jc w:val="center"/>
              <w:rPr>
                <w:rFonts w:ascii="宋体" w:hAnsi="宋体" w:cs="宋体"/>
                <w:color w:val="auto"/>
                <w:sz w:val="18"/>
                <w:szCs w:val="18"/>
                <w:highlight w:val="none"/>
              </w:rPr>
            </w:pPr>
          </w:p>
        </w:tc>
        <w:tc>
          <w:tcPr>
            <w:tcW w:w="2490" w:type="dxa"/>
            <w:vAlign w:val="center"/>
          </w:tcPr>
          <w:p w14:paraId="4A103A9C">
            <w:pPr>
              <w:snapToGrid w:val="0"/>
              <w:spacing w:line="400" w:lineRule="exact"/>
              <w:jc w:val="center"/>
              <w:rPr>
                <w:rFonts w:ascii="宋体" w:hAnsi="宋体" w:cs="宋体"/>
                <w:color w:val="auto"/>
                <w:sz w:val="18"/>
                <w:szCs w:val="18"/>
                <w:highlight w:val="none"/>
              </w:rPr>
            </w:pPr>
          </w:p>
        </w:tc>
        <w:tc>
          <w:tcPr>
            <w:tcW w:w="1682" w:type="dxa"/>
            <w:vAlign w:val="center"/>
          </w:tcPr>
          <w:p w14:paraId="2C820C3C">
            <w:pPr>
              <w:snapToGrid w:val="0"/>
              <w:spacing w:line="400" w:lineRule="exact"/>
              <w:jc w:val="center"/>
              <w:rPr>
                <w:rFonts w:ascii="宋体" w:hAnsi="宋体" w:cs="宋体"/>
                <w:color w:val="auto"/>
                <w:sz w:val="18"/>
                <w:szCs w:val="18"/>
                <w:highlight w:val="none"/>
              </w:rPr>
            </w:pPr>
          </w:p>
        </w:tc>
      </w:tr>
      <w:tr w14:paraId="287A4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678" w:type="dxa"/>
            <w:vAlign w:val="center"/>
          </w:tcPr>
          <w:p w14:paraId="390AAA6A">
            <w:pPr>
              <w:snapToGrid w:val="0"/>
              <w:spacing w:line="400" w:lineRule="exact"/>
              <w:jc w:val="center"/>
              <w:rPr>
                <w:rFonts w:ascii="宋体" w:hAnsi="宋体" w:cs="宋体"/>
                <w:color w:val="auto"/>
                <w:sz w:val="18"/>
                <w:szCs w:val="18"/>
                <w:highlight w:val="none"/>
              </w:rPr>
            </w:pPr>
          </w:p>
        </w:tc>
        <w:tc>
          <w:tcPr>
            <w:tcW w:w="1610" w:type="dxa"/>
            <w:vAlign w:val="center"/>
          </w:tcPr>
          <w:p w14:paraId="5E29D991">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2390" w:type="dxa"/>
            <w:vAlign w:val="center"/>
          </w:tcPr>
          <w:p w14:paraId="61AED159">
            <w:pPr>
              <w:snapToGrid w:val="0"/>
              <w:spacing w:line="400" w:lineRule="exact"/>
              <w:jc w:val="center"/>
              <w:rPr>
                <w:rFonts w:ascii="宋体" w:hAnsi="宋体" w:cs="宋体"/>
                <w:color w:val="auto"/>
                <w:sz w:val="18"/>
                <w:szCs w:val="18"/>
                <w:highlight w:val="none"/>
              </w:rPr>
            </w:pPr>
          </w:p>
        </w:tc>
        <w:tc>
          <w:tcPr>
            <w:tcW w:w="2490" w:type="dxa"/>
            <w:vAlign w:val="center"/>
          </w:tcPr>
          <w:p w14:paraId="7CB2D548">
            <w:pPr>
              <w:snapToGrid w:val="0"/>
              <w:spacing w:line="400" w:lineRule="exact"/>
              <w:jc w:val="center"/>
              <w:rPr>
                <w:rFonts w:ascii="宋体" w:hAnsi="宋体" w:cs="宋体"/>
                <w:color w:val="auto"/>
                <w:sz w:val="18"/>
                <w:szCs w:val="18"/>
                <w:highlight w:val="none"/>
              </w:rPr>
            </w:pPr>
          </w:p>
        </w:tc>
        <w:tc>
          <w:tcPr>
            <w:tcW w:w="1682" w:type="dxa"/>
            <w:vAlign w:val="center"/>
          </w:tcPr>
          <w:p w14:paraId="7CB3310E">
            <w:pPr>
              <w:snapToGrid w:val="0"/>
              <w:spacing w:line="400" w:lineRule="exact"/>
              <w:jc w:val="center"/>
              <w:rPr>
                <w:rFonts w:ascii="宋体" w:hAnsi="宋体" w:cs="宋体"/>
                <w:color w:val="auto"/>
                <w:sz w:val="18"/>
                <w:szCs w:val="18"/>
                <w:highlight w:val="none"/>
              </w:rPr>
            </w:pPr>
          </w:p>
        </w:tc>
      </w:tr>
    </w:tbl>
    <w:p w14:paraId="633930D0">
      <w:pPr>
        <w:spacing w:line="480" w:lineRule="exact"/>
        <w:jc w:val="left"/>
        <w:rPr>
          <w:rFonts w:ascii="宋体" w:hAnsi="宋体"/>
          <w:b/>
          <w:bCs/>
          <w:color w:val="auto"/>
          <w:szCs w:val="21"/>
          <w:highlight w:val="none"/>
        </w:rPr>
      </w:pPr>
    </w:p>
    <w:p w14:paraId="68EF5B3F">
      <w:pPr>
        <w:spacing w:line="480" w:lineRule="exact"/>
        <w:jc w:val="left"/>
        <w:rPr>
          <w:rFonts w:ascii="宋体" w:hAnsi="宋体"/>
          <w:b/>
          <w:bCs/>
          <w:color w:val="auto"/>
          <w:szCs w:val="21"/>
          <w:highlight w:val="none"/>
        </w:rPr>
      </w:pPr>
    </w:p>
    <w:p w14:paraId="7269B7BA">
      <w:pPr>
        <w:spacing w:line="480" w:lineRule="exact"/>
        <w:jc w:val="left"/>
        <w:rPr>
          <w:rFonts w:ascii="宋体" w:hAnsi="宋体"/>
          <w:b/>
          <w:bCs/>
          <w:color w:val="auto"/>
          <w:szCs w:val="21"/>
          <w:highlight w:val="none"/>
        </w:rPr>
      </w:pPr>
    </w:p>
    <w:p w14:paraId="0D3797B6">
      <w:pPr>
        <w:spacing w:line="480" w:lineRule="exact"/>
        <w:jc w:val="left"/>
        <w:rPr>
          <w:rFonts w:ascii="宋体" w:hAnsi="宋体"/>
          <w:b/>
          <w:bCs/>
          <w:color w:val="auto"/>
          <w:szCs w:val="21"/>
          <w:highlight w:val="none"/>
        </w:rPr>
      </w:pPr>
    </w:p>
    <w:p w14:paraId="278E31CE">
      <w:pPr>
        <w:spacing w:line="480" w:lineRule="exact"/>
        <w:jc w:val="left"/>
        <w:rPr>
          <w:rFonts w:ascii="宋体" w:hAnsi="宋体"/>
          <w:b/>
          <w:bCs/>
          <w:color w:val="auto"/>
          <w:szCs w:val="21"/>
          <w:highlight w:val="none"/>
        </w:rPr>
      </w:pPr>
    </w:p>
    <w:p w14:paraId="3CD82CFF">
      <w:pPr>
        <w:spacing w:line="480" w:lineRule="exact"/>
        <w:jc w:val="left"/>
        <w:rPr>
          <w:rFonts w:ascii="宋体" w:hAnsi="宋体"/>
          <w:b/>
          <w:bCs/>
          <w:color w:val="auto"/>
          <w:szCs w:val="21"/>
          <w:highlight w:val="none"/>
        </w:rPr>
      </w:pPr>
    </w:p>
    <w:p w14:paraId="539D2780">
      <w:pPr>
        <w:spacing w:line="480" w:lineRule="exact"/>
        <w:jc w:val="left"/>
        <w:rPr>
          <w:rFonts w:ascii="宋体" w:hAnsi="宋体"/>
          <w:b/>
          <w:bCs/>
          <w:color w:val="auto"/>
          <w:szCs w:val="21"/>
          <w:highlight w:val="none"/>
        </w:rPr>
      </w:pPr>
    </w:p>
    <w:p w14:paraId="09349B89">
      <w:pPr>
        <w:spacing w:line="480" w:lineRule="exact"/>
        <w:jc w:val="left"/>
        <w:rPr>
          <w:rFonts w:ascii="宋体" w:hAnsi="宋体"/>
          <w:b/>
          <w:bCs/>
          <w:color w:val="auto"/>
          <w:szCs w:val="21"/>
          <w:highlight w:val="none"/>
        </w:rPr>
      </w:pPr>
    </w:p>
    <w:p w14:paraId="5B9E58E8">
      <w:pPr>
        <w:spacing w:line="480" w:lineRule="exact"/>
        <w:jc w:val="left"/>
        <w:rPr>
          <w:rFonts w:ascii="宋体" w:hAnsi="宋体"/>
          <w:b/>
          <w:bCs/>
          <w:color w:val="auto"/>
          <w:szCs w:val="21"/>
          <w:highlight w:val="none"/>
        </w:rPr>
      </w:pPr>
    </w:p>
    <w:p w14:paraId="449041E8">
      <w:pPr>
        <w:spacing w:line="480" w:lineRule="exact"/>
        <w:jc w:val="left"/>
        <w:rPr>
          <w:rFonts w:ascii="宋体" w:hAnsi="宋体"/>
          <w:b/>
          <w:bCs/>
          <w:color w:val="auto"/>
          <w:szCs w:val="21"/>
          <w:highlight w:val="none"/>
        </w:rPr>
      </w:pPr>
    </w:p>
    <w:p w14:paraId="4C7AA1BE">
      <w:pPr>
        <w:spacing w:line="480" w:lineRule="exact"/>
        <w:jc w:val="left"/>
        <w:rPr>
          <w:rFonts w:ascii="宋体" w:hAnsi="宋体"/>
          <w:b/>
          <w:bCs/>
          <w:color w:val="auto"/>
          <w:szCs w:val="21"/>
          <w:highlight w:val="none"/>
        </w:rPr>
      </w:pPr>
    </w:p>
    <w:p w14:paraId="3E7C9705">
      <w:pPr>
        <w:spacing w:line="480" w:lineRule="exact"/>
        <w:jc w:val="left"/>
        <w:rPr>
          <w:rFonts w:ascii="宋体" w:hAnsi="宋体"/>
          <w:b/>
          <w:bCs/>
          <w:color w:val="auto"/>
          <w:szCs w:val="21"/>
          <w:highlight w:val="none"/>
        </w:rPr>
      </w:pPr>
    </w:p>
    <w:p w14:paraId="5E783CEA">
      <w:pPr>
        <w:spacing w:line="480" w:lineRule="exact"/>
        <w:jc w:val="left"/>
        <w:rPr>
          <w:rFonts w:ascii="宋体" w:hAnsi="宋体"/>
          <w:b/>
          <w:bCs/>
          <w:color w:val="auto"/>
          <w:szCs w:val="21"/>
          <w:highlight w:val="none"/>
        </w:rPr>
      </w:pPr>
    </w:p>
    <w:p w14:paraId="76612C65">
      <w:pPr>
        <w:pStyle w:val="4"/>
        <w:spacing w:before="0" w:after="0" w:line="360" w:lineRule="auto"/>
        <w:ind w:firstLine="420"/>
        <w:jc w:val="center"/>
        <w:rPr>
          <w:rFonts w:ascii="宋体" w:hAnsi="宋体" w:eastAsia="宋体" w:cs="宋体"/>
          <w:color w:val="auto"/>
          <w:sz w:val="28"/>
          <w:highlight w:val="none"/>
        </w:rPr>
      </w:pPr>
      <w:bookmarkStart w:id="897" w:name="_Toc773"/>
      <w:bookmarkStart w:id="898" w:name="_Toc597"/>
      <w:r>
        <w:rPr>
          <w:rFonts w:hint="eastAsia" w:ascii="宋体" w:hAnsi="宋体" w:eastAsia="宋体" w:cs="宋体"/>
          <w:color w:val="auto"/>
          <w:sz w:val="28"/>
          <w:highlight w:val="none"/>
        </w:rPr>
        <w:t>六、技术</w:t>
      </w:r>
      <w:bookmarkEnd w:id="897"/>
      <w:r>
        <w:rPr>
          <w:rFonts w:hint="eastAsia" w:ascii="宋体" w:hAnsi="宋体" w:eastAsia="宋体" w:cs="宋体"/>
          <w:color w:val="auto"/>
          <w:sz w:val="28"/>
          <w:highlight w:val="none"/>
        </w:rPr>
        <w:t>部份</w:t>
      </w:r>
      <w:bookmarkEnd w:id="898"/>
    </w:p>
    <w:p w14:paraId="0414EB16">
      <w:pPr>
        <w:wordWrap w:val="0"/>
        <w:adjustRightInd w:val="0"/>
        <w:snapToGrid w:val="0"/>
        <w:spacing w:line="460" w:lineRule="exact"/>
        <w:ind w:firstLine="422" w:firstLineChars="200"/>
        <w:jc w:val="left"/>
        <w:rPr>
          <w:rFonts w:ascii="宋体" w:hAnsi="宋体" w:cs="宋体"/>
          <w:b/>
          <w:color w:val="auto"/>
          <w:kern w:val="0"/>
          <w:szCs w:val="21"/>
          <w:highlight w:val="none"/>
          <w:lang w:bidi="ar"/>
        </w:rPr>
      </w:pPr>
      <w:r>
        <w:rPr>
          <w:rFonts w:hint="eastAsia" w:ascii="宋体" w:hAnsi="宋体" w:cs="宋体"/>
          <w:b/>
          <w:color w:val="auto"/>
          <w:kern w:val="0"/>
          <w:szCs w:val="21"/>
          <w:highlight w:val="none"/>
          <w:lang w:bidi="ar"/>
        </w:rPr>
        <w:t>[提示：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5003D87">
      <w:pPr>
        <w:rPr>
          <w:rFonts w:ascii="宋体" w:hAnsi="宋体" w:cs="宋体"/>
          <w:b/>
          <w:bCs/>
          <w:color w:val="auto"/>
          <w:kern w:val="0"/>
          <w:sz w:val="28"/>
          <w:szCs w:val="32"/>
          <w:highlight w:val="none"/>
        </w:rPr>
      </w:pPr>
    </w:p>
    <w:tbl>
      <w:tblPr>
        <w:tblStyle w:val="44"/>
        <w:tblW w:w="8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2"/>
        <w:gridCol w:w="1660"/>
        <w:gridCol w:w="3210"/>
        <w:gridCol w:w="1420"/>
        <w:gridCol w:w="1706"/>
      </w:tblGrid>
      <w:tr w14:paraId="2CFDB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62" w:type="dxa"/>
            <w:vAlign w:val="center"/>
          </w:tcPr>
          <w:p w14:paraId="3D35854B">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序号</w:t>
            </w:r>
          </w:p>
        </w:tc>
        <w:tc>
          <w:tcPr>
            <w:tcW w:w="1660" w:type="dxa"/>
            <w:vAlign w:val="center"/>
          </w:tcPr>
          <w:p w14:paraId="4DAE3F8B">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bCs/>
                <w:color w:val="auto"/>
                <w:sz w:val="18"/>
                <w:szCs w:val="18"/>
                <w:highlight w:val="none"/>
              </w:rPr>
              <w:t>对应评分标准</w:t>
            </w:r>
          </w:p>
        </w:tc>
        <w:tc>
          <w:tcPr>
            <w:tcW w:w="3210" w:type="dxa"/>
            <w:vAlign w:val="center"/>
          </w:tcPr>
          <w:p w14:paraId="3B460B09">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证明材料</w:t>
            </w:r>
          </w:p>
        </w:tc>
        <w:tc>
          <w:tcPr>
            <w:tcW w:w="1420" w:type="dxa"/>
            <w:vAlign w:val="center"/>
          </w:tcPr>
          <w:p w14:paraId="72AA9579">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对应页码</w:t>
            </w:r>
          </w:p>
        </w:tc>
        <w:tc>
          <w:tcPr>
            <w:tcW w:w="1706" w:type="dxa"/>
            <w:vAlign w:val="center"/>
          </w:tcPr>
          <w:p w14:paraId="40C5E953">
            <w:pPr>
              <w:pStyle w:val="175"/>
              <w:spacing w:line="360" w:lineRule="auto"/>
              <w:jc w:val="center"/>
              <w:rPr>
                <w:rFonts w:ascii="宋体" w:hAnsi="宋体" w:cs="宋体"/>
                <w:b w:val="0"/>
                <w:color w:val="auto"/>
                <w:kern w:val="0"/>
                <w:sz w:val="18"/>
                <w:szCs w:val="18"/>
                <w:highlight w:val="none"/>
              </w:rPr>
            </w:pPr>
            <w:r>
              <w:rPr>
                <w:rFonts w:hint="eastAsia" w:ascii="宋体" w:hAnsi="宋体" w:cs="宋体"/>
                <w:b w:val="0"/>
                <w:color w:val="auto"/>
                <w:kern w:val="0"/>
                <w:sz w:val="18"/>
                <w:szCs w:val="18"/>
                <w:highlight w:val="none"/>
              </w:rPr>
              <w:t>备注</w:t>
            </w:r>
          </w:p>
        </w:tc>
      </w:tr>
      <w:tr w14:paraId="1EF2F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62" w:type="dxa"/>
            <w:vAlign w:val="center"/>
          </w:tcPr>
          <w:p w14:paraId="4BD2260F">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例</w:t>
            </w:r>
          </w:p>
        </w:tc>
        <w:tc>
          <w:tcPr>
            <w:tcW w:w="1660" w:type="dxa"/>
            <w:vAlign w:val="center"/>
          </w:tcPr>
          <w:p w14:paraId="0FEB9EB0">
            <w:pPr>
              <w:spacing w:line="360" w:lineRule="auto"/>
              <w:jc w:val="center"/>
              <w:rPr>
                <w:rFonts w:ascii="宋体" w:hAnsi="宋体" w:cs="宋体"/>
                <w:b/>
                <w:color w:val="auto"/>
                <w:sz w:val="18"/>
                <w:szCs w:val="18"/>
                <w:highlight w:val="none"/>
              </w:rPr>
            </w:pPr>
          </w:p>
        </w:tc>
        <w:tc>
          <w:tcPr>
            <w:tcW w:w="3210" w:type="dxa"/>
            <w:vAlign w:val="center"/>
          </w:tcPr>
          <w:p w14:paraId="3D66BB65">
            <w:pPr>
              <w:spacing w:line="360" w:lineRule="auto"/>
              <w:jc w:val="center"/>
              <w:rPr>
                <w:rFonts w:ascii="宋体" w:hAnsi="宋体" w:cs="宋体"/>
                <w:b/>
                <w:color w:val="auto"/>
                <w:sz w:val="18"/>
                <w:szCs w:val="18"/>
                <w:highlight w:val="none"/>
              </w:rPr>
            </w:pPr>
          </w:p>
        </w:tc>
        <w:tc>
          <w:tcPr>
            <w:tcW w:w="1420" w:type="dxa"/>
            <w:vAlign w:val="center"/>
          </w:tcPr>
          <w:p w14:paraId="19D374FE">
            <w:pPr>
              <w:spacing w:line="360" w:lineRule="auto"/>
              <w:jc w:val="center"/>
              <w:rPr>
                <w:rFonts w:ascii="宋体" w:hAnsi="宋体" w:cs="宋体"/>
                <w:b/>
                <w:color w:val="auto"/>
                <w:sz w:val="18"/>
                <w:szCs w:val="18"/>
                <w:highlight w:val="none"/>
              </w:rPr>
            </w:pPr>
          </w:p>
        </w:tc>
        <w:tc>
          <w:tcPr>
            <w:tcW w:w="1706" w:type="dxa"/>
            <w:vAlign w:val="center"/>
          </w:tcPr>
          <w:p w14:paraId="0876939F">
            <w:pPr>
              <w:spacing w:line="360" w:lineRule="auto"/>
              <w:jc w:val="center"/>
              <w:rPr>
                <w:rFonts w:ascii="宋体" w:hAnsi="宋体" w:cs="宋体"/>
                <w:b/>
                <w:color w:val="auto"/>
                <w:sz w:val="18"/>
                <w:szCs w:val="18"/>
                <w:highlight w:val="none"/>
              </w:rPr>
            </w:pPr>
          </w:p>
        </w:tc>
      </w:tr>
      <w:tr w14:paraId="0DFD5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62" w:type="dxa"/>
            <w:vAlign w:val="center"/>
          </w:tcPr>
          <w:p w14:paraId="0234945B">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1660" w:type="dxa"/>
            <w:shd w:val="clear" w:color="auto" w:fill="auto"/>
            <w:vAlign w:val="center"/>
          </w:tcPr>
          <w:p w14:paraId="7055B380">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方案</w:t>
            </w:r>
          </w:p>
        </w:tc>
        <w:tc>
          <w:tcPr>
            <w:tcW w:w="3210" w:type="dxa"/>
            <w:vAlign w:val="center"/>
          </w:tcPr>
          <w:p w14:paraId="44129208">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1420" w:type="dxa"/>
            <w:shd w:val="clear" w:color="auto" w:fill="auto"/>
            <w:vAlign w:val="center"/>
          </w:tcPr>
          <w:p w14:paraId="4B783040">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**页-**页</w:t>
            </w:r>
          </w:p>
        </w:tc>
        <w:tc>
          <w:tcPr>
            <w:tcW w:w="1706" w:type="dxa"/>
            <w:shd w:val="clear" w:color="auto" w:fill="auto"/>
            <w:vAlign w:val="center"/>
          </w:tcPr>
          <w:p w14:paraId="52931ADA">
            <w:pPr>
              <w:snapToGrid w:val="0"/>
              <w:spacing w:line="400" w:lineRule="exact"/>
              <w:jc w:val="center"/>
              <w:rPr>
                <w:rFonts w:ascii="宋体" w:hAnsi="宋体" w:cs="宋体"/>
                <w:color w:val="auto"/>
                <w:sz w:val="18"/>
                <w:szCs w:val="18"/>
                <w:highlight w:val="none"/>
              </w:rPr>
            </w:pPr>
          </w:p>
        </w:tc>
      </w:tr>
      <w:tr w14:paraId="76CF8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046C4BF5">
            <w:pPr>
              <w:snapToGrid w:val="0"/>
              <w:spacing w:line="400" w:lineRule="exact"/>
              <w:jc w:val="center"/>
              <w:rPr>
                <w:rFonts w:ascii="宋体" w:hAnsi="宋体" w:cs="宋体"/>
                <w:color w:val="auto"/>
                <w:sz w:val="18"/>
                <w:szCs w:val="18"/>
                <w:highlight w:val="none"/>
              </w:rPr>
            </w:pPr>
          </w:p>
        </w:tc>
        <w:tc>
          <w:tcPr>
            <w:tcW w:w="1660" w:type="dxa"/>
            <w:vAlign w:val="center"/>
          </w:tcPr>
          <w:p w14:paraId="31941F58">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3854765E">
            <w:pPr>
              <w:snapToGrid w:val="0"/>
              <w:spacing w:line="400" w:lineRule="exact"/>
              <w:jc w:val="center"/>
              <w:rPr>
                <w:rFonts w:ascii="宋体" w:hAnsi="宋体" w:cs="宋体"/>
                <w:color w:val="auto"/>
                <w:sz w:val="18"/>
                <w:szCs w:val="18"/>
                <w:highlight w:val="none"/>
              </w:rPr>
            </w:pPr>
          </w:p>
        </w:tc>
        <w:tc>
          <w:tcPr>
            <w:tcW w:w="1420" w:type="dxa"/>
            <w:vAlign w:val="center"/>
          </w:tcPr>
          <w:p w14:paraId="5BBD35F0">
            <w:pPr>
              <w:snapToGrid w:val="0"/>
              <w:spacing w:line="400" w:lineRule="exact"/>
              <w:jc w:val="center"/>
              <w:rPr>
                <w:rFonts w:ascii="宋体" w:hAnsi="宋体" w:cs="宋体"/>
                <w:color w:val="auto"/>
                <w:sz w:val="18"/>
                <w:szCs w:val="18"/>
                <w:highlight w:val="none"/>
              </w:rPr>
            </w:pPr>
          </w:p>
        </w:tc>
        <w:tc>
          <w:tcPr>
            <w:tcW w:w="1706" w:type="dxa"/>
            <w:vAlign w:val="center"/>
          </w:tcPr>
          <w:p w14:paraId="4661277F">
            <w:pPr>
              <w:snapToGrid w:val="0"/>
              <w:spacing w:line="400" w:lineRule="exact"/>
              <w:jc w:val="center"/>
              <w:rPr>
                <w:rFonts w:ascii="宋体" w:hAnsi="宋体" w:cs="宋体"/>
                <w:color w:val="auto"/>
                <w:sz w:val="18"/>
                <w:szCs w:val="18"/>
                <w:highlight w:val="none"/>
              </w:rPr>
            </w:pPr>
          </w:p>
        </w:tc>
      </w:tr>
      <w:tr w14:paraId="235F6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17619318">
            <w:pPr>
              <w:snapToGrid w:val="0"/>
              <w:spacing w:line="400" w:lineRule="exact"/>
              <w:jc w:val="center"/>
              <w:rPr>
                <w:rFonts w:ascii="宋体" w:hAnsi="宋体" w:cs="宋体"/>
                <w:color w:val="auto"/>
                <w:sz w:val="18"/>
                <w:szCs w:val="18"/>
                <w:highlight w:val="none"/>
              </w:rPr>
            </w:pPr>
          </w:p>
        </w:tc>
        <w:tc>
          <w:tcPr>
            <w:tcW w:w="1660" w:type="dxa"/>
            <w:vAlign w:val="center"/>
          </w:tcPr>
          <w:p w14:paraId="3C567044">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5E7B0DCC">
            <w:pPr>
              <w:snapToGrid w:val="0"/>
              <w:spacing w:line="400" w:lineRule="exact"/>
              <w:jc w:val="center"/>
              <w:rPr>
                <w:rFonts w:ascii="宋体" w:hAnsi="宋体" w:cs="宋体"/>
                <w:color w:val="auto"/>
                <w:sz w:val="18"/>
                <w:szCs w:val="18"/>
                <w:highlight w:val="none"/>
              </w:rPr>
            </w:pPr>
          </w:p>
        </w:tc>
        <w:tc>
          <w:tcPr>
            <w:tcW w:w="1420" w:type="dxa"/>
            <w:vAlign w:val="center"/>
          </w:tcPr>
          <w:p w14:paraId="6775402D">
            <w:pPr>
              <w:snapToGrid w:val="0"/>
              <w:spacing w:line="400" w:lineRule="exact"/>
              <w:jc w:val="center"/>
              <w:rPr>
                <w:rFonts w:ascii="宋体" w:hAnsi="宋体" w:cs="宋体"/>
                <w:color w:val="auto"/>
                <w:sz w:val="18"/>
                <w:szCs w:val="18"/>
                <w:highlight w:val="none"/>
              </w:rPr>
            </w:pPr>
          </w:p>
        </w:tc>
        <w:tc>
          <w:tcPr>
            <w:tcW w:w="1706" w:type="dxa"/>
            <w:vAlign w:val="center"/>
          </w:tcPr>
          <w:p w14:paraId="1E3CA512">
            <w:pPr>
              <w:snapToGrid w:val="0"/>
              <w:spacing w:line="400" w:lineRule="exact"/>
              <w:jc w:val="center"/>
              <w:rPr>
                <w:rFonts w:ascii="宋体" w:hAnsi="宋体" w:cs="宋体"/>
                <w:color w:val="auto"/>
                <w:sz w:val="18"/>
                <w:szCs w:val="18"/>
                <w:highlight w:val="none"/>
              </w:rPr>
            </w:pPr>
          </w:p>
        </w:tc>
      </w:tr>
      <w:tr w14:paraId="32706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72121856">
            <w:pPr>
              <w:snapToGrid w:val="0"/>
              <w:spacing w:line="400" w:lineRule="exact"/>
              <w:jc w:val="center"/>
              <w:rPr>
                <w:rFonts w:ascii="宋体" w:hAnsi="宋体" w:cs="宋体"/>
                <w:color w:val="auto"/>
                <w:sz w:val="18"/>
                <w:szCs w:val="18"/>
                <w:highlight w:val="none"/>
              </w:rPr>
            </w:pPr>
          </w:p>
        </w:tc>
        <w:tc>
          <w:tcPr>
            <w:tcW w:w="1660" w:type="dxa"/>
            <w:vAlign w:val="center"/>
          </w:tcPr>
          <w:p w14:paraId="2BCD3188">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43E3FF20">
            <w:pPr>
              <w:snapToGrid w:val="0"/>
              <w:spacing w:line="400" w:lineRule="exact"/>
              <w:jc w:val="center"/>
              <w:rPr>
                <w:rFonts w:ascii="宋体" w:hAnsi="宋体" w:cs="宋体"/>
                <w:color w:val="auto"/>
                <w:sz w:val="18"/>
                <w:szCs w:val="18"/>
                <w:highlight w:val="none"/>
              </w:rPr>
            </w:pPr>
          </w:p>
        </w:tc>
        <w:tc>
          <w:tcPr>
            <w:tcW w:w="1420" w:type="dxa"/>
            <w:vAlign w:val="center"/>
          </w:tcPr>
          <w:p w14:paraId="6E1FEF8D">
            <w:pPr>
              <w:snapToGrid w:val="0"/>
              <w:spacing w:line="400" w:lineRule="exact"/>
              <w:jc w:val="center"/>
              <w:rPr>
                <w:rFonts w:ascii="宋体" w:hAnsi="宋体" w:cs="宋体"/>
                <w:color w:val="auto"/>
                <w:sz w:val="18"/>
                <w:szCs w:val="18"/>
                <w:highlight w:val="none"/>
              </w:rPr>
            </w:pPr>
          </w:p>
        </w:tc>
        <w:tc>
          <w:tcPr>
            <w:tcW w:w="1706" w:type="dxa"/>
            <w:vAlign w:val="center"/>
          </w:tcPr>
          <w:p w14:paraId="53035A0F">
            <w:pPr>
              <w:snapToGrid w:val="0"/>
              <w:spacing w:line="400" w:lineRule="exact"/>
              <w:jc w:val="center"/>
              <w:rPr>
                <w:rFonts w:ascii="宋体" w:hAnsi="宋体" w:cs="宋体"/>
                <w:color w:val="auto"/>
                <w:sz w:val="18"/>
                <w:szCs w:val="18"/>
                <w:highlight w:val="none"/>
              </w:rPr>
            </w:pPr>
          </w:p>
        </w:tc>
      </w:tr>
      <w:tr w14:paraId="10659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62" w:type="dxa"/>
            <w:vAlign w:val="center"/>
          </w:tcPr>
          <w:p w14:paraId="2979E586">
            <w:pPr>
              <w:snapToGrid w:val="0"/>
              <w:spacing w:line="400" w:lineRule="exact"/>
              <w:jc w:val="center"/>
              <w:rPr>
                <w:rFonts w:ascii="宋体" w:hAnsi="宋体" w:cs="宋体"/>
                <w:color w:val="auto"/>
                <w:sz w:val="18"/>
                <w:szCs w:val="18"/>
                <w:highlight w:val="none"/>
              </w:rPr>
            </w:pPr>
          </w:p>
        </w:tc>
        <w:tc>
          <w:tcPr>
            <w:tcW w:w="1660" w:type="dxa"/>
            <w:vAlign w:val="center"/>
          </w:tcPr>
          <w:p w14:paraId="02366EA3">
            <w:pPr>
              <w:snapToGrid w:val="0"/>
              <w:spacing w:line="400" w:lineRule="exact"/>
              <w:jc w:val="center"/>
              <w:rPr>
                <w:rFonts w:ascii="宋体" w:hAnsi="宋体" w:cs="宋体"/>
                <w:color w:val="auto"/>
                <w:sz w:val="18"/>
                <w:szCs w:val="18"/>
                <w:highlight w:val="none"/>
              </w:rPr>
            </w:pPr>
            <w:r>
              <w:rPr>
                <w:rFonts w:hint="eastAsia" w:ascii="宋体" w:hAnsi="宋体" w:cs="宋体"/>
                <w:color w:val="auto"/>
                <w:sz w:val="18"/>
                <w:szCs w:val="18"/>
                <w:highlight w:val="none"/>
              </w:rPr>
              <w:t>***</w:t>
            </w:r>
          </w:p>
        </w:tc>
        <w:tc>
          <w:tcPr>
            <w:tcW w:w="3210" w:type="dxa"/>
            <w:vAlign w:val="center"/>
          </w:tcPr>
          <w:p w14:paraId="42D2682C">
            <w:pPr>
              <w:snapToGrid w:val="0"/>
              <w:spacing w:line="400" w:lineRule="exact"/>
              <w:jc w:val="center"/>
              <w:rPr>
                <w:rFonts w:ascii="宋体" w:hAnsi="宋体" w:cs="宋体"/>
                <w:color w:val="auto"/>
                <w:sz w:val="18"/>
                <w:szCs w:val="18"/>
                <w:highlight w:val="none"/>
              </w:rPr>
            </w:pPr>
          </w:p>
        </w:tc>
        <w:tc>
          <w:tcPr>
            <w:tcW w:w="1420" w:type="dxa"/>
            <w:vAlign w:val="center"/>
          </w:tcPr>
          <w:p w14:paraId="34690D19">
            <w:pPr>
              <w:snapToGrid w:val="0"/>
              <w:spacing w:line="400" w:lineRule="exact"/>
              <w:jc w:val="center"/>
              <w:rPr>
                <w:rFonts w:ascii="宋体" w:hAnsi="宋体" w:cs="宋体"/>
                <w:color w:val="auto"/>
                <w:sz w:val="18"/>
                <w:szCs w:val="18"/>
                <w:highlight w:val="none"/>
              </w:rPr>
            </w:pPr>
          </w:p>
        </w:tc>
        <w:tc>
          <w:tcPr>
            <w:tcW w:w="1706" w:type="dxa"/>
            <w:vAlign w:val="center"/>
          </w:tcPr>
          <w:p w14:paraId="4C710781">
            <w:pPr>
              <w:snapToGrid w:val="0"/>
              <w:spacing w:line="400" w:lineRule="exact"/>
              <w:jc w:val="center"/>
              <w:rPr>
                <w:rFonts w:ascii="宋体" w:hAnsi="宋体" w:cs="宋体"/>
                <w:color w:val="auto"/>
                <w:sz w:val="18"/>
                <w:szCs w:val="18"/>
                <w:highlight w:val="none"/>
              </w:rPr>
            </w:pPr>
          </w:p>
        </w:tc>
      </w:tr>
    </w:tbl>
    <w:p w14:paraId="6233F593">
      <w:pPr>
        <w:rPr>
          <w:rFonts w:ascii="宋体" w:hAnsi="宋体" w:cs="宋体"/>
          <w:b/>
          <w:bCs/>
          <w:color w:val="auto"/>
          <w:kern w:val="0"/>
          <w:sz w:val="28"/>
          <w:szCs w:val="32"/>
          <w:highlight w:val="none"/>
        </w:rPr>
      </w:pPr>
      <w:r>
        <w:rPr>
          <w:rFonts w:ascii="宋体" w:hAnsi="宋体" w:cs="宋体"/>
          <w:b/>
          <w:bCs/>
          <w:color w:val="auto"/>
          <w:kern w:val="0"/>
          <w:sz w:val="28"/>
          <w:szCs w:val="32"/>
          <w:highlight w:val="none"/>
        </w:rPr>
        <w:br w:type="page"/>
      </w:r>
    </w:p>
    <w:p w14:paraId="2704D90E">
      <w:pPr>
        <w:pStyle w:val="17"/>
        <w:rPr>
          <w:color w:val="auto"/>
          <w:highlight w:val="none"/>
        </w:rPr>
      </w:pPr>
    </w:p>
    <w:p w14:paraId="6CD0975F">
      <w:pPr>
        <w:pStyle w:val="4"/>
        <w:spacing w:before="0" w:after="0" w:line="360" w:lineRule="auto"/>
        <w:ind w:firstLine="420"/>
        <w:jc w:val="center"/>
        <w:rPr>
          <w:rFonts w:ascii="宋体" w:hAnsi="宋体" w:eastAsia="宋体" w:cs="宋体"/>
          <w:color w:val="auto"/>
          <w:sz w:val="28"/>
          <w:highlight w:val="none"/>
        </w:rPr>
      </w:pPr>
      <w:bookmarkStart w:id="899" w:name="_Toc32497"/>
      <w:bookmarkStart w:id="900" w:name="_Toc3698"/>
      <w:r>
        <w:rPr>
          <w:rFonts w:hint="eastAsia" w:ascii="宋体" w:hAnsi="宋体" w:eastAsia="宋体" w:cs="宋体"/>
          <w:color w:val="auto"/>
          <w:sz w:val="28"/>
          <w:highlight w:val="none"/>
          <w:lang w:val="en-US" w:eastAsia="zh-CN"/>
        </w:rPr>
        <w:t>七</w:t>
      </w:r>
      <w:r>
        <w:rPr>
          <w:rFonts w:hint="eastAsia" w:ascii="宋体" w:hAnsi="宋体" w:eastAsia="宋体" w:cs="宋体"/>
          <w:color w:val="auto"/>
          <w:sz w:val="28"/>
          <w:highlight w:val="none"/>
        </w:rPr>
        <w:t>、报价人承诺</w:t>
      </w:r>
      <w:bookmarkEnd w:id="896"/>
      <w:bookmarkEnd w:id="899"/>
      <w:bookmarkEnd w:id="900"/>
    </w:p>
    <w:p w14:paraId="4FC0EFB3">
      <w:pPr>
        <w:pStyle w:val="17"/>
        <w:rPr>
          <w:color w:val="auto"/>
          <w:highlight w:val="none"/>
        </w:rPr>
      </w:pPr>
    </w:p>
    <w:p w14:paraId="7C4FCAB8">
      <w:pPr>
        <w:pStyle w:val="39"/>
        <w:spacing w:line="480" w:lineRule="auto"/>
        <w:jc w:val="both"/>
        <w:rPr>
          <w:rFonts w:hAnsi="宋体"/>
          <w:color w:val="auto"/>
          <w:highlight w:val="none"/>
        </w:rPr>
      </w:pPr>
      <w:r>
        <w:rPr>
          <w:rFonts w:hint="eastAsia" w:hAnsi="宋体"/>
          <w:color w:val="auto"/>
          <w:highlight w:val="none"/>
        </w:rPr>
        <w:t>致：</w:t>
      </w:r>
      <w:r>
        <w:rPr>
          <w:rFonts w:hint="eastAsia" w:hAnsi="宋体"/>
          <w:color w:val="auto"/>
          <w:highlight w:val="none"/>
          <w:u w:val="single"/>
        </w:rPr>
        <w:t>重庆首讯科技股份有限公司</w:t>
      </w:r>
    </w:p>
    <w:p w14:paraId="11A25B58">
      <w:pPr>
        <w:rPr>
          <w:color w:val="auto"/>
          <w:highlight w:val="none"/>
        </w:rPr>
      </w:pPr>
    </w:p>
    <w:p w14:paraId="29262E35">
      <w:pPr>
        <w:tabs>
          <w:tab w:val="left" w:pos="1680"/>
          <w:tab w:val="left" w:pos="4215"/>
          <w:tab w:val="left" w:pos="4305"/>
          <w:tab w:val="left" w:pos="8000"/>
        </w:tabs>
        <w:autoSpaceDE w:val="0"/>
        <w:autoSpaceDN w:val="0"/>
        <w:adjustRightInd w:val="0"/>
        <w:snapToGrid w:val="0"/>
        <w:spacing w:line="480" w:lineRule="auto"/>
        <w:ind w:firstLine="720" w:firstLineChars="300"/>
        <w:rPr>
          <w:rFonts w:ascii="宋体" w:hAnsi="宋体"/>
          <w:color w:val="auto"/>
          <w:sz w:val="24"/>
          <w:highlight w:val="none"/>
        </w:rPr>
      </w:pPr>
      <w:r>
        <w:rPr>
          <w:rFonts w:hint="eastAsia" w:ascii="宋体" w:hAnsi="宋体"/>
          <w:color w:val="auto"/>
          <w:sz w:val="24"/>
          <w:highlight w:val="none"/>
        </w:rPr>
        <w:t>在研究</w:t>
      </w:r>
      <w:r>
        <w:rPr>
          <w:rFonts w:hint="eastAsia" w:ascii="宋体" w:hAnsi="宋体"/>
          <w:color w:val="auto"/>
          <w:sz w:val="24"/>
          <w:highlight w:val="none"/>
          <w:u w:val="single"/>
        </w:rPr>
        <w:t xml:space="preserve">        （项目名称）</w:t>
      </w:r>
      <w:r>
        <w:rPr>
          <w:rFonts w:hint="eastAsia" w:ascii="Arial" w:hAnsi="Arial" w:cs="Arial"/>
          <w:color w:val="auto"/>
          <w:sz w:val="24"/>
          <w:highlight w:val="none"/>
        </w:rPr>
        <w:t>项目</w:t>
      </w:r>
      <w:r>
        <w:rPr>
          <w:rFonts w:hint="eastAsia" w:ascii="宋体" w:hAnsi="宋体"/>
          <w:color w:val="auto"/>
          <w:sz w:val="24"/>
          <w:highlight w:val="none"/>
        </w:rPr>
        <w:t>竞争比选文件后，在此郑重承诺我司满足本项目一切报价内容、报价、服务期限及质量标准等相关要求，响应比选函的一切内容，同时申明将按照自行给出的商务、技术方案组建服务团队、履行服务义务。若我司中标本项目且无法满足业主相关需求，我司愿承担由此给采购人造成的一切损失。</w:t>
      </w:r>
    </w:p>
    <w:p w14:paraId="720C7DB1">
      <w:pPr>
        <w:tabs>
          <w:tab w:val="left" w:pos="1680"/>
          <w:tab w:val="left" w:pos="4215"/>
          <w:tab w:val="left" w:pos="4305"/>
          <w:tab w:val="left" w:pos="8000"/>
        </w:tabs>
        <w:autoSpaceDE w:val="0"/>
        <w:autoSpaceDN w:val="0"/>
        <w:adjustRightInd w:val="0"/>
        <w:snapToGrid w:val="0"/>
        <w:spacing w:line="480" w:lineRule="auto"/>
        <w:ind w:firstLine="720" w:firstLineChars="300"/>
        <w:rPr>
          <w:rFonts w:ascii="宋体" w:hAnsi="宋体"/>
          <w:color w:val="auto"/>
          <w:sz w:val="24"/>
          <w:highlight w:val="none"/>
        </w:rPr>
      </w:pPr>
      <w:r>
        <w:rPr>
          <w:rFonts w:hint="eastAsia" w:ascii="宋体" w:hAnsi="宋体"/>
          <w:color w:val="auto"/>
          <w:sz w:val="24"/>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15EBC434">
      <w:pPr>
        <w:tabs>
          <w:tab w:val="left" w:pos="1680"/>
          <w:tab w:val="left" w:pos="4215"/>
          <w:tab w:val="left" w:pos="4305"/>
          <w:tab w:val="left" w:pos="8000"/>
        </w:tabs>
        <w:autoSpaceDE w:val="0"/>
        <w:autoSpaceDN w:val="0"/>
        <w:adjustRightInd w:val="0"/>
        <w:snapToGrid w:val="0"/>
        <w:spacing w:line="480" w:lineRule="auto"/>
        <w:ind w:firstLine="720" w:firstLineChars="300"/>
        <w:rPr>
          <w:rFonts w:ascii="宋体" w:hAnsi="宋体"/>
          <w:color w:val="auto"/>
          <w:sz w:val="24"/>
          <w:highlight w:val="none"/>
        </w:rPr>
      </w:pPr>
    </w:p>
    <w:p w14:paraId="60DC0CFB">
      <w:pPr>
        <w:pStyle w:val="17"/>
        <w:spacing w:line="480" w:lineRule="auto"/>
        <w:rPr>
          <w:rFonts w:ascii="宋体" w:hAnsi="宋体"/>
          <w:color w:val="auto"/>
          <w:sz w:val="24"/>
          <w:highlight w:val="none"/>
        </w:rPr>
      </w:pPr>
    </w:p>
    <w:p w14:paraId="440AE45A">
      <w:pPr>
        <w:spacing w:line="480" w:lineRule="auto"/>
        <w:rPr>
          <w:rFonts w:ascii="宋体" w:hAnsi="宋体"/>
          <w:color w:val="auto"/>
          <w:sz w:val="24"/>
          <w:highlight w:val="none"/>
        </w:rPr>
      </w:pPr>
      <w:r>
        <w:rPr>
          <w:rFonts w:hint="eastAsia" w:ascii="宋体" w:hAnsi="宋体"/>
          <w:color w:val="auto"/>
          <w:sz w:val="24"/>
          <w:highlight w:val="none"/>
        </w:rPr>
        <w:t xml:space="preserve">                                        承诺人：</w:t>
      </w:r>
    </w:p>
    <w:p w14:paraId="5D502A40">
      <w:pPr>
        <w:pStyle w:val="17"/>
        <w:spacing w:line="480" w:lineRule="auto"/>
        <w:rPr>
          <w:color w:val="auto"/>
          <w:highlight w:val="none"/>
        </w:rPr>
      </w:pPr>
      <w:r>
        <w:rPr>
          <w:rFonts w:hint="eastAsia" w:ascii="宋体" w:hAnsi="宋体"/>
          <w:color w:val="auto"/>
          <w:sz w:val="24"/>
          <w:highlight w:val="none"/>
        </w:rPr>
        <w:t xml:space="preserve">                                        日期：</w:t>
      </w:r>
    </w:p>
    <w:p w14:paraId="6A6568BB">
      <w:pPr>
        <w:pStyle w:val="17"/>
        <w:rPr>
          <w:rFonts w:ascii="宋体" w:hAnsi="宋体"/>
          <w:color w:val="auto"/>
          <w:sz w:val="24"/>
          <w:highlight w:val="none"/>
        </w:rPr>
      </w:pPr>
    </w:p>
    <w:p w14:paraId="1F5B769B">
      <w:pPr>
        <w:rPr>
          <w:rFonts w:ascii="宋体" w:hAnsi="宋体"/>
          <w:color w:val="auto"/>
          <w:sz w:val="24"/>
          <w:highlight w:val="none"/>
        </w:rPr>
      </w:pPr>
    </w:p>
    <w:p w14:paraId="16AA1F3D">
      <w:pPr>
        <w:rPr>
          <w:color w:val="auto"/>
          <w:highlight w:val="none"/>
        </w:rPr>
      </w:pPr>
      <w:r>
        <w:rPr>
          <w:color w:val="auto"/>
          <w:highlight w:val="none"/>
        </w:rPr>
        <w:br w:type="page"/>
      </w:r>
    </w:p>
    <w:p w14:paraId="54687D5C">
      <w:pPr>
        <w:pStyle w:val="4"/>
        <w:numPr>
          <w:ilvl w:val="0"/>
          <w:numId w:val="0"/>
        </w:numPr>
        <w:spacing w:before="0" w:after="0" w:line="360" w:lineRule="auto"/>
        <w:ind w:firstLine="420" w:firstLineChars="0"/>
        <w:jc w:val="center"/>
        <w:rPr>
          <w:rFonts w:ascii="宋体" w:hAnsi="宋体" w:eastAsia="宋体" w:cs="宋体"/>
          <w:color w:val="auto"/>
          <w:sz w:val="28"/>
          <w:highlight w:val="none"/>
        </w:rPr>
      </w:pPr>
      <w:bookmarkStart w:id="901" w:name="_Toc6506"/>
      <w:bookmarkStart w:id="902" w:name="_Toc17409"/>
      <w:r>
        <w:rPr>
          <w:rFonts w:hint="eastAsia" w:ascii="宋体" w:hAnsi="宋体" w:eastAsia="宋体" w:cs="宋体"/>
          <w:b/>
          <w:bCs/>
          <w:color w:val="auto"/>
          <w:kern w:val="0"/>
          <w:sz w:val="28"/>
          <w:szCs w:val="32"/>
          <w:highlight w:val="none"/>
          <w:lang w:val="en-US" w:eastAsia="zh-CN" w:bidi="ar-SA"/>
        </w:rPr>
        <w:t>八、</w:t>
      </w:r>
      <w:r>
        <w:rPr>
          <w:rFonts w:hint="eastAsia" w:ascii="宋体" w:hAnsi="宋体" w:eastAsia="宋体" w:cs="宋体"/>
          <w:color w:val="auto"/>
          <w:sz w:val="28"/>
          <w:highlight w:val="none"/>
        </w:rPr>
        <w:t>报价人提供的其他资料</w:t>
      </w:r>
      <w:bookmarkEnd w:id="901"/>
      <w:bookmarkEnd w:id="902"/>
    </w:p>
    <w:p w14:paraId="11953903">
      <w:pPr>
        <w:rPr>
          <w:color w:val="auto"/>
          <w:highlight w:val="none"/>
        </w:rPr>
      </w:pPr>
    </w:p>
    <w:p w14:paraId="6E942442">
      <w:pPr>
        <w:pStyle w:val="5"/>
        <w:spacing w:before="0" w:after="0" w:line="360" w:lineRule="auto"/>
        <w:jc w:val="center"/>
        <w:rPr>
          <w:color w:val="auto"/>
          <w:sz w:val="28"/>
          <w:szCs w:val="28"/>
          <w:highlight w:val="none"/>
        </w:rPr>
      </w:pPr>
      <w:bookmarkStart w:id="903" w:name="_Toc508110857"/>
      <w:bookmarkStart w:id="904" w:name="_Toc4375"/>
      <w:bookmarkStart w:id="905" w:name="_Toc452107137"/>
      <w:r>
        <w:rPr>
          <w:rFonts w:hint="eastAsia"/>
          <w:color w:val="auto"/>
          <w:sz w:val="28"/>
          <w:szCs w:val="28"/>
          <w:highlight w:val="none"/>
        </w:rPr>
        <w:t>（一）报价人基本信息表</w:t>
      </w:r>
      <w:bookmarkEnd w:id="903"/>
      <w:bookmarkEnd w:id="904"/>
      <w:bookmarkEnd w:id="905"/>
    </w:p>
    <w:p w14:paraId="2EB61C99">
      <w:pPr>
        <w:pStyle w:val="27"/>
        <w:rPr>
          <w:color w:val="auto"/>
          <w:highlight w:val="none"/>
        </w:rPr>
      </w:pPr>
    </w:p>
    <w:tbl>
      <w:tblPr>
        <w:tblStyle w:val="44"/>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6F9FD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0F39F85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3D128EC">
            <w:pPr>
              <w:topLinePunct/>
              <w:spacing w:line="440" w:lineRule="exact"/>
              <w:jc w:val="center"/>
              <w:rPr>
                <w:rFonts w:ascii="宋体" w:hAnsi="宋体" w:cs="宋体"/>
                <w:color w:val="auto"/>
                <w:szCs w:val="21"/>
                <w:highlight w:val="none"/>
              </w:rPr>
            </w:pPr>
          </w:p>
        </w:tc>
      </w:tr>
      <w:tr w14:paraId="5EDB1AA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50ED43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4AEAAF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5E688EAF">
            <w:pPr>
              <w:topLinePunct/>
              <w:spacing w:line="440" w:lineRule="exact"/>
              <w:jc w:val="center"/>
              <w:rPr>
                <w:rFonts w:ascii="宋体" w:hAnsi="宋体" w:cs="宋体"/>
                <w:color w:val="auto"/>
                <w:szCs w:val="21"/>
                <w:highlight w:val="none"/>
              </w:rPr>
            </w:pPr>
          </w:p>
        </w:tc>
      </w:tr>
      <w:tr w14:paraId="3AF379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0056DAD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7207A528">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6667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0A381DC">
            <w:pPr>
              <w:topLinePunct/>
              <w:spacing w:line="440" w:lineRule="exact"/>
              <w:jc w:val="center"/>
              <w:rPr>
                <w:rFonts w:ascii="宋体" w:hAnsi="宋体" w:cs="宋体"/>
                <w:color w:val="auto"/>
                <w:szCs w:val="21"/>
                <w:highlight w:val="none"/>
              </w:rPr>
            </w:pPr>
          </w:p>
        </w:tc>
      </w:tr>
      <w:tr w14:paraId="55803F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FACF0D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5EC23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EF9747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620CE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F2C768E">
            <w:pPr>
              <w:topLinePunct/>
              <w:spacing w:line="440" w:lineRule="exact"/>
              <w:jc w:val="center"/>
              <w:rPr>
                <w:rFonts w:ascii="宋体" w:hAnsi="宋体" w:cs="宋体"/>
                <w:color w:val="auto"/>
                <w:szCs w:val="21"/>
                <w:highlight w:val="none"/>
              </w:rPr>
            </w:pPr>
          </w:p>
        </w:tc>
      </w:tr>
      <w:tr w14:paraId="4DA4C3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747C200">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320712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66C8E7B7">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8DEC4A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4E2A4CF">
            <w:pPr>
              <w:topLinePunct/>
              <w:spacing w:line="440" w:lineRule="exact"/>
              <w:jc w:val="center"/>
              <w:rPr>
                <w:rFonts w:ascii="宋体" w:hAnsi="宋体" w:cs="宋体"/>
                <w:color w:val="auto"/>
                <w:szCs w:val="21"/>
                <w:highlight w:val="none"/>
              </w:rPr>
            </w:pPr>
          </w:p>
        </w:tc>
      </w:tr>
      <w:tr w14:paraId="300F82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56465CA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2CBA647">
            <w:pPr>
              <w:topLinePunct/>
              <w:spacing w:line="440" w:lineRule="exact"/>
              <w:jc w:val="center"/>
              <w:rPr>
                <w:rFonts w:ascii="宋体" w:hAnsi="宋体" w:cs="宋体"/>
                <w:color w:val="auto"/>
                <w:szCs w:val="21"/>
                <w:highlight w:val="none"/>
              </w:rPr>
            </w:pPr>
          </w:p>
        </w:tc>
      </w:tr>
      <w:tr w14:paraId="1B7908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C08CF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71B4406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39C3AA3">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B48BF6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D92474B">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E94C62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585EBDD">
            <w:pPr>
              <w:topLinePunct/>
              <w:spacing w:line="440" w:lineRule="exact"/>
              <w:jc w:val="center"/>
              <w:rPr>
                <w:rFonts w:ascii="宋体" w:hAnsi="宋体" w:cs="宋体"/>
                <w:color w:val="auto"/>
                <w:szCs w:val="21"/>
                <w:highlight w:val="none"/>
              </w:rPr>
            </w:pPr>
          </w:p>
        </w:tc>
      </w:tr>
      <w:tr w14:paraId="4CFBCE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632C5E8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5BE7D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37B90E3B">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0EAE9B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43CAFE54">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599321B6">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337866D2">
            <w:pPr>
              <w:topLinePunct/>
              <w:spacing w:line="440" w:lineRule="exact"/>
              <w:jc w:val="center"/>
              <w:rPr>
                <w:rFonts w:ascii="宋体" w:hAnsi="宋体" w:cs="宋体"/>
                <w:color w:val="auto"/>
                <w:szCs w:val="21"/>
                <w:highlight w:val="none"/>
              </w:rPr>
            </w:pPr>
          </w:p>
        </w:tc>
      </w:tr>
      <w:tr w14:paraId="3F3484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7CD8C7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99A1CD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1A2E32D9">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58C3D6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26AF7EA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88D4B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79FC28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D4B113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C54BCC9">
            <w:pPr>
              <w:topLinePunct/>
              <w:spacing w:line="440" w:lineRule="exact"/>
              <w:jc w:val="center"/>
              <w:rPr>
                <w:rFonts w:ascii="宋体" w:hAnsi="宋体" w:cs="宋体"/>
                <w:color w:val="auto"/>
                <w:szCs w:val="21"/>
                <w:highlight w:val="none"/>
              </w:rPr>
            </w:pPr>
          </w:p>
        </w:tc>
      </w:tr>
      <w:tr w14:paraId="0BEC94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733AD0E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506BEE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120FAB7">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52E4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4AB8F93">
            <w:pPr>
              <w:topLinePunct/>
              <w:spacing w:line="440" w:lineRule="exact"/>
              <w:jc w:val="center"/>
              <w:rPr>
                <w:rFonts w:ascii="宋体" w:hAnsi="宋体" w:cs="宋体"/>
                <w:color w:val="auto"/>
                <w:szCs w:val="21"/>
                <w:highlight w:val="none"/>
              </w:rPr>
            </w:pPr>
          </w:p>
        </w:tc>
      </w:tr>
      <w:tr w14:paraId="7853190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1B1BEB0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D4383F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0F52B5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41A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7042468">
            <w:pPr>
              <w:topLinePunct/>
              <w:spacing w:line="440" w:lineRule="exact"/>
              <w:jc w:val="center"/>
              <w:rPr>
                <w:rFonts w:ascii="宋体" w:hAnsi="宋体" w:cs="宋体"/>
                <w:color w:val="auto"/>
                <w:szCs w:val="21"/>
                <w:highlight w:val="none"/>
              </w:rPr>
            </w:pPr>
          </w:p>
        </w:tc>
      </w:tr>
      <w:tr w14:paraId="01969C4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6976659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E90BD7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38B260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E9BC6B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E8228CA">
            <w:pPr>
              <w:topLinePunct/>
              <w:spacing w:line="440" w:lineRule="exact"/>
              <w:jc w:val="center"/>
              <w:rPr>
                <w:rFonts w:ascii="宋体" w:hAnsi="宋体" w:cs="宋体"/>
                <w:color w:val="auto"/>
                <w:szCs w:val="21"/>
                <w:highlight w:val="none"/>
              </w:rPr>
            </w:pPr>
          </w:p>
        </w:tc>
      </w:tr>
      <w:tr w14:paraId="4595606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417F553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604D0C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C5FBCFC">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7CB372D">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C287F1C">
            <w:pPr>
              <w:topLinePunct/>
              <w:spacing w:line="440" w:lineRule="exact"/>
              <w:jc w:val="center"/>
              <w:rPr>
                <w:rFonts w:ascii="宋体" w:hAnsi="宋体" w:cs="宋体"/>
                <w:color w:val="auto"/>
                <w:szCs w:val="21"/>
                <w:highlight w:val="none"/>
              </w:rPr>
            </w:pPr>
          </w:p>
        </w:tc>
      </w:tr>
      <w:tr w14:paraId="09A89E0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298D0AD9">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3841EA7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1C6EDF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1920105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D726C74">
            <w:pPr>
              <w:topLinePunct/>
              <w:spacing w:line="440" w:lineRule="exact"/>
              <w:jc w:val="center"/>
              <w:rPr>
                <w:rFonts w:ascii="宋体" w:hAnsi="宋体" w:cs="宋体"/>
                <w:color w:val="auto"/>
                <w:szCs w:val="21"/>
                <w:highlight w:val="none"/>
              </w:rPr>
            </w:pPr>
          </w:p>
        </w:tc>
      </w:tr>
    </w:tbl>
    <w:p w14:paraId="55A4FBD5">
      <w:pPr>
        <w:rPr>
          <w:rFonts w:hint="default"/>
          <w:color w:val="auto"/>
          <w:highlight w:val="none"/>
          <w:lang w:val="en-US"/>
        </w:rPr>
      </w:pPr>
    </w:p>
    <w:p w14:paraId="260CB4BB">
      <w:pPr>
        <w:pStyle w:val="5"/>
        <w:jc w:val="center"/>
        <w:rPr>
          <w:rFonts w:ascii="宋体" w:hAnsi="宋体" w:cs="宋体"/>
          <w:color w:val="auto"/>
          <w:sz w:val="28"/>
          <w:highlight w:val="none"/>
        </w:rPr>
      </w:pPr>
      <w:r>
        <w:rPr>
          <w:rFonts w:hint="eastAsia" w:ascii="宋体" w:hAnsi="宋体" w:cs="宋体"/>
          <w:color w:val="auto"/>
          <w:sz w:val="28"/>
          <w:highlight w:val="none"/>
        </w:rPr>
        <w:t>（二）其他材料</w:t>
      </w:r>
    </w:p>
    <w:p w14:paraId="07F32954">
      <w:pPr>
        <w:rPr>
          <w:color w:val="auto"/>
          <w:highlight w:val="none"/>
        </w:rPr>
      </w:pPr>
    </w:p>
    <w:p w14:paraId="3B62D5B0">
      <w:pPr>
        <w:wordWrap w:val="0"/>
        <w:adjustRightInd w:val="0"/>
        <w:snapToGrid w:val="0"/>
        <w:spacing w:line="460" w:lineRule="exact"/>
        <w:jc w:val="left"/>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lang w:val="en-US" w:eastAsia="zh-CN"/>
        </w:rPr>
        <w:t>1、</w:t>
      </w:r>
      <w:r>
        <w:rPr>
          <w:rFonts w:hint="eastAsia" w:ascii="Times New Roman" w:hAnsi="Times New Roman" w:eastAsia="宋体" w:cs="Times New Roman"/>
          <w:color w:val="auto"/>
          <w:highlight w:val="none"/>
        </w:rPr>
        <w:t>投标保证金银行回执等附件。</w:t>
      </w:r>
    </w:p>
    <w:p w14:paraId="3AFC9453">
      <w:pPr>
        <w:wordWrap w:val="0"/>
        <w:adjustRightInd w:val="0"/>
        <w:snapToGrid w:val="0"/>
        <w:spacing w:line="460" w:lineRule="exact"/>
        <w:jc w:val="left"/>
        <w:rPr>
          <w:rFonts w:hint="eastAsia" w:ascii="宋体" w:hAnsi="宋体" w:cs="宋体"/>
          <w:color w:val="auto"/>
          <w:szCs w:val="21"/>
          <w:highlight w:val="none"/>
          <w:lang w:bidi="ar"/>
        </w:rPr>
      </w:pPr>
      <w:r>
        <w:rPr>
          <w:rFonts w:hint="eastAsia"/>
          <w:color w:val="auto"/>
          <w:highlight w:val="none"/>
          <w:lang w:val="en-US" w:eastAsia="zh-CN"/>
        </w:rPr>
        <w:t>2</w:t>
      </w:r>
      <w:r>
        <w:rPr>
          <w:rFonts w:hint="eastAsia"/>
          <w:color w:val="auto"/>
          <w:highlight w:val="none"/>
        </w:rPr>
        <w:t>、</w:t>
      </w:r>
      <w:r>
        <w:rPr>
          <w:rFonts w:hint="eastAsia" w:ascii="宋体" w:hAnsi="宋体" w:cs="宋体"/>
          <w:color w:val="auto"/>
          <w:szCs w:val="21"/>
          <w:highlight w:val="none"/>
          <w:lang w:bidi="ar"/>
        </w:rPr>
        <w:t>报价人认为有必要提供的资料，标明其内容且格式自拟。</w:t>
      </w:r>
    </w:p>
    <w:p w14:paraId="17D69487">
      <w:pPr>
        <w:rPr>
          <w:b/>
          <w:bCs/>
          <w:color w:val="auto"/>
          <w:highlight w:val="none"/>
        </w:rPr>
      </w:pPr>
    </w:p>
    <w:p w14:paraId="061A61D8">
      <w:pPr>
        <w:pStyle w:val="29"/>
        <w:rPr>
          <w:rFonts w:ascii="宋体" w:hAnsi="宋体" w:cs="宋体"/>
          <w:b/>
          <w:bCs/>
          <w:color w:val="auto"/>
          <w:kern w:val="0"/>
          <w:sz w:val="28"/>
          <w:szCs w:val="32"/>
          <w:highlight w:val="none"/>
        </w:rPr>
      </w:pPr>
      <w:r>
        <w:rPr>
          <w:rFonts w:hint="eastAsia" w:ascii="宋体" w:hAnsi="宋体" w:cs="宋体"/>
          <w:b/>
          <w:bCs/>
          <w:color w:val="auto"/>
          <w:kern w:val="0"/>
          <w:sz w:val="28"/>
          <w:szCs w:val="32"/>
          <w:highlight w:val="none"/>
        </w:rPr>
        <w:br w:type="page"/>
      </w:r>
    </w:p>
    <w:p w14:paraId="2219C1D3">
      <w:pPr>
        <w:autoSpaceDE w:val="0"/>
        <w:autoSpaceDN w:val="0"/>
        <w:adjustRightInd w:val="0"/>
        <w:snapToGrid w:val="0"/>
        <w:spacing w:line="360" w:lineRule="auto"/>
        <w:jc w:val="center"/>
        <w:rPr>
          <w:b/>
          <w:bCs/>
          <w:caps/>
          <w:color w:val="auto"/>
          <w:sz w:val="32"/>
          <w:szCs w:val="32"/>
          <w:highlight w:val="none"/>
        </w:rPr>
      </w:pPr>
      <w:bookmarkStart w:id="906" w:name="OLE_LINK50"/>
      <w:bookmarkStart w:id="907" w:name="OLE_LINK49"/>
      <w:r>
        <w:rPr>
          <w:rFonts w:hint="eastAsia" w:ascii="宋体" w:hAnsi="宋体" w:cs="宋体"/>
          <w:b/>
          <w:bCs/>
          <w:color w:val="auto"/>
          <w:kern w:val="0"/>
          <w:sz w:val="28"/>
          <w:szCs w:val="32"/>
          <w:highlight w:val="none"/>
          <w:lang w:val="en-US" w:eastAsia="zh-CN"/>
        </w:rPr>
        <w:t>九</w:t>
      </w:r>
      <w:r>
        <w:rPr>
          <w:rFonts w:hint="eastAsia" w:ascii="宋体" w:hAnsi="宋体" w:cs="宋体"/>
          <w:b/>
          <w:bCs/>
          <w:color w:val="auto"/>
          <w:kern w:val="0"/>
          <w:sz w:val="28"/>
          <w:szCs w:val="32"/>
          <w:highlight w:val="none"/>
        </w:rPr>
        <w:t>、低价风险担保提交承诺书（如有）</w:t>
      </w:r>
      <w:bookmarkEnd w:id="906"/>
    </w:p>
    <w:bookmarkEnd w:id="907"/>
    <w:p w14:paraId="24A284EE">
      <w:pPr>
        <w:rPr>
          <w:color w:val="auto"/>
          <w:highlight w:val="none"/>
        </w:rPr>
      </w:pPr>
    </w:p>
    <w:p w14:paraId="7D649CE3">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（投标报价低于招标项目最高限价的85%时采用）</w:t>
      </w:r>
    </w:p>
    <w:p w14:paraId="55A2DDE5">
      <w:pPr>
        <w:autoSpaceDE w:val="0"/>
        <w:autoSpaceDN w:val="0"/>
        <w:adjustRightInd w:val="0"/>
        <w:snapToGrid w:val="0"/>
        <w:spacing w:line="360" w:lineRule="auto"/>
        <w:jc w:val="center"/>
        <w:rPr>
          <w:rFonts w:ascii="宋体" w:hAnsi="宋体"/>
          <w:snapToGrid w:val="0"/>
          <w:color w:val="auto"/>
          <w:kern w:val="0"/>
          <w:sz w:val="32"/>
          <w:szCs w:val="32"/>
          <w:highlight w:val="none"/>
        </w:rPr>
      </w:pPr>
    </w:p>
    <w:p w14:paraId="7136F960">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（招标人名称）</w:t>
      </w:r>
      <w:r>
        <w:rPr>
          <w:rFonts w:hint="eastAsia" w:ascii="宋体" w:hAnsi="宋体" w:cs="宋体"/>
          <w:snapToGrid w:val="0"/>
          <w:color w:val="auto"/>
          <w:kern w:val="0"/>
          <w:szCs w:val="21"/>
          <w:highlight w:val="none"/>
        </w:rPr>
        <w:t>：</w:t>
      </w:r>
    </w:p>
    <w:p w14:paraId="49EB415C">
      <w:pPr>
        <w:autoSpaceDE w:val="0"/>
        <w:autoSpaceDN w:val="0"/>
        <w:adjustRightInd w:val="0"/>
        <w:snapToGrid w:val="0"/>
        <w:spacing w:line="360" w:lineRule="auto"/>
        <w:ind w:firstLine="420" w:firstLineChars="200"/>
        <w:jc w:val="left"/>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招标文件的规定递交低价风险担保。同时，我公司已落实低价风险担保的提交方案，承诺如采用保函形式提交低价风险担保，保函的格式和内容符合招标文件的要求。否则，我公司愿承担招标文件中约定的，因未按规定递交低价风险担保的相应责任。</w:t>
      </w:r>
    </w:p>
    <w:p w14:paraId="220EA67B">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14:paraId="58D27E27">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57A125B">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14:paraId="17819B69">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502DB11D">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14:paraId="40E745A6">
      <w:pPr>
        <w:jc w:val="right"/>
        <w:rPr>
          <w:rFonts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bookmarkEnd w:id="893"/>
    <w:bookmarkEnd w:id="894"/>
    <w:p w14:paraId="43203D7D">
      <w:pPr>
        <w:rPr>
          <w:color w:val="auto"/>
          <w:highlight w:val="none"/>
        </w:rPr>
      </w:pPr>
    </w:p>
    <w:sectPr>
      <w:pgSz w:w="11906" w:h="16838"/>
      <w:pgMar w:top="1440" w:right="1576" w:bottom="1440" w:left="1463" w:header="851" w:footer="992" w:gutter="0"/>
      <w:pgBorders>
        <w:top w:val="none" w:sz="0" w:space="0"/>
        <w:left w:val="none" w:sz="0" w:space="0"/>
        <w:bottom w:val="none" w:sz="0" w:space="0"/>
        <w:right w:val="none" w:sz="0" w:space="0"/>
      </w:pgBorders>
      <w:cols w:space="0" w:num="1"/>
      <w:titlePg/>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5A0C19C-070A-41E5-A6C7-C434946D2A34}"/>
  </w:font>
  <w:font w:name="黑体">
    <w:panose1 w:val="02010609060101010101"/>
    <w:charset w:val="86"/>
    <w:family w:val="auto"/>
    <w:pitch w:val="default"/>
    <w:sig w:usb0="800002BF" w:usb1="38CF7CFA" w:usb2="00000016" w:usb3="00000000" w:csb0="00040001" w:csb1="00000000"/>
    <w:embedRegular r:id="rId2" w:fontKey="{EBEBB8E7-6CF0-439D-AAF8-9C74D834BA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F239F8D3-F231-42B4-889E-B659908736C1}"/>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4" w:fontKey="{602F5A5F-344E-409B-A9C7-5C4764722CE3}"/>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7F" w:usb3="00000000" w:csb0="203F01FF" w:csb1="DFFF0000"/>
  </w:font>
  <w:font w:name="宋体-简">
    <w:altName w:val="宋体"/>
    <w:panose1 w:val="00000000000000000000"/>
    <w:charset w:val="86"/>
    <w:family w:val="auto"/>
    <w:pitch w:val="default"/>
    <w:sig w:usb0="00000000" w:usb1="00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embedRegular r:id="rId5" w:fontKey="{79930D5F-8C79-40E0-BC0A-B4AC7C5A720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BE07FB">
    <w:pPr>
      <w:pStyle w:val="27"/>
      <w:jc w:val="center"/>
    </w:pPr>
  </w:p>
  <w:p w14:paraId="1E3ECDB1">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1CE8A">
    <w:pPr>
      <w:pStyle w:val="27"/>
      <w:framePr w:wrap="around" w:vAnchor="text" w:hAnchor="margin" w:xAlign="center" w:y="1"/>
      <w:rPr>
        <w:rStyle w:val="48"/>
      </w:rPr>
    </w:pPr>
    <w:r>
      <w:fldChar w:fldCharType="begin"/>
    </w:r>
    <w:r>
      <w:rPr>
        <w:rStyle w:val="48"/>
      </w:rPr>
      <w:instrText xml:space="preserve">PAGE  </w:instrText>
    </w:r>
    <w:r>
      <w:fldChar w:fldCharType="end"/>
    </w:r>
  </w:p>
  <w:p w14:paraId="306EC009">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63EEA">
    <w:pPr>
      <w:pStyle w:val="27"/>
      <w:jc w:val="center"/>
    </w:pPr>
    <w:r>
      <w:fldChar w:fldCharType="begin"/>
    </w:r>
    <w:r>
      <w:instrText xml:space="preserve">PAGE   \* MERGEFORMAT</w:instrText>
    </w:r>
    <w:r>
      <w:fldChar w:fldCharType="separate"/>
    </w:r>
    <w:r>
      <w:rPr>
        <w:lang w:val="zh-CN"/>
      </w:rPr>
      <w:t>22</w:t>
    </w:r>
    <w:r>
      <w:fldChar w:fldCharType="end"/>
    </w:r>
  </w:p>
  <w:p w14:paraId="6A39F657">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992E6">
    <w:pPr>
      <w:pStyle w:val="27"/>
      <w:jc w:val="center"/>
    </w:pPr>
    <w:r>
      <w:fldChar w:fldCharType="begin"/>
    </w:r>
    <w:r>
      <w:instrText xml:space="preserve">PAGE   \* MERGEFORMAT</w:instrText>
    </w:r>
    <w:r>
      <w:fldChar w:fldCharType="separate"/>
    </w:r>
    <w:r>
      <w:rPr>
        <w:lang w:val="zh-CN"/>
      </w:rPr>
      <w:t>13</w:t>
    </w:r>
    <w:r>
      <w:fldChar w:fldCharType="end"/>
    </w:r>
  </w:p>
  <w:p w14:paraId="2BBAC455">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5D88A8">
    <w:pPr>
      <w:pStyle w:val="27"/>
      <w:framePr w:w="520" w:h="235" w:hRule="exact" w:wrap="around" w:vAnchor="text" w:hAnchor="page" w:x="6073" w:y="-2"/>
      <w:rPr>
        <w:rStyle w:val="48"/>
      </w:rPr>
    </w:pPr>
    <w:r>
      <w:fldChar w:fldCharType="begin"/>
    </w:r>
    <w:r>
      <w:rPr>
        <w:rStyle w:val="48"/>
      </w:rPr>
      <w:instrText xml:space="preserve">PAGE  </w:instrText>
    </w:r>
    <w:r>
      <w:fldChar w:fldCharType="separate"/>
    </w:r>
    <w:r>
      <w:rPr>
        <w:rStyle w:val="48"/>
      </w:rPr>
      <w:t>20</w:t>
    </w:r>
    <w:r>
      <w:fldChar w:fldCharType="end"/>
    </w:r>
  </w:p>
  <w:p w14:paraId="510CC1F7">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713D7A">
    <w:pPr>
      <w:pStyle w:val="27"/>
      <w:framePr w:w="520" w:h="235" w:hRule="exact" w:wrap="around" w:vAnchor="text" w:hAnchor="page" w:x="6073" w:y="-2"/>
      <w:rPr>
        <w:rStyle w:val="48"/>
      </w:rPr>
    </w:pPr>
    <w:r>
      <w:fldChar w:fldCharType="begin"/>
    </w:r>
    <w:r>
      <w:rPr>
        <w:rStyle w:val="48"/>
      </w:rPr>
      <w:instrText xml:space="preserve">PAGE  </w:instrText>
    </w:r>
    <w:r>
      <w:fldChar w:fldCharType="separate"/>
    </w:r>
    <w:r>
      <w:rPr>
        <w:rStyle w:val="48"/>
      </w:rPr>
      <w:t>24</w:t>
    </w:r>
    <w:r>
      <w:fldChar w:fldCharType="end"/>
    </w:r>
  </w:p>
  <w:p w14:paraId="33A33E30">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8D45E7">
    <w:pPr>
      <w:pStyle w:val="27"/>
      <w:ind w:right="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536020">
                          <w:pPr>
                            <w:pStyle w:val="27"/>
                            <w:rPr>
                              <w:rStyle w:val="48"/>
                            </w:rPr>
                          </w:pPr>
                          <w:r>
                            <w:fldChar w:fldCharType="begin"/>
                          </w:r>
                          <w:r>
                            <w:rPr>
                              <w:rStyle w:val="48"/>
                            </w:rPr>
                            <w:instrText xml:space="preserve">PAGE  </w:instrText>
                          </w:r>
                          <w:r>
                            <w:fldChar w:fldCharType="separate"/>
                          </w:r>
                          <w:r>
                            <w:rPr>
                              <w:rStyle w:val="48"/>
                            </w:rPr>
                            <w:t>34</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43536020">
                    <w:pPr>
                      <w:pStyle w:val="27"/>
                      <w:rPr>
                        <w:rStyle w:val="48"/>
                      </w:rPr>
                    </w:pPr>
                    <w:r>
                      <w:fldChar w:fldCharType="begin"/>
                    </w:r>
                    <w:r>
                      <w:rPr>
                        <w:rStyle w:val="48"/>
                      </w:rPr>
                      <w:instrText xml:space="preserve">PAGE  </w:instrText>
                    </w:r>
                    <w:r>
                      <w:fldChar w:fldCharType="separate"/>
                    </w:r>
                    <w:r>
                      <w:rPr>
                        <w:rStyle w:val="48"/>
                      </w:rPr>
                      <w:t>34</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AE0CC">
    <w:pPr>
      <w:pStyle w:val="2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AE4275">
                          <w:pPr>
                            <w:pStyle w:val="27"/>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51AE4275">
                    <w:pPr>
                      <w:pStyle w:val="27"/>
                    </w:pPr>
                    <w:r>
                      <w:rPr>
                        <w:rFonts w:hint="eastAsia"/>
                      </w:rPr>
                      <w:fldChar w:fldCharType="begin"/>
                    </w:r>
                    <w:r>
                      <w:rPr>
                        <w:rFonts w:hint="eastAsia"/>
                      </w:rPr>
                      <w:instrText xml:space="preserve"> PAGE  \* MERGEFORMAT </w:instrText>
                    </w:r>
                    <w:r>
                      <w:rPr>
                        <w:rFonts w:hint="eastAsia"/>
                      </w:rPr>
                      <w:fldChar w:fldCharType="separate"/>
                    </w:r>
                    <w:r>
                      <w:t>33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7C072">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D41D1F"/>
    <w:multiLevelType w:val="singleLevel"/>
    <w:tmpl w:val="85D41D1F"/>
    <w:lvl w:ilvl="0" w:tentative="0">
      <w:start w:val="1"/>
      <w:numFmt w:val="decimal"/>
      <w:suff w:val="nothing"/>
      <w:lvlText w:val="%1、"/>
      <w:lvlJc w:val="left"/>
    </w:lvl>
  </w:abstractNum>
  <w:abstractNum w:abstractNumId="1">
    <w:nsid w:val="9CBF54FB"/>
    <w:multiLevelType w:val="singleLevel"/>
    <w:tmpl w:val="9CBF54FB"/>
    <w:lvl w:ilvl="0" w:tentative="0">
      <w:start w:val="1"/>
      <w:numFmt w:val="decimal"/>
      <w:lvlText w:val="(%1)"/>
      <w:lvlJc w:val="left"/>
      <w:pPr>
        <w:ind w:left="425" w:hanging="425"/>
      </w:pPr>
      <w:rPr>
        <w:rFonts w:hint="default"/>
      </w:rPr>
    </w:lvl>
  </w:abstractNum>
  <w:abstractNum w:abstractNumId="2">
    <w:nsid w:val="B4C4B53F"/>
    <w:multiLevelType w:val="singleLevel"/>
    <w:tmpl w:val="B4C4B53F"/>
    <w:lvl w:ilvl="0" w:tentative="0">
      <w:start w:val="5"/>
      <w:numFmt w:val="decimal"/>
      <w:suff w:val="nothing"/>
      <w:lvlText w:val="%1、"/>
      <w:lvlJc w:val="left"/>
    </w:lvl>
  </w:abstractNum>
  <w:abstractNum w:abstractNumId="3">
    <w:nsid w:val="C6DEEEE1"/>
    <w:multiLevelType w:val="singleLevel"/>
    <w:tmpl w:val="C6DEEEE1"/>
    <w:lvl w:ilvl="0" w:tentative="0">
      <w:start w:val="1"/>
      <w:numFmt w:val="chineseCounting"/>
      <w:suff w:val="nothing"/>
      <w:lvlText w:val="%1、"/>
      <w:lvlJc w:val="left"/>
      <w:pPr>
        <w:ind w:left="0" w:firstLine="420"/>
      </w:pPr>
      <w:rPr>
        <w:rFonts w:hint="eastAsia"/>
      </w:rPr>
    </w:lvl>
  </w:abstractNum>
  <w:abstractNum w:abstractNumId="4">
    <w:nsid w:val="C87D13C6"/>
    <w:multiLevelType w:val="singleLevel"/>
    <w:tmpl w:val="C87D13C6"/>
    <w:lvl w:ilvl="0" w:tentative="0">
      <w:start w:val="3"/>
      <w:numFmt w:val="chineseCounting"/>
      <w:suff w:val="space"/>
      <w:lvlText w:val="第%1章"/>
      <w:lvlJc w:val="left"/>
      <w:rPr>
        <w:rFonts w:hint="eastAsia"/>
      </w:rPr>
    </w:lvl>
  </w:abstractNum>
  <w:abstractNum w:abstractNumId="5">
    <w:nsid w:val="F5EAA11E"/>
    <w:multiLevelType w:val="singleLevel"/>
    <w:tmpl w:val="F5EAA11E"/>
    <w:lvl w:ilvl="0" w:tentative="0">
      <w:start w:val="1"/>
      <w:numFmt w:val="decimal"/>
      <w:suff w:val="nothing"/>
      <w:lvlText w:val="（%1）"/>
      <w:lvlJc w:val="left"/>
    </w:lvl>
  </w:abstractNum>
  <w:abstractNum w:abstractNumId="6">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5"/>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7">
    <w:nsid w:val="3871CE1D"/>
    <w:multiLevelType w:val="singleLevel"/>
    <w:tmpl w:val="3871CE1D"/>
    <w:lvl w:ilvl="0" w:tentative="0">
      <w:start w:val="1"/>
      <w:numFmt w:val="chineseCounting"/>
      <w:suff w:val="nothing"/>
      <w:lvlText w:val="%1、"/>
      <w:lvlJc w:val="left"/>
      <w:rPr>
        <w:rFonts w:hint="eastAsia"/>
      </w:rPr>
    </w:lvl>
  </w:abstractNum>
  <w:abstractNum w:abstractNumId="8">
    <w:nsid w:val="4BB597E9"/>
    <w:multiLevelType w:val="singleLevel"/>
    <w:tmpl w:val="4BB597E9"/>
    <w:lvl w:ilvl="0" w:tentative="0">
      <w:start w:val="1"/>
      <w:numFmt w:val="decimal"/>
      <w:suff w:val="nothing"/>
      <w:lvlText w:val="（%1）"/>
      <w:lvlJc w:val="left"/>
    </w:lvl>
  </w:abstractNum>
  <w:abstractNum w:abstractNumId="9">
    <w:nsid w:val="651AAFD3"/>
    <w:multiLevelType w:val="singleLevel"/>
    <w:tmpl w:val="651AAFD3"/>
    <w:lvl w:ilvl="0" w:tentative="0">
      <w:start w:val="1"/>
      <w:numFmt w:val="decimal"/>
      <w:suff w:val="nothing"/>
      <w:lvlText w:val="%1、"/>
      <w:lvlJc w:val="left"/>
    </w:lvl>
  </w:abstractNum>
  <w:abstractNum w:abstractNumId="10">
    <w:nsid w:val="70413B3D"/>
    <w:multiLevelType w:val="singleLevel"/>
    <w:tmpl w:val="70413B3D"/>
    <w:lvl w:ilvl="0" w:tentative="0">
      <w:start w:val="2"/>
      <w:numFmt w:val="chineseCounting"/>
      <w:suff w:val="space"/>
      <w:lvlText w:val="第%1章"/>
      <w:lvlJc w:val="left"/>
      <w:rPr>
        <w:rFonts w:hint="eastAsia"/>
      </w:rPr>
    </w:lvl>
  </w:abstractNum>
  <w:num w:numId="1">
    <w:abstractNumId w:val="6"/>
  </w:num>
  <w:num w:numId="2">
    <w:abstractNumId w:val="10"/>
  </w:num>
  <w:num w:numId="3">
    <w:abstractNumId w:val="8"/>
  </w:num>
  <w:num w:numId="4">
    <w:abstractNumId w:val="2"/>
  </w:num>
  <w:num w:numId="5">
    <w:abstractNumId w:val="1"/>
  </w:num>
  <w:num w:numId="6">
    <w:abstractNumId w:val="5"/>
  </w:num>
  <w:num w:numId="7">
    <w:abstractNumId w:val="0"/>
  </w:num>
  <w:num w:numId="8">
    <w:abstractNumId w:val="4"/>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0"/>
  <w:drawingGridVerticalSpacing w:val="16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I3ZWIzODJkYWM5YjA2ZDE5YWVhMjgxZTFhYjA5MTg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0836"/>
    <w:rsid w:val="000C153A"/>
    <w:rsid w:val="000C1FF9"/>
    <w:rsid w:val="000C337E"/>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50A2"/>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6B"/>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1FE1"/>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377CE"/>
    <w:rsid w:val="002460EA"/>
    <w:rsid w:val="00246DBB"/>
    <w:rsid w:val="002501D5"/>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A6350"/>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41CB"/>
    <w:rsid w:val="00305027"/>
    <w:rsid w:val="003111A2"/>
    <w:rsid w:val="0031451A"/>
    <w:rsid w:val="0031530B"/>
    <w:rsid w:val="00321B30"/>
    <w:rsid w:val="00322C4B"/>
    <w:rsid w:val="00323A00"/>
    <w:rsid w:val="0032479B"/>
    <w:rsid w:val="00325CDF"/>
    <w:rsid w:val="00326D75"/>
    <w:rsid w:val="003331DE"/>
    <w:rsid w:val="003332D7"/>
    <w:rsid w:val="00333974"/>
    <w:rsid w:val="003349A6"/>
    <w:rsid w:val="003357D8"/>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85F65"/>
    <w:rsid w:val="0039099F"/>
    <w:rsid w:val="00394802"/>
    <w:rsid w:val="00397134"/>
    <w:rsid w:val="003A063A"/>
    <w:rsid w:val="003A67CF"/>
    <w:rsid w:val="003B5115"/>
    <w:rsid w:val="003B5AAE"/>
    <w:rsid w:val="003B696A"/>
    <w:rsid w:val="003C18C8"/>
    <w:rsid w:val="003C28DD"/>
    <w:rsid w:val="003C4C34"/>
    <w:rsid w:val="003C7632"/>
    <w:rsid w:val="003C7809"/>
    <w:rsid w:val="003C7881"/>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370"/>
    <w:rsid w:val="00420586"/>
    <w:rsid w:val="00420FC3"/>
    <w:rsid w:val="00421DFA"/>
    <w:rsid w:val="00423CEA"/>
    <w:rsid w:val="00426621"/>
    <w:rsid w:val="0043226B"/>
    <w:rsid w:val="00432A83"/>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570C9"/>
    <w:rsid w:val="00461AD0"/>
    <w:rsid w:val="004634AB"/>
    <w:rsid w:val="00466348"/>
    <w:rsid w:val="004706E6"/>
    <w:rsid w:val="0047569F"/>
    <w:rsid w:val="00476803"/>
    <w:rsid w:val="004774EC"/>
    <w:rsid w:val="00480132"/>
    <w:rsid w:val="004802D9"/>
    <w:rsid w:val="00480BDB"/>
    <w:rsid w:val="00481CDD"/>
    <w:rsid w:val="0048320C"/>
    <w:rsid w:val="0048519D"/>
    <w:rsid w:val="004851D3"/>
    <w:rsid w:val="0049208D"/>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0D72"/>
    <w:rsid w:val="004E6A77"/>
    <w:rsid w:val="004F05BD"/>
    <w:rsid w:val="004F5845"/>
    <w:rsid w:val="004F7236"/>
    <w:rsid w:val="005016AD"/>
    <w:rsid w:val="00501C58"/>
    <w:rsid w:val="00502E26"/>
    <w:rsid w:val="00504EDE"/>
    <w:rsid w:val="005118BF"/>
    <w:rsid w:val="005142E6"/>
    <w:rsid w:val="00514C5C"/>
    <w:rsid w:val="00514DF5"/>
    <w:rsid w:val="005216B1"/>
    <w:rsid w:val="005230E8"/>
    <w:rsid w:val="005248B7"/>
    <w:rsid w:val="00524AAD"/>
    <w:rsid w:val="00527DED"/>
    <w:rsid w:val="0053576A"/>
    <w:rsid w:val="0053749E"/>
    <w:rsid w:val="0053783C"/>
    <w:rsid w:val="00537B50"/>
    <w:rsid w:val="00540A63"/>
    <w:rsid w:val="00541EAD"/>
    <w:rsid w:val="00543B84"/>
    <w:rsid w:val="00547A20"/>
    <w:rsid w:val="00551444"/>
    <w:rsid w:val="005516BA"/>
    <w:rsid w:val="005539A0"/>
    <w:rsid w:val="00554CE3"/>
    <w:rsid w:val="005638B5"/>
    <w:rsid w:val="00565E3C"/>
    <w:rsid w:val="0056641F"/>
    <w:rsid w:val="005668C7"/>
    <w:rsid w:val="00571660"/>
    <w:rsid w:val="0057233D"/>
    <w:rsid w:val="00573321"/>
    <w:rsid w:val="005758E3"/>
    <w:rsid w:val="005914DA"/>
    <w:rsid w:val="00591F3F"/>
    <w:rsid w:val="00594228"/>
    <w:rsid w:val="005946A1"/>
    <w:rsid w:val="00594DBC"/>
    <w:rsid w:val="0059501D"/>
    <w:rsid w:val="0059709C"/>
    <w:rsid w:val="005A0E5B"/>
    <w:rsid w:val="005A1707"/>
    <w:rsid w:val="005A390C"/>
    <w:rsid w:val="005A3A26"/>
    <w:rsid w:val="005A6CF0"/>
    <w:rsid w:val="005B0870"/>
    <w:rsid w:val="005B2C7F"/>
    <w:rsid w:val="005B427D"/>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5F65CD"/>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1725"/>
    <w:rsid w:val="0065343F"/>
    <w:rsid w:val="00662461"/>
    <w:rsid w:val="00663AC4"/>
    <w:rsid w:val="00663C2A"/>
    <w:rsid w:val="00664ABD"/>
    <w:rsid w:val="00670D51"/>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4C4F"/>
    <w:rsid w:val="007A5B10"/>
    <w:rsid w:val="007A6154"/>
    <w:rsid w:val="007A683C"/>
    <w:rsid w:val="007A6D78"/>
    <w:rsid w:val="007B04A9"/>
    <w:rsid w:val="007B119C"/>
    <w:rsid w:val="007B187B"/>
    <w:rsid w:val="007B1FF2"/>
    <w:rsid w:val="007B536D"/>
    <w:rsid w:val="007B53BD"/>
    <w:rsid w:val="007C074F"/>
    <w:rsid w:val="007C1CF6"/>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2C7F"/>
    <w:rsid w:val="00825742"/>
    <w:rsid w:val="00833989"/>
    <w:rsid w:val="00833FEE"/>
    <w:rsid w:val="00834654"/>
    <w:rsid w:val="008346F1"/>
    <w:rsid w:val="008354B1"/>
    <w:rsid w:val="008365E2"/>
    <w:rsid w:val="00836AA3"/>
    <w:rsid w:val="0084014A"/>
    <w:rsid w:val="00840D93"/>
    <w:rsid w:val="0084176C"/>
    <w:rsid w:val="00842B75"/>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5DBE"/>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16E4"/>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35E3"/>
    <w:rsid w:val="0094715F"/>
    <w:rsid w:val="009514A5"/>
    <w:rsid w:val="00951F63"/>
    <w:rsid w:val="00953549"/>
    <w:rsid w:val="00954247"/>
    <w:rsid w:val="009564C7"/>
    <w:rsid w:val="00956F8D"/>
    <w:rsid w:val="009572C8"/>
    <w:rsid w:val="00962870"/>
    <w:rsid w:val="00962ACC"/>
    <w:rsid w:val="00964B02"/>
    <w:rsid w:val="0096531D"/>
    <w:rsid w:val="009661C5"/>
    <w:rsid w:val="00972900"/>
    <w:rsid w:val="00972B04"/>
    <w:rsid w:val="00972BE1"/>
    <w:rsid w:val="00974712"/>
    <w:rsid w:val="00974ED2"/>
    <w:rsid w:val="009756CC"/>
    <w:rsid w:val="00984865"/>
    <w:rsid w:val="00987F58"/>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1C4E"/>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9A"/>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134E"/>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2ED"/>
    <w:rsid w:val="00B94AC5"/>
    <w:rsid w:val="00B95D90"/>
    <w:rsid w:val="00B96171"/>
    <w:rsid w:val="00B97C03"/>
    <w:rsid w:val="00BA114B"/>
    <w:rsid w:val="00BA3803"/>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3CB4"/>
    <w:rsid w:val="00BF4AB9"/>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37E48"/>
    <w:rsid w:val="00C415BC"/>
    <w:rsid w:val="00C44E2D"/>
    <w:rsid w:val="00C46B60"/>
    <w:rsid w:val="00C474B2"/>
    <w:rsid w:val="00C563B6"/>
    <w:rsid w:val="00C605D1"/>
    <w:rsid w:val="00C624A2"/>
    <w:rsid w:val="00C65656"/>
    <w:rsid w:val="00C66A53"/>
    <w:rsid w:val="00C66FB7"/>
    <w:rsid w:val="00C76490"/>
    <w:rsid w:val="00C848C9"/>
    <w:rsid w:val="00C8655B"/>
    <w:rsid w:val="00C91CDE"/>
    <w:rsid w:val="00C91F22"/>
    <w:rsid w:val="00C92C81"/>
    <w:rsid w:val="00C943E9"/>
    <w:rsid w:val="00C9715E"/>
    <w:rsid w:val="00CA01B6"/>
    <w:rsid w:val="00CA2781"/>
    <w:rsid w:val="00CA398D"/>
    <w:rsid w:val="00CA45CB"/>
    <w:rsid w:val="00CA6808"/>
    <w:rsid w:val="00CA7567"/>
    <w:rsid w:val="00CB3A28"/>
    <w:rsid w:val="00CB452C"/>
    <w:rsid w:val="00CB4A3D"/>
    <w:rsid w:val="00CB5C0F"/>
    <w:rsid w:val="00CB7FDA"/>
    <w:rsid w:val="00CC505F"/>
    <w:rsid w:val="00CC5715"/>
    <w:rsid w:val="00CD1726"/>
    <w:rsid w:val="00CD1788"/>
    <w:rsid w:val="00CD225D"/>
    <w:rsid w:val="00CD4175"/>
    <w:rsid w:val="00CD6C71"/>
    <w:rsid w:val="00CD78E5"/>
    <w:rsid w:val="00CE076F"/>
    <w:rsid w:val="00CE0AF3"/>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537A"/>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0D79"/>
    <w:rsid w:val="00DF1985"/>
    <w:rsid w:val="00DF4CFA"/>
    <w:rsid w:val="00DF5B31"/>
    <w:rsid w:val="00E02114"/>
    <w:rsid w:val="00E03783"/>
    <w:rsid w:val="00E06502"/>
    <w:rsid w:val="00E0716D"/>
    <w:rsid w:val="00E10E7C"/>
    <w:rsid w:val="00E15007"/>
    <w:rsid w:val="00E17769"/>
    <w:rsid w:val="00E20ABC"/>
    <w:rsid w:val="00E23505"/>
    <w:rsid w:val="00E24890"/>
    <w:rsid w:val="00E26737"/>
    <w:rsid w:val="00E30BDB"/>
    <w:rsid w:val="00E31348"/>
    <w:rsid w:val="00E34C6A"/>
    <w:rsid w:val="00E36724"/>
    <w:rsid w:val="00E42612"/>
    <w:rsid w:val="00E42AF9"/>
    <w:rsid w:val="00E44E76"/>
    <w:rsid w:val="00E457A5"/>
    <w:rsid w:val="00E45EDE"/>
    <w:rsid w:val="00E47DBF"/>
    <w:rsid w:val="00E516C7"/>
    <w:rsid w:val="00E52FD0"/>
    <w:rsid w:val="00E53668"/>
    <w:rsid w:val="00E562C9"/>
    <w:rsid w:val="00E57CE7"/>
    <w:rsid w:val="00E64D73"/>
    <w:rsid w:val="00E65B2B"/>
    <w:rsid w:val="00E73F6E"/>
    <w:rsid w:val="00E82559"/>
    <w:rsid w:val="00E84AD3"/>
    <w:rsid w:val="00E8555A"/>
    <w:rsid w:val="00E907D3"/>
    <w:rsid w:val="00E9117E"/>
    <w:rsid w:val="00E91C2B"/>
    <w:rsid w:val="00E9267B"/>
    <w:rsid w:val="00E9477F"/>
    <w:rsid w:val="00EA168E"/>
    <w:rsid w:val="00EA2585"/>
    <w:rsid w:val="00EA416E"/>
    <w:rsid w:val="00EA4665"/>
    <w:rsid w:val="00EA6533"/>
    <w:rsid w:val="00EA7196"/>
    <w:rsid w:val="00EB209E"/>
    <w:rsid w:val="00EB60B2"/>
    <w:rsid w:val="00EB6899"/>
    <w:rsid w:val="00EC0980"/>
    <w:rsid w:val="00EC0FB9"/>
    <w:rsid w:val="00EC1329"/>
    <w:rsid w:val="00EC1698"/>
    <w:rsid w:val="00EC21B3"/>
    <w:rsid w:val="00EC26B2"/>
    <w:rsid w:val="00EC4BAC"/>
    <w:rsid w:val="00EC542A"/>
    <w:rsid w:val="00EC58D0"/>
    <w:rsid w:val="00EC6200"/>
    <w:rsid w:val="00ED29DF"/>
    <w:rsid w:val="00EE220D"/>
    <w:rsid w:val="00EE440D"/>
    <w:rsid w:val="00EE4955"/>
    <w:rsid w:val="00EE5143"/>
    <w:rsid w:val="00EE6AEA"/>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0101"/>
    <w:rsid w:val="00F425FC"/>
    <w:rsid w:val="00F43948"/>
    <w:rsid w:val="00F44225"/>
    <w:rsid w:val="00F4432F"/>
    <w:rsid w:val="00F47A3D"/>
    <w:rsid w:val="00F47D02"/>
    <w:rsid w:val="00F518DB"/>
    <w:rsid w:val="00F53D6E"/>
    <w:rsid w:val="00F5528C"/>
    <w:rsid w:val="00F55898"/>
    <w:rsid w:val="00F55EB1"/>
    <w:rsid w:val="00F56076"/>
    <w:rsid w:val="00F620DD"/>
    <w:rsid w:val="00F6265D"/>
    <w:rsid w:val="00F646A2"/>
    <w:rsid w:val="00F65BF5"/>
    <w:rsid w:val="00F66766"/>
    <w:rsid w:val="00F70302"/>
    <w:rsid w:val="00F72A20"/>
    <w:rsid w:val="00F72AAD"/>
    <w:rsid w:val="00F72FBB"/>
    <w:rsid w:val="00F73BC2"/>
    <w:rsid w:val="00F73F3B"/>
    <w:rsid w:val="00F74775"/>
    <w:rsid w:val="00F75143"/>
    <w:rsid w:val="00F807D7"/>
    <w:rsid w:val="00F8218B"/>
    <w:rsid w:val="00F821AD"/>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C65F4"/>
    <w:rsid w:val="00FD2B70"/>
    <w:rsid w:val="00FD480A"/>
    <w:rsid w:val="00FD4E1C"/>
    <w:rsid w:val="00FD5A4F"/>
    <w:rsid w:val="00FE041C"/>
    <w:rsid w:val="00FE3166"/>
    <w:rsid w:val="00FE3EEF"/>
    <w:rsid w:val="00FE5EBF"/>
    <w:rsid w:val="00FE7AEA"/>
    <w:rsid w:val="00FF3180"/>
    <w:rsid w:val="00FF4C28"/>
    <w:rsid w:val="00FF569F"/>
    <w:rsid w:val="00FF7182"/>
    <w:rsid w:val="0103164E"/>
    <w:rsid w:val="01161381"/>
    <w:rsid w:val="013A26A0"/>
    <w:rsid w:val="01583748"/>
    <w:rsid w:val="015D18DC"/>
    <w:rsid w:val="016C63EF"/>
    <w:rsid w:val="0171740C"/>
    <w:rsid w:val="01852BD3"/>
    <w:rsid w:val="018A6C3C"/>
    <w:rsid w:val="01976C47"/>
    <w:rsid w:val="019F250B"/>
    <w:rsid w:val="01A3653E"/>
    <w:rsid w:val="01A8609A"/>
    <w:rsid w:val="01C17A5F"/>
    <w:rsid w:val="01C667FC"/>
    <w:rsid w:val="01E054EB"/>
    <w:rsid w:val="01EB691B"/>
    <w:rsid w:val="01F0355E"/>
    <w:rsid w:val="01F049C2"/>
    <w:rsid w:val="01F40F97"/>
    <w:rsid w:val="01F5332B"/>
    <w:rsid w:val="01F9043A"/>
    <w:rsid w:val="02064357"/>
    <w:rsid w:val="02155A13"/>
    <w:rsid w:val="02195A53"/>
    <w:rsid w:val="02214E85"/>
    <w:rsid w:val="02387DE2"/>
    <w:rsid w:val="02532161"/>
    <w:rsid w:val="025920CC"/>
    <w:rsid w:val="02616E57"/>
    <w:rsid w:val="0270019B"/>
    <w:rsid w:val="02720839"/>
    <w:rsid w:val="02754BE2"/>
    <w:rsid w:val="02813AD2"/>
    <w:rsid w:val="02844CE4"/>
    <w:rsid w:val="028F3D5E"/>
    <w:rsid w:val="029D41FE"/>
    <w:rsid w:val="02A800C5"/>
    <w:rsid w:val="02A814F4"/>
    <w:rsid w:val="02BD6798"/>
    <w:rsid w:val="02C6499B"/>
    <w:rsid w:val="02C91CAA"/>
    <w:rsid w:val="02E36B97"/>
    <w:rsid w:val="02EA61D4"/>
    <w:rsid w:val="02F53218"/>
    <w:rsid w:val="03127926"/>
    <w:rsid w:val="03137680"/>
    <w:rsid w:val="0316299A"/>
    <w:rsid w:val="031B3B46"/>
    <w:rsid w:val="031C2E9A"/>
    <w:rsid w:val="03200295"/>
    <w:rsid w:val="03304250"/>
    <w:rsid w:val="033D65BD"/>
    <w:rsid w:val="033E10EB"/>
    <w:rsid w:val="03410496"/>
    <w:rsid w:val="034D6BB0"/>
    <w:rsid w:val="036F6B27"/>
    <w:rsid w:val="037D0CD2"/>
    <w:rsid w:val="038B3366"/>
    <w:rsid w:val="03903544"/>
    <w:rsid w:val="03981B5E"/>
    <w:rsid w:val="03996EAD"/>
    <w:rsid w:val="039E565E"/>
    <w:rsid w:val="03B501AB"/>
    <w:rsid w:val="03B819D7"/>
    <w:rsid w:val="03BB03A0"/>
    <w:rsid w:val="03C169FD"/>
    <w:rsid w:val="03C649D4"/>
    <w:rsid w:val="03CF5817"/>
    <w:rsid w:val="03D95E13"/>
    <w:rsid w:val="03DB75BC"/>
    <w:rsid w:val="03DD1CE2"/>
    <w:rsid w:val="03DF4FA7"/>
    <w:rsid w:val="03F60BFA"/>
    <w:rsid w:val="03FD3D3F"/>
    <w:rsid w:val="03FD4168"/>
    <w:rsid w:val="04023CC8"/>
    <w:rsid w:val="04031A8C"/>
    <w:rsid w:val="04074EC0"/>
    <w:rsid w:val="041B151E"/>
    <w:rsid w:val="042674F4"/>
    <w:rsid w:val="042D3C13"/>
    <w:rsid w:val="04461F7D"/>
    <w:rsid w:val="04471852"/>
    <w:rsid w:val="046046C1"/>
    <w:rsid w:val="04620439"/>
    <w:rsid w:val="04722D72"/>
    <w:rsid w:val="04730C2E"/>
    <w:rsid w:val="047A0BBC"/>
    <w:rsid w:val="0480239D"/>
    <w:rsid w:val="04830723"/>
    <w:rsid w:val="049443A0"/>
    <w:rsid w:val="0499689A"/>
    <w:rsid w:val="04A3483A"/>
    <w:rsid w:val="04A75810"/>
    <w:rsid w:val="04A82A9E"/>
    <w:rsid w:val="04C05DD9"/>
    <w:rsid w:val="04C12ED8"/>
    <w:rsid w:val="04C40774"/>
    <w:rsid w:val="04CB0441"/>
    <w:rsid w:val="04CC2756"/>
    <w:rsid w:val="04D65528"/>
    <w:rsid w:val="04D700E0"/>
    <w:rsid w:val="04DA4474"/>
    <w:rsid w:val="04DC5749"/>
    <w:rsid w:val="04DF1A8A"/>
    <w:rsid w:val="04E20559"/>
    <w:rsid w:val="04E26FED"/>
    <w:rsid w:val="04E41F94"/>
    <w:rsid w:val="04EE4C2C"/>
    <w:rsid w:val="04EE7F1F"/>
    <w:rsid w:val="04FD6633"/>
    <w:rsid w:val="05086B01"/>
    <w:rsid w:val="05091758"/>
    <w:rsid w:val="0518141E"/>
    <w:rsid w:val="052971A9"/>
    <w:rsid w:val="052E2B3B"/>
    <w:rsid w:val="05432019"/>
    <w:rsid w:val="054416D2"/>
    <w:rsid w:val="05507F0F"/>
    <w:rsid w:val="0564405C"/>
    <w:rsid w:val="057A4A8F"/>
    <w:rsid w:val="058663AA"/>
    <w:rsid w:val="05871A0A"/>
    <w:rsid w:val="05921BD7"/>
    <w:rsid w:val="05A10A5E"/>
    <w:rsid w:val="05A369C4"/>
    <w:rsid w:val="05A42E7B"/>
    <w:rsid w:val="05A70EA9"/>
    <w:rsid w:val="05AA4C39"/>
    <w:rsid w:val="05AE242A"/>
    <w:rsid w:val="05B2719F"/>
    <w:rsid w:val="05B66090"/>
    <w:rsid w:val="05C01DDB"/>
    <w:rsid w:val="05C55124"/>
    <w:rsid w:val="05CF5C71"/>
    <w:rsid w:val="05D55D36"/>
    <w:rsid w:val="060617A9"/>
    <w:rsid w:val="060C2525"/>
    <w:rsid w:val="06242048"/>
    <w:rsid w:val="062756FD"/>
    <w:rsid w:val="062B138D"/>
    <w:rsid w:val="0637410B"/>
    <w:rsid w:val="06385829"/>
    <w:rsid w:val="06400E10"/>
    <w:rsid w:val="06471FDD"/>
    <w:rsid w:val="06492E61"/>
    <w:rsid w:val="0650368B"/>
    <w:rsid w:val="06506CFD"/>
    <w:rsid w:val="06512C11"/>
    <w:rsid w:val="06570D1B"/>
    <w:rsid w:val="065F7A31"/>
    <w:rsid w:val="066625FE"/>
    <w:rsid w:val="066A624B"/>
    <w:rsid w:val="06797312"/>
    <w:rsid w:val="067C53E7"/>
    <w:rsid w:val="06820F5E"/>
    <w:rsid w:val="068C566F"/>
    <w:rsid w:val="068C604D"/>
    <w:rsid w:val="068F02DD"/>
    <w:rsid w:val="069B6184"/>
    <w:rsid w:val="06AA766C"/>
    <w:rsid w:val="06AB60C8"/>
    <w:rsid w:val="06AE2ABA"/>
    <w:rsid w:val="06B331CE"/>
    <w:rsid w:val="06BE2E04"/>
    <w:rsid w:val="06C75368"/>
    <w:rsid w:val="06C75DF5"/>
    <w:rsid w:val="06D03D80"/>
    <w:rsid w:val="06D14EBD"/>
    <w:rsid w:val="06DD02BB"/>
    <w:rsid w:val="06E52002"/>
    <w:rsid w:val="06E71F51"/>
    <w:rsid w:val="06F061D0"/>
    <w:rsid w:val="06F523E5"/>
    <w:rsid w:val="06F965AD"/>
    <w:rsid w:val="06FD1AAD"/>
    <w:rsid w:val="07015A91"/>
    <w:rsid w:val="07050666"/>
    <w:rsid w:val="070954E4"/>
    <w:rsid w:val="070C4371"/>
    <w:rsid w:val="070C6ABF"/>
    <w:rsid w:val="0710034B"/>
    <w:rsid w:val="07176E12"/>
    <w:rsid w:val="071C4DB7"/>
    <w:rsid w:val="072D508B"/>
    <w:rsid w:val="073377BE"/>
    <w:rsid w:val="07362674"/>
    <w:rsid w:val="0738659A"/>
    <w:rsid w:val="073B54B2"/>
    <w:rsid w:val="073C5B3F"/>
    <w:rsid w:val="07500A1D"/>
    <w:rsid w:val="07535B32"/>
    <w:rsid w:val="07537EF9"/>
    <w:rsid w:val="07595D1A"/>
    <w:rsid w:val="0761245C"/>
    <w:rsid w:val="076A349C"/>
    <w:rsid w:val="076B5857"/>
    <w:rsid w:val="077706A0"/>
    <w:rsid w:val="077E37DC"/>
    <w:rsid w:val="07815EE7"/>
    <w:rsid w:val="07821B2B"/>
    <w:rsid w:val="0788719A"/>
    <w:rsid w:val="07954CB4"/>
    <w:rsid w:val="079D47F2"/>
    <w:rsid w:val="07AA14AC"/>
    <w:rsid w:val="07AF40C5"/>
    <w:rsid w:val="07B74F40"/>
    <w:rsid w:val="07CA6A21"/>
    <w:rsid w:val="07CE2FCD"/>
    <w:rsid w:val="07D16002"/>
    <w:rsid w:val="07DB0C2F"/>
    <w:rsid w:val="07F12200"/>
    <w:rsid w:val="07F27B5E"/>
    <w:rsid w:val="08072324"/>
    <w:rsid w:val="080F59B7"/>
    <w:rsid w:val="08132EBA"/>
    <w:rsid w:val="081748AE"/>
    <w:rsid w:val="081F2B0C"/>
    <w:rsid w:val="082012B0"/>
    <w:rsid w:val="082C08A1"/>
    <w:rsid w:val="08491B20"/>
    <w:rsid w:val="084936FF"/>
    <w:rsid w:val="084E1401"/>
    <w:rsid w:val="08555E8D"/>
    <w:rsid w:val="08635851"/>
    <w:rsid w:val="08660CC0"/>
    <w:rsid w:val="08684E49"/>
    <w:rsid w:val="086A3653"/>
    <w:rsid w:val="087C111E"/>
    <w:rsid w:val="08843A30"/>
    <w:rsid w:val="08874077"/>
    <w:rsid w:val="088A14B7"/>
    <w:rsid w:val="08962DA7"/>
    <w:rsid w:val="089825DA"/>
    <w:rsid w:val="08A57417"/>
    <w:rsid w:val="08A6215D"/>
    <w:rsid w:val="08B62FD9"/>
    <w:rsid w:val="08B80F70"/>
    <w:rsid w:val="08C2359B"/>
    <w:rsid w:val="08C51C8A"/>
    <w:rsid w:val="08C92851"/>
    <w:rsid w:val="08CB4814"/>
    <w:rsid w:val="08CC4952"/>
    <w:rsid w:val="08D04875"/>
    <w:rsid w:val="08D12C8C"/>
    <w:rsid w:val="08D13CBD"/>
    <w:rsid w:val="08E049BC"/>
    <w:rsid w:val="08E32BEA"/>
    <w:rsid w:val="08FD4BD5"/>
    <w:rsid w:val="08FF042B"/>
    <w:rsid w:val="08FF3732"/>
    <w:rsid w:val="09041814"/>
    <w:rsid w:val="090B017D"/>
    <w:rsid w:val="090F1B9E"/>
    <w:rsid w:val="091123E2"/>
    <w:rsid w:val="0919314F"/>
    <w:rsid w:val="091A12E3"/>
    <w:rsid w:val="091B2D51"/>
    <w:rsid w:val="0923693C"/>
    <w:rsid w:val="092D7BDC"/>
    <w:rsid w:val="09300B06"/>
    <w:rsid w:val="09320D22"/>
    <w:rsid w:val="09332D2B"/>
    <w:rsid w:val="093911B4"/>
    <w:rsid w:val="093D3FA4"/>
    <w:rsid w:val="093E2D64"/>
    <w:rsid w:val="094579C5"/>
    <w:rsid w:val="09472203"/>
    <w:rsid w:val="09482DEA"/>
    <w:rsid w:val="094C3D6F"/>
    <w:rsid w:val="095203B9"/>
    <w:rsid w:val="096B5F1C"/>
    <w:rsid w:val="096D3B08"/>
    <w:rsid w:val="096F639D"/>
    <w:rsid w:val="09706921"/>
    <w:rsid w:val="09821F09"/>
    <w:rsid w:val="098B1DA7"/>
    <w:rsid w:val="098D4F5C"/>
    <w:rsid w:val="09907951"/>
    <w:rsid w:val="099217C1"/>
    <w:rsid w:val="099F43E4"/>
    <w:rsid w:val="09A31A61"/>
    <w:rsid w:val="09A80A8D"/>
    <w:rsid w:val="09AD65FB"/>
    <w:rsid w:val="09B259BF"/>
    <w:rsid w:val="09BA7A85"/>
    <w:rsid w:val="09C400B8"/>
    <w:rsid w:val="09CC1D29"/>
    <w:rsid w:val="09D56D89"/>
    <w:rsid w:val="09D91422"/>
    <w:rsid w:val="09DE1094"/>
    <w:rsid w:val="09DF1D71"/>
    <w:rsid w:val="09E2475B"/>
    <w:rsid w:val="09E813E1"/>
    <w:rsid w:val="09EE4F48"/>
    <w:rsid w:val="09FE6B62"/>
    <w:rsid w:val="0A05780A"/>
    <w:rsid w:val="0A0720F2"/>
    <w:rsid w:val="0A0C7B21"/>
    <w:rsid w:val="0A1E6E37"/>
    <w:rsid w:val="0A3C54E3"/>
    <w:rsid w:val="0A3E292B"/>
    <w:rsid w:val="0A3F34B7"/>
    <w:rsid w:val="0A4B11BE"/>
    <w:rsid w:val="0A5D1DCF"/>
    <w:rsid w:val="0A5E65C7"/>
    <w:rsid w:val="0A60366D"/>
    <w:rsid w:val="0A7A6896"/>
    <w:rsid w:val="0A7B4003"/>
    <w:rsid w:val="0A8530D4"/>
    <w:rsid w:val="0A8E5B8D"/>
    <w:rsid w:val="0A8F0761"/>
    <w:rsid w:val="0A962768"/>
    <w:rsid w:val="0A964CC7"/>
    <w:rsid w:val="0A9F4331"/>
    <w:rsid w:val="0AA240FA"/>
    <w:rsid w:val="0AAC0CBB"/>
    <w:rsid w:val="0AB941DB"/>
    <w:rsid w:val="0ABB60D1"/>
    <w:rsid w:val="0ACB6CFE"/>
    <w:rsid w:val="0ACD23CC"/>
    <w:rsid w:val="0AD61B81"/>
    <w:rsid w:val="0AD84BD3"/>
    <w:rsid w:val="0ADF450F"/>
    <w:rsid w:val="0AE727E9"/>
    <w:rsid w:val="0AE941D3"/>
    <w:rsid w:val="0AF85654"/>
    <w:rsid w:val="0B0264D2"/>
    <w:rsid w:val="0B1061C6"/>
    <w:rsid w:val="0B2B08D5"/>
    <w:rsid w:val="0B32274A"/>
    <w:rsid w:val="0B403483"/>
    <w:rsid w:val="0B7078E0"/>
    <w:rsid w:val="0B772A1C"/>
    <w:rsid w:val="0B815649"/>
    <w:rsid w:val="0B913217"/>
    <w:rsid w:val="0BA35012"/>
    <w:rsid w:val="0BB825ED"/>
    <w:rsid w:val="0BC0647C"/>
    <w:rsid w:val="0BC371A6"/>
    <w:rsid w:val="0BC419DA"/>
    <w:rsid w:val="0BD7624B"/>
    <w:rsid w:val="0BDC5BC2"/>
    <w:rsid w:val="0BF16C73"/>
    <w:rsid w:val="0BF26817"/>
    <w:rsid w:val="0C000C64"/>
    <w:rsid w:val="0C006EB6"/>
    <w:rsid w:val="0C0D1051"/>
    <w:rsid w:val="0C22464A"/>
    <w:rsid w:val="0C2B72AE"/>
    <w:rsid w:val="0C3C7C47"/>
    <w:rsid w:val="0C3E353A"/>
    <w:rsid w:val="0C430B50"/>
    <w:rsid w:val="0C4C0F18"/>
    <w:rsid w:val="0C4F1BEB"/>
    <w:rsid w:val="0C5A4BC9"/>
    <w:rsid w:val="0C623EAC"/>
    <w:rsid w:val="0C632759"/>
    <w:rsid w:val="0C907472"/>
    <w:rsid w:val="0C946488"/>
    <w:rsid w:val="0C97375F"/>
    <w:rsid w:val="0C9D2956"/>
    <w:rsid w:val="0CA154BB"/>
    <w:rsid w:val="0CA34B6B"/>
    <w:rsid w:val="0CAB0CCE"/>
    <w:rsid w:val="0CAD24AF"/>
    <w:rsid w:val="0CB27F34"/>
    <w:rsid w:val="0CB317A3"/>
    <w:rsid w:val="0CBF1A10"/>
    <w:rsid w:val="0CC83A2C"/>
    <w:rsid w:val="0CD12600"/>
    <w:rsid w:val="0CDC69F0"/>
    <w:rsid w:val="0CE25105"/>
    <w:rsid w:val="0CFE0B7E"/>
    <w:rsid w:val="0D030DE8"/>
    <w:rsid w:val="0D0D3F93"/>
    <w:rsid w:val="0D12389F"/>
    <w:rsid w:val="0D1978DD"/>
    <w:rsid w:val="0D2820B7"/>
    <w:rsid w:val="0D4903E8"/>
    <w:rsid w:val="0D5A43A4"/>
    <w:rsid w:val="0D662D48"/>
    <w:rsid w:val="0D662EE5"/>
    <w:rsid w:val="0D6E3DB2"/>
    <w:rsid w:val="0D6FAE02"/>
    <w:rsid w:val="0D70468E"/>
    <w:rsid w:val="0D7E023F"/>
    <w:rsid w:val="0D83239F"/>
    <w:rsid w:val="0D847672"/>
    <w:rsid w:val="0D860EC5"/>
    <w:rsid w:val="0D866726"/>
    <w:rsid w:val="0D921D8F"/>
    <w:rsid w:val="0D9339BE"/>
    <w:rsid w:val="0D962D9A"/>
    <w:rsid w:val="0D9C49BC"/>
    <w:rsid w:val="0D9E6A67"/>
    <w:rsid w:val="0D9F0DC4"/>
    <w:rsid w:val="0DA47D15"/>
    <w:rsid w:val="0DA93760"/>
    <w:rsid w:val="0DC02AA1"/>
    <w:rsid w:val="0DC06BC5"/>
    <w:rsid w:val="0DCC706A"/>
    <w:rsid w:val="0DD21336"/>
    <w:rsid w:val="0DD71E98"/>
    <w:rsid w:val="0DDE695A"/>
    <w:rsid w:val="0DE16873"/>
    <w:rsid w:val="0DF73A5B"/>
    <w:rsid w:val="0E164CA8"/>
    <w:rsid w:val="0E231949"/>
    <w:rsid w:val="0E2826F4"/>
    <w:rsid w:val="0E2C1011"/>
    <w:rsid w:val="0E2D072E"/>
    <w:rsid w:val="0E2D1722"/>
    <w:rsid w:val="0E3B295D"/>
    <w:rsid w:val="0E415563"/>
    <w:rsid w:val="0E47249B"/>
    <w:rsid w:val="0E520A4C"/>
    <w:rsid w:val="0E551882"/>
    <w:rsid w:val="0E5C501B"/>
    <w:rsid w:val="0E65340B"/>
    <w:rsid w:val="0E683859"/>
    <w:rsid w:val="0E7158E5"/>
    <w:rsid w:val="0E7306EC"/>
    <w:rsid w:val="0E9F762D"/>
    <w:rsid w:val="0EB254B2"/>
    <w:rsid w:val="0EB73D57"/>
    <w:rsid w:val="0EBB3118"/>
    <w:rsid w:val="0ECF0DC1"/>
    <w:rsid w:val="0ECF491D"/>
    <w:rsid w:val="0ED2440E"/>
    <w:rsid w:val="0EDF2545"/>
    <w:rsid w:val="0EE83C31"/>
    <w:rsid w:val="0EFB3F5D"/>
    <w:rsid w:val="0F041CC7"/>
    <w:rsid w:val="0F042317"/>
    <w:rsid w:val="0F1121DB"/>
    <w:rsid w:val="0F1209F8"/>
    <w:rsid w:val="0F242EBB"/>
    <w:rsid w:val="0F2733BC"/>
    <w:rsid w:val="0F2979DF"/>
    <w:rsid w:val="0F3E06C6"/>
    <w:rsid w:val="0F470958"/>
    <w:rsid w:val="0F4C19DA"/>
    <w:rsid w:val="0F4C7D05"/>
    <w:rsid w:val="0F4F31AF"/>
    <w:rsid w:val="0F565979"/>
    <w:rsid w:val="0F5F17BD"/>
    <w:rsid w:val="0F5F1D9E"/>
    <w:rsid w:val="0F7D0846"/>
    <w:rsid w:val="0F837211"/>
    <w:rsid w:val="0F90531D"/>
    <w:rsid w:val="0F985657"/>
    <w:rsid w:val="0F9D2C6D"/>
    <w:rsid w:val="0FAD64B5"/>
    <w:rsid w:val="0FB21FD4"/>
    <w:rsid w:val="0FC02C42"/>
    <w:rsid w:val="0FDC5544"/>
    <w:rsid w:val="0FEF171B"/>
    <w:rsid w:val="0FF360CA"/>
    <w:rsid w:val="0FFF2EBC"/>
    <w:rsid w:val="0FFF5930"/>
    <w:rsid w:val="10005ACF"/>
    <w:rsid w:val="10026009"/>
    <w:rsid w:val="101A606C"/>
    <w:rsid w:val="101C0036"/>
    <w:rsid w:val="102F2299"/>
    <w:rsid w:val="103C03B2"/>
    <w:rsid w:val="103F4475"/>
    <w:rsid w:val="10646943"/>
    <w:rsid w:val="10667503"/>
    <w:rsid w:val="106E22E2"/>
    <w:rsid w:val="10721A98"/>
    <w:rsid w:val="10741C20"/>
    <w:rsid w:val="109B71AD"/>
    <w:rsid w:val="109E6C9D"/>
    <w:rsid w:val="10A265EF"/>
    <w:rsid w:val="10CF50A9"/>
    <w:rsid w:val="10D02F1C"/>
    <w:rsid w:val="10D539AA"/>
    <w:rsid w:val="10E0785E"/>
    <w:rsid w:val="10EC4A0F"/>
    <w:rsid w:val="10F20D97"/>
    <w:rsid w:val="10F6623E"/>
    <w:rsid w:val="10F863AD"/>
    <w:rsid w:val="10F93ED3"/>
    <w:rsid w:val="110A1F26"/>
    <w:rsid w:val="11156FC6"/>
    <w:rsid w:val="113847BC"/>
    <w:rsid w:val="11485B0D"/>
    <w:rsid w:val="114C7209"/>
    <w:rsid w:val="115256FE"/>
    <w:rsid w:val="1154158B"/>
    <w:rsid w:val="115E6363"/>
    <w:rsid w:val="11687758"/>
    <w:rsid w:val="117076B2"/>
    <w:rsid w:val="117C440B"/>
    <w:rsid w:val="118B0F65"/>
    <w:rsid w:val="118C33AB"/>
    <w:rsid w:val="119E6579"/>
    <w:rsid w:val="11A058D6"/>
    <w:rsid w:val="11A64463"/>
    <w:rsid w:val="11AF6E53"/>
    <w:rsid w:val="11C5591F"/>
    <w:rsid w:val="11C646FD"/>
    <w:rsid w:val="11C97D4A"/>
    <w:rsid w:val="11CC783A"/>
    <w:rsid w:val="11D435DD"/>
    <w:rsid w:val="11DA3C43"/>
    <w:rsid w:val="11DC7A7D"/>
    <w:rsid w:val="11E83DAB"/>
    <w:rsid w:val="11E859B4"/>
    <w:rsid w:val="11EB328A"/>
    <w:rsid w:val="11F1104F"/>
    <w:rsid w:val="11FF2AFC"/>
    <w:rsid w:val="120C240A"/>
    <w:rsid w:val="120D5D21"/>
    <w:rsid w:val="121A0D82"/>
    <w:rsid w:val="121D44A7"/>
    <w:rsid w:val="1220326C"/>
    <w:rsid w:val="122C3D05"/>
    <w:rsid w:val="123A67B6"/>
    <w:rsid w:val="123F4084"/>
    <w:rsid w:val="125215C0"/>
    <w:rsid w:val="125670E6"/>
    <w:rsid w:val="125C6A25"/>
    <w:rsid w:val="125E1A9C"/>
    <w:rsid w:val="1276289F"/>
    <w:rsid w:val="127C10DA"/>
    <w:rsid w:val="12800CED"/>
    <w:rsid w:val="1288522D"/>
    <w:rsid w:val="128F2D41"/>
    <w:rsid w:val="129D6A95"/>
    <w:rsid w:val="12AF4046"/>
    <w:rsid w:val="12C86AF6"/>
    <w:rsid w:val="12CE506D"/>
    <w:rsid w:val="12DC3213"/>
    <w:rsid w:val="12ED1816"/>
    <w:rsid w:val="12F65490"/>
    <w:rsid w:val="12F73D2A"/>
    <w:rsid w:val="12F9698E"/>
    <w:rsid w:val="12FE7459"/>
    <w:rsid w:val="1303145A"/>
    <w:rsid w:val="130628D8"/>
    <w:rsid w:val="13112273"/>
    <w:rsid w:val="13135E04"/>
    <w:rsid w:val="131C7C5D"/>
    <w:rsid w:val="131D231B"/>
    <w:rsid w:val="132E255A"/>
    <w:rsid w:val="13370A53"/>
    <w:rsid w:val="13442287"/>
    <w:rsid w:val="134E1CE9"/>
    <w:rsid w:val="13511DF6"/>
    <w:rsid w:val="135F1DD8"/>
    <w:rsid w:val="13677654"/>
    <w:rsid w:val="13781A27"/>
    <w:rsid w:val="137B5074"/>
    <w:rsid w:val="138B4634"/>
    <w:rsid w:val="138C54D3"/>
    <w:rsid w:val="138F1214"/>
    <w:rsid w:val="139B20B6"/>
    <w:rsid w:val="13A47E95"/>
    <w:rsid w:val="13A85D99"/>
    <w:rsid w:val="13A96922"/>
    <w:rsid w:val="13AC77D8"/>
    <w:rsid w:val="13B862C8"/>
    <w:rsid w:val="13BF412F"/>
    <w:rsid w:val="13D101C7"/>
    <w:rsid w:val="13D247DC"/>
    <w:rsid w:val="13D50C28"/>
    <w:rsid w:val="13D6674E"/>
    <w:rsid w:val="13D75DF6"/>
    <w:rsid w:val="13FA243C"/>
    <w:rsid w:val="1400440E"/>
    <w:rsid w:val="1417554F"/>
    <w:rsid w:val="14222D76"/>
    <w:rsid w:val="142669A3"/>
    <w:rsid w:val="142971E9"/>
    <w:rsid w:val="143248CB"/>
    <w:rsid w:val="14346F7A"/>
    <w:rsid w:val="143805F9"/>
    <w:rsid w:val="144068BA"/>
    <w:rsid w:val="14454D6C"/>
    <w:rsid w:val="144729D8"/>
    <w:rsid w:val="144D44FA"/>
    <w:rsid w:val="144E7951"/>
    <w:rsid w:val="1451239D"/>
    <w:rsid w:val="145F04F1"/>
    <w:rsid w:val="14741DE5"/>
    <w:rsid w:val="148E78CB"/>
    <w:rsid w:val="149F4D92"/>
    <w:rsid w:val="14A13E6D"/>
    <w:rsid w:val="14AB614D"/>
    <w:rsid w:val="14B96C2B"/>
    <w:rsid w:val="14C45781"/>
    <w:rsid w:val="14C91E0F"/>
    <w:rsid w:val="14CB5B87"/>
    <w:rsid w:val="14CC1154"/>
    <w:rsid w:val="14ED4B63"/>
    <w:rsid w:val="14F711F2"/>
    <w:rsid w:val="1517701E"/>
    <w:rsid w:val="1521120D"/>
    <w:rsid w:val="152141DA"/>
    <w:rsid w:val="152233B7"/>
    <w:rsid w:val="15282A96"/>
    <w:rsid w:val="1530079D"/>
    <w:rsid w:val="15436E45"/>
    <w:rsid w:val="15450840"/>
    <w:rsid w:val="15483D18"/>
    <w:rsid w:val="154B3CDA"/>
    <w:rsid w:val="15507C7E"/>
    <w:rsid w:val="15664AEF"/>
    <w:rsid w:val="1568429B"/>
    <w:rsid w:val="15744470"/>
    <w:rsid w:val="15792211"/>
    <w:rsid w:val="1581326E"/>
    <w:rsid w:val="158E23E1"/>
    <w:rsid w:val="159D7EA6"/>
    <w:rsid w:val="159F1BF9"/>
    <w:rsid w:val="15A04442"/>
    <w:rsid w:val="15B71B1D"/>
    <w:rsid w:val="15E63361"/>
    <w:rsid w:val="15E82AFC"/>
    <w:rsid w:val="15ED9D0A"/>
    <w:rsid w:val="160B0227"/>
    <w:rsid w:val="16117F11"/>
    <w:rsid w:val="16191DBA"/>
    <w:rsid w:val="162369B8"/>
    <w:rsid w:val="1636626F"/>
    <w:rsid w:val="1638724C"/>
    <w:rsid w:val="16555BF5"/>
    <w:rsid w:val="165754AD"/>
    <w:rsid w:val="166261D9"/>
    <w:rsid w:val="166C7DA6"/>
    <w:rsid w:val="16704C38"/>
    <w:rsid w:val="16734728"/>
    <w:rsid w:val="16736221"/>
    <w:rsid w:val="16772145"/>
    <w:rsid w:val="167A1613"/>
    <w:rsid w:val="16864176"/>
    <w:rsid w:val="16A3500D"/>
    <w:rsid w:val="16BA2357"/>
    <w:rsid w:val="16BA36A4"/>
    <w:rsid w:val="16BF34C9"/>
    <w:rsid w:val="16E04880"/>
    <w:rsid w:val="16F715C6"/>
    <w:rsid w:val="16F73631"/>
    <w:rsid w:val="16F86032"/>
    <w:rsid w:val="17081A7A"/>
    <w:rsid w:val="171A224F"/>
    <w:rsid w:val="171C4609"/>
    <w:rsid w:val="17292C0C"/>
    <w:rsid w:val="172A02F2"/>
    <w:rsid w:val="17371DE5"/>
    <w:rsid w:val="173E6AE4"/>
    <w:rsid w:val="17465999"/>
    <w:rsid w:val="17481711"/>
    <w:rsid w:val="174C321D"/>
    <w:rsid w:val="1760471E"/>
    <w:rsid w:val="176E561B"/>
    <w:rsid w:val="176F50FE"/>
    <w:rsid w:val="17743B3E"/>
    <w:rsid w:val="177F5DCE"/>
    <w:rsid w:val="1784066B"/>
    <w:rsid w:val="17870C29"/>
    <w:rsid w:val="17982698"/>
    <w:rsid w:val="179854A4"/>
    <w:rsid w:val="17AB7911"/>
    <w:rsid w:val="17AF1790"/>
    <w:rsid w:val="17C640D5"/>
    <w:rsid w:val="17D10049"/>
    <w:rsid w:val="17DD0B49"/>
    <w:rsid w:val="17E56F60"/>
    <w:rsid w:val="17F1563C"/>
    <w:rsid w:val="17F23C73"/>
    <w:rsid w:val="17FD6053"/>
    <w:rsid w:val="1809733D"/>
    <w:rsid w:val="180E7B8D"/>
    <w:rsid w:val="180F3B80"/>
    <w:rsid w:val="181B1411"/>
    <w:rsid w:val="181C1400"/>
    <w:rsid w:val="1822161A"/>
    <w:rsid w:val="18223BBF"/>
    <w:rsid w:val="182B46CE"/>
    <w:rsid w:val="18406E44"/>
    <w:rsid w:val="185C1918"/>
    <w:rsid w:val="186407CC"/>
    <w:rsid w:val="186C25A2"/>
    <w:rsid w:val="186D44B9"/>
    <w:rsid w:val="187D1E98"/>
    <w:rsid w:val="1880349D"/>
    <w:rsid w:val="188930EC"/>
    <w:rsid w:val="189B64C2"/>
    <w:rsid w:val="189E5FA9"/>
    <w:rsid w:val="18A408A8"/>
    <w:rsid w:val="18A84B5D"/>
    <w:rsid w:val="18BF367D"/>
    <w:rsid w:val="18C64FE3"/>
    <w:rsid w:val="18C84D5E"/>
    <w:rsid w:val="18C92265"/>
    <w:rsid w:val="18D435BC"/>
    <w:rsid w:val="18E261BC"/>
    <w:rsid w:val="18EF6999"/>
    <w:rsid w:val="18F558C8"/>
    <w:rsid w:val="18F55B1A"/>
    <w:rsid w:val="18FD1452"/>
    <w:rsid w:val="190B7602"/>
    <w:rsid w:val="19193365"/>
    <w:rsid w:val="191D5626"/>
    <w:rsid w:val="191E0DAD"/>
    <w:rsid w:val="19261639"/>
    <w:rsid w:val="192636D7"/>
    <w:rsid w:val="193208CA"/>
    <w:rsid w:val="19337DEC"/>
    <w:rsid w:val="195D5C0E"/>
    <w:rsid w:val="196D06DE"/>
    <w:rsid w:val="197005B4"/>
    <w:rsid w:val="19773796"/>
    <w:rsid w:val="199D2EDD"/>
    <w:rsid w:val="199E633D"/>
    <w:rsid w:val="19AC41D9"/>
    <w:rsid w:val="19B64CC2"/>
    <w:rsid w:val="19BA69A5"/>
    <w:rsid w:val="19CA28B1"/>
    <w:rsid w:val="19D63004"/>
    <w:rsid w:val="19DF6D3F"/>
    <w:rsid w:val="19E24459"/>
    <w:rsid w:val="19E25E4D"/>
    <w:rsid w:val="19F66E1B"/>
    <w:rsid w:val="1A157C58"/>
    <w:rsid w:val="1A215C48"/>
    <w:rsid w:val="1A293A7B"/>
    <w:rsid w:val="1A305FF4"/>
    <w:rsid w:val="1A3D7EBE"/>
    <w:rsid w:val="1A4353A0"/>
    <w:rsid w:val="1A4E320C"/>
    <w:rsid w:val="1A557489"/>
    <w:rsid w:val="1A5D7931"/>
    <w:rsid w:val="1A5E3AD4"/>
    <w:rsid w:val="1A952EBF"/>
    <w:rsid w:val="1AB21B9E"/>
    <w:rsid w:val="1AB83B61"/>
    <w:rsid w:val="1AC9700C"/>
    <w:rsid w:val="1ADC538F"/>
    <w:rsid w:val="1ADE1DAD"/>
    <w:rsid w:val="1AF45443"/>
    <w:rsid w:val="1B010554"/>
    <w:rsid w:val="1B075A0C"/>
    <w:rsid w:val="1B1D4C62"/>
    <w:rsid w:val="1B207588"/>
    <w:rsid w:val="1B26620D"/>
    <w:rsid w:val="1B2E1A41"/>
    <w:rsid w:val="1B2E2FAC"/>
    <w:rsid w:val="1B59213E"/>
    <w:rsid w:val="1B5B4A57"/>
    <w:rsid w:val="1B5B65FA"/>
    <w:rsid w:val="1B67066F"/>
    <w:rsid w:val="1B7229E4"/>
    <w:rsid w:val="1B7A5EC7"/>
    <w:rsid w:val="1B8E5EC0"/>
    <w:rsid w:val="1B93795B"/>
    <w:rsid w:val="1B9459BC"/>
    <w:rsid w:val="1BD05DB4"/>
    <w:rsid w:val="1BD5630D"/>
    <w:rsid w:val="1BDC68CC"/>
    <w:rsid w:val="1BF94285"/>
    <w:rsid w:val="1BFF685C"/>
    <w:rsid w:val="1C073948"/>
    <w:rsid w:val="1C116575"/>
    <w:rsid w:val="1C1E6EE4"/>
    <w:rsid w:val="1C273CF7"/>
    <w:rsid w:val="1C453213"/>
    <w:rsid w:val="1C4C3A51"/>
    <w:rsid w:val="1C5D7A0C"/>
    <w:rsid w:val="1C7620AF"/>
    <w:rsid w:val="1C8E406A"/>
    <w:rsid w:val="1C8F6F6A"/>
    <w:rsid w:val="1CA1462E"/>
    <w:rsid w:val="1CAA6003"/>
    <w:rsid w:val="1CB30B67"/>
    <w:rsid w:val="1CB33990"/>
    <w:rsid w:val="1CBA4E5F"/>
    <w:rsid w:val="1CC22665"/>
    <w:rsid w:val="1CDF48C5"/>
    <w:rsid w:val="1CEB4346"/>
    <w:rsid w:val="1CF0718B"/>
    <w:rsid w:val="1CF6260F"/>
    <w:rsid w:val="1CF83AEA"/>
    <w:rsid w:val="1CF911FC"/>
    <w:rsid w:val="1CFE032D"/>
    <w:rsid w:val="1D0845A8"/>
    <w:rsid w:val="1D0B525D"/>
    <w:rsid w:val="1D157942"/>
    <w:rsid w:val="1D1D719C"/>
    <w:rsid w:val="1D207523"/>
    <w:rsid w:val="1D372BD9"/>
    <w:rsid w:val="1D4330A6"/>
    <w:rsid w:val="1D526E45"/>
    <w:rsid w:val="1D545CBC"/>
    <w:rsid w:val="1D570900"/>
    <w:rsid w:val="1D5A219E"/>
    <w:rsid w:val="1D623BCD"/>
    <w:rsid w:val="1D6914D5"/>
    <w:rsid w:val="1D7A2332"/>
    <w:rsid w:val="1D7C7A22"/>
    <w:rsid w:val="1D7E09CF"/>
    <w:rsid w:val="1D85546D"/>
    <w:rsid w:val="1D862C8F"/>
    <w:rsid w:val="1D903E12"/>
    <w:rsid w:val="1D9F1A69"/>
    <w:rsid w:val="1DA8115B"/>
    <w:rsid w:val="1DA91A6B"/>
    <w:rsid w:val="1DB467BA"/>
    <w:rsid w:val="1DC81497"/>
    <w:rsid w:val="1DD609E7"/>
    <w:rsid w:val="1DDA19F5"/>
    <w:rsid w:val="1DE23DBC"/>
    <w:rsid w:val="1DE41480"/>
    <w:rsid w:val="1DED4DC0"/>
    <w:rsid w:val="1DF334D5"/>
    <w:rsid w:val="1E08471B"/>
    <w:rsid w:val="1E2139B7"/>
    <w:rsid w:val="1E2A1F4B"/>
    <w:rsid w:val="1E344EE0"/>
    <w:rsid w:val="1E3B38FB"/>
    <w:rsid w:val="1E4B0F80"/>
    <w:rsid w:val="1E5141B8"/>
    <w:rsid w:val="1E6D61CB"/>
    <w:rsid w:val="1E7065BE"/>
    <w:rsid w:val="1E7828DC"/>
    <w:rsid w:val="1E7A14A8"/>
    <w:rsid w:val="1E7F32B0"/>
    <w:rsid w:val="1E830C89"/>
    <w:rsid w:val="1E873426"/>
    <w:rsid w:val="1E9D67E6"/>
    <w:rsid w:val="1E9E0462"/>
    <w:rsid w:val="1EA52202"/>
    <w:rsid w:val="1EA6136F"/>
    <w:rsid w:val="1EB52891"/>
    <w:rsid w:val="1EB63EED"/>
    <w:rsid w:val="1EBA058B"/>
    <w:rsid w:val="1EBB622E"/>
    <w:rsid w:val="1EC34807"/>
    <w:rsid w:val="1EC73863"/>
    <w:rsid w:val="1ECC78B2"/>
    <w:rsid w:val="1ED63AA6"/>
    <w:rsid w:val="1EDF6DFF"/>
    <w:rsid w:val="1EEA13A6"/>
    <w:rsid w:val="1EF55AE5"/>
    <w:rsid w:val="1EFE64E9"/>
    <w:rsid w:val="1EFF6A6E"/>
    <w:rsid w:val="1F010B23"/>
    <w:rsid w:val="1F01713F"/>
    <w:rsid w:val="1F0566C7"/>
    <w:rsid w:val="1F0709E5"/>
    <w:rsid w:val="1F095F07"/>
    <w:rsid w:val="1F182311"/>
    <w:rsid w:val="1F2246B6"/>
    <w:rsid w:val="1F3548F1"/>
    <w:rsid w:val="1F3F5213"/>
    <w:rsid w:val="1F473F03"/>
    <w:rsid w:val="1F4924CA"/>
    <w:rsid w:val="1F4B4494"/>
    <w:rsid w:val="1F6207D0"/>
    <w:rsid w:val="1F62533A"/>
    <w:rsid w:val="1F674396"/>
    <w:rsid w:val="1F6B0692"/>
    <w:rsid w:val="1F7D0570"/>
    <w:rsid w:val="1F7D4B27"/>
    <w:rsid w:val="1F830E19"/>
    <w:rsid w:val="1F903C55"/>
    <w:rsid w:val="1F9041EC"/>
    <w:rsid w:val="1F90634B"/>
    <w:rsid w:val="1F951C78"/>
    <w:rsid w:val="1F961842"/>
    <w:rsid w:val="1FA015EC"/>
    <w:rsid w:val="1FA60FA0"/>
    <w:rsid w:val="1FBC0562"/>
    <w:rsid w:val="1FBC0EEE"/>
    <w:rsid w:val="1FCC611D"/>
    <w:rsid w:val="1FDE70B6"/>
    <w:rsid w:val="1FE1627D"/>
    <w:rsid w:val="1FE20D9D"/>
    <w:rsid w:val="1FEA5A5B"/>
    <w:rsid w:val="1FEA603B"/>
    <w:rsid w:val="1FEF09AF"/>
    <w:rsid w:val="1FF16DE9"/>
    <w:rsid w:val="20133D98"/>
    <w:rsid w:val="201D3642"/>
    <w:rsid w:val="201E5705"/>
    <w:rsid w:val="20226856"/>
    <w:rsid w:val="20270FDB"/>
    <w:rsid w:val="20293E2F"/>
    <w:rsid w:val="202D3482"/>
    <w:rsid w:val="203413CD"/>
    <w:rsid w:val="20384A18"/>
    <w:rsid w:val="203C3BA6"/>
    <w:rsid w:val="20503B07"/>
    <w:rsid w:val="205B4E3E"/>
    <w:rsid w:val="205E1FA5"/>
    <w:rsid w:val="20686E43"/>
    <w:rsid w:val="206C021E"/>
    <w:rsid w:val="206E3E8E"/>
    <w:rsid w:val="207224C8"/>
    <w:rsid w:val="2076639A"/>
    <w:rsid w:val="207900AE"/>
    <w:rsid w:val="207E43F5"/>
    <w:rsid w:val="20880DD0"/>
    <w:rsid w:val="208A2D9A"/>
    <w:rsid w:val="2093114F"/>
    <w:rsid w:val="2094746D"/>
    <w:rsid w:val="20964C3C"/>
    <w:rsid w:val="209B57AA"/>
    <w:rsid w:val="20A121FD"/>
    <w:rsid w:val="20B6486E"/>
    <w:rsid w:val="20C20004"/>
    <w:rsid w:val="20C531AB"/>
    <w:rsid w:val="20D07CD4"/>
    <w:rsid w:val="20D83D6E"/>
    <w:rsid w:val="20DE5531"/>
    <w:rsid w:val="20E1180E"/>
    <w:rsid w:val="20E22BD6"/>
    <w:rsid w:val="20E33532"/>
    <w:rsid w:val="20E57B85"/>
    <w:rsid w:val="20EA6084"/>
    <w:rsid w:val="20F01139"/>
    <w:rsid w:val="20F1461D"/>
    <w:rsid w:val="210A3306"/>
    <w:rsid w:val="212B522B"/>
    <w:rsid w:val="216E6218"/>
    <w:rsid w:val="21736537"/>
    <w:rsid w:val="217A108B"/>
    <w:rsid w:val="217A74D8"/>
    <w:rsid w:val="218849E6"/>
    <w:rsid w:val="21977807"/>
    <w:rsid w:val="219A6D4B"/>
    <w:rsid w:val="21A37617"/>
    <w:rsid w:val="21BA1D69"/>
    <w:rsid w:val="21BC76DD"/>
    <w:rsid w:val="21C2735E"/>
    <w:rsid w:val="21C701AF"/>
    <w:rsid w:val="21D705EC"/>
    <w:rsid w:val="21D71593"/>
    <w:rsid w:val="21DF3764"/>
    <w:rsid w:val="21E11A55"/>
    <w:rsid w:val="21E57FA3"/>
    <w:rsid w:val="21E604A4"/>
    <w:rsid w:val="21FB008B"/>
    <w:rsid w:val="21FB5A74"/>
    <w:rsid w:val="22034F52"/>
    <w:rsid w:val="222A4D23"/>
    <w:rsid w:val="22405491"/>
    <w:rsid w:val="22411897"/>
    <w:rsid w:val="224D22D1"/>
    <w:rsid w:val="226827C0"/>
    <w:rsid w:val="226A69DF"/>
    <w:rsid w:val="226C0E5E"/>
    <w:rsid w:val="227C6EFF"/>
    <w:rsid w:val="228026A7"/>
    <w:rsid w:val="22851F9A"/>
    <w:rsid w:val="22942795"/>
    <w:rsid w:val="22957CF0"/>
    <w:rsid w:val="2296669F"/>
    <w:rsid w:val="2297721A"/>
    <w:rsid w:val="22A10D06"/>
    <w:rsid w:val="22B17CE4"/>
    <w:rsid w:val="22B665A5"/>
    <w:rsid w:val="22B85F08"/>
    <w:rsid w:val="22B91715"/>
    <w:rsid w:val="22C925E0"/>
    <w:rsid w:val="22CC1448"/>
    <w:rsid w:val="22E46F4A"/>
    <w:rsid w:val="22E50938"/>
    <w:rsid w:val="22E635B7"/>
    <w:rsid w:val="22E7687B"/>
    <w:rsid w:val="22EF5136"/>
    <w:rsid w:val="22F20159"/>
    <w:rsid w:val="23005537"/>
    <w:rsid w:val="231560F9"/>
    <w:rsid w:val="233C2C53"/>
    <w:rsid w:val="23476D20"/>
    <w:rsid w:val="23486890"/>
    <w:rsid w:val="23597536"/>
    <w:rsid w:val="235F00BB"/>
    <w:rsid w:val="236E6EF2"/>
    <w:rsid w:val="236F1F61"/>
    <w:rsid w:val="23781255"/>
    <w:rsid w:val="237F470C"/>
    <w:rsid w:val="23806EF6"/>
    <w:rsid w:val="23890781"/>
    <w:rsid w:val="23897339"/>
    <w:rsid w:val="23A67EEB"/>
    <w:rsid w:val="23AB4CDF"/>
    <w:rsid w:val="23B65B66"/>
    <w:rsid w:val="23BA40F1"/>
    <w:rsid w:val="23C37A75"/>
    <w:rsid w:val="23C71C0F"/>
    <w:rsid w:val="23D83E1C"/>
    <w:rsid w:val="23EB750E"/>
    <w:rsid w:val="23F32A04"/>
    <w:rsid w:val="240927AD"/>
    <w:rsid w:val="24117D17"/>
    <w:rsid w:val="24186FDB"/>
    <w:rsid w:val="24220F3E"/>
    <w:rsid w:val="2423604B"/>
    <w:rsid w:val="24240261"/>
    <w:rsid w:val="24280900"/>
    <w:rsid w:val="242B0FF0"/>
    <w:rsid w:val="242E3524"/>
    <w:rsid w:val="24387E55"/>
    <w:rsid w:val="243A3F7E"/>
    <w:rsid w:val="24417C14"/>
    <w:rsid w:val="24436391"/>
    <w:rsid w:val="24443260"/>
    <w:rsid w:val="2450121E"/>
    <w:rsid w:val="245726F7"/>
    <w:rsid w:val="246102B6"/>
    <w:rsid w:val="247973AD"/>
    <w:rsid w:val="2487622C"/>
    <w:rsid w:val="24973094"/>
    <w:rsid w:val="24981900"/>
    <w:rsid w:val="24AD6D9A"/>
    <w:rsid w:val="24C23DE0"/>
    <w:rsid w:val="24D301B1"/>
    <w:rsid w:val="24D6253B"/>
    <w:rsid w:val="24E940D8"/>
    <w:rsid w:val="24EC4023"/>
    <w:rsid w:val="24F353B2"/>
    <w:rsid w:val="25050C41"/>
    <w:rsid w:val="25070E5D"/>
    <w:rsid w:val="251418FC"/>
    <w:rsid w:val="252F286D"/>
    <w:rsid w:val="253A33DC"/>
    <w:rsid w:val="253B7D61"/>
    <w:rsid w:val="25426A8E"/>
    <w:rsid w:val="254C382E"/>
    <w:rsid w:val="254C6FAD"/>
    <w:rsid w:val="25566D99"/>
    <w:rsid w:val="25773499"/>
    <w:rsid w:val="25776C2C"/>
    <w:rsid w:val="25A845B3"/>
    <w:rsid w:val="25AD6BEE"/>
    <w:rsid w:val="25C1725E"/>
    <w:rsid w:val="25C7479E"/>
    <w:rsid w:val="25D22652"/>
    <w:rsid w:val="25D42928"/>
    <w:rsid w:val="25E55A4D"/>
    <w:rsid w:val="25E940BF"/>
    <w:rsid w:val="25EA5EF1"/>
    <w:rsid w:val="25EB71B7"/>
    <w:rsid w:val="25F62D7B"/>
    <w:rsid w:val="25FBD1C6"/>
    <w:rsid w:val="260276E7"/>
    <w:rsid w:val="26154215"/>
    <w:rsid w:val="261A0BE6"/>
    <w:rsid w:val="262B0778"/>
    <w:rsid w:val="262C6E4F"/>
    <w:rsid w:val="263C7598"/>
    <w:rsid w:val="263C7691"/>
    <w:rsid w:val="263D7F73"/>
    <w:rsid w:val="263F0183"/>
    <w:rsid w:val="2641504A"/>
    <w:rsid w:val="264E02A4"/>
    <w:rsid w:val="265951C3"/>
    <w:rsid w:val="265E2776"/>
    <w:rsid w:val="26666FDC"/>
    <w:rsid w:val="2675010D"/>
    <w:rsid w:val="267E6EFD"/>
    <w:rsid w:val="2689284A"/>
    <w:rsid w:val="269F3AD4"/>
    <w:rsid w:val="26AA5F44"/>
    <w:rsid w:val="26AB763C"/>
    <w:rsid w:val="26B267E7"/>
    <w:rsid w:val="26B44CD1"/>
    <w:rsid w:val="26BC72F6"/>
    <w:rsid w:val="26C16282"/>
    <w:rsid w:val="26CF59AB"/>
    <w:rsid w:val="26D37A33"/>
    <w:rsid w:val="26F131DC"/>
    <w:rsid w:val="26F31699"/>
    <w:rsid w:val="26F40657"/>
    <w:rsid w:val="26F65310"/>
    <w:rsid w:val="26F66D89"/>
    <w:rsid w:val="26FD42C6"/>
    <w:rsid w:val="27052D05"/>
    <w:rsid w:val="2707734C"/>
    <w:rsid w:val="27082804"/>
    <w:rsid w:val="270832AE"/>
    <w:rsid w:val="270E1B1F"/>
    <w:rsid w:val="270F5DA7"/>
    <w:rsid w:val="271F7205"/>
    <w:rsid w:val="272B1CE4"/>
    <w:rsid w:val="27357F9F"/>
    <w:rsid w:val="27583EE3"/>
    <w:rsid w:val="27635FF9"/>
    <w:rsid w:val="27734588"/>
    <w:rsid w:val="27904839"/>
    <w:rsid w:val="27A4553F"/>
    <w:rsid w:val="27BB1617"/>
    <w:rsid w:val="27BB6CBD"/>
    <w:rsid w:val="27D06488"/>
    <w:rsid w:val="27D35135"/>
    <w:rsid w:val="27D60349"/>
    <w:rsid w:val="27D76E3B"/>
    <w:rsid w:val="27D8067A"/>
    <w:rsid w:val="27DFF2BC"/>
    <w:rsid w:val="27E94FC7"/>
    <w:rsid w:val="27EB411E"/>
    <w:rsid w:val="27EC055B"/>
    <w:rsid w:val="27EF1935"/>
    <w:rsid w:val="27F21951"/>
    <w:rsid w:val="280A1B75"/>
    <w:rsid w:val="28146DCC"/>
    <w:rsid w:val="28176037"/>
    <w:rsid w:val="281D6171"/>
    <w:rsid w:val="281F201A"/>
    <w:rsid w:val="28374E96"/>
    <w:rsid w:val="283962F8"/>
    <w:rsid w:val="2864476D"/>
    <w:rsid w:val="286A345F"/>
    <w:rsid w:val="286B7752"/>
    <w:rsid w:val="287A36F4"/>
    <w:rsid w:val="287C29F2"/>
    <w:rsid w:val="28844573"/>
    <w:rsid w:val="288458E7"/>
    <w:rsid w:val="288D3427"/>
    <w:rsid w:val="28A33A20"/>
    <w:rsid w:val="28A44A6A"/>
    <w:rsid w:val="28A47F17"/>
    <w:rsid w:val="28BB189A"/>
    <w:rsid w:val="28BB61E6"/>
    <w:rsid w:val="28BE7B75"/>
    <w:rsid w:val="28C468D0"/>
    <w:rsid w:val="28D7626B"/>
    <w:rsid w:val="28D90746"/>
    <w:rsid w:val="28D9666D"/>
    <w:rsid w:val="28E374EB"/>
    <w:rsid w:val="28FF42B3"/>
    <w:rsid w:val="290212C1"/>
    <w:rsid w:val="290C07F0"/>
    <w:rsid w:val="290D5ED8"/>
    <w:rsid w:val="29362EF5"/>
    <w:rsid w:val="293C5D8D"/>
    <w:rsid w:val="29487555"/>
    <w:rsid w:val="29613C3C"/>
    <w:rsid w:val="29656DCE"/>
    <w:rsid w:val="296A3769"/>
    <w:rsid w:val="296A40E9"/>
    <w:rsid w:val="298957BD"/>
    <w:rsid w:val="298B4B23"/>
    <w:rsid w:val="298C1931"/>
    <w:rsid w:val="29B6075C"/>
    <w:rsid w:val="29B71FDB"/>
    <w:rsid w:val="29CF18DD"/>
    <w:rsid w:val="29D65D23"/>
    <w:rsid w:val="29D875FE"/>
    <w:rsid w:val="29D97CA1"/>
    <w:rsid w:val="29E66BFE"/>
    <w:rsid w:val="29F12F35"/>
    <w:rsid w:val="29F218A9"/>
    <w:rsid w:val="29F825DC"/>
    <w:rsid w:val="2A0B100E"/>
    <w:rsid w:val="2A1439E1"/>
    <w:rsid w:val="2A194E5D"/>
    <w:rsid w:val="2A1C2CB5"/>
    <w:rsid w:val="2A21554B"/>
    <w:rsid w:val="2A260A48"/>
    <w:rsid w:val="2A41271B"/>
    <w:rsid w:val="2A443FBA"/>
    <w:rsid w:val="2A4B5348"/>
    <w:rsid w:val="2A594BC2"/>
    <w:rsid w:val="2A5952FE"/>
    <w:rsid w:val="2A5B032A"/>
    <w:rsid w:val="2A6D3510"/>
    <w:rsid w:val="2A7D60F5"/>
    <w:rsid w:val="2A950CB9"/>
    <w:rsid w:val="2A98608F"/>
    <w:rsid w:val="2A9B7161"/>
    <w:rsid w:val="2A9F7561"/>
    <w:rsid w:val="2AA64250"/>
    <w:rsid w:val="2AA90FA0"/>
    <w:rsid w:val="2AB05704"/>
    <w:rsid w:val="2AB31CE2"/>
    <w:rsid w:val="2AB55266"/>
    <w:rsid w:val="2AC55FB0"/>
    <w:rsid w:val="2AD74E2E"/>
    <w:rsid w:val="2AD92D6B"/>
    <w:rsid w:val="2ADF564F"/>
    <w:rsid w:val="2AF20B8D"/>
    <w:rsid w:val="2B00796F"/>
    <w:rsid w:val="2B3A35A8"/>
    <w:rsid w:val="2B43250A"/>
    <w:rsid w:val="2B487382"/>
    <w:rsid w:val="2B552F60"/>
    <w:rsid w:val="2B634FBD"/>
    <w:rsid w:val="2B69553F"/>
    <w:rsid w:val="2B70070F"/>
    <w:rsid w:val="2B715FD2"/>
    <w:rsid w:val="2B7841A6"/>
    <w:rsid w:val="2B801021"/>
    <w:rsid w:val="2B80324C"/>
    <w:rsid w:val="2B85488A"/>
    <w:rsid w:val="2B992F00"/>
    <w:rsid w:val="2BA92769"/>
    <w:rsid w:val="2BAF5787"/>
    <w:rsid w:val="2BB367B9"/>
    <w:rsid w:val="2BB4516F"/>
    <w:rsid w:val="2BC1301F"/>
    <w:rsid w:val="2BC5112A"/>
    <w:rsid w:val="2BCE3064"/>
    <w:rsid w:val="2BCFAFDE"/>
    <w:rsid w:val="2BD15D21"/>
    <w:rsid w:val="2BD202AE"/>
    <w:rsid w:val="2C13380B"/>
    <w:rsid w:val="2C155C0E"/>
    <w:rsid w:val="2C184D47"/>
    <w:rsid w:val="2C1856FE"/>
    <w:rsid w:val="2C1B5FB0"/>
    <w:rsid w:val="2C372028"/>
    <w:rsid w:val="2C3E084B"/>
    <w:rsid w:val="2C3E3082"/>
    <w:rsid w:val="2C3F0EDD"/>
    <w:rsid w:val="2C514425"/>
    <w:rsid w:val="2C6B29A8"/>
    <w:rsid w:val="2C6F0CAC"/>
    <w:rsid w:val="2C796A89"/>
    <w:rsid w:val="2C867DBF"/>
    <w:rsid w:val="2C8E59C0"/>
    <w:rsid w:val="2C931228"/>
    <w:rsid w:val="2C932FD6"/>
    <w:rsid w:val="2CA174A1"/>
    <w:rsid w:val="2CA90479"/>
    <w:rsid w:val="2CBD243F"/>
    <w:rsid w:val="2CBD3A96"/>
    <w:rsid w:val="2CC74339"/>
    <w:rsid w:val="2CC80ED2"/>
    <w:rsid w:val="2CCC23F7"/>
    <w:rsid w:val="2CCE1414"/>
    <w:rsid w:val="2CCF04B2"/>
    <w:rsid w:val="2CF93ABF"/>
    <w:rsid w:val="2CFFA9B3"/>
    <w:rsid w:val="2D084CF5"/>
    <w:rsid w:val="2D0A3299"/>
    <w:rsid w:val="2D1327E2"/>
    <w:rsid w:val="2D1E27A3"/>
    <w:rsid w:val="2D27F8A5"/>
    <w:rsid w:val="2D2C3057"/>
    <w:rsid w:val="2D300825"/>
    <w:rsid w:val="2D394FF5"/>
    <w:rsid w:val="2D3B1E3A"/>
    <w:rsid w:val="2D42103B"/>
    <w:rsid w:val="2D5E35E4"/>
    <w:rsid w:val="2D666D38"/>
    <w:rsid w:val="2D6E25C1"/>
    <w:rsid w:val="2D7561BE"/>
    <w:rsid w:val="2D766528"/>
    <w:rsid w:val="2D813334"/>
    <w:rsid w:val="2D937732"/>
    <w:rsid w:val="2D986AF6"/>
    <w:rsid w:val="2D9F08C2"/>
    <w:rsid w:val="2DB30B2D"/>
    <w:rsid w:val="2DBB6D88"/>
    <w:rsid w:val="2DBE2231"/>
    <w:rsid w:val="2DC72800"/>
    <w:rsid w:val="2DCBA548"/>
    <w:rsid w:val="2DDFE05D"/>
    <w:rsid w:val="2DF02CA4"/>
    <w:rsid w:val="2DF93839"/>
    <w:rsid w:val="2DFE1C2F"/>
    <w:rsid w:val="2DFF25E6"/>
    <w:rsid w:val="2E015DA4"/>
    <w:rsid w:val="2E026666"/>
    <w:rsid w:val="2E091619"/>
    <w:rsid w:val="2E0917D6"/>
    <w:rsid w:val="2E0B75B3"/>
    <w:rsid w:val="2E184E1D"/>
    <w:rsid w:val="2E19749E"/>
    <w:rsid w:val="2E24396F"/>
    <w:rsid w:val="2E2760CC"/>
    <w:rsid w:val="2E300912"/>
    <w:rsid w:val="2E3C691D"/>
    <w:rsid w:val="2E3D157E"/>
    <w:rsid w:val="2E5F6C40"/>
    <w:rsid w:val="2E620EB2"/>
    <w:rsid w:val="2E64470B"/>
    <w:rsid w:val="2E6A704D"/>
    <w:rsid w:val="2E717347"/>
    <w:rsid w:val="2E741BFF"/>
    <w:rsid w:val="2E775E30"/>
    <w:rsid w:val="2E8A6255"/>
    <w:rsid w:val="2E8E1840"/>
    <w:rsid w:val="2E95347B"/>
    <w:rsid w:val="2E960B5C"/>
    <w:rsid w:val="2E982276"/>
    <w:rsid w:val="2EAB5CB9"/>
    <w:rsid w:val="2EAE1CD4"/>
    <w:rsid w:val="2EBE0643"/>
    <w:rsid w:val="2EC310BD"/>
    <w:rsid w:val="2ECE479A"/>
    <w:rsid w:val="2ED43AB3"/>
    <w:rsid w:val="2ED9174C"/>
    <w:rsid w:val="2EE82635"/>
    <w:rsid w:val="2EED4C20"/>
    <w:rsid w:val="2EF53AD4"/>
    <w:rsid w:val="2EFF6377"/>
    <w:rsid w:val="2F061C83"/>
    <w:rsid w:val="2F0A3A24"/>
    <w:rsid w:val="2F0B1048"/>
    <w:rsid w:val="2F107C1A"/>
    <w:rsid w:val="2F141AAA"/>
    <w:rsid w:val="2F171C9D"/>
    <w:rsid w:val="2F1A178D"/>
    <w:rsid w:val="2F203569"/>
    <w:rsid w:val="2F302D5E"/>
    <w:rsid w:val="2F3F2FA2"/>
    <w:rsid w:val="2F5551E0"/>
    <w:rsid w:val="2F8223E1"/>
    <w:rsid w:val="2F875074"/>
    <w:rsid w:val="2FA16E1D"/>
    <w:rsid w:val="2FAC1ABB"/>
    <w:rsid w:val="2FAE67A1"/>
    <w:rsid w:val="2FBB54B2"/>
    <w:rsid w:val="2FC02334"/>
    <w:rsid w:val="2FC42A39"/>
    <w:rsid w:val="2FC55B9D"/>
    <w:rsid w:val="2FC75620"/>
    <w:rsid w:val="2FCA4353"/>
    <w:rsid w:val="2FCF51B0"/>
    <w:rsid w:val="2FD874C4"/>
    <w:rsid w:val="2FDB12D6"/>
    <w:rsid w:val="2FDB7A76"/>
    <w:rsid w:val="2FDD238A"/>
    <w:rsid w:val="2FE204FD"/>
    <w:rsid w:val="2FE55D75"/>
    <w:rsid w:val="2FE5E77A"/>
    <w:rsid w:val="2FF23F99"/>
    <w:rsid w:val="2FF56214"/>
    <w:rsid w:val="2FFE6C6F"/>
    <w:rsid w:val="30087837"/>
    <w:rsid w:val="30116FD6"/>
    <w:rsid w:val="301220A1"/>
    <w:rsid w:val="301245AE"/>
    <w:rsid w:val="301A2D67"/>
    <w:rsid w:val="30216CBD"/>
    <w:rsid w:val="30236367"/>
    <w:rsid w:val="302428C3"/>
    <w:rsid w:val="30245155"/>
    <w:rsid w:val="30331BC6"/>
    <w:rsid w:val="30370D81"/>
    <w:rsid w:val="303E7E03"/>
    <w:rsid w:val="304376ED"/>
    <w:rsid w:val="304545E8"/>
    <w:rsid w:val="304A182B"/>
    <w:rsid w:val="304A7E50"/>
    <w:rsid w:val="305B3BBD"/>
    <w:rsid w:val="3062550F"/>
    <w:rsid w:val="30672894"/>
    <w:rsid w:val="306F321D"/>
    <w:rsid w:val="30700C52"/>
    <w:rsid w:val="30757C00"/>
    <w:rsid w:val="307D5D65"/>
    <w:rsid w:val="307D6477"/>
    <w:rsid w:val="308E2CD0"/>
    <w:rsid w:val="30976689"/>
    <w:rsid w:val="30A811B7"/>
    <w:rsid w:val="30B34CE3"/>
    <w:rsid w:val="30BA0C82"/>
    <w:rsid w:val="30C96FC7"/>
    <w:rsid w:val="30CB1C83"/>
    <w:rsid w:val="30CC6AB7"/>
    <w:rsid w:val="30E43E01"/>
    <w:rsid w:val="30ED2830"/>
    <w:rsid w:val="30F66C88"/>
    <w:rsid w:val="30FD60CB"/>
    <w:rsid w:val="31083F93"/>
    <w:rsid w:val="310B5831"/>
    <w:rsid w:val="310F4338"/>
    <w:rsid w:val="311A046D"/>
    <w:rsid w:val="31230DCD"/>
    <w:rsid w:val="312F69C4"/>
    <w:rsid w:val="3135748D"/>
    <w:rsid w:val="31476416"/>
    <w:rsid w:val="316B2857"/>
    <w:rsid w:val="316F1BD7"/>
    <w:rsid w:val="31722BD2"/>
    <w:rsid w:val="3179279B"/>
    <w:rsid w:val="31794E91"/>
    <w:rsid w:val="317B0F60"/>
    <w:rsid w:val="31832D29"/>
    <w:rsid w:val="3187479A"/>
    <w:rsid w:val="318941C2"/>
    <w:rsid w:val="318B697D"/>
    <w:rsid w:val="31927D00"/>
    <w:rsid w:val="31994BEB"/>
    <w:rsid w:val="319B7811"/>
    <w:rsid w:val="319D5339"/>
    <w:rsid w:val="319F2F47"/>
    <w:rsid w:val="31A22271"/>
    <w:rsid w:val="31A960B8"/>
    <w:rsid w:val="31CF075C"/>
    <w:rsid w:val="31D20CDE"/>
    <w:rsid w:val="31D25FD2"/>
    <w:rsid w:val="31D8579D"/>
    <w:rsid w:val="31F37E23"/>
    <w:rsid w:val="31F84007"/>
    <w:rsid w:val="31FD0ADA"/>
    <w:rsid w:val="31FE689A"/>
    <w:rsid w:val="321B5F48"/>
    <w:rsid w:val="32223DC6"/>
    <w:rsid w:val="32244DFC"/>
    <w:rsid w:val="32284A16"/>
    <w:rsid w:val="324F5BF1"/>
    <w:rsid w:val="325963CD"/>
    <w:rsid w:val="325A02A1"/>
    <w:rsid w:val="325D41F6"/>
    <w:rsid w:val="325F4393"/>
    <w:rsid w:val="326E1B1D"/>
    <w:rsid w:val="32800500"/>
    <w:rsid w:val="32897985"/>
    <w:rsid w:val="328D3E75"/>
    <w:rsid w:val="329032EF"/>
    <w:rsid w:val="329970EF"/>
    <w:rsid w:val="329D695D"/>
    <w:rsid w:val="32A23F73"/>
    <w:rsid w:val="32B35AAA"/>
    <w:rsid w:val="32C404E8"/>
    <w:rsid w:val="32C417B7"/>
    <w:rsid w:val="32CE1B91"/>
    <w:rsid w:val="32CE5592"/>
    <w:rsid w:val="32CF23FC"/>
    <w:rsid w:val="32D428B1"/>
    <w:rsid w:val="32D54349"/>
    <w:rsid w:val="32FA6DD7"/>
    <w:rsid w:val="33010C9A"/>
    <w:rsid w:val="330850D6"/>
    <w:rsid w:val="330E626C"/>
    <w:rsid w:val="33102949"/>
    <w:rsid w:val="33135210"/>
    <w:rsid w:val="331704BD"/>
    <w:rsid w:val="331D60AF"/>
    <w:rsid w:val="331F75F9"/>
    <w:rsid w:val="3326373F"/>
    <w:rsid w:val="334459AC"/>
    <w:rsid w:val="335D7E26"/>
    <w:rsid w:val="33611DF4"/>
    <w:rsid w:val="336358B7"/>
    <w:rsid w:val="33681AA0"/>
    <w:rsid w:val="336B604C"/>
    <w:rsid w:val="33705A64"/>
    <w:rsid w:val="3373210A"/>
    <w:rsid w:val="33760F33"/>
    <w:rsid w:val="337A712F"/>
    <w:rsid w:val="33A055AF"/>
    <w:rsid w:val="33A51E80"/>
    <w:rsid w:val="33AF0601"/>
    <w:rsid w:val="33DC5263"/>
    <w:rsid w:val="33DC7D6A"/>
    <w:rsid w:val="33DF33CE"/>
    <w:rsid w:val="33DF8CA6"/>
    <w:rsid w:val="33E305CA"/>
    <w:rsid w:val="33EB7A8F"/>
    <w:rsid w:val="33EE589E"/>
    <w:rsid w:val="340329A9"/>
    <w:rsid w:val="340D7B12"/>
    <w:rsid w:val="34164C45"/>
    <w:rsid w:val="342645AD"/>
    <w:rsid w:val="342B057B"/>
    <w:rsid w:val="342D613F"/>
    <w:rsid w:val="34335C8F"/>
    <w:rsid w:val="3443128B"/>
    <w:rsid w:val="34477054"/>
    <w:rsid w:val="34617CD8"/>
    <w:rsid w:val="346B144D"/>
    <w:rsid w:val="34753860"/>
    <w:rsid w:val="347742DB"/>
    <w:rsid w:val="34942CD9"/>
    <w:rsid w:val="34A61339"/>
    <w:rsid w:val="34A90696"/>
    <w:rsid w:val="34CC3006"/>
    <w:rsid w:val="34D92ABF"/>
    <w:rsid w:val="34E95E89"/>
    <w:rsid w:val="34F3793E"/>
    <w:rsid w:val="34FB796B"/>
    <w:rsid w:val="35083C3C"/>
    <w:rsid w:val="351137AF"/>
    <w:rsid w:val="351D3D85"/>
    <w:rsid w:val="351F4A39"/>
    <w:rsid w:val="352C5D76"/>
    <w:rsid w:val="3542559A"/>
    <w:rsid w:val="35496928"/>
    <w:rsid w:val="354A35E0"/>
    <w:rsid w:val="35574E9C"/>
    <w:rsid w:val="355B00FA"/>
    <w:rsid w:val="35603A46"/>
    <w:rsid w:val="356B4D9F"/>
    <w:rsid w:val="35712E34"/>
    <w:rsid w:val="358931C8"/>
    <w:rsid w:val="35976DA0"/>
    <w:rsid w:val="359C0020"/>
    <w:rsid w:val="35A326FB"/>
    <w:rsid w:val="35AE2C2F"/>
    <w:rsid w:val="35D37B7A"/>
    <w:rsid w:val="35E04239"/>
    <w:rsid w:val="35E26AD4"/>
    <w:rsid w:val="35ED793B"/>
    <w:rsid w:val="35EE5D7D"/>
    <w:rsid w:val="35F14001"/>
    <w:rsid w:val="35F84740"/>
    <w:rsid w:val="36337A79"/>
    <w:rsid w:val="363470C6"/>
    <w:rsid w:val="36383125"/>
    <w:rsid w:val="363C77FB"/>
    <w:rsid w:val="36532455"/>
    <w:rsid w:val="365C529D"/>
    <w:rsid w:val="365D3CB9"/>
    <w:rsid w:val="366C082D"/>
    <w:rsid w:val="366C7224"/>
    <w:rsid w:val="366E0262"/>
    <w:rsid w:val="367E2601"/>
    <w:rsid w:val="368C388A"/>
    <w:rsid w:val="368E012F"/>
    <w:rsid w:val="368E7DC4"/>
    <w:rsid w:val="36981915"/>
    <w:rsid w:val="36A63D67"/>
    <w:rsid w:val="36B644E3"/>
    <w:rsid w:val="36C50E5E"/>
    <w:rsid w:val="36C90DD1"/>
    <w:rsid w:val="36D466C5"/>
    <w:rsid w:val="36D668E1"/>
    <w:rsid w:val="36D96770"/>
    <w:rsid w:val="36F34D9D"/>
    <w:rsid w:val="37071057"/>
    <w:rsid w:val="370B1B77"/>
    <w:rsid w:val="371D1E1A"/>
    <w:rsid w:val="3727556E"/>
    <w:rsid w:val="3735440F"/>
    <w:rsid w:val="373C217C"/>
    <w:rsid w:val="374634AB"/>
    <w:rsid w:val="3747333B"/>
    <w:rsid w:val="375401F5"/>
    <w:rsid w:val="376143FD"/>
    <w:rsid w:val="37704489"/>
    <w:rsid w:val="37710026"/>
    <w:rsid w:val="377314EC"/>
    <w:rsid w:val="37865C12"/>
    <w:rsid w:val="37925427"/>
    <w:rsid w:val="37936580"/>
    <w:rsid w:val="379E0F7A"/>
    <w:rsid w:val="37A55DCC"/>
    <w:rsid w:val="37A70B41"/>
    <w:rsid w:val="37A92245"/>
    <w:rsid w:val="37AA182A"/>
    <w:rsid w:val="37CA04FF"/>
    <w:rsid w:val="37D30771"/>
    <w:rsid w:val="37DC1CD5"/>
    <w:rsid w:val="37DFD518"/>
    <w:rsid w:val="37EC0BB8"/>
    <w:rsid w:val="37F27930"/>
    <w:rsid w:val="37FFD3C5"/>
    <w:rsid w:val="38037262"/>
    <w:rsid w:val="38095C30"/>
    <w:rsid w:val="3810197F"/>
    <w:rsid w:val="38196A86"/>
    <w:rsid w:val="381A74A7"/>
    <w:rsid w:val="382543F7"/>
    <w:rsid w:val="382B14C6"/>
    <w:rsid w:val="383733B0"/>
    <w:rsid w:val="383D3495"/>
    <w:rsid w:val="38474A55"/>
    <w:rsid w:val="38602906"/>
    <w:rsid w:val="387B14EE"/>
    <w:rsid w:val="387B7DEB"/>
    <w:rsid w:val="38832151"/>
    <w:rsid w:val="388D6212"/>
    <w:rsid w:val="38995839"/>
    <w:rsid w:val="38A04B84"/>
    <w:rsid w:val="38A30A45"/>
    <w:rsid w:val="38B478C6"/>
    <w:rsid w:val="38C75A84"/>
    <w:rsid w:val="38DA77C6"/>
    <w:rsid w:val="38E54DB7"/>
    <w:rsid w:val="38E57781"/>
    <w:rsid w:val="38E71D8F"/>
    <w:rsid w:val="38FD0155"/>
    <w:rsid w:val="391216F8"/>
    <w:rsid w:val="39122D1D"/>
    <w:rsid w:val="39140A3F"/>
    <w:rsid w:val="392914B7"/>
    <w:rsid w:val="392D338D"/>
    <w:rsid w:val="392E03A9"/>
    <w:rsid w:val="393578EF"/>
    <w:rsid w:val="39425DC7"/>
    <w:rsid w:val="39455658"/>
    <w:rsid w:val="394C68A5"/>
    <w:rsid w:val="395525D9"/>
    <w:rsid w:val="39562097"/>
    <w:rsid w:val="395E479A"/>
    <w:rsid w:val="39675804"/>
    <w:rsid w:val="396E4BAF"/>
    <w:rsid w:val="39742D64"/>
    <w:rsid w:val="39743AD8"/>
    <w:rsid w:val="39A36C2D"/>
    <w:rsid w:val="39AA29B9"/>
    <w:rsid w:val="39B03563"/>
    <w:rsid w:val="39B9109D"/>
    <w:rsid w:val="39CA00D5"/>
    <w:rsid w:val="39E71AEC"/>
    <w:rsid w:val="39EE5CF0"/>
    <w:rsid w:val="39F05EB5"/>
    <w:rsid w:val="39F06271"/>
    <w:rsid w:val="39F41A71"/>
    <w:rsid w:val="39F60058"/>
    <w:rsid w:val="39FC665F"/>
    <w:rsid w:val="39FE4185"/>
    <w:rsid w:val="39FE49EE"/>
    <w:rsid w:val="3A053765"/>
    <w:rsid w:val="3A0E533A"/>
    <w:rsid w:val="3A104089"/>
    <w:rsid w:val="3A115BB0"/>
    <w:rsid w:val="3A1743D3"/>
    <w:rsid w:val="3A176FF5"/>
    <w:rsid w:val="3A23599A"/>
    <w:rsid w:val="3A242B77"/>
    <w:rsid w:val="3A255F4C"/>
    <w:rsid w:val="3A2560A7"/>
    <w:rsid w:val="3A3A2CE3"/>
    <w:rsid w:val="3A3D57F6"/>
    <w:rsid w:val="3A3E4582"/>
    <w:rsid w:val="3A3F31C3"/>
    <w:rsid w:val="3A42356C"/>
    <w:rsid w:val="3A457D0A"/>
    <w:rsid w:val="3A4D04EA"/>
    <w:rsid w:val="3A52002D"/>
    <w:rsid w:val="3A536EBD"/>
    <w:rsid w:val="3A55380C"/>
    <w:rsid w:val="3A713BC9"/>
    <w:rsid w:val="3A7304F5"/>
    <w:rsid w:val="3A8217DE"/>
    <w:rsid w:val="3A822B01"/>
    <w:rsid w:val="3A8312FD"/>
    <w:rsid w:val="3A914FF9"/>
    <w:rsid w:val="3A9F4998"/>
    <w:rsid w:val="3AA30888"/>
    <w:rsid w:val="3AAB62C5"/>
    <w:rsid w:val="3AB8426E"/>
    <w:rsid w:val="3AB94550"/>
    <w:rsid w:val="3AB98CB2"/>
    <w:rsid w:val="3AC234D7"/>
    <w:rsid w:val="3ACD37E5"/>
    <w:rsid w:val="3ACF765C"/>
    <w:rsid w:val="3AD278CD"/>
    <w:rsid w:val="3AD33664"/>
    <w:rsid w:val="3AD61EBE"/>
    <w:rsid w:val="3ADA13B3"/>
    <w:rsid w:val="3AE27D06"/>
    <w:rsid w:val="3AF04177"/>
    <w:rsid w:val="3AFA4BE5"/>
    <w:rsid w:val="3AFB6916"/>
    <w:rsid w:val="3B011EAE"/>
    <w:rsid w:val="3B23541A"/>
    <w:rsid w:val="3B2716C4"/>
    <w:rsid w:val="3B2A44B8"/>
    <w:rsid w:val="3B2B6476"/>
    <w:rsid w:val="3B395601"/>
    <w:rsid w:val="3B3E6803"/>
    <w:rsid w:val="3B3FAC0B"/>
    <w:rsid w:val="3B424BF5"/>
    <w:rsid w:val="3B5901B9"/>
    <w:rsid w:val="3B647EB1"/>
    <w:rsid w:val="3B706329"/>
    <w:rsid w:val="3B7C0FEF"/>
    <w:rsid w:val="3B7F10D5"/>
    <w:rsid w:val="3B7F30A4"/>
    <w:rsid w:val="3B7F930F"/>
    <w:rsid w:val="3B9603ED"/>
    <w:rsid w:val="3BBC038E"/>
    <w:rsid w:val="3BD731F0"/>
    <w:rsid w:val="3BF539A4"/>
    <w:rsid w:val="3BFE3F02"/>
    <w:rsid w:val="3C0B2B89"/>
    <w:rsid w:val="3C19506D"/>
    <w:rsid w:val="3C227A61"/>
    <w:rsid w:val="3C2972FD"/>
    <w:rsid w:val="3C357C06"/>
    <w:rsid w:val="3C493B58"/>
    <w:rsid w:val="3C5A141B"/>
    <w:rsid w:val="3C5B4444"/>
    <w:rsid w:val="3C5D7B3F"/>
    <w:rsid w:val="3C5E0F0B"/>
    <w:rsid w:val="3C66681A"/>
    <w:rsid w:val="3C6BD4F9"/>
    <w:rsid w:val="3C7C5835"/>
    <w:rsid w:val="3C852047"/>
    <w:rsid w:val="3C8841DA"/>
    <w:rsid w:val="3C9A507E"/>
    <w:rsid w:val="3C9F3063"/>
    <w:rsid w:val="3CA13116"/>
    <w:rsid w:val="3CA42898"/>
    <w:rsid w:val="3CA925AE"/>
    <w:rsid w:val="3CC03974"/>
    <w:rsid w:val="3CCF3BB7"/>
    <w:rsid w:val="3CDAD20C"/>
    <w:rsid w:val="3CEA2D25"/>
    <w:rsid w:val="3CEB274D"/>
    <w:rsid w:val="3CEE6FC2"/>
    <w:rsid w:val="3CF877AB"/>
    <w:rsid w:val="3D0B5F9E"/>
    <w:rsid w:val="3D0C6BB9"/>
    <w:rsid w:val="3D193D46"/>
    <w:rsid w:val="3D255ECD"/>
    <w:rsid w:val="3D306480"/>
    <w:rsid w:val="3D306CB2"/>
    <w:rsid w:val="3D32729D"/>
    <w:rsid w:val="3D337EB5"/>
    <w:rsid w:val="3D3A313D"/>
    <w:rsid w:val="3D3F6F8E"/>
    <w:rsid w:val="3D404AB5"/>
    <w:rsid w:val="3D485E54"/>
    <w:rsid w:val="3D667959"/>
    <w:rsid w:val="3D6D13F9"/>
    <w:rsid w:val="3D793B23"/>
    <w:rsid w:val="3D8230F2"/>
    <w:rsid w:val="3D886E2C"/>
    <w:rsid w:val="3D9060CC"/>
    <w:rsid w:val="3D956EC1"/>
    <w:rsid w:val="3D9C3168"/>
    <w:rsid w:val="3D9D17E7"/>
    <w:rsid w:val="3DAA5519"/>
    <w:rsid w:val="3DBF1E7D"/>
    <w:rsid w:val="3DC413E8"/>
    <w:rsid w:val="3DC512A1"/>
    <w:rsid w:val="3DCA34BB"/>
    <w:rsid w:val="3DD83D60"/>
    <w:rsid w:val="3DDD0555"/>
    <w:rsid w:val="3DDF6E72"/>
    <w:rsid w:val="3DFA19FB"/>
    <w:rsid w:val="3DFA2EB5"/>
    <w:rsid w:val="3E014244"/>
    <w:rsid w:val="3E044CAE"/>
    <w:rsid w:val="3E0B01E0"/>
    <w:rsid w:val="3E12201C"/>
    <w:rsid w:val="3E1E1AF9"/>
    <w:rsid w:val="3E3035BD"/>
    <w:rsid w:val="3E427218"/>
    <w:rsid w:val="3E427DF7"/>
    <w:rsid w:val="3E481E73"/>
    <w:rsid w:val="3E494643"/>
    <w:rsid w:val="3E5B32B3"/>
    <w:rsid w:val="3E6B56AB"/>
    <w:rsid w:val="3E7551CA"/>
    <w:rsid w:val="3E7BC2CD"/>
    <w:rsid w:val="3E80785E"/>
    <w:rsid w:val="3E8433D8"/>
    <w:rsid w:val="3E8C5AE1"/>
    <w:rsid w:val="3EA550E2"/>
    <w:rsid w:val="3EA72ABE"/>
    <w:rsid w:val="3EAD4174"/>
    <w:rsid w:val="3EAD7F9C"/>
    <w:rsid w:val="3EB32892"/>
    <w:rsid w:val="3EB56DDC"/>
    <w:rsid w:val="3EB58FF9"/>
    <w:rsid w:val="3EB63280"/>
    <w:rsid w:val="3EBC3336"/>
    <w:rsid w:val="3EBD0429"/>
    <w:rsid w:val="3ECD1D41"/>
    <w:rsid w:val="3ED05615"/>
    <w:rsid w:val="3ED6747E"/>
    <w:rsid w:val="3ED760AB"/>
    <w:rsid w:val="3ED8344F"/>
    <w:rsid w:val="3EDB5544"/>
    <w:rsid w:val="3EDE79C6"/>
    <w:rsid w:val="3EEE3B85"/>
    <w:rsid w:val="3EF65530"/>
    <w:rsid w:val="3EF9316D"/>
    <w:rsid w:val="3EF94F1B"/>
    <w:rsid w:val="3EF9D3F1"/>
    <w:rsid w:val="3EFF9593"/>
    <w:rsid w:val="3F010273"/>
    <w:rsid w:val="3F064AE9"/>
    <w:rsid w:val="3F06588A"/>
    <w:rsid w:val="3F174CE4"/>
    <w:rsid w:val="3F1E0E25"/>
    <w:rsid w:val="3F2F4DE1"/>
    <w:rsid w:val="3F3B0C43"/>
    <w:rsid w:val="3F4C62B0"/>
    <w:rsid w:val="3F66523D"/>
    <w:rsid w:val="3F685621"/>
    <w:rsid w:val="3F6E4168"/>
    <w:rsid w:val="3F7279F0"/>
    <w:rsid w:val="3F9717D1"/>
    <w:rsid w:val="3F980D41"/>
    <w:rsid w:val="3F9D7C66"/>
    <w:rsid w:val="3FA24396"/>
    <w:rsid w:val="3FA57E6B"/>
    <w:rsid w:val="3FB13A48"/>
    <w:rsid w:val="3FB2485B"/>
    <w:rsid w:val="3FB689BA"/>
    <w:rsid w:val="3FB7DAC3"/>
    <w:rsid w:val="3FBB0422"/>
    <w:rsid w:val="3FC426C8"/>
    <w:rsid w:val="3FCB940A"/>
    <w:rsid w:val="3FCD00FD"/>
    <w:rsid w:val="3FD15E98"/>
    <w:rsid w:val="3FE226BA"/>
    <w:rsid w:val="3FEF0943"/>
    <w:rsid w:val="3FF177F1"/>
    <w:rsid w:val="3FF7BF3D"/>
    <w:rsid w:val="3FFFF1E1"/>
    <w:rsid w:val="400D1E93"/>
    <w:rsid w:val="400D4010"/>
    <w:rsid w:val="401015C7"/>
    <w:rsid w:val="401D732F"/>
    <w:rsid w:val="4022529D"/>
    <w:rsid w:val="402A34B8"/>
    <w:rsid w:val="402E040A"/>
    <w:rsid w:val="4033557B"/>
    <w:rsid w:val="40351E8A"/>
    <w:rsid w:val="40360CD1"/>
    <w:rsid w:val="40361D66"/>
    <w:rsid w:val="403A3AC6"/>
    <w:rsid w:val="4048447E"/>
    <w:rsid w:val="40484C36"/>
    <w:rsid w:val="406060C3"/>
    <w:rsid w:val="40613E30"/>
    <w:rsid w:val="40672358"/>
    <w:rsid w:val="40736573"/>
    <w:rsid w:val="40766A16"/>
    <w:rsid w:val="407D7357"/>
    <w:rsid w:val="407F1D06"/>
    <w:rsid w:val="40993106"/>
    <w:rsid w:val="409B4A07"/>
    <w:rsid w:val="40B54BB5"/>
    <w:rsid w:val="40BF6E39"/>
    <w:rsid w:val="40C25B7F"/>
    <w:rsid w:val="40D0241B"/>
    <w:rsid w:val="40D64CC0"/>
    <w:rsid w:val="40EA5463"/>
    <w:rsid w:val="40F66678"/>
    <w:rsid w:val="40F92738"/>
    <w:rsid w:val="40FC5196"/>
    <w:rsid w:val="40FC6F44"/>
    <w:rsid w:val="41032227"/>
    <w:rsid w:val="410E1C56"/>
    <w:rsid w:val="41166258"/>
    <w:rsid w:val="41176970"/>
    <w:rsid w:val="41197AF6"/>
    <w:rsid w:val="411A2E51"/>
    <w:rsid w:val="4120577A"/>
    <w:rsid w:val="41213237"/>
    <w:rsid w:val="41250259"/>
    <w:rsid w:val="41275ADF"/>
    <w:rsid w:val="4130498B"/>
    <w:rsid w:val="41313EDF"/>
    <w:rsid w:val="413761CE"/>
    <w:rsid w:val="41443CDD"/>
    <w:rsid w:val="415C192A"/>
    <w:rsid w:val="41601281"/>
    <w:rsid w:val="416074D3"/>
    <w:rsid w:val="416C142E"/>
    <w:rsid w:val="41764F49"/>
    <w:rsid w:val="417F09E7"/>
    <w:rsid w:val="418A09F4"/>
    <w:rsid w:val="41B45A71"/>
    <w:rsid w:val="41B66342"/>
    <w:rsid w:val="41BE1659"/>
    <w:rsid w:val="41D0037B"/>
    <w:rsid w:val="41EF0FC2"/>
    <w:rsid w:val="41F31157"/>
    <w:rsid w:val="41FD121E"/>
    <w:rsid w:val="421A7627"/>
    <w:rsid w:val="421C7D4B"/>
    <w:rsid w:val="4233112B"/>
    <w:rsid w:val="42401E98"/>
    <w:rsid w:val="42465874"/>
    <w:rsid w:val="425D7468"/>
    <w:rsid w:val="42756FAE"/>
    <w:rsid w:val="42824B6F"/>
    <w:rsid w:val="42872311"/>
    <w:rsid w:val="428A301F"/>
    <w:rsid w:val="428B5762"/>
    <w:rsid w:val="42957651"/>
    <w:rsid w:val="42B610E1"/>
    <w:rsid w:val="42BE6BA7"/>
    <w:rsid w:val="42D24401"/>
    <w:rsid w:val="42D47C2B"/>
    <w:rsid w:val="42D825F4"/>
    <w:rsid w:val="42DA32B5"/>
    <w:rsid w:val="42DC0DDB"/>
    <w:rsid w:val="42DF08CC"/>
    <w:rsid w:val="42EF281A"/>
    <w:rsid w:val="430914E5"/>
    <w:rsid w:val="43092A49"/>
    <w:rsid w:val="430C481C"/>
    <w:rsid w:val="43125F6F"/>
    <w:rsid w:val="431A5C94"/>
    <w:rsid w:val="431B7ED7"/>
    <w:rsid w:val="4324555B"/>
    <w:rsid w:val="4325739A"/>
    <w:rsid w:val="432602A9"/>
    <w:rsid w:val="433543AC"/>
    <w:rsid w:val="43403CC3"/>
    <w:rsid w:val="43420FE8"/>
    <w:rsid w:val="434513F0"/>
    <w:rsid w:val="4353542C"/>
    <w:rsid w:val="436924AC"/>
    <w:rsid w:val="43702851"/>
    <w:rsid w:val="43767A8A"/>
    <w:rsid w:val="437A6D15"/>
    <w:rsid w:val="43902568"/>
    <w:rsid w:val="43903E6C"/>
    <w:rsid w:val="43912C5C"/>
    <w:rsid w:val="439A62DE"/>
    <w:rsid w:val="439B5AA0"/>
    <w:rsid w:val="43CA4F48"/>
    <w:rsid w:val="43D9356D"/>
    <w:rsid w:val="43D94887"/>
    <w:rsid w:val="43DD5834"/>
    <w:rsid w:val="43DE4431"/>
    <w:rsid w:val="43E51F12"/>
    <w:rsid w:val="43F644FE"/>
    <w:rsid w:val="43F9002B"/>
    <w:rsid w:val="43F9776B"/>
    <w:rsid w:val="44136A7F"/>
    <w:rsid w:val="442369C8"/>
    <w:rsid w:val="4424604A"/>
    <w:rsid w:val="44251EF0"/>
    <w:rsid w:val="442967DE"/>
    <w:rsid w:val="443416F4"/>
    <w:rsid w:val="443F7874"/>
    <w:rsid w:val="445014AB"/>
    <w:rsid w:val="44564BBE"/>
    <w:rsid w:val="44735770"/>
    <w:rsid w:val="44832363"/>
    <w:rsid w:val="44A4066B"/>
    <w:rsid w:val="44A5755B"/>
    <w:rsid w:val="44AB6CB7"/>
    <w:rsid w:val="44AC0FC9"/>
    <w:rsid w:val="44B050AB"/>
    <w:rsid w:val="44CC6C2E"/>
    <w:rsid w:val="44CE660D"/>
    <w:rsid w:val="44D750ED"/>
    <w:rsid w:val="44E95A32"/>
    <w:rsid w:val="44F83F0D"/>
    <w:rsid w:val="44F87A23"/>
    <w:rsid w:val="44FA1944"/>
    <w:rsid w:val="450B3BFA"/>
    <w:rsid w:val="4512744E"/>
    <w:rsid w:val="4537679D"/>
    <w:rsid w:val="454F0B76"/>
    <w:rsid w:val="456B6447"/>
    <w:rsid w:val="456B7F76"/>
    <w:rsid w:val="45795008"/>
    <w:rsid w:val="4579514B"/>
    <w:rsid w:val="457C4AF8"/>
    <w:rsid w:val="457E2BBE"/>
    <w:rsid w:val="457F72E8"/>
    <w:rsid w:val="458614D2"/>
    <w:rsid w:val="45996D23"/>
    <w:rsid w:val="45A55E5B"/>
    <w:rsid w:val="45B61F0B"/>
    <w:rsid w:val="45C30031"/>
    <w:rsid w:val="45CB0639"/>
    <w:rsid w:val="45D36024"/>
    <w:rsid w:val="45D36EF2"/>
    <w:rsid w:val="45D466E2"/>
    <w:rsid w:val="45DE083B"/>
    <w:rsid w:val="45E076C0"/>
    <w:rsid w:val="45E44E16"/>
    <w:rsid w:val="45E85CE9"/>
    <w:rsid w:val="45ED0A28"/>
    <w:rsid w:val="45F10353"/>
    <w:rsid w:val="45F36067"/>
    <w:rsid w:val="45F45AC9"/>
    <w:rsid w:val="460054E7"/>
    <w:rsid w:val="46080139"/>
    <w:rsid w:val="460821FC"/>
    <w:rsid w:val="460C0745"/>
    <w:rsid w:val="461610BC"/>
    <w:rsid w:val="46236324"/>
    <w:rsid w:val="463122D8"/>
    <w:rsid w:val="4632053D"/>
    <w:rsid w:val="463D551C"/>
    <w:rsid w:val="46451317"/>
    <w:rsid w:val="46577675"/>
    <w:rsid w:val="465A0995"/>
    <w:rsid w:val="46623CEE"/>
    <w:rsid w:val="4662415A"/>
    <w:rsid w:val="4662498C"/>
    <w:rsid w:val="46715CDF"/>
    <w:rsid w:val="467C3575"/>
    <w:rsid w:val="469552F2"/>
    <w:rsid w:val="46A022D9"/>
    <w:rsid w:val="46A9554B"/>
    <w:rsid w:val="46AA7AE9"/>
    <w:rsid w:val="46B21457"/>
    <w:rsid w:val="46B502C1"/>
    <w:rsid w:val="46BE1A6C"/>
    <w:rsid w:val="46BE6647"/>
    <w:rsid w:val="46C07C52"/>
    <w:rsid w:val="46C96620"/>
    <w:rsid w:val="46C978C9"/>
    <w:rsid w:val="46EE3897"/>
    <w:rsid w:val="47166D8A"/>
    <w:rsid w:val="471B3499"/>
    <w:rsid w:val="472114B3"/>
    <w:rsid w:val="4730142A"/>
    <w:rsid w:val="474A6C5C"/>
    <w:rsid w:val="474E7DCE"/>
    <w:rsid w:val="475E44B5"/>
    <w:rsid w:val="477201E3"/>
    <w:rsid w:val="4776427D"/>
    <w:rsid w:val="477A06A5"/>
    <w:rsid w:val="477D45C6"/>
    <w:rsid w:val="47873022"/>
    <w:rsid w:val="47876D4D"/>
    <w:rsid w:val="478DCCCB"/>
    <w:rsid w:val="478E4BD2"/>
    <w:rsid w:val="479B6AEC"/>
    <w:rsid w:val="47A45C40"/>
    <w:rsid w:val="47AB2942"/>
    <w:rsid w:val="47BC71B8"/>
    <w:rsid w:val="47C05087"/>
    <w:rsid w:val="47CC5DCA"/>
    <w:rsid w:val="47DD756D"/>
    <w:rsid w:val="47ED2ACF"/>
    <w:rsid w:val="47F042E6"/>
    <w:rsid w:val="47FB2049"/>
    <w:rsid w:val="47FC5A7C"/>
    <w:rsid w:val="48037A8A"/>
    <w:rsid w:val="48153C8D"/>
    <w:rsid w:val="48377D23"/>
    <w:rsid w:val="48497FAC"/>
    <w:rsid w:val="485567E2"/>
    <w:rsid w:val="485B09F4"/>
    <w:rsid w:val="485B27A2"/>
    <w:rsid w:val="485E67D6"/>
    <w:rsid w:val="48627FD5"/>
    <w:rsid w:val="486634EE"/>
    <w:rsid w:val="487A30EC"/>
    <w:rsid w:val="48807890"/>
    <w:rsid w:val="48823A88"/>
    <w:rsid w:val="488A727E"/>
    <w:rsid w:val="48912EFC"/>
    <w:rsid w:val="48914416"/>
    <w:rsid w:val="48931F3C"/>
    <w:rsid w:val="489A5E11"/>
    <w:rsid w:val="48A22238"/>
    <w:rsid w:val="48A64B98"/>
    <w:rsid w:val="48BA34EC"/>
    <w:rsid w:val="48BB76E5"/>
    <w:rsid w:val="48BC156D"/>
    <w:rsid w:val="48CD58C9"/>
    <w:rsid w:val="48E12275"/>
    <w:rsid w:val="48E44B59"/>
    <w:rsid w:val="48E73FCF"/>
    <w:rsid w:val="48F765BE"/>
    <w:rsid w:val="48F85C6A"/>
    <w:rsid w:val="48FA1FBB"/>
    <w:rsid w:val="4904108C"/>
    <w:rsid w:val="490445F2"/>
    <w:rsid w:val="49064842"/>
    <w:rsid w:val="490935A0"/>
    <w:rsid w:val="49144199"/>
    <w:rsid w:val="49183CD0"/>
    <w:rsid w:val="4919662F"/>
    <w:rsid w:val="491C63D6"/>
    <w:rsid w:val="49281C73"/>
    <w:rsid w:val="49291217"/>
    <w:rsid w:val="49320F23"/>
    <w:rsid w:val="493D6E11"/>
    <w:rsid w:val="493F20C4"/>
    <w:rsid w:val="49416DEF"/>
    <w:rsid w:val="49441489"/>
    <w:rsid w:val="494E5BED"/>
    <w:rsid w:val="495E6F98"/>
    <w:rsid w:val="496B231B"/>
    <w:rsid w:val="497E0E3E"/>
    <w:rsid w:val="49942410"/>
    <w:rsid w:val="49953C63"/>
    <w:rsid w:val="49971F00"/>
    <w:rsid w:val="49A10689"/>
    <w:rsid w:val="49A85D88"/>
    <w:rsid w:val="49A92FC8"/>
    <w:rsid w:val="49BA0254"/>
    <w:rsid w:val="49BA174B"/>
    <w:rsid w:val="49C76E76"/>
    <w:rsid w:val="49C8030C"/>
    <w:rsid w:val="49CF169A"/>
    <w:rsid w:val="49D46CB0"/>
    <w:rsid w:val="49D92519"/>
    <w:rsid w:val="49DD73AE"/>
    <w:rsid w:val="49DF0293"/>
    <w:rsid w:val="49F0622F"/>
    <w:rsid w:val="49F95BD6"/>
    <w:rsid w:val="49F9FBFF"/>
    <w:rsid w:val="49FE0702"/>
    <w:rsid w:val="4A1B48DF"/>
    <w:rsid w:val="4A4954D2"/>
    <w:rsid w:val="4A54747B"/>
    <w:rsid w:val="4A563B69"/>
    <w:rsid w:val="4A6A3171"/>
    <w:rsid w:val="4A6E730A"/>
    <w:rsid w:val="4A770310"/>
    <w:rsid w:val="4A8C77D9"/>
    <w:rsid w:val="4AA73240"/>
    <w:rsid w:val="4AB72272"/>
    <w:rsid w:val="4AD4637A"/>
    <w:rsid w:val="4AD703A4"/>
    <w:rsid w:val="4ADB406F"/>
    <w:rsid w:val="4AE14CE5"/>
    <w:rsid w:val="4AEB5669"/>
    <w:rsid w:val="4AF56EDE"/>
    <w:rsid w:val="4B1C7EBB"/>
    <w:rsid w:val="4B305E1B"/>
    <w:rsid w:val="4B33682B"/>
    <w:rsid w:val="4B36786C"/>
    <w:rsid w:val="4B393D96"/>
    <w:rsid w:val="4B3D6070"/>
    <w:rsid w:val="4B402A80"/>
    <w:rsid w:val="4B435B2E"/>
    <w:rsid w:val="4B486200"/>
    <w:rsid w:val="4B50680B"/>
    <w:rsid w:val="4B537606"/>
    <w:rsid w:val="4B5D303A"/>
    <w:rsid w:val="4B655548"/>
    <w:rsid w:val="4B6D3C9F"/>
    <w:rsid w:val="4B814C16"/>
    <w:rsid w:val="4B840262"/>
    <w:rsid w:val="4BAD1567"/>
    <w:rsid w:val="4BB92D8E"/>
    <w:rsid w:val="4BD07B58"/>
    <w:rsid w:val="4BD120C2"/>
    <w:rsid w:val="4BE87BA5"/>
    <w:rsid w:val="4BEA1E49"/>
    <w:rsid w:val="4BEE652D"/>
    <w:rsid w:val="4BEF5C0C"/>
    <w:rsid w:val="4C140411"/>
    <w:rsid w:val="4C162B64"/>
    <w:rsid w:val="4C1B080F"/>
    <w:rsid w:val="4C3176AB"/>
    <w:rsid w:val="4C372BB9"/>
    <w:rsid w:val="4C40062D"/>
    <w:rsid w:val="4C415DC1"/>
    <w:rsid w:val="4C465518"/>
    <w:rsid w:val="4C51468C"/>
    <w:rsid w:val="4C525611"/>
    <w:rsid w:val="4C602C81"/>
    <w:rsid w:val="4C6E278E"/>
    <w:rsid w:val="4C6F31F2"/>
    <w:rsid w:val="4C742085"/>
    <w:rsid w:val="4C7A0977"/>
    <w:rsid w:val="4C7C23EC"/>
    <w:rsid w:val="4C855F6D"/>
    <w:rsid w:val="4C8F5111"/>
    <w:rsid w:val="4C9837DA"/>
    <w:rsid w:val="4C997D3D"/>
    <w:rsid w:val="4CA20751"/>
    <w:rsid w:val="4CB465E7"/>
    <w:rsid w:val="4CBF59F6"/>
    <w:rsid w:val="4CD82614"/>
    <w:rsid w:val="4CE11333"/>
    <w:rsid w:val="4CEA3995"/>
    <w:rsid w:val="4CFF538B"/>
    <w:rsid w:val="4D07739D"/>
    <w:rsid w:val="4D094EC3"/>
    <w:rsid w:val="4D1E38B1"/>
    <w:rsid w:val="4D292382"/>
    <w:rsid w:val="4D293E95"/>
    <w:rsid w:val="4D4D7800"/>
    <w:rsid w:val="4D5A3970"/>
    <w:rsid w:val="4D7251FF"/>
    <w:rsid w:val="4D7E01AA"/>
    <w:rsid w:val="4D8B3293"/>
    <w:rsid w:val="4D8D5647"/>
    <w:rsid w:val="4DA573A0"/>
    <w:rsid w:val="4DC21A1F"/>
    <w:rsid w:val="4DC75479"/>
    <w:rsid w:val="4DCE1C69"/>
    <w:rsid w:val="4DCE28D4"/>
    <w:rsid w:val="4DE50C0B"/>
    <w:rsid w:val="4DE97BE2"/>
    <w:rsid w:val="4DF53699"/>
    <w:rsid w:val="4DF97491"/>
    <w:rsid w:val="4E037B64"/>
    <w:rsid w:val="4E11105D"/>
    <w:rsid w:val="4E157897"/>
    <w:rsid w:val="4E16225A"/>
    <w:rsid w:val="4E1C2CD0"/>
    <w:rsid w:val="4E1E7E8E"/>
    <w:rsid w:val="4E253AB8"/>
    <w:rsid w:val="4E2B1DBF"/>
    <w:rsid w:val="4E37349F"/>
    <w:rsid w:val="4E3F7C56"/>
    <w:rsid w:val="4E472C92"/>
    <w:rsid w:val="4E55643D"/>
    <w:rsid w:val="4E557C94"/>
    <w:rsid w:val="4E61619D"/>
    <w:rsid w:val="4E657666"/>
    <w:rsid w:val="4E6A7E03"/>
    <w:rsid w:val="4E6F0D56"/>
    <w:rsid w:val="4E7520E4"/>
    <w:rsid w:val="4E824D97"/>
    <w:rsid w:val="4E9D5C2D"/>
    <w:rsid w:val="4EB31328"/>
    <w:rsid w:val="4EB470B0"/>
    <w:rsid w:val="4EBA57C1"/>
    <w:rsid w:val="4EC15AFE"/>
    <w:rsid w:val="4EC8490A"/>
    <w:rsid w:val="4ED10135"/>
    <w:rsid w:val="4ED50A17"/>
    <w:rsid w:val="4EE51018"/>
    <w:rsid w:val="4EE7C9FA"/>
    <w:rsid w:val="4F047E0A"/>
    <w:rsid w:val="4F073684"/>
    <w:rsid w:val="4F07757D"/>
    <w:rsid w:val="4F086B2B"/>
    <w:rsid w:val="4F0B025E"/>
    <w:rsid w:val="4F2002A2"/>
    <w:rsid w:val="4F237EEA"/>
    <w:rsid w:val="4F276012"/>
    <w:rsid w:val="4F3B332E"/>
    <w:rsid w:val="4F477F24"/>
    <w:rsid w:val="4F4936D9"/>
    <w:rsid w:val="4F5A0092"/>
    <w:rsid w:val="4F6D1AB8"/>
    <w:rsid w:val="4F77F7B4"/>
    <w:rsid w:val="4F7E1EA1"/>
    <w:rsid w:val="4F834858"/>
    <w:rsid w:val="4F852864"/>
    <w:rsid w:val="4FA91AAC"/>
    <w:rsid w:val="4FAB05DE"/>
    <w:rsid w:val="4FBCE6E7"/>
    <w:rsid w:val="4FBD0FF5"/>
    <w:rsid w:val="4FC854D7"/>
    <w:rsid w:val="4FCC0D62"/>
    <w:rsid w:val="4FCD042A"/>
    <w:rsid w:val="4FD2386F"/>
    <w:rsid w:val="4FD5649E"/>
    <w:rsid w:val="4FE4467F"/>
    <w:rsid w:val="4FE45773"/>
    <w:rsid w:val="4FE5AF24"/>
    <w:rsid w:val="4FF678D5"/>
    <w:rsid w:val="4FF787D8"/>
    <w:rsid w:val="50142DE1"/>
    <w:rsid w:val="5015687B"/>
    <w:rsid w:val="501926CA"/>
    <w:rsid w:val="50200F40"/>
    <w:rsid w:val="502A762A"/>
    <w:rsid w:val="503109FF"/>
    <w:rsid w:val="503F0BFC"/>
    <w:rsid w:val="50534210"/>
    <w:rsid w:val="505E3D68"/>
    <w:rsid w:val="50671184"/>
    <w:rsid w:val="5069323B"/>
    <w:rsid w:val="507718E7"/>
    <w:rsid w:val="50855379"/>
    <w:rsid w:val="50A237F7"/>
    <w:rsid w:val="50AD025B"/>
    <w:rsid w:val="50B71B80"/>
    <w:rsid w:val="50D13748"/>
    <w:rsid w:val="50DC2AD2"/>
    <w:rsid w:val="50FD4D3F"/>
    <w:rsid w:val="51032EA3"/>
    <w:rsid w:val="510936E3"/>
    <w:rsid w:val="510A2FB8"/>
    <w:rsid w:val="510F0E13"/>
    <w:rsid w:val="511F7088"/>
    <w:rsid w:val="51241968"/>
    <w:rsid w:val="51251B1C"/>
    <w:rsid w:val="51273B6A"/>
    <w:rsid w:val="51287410"/>
    <w:rsid w:val="514E7348"/>
    <w:rsid w:val="51534422"/>
    <w:rsid w:val="515F1367"/>
    <w:rsid w:val="516A440A"/>
    <w:rsid w:val="516F72BF"/>
    <w:rsid w:val="51713B4F"/>
    <w:rsid w:val="51764AF1"/>
    <w:rsid w:val="517A638F"/>
    <w:rsid w:val="517C4963"/>
    <w:rsid w:val="5183782F"/>
    <w:rsid w:val="518A40F8"/>
    <w:rsid w:val="51946A15"/>
    <w:rsid w:val="51A96CEB"/>
    <w:rsid w:val="51AC406F"/>
    <w:rsid w:val="51B16868"/>
    <w:rsid w:val="51BA5A6F"/>
    <w:rsid w:val="51BE1358"/>
    <w:rsid w:val="51C140DD"/>
    <w:rsid w:val="51C42E16"/>
    <w:rsid w:val="51CB5193"/>
    <w:rsid w:val="51D01D0C"/>
    <w:rsid w:val="51DD247A"/>
    <w:rsid w:val="51EA5143"/>
    <w:rsid w:val="521115A1"/>
    <w:rsid w:val="521F44A4"/>
    <w:rsid w:val="523522B6"/>
    <w:rsid w:val="52363EF8"/>
    <w:rsid w:val="52430B2E"/>
    <w:rsid w:val="52452AE0"/>
    <w:rsid w:val="52466271"/>
    <w:rsid w:val="525351F4"/>
    <w:rsid w:val="52541382"/>
    <w:rsid w:val="52595FA5"/>
    <w:rsid w:val="525A6FBC"/>
    <w:rsid w:val="52645B25"/>
    <w:rsid w:val="52666DFC"/>
    <w:rsid w:val="526C0997"/>
    <w:rsid w:val="526F597D"/>
    <w:rsid w:val="52705346"/>
    <w:rsid w:val="527728CF"/>
    <w:rsid w:val="527C6137"/>
    <w:rsid w:val="528079D5"/>
    <w:rsid w:val="52855A65"/>
    <w:rsid w:val="5291079D"/>
    <w:rsid w:val="529139E8"/>
    <w:rsid w:val="52B91A5D"/>
    <w:rsid w:val="52BC7A8F"/>
    <w:rsid w:val="52C45C3E"/>
    <w:rsid w:val="52E00474"/>
    <w:rsid w:val="52E234D2"/>
    <w:rsid w:val="52E353BE"/>
    <w:rsid w:val="52E57838"/>
    <w:rsid w:val="52F244BA"/>
    <w:rsid w:val="52FB60FD"/>
    <w:rsid w:val="53035F10"/>
    <w:rsid w:val="53052442"/>
    <w:rsid w:val="5305612D"/>
    <w:rsid w:val="53147604"/>
    <w:rsid w:val="53181831"/>
    <w:rsid w:val="53223676"/>
    <w:rsid w:val="532742F5"/>
    <w:rsid w:val="53311AB3"/>
    <w:rsid w:val="53317F44"/>
    <w:rsid w:val="53334A48"/>
    <w:rsid w:val="533544FE"/>
    <w:rsid w:val="533D33D1"/>
    <w:rsid w:val="533D58C6"/>
    <w:rsid w:val="534F4096"/>
    <w:rsid w:val="534FE554"/>
    <w:rsid w:val="53511F1B"/>
    <w:rsid w:val="53585E93"/>
    <w:rsid w:val="53670B33"/>
    <w:rsid w:val="53684FB5"/>
    <w:rsid w:val="53746E0E"/>
    <w:rsid w:val="537735FB"/>
    <w:rsid w:val="53775B6A"/>
    <w:rsid w:val="53794425"/>
    <w:rsid w:val="53852D75"/>
    <w:rsid w:val="538A7275"/>
    <w:rsid w:val="538E1C7E"/>
    <w:rsid w:val="538F5737"/>
    <w:rsid w:val="53901E9A"/>
    <w:rsid w:val="539B577D"/>
    <w:rsid w:val="53A57E0C"/>
    <w:rsid w:val="53D43855"/>
    <w:rsid w:val="53D6214F"/>
    <w:rsid w:val="53DA3B86"/>
    <w:rsid w:val="53ED0228"/>
    <w:rsid w:val="53EE1101"/>
    <w:rsid w:val="53F15E34"/>
    <w:rsid w:val="53FB26C8"/>
    <w:rsid w:val="53FB5D72"/>
    <w:rsid w:val="53FC4E8E"/>
    <w:rsid w:val="540F6FA3"/>
    <w:rsid w:val="541717DC"/>
    <w:rsid w:val="54181E8F"/>
    <w:rsid w:val="54271D5C"/>
    <w:rsid w:val="542D57A0"/>
    <w:rsid w:val="542D5DED"/>
    <w:rsid w:val="54324CFF"/>
    <w:rsid w:val="544A6CE9"/>
    <w:rsid w:val="544E3930"/>
    <w:rsid w:val="54766E34"/>
    <w:rsid w:val="548E3F00"/>
    <w:rsid w:val="548F48DF"/>
    <w:rsid w:val="54921C42"/>
    <w:rsid w:val="54976AA9"/>
    <w:rsid w:val="549A3F89"/>
    <w:rsid w:val="549D0001"/>
    <w:rsid w:val="54BF4215"/>
    <w:rsid w:val="54C44F4A"/>
    <w:rsid w:val="54CA58BB"/>
    <w:rsid w:val="54CD38B3"/>
    <w:rsid w:val="54D538DD"/>
    <w:rsid w:val="54D856AB"/>
    <w:rsid w:val="54DE0134"/>
    <w:rsid w:val="54FA3343"/>
    <w:rsid w:val="54FF3799"/>
    <w:rsid w:val="5519349A"/>
    <w:rsid w:val="55257D91"/>
    <w:rsid w:val="553C46BA"/>
    <w:rsid w:val="55402270"/>
    <w:rsid w:val="5545363C"/>
    <w:rsid w:val="55494082"/>
    <w:rsid w:val="555A1148"/>
    <w:rsid w:val="5563511D"/>
    <w:rsid w:val="556C6DB9"/>
    <w:rsid w:val="55782BE6"/>
    <w:rsid w:val="557D5B60"/>
    <w:rsid w:val="55834A19"/>
    <w:rsid w:val="5597337A"/>
    <w:rsid w:val="55BB2AD2"/>
    <w:rsid w:val="55BF466A"/>
    <w:rsid w:val="55C20305"/>
    <w:rsid w:val="55D33F84"/>
    <w:rsid w:val="55D3606E"/>
    <w:rsid w:val="55D55EC7"/>
    <w:rsid w:val="55E054C6"/>
    <w:rsid w:val="55E46622"/>
    <w:rsid w:val="55E7641D"/>
    <w:rsid w:val="55F27046"/>
    <w:rsid w:val="55F526C6"/>
    <w:rsid w:val="56066DC9"/>
    <w:rsid w:val="5613115D"/>
    <w:rsid w:val="56356D29"/>
    <w:rsid w:val="56365413"/>
    <w:rsid w:val="564B2DCD"/>
    <w:rsid w:val="564E1228"/>
    <w:rsid w:val="56534F05"/>
    <w:rsid w:val="565F3DA6"/>
    <w:rsid w:val="5661367A"/>
    <w:rsid w:val="566B274A"/>
    <w:rsid w:val="566C3476"/>
    <w:rsid w:val="567D247D"/>
    <w:rsid w:val="568B1B00"/>
    <w:rsid w:val="56903F5F"/>
    <w:rsid w:val="569145C7"/>
    <w:rsid w:val="56923576"/>
    <w:rsid w:val="56925B4E"/>
    <w:rsid w:val="569972B8"/>
    <w:rsid w:val="569C55B0"/>
    <w:rsid w:val="56A6131D"/>
    <w:rsid w:val="56A82B00"/>
    <w:rsid w:val="56B721A4"/>
    <w:rsid w:val="56B771FB"/>
    <w:rsid w:val="56BA4603"/>
    <w:rsid w:val="56BC4E15"/>
    <w:rsid w:val="56BC5AD0"/>
    <w:rsid w:val="56BD644F"/>
    <w:rsid w:val="56C24012"/>
    <w:rsid w:val="56CD51B3"/>
    <w:rsid w:val="56CE3508"/>
    <w:rsid w:val="56D00C68"/>
    <w:rsid w:val="56E20B7B"/>
    <w:rsid w:val="56EC4AD0"/>
    <w:rsid w:val="56F1378E"/>
    <w:rsid w:val="57022BD1"/>
    <w:rsid w:val="5705494D"/>
    <w:rsid w:val="57127259"/>
    <w:rsid w:val="57212B27"/>
    <w:rsid w:val="572809C2"/>
    <w:rsid w:val="572E0780"/>
    <w:rsid w:val="57317042"/>
    <w:rsid w:val="57365AEB"/>
    <w:rsid w:val="574020E4"/>
    <w:rsid w:val="574216FD"/>
    <w:rsid w:val="57480C4D"/>
    <w:rsid w:val="574C27F3"/>
    <w:rsid w:val="574C50B5"/>
    <w:rsid w:val="5754621A"/>
    <w:rsid w:val="5757095B"/>
    <w:rsid w:val="57587219"/>
    <w:rsid w:val="57603931"/>
    <w:rsid w:val="57664CC0"/>
    <w:rsid w:val="576A623B"/>
    <w:rsid w:val="576F5440"/>
    <w:rsid w:val="577C2A31"/>
    <w:rsid w:val="57895A45"/>
    <w:rsid w:val="57917F8F"/>
    <w:rsid w:val="57943BE9"/>
    <w:rsid w:val="57A51342"/>
    <w:rsid w:val="57BFA81E"/>
    <w:rsid w:val="57C5313B"/>
    <w:rsid w:val="57C540DC"/>
    <w:rsid w:val="57CB156A"/>
    <w:rsid w:val="57CF3962"/>
    <w:rsid w:val="57D26AB7"/>
    <w:rsid w:val="57D807D4"/>
    <w:rsid w:val="57D91382"/>
    <w:rsid w:val="57EA7969"/>
    <w:rsid w:val="57EC3417"/>
    <w:rsid w:val="57F740F4"/>
    <w:rsid w:val="57FA3D86"/>
    <w:rsid w:val="57FF63D5"/>
    <w:rsid w:val="580A1AEF"/>
    <w:rsid w:val="580D32F3"/>
    <w:rsid w:val="581666E6"/>
    <w:rsid w:val="58212803"/>
    <w:rsid w:val="58256929"/>
    <w:rsid w:val="583F08F6"/>
    <w:rsid w:val="5843566F"/>
    <w:rsid w:val="584F7E39"/>
    <w:rsid w:val="586B6A32"/>
    <w:rsid w:val="586B6D99"/>
    <w:rsid w:val="58750691"/>
    <w:rsid w:val="58871392"/>
    <w:rsid w:val="589367BE"/>
    <w:rsid w:val="589F5587"/>
    <w:rsid w:val="58AB575D"/>
    <w:rsid w:val="58B636BF"/>
    <w:rsid w:val="58BC728D"/>
    <w:rsid w:val="58CB5722"/>
    <w:rsid w:val="58DD0763"/>
    <w:rsid w:val="58DD21D7"/>
    <w:rsid w:val="58DD6347"/>
    <w:rsid w:val="58DF2F7C"/>
    <w:rsid w:val="58ED130A"/>
    <w:rsid w:val="58F20481"/>
    <w:rsid w:val="59036C6A"/>
    <w:rsid w:val="59162E41"/>
    <w:rsid w:val="59445F91"/>
    <w:rsid w:val="59457283"/>
    <w:rsid w:val="594A5169"/>
    <w:rsid w:val="5955073B"/>
    <w:rsid w:val="596D3EEC"/>
    <w:rsid w:val="5970204C"/>
    <w:rsid w:val="59747100"/>
    <w:rsid w:val="597F36B6"/>
    <w:rsid w:val="59815208"/>
    <w:rsid w:val="598C4A22"/>
    <w:rsid w:val="59C4289D"/>
    <w:rsid w:val="59C81C62"/>
    <w:rsid w:val="59D16D68"/>
    <w:rsid w:val="59D95C1D"/>
    <w:rsid w:val="59F001A4"/>
    <w:rsid w:val="5A105AE3"/>
    <w:rsid w:val="5A150548"/>
    <w:rsid w:val="5A1E2DE7"/>
    <w:rsid w:val="5A20427A"/>
    <w:rsid w:val="5A290952"/>
    <w:rsid w:val="5A2971D5"/>
    <w:rsid w:val="5A395FB6"/>
    <w:rsid w:val="5A436A2D"/>
    <w:rsid w:val="5A4E03B9"/>
    <w:rsid w:val="5A551748"/>
    <w:rsid w:val="5A59758B"/>
    <w:rsid w:val="5A7F1DC3"/>
    <w:rsid w:val="5A816AFB"/>
    <w:rsid w:val="5A9304C2"/>
    <w:rsid w:val="5A93401E"/>
    <w:rsid w:val="5A963B0E"/>
    <w:rsid w:val="5A975A80"/>
    <w:rsid w:val="5AA179C0"/>
    <w:rsid w:val="5AA62CA6"/>
    <w:rsid w:val="5AAF7FEE"/>
    <w:rsid w:val="5AB53F94"/>
    <w:rsid w:val="5AC43D60"/>
    <w:rsid w:val="5AC43E3A"/>
    <w:rsid w:val="5ACB7C5C"/>
    <w:rsid w:val="5ACC7530"/>
    <w:rsid w:val="5AD157AB"/>
    <w:rsid w:val="5AD22D98"/>
    <w:rsid w:val="5AD54636"/>
    <w:rsid w:val="5AE43BF7"/>
    <w:rsid w:val="5AE44879"/>
    <w:rsid w:val="5AE623A0"/>
    <w:rsid w:val="5AEE56F8"/>
    <w:rsid w:val="5AEF53FD"/>
    <w:rsid w:val="5AF144D0"/>
    <w:rsid w:val="5AFB2D6E"/>
    <w:rsid w:val="5AFBAD42"/>
    <w:rsid w:val="5B0A066E"/>
    <w:rsid w:val="5B0D2022"/>
    <w:rsid w:val="5B110D26"/>
    <w:rsid w:val="5B117BEC"/>
    <w:rsid w:val="5B123FA7"/>
    <w:rsid w:val="5B150ED7"/>
    <w:rsid w:val="5B47727D"/>
    <w:rsid w:val="5B500101"/>
    <w:rsid w:val="5B5639C9"/>
    <w:rsid w:val="5B5E18A4"/>
    <w:rsid w:val="5B5F0EDA"/>
    <w:rsid w:val="5B611DC8"/>
    <w:rsid w:val="5B613C0E"/>
    <w:rsid w:val="5B697EEF"/>
    <w:rsid w:val="5B7976B8"/>
    <w:rsid w:val="5B7C2DC4"/>
    <w:rsid w:val="5B7C71A8"/>
    <w:rsid w:val="5B800982"/>
    <w:rsid w:val="5B8B6227"/>
    <w:rsid w:val="5B955E96"/>
    <w:rsid w:val="5B9B2E59"/>
    <w:rsid w:val="5B9B3675"/>
    <w:rsid w:val="5B9F377A"/>
    <w:rsid w:val="5BA231DD"/>
    <w:rsid w:val="5BA258C6"/>
    <w:rsid w:val="5BA26571"/>
    <w:rsid w:val="5BAD7361"/>
    <w:rsid w:val="5BCA6564"/>
    <w:rsid w:val="5BD66D67"/>
    <w:rsid w:val="5BF3746A"/>
    <w:rsid w:val="5BF60FD1"/>
    <w:rsid w:val="5BFC7953"/>
    <w:rsid w:val="5BFD2097"/>
    <w:rsid w:val="5BFE5BEE"/>
    <w:rsid w:val="5C010795"/>
    <w:rsid w:val="5C07081F"/>
    <w:rsid w:val="5C107D40"/>
    <w:rsid w:val="5C1422AC"/>
    <w:rsid w:val="5C15139A"/>
    <w:rsid w:val="5C177499"/>
    <w:rsid w:val="5C1E3775"/>
    <w:rsid w:val="5C20586B"/>
    <w:rsid w:val="5C3046CA"/>
    <w:rsid w:val="5C381264"/>
    <w:rsid w:val="5C3F445D"/>
    <w:rsid w:val="5C46095E"/>
    <w:rsid w:val="5C485468"/>
    <w:rsid w:val="5C4A2E02"/>
    <w:rsid w:val="5C672644"/>
    <w:rsid w:val="5C794078"/>
    <w:rsid w:val="5C8132C7"/>
    <w:rsid w:val="5CA23A25"/>
    <w:rsid w:val="5CA97B29"/>
    <w:rsid w:val="5CB12E81"/>
    <w:rsid w:val="5CB95FA1"/>
    <w:rsid w:val="5CBD5382"/>
    <w:rsid w:val="5CBF6DAD"/>
    <w:rsid w:val="5CC26330"/>
    <w:rsid w:val="5CCE23FF"/>
    <w:rsid w:val="5CD67F41"/>
    <w:rsid w:val="5CD83216"/>
    <w:rsid w:val="5CD90C6B"/>
    <w:rsid w:val="5CDF760E"/>
    <w:rsid w:val="5CE46310"/>
    <w:rsid w:val="5CE46DB3"/>
    <w:rsid w:val="5CEB001E"/>
    <w:rsid w:val="5CF453B2"/>
    <w:rsid w:val="5CF50FC0"/>
    <w:rsid w:val="5CF63739"/>
    <w:rsid w:val="5D017C51"/>
    <w:rsid w:val="5D03027D"/>
    <w:rsid w:val="5D042FB1"/>
    <w:rsid w:val="5D1A22C4"/>
    <w:rsid w:val="5D1B1DC7"/>
    <w:rsid w:val="5D21406C"/>
    <w:rsid w:val="5D2925A5"/>
    <w:rsid w:val="5D2D69AC"/>
    <w:rsid w:val="5D302207"/>
    <w:rsid w:val="5D3200B8"/>
    <w:rsid w:val="5D3F5332"/>
    <w:rsid w:val="5D4165A3"/>
    <w:rsid w:val="5D463591"/>
    <w:rsid w:val="5D4F2A78"/>
    <w:rsid w:val="5D55249C"/>
    <w:rsid w:val="5D5A0592"/>
    <w:rsid w:val="5D722610"/>
    <w:rsid w:val="5D792AE4"/>
    <w:rsid w:val="5D81138C"/>
    <w:rsid w:val="5D9722E6"/>
    <w:rsid w:val="5D9C1B0D"/>
    <w:rsid w:val="5D9F2CDA"/>
    <w:rsid w:val="5DA27BC8"/>
    <w:rsid w:val="5DAD53F7"/>
    <w:rsid w:val="5DC015CE"/>
    <w:rsid w:val="5DC25C67"/>
    <w:rsid w:val="5DC34C1A"/>
    <w:rsid w:val="5DD21301"/>
    <w:rsid w:val="5DD46E27"/>
    <w:rsid w:val="5DD97571"/>
    <w:rsid w:val="5DDA1E3A"/>
    <w:rsid w:val="5DF15728"/>
    <w:rsid w:val="5DF58FC7"/>
    <w:rsid w:val="5DF66D9E"/>
    <w:rsid w:val="5DFA1833"/>
    <w:rsid w:val="5DFD708D"/>
    <w:rsid w:val="5DFFAD62"/>
    <w:rsid w:val="5E0B0912"/>
    <w:rsid w:val="5E1A6F32"/>
    <w:rsid w:val="5E2774DB"/>
    <w:rsid w:val="5E280B31"/>
    <w:rsid w:val="5E2F58D3"/>
    <w:rsid w:val="5E357973"/>
    <w:rsid w:val="5E36029B"/>
    <w:rsid w:val="5E4C2E61"/>
    <w:rsid w:val="5E52091B"/>
    <w:rsid w:val="5E563540"/>
    <w:rsid w:val="5E5A06FD"/>
    <w:rsid w:val="5E5D4F9F"/>
    <w:rsid w:val="5E6F5AED"/>
    <w:rsid w:val="5E7F3F69"/>
    <w:rsid w:val="5E9071F2"/>
    <w:rsid w:val="5E9342EC"/>
    <w:rsid w:val="5E9401F8"/>
    <w:rsid w:val="5E946735"/>
    <w:rsid w:val="5EA20CD3"/>
    <w:rsid w:val="5EA27CF7"/>
    <w:rsid w:val="5EA762EA"/>
    <w:rsid w:val="5EB62B27"/>
    <w:rsid w:val="5EBC3C1E"/>
    <w:rsid w:val="5EC27EBD"/>
    <w:rsid w:val="5EC8638B"/>
    <w:rsid w:val="5ECD5D21"/>
    <w:rsid w:val="5EDA371E"/>
    <w:rsid w:val="5EDFC910"/>
    <w:rsid w:val="5EEB4040"/>
    <w:rsid w:val="5EEB532D"/>
    <w:rsid w:val="5EF77A7E"/>
    <w:rsid w:val="5EFD5378"/>
    <w:rsid w:val="5F0B2A87"/>
    <w:rsid w:val="5F1A4609"/>
    <w:rsid w:val="5F225970"/>
    <w:rsid w:val="5F2E00CC"/>
    <w:rsid w:val="5F335DCF"/>
    <w:rsid w:val="5F3815EE"/>
    <w:rsid w:val="5F3A53B0"/>
    <w:rsid w:val="5F3B1CCB"/>
    <w:rsid w:val="5F4104EC"/>
    <w:rsid w:val="5F41229A"/>
    <w:rsid w:val="5F491D86"/>
    <w:rsid w:val="5F5A335C"/>
    <w:rsid w:val="5F5C32D6"/>
    <w:rsid w:val="5F6E6E08"/>
    <w:rsid w:val="5F7649FB"/>
    <w:rsid w:val="5F7A39FE"/>
    <w:rsid w:val="5F8B21CC"/>
    <w:rsid w:val="5F942D12"/>
    <w:rsid w:val="5F990328"/>
    <w:rsid w:val="5F9A5E4E"/>
    <w:rsid w:val="5FA62A45"/>
    <w:rsid w:val="5FA71BE3"/>
    <w:rsid w:val="5FA8056B"/>
    <w:rsid w:val="5FA92D9F"/>
    <w:rsid w:val="5FAADF79"/>
    <w:rsid w:val="5FAC2DE4"/>
    <w:rsid w:val="5FAE5456"/>
    <w:rsid w:val="5FB10E83"/>
    <w:rsid w:val="5FBC7B73"/>
    <w:rsid w:val="5FC73231"/>
    <w:rsid w:val="5FCB5603"/>
    <w:rsid w:val="5FD70630"/>
    <w:rsid w:val="5FD79839"/>
    <w:rsid w:val="5FD914CE"/>
    <w:rsid w:val="5FF35908"/>
    <w:rsid w:val="5FF563F9"/>
    <w:rsid w:val="5FF75406"/>
    <w:rsid w:val="5FFF1A4A"/>
    <w:rsid w:val="5FFF6240"/>
    <w:rsid w:val="60031720"/>
    <w:rsid w:val="600852E1"/>
    <w:rsid w:val="600B69BF"/>
    <w:rsid w:val="600E788A"/>
    <w:rsid w:val="600F3699"/>
    <w:rsid w:val="6011673F"/>
    <w:rsid w:val="601469DA"/>
    <w:rsid w:val="601A3622"/>
    <w:rsid w:val="602E56A9"/>
    <w:rsid w:val="603941FE"/>
    <w:rsid w:val="604130CF"/>
    <w:rsid w:val="6054272E"/>
    <w:rsid w:val="605F2313"/>
    <w:rsid w:val="60603856"/>
    <w:rsid w:val="60663C94"/>
    <w:rsid w:val="606727AB"/>
    <w:rsid w:val="606D2829"/>
    <w:rsid w:val="60714E01"/>
    <w:rsid w:val="607154CE"/>
    <w:rsid w:val="60794FD4"/>
    <w:rsid w:val="607B7CC3"/>
    <w:rsid w:val="60814FEF"/>
    <w:rsid w:val="60962C26"/>
    <w:rsid w:val="60AC7BE7"/>
    <w:rsid w:val="60AE2440"/>
    <w:rsid w:val="60AE4E89"/>
    <w:rsid w:val="60B60A66"/>
    <w:rsid w:val="60D32F5A"/>
    <w:rsid w:val="60EA5239"/>
    <w:rsid w:val="61007F33"/>
    <w:rsid w:val="610E2B4C"/>
    <w:rsid w:val="61251748"/>
    <w:rsid w:val="613A1697"/>
    <w:rsid w:val="613E4136"/>
    <w:rsid w:val="614104BF"/>
    <w:rsid w:val="61470022"/>
    <w:rsid w:val="61483DB4"/>
    <w:rsid w:val="614C3B71"/>
    <w:rsid w:val="615C160D"/>
    <w:rsid w:val="615E765A"/>
    <w:rsid w:val="617A1A94"/>
    <w:rsid w:val="61807ABD"/>
    <w:rsid w:val="61846CDE"/>
    <w:rsid w:val="61865618"/>
    <w:rsid w:val="61923281"/>
    <w:rsid w:val="619945D7"/>
    <w:rsid w:val="61B218E9"/>
    <w:rsid w:val="61C24BFD"/>
    <w:rsid w:val="61CB0541"/>
    <w:rsid w:val="61D2367E"/>
    <w:rsid w:val="61DE43D4"/>
    <w:rsid w:val="61E06967"/>
    <w:rsid w:val="61ED083B"/>
    <w:rsid w:val="61F42949"/>
    <w:rsid w:val="61F730E4"/>
    <w:rsid w:val="620F346A"/>
    <w:rsid w:val="6241709F"/>
    <w:rsid w:val="624216A0"/>
    <w:rsid w:val="62571703"/>
    <w:rsid w:val="626343A0"/>
    <w:rsid w:val="626736F9"/>
    <w:rsid w:val="626B4082"/>
    <w:rsid w:val="626B6B00"/>
    <w:rsid w:val="62707A39"/>
    <w:rsid w:val="628A51BD"/>
    <w:rsid w:val="628E1BE9"/>
    <w:rsid w:val="62AF1C11"/>
    <w:rsid w:val="62B33E70"/>
    <w:rsid w:val="62BB2188"/>
    <w:rsid w:val="62C642C8"/>
    <w:rsid w:val="62C84A81"/>
    <w:rsid w:val="62CA6A4B"/>
    <w:rsid w:val="62D06FF9"/>
    <w:rsid w:val="62D7433C"/>
    <w:rsid w:val="62D765EB"/>
    <w:rsid w:val="62DF29CB"/>
    <w:rsid w:val="62E775FD"/>
    <w:rsid w:val="62EE44E7"/>
    <w:rsid w:val="62EE6294"/>
    <w:rsid w:val="62FD0BCE"/>
    <w:rsid w:val="62FE43C4"/>
    <w:rsid w:val="62FF4946"/>
    <w:rsid w:val="63021D83"/>
    <w:rsid w:val="630A5BB9"/>
    <w:rsid w:val="631F6D97"/>
    <w:rsid w:val="63304B00"/>
    <w:rsid w:val="63464323"/>
    <w:rsid w:val="63473BF7"/>
    <w:rsid w:val="636B22CC"/>
    <w:rsid w:val="636C198B"/>
    <w:rsid w:val="63704743"/>
    <w:rsid w:val="637A3FCD"/>
    <w:rsid w:val="638E1826"/>
    <w:rsid w:val="63932482"/>
    <w:rsid w:val="63972077"/>
    <w:rsid w:val="639900E3"/>
    <w:rsid w:val="639F2CC3"/>
    <w:rsid w:val="63A454EE"/>
    <w:rsid w:val="63B65AC7"/>
    <w:rsid w:val="63CD46A6"/>
    <w:rsid w:val="63CF5573"/>
    <w:rsid w:val="63D4784E"/>
    <w:rsid w:val="63D7428B"/>
    <w:rsid w:val="63DC4C88"/>
    <w:rsid w:val="63F57AF7"/>
    <w:rsid w:val="64085A7D"/>
    <w:rsid w:val="6408782B"/>
    <w:rsid w:val="640C4C0D"/>
    <w:rsid w:val="640D5C29"/>
    <w:rsid w:val="642B34A4"/>
    <w:rsid w:val="643A53B4"/>
    <w:rsid w:val="643B5584"/>
    <w:rsid w:val="643D4B24"/>
    <w:rsid w:val="64443A8F"/>
    <w:rsid w:val="64503D60"/>
    <w:rsid w:val="645830D7"/>
    <w:rsid w:val="645A2EFB"/>
    <w:rsid w:val="645A3FDC"/>
    <w:rsid w:val="64603F9B"/>
    <w:rsid w:val="64675414"/>
    <w:rsid w:val="646E3B0C"/>
    <w:rsid w:val="647258C3"/>
    <w:rsid w:val="64745B96"/>
    <w:rsid w:val="647635E8"/>
    <w:rsid w:val="64801D4B"/>
    <w:rsid w:val="648570CD"/>
    <w:rsid w:val="6497295D"/>
    <w:rsid w:val="649C4B47"/>
    <w:rsid w:val="64A61365"/>
    <w:rsid w:val="64AA2E73"/>
    <w:rsid w:val="64B8434A"/>
    <w:rsid w:val="64BD32BE"/>
    <w:rsid w:val="64BE31F5"/>
    <w:rsid w:val="64C5008F"/>
    <w:rsid w:val="64CD6821"/>
    <w:rsid w:val="64D4595F"/>
    <w:rsid w:val="64DA50F8"/>
    <w:rsid w:val="64E126B6"/>
    <w:rsid w:val="64E8446E"/>
    <w:rsid w:val="64EC2CA8"/>
    <w:rsid w:val="64EE6A20"/>
    <w:rsid w:val="64F72440"/>
    <w:rsid w:val="65020C74"/>
    <w:rsid w:val="65024C7C"/>
    <w:rsid w:val="65062AE7"/>
    <w:rsid w:val="65137B25"/>
    <w:rsid w:val="65147E16"/>
    <w:rsid w:val="65230D6E"/>
    <w:rsid w:val="65287703"/>
    <w:rsid w:val="652F35F5"/>
    <w:rsid w:val="65346E5E"/>
    <w:rsid w:val="65362175"/>
    <w:rsid w:val="65376B47"/>
    <w:rsid w:val="653D52B2"/>
    <w:rsid w:val="654042F5"/>
    <w:rsid w:val="654B3E73"/>
    <w:rsid w:val="654D2E22"/>
    <w:rsid w:val="65522979"/>
    <w:rsid w:val="65537C34"/>
    <w:rsid w:val="655976E9"/>
    <w:rsid w:val="655B398A"/>
    <w:rsid w:val="6575679A"/>
    <w:rsid w:val="658858C4"/>
    <w:rsid w:val="65921E5E"/>
    <w:rsid w:val="65BD63F3"/>
    <w:rsid w:val="65BE2C69"/>
    <w:rsid w:val="65BF216B"/>
    <w:rsid w:val="65D41035"/>
    <w:rsid w:val="65DD3E8F"/>
    <w:rsid w:val="65ED34AD"/>
    <w:rsid w:val="65F66C79"/>
    <w:rsid w:val="660447CA"/>
    <w:rsid w:val="66157FDD"/>
    <w:rsid w:val="66203DE4"/>
    <w:rsid w:val="66354381"/>
    <w:rsid w:val="665622BC"/>
    <w:rsid w:val="665C20B0"/>
    <w:rsid w:val="6660772E"/>
    <w:rsid w:val="66653739"/>
    <w:rsid w:val="666C4EE6"/>
    <w:rsid w:val="66792487"/>
    <w:rsid w:val="66A178F0"/>
    <w:rsid w:val="66AC0552"/>
    <w:rsid w:val="66C0619B"/>
    <w:rsid w:val="66D9725C"/>
    <w:rsid w:val="66E0203A"/>
    <w:rsid w:val="66E04A8F"/>
    <w:rsid w:val="66E31E89"/>
    <w:rsid w:val="66E509CA"/>
    <w:rsid w:val="66F83B86"/>
    <w:rsid w:val="66FB0FDC"/>
    <w:rsid w:val="66FC5AFF"/>
    <w:rsid w:val="670329EE"/>
    <w:rsid w:val="6709462E"/>
    <w:rsid w:val="673B0A69"/>
    <w:rsid w:val="673E3436"/>
    <w:rsid w:val="67584625"/>
    <w:rsid w:val="67591430"/>
    <w:rsid w:val="675A65EF"/>
    <w:rsid w:val="6777196F"/>
    <w:rsid w:val="678A1ED0"/>
    <w:rsid w:val="679179C8"/>
    <w:rsid w:val="679C6C08"/>
    <w:rsid w:val="67A3188D"/>
    <w:rsid w:val="67A744FC"/>
    <w:rsid w:val="67AB61F8"/>
    <w:rsid w:val="67AFA11C"/>
    <w:rsid w:val="67B37A94"/>
    <w:rsid w:val="67BA7741"/>
    <w:rsid w:val="67BF2C5D"/>
    <w:rsid w:val="67C82D6A"/>
    <w:rsid w:val="67D143D7"/>
    <w:rsid w:val="67E6170C"/>
    <w:rsid w:val="67EE0AE5"/>
    <w:rsid w:val="67FBA179"/>
    <w:rsid w:val="67FF84E2"/>
    <w:rsid w:val="68000819"/>
    <w:rsid w:val="680A62EC"/>
    <w:rsid w:val="680D0CA5"/>
    <w:rsid w:val="681720A1"/>
    <w:rsid w:val="681C419E"/>
    <w:rsid w:val="68253783"/>
    <w:rsid w:val="682E039C"/>
    <w:rsid w:val="685017A0"/>
    <w:rsid w:val="686E4C40"/>
    <w:rsid w:val="687612DB"/>
    <w:rsid w:val="687769DB"/>
    <w:rsid w:val="687B6403"/>
    <w:rsid w:val="687B749E"/>
    <w:rsid w:val="68867E0D"/>
    <w:rsid w:val="688A6BEA"/>
    <w:rsid w:val="688E3F4B"/>
    <w:rsid w:val="68916D9B"/>
    <w:rsid w:val="689C341B"/>
    <w:rsid w:val="68A45648"/>
    <w:rsid w:val="68A5668C"/>
    <w:rsid w:val="68D27297"/>
    <w:rsid w:val="68E1064A"/>
    <w:rsid w:val="68F85464"/>
    <w:rsid w:val="690070AC"/>
    <w:rsid w:val="6911241F"/>
    <w:rsid w:val="69124CA8"/>
    <w:rsid w:val="69164798"/>
    <w:rsid w:val="691E68CF"/>
    <w:rsid w:val="692549DB"/>
    <w:rsid w:val="69293B0C"/>
    <w:rsid w:val="69440841"/>
    <w:rsid w:val="695D4F45"/>
    <w:rsid w:val="697C1891"/>
    <w:rsid w:val="699119B4"/>
    <w:rsid w:val="699A513A"/>
    <w:rsid w:val="69A12529"/>
    <w:rsid w:val="69A86758"/>
    <w:rsid w:val="69B33D95"/>
    <w:rsid w:val="69B67115"/>
    <w:rsid w:val="69B82DF4"/>
    <w:rsid w:val="69D250C5"/>
    <w:rsid w:val="69DF102E"/>
    <w:rsid w:val="69DF55BE"/>
    <w:rsid w:val="69E439BE"/>
    <w:rsid w:val="69E50BCD"/>
    <w:rsid w:val="69E80549"/>
    <w:rsid w:val="69EF53B4"/>
    <w:rsid w:val="6A063261"/>
    <w:rsid w:val="6A073D15"/>
    <w:rsid w:val="6A0D3075"/>
    <w:rsid w:val="6A126DD2"/>
    <w:rsid w:val="6A1D3904"/>
    <w:rsid w:val="6A204DBF"/>
    <w:rsid w:val="6A231730"/>
    <w:rsid w:val="6A2829D5"/>
    <w:rsid w:val="6A2B0AC3"/>
    <w:rsid w:val="6A2F7A10"/>
    <w:rsid w:val="6A420E56"/>
    <w:rsid w:val="6A647785"/>
    <w:rsid w:val="6A6C67AF"/>
    <w:rsid w:val="6A7A4AD5"/>
    <w:rsid w:val="6A924E32"/>
    <w:rsid w:val="6A94008C"/>
    <w:rsid w:val="6A9736B6"/>
    <w:rsid w:val="6AA06A0F"/>
    <w:rsid w:val="6AA2141C"/>
    <w:rsid w:val="6AA87672"/>
    <w:rsid w:val="6AAD2EDA"/>
    <w:rsid w:val="6AAE27AE"/>
    <w:rsid w:val="6AB57189"/>
    <w:rsid w:val="6AB64EC6"/>
    <w:rsid w:val="6AB71DE9"/>
    <w:rsid w:val="6ABE6E95"/>
    <w:rsid w:val="6AC00C9E"/>
    <w:rsid w:val="6AC635A8"/>
    <w:rsid w:val="6AC81AC2"/>
    <w:rsid w:val="6ACD0E86"/>
    <w:rsid w:val="6ADD1EE4"/>
    <w:rsid w:val="6ADE46B1"/>
    <w:rsid w:val="6AE60947"/>
    <w:rsid w:val="6AEF6EB8"/>
    <w:rsid w:val="6AF777FF"/>
    <w:rsid w:val="6AF97ECD"/>
    <w:rsid w:val="6B077D1C"/>
    <w:rsid w:val="6B0B374F"/>
    <w:rsid w:val="6B0E6D92"/>
    <w:rsid w:val="6B17074E"/>
    <w:rsid w:val="6B1747F7"/>
    <w:rsid w:val="6B1B7E43"/>
    <w:rsid w:val="6B1E472F"/>
    <w:rsid w:val="6B1F0CCB"/>
    <w:rsid w:val="6B2751C5"/>
    <w:rsid w:val="6B3233DF"/>
    <w:rsid w:val="6B3A9615"/>
    <w:rsid w:val="6B427AC6"/>
    <w:rsid w:val="6B4750DC"/>
    <w:rsid w:val="6B477798"/>
    <w:rsid w:val="6B6234E5"/>
    <w:rsid w:val="6B6C069F"/>
    <w:rsid w:val="6B77B1B5"/>
    <w:rsid w:val="6B79100E"/>
    <w:rsid w:val="6B7E1C6E"/>
    <w:rsid w:val="6B8E4D79"/>
    <w:rsid w:val="6B91331F"/>
    <w:rsid w:val="6B923E7E"/>
    <w:rsid w:val="6BA20565"/>
    <w:rsid w:val="6BA90E10"/>
    <w:rsid w:val="6BAA566B"/>
    <w:rsid w:val="6BAC5048"/>
    <w:rsid w:val="6BAF67DE"/>
    <w:rsid w:val="6BBD11F5"/>
    <w:rsid w:val="6BBD6D91"/>
    <w:rsid w:val="6BC11098"/>
    <w:rsid w:val="6BCE1834"/>
    <w:rsid w:val="6BD03987"/>
    <w:rsid w:val="6BD12800"/>
    <w:rsid w:val="6BD9385B"/>
    <w:rsid w:val="6BE17EE8"/>
    <w:rsid w:val="6BEA5A68"/>
    <w:rsid w:val="6BF95CAB"/>
    <w:rsid w:val="6BFA2F04"/>
    <w:rsid w:val="6BFB7C75"/>
    <w:rsid w:val="6C005CE7"/>
    <w:rsid w:val="6C022DB1"/>
    <w:rsid w:val="6C1164D9"/>
    <w:rsid w:val="6C1D447F"/>
    <w:rsid w:val="6C283CFA"/>
    <w:rsid w:val="6C4C04D0"/>
    <w:rsid w:val="6C5737F9"/>
    <w:rsid w:val="6C5850C7"/>
    <w:rsid w:val="6C5E02FC"/>
    <w:rsid w:val="6C692E30"/>
    <w:rsid w:val="6C6A462D"/>
    <w:rsid w:val="6C721812"/>
    <w:rsid w:val="6C88775B"/>
    <w:rsid w:val="6C8A23DB"/>
    <w:rsid w:val="6C8B0F52"/>
    <w:rsid w:val="6CA44DC8"/>
    <w:rsid w:val="6CAD71C1"/>
    <w:rsid w:val="6CCD1611"/>
    <w:rsid w:val="6CDD0DD0"/>
    <w:rsid w:val="6CEF4BA4"/>
    <w:rsid w:val="6CFA7DB1"/>
    <w:rsid w:val="6CFD7212"/>
    <w:rsid w:val="6CFF4E40"/>
    <w:rsid w:val="6D0127E4"/>
    <w:rsid w:val="6D01750D"/>
    <w:rsid w:val="6D022321"/>
    <w:rsid w:val="6D135E16"/>
    <w:rsid w:val="6D1C168A"/>
    <w:rsid w:val="6D326A84"/>
    <w:rsid w:val="6D347A31"/>
    <w:rsid w:val="6D3668DD"/>
    <w:rsid w:val="6D433682"/>
    <w:rsid w:val="6D435FEF"/>
    <w:rsid w:val="6D471CAB"/>
    <w:rsid w:val="6D533663"/>
    <w:rsid w:val="6D547D6E"/>
    <w:rsid w:val="6D6655C2"/>
    <w:rsid w:val="6D6B5FE5"/>
    <w:rsid w:val="6D6F4DA4"/>
    <w:rsid w:val="6D821E63"/>
    <w:rsid w:val="6D8E489E"/>
    <w:rsid w:val="6D8F1B1D"/>
    <w:rsid w:val="6DAC0977"/>
    <w:rsid w:val="6DB941BD"/>
    <w:rsid w:val="6DC31233"/>
    <w:rsid w:val="6DC60F63"/>
    <w:rsid w:val="6DCF54BF"/>
    <w:rsid w:val="6DDE33AA"/>
    <w:rsid w:val="6DE662C0"/>
    <w:rsid w:val="6DF2085E"/>
    <w:rsid w:val="6E09100A"/>
    <w:rsid w:val="6E1A5BCD"/>
    <w:rsid w:val="6E257DF9"/>
    <w:rsid w:val="6E3341EC"/>
    <w:rsid w:val="6E3A6A42"/>
    <w:rsid w:val="6E3D27C7"/>
    <w:rsid w:val="6E492F1A"/>
    <w:rsid w:val="6E4C770B"/>
    <w:rsid w:val="6E4E0530"/>
    <w:rsid w:val="6E5F1098"/>
    <w:rsid w:val="6E6F2793"/>
    <w:rsid w:val="6E6F6C3B"/>
    <w:rsid w:val="6E703D8E"/>
    <w:rsid w:val="6E721C78"/>
    <w:rsid w:val="6E7E60CD"/>
    <w:rsid w:val="6E7EB17C"/>
    <w:rsid w:val="6E8166F5"/>
    <w:rsid w:val="6E84323D"/>
    <w:rsid w:val="6E942A76"/>
    <w:rsid w:val="6E963C85"/>
    <w:rsid w:val="6EA410CA"/>
    <w:rsid w:val="6EA41FA2"/>
    <w:rsid w:val="6EB011EB"/>
    <w:rsid w:val="6EB02F99"/>
    <w:rsid w:val="6EB44AD4"/>
    <w:rsid w:val="6EB74CDF"/>
    <w:rsid w:val="6EBB20E8"/>
    <w:rsid w:val="6EBF493D"/>
    <w:rsid w:val="6EC46A44"/>
    <w:rsid w:val="6ECE666B"/>
    <w:rsid w:val="6ED73532"/>
    <w:rsid w:val="6EDA07CD"/>
    <w:rsid w:val="6EDC48A6"/>
    <w:rsid w:val="6EEE3AC1"/>
    <w:rsid w:val="6EEE59C2"/>
    <w:rsid w:val="6EF2F120"/>
    <w:rsid w:val="6F103A37"/>
    <w:rsid w:val="6F1654F2"/>
    <w:rsid w:val="6F1B2B08"/>
    <w:rsid w:val="6F313FE8"/>
    <w:rsid w:val="6F327E52"/>
    <w:rsid w:val="6F350301"/>
    <w:rsid w:val="6F3516F0"/>
    <w:rsid w:val="6F364DDC"/>
    <w:rsid w:val="6F381CAC"/>
    <w:rsid w:val="6F3F6982"/>
    <w:rsid w:val="6F3F7BF1"/>
    <w:rsid w:val="6F4A6F49"/>
    <w:rsid w:val="6F535138"/>
    <w:rsid w:val="6F6128C1"/>
    <w:rsid w:val="6F6165F6"/>
    <w:rsid w:val="6F7239F2"/>
    <w:rsid w:val="6F771834"/>
    <w:rsid w:val="6F7A5C5F"/>
    <w:rsid w:val="6F9C6902"/>
    <w:rsid w:val="6FA0729C"/>
    <w:rsid w:val="6FAD72F5"/>
    <w:rsid w:val="6FB1521A"/>
    <w:rsid w:val="6FC211D5"/>
    <w:rsid w:val="6FDE1E67"/>
    <w:rsid w:val="6FDFD8FF"/>
    <w:rsid w:val="6FEF4FB0"/>
    <w:rsid w:val="6FEF7AF1"/>
    <w:rsid w:val="6FF0358B"/>
    <w:rsid w:val="6FF144C0"/>
    <w:rsid w:val="6FF463F0"/>
    <w:rsid w:val="6FF9271D"/>
    <w:rsid w:val="70100CA2"/>
    <w:rsid w:val="7019691C"/>
    <w:rsid w:val="701B2694"/>
    <w:rsid w:val="70253512"/>
    <w:rsid w:val="702E0619"/>
    <w:rsid w:val="70336A57"/>
    <w:rsid w:val="70393572"/>
    <w:rsid w:val="704B68A8"/>
    <w:rsid w:val="70610967"/>
    <w:rsid w:val="70723947"/>
    <w:rsid w:val="7073669D"/>
    <w:rsid w:val="7087270D"/>
    <w:rsid w:val="70877D29"/>
    <w:rsid w:val="7092396A"/>
    <w:rsid w:val="70953140"/>
    <w:rsid w:val="70A21B91"/>
    <w:rsid w:val="70A24D48"/>
    <w:rsid w:val="70AB1C6A"/>
    <w:rsid w:val="70AF36AA"/>
    <w:rsid w:val="70B11B30"/>
    <w:rsid w:val="70BA64EF"/>
    <w:rsid w:val="70BD1051"/>
    <w:rsid w:val="70C853A4"/>
    <w:rsid w:val="70C900DF"/>
    <w:rsid w:val="70F5095B"/>
    <w:rsid w:val="70F51137"/>
    <w:rsid w:val="70F80524"/>
    <w:rsid w:val="70F87CB1"/>
    <w:rsid w:val="710539DE"/>
    <w:rsid w:val="71094BE2"/>
    <w:rsid w:val="710A2419"/>
    <w:rsid w:val="710C226A"/>
    <w:rsid w:val="711C5620"/>
    <w:rsid w:val="71326D32"/>
    <w:rsid w:val="71335488"/>
    <w:rsid w:val="71347D5A"/>
    <w:rsid w:val="71353DE2"/>
    <w:rsid w:val="71364EB1"/>
    <w:rsid w:val="71443B44"/>
    <w:rsid w:val="714724C5"/>
    <w:rsid w:val="71494FDF"/>
    <w:rsid w:val="714C2CD0"/>
    <w:rsid w:val="71512119"/>
    <w:rsid w:val="715A596A"/>
    <w:rsid w:val="7162056E"/>
    <w:rsid w:val="71777E63"/>
    <w:rsid w:val="71791D68"/>
    <w:rsid w:val="717C247D"/>
    <w:rsid w:val="717F250B"/>
    <w:rsid w:val="717F26E4"/>
    <w:rsid w:val="71801AB8"/>
    <w:rsid w:val="71816B8E"/>
    <w:rsid w:val="71832D29"/>
    <w:rsid w:val="71844CC3"/>
    <w:rsid w:val="718572BF"/>
    <w:rsid w:val="71907818"/>
    <w:rsid w:val="71B252F9"/>
    <w:rsid w:val="71BF5724"/>
    <w:rsid w:val="71C1726B"/>
    <w:rsid w:val="71C7372B"/>
    <w:rsid w:val="71D05564"/>
    <w:rsid w:val="71D1732D"/>
    <w:rsid w:val="71D657B6"/>
    <w:rsid w:val="71D65DD3"/>
    <w:rsid w:val="71D756CE"/>
    <w:rsid w:val="71DE7634"/>
    <w:rsid w:val="71E60A7F"/>
    <w:rsid w:val="71E95916"/>
    <w:rsid w:val="71EE7E10"/>
    <w:rsid w:val="71F1067C"/>
    <w:rsid w:val="71F268BA"/>
    <w:rsid w:val="71F321E4"/>
    <w:rsid w:val="7203413E"/>
    <w:rsid w:val="72090A0E"/>
    <w:rsid w:val="721814FB"/>
    <w:rsid w:val="721866B6"/>
    <w:rsid w:val="72287836"/>
    <w:rsid w:val="724F58A2"/>
    <w:rsid w:val="7250588C"/>
    <w:rsid w:val="725B76BF"/>
    <w:rsid w:val="726F5278"/>
    <w:rsid w:val="72780225"/>
    <w:rsid w:val="727A4F84"/>
    <w:rsid w:val="727E786A"/>
    <w:rsid w:val="728253CD"/>
    <w:rsid w:val="72887FD4"/>
    <w:rsid w:val="729C39EF"/>
    <w:rsid w:val="729D1577"/>
    <w:rsid w:val="72A13B88"/>
    <w:rsid w:val="72B700B6"/>
    <w:rsid w:val="72B76C1B"/>
    <w:rsid w:val="72B914B5"/>
    <w:rsid w:val="72BD0544"/>
    <w:rsid w:val="72C0472D"/>
    <w:rsid w:val="72C74D55"/>
    <w:rsid w:val="72CB03A1"/>
    <w:rsid w:val="72D11617"/>
    <w:rsid w:val="72D11D5C"/>
    <w:rsid w:val="72D825E8"/>
    <w:rsid w:val="72E85DAD"/>
    <w:rsid w:val="72F22421"/>
    <w:rsid w:val="72FA0756"/>
    <w:rsid w:val="72FE170D"/>
    <w:rsid w:val="730F176E"/>
    <w:rsid w:val="731E7FAE"/>
    <w:rsid w:val="732303D9"/>
    <w:rsid w:val="73243F55"/>
    <w:rsid w:val="732C2D91"/>
    <w:rsid w:val="732F8D3C"/>
    <w:rsid w:val="733818AE"/>
    <w:rsid w:val="733A7DC3"/>
    <w:rsid w:val="73532CC9"/>
    <w:rsid w:val="73734595"/>
    <w:rsid w:val="73757F79"/>
    <w:rsid w:val="737FA0ED"/>
    <w:rsid w:val="73870CC5"/>
    <w:rsid w:val="738B7A3A"/>
    <w:rsid w:val="739577E0"/>
    <w:rsid w:val="73A86D6B"/>
    <w:rsid w:val="73D1187B"/>
    <w:rsid w:val="73D73D11"/>
    <w:rsid w:val="73E05929"/>
    <w:rsid w:val="73E11809"/>
    <w:rsid w:val="73E3796C"/>
    <w:rsid w:val="73EB3DF3"/>
    <w:rsid w:val="73EC4FBF"/>
    <w:rsid w:val="73ED2AB0"/>
    <w:rsid w:val="73FC458A"/>
    <w:rsid w:val="73FF1727"/>
    <w:rsid w:val="74041B27"/>
    <w:rsid w:val="741363D3"/>
    <w:rsid w:val="741B2403"/>
    <w:rsid w:val="741E6FE6"/>
    <w:rsid w:val="74267292"/>
    <w:rsid w:val="744228E5"/>
    <w:rsid w:val="74455F31"/>
    <w:rsid w:val="74476C28"/>
    <w:rsid w:val="744975DD"/>
    <w:rsid w:val="744A2255"/>
    <w:rsid w:val="744F5002"/>
    <w:rsid w:val="745558E8"/>
    <w:rsid w:val="746920A5"/>
    <w:rsid w:val="746F1200"/>
    <w:rsid w:val="74750C53"/>
    <w:rsid w:val="748B0E2E"/>
    <w:rsid w:val="749134A8"/>
    <w:rsid w:val="74A1392E"/>
    <w:rsid w:val="74A7099A"/>
    <w:rsid w:val="74C01A5C"/>
    <w:rsid w:val="74C96B62"/>
    <w:rsid w:val="74CB1EDB"/>
    <w:rsid w:val="74D06143"/>
    <w:rsid w:val="74D31608"/>
    <w:rsid w:val="74DE73F5"/>
    <w:rsid w:val="74E67714"/>
    <w:rsid w:val="74FA5557"/>
    <w:rsid w:val="750C4CA1"/>
    <w:rsid w:val="75156511"/>
    <w:rsid w:val="75160021"/>
    <w:rsid w:val="751E77AF"/>
    <w:rsid w:val="752017A3"/>
    <w:rsid w:val="75260BE5"/>
    <w:rsid w:val="752F399F"/>
    <w:rsid w:val="75365188"/>
    <w:rsid w:val="7544268D"/>
    <w:rsid w:val="75457BC2"/>
    <w:rsid w:val="757A6D52"/>
    <w:rsid w:val="757D5931"/>
    <w:rsid w:val="757FA7B4"/>
    <w:rsid w:val="75802C86"/>
    <w:rsid w:val="758331B5"/>
    <w:rsid w:val="75B90985"/>
    <w:rsid w:val="75BF7F8D"/>
    <w:rsid w:val="75C8117D"/>
    <w:rsid w:val="75D07F8B"/>
    <w:rsid w:val="75E92BD3"/>
    <w:rsid w:val="75EE1C68"/>
    <w:rsid w:val="75EE5669"/>
    <w:rsid w:val="75FB2DC9"/>
    <w:rsid w:val="760659A6"/>
    <w:rsid w:val="7608190C"/>
    <w:rsid w:val="76132F33"/>
    <w:rsid w:val="7618146B"/>
    <w:rsid w:val="7618556C"/>
    <w:rsid w:val="761A1497"/>
    <w:rsid w:val="76283D5C"/>
    <w:rsid w:val="762A3631"/>
    <w:rsid w:val="762F4303"/>
    <w:rsid w:val="7635043C"/>
    <w:rsid w:val="7636D2E0"/>
    <w:rsid w:val="763E05C5"/>
    <w:rsid w:val="763E2BEB"/>
    <w:rsid w:val="76494503"/>
    <w:rsid w:val="764B4F6C"/>
    <w:rsid w:val="764C62EE"/>
    <w:rsid w:val="76646D93"/>
    <w:rsid w:val="767E397C"/>
    <w:rsid w:val="768F2044"/>
    <w:rsid w:val="76957051"/>
    <w:rsid w:val="76982FF6"/>
    <w:rsid w:val="769E31B9"/>
    <w:rsid w:val="76A76A7D"/>
    <w:rsid w:val="76BB697E"/>
    <w:rsid w:val="76BD4232"/>
    <w:rsid w:val="76C10199"/>
    <w:rsid w:val="76C57BCB"/>
    <w:rsid w:val="76DF3364"/>
    <w:rsid w:val="76EE28B0"/>
    <w:rsid w:val="76EF2FBC"/>
    <w:rsid w:val="76F41144"/>
    <w:rsid w:val="76F60290"/>
    <w:rsid w:val="76F77B54"/>
    <w:rsid w:val="76F927CD"/>
    <w:rsid w:val="76FBB177"/>
    <w:rsid w:val="76FC68F1"/>
    <w:rsid w:val="76FF802D"/>
    <w:rsid w:val="76FF88DB"/>
    <w:rsid w:val="76FFAABB"/>
    <w:rsid w:val="77040325"/>
    <w:rsid w:val="770666BF"/>
    <w:rsid w:val="77174C05"/>
    <w:rsid w:val="77276CA8"/>
    <w:rsid w:val="772DCF3F"/>
    <w:rsid w:val="77301974"/>
    <w:rsid w:val="77387FCF"/>
    <w:rsid w:val="773B2934"/>
    <w:rsid w:val="773C186D"/>
    <w:rsid w:val="773E064E"/>
    <w:rsid w:val="7741565A"/>
    <w:rsid w:val="77432529"/>
    <w:rsid w:val="77453F58"/>
    <w:rsid w:val="774D5B8F"/>
    <w:rsid w:val="774E1211"/>
    <w:rsid w:val="774E1436"/>
    <w:rsid w:val="774E15A1"/>
    <w:rsid w:val="77560ABE"/>
    <w:rsid w:val="776128B4"/>
    <w:rsid w:val="776143DD"/>
    <w:rsid w:val="77644920"/>
    <w:rsid w:val="7765592F"/>
    <w:rsid w:val="776F3A5B"/>
    <w:rsid w:val="77736C92"/>
    <w:rsid w:val="7777C7C8"/>
    <w:rsid w:val="7779587C"/>
    <w:rsid w:val="77797094"/>
    <w:rsid w:val="777B71D8"/>
    <w:rsid w:val="778B160C"/>
    <w:rsid w:val="778E5874"/>
    <w:rsid w:val="77A54D53"/>
    <w:rsid w:val="77AFA966"/>
    <w:rsid w:val="77CA4129"/>
    <w:rsid w:val="77CE32AE"/>
    <w:rsid w:val="77D73344"/>
    <w:rsid w:val="77D75F2B"/>
    <w:rsid w:val="77E0185E"/>
    <w:rsid w:val="77EEF2C9"/>
    <w:rsid w:val="77FC6767"/>
    <w:rsid w:val="77FEE175"/>
    <w:rsid w:val="77FF8EDB"/>
    <w:rsid w:val="77FFCB35"/>
    <w:rsid w:val="78022363"/>
    <w:rsid w:val="78144598"/>
    <w:rsid w:val="781A0BEC"/>
    <w:rsid w:val="78202415"/>
    <w:rsid w:val="78213FC9"/>
    <w:rsid w:val="7839549F"/>
    <w:rsid w:val="784376FF"/>
    <w:rsid w:val="78440F60"/>
    <w:rsid w:val="784B1050"/>
    <w:rsid w:val="785A4BCB"/>
    <w:rsid w:val="786048A0"/>
    <w:rsid w:val="78680440"/>
    <w:rsid w:val="78701D9C"/>
    <w:rsid w:val="788259A6"/>
    <w:rsid w:val="78931961"/>
    <w:rsid w:val="78A53442"/>
    <w:rsid w:val="78A82F32"/>
    <w:rsid w:val="78AB54EE"/>
    <w:rsid w:val="78AD5F33"/>
    <w:rsid w:val="78B817F5"/>
    <w:rsid w:val="78C7160B"/>
    <w:rsid w:val="78CD19BA"/>
    <w:rsid w:val="78D46D79"/>
    <w:rsid w:val="78EA74C2"/>
    <w:rsid w:val="78ED7B09"/>
    <w:rsid w:val="78FA0671"/>
    <w:rsid w:val="78FBDADB"/>
    <w:rsid w:val="79026F72"/>
    <w:rsid w:val="790C4EA7"/>
    <w:rsid w:val="790E548B"/>
    <w:rsid w:val="7917065B"/>
    <w:rsid w:val="792541F5"/>
    <w:rsid w:val="793A634F"/>
    <w:rsid w:val="793B8405"/>
    <w:rsid w:val="793C2051"/>
    <w:rsid w:val="795A0647"/>
    <w:rsid w:val="79690914"/>
    <w:rsid w:val="798635EB"/>
    <w:rsid w:val="798B71DF"/>
    <w:rsid w:val="798F6CC9"/>
    <w:rsid w:val="799301AC"/>
    <w:rsid w:val="79983F03"/>
    <w:rsid w:val="79986019"/>
    <w:rsid w:val="79A5750A"/>
    <w:rsid w:val="79BE0295"/>
    <w:rsid w:val="79CB6ED9"/>
    <w:rsid w:val="79D1209D"/>
    <w:rsid w:val="79DBEED9"/>
    <w:rsid w:val="79F14CAE"/>
    <w:rsid w:val="79F330ED"/>
    <w:rsid w:val="79F6BE3E"/>
    <w:rsid w:val="79F85291"/>
    <w:rsid w:val="79FBD08E"/>
    <w:rsid w:val="79FCC046"/>
    <w:rsid w:val="79FD0644"/>
    <w:rsid w:val="79FF5AA6"/>
    <w:rsid w:val="79FFE0A4"/>
    <w:rsid w:val="7A066163"/>
    <w:rsid w:val="7A071041"/>
    <w:rsid w:val="7A0A149C"/>
    <w:rsid w:val="7A0C1011"/>
    <w:rsid w:val="7A0E7A81"/>
    <w:rsid w:val="7A124B07"/>
    <w:rsid w:val="7A1A1C0E"/>
    <w:rsid w:val="7A321CDB"/>
    <w:rsid w:val="7A383CAC"/>
    <w:rsid w:val="7A4E2A78"/>
    <w:rsid w:val="7A5544DF"/>
    <w:rsid w:val="7A567B6E"/>
    <w:rsid w:val="7A5720C5"/>
    <w:rsid w:val="7A5A3E26"/>
    <w:rsid w:val="7A654BE4"/>
    <w:rsid w:val="7A65732D"/>
    <w:rsid w:val="7A680BCB"/>
    <w:rsid w:val="7A6E32C8"/>
    <w:rsid w:val="7A786B8E"/>
    <w:rsid w:val="7A7CEC62"/>
    <w:rsid w:val="7A8F4E0B"/>
    <w:rsid w:val="7A9E283F"/>
    <w:rsid w:val="7AC900CF"/>
    <w:rsid w:val="7AD0585A"/>
    <w:rsid w:val="7ADD6CC2"/>
    <w:rsid w:val="7ADF2556"/>
    <w:rsid w:val="7AEB7120"/>
    <w:rsid w:val="7AEC35AA"/>
    <w:rsid w:val="7AEE3C57"/>
    <w:rsid w:val="7AEEBFC0"/>
    <w:rsid w:val="7AEEED2C"/>
    <w:rsid w:val="7AF139CB"/>
    <w:rsid w:val="7AF45F84"/>
    <w:rsid w:val="7B052FBD"/>
    <w:rsid w:val="7B09415C"/>
    <w:rsid w:val="7B1A27DF"/>
    <w:rsid w:val="7B1B79EC"/>
    <w:rsid w:val="7B2BD677"/>
    <w:rsid w:val="7B2F339C"/>
    <w:rsid w:val="7B3960C4"/>
    <w:rsid w:val="7B472447"/>
    <w:rsid w:val="7B551150"/>
    <w:rsid w:val="7B570F72"/>
    <w:rsid w:val="7B587A97"/>
    <w:rsid w:val="7B5A5A6C"/>
    <w:rsid w:val="7B5C250E"/>
    <w:rsid w:val="7B66335D"/>
    <w:rsid w:val="7B6A44CF"/>
    <w:rsid w:val="7B6D0F87"/>
    <w:rsid w:val="7B72691F"/>
    <w:rsid w:val="7B7324BC"/>
    <w:rsid w:val="7B783FD8"/>
    <w:rsid w:val="7B7B048A"/>
    <w:rsid w:val="7B7E4076"/>
    <w:rsid w:val="7B871525"/>
    <w:rsid w:val="7B8C2A07"/>
    <w:rsid w:val="7B906CA5"/>
    <w:rsid w:val="7B950207"/>
    <w:rsid w:val="7B9A3DB8"/>
    <w:rsid w:val="7B9F2BB7"/>
    <w:rsid w:val="7BA113AB"/>
    <w:rsid w:val="7BCE6714"/>
    <w:rsid w:val="7BD34DAC"/>
    <w:rsid w:val="7BD52290"/>
    <w:rsid w:val="7BD568A0"/>
    <w:rsid w:val="7BDE2653"/>
    <w:rsid w:val="7BEC1388"/>
    <w:rsid w:val="7BEC3136"/>
    <w:rsid w:val="7BEF4EB5"/>
    <w:rsid w:val="7BF20E1E"/>
    <w:rsid w:val="7BF8E44F"/>
    <w:rsid w:val="7BFDFB3C"/>
    <w:rsid w:val="7BFF69ED"/>
    <w:rsid w:val="7BFFBE7A"/>
    <w:rsid w:val="7BFFF4A8"/>
    <w:rsid w:val="7C0B5CB2"/>
    <w:rsid w:val="7C1508DF"/>
    <w:rsid w:val="7C1C1C6D"/>
    <w:rsid w:val="7C286864"/>
    <w:rsid w:val="7C29117A"/>
    <w:rsid w:val="7C442F72"/>
    <w:rsid w:val="7C503DBB"/>
    <w:rsid w:val="7C507B69"/>
    <w:rsid w:val="7C5728ED"/>
    <w:rsid w:val="7C5C52E0"/>
    <w:rsid w:val="7C642306"/>
    <w:rsid w:val="7C672EE5"/>
    <w:rsid w:val="7C7A1B52"/>
    <w:rsid w:val="7C886F35"/>
    <w:rsid w:val="7C920303"/>
    <w:rsid w:val="7C9408F4"/>
    <w:rsid w:val="7CAD7E5E"/>
    <w:rsid w:val="7CB83597"/>
    <w:rsid w:val="7CB83A65"/>
    <w:rsid w:val="7CB90CC2"/>
    <w:rsid w:val="7CCC5441"/>
    <w:rsid w:val="7CD4CAA2"/>
    <w:rsid w:val="7CE427BB"/>
    <w:rsid w:val="7CE4330E"/>
    <w:rsid w:val="7CE458D1"/>
    <w:rsid w:val="7CE7A0B1"/>
    <w:rsid w:val="7CEA1D6C"/>
    <w:rsid w:val="7CF2566E"/>
    <w:rsid w:val="7CF52BFF"/>
    <w:rsid w:val="7CFB2CE9"/>
    <w:rsid w:val="7CFBCCF6"/>
    <w:rsid w:val="7D020E63"/>
    <w:rsid w:val="7D0734C3"/>
    <w:rsid w:val="7D0C34C4"/>
    <w:rsid w:val="7D133070"/>
    <w:rsid w:val="7D1D39AE"/>
    <w:rsid w:val="7D212CA5"/>
    <w:rsid w:val="7D2501CB"/>
    <w:rsid w:val="7D255EE2"/>
    <w:rsid w:val="7D2760D5"/>
    <w:rsid w:val="7D2863F0"/>
    <w:rsid w:val="7D293184"/>
    <w:rsid w:val="7D3A1185"/>
    <w:rsid w:val="7D40373A"/>
    <w:rsid w:val="7D413F25"/>
    <w:rsid w:val="7D4A23DF"/>
    <w:rsid w:val="7D4B3EE6"/>
    <w:rsid w:val="7D584F27"/>
    <w:rsid w:val="7D6112EF"/>
    <w:rsid w:val="7D6760EF"/>
    <w:rsid w:val="7D68620F"/>
    <w:rsid w:val="7D69777E"/>
    <w:rsid w:val="7D7601E8"/>
    <w:rsid w:val="7D7C6E9A"/>
    <w:rsid w:val="7D836818"/>
    <w:rsid w:val="7D845D1C"/>
    <w:rsid w:val="7D85293D"/>
    <w:rsid w:val="7D8570D6"/>
    <w:rsid w:val="7D927DC0"/>
    <w:rsid w:val="7DA47C4D"/>
    <w:rsid w:val="7DB1DE95"/>
    <w:rsid w:val="7DB34706"/>
    <w:rsid w:val="7DBED353"/>
    <w:rsid w:val="7DE59FBD"/>
    <w:rsid w:val="7DEC566F"/>
    <w:rsid w:val="7DEF2C7F"/>
    <w:rsid w:val="7DF37C33"/>
    <w:rsid w:val="7DFDA2DD"/>
    <w:rsid w:val="7E0C099E"/>
    <w:rsid w:val="7E160C88"/>
    <w:rsid w:val="7E1A0A9F"/>
    <w:rsid w:val="7E1E1440"/>
    <w:rsid w:val="7E1FC5E9"/>
    <w:rsid w:val="7E3239CA"/>
    <w:rsid w:val="7E372D8F"/>
    <w:rsid w:val="7E3C401A"/>
    <w:rsid w:val="7E3D0C7E"/>
    <w:rsid w:val="7E5356EF"/>
    <w:rsid w:val="7E5FBFA7"/>
    <w:rsid w:val="7E641213"/>
    <w:rsid w:val="7E6769E3"/>
    <w:rsid w:val="7E7B1510"/>
    <w:rsid w:val="7E7FA550"/>
    <w:rsid w:val="7E8F0128"/>
    <w:rsid w:val="7E924469"/>
    <w:rsid w:val="7E9568C8"/>
    <w:rsid w:val="7EA171E2"/>
    <w:rsid w:val="7EA67E97"/>
    <w:rsid w:val="7EA91411"/>
    <w:rsid w:val="7EB77CE6"/>
    <w:rsid w:val="7EBE04CB"/>
    <w:rsid w:val="7EC0418C"/>
    <w:rsid w:val="7EC87E8B"/>
    <w:rsid w:val="7ED72015"/>
    <w:rsid w:val="7ED92098"/>
    <w:rsid w:val="7EDF0BE9"/>
    <w:rsid w:val="7EE33139"/>
    <w:rsid w:val="7EE5050C"/>
    <w:rsid w:val="7EEC7D52"/>
    <w:rsid w:val="7EF05DF7"/>
    <w:rsid w:val="7EF24F07"/>
    <w:rsid w:val="7EF34773"/>
    <w:rsid w:val="7EF75AFF"/>
    <w:rsid w:val="7EFB0677"/>
    <w:rsid w:val="7F075EBB"/>
    <w:rsid w:val="7F0D08DC"/>
    <w:rsid w:val="7F173D26"/>
    <w:rsid w:val="7F1E3F4E"/>
    <w:rsid w:val="7F1F19CC"/>
    <w:rsid w:val="7F27B164"/>
    <w:rsid w:val="7F2B3E31"/>
    <w:rsid w:val="7F2D52F4"/>
    <w:rsid w:val="7F34107C"/>
    <w:rsid w:val="7F362DF9"/>
    <w:rsid w:val="7F411082"/>
    <w:rsid w:val="7F44105E"/>
    <w:rsid w:val="7F5160D2"/>
    <w:rsid w:val="7F527EF2"/>
    <w:rsid w:val="7F584952"/>
    <w:rsid w:val="7F5931D8"/>
    <w:rsid w:val="7F5DC674"/>
    <w:rsid w:val="7F617DDF"/>
    <w:rsid w:val="7F666017"/>
    <w:rsid w:val="7F714EE5"/>
    <w:rsid w:val="7F7973D7"/>
    <w:rsid w:val="7F7E0744"/>
    <w:rsid w:val="7F7F2734"/>
    <w:rsid w:val="7F833DB1"/>
    <w:rsid w:val="7F8EDBCF"/>
    <w:rsid w:val="7F944AA6"/>
    <w:rsid w:val="7F97371E"/>
    <w:rsid w:val="7F9E6608"/>
    <w:rsid w:val="7FA15C0E"/>
    <w:rsid w:val="7FA63F96"/>
    <w:rsid w:val="7FA676E6"/>
    <w:rsid w:val="7FAE9EF6"/>
    <w:rsid w:val="7FAF592B"/>
    <w:rsid w:val="7FB328E9"/>
    <w:rsid w:val="7FB368D2"/>
    <w:rsid w:val="7FB9287C"/>
    <w:rsid w:val="7FBF3529"/>
    <w:rsid w:val="7FBFC35E"/>
    <w:rsid w:val="7FC9210C"/>
    <w:rsid w:val="7FCC003E"/>
    <w:rsid w:val="7FCC47FD"/>
    <w:rsid w:val="7FCF19E0"/>
    <w:rsid w:val="7FD31973"/>
    <w:rsid w:val="7FD962E8"/>
    <w:rsid w:val="7FDD34C2"/>
    <w:rsid w:val="7FDE2216"/>
    <w:rsid w:val="7FE157CC"/>
    <w:rsid w:val="7FE15B01"/>
    <w:rsid w:val="7FE608E7"/>
    <w:rsid w:val="7FE65B6D"/>
    <w:rsid w:val="7FE9455C"/>
    <w:rsid w:val="7FEC3F1F"/>
    <w:rsid w:val="7FEFEFFF"/>
    <w:rsid w:val="7FF30F37"/>
    <w:rsid w:val="7FF7AB6C"/>
    <w:rsid w:val="7FFA3A11"/>
    <w:rsid w:val="7FFB1B6E"/>
    <w:rsid w:val="7FFD3B64"/>
    <w:rsid w:val="7FFE249A"/>
    <w:rsid w:val="7FFE7630"/>
    <w:rsid w:val="7FFF300F"/>
    <w:rsid w:val="7FFFA0FF"/>
    <w:rsid w:val="7FFFE4F3"/>
    <w:rsid w:val="97D712E5"/>
    <w:rsid w:val="97DF737F"/>
    <w:rsid w:val="9B96F82A"/>
    <w:rsid w:val="9BD72B77"/>
    <w:rsid w:val="9C1B60B3"/>
    <w:rsid w:val="9DC7ACC5"/>
    <w:rsid w:val="9DFFEECC"/>
    <w:rsid w:val="9FB76CD3"/>
    <w:rsid w:val="9FEBBE71"/>
    <w:rsid w:val="9FF95891"/>
    <w:rsid w:val="9FFA1E23"/>
    <w:rsid w:val="A3B3C6E4"/>
    <w:rsid w:val="AC3DD8CF"/>
    <w:rsid w:val="AD8F0B05"/>
    <w:rsid w:val="AED98051"/>
    <w:rsid w:val="AF3EB684"/>
    <w:rsid w:val="B26B1C15"/>
    <w:rsid w:val="B36F5B4F"/>
    <w:rsid w:val="B47D6E3A"/>
    <w:rsid w:val="B5DF2FA7"/>
    <w:rsid w:val="B5FB735C"/>
    <w:rsid w:val="B6D6260B"/>
    <w:rsid w:val="B6FBFC99"/>
    <w:rsid w:val="B9F6F55D"/>
    <w:rsid w:val="B9F944A5"/>
    <w:rsid w:val="B9FFFF18"/>
    <w:rsid w:val="BA7F44B3"/>
    <w:rsid w:val="BB5D3081"/>
    <w:rsid w:val="BB7EAAFC"/>
    <w:rsid w:val="BB9ECF36"/>
    <w:rsid w:val="BBB7FCA1"/>
    <w:rsid w:val="BBBB09ED"/>
    <w:rsid w:val="BCD6E468"/>
    <w:rsid w:val="BDF6FA2D"/>
    <w:rsid w:val="BDFFD50E"/>
    <w:rsid w:val="BE3F4117"/>
    <w:rsid w:val="BF66489A"/>
    <w:rsid w:val="BF729CD6"/>
    <w:rsid w:val="BFAFA768"/>
    <w:rsid w:val="BFB73CB5"/>
    <w:rsid w:val="BFCA0146"/>
    <w:rsid w:val="BFE5AA07"/>
    <w:rsid w:val="BFE9354E"/>
    <w:rsid w:val="BFEF7202"/>
    <w:rsid w:val="BFF23BB0"/>
    <w:rsid w:val="BFF7F79E"/>
    <w:rsid w:val="BFFDFFA5"/>
    <w:rsid w:val="BFFF17FC"/>
    <w:rsid w:val="C1EF5288"/>
    <w:rsid w:val="C4FDD6EE"/>
    <w:rsid w:val="C5DB1ABC"/>
    <w:rsid w:val="CA57A0C0"/>
    <w:rsid w:val="CB1E1260"/>
    <w:rsid w:val="CB7EC77F"/>
    <w:rsid w:val="CD9ED96A"/>
    <w:rsid w:val="CDDE29AB"/>
    <w:rsid w:val="CDF66E75"/>
    <w:rsid w:val="CE75A70B"/>
    <w:rsid w:val="D4FBDA35"/>
    <w:rsid w:val="D57EDBA3"/>
    <w:rsid w:val="DA36D2E0"/>
    <w:rsid w:val="DB6A6FC0"/>
    <w:rsid w:val="DBBE93F9"/>
    <w:rsid w:val="DBFD743E"/>
    <w:rsid w:val="DBFF9188"/>
    <w:rsid w:val="DDB5CD9B"/>
    <w:rsid w:val="DDD3B388"/>
    <w:rsid w:val="DDDB8AE3"/>
    <w:rsid w:val="DDEE7589"/>
    <w:rsid w:val="DE56E60E"/>
    <w:rsid w:val="DEF9D536"/>
    <w:rsid w:val="DF0EDA6F"/>
    <w:rsid w:val="DF7F37A6"/>
    <w:rsid w:val="DFBB2E67"/>
    <w:rsid w:val="DFC26BFE"/>
    <w:rsid w:val="DFE79705"/>
    <w:rsid w:val="DFEFBB44"/>
    <w:rsid w:val="DFF54172"/>
    <w:rsid w:val="DFF68E1C"/>
    <w:rsid w:val="E17F5E8B"/>
    <w:rsid w:val="E5D35D51"/>
    <w:rsid w:val="E5FF8168"/>
    <w:rsid w:val="E6FF17C8"/>
    <w:rsid w:val="E79D517D"/>
    <w:rsid w:val="E7CFFA1A"/>
    <w:rsid w:val="E7DFCE6A"/>
    <w:rsid w:val="E7EFE179"/>
    <w:rsid w:val="E97D1D7B"/>
    <w:rsid w:val="E97FD536"/>
    <w:rsid w:val="EB3E2410"/>
    <w:rsid w:val="EB4FFA72"/>
    <w:rsid w:val="EB73825A"/>
    <w:rsid w:val="EB779625"/>
    <w:rsid w:val="EB77E458"/>
    <w:rsid w:val="EBEE61B0"/>
    <w:rsid w:val="EBFF37F0"/>
    <w:rsid w:val="ECF4A850"/>
    <w:rsid w:val="EDA7DD58"/>
    <w:rsid w:val="EDD52862"/>
    <w:rsid w:val="EDEE63D3"/>
    <w:rsid w:val="EECD7EA9"/>
    <w:rsid w:val="EF9A47E8"/>
    <w:rsid w:val="EFA8D6EA"/>
    <w:rsid w:val="EFB6A06F"/>
    <w:rsid w:val="EFC78E81"/>
    <w:rsid w:val="EFDBFDB6"/>
    <w:rsid w:val="EFDDE3D1"/>
    <w:rsid w:val="EFF7634E"/>
    <w:rsid w:val="EFF7A7D6"/>
    <w:rsid w:val="EFF80A4A"/>
    <w:rsid w:val="EFFD0A01"/>
    <w:rsid w:val="EFFDE408"/>
    <w:rsid w:val="EFFF6522"/>
    <w:rsid w:val="F0FF4E69"/>
    <w:rsid w:val="F2BEBE3A"/>
    <w:rsid w:val="F2F5715D"/>
    <w:rsid w:val="F3BBA4B6"/>
    <w:rsid w:val="F3EBFEE2"/>
    <w:rsid w:val="F3EE40B3"/>
    <w:rsid w:val="F3F560E6"/>
    <w:rsid w:val="F5DFC364"/>
    <w:rsid w:val="F5E74B70"/>
    <w:rsid w:val="F5F73BDA"/>
    <w:rsid w:val="F5FFFCE7"/>
    <w:rsid w:val="F63FC631"/>
    <w:rsid w:val="F65F02CF"/>
    <w:rsid w:val="F67F6212"/>
    <w:rsid w:val="F6ED34C3"/>
    <w:rsid w:val="F6EE22C9"/>
    <w:rsid w:val="F6EF8CAE"/>
    <w:rsid w:val="F7EE7B87"/>
    <w:rsid w:val="F7EF6738"/>
    <w:rsid w:val="F7FF7209"/>
    <w:rsid w:val="F95F9ED4"/>
    <w:rsid w:val="F9EB9C71"/>
    <w:rsid w:val="FA578648"/>
    <w:rsid w:val="FAD3B2D5"/>
    <w:rsid w:val="FAFEFB64"/>
    <w:rsid w:val="FB0929A7"/>
    <w:rsid w:val="FB3EDF3B"/>
    <w:rsid w:val="FB57C932"/>
    <w:rsid w:val="FB77670D"/>
    <w:rsid w:val="FBFFF110"/>
    <w:rsid w:val="FC5F7E68"/>
    <w:rsid w:val="FCBD0687"/>
    <w:rsid w:val="FCFF63B7"/>
    <w:rsid w:val="FCFFAE3D"/>
    <w:rsid w:val="FD75A122"/>
    <w:rsid w:val="FD7FB05D"/>
    <w:rsid w:val="FD9FF77A"/>
    <w:rsid w:val="FDBCC814"/>
    <w:rsid w:val="FDD1909F"/>
    <w:rsid w:val="FDEBBADB"/>
    <w:rsid w:val="FDF71818"/>
    <w:rsid w:val="FDFC12BF"/>
    <w:rsid w:val="FE43D0A7"/>
    <w:rsid w:val="FE7FA8E7"/>
    <w:rsid w:val="FE99D42B"/>
    <w:rsid w:val="FEDEDE08"/>
    <w:rsid w:val="FEFB11CC"/>
    <w:rsid w:val="FF385BD1"/>
    <w:rsid w:val="FF3FE0AE"/>
    <w:rsid w:val="FF5B4979"/>
    <w:rsid w:val="FF5F4091"/>
    <w:rsid w:val="FF7D82BB"/>
    <w:rsid w:val="FF7DE649"/>
    <w:rsid w:val="FF7EC21C"/>
    <w:rsid w:val="FF7EF00D"/>
    <w:rsid w:val="FF7FC83C"/>
    <w:rsid w:val="FF8B9B48"/>
    <w:rsid w:val="FF9BD202"/>
    <w:rsid w:val="FFB73B53"/>
    <w:rsid w:val="FFB7DB7F"/>
    <w:rsid w:val="FFB96590"/>
    <w:rsid w:val="FFCD1C12"/>
    <w:rsid w:val="FFCDA1B9"/>
    <w:rsid w:val="FFDFB5E3"/>
    <w:rsid w:val="FFDFB6BF"/>
    <w:rsid w:val="FFE7EEA1"/>
    <w:rsid w:val="FFEB2AAC"/>
    <w:rsid w:val="FFF6F457"/>
    <w:rsid w:val="FFF96DE8"/>
    <w:rsid w:val="FFFD7D15"/>
    <w:rsid w:val="FFFE79D1"/>
    <w:rsid w:val="FFFF8750"/>
    <w:rsid w:val="FFFFBDE3"/>
    <w:rsid w:val="FFFFD970"/>
    <w:rsid w:val="FFFFF67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5"/>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80"/>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9"/>
    <w:qFormat/>
    <w:uiPriority w:val="0"/>
    <w:pPr>
      <w:keepNext/>
      <w:keepLines/>
      <w:spacing w:before="260" w:after="260" w:line="415" w:lineRule="auto"/>
      <w:outlineLvl w:val="2"/>
    </w:pPr>
    <w:rPr>
      <w:b/>
      <w:bCs/>
      <w:kern w:val="0"/>
      <w:sz w:val="32"/>
      <w:szCs w:val="32"/>
    </w:rPr>
  </w:style>
  <w:style w:type="paragraph" w:styleId="2">
    <w:name w:val="heading 4"/>
    <w:basedOn w:val="1"/>
    <w:next w:val="1"/>
    <w:link w:val="94"/>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5"/>
    <w:basedOn w:val="1"/>
    <w:next w:val="1"/>
    <w:semiHidden/>
    <w:unhideWhenUsed/>
    <w:qFormat/>
    <w:uiPriority w:val="0"/>
    <w:pPr>
      <w:spacing w:beforeAutospacing="1" w:afterAutospacing="1"/>
      <w:jc w:val="left"/>
      <w:outlineLvl w:val="4"/>
    </w:pPr>
    <w:rPr>
      <w:rFonts w:hint="eastAsia" w:ascii="宋体" w:hAnsi="宋体"/>
      <w:b/>
      <w:bCs/>
      <w:kern w:val="0"/>
      <w:sz w:val="20"/>
      <w:szCs w:val="20"/>
    </w:rPr>
  </w:style>
  <w:style w:type="paragraph" w:styleId="7">
    <w:name w:val="heading 6"/>
    <w:basedOn w:val="1"/>
    <w:next w:val="1"/>
    <w:link w:val="61"/>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101"/>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3"/>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5"/>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71"/>
    <w:qFormat/>
    <w:uiPriority w:val="0"/>
    <w:pPr>
      <w:ind w:firstLine="420" w:firstLineChars="200"/>
    </w:pPr>
  </w:style>
  <w:style w:type="paragraph" w:styleId="14">
    <w:name w:val="Document Map"/>
    <w:basedOn w:val="1"/>
    <w:link w:val="78"/>
    <w:qFormat/>
    <w:uiPriority w:val="0"/>
    <w:pPr>
      <w:shd w:val="clear" w:color="auto" w:fill="000080"/>
    </w:pPr>
    <w:rPr>
      <w:kern w:val="0"/>
      <w:sz w:val="20"/>
    </w:rPr>
  </w:style>
  <w:style w:type="paragraph" w:styleId="15">
    <w:name w:val="annotation text"/>
    <w:basedOn w:val="1"/>
    <w:link w:val="60"/>
    <w:unhideWhenUsed/>
    <w:qFormat/>
    <w:uiPriority w:val="99"/>
    <w:pPr>
      <w:jc w:val="left"/>
    </w:pPr>
    <w:rPr>
      <w:kern w:val="0"/>
      <w:sz w:val="20"/>
    </w:rPr>
  </w:style>
  <w:style w:type="paragraph" w:styleId="16">
    <w:name w:val="Body Text 3"/>
    <w:basedOn w:val="1"/>
    <w:link w:val="64"/>
    <w:qFormat/>
    <w:uiPriority w:val="0"/>
    <w:rPr>
      <w:rFonts w:ascii="宋体"/>
      <w:kern w:val="0"/>
      <w:sz w:val="24"/>
      <w:szCs w:val="20"/>
    </w:rPr>
  </w:style>
  <w:style w:type="paragraph" w:styleId="17">
    <w:name w:val="Body Text"/>
    <w:basedOn w:val="1"/>
    <w:link w:val="67"/>
    <w:qFormat/>
    <w:uiPriority w:val="0"/>
    <w:pPr>
      <w:spacing w:after="120"/>
    </w:pPr>
    <w:rPr>
      <w:kern w:val="0"/>
      <w:sz w:val="20"/>
    </w:rPr>
  </w:style>
  <w:style w:type="paragraph" w:styleId="18">
    <w:name w:val="Body Text Indent"/>
    <w:basedOn w:val="1"/>
    <w:next w:val="1"/>
    <w:link w:val="77"/>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100"/>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4"/>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Balloon Text"/>
    <w:basedOn w:val="1"/>
    <w:link w:val="82"/>
    <w:qFormat/>
    <w:uiPriority w:val="0"/>
    <w:rPr>
      <w:kern w:val="0"/>
      <w:sz w:val="18"/>
      <w:szCs w:val="18"/>
    </w:rPr>
  </w:style>
  <w:style w:type="paragraph" w:styleId="27">
    <w:name w:val="footer"/>
    <w:basedOn w:val="1"/>
    <w:link w:val="96"/>
    <w:qFormat/>
    <w:uiPriority w:val="99"/>
    <w:pPr>
      <w:tabs>
        <w:tab w:val="center" w:pos="4153"/>
        <w:tab w:val="right" w:pos="8306"/>
      </w:tabs>
      <w:snapToGrid w:val="0"/>
      <w:jc w:val="left"/>
    </w:pPr>
    <w:rPr>
      <w:kern w:val="0"/>
      <w:sz w:val="18"/>
      <w:szCs w:val="18"/>
    </w:rPr>
  </w:style>
  <w:style w:type="paragraph" w:styleId="28">
    <w:name w:val="header"/>
    <w:basedOn w:val="1"/>
    <w:link w:val="74"/>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1"/>
    <w:basedOn w:val="1"/>
    <w:next w:val="1"/>
    <w:qFormat/>
    <w:uiPriority w:val="39"/>
    <w:pPr>
      <w:spacing w:before="120" w:after="120"/>
      <w:jc w:val="left"/>
    </w:pPr>
    <w:rPr>
      <w:rFonts w:ascii="Calibri" w:hAnsi="Calibri"/>
      <w:b/>
      <w:bCs/>
      <w:caps/>
      <w:sz w:val="20"/>
      <w:szCs w:val="20"/>
    </w:rPr>
  </w:style>
  <w:style w:type="paragraph" w:styleId="30">
    <w:name w:val="toc 4"/>
    <w:basedOn w:val="1"/>
    <w:next w:val="1"/>
    <w:qFormat/>
    <w:uiPriority w:val="39"/>
    <w:pPr>
      <w:ind w:left="630"/>
      <w:jc w:val="left"/>
    </w:pPr>
    <w:rPr>
      <w:rFonts w:ascii="Calibri" w:hAnsi="Calibri"/>
      <w:sz w:val="18"/>
      <w:szCs w:val="18"/>
    </w:rPr>
  </w:style>
  <w:style w:type="paragraph" w:styleId="31">
    <w:name w:val="footnote text"/>
    <w:basedOn w:val="1"/>
    <w:link w:val="68"/>
    <w:qFormat/>
    <w:uiPriority w:val="0"/>
    <w:rPr>
      <w:kern w:val="0"/>
      <w:sz w:val="20"/>
      <w:szCs w:val="20"/>
    </w:rPr>
  </w:style>
  <w:style w:type="paragraph" w:styleId="32">
    <w:name w:val="toc 6"/>
    <w:basedOn w:val="1"/>
    <w:next w:val="1"/>
    <w:qFormat/>
    <w:uiPriority w:val="39"/>
    <w:pPr>
      <w:ind w:left="1050"/>
      <w:jc w:val="left"/>
    </w:pPr>
    <w:rPr>
      <w:rFonts w:ascii="Calibri" w:hAnsi="Calibri"/>
      <w:sz w:val="18"/>
      <w:szCs w:val="18"/>
    </w:rPr>
  </w:style>
  <w:style w:type="paragraph" w:styleId="33">
    <w:name w:val="Body Text Indent 3"/>
    <w:basedOn w:val="1"/>
    <w:link w:val="88"/>
    <w:qFormat/>
    <w:uiPriority w:val="0"/>
    <w:pPr>
      <w:spacing w:after="120"/>
      <w:ind w:left="420" w:leftChars="200"/>
    </w:pPr>
    <w:rPr>
      <w:kern w:val="0"/>
      <w:sz w:val="16"/>
      <w:szCs w:val="16"/>
    </w:rPr>
  </w:style>
  <w:style w:type="paragraph" w:styleId="34">
    <w:name w:val="table of figures"/>
    <w:basedOn w:val="1"/>
    <w:next w:val="1"/>
    <w:qFormat/>
    <w:uiPriority w:val="0"/>
    <w:pPr>
      <w:ind w:left="200" w:leftChars="200" w:hanging="200" w:hangingChars="200"/>
    </w:pPr>
  </w:style>
  <w:style w:type="paragraph" w:styleId="35">
    <w:name w:val="toc 2"/>
    <w:basedOn w:val="1"/>
    <w:next w:val="1"/>
    <w:qFormat/>
    <w:uiPriority w:val="39"/>
    <w:pPr>
      <w:ind w:left="210"/>
      <w:jc w:val="left"/>
    </w:pPr>
    <w:rPr>
      <w:rFonts w:ascii="Calibri" w:hAnsi="Calibri"/>
      <w:smallCaps/>
      <w:sz w:val="20"/>
      <w:szCs w:val="20"/>
    </w:rPr>
  </w:style>
  <w:style w:type="paragraph" w:styleId="36">
    <w:name w:val="toc 9"/>
    <w:basedOn w:val="1"/>
    <w:next w:val="1"/>
    <w:qFormat/>
    <w:uiPriority w:val="39"/>
    <w:pPr>
      <w:ind w:left="1680"/>
      <w:jc w:val="left"/>
    </w:pPr>
    <w:rPr>
      <w:rFonts w:ascii="Calibri" w:hAnsi="Calibri"/>
      <w:sz w:val="18"/>
      <w:szCs w:val="18"/>
    </w:rPr>
  </w:style>
  <w:style w:type="paragraph" w:styleId="37">
    <w:name w:val="HTML Preformatted"/>
    <w:basedOn w:val="1"/>
    <w:link w:val="9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semiHidden/>
    <w:qFormat/>
    <w:uiPriority w:val="0"/>
    <w:pPr>
      <w:spacing w:line="360" w:lineRule="auto"/>
      <w:jc w:val="center"/>
    </w:pPr>
    <w:rPr>
      <w:rFonts w:ascii="宋体" w:hAnsi="Arial" w:cs="Arial"/>
      <w:b/>
      <w:color w:val="000000"/>
      <w:sz w:val="24"/>
    </w:rPr>
  </w:style>
  <w:style w:type="paragraph" w:styleId="40">
    <w:name w:val="Title"/>
    <w:basedOn w:val="1"/>
    <w:link w:val="8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1">
    <w:name w:val="annotation subject"/>
    <w:basedOn w:val="15"/>
    <w:next w:val="15"/>
    <w:link w:val="70"/>
    <w:qFormat/>
    <w:uiPriority w:val="0"/>
    <w:rPr>
      <w:b/>
      <w:bCs/>
    </w:rPr>
  </w:style>
  <w:style w:type="paragraph" w:styleId="42">
    <w:name w:val="Body Text First Indent"/>
    <w:basedOn w:val="17"/>
    <w:qFormat/>
    <w:uiPriority w:val="0"/>
    <w:pPr>
      <w:adjustRightInd w:val="0"/>
      <w:spacing w:line="275" w:lineRule="atLeast"/>
      <w:ind w:firstLine="420"/>
      <w:textAlignment w:val="baseline"/>
    </w:pPr>
    <w:rPr>
      <w:rFonts w:ascii="宋体" w:eastAsia="楷体_GB2312"/>
      <w:sz w:val="24"/>
      <w:szCs w:val="20"/>
    </w:rPr>
  </w:style>
  <w:style w:type="paragraph" w:styleId="43">
    <w:name w:val="Body Text First Indent 2"/>
    <w:basedOn w:val="18"/>
    <w:next w:val="1"/>
    <w:qFormat/>
    <w:uiPriority w:val="0"/>
    <w:pPr>
      <w:ind w:firstLine="420"/>
    </w:pPr>
    <w:rPr>
      <w:sz w:val="21"/>
    </w:rPr>
  </w:style>
  <w:style w:type="table" w:styleId="45">
    <w:name w:val="Table Grid"/>
    <w:basedOn w:val="44"/>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7">
    <w:name w:val="Strong"/>
    <w:qFormat/>
    <w:uiPriority w:val="0"/>
    <w:rPr>
      <w:b/>
      <w:bCs/>
    </w:rPr>
  </w:style>
  <w:style w:type="character" w:styleId="48">
    <w:name w:val="page number"/>
    <w:qFormat/>
    <w:uiPriority w:val="0"/>
  </w:style>
  <w:style w:type="character" w:styleId="49">
    <w:name w:val="FollowedHyperlink"/>
    <w:basedOn w:val="46"/>
    <w:qFormat/>
    <w:uiPriority w:val="0"/>
    <w:rPr>
      <w:rFonts w:hint="default" w:ascii="Arial" w:hAnsi="Arial" w:eastAsia="Arial" w:cs="Arial"/>
      <w:color w:val="333333"/>
      <w:sz w:val="21"/>
      <w:szCs w:val="21"/>
      <w:u w:val="none"/>
    </w:rPr>
  </w:style>
  <w:style w:type="character" w:styleId="50">
    <w:name w:val="Emphasis"/>
    <w:basedOn w:val="46"/>
    <w:qFormat/>
    <w:uiPriority w:val="20"/>
    <w:rPr>
      <w:i/>
    </w:rPr>
  </w:style>
  <w:style w:type="character" w:styleId="51">
    <w:name w:val="Hyperlink"/>
    <w:basedOn w:val="46"/>
    <w:qFormat/>
    <w:uiPriority w:val="99"/>
    <w:rPr>
      <w:rFonts w:ascii="Arial" w:hAnsi="Arial" w:eastAsia="Arial" w:cs="Arial"/>
      <w:color w:val="333333"/>
      <w:sz w:val="21"/>
      <w:szCs w:val="21"/>
      <w:u w:val="none"/>
    </w:rPr>
  </w:style>
  <w:style w:type="character" w:styleId="52">
    <w:name w:val="annotation reference"/>
    <w:qFormat/>
    <w:uiPriority w:val="0"/>
    <w:rPr>
      <w:sz w:val="21"/>
      <w:szCs w:val="21"/>
    </w:rPr>
  </w:style>
  <w:style w:type="character" w:styleId="53">
    <w:name w:val="footnote reference"/>
    <w:qFormat/>
    <w:uiPriority w:val="0"/>
    <w:rPr>
      <w:vertAlign w:val="superscript"/>
    </w:rPr>
  </w:style>
  <w:style w:type="paragraph" w:customStyle="1" w:styleId="54">
    <w:name w:val="样式 正文首行缩进 + 首行缩进:  2 字符1 Char Char"/>
    <w:basedOn w:val="1"/>
    <w:qFormat/>
    <w:uiPriority w:val="0"/>
    <w:pPr>
      <w:adjustRightInd w:val="0"/>
      <w:spacing w:line="400" w:lineRule="exact"/>
      <w:ind w:firstLine="480" w:firstLineChars="200"/>
    </w:pPr>
    <w:rPr>
      <w:rFonts w:hint="eastAsia" w:ascii="宋体" w:hAnsi="宋体" w:eastAsia="仿宋_GB2312"/>
      <w:color w:val="000000"/>
      <w:sz w:val="26"/>
      <w:szCs w:val="20"/>
    </w:rPr>
  </w:style>
  <w:style w:type="character" w:customStyle="1" w:styleId="55">
    <w:name w:val="apple-style-span"/>
    <w:qFormat/>
    <w:uiPriority w:val="0"/>
    <w:rPr>
      <w:rFonts w:ascii="Verdana" w:hAnsi="Verdana" w:eastAsia="宋体"/>
      <w:sz w:val="21"/>
      <w:lang w:val="en-US" w:eastAsia="en-US" w:bidi="ar-SA"/>
    </w:rPr>
  </w:style>
  <w:style w:type="character" w:customStyle="1" w:styleId="56">
    <w:name w:val="正文文本 3 Char1"/>
    <w:semiHidden/>
    <w:qFormat/>
    <w:uiPriority w:val="99"/>
    <w:rPr>
      <w:rFonts w:ascii="Times New Roman" w:hAnsi="Times New Roman" w:eastAsia="宋体" w:cs="Times New Roman"/>
      <w:sz w:val="16"/>
      <w:szCs w:val="16"/>
    </w:rPr>
  </w:style>
  <w:style w:type="character" w:customStyle="1" w:styleId="57">
    <w:name w:val="样式 宋体"/>
    <w:qFormat/>
    <w:uiPriority w:val="0"/>
    <w:rPr>
      <w:rFonts w:ascii="Times New Roman" w:hAnsi="Times New Roman" w:eastAsia="宋体"/>
      <w:sz w:val="21"/>
    </w:rPr>
  </w:style>
  <w:style w:type="character" w:customStyle="1" w:styleId="58">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9">
    <w:name w:val="标题 3 字符"/>
    <w:link w:val="5"/>
    <w:qFormat/>
    <w:uiPriority w:val="0"/>
    <w:rPr>
      <w:rFonts w:ascii="Times New Roman" w:hAnsi="Times New Roman" w:eastAsia="宋体" w:cs="Times New Roman"/>
      <w:b/>
      <w:bCs/>
      <w:sz w:val="32"/>
      <w:szCs w:val="32"/>
    </w:rPr>
  </w:style>
  <w:style w:type="character" w:customStyle="1" w:styleId="60">
    <w:name w:val="批注文字 字符"/>
    <w:link w:val="15"/>
    <w:semiHidden/>
    <w:qFormat/>
    <w:uiPriority w:val="99"/>
    <w:rPr>
      <w:rFonts w:ascii="Times New Roman" w:hAnsi="Times New Roman" w:eastAsia="宋体" w:cs="Times New Roman"/>
      <w:szCs w:val="24"/>
    </w:rPr>
  </w:style>
  <w:style w:type="character" w:customStyle="1" w:styleId="61">
    <w:name w:val="标题 6 字符"/>
    <w:link w:val="7"/>
    <w:qFormat/>
    <w:uiPriority w:val="0"/>
    <w:rPr>
      <w:rFonts w:ascii="Arial" w:hAnsi="Arial" w:eastAsia="黑体" w:cs="Times New Roman"/>
      <w:b/>
      <w:bCs/>
      <w:kern w:val="0"/>
      <w:sz w:val="24"/>
      <w:szCs w:val="24"/>
    </w:rPr>
  </w:style>
  <w:style w:type="character" w:customStyle="1" w:styleId="62">
    <w:name w:val="Char Char8"/>
    <w:qFormat/>
    <w:uiPriority w:val="0"/>
    <w:rPr>
      <w:rFonts w:ascii="Arial" w:hAnsi="Arial" w:eastAsia="黑体"/>
      <w:b/>
      <w:bCs/>
      <w:kern w:val="2"/>
      <w:sz w:val="32"/>
      <w:szCs w:val="32"/>
      <w:lang w:val="en-US" w:eastAsia="zh-CN" w:bidi="ar-SA"/>
    </w:rPr>
  </w:style>
  <w:style w:type="character" w:customStyle="1" w:styleId="63">
    <w:name w:val="脚注文本 Char1"/>
    <w:semiHidden/>
    <w:qFormat/>
    <w:uiPriority w:val="99"/>
    <w:rPr>
      <w:rFonts w:ascii="Times New Roman" w:hAnsi="Times New Roman" w:eastAsia="宋体" w:cs="Times New Roman"/>
      <w:sz w:val="18"/>
      <w:szCs w:val="18"/>
    </w:rPr>
  </w:style>
  <w:style w:type="character" w:customStyle="1" w:styleId="64">
    <w:name w:val="正文文本 3 字符"/>
    <w:link w:val="16"/>
    <w:qFormat/>
    <w:uiPriority w:val="0"/>
    <w:rPr>
      <w:rFonts w:ascii="宋体"/>
      <w:sz w:val="24"/>
    </w:rPr>
  </w:style>
  <w:style w:type="character" w:customStyle="1" w:styleId="65">
    <w:name w:val="页脚 Char1"/>
    <w:semiHidden/>
    <w:qFormat/>
    <w:uiPriority w:val="99"/>
    <w:rPr>
      <w:rFonts w:ascii="Times New Roman" w:hAnsi="Times New Roman" w:eastAsia="宋体" w:cs="Times New Roman"/>
      <w:sz w:val="18"/>
      <w:szCs w:val="18"/>
    </w:rPr>
  </w:style>
  <w:style w:type="character" w:customStyle="1" w:styleId="66">
    <w:name w:val="标题 Char1"/>
    <w:qFormat/>
    <w:uiPriority w:val="10"/>
    <w:rPr>
      <w:rFonts w:ascii="Calibri Light" w:hAnsi="Calibri Light" w:eastAsia="宋体" w:cs="Times New Roman"/>
      <w:b/>
      <w:bCs/>
      <w:sz w:val="32"/>
      <w:szCs w:val="32"/>
    </w:rPr>
  </w:style>
  <w:style w:type="character" w:customStyle="1" w:styleId="67">
    <w:name w:val="正文文本 字符"/>
    <w:link w:val="17"/>
    <w:qFormat/>
    <w:uiPriority w:val="0"/>
    <w:rPr>
      <w:rFonts w:eastAsia="宋体"/>
      <w:szCs w:val="24"/>
    </w:rPr>
  </w:style>
  <w:style w:type="character" w:customStyle="1" w:styleId="68">
    <w:name w:val="脚注文本 字符"/>
    <w:link w:val="31"/>
    <w:qFormat/>
    <w:uiPriority w:val="0"/>
    <w:rPr>
      <w:rFonts w:eastAsia="宋体"/>
    </w:rPr>
  </w:style>
  <w:style w:type="character" w:customStyle="1" w:styleId="69">
    <w:name w:val="纯文本 Char1"/>
    <w:semiHidden/>
    <w:qFormat/>
    <w:uiPriority w:val="99"/>
    <w:rPr>
      <w:rFonts w:ascii="宋体" w:hAnsi="Courier New" w:eastAsia="宋体" w:cs="Courier New"/>
      <w:szCs w:val="21"/>
    </w:rPr>
  </w:style>
  <w:style w:type="character" w:customStyle="1" w:styleId="70">
    <w:name w:val="批注主题 字符"/>
    <w:link w:val="41"/>
    <w:qFormat/>
    <w:uiPriority w:val="0"/>
    <w:rPr>
      <w:rFonts w:ascii="Times New Roman" w:hAnsi="Times New Roman" w:eastAsia="宋体" w:cs="Times New Roman"/>
      <w:b/>
      <w:bCs/>
      <w:szCs w:val="24"/>
    </w:rPr>
  </w:style>
  <w:style w:type="character" w:customStyle="1" w:styleId="71">
    <w:name w:val="正文缩进 字符"/>
    <w:link w:val="13"/>
    <w:qFormat/>
    <w:locked/>
    <w:uiPriority w:val="0"/>
    <w:rPr>
      <w:kern w:val="2"/>
      <w:sz w:val="21"/>
      <w:szCs w:val="24"/>
    </w:rPr>
  </w:style>
  <w:style w:type="character" w:customStyle="1" w:styleId="72">
    <w:name w:val="font11"/>
    <w:qFormat/>
    <w:uiPriority w:val="0"/>
    <w:rPr>
      <w:rFonts w:hint="default" w:ascii="Times New Roman" w:hAnsi="Times New Roman" w:cs="Times New Roman"/>
      <w:color w:val="000000"/>
      <w:sz w:val="22"/>
      <w:szCs w:val="22"/>
      <w:u w:val="none"/>
    </w:rPr>
  </w:style>
  <w:style w:type="character" w:customStyle="1" w:styleId="73">
    <w:name w:val="font01"/>
    <w:qFormat/>
    <w:uiPriority w:val="0"/>
    <w:rPr>
      <w:rFonts w:hint="eastAsia" w:ascii="宋体" w:hAnsi="宋体" w:eastAsia="宋体" w:cs="宋体"/>
      <w:color w:val="000000"/>
      <w:sz w:val="22"/>
      <w:szCs w:val="22"/>
      <w:u w:val="none"/>
    </w:rPr>
  </w:style>
  <w:style w:type="character" w:customStyle="1" w:styleId="74">
    <w:name w:val="页眉 字符"/>
    <w:link w:val="28"/>
    <w:qFormat/>
    <w:uiPriority w:val="0"/>
    <w:rPr>
      <w:rFonts w:ascii="Times New Roman" w:hAnsi="Times New Roman" w:eastAsia="宋体" w:cs="Times New Roman"/>
      <w:sz w:val="18"/>
      <w:szCs w:val="18"/>
    </w:rPr>
  </w:style>
  <w:style w:type="character" w:customStyle="1" w:styleId="75">
    <w:name w:val="标题 9 字符"/>
    <w:link w:val="10"/>
    <w:qFormat/>
    <w:uiPriority w:val="0"/>
    <w:rPr>
      <w:rFonts w:ascii="Arial" w:hAnsi="Arial" w:eastAsia="黑体" w:cs="Times New Roman"/>
      <w:kern w:val="0"/>
      <w:szCs w:val="21"/>
    </w:rPr>
  </w:style>
  <w:style w:type="character" w:customStyle="1" w:styleId="76">
    <w:name w:val="标题 2 Char1"/>
    <w:qFormat/>
    <w:uiPriority w:val="0"/>
    <w:rPr>
      <w:rFonts w:ascii="Arial" w:hAnsi="Arial" w:eastAsia="黑体" w:cs="Times New Roman"/>
      <w:b/>
      <w:bCs/>
      <w:sz w:val="32"/>
      <w:szCs w:val="32"/>
      <w:lang w:val="en-US" w:eastAsia="en-US" w:bidi="ar-SA"/>
    </w:rPr>
  </w:style>
  <w:style w:type="character" w:customStyle="1" w:styleId="77">
    <w:name w:val="正文文本缩进 字符"/>
    <w:link w:val="18"/>
    <w:qFormat/>
    <w:uiPriority w:val="0"/>
    <w:rPr>
      <w:szCs w:val="24"/>
    </w:rPr>
  </w:style>
  <w:style w:type="character" w:customStyle="1" w:styleId="78">
    <w:name w:val="文档结构图 字符"/>
    <w:link w:val="14"/>
    <w:qFormat/>
    <w:uiPriority w:val="0"/>
    <w:rPr>
      <w:rFonts w:ascii="Times New Roman" w:hAnsi="Times New Roman" w:eastAsia="宋体" w:cs="Times New Roman"/>
      <w:szCs w:val="24"/>
      <w:shd w:val="clear" w:color="auto" w:fill="000080"/>
    </w:rPr>
  </w:style>
  <w:style w:type="character" w:customStyle="1" w:styleId="79">
    <w:name w:val="font161"/>
    <w:qFormat/>
    <w:uiPriority w:val="0"/>
    <w:rPr>
      <w:b/>
      <w:bCs/>
      <w:sz w:val="32"/>
      <w:szCs w:val="32"/>
    </w:rPr>
  </w:style>
  <w:style w:type="character" w:customStyle="1" w:styleId="80">
    <w:name w:val="标题 2 字符"/>
    <w:link w:val="4"/>
    <w:qFormat/>
    <w:uiPriority w:val="0"/>
    <w:rPr>
      <w:rFonts w:ascii="Arial" w:hAnsi="Arial" w:eastAsia="黑体" w:cs="Times New Roman"/>
      <w:b/>
      <w:bCs/>
      <w:sz w:val="32"/>
      <w:szCs w:val="32"/>
    </w:rPr>
  </w:style>
  <w:style w:type="character" w:customStyle="1" w:styleId="81">
    <w:name w:val="标题 字符"/>
    <w:link w:val="40"/>
    <w:qFormat/>
    <w:uiPriority w:val="0"/>
    <w:rPr>
      <w:rFonts w:ascii="Arial" w:hAnsi="Arial"/>
      <w:b/>
      <w:sz w:val="32"/>
    </w:rPr>
  </w:style>
  <w:style w:type="character" w:customStyle="1" w:styleId="82">
    <w:name w:val="批注框文本 字符"/>
    <w:link w:val="26"/>
    <w:qFormat/>
    <w:uiPriority w:val="0"/>
    <w:rPr>
      <w:rFonts w:ascii="Times New Roman" w:hAnsi="Times New Roman" w:eastAsia="宋体" w:cs="Times New Roman"/>
      <w:sz w:val="18"/>
      <w:szCs w:val="18"/>
    </w:rPr>
  </w:style>
  <w:style w:type="character" w:customStyle="1" w:styleId="83">
    <w:name w:val="标题 8 字符"/>
    <w:link w:val="9"/>
    <w:qFormat/>
    <w:uiPriority w:val="0"/>
    <w:rPr>
      <w:rFonts w:ascii="Arial" w:hAnsi="Arial" w:eastAsia="黑体" w:cs="Times New Roman"/>
      <w:kern w:val="0"/>
      <w:sz w:val="24"/>
      <w:szCs w:val="24"/>
    </w:rPr>
  </w:style>
  <w:style w:type="character" w:customStyle="1" w:styleId="84">
    <w:name w:val="日期 字符"/>
    <w:link w:val="24"/>
    <w:qFormat/>
    <w:uiPriority w:val="0"/>
    <w:rPr>
      <w:rFonts w:ascii="Times New Roman" w:hAnsi="Times New Roman" w:eastAsia="宋体" w:cs="Times New Roman"/>
      <w:sz w:val="24"/>
      <w:szCs w:val="20"/>
    </w:rPr>
  </w:style>
  <w:style w:type="character" w:customStyle="1" w:styleId="85">
    <w:name w:val="标题 1 字符"/>
    <w:link w:val="3"/>
    <w:qFormat/>
    <w:uiPriority w:val="0"/>
    <w:rPr>
      <w:rFonts w:ascii="Times New Roman" w:hAnsi="Times New Roman" w:eastAsia="宋体" w:cs="Times New Roman"/>
      <w:b/>
      <w:bCs/>
      <w:kern w:val="44"/>
      <w:sz w:val="44"/>
      <w:szCs w:val="44"/>
    </w:rPr>
  </w:style>
  <w:style w:type="character" w:customStyle="1" w:styleId="86">
    <w:name w:val="招标节 Char"/>
    <w:link w:val="87"/>
    <w:qFormat/>
    <w:locked/>
    <w:uiPriority w:val="0"/>
    <w:rPr>
      <w:b/>
      <w:sz w:val="24"/>
      <w:szCs w:val="24"/>
    </w:rPr>
  </w:style>
  <w:style w:type="paragraph" w:customStyle="1" w:styleId="87">
    <w:name w:val="招标节"/>
    <w:basedOn w:val="1"/>
    <w:next w:val="1"/>
    <w:link w:val="86"/>
    <w:qFormat/>
    <w:uiPriority w:val="0"/>
    <w:pPr>
      <w:spacing w:beforeLines="50" w:afterLines="50"/>
      <w:outlineLvl w:val="1"/>
    </w:pPr>
    <w:rPr>
      <w:b/>
      <w:kern w:val="0"/>
      <w:sz w:val="24"/>
    </w:rPr>
  </w:style>
  <w:style w:type="character" w:customStyle="1" w:styleId="88">
    <w:name w:val="正文文本缩进 3 字符"/>
    <w:link w:val="33"/>
    <w:qFormat/>
    <w:uiPriority w:val="0"/>
    <w:rPr>
      <w:rFonts w:ascii="Times New Roman" w:hAnsi="Times New Roman" w:eastAsia="宋体" w:cs="Times New Roman"/>
      <w:sz w:val="16"/>
      <w:szCs w:val="16"/>
    </w:rPr>
  </w:style>
  <w:style w:type="character" w:customStyle="1" w:styleId="89">
    <w:name w:val="tpc_content1"/>
    <w:qFormat/>
    <w:uiPriority w:val="0"/>
    <w:rPr>
      <w:sz w:val="20"/>
      <w:szCs w:val="20"/>
    </w:rPr>
  </w:style>
  <w:style w:type="character" w:customStyle="1" w:styleId="90">
    <w:name w:val="Char Char"/>
    <w:qFormat/>
    <w:uiPriority w:val="0"/>
    <w:rPr>
      <w:rFonts w:ascii="Arial" w:hAnsi="Arial" w:eastAsia="黑体"/>
      <w:b/>
      <w:bCs/>
      <w:kern w:val="2"/>
      <w:sz w:val="32"/>
      <w:szCs w:val="32"/>
      <w:lang w:val="en-US" w:eastAsia="zh-CN" w:bidi="ar-SA"/>
    </w:rPr>
  </w:style>
  <w:style w:type="character" w:customStyle="1" w:styleId="91">
    <w:name w:val="正文文本 Char1"/>
    <w:semiHidden/>
    <w:qFormat/>
    <w:uiPriority w:val="99"/>
    <w:rPr>
      <w:rFonts w:ascii="Times New Roman" w:hAnsi="Times New Roman" w:eastAsia="宋体" w:cs="Times New Roman"/>
      <w:szCs w:val="24"/>
    </w:rPr>
  </w:style>
  <w:style w:type="character" w:customStyle="1" w:styleId="92">
    <w:name w:val="Char Char2"/>
    <w:qFormat/>
    <w:uiPriority w:val="0"/>
    <w:rPr>
      <w:rFonts w:eastAsia="宋体"/>
      <w:kern w:val="2"/>
      <w:sz w:val="21"/>
      <w:szCs w:val="24"/>
      <w:lang w:val="en-US" w:eastAsia="zh-CN" w:bidi="ar-SA"/>
    </w:rPr>
  </w:style>
  <w:style w:type="character" w:customStyle="1" w:styleId="93">
    <w:name w:val="apple-converted-space"/>
    <w:qFormat/>
    <w:uiPriority w:val="0"/>
  </w:style>
  <w:style w:type="character" w:customStyle="1" w:styleId="94">
    <w:name w:val="标题 4 字符"/>
    <w:link w:val="2"/>
    <w:qFormat/>
    <w:uiPriority w:val="0"/>
    <w:rPr>
      <w:rFonts w:ascii="Arial" w:hAnsi="Arial" w:eastAsia="黑体" w:cs="Times New Roman"/>
      <w:b/>
      <w:bCs/>
      <w:sz w:val="28"/>
      <w:szCs w:val="28"/>
    </w:rPr>
  </w:style>
  <w:style w:type="character" w:customStyle="1" w:styleId="95">
    <w:name w:val="正文文本缩进 Char1"/>
    <w:semiHidden/>
    <w:qFormat/>
    <w:uiPriority w:val="99"/>
    <w:rPr>
      <w:rFonts w:ascii="Times New Roman" w:hAnsi="Times New Roman" w:eastAsia="宋体" w:cs="Times New Roman"/>
      <w:szCs w:val="24"/>
    </w:rPr>
  </w:style>
  <w:style w:type="character" w:customStyle="1" w:styleId="96">
    <w:name w:val="页脚 字符"/>
    <w:link w:val="27"/>
    <w:qFormat/>
    <w:uiPriority w:val="99"/>
    <w:rPr>
      <w:sz w:val="18"/>
      <w:szCs w:val="18"/>
    </w:rPr>
  </w:style>
  <w:style w:type="character" w:customStyle="1" w:styleId="97">
    <w:name w:val="Char Char7"/>
    <w:qFormat/>
    <w:uiPriority w:val="0"/>
    <w:rPr>
      <w:rFonts w:ascii="Arial" w:hAnsi="Arial" w:eastAsia="黑体"/>
      <w:b/>
      <w:bCs/>
      <w:kern w:val="2"/>
      <w:sz w:val="32"/>
      <w:szCs w:val="32"/>
      <w:lang w:val="en-US" w:eastAsia="zh-CN" w:bidi="ar-SA"/>
    </w:rPr>
  </w:style>
  <w:style w:type="character" w:customStyle="1" w:styleId="98">
    <w:name w:val="HTML 预设格式 字符"/>
    <w:link w:val="37"/>
    <w:qFormat/>
    <w:uiPriority w:val="0"/>
    <w:rPr>
      <w:rFonts w:ascii="微软雅黑" w:hAnsi="微软雅黑" w:eastAsia="微软雅黑" w:cs="Times New Roman"/>
      <w:kern w:val="0"/>
      <w:sz w:val="24"/>
      <w:szCs w:val="24"/>
    </w:rPr>
  </w:style>
  <w:style w:type="character" w:customStyle="1" w:styleId="99">
    <w:name w:val="批注文字 Char"/>
    <w:qFormat/>
    <w:uiPriority w:val="0"/>
    <w:rPr>
      <w:rFonts w:eastAsia="宋体"/>
      <w:kern w:val="2"/>
      <w:sz w:val="21"/>
      <w:szCs w:val="24"/>
      <w:lang w:val="en-US" w:eastAsia="zh-CN" w:bidi="ar-SA"/>
    </w:rPr>
  </w:style>
  <w:style w:type="character" w:customStyle="1" w:styleId="100">
    <w:name w:val="纯文本 字符"/>
    <w:link w:val="22"/>
    <w:qFormat/>
    <w:uiPriority w:val="99"/>
    <w:rPr>
      <w:rFonts w:ascii="Courier New" w:hAnsi="Courier New"/>
    </w:rPr>
  </w:style>
  <w:style w:type="character" w:customStyle="1" w:styleId="101">
    <w:name w:val="标题 7 字符"/>
    <w:link w:val="8"/>
    <w:qFormat/>
    <w:uiPriority w:val="0"/>
    <w:rPr>
      <w:rFonts w:ascii="Times New Roman" w:hAnsi="Times New Roman" w:eastAsia="宋体" w:cs="Times New Roman"/>
      <w:b/>
      <w:bCs/>
      <w:kern w:val="0"/>
      <w:sz w:val="24"/>
      <w:szCs w:val="24"/>
    </w:rPr>
  </w:style>
  <w:style w:type="paragraph" w:customStyle="1" w:styleId="102">
    <w:name w:val="样式4"/>
    <w:basedOn w:val="5"/>
    <w:qFormat/>
    <w:uiPriority w:val="0"/>
    <w:rPr>
      <w:rFonts w:eastAsia="Arial"/>
    </w:rPr>
  </w:style>
  <w:style w:type="paragraph" w:customStyle="1" w:styleId="103">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font10"/>
    <w:basedOn w:val="1"/>
    <w:qFormat/>
    <w:uiPriority w:val="0"/>
    <w:pPr>
      <w:widowControl/>
      <w:spacing w:before="100" w:beforeAutospacing="1" w:after="100" w:afterAutospacing="1"/>
      <w:jc w:val="left"/>
    </w:pPr>
    <w:rPr>
      <w:kern w:val="0"/>
      <w:sz w:val="28"/>
      <w:szCs w:val="28"/>
    </w:rPr>
  </w:style>
  <w:style w:type="paragraph" w:customStyle="1" w:styleId="106">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样式1"/>
    <w:basedOn w:val="5"/>
    <w:qFormat/>
    <w:uiPriority w:val="0"/>
    <w:rPr>
      <w:rFonts w:eastAsia="Arial"/>
    </w:rPr>
  </w:style>
  <w:style w:type="paragraph" w:customStyle="1" w:styleId="109">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Char"/>
    <w:basedOn w:val="1"/>
    <w:qFormat/>
    <w:uiPriority w:val="0"/>
    <w:pPr>
      <w:tabs>
        <w:tab w:val="left" w:pos="360"/>
      </w:tabs>
    </w:pPr>
    <w:rPr>
      <w:sz w:val="24"/>
    </w:rPr>
  </w:style>
  <w:style w:type="paragraph" w:customStyle="1" w:styleId="112">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表格"/>
    <w:basedOn w:val="1"/>
    <w:qFormat/>
    <w:uiPriority w:val="0"/>
    <w:pPr>
      <w:jc w:val="center"/>
      <w:textAlignment w:val="center"/>
    </w:pPr>
    <w:rPr>
      <w:rFonts w:ascii="华文细黑" w:hAnsi="华文细黑"/>
      <w:kern w:val="0"/>
      <w:szCs w:val="20"/>
    </w:rPr>
  </w:style>
  <w:style w:type="paragraph" w:customStyle="1" w:styleId="114">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8">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1">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列表段落1"/>
    <w:basedOn w:val="1"/>
    <w:qFormat/>
    <w:uiPriority w:val="34"/>
    <w:pPr>
      <w:ind w:firstLine="420" w:firstLineChars="200"/>
    </w:pPr>
    <w:rPr>
      <w:rFonts w:ascii="Calibri" w:hAnsi="Calibri"/>
      <w:szCs w:val="22"/>
    </w:rPr>
  </w:style>
  <w:style w:type="paragraph" w:customStyle="1" w:styleId="124">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5">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6">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8">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9">
    <w:name w:val="1"/>
    <w:basedOn w:val="1"/>
    <w:next w:val="1"/>
    <w:qFormat/>
    <w:uiPriority w:val="0"/>
  </w:style>
  <w:style w:type="paragraph" w:customStyle="1" w:styleId="130">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1">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3">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4">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5">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样式3"/>
    <w:basedOn w:val="5"/>
    <w:qFormat/>
    <w:uiPriority w:val="0"/>
    <w:rPr>
      <w:rFonts w:eastAsia="Arial"/>
    </w:rPr>
  </w:style>
  <w:style w:type="paragraph" w:customStyle="1" w:styleId="137">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40">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42">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5">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6">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7">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8">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9">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50">
    <w:name w:val="第二"/>
    <w:basedOn w:val="1"/>
    <w:qFormat/>
    <w:uiPriority w:val="0"/>
    <w:pPr>
      <w:adjustRightInd w:val="0"/>
      <w:snapToGrid w:val="0"/>
      <w:spacing w:line="360" w:lineRule="auto"/>
      <w:ind w:right="-108" w:rightChars="-45" w:firstLine="482"/>
    </w:pPr>
    <w:rPr>
      <w:b/>
    </w:rPr>
  </w:style>
  <w:style w:type="paragraph" w:customStyle="1" w:styleId="151">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5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3">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4">
    <w:name w:val="内容"/>
    <w:basedOn w:val="1"/>
    <w:qFormat/>
    <w:uiPriority w:val="0"/>
    <w:pPr>
      <w:spacing w:line="480" w:lineRule="exact"/>
      <w:ind w:firstLine="200" w:firstLineChars="200"/>
    </w:pPr>
  </w:style>
  <w:style w:type="paragraph" w:customStyle="1" w:styleId="155">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6">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7">
    <w:name w:val="列出段落1"/>
    <w:basedOn w:val="1"/>
    <w:qFormat/>
    <w:uiPriority w:val="99"/>
    <w:pPr>
      <w:ind w:firstLine="420" w:firstLineChars="200"/>
    </w:pPr>
  </w:style>
  <w:style w:type="paragraph" w:customStyle="1" w:styleId="158">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9">
    <w:name w:val="表格文字"/>
    <w:basedOn w:val="1"/>
    <w:qFormat/>
    <w:uiPriority w:val="0"/>
    <w:pPr>
      <w:adjustRightInd w:val="0"/>
      <w:spacing w:line="420" w:lineRule="atLeast"/>
      <w:jc w:val="left"/>
      <w:textAlignment w:val="baseline"/>
    </w:pPr>
    <w:rPr>
      <w:kern w:val="0"/>
      <w:szCs w:val="20"/>
    </w:rPr>
  </w:style>
  <w:style w:type="paragraph" w:customStyle="1" w:styleId="160">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61">
    <w:name w:val="样式2"/>
    <w:basedOn w:val="5"/>
    <w:qFormat/>
    <w:uiPriority w:val="0"/>
  </w:style>
  <w:style w:type="character" w:customStyle="1" w:styleId="162">
    <w:name w:val="after"/>
    <w:basedOn w:val="46"/>
    <w:qFormat/>
    <w:uiPriority w:val="0"/>
    <w:rPr>
      <w:bdr w:val="dashed" w:color="auto" w:sz="48" w:space="0"/>
    </w:rPr>
  </w:style>
  <w:style w:type="character" w:customStyle="1" w:styleId="163">
    <w:name w:val="before"/>
    <w:basedOn w:val="46"/>
    <w:qFormat/>
    <w:uiPriority w:val="0"/>
    <w:rPr>
      <w:bdr w:val="single" w:color="auto" w:sz="48" w:space="0"/>
    </w:rPr>
  </w:style>
  <w:style w:type="character" w:customStyle="1" w:styleId="164">
    <w:name w:val="hover48"/>
    <w:basedOn w:val="46"/>
    <w:qFormat/>
    <w:uiPriority w:val="0"/>
    <w:rPr>
      <w:shd w:val="clear" w:color="auto" w:fill="346AC3"/>
    </w:rPr>
  </w:style>
  <w:style w:type="character" w:customStyle="1" w:styleId="165">
    <w:name w:val="hover49"/>
    <w:basedOn w:val="46"/>
    <w:qFormat/>
    <w:uiPriority w:val="0"/>
  </w:style>
  <w:style w:type="character" w:customStyle="1" w:styleId="166">
    <w:name w:val="hover50"/>
    <w:basedOn w:val="46"/>
    <w:qFormat/>
    <w:uiPriority w:val="0"/>
    <w:rPr>
      <w:color w:val="4285F4"/>
      <w:u w:val="none"/>
    </w:rPr>
  </w:style>
  <w:style w:type="character" w:customStyle="1" w:styleId="167">
    <w:name w:val="hover51"/>
    <w:basedOn w:val="46"/>
    <w:qFormat/>
    <w:uiPriority w:val="0"/>
    <w:rPr>
      <w:color w:val="4285F4"/>
    </w:rPr>
  </w:style>
  <w:style w:type="character" w:customStyle="1" w:styleId="168">
    <w:name w:val="hover52"/>
    <w:basedOn w:val="46"/>
    <w:qFormat/>
    <w:uiPriority w:val="0"/>
    <w:rPr>
      <w:color w:val="1A85D7"/>
    </w:rPr>
  </w:style>
  <w:style w:type="character" w:customStyle="1" w:styleId="169">
    <w:name w:val="credit"/>
    <w:basedOn w:val="46"/>
    <w:qFormat/>
    <w:uiPriority w:val="0"/>
    <w:rPr>
      <w:sz w:val="18"/>
      <w:szCs w:val="18"/>
    </w:rPr>
  </w:style>
  <w:style w:type="character" w:customStyle="1" w:styleId="170">
    <w:name w:val="first-child"/>
    <w:basedOn w:val="46"/>
    <w:qFormat/>
    <w:uiPriority w:val="0"/>
  </w:style>
  <w:style w:type="character" w:customStyle="1" w:styleId="171">
    <w:name w:val="font31"/>
    <w:basedOn w:val="46"/>
    <w:qFormat/>
    <w:uiPriority w:val="0"/>
    <w:rPr>
      <w:rFonts w:hint="eastAsia" w:ascii="宋体" w:hAnsi="宋体" w:eastAsia="宋体" w:cs="宋体"/>
      <w:color w:val="000000"/>
      <w:sz w:val="24"/>
      <w:szCs w:val="24"/>
      <w:u w:val="none"/>
    </w:rPr>
  </w:style>
  <w:style w:type="paragraph" w:customStyle="1" w:styleId="172">
    <w:name w:val="样式 + 首行缩进: 2 字符"/>
    <w:basedOn w:val="1"/>
    <w:qFormat/>
    <w:uiPriority w:val="0"/>
    <w:pPr>
      <w:adjustRightInd w:val="0"/>
      <w:spacing w:line="360" w:lineRule="auto"/>
      <w:ind w:firstLine="524" w:firstLineChars="200"/>
    </w:pPr>
    <w:rPr>
      <w:rFonts w:hint="eastAsia" w:ascii="宋体" w:hAnsi="宋体"/>
      <w:spacing w:val="11"/>
      <w:kern w:val="0"/>
      <w:sz w:val="24"/>
    </w:rPr>
  </w:style>
  <w:style w:type="paragraph" w:customStyle="1" w:styleId="173">
    <w:name w:val="表格内正文，无编号"/>
    <w:basedOn w:val="1"/>
    <w:qFormat/>
    <w:uiPriority w:val="0"/>
    <w:pPr>
      <w:spacing w:line="400" w:lineRule="exact"/>
      <w:ind w:firstLine="643" w:firstLineChars="200"/>
    </w:pPr>
  </w:style>
  <w:style w:type="paragraph" w:customStyle="1" w:styleId="174">
    <w:name w:val="*正文"/>
    <w:basedOn w:val="1"/>
    <w:qFormat/>
    <w:uiPriority w:val="0"/>
    <w:pPr>
      <w:widowControl/>
      <w:ind w:firstLine="200" w:firstLineChars="200"/>
    </w:pPr>
    <w:rPr>
      <w:rFonts w:ascii="仿宋_GB2312" w:eastAsia="仿宋_GB2312" w:cstheme="minorBidi"/>
      <w:sz w:val="24"/>
      <w:szCs w:val="28"/>
    </w:rPr>
  </w:style>
  <w:style w:type="paragraph" w:customStyle="1" w:styleId="175">
    <w:name w:val="表体"/>
    <w:basedOn w:val="1"/>
    <w:next w:val="1"/>
    <w:qFormat/>
    <w:uiPriority w:val="0"/>
    <w:pPr>
      <w:snapToGrid w:val="0"/>
      <w:spacing w:line="0" w:lineRule="atLeast"/>
    </w:pPr>
    <w:rPr>
      <w:b/>
      <w:szCs w:val="20"/>
    </w:rPr>
  </w:style>
  <w:style w:type="character" w:customStyle="1" w:styleId="176">
    <w:name w:val="font21"/>
    <w:basedOn w:val="46"/>
    <w:qFormat/>
    <w:uiPriority w:val="0"/>
    <w:rPr>
      <w:rFonts w:hint="eastAsia" w:ascii="黑体" w:hAnsi="宋体" w:eastAsia="黑体" w:cs="黑体"/>
      <w:color w:val="000000"/>
      <w:sz w:val="20"/>
      <w:szCs w:val="20"/>
      <w:u w:val="none"/>
    </w:rPr>
  </w:style>
  <w:style w:type="character" w:customStyle="1" w:styleId="177">
    <w:name w:val="font61"/>
    <w:basedOn w:val="46"/>
    <w:qFormat/>
    <w:uiPriority w:val="0"/>
    <w:rPr>
      <w:rFonts w:ascii="宋体-简" w:hAnsi="宋体-简" w:eastAsia="宋体-简" w:cs="宋体-简"/>
      <w:color w:val="000000"/>
      <w:sz w:val="20"/>
      <w:szCs w:val="20"/>
      <w:u w:val="none"/>
    </w:rPr>
  </w:style>
  <w:style w:type="character" w:customStyle="1" w:styleId="178">
    <w:name w:val="font81"/>
    <w:basedOn w:val="46"/>
    <w:qFormat/>
    <w:uiPriority w:val="0"/>
    <w:rPr>
      <w:rFonts w:ascii="宋体-简" w:hAnsi="宋体-简" w:eastAsia="宋体-简" w:cs="宋体-简"/>
      <w:color w:val="000000"/>
      <w:sz w:val="20"/>
      <w:szCs w:val="20"/>
      <w:u w:val="none"/>
    </w:rPr>
  </w:style>
  <w:style w:type="paragraph" w:customStyle="1" w:styleId="179">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80">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81">
    <w:name w:val="Y正文GBK"/>
    <w:basedOn w:val="1"/>
    <w:qFormat/>
    <w:uiPriority w:val="0"/>
    <w:pPr>
      <w:spacing w:line="560" w:lineRule="exact"/>
      <w:ind w:firstLine="640"/>
    </w:pPr>
    <w:rPr>
      <w:rFonts w:ascii="方正仿宋_GBK" w:hAnsi="黑体" w:eastAsia="方正仿宋_GBK"/>
      <w:szCs w:val="32"/>
    </w:rPr>
  </w:style>
  <w:style w:type="paragraph" w:customStyle="1" w:styleId="182">
    <w:name w:val="列出段落2"/>
    <w:basedOn w:val="1"/>
    <w:qFormat/>
    <w:uiPriority w:val="1"/>
    <w:pPr>
      <w:ind w:left="100" w:firstLine="420"/>
    </w:pPr>
    <w:rPr>
      <w:rFonts w:ascii="宋体" w:hAnsi="宋体" w:cs="宋体"/>
    </w:rPr>
  </w:style>
  <w:style w:type="paragraph" w:customStyle="1" w:styleId="183">
    <w:name w:val="Table Paragraph"/>
    <w:basedOn w:val="1"/>
    <w:qFormat/>
    <w:uiPriority w:val="1"/>
  </w:style>
  <w:style w:type="paragraph" w:styleId="184">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42</Pages>
  <Words>11923</Words>
  <Characters>12786</Characters>
  <Lines>165</Lines>
  <Paragraphs>46</Paragraphs>
  <TotalTime>0</TotalTime>
  <ScaleCrop>false</ScaleCrop>
  <LinksUpToDate>false</LinksUpToDate>
  <CharactersWithSpaces>13106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2024-08-14T00:33:00Z</dcterms:created>
  <dc:creator>陈桂兰</dc:creator>
  <cp:lastModifiedBy>admin</cp:lastModifiedBy>
  <cp:lastPrinted>2024-10-26T07:34:00Z</cp:lastPrinted>
  <dcterms:modified xsi:type="dcterms:W3CDTF">2025-01-02T01:19:12Z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7FC0F59539874E7BA31BBC2B2992E8A7_13</vt:lpwstr>
  </property>
  <property fmtid="{D5CDD505-2E9C-101B-9397-08002B2CF9AE}" pid="4" name="PSLTemplateName">
    <vt:lpwstr>Normal</vt:lpwstr>
  </property>
  <property fmtid="{D5CDD505-2E9C-101B-9397-08002B2CF9AE}" pid="5" name="KSOTemplateDocerSaveRecord">
    <vt:lpwstr>eyJoZGlkIjoiMDcxZDFlMTRlMTdjNzZiZDFkZjcyMDFmYjBjNDViOTcifQ==</vt:lpwstr>
  </property>
</Properties>
</file>