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B58CAB">
      <w:pPr>
        <w:keepNext w:val="0"/>
        <w:keepLines w:val="0"/>
        <w:pageBreakBefore w:val="0"/>
        <w:widowControl w:val="0"/>
        <w:kinsoku/>
        <w:wordWrap/>
        <w:overflowPunct/>
        <w:topLinePunct w:val="0"/>
        <w:autoSpaceDE/>
        <w:autoSpaceDN/>
        <w:bidi w:val="0"/>
        <w:adjustRightInd/>
        <w:snapToGrid/>
        <w:spacing w:line="900" w:lineRule="exact"/>
        <w:ind w:left="420" w:leftChars="200" w:right="420" w:rightChars="200"/>
        <w:jc w:val="center"/>
        <w:textAlignment w:val="auto"/>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val="en-US" w:eastAsia="zh-CN"/>
        </w:rPr>
        <w:t>项目名称：</w:t>
      </w:r>
      <w:bookmarkStart w:id="0" w:name="单据名称"/>
      <w:r>
        <w:rPr>
          <w:rFonts w:hint="eastAsia" w:ascii="宋体" w:hAnsi="宋体" w:cs="宋体"/>
          <w:b/>
          <w:color w:val="auto"/>
          <w:sz w:val="40"/>
          <w:szCs w:val="40"/>
          <w:highlight w:val="none"/>
        </w:rPr>
        <w:t>2026年高速私有云网络安全服务</w:t>
      </w:r>
      <w:bookmarkEnd w:id="0"/>
    </w:p>
    <w:p w14:paraId="572CB24A">
      <w:pPr>
        <w:rPr>
          <w:rFonts w:ascii="宋体" w:hAnsi="宋体" w:cs="宋体"/>
          <w:color w:val="auto"/>
          <w:sz w:val="28"/>
          <w:szCs w:val="28"/>
          <w:highlight w:val="none"/>
        </w:rPr>
      </w:pPr>
    </w:p>
    <w:p w14:paraId="1B7CB4D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5EEDEC00">
      <w:pPr>
        <w:jc w:val="center"/>
        <w:rPr>
          <w:rFonts w:ascii="宋体" w:hAnsi="宋体" w:cs="宋体"/>
          <w:b/>
          <w:color w:val="auto"/>
          <w:sz w:val="48"/>
          <w:szCs w:val="48"/>
          <w:highlight w:val="none"/>
        </w:rPr>
      </w:pPr>
    </w:p>
    <w:p w14:paraId="6CC27B7F">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73A79839">
      <w:pPr>
        <w:jc w:val="center"/>
        <w:rPr>
          <w:rFonts w:ascii="宋体" w:hAnsi="宋体" w:cs="宋体"/>
          <w:b/>
          <w:color w:val="auto"/>
          <w:sz w:val="48"/>
          <w:szCs w:val="48"/>
          <w:highlight w:val="none"/>
        </w:rPr>
      </w:pPr>
    </w:p>
    <w:p w14:paraId="43482A3E">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67AA56EA">
      <w:pPr>
        <w:jc w:val="center"/>
        <w:rPr>
          <w:rFonts w:ascii="宋体" w:hAnsi="宋体" w:cs="宋体"/>
          <w:b/>
          <w:color w:val="auto"/>
          <w:sz w:val="48"/>
          <w:szCs w:val="48"/>
          <w:highlight w:val="none"/>
        </w:rPr>
      </w:pPr>
    </w:p>
    <w:p w14:paraId="335F7CC2">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7FA41929">
      <w:pPr>
        <w:jc w:val="center"/>
        <w:rPr>
          <w:rFonts w:ascii="宋体" w:hAnsi="宋体" w:cs="宋体"/>
          <w:b/>
          <w:color w:val="auto"/>
          <w:sz w:val="48"/>
          <w:szCs w:val="48"/>
          <w:highlight w:val="none"/>
        </w:rPr>
      </w:pPr>
    </w:p>
    <w:p w14:paraId="70910A3C">
      <w:pPr>
        <w:jc w:val="center"/>
        <w:rPr>
          <w:rFonts w:hint="eastAsia" w:ascii="宋体" w:hAnsi="宋体" w:eastAsia="宋体" w:cs="宋体"/>
          <w:b/>
          <w:color w:val="auto"/>
          <w:sz w:val="48"/>
          <w:szCs w:val="48"/>
          <w:highlight w:val="none"/>
          <w:lang w:val="en-US" w:eastAsia="zh-CN"/>
        </w:rPr>
      </w:pPr>
      <w:r>
        <w:rPr>
          <w:rFonts w:hint="eastAsia" w:ascii="宋体" w:hAnsi="宋体" w:cs="宋体"/>
          <w:b/>
          <w:color w:val="auto"/>
          <w:sz w:val="48"/>
          <w:szCs w:val="48"/>
          <w:highlight w:val="none"/>
        </w:rPr>
        <w:t>选</w:t>
      </w:r>
      <w:r>
        <w:rPr>
          <w:rFonts w:hint="eastAsia" w:ascii="宋体" w:hAnsi="宋体" w:cs="宋体"/>
          <w:b/>
          <w:color w:val="auto"/>
          <w:sz w:val="48"/>
          <w:szCs w:val="48"/>
          <w:highlight w:val="none"/>
          <w:lang w:val="en-US" w:eastAsia="zh-CN"/>
        </w:rPr>
        <w:t xml:space="preserve"> </w:t>
      </w:r>
    </w:p>
    <w:p w14:paraId="13E9CC10">
      <w:pPr>
        <w:jc w:val="center"/>
        <w:rPr>
          <w:rFonts w:ascii="宋体" w:hAnsi="宋体" w:cs="宋体"/>
          <w:b/>
          <w:color w:val="auto"/>
          <w:sz w:val="48"/>
          <w:szCs w:val="48"/>
          <w:highlight w:val="none"/>
        </w:rPr>
      </w:pPr>
    </w:p>
    <w:p w14:paraId="6BA1F884">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5901AB41">
      <w:pPr>
        <w:jc w:val="center"/>
        <w:rPr>
          <w:rFonts w:ascii="宋体" w:hAnsi="宋体" w:cs="宋体"/>
          <w:b/>
          <w:color w:val="auto"/>
          <w:sz w:val="48"/>
          <w:szCs w:val="48"/>
          <w:highlight w:val="none"/>
        </w:rPr>
      </w:pPr>
    </w:p>
    <w:p w14:paraId="773F1DFC">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28F03837">
      <w:pPr>
        <w:spacing w:line="400" w:lineRule="exact"/>
        <w:rPr>
          <w:rFonts w:ascii="宋体" w:hAnsi="宋体" w:cs="宋体"/>
          <w:color w:val="auto"/>
          <w:highlight w:val="none"/>
        </w:rPr>
      </w:pPr>
    </w:p>
    <w:p w14:paraId="62879E3E">
      <w:pPr>
        <w:rPr>
          <w:color w:val="auto"/>
          <w:highlight w:val="none"/>
        </w:rPr>
      </w:pPr>
    </w:p>
    <w:p w14:paraId="54AA7134">
      <w:pPr>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采购人：重庆首讯科技股份有限公司</w:t>
      </w:r>
    </w:p>
    <w:p w14:paraId="03B577EC">
      <w:pPr>
        <w:jc w:val="center"/>
        <w:rPr>
          <w:rFonts w:hint="eastAsia" w:ascii="宋体" w:hAnsi="宋体" w:cs="宋体"/>
          <w:b/>
          <w:color w:val="auto"/>
          <w:sz w:val="32"/>
          <w:szCs w:val="32"/>
          <w:highlight w:val="none"/>
          <w:u w:val="single"/>
        </w:rPr>
      </w:pPr>
    </w:p>
    <w:p w14:paraId="112D5DB7">
      <w:pPr>
        <w:jc w:val="center"/>
        <w:rPr>
          <w:rFonts w:ascii="宋体" w:hAnsi="宋体" w:cs="宋体"/>
          <w:b/>
          <w:color w:val="auto"/>
          <w:sz w:val="32"/>
          <w:szCs w:val="32"/>
          <w:highlight w:val="none"/>
        </w:rPr>
      </w:pPr>
      <w:r>
        <w:rPr>
          <w:rFonts w:hint="eastAsia" w:ascii="宋体" w:hAnsi="宋体" w:cs="宋体"/>
          <w:b/>
          <w:color w:val="auto"/>
          <w:sz w:val="28"/>
          <w:szCs w:val="28"/>
          <w:highlight w:val="none"/>
        </w:rPr>
        <w:t>2025</w:t>
      </w:r>
      <w:r>
        <w:rPr>
          <w:rFonts w:hint="eastAsia" w:ascii="宋体" w:hAnsi="宋体" w:cs="宋体"/>
          <w:b/>
          <w:color w:val="auto"/>
          <w:sz w:val="28"/>
          <w:szCs w:val="28"/>
          <w:highlight w:val="none"/>
          <w:lang w:val="en-US" w:eastAsia="zh-CN"/>
        </w:rPr>
        <w:t>年11月</w:t>
      </w:r>
    </w:p>
    <w:p w14:paraId="4E90266F">
      <w:pPr>
        <w:pStyle w:val="28"/>
        <w:jc w:val="center"/>
        <w:rPr>
          <w:rFonts w:ascii="宋体" w:hAnsi="宋体" w:cs="宋体"/>
          <w:color w:val="auto"/>
          <w:szCs w:val="21"/>
          <w:highlight w:val="none"/>
        </w:rPr>
      </w:pPr>
      <w:r>
        <w:rPr>
          <w:color w:val="auto"/>
          <w:highlight w:val="none"/>
        </w:rPr>
        <w:br w:type="page"/>
      </w:r>
      <w:bookmarkStart w:id="1" w:name="_Toc507319889"/>
      <w:bookmarkStart w:id="2" w:name="_Toc296602400"/>
      <w:bookmarkStart w:id="3" w:name="_Toc247085669"/>
      <w:r>
        <w:rPr>
          <w:rFonts w:hint="eastAsia" w:ascii="宋体" w:hAnsi="宋体" w:cs="宋体"/>
          <w:b w:val="0"/>
          <w:color w:val="auto"/>
          <w:sz w:val="32"/>
          <w:highlight w:val="none"/>
        </w:rPr>
        <w:t>目   录</w:t>
      </w:r>
      <w:bookmarkEnd w:id="1"/>
      <w:bookmarkEnd w:id="2"/>
      <w:bookmarkEnd w:id="3"/>
    </w:p>
    <w:p w14:paraId="236D6CB4">
      <w:pPr>
        <w:pStyle w:val="28"/>
        <w:tabs>
          <w:tab w:val="right" w:leader="dot" w:pos="9638"/>
        </w:tabs>
        <w:rPr>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highlight w:val="none"/>
        </w:rPr>
        <w:instrText xml:space="preserve"> HYPERLINK \l _Toc10142 </w:instrText>
      </w:r>
      <w:r>
        <w:rPr>
          <w:rFonts w:hint="eastAsia" w:ascii="宋体" w:hAnsi="宋体" w:cs="宋体"/>
          <w:bCs w:val="0"/>
          <w:caps w:val="0"/>
          <w:highlight w:val="none"/>
        </w:rPr>
        <w:fldChar w:fldCharType="separate"/>
      </w:r>
      <w:r>
        <w:rPr>
          <w:rFonts w:hint="eastAsia" w:ascii="宋体" w:hAnsi="宋体" w:eastAsia="宋体" w:cs="宋体"/>
          <w:bCs/>
          <w:smallCaps w:val="0"/>
          <w:kern w:val="44"/>
          <w:szCs w:val="44"/>
          <w:highlight w:val="none"/>
          <w:lang w:val="en-US" w:eastAsia="zh-CN" w:bidi="ar-SA"/>
        </w:rPr>
        <w:t>第一章 比选公告</w:t>
      </w:r>
      <w:r>
        <w:rPr>
          <w:highlight w:val="none"/>
        </w:rPr>
        <w:tab/>
      </w:r>
      <w:r>
        <w:rPr>
          <w:highlight w:val="none"/>
        </w:rPr>
        <w:fldChar w:fldCharType="begin"/>
      </w:r>
      <w:r>
        <w:rPr>
          <w:highlight w:val="none"/>
        </w:rPr>
        <w:instrText xml:space="preserve"> PAGEREF _Toc10142 \h </w:instrText>
      </w:r>
      <w:r>
        <w:rPr>
          <w:highlight w:val="none"/>
        </w:rPr>
        <w:fldChar w:fldCharType="separate"/>
      </w:r>
      <w:r>
        <w:rPr>
          <w:highlight w:val="none"/>
        </w:rPr>
        <w:t>1</w:t>
      </w:r>
      <w:r>
        <w:rPr>
          <w:highlight w:val="none"/>
        </w:rPr>
        <w:fldChar w:fldCharType="end"/>
      </w:r>
      <w:r>
        <w:rPr>
          <w:rFonts w:hint="eastAsia" w:ascii="宋体" w:hAnsi="宋体" w:cs="宋体"/>
          <w:bCs w:val="0"/>
          <w:caps w:val="0"/>
          <w:color w:val="auto"/>
          <w:highlight w:val="none"/>
        </w:rPr>
        <w:fldChar w:fldCharType="end"/>
      </w:r>
    </w:p>
    <w:p w14:paraId="7F8F4F3D">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_Toc13849 </w:instrText>
      </w:r>
      <w:r>
        <w:rPr>
          <w:rFonts w:hint="eastAsia" w:ascii="宋体" w:hAnsi="宋体" w:cs="宋体"/>
          <w:bCs/>
          <w:caps/>
          <w:highlight w:val="none"/>
        </w:rPr>
        <w:fldChar w:fldCharType="separate"/>
      </w:r>
      <w:r>
        <w:rPr>
          <w:rFonts w:hint="eastAsia" w:ascii="宋体" w:hAnsi="宋体" w:eastAsia="宋体" w:cs="宋体"/>
          <w:highlight w:val="none"/>
        </w:rPr>
        <w:t>1. 比选条件</w:t>
      </w:r>
      <w:r>
        <w:rPr>
          <w:highlight w:val="none"/>
        </w:rPr>
        <w:tab/>
      </w:r>
      <w:r>
        <w:rPr>
          <w:highlight w:val="none"/>
        </w:rPr>
        <w:fldChar w:fldCharType="begin"/>
      </w:r>
      <w:r>
        <w:rPr>
          <w:highlight w:val="none"/>
        </w:rPr>
        <w:instrText xml:space="preserve"> PAGEREF _Toc13849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6B57ACA6">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_Toc7760 </w:instrText>
      </w:r>
      <w:r>
        <w:rPr>
          <w:rFonts w:hint="eastAsia" w:ascii="宋体" w:hAnsi="宋体" w:cs="宋体"/>
          <w:bCs/>
          <w:caps/>
          <w:highlight w:val="none"/>
        </w:rPr>
        <w:fldChar w:fldCharType="separate"/>
      </w:r>
      <w:r>
        <w:rPr>
          <w:rFonts w:hint="eastAsia" w:ascii="宋体" w:hAnsi="宋体" w:eastAsia="宋体" w:cs="宋体"/>
          <w:highlight w:val="none"/>
        </w:rPr>
        <w:t>2. 项目概况与比选范围</w:t>
      </w:r>
      <w:r>
        <w:rPr>
          <w:highlight w:val="none"/>
        </w:rPr>
        <w:tab/>
      </w:r>
      <w:r>
        <w:rPr>
          <w:highlight w:val="none"/>
        </w:rPr>
        <w:fldChar w:fldCharType="begin"/>
      </w:r>
      <w:r>
        <w:rPr>
          <w:highlight w:val="none"/>
        </w:rPr>
        <w:instrText xml:space="preserve"> PAGEREF _Toc7760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40687D1A">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_Toc13092 </w:instrText>
      </w:r>
      <w:r>
        <w:rPr>
          <w:rFonts w:hint="eastAsia" w:ascii="宋体" w:hAnsi="宋体" w:cs="宋体"/>
          <w:bCs/>
          <w:caps/>
          <w:highlight w:val="none"/>
        </w:rPr>
        <w:fldChar w:fldCharType="separate"/>
      </w:r>
      <w:r>
        <w:rPr>
          <w:rFonts w:hint="eastAsia" w:ascii="宋体" w:hAnsi="宋体" w:eastAsia="宋体" w:cs="宋体"/>
          <w:highlight w:val="none"/>
        </w:rPr>
        <w:t>3. 报价人资格要求</w:t>
      </w:r>
      <w:r>
        <w:rPr>
          <w:highlight w:val="none"/>
        </w:rPr>
        <w:tab/>
      </w:r>
      <w:r>
        <w:rPr>
          <w:highlight w:val="none"/>
        </w:rPr>
        <w:fldChar w:fldCharType="begin"/>
      </w:r>
      <w:r>
        <w:rPr>
          <w:highlight w:val="none"/>
        </w:rPr>
        <w:instrText xml:space="preserve"> PAGEREF _Toc13092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7878FABE">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_Toc13035 </w:instrText>
      </w:r>
      <w:r>
        <w:rPr>
          <w:rFonts w:hint="eastAsia" w:ascii="宋体" w:hAnsi="宋体" w:cs="宋体"/>
          <w:bCs/>
          <w:caps/>
          <w:highlight w:val="none"/>
        </w:rPr>
        <w:fldChar w:fldCharType="separate"/>
      </w:r>
      <w:r>
        <w:rPr>
          <w:rFonts w:hint="eastAsia" w:ascii="宋体" w:hAnsi="宋体" w:eastAsia="宋体" w:cs="宋体"/>
          <w:highlight w:val="none"/>
        </w:rPr>
        <w:t>4. 评标办法</w:t>
      </w:r>
      <w:r>
        <w:rPr>
          <w:highlight w:val="none"/>
        </w:rPr>
        <w:tab/>
      </w:r>
      <w:r>
        <w:rPr>
          <w:highlight w:val="none"/>
        </w:rPr>
        <w:fldChar w:fldCharType="begin"/>
      </w:r>
      <w:r>
        <w:rPr>
          <w:highlight w:val="none"/>
        </w:rPr>
        <w:instrText xml:space="preserve"> PAGEREF _Toc13035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6D85DB25">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_Toc17600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5.</w:t>
      </w:r>
      <w:r>
        <w:rPr>
          <w:rFonts w:hint="eastAsia" w:ascii="宋体" w:hAnsi="宋体" w:eastAsia="宋体" w:cs="宋体"/>
          <w:highlight w:val="none"/>
        </w:rPr>
        <w:t>比选文件的获取</w:t>
      </w:r>
      <w:r>
        <w:rPr>
          <w:highlight w:val="none"/>
        </w:rPr>
        <w:tab/>
      </w:r>
      <w:r>
        <w:rPr>
          <w:highlight w:val="none"/>
        </w:rPr>
        <w:fldChar w:fldCharType="begin"/>
      </w:r>
      <w:r>
        <w:rPr>
          <w:highlight w:val="none"/>
        </w:rPr>
        <w:instrText xml:space="preserve"> PAGEREF _Toc17600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29C91A32">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_Toc14325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6</w:t>
      </w:r>
      <w:r>
        <w:rPr>
          <w:rFonts w:hint="eastAsia" w:ascii="宋体" w:hAnsi="宋体" w:eastAsia="宋体" w:cs="宋体"/>
          <w:highlight w:val="none"/>
        </w:rPr>
        <w:t>. 竞争性比选响应文件的递交及相关事宜</w:t>
      </w:r>
      <w:r>
        <w:rPr>
          <w:highlight w:val="none"/>
        </w:rPr>
        <w:tab/>
      </w:r>
      <w:r>
        <w:rPr>
          <w:highlight w:val="none"/>
        </w:rPr>
        <w:fldChar w:fldCharType="begin"/>
      </w:r>
      <w:r>
        <w:rPr>
          <w:highlight w:val="none"/>
        </w:rPr>
        <w:instrText xml:space="preserve"> PAGEREF _Toc14325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0EE25D97">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_Toc4010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7</w:t>
      </w:r>
      <w:r>
        <w:rPr>
          <w:rFonts w:hint="eastAsia" w:ascii="宋体" w:hAnsi="宋体" w:eastAsia="宋体" w:cs="宋体"/>
          <w:highlight w:val="none"/>
        </w:rPr>
        <w:t>. 联系方式</w:t>
      </w:r>
      <w:r>
        <w:rPr>
          <w:highlight w:val="none"/>
        </w:rPr>
        <w:tab/>
      </w:r>
      <w:r>
        <w:rPr>
          <w:highlight w:val="none"/>
        </w:rPr>
        <w:fldChar w:fldCharType="begin"/>
      </w:r>
      <w:r>
        <w:rPr>
          <w:highlight w:val="none"/>
        </w:rPr>
        <w:instrText xml:space="preserve"> PAGEREF _Toc4010 \h </w:instrText>
      </w:r>
      <w:r>
        <w:rPr>
          <w:highlight w:val="none"/>
        </w:rPr>
        <w:fldChar w:fldCharType="separate"/>
      </w:r>
      <w:r>
        <w:rPr>
          <w:highlight w:val="none"/>
        </w:rPr>
        <w:t>2</w:t>
      </w:r>
      <w:r>
        <w:rPr>
          <w:highlight w:val="none"/>
        </w:rPr>
        <w:fldChar w:fldCharType="end"/>
      </w:r>
      <w:r>
        <w:rPr>
          <w:rFonts w:hint="eastAsia" w:ascii="宋体" w:hAnsi="宋体" w:cs="宋体"/>
          <w:bCs/>
          <w:caps/>
          <w:color w:val="auto"/>
          <w:highlight w:val="none"/>
        </w:rPr>
        <w:fldChar w:fldCharType="end"/>
      </w:r>
    </w:p>
    <w:p w14:paraId="6559AE12">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_Toc12865 </w:instrText>
      </w:r>
      <w:r>
        <w:rPr>
          <w:rFonts w:hint="eastAsia" w:ascii="宋体" w:hAnsi="宋体" w:cs="宋体"/>
          <w:bCs/>
          <w:caps/>
          <w:highlight w:val="none"/>
        </w:rPr>
        <w:fldChar w:fldCharType="separate"/>
      </w:r>
      <w:r>
        <w:rPr>
          <w:rFonts w:hint="eastAsia" w:ascii="宋体" w:hAnsi="宋体" w:cs="宋体"/>
          <w:highlight w:val="none"/>
        </w:rPr>
        <w:t>第二章 报价人须知</w:t>
      </w:r>
      <w:r>
        <w:rPr>
          <w:highlight w:val="none"/>
        </w:rPr>
        <w:tab/>
      </w:r>
      <w:r>
        <w:rPr>
          <w:highlight w:val="none"/>
        </w:rPr>
        <w:fldChar w:fldCharType="begin"/>
      </w:r>
      <w:r>
        <w:rPr>
          <w:highlight w:val="none"/>
        </w:rPr>
        <w:instrText xml:space="preserve"> PAGEREF _Toc12865 \h </w:instrText>
      </w:r>
      <w:r>
        <w:rPr>
          <w:highlight w:val="none"/>
        </w:rPr>
        <w:fldChar w:fldCharType="separate"/>
      </w:r>
      <w:r>
        <w:rPr>
          <w:highlight w:val="none"/>
        </w:rPr>
        <w:t>3</w:t>
      </w:r>
      <w:r>
        <w:rPr>
          <w:highlight w:val="none"/>
        </w:rPr>
        <w:fldChar w:fldCharType="end"/>
      </w:r>
      <w:r>
        <w:rPr>
          <w:rFonts w:hint="eastAsia" w:ascii="宋体" w:hAnsi="宋体" w:cs="宋体"/>
          <w:bCs/>
          <w:caps/>
          <w:color w:val="auto"/>
          <w:highlight w:val="none"/>
        </w:rPr>
        <w:fldChar w:fldCharType="end"/>
      </w:r>
    </w:p>
    <w:p w14:paraId="35921F33">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_Toc21580 </w:instrText>
      </w:r>
      <w:r>
        <w:rPr>
          <w:rFonts w:hint="eastAsia" w:ascii="宋体" w:hAnsi="宋体" w:cs="宋体"/>
          <w:bCs/>
          <w:caps/>
          <w:highlight w:val="none"/>
        </w:rPr>
        <w:fldChar w:fldCharType="separate"/>
      </w:r>
      <w:r>
        <w:rPr>
          <w:rFonts w:hint="eastAsia" w:ascii="宋体" w:hAnsi="宋体" w:eastAsia="宋体" w:cs="宋体"/>
          <w:szCs w:val="28"/>
          <w:highlight w:val="none"/>
        </w:rPr>
        <w:t xml:space="preserve">附录1  </w:t>
      </w:r>
      <w:r>
        <w:rPr>
          <w:rFonts w:hint="eastAsia" w:ascii="宋体" w:hAnsi="宋体" w:eastAsia="宋体" w:cs="宋体"/>
          <w:bCs w:val="0"/>
          <w:szCs w:val="28"/>
          <w:highlight w:val="none"/>
        </w:rPr>
        <w:t>报价人资格要求</w:t>
      </w:r>
      <w:r>
        <w:rPr>
          <w:highlight w:val="none"/>
        </w:rPr>
        <w:tab/>
      </w:r>
      <w:r>
        <w:rPr>
          <w:highlight w:val="none"/>
        </w:rPr>
        <w:fldChar w:fldCharType="begin"/>
      </w:r>
      <w:r>
        <w:rPr>
          <w:highlight w:val="none"/>
        </w:rPr>
        <w:instrText xml:space="preserve"> PAGEREF _Toc21580 \h </w:instrText>
      </w:r>
      <w:r>
        <w:rPr>
          <w:highlight w:val="none"/>
        </w:rPr>
        <w:fldChar w:fldCharType="separate"/>
      </w:r>
      <w:r>
        <w:rPr>
          <w:highlight w:val="none"/>
        </w:rPr>
        <w:t>10</w:t>
      </w:r>
      <w:r>
        <w:rPr>
          <w:highlight w:val="none"/>
        </w:rPr>
        <w:fldChar w:fldCharType="end"/>
      </w:r>
      <w:r>
        <w:rPr>
          <w:rFonts w:hint="eastAsia" w:ascii="宋体" w:hAnsi="宋体" w:cs="宋体"/>
          <w:bCs/>
          <w:caps/>
          <w:color w:val="auto"/>
          <w:highlight w:val="none"/>
        </w:rPr>
        <w:fldChar w:fldCharType="end"/>
      </w:r>
    </w:p>
    <w:p w14:paraId="1A42709B">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_Toc31719 </w:instrText>
      </w:r>
      <w:r>
        <w:rPr>
          <w:rFonts w:hint="eastAsia" w:ascii="宋体" w:hAnsi="宋体" w:cs="宋体"/>
          <w:bCs/>
          <w:caps/>
          <w:highlight w:val="none"/>
        </w:rPr>
        <w:fldChar w:fldCharType="separate"/>
      </w:r>
      <w:r>
        <w:rPr>
          <w:rFonts w:hint="eastAsia"/>
          <w:highlight w:val="none"/>
        </w:rPr>
        <w:t xml:space="preserve">第三章 </w:t>
      </w:r>
      <w:r>
        <w:rPr>
          <w:rFonts w:hint="eastAsia" w:ascii="宋体" w:hAnsi="宋体" w:cs="宋体"/>
          <w:highlight w:val="none"/>
        </w:rPr>
        <w:t>评标办法（综合评估法）</w:t>
      </w:r>
      <w:r>
        <w:rPr>
          <w:highlight w:val="none"/>
        </w:rPr>
        <w:tab/>
      </w:r>
      <w:r>
        <w:rPr>
          <w:highlight w:val="none"/>
        </w:rPr>
        <w:fldChar w:fldCharType="begin"/>
      </w:r>
      <w:r>
        <w:rPr>
          <w:highlight w:val="none"/>
        </w:rPr>
        <w:instrText xml:space="preserve"> PAGEREF _Toc31719 \h </w:instrText>
      </w:r>
      <w:r>
        <w:rPr>
          <w:highlight w:val="none"/>
        </w:rPr>
        <w:fldChar w:fldCharType="separate"/>
      </w:r>
      <w:r>
        <w:rPr>
          <w:highlight w:val="none"/>
        </w:rPr>
        <w:t>12</w:t>
      </w:r>
      <w:r>
        <w:rPr>
          <w:highlight w:val="none"/>
        </w:rPr>
        <w:fldChar w:fldCharType="end"/>
      </w:r>
      <w:r>
        <w:rPr>
          <w:rFonts w:hint="eastAsia" w:ascii="宋体" w:hAnsi="宋体" w:cs="宋体"/>
          <w:bCs/>
          <w:caps/>
          <w:color w:val="auto"/>
          <w:highlight w:val="none"/>
        </w:rPr>
        <w:fldChar w:fldCharType="end"/>
      </w:r>
    </w:p>
    <w:p w14:paraId="291F6998">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_Toc6735 </w:instrText>
      </w:r>
      <w:r>
        <w:rPr>
          <w:rFonts w:hint="eastAsia" w:ascii="宋体" w:hAnsi="宋体" w:cs="宋体"/>
          <w:bCs/>
          <w:caps/>
          <w:highlight w:val="none"/>
        </w:rPr>
        <w:fldChar w:fldCharType="separate"/>
      </w:r>
      <w:r>
        <w:rPr>
          <w:rFonts w:hint="eastAsia" w:ascii="宋体" w:hAnsi="宋体" w:cs="宋体"/>
          <w:szCs w:val="21"/>
          <w:highlight w:val="none"/>
        </w:rPr>
        <w:t>1.  评标方法</w:t>
      </w:r>
      <w:r>
        <w:rPr>
          <w:highlight w:val="none"/>
        </w:rPr>
        <w:tab/>
      </w:r>
      <w:r>
        <w:rPr>
          <w:highlight w:val="none"/>
        </w:rPr>
        <w:fldChar w:fldCharType="begin"/>
      </w:r>
      <w:r>
        <w:rPr>
          <w:highlight w:val="none"/>
        </w:rPr>
        <w:instrText xml:space="preserve"> PAGEREF _Toc6735 \h </w:instrText>
      </w:r>
      <w:r>
        <w:rPr>
          <w:highlight w:val="none"/>
        </w:rPr>
        <w:fldChar w:fldCharType="separate"/>
      </w:r>
      <w:r>
        <w:rPr>
          <w:highlight w:val="none"/>
        </w:rPr>
        <w:t>15</w:t>
      </w:r>
      <w:r>
        <w:rPr>
          <w:highlight w:val="none"/>
        </w:rPr>
        <w:fldChar w:fldCharType="end"/>
      </w:r>
      <w:r>
        <w:rPr>
          <w:rFonts w:hint="eastAsia" w:ascii="宋体" w:hAnsi="宋体" w:cs="宋体"/>
          <w:bCs/>
          <w:caps/>
          <w:color w:val="auto"/>
          <w:highlight w:val="none"/>
        </w:rPr>
        <w:fldChar w:fldCharType="end"/>
      </w:r>
    </w:p>
    <w:p w14:paraId="1A49B1CF">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_Toc1052 </w:instrText>
      </w:r>
      <w:r>
        <w:rPr>
          <w:rFonts w:hint="eastAsia" w:ascii="宋体" w:hAnsi="宋体" w:cs="宋体"/>
          <w:bCs/>
          <w:caps/>
          <w:highlight w:val="none"/>
        </w:rPr>
        <w:fldChar w:fldCharType="separate"/>
      </w:r>
      <w:r>
        <w:rPr>
          <w:rFonts w:hint="eastAsia" w:ascii="宋体" w:hAnsi="宋体" w:cs="宋体"/>
          <w:szCs w:val="21"/>
          <w:highlight w:val="none"/>
        </w:rPr>
        <w:t>2.  评审标准</w:t>
      </w:r>
      <w:r>
        <w:rPr>
          <w:highlight w:val="none"/>
        </w:rPr>
        <w:tab/>
      </w:r>
      <w:r>
        <w:rPr>
          <w:highlight w:val="none"/>
        </w:rPr>
        <w:fldChar w:fldCharType="begin"/>
      </w:r>
      <w:r>
        <w:rPr>
          <w:highlight w:val="none"/>
        </w:rPr>
        <w:instrText xml:space="preserve"> PAGEREF _Toc1052 \h </w:instrText>
      </w:r>
      <w:r>
        <w:rPr>
          <w:highlight w:val="none"/>
        </w:rPr>
        <w:fldChar w:fldCharType="separate"/>
      </w:r>
      <w:r>
        <w:rPr>
          <w:highlight w:val="none"/>
        </w:rPr>
        <w:t>15</w:t>
      </w:r>
      <w:r>
        <w:rPr>
          <w:highlight w:val="none"/>
        </w:rPr>
        <w:fldChar w:fldCharType="end"/>
      </w:r>
      <w:r>
        <w:rPr>
          <w:rFonts w:hint="eastAsia" w:ascii="宋体" w:hAnsi="宋体" w:cs="宋体"/>
          <w:bCs/>
          <w:caps/>
          <w:color w:val="auto"/>
          <w:highlight w:val="none"/>
        </w:rPr>
        <w:fldChar w:fldCharType="end"/>
      </w:r>
    </w:p>
    <w:p w14:paraId="13DCE639">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_Toc10650 </w:instrText>
      </w:r>
      <w:r>
        <w:rPr>
          <w:rFonts w:hint="eastAsia" w:ascii="宋体" w:hAnsi="宋体" w:cs="宋体"/>
          <w:bCs/>
          <w:caps/>
          <w:highlight w:val="none"/>
        </w:rPr>
        <w:fldChar w:fldCharType="separate"/>
      </w:r>
      <w:r>
        <w:rPr>
          <w:rFonts w:hint="eastAsia" w:ascii="宋体" w:hAnsi="宋体" w:cs="宋体"/>
          <w:szCs w:val="21"/>
          <w:highlight w:val="none"/>
        </w:rPr>
        <w:t>3.  评标程序</w:t>
      </w:r>
      <w:r>
        <w:rPr>
          <w:highlight w:val="none"/>
        </w:rPr>
        <w:tab/>
      </w:r>
      <w:r>
        <w:rPr>
          <w:highlight w:val="none"/>
        </w:rPr>
        <w:fldChar w:fldCharType="begin"/>
      </w:r>
      <w:r>
        <w:rPr>
          <w:highlight w:val="none"/>
        </w:rPr>
        <w:instrText xml:space="preserve"> PAGEREF _Toc10650 \h </w:instrText>
      </w:r>
      <w:r>
        <w:rPr>
          <w:highlight w:val="none"/>
        </w:rPr>
        <w:fldChar w:fldCharType="separate"/>
      </w:r>
      <w:r>
        <w:rPr>
          <w:highlight w:val="none"/>
        </w:rPr>
        <w:t>15</w:t>
      </w:r>
      <w:r>
        <w:rPr>
          <w:highlight w:val="none"/>
        </w:rPr>
        <w:fldChar w:fldCharType="end"/>
      </w:r>
      <w:r>
        <w:rPr>
          <w:rFonts w:hint="eastAsia" w:ascii="宋体" w:hAnsi="宋体" w:cs="宋体"/>
          <w:bCs/>
          <w:caps/>
          <w:color w:val="auto"/>
          <w:highlight w:val="none"/>
        </w:rPr>
        <w:fldChar w:fldCharType="end"/>
      </w:r>
    </w:p>
    <w:p w14:paraId="3B7EDBB0">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_Toc15010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四</w:t>
      </w:r>
      <w:r>
        <w:rPr>
          <w:rFonts w:hint="eastAsia" w:ascii="宋体" w:hAnsi="宋体" w:cs="宋体"/>
          <w:highlight w:val="none"/>
        </w:rPr>
        <w:t xml:space="preserve">章  </w:t>
      </w:r>
      <w:r>
        <w:rPr>
          <w:rFonts w:hint="eastAsia" w:ascii="宋体" w:hAnsi="宋体" w:cs="宋体"/>
          <w:highlight w:val="none"/>
          <w:lang w:val="en-US" w:eastAsia="zh-CN"/>
        </w:rPr>
        <w:t>服务要求</w:t>
      </w:r>
      <w:r>
        <w:rPr>
          <w:highlight w:val="none"/>
        </w:rPr>
        <w:tab/>
      </w:r>
      <w:r>
        <w:rPr>
          <w:highlight w:val="none"/>
        </w:rPr>
        <w:fldChar w:fldCharType="begin"/>
      </w:r>
      <w:r>
        <w:rPr>
          <w:highlight w:val="none"/>
        </w:rPr>
        <w:instrText xml:space="preserve"> PAGEREF _Toc15010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14:paraId="7F10DC64">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_Toc17525 </w:instrText>
      </w:r>
      <w:r>
        <w:rPr>
          <w:rFonts w:hint="eastAsia" w:ascii="宋体" w:hAnsi="宋体" w:cs="宋体"/>
          <w:bCs/>
          <w:caps/>
          <w:highlight w:val="none"/>
        </w:rPr>
        <w:fldChar w:fldCharType="separate"/>
      </w:r>
      <w:r>
        <w:rPr>
          <w:rFonts w:hint="eastAsia" w:ascii="宋体" w:hAnsi="宋体" w:eastAsia="宋体" w:cs="宋体"/>
          <w:bCs/>
          <w:kern w:val="44"/>
          <w:szCs w:val="44"/>
          <w:highlight w:val="none"/>
          <w:lang w:val="en-US" w:eastAsia="zh-CN" w:bidi="ar-SA"/>
        </w:rPr>
        <w:t>第五章  合同范本</w:t>
      </w:r>
      <w:r>
        <w:rPr>
          <w:highlight w:val="none"/>
        </w:rPr>
        <w:tab/>
      </w:r>
      <w:r>
        <w:rPr>
          <w:highlight w:val="none"/>
        </w:rPr>
        <w:fldChar w:fldCharType="begin"/>
      </w:r>
      <w:r>
        <w:rPr>
          <w:highlight w:val="none"/>
        </w:rPr>
        <w:instrText xml:space="preserve"> PAGEREF _Toc17525 \h </w:instrText>
      </w:r>
      <w:r>
        <w:rPr>
          <w:highlight w:val="none"/>
        </w:rPr>
        <w:fldChar w:fldCharType="separate"/>
      </w:r>
      <w:r>
        <w:rPr>
          <w:highlight w:val="none"/>
        </w:rPr>
        <w:t>18</w:t>
      </w:r>
      <w:r>
        <w:rPr>
          <w:highlight w:val="none"/>
        </w:rPr>
        <w:fldChar w:fldCharType="end"/>
      </w:r>
      <w:r>
        <w:rPr>
          <w:rFonts w:hint="eastAsia" w:ascii="宋体" w:hAnsi="宋体" w:cs="宋体"/>
          <w:bCs/>
          <w:caps/>
          <w:color w:val="auto"/>
          <w:highlight w:val="none"/>
        </w:rPr>
        <w:fldChar w:fldCharType="end"/>
      </w:r>
    </w:p>
    <w:p w14:paraId="6EFF158A">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_Toc27626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六</w:t>
      </w:r>
      <w:r>
        <w:rPr>
          <w:rFonts w:hint="eastAsia" w:ascii="宋体" w:hAnsi="宋体" w:cs="宋体"/>
          <w:highlight w:val="none"/>
        </w:rPr>
        <w:t>章  竞争性比选响应文件格式</w:t>
      </w:r>
      <w:r>
        <w:rPr>
          <w:highlight w:val="none"/>
        </w:rPr>
        <w:tab/>
      </w:r>
      <w:r>
        <w:rPr>
          <w:highlight w:val="none"/>
        </w:rPr>
        <w:fldChar w:fldCharType="begin"/>
      </w:r>
      <w:r>
        <w:rPr>
          <w:highlight w:val="none"/>
        </w:rPr>
        <w:instrText xml:space="preserve"> PAGEREF _Toc27626 \h </w:instrText>
      </w:r>
      <w:r>
        <w:rPr>
          <w:highlight w:val="none"/>
        </w:rPr>
        <w:fldChar w:fldCharType="separate"/>
      </w:r>
      <w:r>
        <w:rPr>
          <w:highlight w:val="none"/>
        </w:rPr>
        <w:t>23</w:t>
      </w:r>
      <w:r>
        <w:rPr>
          <w:highlight w:val="none"/>
        </w:rPr>
        <w:fldChar w:fldCharType="end"/>
      </w:r>
      <w:r>
        <w:rPr>
          <w:rFonts w:hint="eastAsia" w:ascii="宋体" w:hAnsi="宋体" w:cs="宋体"/>
          <w:bCs/>
          <w:caps/>
          <w:color w:val="auto"/>
          <w:highlight w:val="none"/>
        </w:rPr>
        <w:fldChar w:fldCharType="end"/>
      </w:r>
    </w:p>
    <w:p w14:paraId="6E4D2850">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_Toc29615 </w:instrText>
      </w:r>
      <w:r>
        <w:rPr>
          <w:rFonts w:hint="eastAsia" w:ascii="宋体" w:hAnsi="宋体" w:cs="宋体"/>
          <w:bCs/>
          <w:caps/>
          <w:highlight w:val="none"/>
        </w:rPr>
        <w:fldChar w:fldCharType="separate"/>
      </w:r>
      <w:r>
        <w:rPr>
          <w:rFonts w:hint="eastAsia" w:ascii="宋体" w:hAnsi="宋体" w:eastAsia="宋体" w:cs="宋体"/>
          <w:highlight w:val="none"/>
        </w:rPr>
        <w:t xml:space="preserve">一、 </w:t>
      </w:r>
      <w:r>
        <w:rPr>
          <w:rFonts w:hint="eastAsia" w:ascii="宋体" w:hAnsi="宋体" w:eastAsia="宋体" w:cs="宋体"/>
          <w:highlight w:val="none"/>
        </w:rPr>
        <w:t>竞争比选响应声明书</w:t>
      </w:r>
      <w:r>
        <w:rPr>
          <w:highlight w:val="none"/>
        </w:rPr>
        <w:tab/>
      </w:r>
      <w:r>
        <w:rPr>
          <w:highlight w:val="none"/>
        </w:rPr>
        <w:fldChar w:fldCharType="begin"/>
      </w:r>
      <w:r>
        <w:rPr>
          <w:highlight w:val="none"/>
        </w:rPr>
        <w:instrText xml:space="preserve"> PAGEREF _Toc29615 \h </w:instrText>
      </w:r>
      <w:r>
        <w:rPr>
          <w:highlight w:val="none"/>
        </w:rPr>
        <w:fldChar w:fldCharType="separate"/>
      </w:r>
      <w:r>
        <w:rPr>
          <w:highlight w:val="none"/>
        </w:rPr>
        <w:t>26</w:t>
      </w:r>
      <w:r>
        <w:rPr>
          <w:highlight w:val="none"/>
        </w:rPr>
        <w:fldChar w:fldCharType="end"/>
      </w:r>
      <w:r>
        <w:rPr>
          <w:rFonts w:hint="eastAsia" w:ascii="宋体" w:hAnsi="宋体" w:cs="宋体"/>
          <w:bCs/>
          <w:caps/>
          <w:color w:val="auto"/>
          <w:highlight w:val="none"/>
        </w:rPr>
        <w:fldChar w:fldCharType="end"/>
      </w:r>
    </w:p>
    <w:p w14:paraId="34C13DEA">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_Toc15139 </w:instrText>
      </w:r>
      <w:r>
        <w:rPr>
          <w:rFonts w:hint="eastAsia" w:ascii="宋体" w:hAnsi="宋体" w:cs="宋体"/>
          <w:bCs/>
          <w:caps/>
          <w:highlight w:val="none"/>
        </w:rPr>
        <w:fldChar w:fldCharType="separate"/>
      </w:r>
      <w:r>
        <w:rPr>
          <w:rFonts w:hint="eastAsia" w:ascii="宋体" w:hAnsi="宋体" w:eastAsia="宋体" w:cs="宋体"/>
          <w:highlight w:val="none"/>
        </w:rPr>
        <w:t xml:space="preserve">二、 </w:t>
      </w:r>
      <w:r>
        <w:rPr>
          <w:rFonts w:hint="eastAsia" w:ascii="宋体" w:hAnsi="宋体" w:eastAsia="宋体" w:cs="宋体"/>
          <w:highlight w:val="none"/>
        </w:rPr>
        <w:t>法定代表人身份证明或法定代表人授权委托书</w:t>
      </w:r>
      <w:r>
        <w:rPr>
          <w:highlight w:val="none"/>
        </w:rPr>
        <w:tab/>
      </w:r>
      <w:r>
        <w:rPr>
          <w:highlight w:val="none"/>
        </w:rPr>
        <w:fldChar w:fldCharType="begin"/>
      </w:r>
      <w:r>
        <w:rPr>
          <w:highlight w:val="none"/>
        </w:rPr>
        <w:instrText xml:space="preserve"> PAGEREF _Toc15139 \h </w:instrText>
      </w:r>
      <w:r>
        <w:rPr>
          <w:highlight w:val="none"/>
        </w:rPr>
        <w:fldChar w:fldCharType="separate"/>
      </w:r>
      <w:r>
        <w:rPr>
          <w:highlight w:val="none"/>
        </w:rPr>
        <w:t>27</w:t>
      </w:r>
      <w:r>
        <w:rPr>
          <w:highlight w:val="none"/>
        </w:rPr>
        <w:fldChar w:fldCharType="end"/>
      </w:r>
      <w:r>
        <w:rPr>
          <w:rFonts w:hint="eastAsia" w:ascii="宋体" w:hAnsi="宋体" w:cs="宋体"/>
          <w:bCs/>
          <w:caps/>
          <w:color w:val="auto"/>
          <w:highlight w:val="none"/>
        </w:rPr>
        <w:fldChar w:fldCharType="end"/>
      </w:r>
    </w:p>
    <w:p w14:paraId="4C00AF65">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_Toc31983 </w:instrText>
      </w:r>
      <w:r>
        <w:rPr>
          <w:rFonts w:hint="eastAsia" w:ascii="宋体" w:hAnsi="宋体" w:cs="宋体"/>
          <w:bCs/>
          <w:caps/>
          <w:highlight w:val="none"/>
        </w:rPr>
        <w:fldChar w:fldCharType="separate"/>
      </w:r>
      <w:r>
        <w:rPr>
          <w:rFonts w:hint="eastAsia" w:ascii="宋体" w:hAnsi="宋体" w:eastAsia="宋体" w:cs="宋体"/>
          <w:highlight w:val="none"/>
        </w:rPr>
        <w:t>三、报价一览表</w:t>
      </w:r>
      <w:r>
        <w:rPr>
          <w:highlight w:val="none"/>
        </w:rPr>
        <w:tab/>
      </w:r>
      <w:r>
        <w:rPr>
          <w:highlight w:val="none"/>
        </w:rPr>
        <w:fldChar w:fldCharType="begin"/>
      </w:r>
      <w:r>
        <w:rPr>
          <w:highlight w:val="none"/>
        </w:rPr>
        <w:instrText xml:space="preserve"> PAGEREF _Toc31983 \h </w:instrText>
      </w:r>
      <w:r>
        <w:rPr>
          <w:highlight w:val="none"/>
        </w:rPr>
        <w:fldChar w:fldCharType="separate"/>
      </w:r>
      <w:r>
        <w:rPr>
          <w:highlight w:val="none"/>
        </w:rPr>
        <w:t>29</w:t>
      </w:r>
      <w:r>
        <w:rPr>
          <w:highlight w:val="none"/>
        </w:rPr>
        <w:fldChar w:fldCharType="end"/>
      </w:r>
      <w:r>
        <w:rPr>
          <w:rFonts w:hint="eastAsia" w:ascii="宋体" w:hAnsi="宋体" w:cs="宋体"/>
          <w:bCs/>
          <w:caps/>
          <w:color w:val="auto"/>
          <w:highlight w:val="none"/>
        </w:rPr>
        <w:fldChar w:fldCharType="end"/>
      </w:r>
    </w:p>
    <w:p w14:paraId="1307EBDA">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_Toc4544 </w:instrText>
      </w:r>
      <w:r>
        <w:rPr>
          <w:rFonts w:hint="eastAsia" w:ascii="宋体" w:hAnsi="宋体" w:cs="宋体"/>
          <w:bCs/>
          <w:caps/>
          <w:highlight w:val="none"/>
        </w:rPr>
        <w:fldChar w:fldCharType="separate"/>
      </w:r>
      <w:r>
        <w:rPr>
          <w:rFonts w:hint="eastAsia" w:ascii="宋体" w:hAnsi="宋体" w:eastAsia="宋体" w:cs="宋体"/>
          <w:highlight w:val="none"/>
        </w:rPr>
        <w:t>四、资格审查资料</w:t>
      </w:r>
      <w:r>
        <w:rPr>
          <w:highlight w:val="none"/>
        </w:rPr>
        <w:tab/>
      </w:r>
      <w:r>
        <w:rPr>
          <w:highlight w:val="none"/>
        </w:rPr>
        <w:fldChar w:fldCharType="begin"/>
      </w:r>
      <w:r>
        <w:rPr>
          <w:highlight w:val="none"/>
        </w:rPr>
        <w:instrText xml:space="preserve"> PAGEREF _Toc4544 \h </w:instrText>
      </w:r>
      <w:r>
        <w:rPr>
          <w:highlight w:val="none"/>
        </w:rPr>
        <w:fldChar w:fldCharType="separate"/>
      </w:r>
      <w:r>
        <w:rPr>
          <w:highlight w:val="none"/>
        </w:rPr>
        <w:t>30</w:t>
      </w:r>
      <w:r>
        <w:rPr>
          <w:highlight w:val="none"/>
        </w:rPr>
        <w:fldChar w:fldCharType="end"/>
      </w:r>
      <w:r>
        <w:rPr>
          <w:rFonts w:hint="eastAsia" w:ascii="宋体" w:hAnsi="宋体" w:cs="宋体"/>
          <w:bCs/>
          <w:caps/>
          <w:color w:val="auto"/>
          <w:highlight w:val="none"/>
        </w:rPr>
        <w:fldChar w:fldCharType="end"/>
      </w:r>
    </w:p>
    <w:p w14:paraId="46BFC8B5">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_Toc7326 </w:instrText>
      </w:r>
      <w:r>
        <w:rPr>
          <w:rFonts w:hint="eastAsia" w:ascii="宋体" w:hAnsi="宋体" w:cs="宋体"/>
          <w:bCs/>
          <w:caps/>
          <w:highlight w:val="none"/>
        </w:rPr>
        <w:fldChar w:fldCharType="separate"/>
      </w:r>
      <w:r>
        <w:rPr>
          <w:rFonts w:hint="eastAsia" w:ascii="宋体" w:hAnsi="宋体" w:eastAsia="宋体" w:cs="宋体"/>
          <w:highlight w:val="none"/>
        </w:rPr>
        <w:t>五、报价人承诺</w:t>
      </w:r>
      <w:r>
        <w:rPr>
          <w:highlight w:val="none"/>
        </w:rPr>
        <w:tab/>
      </w:r>
      <w:r>
        <w:rPr>
          <w:highlight w:val="none"/>
        </w:rPr>
        <w:fldChar w:fldCharType="begin"/>
      </w:r>
      <w:r>
        <w:rPr>
          <w:highlight w:val="none"/>
        </w:rPr>
        <w:instrText xml:space="preserve"> PAGEREF _Toc7326 \h </w:instrText>
      </w:r>
      <w:r>
        <w:rPr>
          <w:highlight w:val="none"/>
        </w:rPr>
        <w:fldChar w:fldCharType="separate"/>
      </w:r>
      <w:r>
        <w:rPr>
          <w:highlight w:val="none"/>
        </w:rPr>
        <w:t>33</w:t>
      </w:r>
      <w:r>
        <w:rPr>
          <w:highlight w:val="none"/>
        </w:rPr>
        <w:fldChar w:fldCharType="end"/>
      </w:r>
      <w:r>
        <w:rPr>
          <w:rFonts w:hint="eastAsia" w:ascii="宋体" w:hAnsi="宋体" w:cs="宋体"/>
          <w:bCs/>
          <w:caps/>
          <w:color w:val="auto"/>
          <w:highlight w:val="none"/>
        </w:rPr>
        <w:fldChar w:fldCharType="end"/>
      </w:r>
    </w:p>
    <w:p w14:paraId="6C6CB581">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_Toc22594 </w:instrText>
      </w:r>
      <w:r>
        <w:rPr>
          <w:rFonts w:hint="eastAsia" w:ascii="宋体" w:hAnsi="宋体" w:cs="宋体"/>
          <w:bCs/>
          <w:caps/>
          <w:highlight w:val="none"/>
        </w:rPr>
        <w:fldChar w:fldCharType="separate"/>
      </w:r>
      <w:r>
        <w:rPr>
          <w:rFonts w:hint="eastAsia" w:ascii="宋体" w:hAnsi="宋体" w:eastAsia="宋体" w:cs="宋体"/>
          <w:bCs/>
          <w:kern w:val="0"/>
          <w:szCs w:val="32"/>
          <w:highlight w:val="none"/>
          <w:lang w:val="en-US" w:eastAsia="zh-CN" w:bidi="ar-SA"/>
        </w:rPr>
        <w:t>六、报价人其他资料</w:t>
      </w:r>
      <w:r>
        <w:rPr>
          <w:highlight w:val="none"/>
        </w:rPr>
        <w:tab/>
      </w:r>
      <w:r>
        <w:rPr>
          <w:highlight w:val="none"/>
        </w:rPr>
        <w:fldChar w:fldCharType="begin"/>
      </w:r>
      <w:r>
        <w:rPr>
          <w:highlight w:val="none"/>
        </w:rPr>
        <w:instrText xml:space="preserve"> PAGEREF _Toc22594 \h </w:instrText>
      </w:r>
      <w:r>
        <w:rPr>
          <w:highlight w:val="none"/>
        </w:rPr>
        <w:fldChar w:fldCharType="separate"/>
      </w:r>
      <w:r>
        <w:rPr>
          <w:highlight w:val="none"/>
        </w:rPr>
        <w:t>34</w:t>
      </w:r>
      <w:r>
        <w:rPr>
          <w:highlight w:val="none"/>
        </w:rPr>
        <w:fldChar w:fldCharType="end"/>
      </w:r>
      <w:r>
        <w:rPr>
          <w:rFonts w:hint="eastAsia" w:ascii="宋体" w:hAnsi="宋体" w:cs="宋体"/>
          <w:bCs/>
          <w:caps/>
          <w:color w:val="auto"/>
          <w:highlight w:val="none"/>
        </w:rPr>
        <w:fldChar w:fldCharType="end"/>
      </w:r>
    </w:p>
    <w:p w14:paraId="6DAE6D79">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bookmarkStart w:id="4" w:name="_Toc144974479"/>
    </w:p>
    <w:p w14:paraId="37B6F703">
      <w:pPr>
        <w:pStyle w:val="34"/>
        <w:keepNext w:val="0"/>
        <w:keepLines w:val="0"/>
        <w:pageBreakBefore w:val="0"/>
        <w:widowControl w:val="0"/>
        <w:tabs>
          <w:tab w:val="right" w:leader="dot" w:pos="9628"/>
        </w:tabs>
        <w:kinsoku/>
        <w:wordWrap/>
        <w:overflowPunct/>
        <w:topLinePunct w:val="0"/>
        <w:autoSpaceDE/>
        <w:autoSpaceDN/>
        <w:bidi w:val="0"/>
        <w:adjustRightInd/>
        <w:snapToGrid/>
        <w:ind w:left="0"/>
        <w:jc w:val="center"/>
        <w:textAlignment w:val="auto"/>
        <w:outlineLvl w:val="0"/>
        <w:rPr>
          <w:rFonts w:hint="eastAsia" w:ascii="宋体" w:hAnsi="宋体" w:eastAsia="宋体" w:cs="宋体"/>
          <w:b/>
          <w:bCs/>
          <w:smallCaps w:val="0"/>
          <w:color w:val="auto"/>
          <w:kern w:val="44"/>
          <w:sz w:val="44"/>
          <w:szCs w:val="44"/>
          <w:highlight w:val="none"/>
          <w:lang w:val="en-US" w:eastAsia="zh-CN" w:bidi="ar-SA"/>
        </w:rPr>
      </w:pPr>
      <w:bookmarkStart w:id="5" w:name="_Toc10142"/>
      <w:r>
        <w:rPr>
          <w:rFonts w:hint="eastAsia" w:ascii="宋体" w:hAnsi="宋体" w:eastAsia="宋体" w:cs="宋体"/>
          <w:b/>
          <w:bCs/>
          <w:smallCaps w:val="0"/>
          <w:color w:val="auto"/>
          <w:kern w:val="44"/>
          <w:sz w:val="44"/>
          <w:szCs w:val="44"/>
          <w:highlight w:val="none"/>
          <w:lang w:val="en-US" w:eastAsia="zh-CN" w:bidi="ar-SA"/>
        </w:rPr>
        <w:t xml:space="preserve">第一章 </w:t>
      </w:r>
      <w:bookmarkEnd w:id="4"/>
      <w:r>
        <w:rPr>
          <w:rFonts w:hint="eastAsia" w:ascii="宋体" w:hAnsi="宋体" w:eastAsia="宋体" w:cs="宋体"/>
          <w:b/>
          <w:bCs/>
          <w:smallCaps w:val="0"/>
          <w:color w:val="auto"/>
          <w:kern w:val="44"/>
          <w:sz w:val="44"/>
          <w:szCs w:val="44"/>
          <w:highlight w:val="none"/>
          <w:lang w:val="en-US" w:eastAsia="zh-CN" w:bidi="ar-SA"/>
        </w:rPr>
        <w:t>比选公告</w:t>
      </w:r>
      <w:bookmarkEnd w:id="5"/>
    </w:p>
    <w:p w14:paraId="78CB6AF8">
      <w:pPr>
        <w:spacing w:line="440" w:lineRule="exact"/>
        <w:jc w:val="center"/>
        <w:rPr>
          <w:rFonts w:ascii="宋体" w:hAnsi="宋体" w:cs="宋体"/>
          <w:b/>
          <w:color w:val="auto"/>
          <w:sz w:val="28"/>
          <w:szCs w:val="28"/>
          <w:highlight w:val="none"/>
        </w:rPr>
      </w:pPr>
    </w:p>
    <w:p w14:paraId="5A0B7DB3">
      <w:pPr>
        <w:pStyle w:val="3"/>
        <w:spacing w:before="0" w:after="0" w:line="360" w:lineRule="auto"/>
        <w:rPr>
          <w:rFonts w:ascii="宋体" w:hAnsi="宋体" w:eastAsia="宋体" w:cs="宋体"/>
          <w:color w:val="auto"/>
          <w:highlight w:val="none"/>
        </w:rPr>
      </w:pPr>
      <w:bookmarkStart w:id="6" w:name="_Toc10076"/>
      <w:bookmarkStart w:id="7" w:name="_Toc11329213"/>
      <w:bookmarkStart w:id="8" w:name="_Toc152045512"/>
      <w:bookmarkStart w:id="9" w:name="_Toc144974480"/>
      <w:bookmarkStart w:id="10" w:name="_Toc179632528"/>
      <w:bookmarkStart w:id="11" w:name="_Toc152042288"/>
      <w:bookmarkStart w:id="12" w:name="_Toc13849"/>
      <w:bookmarkStart w:id="13" w:name="_Toc24874"/>
      <w:bookmarkStart w:id="14" w:name="_Toc507319891"/>
      <w:bookmarkStart w:id="15" w:name="_Toc6549"/>
      <w:bookmarkStart w:id="16" w:name="_Toc246996901"/>
      <w:bookmarkStart w:id="17" w:name="_Toc247085672"/>
      <w:r>
        <w:rPr>
          <w:rFonts w:hint="eastAsia" w:ascii="宋体" w:hAnsi="宋体" w:eastAsia="宋体" w:cs="宋体"/>
          <w:color w:val="auto"/>
          <w:highlight w:val="none"/>
        </w:rPr>
        <w:t>1. 比选条件</w:t>
      </w:r>
      <w:bookmarkEnd w:id="6"/>
      <w:bookmarkEnd w:id="7"/>
      <w:bookmarkEnd w:id="8"/>
      <w:bookmarkEnd w:id="9"/>
      <w:bookmarkEnd w:id="10"/>
      <w:bookmarkEnd w:id="11"/>
      <w:bookmarkEnd w:id="12"/>
      <w:bookmarkEnd w:id="13"/>
      <w:bookmarkEnd w:id="14"/>
      <w:bookmarkEnd w:id="15"/>
      <w:bookmarkEnd w:id="16"/>
      <w:bookmarkEnd w:id="17"/>
    </w:p>
    <w:p w14:paraId="672A06B0">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bookmarkStart w:id="18" w:name="单据名称1"/>
      <w:r>
        <w:rPr>
          <w:rFonts w:hint="eastAsia" w:ascii="宋体" w:hAnsi="宋体" w:cs="宋体"/>
          <w:color w:val="auto"/>
          <w:szCs w:val="21"/>
          <w:highlight w:val="none"/>
          <w:u w:val="single"/>
          <w:lang w:val="en-US" w:eastAsia="zh-CN"/>
        </w:rPr>
        <w:t>2026年高速私有云网络安全服务</w:t>
      </w:r>
      <w:bookmarkEnd w:id="18"/>
      <w:r>
        <w:rPr>
          <w:rFonts w:hint="eastAsia" w:ascii="宋体" w:hAnsi="宋体" w:cs="宋体"/>
          <w:color w:val="auto"/>
          <w:szCs w:val="21"/>
          <w:highlight w:val="none"/>
        </w:rPr>
        <w:t>，采购人为</w:t>
      </w:r>
      <w:r>
        <w:rPr>
          <w:rFonts w:hint="eastAsia" w:ascii="宋体" w:hAnsi="宋体" w:cs="宋体"/>
          <w:color w:val="auto"/>
          <w:szCs w:val="21"/>
          <w:highlight w:val="none"/>
          <w:u w:val="single"/>
        </w:rPr>
        <w:t>重庆首讯科技股份有限公司</w:t>
      </w:r>
      <w:r>
        <w:rPr>
          <w:rFonts w:hint="eastAsia" w:ascii="宋体" w:hAnsi="宋体" w:cs="宋体"/>
          <w:color w:val="auto"/>
          <w:szCs w:val="21"/>
          <w:highlight w:val="none"/>
        </w:rPr>
        <w:t>，该项目已具备比选条件，现对该项目进行竞争性比选。</w:t>
      </w:r>
    </w:p>
    <w:p w14:paraId="4C35D41E">
      <w:pPr>
        <w:pStyle w:val="3"/>
        <w:spacing w:before="120" w:after="0" w:line="360" w:lineRule="auto"/>
        <w:rPr>
          <w:rFonts w:ascii="宋体" w:hAnsi="宋体" w:eastAsia="宋体" w:cs="宋体"/>
          <w:color w:val="auto"/>
          <w:highlight w:val="none"/>
        </w:rPr>
      </w:pPr>
      <w:bookmarkStart w:id="19" w:name="_Toc152042289"/>
      <w:bookmarkStart w:id="20" w:name="_Toc179632529"/>
      <w:bookmarkStart w:id="21" w:name="_Toc246996902"/>
      <w:bookmarkStart w:id="22" w:name="_Toc247085673"/>
      <w:bookmarkStart w:id="23" w:name="_Toc10952"/>
      <w:bookmarkStart w:id="24" w:name="_Toc21343"/>
      <w:bookmarkStart w:id="25" w:name="_Toc11329214"/>
      <w:bookmarkStart w:id="26" w:name="_Toc246996159"/>
      <w:bookmarkStart w:id="27" w:name="_Toc144974481"/>
      <w:bookmarkStart w:id="28" w:name="_Toc7760"/>
      <w:bookmarkStart w:id="29" w:name="_Toc152045513"/>
      <w:bookmarkStart w:id="30" w:name="_Toc507319892"/>
      <w:bookmarkStart w:id="31" w:name="_Toc18109"/>
      <w:r>
        <w:rPr>
          <w:rFonts w:hint="eastAsia" w:ascii="宋体" w:hAnsi="宋体" w:eastAsia="宋体" w:cs="宋体"/>
          <w:color w:val="auto"/>
          <w:highlight w:val="none"/>
        </w:rPr>
        <w:t>2. 项目概况与比选范围</w:t>
      </w:r>
      <w:bookmarkEnd w:id="19"/>
      <w:bookmarkEnd w:id="20"/>
      <w:bookmarkEnd w:id="21"/>
      <w:bookmarkEnd w:id="22"/>
      <w:bookmarkEnd w:id="23"/>
      <w:bookmarkEnd w:id="24"/>
      <w:bookmarkEnd w:id="25"/>
      <w:bookmarkEnd w:id="26"/>
      <w:bookmarkEnd w:id="27"/>
      <w:bookmarkEnd w:id="28"/>
      <w:bookmarkEnd w:id="29"/>
      <w:bookmarkEnd w:id="30"/>
      <w:bookmarkEnd w:id="31"/>
    </w:p>
    <w:p w14:paraId="01E58F8E">
      <w:pPr>
        <w:spacing w:line="420" w:lineRule="exact"/>
        <w:ind w:firstLine="420" w:firstLineChars="200"/>
        <w:rPr>
          <w:rFonts w:hint="default" w:ascii="宋体" w:hAnsi="宋体" w:cs="宋体"/>
          <w:color w:val="auto"/>
          <w:highlight w:val="none"/>
          <w:lang w:val="en-US" w:eastAsia="zh-CN"/>
        </w:rPr>
      </w:pPr>
      <w:bookmarkStart w:id="32" w:name="_Toc382816230"/>
      <w:bookmarkStart w:id="33" w:name="_Toc265234827"/>
      <w:r>
        <w:rPr>
          <w:rFonts w:hint="eastAsia" w:ascii="宋体" w:hAnsi="宋体" w:cs="宋体"/>
          <w:color w:val="auto"/>
          <w:highlight w:val="none"/>
        </w:rPr>
        <w:t>2.</w:t>
      </w:r>
      <w:r>
        <w:rPr>
          <w:rFonts w:hint="eastAsia" w:ascii="宋体" w:hAnsi="宋体" w:cs="宋体"/>
          <w:color w:val="auto"/>
          <w:highlight w:val="none"/>
          <w:lang w:val="en-US" w:eastAsia="zh-CN"/>
        </w:rPr>
        <w:t>1服务地点：</w:t>
      </w:r>
      <w:bookmarkStart w:id="34" w:name="交货地点"/>
      <w:r>
        <w:rPr>
          <w:rFonts w:hint="eastAsia" w:ascii="宋体" w:hAnsi="宋体" w:cs="宋体"/>
          <w:color w:val="auto"/>
          <w:szCs w:val="21"/>
          <w:highlight w:val="none"/>
          <w:u w:val="single"/>
          <w:lang w:val="en-US" w:eastAsia="zh-CN"/>
        </w:rPr>
        <w:t>重庆市两江新区项目部指定地点。</w:t>
      </w:r>
      <w:bookmarkEnd w:id="34"/>
    </w:p>
    <w:p w14:paraId="48B98462">
      <w:pPr>
        <w:spacing w:line="420" w:lineRule="exact"/>
        <w:ind w:firstLine="420" w:firstLineChars="200"/>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2.2项目概况：</w:t>
      </w:r>
      <w:bookmarkStart w:id="35" w:name="项目概况"/>
      <w:r>
        <w:rPr>
          <w:rFonts w:hint="eastAsia" w:ascii="宋体" w:hAnsi="宋体" w:cs="宋体"/>
          <w:color w:val="auto"/>
          <w:szCs w:val="21"/>
          <w:highlight w:val="none"/>
          <w:u w:val="single"/>
          <w:lang w:val="en-US" w:eastAsia="zh-CN"/>
        </w:rPr>
        <w:t>2026年高速私有云网络安全服务：主要服务内容为根据甲方要求完成安全巡检服务、渗透测试服务、专项检查服务、风险评估服务、重保值守服务、安全运维服务、等保咨询与评估加固服务、应急响应服务、培训及演练服务，提供工程师现场驻场支持服务。</w:t>
      </w:r>
      <w:bookmarkEnd w:id="35"/>
    </w:p>
    <w:p w14:paraId="7C55DB76">
      <w:pPr>
        <w:spacing w:line="420" w:lineRule="exact"/>
        <w:ind w:firstLine="420" w:firstLineChars="200"/>
        <w:rPr>
          <w:rFonts w:hint="eastAsia" w:ascii="宋体" w:hAnsi="宋体" w:cs="宋体"/>
          <w:color w:val="auto"/>
          <w:highlight w:val="none"/>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项目</w:t>
      </w:r>
      <w:r>
        <w:rPr>
          <w:rFonts w:hint="eastAsia" w:ascii="宋体" w:hAnsi="宋体" w:cs="宋体"/>
          <w:color w:val="auto"/>
          <w:highlight w:val="none"/>
          <w:lang w:val="en-US" w:eastAsia="zh-CN"/>
        </w:rPr>
        <w:t>规模</w:t>
      </w:r>
      <w:r>
        <w:rPr>
          <w:rFonts w:hint="eastAsia" w:ascii="宋体" w:hAnsi="宋体" w:eastAsia="宋体" w:cs="宋体"/>
          <w:color w:val="auto"/>
          <w:szCs w:val="21"/>
          <w:highlight w:val="none"/>
        </w:rPr>
        <w:t>：约</w:t>
      </w:r>
      <w:bookmarkStart w:id="36" w:name="预算金额"/>
      <w:r>
        <w:rPr>
          <w:rFonts w:hint="eastAsia" w:ascii="宋体" w:hAnsi="宋体" w:cs="宋体"/>
          <w:color w:val="auto"/>
          <w:szCs w:val="21"/>
          <w:highlight w:val="none"/>
          <w:u w:val="single"/>
          <w:lang w:val="en-US" w:eastAsia="zh-CN"/>
        </w:rPr>
        <w:t>33.</w:t>
      </w:r>
      <w:bookmarkEnd w:id="36"/>
      <w:r>
        <w:rPr>
          <w:rFonts w:hint="eastAsia" w:ascii="宋体" w:hAnsi="宋体" w:cs="宋体"/>
          <w:color w:val="auto"/>
          <w:szCs w:val="21"/>
          <w:highlight w:val="none"/>
          <w:u w:val="single"/>
          <w:lang w:val="en-US" w:eastAsia="zh-CN"/>
        </w:rPr>
        <w:t>54</w:t>
      </w:r>
      <w:r>
        <w:rPr>
          <w:rFonts w:hint="eastAsia" w:ascii="宋体" w:hAnsi="宋体" w:cs="宋体"/>
          <w:color w:val="auto"/>
          <w:szCs w:val="21"/>
          <w:highlight w:val="none"/>
          <w:u w:val="none"/>
          <w:lang w:val="en-US" w:eastAsia="zh-CN"/>
        </w:rPr>
        <w:t>万</w:t>
      </w:r>
      <w:r>
        <w:rPr>
          <w:rFonts w:hint="eastAsia" w:ascii="宋体" w:hAnsi="宋体" w:eastAsia="宋体" w:cs="宋体"/>
          <w:color w:val="auto"/>
          <w:szCs w:val="21"/>
          <w:highlight w:val="none"/>
        </w:rPr>
        <w:t>元。</w:t>
      </w:r>
    </w:p>
    <w:p w14:paraId="370301C3">
      <w:pPr>
        <w:keepNext w:val="0"/>
        <w:keepLines w:val="0"/>
        <w:pageBreakBefore w:val="0"/>
        <w:kinsoku/>
        <w:wordWrap w:val="0"/>
        <w:overflowPunct/>
        <w:topLinePunct w:val="0"/>
        <w:bidi w:val="0"/>
        <w:snapToGrid w:val="0"/>
        <w:spacing w:line="420" w:lineRule="exact"/>
        <w:ind w:firstLine="424" w:firstLineChars="202"/>
        <w:textAlignment w:val="auto"/>
        <w:rPr>
          <w:rFonts w:hint="default" w:ascii="宋体" w:hAnsi="宋体" w:eastAsia="宋体" w:cs="宋体"/>
          <w:b/>
          <w:bCs/>
          <w:color w:val="auto"/>
          <w:highlight w:val="none"/>
          <w:u w:val="single"/>
          <w:lang w:val="en-US" w:eastAsia="zh-CN"/>
        </w:rPr>
      </w:pPr>
      <w:r>
        <w:rPr>
          <w:rFonts w:hint="eastAsia" w:ascii="宋体" w:hAnsi="宋体" w:cs="宋体"/>
          <w:color w:val="auto"/>
          <w:highlight w:val="none"/>
          <w:lang w:val="en-US" w:eastAsia="zh-CN"/>
        </w:rPr>
        <w:t>2.4</w:t>
      </w:r>
      <w:r>
        <w:rPr>
          <w:rFonts w:hint="eastAsia" w:ascii="宋体" w:hAnsi="宋体" w:cs="宋体"/>
          <w:color w:val="auto"/>
          <w:highlight w:val="none"/>
          <w:lang w:val="en-US" w:eastAsia="zh-CN"/>
        </w:rPr>
        <w:t>比选范围</w:t>
      </w:r>
      <w:r>
        <w:rPr>
          <w:rFonts w:hint="eastAsia" w:ascii="宋体" w:hAnsi="宋体" w:cs="宋体"/>
          <w:color w:val="auto"/>
          <w:highlight w:val="none"/>
        </w:rPr>
        <w:t>：</w:t>
      </w:r>
      <w:r>
        <w:rPr>
          <w:rFonts w:hint="eastAsia" w:ascii="宋体" w:hAnsi="宋体" w:cs="宋体"/>
          <w:color w:val="auto"/>
          <w:highlight w:val="none"/>
          <w:u w:val="single"/>
          <w:lang w:val="en-US" w:eastAsia="zh-CN"/>
        </w:rPr>
        <w:t xml:space="preserve"> </w:t>
      </w:r>
      <w:r>
        <w:rPr>
          <w:rFonts w:hint="eastAsia" w:ascii="宋体" w:hAnsi="宋体" w:cs="宋体"/>
          <w:color w:val="auto"/>
          <w:szCs w:val="21"/>
          <w:highlight w:val="none"/>
          <w:u w:val="single"/>
          <w:lang w:val="en-US" w:eastAsia="zh-CN"/>
        </w:rPr>
        <w:t>2026年高速私有云网络安全服务：主要服务内容为根据甲方要求完成安全巡检服务、渗透测试服务、专项检查服务、风险评估服务、重保值守服务、安全运维服务、等保咨询与评估加固服务、应急响应服务、培训及演练服务，提供工程师现场驻场支持服务</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lang w:eastAsia="zh-CN"/>
        </w:rPr>
        <w:t>；</w:t>
      </w:r>
      <w:r>
        <w:rPr>
          <w:rFonts w:hint="eastAsia" w:ascii="宋体" w:hAnsi="宋体" w:cs="宋体"/>
          <w:color w:val="auto"/>
          <w:highlight w:val="none"/>
        </w:rPr>
        <w:t>具体详见</w:t>
      </w:r>
      <w:r>
        <w:rPr>
          <w:rFonts w:hint="eastAsia" w:ascii="宋体" w:hAnsi="宋体" w:cs="宋体"/>
          <w:color w:val="auto"/>
          <w:highlight w:val="none"/>
          <w:lang w:eastAsia="zh-CN"/>
        </w:rPr>
        <w:t>“</w:t>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rFonts w:hint="eastAsia" w:ascii="宋体" w:hAnsi="宋体" w:cs="宋体"/>
          <w:color w:val="auto"/>
          <w:highlight w:val="none"/>
          <w:lang w:eastAsia="zh-CN"/>
        </w:rPr>
        <w:t>”</w:t>
      </w:r>
      <w:r>
        <w:rPr>
          <w:rFonts w:hint="eastAsia" w:ascii="宋体" w:hAnsi="宋体" w:cs="宋体"/>
          <w:color w:val="auto"/>
          <w:szCs w:val="21"/>
          <w:highlight w:val="none"/>
          <w:u w:val="none"/>
          <w:lang w:eastAsia="zh-CN"/>
        </w:rPr>
        <w:t>。</w:t>
      </w:r>
    </w:p>
    <w:bookmarkEnd w:id="32"/>
    <w:bookmarkEnd w:id="33"/>
    <w:p w14:paraId="1941A7AB">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highlight w:val="none"/>
        </w:rPr>
        <w:t>2.5服务期限：</w:t>
      </w:r>
      <w:bookmarkStart w:id="37" w:name="工期、货期要求"/>
      <w:r>
        <w:rPr>
          <w:rFonts w:hint="eastAsia" w:ascii="宋体" w:hAnsi="宋体" w:eastAsia="宋体" w:cs="宋体"/>
          <w:color w:val="auto"/>
          <w:szCs w:val="21"/>
          <w:highlight w:val="none"/>
          <w:u w:val="single"/>
        </w:rPr>
        <w:t>服务时间1年，计划时间为2026年1月1日至2026年12月31日，具体起止时间以合同实际签订时间为准。</w:t>
      </w:r>
      <w:bookmarkEnd w:id="37"/>
    </w:p>
    <w:p w14:paraId="63916A6B">
      <w:pPr>
        <w:keepNext w:val="0"/>
        <w:keepLines w:val="0"/>
        <w:pageBreakBefore w:val="0"/>
        <w:kinsoku/>
        <w:wordWrap w:val="0"/>
        <w:overflowPunct/>
        <w:topLinePunct w:val="0"/>
        <w:bidi w:val="0"/>
        <w:snapToGrid w:val="0"/>
        <w:spacing w:line="420" w:lineRule="exact"/>
        <w:ind w:firstLine="413" w:firstLineChars="197"/>
        <w:textAlignment w:val="auto"/>
        <w:rPr>
          <w:rFonts w:hint="default" w:ascii="宋体" w:hAnsi="宋体" w:eastAsia="宋体" w:cs="宋体"/>
          <w:b w:val="0"/>
          <w:bCs w:val="0"/>
          <w:i w:val="0"/>
          <w:iCs w:val="0"/>
          <w:color w:val="auto"/>
          <w:szCs w:val="21"/>
          <w:highlight w:val="none"/>
          <w:lang w:val="en-US" w:eastAsia="zh-CN"/>
        </w:rPr>
      </w:pPr>
      <w:bookmarkStart w:id="38" w:name="_Toc152045514"/>
      <w:bookmarkStart w:id="39" w:name="_Toc144974482"/>
      <w:bookmarkStart w:id="40" w:name="_Toc247085674"/>
      <w:bookmarkStart w:id="41" w:name="_Toc246996160"/>
      <w:bookmarkStart w:id="42" w:name="_Toc507319893"/>
      <w:bookmarkStart w:id="43" w:name="_Toc11329215"/>
      <w:bookmarkStart w:id="44" w:name="_Toc152042290"/>
      <w:bookmarkStart w:id="45" w:name="_Toc179632530"/>
      <w:bookmarkStart w:id="46" w:name="_Toc246996903"/>
      <w:bookmarkStart w:id="47" w:name="_Toc30356"/>
      <w:bookmarkStart w:id="48" w:name="_Toc10171"/>
      <w:bookmarkStart w:id="49" w:name="_Toc7065"/>
      <w:r>
        <w:rPr>
          <w:rFonts w:hint="eastAsia" w:ascii="宋体" w:hAnsi="宋体" w:cs="宋体"/>
          <w:b w:val="0"/>
          <w:bCs w:val="0"/>
          <w:i w:val="0"/>
          <w:iCs w:val="0"/>
          <w:color w:val="auto"/>
          <w:szCs w:val="21"/>
          <w:highlight w:val="none"/>
          <w:lang w:val="en-US" w:eastAsia="zh-CN"/>
        </w:rPr>
        <w:t>2.6标段划分：</w:t>
      </w:r>
      <w:r>
        <w:rPr>
          <w:rFonts w:hint="eastAsia" w:ascii="宋体" w:hAnsi="宋体" w:cs="宋体"/>
          <w:b w:val="0"/>
          <w:bCs w:val="0"/>
          <w:color w:val="auto"/>
          <w:kern w:val="2"/>
          <w:sz w:val="21"/>
          <w:szCs w:val="24"/>
          <w:highlight w:val="none"/>
          <w:lang w:val="en-US" w:eastAsia="zh-CN" w:bidi="ar-SA"/>
        </w:rPr>
        <w:t>本项目划分为</w:t>
      </w:r>
      <w:bookmarkStart w:id="50" w:name="标段划分"/>
      <w:r>
        <w:rPr>
          <w:rFonts w:hint="eastAsia" w:ascii="宋体" w:hAnsi="宋体" w:cs="宋体"/>
          <w:b w:val="0"/>
          <w:bCs w:val="0"/>
          <w:color w:val="auto"/>
          <w:kern w:val="2"/>
          <w:sz w:val="21"/>
          <w:szCs w:val="24"/>
          <w:highlight w:val="none"/>
          <w:u w:val="single"/>
          <w:lang w:val="en-US" w:eastAsia="zh-CN" w:bidi="ar-SA"/>
        </w:rPr>
        <w:t>1</w:t>
      </w:r>
      <w:bookmarkEnd w:id="50"/>
      <w:r>
        <w:rPr>
          <w:rFonts w:hint="eastAsia" w:ascii="宋体" w:hAnsi="宋体" w:cs="宋体"/>
          <w:b w:val="0"/>
          <w:bCs w:val="0"/>
          <w:color w:val="auto"/>
          <w:kern w:val="2"/>
          <w:sz w:val="21"/>
          <w:szCs w:val="24"/>
          <w:highlight w:val="none"/>
          <w:lang w:val="en-US" w:eastAsia="zh-CN" w:bidi="ar-SA"/>
        </w:rPr>
        <w:t>个标段。</w:t>
      </w:r>
    </w:p>
    <w:p w14:paraId="2988C130">
      <w:pPr>
        <w:pStyle w:val="3"/>
        <w:spacing w:before="120" w:after="0" w:line="360" w:lineRule="auto"/>
        <w:rPr>
          <w:rFonts w:ascii="宋体" w:hAnsi="宋体" w:eastAsia="宋体" w:cs="宋体"/>
          <w:color w:val="auto"/>
          <w:highlight w:val="none"/>
        </w:rPr>
      </w:pPr>
      <w:bookmarkStart w:id="51" w:name="_Toc13092"/>
      <w:r>
        <w:rPr>
          <w:rFonts w:hint="eastAsia" w:ascii="宋体" w:hAnsi="宋体" w:eastAsia="宋体" w:cs="宋体"/>
          <w:color w:val="auto"/>
          <w:highlight w:val="none"/>
        </w:rPr>
        <w:t>3. 报价人资格要求</w:t>
      </w:r>
      <w:bookmarkEnd w:id="38"/>
      <w:bookmarkEnd w:id="39"/>
      <w:bookmarkEnd w:id="40"/>
      <w:bookmarkEnd w:id="41"/>
      <w:bookmarkEnd w:id="42"/>
      <w:bookmarkEnd w:id="43"/>
      <w:bookmarkEnd w:id="44"/>
      <w:bookmarkEnd w:id="45"/>
      <w:bookmarkEnd w:id="46"/>
      <w:bookmarkEnd w:id="47"/>
      <w:bookmarkEnd w:id="48"/>
      <w:bookmarkEnd w:id="49"/>
      <w:bookmarkEnd w:id="51"/>
    </w:p>
    <w:p w14:paraId="77EECD20">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eastAsia="zh-CN"/>
        </w:rPr>
      </w:pPr>
      <w:bookmarkStart w:id="52" w:name="_Toc144974483"/>
      <w:bookmarkStart w:id="53" w:name="_Toc246996161"/>
      <w:bookmarkStart w:id="54" w:name="_Toc246996904"/>
      <w:bookmarkStart w:id="55" w:name="_Toc179632531"/>
      <w:bookmarkStart w:id="56" w:name="_Toc152045515"/>
      <w:bookmarkStart w:id="57" w:name="_Toc247085675"/>
      <w:bookmarkStart w:id="58" w:name="_Toc152042291"/>
      <w:r>
        <w:rPr>
          <w:rFonts w:hint="eastAsia" w:ascii="宋体" w:hAnsi="宋体" w:cs="宋体"/>
          <w:color w:val="auto"/>
          <w:sz w:val="21"/>
          <w:szCs w:val="21"/>
          <w:highlight w:val="none"/>
          <w:lang w:val="en-US" w:eastAsia="zh-CN"/>
        </w:rPr>
        <w:t>3.1 资质要求：</w:t>
      </w:r>
      <w:bookmarkStart w:id="59" w:name="资质要求"/>
      <w:r>
        <w:rPr>
          <w:rFonts w:hint="eastAsia" w:ascii="宋体" w:hAnsi="宋体" w:cs="宋体"/>
          <w:color w:val="auto"/>
          <w:sz w:val="21"/>
          <w:szCs w:val="21"/>
          <w:highlight w:val="none"/>
          <w:lang w:val="en-US" w:eastAsia="zh-CN"/>
        </w:rPr>
        <w:t>报价人具有独立法人资格和有效的营业执照。</w:t>
      </w:r>
      <w:bookmarkEnd w:id="59"/>
    </w:p>
    <w:p w14:paraId="363FBFAA">
      <w:pPr>
        <w:pStyle w:val="12"/>
        <w:keepNext w:val="0"/>
        <w:keepLines w:val="0"/>
        <w:pageBreakBefore w:val="0"/>
        <w:widowControl w:val="0"/>
        <w:kinsoku/>
        <w:wordWrap w:val="0"/>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color w:val="auto"/>
          <w:sz w:val="21"/>
          <w:szCs w:val="21"/>
          <w:highlight w:val="none"/>
          <w:shd w:val="clear" w:color="auto" w:fill="FFFFFF"/>
          <w:lang w:val="en-US" w:eastAsia="zh-CN"/>
        </w:rPr>
      </w:pPr>
      <w:r>
        <w:rPr>
          <w:rFonts w:hint="eastAsia" w:ascii="宋体" w:hAnsi="宋体" w:eastAsia="宋体" w:cs="宋体"/>
          <w:color w:val="auto"/>
          <w:sz w:val="21"/>
          <w:szCs w:val="21"/>
          <w:highlight w:val="none"/>
          <w:lang w:val="en-US" w:eastAsia="zh-CN"/>
        </w:rPr>
        <w:t>3.2 业绩要求：</w:t>
      </w:r>
      <w:bookmarkStart w:id="60" w:name="业绩要求"/>
      <w:r>
        <w:rPr>
          <w:rFonts w:hint="eastAsia" w:ascii="宋体" w:hAnsi="宋体" w:eastAsia="宋体" w:cs="宋体"/>
          <w:color w:val="auto"/>
          <w:sz w:val="21"/>
          <w:szCs w:val="21"/>
          <w:highlight w:val="none"/>
          <w:lang w:val="en-US" w:eastAsia="zh-CN"/>
        </w:rPr>
        <w:t>2022年1月1日至报价截止日期（以合同签订时间为准）至少独立完成一项合同金额不低于15万元的网络安全建设或服务项目相关业绩。</w:t>
      </w:r>
      <w:bookmarkEnd w:id="60"/>
    </w:p>
    <w:p w14:paraId="2944D8C7">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lang w:val="en-US" w:eastAsia="zh-CN"/>
        </w:rPr>
        <w:t>3.3</w:t>
      </w:r>
      <w:r>
        <w:rPr>
          <w:rFonts w:hint="eastAsia" w:ascii="宋体" w:hAnsi="宋体" w:cs="宋体"/>
          <w:color w:val="auto"/>
          <w:szCs w:val="21"/>
          <w:highlight w:val="none"/>
          <w:shd w:val="clear" w:color="auto" w:fill="FFFFFF"/>
        </w:rPr>
        <w:t>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14:paraId="32FBE2A1">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w:t>
      </w:r>
      <w:r>
        <w:rPr>
          <w:rFonts w:hint="eastAsia" w:ascii="宋体" w:hAnsi="宋体" w:cs="宋体"/>
          <w:color w:val="auto"/>
          <w:szCs w:val="21"/>
          <w:highlight w:val="none"/>
          <w:shd w:val="clear" w:color="auto" w:fill="FFFFFF"/>
          <w:lang w:val="en-US" w:eastAsia="zh-CN"/>
        </w:rPr>
        <w:t>4</w:t>
      </w:r>
      <w:r>
        <w:rPr>
          <w:rFonts w:hint="eastAsia" w:ascii="宋体" w:hAnsi="宋体" w:cs="宋体"/>
          <w:color w:val="auto"/>
          <w:szCs w:val="21"/>
          <w:highlight w:val="none"/>
          <w:shd w:val="clear" w:color="auto" w:fill="FFFFFF"/>
        </w:rPr>
        <w:t xml:space="preserve"> 本次比选不接受联合体报价。</w:t>
      </w:r>
    </w:p>
    <w:p w14:paraId="02A323F2">
      <w:pPr>
        <w:spacing w:line="400" w:lineRule="exact"/>
        <w:ind w:firstLine="420" w:firstLineChars="200"/>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4"/>
          <w:highlight w:val="none"/>
          <w:shd w:val="clear" w:color="auto" w:fill="FFFFFF"/>
        </w:rPr>
        <w:t>单位负责人为同一人或者存在控股、管理关系的不同单位，不得同时参加本项目报价，否则均按无效报价处理。</w:t>
      </w:r>
    </w:p>
    <w:p w14:paraId="587E78F1">
      <w:pPr>
        <w:pStyle w:val="3"/>
        <w:spacing w:before="120" w:after="0" w:line="400" w:lineRule="exact"/>
        <w:rPr>
          <w:rFonts w:hint="eastAsia" w:ascii="宋体" w:hAnsi="宋体" w:eastAsia="宋体" w:cs="宋体"/>
          <w:color w:val="auto"/>
          <w:highlight w:val="none"/>
        </w:rPr>
      </w:pPr>
      <w:bookmarkStart w:id="61" w:name="_Toc13035"/>
      <w:bookmarkStart w:id="62" w:name="_Toc507319894"/>
      <w:bookmarkStart w:id="63" w:name="_Toc25619"/>
      <w:bookmarkStart w:id="64" w:name="_Toc11329216"/>
      <w:bookmarkStart w:id="65" w:name="_Toc14361"/>
      <w:bookmarkStart w:id="66" w:name="_Toc12460"/>
      <w:r>
        <w:rPr>
          <w:rFonts w:hint="eastAsia" w:ascii="宋体" w:hAnsi="宋体" w:eastAsia="宋体" w:cs="宋体"/>
          <w:color w:val="auto"/>
          <w:highlight w:val="none"/>
        </w:rPr>
        <w:t>4. 评标办法</w:t>
      </w:r>
      <w:bookmarkEnd w:id="61"/>
    </w:p>
    <w:p w14:paraId="6BDFC836">
      <w:pPr>
        <w:keepNext/>
        <w:keepLines/>
        <w:pageBreakBefore w:val="0"/>
        <w:widowControl w:val="0"/>
        <w:kinsoku/>
        <w:wordWrap/>
        <w:overflowPunct/>
        <w:topLinePunct w:val="0"/>
        <w:autoSpaceDE/>
        <w:autoSpaceDN/>
        <w:bidi w:val="0"/>
        <w:adjustRightInd/>
        <w:snapToGrid/>
        <w:spacing w:before="120" w:after="0" w:line="400" w:lineRule="exact"/>
        <w:ind w:firstLine="420" w:firstLineChars="200"/>
        <w:textAlignment w:val="auto"/>
        <w:outlineLvl w:val="9"/>
        <w:rPr>
          <w:rFonts w:hint="default" w:ascii="宋体" w:hAnsi="宋体" w:eastAsia="宋体" w:cs="宋体"/>
          <w:b w:val="0"/>
          <w:bCs w:val="0"/>
          <w:color w:val="auto"/>
          <w:kern w:val="2"/>
          <w:sz w:val="21"/>
          <w:szCs w:val="24"/>
          <w:highlight w:val="none"/>
          <w:lang w:val="en-US" w:eastAsia="zh-CN" w:bidi="ar-SA"/>
        </w:rPr>
      </w:pPr>
      <w:r>
        <w:rPr>
          <w:rFonts w:hint="eastAsia" w:ascii="宋体" w:hAnsi="宋体" w:eastAsia="宋体" w:cs="宋体"/>
          <w:b w:val="0"/>
          <w:bCs w:val="0"/>
          <w:color w:val="auto"/>
          <w:kern w:val="2"/>
          <w:sz w:val="21"/>
          <w:szCs w:val="24"/>
          <w:highlight w:val="none"/>
          <w:lang w:val="en-US" w:eastAsia="zh-CN" w:bidi="ar-SA"/>
        </w:rPr>
        <w:t>本项目采用</w:t>
      </w:r>
      <w:r>
        <w:rPr>
          <w:rFonts w:hint="eastAsia" w:ascii="宋体" w:hAnsi="宋体" w:cs="宋体"/>
          <w:b w:val="0"/>
          <w:bCs w:val="0"/>
          <w:color w:val="auto"/>
          <w:kern w:val="2"/>
          <w:sz w:val="21"/>
          <w:szCs w:val="24"/>
          <w:highlight w:val="none"/>
          <w:lang w:val="en-US" w:eastAsia="zh-CN" w:bidi="ar-SA"/>
        </w:rPr>
        <w:t>综合评估法。</w:t>
      </w:r>
    </w:p>
    <w:p w14:paraId="789BA711">
      <w:pPr>
        <w:pStyle w:val="3"/>
        <w:spacing w:before="120" w:after="0" w:line="400" w:lineRule="exact"/>
        <w:rPr>
          <w:rFonts w:ascii="宋体" w:hAnsi="宋体" w:eastAsia="宋体" w:cs="宋体"/>
          <w:color w:val="auto"/>
          <w:highlight w:val="none"/>
        </w:rPr>
      </w:pPr>
      <w:bookmarkStart w:id="67" w:name="_Toc17600"/>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52"/>
      <w:bookmarkEnd w:id="53"/>
      <w:bookmarkEnd w:id="54"/>
      <w:bookmarkEnd w:id="55"/>
      <w:bookmarkEnd w:id="56"/>
      <w:bookmarkEnd w:id="57"/>
      <w:bookmarkEnd w:id="58"/>
      <w:bookmarkEnd w:id="62"/>
      <w:bookmarkEnd w:id="63"/>
      <w:bookmarkEnd w:id="64"/>
      <w:bookmarkEnd w:id="65"/>
      <w:bookmarkEnd w:id="66"/>
      <w:bookmarkEnd w:id="67"/>
    </w:p>
    <w:p w14:paraId="5753E12E">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68" w:name="_Toc152042292"/>
      <w:bookmarkStart w:id="69" w:name="_Toc179632532"/>
      <w:bookmarkStart w:id="70" w:name="_Toc246996905"/>
      <w:bookmarkStart w:id="71" w:name="_Toc246996162"/>
      <w:bookmarkStart w:id="72" w:name="_Toc247085676"/>
      <w:bookmarkStart w:id="73" w:name="_Toc152045516"/>
      <w:bookmarkStart w:id="74" w:name="_Toc144974484"/>
      <w:bookmarkStart w:id="75" w:name="_Toc507319895"/>
      <w:bookmarkStart w:id="76" w:name="_Toc11329217"/>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356A453C">
      <w:pPr>
        <w:pStyle w:val="3"/>
        <w:spacing w:before="120" w:after="0" w:line="400" w:lineRule="exact"/>
        <w:rPr>
          <w:rFonts w:ascii="宋体" w:hAnsi="宋体" w:eastAsia="宋体" w:cs="宋体"/>
          <w:color w:val="auto"/>
          <w:highlight w:val="none"/>
        </w:rPr>
      </w:pPr>
      <w:bookmarkStart w:id="77" w:name="_Toc9131"/>
      <w:bookmarkStart w:id="78" w:name="_Toc16686"/>
      <w:bookmarkStart w:id="79" w:name="_Toc14325"/>
      <w:bookmarkStart w:id="80" w:name="_Toc31493"/>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68"/>
      <w:bookmarkEnd w:id="69"/>
      <w:bookmarkEnd w:id="70"/>
      <w:bookmarkEnd w:id="71"/>
      <w:bookmarkEnd w:id="72"/>
      <w:bookmarkEnd w:id="73"/>
      <w:bookmarkEnd w:id="74"/>
      <w:bookmarkEnd w:id="75"/>
      <w:bookmarkEnd w:id="76"/>
      <w:r>
        <w:rPr>
          <w:rFonts w:hint="eastAsia" w:ascii="宋体" w:hAnsi="宋体" w:eastAsia="宋体" w:cs="宋体"/>
          <w:color w:val="auto"/>
          <w:highlight w:val="none"/>
        </w:rPr>
        <w:t>及相关事宜</w:t>
      </w:r>
      <w:bookmarkEnd w:id="77"/>
      <w:bookmarkEnd w:id="78"/>
      <w:bookmarkEnd w:id="79"/>
      <w:bookmarkEnd w:id="80"/>
    </w:p>
    <w:p w14:paraId="6DA42981">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u w:val="single"/>
          <w:lang w:val="en-US" w:eastAsia="zh-CN"/>
        </w:rPr>
        <w:t>2025</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12</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shd w:val="clear" w:color="auto" w:fill="FFFFFF"/>
        </w:rPr>
        <w:t>上午1</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242B4B58">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6F8116E7">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.3</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递交地点：</w:t>
      </w:r>
      <w:bookmarkStart w:id="81" w:name="_Hlk535257540"/>
      <w:r>
        <w:rPr>
          <w:rFonts w:hint="eastAsia" w:ascii="宋体" w:hAnsi="宋体" w:cs="宋体"/>
          <w:color w:val="auto"/>
          <w:szCs w:val="21"/>
          <w:highlight w:val="none"/>
        </w:rPr>
        <w:t>重庆市渝北区龙溪街道新南路52号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r>
        <w:rPr>
          <w:rFonts w:hint="eastAsia" w:ascii="宋体" w:hAnsi="宋体" w:cs="宋体"/>
          <w:color w:val="auto"/>
          <w:szCs w:val="21"/>
          <w:highlight w:val="none"/>
        </w:rPr>
        <w:t>。</w:t>
      </w:r>
      <w:bookmarkEnd w:id="81"/>
    </w:p>
    <w:p w14:paraId="77B61AE6">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335D371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6A4FF934">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0E9FCF18">
      <w:pPr>
        <w:pStyle w:val="3"/>
        <w:spacing w:before="120" w:after="0" w:line="400" w:lineRule="exact"/>
        <w:rPr>
          <w:rFonts w:ascii="宋体" w:hAnsi="宋体" w:eastAsia="宋体" w:cs="宋体"/>
          <w:color w:val="auto"/>
          <w:highlight w:val="none"/>
        </w:rPr>
      </w:pPr>
      <w:bookmarkStart w:id="82" w:name="_Toc179632534"/>
      <w:bookmarkStart w:id="83" w:name="_Toc152045517"/>
      <w:bookmarkStart w:id="84" w:name="_Toc144974485"/>
      <w:bookmarkStart w:id="85" w:name="_Toc152042293"/>
      <w:bookmarkStart w:id="86" w:name="_Toc393"/>
      <w:bookmarkStart w:id="87" w:name="_Toc21615"/>
      <w:bookmarkStart w:id="88" w:name="_Toc18402"/>
      <w:bookmarkStart w:id="89" w:name="_Toc246996164"/>
      <w:bookmarkStart w:id="90" w:name="_Toc246996907"/>
      <w:bookmarkStart w:id="91" w:name="_Toc507319897"/>
      <w:bookmarkStart w:id="92" w:name="_Toc247085678"/>
      <w:bookmarkStart w:id="93" w:name="_Toc11329219"/>
      <w:bookmarkStart w:id="94" w:name="_Toc4010"/>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82"/>
      <w:bookmarkEnd w:id="83"/>
      <w:bookmarkEnd w:id="84"/>
      <w:bookmarkEnd w:id="85"/>
      <w:bookmarkEnd w:id="86"/>
      <w:bookmarkEnd w:id="87"/>
      <w:bookmarkEnd w:id="88"/>
      <w:bookmarkEnd w:id="89"/>
      <w:bookmarkEnd w:id="90"/>
      <w:bookmarkEnd w:id="91"/>
      <w:bookmarkEnd w:id="92"/>
      <w:bookmarkEnd w:id="93"/>
      <w:bookmarkEnd w:id="94"/>
    </w:p>
    <w:tbl>
      <w:tblPr>
        <w:tblStyle w:val="42"/>
        <w:tblW w:w="9709" w:type="dxa"/>
        <w:tblInd w:w="0" w:type="dxa"/>
        <w:tblLayout w:type="fixed"/>
        <w:tblCellMar>
          <w:top w:w="0" w:type="dxa"/>
          <w:left w:w="108" w:type="dxa"/>
          <w:bottom w:w="0" w:type="dxa"/>
          <w:right w:w="108" w:type="dxa"/>
        </w:tblCellMar>
      </w:tblPr>
      <w:tblGrid>
        <w:gridCol w:w="9709"/>
      </w:tblGrid>
      <w:tr w14:paraId="28B3AEA6">
        <w:tblPrEx>
          <w:tblCellMar>
            <w:top w:w="0" w:type="dxa"/>
            <w:left w:w="108" w:type="dxa"/>
            <w:bottom w:w="0" w:type="dxa"/>
            <w:right w:w="108" w:type="dxa"/>
          </w:tblCellMar>
        </w:tblPrEx>
        <w:trPr>
          <w:trHeight w:val="520" w:hRule="atLeast"/>
        </w:trPr>
        <w:tc>
          <w:tcPr>
            <w:tcW w:w="9709" w:type="dxa"/>
            <w:vAlign w:val="center"/>
          </w:tcPr>
          <w:p w14:paraId="3B29DBC2">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077BDE84">
        <w:tblPrEx>
          <w:tblCellMar>
            <w:top w:w="0" w:type="dxa"/>
            <w:left w:w="108" w:type="dxa"/>
            <w:bottom w:w="0" w:type="dxa"/>
            <w:right w:w="108" w:type="dxa"/>
          </w:tblCellMar>
        </w:tblPrEx>
        <w:trPr>
          <w:trHeight w:val="510" w:hRule="atLeast"/>
        </w:trPr>
        <w:tc>
          <w:tcPr>
            <w:tcW w:w="9709" w:type="dxa"/>
            <w:vAlign w:val="center"/>
          </w:tcPr>
          <w:p w14:paraId="5F091B6F">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重庆市渝北区新南路52号东界龙湖3楼</w:t>
            </w:r>
          </w:p>
        </w:tc>
      </w:tr>
      <w:tr w14:paraId="0D3F167F">
        <w:tblPrEx>
          <w:tblCellMar>
            <w:top w:w="0" w:type="dxa"/>
            <w:left w:w="108" w:type="dxa"/>
            <w:bottom w:w="0" w:type="dxa"/>
            <w:right w:w="108" w:type="dxa"/>
          </w:tblCellMar>
        </w:tblPrEx>
        <w:trPr>
          <w:trHeight w:val="520" w:hRule="atLeast"/>
        </w:trPr>
        <w:tc>
          <w:tcPr>
            <w:tcW w:w="9709" w:type="dxa"/>
            <w:vAlign w:val="center"/>
          </w:tcPr>
          <w:p w14:paraId="087535CA">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lang w:val="en-US" w:eastAsia="zh-CN"/>
              </w:rPr>
              <w:t>赖老师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18623692272</w:t>
            </w:r>
          </w:p>
        </w:tc>
      </w:tr>
      <w:tr w14:paraId="4E0CE21C">
        <w:tblPrEx>
          <w:tblCellMar>
            <w:top w:w="0" w:type="dxa"/>
            <w:left w:w="108" w:type="dxa"/>
            <w:bottom w:w="0" w:type="dxa"/>
            <w:right w:w="108" w:type="dxa"/>
          </w:tblCellMar>
        </w:tblPrEx>
        <w:trPr>
          <w:trHeight w:val="448" w:hRule="atLeast"/>
        </w:trPr>
        <w:tc>
          <w:tcPr>
            <w:tcW w:w="9709" w:type="dxa"/>
            <w:vAlign w:val="center"/>
          </w:tcPr>
          <w:p w14:paraId="23CB0FEA">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lang w:val="en-US" w:eastAsia="zh-CN"/>
              </w:rPr>
              <w:t>蒋老师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18523055172</w:t>
            </w:r>
          </w:p>
        </w:tc>
      </w:tr>
    </w:tbl>
    <w:p w14:paraId="6C0B445B">
      <w:pPr>
        <w:rPr>
          <w:color w:val="auto"/>
          <w:highlight w:val="none"/>
        </w:rPr>
      </w:pPr>
    </w:p>
    <w:p w14:paraId="5A7D0BC8">
      <w:pPr>
        <w:pStyle w:val="28"/>
        <w:rPr>
          <w:color w:val="auto"/>
          <w:highlight w:val="none"/>
        </w:rPr>
      </w:pPr>
    </w:p>
    <w:p w14:paraId="54A9631B">
      <w:pPr>
        <w:rPr>
          <w:color w:val="auto"/>
          <w:highlight w:val="none"/>
        </w:rPr>
      </w:pPr>
    </w:p>
    <w:p w14:paraId="1FB154CE">
      <w:pPr>
        <w:pStyle w:val="28"/>
        <w:rPr>
          <w:color w:val="auto"/>
          <w:highlight w:val="none"/>
        </w:rPr>
      </w:pPr>
    </w:p>
    <w:p w14:paraId="1F8B1607">
      <w:pPr>
        <w:pStyle w:val="28"/>
        <w:rPr>
          <w:color w:val="auto"/>
          <w:highlight w:val="none"/>
        </w:rPr>
      </w:pPr>
    </w:p>
    <w:p w14:paraId="03262C24">
      <w:pPr>
        <w:pStyle w:val="2"/>
        <w:spacing w:before="0" w:after="0" w:line="360" w:lineRule="auto"/>
        <w:jc w:val="center"/>
        <w:rPr>
          <w:rFonts w:ascii="宋体" w:hAnsi="宋体" w:cs="宋体"/>
          <w:color w:val="auto"/>
          <w:highlight w:val="none"/>
        </w:rPr>
      </w:pPr>
      <w:bookmarkStart w:id="95" w:name="_Toc246996173"/>
      <w:bookmarkStart w:id="96" w:name="_Toc144974495"/>
      <w:bookmarkStart w:id="97" w:name="_Toc152045527"/>
      <w:bookmarkStart w:id="98" w:name="_Toc152042303"/>
      <w:bookmarkStart w:id="99" w:name="_Toc247085687"/>
      <w:bookmarkStart w:id="100" w:name="_Toc507319898"/>
      <w:bookmarkStart w:id="101" w:name="_Toc2000405"/>
      <w:bookmarkStart w:id="102" w:name="_Toc179632544"/>
      <w:bookmarkStart w:id="103" w:name="_Toc246996916"/>
      <w:r>
        <w:rPr>
          <w:rFonts w:hint="eastAsia" w:ascii="宋体" w:hAnsi="宋体" w:cs="宋体"/>
          <w:color w:val="auto"/>
          <w:highlight w:val="none"/>
        </w:rPr>
        <w:br w:type="page"/>
      </w:r>
      <w:bookmarkStart w:id="104" w:name="_Toc12865"/>
      <w:r>
        <w:rPr>
          <w:rFonts w:hint="eastAsia" w:ascii="宋体" w:hAnsi="宋体" w:cs="宋体"/>
          <w:color w:val="auto"/>
          <w:highlight w:val="none"/>
        </w:rPr>
        <w:t>第二章 报价人须知</w:t>
      </w:r>
      <w:bookmarkEnd w:id="95"/>
      <w:bookmarkEnd w:id="96"/>
      <w:bookmarkEnd w:id="97"/>
      <w:bookmarkEnd w:id="98"/>
      <w:bookmarkEnd w:id="99"/>
      <w:bookmarkEnd w:id="100"/>
      <w:bookmarkEnd w:id="101"/>
      <w:bookmarkEnd w:id="102"/>
      <w:bookmarkEnd w:id="103"/>
      <w:bookmarkEnd w:id="104"/>
    </w:p>
    <w:tbl>
      <w:tblPr>
        <w:tblStyle w:val="42"/>
        <w:tblpPr w:leftFromText="180" w:rightFromText="180" w:vertAnchor="text" w:horzAnchor="page" w:tblpX="1102" w:tblpY="302"/>
        <w:tblOverlap w:val="never"/>
        <w:tblW w:w="9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14:paraId="5ACEA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97" w:type="dxa"/>
            <w:vAlign w:val="center"/>
          </w:tcPr>
          <w:p w14:paraId="7CF2C4BA">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bookmarkStart w:id="105" w:name="_Toc326760840"/>
            <w:r>
              <w:rPr>
                <w:rFonts w:hint="eastAsia" w:ascii="宋体" w:hAnsi="宋体" w:cs="宋体"/>
                <w:b/>
                <w:color w:val="auto"/>
                <w:kern w:val="0"/>
                <w:szCs w:val="21"/>
                <w:highlight w:val="none"/>
              </w:rPr>
              <w:t>序号</w:t>
            </w:r>
          </w:p>
        </w:tc>
        <w:tc>
          <w:tcPr>
            <w:tcW w:w="2106" w:type="dxa"/>
            <w:vAlign w:val="center"/>
          </w:tcPr>
          <w:p w14:paraId="753EDCB1">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104" w:type="dxa"/>
            <w:vAlign w:val="center"/>
          </w:tcPr>
          <w:p w14:paraId="432A3FCB">
            <w:pPr>
              <w:keepNext w:val="0"/>
              <w:keepLines w:val="0"/>
              <w:pageBreakBefore w:val="0"/>
              <w:widowControl w:val="0"/>
              <w:kinsoku/>
              <w:wordWrap/>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547FF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52854B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106" w:type="dxa"/>
            <w:vAlign w:val="center"/>
          </w:tcPr>
          <w:p w14:paraId="6D65E11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采购人</w:t>
            </w:r>
          </w:p>
        </w:tc>
        <w:tc>
          <w:tcPr>
            <w:tcW w:w="7104" w:type="dxa"/>
            <w:vAlign w:val="center"/>
          </w:tcPr>
          <w:p w14:paraId="0F339C84">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53AD5BF9">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址：重庆市渝北区新南路52号东界龙湖</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楼</w:t>
            </w:r>
          </w:p>
          <w:p w14:paraId="33763FDF">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none"/>
                <w:u w:val="single"/>
                <w:lang w:val="en-US" w:eastAsia="zh-CN"/>
              </w:rPr>
              <w:t xml:space="preserve"> 蒋 </w:t>
            </w:r>
            <w:r>
              <w:rPr>
                <w:rFonts w:hint="eastAsia" w:ascii="宋体" w:hAnsi="宋体" w:cs="宋体"/>
                <w:color w:val="auto"/>
                <w:szCs w:val="21"/>
                <w:highlight w:val="none"/>
                <w:lang w:val="en-US" w:eastAsia="zh-CN"/>
              </w:rPr>
              <w:t>老师</w:t>
            </w:r>
          </w:p>
          <w:p w14:paraId="3661FFDF">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none"/>
                <w:u w:val="single"/>
                <w:lang w:val="en-US" w:eastAsia="zh-CN"/>
              </w:rPr>
              <w:t>18523055172</w:t>
            </w:r>
          </w:p>
        </w:tc>
      </w:tr>
      <w:tr w14:paraId="551D5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F98501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106" w:type="dxa"/>
            <w:vAlign w:val="center"/>
          </w:tcPr>
          <w:p w14:paraId="26DA57D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7104" w:type="dxa"/>
            <w:vAlign w:val="center"/>
          </w:tcPr>
          <w:p w14:paraId="565F89E6">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Cs w:val="21"/>
                <w:highlight w:val="none"/>
                <w:lang w:val="en-US" w:eastAsia="zh-CN"/>
              </w:rPr>
            </w:pPr>
            <w:bookmarkStart w:id="106" w:name="单据名称2"/>
            <w:r>
              <w:rPr>
                <w:rFonts w:hint="eastAsia" w:ascii="宋体" w:hAnsi="宋体" w:cs="宋体"/>
                <w:i w:val="0"/>
                <w:iCs w:val="0"/>
                <w:color w:val="auto"/>
                <w:szCs w:val="21"/>
                <w:highlight w:val="none"/>
                <w:u w:val="single"/>
                <w:lang w:val="en-US" w:eastAsia="zh-CN"/>
              </w:rPr>
              <w:t>2026年高速私有云网络安全服务</w:t>
            </w:r>
            <w:bookmarkEnd w:id="106"/>
          </w:p>
        </w:tc>
      </w:tr>
      <w:tr w14:paraId="02093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D4691E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106" w:type="dxa"/>
            <w:vAlign w:val="center"/>
          </w:tcPr>
          <w:p w14:paraId="511F01C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lang w:val="en-US" w:eastAsia="zh-CN"/>
              </w:rPr>
              <w:t>服务地点</w:t>
            </w:r>
          </w:p>
        </w:tc>
        <w:tc>
          <w:tcPr>
            <w:tcW w:w="7104" w:type="dxa"/>
            <w:vAlign w:val="center"/>
          </w:tcPr>
          <w:p w14:paraId="770E669D">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400B3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FBB429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106" w:type="dxa"/>
            <w:vAlign w:val="center"/>
          </w:tcPr>
          <w:p w14:paraId="7931870D">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rPr>
              <w:t>项目规模</w:t>
            </w:r>
          </w:p>
        </w:tc>
        <w:tc>
          <w:tcPr>
            <w:tcW w:w="7104" w:type="dxa"/>
            <w:vAlign w:val="center"/>
          </w:tcPr>
          <w:p w14:paraId="5B8C1BE9">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19ACF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891A6D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106" w:type="dxa"/>
            <w:vAlign w:val="center"/>
          </w:tcPr>
          <w:p w14:paraId="08D3FED9">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lang w:val="en-US" w:eastAsia="zh-CN"/>
              </w:rPr>
              <w:t>比选范围</w:t>
            </w:r>
          </w:p>
        </w:tc>
        <w:tc>
          <w:tcPr>
            <w:tcW w:w="7104" w:type="dxa"/>
            <w:vAlign w:val="center"/>
          </w:tcPr>
          <w:p w14:paraId="1477F1FC">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59A9D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74B5CE0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106" w:type="dxa"/>
            <w:vAlign w:val="center"/>
          </w:tcPr>
          <w:p w14:paraId="15D902C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rPr>
              <w:t>服务期限</w:t>
            </w:r>
          </w:p>
        </w:tc>
        <w:tc>
          <w:tcPr>
            <w:tcW w:w="7104" w:type="dxa"/>
            <w:vAlign w:val="center"/>
          </w:tcPr>
          <w:p w14:paraId="52C15913">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见比选公告</w:t>
            </w:r>
          </w:p>
        </w:tc>
      </w:tr>
      <w:tr w14:paraId="04127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C5B8849">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7</w:t>
            </w:r>
          </w:p>
        </w:tc>
        <w:tc>
          <w:tcPr>
            <w:tcW w:w="2106" w:type="dxa"/>
            <w:vAlign w:val="center"/>
          </w:tcPr>
          <w:p w14:paraId="14F548C6">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服务要求</w:t>
            </w:r>
          </w:p>
        </w:tc>
        <w:tc>
          <w:tcPr>
            <w:tcW w:w="7104" w:type="dxa"/>
            <w:vAlign w:val="center"/>
          </w:tcPr>
          <w:p w14:paraId="0C49F666">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详见</w:t>
            </w:r>
            <w:r>
              <w:rPr>
                <w:rFonts w:hint="eastAsia" w:ascii="宋体" w:hAnsi="宋体" w:cs="宋体"/>
                <w:color w:val="auto"/>
                <w:szCs w:val="21"/>
                <w:highlight w:val="none"/>
                <w:lang w:val="en-US" w:eastAsia="zh-CN"/>
              </w:rPr>
              <w:t xml:space="preserve">竞争性比选文件 </w:t>
            </w:r>
            <w:r>
              <w:rPr>
                <w:rFonts w:hint="eastAsia" w:ascii="宋体" w:hAnsi="宋体" w:cs="宋体"/>
                <w:color w:val="auto"/>
                <w:szCs w:val="21"/>
                <w:highlight w:val="none"/>
              </w:rPr>
              <w:t>第</w:t>
            </w:r>
            <w:r>
              <w:rPr>
                <w:rFonts w:hint="eastAsia" w:ascii="宋体" w:hAnsi="宋体" w:cs="宋体"/>
                <w:color w:val="auto"/>
                <w:szCs w:val="21"/>
                <w:highlight w:val="none"/>
                <w:lang w:val="en-US" w:eastAsia="zh-CN"/>
              </w:rPr>
              <w:t>四</w:t>
            </w:r>
            <w:r>
              <w:rPr>
                <w:rFonts w:hint="eastAsia" w:ascii="宋体" w:hAnsi="宋体" w:cs="宋体"/>
                <w:color w:val="auto"/>
                <w:szCs w:val="21"/>
                <w:highlight w:val="none"/>
              </w:rPr>
              <w:t>章</w:t>
            </w:r>
          </w:p>
        </w:tc>
      </w:tr>
      <w:tr w14:paraId="06425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459C3A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106" w:type="dxa"/>
            <w:vAlign w:val="center"/>
          </w:tcPr>
          <w:p w14:paraId="7CD81AF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szCs w:val="21"/>
                <w:highlight w:val="none"/>
              </w:rPr>
              <w:t>报价人资格要求</w:t>
            </w:r>
          </w:p>
        </w:tc>
        <w:tc>
          <w:tcPr>
            <w:tcW w:w="7104" w:type="dxa"/>
            <w:vAlign w:val="center"/>
          </w:tcPr>
          <w:p w14:paraId="29AD7E68">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见比选公告及附录1</w:t>
            </w:r>
          </w:p>
        </w:tc>
      </w:tr>
      <w:tr w14:paraId="3223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5F2B10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106" w:type="dxa"/>
            <w:vAlign w:val="center"/>
          </w:tcPr>
          <w:p w14:paraId="2F2F45F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是否接受</w:t>
            </w:r>
          </w:p>
          <w:p w14:paraId="5762572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联合体报价</w:t>
            </w:r>
          </w:p>
        </w:tc>
        <w:tc>
          <w:tcPr>
            <w:tcW w:w="7104" w:type="dxa"/>
            <w:vAlign w:val="center"/>
          </w:tcPr>
          <w:p w14:paraId="0F85E20E">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43D00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2E5843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106" w:type="dxa"/>
            <w:vAlign w:val="center"/>
          </w:tcPr>
          <w:p w14:paraId="36BF64D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7104" w:type="dxa"/>
            <w:vAlign w:val="center"/>
          </w:tcPr>
          <w:p w14:paraId="0EAE23F4">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4597A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1A38888">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106" w:type="dxa"/>
            <w:vAlign w:val="center"/>
          </w:tcPr>
          <w:p w14:paraId="381F68F4">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分包</w:t>
            </w:r>
          </w:p>
        </w:tc>
        <w:tc>
          <w:tcPr>
            <w:tcW w:w="7104" w:type="dxa"/>
            <w:vAlign w:val="center"/>
          </w:tcPr>
          <w:p w14:paraId="5E0C8458">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47086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C17369A">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3</w:t>
            </w:r>
          </w:p>
        </w:tc>
        <w:tc>
          <w:tcPr>
            <w:tcW w:w="2106" w:type="dxa"/>
            <w:vAlign w:val="center"/>
          </w:tcPr>
          <w:p w14:paraId="7868C49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偏差</w:t>
            </w:r>
          </w:p>
        </w:tc>
        <w:tc>
          <w:tcPr>
            <w:tcW w:w="7104" w:type="dxa"/>
            <w:vAlign w:val="center"/>
          </w:tcPr>
          <w:p w14:paraId="5FCBB393">
            <w:pPr>
              <w:keepNext w:val="0"/>
              <w:keepLines w:val="0"/>
              <w:pageBreakBefore w:val="0"/>
              <w:widowControl w:val="0"/>
              <w:kinsoku/>
              <w:wordWrap/>
              <w:overflowPunct/>
              <w:bidi w:val="0"/>
              <w:spacing w:line="400" w:lineRule="exact"/>
              <w:ind w:firstLine="422" w:firstLineChars="200"/>
              <w:textAlignment w:val="auto"/>
              <w:rPr>
                <w:rFonts w:ascii="宋体" w:hAnsi="宋体" w:cs="宋体"/>
                <w:color w:val="auto"/>
                <w:kern w:val="0"/>
                <w:szCs w:val="21"/>
                <w:highlight w:val="none"/>
              </w:rPr>
            </w:pPr>
            <w:r>
              <w:rPr>
                <w:rFonts w:hint="eastAsia" w:ascii="宋体" w:hAnsi="宋体" w:cs="宋体"/>
                <w:b/>
                <w:bCs w:val="0"/>
                <w:color w:val="auto"/>
                <w:sz w:val="21"/>
                <w:szCs w:val="21"/>
                <w:highlight w:val="none"/>
                <w:lang w:eastAsia="zh-CN" w:bidi="ar"/>
              </w:rPr>
              <w:t>本项目</w:t>
            </w:r>
            <w:r>
              <w:rPr>
                <w:rFonts w:hint="eastAsia" w:ascii="宋体" w:hAnsi="宋体" w:eastAsia="宋体" w:cs="宋体"/>
                <w:b/>
                <w:bCs w:val="0"/>
                <w:color w:val="auto"/>
                <w:sz w:val="21"/>
                <w:szCs w:val="21"/>
                <w:highlight w:val="none"/>
                <w:lang w:bidi="ar"/>
              </w:rPr>
              <w:t>不允许任何负偏离。</w:t>
            </w:r>
          </w:p>
        </w:tc>
      </w:tr>
      <w:tr w14:paraId="32FDE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64FA038">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4</w:t>
            </w:r>
          </w:p>
        </w:tc>
        <w:tc>
          <w:tcPr>
            <w:tcW w:w="2106" w:type="dxa"/>
            <w:vAlign w:val="center"/>
          </w:tcPr>
          <w:p w14:paraId="3885126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bCs/>
                <w:color w:val="auto"/>
                <w:szCs w:val="21"/>
                <w:highlight w:val="none"/>
              </w:rPr>
              <w:t>构成比选文件的其他材料</w:t>
            </w:r>
          </w:p>
        </w:tc>
        <w:tc>
          <w:tcPr>
            <w:tcW w:w="7104" w:type="dxa"/>
            <w:vAlign w:val="center"/>
          </w:tcPr>
          <w:p w14:paraId="1C3DE4B2">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65D7B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409502A">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5</w:t>
            </w:r>
          </w:p>
        </w:tc>
        <w:tc>
          <w:tcPr>
            <w:tcW w:w="2106" w:type="dxa"/>
            <w:vAlign w:val="center"/>
          </w:tcPr>
          <w:p w14:paraId="047DE0F2">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构成竞争性比选响应文件的其他材料</w:t>
            </w:r>
          </w:p>
        </w:tc>
        <w:tc>
          <w:tcPr>
            <w:tcW w:w="7104" w:type="dxa"/>
            <w:vAlign w:val="center"/>
          </w:tcPr>
          <w:p w14:paraId="1C41BD71">
            <w:pPr>
              <w:pStyle w:val="149"/>
              <w:keepNext w:val="0"/>
              <w:keepLines w:val="0"/>
              <w:pageBreakBefore w:val="0"/>
              <w:widowControl w:val="0"/>
              <w:kinsoku/>
              <w:wordWrap/>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7DF60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530B2541">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6</w:t>
            </w:r>
          </w:p>
        </w:tc>
        <w:tc>
          <w:tcPr>
            <w:tcW w:w="2106" w:type="dxa"/>
            <w:tcBorders>
              <w:bottom w:val="single" w:color="auto" w:sz="4" w:space="0"/>
            </w:tcBorders>
            <w:vAlign w:val="center"/>
          </w:tcPr>
          <w:p w14:paraId="6967FD34">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报价原则</w:t>
            </w:r>
          </w:p>
        </w:tc>
        <w:tc>
          <w:tcPr>
            <w:tcW w:w="7104" w:type="dxa"/>
            <w:tcBorders>
              <w:bottom w:val="single" w:color="auto" w:sz="4" w:space="0"/>
            </w:tcBorders>
          </w:tcPr>
          <w:p w14:paraId="14A0E349">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1.投标报价：</w:t>
            </w:r>
          </w:p>
          <w:p w14:paraId="10005A79">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u w:val="single"/>
              </w:rPr>
              <w:t>本项目采用</w:t>
            </w:r>
            <w:r>
              <w:rPr>
                <w:rFonts w:hint="eastAsia" w:ascii="宋体" w:hAnsi="宋体" w:cs="宋体"/>
                <w:color w:val="auto"/>
                <w:szCs w:val="21"/>
                <w:highlight w:val="none"/>
                <w:u w:val="single"/>
                <w:lang w:val="en-US" w:eastAsia="zh-CN"/>
              </w:rPr>
              <w:t>综合单价</w:t>
            </w:r>
            <w:r>
              <w:rPr>
                <w:rFonts w:hint="eastAsia" w:ascii="宋体" w:hAnsi="宋体" w:cs="宋体"/>
                <w:color w:val="auto"/>
                <w:szCs w:val="21"/>
                <w:highlight w:val="none"/>
                <w:u w:val="single"/>
              </w:rPr>
              <w:t>包干报价</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报价</w:t>
            </w:r>
            <w:r>
              <w:rPr>
                <w:rFonts w:hint="eastAsia" w:ascii="宋体" w:hAnsi="宋体" w:cs="宋体"/>
                <w:color w:val="auto"/>
                <w:szCs w:val="21"/>
                <w:highlight w:val="none"/>
                <w:u w:val="single"/>
              </w:rPr>
              <w:t>人所报投标报价应包含但不限于完成本项目</w:t>
            </w:r>
            <w:r>
              <w:rPr>
                <w:rFonts w:hint="eastAsia" w:ascii="宋体" w:hAnsi="宋体" w:cs="宋体"/>
                <w:color w:val="auto"/>
                <w:szCs w:val="21"/>
                <w:highlight w:val="none"/>
                <w:u w:val="single"/>
                <w:lang w:val="en-US" w:eastAsia="zh-CN"/>
              </w:rPr>
              <w:t>比选</w:t>
            </w:r>
            <w:r>
              <w:rPr>
                <w:rFonts w:hint="eastAsia" w:ascii="宋体" w:hAnsi="宋体" w:cs="宋体"/>
                <w:color w:val="auto"/>
                <w:szCs w:val="21"/>
                <w:highlight w:val="none"/>
                <w:u w:val="single"/>
              </w:rPr>
              <w:t>内容全部工作内容所需的人工、材料</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服务</w:t>
            </w:r>
            <w:r>
              <w:rPr>
                <w:rFonts w:hint="eastAsia" w:ascii="宋体" w:hAnsi="宋体" w:cs="宋体"/>
                <w:color w:val="auto"/>
                <w:szCs w:val="21"/>
                <w:highlight w:val="none"/>
                <w:u w:val="single"/>
              </w:rPr>
              <w:t>、税金、管理费、利润等所有</w:t>
            </w:r>
            <w:r>
              <w:rPr>
                <w:rFonts w:hint="eastAsia" w:ascii="宋体" w:hAnsi="宋体" w:cs="宋体"/>
                <w:color w:val="auto"/>
                <w:szCs w:val="21"/>
                <w:highlight w:val="none"/>
                <w:u w:val="single"/>
                <w:lang w:val="en-US" w:eastAsia="zh-CN"/>
              </w:rPr>
              <w:t>一切</w:t>
            </w:r>
            <w:r>
              <w:rPr>
                <w:rFonts w:hint="eastAsia" w:ascii="宋体" w:hAnsi="宋体" w:cs="宋体"/>
                <w:color w:val="auto"/>
                <w:szCs w:val="21"/>
                <w:highlight w:val="none"/>
                <w:u w:val="single"/>
              </w:rPr>
              <w:t>费用，一旦中标，</w:t>
            </w:r>
            <w:r>
              <w:rPr>
                <w:rFonts w:hint="eastAsia" w:ascii="宋体" w:hAnsi="宋体" w:cs="宋体"/>
                <w:color w:val="auto"/>
                <w:szCs w:val="21"/>
                <w:highlight w:val="none"/>
                <w:u w:val="single"/>
                <w:lang w:val="en-US" w:eastAsia="zh-CN"/>
              </w:rPr>
              <w:t>采购</w:t>
            </w:r>
            <w:r>
              <w:rPr>
                <w:rFonts w:hint="eastAsia" w:ascii="宋体" w:hAnsi="宋体" w:cs="宋体"/>
                <w:color w:val="auto"/>
                <w:szCs w:val="21"/>
                <w:highlight w:val="none"/>
                <w:u w:val="single"/>
              </w:rPr>
              <w:t>人不再额外支付任何费用</w:t>
            </w:r>
            <w:r>
              <w:rPr>
                <w:rFonts w:hint="eastAsia" w:ascii="宋体" w:hAnsi="宋体" w:cs="宋体"/>
                <w:color w:val="auto"/>
                <w:szCs w:val="21"/>
                <w:highlight w:val="none"/>
              </w:rPr>
              <w:t>。</w:t>
            </w:r>
          </w:p>
          <w:p w14:paraId="0CCE81A8">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rPr>
            </w:pPr>
            <w:r>
              <w:rPr>
                <w:rFonts w:hint="eastAsia" w:ascii="宋体" w:hAnsi="宋体" w:cs="宋体"/>
                <w:color w:val="auto"/>
                <w:highlight w:val="none"/>
              </w:rPr>
              <w:t>2.报价原则</w:t>
            </w:r>
          </w:p>
          <w:p w14:paraId="28014826">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u w:val="single"/>
              </w:rPr>
            </w:pP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应严格根据</w:t>
            </w:r>
            <w:r>
              <w:rPr>
                <w:rFonts w:hint="eastAsia" w:ascii="宋体" w:hAnsi="宋体" w:cs="宋体"/>
                <w:color w:val="auto"/>
                <w:highlight w:val="none"/>
                <w:u w:val="single"/>
                <w:lang w:val="en-US" w:eastAsia="zh-CN"/>
              </w:rPr>
              <w:t>竞争性比选文件</w:t>
            </w:r>
            <w:r>
              <w:rPr>
                <w:rFonts w:hint="eastAsia" w:ascii="宋体" w:hAnsi="宋体" w:cs="宋体"/>
                <w:color w:val="auto"/>
                <w:highlight w:val="none"/>
                <w:u w:val="single"/>
              </w:rPr>
              <w:t>及相关资料，结合市场价格、依据企业自身实力、技术及生产管理水平等，进行自主报价；</w:t>
            </w: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投标总报价只能有一个有效报价，不得提交选择性报价，否则竞争性比选响应文件将按否决报价处理。</w:t>
            </w:r>
          </w:p>
          <w:p w14:paraId="43C7D2EE">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highlight w:val="none"/>
                <w:lang w:val="en-US" w:eastAsia="zh-CN"/>
              </w:rPr>
              <w:t>3.</w:t>
            </w:r>
            <w:r>
              <w:rPr>
                <w:rFonts w:hint="eastAsia" w:ascii="宋体" w:hAnsi="宋体" w:cs="宋体"/>
                <w:color w:val="auto"/>
                <w:highlight w:val="none"/>
              </w:rPr>
              <w:t>报价人按照采购人提供的报价清单填写报价</w:t>
            </w:r>
          </w:p>
          <w:p w14:paraId="41165C65">
            <w:pPr>
              <w:keepNext w:val="0"/>
              <w:keepLines w:val="0"/>
              <w:pageBreakBefore w:val="0"/>
              <w:widowControl w:val="0"/>
              <w:kinsoku/>
              <w:wordWrap/>
              <w:overflowPunct/>
              <w:bidi w:val="0"/>
              <w:spacing w:line="400" w:lineRule="exact"/>
              <w:ind w:firstLine="420" w:firstLineChars="200"/>
              <w:textAlignment w:val="auto"/>
              <w:rPr>
                <w:rFonts w:ascii="宋体" w:hAnsi="宋体" w:cs="宋体"/>
                <w:b w:val="0"/>
                <w:bCs/>
                <w:color w:val="auto"/>
                <w:szCs w:val="21"/>
                <w:highlight w:val="none"/>
              </w:rPr>
            </w:pPr>
            <w:r>
              <w:rPr>
                <w:rFonts w:hint="eastAsia" w:ascii="宋体" w:hAnsi="宋体" w:cs="宋体"/>
                <w:b w:val="0"/>
                <w:bCs/>
                <w:color w:val="auto"/>
                <w:szCs w:val="21"/>
                <w:highlight w:val="none"/>
                <w:lang w:val="en-US" w:eastAsia="zh-CN"/>
              </w:rPr>
              <w:t>4.投标报价</w:t>
            </w:r>
            <w:r>
              <w:rPr>
                <w:rFonts w:hint="eastAsia" w:ascii="宋体" w:hAnsi="宋体" w:cs="宋体"/>
                <w:b w:val="0"/>
                <w:bCs/>
                <w:color w:val="auto"/>
                <w:szCs w:val="21"/>
                <w:highlight w:val="none"/>
              </w:rPr>
              <w:t>取小数点后两位，小数点后第三位四舍五入。</w:t>
            </w:r>
          </w:p>
          <w:p w14:paraId="19EE942E">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lang w:val="en-US" w:eastAsia="zh-CN"/>
              </w:rPr>
              <w:t>5.</w:t>
            </w:r>
            <w:r>
              <w:rPr>
                <w:rFonts w:hint="eastAsia" w:ascii="宋体" w:hAnsi="宋体" w:cs="宋体"/>
                <w:b w:val="0"/>
                <w:bCs w:val="0"/>
                <w:color w:val="auto"/>
                <w:szCs w:val="21"/>
                <w:highlight w:val="none"/>
              </w:rPr>
              <w:t>本项目报价清单及说明随比选文件一并发布，详见附件。</w:t>
            </w:r>
          </w:p>
          <w:p w14:paraId="3EBA7467">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rPr>
              <w:t>特别提醒：</w:t>
            </w:r>
          </w:p>
          <w:p w14:paraId="7D1AA78E">
            <w:pPr>
              <w:keepNext w:val="0"/>
              <w:keepLines w:val="0"/>
              <w:pageBreakBefore w:val="0"/>
              <w:kinsoku/>
              <w:overflowPunct/>
              <w:bidi w:val="0"/>
              <w:adjustRightInd w:val="0"/>
              <w:snapToGrid w:val="0"/>
              <w:spacing w:line="400" w:lineRule="exact"/>
              <w:ind w:firstLine="344" w:firstLineChars="164"/>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rPr>
              <w:t>1.</w:t>
            </w:r>
            <w:r>
              <w:rPr>
                <w:rFonts w:hint="eastAsia" w:ascii="宋体" w:hAnsi="宋体" w:cs="宋体"/>
                <w:b w:val="0"/>
                <w:bCs w:val="0"/>
                <w:color w:val="auto"/>
                <w:highlight w:val="none"/>
                <w:u w:val="single"/>
              </w:rPr>
              <w:t>若因</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在报价时有漏报、漏项的情况发生，</w:t>
            </w:r>
            <w:r>
              <w:rPr>
                <w:rFonts w:hint="eastAsia" w:ascii="宋体" w:hAnsi="宋体" w:cs="宋体"/>
                <w:b w:val="0"/>
                <w:bCs w:val="0"/>
                <w:color w:val="auto"/>
                <w:highlight w:val="none"/>
                <w:u w:val="single"/>
                <w:lang w:eastAsia="zh-CN"/>
              </w:rPr>
              <w:t>采购人</w:t>
            </w:r>
            <w:r>
              <w:rPr>
                <w:rFonts w:hint="eastAsia" w:ascii="宋体" w:hAnsi="宋体" w:cs="宋体"/>
                <w:b w:val="0"/>
                <w:bCs w:val="0"/>
                <w:color w:val="auto"/>
                <w:highlight w:val="none"/>
                <w:u w:val="single"/>
              </w:rPr>
              <w:t>均视为</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已充分理解</w:t>
            </w:r>
            <w:r>
              <w:rPr>
                <w:rFonts w:hint="eastAsia" w:ascii="宋体" w:hAnsi="宋体" w:cs="宋体"/>
                <w:b w:val="0"/>
                <w:bCs w:val="0"/>
                <w:color w:val="auto"/>
                <w:highlight w:val="none"/>
                <w:u w:val="single"/>
                <w:lang w:val="en-US" w:eastAsia="zh-CN"/>
              </w:rPr>
              <w:t>竞争性比选</w:t>
            </w:r>
            <w:r>
              <w:rPr>
                <w:rFonts w:hint="eastAsia" w:ascii="宋体" w:hAnsi="宋体" w:cs="宋体"/>
                <w:b w:val="0"/>
                <w:bCs w:val="0"/>
                <w:color w:val="auto"/>
                <w:highlight w:val="none"/>
                <w:u w:val="single"/>
              </w:rPr>
              <w:t>文件要求，漏报、漏项部分已包含在其报价之中。该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若中标，其报价不得调整</w:t>
            </w:r>
            <w:r>
              <w:rPr>
                <w:rFonts w:hint="eastAsia" w:ascii="宋体" w:hAnsi="宋体" w:cs="宋体"/>
                <w:b w:val="0"/>
                <w:bCs w:val="0"/>
                <w:color w:val="auto"/>
                <w:highlight w:val="none"/>
              </w:rPr>
              <w:t>。</w:t>
            </w:r>
          </w:p>
          <w:p w14:paraId="2EA875AD">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b w:val="0"/>
                <w:bCs w:val="0"/>
                <w:color w:val="auto"/>
                <w:szCs w:val="21"/>
                <w:highlight w:val="none"/>
              </w:rPr>
              <w:t>2.</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在报价时应充分考虑市场价格波动、人工费用上涨等不确定因素的风险，该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若中标，其报价在服务期内不得调整</w:t>
            </w:r>
            <w:r>
              <w:rPr>
                <w:rFonts w:hint="eastAsia" w:ascii="宋体" w:hAnsi="宋体" w:cs="宋体"/>
                <w:b w:val="0"/>
                <w:bCs w:val="0"/>
                <w:color w:val="auto"/>
                <w:highlight w:val="none"/>
              </w:rPr>
              <w:t>。</w:t>
            </w:r>
          </w:p>
        </w:tc>
      </w:tr>
      <w:tr w14:paraId="28F72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2F725E4B">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7</w:t>
            </w:r>
          </w:p>
        </w:tc>
        <w:tc>
          <w:tcPr>
            <w:tcW w:w="2106" w:type="dxa"/>
            <w:tcBorders>
              <w:bottom w:val="single" w:color="auto" w:sz="4" w:space="0"/>
            </w:tcBorders>
            <w:vAlign w:val="center"/>
          </w:tcPr>
          <w:p w14:paraId="25AD260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最高投标限价</w:t>
            </w:r>
          </w:p>
        </w:tc>
        <w:tc>
          <w:tcPr>
            <w:tcW w:w="7104" w:type="dxa"/>
            <w:tcBorders>
              <w:bottom w:val="single" w:color="auto" w:sz="4" w:space="0"/>
            </w:tcBorders>
          </w:tcPr>
          <w:p w14:paraId="2E449304">
            <w:pPr>
              <w:keepNext w:val="0"/>
              <w:keepLines w:val="0"/>
              <w:pageBreakBefore w:val="0"/>
              <w:widowControl w:val="0"/>
              <w:kinsoku/>
              <w:wordWrap/>
              <w:overflowPunct/>
              <w:bidi w:val="0"/>
              <w:spacing w:line="400" w:lineRule="exact"/>
              <w:ind w:firstLine="422" w:firstLineChars="200"/>
              <w:textAlignment w:val="auto"/>
              <w:rPr>
                <w:rFonts w:ascii="宋体" w:hAnsi="宋体"/>
                <w:color w:val="auto"/>
                <w:szCs w:val="21"/>
                <w:highlight w:val="none"/>
              </w:rPr>
            </w:pPr>
            <w:r>
              <w:rPr>
                <w:rFonts w:hint="eastAsia" w:ascii="宋体" w:hAnsi="宋体"/>
                <w:b/>
                <w:bCs/>
                <w:color w:val="auto"/>
                <w:szCs w:val="21"/>
                <w:highlight w:val="none"/>
                <w:lang w:val="en-US" w:eastAsia="zh-CN"/>
              </w:rPr>
              <w:t>本项目设置</w:t>
            </w:r>
            <w:r>
              <w:rPr>
                <w:rFonts w:hint="eastAsia" w:ascii="宋体" w:hAnsi="宋体"/>
                <w:b/>
                <w:bCs/>
                <w:color w:val="auto"/>
                <w:szCs w:val="21"/>
                <w:highlight w:val="none"/>
              </w:rPr>
              <w:t>最高限价</w:t>
            </w:r>
            <w:r>
              <w:rPr>
                <w:rFonts w:hint="eastAsia" w:ascii="宋体" w:hAnsi="宋体"/>
                <w:b/>
                <w:bCs/>
                <w:color w:val="auto"/>
                <w:szCs w:val="21"/>
                <w:highlight w:val="none"/>
                <w:lang w:val="en-US" w:eastAsia="zh-CN"/>
              </w:rPr>
              <w:t>为</w:t>
            </w:r>
            <w:r>
              <w:rPr>
                <w:rFonts w:hint="eastAsia" w:ascii="宋体" w:hAnsi="宋体"/>
                <w:b/>
                <w:bCs/>
                <w:color w:val="auto"/>
                <w:szCs w:val="21"/>
                <w:highlight w:val="none"/>
                <w:u w:val="single"/>
                <w:lang w:val="en-US" w:eastAsia="zh-CN"/>
              </w:rPr>
              <w:t xml:space="preserve"> 335370.00 </w:t>
            </w:r>
            <w:r>
              <w:rPr>
                <w:rFonts w:hint="eastAsia" w:ascii="宋体" w:hAnsi="宋体"/>
                <w:b/>
                <w:bCs/>
                <w:color w:val="auto"/>
                <w:szCs w:val="21"/>
                <w:highlight w:val="none"/>
              </w:rPr>
              <w:t>元。</w:t>
            </w:r>
          </w:p>
          <w:p w14:paraId="5BC0CE7D">
            <w:pPr>
              <w:keepNext w:val="0"/>
              <w:keepLines w:val="0"/>
              <w:pageBreakBefore w:val="0"/>
              <w:widowControl w:val="0"/>
              <w:kinsoku/>
              <w:wordWrap/>
              <w:overflowPunct/>
              <w:bidi w:val="0"/>
              <w:spacing w:line="400" w:lineRule="exact"/>
              <w:ind w:firstLine="420" w:firstLineChars="200"/>
              <w:textAlignment w:val="auto"/>
              <w:rPr>
                <w:rFonts w:ascii="宋体" w:hAnsi="宋体" w:cs="宋体"/>
                <w:b/>
                <w:bCs/>
                <w:color w:val="auto"/>
                <w:kern w:val="0"/>
                <w:szCs w:val="21"/>
                <w:highlight w:val="none"/>
              </w:rPr>
            </w:pPr>
            <w:r>
              <w:rPr>
                <w:rFonts w:hint="eastAsia" w:ascii="宋体" w:hAnsi="宋体" w:cs="宋体"/>
                <w:b w:val="0"/>
                <w:bCs/>
                <w:color w:val="auto"/>
                <w:szCs w:val="21"/>
                <w:highlight w:val="none"/>
              </w:rPr>
              <w:t>报价人报价不得高于采购人发布的最高限价，否则其竞争性比选响应文件视为重大偏差，竞争性比选响应文件将按否决报价处理</w:t>
            </w:r>
            <w:r>
              <w:rPr>
                <w:rFonts w:hint="eastAsia" w:ascii="宋体" w:hAnsi="宋体" w:cs="宋体"/>
                <w:b w:val="0"/>
                <w:bCs/>
                <w:color w:val="auto"/>
                <w:kern w:val="0"/>
                <w:szCs w:val="21"/>
                <w:highlight w:val="none"/>
              </w:rPr>
              <w:t>。</w:t>
            </w:r>
          </w:p>
        </w:tc>
      </w:tr>
      <w:tr w14:paraId="33CB2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7304A5DC">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18</w:t>
            </w:r>
          </w:p>
        </w:tc>
        <w:tc>
          <w:tcPr>
            <w:tcW w:w="2106" w:type="dxa"/>
            <w:tcBorders>
              <w:bottom w:val="single" w:color="auto" w:sz="4" w:space="0"/>
            </w:tcBorders>
            <w:vAlign w:val="center"/>
          </w:tcPr>
          <w:p w14:paraId="02B2B6C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合同支付办法</w:t>
            </w:r>
          </w:p>
        </w:tc>
        <w:tc>
          <w:tcPr>
            <w:tcW w:w="7104" w:type="dxa"/>
            <w:tcBorders>
              <w:bottom w:val="single" w:color="auto" w:sz="4" w:space="0"/>
            </w:tcBorders>
            <w:vAlign w:val="center"/>
          </w:tcPr>
          <w:p w14:paraId="074871B0">
            <w:pPr>
              <w:pStyle w:val="28"/>
              <w:keepNext w:val="0"/>
              <w:keepLines w:val="0"/>
              <w:pageBreakBefore w:val="0"/>
              <w:widowControl/>
              <w:suppressLineNumbers w:val="0"/>
              <w:kinsoku/>
              <w:overflowPunct/>
              <w:autoSpaceDE w:val="0"/>
              <w:autoSpaceDN w:val="0"/>
              <w:bidi w:val="0"/>
              <w:adjustRightInd w:val="0"/>
              <w:snapToGrid w:val="0"/>
              <w:spacing w:before="0" w:beforeAutospacing="0" w:after="0" w:afterAutospacing="0" w:line="400" w:lineRule="exact"/>
              <w:ind w:left="0" w:right="0" w:firstLineChars="200"/>
              <w:jc w:val="both"/>
              <w:textAlignment w:val="auto"/>
              <w:rPr>
                <w:rFonts w:hint="default"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每次支付前需由乙方提交书面支付申请、相关证明材料以及对应增值税专用发票经甲方审核无误后，按以下节点支付，因乙方原因未按时提交相关资料，导致支付延期的，非甲方违约责任：</w:t>
            </w:r>
          </w:p>
          <w:p w14:paraId="0F25FD75">
            <w:pPr>
              <w:keepNext w:val="0"/>
              <w:keepLines w:val="0"/>
              <w:pageBreakBefore w:val="0"/>
              <w:widowControl w:val="0"/>
              <w:kinsoku/>
              <w:wordWrap/>
              <w:overflowPunct/>
              <w:bidi w:val="0"/>
              <w:spacing w:line="400" w:lineRule="exact"/>
              <w:ind w:firstLine="420" w:firstLineChars="200"/>
              <w:jc w:val="both"/>
              <w:textAlignment w:val="auto"/>
              <w:rPr>
                <w:rFonts w:hint="default" w:eastAsia="宋体"/>
                <w:color w:val="auto"/>
                <w:highlight w:val="none"/>
                <w:lang w:val="en-US" w:eastAsia="zh-CN"/>
              </w:rPr>
            </w:pPr>
            <w:bookmarkStart w:id="107" w:name="支付方式"/>
            <w:r>
              <w:rPr>
                <w:rFonts w:hint="eastAsia" w:ascii="宋体" w:hAnsi="宋体" w:cs="宋体"/>
                <w:b w:val="0"/>
                <w:bCs w:val="0"/>
                <w:color w:val="auto"/>
                <w:sz w:val="21"/>
                <w:szCs w:val="21"/>
                <w:highlight w:val="none"/>
                <w:lang w:val="en-US" w:eastAsia="zh-CN"/>
              </w:rPr>
              <w:t>每季度支付一次，乙方根据合同要求完成规定的服务内容，经甲方验收合格后，由乙方提交书面支付申请、相关证明材料以及对应增值税专用发票经甲方审核无误后30日内支付至合同总金额的25%。</w:t>
            </w:r>
            <w:bookmarkEnd w:id="107"/>
          </w:p>
        </w:tc>
      </w:tr>
      <w:tr w14:paraId="21B66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E93DAFB">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19</w:t>
            </w:r>
          </w:p>
        </w:tc>
        <w:tc>
          <w:tcPr>
            <w:tcW w:w="2106" w:type="dxa"/>
          </w:tcPr>
          <w:p w14:paraId="66BA6358">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104" w:type="dxa"/>
            <w:vAlign w:val="center"/>
          </w:tcPr>
          <w:p w14:paraId="2DD8D035">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14:paraId="0EF5F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6358C8C">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20</w:t>
            </w:r>
          </w:p>
        </w:tc>
        <w:tc>
          <w:tcPr>
            <w:tcW w:w="2106" w:type="dxa"/>
            <w:vAlign w:val="center"/>
          </w:tcPr>
          <w:p w14:paraId="40704FCB">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104" w:type="dxa"/>
            <w:vAlign w:val="center"/>
          </w:tcPr>
          <w:p w14:paraId="210B7C92">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0BB2323D">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108" w:name="是否提供投标保证金"/>
            <w:r>
              <w:rPr>
                <w:rFonts w:hint="eastAsia" w:hAnsi="宋体" w:cs="宋体"/>
                <w:b w:val="0"/>
                <w:bCs w:val="0"/>
                <w:color w:val="auto"/>
                <w:kern w:val="0"/>
                <w:sz w:val="21"/>
                <w:szCs w:val="18"/>
                <w:highlight w:val="none"/>
                <w:lang w:val="en-US" w:eastAsia="zh-CN" w:bidi="ar"/>
              </w:rPr>
              <w:t>是</w:t>
            </w:r>
            <w:bookmarkEnd w:id="108"/>
          </w:p>
          <w:p w14:paraId="272F6DF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bookmarkStart w:id="109" w:name="投标保证金"/>
            <w:r>
              <w:rPr>
                <w:rFonts w:hint="eastAsia" w:hAnsi="宋体" w:cs="宋体"/>
                <w:color w:val="auto"/>
                <w:sz w:val="21"/>
                <w:szCs w:val="21"/>
                <w:highlight w:val="none"/>
                <w:u w:val="single"/>
                <w:lang w:val="en-US" w:eastAsia="zh-CN"/>
              </w:rPr>
              <w:t>5000.00</w:t>
            </w:r>
            <w:bookmarkEnd w:id="109"/>
            <w:r>
              <w:rPr>
                <w:rFonts w:hint="eastAsia" w:ascii="宋体" w:hAnsi="宋体" w:eastAsia="宋体" w:cs="宋体"/>
                <w:color w:val="auto"/>
                <w:sz w:val="21"/>
                <w:szCs w:val="21"/>
                <w:highlight w:val="none"/>
              </w:rPr>
              <w:t>元，由报价人从公司基本账户将投标保证金汇至以下指定账户：</w:t>
            </w:r>
          </w:p>
          <w:p w14:paraId="037BD869">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50310A9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26B551A1">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bookmarkStart w:id="110" w:name="单据名称3"/>
            <w:r>
              <w:rPr>
                <w:rFonts w:hint="eastAsia" w:ascii="宋体" w:hAnsi="宋体" w:eastAsia="宋体" w:cs="宋体"/>
                <w:i w:val="0"/>
                <w:iCs w:val="0"/>
                <w:color w:val="auto"/>
                <w:sz w:val="21"/>
                <w:szCs w:val="21"/>
                <w:highlight w:val="none"/>
                <w:u w:val="single"/>
              </w:rPr>
              <w:t>2026年高速私有云网络安全服务</w:t>
            </w:r>
            <w:bookmarkEnd w:id="110"/>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680B7B2A">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32FD6E2D">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3EB6076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4A4FF52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092EE80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3、若本项目“第一次”采购失败，采购人发布“第二次”采购后，报价人可沿用“第一次”采购递交的投标保证金，无需重复递交投标保证金。</w:t>
            </w:r>
          </w:p>
          <w:p w14:paraId="53CAC76C">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596BDDA7">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111" w:name="是否提供履约保证金"/>
            <w:r>
              <w:rPr>
                <w:rFonts w:hint="eastAsia" w:hAnsi="宋体" w:cs="宋体"/>
                <w:b w:val="0"/>
                <w:bCs w:val="0"/>
                <w:color w:val="auto"/>
                <w:kern w:val="0"/>
                <w:sz w:val="21"/>
                <w:szCs w:val="18"/>
                <w:highlight w:val="none"/>
                <w:lang w:val="en-US" w:eastAsia="zh-CN" w:bidi="ar"/>
              </w:rPr>
              <w:t>否</w:t>
            </w:r>
            <w:bookmarkEnd w:id="111"/>
          </w:p>
          <w:p w14:paraId="6E125F3E">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1A382EF4">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bookmarkStart w:id="112" w:name="履约保证金"/>
            <w:bookmarkEnd w:id="112"/>
          </w:p>
          <w:p w14:paraId="514A29AF">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5BB12420">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4EDA1456">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bookmarkStart w:id="113" w:name="单据名称4"/>
            <w:r>
              <w:rPr>
                <w:rFonts w:hint="eastAsia" w:ascii="宋体" w:hAnsi="宋体" w:eastAsia="宋体" w:cs="宋体"/>
                <w:i w:val="0"/>
                <w:iCs w:val="0"/>
                <w:color w:val="auto"/>
                <w:sz w:val="21"/>
                <w:szCs w:val="21"/>
                <w:highlight w:val="none"/>
                <w:u w:val="single"/>
              </w:rPr>
              <w:t>2026年高速私有云网络安全服务</w:t>
            </w:r>
            <w:bookmarkEnd w:id="113"/>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1A901BD2">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0347DBF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kern w:val="2"/>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08049100">
            <w:pPr>
              <w:pStyle w:val="149"/>
              <w:keepNext w:val="0"/>
              <w:keepLines w:val="0"/>
              <w:pageBreakBefore w:val="0"/>
              <w:widowControl w:val="0"/>
              <w:kinsoku/>
              <w:wordWrap/>
              <w:overflowPunct/>
              <w:topLinePunct w:val="0"/>
              <w:bidi w:val="0"/>
              <w:spacing w:line="400" w:lineRule="exact"/>
              <w:ind w:firstLine="422" w:firstLineChars="200"/>
              <w:textAlignment w:val="auto"/>
              <w:rPr>
                <w:rFonts w:hint="default" w:ascii="宋体" w:hAnsi="宋体" w:cs="宋体"/>
                <w:b/>
                <w:bCs/>
                <w:color w:val="auto"/>
                <w:kern w:val="0"/>
                <w:szCs w:val="21"/>
                <w:highlight w:val="none"/>
                <w:lang w:val="en-US" w:bidi="ar"/>
              </w:rPr>
            </w:pPr>
            <w:r>
              <w:rPr>
                <w:rFonts w:hint="eastAsia" w:hAnsi="宋体"/>
                <w:b/>
                <w:bCs/>
                <w:color w:val="auto"/>
                <w:kern w:val="2"/>
                <w:sz w:val="21"/>
                <w:szCs w:val="21"/>
                <w:highlight w:val="none"/>
                <w:lang w:val="en-US" w:eastAsia="zh-CN"/>
              </w:rPr>
              <w:t>三、低价风险担保金</w:t>
            </w:r>
          </w:p>
          <w:p w14:paraId="2A2E6BAF">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报价人是否提供低价风险担保金</w:t>
            </w:r>
            <w:r>
              <w:rPr>
                <w:rFonts w:hint="eastAsia" w:ascii="宋体" w:hAnsi="宋体" w:cs="宋体"/>
                <w:b w:val="0"/>
                <w:bCs w:val="0"/>
                <w:color w:val="auto"/>
                <w:kern w:val="0"/>
                <w:sz w:val="21"/>
                <w:szCs w:val="18"/>
                <w:highlight w:val="none"/>
                <w:lang w:eastAsia="zh-CN" w:bidi="ar"/>
              </w:rPr>
              <w:t>：</w:t>
            </w:r>
            <w:bookmarkStart w:id="114" w:name="是否提供低价风险担保金"/>
            <w:r>
              <w:rPr>
                <w:rFonts w:hint="eastAsia" w:ascii="宋体" w:hAnsi="宋体" w:cs="宋体"/>
                <w:b w:val="0"/>
                <w:bCs w:val="0"/>
                <w:color w:val="auto"/>
                <w:kern w:val="0"/>
                <w:sz w:val="21"/>
                <w:szCs w:val="18"/>
                <w:highlight w:val="none"/>
                <w:lang w:val="en-US" w:eastAsia="zh-CN" w:bidi="ar"/>
              </w:rPr>
              <w:t>是</w:t>
            </w:r>
            <w:bookmarkEnd w:id="114"/>
          </w:p>
          <w:p w14:paraId="164DDDF1">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低价风险担保：中标价低于最高限价的85%时提供，如不按时足额提供，视为中标人放弃中标，</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有权不退还其投标保证金。</w:t>
            </w:r>
          </w:p>
          <w:p w14:paraId="7CAAC4C6">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中标人提供低价风险担保的形式、金额及期限：</w:t>
            </w:r>
          </w:p>
          <w:p w14:paraId="381E343B">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（1）低价风险担保的形式：现金或保函；采用保函形式的，保函必须为不可撤销、不可转让且见索即付的独立保函，保函格式详见</w:t>
            </w:r>
            <w:r>
              <w:rPr>
                <w:rFonts w:hint="eastAsia" w:ascii="宋体" w:hAnsi="宋体" w:cs="宋体"/>
                <w:color w:val="auto"/>
                <w:kern w:val="0"/>
                <w:szCs w:val="21"/>
                <w:highlight w:val="none"/>
                <w:lang w:val="en-US" w:eastAsia="zh-CN" w:bidi="ar"/>
              </w:rPr>
              <w:t>附件</w:t>
            </w:r>
            <w:r>
              <w:rPr>
                <w:rFonts w:hint="eastAsia" w:ascii="宋体" w:hAnsi="宋体" w:cs="宋体"/>
                <w:color w:val="auto"/>
                <w:kern w:val="0"/>
                <w:szCs w:val="21"/>
                <w:highlight w:val="none"/>
                <w:lang w:bidi="ar"/>
              </w:rPr>
              <w:t>合同条款及格式附件，中标人出具保函时，不得修改“低价风险担保保函”名称，也不得对低价风险担保保函示范文本中付款条件等实质性内容进行修改，否则视为不符合</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w:t>
            </w:r>
          </w:p>
          <w:p w14:paraId="428EEC1D">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（2）低价风险担保的金额：（最高限价×85%-中标价）×3，且最高不超过最高限价的85%。</w:t>
            </w:r>
          </w:p>
          <w:p w14:paraId="486A932F">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（3）低价风险担保送达</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的时间：从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 xml:space="preserve">中标通知书送达拟中标人之日起 20 </w:t>
            </w:r>
            <w:r>
              <w:rPr>
                <w:rFonts w:hint="eastAsia" w:ascii="宋体" w:hAnsi="宋体" w:cs="宋体"/>
                <w:color w:val="auto"/>
                <w:kern w:val="0"/>
                <w:szCs w:val="21"/>
                <w:highlight w:val="none"/>
                <w:lang w:val="en-US" w:eastAsia="zh-CN" w:bidi="ar"/>
              </w:rPr>
              <w:t>个</w:t>
            </w:r>
            <w:r>
              <w:rPr>
                <w:rFonts w:hint="eastAsia" w:ascii="宋体" w:hAnsi="宋体" w:cs="宋体"/>
                <w:color w:val="auto"/>
                <w:kern w:val="0"/>
                <w:szCs w:val="21"/>
                <w:highlight w:val="none"/>
                <w:lang w:bidi="ar"/>
              </w:rPr>
              <w:t>工作日内。</w:t>
            </w:r>
          </w:p>
          <w:p w14:paraId="57A1C54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签订合同的，其以现金形式提交低价风险担保的，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有权扣除其低价风险担保金并取消其中标资格；以保函形式提交低价风险担保的，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有权要求保函开立人支付保函担保的与低价风险担保金额等额的款项并取消中标人中标资格；中标人因自身原因未按中标通知书规定的时限与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签订合同，且未提交低价风险担保金或低价风险保函的，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有权要求中标人承担低价风险担保金等额的损失并取消中标人资格。</w:t>
            </w:r>
          </w:p>
          <w:p w14:paraId="4D6BD9C7">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（5）低价风险担保的期限：自低价风险担保生效之日起至合同设备验收证书或验收款支付函签署之日止。</w:t>
            </w:r>
          </w:p>
          <w:p w14:paraId="5D62CAFB">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低价风险担保的退还时间：采用现金担保的，在现场工程师确认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完成后28天内全额退还，合同履行期间允许</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用符合要求的银行保函进行置换；若所</w:t>
            </w:r>
            <w:r>
              <w:rPr>
                <w:rFonts w:hint="eastAsia" w:ascii="宋体" w:hAnsi="宋体" w:cs="宋体"/>
                <w:color w:val="auto"/>
                <w:kern w:val="0"/>
                <w:szCs w:val="21"/>
                <w:highlight w:val="none"/>
                <w:lang w:val="en-US" w:eastAsia="zh-CN" w:bidi="ar"/>
              </w:rPr>
              <w:t>提供服务</w:t>
            </w:r>
            <w:r>
              <w:rPr>
                <w:rFonts w:hint="eastAsia" w:ascii="宋体" w:hAnsi="宋体" w:cs="宋体"/>
                <w:color w:val="auto"/>
                <w:kern w:val="0"/>
                <w:szCs w:val="21"/>
                <w:highlight w:val="none"/>
                <w:lang w:bidi="ar"/>
              </w:rPr>
              <w:t>完全满足要求，经现场工程师确认后可在</w:t>
            </w:r>
            <w:r>
              <w:rPr>
                <w:rFonts w:hint="eastAsia" w:ascii="宋体" w:hAnsi="宋体" w:cs="宋体"/>
                <w:color w:val="auto"/>
                <w:kern w:val="0"/>
                <w:szCs w:val="21"/>
                <w:highlight w:val="none"/>
                <w:lang w:val="en-US" w:eastAsia="zh-CN" w:bidi="ar"/>
              </w:rPr>
              <w:t>服务合同</w:t>
            </w:r>
            <w:r>
              <w:rPr>
                <w:rFonts w:hint="eastAsia" w:ascii="宋体" w:hAnsi="宋体" w:cs="宋体"/>
                <w:color w:val="auto"/>
                <w:kern w:val="0"/>
                <w:szCs w:val="21"/>
                <w:highlight w:val="none"/>
                <w:lang w:bidi="ar"/>
              </w:rPr>
              <w:t>金额达到合同金额的一半时，可申请退还一半的低价风险担保金，剩余部分在现场工程师确认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w:t>
            </w:r>
          </w:p>
          <w:p w14:paraId="4B6C9868">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（5）低价风险担保的扣减：</w:t>
            </w:r>
          </w:p>
          <w:p w14:paraId="35293692">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在合同履行期间，以其投标时填报的价格过低为由拒绝</w:t>
            </w:r>
            <w:r>
              <w:rPr>
                <w:rFonts w:hint="eastAsia" w:ascii="宋体" w:hAnsi="宋体" w:cs="宋体"/>
                <w:color w:val="auto"/>
                <w:kern w:val="0"/>
                <w:szCs w:val="21"/>
                <w:highlight w:val="none"/>
                <w:lang w:val="en-US" w:eastAsia="zh-CN" w:bidi="ar"/>
              </w:rPr>
              <w:t>履行合同义务</w:t>
            </w:r>
            <w:r>
              <w:rPr>
                <w:rFonts w:hint="eastAsia" w:ascii="宋体" w:hAnsi="宋体" w:cs="宋体"/>
                <w:color w:val="auto"/>
                <w:kern w:val="0"/>
                <w:szCs w:val="21"/>
                <w:highlight w:val="none"/>
                <w:lang w:bidi="ar"/>
              </w:rPr>
              <w:t>；或因其自身其他原因导致项目暂停等，给</w:t>
            </w:r>
            <w:r>
              <w:rPr>
                <w:rFonts w:hint="eastAsia" w:ascii="宋体" w:hAnsi="宋体" w:cs="宋体"/>
                <w:color w:val="auto"/>
                <w:kern w:val="0"/>
                <w:szCs w:val="21"/>
                <w:highlight w:val="none"/>
                <w:lang w:eastAsia="zh-CN" w:bidi="ar"/>
              </w:rPr>
              <w:t>甲方</w:t>
            </w:r>
            <w:r>
              <w:rPr>
                <w:rFonts w:hint="eastAsia" w:ascii="宋体" w:hAnsi="宋体" w:cs="宋体"/>
                <w:color w:val="auto"/>
                <w:kern w:val="0"/>
                <w:szCs w:val="21"/>
                <w:highlight w:val="none"/>
                <w:lang w:bidi="ar"/>
              </w:rPr>
              <w:t>造成直接经济损失且拒绝承担的，按低价风险担保金额的50～100%扣减，直至解除合同；</w:t>
            </w:r>
          </w:p>
          <w:p w14:paraId="109A0850">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②因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违约被解除合同的，低价风险担保将全额扣除；</w:t>
            </w:r>
          </w:p>
          <w:p w14:paraId="5C736B4B">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③因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原因导致的其他情形。</w:t>
            </w:r>
          </w:p>
          <w:p w14:paraId="5E960C2F">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拟中标人或者中标人放弃中标项目，无正当理由不与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签订合同，在签订合同时向</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提出附加条件或者更改合同实质性内容，或者拒不按照</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规定提交低价风险担保或履约担保的，取消其中标资格，投标保证金以现金形式交纳的不予退还，以保函形式递交的由保函开立人支付保函担保的与投标保证金等额的款项，给</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造成的损失超过投标保证金数额的，拟中标人或中标人应对超过部分予以赔偿。</w:t>
            </w:r>
          </w:p>
          <w:p w14:paraId="0001B90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备注：当中标人或拟中标人未按时提交低价风险担保，且属于可以延长低价风险担保提交期限的特殊情形时，经</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同意，可适当延长低价风险担保的提交期限。</w:t>
            </w:r>
          </w:p>
          <w:p w14:paraId="0D4F1366">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投标总报价低于最高限价85%的，</w:t>
            </w:r>
            <w:r>
              <w:rPr>
                <w:rFonts w:hint="eastAsia" w:ascii="宋体" w:hAnsi="宋体" w:cs="宋体"/>
                <w:color w:val="auto"/>
                <w:kern w:val="0"/>
                <w:szCs w:val="21"/>
                <w:highlight w:val="none"/>
                <w:lang w:eastAsia="zh-CN" w:bidi="ar"/>
              </w:rPr>
              <w:t>报价人</w:t>
            </w:r>
            <w:r>
              <w:rPr>
                <w:rFonts w:hint="eastAsia" w:ascii="宋体" w:hAnsi="宋体" w:cs="宋体"/>
                <w:color w:val="auto"/>
                <w:kern w:val="0"/>
                <w:szCs w:val="21"/>
                <w:highlight w:val="none"/>
                <w:lang w:bidi="ar"/>
              </w:rPr>
              <w:t>应在编制</w:t>
            </w:r>
            <w:r>
              <w:rPr>
                <w:rFonts w:hint="eastAsia" w:ascii="宋体" w:hAnsi="宋体" w:cs="宋体"/>
                <w:color w:val="auto"/>
                <w:kern w:val="0"/>
                <w:szCs w:val="21"/>
                <w:highlight w:val="none"/>
                <w:lang w:eastAsia="zh-CN" w:bidi="ar"/>
              </w:rPr>
              <w:t>竞争性比选响应文件</w:t>
            </w:r>
            <w:r>
              <w:rPr>
                <w:rFonts w:hint="eastAsia" w:ascii="宋体" w:hAnsi="宋体" w:cs="宋体"/>
                <w:color w:val="auto"/>
                <w:kern w:val="0"/>
                <w:szCs w:val="21"/>
                <w:highlight w:val="none"/>
                <w:lang w:bidi="ar"/>
              </w:rPr>
              <w:t>时，在</w:t>
            </w:r>
            <w:r>
              <w:rPr>
                <w:rFonts w:hint="default" w:ascii="宋体" w:hAnsi="宋体" w:cs="宋体"/>
                <w:color w:val="auto"/>
                <w:highlight w:val="none"/>
              </w:rPr>
              <w:t>竞争性比选响应文件格式</w:t>
            </w:r>
            <w:r>
              <w:rPr>
                <w:rFonts w:hint="eastAsia" w:ascii="宋体" w:hAnsi="宋体" w:cs="宋体"/>
                <w:color w:val="auto"/>
                <w:kern w:val="0"/>
                <w:szCs w:val="21"/>
                <w:highlight w:val="none"/>
                <w:lang w:bidi="ar"/>
              </w:rPr>
              <w:t>中递交低价风险担保提交承诺书</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格式自拟</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w:t>
            </w:r>
          </w:p>
          <w:p w14:paraId="4F760013">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cs="宋体"/>
                <w:color w:val="auto"/>
                <w:sz w:val="21"/>
                <w:szCs w:val="21"/>
                <w:highlight w:val="none"/>
              </w:rPr>
            </w:pPr>
            <w:r>
              <w:rPr>
                <w:rFonts w:hint="eastAsia" w:ascii="宋体" w:hAnsi="宋体" w:cs="宋体"/>
                <w:color w:val="auto"/>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7A55DBA3">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四、采购人指定的开户银行及账号如下：</w:t>
            </w:r>
          </w:p>
          <w:p w14:paraId="1AC77FFB">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283D7547">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5C0891CF">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7B6190B1">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olor w:val="auto"/>
                <w:kern w:val="2"/>
                <w:sz w:val="21"/>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676CA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1CF1B3B">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sz w:val="21"/>
                <w:szCs w:val="21"/>
                <w:highlight w:val="none"/>
              </w:rPr>
              <w:t>21</w:t>
            </w:r>
          </w:p>
        </w:tc>
        <w:tc>
          <w:tcPr>
            <w:tcW w:w="2106" w:type="dxa"/>
            <w:vAlign w:val="center"/>
          </w:tcPr>
          <w:p w14:paraId="3D94B109">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投标文件的装订、密封及标记</w:t>
            </w:r>
          </w:p>
        </w:tc>
        <w:tc>
          <w:tcPr>
            <w:tcW w:w="7104" w:type="dxa"/>
            <w:vAlign w:val="center"/>
          </w:tcPr>
          <w:p w14:paraId="0585F2F4">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w:t>
            </w:r>
            <w:r>
              <w:rPr>
                <w:rFonts w:hint="eastAsia" w:ascii="宋体" w:hAnsi="宋体" w:eastAsia="宋体" w:cs="宋体"/>
                <w:color w:val="auto"/>
                <w:kern w:val="2"/>
                <w:sz w:val="21"/>
                <w:szCs w:val="21"/>
                <w:highlight w:val="none"/>
                <w:shd w:val="clear" w:color="auto" w:fill="FFFFFF"/>
              </w:rPr>
              <w:t>盖章版扫描件</w:t>
            </w:r>
            <w:r>
              <w:rPr>
                <w:rFonts w:hint="eastAsia" w:hAnsi="宋体" w:cs="宋体"/>
                <w:color w:val="auto"/>
                <w:kern w:val="2"/>
                <w:sz w:val="21"/>
                <w:szCs w:val="21"/>
                <w:highlight w:val="none"/>
                <w:shd w:val="clear" w:color="auto" w:fill="FFFFFF"/>
                <w:lang w:val="en-US" w:eastAsia="zh-CN"/>
              </w:rPr>
              <w:t>（原件或彩色复印件的扫描件均可）</w:t>
            </w:r>
            <w:r>
              <w:rPr>
                <w:rFonts w:hint="eastAsia" w:ascii="宋体" w:hAnsi="宋体" w:eastAsia="宋体" w:cs="宋体"/>
                <w:color w:val="auto"/>
                <w:kern w:val="2"/>
                <w:sz w:val="21"/>
                <w:szCs w:val="21"/>
                <w:highlight w:val="none"/>
                <w:shd w:val="clear" w:color="auto" w:fill="FFFFFF"/>
              </w:rPr>
              <w:t>PDF格式一份</w:t>
            </w:r>
            <w:r>
              <w:rPr>
                <w:rFonts w:hint="eastAsia" w:ascii="宋体" w:hAnsi="宋体" w:cs="宋体"/>
                <w:b w:val="0"/>
                <w:bCs w:val="0"/>
                <w:color w:val="auto"/>
                <w:szCs w:val="21"/>
                <w:highlight w:val="none"/>
              </w:rPr>
              <w:t>，电子文件内容须包括竞争性比选响应文件全部内容）。当电子文件与纸质版竞争性比选响应文件不一致时，以纸质版竞争性比选响应文件为准，当正本与副本不一致时，以正本为准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5BC74D7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304B70AC">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62CF41D9">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highlight w:val="none"/>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64C3F98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2"/>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03EB8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61D170E4">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14:paraId="231CCC6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405455B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750EC57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294034CA">
            <w:pPr>
              <w:pStyle w:val="149"/>
              <w:keepNext w:val="0"/>
              <w:keepLines w:val="0"/>
              <w:pageBreakBefore w:val="0"/>
              <w:widowControl w:val="0"/>
              <w:kinsoku/>
              <w:wordWrap/>
              <w:overflowPunct/>
              <w:bidi w:val="0"/>
              <w:spacing w:line="400" w:lineRule="exact"/>
              <w:textAlignment w:val="auto"/>
              <w:rPr>
                <w:rFonts w:hint="eastAsia" w:hAnsi="宋体"/>
                <w:b/>
                <w:bCs/>
                <w:color w:val="auto"/>
                <w:kern w:val="2"/>
                <w:sz w:val="21"/>
                <w:szCs w:val="21"/>
                <w:highlight w:val="none"/>
                <w:lang w:val="en-US" w:eastAsia="zh-CN"/>
              </w:rPr>
            </w:pPr>
          </w:p>
        </w:tc>
      </w:tr>
      <w:tr w14:paraId="24B17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9B8C7A8">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22</w:t>
            </w:r>
          </w:p>
        </w:tc>
        <w:tc>
          <w:tcPr>
            <w:tcW w:w="2106" w:type="dxa"/>
            <w:vAlign w:val="center"/>
          </w:tcPr>
          <w:p w14:paraId="0006F77B">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14:paraId="3D70778F">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监督部门：重庆首讯科技股份有限公司合规监管部</w:t>
            </w:r>
          </w:p>
          <w:p w14:paraId="40C0CE89">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地    址：重庆市渝北区龙溪街道新南路52号1幢3-1</w:t>
            </w:r>
          </w:p>
          <w:p w14:paraId="02FC0A65">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rPr>
              <w:t>电    话：023-</w:t>
            </w:r>
            <w:r>
              <w:rPr>
                <w:rFonts w:hint="eastAsia" w:hAnsi="宋体"/>
                <w:color w:val="auto"/>
                <w:kern w:val="2"/>
                <w:sz w:val="21"/>
                <w:szCs w:val="21"/>
                <w:highlight w:val="none"/>
                <w:lang w:val="en-US" w:eastAsia="zh-CN"/>
              </w:rPr>
              <w:t>63132246</w:t>
            </w:r>
          </w:p>
          <w:p w14:paraId="52BFB2C4">
            <w:pPr>
              <w:pStyle w:val="149"/>
              <w:keepNext w:val="0"/>
              <w:keepLines w:val="0"/>
              <w:pageBreakBefore w:val="0"/>
              <w:widowControl w:val="0"/>
              <w:kinsoku/>
              <w:wordWrap/>
              <w:overflowPunct/>
              <w:bidi w:val="0"/>
              <w:spacing w:line="400" w:lineRule="exact"/>
              <w:ind w:firstLine="420" w:firstLineChars="200"/>
              <w:textAlignment w:val="auto"/>
              <w:rPr>
                <w:rFonts w:hint="default" w:hAnsi="宋体"/>
                <w:color w:val="auto"/>
                <w:kern w:val="2"/>
                <w:sz w:val="21"/>
                <w:szCs w:val="21"/>
                <w:highlight w:val="none"/>
                <w:lang w:val="en-US" w:eastAsia="zh-CN"/>
              </w:rPr>
            </w:pPr>
          </w:p>
        </w:tc>
      </w:tr>
      <w:tr w14:paraId="50C77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5810CCD">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sz w:val="21"/>
                <w:szCs w:val="21"/>
                <w:highlight w:val="none"/>
                <w:lang w:val="en-US" w:eastAsia="zh-CN"/>
              </w:rPr>
              <w:t>23</w:t>
            </w:r>
          </w:p>
        </w:tc>
        <w:tc>
          <w:tcPr>
            <w:tcW w:w="2106" w:type="dxa"/>
            <w:vAlign w:val="center"/>
          </w:tcPr>
          <w:p w14:paraId="06D8BEF5">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104" w:type="dxa"/>
            <w:vAlign w:val="center"/>
          </w:tcPr>
          <w:p w14:paraId="622673B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14:paraId="1CCDD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BDE0E50">
            <w:pPr>
              <w:pStyle w:val="149"/>
              <w:keepNext w:val="0"/>
              <w:keepLines w:val="0"/>
              <w:pageBreakBefore w:val="0"/>
              <w:kinsoku/>
              <w:wordWrap/>
              <w:overflowPunct/>
              <w:bidi w:val="0"/>
              <w:spacing w:line="400" w:lineRule="exact"/>
              <w:jc w:val="center"/>
              <w:textAlignment w:val="auto"/>
              <w:rPr>
                <w:rFonts w:hint="default" w:hAnsi="宋体" w:cs="宋体"/>
                <w:color w:val="auto"/>
                <w:sz w:val="21"/>
                <w:szCs w:val="21"/>
                <w:highlight w:val="none"/>
                <w:lang w:val="en-US" w:eastAsia="zh-CN"/>
              </w:rPr>
            </w:pPr>
            <w:r>
              <w:rPr>
                <w:rFonts w:hint="eastAsia" w:hAnsi="宋体" w:cs="宋体"/>
                <w:color w:val="auto"/>
                <w:sz w:val="21"/>
                <w:szCs w:val="21"/>
                <w:highlight w:val="none"/>
                <w:lang w:val="en-US" w:eastAsia="zh-CN"/>
              </w:rPr>
              <w:t>24</w:t>
            </w:r>
          </w:p>
        </w:tc>
        <w:tc>
          <w:tcPr>
            <w:tcW w:w="2106" w:type="dxa"/>
            <w:vAlign w:val="center"/>
          </w:tcPr>
          <w:p w14:paraId="52131199">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确定中标人</w:t>
            </w:r>
          </w:p>
        </w:tc>
        <w:tc>
          <w:tcPr>
            <w:tcW w:w="7104" w:type="dxa"/>
            <w:vAlign w:val="center"/>
          </w:tcPr>
          <w:p w14:paraId="60E29F5C">
            <w:pPr>
              <w:keepNext w:val="0"/>
              <w:keepLines w:val="0"/>
              <w:pageBreakBefore w:val="0"/>
              <w:widowControl w:val="0"/>
              <w:kinsoku/>
              <w:wordWrap w:val="0"/>
              <w:overflowPunct/>
              <w:topLinePunct w:val="0"/>
              <w:bidi w:val="0"/>
              <w:adjustRightInd/>
              <w:snapToGrid/>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27508068">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61B19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8572CA7">
            <w:pPr>
              <w:pStyle w:val="149"/>
              <w:keepNext w:val="0"/>
              <w:keepLines w:val="0"/>
              <w:pageBreakBefore w:val="0"/>
              <w:kinsoku/>
              <w:wordWrap/>
              <w:overflowPunct/>
              <w:bidi w:val="0"/>
              <w:spacing w:line="400" w:lineRule="exact"/>
              <w:jc w:val="center"/>
              <w:textAlignment w:val="auto"/>
              <w:rPr>
                <w:rFonts w:hint="eastAsia" w:hAnsi="宋体" w:cs="宋体"/>
                <w:color w:val="auto"/>
                <w:sz w:val="21"/>
                <w:szCs w:val="21"/>
                <w:highlight w:val="none"/>
                <w:lang w:val="en-US" w:eastAsia="zh-CN"/>
              </w:rPr>
            </w:pPr>
            <w:r>
              <w:rPr>
                <w:rFonts w:hint="eastAsia" w:hAnsi="宋体"/>
                <w:color w:val="auto"/>
                <w:kern w:val="2"/>
                <w:sz w:val="21"/>
                <w:szCs w:val="21"/>
                <w:highlight w:val="none"/>
                <w:lang w:val="en-US" w:eastAsia="zh-CN"/>
              </w:rPr>
              <w:t>25</w:t>
            </w:r>
          </w:p>
        </w:tc>
        <w:tc>
          <w:tcPr>
            <w:tcW w:w="2106" w:type="dxa"/>
            <w:vAlign w:val="center"/>
          </w:tcPr>
          <w:p w14:paraId="675F587B">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乙方违约的处理</w:t>
            </w:r>
          </w:p>
        </w:tc>
        <w:tc>
          <w:tcPr>
            <w:tcW w:w="7104" w:type="dxa"/>
            <w:vAlign w:val="center"/>
          </w:tcPr>
          <w:p w14:paraId="293E4125">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1.乙方应在所规定的时间内完成和交付。如乙方未履行义务，应当向甲方支付违约金，违约金以及其它相关处罚的具体确定方式以及金额依照</w:t>
            </w:r>
            <w:r>
              <w:rPr>
                <w:rFonts w:hint="eastAsia" w:ascii="宋体" w:hAnsi="宋体" w:cs="宋体"/>
                <w:b w:val="0"/>
                <w:color w:val="auto"/>
                <w:sz w:val="21"/>
                <w:szCs w:val="21"/>
                <w:highlight w:val="none"/>
                <w:lang w:val="en-US" w:eastAsia="zh-CN"/>
              </w:rPr>
              <w:t>合同</w:t>
            </w:r>
            <w:r>
              <w:rPr>
                <w:rFonts w:hint="eastAsia" w:ascii="宋体" w:hAnsi="宋体" w:eastAsia="宋体" w:cs="宋体"/>
                <w:b w:val="0"/>
                <w:color w:val="auto"/>
                <w:sz w:val="21"/>
                <w:szCs w:val="21"/>
                <w:highlight w:val="none"/>
              </w:rPr>
              <w:t>附件一执行，每结算季度中产生的违约金在当期结算金额中直接扣除。</w:t>
            </w:r>
          </w:p>
          <w:p w14:paraId="07BCD4EF">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2.如因乙方服务人员造成甲方损失且违约金不足以弥补的，乙方还必须对造成的损失按实际情况进行赔偿（具体赔偿金额可由甲乙双方认可的第三方评估机构进行实际评估计算）。</w:t>
            </w:r>
          </w:p>
          <w:p w14:paraId="41BE5E7A">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3</w:t>
            </w:r>
            <w:r>
              <w:rPr>
                <w:rFonts w:hint="eastAsia" w:ascii="宋体" w:hAnsi="宋体" w:eastAsia="宋体" w:cs="宋体"/>
                <w:b w:val="0"/>
                <w:color w:val="auto"/>
                <w:sz w:val="21"/>
                <w:szCs w:val="21"/>
                <w:highlight w:val="none"/>
              </w:rPr>
              <w:t>.任何一方违反本合同所规定的保密义务，违约方应按约定支付违约金。如实际损失超过该违约金的，受损失一方有权要求对方赔偿超过部分。</w:t>
            </w:r>
          </w:p>
          <w:p w14:paraId="744A6723">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default" w:ascii="Wonder Arial" w:hAnsi="Wonder Arial" w:eastAsia="方正仿宋_GB2312" w:cs="Wonder Arial"/>
                <w:b w:val="0"/>
                <w:color w:val="auto"/>
                <w:sz w:val="21"/>
                <w:szCs w:val="21"/>
                <w:highlight w:val="none"/>
              </w:rPr>
            </w:pPr>
            <w:r>
              <w:rPr>
                <w:rFonts w:hint="eastAsia" w:ascii="宋体" w:hAnsi="宋体" w:cs="宋体"/>
                <w:b w:val="0"/>
                <w:color w:val="auto"/>
                <w:sz w:val="21"/>
                <w:szCs w:val="21"/>
                <w:highlight w:val="none"/>
                <w:lang w:val="en-US" w:eastAsia="zh-CN"/>
              </w:rPr>
              <w:t>4</w:t>
            </w:r>
            <w:r>
              <w:rPr>
                <w:rFonts w:hint="eastAsia" w:ascii="宋体" w:hAnsi="宋体" w:eastAsia="宋体" w:cs="宋体"/>
                <w:b w:val="0"/>
                <w:color w:val="auto"/>
                <w:sz w:val="21"/>
                <w:szCs w:val="21"/>
                <w:highlight w:val="none"/>
              </w:rPr>
              <w:t>.甲方有权对乙方提供的服务进行定期检查，若乙方未满足要求，每发现一次，乙方应向甲方支付2000元/次的违约金。</w:t>
            </w:r>
          </w:p>
          <w:p w14:paraId="3E5FA162">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5</w:t>
            </w:r>
            <w:r>
              <w:rPr>
                <w:rFonts w:hint="eastAsia" w:ascii="宋体" w:hAnsi="宋体" w:eastAsia="宋体" w:cs="宋体"/>
                <w:b w:val="0"/>
                <w:color w:val="auto"/>
                <w:sz w:val="21"/>
                <w:szCs w:val="21"/>
                <w:highlight w:val="none"/>
              </w:rPr>
              <w:t>.任何一方违反本合同所规定的其他义务，除本合同另有约定外，违约方按合同总价的5%向对方支付违约金。</w:t>
            </w:r>
          </w:p>
          <w:p w14:paraId="457916AE">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6</w:t>
            </w:r>
            <w:r>
              <w:rPr>
                <w:rFonts w:hint="eastAsia" w:ascii="宋体" w:hAnsi="宋体" w:eastAsia="宋体" w:cs="宋体"/>
                <w:b w:val="0"/>
                <w:color w:val="auto"/>
                <w:sz w:val="21"/>
                <w:szCs w:val="21"/>
                <w:highlight w:val="none"/>
              </w:rPr>
              <w:t>.按本合同赔偿的违约金应在15个工作日内付清，否则，按逾期付款处理，即每迟延一日按欠付金额的0.03%支付违约金。</w:t>
            </w:r>
          </w:p>
          <w:p w14:paraId="7FC20663">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7</w:t>
            </w:r>
            <w:r>
              <w:rPr>
                <w:rFonts w:hint="eastAsia" w:ascii="宋体" w:hAnsi="宋体" w:eastAsia="宋体" w:cs="宋体"/>
                <w:b w:val="0"/>
                <w:color w:val="auto"/>
                <w:sz w:val="21"/>
                <w:szCs w:val="21"/>
                <w:highlight w:val="none"/>
              </w:rPr>
              <w:t>.以上涉及违约金或罚款的，应先扣除履约保证金，直至履约保证金扣除完后，在</w:t>
            </w:r>
            <w:r>
              <w:rPr>
                <w:rFonts w:hint="eastAsia" w:ascii="宋体" w:hAnsi="宋体" w:cs="宋体"/>
                <w:b w:val="0"/>
                <w:color w:val="auto"/>
                <w:sz w:val="21"/>
                <w:szCs w:val="21"/>
                <w:highlight w:val="none"/>
                <w:lang w:val="en-US" w:eastAsia="zh-CN"/>
              </w:rPr>
              <w:t>进度款中</w:t>
            </w:r>
            <w:r>
              <w:rPr>
                <w:rFonts w:hint="eastAsia" w:ascii="宋体" w:hAnsi="宋体" w:eastAsia="宋体" w:cs="宋体"/>
                <w:b w:val="0"/>
                <w:color w:val="auto"/>
                <w:sz w:val="21"/>
                <w:szCs w:val="21"/>
                <w:highlight w:val="none"/>
              </w:rPr>
              <w:t>扣除。</w:t>
            </w:r>
          </w:p>
          <w:p w14:paraId="4537F184">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8</w:t>
            </w:r>
            <w:r>
              <w:rPr>
                <w:rFonts w:hint="eastAsia" w:ascii="宋体" w:hAnsi="宋体" w:eastAsia="宋体" w:cs="宋体"/>
                <w:b w:val="0"/>
                <w:color w:val="auto"/>
                <w:sz w:val="21"/>
                <w:szCs w:val="21"/>
                <w:highlight w:val="none"/>
              </w:rPr>
              <w:t>.因乙方服务人员造成甲方损失，乙方除应当负责配合甲方解决之外，还应当承担由此给甲方造成的一切损失。本义务不随本合同履行期限届满而结束。</w:t>
            </w:r>
          </w:p>
          <w:p w14:paraId="099A5A8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9</w:t>
            </w:r>
            <w:r>
              <w:rPr>
                <w:rFonts w:hint="eastAsia" w:ascii="宋体" w:hAnsi="宋体" w:eastAsia="宋体" w:cs="宋体"/>
                <w:b w:val="0"/>
                <w:color w:val="auto"/>
                <w:sz w:val="21"/>
                <w:szCs w:val="21"/>
                <w:highlight w:val="none"/>
              </w:rPr>
              <w:t>.因履行合同而发生的一切安全保障责任、人身伤亡事故及造成的损失均由乙方承担。</w:t>
            </w:r>
          </w:p>
          <w:p w14:paraId="371F4435">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10</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tc>
      </w:tr>
      <w:tr w14:paraId="028D6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5B82620">
            <w:pPr>
              <w:pStyle w:val="149"/>
              <w:keepNext w:val="0"/>
              <w:keepLines w:val="0"/>
              <w:pageBreakBefore w:val="0"/>
              <w:widowControl w:val="0"/>
              <w:kinsoku/>
              <w:wordWrap/>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26</w:t>
            </w:r>
          </w:p>
        </w:tc>
        <w:tc>
          <w:tcPr>
            <w:tcW w:w="9210" w:type="dxa"/>
            <w:gridSpan w:val="2"/>
            <w:vAlign w:val="center"/>
          </w:tcPr>
          <w:p w14:paraId="5DF69C02">
            <w:pPr>
              <w:pStyle w:val="149"/>
              <w:keepNext w:val="0"/>
              <w:keepLines w:val="0"/>
              <w:pageBreakBefore w:val="0"/>
              <w:widowControl w:val="0"/>
              <w:kinsoku/>
              <w:wordWrap/>
              <w:overflowPunct/>
              <w:bidi w:val="0"/>
              <w:spacing w:line="400" w:lineRule="exact"/>
              <w:ind w:firstLine="482" w:firstLineChars="200"/>
              <w:jc w:val="center"/>
              <w:textAlignment w:val="auto"/>
              <w:rPr>
                <w:rFonts w:hAnsi="宋体"/>
                <w:color w:val="auto"/>
                <w:kern w:val="2"/>
                <w:sz w:val="21"/>
                <w:szCs w:val="21"/>
                <w:highlight w:val="none"/>
              </w:rPr>
            </w:pPr>
            <w:r>
              <w:rPr>
                <w:rFonts w:hAnsi="宋体"/>
                <w:b/>
                <w:bCs/>
                <w:color w:val="auto"/>
                <w:szCs w:val="21"/>
                <w:highlight w:val="none"/>
              </w:rPr>
              <w:t>需要补充的其他内容</w:t>
            </w:r>
          </w:p>
        </w:tc>
      </w:tr>
      <w:tr w14:paraId="71C3E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3C13C0C">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6</w:t>
            </w:r>
            <w:r>
              <w:rPr>
                <w:rFonts w:hint="eastAsia" w:hAnsi="宋体"/>
                <w:color w:val="auto"/>
                <w:kern w:val="2"/>
                <w:sz w:val="21"/>
                <w:szCs w:val="21"/>
                <w:highlight w:val="none"/>
              </w:rPr>
              <w:t>.1</w:t>
            </w:r>
          </w:p>
        </w:tc>
        <w:tc>
          <w:tcPr>
            <w:tcW w:w="9210" w:type="dxa"/>
            <w:gridSpan w:val="2"/>
            <w:vAlign w:val="center"/>
          </w:tcPr>
          <w:p w14:paraId="6451C428">
            <w:pPr>
              <w:pStyle w:val="149"/>
              <w:keepNext w:val="0"/>
              <w:keepLines w:val="0"/>
              <w:pageBreakBefore w:val="0"/>
              <w:widowControl w:val="0"/>
              <w:kinsoku/>
              <w:wordWrap/>
              <w:overflowPunct/>
              <w:bidi w:val="0"/>
              <w:spacing w:line="400" w:lineRule="exact"/>
              <w:ind w:firstLine="420" w:firstLineChars="200"/>
              <w:textAlignment w:val="auto"/>
              <w:rPr>
                <w:rFonts w:hAnsi="宋体"/>
                <w:b/>
                <w:bCs/>
                <w:color w:val="auto"/>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02C99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9682474">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26</w:t>
            </w:r>
            <w:r>
              <w:rPr>
                <w:rFonts w:hint="eastAsia" w:hAnsi="宋体" w:cs="宋体"/>
                <w:color w:val="auto"/>
                <w:kern w:val="2"/>
                <w:sz w:val="21"/>
                <w:szCs w:val="21"/>
                <w:highlight w:val="none"/>
                <w:lang w:val="en-US" w:eastAsia="zh-CN"/>
              </w:rPr>
              <w:t>.2</w:t>
            </w:r>
          </w:p>
        </w:tc>
        <w:tc>
          <w:tcPr>
            <w:tcW w:w="9210" w:type="dxa"/>
            <w:gridSpan w:val="2"/>
            <w:vAlign w:val="center"/>
          </w:tcPr>
          <w:p w14:paraId="30BF2CF0">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需提供投标保证金银行回执（如有）。</w:t>
            </w:r>
          </w:p>
        </w:tc>
      </w:tr>
      <w:tr w14:paraId="5132C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82CC36F">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26.3</w:t>
            </w:r>
          </w:p>
        </w:tc>
        <w:tc>
          <w:tcPr>
            <w:tcW w:w="9210" w:type="dxa"/>
            <w:gridSpan w:val="2"/>
            <w:vAlign w:val="center"/>
          </w:tcPr>
          <w:p w14:paraId="5D187A48">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在报价时应充分考虑人工费用上涨、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期内不得调整。</w:t>
            </w:r>
          </w:p>
          <w:p w14:paraId="5A62C9FB">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1300F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E68BE53">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26.4</w:t>
            </w:r>
          </w:p>
        </w:tc>
        <w:tc>
          <w:tcPr>
            <w:tcW w:w="9210" w:type="dxa"/>
            <w:gridSpan w:val="2"/>
            <w:vAlign w:val="center"/>
          </w:tcPr>
          <w:p w14:paraId="69E96F8E">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49275FD0">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w:t>
            </w:r>
          </w:p>
          <w:p w14:paraId="27FE7E75">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6E06DE61">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cs="宋体"/>
                <w:color w:val="auto"/>
                <w:sz w:val="21"/>
                <w:szCs w:val="21"/>
                <w:highlight w:val="none"/>
                <w:lang w:val="en-US" w:eastAsia="zh-CN"/>
              </w:rPr>
            </w:pPr>
            <w:r>
              <w:rPr>
                <w:rFonts w:hint="eastAsia" w:hAnsi="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4B1CBB2D">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5.报价人须承诺完全服从采购人《合格供方库管理办法》（详见相关附件）的管理要求，对出现进度、质量、服务及违规问题的供应商，视违规行为的具体情形、情节轻重和危害程度，采购人可依据《合格供方库管理办法》给予暂停合格供应商资格、终止合格供应商资格、永久取消合格供应商资格（列入诚信黑名单）等处理。</w:t>
            </w:r>
          </w:p>
          <w:p w14:paraId="395960D0">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35682AA4">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69CBF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E82B287">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26.5</w:t>
            </w:r>
          </w:p>
        </w:tc>
        <w:tc>
          <w:tcPr>
            <w:tcW w:w="9210" w:type="dxa"/>
            <w:gridSpan w:val="2"/>
            <w:vAlign w:val="center"/>
          </w:tcPr>
          <w:p w14:paraId="232CE4B8">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tr w14:paraId="76078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73916C7">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26.6</w:t>
            </w:r>
          </w:p>
        </w:tc>
        <w:tc>
          <w:tcPr>
            <w:tcW w:w="9210" w:type="dxa"/>
            <w:gridSpan w:val="2"/>
            <w:vAlign w:val="center"/>
          </w:tcPr>
          <w:p w14:paraId="1ED00F6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有效期</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rPr>
              <w:t>日历天（从提交</w:t>
            </w:r>
            <w:r>
              <w:rPr>
                <w:rFonts w:hint="eastAsia" w:ascii="宋体" w:hAnsi="宋体" w:eastAsia="宋体" w:cs="宋体"/>
                <w:color w:val="auto"/>
                <w:szCs w:val="21"/>
                <w:highlight w:val="none"/>
                <w:lang w:val="en-US" w:eastAsia="zh-CN"/>
              </w:rPr>
              <w:t>竞争性比选响应</w:t>
            </w:r>
            <w:r>
              <w:rPr>
                <w:rFonts w:hint="eastAsia" w:ascii="宋体" w:hAnsi="宋体" w:eastAsia="宋体" w:cs="宋体"/>
                <w:color w:val="auto"/>
                <w:szCs w:val="21"/>
                <w:highlight w:val="none"/>
              </w:rPr>
              <w:t>文件截止日起计算）</w:t>
            </w:r>
          </w:p>
        </w:tc>
      </w:tr>
      <w:bookmarkEnd w:id="105"/>
    </w:tbl>
    <w:p w14:paraId="203B076A">
      <w:pPr>
        <w:rPr>
          <w:color w:val="auto"/>
          <w:highlight w:val="none"/>
        </w:rPr>
      </w:pPr>
    </w:p>
    <w:p w14:paraId="5C97F163">
      <w:pPr>
        <w:spacing w:line="360" w:lineRule="auto"/>
        <w:jc w:val="center"/>
        <w:rPr>
          <w:rFonts w:ascii="宋体" w:hAnsi="宋体" w:cs="宋体"/>
          <w:b/>
          <w:color w:val="auto"/>
          <w:sz w:val="28"/>
          <w:szCs w:val="28"/>
          <w:highlight w:val="none"/>
        </w:rPr>
        <w:sectPr>
          <w:headerReference r:id="rId7" w:type="default"/>
          <w:footerReference r:id="rId8" w:type="default"/>
          <w:pgSz w:w="11906" w:h="16838"/>
          <w:pgMar w:top="1440" w:right="1803" w:bottom="1440" w:left="1803" w:header="851" w:footer="992" w:gutter="0"/>
          <w:pgNumType w:start="1"/>
          <w:cols w:space="720" w:num="1"/>
          <w:docGrid w:type="lines" w:linePitch="312" w:charSpace="0"/>
        </w:sectPr>
      </w:pPr>
      <w:bookmarkStart w:id="115" w:name="_Hlt227984024"/>
      <w:bookmarkEnd w:id="115"/>
    </w:p>
    <w:p w14:paraId="5D5B6716">
      <w:pPr>
        <w:pStyle w:val="3"/>
        <w:jc w:val="center"/>
        <w:rPr>
          <w:rFonts w:ascii="宋体" w:hAnsi="宋体" w:eastAsia="宋体" w:cs="宋体"/>
          <w:bCs w:val="0"/>
          <w:color w:val="auto"/>
          <w:sz w:val="28"/>
          <w:szCs w:val="28"/>
          <w:highlight w:val="none"/>
        </w:rPr>
      </w:pPr>
      <w:bookmarkStart w:id="116" w:name="_Toc30198"/>
      <w:bookmarkStart w:id="117" w:name="_Toc11284"/>
      <w:bookmarkStart w:id="118" w:name="_Toc17532"/>
      <w:bookmarkStart w:id="119" w:name="_Toc11329222"/>
      <w:bookmarkStart w:id="120" w:name="_Toc21580"/>
      <w:r>
        <w:rPr>
          <w:rFonts w:hint="eastAsia" w:ascii="宋体" w:hAnsi="宋体" w:eastAsia="宋体" w:cs="宋体"/>
          <w:color w:val="auto"/>
          <w:sz w:val="28"/>
          <w:szCs w:val="28"/>
          <w:highlight w:val="none"/>
        </w:rPr>
        <w:t xml:space="preserve">附录1  </w:t>
      </w:r>
      <w:bookmarkEnd w:id="116"/>
      <w:bookmarkEnd w:id="117"/>
      <w:bookmarkEnd w:id="118"/>
      <w:bookmarkEnd w:id="119"/>
      <w:bookmarkStart w:id="121" w:name="_Toc27096"/>
      <w:bookmarkStart w:id="122" w:name="_Toc11329226"/>
      <w:bookmarkStart w:id="123" w:name="_Toc25591"/>
      <w:bookmarkStart w:id="124" w:name="_Toc12773"/>
      <w:r>
        <w:rPr>
          <w:rFonts w:hint="eastAsia" w:ascii="宋体" w:hAnsi="宋体" w:eastAsia="宋体" w:cs="宋体"/>
          <w:bCs w:val="0"/>
          <w:color w:val="auto"/>
          <w:sz w:val="28"/>
          <w:szCs w:val="28"/>
          <w:highlight w:val="none"/>
        </w:rPr>
        <w:t>报价人资格要求</w:t>
      </w:r>
      <w:bookmarkEnd w:id="120"/>
      <w:bookmarkEnd w:id="121"/>
      <w:bookmarkEnd w:id="122"/>
      <w:bookmarkEnd w:id="123"/>
      <w:bookmarkEnd w:id="124"/>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4B319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581BF672">
            <w:pPr>
              <w:spacing w:line="400" w:lineRule="exact"/>
              <w:jc w:val="center"/>
              <w:rPr>
                <w:rFonts w:ascii="宋体" w:hAnsi="宋体" w:cs="宋体"/>
                <w:color w:val="auto"/>
                <w:szCs w:val="21"/>
                <w:highlight w:val="none"/>
              </w:rPr>
            </w:pPr>
            <w:bookmarkStart w:id="125" w:name="_Toc388534043"/>
            <w:bookmarkStart w:id="126" w:name="_Toc387234996"/>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7486376E">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579C1E23">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3F267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0F58CED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219693E3">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300981E7">
            <w:pPr>
              <w:spacing w:line="400" w:lineRule="exact"/>
              <w:ind w:firstLine="420" w:firstLineChars="200"/>
              <w:rPr>
                <w:rFonts w:ascii="宋体" w:hAnsi="宋体" w:cs="宋体"/>
                <w:color w:val="auto"/>
                <w:szCs w:val="21"/>
                <w:highlight w:val="none"/>
              </w:rPr>
            </w:pPr>
            <w:bookmarkStart w:id="127" w:name="资质要求1"/>
            <w:r>
              <w:rPr>
                <w:rFonts w:hint="eastAsia" w:ascii="宋体" w:hAnsi="宋体" w:eastAsia="宋体" w:cs="宋体"/>
                <w:i w:val="0"/>
                <w:iCs w:val="0"/>
                <w:caps w:val="0"/>
                <w:color w:val="auto"/>
                <w:spacing w:val="0"/>
                <w:sz w:val="21"/>
                <w:szCs w:val="21"/>
                <w:highlight w:val="none"/>
                <w:shd w:val="clear" w:fill="FCFCFC"/>
              </w:rPr>
              <w:t>报价人具有独立法人资格和有效的营业执照。</w:t>
            </w:r>
            <w:bookmarkEnd w:id="127"/>
          </w:p>
        </w:tc>
      </w:tr>
      <w:tr w14:paraId="5E1D9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743F3062">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53873499">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65121F4C">
            <w:pPr>
              <w:spacing w:line="400" w:lineRule="exact"/>
              <w:ind w:firstLine="420" w:firstLineChars="200"/>
              <w:rPr>
                <w:rFonts w:hint="eastAsia" w:ascii="宋体" w:hAnsi="宋体" w:cs="宋体"/>
                <w:color w:val="auto"/>
                <w:szCs w:val="21"/>
                <w:highlight w:val="none"/>
                <w:shd w:val="clear" w:color="auto" w:fill="FFFFFF"/>
              </w:rPr>
            </w:pPr>
            <w:bookmarkStart w:id="128" w:name="业绩要求1"/>
            <w:r>
              <w:rPr>
                <w:rFonts w:hint="eastAsia" w:ascii="宋体" w:hAnsi="宋体" w:eastAsia="宋体" w:cs="宋体"/>
                <w:color w:val="auto"/>
                <w:sz w:val="21"/>
                <w:szCs w:val="21"/>
                <w:highlight w:val="none"/>
                <w:lang w:val="en-US" w:eastAsia="zh-CN"/>
              </w:rPr>
              <w:t>2022年1月1日至报价截止日期（以合同签订时间为准）至少独立完成一项合同金额不低于15万元的网络安全建设或服务项目相关业绩。</w:t>
            </w:r>
            <w:bookmarkEnd w:id="128"/>
          </w:p>
        </w:tc>
      </w:tr>
      <w:tr w14:paraId="75DFD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2DC7A7FD">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394C1C74">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45E5BBDE">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21C03533">
            <w:pPr>
              <w:spacing w:line="400" w:lineRule="exact"/>
              <w:ind w:firstLine="420" w:firstLineChars="200"/>
              <w:rPr>
                <w:rFonts w:hint="eastAsia" w:ascii="宋体" w:hAnsi="宋体" w:eastAsia="宋体" w:cs="宋体"/>
                <w:color w:val="auto"/>
                <w:sz w:val="21"/>
                <w:szCs w:val="21"/>
                <w:highlight w:val="none"/>
                <w:lang w:val="en-US" w:eastAsia="zh-CN"/>
              </w:rPr>
            </w:pPr>
            <w:bookmarkStart w:id="129" w:name="主要管理人员要求"/>
            <w:r>
              <w:rPr>
                <w:rFonts w:hint="eastAsia" w:ascii="宋体" w:hAnsi="宋体" w:eastAsia="宋体" w:cs="宋体"/>
                <w:color w:val="auto"/>
                <w:sz w:val="21"/>
                <w:szCs w:val="21"/>
                <w:highlight w:val="none"/>
                <w:lang w:val="en-US" w:eastAsia="zh-CN"/>
              </w:rPr>
              <w:t>项目负责人1人，需为报价人公司正式员工，3年以上相关工作经验。</w:t>
            </w:r>
            <w:bookmarkEnd w:id="129"/>
          </w:p>
        </w:tc>
      </w:tr>
      <w:tr w14:paraId="177B6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5CF1E4C">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5144AB21">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1F547AB7">
            <w:pPr>
              <w:spacing w:line="400" w:lineRule="exact"/>
              <w:ind w:firstLine="420" w:firstLineChars="200"/>
              <w:rPr>
                <w:rFonts w:hint="eastAsia" w:ascii="宋体" w:hAnsi="宋体" w:eastAsia="宋体" w:cs="宋体"/>
                <w:color w:val="auto"/>
                <w:sz w:val="21"/>
                <w:szCs w:val="21"/>
                <w:highlight w:val="none"/>
                <w:lang w:val="en-US" w:eastAsia="zh-CN"/>
              </w:rPr>
            </w:pPr>
            <w:bookmarkStart w:id="130" w:name="其他人员要求"/>
            <w:r>
              <w:rPr>
                <w:rFonts w:hint="eastAsia" w:ascii="宋体" w:hAnsi="宋体" w:cs="宋体"/>
                <w:b w:val="0"/>
                <w:bCs w:val="0"/>
                <w:color w:val="auto"/>
                <w:szCs w:val="21"/>
                <w:highlight w:val="none"/>
                <w:lang w:val="en-US" w:eastAsia="zh-CN"/>
              </w:rPr>
              <w:t>项目成员1人，需为报价人公司正式员工。</w:t>
            </w:r>
            <w:bookmarkEnd w:id="130"/>
          </w:p>
        </w:tc>
      </w:tr>
      <w:tr w14:paraId="53DD3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4E657F74">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209639A4">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18A8F4BB">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2D92F230">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p>
    <w:p w14:paraId="54E2F8D5">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7F48B1FF">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b/>
          <w:bCs/>
          <w:color w:val="auto"/>
          <w:sz w:val="21"/>
          <w:szCs w:val="21"/>
          <w:highlight w:val="none"/>
          <w:lang w:val="en-US" w:eastAsia="zh-CN"/>
        </w:rPr>
      </w:pPr>
      <w:r>
        <w:rPr>
          <w:rFonts w:hint="eastAsia"/>
          <w:b/>
          <w:bCs/>
          <w:color w:val="auto"/>
          <w:sz w:val="21"/>
          <w:szCs w:val="21"/>
          <w:highlight w:val="none"/>
          <w:lang w:val="en-US" w:eastAsia="zh-CN"/>
        </w:rPr>
        <w:t>3.以上人员要求为最低要求，后续根据项目具体情况及项目部要求追加人员，满足项目现场进度需要，报价人自行承诺即可，无需提供相关证明材料。</w:t>
      </w:r>
    </w:p>
    <w:p w14:paraId="10954161">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4.信誉要求报价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2E919516">
      <w:pPr>
        <w:pStyle w:val="28"/>
        <w:rPr>
          <w:color w:val="auto"/>
          <w:highlight w:val="none"/>
        </w:rPr>
      </w:pPr>
    </w:p>
    <w:bookmarkEnd w:id="125"/>
    <w:bookmarkEnd w:id="126"/>
    <w:p w14:paraId="1AF22D88">
      <w:pPr>
        <w:pStyle w:val="17"/>
        <w:rPr>
          <w:rFonts w:ascii="宋体" w:hAnsi="宋体" w:cs="宋体"/>
          <w:color w:val="auto"/>
          <w:highlight w:val="none"/>
        </w:rPr>
      </w:pPr>
    </w:p>
    <w:p w14:paraId="6AEFC584">
      <w:pPr>
        <w:rPr>
          <w:rFonts w:ascii="宋体" w:hAnsi="宋体" w:cs="宋体"/>
          <w:color w:val="auto"/>
          <w:highlight w:val="none"/>
        </w:rPr>
      </w:pPr>
    </w:p>
    <w:p w14:paraId="2284E180">
      <w:pPr>
        <w:pStyle w:val="17"/>
        <w:rPr>
          <w:rFonts w:ascii="宋体" w:hAnsi="宋体" w:cs="宋体"/>
          <w:color w:val="auto"/>
          <w:highlight w:val="none"/>
        </w:rPr>
      </w:pPr>
    </w:p>
    <w:p w14:paraId="28A9212F">
      <w:pPr>
        <w:rPr>
          <w:rFonts w:ascii="宋体" w:hAnsi="宋体" w:cs="宋体"/>
          <w:color w:val="auto"/>
          <w:highlight w:val="none"/>
        </w:rPr>
      </w:pPr>
    </w:p>
    <w:p w14:paraId="5C9BB8AD">
      <w:pPr>
        <w:pStyle w:val="17"/>
        <w:rPr>
          <w:rFonts w:ascii="宋体" w:hAnsi="宋体" w:cs="宋体"/>
          <w:color w:val="auto"/>
          <w:highlight w:val="none"/>
        </w:rPr>
      </w:pPr>
    </w:p>
    <w:p w14:paraId="7590F21A">
      <w:pPr>
        <w:rPr>
          <w:rFonts w:ascii="宋体" w:hAnsi="宋体" w:cs="宋体"/>
          <w:color w:val="auto"/>
          <w:highlight w:val="none"/>
        </w:rPr>
      </w:pPr>
    </w:p>
    <w:p w14:paraId="78B5E82C">
      <w:pPr>
        <w:pStyle w:val="17"/>
        <w:rPr>
          <w:rFonts w:ascii="宋体" w:hAnsi="宋体" w:cs="宋体"/>
          <w:color w:val="auto"/>
          <w:highlight w:val="none"/>
        </w:rPr>
      </w:pPr>
    </w:p>
    <w:p w14:paraId="666AE244">
      <w:pPr>
        <w:rPr>
          <w:color w:val="auto"/>
          <w:highlight w:val="none"/>
        </w:rPr>
      </w:pPr>
      <w:r>
        <w:rPr>
          <w:color w:val="auto"/>
          <w:highlight w:val="none"/>
        </w:rPr>
        <w:br w:type="page"/>
      </w:r>
    </w:p>
    <w:p w14:paraId="75A4D70E">
      <w:pPr>
        <w:pStyle w:val="2"/>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jc w:val="center"/>
        <w:textAlignment w:val="auto"/>
        <w:rPr>
          <w:color w:val="auto"/>
          <w:highlight w:val="none"/>
        </w:rPr>
      </w:pPr>
      <w:bookmarkStart w:id="131" w:name="_Toc31054"/>
      <w:bookmarkStart w:id="132" w:name="_Toc31719"/>
      <w:r>
        <w:rPr>
          <w:rFonts w:hint="eastAsia" w:ascii="宋体" w:hAnsi="宋体" w:cs="宋体"/>
          <w:color w:val="auto"/>
          <w:highlight w:val="none"/>
        </w:rPr>
        <w:t>评标办法（综合评估法）</w:t>
      </w:r>
      <w:bookmarkEnd w:id="131"/>
      <w:bookmarkEnd w:id="132"/>
    </w:p>
    <w:p w14:paraId="1AB9EF9E">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2"/>
        <w:tblpPr w:leftFromText="180" w:rightFromText="180" w:vertAnchor="text" w:horzAnchor="page" w:tblpX="1139" w:tblpY="296"/>
        <w:tblOverlap w:val="never"/>
        <w:tblW w:w="980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4"/>
        <w:gridCol w:w="897"/>
        <w:gridCol w:w="1129"/>
        <w:gridCol w:w="1653"/>
        <w:gridCol w:w="4627"/>
        <w:gridCol w:w="555"/>
      </w:tblGrid>
      <w:tr w14:paraId="098F70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2970" w:type="dxa"/>
            <w:gridSpan w:val="3"/>
            <w:tcBorders>
              <w:top w:val="single" w:color="auto" w:sz="4" w:space="0"/>
              <w:bottom w:val="single" w:color="auto" w:sz="4" w:space="0"/>
              <w:right w:val="single" w:color="auto" w:sz="4" w:space="0"/>
            </w:tcBorders>
            <w:vAlign w:val="center"/>
          </w:tcPr>
          <w:p w14:paraId="009C961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1653" w:type="dxa"/>
            <w:tcBorders>
              <w:top w:val="single" w:color="auto" w:sz="4" w:space="0"/>
              <w:left w:val="single" w:color="auto" w:sz="4" w:space="0"/>
              <w:bottom w:val="single" w:color="auto" w:sz="4" w:space="0"/>
              <w:right w:val="single" w:color="auto" w:sz="4" w:space="0"/>
            </w:tcBorders>
            <w:vAlign w:val="center"/>
          </w:tcPr>
          <w:p w14:paraId="4E5310B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5182" w:type="dxa"/>
            <w:gridSpan w:val="2"/>
            <w:tcBorders>
              <w:top w:val="single" w:color="auto" w:sz="4" w:space="0"/>
              <w:left w:val="single" w:color="auto" w:sz="4" w:space="0"/>
              <w:bottom w:val="single" w:color="auto" w:sz="4" w:space="0"/>
            </w:tcBorders>
            <w:vAlign w:val="center"/>
          </w:tcPr>
          <w:p w14:paraId="2854A98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14:paraId="55C6D8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tcBorders>
              <w:top w:val="single" w:color="auto" w:sz="4" w:space="0"/>
              <w:right w:val="single" w:color="auto" w:sz="4" w:space="0"/>
            </w:tcBorders>
            <w:vAlign w:val="center"/>
          </w:tcPr>
          <w:p w14:paraId="0DF6132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2026" w:type="dxa"/>
            <w:gridSpan w:val="2"/>
            <w:tcBorders>
              <w:top w:val="single" w:color="auto" w:sz="4" w:space="0"/>
              <w:left w:val="single" w:color="auto" w:sz="4" w:space="0"/>
              <w:right w:val="single" w:color="auto" w:sz="4" w:space="0"/>
            </w:tcBorders>
            <w:vAlign w:val="center"/>
          </w:tcPr>
          <w:p w14:paraId="44D4CB3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1653" w:type="dxa"/>
            <w:tcBorders>
              <w:top w:val="single" w:color="auto" w:sz="4" w:space="0"/>
              <w:left w:val="single" w:color="auto" w:sz="4" w:space="0"/>
              <w:bottom w:val="single" w:color="auto" w:sz="4" w:space="0"/>
              <w:right w:val="single" w:color="auto" w:sz="4" w:space="0"/>
            </w:tcBorders>
            <w:vAlign w:val="center"/>
          </w:tcPr>
          <w:p w14:paraId="1EA7E7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5182" w:type="dxa"/>
            <w:gridSpan w:val="2"/>
            <w:tcBorders>
              <w:top w:val="single" w:color="auto" w:sz="4" w:space="0"/>
              <w:left w:val="single" w:color="auto" w:sz="4" w:space="0"/>
              <w:bottom w:val="single" w:color="auto" w:sz="4" w:space="0"/>
            </w:tcBorders>
          </w:tcPr>
          <w:p w14:paraId="7E4E9C35">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报价人得分=A+B+C，对通过初步评审的报价人按照投标总得分（商务+技术+报价）由从高到低的先后顺序。如出现得分(精确到小数点后两位)相等时，按以下原则确定第一中标候选人：</w:t>
            </w:r>
          </w:p>
          <w:p w14:paraId="71DC77D5">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（1）以评标价低的报价人优先；</w:t>
            </w:r>
          </w:p>
          <w:p w14:paraId="7113653C">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（2）如评标价也相同时，以技术得分较高的报价人优先；</w:t>
            </w:r>
          </w:p>
          <w:p w14:paraId="64C2148E">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（3）如技术得分也相同时，由评标委员会投票决定。</w:t>
            </w:r>
          </w:p>
        </w:tc>
      </w:tr>
      <w:tr w14:paraId="509FAF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right w:val="single" w:color="auto" w:sz="4" w:space="0"/>
            </w:tcBorders>
            <w:vAlign w:val="center"/>
          </w:tcPr>
          <w:p w14:paraId="13937E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2.1.1</w:t>
            </w:r>
          </w:p>
        </w:tc>
        <w:tc>
          <w:tcPr>
            <w:tcW w:w="2026" w:type="dxa"/>
            <w:gridSpan w:val="2"/>
            <w:vMerge w:val="restart"/>
            <w:tcBorders>
              <w:top w:val="single" w:color="auto" w:sz="4" w:space="0"/>
              <w:left w:val="single" w:color="auto" w:sz="4" w:space="0"/>
              <w:right w:val="single" w:color="auto" w:sz="4" w:space="0"/>
            </w:tcBorders>
            <w:vAlign w:val="center"/>
          </w:tcPr>
          <w:p w14:paraId="2134469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66D4682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5182" w:type="dxa"/>
            <w:gridSpan w:val="2"/>
            <w:tcBorders>
              <w:top w:val="single" w:color="auto" w:sz="4" w:space="0"/>
              <w:left w:val="single" w:color="auto" w:sz="4" w:space="0"/>
              <w:bottom w:val="single" w:color="auto" w:sz="4" w:space="0"/>
            </w:tcBorders>
            <w:vAlign w:val="center"/>
          </w:tcPr>
          <w:p w14:paraId="4ED55009">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与营业执照、资质证书一致。</w:t>
            </w:r>
          </w:p>
        </w:tc>
      </w:tr>
      <w:tr w14:paraId="479F2A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0B11950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1FFC5F1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30C6AC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盖章</w:t>
            </w:r>
          </w:p>
        </w:tc>
        <w:tc>
          <w:tcPr>
            <w:tcW w:w="5182" w:type="dxa"/>
            <w:gridSpan w:val="2"/>
            <w:tcBorders>
              <w:top w:val="single" w:color="auto" w:sz="4" w:space="0"/>
              <w:left w:val="single" w:color="auto" w:sz="4" w:space="0"/>
              <w:bottom w:val="single" w:color="auto" w:sz="4" w:space="0"/>
            </w:tcBorders>
            <w:vAlign w:val="center"/>
          </w:tcPr>
          <w:p w14:paraId="2FB364C4">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或加盖单位公章。</w:t>
            </w:r>
          </w:p>
        </w:tc>
      </w:tr>
      <w:tr w14:paraId="5E573F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1B8B4B7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53BA198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4F4FB5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5182" w:type="dxa"/>
            <w:gridSpan w:val="2"/>
            <w:tcBorders>
              <w:top w:val="single" w:color="auto" w:sz="4" w:space="0"/>
              <w:left w:val="single" w:color="auto" w:sz="4" w:space="0"/>
              <w:bottom w:val="single" w:color="auto" w:sz="4" w:space="0"/>
            </w:tcBorders>
            <w:vAlign w:val="center"/>
          </w:tcPr>
          <w:p w14:paraId="3A35DE1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w:t>
            </w:r>
            <w:r>
              <w:rPr>
                <w:rFonts w:hint="eastAsia"/>
                <w:color w:val="auto"/>
                <w:highlight w:val="none"/>
                <w:lang w:val="en-US" w:eastAsia="zh-CN"/>
              </w:rPr>
              <w:t>六</w:t>
            </w:r>
            <w:r>
              <w:rPr>
                <w:rFonts w:hint="eastAsia" w:asciiTheme="minorEastAsia" w:hAnsiTheme="minorEastAsia" w:eastAsiaTheme="minorEastAsia" w:cstheme="minorEastAsia"/>
                <w:color w:val="auto"/>
                <w:szCs w:val="21"/>
                <w:highlight w:val="none"/>
              </w:rPr>
              <w:t>章“竞争性比选响应文件格式”的要求，字迹清晰可辨。</w:t>
            </w:r>
          </w:p>
          <w:p w14:paraId="3416356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1.报价函的所有数据均符合比选文件的规定；</w:t>
            </w:r>
          </w:p>
          <w:p w14:paraId="34CF9F3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2.竞争性比选响应文件附表齐全完整，内容均按规定填写；</w:t>
            </w:r>
          </w:p>
        </w:tc>
      </w:tr>
      <w:tr w14:paraId="1EC9D4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32AD5C3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5C3FB90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4A8AF7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5182" w:type="dxa"/>
            <w:gridSpan w:val="2"/>
            <w:tcBorders>
              <w:top w:val="single" w:color="auto" w:sz="4" w:space="0"/>
              <w:left w:val="single" w:color="auto" w:sz="4" w:space="0"/>
              <w:bottom w:val="single" w:color="auto" w:sz="4" w:space="0"/>
            </w:tcBorders>
            <w:vAlign w:val="center"/>
          </w:tcPr>
          <w:p w14:paraId="2DE0F34F">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14:paraId="2A79C8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73C2933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1F8989E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64FA35E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5182" w:type="dxa"/>
            <w:gridSpan w:val="2"/>
            <w:tcBorders>
              <w:top w:val="single" w:color="auto" w:sz="4" w:space="0"/>
              <w:left w:val="single" w:color="auto" w:sz="4" w:space="0"/>
              <w:bottom w:val="single" w:color="auto" w:sz="4" w:space="0"/>
            </w:tcBorders>
            <w:vAlign w:val="center"/>
          </w:tcPr>
          <w:p w14:paraId="59358729">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p>
        </w:tc>
      </w:tr>
      <w:tr w14:paraId="0D254E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2F64C9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10CAE92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53EB82A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w:t>
            </w:r>
          </w:p>
        </w:tc>
        <w:tc>
          <w:tcPr>
            <w:tcW w:w="5182" w:type="dxa"/>
            <w:gridSpan w:val="2"/>
            <w:tcBorders>
              <w:top w:val="single" w:color="auto" w:sz="4" w:space="0"/>
              <w:left w:val="single" w:color="auto" w:sz="4" w:space="0"/>
            </w:tcBorders>
            <w:vAlign w:val="center"/>
          </w:tcPr>
          <w:p w14:paraId="33A9123B">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51EEFD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310467C3">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2</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05EDBF6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76A49E1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lang w:val="en-US" w:eastAsia="zh-CN"/>
              </w:rPr>
              <w:t>资格要求</w:t>
            </w:r>
          </w:p>
        </w:tc>
        <w:tc>
          <w:tcPr>
            <w:tcW w:w="5182" w:type="dxa"/>
            <w:gridSpan w:val="2"/>
            <w:tcBorders>
              <w:top w:val="single" w:color="auto" w:sz="4" w:space="0"/>
              <w:left w:val="single" w:color="auto" w:sz="4" w:space="0"/>
              <w:bottom w:val="single" w:color="auto" w:sz="4" w:space="0"/>
            </w:tcBorders>
            <w:vAlign w:val="center"/>
          </w:tcPr>
          <w:p w14:paraId="60BAFCFF">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5BA83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7D048F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318197E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28682D6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5182" w:type="dxa"/>
            <w:gridSpan w:val="2"/>
            <w:tcBorders>
              <w:top w:val="single" w:color="auto" w:sz="4" w:space="0"/>
              <w:left w:val="single" w:color="auto" w:sz="4" w:space="0"/>
              <w:bottom w:val="single" w:color="auto" w:sz="4" w:space="0"/>
            </w:tcBorders>
            <w:vAlign w:val="center"/>
          </w:tcPr>
          <w:p w14:paraId="35E833EA">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77DCE4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748127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BA0D29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51CC95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color w:val="auto"/>
                <w:highlight w:val="none"/>
                <w:lang w:val="en-US" w:eastAsia="zh-CN"/>
              </w:rPr>
              <w:t>主要管理人员要求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4CCE379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2E6CE3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6D05EB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173BEC3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5A87C2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color w:val="auto"/>
                <w:highlight w:val="none"/>
                <w:lang w:val="en-US" w:eastAsia="zh-CN"/>
              </w:rPr>
              <w:t>其他人员要求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C234B00">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7363C1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327619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ED2A53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4E87840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5182" w:type="dxa"/>
            <w:gridSpan w:val="2"/>
            <w:tcBorders>
              <w:top w:val="single" w:color="auto" w:sz="4" w:space="0"/>
              <w:left w:val="single" w:color="auto" w:sz="4" w:space="0"/>
              <w:bottom w:val="single" w:color="auto" w:sz="4" w:space="0"/>
            </w:tcBorders>
            <w:vAlign w:val="center"/>
          </w:tcPr>
          <w:p w14:paraId="4BAF5226">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jc w:val="both"/>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7E9E5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22D1C0A2">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3</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78396E2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549BCC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lang w:val="en-US" w:eastAsia="zh-CN"/>
              </w:rPr>
              <w:t>服务地点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11DA82D">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3E88A2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4EB2CD4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00F71CB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1B957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rPr>
              <w:t>项目规模</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A423A73">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18B647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EB19C4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A224D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83CD1B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color w:val="auto"/>
                <w:highlight w:val="none"/>
                <w:lang w:val="en-US" w:eastAsia="zh-CN"/>
              </w:rPr>
              <w:t>投标内容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1AC9C32">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245B67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319D65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5878ECA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52BBC9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highlight w:val="none"/>
              </w:rPr>
              <w:t>服务期限</w:t>
            </w:r>
          </w:p>
        </w:tc>
        <w:tc>
          <w:tcPr>
            <w:tcW w:w="5182" w:type="dxa"/>
            <w:gridSpan w:val="2"/>
            <w:tcBorders>
              <w:top w:val="single" w:color="auto" w:sz="4" w:space="0"/>
              <w:left w:val="single" w:color="auto" w:sz="4" w:space="0"/>
              <w:bottom w:val="single" w:color="auto" w:sz="4" w:space="0"/>
            </w:tcBorders>
            <w:shd w:val="clear" w:color="auto" w:fill="auto"/>
            <w:vAlign w:val="center"/>
          </w:tcPr>
          <w:p w14:paraId="005EB11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66F3BE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501D1F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1FAA27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50A71D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服务要求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6243AF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649FDD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7709B4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30B4F0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997D46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r>
              <w:rPr>
                <w:color w:val="auto"/>
                <w:highlight w:val="none"/>
              </w:rPr>
              <w:t>报价</w:t>
            </w:r>
          </w:p>
        </w:tc>
        <w:tc>
          <w:tcPr>
            <w:tcW w:w="5182" w:type="dxa"/>
            <w:gridSpan w:val="2"/>
            <w:tcBorders>
              <w:top w:val="single" w:color="auto" w:sz="4" w:space="0"/>
              <w:left w:val="single" w:color="auto" w:sz="4" w:space="0"/>
              <w:bottom w:val="single" w:color="auto" w:sz="4" w:space="0"/>
            </w:tcBorders>
            <w:shd w:val="clear" w:color="auto" w:fill="auto"/>
            <w:vAlign w:val="center"/>
          </w:tcPr>
          <w:p w14:paraId="2BE47CD2">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019BC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A48DC7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352880C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83282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szCs w:val="21"/>
                <w:highlight w:val="none"/>
                <w:lang w:val="en-US" w:eastAsia="zh-CN"/>
              </w:rPr>
            </w:pPr>
            <w:r>
              <w:rPr>
                <w:rFonts w:hint="eastAsia"/>
                <w:color w:val="auto"/>
                <w:highlight w:val="none"/>
                <w:lang w:val="en-US" w:eastAsia="zh-CN"/>
              </w:rPr>
              <w:t>偏差</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D3F62F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szCs w:val="21"/>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13</w:t>
            </w:r>
            <w:r>
              <w:rPr>
                <w:color w:val="auto"/>
                <w:highlight w:val="none"/>
              </w:rPr>
              <w:t>项规定</w:t>
            </w:r>
          </w:p>
        </w:tc>
      </w:tr>
      <w:tr w14:paraId="68D4D6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F98132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E71B5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B3222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kern w:val="2"/>
                <w:sz w:val="21"/>
                <w:szCs w:val="21"/>
                <w:highlight w:val="none"/>
                <w:lang w:val="en-US" w:eastAsia="zh-CN" w:bidi="ar-SA"/>
              </w:rPr>
            </w:pPr>
            <w:r>
              <w:rPr>
                <w:rFonts w:hint="eastAsia"/>
                <w:color w:val="auto"/>
                <w:highlight w:val="none"/>
                <w:lang w:val="en-US" w:eastAsia="zh-CN"/>
              </w:rPr>
              <w:t>保证金</w:t>
            </w:r>
          </w:p>
        </w:tc>
        <w:tc>
          <w:tcPr>
            <w:tcW w:w="5182" w:type="dxa"/>
            <w:gridSpan w:val="2"/>
            <w:tcBorders>
              <w:top w:val="single" w:color="auto" w:sz="4" w:space="0"/>
              <w:left w:val="single" w:color="auto" w:sz="4" w:space="0"/>
              <w:bottom w:val="single" w:color="auto" w:sz="4" w:space="0"/>
            </w:tcBorders>
            <w:shd w:val="clear" w:color="auto" w:fill="auto"/>
            <w:vAlign w:val="center"/>
          </w:tcPr>
          <w:p w14:paraId="7F5636D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14:paraId="3D4FD6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624760E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2.2.1</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BFD3602">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分值构成</w:t>
            </w:r>
          </w:p>
          <w:p w14:paraId="312967F7">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(总分100分)</w:t>
            </w:r>
          </w:p>
        </w:tc>
        <w:tc>
          <w:tcPr>
            <w:tcW w:w="6835" w:type="dxa"/>
            <w:gridSpan w:val="3"/>
            <w:tcBorders>
              <w:top w:val="single" w:color="auto" w:sz="4" w:space="0"/>
              <w:left w:val="single" w:color="auto" w:sz="4" w:space="0"/>
              <w:bottom w:val="single" w:color="auto" w:sz="4" w:space="0"/>
            </w:tcBorders>
          </w:tcPr>
          <w:p w14:paraId="6EB9335E">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A：投标报价70分；</w:t>
            </w:r>
          </w:p>
          <w:p w14:paraId="02B30D93">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B：商务部分10分；</w:t>
            </w:r>
          </w:p>
          <w:p w14:paraId="15CB377A">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C：技术部分20分。</w:t>
            </w:r>
          </w:p>
        </w:tc>
      </w:tr>
      <w:tr w14:paraId="616E41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6A611E7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2.2.2</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234AD78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评标基准价</w:t>
            </w:r>
          </w:p>
        </w:tc>
        <w:tc>
          <w:tcPr>
            <w:tcW w:w="6835" w:type="dxa"/>
            <w:gridSpan w:val="3"/>
            <w:tcBorders>
              <w:top w:val="single" w:color="auto" w:sz="4" w:space="0"/>
              <w:left w:val="single" w:color="auto" w:sz="4" w:space="0"/>
              <w:bottom w:val="single" w:color="auto" w:sz="4" w:space="0"/>
            </w:tcBorders>
          </w:tcPr>
          <w:p w14:paraId="0111FAAF">
            <w:pPr>
              <w:keepNext w:val="0"/>
              <w:keepLines/>
              <w:pageBreakBefore w:val="0"/>
              <w:kinsoku/>
              <w:wordWrap/>
              <w:overflowPunct/>
              <w:topLinePunct w:val="0"/>
              <w:bidi w:val="0"/>
              <w:adjustRightInd w:val="0"/>
              <w:snapToGrid w:val="0"/>
              <w:spacing w:beforeAutospacing="0"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1.有效报价：系指初步评审均合格且其</w:t>
            </w:r>
            <w:r>
              <w:rPr>
                <w:rFonts w:hint="eastAsia" w:ascii="宋体" w:hAnsi="宋体" w:cs="宋体"/>
                <w:color w:val="auto"/>
                <w:szCs w:val="21"/>
                <w:highlight w:val="none"/>
                <w:lang w:val="en-US" w:eastAsia="zh-CN"/>
              </w:rPr>
              <w:t>响应</w:t>
            </w:r>
            <w:r>
              <w:rPr>
                <w:rFonts w:hint="eastAsia" w:ascii="宋体" w:hAnsi="宋体" w:eastAsia="宋体" w:cs="宋体"/>
                <w:color w:val="auto"/>
                <w:szCs w:val="21"/>
                <w:highlight w:val="none"/>
              </w:rPr>
              <w:t>内容满足</w:t>
            </w:r>
            <w:r>
              <w:rPr>
                <w:rFonts w:hint="eastAsia" w:ascii="宋体" w:hAnsi="宋体" w:cs="宋体"/>
                <w:color w:val="auto"/>
                <w:szCs w:val="21"/>
                <w:highlight w:val="none"/>
                <w:lang w:val="en-US" w:eastAsia="zh-CN"/>
              </w:rPr>
              <w:t>比选</w:t>
            </w:r>
            <w:r>
              <w:rPr>
                <w:rFonts w:hint="eastAsia" w:ascii="宋体" w:hAnsi="宋体" w:eastAsia="宋体" w:cs="宋体"/>
                <w:color w:val="auto"/>
                <w:szCs w:val="21"/>
                <w:highlight w:val="none"/>
              </w:rPr>
              <w:t>文件要求的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w:t>
            </w:r>
            <w:r>
              <w:rPr>
                <w:rFonts w:hint="eastAsia" w:ascii="宋体" w:hAnsi="宋体" w:cs="宋体"/>
                <w:color w:val="auto"/>
                <w:szCs w:val="21"/>
                <w:highlight w:val="none"/>
                <w:lang w:val="en-US" w:eastAsia="zh-CN"/>
              </w:rPr>
              <w:t>总</w:t>
            </w:r>
            <w:r>
              <w:rPr>
                <w:rFonts w:hint="eastAsia" w:ascii="宋体" w:hAnsi="宋体" w:eastAsia="宋体" w:cs="宋体"/>
                <w:color w:val="auto"/>
                <w:szCs w:val="21"/>
                <w:highlight w:val="none"/>
              </w:rPr>
              <w:t>报价。</w:t>
            </w:r>
          </w:p>
          <w:p w14:paraId="386BD4C7">
            <w:pPr>
              <w:pStyle w:val="120"/>
              <w:keepNext w:val="0"/>
              <w:pageBreakBefore w:val="0"/>
              <w:kinsoku/>
              <w:wordWrap/>
              <w:overflowPunct/>
              <w:topLinePunct w:val="0"/>
              <w:bidi w:val="0"/>
              <w:adjustRightInd w:val="0"/>
              <w:spacing w:beforeAutospacing="0" w:line="400" w:lineRule="exact"/>
              <w:textAlignment w:val="baseline"/>
              <w:rPr>
                <w:rFonts w:asciiTheme="minorEastAsia" w:hAnsiTheme="minorEastAsia" w:eastAsiaTheme="minorEastAsia" w:cstheme="minorEastAsia"/>
                <w:bCs/>
                <w:color w:val="auto"/>
                <w:szCs w:val="21"/>
                <w:highlight w:val="none"/>
              </w:rPr>
            </w:pPr>
            <w:r>
              <w:rPr>
                <w:rFonts w:hint="eastAsia" w:ascii="宋体" w:hAnsi="宋体" w:eastAsia="宋体" w:cs="宋体"/>
                <w:color w:val="auto"/>
                <w:szCs w:val="21"/>
                <w:highlight w:val="none"/>
              </w:rPr>
              <w:t>2.评标基准价：所有通过初步评审合格的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人的投标报价中去掉六分之一（不能整除的按小数点前整数取整，不足六家报价则不去掉）的最低价和相同家数的最高价后的算术平均值为评标基准价。</w:t>
            </w:r>
          </w:p>
          <w:p w14:paraId="1428248D">
            <w:pPr>
              <w:keepNext w:val="0"/>
              <w:pageBreakBefore w:val="0"/>
              <w:kinsoku/>
              <w:wordWrap/>
              <w:overflowPunct/>
              <w:topLinePunct w:val="0"/>
              <w:bidi w:val="0"/>
              <w:spacing w:beforeAutospacing="0" w:line="400" w:lineRule="exact"/>
              <w:ind w:firstLine="42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color w:val="auto"/>
                <w:szCs w:val="21"/>
                <w:highlight w:val="none"/>
              </w:rPr>
              <w:t>注：评标基准价以元为</w:t>
            </w:r>
            <w:r>
              <w:rPr>
                <w:rFonts w:hint="eastAsia" w:ascii="宋体" w:hAnsi="宋体" w:cs="宋体"/>
                <w:color w:val="auto"/>
                <w:szCs w:val="21"/>
                <w:highlight w:val="none"/>
              </w:rPr>
              <w:t>单位，保留2位小数，按四舍五入原则进行。确认后的评标基准价在本次整个招投标期间保持不变，不随后续评审的报价人数量发生变化。</w:t>
            </w:r>
          </w:p>
        </w:tc>
      </w:tr>
      <w:tr w14:paraId="741759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30FE6AF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2.2.3</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067492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lang w:bidi="ar"/>
              </w:rPr>
              <w:t>评标价的偏差率计算公式</w:t>
            </w:r>
          </w:p>
        </w:tc>
        <w:tc>
          <w:tcPr>
            <w:tcW w:w="6835" w:type="dxa"/>
            <w:gridSpan w:val="3"/>
            <w:tcBorders>
              <w:top w:val="single" w:color="auto" w:sz="4" w:space="0"/>
              <w:left w:val="single" w:color="auto" w:sz="4" w:space="0"/>
              <w:bottom w:val="single" w:color="auto" w:sz="4" w:space="0"/>
            </w:tcBorders>
            <w:vAlign w:val="center"/>
          </w:tcPr>
          <w:p w14:paraId="7D3D2666">
            <w:pPr>
              <w:keepNext w:val="0"/>
              <w:pageBreakBefore w:val="0"/>
              <w:kinsoku/>
              <w:wordWrap/>
              <w:overflowPunct/>
              <w:topLinePunct w:val="0"/>
              <w:bidi w:val="0"/>
              <w:adjustRightInd w:val="0"/>
              <w:snapToGrid w:val="0"/>
              <w:spacing w:beforeAutospacing="0"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偏差率</w:t>
            </w:r>
            <w:r>
              <w:rPr>
                <w:rFonts w:hint="eastAsia" w:ascii="宋体" w:hAnsi="宋体" w:cs="宋体"/>
                <w:color w:val="auto"/>
                <w:kern w:val="0"/>
                <w:sz w:val="28"/>
                <w:szCs w:val="28"/>
                <w:highlight w:val="none"/>
              </w:rPr>
              <w:t>=</w:t>
            </w:r>
            <w:r>
              <w:rPr>
                <w:rFonts w:hint="eastAsia" w:ascii="宋体" w:hAnsi="宋体" w:cs="宋体"/>
                <w:color w:val="auto"/>
                <w:kern w:val="0"/>
                <w:highlight w:val="none"/>
              </w:rPr>
              <w:t>100％×（投标价一评标基准价）／评标基准价</w:t>
            </w:r>
          </w:p>
          <w:p w14:paraId="3B36F178">
            <w:pPr>
              <w:keepNext w:val="0"/>
              <w:pageBreakBefore w:val="0"/>
              <w:kinsoku/>
              <w:wordWrap/>
              <w:overflowPunct/>
              <w:topLinePunct w:val="0"/>
              <w:bidi w:val="0"/>
              <w:spacing w:beforeAutospacing="0" w:line="400" w:lineRule="exact"/>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highlight w:val="none"/>
              </w:rPr>
              <w:t>偏差率</w:t>
            </w:r>
            <w:r>
              <w:rPr>
                <w:rFonts w:hint="eastAsia" w:ascii="宋体" w:hAnsi="宋体" w:cs="宋体"/>
                <w:color w:val="auto"/>
                <w:kern w:val="0"/>
                <w:szCs w:val="21"/>
                <w:highlight w:val="none"/>
              </w:rPr>
              <w:t>计算的最终结果保留两位小数，小数点后第三位四舍五入</w:t>
            </w:r>
            <w:r>
              <w:rPr>
                <w:rFonts w:hint="eastAsia" w:asciiTheme="minorEastAsia" w:hAnsiTheme="minorEastAsia" w:eastAsiaTheme="minorEastAsia" w:cstheme="minorEastAsia"/>
                <w:bCs/>
                <w:color w:val="auto"/>
                <w:szCs w:val="21"/>
                <w:highlight w:val="none"/>
                <w:lang w:bidi="ar"/>
              </w:rPr>
              <w:t>。</w:t>
            </w:r>
          </w:p>
        </w:tc>
      </w:tr>
      <w:tr w14:paraId="1D102F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2399649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
                <w:color w:val="auto"/>
                <w:szCs w:val="21"/>
                <w:highlight w:val="none"/>
                <w:lang w:bidi="ar"/>
              </w:rPr>
              <w:t>条款号</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6514AC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lang w:bidi="ar"/>
              </w:rPr>
            </w:pPr>
            <w:r>
              <w:rPr>
                <w:rFonts w:hint="eastAsia" w:asciiTheme="minorEastAsia" w:hAnsiTheme="minorEastAsia" w:eastAsiaTheme="minorEastAsia" w:cstheme="minorEastAsia"/>
                <w:b/>
                <w:color w:val="auto"/>
                <w:szCs w:val="21"/>
                <w:highlight w:val="none"/>
                <w:lang w:bidi="ar"/>
              </w:rPr>
              <w:t>评分因素权重分值</w:t>
            </w:r>
          </w:p>
        </w:tc>
        <w:tc>
          <w:tcPr>
            <w:tcW w:w="6280" w:type="dxa"/>
            <w:gridSpan w:val="2"/>
            <w:tcBorders>
              <w:top w:val="single" w:color="auto" w:sz="4" w:space="0"/>
              <w:left w:val="single" w:color="auto" w:sz="4" w:space="0"/>
              <w:bottom w:val="single" w:color="auto" w:sz="4" w:space="0"/>
            </w:tcBorders>
            <w:vAlign w:val="center"/>
          </w:tcPr>
          <w:p w14:paraId="712B0C9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各评分因素细分项</w:t>
            </w:r>
          </w:p>
        </w:tc>
        <w:tc>
          <w:tcPr>
            <w:tcW w:w="555" w:type="dxa"/>
            <w:tcBorders>
              <w:top w:val="single" w:color="auto" w:sz="4" w:space="0"/>
              <w:left w:val="single" w:color="auto" w:sz="4" w:space="0"/>
              <w:bottom w:val="single" w:color="auto" w:sz="4" w:space="0"/>
            </w:tcBorders>
            <w:vAlign w:val="center"/>
          </w:tcPr>
          <w:p w14:paraId="256C757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备注</w:t>
            </w:r>
          </w:p>
        </w:tc>
      </w:tr>
      <w:tr w14:paraId="755E3C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0054A075">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38C57163">
            <w:pPr>
              <w:keepNext w:val="0"/>
              <w:pageBreakBefore w:val="0"/>
              <w:kinsoku/>
              <w:wordWrap/>
              <w:overflowPunct/>
              <w:topLinePunct w:val="0"/>
              <w:bidi w:val="0"/>
              <w:spacing w:beforeAutospacing="0" w:line="400" w:lineRule="exact"/>
              <w:jc w:val="center"/>
              <w:rPr>
                <w:rFonts w:hint="default" w:eastAsia="宋体" w:asciiTheme="minorEastAsia" w:hAnsiTheme="minorEastAsia" w:cstheme="minorEastAsia"/>
                <w:bCs/>
                <w:color w:val="auto"/>
                <w:szCs w:val="21"/>
                <w:highlight w:val="none"/>
                <w:lang w:val="en-US" w:eastAsia="zh-CN" w:bidi="ar"/>
              </w:rPr>
            </w:pPr>
            <w:r>
              <w:rPr>
                <w:rFonts w:hint="eastAsia" w:ascii="宋体" w:hAnsi="宋体" w:cs="宋体"/>
                <w:color w:val="auto"/>
                <w:szCs w:val="21"/>
                <w:highlight w:val="none"/>
                <w:lang w:val="en-US" w:eastAsia="zh-CN"/>
              </w:rPr>
              <w:t>（1）</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4DAA732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技术评分标准（20分）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1617B3E0">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技术部分评分分为客观评分和主观评分。</w:t>
            </w:r>
          </w:p>
          <w:p w14:paraId="670F1314">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客观评分：评标委员会按以下各评审因素设定的分值进行评分且保证分值统一；主观评分：评标委员会成员为5人及以上时，所有评委评分算术平均值为该投标人技术部分得分。</w:t>
            </w:r>
          </w:p>
          <w:p w14:paraId="4B8BE7B0">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4881AC9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3F8DD4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06BB9A3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1D08655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6B307FA4">
            <w:pPr>
              <w:keepNext w:val="0"/>
              <w:pageBreakBefore w:val="0"/>
              <w:kinsoku/>
              <w:wordWrap/>
              <w:overflowPunct/>
              <w:topLinePunct w:val="0"/>
              <w:autoSpaceDE w:val="0"/>
              <w:autoSpaceDN w:val="0"/>
              <w:bidi w:val="0"/>
              <w:spacing w:beforeAutospacing="0" w:line="400" w:lineRule="exact"/>
              <w:jc w:val="center"/>
              <w:rPr>
                <w:rFonts w:hint="eastAsia" w:ascii="宋体" w:hAnsi="宋体" w:eastAsia="宋体" w:cs="宋体"/>
                <w:bCs/>
                <w:i w:val="0"/>
                <w:iCs w:val="0"/>
                <w:color w:val="auto"/>
                <w:szCs w:val="21"/>
                <w:highlight w:val="none"/>
                <w:lang w:bidi="ar"/>
              </w:rPr>
            </w:pPr>
            <w:r>
              <w:rPr>
                <w:rFonts w:hint="eastAsia" w:ascii="宋体" w:hAnsi="宋体" w:eastAsia="宋体" w:cs="宋体"/>
                <w:b w:val="0"/>
                <w:bCs/>
                <w:i w:val="0"/>
                <w:iCs w:val="0"/>
                <w:caps w:val="0"/>
                <w:color w:val="auto"/>
                <w:sz w:val="21"/>
                <w:szCs w:val="21"/>
                <w:highlight w:val="none"/>
                <w:lang w:val="en-US" w:eastAsia="zh-CN" w:bidi="ar"/>
              </w:rPr>
              <w:t>服务</w:t>
            </w:r>
            <w:r>
              <w:rPr>
                <w:rFonts w:hint="eastAsia" w:ascii="宋体" w:hAnsi="宋体" w:eastAsia="宋体" w:cs="宋体"/>
                <w:bCs/>
                <w:i w:val="0"/>
                <w:iCs w:val="0"/>
                <w:color w:val="auto"/>
                <w:szCs w:val="21"/>
                <w:highlight w:val="none"/>
                <w:lang w:val="en-US" w:eastAsia="zh-CN" w:bidi="ar"/>
              </w:rPr>
              <w:t>方案</w:t>
            </w:r>
          </w:p>
          <w:p w14:paraId="6922FCE0">
            <w:pPr>
              <w:keepNext w:val="0"/>
              <w:pageBreakBefore w:val="0"/>
              <w:kinsoku/>
              <w:wordWrap/>
              <w:overflowPunct/>
              <w:topLinePunct w:val="0"/>
              <w:autoSpaceDE w:val="0"/>
              <w:autoSpaceDN w:val="0"/>
              <w:bidi w:val="0"/>
              <w:spacing w:beforeAutospacing="0" w:line="400" w:lineRule="exact"/>
              <w:jc w:val="center"/>
              <w:rPr>
                <w:rFonts w:hint="eastAsia" w:asciiTheme="minorEastAsia" w:hAnsiTheme="minorEastAsia" w:eastAsiaTheme="minorEastAsia" w:cstheme="minorEastAsia"/>
                <w:bCs/>
                <w:i/>
                <w:iCs/>
                <w:color w:val="auto"/>
                <w:kern w:val="2"/>
                <w:sz w:val="21"/>
                <w:szCs w:val="21"/>
                <w:highlight w:val="none"/>
                <w:lang w:val="en-US" w:eastAsia="zh-CN" w:bidi="ar-SA"/>
              </w:rPr>
            </w:pPr>
            <w:r>
              <w:rPr>
                <w:rFonts w:hint="eastAsia" w:ascii="宋体" w:hAnsi="宋体" w:eastAsia="宋体" w:cs="宋体"/>
                <w:bCs/>
                <w:i w:val="0"/>
                <w:iCs w:val="0"/>
                <w:color w:val="auto"/>
                <w:szCs w:val="21"/>
                <w:highlight w:val="none"/>
                <w:lang w:bidi="ar"/>
              </w:rPr>
              <w:t>（</w:t>
            </w:r>
            <w:r>
              <w:rPr>
                <w:rFonts w:hint="eastAsia" w:ascii="宋体" w:hAnsi="宋体" w:cs="宋体"/>
                <w:bCs/>
                <w:i w:val="0"/>
                <w:iCs w:val="0"/>
                <w:color w:val="auto"/>
                <w:szCs w:val="21"/>
                <w:highlight w:val="none"/>
                <w:lang w:val="en-US" w:eastAsia="zh-CN" w:bidi="ar"/>
              </w:rPr>
              <w:t>20</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135062">
            <w:pPr>
              <w:keepNext w:val="0"/>
              <w:pageBreakBefore w:val="0"/>
              <w:kinsoku/>
              <w:wordWrap/>
              <w:overflowPunct/>
              <w:topLinePunct w:val="0"/>
              <w:autoSpaceDE/>
              <w:autoSpaceDN/>
              <w:bidi w:val="0"/>
              <w:spacing w:beforeAutospacing="0" w:line="24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编制适用于</w:t>
            </w:r>
            <w:r>
              <w:rPr>
                <w:rFonts w:hint="eastAsia" w:ascii="宋体" w:hAnsi="宋体" w:cs="宋体"/>
                <w:color w:val="auto"/>
                <w:szCs w:val="21"/>
                <w:highlight w:val="none"/>
              </w:rPr>
              <w:t>本项目的服务方案，</w:t>
            </w:r>
            <w:r>
              <w:rPr>
                <w:rFonts w:hint="eastAsia" w:ascii="宋体" w:hAnsi="宋体" w:cs="宋体"/>
                <w:color w:val="auto"/>
                <w:szCs w:val="21"/>
                <w:highlight w:val="none"/>
                <w:lang w:val="en-US" w:eastAsia="zh-CN"/>
              </w:rPr>
              <w:t>包括但不限于</w:t>
            </w:r>
            <w:r>
              <w:rPr>
                <w:rFonts w:hint="eastAsia" w:ascii="宋体" w:hAnsi="宋体" w:cs="宋体"/>
                <w:color w:val="auto"/>
                <w:szCs w:val="21"/>
                <w:highlight w:val="none"/>
              </w:rPr>
              <w:t>项目服务团队的人员配置、项目服务计划、风险管理等；服务方案内容全面、结构清晰；服务方案针对技术、资源、时间的安排合理。</w:t>
            </w:r>
            <w:r>
              <w:rPr>
                <w:rFonts w:hint="eastAsia" w:ascii="宋体" w:hAnsi="宋体" w:cs="宋体"/>
                <w:szCs w:val="21"/>
                <w:highlight w:val="none"/>
                <w:lang w:val="en-US" w:eastAsia="zh-CN"/>
              </w:rPr>
              <w:t>根据服务</w:t>
            </w:r>
            <w:r>
              <w:rPr>
                <w:rFonts w:hint="eastAsia" w:ascii="宋体" w:hAnsi="宋体" w:cs="宋体"/>
                <w:szCs w:val="21"/>
                <w:highlight w:val="none"/>
              </w:rPr>
              <w:t>方案</w:t>
            </w:r>
            <w:r>
              <w:rPr>
                <w:rFonts w:hint="eastAsia" w:ascii="宋体" w:hAnsi="宋体" w:cs="宋体"/>
                <w:szCs w:val="21"/>
                <w:highlight w:val="none"/>
                <w:lang w:val="en-US" w:eastAsia="zh-CN"/>
              </w:rPr>
              <w:t>的合理</w:t>
            </w:r>
            <w:r>
              <w:rPr>
                <w:rFonts w:hint="eastAsia" w:ascii="宋体" w:hAnsi="宋体" w:cs="宋体"/>
                <w:szCs w:val="21"/>
                <w:highlight w:val="none"/>
              </w:rPr>
              <w:t>性、可行性 、完整性进行</w:t>
            </w:r>
            <w:r>
              <w:rPr>
                <w:rFonts w:hint="eastAsia" w:ascii="宋体" w:hAnsi="宋体" w:cs="宋体"/>
                <w:szCs w:val="21"/>
                <w:highlight w:val="none"/>
                <w:lang w:val="en-US" w:eastAsia="zh-CN"/>
              </w:rPr>
              <w:t>评审</w:t>
            </w:r>
            <w:r>
              <w:rPr>
                <w:rFonts w:hint="eastAsia" w:ascii="宋体" w:hAnsi="宋体" w:cs="宋体"/>
                <w:szCs w:val="21"/>
                <w:highlight w:val="none"/>
              </w:rPr>
              <w:t>。</w:t>
            </w:r>
          </w:p>
          <w:p w14:paraId="36A5940A">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宋体" w:hAnsi="宋体" w:cs="宋体"/>
                <w:color w:val="auto"/>
                <w:szCs w:val="21"/>
                <w:highlight w:val="none"/>
              </w:rPr>
              <w:t>注：方案内容合理、可行性高、完整性好，内容全面结构清晰得20~16分；方案内容较合理性、可行性较高、完整性一般、内容全面结构一般得16~12分；方案内容应不合理性、不具有可行性、完整性较差、内容全面结构模糊得12~0分。</w:t>
            </w:r>
          </w:p>
        </w:tc>
        <w:tc>
          <w:tcPr>
            <w:tcW w:w="555" w:type="dxa"/>
            <w:tcBorders>
              <w:top w:val="single" w:color="auto" w:sz="4" w:space="0"/>
              <w:left w:val="single" w:color="auto" w:sz="4" w:space="0"/>
              <w:bottom w:val="single" w:color="auto" w:sz="4" w:space="0"/>
            </w:tcBorders>
            <w:vAlign w:val="center"/>
          </w:tcPr>
          <w:p w14:paraId="42B7DD1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15D707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restart"/>
            <w:tcBorders>
              <w:top w:val="single" w:color="auto" w:sz="4" w:space="0"/>
              <w:bottom w:val="single" w:color="auto" w:sz="4" w:space="0"/>
              <w:right w:val="single" w:color="auto" w:sz="4" w:space="0"/>
            </w:tcBorders>
            <w:vAlign w:val="center"/>
          </w:tcPr>
          <w:p w14:paraId="03D293ED">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7924BBB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（2）</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6E07132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商务评分标准（10分）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32A2AD20">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商务部分评分为客观评分，评标委员会按</w:t>
            </w:r>
            <w:r>
              <w:rPr>
                <w:rFonts w:hint="eastAsia" w:ascii="宋体" w:hAnsi="宋体" w:eastAsia="宋体" w:cs="宋体"/>
                <w:color w:val="auto"/>
                <w:szCs w:val="21"/>
                <w:highlight w:val="none"/>
                <w:lang w:eastAsia="zh-CN"/>
              </w:rPr>
              <w:t>以下</w:t>
            </w:r>
            <w:r>
              <w:rPr>
                <w:rFonts w:hint="eastAsia" w:ascii="宋体" w:hAnsi="宋体" w:eastAsia="宋体" w:cs="宋体"/>
                <w:color w:val="auto"/>
                <w:szCs w:val="21"/>
                <w:highlight w:val="none"/>
              </w:rPr>
              <w:t>各评审因素设定的分值进行评分</w:t>
            </w:r>
            <w:r>
              <w:rPr>
                <w:rFonts w:hint="eastAsia" w:ascii="宋体" w:hAnsi="宋体" w:eastAsia="宋体" w:cs="宋体"/>
                <w:color w:val="auto"/>
                <w:szCs w:val="21"/>
                <w:highlight w:val="none"/>
                <w:lang w:val="en-US" w:eastAsia="zh-CN"/>
              </w:rPr>
              <w:t>且保证分值统一</w:t>
            </w:r>
            <w:r>
              <w:rPr>
                <w:rFonts w:hint="eastAsia" w:ascii="宋体" w:hAnsi="宋体" w:eastAsia="宋体" w:cs="宋体"/>
                <w:color w:val="auto"/>
                <w:szCs w:val="21"/>
                <w:highlight w:val="none"/>
              </w:rPr>
              <w:t>。</w:t>
            </w:r>
          </w:p>
          <w:p w14:paraId="793180C5">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Theme="minorEastAsia" w:hAnsiTheme="minorEastAsia" w:eastAsiaTheme="minorEastAsia" w:cstheme="minorEastAsia"/>
                <w:bCs/>
                <w:color w:val="auto"/>
                <w:szCs w:val="21"/>
                <w:highlight w:val="none"/>
                <w:lang w:val="en-US" w:eastAsia="zh-CN"/>
              </w:rPr>
              <w:t>商务部分得分的最终结果保留两位小数，小数点后第三位四舍五入。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5526E56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3BAB0B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37411ED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68334E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08C6D478">
            <w:pPr>
              <w:keepNext w:val="0"/>
              <w:pageBreakBefore w:val="0"/>
              <w:widowControl/>
              <w:kinsoku/>
              <w:wordWrap/>
              <w:overflowPunct/>
              <w:topLinePunct w:val="0"/>
              <w:autoSpaceDE w:val="0"/>
              <w:autoSpaceDN w:val="0"/>
              <w:bidi w:val="0"/>
              <w:spacing w:beforeAutospacing="0" w:line="400" w:lineRule="exact"/>
              <w:jc w:val="center"/>
              <w:textAlignment w:val="auto"/>
              <w:rPr>
                <w:rFonts w:hint="default" w:ascii="宋体" w:hAnsi="宋体" w:eastAsia="宋体" w:cs="宋体"/>
                <w:bCs/>
                <w:i w:val="0"/>
                <w:iCs w:val="0"/>
                <w:color w:val="auto"/>
                <w:szCs w:val="21"/>
                <w:highlight w:val="none"/>
                <w:lang w:val="en-US" w:eastAsia="zh-CN" w:bidi="ar"/>
              </w:rPr>
            </w:pPr>
            <w:r>
              <w:rPr>
                <w:rFonts w:hint="eastAsia" w:ascii="宋体" w:hAnsi="宋体" w:eastAsia="宋体" w:cs="宋体"/>
                <w:bCs/>
                <w:i w:val="0"/>
                <w:iCs w:val="0"/>
                <w:color w:val="auto"/>
                <w:szCs w:val="21"/>
                <w:highlight w:val="none"/>
                <w:lang w:val="en-US" w:eastAsia="zh-CN" w:bidi="ar"/>
              </w:rPr>
              <w:t>人员配置</w:t>
            </w:r>
          </w:p>
          <w:p w14:paraId="108C2F78">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Theme="minorEastAsia" w:hAnsiTheme="minorEastAsia" w:eastAsiaTheme="minorEastAsia" w:cstheme="minorEastAsia"/>
                <w:b w:val="0"/>
                <w:i/>
                <w:iCs/>
                <w:caps w:val="0"/>
                <w:color w:val="auto"/>
                <w:kern w:val="2"/>
                <w:sz w:val="21"/>
                <w:szCs w:val="21"/>
                <w:highlight w:val="none"/>
                <w:lang w:val="en-US" w:eastAsia="zh-CN" w:bidi="ar-SA"/>
              </w:rPr>
            </w:pPr>
            <w:r>
              <w:rPr>
                <w:rFonts w:hint="eastAsia" w:ascii="宋体" w:hAnsi="宋体" w:eastAsia="宋体" w:cs="宋体"/>
                <w:bCs/>
                <w:i w:val="0"/>
                <w:iCs w:val="0"/>
                <w:color w:val="auto"/>
                <w:szCs w:val="21"/>
                <w:highlight w:val="none"/>
                <w:lang w:eastAsia="zh-CN" w:bidi="ar"/>
              </w:rPr>
              <w:t>（</w:t>
            </w:r>
            <w:r>
              <w:rPr>
                <w:rFonts w:hint="eastAsia" w:ascii="宋体" w:hAnsi="宋体" w:eastAsia="宋体" w:cs="宋体"/>
                <w:bCs/>
                <w:i w:val="0"/>
                <w:iCs w:val="0"/>
                <w:color w:val="auto"/>
                <w:szCs w:val="21"/>
                <w:highlight w:val="none"/>
                <w:lang w:val="en-US" w:eastAsia="zh-CN" w:bidi="ar"/>
              </w:rPr>
              <w:t>3分</w:t>
            </w:r>
            <w:r>
              <w:rPr>
                <w:rFonts w:hint="eastAsia" w:ascii="宋体" w:hAnsi="宋体" w:eastAsia="宋体" w:cs="宋体"/>
                <w:bCs/>
                <w:i w:val="0"/>
                <w:iCs w:val="0"/>
                <w:color w:val="auto"/>
                <w:szCs w:val="21"/>
                <w:highlight w:val="none"/>
                <w:lang w:eastAsia="zh-CN" w:bidi="ar"/>
              </w:rPr>
              <w:t>）</w:t>
            </w:r>
          </w:p>
        </w:tc>
        <w:tc>
          <w:tcPr>
            <w:tcW w:w="6280" w:type="dxa"/>
            <w:gridSpan w:val="2"/>
            <w:tcBorders>
              <w:top w:val="single" w:color="auto" w:sz="4" w:space="0"/>
              <w:left w:val="single" w:color="auto" w:sz="4" w:space="0"/>
              <w:bottom w:val="single" w:color="auto" w:sz="4" w:space="0"/>
            </w:tcBorders>
            <w:shd w:val="clear" w:color="auto" w:fill="auto"/>
            <w:vAlign w:val="center"/>
          </w:tcPr>
          <w:p w14:paraId="201F4C00">
            <w:pPr>
              <w:keepNext w:val="0"/>
              <w:pageBreakBefore w:val="0"/>
              <w:numPr>
                <w:ilvl w:val="0"/>
                <w:numId w:val="3"/>
              </w:numPr>
              <w:kinsoku/>
              <w:wordWrap/>
              <w:overflowPunct/>
              <w:topLinePunct w:val="0"/>
              <w:bidi w:val="0"/>
              <w:spacing w:beforeAutospacing="0" w:line="400" w:lineRule="exact"/>
              <w:ind w:firstLine="420" w:firstLineChars="0"/>
              <w:rPr>
                <w:rFonts w:hint="eastAsia" w:ascii="宋体" w:hAnsi="宋体" w:cs="宋体"/>
                <w:color w:val="auto"/>
                <w:szCs w:val="21"/>
                <w:highlight w:val="none"/>
              </w:rPr>
            </w:pPr>
            <w:r>
              <w:rPr>
                <w:rFonts w:hint="eastAsia" w:ascii="宋体" w:hAnsi="宋体" w:cs="宋体"/>
                <w:color w:val="auto"/>
                <w:szCs w:val="21"/>
                <w:highlight w:val="none"/>
              </w:rPr>
              <w:t>项目负责人具备</w:t>
            </w:r>
            <w:r>
              <w:rPr>
                <w:rFonts w:hint="eastAsia" w:ascii="宋体" w:hAnsi="宋体" w:cs="宋体"/>
                <w:color w:val="auto"/>
                <w:szCs w:val="21"/>
                <w:highlight w:val="none"/>
                <w:lang w:val="en-US" w:eastAsia="zh-CN"/>
              </w:rPr>
              <w:t>有效的</w:t>
            </w:r>
            <w:r>
              <w:rPr>
                <w:rFonts w:hint="eastAsia" w:ascii="宋体" w:hAnsi="宋体" w:cs="宋体"/>
                <w:color w:val="auto"/>
                <w:szCs w:val="21"/>
                <w:highlight w:val="none"/>
                <w:lang w:eastAsia="zh-CN"/>
              </w:rPr>
              <w:t>C</w:t>
            </w:r>
            <w:r>
              <w:rPr>
                <w:rFonts w:hint="eastAsia" w:ascii="宋体" w:hAnsi="宋体" w:cs="宋体"/>
                <w:color w:val="auto"/>
                <w:szCs w:val="21"/>
                <w:highlight w:val="none"/>
                <w:lang w:val="en-US" w:eastAsia="zh-CN"/>
              </w:rPr>
              <w:t>ISP</w:t>
            </w:r>
            <w:r>
              <w:rPr>
                <w:rFonts w:hint="eastAsia" w:ascii="宋体" w:hAnsi="宋体" w:cs="宋体"/>
                <w:color w:val="auto"/>
                <w:szCs w:val="21"/>
                <w:highlight w:val="none"/>
              </w:rPr>
              <w:t>证书或信息安全工程师证书，得2分，</w:t>
            </w:r>
            <w:r>
              <w:rPr>
                <w:rFonts w:hint="eastAsia" w:ascii="宋体" w:hAnsi="宋体" w:eastAsia="宋体" w:cs="宋体"/>
                <w:color w:val="auto"/>
                <w:kern w:val="0"/>
                <w:szCs w:val="24"/>
                <w:highlight w:val="none"/>
                <w:lang w:val="en-US" w:eastAsia="zh-CN"/>
              </w:rPr>
              <w:t>本项最多得</w:t>
            </w:r>
            <w:r>
              <w:rPr>
                <w:rFonts w:hint="eastAsia" w:ascii="宋体" w:hAnsi="宋体" w:cs="宋体"/>
                <w:color w:val="auto"/>
                <w:kern w:val="0"/>
                <w:szCs w:val="24"/>
                <w:highlight w:val="none"/>
                <w:lang w:val="en-US" w:eastAsia="zh-CN"/>
              </w:rPr>
              <w:t>2</w:t>
            </w:r>
            <w:r>
              <w:rPr>
                <w:rFonts w:hint="eastAsia" w:ascii="宋体" w:hAnsi="宋体" w:eastAsia="宋体" w:cs="宋体"/>
                <w:color w:val="auto"/>
                <w:kern w:val="0"/>
                <w:szCs w:val="24"/>
                <w:highlight w:val="none"/>
                <w:lang w:val="en-US" w:eastAsia="zh-CN"/>
              </w:rPr>
              <w:t>分</w:t>
            </w:r>
            <w:r>
              <w:rPr>
                <w:rFonts w:hint="eastAsia" w:ascii="宋体" w:hAnsi="宋体" w:eastAsia="宋体" w:cs="宋体"/>
                <w:color w:val="auto"/>
                <w:kern w:val="0"/>
                <w:szCs w:val="24"/>
                <w:highlight w:val="none"/>
              </w:rPr>
              <w:t>。</w:t>
            </w:r>
          </w:p>
          <w:p w14:paraId="6A2E557F">
            <w:pPr>
              <w:keepNext w:val="0"/>
              <w:pageBreakBefore w:val="0"/>
              <w:numPr>
                <w:ilvl w:val="0"/>
                <w:numId w:val="3"/>
              </w:numPr>
              <w:kinsoku/>
              <w:wordWrap/>
              <w:overflowPunct/>
              <w:topLinePunct w:val="0"/>
              <w:bidi w:val="0"/>
              <w:spacing w:beforeAutospacing="0" w:line="400" w:lineRule="exact"/>
              <w:ind w:firstLine="420" w:firstLineChars="0"/>
              <w:rPr>
                <w:rFonts w:hint="eastAsia" w:ascii="宋体" w:hAnsi="宋体" w:cs="宋体"/>
                <w:color w:val="auto"/>
                <w:szCs w:val="21"/>
                <w:highlight w:val="none"/>
              </w:rPr>
            </w:pPr>
            <w:r>
              <w:rPr>
                <w:rFonts w:hint="eastAsia" w:ascii="宋体" w:hAnsi="宋体" w:cs="宋体"/>
                <w:color w:val="auto"/>
                <w:szCs w:val="21"/>
                <w:highlight w:val="none"/>
              </w:rPr>
              <w:t>项目团队</w:t>
            </w:r>
            <w:r>
              <w:rPr>
                <w:rFonts w:hint="eastAsia" w:ascii="宋体" w:hAnsi="宋体" w:cs="宋体"/>
                <w:color w:val="auto"/>
                <w:szCs w:val="21"/>
                <w:highlight w:val="none"/>
                <w:lang w:eastAsia="zh-CN"/>
              </w:rPr>
              <w:t>成员</w:t>
            </w:r>
            <w:r>
              <w:rPr>
                <w:rFonts w:hint="eastAsia" w:ascii="宋体" w:hAnsi="宋体" w:cs="宋体"/>
                <w:color w:val="auto"/>
                <w:szCs w:val="21"/>
                <w:highlight w:val="none"/>
              </w:rPr>
              <w:t>具备</w:t>
            </w:r>
            <w:r>
              <w:rPr>
                <w:rFonts w:hint="eastAsia" w:ascii="宋体" w:hAnsi="宋体" w:cs="宋体"/>
                <w:color w:val="auto"/>
                <w:szCs w:val="21"/>
                <w:highlight w:val="none"/>
                <w:lang w:val="en-US" w:eastAsia="zh-CN"/>
              </w:rPr>
              <w:t>有效的</w:t>
            </w:r>
            <w:r>
              <w:rPr>
                <w:rFonts w:hint="eastAsia" w:ascii="宋体" w:hAnsi="宋体" w:cs="宋体"/>
                <w:color w:val="auto"/>
                <w:szCs w:val="21"/>
                <w:highlight w:val="none"/>
                <w:lang w:eastAsia="zh-CN"/>
              </w:rPr>
              <w:t>C</w:t>
            </w:r>
            <w:r>
              <w:rPr>
                <w:rFonts w:hint="eastAsia" w:ascii="宋体" w:hAnsi="宋体" w:cs="宋体"/>
                <w:color w:val="auto"/>
                <w:szCs w:val="21"/>
                <w:highlight w:val="none"/>
                <w:lang w:val="en-US" w:eastAsia="zh-CN"/>
              </w:rPr>
              <w:t>ISP</w:t>
            </w:r>
            <w:r>
              <w:rPr>
                <w:rFonts w:hint="eastAsia" w:ascii="宋体" w:hAnsi="宋体" w:cs="宋体"/>
                <w:color w:val="auto"/>
                <w:szCs w:val="21"/>
                <w:highlight w:val="none"/>
              </w:rPr>
              <w:t>证书或信息安全工程师证书，得1分，</w:t>
            </w:r>
            <w:r>
              <w:rPr>
                <w:rFonts w:hint="eastAsia" w:ascii="宋体" w:hAnsi="宋体" w:eastAsia="宋体" w:cs="宋体"/>
                <w:color w:val="auto"/>
                <w:kern w:val="0"/>
                <w:szCs w:val="24"/>
                <w:highlight w:val="none"/>
                <w:lang w:val="en-US" w:eastAsia="zh-CN"/>
              </w:rPr>
              <w:t>本项最多得</w:t>
            </w:r>
            <w:r>
              <w:rPr>
                <w:rFonts w:hint="eastAsia" w:ascii="宋体" w:hAnsi="宋体" w:cs="宋体"/>
                <w:color w:val="auto"/>
                <w:kern w:val="0"/>
                <w:szCs w:val="24"/>
                <w:highlight w:val="none"/>
                <w:lang w:val="en-US" w:eastAsia="zh-CN"/>
              </w:rPr>
              <w:t>1</w:t>
            </w:r>
            <w:r>
              <w:rPr>
                <w:rFonts w:hint="eastAsia" w:ascii="宋体" w:hAnsi="宋体" w:eastAsia="宋体" w:cs="宋体"/>
                <w:color w:val="auto"/>
                <w:kern w:val="0"/>
                <w:szCs w:val="24"/>
                <w:highlight w:val="none"/>
                <w:lang w:val="en-US" w:eastAsia="zh-CN"/>
              </w:rPr>
              <w:t>分</w:t>
            </w:r>
            <w:r>
              <w:rPr>
                <w:rFonts w:hint="eastAsia" w:ascii="宋体" w:hAnsi="宋体" w:eastAsia="宋体" w:cs="宋体"/>
                <w:color w:val="auto"/>
                <w:kern w:val="0"/>
                <w:szCs w:val="24"/>
                <w:highlight w:val="none"/>
              </w:rPr>
              <w:t>。</w:t>
            </w:r>
          </w:p>
          <w:p w14:paraId="5213E1DC">
            <w:pPr>
              <w:keepNext w:val="0"/>
              <w:pageBreakBefore w:val="0"/>
              <w:kinsoku/>
              <w:wordWrap/>
              <w:overflowPunct/>
              <w:topLinePunct w:val="0"/>
              <w:bidi w:val="0"/>
              <w:spacing w:beforeAutospacing="0" w:line="400" w:lineRule="exact"/>
              <w:ind w:firstLine="420" w:firstLineChars="0"/>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宋体" w:hAnsi="宋体" w:eastAsia="宋体" w:cs="宋体"/>
                <w:b/>
                <w:bCs/>
                <w:color w:val="auto"/>
                <w:kern w:val="0"/>
                <w:szCs w:val="21"/>
                <w:highlight w:val="none"/>
                <w:shd w:val="clear" w:color="auto" w:fill="FFFFFF"/>
                <w:lang w:bidi="ar"/>
              </w:rPr>
              <w:t>注：</w:t>
            </w:r>
            <w:r>
              <w:rPr>
                <w:rFonts w:hint="eastAsia" w:ascii="宋体" w:hAnsi="宋体" w:eastAsia="宋体" w:cs="宋体"/>
                <w:b/>
                <w:bCs/>
                <w:color w:val="auto"/>
                <w:sz w:val="21"/>
                <w:szCs w:val="21"/>
                <w:highlight w:val="none"/>
                <w:lang w:val="en-US" w:eastAsia="zh-CN"/>
              </w:rPr>
              <w:t>以上人员需提供相应人员身份证、证书复印件及报价人为以上人员缴纳的2025年</w:t>
            </w:r>
            <w:r>
              <w:rPr>
                <w:rFonts w:hint="eastAsia" w:ascii="宋体" w:hAnsi="宋体" w:cs="宋体"/>
                <w:b/>
                <w:bCs/>
                <w:color w:val="auto"/>
                <w:sz w:val="21"/>
                <w:szCs w:val="21"/>
                <w:highlight w:val="none"/>
                <w:lang w:val="en-US" w:eastAsia="zh-CN"/>
              </w:rPr>
              <w:t>5</w:t>
            </w:r>
            <w:r>
              <w:rPr>
                <w:rFonts w:hint="eastAsia" w:ascii="宋体" w:hAnsi="宋体" w:eastAsia="宋体" w:cs="宋体"/>
                <w:b/>
                <w:bCs/>
                <w:color w:val="auto"/>
                <w:sz w:val="21"/>
                <w:szCs w:val="21"/>
                <w:highlight w:val="none"/>
              </w:rPr>
              <w:t>月至2025年</w:t>
            </w:r>
            <w:r>
              <w:rPr>
                <w:rFonts w:hint="eastAsia" w:ascii="宋体" w:hAnsi="宋体" w:cs="宋体"/>
                <w:b/>
                <w:bCs/>
                <w:color w:val="auto"/>
                <w:sz w:val="21"/>
                <w:szCs w:val="21"/>
                <w:highlight w:val="none"/>
                <w:lang w:val="en-US" w:eastAsia="zh-CN"/>
              </w:rPr>
              <w:t>10</w:t>
            </w:r>
            <w:r>
              <w:rPr>
                <w:rFonts w:hint="eastAsia" w:ascii="宋体" w:hAnsi="宋体" w:eastAsia="宋体" w:cs="宋体"/>
                <w:b/>
                <w:bCs/>
                <w:color w:val="auto"/>
                <w:sz w:val="21"/>
                <w:szCs w:val="21"/>
                <w:highlight w:val="none"/>
              </w:rPr>
              <w:t>月</w:t>
            </w:r>
            <w:r>
              <w:rPr>
                <w:rFonts w:hint="eastAsia" w:ascii="宋体" w:hAnsi="宋体" w:eastAsia="宋体" w:cs="宋体"/>
                <w:b/>
                <w:bCs/>
                <w:color w:val="auto"/>
                <w:sz w:val="21"/>
                <w:szCs w:val="21"/>
                <w:highlight w:val="none"/>
                <w:lang w:val="en-US" w:eastAsia="zh-CN"/>
              </w:rPr>
              <w:t>间</w:t>
            </w:r>
            <w:r>
              <w:rPr>
                <w:rFonts w:hint="eastAsia" w:ascii="宋体" w:hAnsi="宋体" w:eastAsia="宋体" w:cs="宋体"/>
                <w:b/>
                <w:bCs/>
                <w:color w:val="auto"/>
                <w:sz w:val="21"/>
                <w:szCs w:val="21"/>
                <w:highlight w:val="none"/>
              </w:rPr>
              <w:t>连续</w:t>
            </w:r>
            <w:r>
              <w:rPr>
                <w:rFonts w:hint="eastAsia" w:ascii="宋体" w:hAnsi="宋体" w:eastAsia="宋体" w:cs="宋体"/>
                <w:b/>
                <w:bCs/>
                <w:color w:val="auto"/>
                <w:sz w:val="21"/>
                <w:szCs w:val="21"/>
                <w:highlight w:val="none"/>
                <w:lang w:val="en-US" w:eastAsia="zh-CN"/>
              </w:rPr>
              <w:t>三个月</w:t>
            </w:r>
            <w:r>
              <w:rPr>
                <w:rFonts w:hint="eastAsia" w:ascii="宋体" w:hAnsi="宋体" w:eastAsia="宋体" w:cs="宋体"/>
                <w:b/>
                <w:bCs/>
                <w:color w:val="auto"/>
                <w:sz w:val="21"/>
                <w:szCs w:val="21"/>
                <w:highlight w:val="none"/>
              </w:rPr>
              <w:t>社保证明</w:t>
            </w:r>
            <w:r>
              <w:rPr>
                <w:rFonts w:hint="eastAsia" w:ascii="宋体" w:hAnsi="宋体" w:eastAsia="宋体" w:cs="宋体"/>
                <w:b/>
                <w:bCs/>
                <w:color w:val="auto"/>
                <w:sz w:val="21"/>
                <w:szCs w:val="21"/>
                <w:highlight w:val="none"/>
                <w:lang w:eastAsia="zh-CN"/>
              </w:rPr>
              <w:t>材料，</w:t>
            </w:r>
            <w:r>
              <w:rPr>
                <w:rFonts w:hint="eastAsia" w:ascii="宋体" w:hAnsi="宋体" w:eastAsia="宋体" w:cs="宋体"/>
                <w:b/>
                <w:bCs/>
                <w:color w:val="auto"/>
                <w:kern w:val="0"/>
                <w:szCs w:val="21"/>
                <w:highlight w:val="none"/>
                <w:shd w:val="clear" w:color="auto" w:fill="FFFFFF"/>
                <w:lang w:val="en-US" w:eastAsia="zh-CN" w:bidi="ar"/>
              </w:rPr>
              <w:t>每个人员不重复加分</w:t>
            </w:r>
            <w:r>
              <w:rPr>
                <w:rFonts w:hint="eastAsia" w:ascii="宋体" w:hAnsi="宋体" w:eastAsia="宋体" w:cs="宋体"/>
                <w:color w:val="auto"/>
                <w:sz w:val="21"/>
                <w:szCs w:val="21"/>
                <w:highlight w:val="none"/>
                <w:lang w:eastAsia="zh-CN"/>
              </w:rPr>
              <w:t>。</w:t>
            </w:r>
          </w:p>
        </w:tc>
        <w:tc>
          <w:tcPr>
            <w:tcW w:w="555" w:type="dxa"/>
            <w:tcBorders>
              <w:top w:val="single" w:color="auto" w:sz="4" w:space="0"/>
              <w:left w:val="single" w:color="auto" w:sz="4" w:space="0"/>
              <w:bottom w:val="single" w:color="auto" w:sz="4" w:space="0"/>
            </w:tcBorders>
            <w:vAlign w:val="center"/>
          </w:tcPr>
          <w:p w14:paraId="1323C9D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68C045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7C3795F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24F2D89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5C1B40F2">
            <w:pPr>
              <w:pageBreakBefore w:val="0"/>
              <w:kinsoku/>
              <w:wordWrap/>
              <w:overflowPunct/>
              <w:topLinePunct w:val="0"/>
              <w:autoSpaceDE w:val="0"/>
              <w:autoSpaceDN w:val="0"/>
              <w:bidi w:val="0"/>
              <w:spacing w:line="400" w:lineRule="exact"/>
              <w:jc w:val="center"/>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eastAsia="宋体" w:cs="宋体"/>
                <w:bCs/>
                <w:i w:val="0"/>
                <w:iCs w:val="0"/>
                <w:color w:val="auto"/>
                <w:szCs w:val="21"/>
                <w:highlight w:val="none"/>
                <w:lang w:val="en-US" w:eastAsia="zh-CN" w:bidi="ar"/>
              </w:rPr>
              <w:t>财务要求</w:t>
            </w:r>
            <w:r>
              <w:rPr>
                <w:rFonts w:hint="eastAsia" w:ascii="宋体" w:hAnsi="宋体" w:eastAsia="宋体" w:cs="宋体"/>
                <w:bCs/>
                <w:i w:val="0"/>
                <w:iCs w:val="0"/>
                <w:color w:val="auto"/>
                <w:szCs w:val="21"/>
                <w:highlight w:val="none"/>
                <w:lang w:bidi="ar"/>
              </w:rPr>
              <w:t>（</w:t>
            </w:r>
            <w:r>
              <w:rPr>
                <w:rFonts w:hint="eastAsia" w:ascii="宋体" w:hAnsi="宋体" w:cs="宋体"/>
                <w:bCs/>
                <w:i w:val="0"/>
                <w:iCs w:val="0"/>
                <w:color w:val="auto"/>
                <w:szCs w:val="21"/>
                <w:highlight w:val="none"/>
                <w:lang w:val="en-US" w:eastAsia="zh-CN" w:bidi="ar"/>
              </w:rPr>
              <w:t>1</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7914B21F">
            <w:pPr>
              <w:pageBreakBefore w:val="0"/>
              <w:kinsoku/>
              <w:wordWrap/>
              <w:overflowPunct/>
              <w:topLinePunct w:val="0"/>
              <w:bidi w:val="0"/>
              <w:spacing w:line="320" w:lineRule="exact"/>
              <w:ind w:firstLine="420" w:firstLineChars="200"/>
              <w:jc w:val="lef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lang w:val="en-US" w:eastAsia="zh-CN"/>
              </w:rPr>
              <w:t>人202</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年、202</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年以及202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年经营状况良好，3年连续不亏损得</w:t>
            </w:r>
            <w:r>
              <w:rPr>
                <w:rFonts w:hint="eastAsia" w:ascii="宋体" w:hAnsi="宋体" w:cs="宋体"/>
                <w:color w:val="auto"/>
                <w:szCs w:val="21"/>
                <w:highlight w:val="none"/>
                <w:lang w:val="en-US" w:eastAsia="zh-CN"/>
              </w:rPr>
              <w:t>1</w:t>
            </w:r>
            <w:r>
              <w:rPr>
                <w:rFonts w:hint="eastAsia" w:ascii="宋体" w:hAnsi="宋体" w:eastAsia="宋体" w:cs="宋体"/>
                <w:color w:val="auto"/>
                <w:szCs w:val="21"/>
                <w:highlight w:val="none"/>
                <w:lang w:val="en-US" w:eastAsia="zh-CN"/>
              </w:rPr>
              <w:t>分，</w:t>
            </w:r>
            <w:r>
              <w:rPr>
                <w:rFonts w:hint="eastAsia" w:ascii="宋体" w:hAnsi="宋体" w:cs="宋体"/>
                <w:color w:val="auto"/>
                <w:szCs w:val="21"/>
                <w:highlight w:val="none"/>
                <w:lang w:val="en-US" w:eastAsia="zh-CN"/>
              </w:rPr>
              <w:t>其他情况不得分</w:t>
            </w:r>
            <w:r>
              <w:rPr>
                <w:rFonts w:hint="eastAsia" w:ascii="宋体" w:hAnsi="宋体" w:eastAsia="宋体" w:cs="宋体"/>
                <w:color w:val="auto"/>
                <w:szCs w:val="21"/>
                <w:highlight w:val="none"/>
                <w:lang w:val="en-US" w:eastAsia="zh-CN"/>
              </w:rPr>
              <w:t>。</w:t>
            </w:r>
          </w:p>
          <w:p w14:paraId="5AEA5CEF">
            <w:pPr>
              <w:keepNext w:val="0"/>
              <w:pageBreakBefore w:val="0"/>
              <w:kinsoku/>
              <w:wordWrap/>
              <w:overflowPunct/>
              <w:topLinePunct w:val="0"/>
              <w:bidi w:val="0"/>
              <w:spacing w:beforeAutospacing="0" w:line="320" w:lineRule="exact"/>
              <w:ind w:firstLine="422" w:firstLineChars="200"/>
              <w:jc w:val="left"/>
              <w:rPr>
                <w:rFonts w:hint="eastAsia" w:asciiTheme="minorEastAsia" w:hAnsiTheme="minorEastAsia" w:eastAsiaTheme="minorEastAsia" w:cstheme="minorEastAsia"/>
                <w:b/>
                <w:bCs/>
                <w:color w:val="auto"/>
                <w:kern w:val="0"/>
                <w:szCs w:val="21"/>
                <w:highlight w:val="none"/>
                <w:shd w:val="clear" w:color="auto" w:fill="FFFFFF"/>
                <w:lang w:bidi="ar"/>
              </w:rPr>
            </w:pPr>
            <w:r>
              <w:rPr>
                <w:rFonts w:hint="eastAsia" w:ascii="宋体" w:hAnsi="宋体" w:eastAsia="宋体" w:cs="宋体"/>
                <w:b/>
                <w:bCs/>
                <w:color w:val="auto"/>
                <w:szCs w:val="21"/>
                <w:highlight w:val="none"/>
                <w:lang w:val="en-US" w:eastAsia="zh-CN"/>
              </w:rPr>
              <w:t>注：提供202</w:t>
            </w:r>
            <w:r>
              <w:rPr>
                <w:rFonts w:hint="eastAsia" w:ascii="宋体" w:hAnsi="宋体" w:cs="宋体"/>
                <w:b/>
                <w:bCs/>
                <w:color w:val="auto"/>
                <w:szCs w:val="21"/>
                <w:highlight w:val="none"/>
                <w:lang w:val="en-US" w:eastAsia="zh-CN"/>
              </w:rPr>
              <w:t>2</w:t>
            </w:r>
            <w:r>
              <w:rPr>
                <w:rFonts w:hint="eastAsia" w:ascii="宋体" w:hAnsi="宋体" w:eastAsia="宋体" w:cs="宋体"/>
                <w:b/>
                <w:bCs/>
                <w:color w:val="auto"/>
                <w:szCs w:val="21"/>
                <w:highlight w:val="none"/>
                <w:lang w:val="en-US" w:eastAsia="zh-CN"/>
              </w:rPr>
              <w:t>年-202</w:t>
            </w:r>
            <w:r>
              <w:rPr>
                <w:rFonts w:hint="eastAsia" w:ascii="宋体" w:hAnsi="宋体" w:cs="宋体"/>
                <w:b/>
                <w:bCs/>
                <w:color w:val="auto"/>
                <w:szCs w:val="21"/>
                <w:highlight w:val="none"/>
                <w:lang w:val="en-US" w:eastAsia="zh-CN"/>
              </w:rPr>
              <w:t>4</w:t>
            </w:r>
            <w:r>
              <w:rPr>
                <w:rFonts w:hint="eastAsia" w:ascii="宋体" w:hAnsi="宋体" w:eastAsia="宋体" w:cs="宋体"/>
                <w:b/>
                <w:bCs/>
                <w:color w:val="auto"/>
                <w:szCs w:val="21"/>
                <w:highlight w:val="none"/>
                <w:lang w:val="en-US" w:eastAsia="zh-CN"/>
              </w:rPr>
              <w:t>年第三方审计机构出具的审计报告复印件，并加盖单位</w:t>
            </w:r>
            <w:r>
              <w:rPr>
                <w:rFonts w:hint="eastAsia" w:ascii="宋体" w:hAnsi="宋体" w:cs="宋体"/>
                <w:b/>
                <w:bCs/>
                <w:color w:val="auto"/>
                <w:szCs w:val="21"/>
                <w:highlight w:val="none"/>
                <w:lang w:val="en-US" w:eastAsia="zh-CN"/>
              </w:rPr>
              <w:t>公</w:t>
            </w:r>
            <w:r>
              <w:rPr>
                <w:rFonts w:hint="eastAsia" w:ascii="宋体" w:hAnsi="宋体" w:eastAsia="宋体" w:cs="宋体"/>
                <w:b/>
                <w:bCs/>
                <w:color w:val="auto"/>
                <w:szCs w:val="21"/>
                <w:highlight w:val="none"/>
                <w:lang w:val="en-US" w:eastAsia="zh-CN"/>
              </w:rPr>
              <w:t>章。</w:t>
            </w:r>
          </w:p>
        </w:tc>
        <w:tc>
          <w:tcPr>
            <w:tcW w:w="555" w:type="dxa"/>
            <w:tcBorders>
              <w:top w:val="single" w:color="auto" w:sz="4" w:space="0"/>
              <w:left w:val="single" w:color="auto" w:sz="4" w:space="0"/>
              <w:bottom w:val="single" w:color="auto" w:sz="4" w:space="0"/>
            </w:tcBorders>
            <w:vAlign w:val="center"/>
          </w:tcPr>
          <w:p w14:paraId="14F37D9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1EEEFB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1B3E314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5CA8BE2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vAlign w:val="center"/>
          </w:tcPr>
          <w:p w14:paraId="2942D91B">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宋体" w:hAnsi="宋体" w:eastAsia="宋体" w:cs="宋体"/>
                <w:bCs/>
                <w:i w:val="0"/>
                <w:iCs w:val="0"/>
                <w:color w:val="auto"/>
                <w:szCs w:val="21"/>
                <w:highlight w:val="none"/>
                <w:lang w:eastAsia="zh-CN" w:bidi="ar"/>
              </w:rPr>
            </w:pPr>
            <w:r>
              <w:rPr>
                <w:rFonts w:hint="eastAsia" w:ascii="宋体" w:hAnsi="宋体" w:eastAsia="宋体" w:cs="宋体"/>
                <w:bCs/>
                <w:i w:val="0"/>
                <w:iCs w:val="0"/>
                <w:color w:val="auto"/>
                <w:szCs w:val="21"/>
                <w:highlight w:val="none"/>
                <w:lang w:eastAsia="zh-CN" w:bidi="ar"/>
              </w:rPr>
              <w:t>报价人</w:t>
            </w:r>
          </w:p>
          <w:p w14:paraId="42D1EC0F">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宋体" w:hAnsi="宋体" w:eastAsia="宋体" w:cs="宋体"/>
                <w:bCs/>
                <w:i w:val="0"/>
                <w:iCs w:val="0"/>
                <w:color w:val="auto"/>
                <w:szCs w:val="21"/>
                <w:highlight w:val="none"/>
                <w:lang w:bidi="ar"/>
              </w:rPr>
            </w:pPr>
            <w:r>
              <w:rPr>
                <w:rFonts w:hint="eastAsia" w:ascii="宋体" w:hAnsi="宋体" w:eastAsia="宋体" w:cs="宋体"/>
                <w:bCs/>
                <w:i w:val="0"/>
                <w:iCs w:val="0"/>
                <w:color w:val="auto"/>
                <w:szCs w:val="21"/>
                <w:highlight w:val="none"/>
                <w:lang w:bidi="ar"/>
              </w:rPr>
              <w:t>业绩</w:t>
            </w:r>
          </w:p>
          <w:p w14:paraId="28A4A169">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eastAsia="宋体" w:cs="宋体"/>
                <w:bCs/>
                <w:i w:val="0"/>
                <w:iCs w:val="0"/>
                <w:color w:val="auto"/>
                <w:szCs w:val="21"/>
                <w:highlight w:val="none"/>
                <w:lang w:bidi="ar"/>
              </w:rPr>
              <w:t>（</w:t>
            </w:r>
            <w:r>
              <w:rPr>
                <w:rFonts w:hint="eastAsia" w:ascii="宋体" w:hAnsi="宋体" w:cs="宋体"/>
                <w:bCs/>
                <w:i w:val="0"/>
                <w:iCs w:val="0"/>
                <w:color w:val="auto"/>
                <w:szCs w:val="21"/>
                <w:highlight w:val="none"/>
                <w:lang w:val="en-US" w:eastAsia="zh-CN" w:bidi="ar"/>
              </w:rPr>
              <w:t>6</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vAlign w:val="center"/>
          </w:tcPr>
          <w:p w14:paraId="0B801382">
            <w:pPr>
              <w:pStyle w:val="120"/>
              <w:keepNext w:val="0"/>
              <w:pageBreakBefore w:val="0"/>
              <w:widowControl/>
              <w:kinsoku/>
              <w:wordWrap/>
              <w:overflowPunct/>
              <w:topLinePunct w:val="0"/>
              <w:bidi w:val="0"/>
              <w:spacing w:beforeAutospacing="0" w:line="400" w:lineRule="exact"/>
              <w:jc w:val="left"/>
              <w:rPr>
                <w:rFonts w:hint="eastAsia" w:ascii="宋体" w:hAnsi="宋体" w:cs="宋体"/>
                <w:color w:val="auto"/>
                <w:szCs w:val="21"/>
                <w:highlight w:val="none"/>
                <w:lang w:eastAsia="zh-CN"/>
              </w:rPr>
            </w:pPr>
            <w:r>
              <w:rPr>
                <w:rFonts w:hint="default" w:ascii="宋体" w:hAnsi="宋体" w:cs="宋体"/>
                <w:color w:val="auto"/>
                <w:szCs w:val="21"/>
                <w:highlight w:val="none"/>
                <w:lang w:eastAsia="zh-CN"/>
              </w:rPr>
              <w:t>满足</w:t>
            </w:r>
            <w:r>
              <w:rPr>
                <w:rFonts w:hint="eastAsia" w:ascii="宋体" w:hAnsi="宋体" w:cs="宋体"/>
                <w:color w:val="auto"/>
                <w:szCs w:val="21"/>
                <w:highlight w:val="none"/>
                <w:lang w:val="en-US" w:eastAsia="zh-CN"/>
              </w:rPr>
              <w:t>资格业绩</w:t>
            </w:r>
            <w:r>
              <w:rPr>
                <w:rFonts w:hint="default" w:ascii="宋体" w:hAnsi="宋体" w:cs="宋体"/>
                <w:color w:val="auto"/>
                <w:szCs w:val="21"/>
                <w:highlight w:val="none"/>
                <w:lang w:eastAsia="zh-CN"/>
              </w:rPr>
              <w:t>要求得</w:t>
            </w:r>
            <w:r>
              <w:rPr>
                <w:rFonts w:hint="eastAsia" w:ascii="宋体" w:hAnsi="宋体" w:cs="宋体"/>
                <w:color w:val="auto"/>
                <w:szCs w:val="21"/>
                <w:highlight w:val="none"/>
                <w:lang w:val="en-US" w:eastAsia="zh-CN"/>
              </w:rPr>
              <w:t>2</w:t>
            </w:r>
            <w:r>
              <w:rPr>
                <w:rFonts w:hint="default" w:ascii="宋体" w:hAnsi="宋体" w:cs="宋体"/>
                <w:color w:val="auto"/>
                <w:szCs w:val="21"/>
                <w:highlight w:val="none"/>
                <w:lang w:eastAsia="zh-CN"/>
              </w:rPr>
              <w:t>分，</w:t>
            </w:r>
            <w:r>
              <w:rPr>
                <w:rFonts w:hint="eastAsia" w:ascii="宋体" w:hAnsi="宋体" w:cs="宋体"/>
                <w:color w:val="auto"/>
                <w:szCs w:val="21"/>
                <w:highlight w:val="none"/>
                <w:lang w:val="en-US" w:eastAsia="zh-CN"/>
              </w:rPr>
              <w:t>报价人</w:t>
            </w:r>
            <w:r>
              <w:rPr>
                <w:rFonts w:hint="eastAsia" w:ascii="宋体" w:hAnsi="宋体" w:eastAsia="宋体" w:cs="宋体"/>
                <w:color w:val="auto"/>
                <w:szCs w:val="21"/>
                <w:highlight w:val="none"/>
                <w:lang w:val="en-US" w:eastAsia="zh-CN"/>
              </w:rPr>
              <w:t>在满足</w:t>
            </w:r>
            <w:r>
              <w:rPr>
                <w:rFonts w:hint="eastAsia" w:ascii="宋体" w:hAnsi="宋体" w:cs="宋体"/>
                <w:color w:val="auto"/>
                <w:szCs w:val="21"/>
                <w:highlight w:val="none"/>
                <w:lang w:val="en-US" w:eastAsia="zh-CN"/>
              </w:rPr>
              <w:t>资格业绩要求</w:t>
            </w:r>
            <w:r>
              <w:rPr>
                <w:rFonts w:hint="eastAsia" w:ascii="宋体" w:hAnsi="宋体" w:eastAsia="宋体" w:cs="宋体"/>
                <w:color w:val="auto"/>
                <w:szCs w:val="21"/>
                <w:highlight w:val="none"/>
                <w:lang w:eastAsia="zh-CN"/>
              </w:rPr>
              <w:t>的基础上</w:t>
            </w:r>
            <w:r>
              <w:rPr>
                <w:rFonts w:hint="eastAsia" w:ascii="宋体" w:hAnsi="宋体" w:cs="宋体"/>
                <w:color w:val="auto"/>
                <w:szCs w:val="21"/>
                <w:highlight w:val="none"/>
                <w:lang w:eastAsia="zh-CN"/>
              </w:rPr>
              <w:t>：</w:t>
            </w:r>
          </w:p>
          <w:p w14:paraId="0E72C0EC">
            <w:pPr>
              <w:pStyle w:val="120"/>
              <w:keepNext w:val="0"/>
              <w:pageBreakBefore w:val="0"/>
              <w:widowControl/>
              <w:kinsoku/>
              <w:wordWrap/>
              <w:overflowPunct/>
              <w:topLinePunct w:val="0"/>
              <w:bidi w:val="0"/>
              <w:spacing w:beforeAutospacing="0" w:line="400" w:lineRule="exact"/>
              <w:jc w:val="left"/>
              <w:rPr>
                <w:rFonts w:hint="eastAsia" w:ascii="宋体" w:hAnsi="宋体" w:eastAsia="宋体" w:cs="宋体"/>
                <w:bCs/>
                <w:color w:val="auto"/>
                <w:szCs w:val="21"/>
                <w:highlight w:val="none"/>
              </w:rPr>
            </w:pPr>
            <w:r>
              <w:rPr>
                <w:rFonts w:hint="eastAsia" w:ascii="宋体" w:hAnsi="宋体" w:cs="宋体"/>
                <w:color w:val="auto"/>
                <w:kern w:val="0"/>
                <w:szCs w:val="24"/>
                <w:highlight w:val="none"/>
              </w:rPr>
              <w:t>在满足资格</w:t>
            </w:r>
            <w:r>
              <w:rPr>
                <w:rFonts w:hint="eastAsia" w:ascii="宋体" w:hAnsi="宋体" w:cs="宋体"/>
                <w:color w:val="auto"/>
                <w:kern w:val="0"/>
                <w:szCs w:val="24"/>
                <w:highlight w:val="none"/>
                <w:lang w:val="en-US" w:eastAsia="zh-CN"/>
              </w:rPr>
              <w:t>业绩</w:t>
            </w:r>
            <w:r>
              <w:rPr>
                <w:rFonts w:hint="eastAsia" w:ascii="宋体" w:hAnsi="宋体" w:cs="宋体"/>
                <w:color w:val="auto"/>
                <w:kern w:val="0"/>
                <w:szCs w:val="24"/>
                <w:highlight w:val="none"/>
              </w:rPr>
              <w:t>要求</w:t>
            </w:r>
            <w:r>
              <w:rPr>
                <w:rFonts w:hint="eastAsia" w:ascii="宋体" w:hAnsi="宋体" w:cs="宋体"/>
                <w:color w:val="auto"/>
                <w:kern w:val="0"/>
                <w:szCs w:val="24"/>
                <w:highlight w:val="none"/>
                <w:lang w:val="en-US" w:eastAsia="zh-CN"/>
              </w:rPr>
              <w:t>的</w:t>
            </w:r>
            <w:r>
              <w:rPr>
                <w:rFonts w:hint="eastAsia" w:ascii="宋体" w:hAnsi="宋体" w:cs="宋体"/>
                <w:color w:val="auto"/>
                <w:kern w:val="0"/>
                <w:szCs w:val="24"/>
                <w:highlight w:val="none"/>
              </w:rPr>
              <w:t>基础上，</w:t>
            </w:r>
            <w:r>
              <w:rPr>
                <w:rFonts w:hint="eastAsia" w:ascii="宋体" w:hAnsi="宋体" w:eastAsia="宋体" w:cs="宋体"/>
                <w:bCs/>
                <w:color w:val="auto"/>
                <w:szCs w:val="21"/>
                <w:highlight w:val="none"/>
              </w:rPr>
              <w:t>报价人在</w:t>
            </w:r>
            <w:r>
              <w:rPr>
                <w:rFonts w:hint="eastAsia" w:ascii="宋体" w:hAnsi="宋体" w:cs="宋体"/>
                <w:color w:val="auto"/>
                <w:kern w:val="0"/>
                <w:szCs w:val="24"/>
                <w:highlight w:val="none"/>
              </w:rPr>
              <w:t>2022年1月1日至投标截止日（以合同签订时间为准）</w:t>
            </w:r>
            <w:r>
              <w:rPr>
                <w:rFonts w:hint="eastAsia" w:ascii="宋体" w:hAnsi="宋体" w:cs="宋体"/>
                <w:color w:val="auto"/>
                <w:kern w:val="0"/>
                <w:szCs w:val="24"/>
                <w:highlight w:val="none"/>
                <w:lang w:val="en-US" w:eastAsia="zh-CN"/>
              </w:rPr>
              <w:t>每增加</w:t>
            </w:r>
            <w:r>
              <w:rPr>
                <w:rFonts w:hint="eastAsia" w:ascii="宋体" w:hAnsi="宋体" w:cs="宋体"/>
                <w:color w:val="auto"/>
                <w:kern w:val="0"/>
                <w:szCs w:val="24"/>
                <w:highlight w:val="none"/>
              </w:rPr>
              <w:t>1个合同金额</w:t>
            </w:r>
            <w:r>
              <w:rPr>
                <w:rFonts w:hint="eastAsia" w:ascii="宋体" w:hAnsi="宋体" w:cs="宋体"/>
                <w:color w:val="auto"/>
                <w:kern w:val="0"/>
                <w:szCs w:val="24"/>
                <w:highlight w:val="none"/>
                <w:lang w:val="en-US" w:eastAsia="zh-CN"/>
              </w:rPr>
              <w:t>不低于</w:t>
            </w:r>
            <w:r>
              <w:rPr>
                <w:rFonts w:hint="eastAsia" w:ascii="宋体" w:hAnsi="宋体" w:cs="宋体"/>
                <w:color w:val="auto"/>
                <w:kern w:val="0"/>
                <w:szCs w:val="24"/>
                <w:highlight w:val="none"/>
              </w:rPr>
              <w:t>15万元的网络安全建设或服务项目相关业绩</w:t>
            </w:r>
            <w:r>
              <w:rPr>
                <w:rFonts w:hint="eastAsia" w:ascii="宋体" w:hAnsi="宋体" w:cs="宋体"/>
                <w:b w:val="0"/>
                <w:bCs w:val="0"/>
                <w:color w:val="auto"/>
                <w:sz w:val="21"/>
                <w:szCs w:val="21"/>
                <w:highlight w:val="none"/>
                <w:lang w:val="en-US" w:eastAsia="zh-CN"/>
              </w:rPr>
              <w:t>，</w:t>
            </w:r>
            <w:r>
              <w:rPr>
                <w:rFonts w:hint="eastAsia" w:ascii="宋体" w:hAnsi="宋体" w:eastAsia="宋体" w:cs="宋体"/>
                <w:color w:val="auto"/>
                <w:kern w:val="0"/>
                <w:szCs w:val="24"/>
                <w:highlight w:val="none"/>
              </w:rPr>
              <w:t>得</w:t>
            </w:r>
            <w:r>
              <w:rPr>
                <w:rFonts w:hint="eastAsia" w:ascii="宋体" w:hAnsi="宋体" w:cs="宋体"/>
                <w:color w:val="auto"/>
                <w:kern w:val="0"/>
                <w:szCs w:val="24"/>
                <w:highlight w:val="none"/>
                <w:lang w:val="en-US" w:eastAsia="zh-CN"/>
              </w:rPr>
              <w:t>2</w:t>
            </w:r>
            <w:r>
              <w:rPr>
                <w:rFonts w:hint="eastAsia" w:ascii="宋体" w:hAnsi="宋体" w:eastAsia="宋体" w:cs="宋体"/>
                <w:color w:val="auto"/>
                <w:kern w:val="0"/>
                <w:szCs w:val="24"/>
                <w:highlight w:val="none"/>
              </w:rPr>
              <w:t>分，</w:t>
            </w:r>
            <w:r>
              <w:rPr>
                <w:rFonts w:hint="eastAsia" w:ascii="宋体" w:hAnsi="宋体" w:eastAsia="宋体" w:cs="宋体"/>
                <w:color w:val="auto"/>
                <w:kern w:val="0"/>
                <w:szCs w:val="24"/>
                <w:highlight w:val="none"/>
                <w:lang w:val="en-US" w:eastAsia="zh-CN"/>
              </w:rPr>
              <w:t>本项最多得</w:t>
            </w:r>
            <w:r>
              <w:rPr>
                <w:rFonts w:hint="eastAsia" w:ascii="宋体" w:hAnsi="宋体" w:cs="宋体"/>
                <w:color w:val="auto"/>
                <w:kern w:val="0"/>
                <w:szCs w:val="24"/>
                <w:highlight w:val="none"/>
                <w:lang w:val="en-US" w:eastAsia="zh-CN"/>
              </w:rPr>
              <w:t>4</w:t>
            </w:r>
            <w:r>
              <w:rPr>
                <w:rFonts w:hint="eastAsia" w:ascii="宋体" w:hAnsi="宋体" w:eastAsia="宋体" w:cs="宋体"/>
                <w:color w:val="auto"/>
                <w:kern w:val="0"/>
                <w:szCs w:val="24"/>
                <w:highlight w:val="none"/>
                <w:lang w:val="en-US" w:eastAsia="zh-CN"/>
              </w:rPr>
              <w:t>分</w:t>
            </w:r>
            <w:r>
              <w:rPr>
                <w:rFonts w:hint="eastAsia" w:ascii="宋体" w:hAnsi="宋体" w:eastAsia="宋体" w:cs="宋体"/>
                <w:color w:val="auto"/>
                <w:kern w:val="0"/>
                <w:szCs w:val="24"/>
                <w:highlight w:val="none"/>
              </w:rPr>
              <w:t>。</w:t>
            </w:r>
          </w:p>
          <w:p w14:paraId="4236A131">
            <w:pPr>
              <w:keepNext w:val="0"/>
              <w:keepLines w:val="0"/>
              <w:pageBreakBefore w:val="0"/>
              <w:widowControl w:val="0"/>
              <w:numPr>
                <w:ilvl w:val="0"/>
                <w:numId w:val="0"/>
              </w:numPr>
              <w:kinsoku/>
              <w:wordWrap/>
              <w:overflowPunct/>
              <w:topLinePunct w:val="0"/>
              <w:autoSpaceDE/>
              <w:autoSpaceDN/>
              <w:bidi w:val="0"/>
              <w:adjustRightInd/>
              <w:snapToGrid/>
              <w:spacing w:beforeAutospacing="0" w:line="400" w:lineRule="exact"/>
              <w:ind w:left="0" w:leftChars="0" w:firstLine="422" w:firstLineChars="200"/>
              <w:textAlignment w:val="auto"/>
              <w:rPr>
                <w:rFonts w:asciiTheme="minorEastAsia" w:hAnsiTheme="minorEastAsia" w:eastAsiaTheme="minorEastAsia" w:cstheme="minorEastAsia"/>
                <w:bCs/>
                <w:color w:val="auto"/>
                <w:szCs w:val="21"/>
                <w:highlight w:val="none"/>
              </w:rPr>
            </w:pPr>
            <w:r>
              <w:rPr>
                <w:rFonts w:hint="eastAsia"/>
                <w:b/>
                <w:bCs/>
                <w:color w:val="auto"/>
                <w:highlight w:val="none"/>
                <w:lang w:val="en-US" w:eastAsia="zh-CN"/>
              </w:rPr>
              <w:t>注：提供</w:t>
            </w:r>
            <w:r>
              <w:rPr>
                <w:b/>
                <w:bCs/>
                <w:color w:val="auto"/>
                <w:highlight w:val="none"/>
              </w:rPr>
              <w:t>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hAnsi="宋体"/>
                <w:b/>
                <w:bCs/>
                <w:color w:val="auto"/>
                <w:kern w:val="0"/>
                <w:szCs w:val="21"/>
                <w:highlight w:val="none"/>
              </w:rPr>
              <w:t>盖</w:t>
            </w:r>
            <w:r>
              <w:rPr>
                <w:rFonts w:hint="eastAsia" w:hAnsi="宋体"/>
                <w:b/>
                <w:bCs/>
                <w:color w:val="auto"/>
                <w:kern w:val="0"/>
                <w:szCs w:val="21"/>
                <w:highlight w:val="none"/>
                <w:lang w:val="en-US" w:eastAsia="zh-CN"/>
              </w:rPr>
              <w:t>单位公</w:t>
            </w:r>
            <w:r>
              <w:rPr>
                <w:rFonts w:hint="eastAsia" w:hAnsi="宋体"/>
                <w:b/>
                <w:bCs/>
                <w:color w:val="auto"/>
                <w:kern w:val="0"/>
                <w:szCs w:val="21"/>
                <w:highlight w:val="none"/>
              </w:rPr>
              <w:t>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tc>
        <w:tc>
          <w:tcPr>
            <w:tcW w:w="555" w:type="dxa"/>
            <w:tcBorders>
              <w:top w:val="single" w:color="auto" w:sz="4" w:space="0"/>
              <w:left w:val="single" w:color="auto" w:sz="4" w:space="0"/>
              <w:bottom w:val="single" w:color="auto" w:sz="4" w:space="0"/>
            </w:tcBorders>
            <w:vAlign w:val="center"/>
          </w:tcPr>
          <w:p w14:paraId="72E8209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456CAF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right w:val="single" w:color="auto" w:sz="4" w:space="0"/>
            </w:tcBorders>
            <w:vAlign w:val="center"/>
          </w:tcPr>
          <w:p w14:paraId="5C8BD5CF">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2DAB801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（3）</w:t>
            </w:r>
          </w:p>
        </w:tc>
        <w:tc>
          <w:tcPr>
            <w:tcW w:w="897" w:type="dxa"/>
            <w:tcBorders>
              <w:top w:val="single" w:color="auto" w:sz="4" w:space="0"/>
              <w:left w:val="single" w:color="auto" w:sz="4" w:space="0"/>
              <w:right w:val="single" w:color="auto" w:sz="4" w:space="0"/>
            </w:tcBorders>
            <w:vAlign w:val="center"/>
          </w:tcPr>
          <w:p w14:paraId="0A342B0E">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Cs/>
                <w:color w:val="auto"/>
                <w:kern w:val="2"/>
                <w:sz w:val="21"/>
                <w:szCs w:val="21"/>
                <w:highlight w:val="none"/>
                <w:lang w:bidi="ar"/>
              </w:rPr>
            </w:pPr>
            <w:r>
              <w:rPr>
                <w:rFonts w:hint="eastAsia" w:asciiTheme="minorEastAsia" w:hAnsiTheme="minorEastAsia" w:eastAsiaTheme="minorEastAsia" w:cstheme="minorEastAsia"/>
                <w:bCs/>
                <w:color w:val="auto"/>
                <w:kern w:val="2"/>
                <w:sz w:val="21"/>
                <w:szCs w:val="21"/>
                <w:highlight w:val="none"/>
                <w:lang w:bidi="ar"/>
              </w:rPr>
              <w:t>评标价（70分）</w:t>
            </w:r>
          </w:p>
        </w:tc>
        <w:tc>
          <w:tcPr>
            <w:tcW w:w="1129" w:type="dxa"/>
            <w:tcBorders>
              <w:top w:val="single" w:color="auto" w:sz="4" w:space="0"/>
              <w:left w:val="single" w:color="auto" w:sz="4" w:space="0"/>
              <w:right w:val="single" w:color="auto" w:sz="4" w:space="0"/>
            </w:tcBorders>
            <w:vAlign w:val="center"/>
          </w:tcPr>
          <w:p w14:paraId="66DD5437">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color w:val="auto"/>
                <w:kern w:val="2"/>
                <w:sz w:val="21"/>
                <w:szCs w:val="21"/>
                <w:highlight w:val="none"/>
                <w:lang w:bidi="ar"/>
              </w:rPr>
            </w:pPr>
            <w:r>
              <w:rPr>
                <w:rFonts w:hint="eastAsia" w:ascii="宋体" w:hAnsi="宋体" w:eastAsia="宋体" w:cs="宋体"/>
                <w:color w:val="auto"/>
                <w:kern w:val="2"/>
                <w:sz w:val="21"/>
                <w:szCs w:val="21"/>
                <w:highlight w:val="none"/>
                <w:lang w:bidi="ar"/>
              </w:rPr>
              <w:t>投标报价</w:t>
            </w:r>
          </w:p>
        </w:tc>
        <w:tc>
          <w:tcPr>
            <w:tcW w:w="6280" w:type="dxa"/>
            <w:gridSpan w:val="2"/>
            <w:tcBorders>
              <w:top w:val="single" w:color="auto" w:sz="4" w:space="0"/>
              <w:left w:val="single" w:color="auto" w:sz="4" w:space="0"/>
              <w:right w:val="single" w:color="auto" w:sz="4" w:space="0"/>
            </w:tcBorders>
            <w:vAlign w:val="center"/>
          </w:tcPr>
          <w:p w14:paraId="38A295FA">
            <w:pPr>
              <w:pStyle w:val="37"/>
              <w:keepNext w:val="0"/>
              <w:pageBreakBefore w:val="0"/>
              <w:widowControl w:val="0"/>
              <w:kinsoku/>
              <w:wordWrap/>
              <w:overflowPunct/>
              <w:topLinePunct w:val="0"/>
              <w:bidi w:val="0"/>
              <w:adjustRightInd w:val="0"/>
              <w:spacing w:before="0" w:beforeAutospacing="0" w:after="0" w:afterAutospacing="0" w:line="400" w:lineRule="exact"/>
              <w:ind w:firstLine="420" w:firstLineChars="200"/>
              <w:jc w:val="both"/>
              <w:textAlignment w:val="baseline"/>
              <w:rPr>
                <w:rFonts w:asciiTheme="minorEastAsia" w:hAnsiTheme="minorEastAsia" w:eastAsiaTheme="minorEastAsia" w:cstheme="minorEastAsia"/>
                <w:color w:val="auto"/>
                <w:sz w:val="21"/>
                <w:szCs w:val="21"/>
                <w:highlight w:val="none"/>
              </w:rPr>
            </w:pPr>
            <w:r>
              <w:rPr>
                <w:rFonts w:hint="eastAsia" w:ascii="宋体" w:hAnsi="宋体" w:eastAsia="宋体" w:cs="宋体"/>
                <w:color w:val="auto"/>
                <w:kern w:val="2"/>
                <w:sz w:val="21"/>
                <w:szCs w:val="21"/>
                <w:highlight w:val="none"/>
              </w:rPr>
              <w:t>所有通过初步评审的有效投标报价首先得基本分</w:t>
            </w:r>
            <w:r>
              <w:rPr>
                <w:rFonts w:hint="eastAsia" w:ascii="宋体" w:hAnsi="宋体" w:eastAsia="宋体" w:cs="宋体"/>
                <w:color w:val="auto"/>
                <w:kern w:val="2"/>
                <w:sz w:val="21"/>
                <w:szCs w:val="21"/>
                <w:highlight w:val="none"/>
                <w:lang w:val="en-US" w:eastAsia="zh-CN"/>
              </w:rPr>
              <w:t>7</w:t>
            </w:r>
            <w:r>
              <w:rPr>
                <w:rFonts w:hint="eastAsia" w:ascii="宋体" w:hAnsi="宋体" w:eastAsia="宋体" w:cs="宋体"/>
                <w:color w:val="auto"/>
                <w:kern w:val="2"/>
                <w:sz w:val="21"/>
                <w:szCs w:val="21"/>
                <w:highlight w:val="none"/>
              </w:rPr>
              <w:t>0分，然后与评标基准价相比较，每上浮1%扣0.</w:t>
            </w:r>
            <w:r>
              <w:rPr>
                <w:rFonts w:hint="eastAsia" w:ascii="宋体" w:hAnsi="宋体" w:eastAsia="宋体" w:cs="宋体"/>
                <w:color w:val="auto"/>
                <w:kern w:val="2"/>
                <w:sz w:val="21"/>
                <w:szCs w:val="21"/>
                <w:highlight w:val="none"/>
                <w:lang w:val="en-US" w:eastAsia="zh-CN"/>
              </w:rPr>
              <w:t>5</w:t>
            </w:r>
            <w:r>
              <w:rPr>
                <w:rFonts w:hint="eastAsia" w:ascii="宋体" w:hAnsi="宋体" w:eastAsia="宋体" w:cs="宋体"/>
                <w:color w:val="auto"/>
                <w:kern w:val="2"/>
                <w:sz w:val="21"/>
                <w:szCs w:val="21"/>
                <w:highlight w:val="none"/>
              </w:rPr>
              <w:t>分，每下浮1%扣0.2</w:t>
            </w:r>
            <w:r>
              <w:rPr>
                <w:rFonts w:hint="eastAsia" w:ascii="宋体" w:hAnsi="宋体" w:eastAsia="宋体" w:cs="宋体"/>
                <w:color w:val="auto"/>
                <w:kern w:val="2"/>
                <w:sz w:val="21"/>
                <w:szCs w:val="21"/>
                <w:highlight w:val="none"/>
                <w:lang w:val="en-US" w:eastAsia="zh-CN"/>
              </w:rPr>
              <w:t>5</w:t>
            </w:r>
            <w:r>
              <w:rPr>
                <w:rFonts w:hint="eastAsia" w:ascii="宋体" w:hAnsi="宋体" w:eastAsia="宋体" w:cs="宋体"/>
                <w:color w:val="auto"/>
                <w:kern w:val="2"/>
                <w:sz w:val="21"/>
                <w:szCs w:val="21"/>
                <w:highlight w:val="none"/>
              </w:rPr>
              <w:t>分，</w:t>
            </w:r>
            <w:r>
              <w:rPr>
                <w:rFonts w:hint="eastAsia" w:ascii="宋体" w:hAnsi="宋体" w:eastAsia="宋体" w:cs="宋体"/>
                <w:color w:val="auto"/>
                <w:kern w:val="2"/>
                <w:sz w:val="21"/>
                <w:szCs w:val="21"/>
                <w:highlight w:val="none"/>
                <w:lang w:val="en-US" w:eastAsia="zh-CN"/>
              </w:rPr>
              <w:t>至多扣</w:t>
            </w:r>
            <w:r>
              <w:rPr>
                <w:rFonts w:hint="default" w:ascii="宋体" w:hAnsi="宋体" w:cs="宋体"/>
                <w:color w:val="auto"/>
                <w:kern w:val="2"/>
                <w:sz w:val="21"/>
                <w:szCs w:val="21"/>
                <w:highlight w:val="none"/>
                <w:lang w:eastAsia="zh-CN"/>
              </w:rPr>
              <w:t>10</w:t>
            </w:r>
            <w:r>
              <w:rPr>
                <w:rFonts w:hint="eastAsia" w:ascii="宋体" w:hAnsi="宋体" w:eastAsia="宋体" w:cs="宋体"/>
                <w:color w:val="auto"/>
                <w:kern w:val="2"/>
                <w:sz w:val="21"/>
                <w:szCs w:val="21"/>
                <w:highlight w:val="none"/>
                <w:lang w:val="en-US" w:eastAsia="zh-CN"/>
              </w:rPr>
              <w:t>分</w:t>
            </w:r>
            <w:r>
              <w:rPr>
                <w:rFonts w:hint="eastAsia" w:ascii="宋体" w:hAnsi="宋体" w:eastAsia="宋体" w:cs="宋体"/>
                <w:color w:val="auto"/>
                <w:kern w:val="2"/>
                <w:sz w:val="21"/>
                <w:szCs w:val="21"/>
                <w:highlight w:val="none"/>
              </w:rPr>
              <w:t>。按插入法计算得分。以上计算取小数点后两位，第三位四舍五入。</w:t>
            </w:r>
          </w:p>
        </w:tc>
        <w:tc>
          <w:tcPr>
            <w:tcW w:w="555" w:type="dxa"/>
            <w:tcBorders>
              <w:top w:val="single" w:color="auto" w:sz="4" w:space="0"/>
              <w:left w:val="single" w:color="auto" w:sz="4" w:space="0"/>
              <w:bottom w:val="single" w:color="auto" w:sz="4" w:space="0"/>
            </w:tcBorders>
            <w:vAlign w:val="center"/>
          </w:tcPr>
          <w:p w14:paraId="44C291F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p>
        </w:tc>
      </w:tr>
      <w:tr w14:paraId="0D2673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1E4076E9">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
                <w:color w:val="auto"/>
                <w:kern w:val="2"/>
                <w:sz w:val="21"/>
                <w:szCs w:val="21"/>
                <w:highlight w:val="none"/>
                <w:lang w:bidi="ar"/>
              </w:rPr>
            </w:pPr>
            <w:r>
              <w:rPr>
                <w:rFonts w:hint="eastAsia" w:ascii="宋体" w:hAnsi="宋体" w:cs="宋体"/>
                <w:color w:val="auto"/>
                <w:sz w:val="21"/>
                <w:szCs w:val="21"/>
                <w:highlight w:val="none"/>
              </w:rPr>
              <w:t>3.2</w:t>
            </w:r>
          </w:p>
        </w:tc>
        <w:tc>
          <w:tcPr>
            <w:tcW w:w="8861" w:type="dxa"/>
            <w:gridSpan w:val="5"/>
            <w:tcBorders>
              <w:top w:val="single" w:color="auto" w:sz="4" w:space="0"/>
              <w:left w:val="single" w:color="auto" w:sz="4" w:space="0"/>
              <w:bottom w:val="single" w:color="auto" w:sz="4" w:space="0"/>
            </w:tcBorders>
            <w:vAlign w:val="bottom"/>
          </w:tcPr>
          <w:p w14:paraId="106E65AC">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补充正文：</w:t>
            </w:r>
          </w:p>
          <w:p w14:paraId="4B28C739">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中标候选人推荐办法：</w:t>
            </w:r>
          </w:p>
          <w:p w14:paraId="662D00C3">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1.对通过评审的报价人按照综合得分（商务得分+技术得分+报价得分）由高到低排序。</w:t>
            </w:r>
          </w:p>
          <w:p w14:paraId="5036A384">
            <w:pPr>
              <w:keepNext w:val="0"/>
              <w:pageBreakBefore w:val="0"/>
              <w:kinsoku/>
              <w:wordWrap/>
              <w:overflowPunct/>
              <w:topLinePunct w:val="0"/>
              <w:bidi w:val="0"/>
              <w:spacing w:beforeAutospacing="0" w:line="400" w:lineRule="exact"/>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color w:val="auto"/>
                <w:szCs w:val="21"/>
                <w:highlight w:val="none"/>
                <w:lang w:bidi="ar"/>
              </w:rPr>
              <w:t>2.按评标综合得分由高到低排序推荐2名中标候选人。</w:t>
            </w:r>
          </w:p>
        </w:tc>
      </w:tr>
    </w:tbl>
    <w:p w14:paraId="0F53CF71">
      <w:pPr>
        <w:rPr>
          <w:color w:val="auto"/>
          <w:highlight w:val="none"/>
        </w:rPr>
      </w:pPr>
    </w:p>
    <w:p w14:paraId="74E020C2">
      <w:pPr>
        <w:rPr>
          <w:rFonts w:hint="eastAsia" w:ascii="宋体" w:hAnsi="宋体" w:cs="宋体"/>
          <w:color w:val="auto"/>
          <w:szCs w:val="21"/>
          <w:highlight w:val="none"/>
        </w:rPr>
      </w:pPr>
      <w:r>
        <w:rPr>
          <w:rFonts w:hint="eastAsia" w:ascii="宋体" w:hAnsi="宋体" w:cs="宋体"/>
          <w:color w:val="auto"/>
          <w:szCs w:val="21"/>
          <w:highlight w:val="none"/>
        </w:rPr>
        <w:br w:type="page"/>
      </w:r>
    </w:p>
    <w:p w14:paraId="5D5CD12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33" w:name="_Toc26037"/>
      <w:bookmarkStart w:id="134" w:name="_Toc6735"/>
      <w:bookmarkStart w:id="135" w:name="_Toc19268"/>
      <w:r>
        <w:rPr>
          <w:rFonts w:hint="eastAsia" w:ascii="宋体" w:hAnsi="宋体" w:cs="宋体"/>
          <w:color w:val="auto"/>
          <w:szCs w:val="21"/>
          <w:highlight w:val="none"/>
        </w:rPr>
        <w:t>1.  评标方法</w:t>
      </w:r>
      <w:bookmarkEnd w:id="133"/>
      <w:bookmarkEnd w:id="134"/>
      <w:bookmarkEnd w:id="135"/>
    </w:p>
    <w:p w14:paraId="0DE0E0E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本次评标采用综合评估法。评标委员会对满足</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实质性要求的</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，按照本章规定的评分标准进行评分，并按得分由高到低顺序推荐中标候选人，或根据</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授权直接确定中标人。综合评分相等时，以评标办法前附表约定的原则确定中标候选人顺序。</w:t>
      </w:r>
    </w:p>
    <w:p w14:paraId="340DA51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36" w:name="_Toc8753"/>
      <w:bookmarkStart w:id="137" w:name="_Toc1052"/>
      <w:bookmarkStart w:id="138" w:name="_Toc22200"/>
      <w:bookmarkStart w:id="139" w:name="_Toc31759"/>
      <w:r>
        <w:rPr>
          <w:rFonts w:hint="eastAsia" w:ascii="宋体" w:hAnsi="宋体" w:cs="宋体"/>
          <w:color w:val="auto"/>
          <w:szCs w:val="21"/>
          <w:highlight w:val="none"/>
        </w:rPr>
        <w:t>2.  评审标准</w:t>
      </w:r>
      <w:bookmarkEnd w:id="136"/>
      <w:bookmarkEnd w:id="137"/>
      <w:bookmarkEnd w:id="138"/>
      <w:bookmarkEnd w:id="139"/>
    </w:p>
    <w:p w14:paraId="4D202A9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14:paraId="4528607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形式评审标准：见评标办法前附表。</w:t>
      </w:r>
    </w:p>
    <w:p w14:paraId="50DFD9B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2.1.2  资格评审标准：见评标办法前附表。</w:t>
      </w:r>
    </w:p>
    <w:p w14:paraId="7FB4583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14:paraId="1B8816C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14:paraId="72554E3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2.2.1  分值构成</w:t>
      </w:r>
    </w:p>
    <w:p w14:paraId="1AFF517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（1）技术部分：见评标办法前附表；</w:t>
      </w:r>
    </w:p>
    <w:p w14:paraId="2C9B423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（2）商务部分：见评标办法前附表；</w:t>
      </w:r>
    </w:p>
    <w:p w14:paraId="744F3CD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（3）投标报价：见评标办法前附表。</w:t>
      </w:r>
    </w:p>
    <w:p w14:paraId="22AA65A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2.2.2  评标基准价计算</w:t>
      </w:r>
    </w:p>
    <w:p w14:paraId="5DC53B8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14:paraId="32A27CE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2.2.3  投标报价的偏差率计算</w:t>
      </w:r>
    </w:p>
    <w:p w14:paraId="02604DE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14:paraId="2B4810D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2.2.4  评审标准</w:t>
      </w:r>
    </w:p>
    <w:p w14:paraId="1C040CB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（1）技术部分评分标准：见评标办法前附表；</w:t>
      </w:r>
    </w:p>
    <w:p w14:paraId="65CD525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（2）商务部分评分标准：见评标办法前附表；</w:t>
      </w:r>
    </w:p>
    <w:p w14:paraId="1CC0338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）投标报价评分标准：见评标办法前附表。</w:t>
      </w:r>
    </w:p>
    <w:p w14:paraId="5107A10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40" w:name="_Toc11564"/>
      <w:bookmarkStart w:id="141" w:name="_Toc5245"/>
      <w:bookmarkStart w:id="142" w:name="_Toc10650"/>
      <w:bookmarkStart w:id="143" w:name="_Toc8345"/>
      <w:r>
        <w:rPr>
          <w:rFonts w:hint="eastAsia" w:ascii="宋体" w:hAnsi="宋体" w:cs="宋体"/>
          <w:color w:val="auto"/>
          <w:szCs w:val="21"/>
          <w:highlight w:val="none"/>
        </w:rPr>
        <w:t>3.  评标程序</w:t>
      </w:r>
      <w:bookmarkEnd w:id="140"/>
      <w:bookmarkEnd w:id="141"/>
      <w:bookmarkEnd w:id="142"/>
      <w:bookmarkEnd w:id="143"/>
    </w:p>
    <w:p w14:paraId="507FA0E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3.1  初步评审</w:t>
      </w:r>
    </w:p>
    <w:p w14:paraId="72195B7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 2.1 款规定的标准对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进行初步评审。有一项不符合评审标准的，作否决投标处理。（适用于未进行资格预审的）</w:t>
      </w:r>
    </w:p>
    <w:p w14:paraId="26E017B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进行初步评审。有一项不符合评审标准的，作否决投标处理。当</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资格预审申请文件的内容发生重大变化时，评标委员会依据本章第2.1.1项规定的标准对其更新资料进行评审。（适用于已进行资格预审的）</w:t>
      </w:r>
    </w:p>
    <w:p w14:paraId="3FE9FAC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3.1.2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有以下情形之一的，其投标作否决投标处理：</w:t>
      </w:r>
    </w:p>
    <w:p w14:paraId="0F8C972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没有对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的实质性要求和条件作出响应，或者对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的偏差超出</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规定的偏差范围或最高项数；</w:t>
      </w:r>
    </w:p>
    <w:p w14:paraId="4A19FDF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14:paraId="25A199F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14:paraId="4ABB275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对投标报价进行修正，并要求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书面澄清确认。</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拒不澄清确认的，评标委员会应当否决其投标：</w:t>
      </w:r>
    </w:p>
    <w:p w14:paraId="646E480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中的大写金额与小写金额不一致的，以大写金额为准；</w:t>
      </w:r>
    </w:p>
    <w:p w14:paraId="2ED86B5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14:paraId="3310E00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14:paraId="2006CE3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14:paraId="0A5391E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3.2  详细评审</w:t>
      </w:r>
    </w:p>
    <w:p w14:paraId="1D2115B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评标委员会按本章第2.2款规定的量化因素和分值进行评分，并计算出综合评估得分。</w:t>
      </w:r>
    </w:p>
    <w:p w14:paraId="3F0D72D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（1）按本章第 2.2.4（1）目规定的评审因素和分值对技术部分计算出得分 A；</w:t>
      </w:r>
    </w:p>
    <w:p w14:paraId="6A9ABB0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（2）按本章第 2.2.4（2）目规定的评审因素和分值对商务部分计算出得分 B；</w:t>
      </w:r>
    </w:p>
    <w:p w14:paraId="6965EFD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（3）按本章第 2.2.4（</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）目规定的评审因素和分值对投标报价计算出得分 C；</w:t>
      </w:r>
    </w:p>
    <w:p w14:paraId="48AFDE2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14:paraId="3D8D20E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3.2.3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得分=A+B+C。</w:t>
      </w:r>
    </w:p>
    <w:p w14:paraId="44F6A27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 xml:space="preserve">3.3  </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的澄清</w:t>
      </w:r>
    </w:p>
    <w:p w14:paraId="7E2AE3D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对所提交</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中含义不明确、对同类问题表述不一致或者有明显文字和计算错误的内容作必要的澄清、说明或补正。澄清、说明或补正应以书面方式进行。评标委员会不接受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主动提出的澄清、说明或补正。</w:t>
      </w:r>
    </w:p>
    <w:p w14:paraId="4510720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  澄清、说明或补正不得超出</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的范围且不得改变</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的实质性内容，并构成</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的组成部分。</w:t>
      </w:r>
    </w:p>
    <w:p w14:paraId="54E4423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评标委员会对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提交的澄清、说明或补正有疑问的，可以要求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进一步澄清、说明或补正，直至满足评标委员会的要求。</w:t>
      </w:r>
    </w:p>
    <w:p w14:paraId="081EEA6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3.4  评标结果</w:t>
      </w:r>
    </w:p>
    <w:p w14:paraId="170D0C7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3.4.1  除第二章“</w:t>
      </w:r>
      <w:r>
        <w:rPr>
          <w:rFonts w:hint="eastAsia" w:ascii="宋体" w:hAnsi="宋体" w:cs="宋体"/>
          <w:color w:val="auto"/>
          <w:szCs w:val="21"/>
          <w:highlight w:val="none"/>
          <w:lang w:eastAsia="zh-CN"/>
        </w:rPr>
        <w:t>报价人须知</w:t>
      </w:r>
      <w:r>
        <w:rPr>
          <w:rFonts w:hint="eastAsia" w:ascii="宋体" w:hAnsi="宋体" w:cs="宋体"/>
          <w:color w:val="auto"/>
          <w:szCs w:val="21"/>
          <w:highlight w:val="none"/>
        </w:rPr>
        <w:t>”前附表授权直接确定中标人外，评标委员会按照得分由高到低的顺序推荐</w:t>
      </w:r>
      <w:r>
        <w:rPr>
          <w:rFonts w:hint="eastAsia" w:ascii="宋体" w:hAnsi="宋体" w:cs="宋体"/>
          <w:color w:val="auto"/>
          <w:szCs w:val="21"/>
          <w:highlight w:val="none"/>
          <w:lang w:val="en-US" w:eastAsia="zh-CN"/>
        </w:rPr>
        <w:t>2名</w:t>
      </w:r>
      <w:r>
        <w:rPr>
          <w:rFonts w:hint="eastAsia" w:ascii="宋体" w:hAnsi="宋体" w:cs="宋体"/>
          <w:color w:val="auto"/>
          <w:szCs w:val="21"/>
          <w:highlight w:val="none"/>
        </w:rPr>
        <w:t>中标候选人，并标明排序。</w:t>
      </w:r>
    </w:p>
    <w:p w14:paraId="15C0832B">
      <w:pPr>
        <w:ind w:firstLine="420" w:firstLineChars="200"/>
        <w:rPr>
          <w:rStyle w:val="82"/>
          <w:rFonts w:hint="eastAsia"/>
          <w:color w:val="auto"/>
          <w:highlight w:val="none"/>
        </w:rPr>
      </w:pPr>
      <w:r>
        <w:rPr>
          <w:rFonts w:hint="eastAsia" w:ascii="宋体" w:hAnsi="宋体" w:cs="宋体"/>
          <w:color w:val="auto"/>
          <w:szCs w:val="21"/>
          <w:highlight w:val="none"/>
        </w:rPr>
        <w:t>3.4.2  评标委员会完成评标后，应当向</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提交书面评标报告和中标候选人名单。</w:t>
      </w:r>
    </w:p>
    <w:p w14:paraId="10EC3D4D">
      <w:pPr>
        <w:rPr>
          <w:rStyle w:val="82"/>
          <w:rFonts w:hint="eastAsia"/>
          <w:color w:val="auto"/>
          <w:highlight w:val="none"/>
        </w:rPr>
      </w:pPr>
      <w:r>
        <w:rPr>
          <w:rStyle w:val="82"/>
          <w:rFonts w:hint="eastAsia"/>
          <w:color w:val="auto"/>
          <w:highlight w:val="none"/>
        </w:rPr>
        <w:br w:type="page"/>
      </w:r>
    </w:p>
    <w:p w14:paraId="5D625701">
      <w:pPr>
        <w:pStyle w:val="2"/>
        <w:spacing w:before="0" w:after="0" w:line="360" w:lineRule="auto"/>
        <w:jc w:val="center"/>
        <w:rPr>
          <w:rFonts w:hint="default" w:ascii="宋体" w:hAnsi="宋体" w:eastAsia="宋体" w:cs="宋体"/>
          <w:color w:val="auto"/>
          <w:highlight w:val="none"/>
          <w:lang w:val="en-US" w:eastAsia="zh-CN"/>
        </w:rPr>
      </w:pPr>
      <w:bookmarkStart w:id="144" w:name="_Toc179632804"/>
      <w:bookmarkStart w:id="145" w:name="_Toc152045785"/>
      <w:bookmarkStart w:id="146" w:name="_Toc503951043"/>
      <w:bookmarkStart w:id="147" w:name="_Toc152042574"/>
      <w:bookmarkStart w:id="148" w:name="_Toc144974854"/>
      <w:bookmarkStart w:id="149" w:name="_Toc2000411"/>
      <w:bookmarkStart w:id="150" w:name="_Toc246997096"/>
      <w:bookmarkStart w:id="151" w:name="_Toc513633964"/>
      <w:bookmarkStart w:id="152" w:name="_Toc246996353"/>
      <w:bookmarkStart w:id="153" w:name="_Toc447827049"/>
      <w:bookmarkStart w:id="154" w:name="_Toc514858707"/>
      <w:bookmarkStart w:id="155" w:name="_Toc247085870"/>
      <w:bookmarkStart w:id="156" w:name="_Toc15010"/>
      <w:bookmarkStart w:id="157" w:name="_Toc179632806"/>
      <w:bookmarkStart w:id="158" w:name="_Toc152042575"/>
      <w:bookmarkStart w:id="159" w:name="_Toc247085872"/>
      <w:bookmarkStart w:id="160" w:name="_Toc144974855"/>
      <w:bookmarkStart w:id="161" w:name="_Toc246996354"/>
      <w:bookmarkStart w:id="162" w:name="_Toc246997097"/>
      <w:bookmarkStart w:id="163" w:name="_Toc152045786"/>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bookmarkEnd w:id="144"/>
      <w:bookmarkEnd w:id="145"/>
      <w:bookmarkEnd w:id="146"/>
      <w:bookmarkEnd w:id="147"/>
      <w:bookmarkEnd w:id="148"/>
      <w:bookmarkEnd w:id="149"/>
      <w:bookmarkEnd w:id="150"/>
      <w:bookmarkEnd w:id="151"/>
      <w:bookmarkEnd w:id="152"/>
      <w:bookmarkEnd w:id="153"/>
      <w:bookmarkEnd w:id="154"/>
      <w:bookmarkEnd w:id="155"/>
      <w:r>
        <w:rPr>
          <w:rFonts w:hint="eastAsia" w:ascii="宋体" w:hAnsi="宋体" w:cs="宋体"/>
          <w:color w:val="auto"/>
          <w:highlight w:val="none"/>
          <w:lang w:val="en-US" w:eastAsia="zh-CN"/>
        </w:rPr>
        <w:t>服务要求</w:t>
      </w:r>
      <w:bookmarkEnd w:id="156"/>
    </w:p>
    <w:bookmarkEnd w:id="157"/>
    <w:bookmarkEnd w:id="158"/>
    <w:bookmarkEnd w:id="159"/>
    <w:bookmarkEnd w:id="160"/>
    <w:bookmarkEnd w:id="161"/>
    <w:bookmarkEnd w:id="162"/>
    <w:bookmarkEnd w:id="163"/>
    <w:p w14:paraId="5FED756C">
      <w:pPr>
        <w:pStyle w:val="3"/>
        <w:spacing w:before="0" w:after="0" w:line="360" w:lineRule="exact"/>
        <w:rPr>
          <w:rFonts w:hint="eastAsia" w:asciiTheme="minorEastAsia" w:hAnsiTheme="minorEastAsia" w:eastAsiaTheme="minorEastAsia" w:cstheme="minorEastAsia"/>
          <w:sz w:val="21"/>
          <w:szCs w:val="21"/>
          <w:highlight w:val="none"/>
        </w:rPr>
      </w:pPr>
      <w:bookmarkStart w:id="164" w:name="_Toc2000412"/>
      <w:bookmarkStart w:id="165" w:name="_Toc514858708"/>
      <w:bookmarkStart w:id="166" w:name="_Toc514430114"/>
      <w:bookmarkStart w:id="167" w:name="_Toc246997098"/>
      <w:bookmarkStart w:id="168" w:name="_Toc247085873"/>
      <w:bookmarkStart w:id="169" w:name="_Toc179632807"/>
      <w:bookmarkStart w:id="170" w:name="_Toc152045787"/>
      <w:bookmarkStart w:id="171" w:name="_Toc246996355"/>
      <w:bookmarkStart w:id="172" w:name="_Toc507320039"/>
      <w:bookmarkStart w:id="173" w:name="_Toc144974856"/>
      <w:bookmarkStart w:id="174" w:name="_Toc152042576"/>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.云网络安全运维要求</w:t>
      </w:r>
    </w:p>
    <w:p w14:paraId="4F14B748">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统一协调包括IT运维专家团队在内的运维资源，实时监控采购人指定的信息系统运行状况，及时发现并排除网络运行中的不良因素消除安全隐患。安全服务厂商结合采购人系统现状，提供切实可行的项目服务方案（包括但不限于安全评估方案、安全整改方案和安全运维服务方案）。</w:t>
      </w:r>
    </w:p>
    <w:p w14:paraId="1936F7C8">
      <w:pPr>
        <w:pStyle w:val="4"/>
        <w:spacing w:before="0" w:after="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.1驻场人员要求</w:t>
      </w:r>
    </w:p>
    <w:p w14:paraId="54901E9B">
      <w:pPr>
        <w:numPr>
          <w:ilvl w:val="0"/>
          <w:numId w:val="4"/>
        </w:numPr>
        <w:spacing w:line="360" w:lineRule="exact"/>
        <w:ind w:left="0"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驻场人员持有CISP（注册信息安全专业人员）等证书。具有一定公文写作能力。</w:t>
      </w:r>
    </w:p>
    <w:p w14:paraId="099C8FC7">
      <w:pPr>
        <w:numPr>
          <w:ilvl w:val="0"/>
          <w:numId w:val="4"/>
        </w:numPr>
        <w:spacing w:line="360" w:lineRule="exact"/>
        <w:ind w:left="0"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 xml:space="preserve">驻场人员从事不少于3年网络安全运维工作，掌握信息安全技术相关技能，包括:云平台网络安全技术、安全咨询、安全评估、等保服务、数据中心云化等方面;掌握等级保护标准、分级保护标准、安全风险评估规范和实施流程及方法，具备等级保护、风险评估、数据中心等信息安全领域咨询和建设的相关标准和测评实施的方法和经验。 </w:t>
      </w:r>
    </w:p>
    <w:p w14:paraId="00494E55">
      <w:pPr>
        <w:numPr>
          <w:ilvl w:val="0"/>
          <w:numId w:val="4"/>
        </w:numPr>
        <w:spacing w:line="360" w:lineRule="exact"/>
        <w:ind w:left="0"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 xml:space="preserve">熟悉信息网络安全相关基础产品特性，了解市场上现有常见的网络安全设备和产品。熟悉各领域的安全技术，包括：Web安全、系统网络安全、大数据平台安全、云平台安全、网络安全域的划分等，熟悉安全漏洞扫描等常用安全设备； </w:t>
      </w:r>
    </w:p>
    <w:p w14:paraId="42C93126">
      <w:pPr>
        <w:numPr>
          <w:ilvl w:val="0"/>
          <w:numId w:val="4"/>
        </w:numPr>
        <w:spacing w:line="360" w:lineRule="exact"/>
        <w:ind w:left="0"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 xml:space="preserve">掌握主流操作系统、数据库、网络设备的配置及使用；掌握一种或多种编程或脚本语言，如Python、Perl等； </w:t>
      </w:r>
    </w:p>
    <w:p w14:paraId="06F49953">
      <w:pPr>
        <w:numPr>
          <w:ilvl w:val="0"/>
          <w:numId w:val="4"/>
        </w:numPr>
        <w:spacing w:line="360" w:lineRule="exact"/>
        <w:ind w:left="0"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掌握维护设备的操作方法、故障排除方法、设备性能监测及注意事项。确保维护设备的安全运行，每日进行巡检，监测，根据业主需要进行相关配置。</w:t>
      </w:r>
    </w:p>
    <w:p w14:paraId="71483CE2">
      <w:pPr>
        <w:numPr>
          <w:ilvl w:val="0"/>
          <w:numId w:val="4"/>
        </w:numPr>
        <w:spacing w:line="360" w:lineRule="exact"/>
        <w:ind w:left="0"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所有涉及特征库、病毒库服务的设备或软件均应提供免费升级服务。</w:t>
      </w:r>
    </w:p>
    <w:p w14:paraId="686896A7">
      <w:pPr>
        <w:pStyle w:val="4"/>
        <w:spacing w:before="0" w:after="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.2维护服务清单</w:t>
      </w:r>
    </w:p>
    <w:p w14:paraId="2865AA7E">
      <w:pPr>
        <w:pStyle w:val="5"/>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.2.1设备监控</w:t>
      </w:r>
    </w:p>
    <w:p w14:paraId="74784162">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驻场工程师将提供5*8小时为基础的设备现场监控和7*24小时的手机在线值班，以配合首讯科技的日常运营。 驻场工程师的现场监控任务不仅仅是简单的“告警监控”，而是参考警报和性能指标，通过不同的方式和性能数据进行诊断，以更有效地识别问题，挖掘故障根因，以确保可以快速、专业地处理可能发生的任何故障和告警。</w:t>
      </w:r>
    </w:p>
    <w:p w14:paraId="18418F0C">
      <w:pPr>
        <w:pStyle w:val="5"/>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.2.2预防性维护</w:t>
      </w:r>
    </w:p>
    <w:p w14:paraId="04A029CD">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驻场工程师通过现场或远程访问的方式对云安全设备进行每月一次的预防性维护，包括设备巡检，异常整改或调整，测试，设备内部和外部清洁，以及设备单元，板件，组件，模块的运行状态检查，异常部件的维修或更换。</w:t>
      </w:r>
    </w:p>
    <w:p w14:paraId="1F36070A">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预防性维护的目标是使设备保持稳定和正常的工作状态，预防缺陷和退化，从而减少设备故障发生频率和故障处理的时间。</w:t>
      </w:r>
    </w:p>
    <w:p w14:paraId="245C039A">
      <w:pPr>
        <w:pStyle w:val="5"/>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.2.3故障管理</w:t>
      </w:r>
    </w:p>
    <w:p w14:paraId="66E03FFA">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故障管理包括故障预测、故障诊断、故障处理、故障升级和故障进展跟踪、技术支持升级等子流程。</w:t>
      </w:r>
    </w:p>
    <w:p w14:paraId="401FE52A">
      <w:pPr>
        <w:pStyle w:val="5"/>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.2.4配置管理</w:t>
      </w:r>
    </w:p>
    <w:p w14:paraId="5773677F">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驻场工程师将根据业主的业务需求对业务配置进行修改，包括监督或执行生成、修改和删除设备的业务数据配置。对于计划性的设备系统配置修改、软件更新，驻场工程师将负责分析此配置变更的影响，设计和优化所需的设备配置数据，协调资源完成配置变更。</w:t>
      </w:r>
    </w:p>
    <w:p w14:paraId="50DB41DD">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配置变更操作结束后，驻场工程师将进行24小时业务监控，以业务系统的正常使用。</w:t>
      </w:r>
    </w:p>
    <w:p w14:paraId="0F66BB07">
      <w:pPr>
        <w:pStyle w:val="5"/>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.2.5重点保障</w:t>
      </w:r>
    </w:p>
    <w:p w14:paraId="2C930F9B">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在重要节日，重大会议或攻防演习期间，驻场工程师将</w:t>
      </w:r>
      <w:r>
        <w:rPr>
          <w:rFonts w:hint="eastAsia" w:asciiTheme="minorEastAsia" w:hAnsiTheme="minorEastAsia" w:eastAsiaTheme="minorEastAsia" w:cstheme="minorEastAsia"/>
          <w:color w:val="000000"/>
          <w:highlight w:val="none"/>
          <w:lang w:val="en-US" w:eastAsia="zh-CN"/>
        </w:rPr>
        <w:t>与甲方工程师</w:t>
      </w:r>
      <w:r>
        <w:rPr>
          <w:rFonts w:hint="eastAsia" w:asciiTheme="minorEastAsia" w:hAnsiTheme="minorEastAsia" w:eastAsiaTheme="minorEastAsia" w:cstheme="minorEastAsia"/>
          <w:color w:val="000000"/>
          <w:highlight w:val="none"/>
        </w:rPr>
        <w:t>或第三方其他驻场人员一起准备并执行重大事件保障计划，主要动作包括：</w:t>
      </w:r>
    </w:p>
    <w:p w14:paraId="5A451113">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提前准备额外的资源，备件和耗材；</w:t>
      </w:r>
    </w:p>
    <w:p w14:paraId="5C875CDD">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提前设备巡检，负载检查，数据备份和清理；</w:t>
      </w:r>
    </w:p>
    <w:p w14:paraId="30C20476">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制定值班计划，确保及时响应；</w:t>
      </w:r>
    </w:p>
    <w:p w14:paraId="33336954">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制定紧急和应急计划；</w:t>
      </w:r>
    </w:p>
    <w:p w14:paraId="60AF900E">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与</w:t>
      </w:r>
      <w:r>
        <w:rPr>
          <w:rFonts w:hint="eastAsia" w:asciiTheme="minorEastAsia" w:hAnsiTheme="minorEastAsia" w:eastAsiaTheme="minorEastAsia" w:cstheme="minorEastAsia"/>
          <w:color w:val="000000"/>
          <w:highlight w:val="none"/>
          <w:lang w:val="en-US" w:eastAsia="zh-CN"/>
        </w:rPr>
        <w:t>甲方工程师</w:t>
      </w:r>
      <w:r>
        <w:rPr>
          <w:rFonts w:hint="eastAsia" w:asciiTheme="minorEastAsia" w:hAnsiTheme="minorEastAsia" w:eastAsiaTheme="minorEastAsia" w:cstheme="minorEastAsia"/>
          <w:color w:val="000000"/>
          <w:highlight w:val="none"/>
        </w:rPr>
        <w:t>或第三方其他驻场人员进行计划沟通，确保各方的准备；</w:t>
      </w:r>
    </w:p>
    <w:p w14:paraId="673DF826">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至少保障2人同时驻场。</w:t>
      </w:r>
    </w:p>
    <w:p w14:paraId="5B8E1C3A">
      <w:pPr>
        <w:pStyle w:val="5"/>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.2.6建立设备安全配置基线库</w:t>
      </w:r>
    </w:p>
    <w:p w14:paraId="10AEBA30">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建立设备的安全配置基线库、定期对采购人现有系统进行脆弱性分析，对采购人开展行业网络信息安全监管工作、网络规划、信息安全建设和安全评审等信息系统相关活动提供技术支持。</w:t>
      </w:r>
    </w:p>
    <w:p w14:paraId="16E7C6E9">
      <w:pPr>
        <w:pStyle w:val="17"/>
        <w:rPr>
          <w:rFonts w:hint="eastAsia"/>
          <w:highlight w:val="none"/>
        </w:rPr>
      </w:pPr>
    </w:p>
    <w:p w14:paraId="3E3820C6">
      <w:pPr>
        <w:pStyle w:val="3"/>
        <w:spacing w:before="0" w:after="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.网络安全咨询服务要求</w:t>
      </w:r>
    </w:p>
    <w:p w14:paraId="5B64E515">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根据《网络安全法》及GB/T 22239-2019《信息安全技术网络安全等级保护要求》（以下简称“等保2.0”）等要求，提供包括且不限于安全管理体系建设、培训及演练服务、应急响应服务、网络安全检查、安全咨询服务、专项通报服务等服务。</w:t>
      </w:r>
    </w:p>
    <w:p w14:paraId="72FD4880">
      <w:pPr>
        <w:pStyle w:val="4"/>
        <w:spacing w:before="0" w:after="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.1驻场人员要求</w:t>
      </w:r>
    </w:p>
    <w:p w14:paraId="7D5C423E">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驻场人员持有CISP（注册信息安全专业人员）等证书。具有一定公文写作能力。</w:t>
      </w:r>
    </w:p>
    <w:p w14:paraId="4867D531">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 xml:space="preserve">驻场人员从事不少于5年网络安全咨询工作，掌握信息安全技术相关技能，包括:云平台网络安全技术、资产梳理、安全制度汇编、信息安全保障设计规划咨询、安全评估、等保服务、渗透测试、漏洞管理、威胁管理、新上线业务安全评估等。 </w:t>
      </w:r>
    </w:p>
    <w:p w14:paraId="259E2364">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 xml:space="preserve">熟悉信息网络安全相关基础产品特性，了解市场上现有常见的网络安全设备和产品。熟悉各领域的安全技术，包括：Web安全、系统网络安全、大数据平台安全、云平台安全、网络安全域的划分等，熟悉安全漏洞扫描等常用安全设备； </w:t>
      </w:r>
    </w:p>
    <w:p w14:paraId="6940A324">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 xml:space="preserve">掌握主流操作系统、数据库、网络设备的配置及使用；掌握一种或多种编程或脚本语言，如Python、Perl等； </w:t>
      </w:r>
    </w:p>
    <w:p w14:paraId="1B0DAD84">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掌握安全设备的基本使用及策略配置。</w:t>
      </w:r>
    </w:p>
    <w:p w14:paraId="1CDC9DEF">
      <w:pPr>
        <w:pStyle w:val="4"/>
        <w:spacing w:before="0" w:after="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.2网络安全咨询服务清单</w:t>
      </w:r>
    </w:p>
    <w:p w14:paraId="2C2770E1">
      <w:pPr>
        <w:pStyle w:val="5"/>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.2.1安全管理体系建设服务</w:t>
      </w:r>
    </w:p>
    <w:p w14:paraId="7DF67D13">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参照国家及行业相关政策要求以及国内国际权威安全管理体系标准，结合工作实际，配合业主单位完善和修订网络安全制度、应急预案、个人信息管理办法等相关安全管理制度，完善安全管理体系，并对制度的可实施性、可操作性提出相关合理建议。</w:t>
      </w:r>
    </w:p>
    <w:p w14:paraId="0803A7AB">
      <w:pPr>
        <w:pStyle w:val="5"/>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.2.2等保服务</w:t>
      </w:r>
    </w:p>
    <w:p w14:paraId="0CA558A9">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根据等保2.0等相关文件要求，协助业主单位对需要备案的信息系统完成定级备案，协调和邀请专家对所有需要定级备案的信息系统进行定级报告评审；针对信息系统进行差距分析，出具可实施的《差距分析报告与整改方案》，协助业主开展整改工作，确保顺利通过等保；协助开展等保测评工作，根据等保测评结果，制订合理的整改方案，并提供多种形式的技术响应和支持协助落实。</w:t>
      </w:r>
    </w:p>
    <w:p w14:paraId="2FCA866D">
      <w:pPr>
        <w:pStyle w:val="5"/>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.2.3培训及演练服务</w:t>
      </w:r>
    </w:p>
    <w:p w14:paraId="234741B2">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根据业主安排，提供培训、演练服务；提供完善的培训实施计划、培训材料，由有网络安全相关资质的讲师承担；提供全面的演练实施方案，提供相关应急物资，提供演练技术服务，并形成完整的演练资料，根据演练情况完善或修改应急预案；根据业主单位完成保网/护网工作，提供全面的保网/护网方案，提供技术支撑，并形成完整的保网/护网材料，并在保网/护网期间安排驻场值守人员。</w:t>
      </w:r>
    </w:p>
    <w:p w14:paraId="57356936">
      <w:pPr>
        <w:pStyle w:val="5"/>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.2.4应急响应服务</w:t>
      </w:r>
    </w:p>
    <w:p w14:paraId="39F6CB38">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提供重大时刻安全保障；对业主网站提供7*24小时实时监测服务；当业主单位发生网络安全事件或事件预警时，应半小时响应，并根据情况派出安全专家团队开展事件响应工作，制订应急处置方案，现场排查处理安全事件，保障业务系统的连续性，阻止和减小安全事件带来的负面影响；专家团队必须第一时间通过电话进行远程指导，一小时内到达现场；事后完善相关过程资料。</w:t>
      </w:r>
    </w:p>
    <w:p w14:paraId="00AD7DCE">
      <w:pPr>
        <w:pStyle w:val="5"/>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.2.5专项安全检查</w:t>
      </w:r>
    </w:p>
    <w:p w14:paraId="2421068C">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配合业主对业主及下属单位网络安全情况进行季度检查和不定期抽查，编制检查方案，形成检查记录，汇总分析，并提供可行整改方案；配合业主接受上级单位安全检查，编制迎检方案，协助准备迎检材料，做好前期迎检工作，现场协助检查，提供相关技术支持，对检查情况进行问题汇总分析，并提供可行整改方案；协助业主开展问题整改。</w:t>
      </w:r>
    </w:p>
    <w:p w14:paraId="2D7CFA6A">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重大节假日、重要会议、重大活动、敏感时期等重要期间前期配合业主开展节前巡检、安全自查、检查与整改，期间安全值守，形成相关方案、记录等。无偿提供设备进行安全防护，至少保障2人同时驻场值守。</w:t>
      </w:r>
    </w:p>
    <w:p w14:paraId="1F0A8F9C">
      <w:pPr>
        <w:pStyle w:val="5"/>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.2.6新建信息化项目安全检查</w:t>
      </w:r>
    </w:p>
    <w:p w14:paraId="630EEED6">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对所有在云平台上部署的新系统，上线或接入前进行安全漏洞扫描、渗透测试、代码审查等各项检查，并提供检测报告及整改建议与措施。。</w:t>
      </w:r>
    </w:p>
    <w:p w14:paraId="550AAED9">
      <w:pPr>
        <w:pStyle w:val="5"/>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.2.7巡检工作</w:t>
      </w:r>
    </w:p>
    <w:p w14:paraId="210DE55A">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提供资产梳理及日常巡检服务，包括7*24小时网站实时安全监测、不定期对服务器、网络、终端关键设备开展日常巡检，并形成记录文档，并及时更新资产。</w:t>
      </w:r>
    </w:p>
    <w:p w14:paraId="69F43C9B">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每季度开展不少于一次的季度巡检服务，内容包括且不限于渗透测试、风险评估、基线核查、WEB扫描、漏洞扫描、基线检查、弱口令、恶意代码检查、日志审计等。</w:t>
      </w:r>
    </w:p>
    <w:p w14:paraId="408EC3C3">
      <w:pPr>
        <w:pStyle w:val="5"/>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.2.8加固服务</w:t>
      </w:r>
    </w:p>
    <w:p w14:paraId="0973E503">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根据业主需求进行渗透测试、风险评估、基线核查、WEB扫描、漏洞扫描、基线检查、弱口令、恶意代码检查、日志审计等。提供安全漏洞修复、安全基线配置、网络及主机安全策略优化等服务，若需外单位协助整改，提供整改细则说明及相关配合工作。</w:t>
      </w:r>
    </w:p>
    <w:p w14:paraId="22441BF4">
      <w:pPr>
        <w:pStyle w:val="5"/>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.2.9安全咨询服务</w:t>
      </w:r>
    </w:p>
    <w:p w14:paraId="40154B5A">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包含且不限于按照路网公司要求落实网络安全整体建设规划、设计网络结构改造及优化方案、网络技术咨询、安全技术咨询、安全需求分析、建设期间安全咨询、相关政策文件及上级单位文件落实咨询等服务。</w:t>
      </w:r>
    </w:p>
    <w:p w14:paraId="0E010E34">
      <w:pPr>
        <w:pStyle w:val="5"/>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.2.10专项通报服务</w:t>
      </w:r>
    </w:p>
    <w:p w14:paraId="6D546774">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根据上级单位要求及本单位通报规范，提供通报数据来源分析、通报信息汇总等服务；针对网监、网信办、交通部、交通局等上级单位及互联网安全漏洞预警通知、安全通报、安全风险排查等响应，提供技术解决方案并处理，提交处理反馈报告；制定重大时刻工作计划与工作方案等。</w:t>
      </w:r>
    </w:p>
    <w:p w14:paraId="353E80D8">
      <w:pPr>
        <w:pStyle w:val="17"/>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outlineLvl w:val="0"/>
        <w:rPr>
          <w:rFonts w:hAnsi="宋体" w:cs="方正小标宋_GBK"/>
          <w:b/>
          <w:color w:val="auto"/>
          <w:sz w:val="44"/>
          <w:szCs w:val="44"/>
          <w:highlight w:val="none"/>
        </w:rPr>
      </w:pPr>
      <w:r>
        <w:rPr>
          <w:rFonts w:hint="eastAsia" w:ascii="宋体" w:hAnsi="宋体" w:cs="宋体"/>
          <w:color w:val="auto"/>
          <w:highlight w:val="none"/>
        </w:rPr>
        <w:br w:type="page"/>
      </w:r>
      <w:bookmarkStart w:id="175" w:name="_Toc17525"/>
      <w:r>
        <w:rPr>
          <w:rFonts w:hint="eastAsia" w:ascii="宋体" w:hAnsi="宋体" w:eastAsia="宋体" w:cs="宋体"/>
          <w:b/>
          <w:bCs/>
          <w:color w:val="auto"/>
          <w:kern w:val="44"/>
          <w:sz w:val="44"/>
          <w:szCs w:val="44"/>
          <w:highlight w:val="none"/>
          <w:lang w:val="en-US" w:eastAsia="zh-CN" w:bidi="ar-SA"/>
        </w:rPr>
        <w:t xml:space="preserve">第五章  </w:t>
      </w:r>
      <w:bookmarkEnd w:id="164"/>
      <w:bookmarkEnd w:id="165"/>
      <w:bookmarkEnd w:id="166"/>
      <w:r>
        <w:rPr>
          <w:rFonts w:hint="eastAsia" w:ascii="宋体" w:hAnsi="宋体" w:eastAsia="宋体" w:cs="宋体"/>
          <w:b/>
          <w:bCs/>
          <w:color w:val="auto"/>
          <w:kern w:val="44"/>
          <w:sz w:val="44"/>
          <w:szCs w:val="44"/>
          <w:highlight w:val="none"/>
          <w:lang w:val="en-US" w:eastAsia="zh-CN" w:bidi="ar-SA"/>
        </w:rPr>
        <w:t>合同范本</w:t>
      </w:r>
      <w:bookmarkEnd w:id="175"/>
    </w:p>
    <w:p w14:paraId="792ADD2C">
      <w:pPr>
        <w:jc w:val="center"/>
        <w:rPr>
          <w:rFonts w:hint="eastAsia" w:ascii="仿宋" w:hAnsi="仿宋" w:eastAsia="仿宋" w:cs="仿宋"/>
          <w:color w:val="auto"/>
          <w:szCs w:val="21"/>
          <w:highlight w:val="none"/>
          <w:lang w:val="en-US" w:eastAsia="zh-CN"/>
        </w:rPr>
      </w:pPr>
    </w:p>
    <w:p w14:paraId="23A67E86">
      <w:pPr>
        <w:jc w:val="cente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t>详见随竞争性比选文件一同发布的附件合同</w:t>
      </w:r>
    </w:p>
    <w:p w14:paraId="3C889698">
      <w:pP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br w:type="page"/>
      </w:r>
    </w:p>
    <w:p w14:paraId="61572A6F">
      <w:pPr>
        <w:rPr>
          <w:rFonts w:hint="eastAsia" w:ascii="Times New Roman" w:hAnsi="Times New Roman" w:eastAsia="宋体" w:cs="Times New Roman"/>
          <w:b/>
          <w:bCs/>
          <w:color w:val="auto"/>
          <w:sz w:val="21"/>
          <w:szCs w:val="15"/>
          <w:highlight w:val="none"/>
          <w:lang w:val="en-US" w:eastAsia="zh-CN"/>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履约保函</w:t>
      </w:r>
      <w:r>
        <w:rPr>
          <w:rFonts w:hint="eastAsia" w:ascii="Times New Roman" w:hAnsi="Times New Roman" w:cs="Times New Roman"/>
          <w:b/>
          <w:bCs/>
          <w:color w:val="auto"/>
          <w:sz w:val="21"/>
          <w:szCs w:val="15"/>
          <w:highlight w:val="none"/>
          <w:lang w:val="en-US" w:eastAsia="zh-CN"/>
        </w:rPr>
        <w:t>（如有）</w:t>
      </w:r>
    </w:p>
    <w:p w14:paraId="3F97DD2A">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履约保函示范文本</w:t>
      </w:r>
    </w:p>
    <w:p w14:paraId="79F44572">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color w:val="auto"/>
          <w:sz w:val="21"/>
          <w:szCs w:val="21"/>
          <w:highlight w:val="none"/>
        </w:rPr>
      </w:pPr>
    </w:p>
    <w:p w14:paraId="6B81D92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14:paraId="726DF63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62119DF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14:paraId="3F4DC5B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7160F41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14:paraId="36A0620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70FE235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p>
    <w:p w14:paraId="56DDB24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p>
    <w:p w14:paraId="608EB88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 xml:space="preserve"> </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以下简称“受益人”）与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（以下简称“申请人”）就</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val="en-US" w:eastAsia="zh-CN"/>
        </w:rPr>
        <w:t>服务</w:t>
      </w:r>
      <w:r>
        <w:rPr>
          <w:rFonts w:hint="eastAsia" w:ascii="宋体" w:hAnsi="宋体" w:eastAsia="宋体" w:cs="宋体"/>
          <w:color w:val="auto"/>
          <w:kern w:val="2"/>
          <w:sz w:val="21"/>
          <w:szCs w:val="21"/>
          <w:highlight w:val="none"/>
        </w:rPr>
        <w:t>和有关事项协商一致，根据本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，了解到申请人为本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乙方</w:t>
      </w:r>
      <w:r>
        <w:rPr>
          <w:rFonts w:hint="eastAsia" w:ascii="宋体" w:hAnsi="宋体" w:eastAsia="宋体" w:cs="宋体"/>
          <w:color w:val="auto"/>
          <w:kern w:val="2"/>
          <w:sz w:val="21"/>
          <w:szCs w:val="21"/>
          <w:highlight w:val="none"/>
        </w:rPr>
        <w:t>、受益人为本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甲方</w:t>
      </w:r>
      <w:r>
        <w:rPr>
          <w:rFonts w:hint="eastAsia" w:ascii="宋体" w:hAnsi="宋体" w:eastAsia="宋体" w:cs="宋体"/>
          <w:color w:val="auto"/>
          <w:kern w:val="2"/>
          <w:sz w:val="21"/>
          <w:szCs w:val="21"/>
          <w:highlight w:val="none"/>
        </w:rPr>
        <w:t>，基于申请人的请求，我方（即“开立人”）同意就申请人履行本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依据中标通知书、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签订的</w:t>
      </w:r>
      <w:r>
        <w:rPr>
          <w:rFonts w:hint="eastAsia" w:ascii="宋体" w:hAnsi="宋体" w:eastAsia="宋体" w:cs="宋体"/>
          <w:color w:val="auto"/>
          <w:kern w:val="2"/>
          <w:sz w:val="21"/>
          <w:szCs w:val="21"/>
          <w:highlight w:val="none"/>
          <w:u w:val="single"/>
        </w:rPr>
        <w:t>《        》</w:t>
      </w:r>
      <w:r>
        <w:rPr>
          <w:rFonts w:hint="eastAsia" w:ascii="宋体" w:hAnsi="宋体" w:eastAsia="宋体" w:cs="宋体"/>
          <w:color w:val="auto"/>
          <w:kern w:val="2"/>
          <w:sz w:val="21"/>
          <w:szCs w:val="21"/>
          <w:highlight w:val="none"/>
        </w:rPr>
        <w:t>（以下简称“基础合同”）约定的义务，向贵方提供不可撤销、不可转让的见索即付保函（以下简称“本保函”）。</w:t>
      </w:r>
    </w:p>
    <w:p w14:paraId="311647C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一、本保函担保范围：</w:t>
      </w:r>
      <w:r>
        <w:rPr>
          <w:rFonts w:hint="eastAsia" w:ascii="宋体" w:hAnsi="宋体" w:eastAsia="宋体" w:cs="宋体"/>
          <w:color w:val="auto"/>
          <w:kern w:val="2"/>
          <w:sz w:val="21"/>
          <w:szCs w:val="21"/>
          <w:highlight w:val="none"/>
          <w:lang w:val="en-US" w:eastAsia="zh-CN"/>
        </w:rPr>
        <w:t>申请人</w:t>
      </w:r>
      <w:r>
        <w:rPr>
          <w:rFonts w:hint="eastAsia" w:ascii="宋体" w:hAnsi="宋体" w:eastAsia="宋体" w:cs="宋体"/>
          <w:color w:val="auto"/>
          <w:kern w:val="2"/>
          <w:sz w:val="21"/>
          <w:szCs w:val="21"/>
          <w:highlight w:val="none"/>
        </w:rPr>
        <w:t>未按照基础合同的约定履行义务，应当向</w:t>
      </w:r>
      <w:r>
        <w:rPr>
          <w:rFonts w:hint="eastAsia" w:ascii="宋体" w:hAnsi="宋体" w:eastAsia="宋体" w:cs="宋体"/>
          <w:color w:val="auto"/>
          <w:kern w:val="2"/>
          <w:sz w:val="21"/>
          <w:szCs w:val="21"/>
          <w:highlight w:val="none"/>
          <w:lang w:val="en-US" w:eastAsia="zh-CN"/>
        </w:rPr>
        <w:t>受益人</w:t>
      </w:r>
      <w:r>
        <w:rPr>
          <w:rFonts w:hint="eastAsia" w:ascii="宋体" w:hAnsi="宋体" w:eastAsia="宋体" w:cs="宋体"/>
          <w:color w:val="auto"/>
          <w:kern w:val="2"/>
          <w:sz w:val="21"/>
          <w:szCs w:val="21"/>
          <w:highlight w:val="none"/>
        </w:rPr>
        <w:t>承担的违约责任和赔偿因此造成的损失、利息、律师费、诉讼费用等实现债权的费用。</w:t>
      </w:r>
    </w:p>
    <w:p w14:paraId="2ACAFD0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二、本保函担保金额最高不超过人民币（大写）</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元（¥</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5EBC12B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spacing w:val="6"/>
          <w:kern w:val="2"/>
          <w:sz w:val="21"/>
          <w:szCs w:val="21"/>
          <w:highlight w:val="none"/>
        </w:rPr>
      </w:pPr>
      <w:r>
        <w:rPr>
          <w:rFonts w:hint="eastAsia" w:ascii="宋体" w:hAnsi="宋体" w:eastAsia="宋体" w:cs="宋体"/>
          <w:color w:val="auto"/>
          <w:kern w:val="2"/>
          <w:sz w:val="21"/>
          <w:szCs w:val="21"/>
          <w:highlight w:val="none"/>
        </w:rPr>
        <w:t>三、</w:t>
      </w:r>
      <w:r>
        <w:rPr>
          <w:rFonts w:hint="eastAsia" w:ascii="宋体" w:hAnsi="宋体" w:eastAsia="宋体" w:cs="宋体"/>
          <w:color w:val="auto"/>
          <w:spacing w:val="6"/>
          <w:kern w:val="2"/>
          <w:sz w:val="21"/>
          <w:szCs w:val="21"/>
          <w:highlight w:val="none"/>
        </w:rPr>
        <w:t>本保函有效期自</w:t>
      </w:r>
      <w:r>
        <w:rPr>
          <w:rFonts w:hint="eastAsia" w:ascii="宋体" w:hAnsi="宋体" w:eastAsia="宋体" w:cs="宋体"/>
          <w:color w:val="auto"/>
          <w:spacing w:val="6"/>
          <w:kern w:val="2"/>
          <w:sz w:val="21"/>
          <w:szCs w:val="21"/>
          <w:highlight w:val="none"/>
          <w:lang w:eastAsia="zh-CN"/>
        </w:rPr>
        <w:t>受益人与申请人签订的合同生效之日</w:t>
      </w:r>
      <w:r>
        <w:rPr>
          <w:rFonts w:hint="eastAsia" w:ascii="宋体" w:hAnsi="宋体" w:eastAsia="宋体" w:cs="宋体"/>
          <w:color w:val="auto"/>
          <w:spacing w:val="0"/>
          <w:kern w:val="2"/>
          <w:sz w:val="21"/>
          <w:szCs w:val="21"/>
          <w:highlight w:val="none"/>
          <w:lang w:eastAsia="zh-CN"/>
        </w:rPr>
        <w:t>起至合同约定的</w:t>
      </w:r>
      <w:r>
        <w:rPr>
          <w:rFonts w:hint="eastAsia" w:ascii="宋体" w:hAnsi="宋体" w:eastAsia="宋体" w:cs="宋体"/>
          <w:color w:val="auto"/>
          <w:spacing w:val="0"/>
          <w:kern w:val="2"/>
          <w:sz w:val="21"/>
          <w:szCs w:val="21"/>
          <w:highlight w:val="none"/>
          <w:lang w:val="en-US" w:eastAsia="zh-CN"/>
        </w:rPr>
        <w:t>服务期限</w:t>
      </w:r>
      <w:r>
        <w:rPr>
          <w:rFonts w:hint="eastAsia" w:ascii="宋体" w:hAnsi="宋体" w:eastAsia="宋体" w:cs="宋体"/>
          <w:color w:val="auto"/>
          <w:spacing w:val="0"/>
          <w:kern w:val="2"/>
          <w:sz w:val="21"/>
          <w:szCs w:val="21"/>
          <w:highlight w:val="none"/>
          <w:lang w:eastAsia="zh-CN"/>
        </w:rPr>
        <w:t>截止日后</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rPr>
        <w:t>天</w:t>
      </w:r>
      <w:r>
        <w:rPr>
          <w:rFonts w:hint="eastAsia" w:ascii="宋体" w:hAnsi="宋体" w:eastAsia="宋体" w:cs="宋体"/>
          <w:color w:val="auto"/>
          <w:spacing w:val="0"/>
          <w:kern w:val="2"/>
          <w:sz w:val="21"/>
          <w:szCs w:val="21"/>
          <w:highlight w:val="none"/>
          <w:lang w:eastAsia="zh-CN"/>
        </w:rPr>
        <w:t>，最迟不超过</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年</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月</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日。</w:t>
      </w:r>
    </w:p>
    <w:p w14:paraId="22CF7BE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四、我方承诺，在收到受益人发来的书面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w:t>
      </w:r>
      <w:r>
        <w:rPr>
          <w:rFonts w:hint="eastAsia" w:ascii="宋体" w:hAnsi="宋体" w:eastAsia="宋体" w:cs="宋体"/>
          <w:color w:val="auto"/>
          <w:kern w:val="2"/>
          <w:sz w:val="21"/>
          <w:szCs w:val="21"/>
          <w:highlight w:val="none"/>
          <w:lang w:eastAsia="zh-CN"/>
        </w:rPr>
        <w:t>和本保函原件</w:t>
      </w:r>
      <w:r>
        <w:rPr>
          <w:rFonts w:hint="eastAsia" w:ascii="宋体" w:hAnsi="宋体" w:eastAsia="宋体" w:cs="宋体"/>
          <w:color w:val="auto"/>
          <w:kern w:val="2"/>
          <w:sz w:val="21"/>
          <w:szCs w:val="21"/>
          <w:highlight w:val="none"/>
        </w:rPr>
        <w:t>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个工作日内无条件支付至受益人指定账户，前述书面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14:paraId="4BEF693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14:paraId="6D43BB3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14:paraId="3C8F638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（3）载明申请人违反合同义务的条款和内容；</w:t>
      </w:r>
    </w:p>
    <w:p w14:paraId="245DC30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（4）声明不存在合同文件约定或我国法律规定免除申请人或开立人支付责任的情形；</w:t>
      </w:r>
    </w:p>
    <w:p w14:paraId="06A9D17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（5）</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32F5A5CF">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受益人发出的书面索赔通知应由其为鉴明受益人法定代表人（负责人）或授权代理人签名或盖个人名章并加盖公章。</w:t>
      </w:r>
    </w:p>
    <w:p w14:paraId="0E59C3E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五、本保函项下的权利不得转让，不得设定担保。贵方未经我方书面同意转让本保函或其项下任何权利，对我方不发生法律效力。</w:t>
      </w:r>
    </w:p>
    <w:p w14:paraId="750ADBC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六、与本保函有关的基础合同不成立、不生效、无效、被撤销、被解除，不影响本保函的独立有效。</w:t>
      </w:r>
    </w:p>
    <w:p w14:paraId="4673C37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七、贵方应在本保函到期后的</w:t>
      </w:r>
      <w:r>
        <w:rPr>
          <w:rFonts w:hint="eastAsia" w:ascii="宋体" w:hAnsi="宋体" w:eastAsia="宋体" w:cs="宋体"/>
          <w:color w:val="auto"/>
          <w:kern w:val="2"/>
          <w:sz w:val="21"/>
          <w:szCs w:val="21"/>
          <w:highlight w:val="none"/>
          <w:lang w:val="en-US" w:eastAsia="zh-CN"/>
        </w:rPr>
        <w:t>七个工作</w:t>
      </w:r>
      <w:r>
        <w:rPr>
          <w:rFonts w:hint="eastAsia" w:ascii="宋体" w:hAnsi="宋体" w:eastAsia="宋体" w:cs="宋体"/>
          <w:color w:val="auto"/>
          <w:kern w:val="2"/>
          <w:sz w:val="21"/>
          <w:szCs w:val="21"/>
          <w:highlight w:val="none"/>
        </w:rPr>
        <w:t>日内将本保函正本退回我方注销，但是不论贵方是否按此要求将本保函正本退回我方，我方在本保函项下的义务和责任均在保函有效期到期后自动消灭。</w:t>
      </w:r>
    </w:p>
    <w:p w14:paraId="1368D63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八、本保函适用的法律为中华人民共和国法律，争议裁判管辖地为中华人民共和国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1B3F1D7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九、本保函自我方</w:t>
      </w:r>
      <w:r>
        <w:rPr>
          <w:rFonts w:hint="eastAsia" w:ascii="宋体" w:hAnsi="宋体" w:eastAsia="宋体" w:cs="宋体"/>
          <w:color w:val="auto"/>
          <w:kern w:val="2"/>
          <w:sz w:val="21"/>
          <w:szCs w:val="21"/>
          <w:highlight w:val="none"/>
          <w:lang w:eastAsia="zh-CN"/>
        </w:rPr>
        <w:t>法定代表人（单位负责人）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或盖个人名章并加盖公章或合同专用章之日起生效。</w:t>
      </w:r>
    </w:p>
    <w:p w14:paraId="74EE2D00">
      <w:pPr>
        <w:keepNext w:val="0"/>
        <w:keepLines w:val="0"/>
        <w:pageBreakBefore w:val="0"/>
        <w:widowControl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val="en-US" w:eastAsia="zh-CN"/>
        </w:rPr>
        <w:t>十、</w:t>
      </w:r>
      <w:r>
        <w:rPr>
          <w:rFonts w:hint="eastAsia" w:ascii="宋体" w:hAnsi="宋体" w:eastAsia="宋体" w:cs="宋体"/>
          <w:color w:val="auto"/>
          <w:kern w:val="2"/>
          <w:sz w:val="21"/>
          <w:szCs w:val="21"/>
          <w:highlight w:val="none"/>
          <w:lang w:eastAsia="zh-CN"/>
        </w:rPr>
        <w:t>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14:paraId="37F9A1F4">
      <w:pPr>
        <w:keepNext w:val="0"/>
        <w:keepLines w:val="0"/>
        <w:pageBreakBefore w:val="0"/>
        <w:widowControl w:val="0"/>
        <w:shd w:val="clear" w:color="auto" w:fill="auto"/>
        <w:kinsoku/>
        <w:wordWrap/>
        <w:topLinePunct w:val="0"/>
        <w:autoSpaceDE/>
        <w:autoSpaceDN/>
        <w:bidi w:val="0"/>
        <w:snapToGrid/>
        <w:spacing w:beforeLines="0" w:after="0" w:line="360" w:lineRule="auto"/>
        <w:jc w:val="both"/>
        <w:rPr>
          <w:rFonts w:hint="eastAsia" w:ascii="宋体" w:hAnsi="宋体" w:eastAsia="宋体" w:cs="宋体"/>
          <w:color w:val="auto"/>
          <w:kern w:val="2"/>
          <w:sz w:val="21"/>
          <w:szCs w:val="21"/>
          <w:highlight w:val="none"/>
          <w:lang w:val="en-US" w:eastAsia="zh-CN" w:bidi="ar-SA"/>
        </w:rPr>
      </w:pPr>
    </w:p>
    <w:p w14:paraId="6C55382F">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（公章）</w:t>
      </w:r>
    </w:p>
    <w:p w14:paraId="7F3EBDA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法定代表人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签名或盖个人名章</w:t>
      </w:r>
      <w:r>
        <w:rPr>
          <w:rFonts w:hint="eastAsia" w:ascii="宋体" w:hAnsi="宋体" w:eastAsia="宋体" w:cs="宋体"/>
          <w:color w:val="auto"/>
          <w:kern w:val="2"/>
          <w:sz w:val="21"/>
          <w:szCs w:val="21"/>
          <w:highlight w:val="none"/>
        </w:rPr>
        <w:t>）</w:t>
      </w:r>
    </w:p>
    <w:p w14:paraId="5145DA4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single"/>
          <w:lang w:val="en-US" w:eastAsia="zh-CN"/>
        </w:rPr>
      </w:pPr>
      <w:r>
        <w:rPr>
          <w:rFonts w:hint="eastAsia" w:ascii="宋体" w:hAnsi="宋体" w:eastAsia="宋体" w:cs="宋体"/>
          <w:color w:val="auto"/>
          <w:kern w:val="2"/>
          <w:sz w:val="21"/>
          <w:szCs w:val="21"/>
          <w:highlight w:val="none"/>
        </w:rPr>
        <w:t xml:space="preserve">地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55F0776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6BE71E1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4B6C819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1A49393E">
      <w:pPr>
        <w:jc w:val="right"/>
        <w:rPr>
          <w:rFonts w:hint="eastAsia" w:ascii="宋体" w:hAnsi="宋体" w:eastAsia="宋体" w:cs="宋体"/>
          <w:color w:val="auto"/>
          <w:kern w:val="2"/>
          <w:sz w:val="21"/>
          <w:szCs w:val="21"/>
          <w:highlight w:val="none"/>
        </w:rPr>
      </w:pPr>
    </w:p>
    <w:p w14:paraId="22F78BCF">
      <w:pPr>
        <w:wordWrap w:val="0"/>
        <w:jc w:val="right"/>
        <w:rPr>
          <w:rFonts w:hint="eastAsia" w:ascii="宋体" w:hAnsi="宋体" w:eastAsia="宋体" w:cs="宋体"/>
          <w:color w:val="auto"/>
          <w:sz w:val="21"/>
          <w:szCs w:val="21"/>
          <w:highlight w:val="none"/>
          <w:lang w:eastAsia="zh-CN"/>
        </w:rPr>
      </w:pPr>
      <w:r>
        <w:rPr>
          <w:rFonts w:hint="eastAsia" w:ascii="宋体" w:hAnsi="宋体" w:eastAsia="宋体" w:cs="宋体"/>
          <w:color w:val="auto"/>
          <w:kern w:val="2"/>
          <w:sz w:val="21"/>
          <w:szCs w:val="21"/>
          <w:highlight w:val="none"/>
        </w:rPr>
        <w:t xml:space="preserve">开立时间：    年    月    </w:t>
      </w:r>
      <w:r>
        <w:rPr>
          <w:rFonts w:hint="eastAsia" w:ascii="宋体" w:hAnsi="宋体" w:eastAsia="宋体" w:cs="宋体"/>
          <w:color w:val="auto"/>
          <w:sz w:val="21"/>
          <w:szCs w:val="21"/>
          <w:highlight w:val="none"/>
          <w:lang w:eastAsia="zh-CN"/>
        </w:rPr>
        <w:t>日</w:t>
      </w:r>
    </w:p>
    <w:p w14:paraId="1D4A3096">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14:paraId="28E535C4">
      <w:pPr>
        <w:spacing w:line="360" w:lineRule="auto"/>
        <w:jc w:val="both"/>
        <w:rPr>
          <w:rFonts w:hint="eastAsia" w:asciiTheme="minorEastAsia" w:hAnsiTheme="minorEastAsia" w:eastAsiaTheme="minorEastAsia" w:cstheme="minorEastAsia"/>
          <w:color w:val="auto"/>
          <w:szCs w:val="21"/>
          <w:highlight w:val="none"/>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低价风险担保保函</w:t>
      </w:r>
      <w:r>
        <w:rPr>
          <w:rFonts w:hint="eastAsia" w:ascii="Times New Roman" w:hAnsi="Times New Roman" w:cs="Times New Roman"/>
          <w:b/>
          <w:bCs/>
          <w:color w:val="auto"/>
          <w:sz w:val="21"/>
          <w:szCs w:val="15"/>
          <w:highlight w:val="none"/>
          <w:lang w:val="en-US" w:eastAsia="zh-CN"/>
        </w:rPr>
        <w:t>（如有）</w:t>
      </w:r>
    </w:p>
    <w:p w14:paraId="22E4BBED">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低价风险担保保函示范文本</w:t>
      </w:r>
    </w:p>
    <w:p w14:paraId="544CD12B">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（独立保函）</w:t>
      </w:r>
    </w:p>
    <w:p w14:paraId="776A780F">
      <w:pPr>
        <w:wordWrap w:val="0"/>
        <w:spacing w:line="360" w:lineRule="auto"/>
        <w:jc w:val="righ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编号：           </w:t>
      </w:r>
    </w:p>
    <w:p w14:paraId="6E21DDA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申请人：</w:t>
      </w:r>
    </w:p>
    <w:p w14:paraId="1E194E9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7CFABAA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w:t>
      </w:r>
    </w:p>
    <w:p w14:paraId="4751F4E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5323097C">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开立人：</w:t>
      </w:r>
    </w:p>
    <w:p w14:paraId="742CFAF6">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2731B33B">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w:t>
      </w:r>
    </w:p>
    <w:p w14:paraId="6132011D">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（受益人名称）： </w:t>
      </w:r>
    </w:p>
    <w:p w14:paraId="18A14E98">
      <w:pPr>
        <w:pStyle w:val="17"/>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鉴于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（以下简称“申请人”）于 </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日参加</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（以下简称“受益人”）的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（项目名称）的</w:t>
      </w:r>
      <w:r>
        <w:rPr>
          <w:rFonts w:hint="eastAsia" w:asciiTheme="minorEastAsia" w:hAnsiTheme="minorEastAsia" w:eastAsiaTheme="minorEastAsia" w:cstheme="minorEastAsia"/>
          <w:color w:val="auto"/>
          <w:szCs w:val="21"/>
          <w:highlight w:val="none"/>
          <w:lang w:val="en-US" w:eastAsia="zh-CN"/>
        </w:rPr>
        <w:t>竞争性比选</w:t>
      </w:r>
      <w:r>
        <w:rPr>
          <w:rFonts w:hint="eastAsia" w:asciiTheme="minorEastAsia" w:hAnsiTheme="minorEastAsia" w:eastAsiaTheme="minorEastAsia" w:cstheme="minorEastAsia"/>
          <w:color w:val="auto"/>
          <w:szCs w:val="21"/>
          <w:highlight w:val="none"/>
        </w:rPr>
        <w:t>，收到受益人于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日签发的中标通知书，成为该项目的中标人。基于申请人的请求，我方同意就申请人履行该项目中标通知书、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约定的义务，向贵方提供不可撤销、不可转让的见索即付独立保函（以下简称“本保函”）。</w:t>
      </w:r>
    </w:p>
    <w:p w14:paraId="37D8A86E">
      <w:pPr>
        <w:pStyle w:val="17"/>
        <w:numPr>
          <w:ilvl w:val="0"/>
          <w:numId w:val="5"/>
        </w:numPr>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本保函担保范围：申请人未按照中标通知书、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约定签订合同或未按签订的合同约定履行相关义务，应当向贵方承担的违约责任和赔偿因此造成的损失、利息、律师费、诉讼费用等实现债权的费用。</w:t>
      </w:r>
    </w:p>
    <w:p w14:paraId="23860BC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二、本保函担保金额最高不超过人民币（大写）</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元（¥</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11891D0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三、本保函有效期自开立之日起至合同约定的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日止，最迟不超过</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日。 </w:t>
      </w:r>
    </w:p>
    <w:p w14:paraId="23822C61">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四、我方承诺，在收到受益人发来的书面付款通知后的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工作日内无条件支付，前述书面付款通知即为付款要求之单据，且应满足以下要求：</w:t>
      </w:r>
    </w:p>
    <w:p w14:paraId="294F54D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（1）付款通知到达的日期在本保函的有效期内；</w:t>
      </w:r>
    </w:p>
    <w:p w14:paraId="1AFB269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（2）载明要求支付的金额；</w:t>
      </w:r>
    </w:p>
    <w:p w14:paraId="3EE66E8F">
      <w:pPr>
        <w:spacing w:line="360" w:lineRule="auto"/>
        <w:ind w:firstLine="420" w:firstLineChars="200"/>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（3）载明申请人未按照中标通知书、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约定签订合同或违反合同义务的条款和内容；</w:t>
      </w:r>
    </w:p>
    <w:p w14:paraId="7EE90D92">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（4）付款通知中应声明不存在</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约定、合同文件约定或我国法律规定免除申请人或开立人支付责任的情形；</w:t>
      </w:r>
    </w:p>
    <w:p w14:paraId="3FDFF0E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（5）付款通知应在本保函有效期内到达的地址是：</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5B041CA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受益人发出的书面付款通知应由其为鉴明受益人法定代表人（负责人）或授权代理人签名加盖公章。</w:t>
      </w:r>
    </w:p>
    <w:p w14:paraId="72837CD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五、本保函项下的权利不得转让，不得设定担保。贵方未经我方书面同意转让本保函或其项下任何权利，对我方不发生法律效力。 </w:t>
      </w:r>
    </w:p>
    <w:p w14:paraId="1F43358F">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六、与本保函有关的合同不成立、不生效、无效、被撤销、被解除，不影响本保函的独立有效。 </w:t>
      </w:r>
    </w:p>
    <w:p w14:paraId="53B2168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14:paraId="0E70022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65C2BD9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九、本保函自我方法定代表人或授权代表签名并加盖公章之日起生效。 </w:t>
      </w:r>
    </w:p>
    <w:p w14:paraId="61CA1A1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开 立 人：                              （公章） </w:t>
      </w:r>
    </w:p>
    <w:p w14:paraId="5A33D84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法定代表人（或授权代表）：              （签名） </w:t>
      </w:r>
    </w:p>
    <w:p w14:paraId="09FF3A4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地    址：                                       </w:t>
      </w:r>
    </w:p>
    <w:p w14:paraId="60B97040">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邮政编码：                 </w:t>
      </w:r>
    </w:p>
    <w:p w14:paraId="019531E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电    话：                 </w:t>
      </w:r>
    </w:p>
    <w:p w14:paraId="681E27E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传    真：                 </w:t>
      </w:r>
    </w:p>
    <w:p w14:paraId="0EF1043A">
      <w:pPr>
        <w:spacing w:line="360" w:lineRule="auto"/>
        <w:ind w:firstLine="420" w:firstLineChars="200"/>
        <w:rPr>
          <w:color w:val="auto"/>
          <w:highlight w:val="none"/>
        </w:rPr>
      </w:pPr>
      <w:r>
        <w:rPr>
          <w:rFonts w:hint="eastAsia" w:asciiTheme="minorEastAsia" w:hAnsiTheme="minorEastAsia" w:eastAsiaTheme="minorEastAsia" w:cstheme="minorEastAsia"/>
          <w:color w:val="auto"/>
          <w:szCs w:val="21"/>
          <w:highlight w:val="none"/>
        </w:rPr>
        <w:t>开立时间：      年      月</w:t>
      </w:r>
      <w:r>
        <w:rPr>
          <w:rFonts w:hint="eastAsia" w:asciiTheme="minorEastAsia" w:hAnsiTheme="minorEastAsia" w:eastAsiaTheme="minorEastAsia" w:cstheme="minorEastAsia"/>
          <w:color w:val="auto"/>
          <w:szCs w:val="21"/>
          <w:highlight w:val="none"/>
          <w:lang w:val="en-US" w:eastAsia="zh-CN"/>
        </w:rPr>
        <w:t xml:space="preserve">      日</w:t>
      </w:r>
    </w:p>
    <w:p w14:paraId="1CFFA4CF">
      <w:pPr>
        <w:jc w:val="center"/>
        <w:rPr>
          <w:rFonts w:hint="eastAsia" w:ascii="仿宋" w:hAnsi="仿宋" w:eastAsia="仿宋" w:cs="仿宋"/>
          <w:b/>
          <w:bCs/>
          <w:color w:val="auto"/>
          <w:szCs w:val="21"/>
          <w:highlight w:val="none"/>
          <w:lang w:val="en-US" w:eastAsia="zh-CN"/>
        </w:rPr>
      </w:pPr>
    </w:p>
    <w:p w14:paraId="3A88909D">
      <w:pPr>
        <w:rPr>
          <w:rFonts w:ascii="宋体" w:hAnsi="宋体" w:cs="宋体"/>
          <w:color w:val="auto"/>
          <w:highlight w:val="none"/>
        </w:rPr>
      </w:pPr>
    </w:p>
    <w:p w14:paraId="3C15F3E0">
      <w:pP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bookmarkStart w:id="176" w:name="_Toc513633965"/>
    </w:p>
    <w:p w14:paraId="1DE984FE">
      <w:pPr>
        <w:rPr>
          <w:rFonts w:ascii="宋体" w:hAnsi="宋体" w:cs="宋体"/>
          <w:color w:val="auto"/>
          <w:highlight w:val="none"/>
        </w:rPr>
      </w:pPr>
    </w:p>
    <w:p w14:paraId="6DE31E19">
      <w:pPr>
        <w:pStyle w:val="2"/>
        <w:spacing w:before="0" w:after="0" w:line="360" w:lineRule="auto"/>
        <w:jc w:val="center"/>
        <w:rPr>
          <w:rFonts w:ascii="宋体" w:hAnsi="宋体" w:cs="宋体"/>
          <w:color w:val="auto"/>
          <w:highlight w:val="none"/>
        </w:rPr>
      </w:pPr>
      <w:bookmarkStart w:id="177" w:name="_Toc27626"/>
      <w:bookmarkStart w:id="178" w:name="_Toc2000413"/>
      <w:bookmarkStart w:id="179" w:name="_Toc514858709"/>
      <w:r>
        <w:rPr>
          <w:rFonts w:hint="eastAsia" w:ascii="宋体" w:hAnsi="宋体" w:cs="宋体"/>
          <w:color w:val="auto"/>
          <w:highlight w:val="none"/>
        </w:rPr>
        <w:t>第</w:t>
      </w:r>
      <w:r>
        <w:rPr>
          <w:rFonts w:hint="eastAsia" w:ascii="宋体" w:hAnsi="宋体" w:cs="宋体"/>
          <w:color w:val="auto"/>
          <w:highlight w:val="none"/>
          <w:lang w:val="en-US" w:eastAsia="zh-CN"/>
        </w:rPr>
        <w:t>六</w:t>
      </w:r>
      <w:r>
        <w:rPr>
          <w:rFonts w:hint="eastAsia" w:ascii="宋体" w:hAnsi="宋体" w:cs="宋体"/>
          <w:color w:val="auto"/>
          <w:highlight w:val="none"/>
        </w:rPr>
        <w:t>章  竞争性比选响应文件格式</w:t>
      </w:r>
      <w:bookmarkEnd w:id="176"/>
      <w:bookmarkEnd w:id="177"/>
      <w:bookmarkEnd w:id="178"/>
      <w:bookmarkEnd w:id="179"/>
    </w:p>
    <w:p w14:paraId="7A4B70DF">
      <w:pPr>
        <w:rPr>
          <w:rFonts w:ascii="宋体" w:hAnsi="宋体" w:cs="宋体"/>
          <w:color w:val="auto"/>
          <w:highlight w:val="none"/>
        </w:rPr>
      </w:pPr>
    </w:p>
    <w:p w14:paraId="2307A00B">
      <w:pPr>
        <w:rPr>
          <w:rFonts w:ascii="宋体" w:hAnsi="宋体" w:cs="宋体"/>
          <w:color w:val="auto"/>
          <w:highlight w:val="none"/>
        </w:rPr>
        <w:sectPr>
          <w:pgSz w:w="11906" w:h="16838"/>
          <w:pgMar w:top="1440" w:right="1803" w:bottom="1440" w:left="1803" w:header="851" w:footer="992" w:gutter="0"/>
          <w:cols w:space="720" w:num="1"/>
          <w:titlePg/>
          <w:docGrid w:type="lines" w:linePitch="319" w:charSpace="0"/>
        </w:sectPr>
      </w:pPr>
    </w:p>
    <w:p w14:paraId="0AF8431E">
      <w:pPr>
        <w:rPr>
          <w:rFonts w:ascii="宋体" w:hAnsi="宋体" w:cs="宋体"/>
          <w:color w:val="auto"/>
          <w:highlight w:val="none"/>
        </w:rPr>
      </w:pPr>
    </w:p>
    <w:p w14:paraId="3E449F11">
      <w:pPr>
        <w:jc w:val="center"/>
        <w:rPr>
          <w:rFonts w:ascii="宋体" w:hAnsi="宋体" w:cs="宋体"/>
          <w:color w:val="auto"/>
          <w:sz w:val="52"/>
          <w:szCs w:val="52"/>
          <w:highlight w:val="none"/>
          <w:u w:val="single"/>
        </w:rPr>
      </w:pPr>
      <w:bookmarkStart w:id="180" w:name="_Toc514858710"/>
      <w:bookmarkStart w:id="181" w:name="_Toc513633967"/>
      <w:bookmarkStart w:id="182" w:name="_Toc513646738"/>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180"/>
      <w:bookmarkEnd w:id="181"/>
      <w:bookmarkEnd w:id="182"/>
      <w:r>
        <w:rPr>
          <w:rFonts w:hint="eastAsia" w:ascii="宋体" w:hAnsi="宋体" w:cs="宋体"/>
          <w:color w:val="auto"/>
          <w:sz w:val="52"/>
          <w:szCs w:val="52"/>
          <w:highlight w:val="none"/>
          <w:u w:val="single"/>
        </w:rPr>
        <w:t xml:space="preserve"> </w:t>
      </w:r>
    </w:p>
    <w:p w14:paraId="24C4BD2C">
      <w:pPr>
        <w:rPr>
          <w:rFonts w:ascii="宋体" w:hAnsi="宋体" w:cs="宋体"/>
          <w:color w:val="auto"/>
          <w:sz w:val="20"/>
          <w:szCs w:val="20"/>
          <w:highlight w:val="none"/>
        </w:rPr>
      </w:pPr>
    </w:p>
    <w:p w14:paraId="20137A12">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71FA9C7E">
      <w:pPr>
        <w:rPr>
          <w:rFonts w:ascii="宋体" w:hAnsi="宋体" w:cs="宋体"/>
          <w:color w:val="auto"/>
          <w:sz w:val="28"/>
          <w:szCs w:val="28"/>
          <w:highlight w:val="none"/>
        </w:rPr>
      </w:pPr>
    </w:p>
    <w:p w14:paraId="48E7FA3C">
      <w:pPr>
        <w:rPr>
          <w:rFonts w:ascii="宋体" w:hAnsi="宋体" w:cs="宋体"/>
          <w:color w:val="auto"/>
          <w:sz w:val="28"/>
          <w:szCs w:val="28"/>
          <w:highlight w:val="none"/>
        </w:rPr>
      </w:pPr>
    </w:p>
    <w:p w14:paraId="5046203B">
      <w:pPr>
        <w:rPr>
          <w:rFonts w:ascii="宋体" w:hAnsi="宋体" w:cs="宋体"/>
          <w:color w:val="auto"/>
          <w:sz w:val="28"/>
          <w:szCs w:val="28"/>
          <w:highlight w:val="none"/>
        </w:rPr>
      </w:pPr>
    </w:p>
    <w:p w14:paraId="76EF384B">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3BA83F03">
      <w:pPr>
        <w:jc w:val="center"/>
        <w:rPr>
          <w:rFonts w:ascii="宋体" w:hAnsi="宋体" w:cs="宋体"/>
          <w:b/>
          <w:color w:val="auto"/>
          <w:sz w:val="32"/>
          <w:szCs w:val="32"/>
          <w:highlight w:val="none"/>
        </w:rPr>
      </w:pPr>
    </w:p>
    <w:p w14:paraId="187AF45D">
      <w:pPr>
        <w:rPr>
          <w:rFonts w:ascii="宋体" w:hAnsi="宋体" w:cs="宋体"/>
          <w:color w:val="auto"/>
          <w:sz w:val="28"/>
          <w:szCs w:val="28"/>
          <w:highlight w:val="none"/>
        </w:rPr>
      </w:pPr>
    </w:p>
    <w:p w14:paraId="5FEC8DE2">
      <w:pPr>
        <w:rPr>
          <w:rFonts w:ascii="宋体" w:hAnsi="宋体" w:cs="宋体"/>
          <w:color w:val="auto"/>
          <w:sz w:val="28"/>
          <w:szCs w:val="28"/>
          <w:highlight w:val="none"/>
        </w:rPr>
      </w:pPr>
    </w:p>
    <w:p w14:paraId="1BF3C37B">
      <w:pPr>
        <w:rPr>
          <w:rFonts w:ascii="宋体" w:hAnsi="宋体" w:cs="宋体"/>
          <w:color w:val="auto"/>
          <w:sz w:val="28"/>
          <w:szCs w:val="28"/>
          <w:highlight w:val="none"/>
        </w:rPr>
      </w:pPr>
    </w:p>
    <w:p w14:paraId="0B09AC2B">
      <w:pPr>
        <w:rPr>
          <w:rFonts w:ascii="宋体" w:hAnsi="宋体" w:cs="宋体"/>
          <w:color w:val="auto"/>
          <w:sz w:val="28"/>
          <w:szCs w:val="28"/>
          <w:highlight w:val="none"/>
        </w:rPr>
      </w:pPr>
    </w:p>
    <w:p w14:paraId="13392477">
      <w:pPr>
        <w:rPr>
          <w:rFonts w:ascii="宋体" w:hAnsi="宋体" w:cs="宋体"/>
          <w:color w:val="auto"/>
          <w:sz w:val="28"/>
          <w:szCs w:val="28"/>
          <w:highlight w:val="none"/>
        </w:rPr>
      </w:pPr>
    </w:p>
    <w:p w14:paraId="5574341C">
      <w:pPr>
        <w:pStyle w:val="28"/>
        <w:rPr>
          <w:color w:val="auto"/>
          <w:highlight w:val="none"/>
        </w:rPr>
      </w:pPr>
    </w:p>
    <w:p w14:paraId="57B58CF4">
      <w:pPr>
        <w:rPr>
          <w:color w:val="auto"/>
          <w:highlight w:val="none"/>
        </w:rPr>
      </w:pPr>
    </w:p>
    <w:p w14:paraId="5BAD2012">
      <w:pPr>
        <w:pStyle w:val="28"/>
        <w:rPr>
          <w:color w:val="auto"/>
          <w:highlight w:val="none"/>
        </w:rPr>
      </w:pPr>
    </w:p>
    <w:p w14:paraId="3098D36B">
      <w:pPr>
        <w:rPr>
          <w:color w:val="auto"/>
          <w:highlight w:val="none"/>
        </w:rPr>
      </w:pPr>
    </w:p>
    <w:p w14:paraId="6C685DC7">
      <w:pPr>
        <w:pStyle w:val="28"/>
        <w:rPr>
          <w:color w:val="auto"/>
          <w:highlight w:val="none"/>
        </w:rPr>
      </w:pPr>
    </w:p>
    <w:p w14:paraId="1418238A">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（盖单位公章）</w:t>
      </w:r>
    </w:p>
    <w:p w14:paraId="495C8F20">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lang w:val="en-US" w:eastAsia="zh-CN"/>
        </w:rPr>
        <w:t>或盖章</w:t>
      </w:r>
      <w:r>
        <w:rPr>
          <w:rFonts w:hint="eastAsia" w:ascii="宋体" w:hAnsi="宋体" w:cs="宋体"/>
          <w:color w:val="auto"/>
          <w:sz w:val="28"/>
          <w:szCs w:val="28"/>
          <w:highlight w:val="none"/>
        </w:rPr>
        <w:t>）</w:t>
      </w:r>
    </w:p>
    <w:p w14:paraId="6E58B4A4">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03CD86D0">
      <w:pPr>
        <w:spacing w:line="400" w:lineRule="exact"/>
        <w:rPr>
          <w:rFonts w:ascii="宋体" w:hAnsi="宋体" w:cs="宋体"/>
          <w:color w:val="auto"/>
          <w:highlight w:val="none"/>
        </w:rPr>
      </w:pPr>
    </w:p>
    <w:p w14:paraId="0C2A5715">
      <w:pPr>
        <w:spacing w:line="400" w:lineRule="exact"/>
        <w:rPr>
          <w:rFonts w:ascii="宋体" w:hAnsi="宋体" w:cs="宋体"/>
          <w:color w:val="auto"/>
          <w:highlight w:val="none"/>
        </w:rPr>
      </w:pPr>
    </w:p>
    <w:p w14:paraId="51209EFA">
      <w:pPr>
        <w:spacing w:line="400" w:lineRule="exact"/>
        <w:rPr>
          <w:rFonts w:ascii="宋体" w:hAnsi="宋体" w:cs="宋体"/>
          <w:color w:val="auto"/>
          <w:highlight w:val="none"/>
        </w:rPr>
      </w:pPr>
    </w:p>
    <w:p w14:paraId="4D8CC298">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32"/>
          <w:szCs w:val="40"/>
          <w:highlight w:val="none"/>
        </w:rPr>
      </w:pPr>
      <w:bookmarkStart w:id="183" w:name="_Toc5459"/>
      <w:bookmarkStart w:id="184" w:name="_Toc11329273"/>
      <w:bookmarkStart w:id="185" w:name="_Toc1368"/>
      <w:bookmarkStart w:id="186" w:name="_Toc28780"/>
      <w:r>
        <w:rPr>
          <w:rFonts w:hint="eastAsia" w:ascii="宋体" w:hAnsi="宋体" w:eastAsia="宋体" w:cs="宋体"/>
          <w:color w:val="auto"/>
          <w:sz w:val="32"/>
          <w:szCs w:val="40"/>
          <w:highlight w:val="none"/>
        </w:rPr>
        <w:t>目    录</w:t>
      </w:r>
      <w:bookmarkEnd w:id="167"/>
      <w:bookmarkEnd w:id="168"/>
      <w:bookmarkEnd w:id="169"/>
      <w:bookmarkEnd w:id="170"/>
      <w:bookmarkEnd w:id="171"/>
      <w:bookmarkEnd w:id="172"/>
      <w:bookmarkEnd w:id="173"/>
      <w:bookmarkEnd w:id="174"/>
      <w:bookmarkEnd w:id="183"/>
      <w:bookmarkEnd w:id="184"/>
      <w:bookmarkEnd w:id="185"/>
      <w:bookmarkEnd w:id="186"/>
    </w:p>
    <w:p w14:paraId="73AD2FCB">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一、</w:t>
      </w:r>
      <w:r>
        <w:rPr>
          <w:rFonts w:hint="eastAsia" w:ascii="宋体" w:hAnsi="宋体" w:cs="宋体"/>
          <w:color w:val="auto"/>
          <w:highlight w:val="none"/>
        </w:rPr>
        <w:t>竞争性响应声明书</w:t>
      </w:r>
    </w:p>
    <w:p w14:paraId="23028A65">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二、</w:t>
      </w:r>
      <w:r>
        <w:rPr>
          <w:rFonts w:ascii="宋体" w:hAnsi="宋体" w:cs="宋体"/>
          <w:color w:val="auto"/>
          <w:highlight w:val="none"/>
        </w:rPr>
        <w:t>法定代表人身份证明或法定代表人授权委托书</w:t>
      </w:r>
    </w:p>
    <w:p w14:paraId="149EB2A8">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60B7A70C">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574BD4FE">
      <w:pPr>
        <w:spacing w:line="400" w:lineRule="exact"/>
        <w:rPr>
          <w:rFonts w:hint="eastAsia" w:ascii="宋体" w:hAnsi="宋体" w:cs="宋体"/>
          <w:color w:val="auto"/>
          <w:szCs w:val="21"/>
          <w:highlight w:val="none"/>
        </w:rPr>
      </w:pPr>
      <w:r>
        <w:rPr>
          <w:rFonts w:hint="eastAsia" w:ascii="宋体" w:hAnsi="宋体" w:cs="宋体"/>
          <w:color w:val="auto"/>
          <w:highlight w:val="none"/>
        </w:rPr>
        <w:t>五、</w:t>
      </w:r>
      <w:r>
        <w:rPr>
          <w:rFonts w:hint="eastAsia" w:ascii="宋体" w:hAnsi="宋体" w:cs="宋体"/>
          <w:color w:val="auto"/>
          <w:szCs w:val="21"/>
          <w:highlight w:val="none"/>
        </w:rPr>
        <w:t>报价人承诺</w:t>
      </w:r>
    </w:p>
    <w:p w14:paraId="698722BD">
      <w:pPr>
        <w:spacing w:line="400" w:lineRule="exact"/>
        <w:rPr>
          <w:rFonts w:ascii="宋体" w:hAnsi="宋体" w:cs="宋体"/>
          <w:color w:val="auto"/>
          <w:szCs w:val="21"/>
          <w:highlight w:val="none"/>
        </w:rPr>
      </w:pPr>
      <w:r>
        <w:rPr>
          <w:rFonts w:hint="eastAsia" w:ascii="宋体" w:hAnsi="宋体" w:cs="宋体"/>
          <w:color w:val="auto"/>
          <w:szCs w:val="21"/>
          <w:highlight w:val="none"/>
        </w:rPr>
        <w:t>六、报价人其他资料</w:t>
      </w:r>
    </w:p>
    <w:p w14:paraId="4C2243D7">
      <w:pPr>
        <w:spacing w:line="400" w:lineRule="exact"/>
        <w:rPr>
          <w:rFonts w:ascii="宋体" w:hAnsi="宋体" w:cs="宋体"/>
          <w:color w:val="auto"/>
          <w:highlight w:val="none"/>
        </w:rPr>
      </w:pPr>
    </w:p>
    <w:p w14:paraId="77BE778B">
      <w:pPr>
        <w:spacing w:line="400" w:lineRule="exact"/>
        <w:rPr>
          <w:rFonts w:ascii="宋体" w:hAnsi="宋体" w:cs="宋体"/>
          <w:color w:val="auto"/>
          <w:highlight w:val="none"/>
        </w:rPr>
      </w:pPr>
    </w:p>
    <w:p w14:paraId="7754A34E">
      <w:pPr>
        <w:spacing w:line="400" w:lineRule="exact"/>
        <w:rPr>
          <w:rFonts w:ascii="宋体" w:hAnsi="宋体" w:cs="宋体"/>
          <w:color w:val="auto"/>
          <w:highlight w:val="none"/>
        </w:rPr>
      </w:pPr>
    </w:p>
    <w:p w14:paraId="44D104B8">
      <w:pPr>
        <w:spacing w:line="400" w:lineRule="exact"/>
        <w:rPr>
          <w:rFonts w:ascii="宋体" w:hAnsi="宋体" w:cs="宋体"/>
          <w:color w:val="auto"/>
          <w:highlight w:val="none"/>
        </w:rPr>
      </w:pPr>
    </w:p>
    <w:p w14:paraId="6A993311">
      <w:pPr>
        <w:spacing w:line="400" w:lineRule="exact"/>
        <w:rPr>
          <w:rFonts w:ascii="宋体" w:hAnsi="宋体" w:cs="宋体"/>
          <w:color w:val="auto"/>
          <w:highlight w:val="none"/>
        </w:rPr>
      </w:pPr>
    </w:p>
    <w:p w14:paraId="22325943">
      <w:pPr>
        <w:spacing w:line="400" w:lineRule="exact"/>
        <w:rPr>
          <w:rFonts w:ascii="宋体" w:hAnsi="宋体" w:cs="宋体"/>
          <w:color w:val="auto"/>
          <w:highlight w:val="none"/>
        </w:rPr>
      </w:pPr>
    </w:p>
    <w:p w14:paraId="19F79249">
      <w:pPr>
        <w:spacing w:line="400" w:lineRule="exact"/>
        <w:rPr>
          <w:rFonts w:ascii="宋体" w:hAnsi="宋体" w:cs="宋体"/>
          <w:color w:val="auto"/>
          <w:highlight w:val="none"/>
        </w:rPr>
      </w:pPr>
    </w:p>
    <w:p w14:paraId="63451569">
      <w:pPr>
        <w:spacing w:line="400" w:lineRule="exact"/>
        <w:rPr>
          <w:rFonts w:ascii="宋体" w:hAnsi="宋体" w:cs="宋体"/>
          <w:color w:val="auto"/>
          <w:highlight w:val="none"/>
        </w:rPr>
      </w:pPr>
    </w:p>
    <w:p w14:paraId="7665CFE9">
      <w:pPr>
        <w:spacing w:line="400" w:lineRule="exact"/>
        <w:rPr>
          <w:rFonts w:ascii="宋体" w:hAnsi="宋体" w:cs="宋体"/>
          <w:color w:val="auto"/>
          <w:highlight w:val="none"/>
        </w:rPr>
      </w:pPr>
    </w:p>
    <w:p w14:paraId="3D58CD4A">
      <w:pPr>
        <w:spacing w:line="400" w:lineRule="exact"/>
        <w:rPr>
          <w:rFonts w:ascii="宋体" w:hAnsi="宋体" w:cs="宋体"/>
          <w:color w:val="auto"/>
          <w:highlight w:val="none"/>
        </w:rPr>
      </w:pPr>
    </w:p>
    <w:p w14:paraId="3DD590F6">
      <w:pPr>
        <w:spacing w:line="400" w:lineRule="exact"/>
        <w:rPr>
          <w:rFonts w:ascii="宋体" w:hAnsi="宋体" w:cs="宋体"/>
          <w:color w:val="auto"/>
          <w:highlight w:val="none"/>
        </w:rPr>
      </w:pPr>
    </w:p>
    <w:p w14:paraId="387E2048">
      <w:pPr>
        <w:spacing w:line="400" w:lineRule="exact"/>
        <w:rPr>
          <w:rFonts w:ascii="宋体" w:hAnsi="宋体" w:cs="宋体"/>
          <w:color w:val="auto"/>
          <w:highlight w:val="none"/>
        </w:rPr>
      </w:pPr>
    </w:p>
    <w:p w14:paraId="0D18D653">
      <w:pPr>
        <w:spacing w:line="400" w:lineRule="exact"/>
        <w:rPr>
          <w:rFonts w:ascii="宋体" w:hAnsi="宋体" w:cs="宋体"/>
          <w:color w:val="auto"/>
          <w:highlight w:val="none"/>
        </w:rPr>
      </w:pPr>
    </w:p>
    <w:p w14:paraId="27331EEF">
      <w:pPr>
        <w:spacing w:line="400" w:lineRule="exact"/>
        <w:rPr>
          <w:rFonts w:ascii="宋体" w:hAnsi="宋体" w:cs="宋体"/>
          <w:color w:val="auto"/>
          <w:highlight w:val="none"/>
        </w:rPr>
      </w:pPr>
    </w:p>
    <w:p w14:paraId="53D4346C">
      <w:pPr>
        <w:spacing w:line="400" w:lineRule="exact"/>
        <w:rPr>
          <w:rFonts w:ascii="宋体" w:hAnsi="宋体" w:cs="宋体"/>
          <w:color w:val="auto"/>
          <w:highlight w:val="none"/>
        </w:rPr>
      </w:pPr>
    </w:p>
    <w:p w14:paraId="533E7347">
      <w:pPr>
        <w:spacing w:line="400" w:lineRule="exact"/>
        <w:rPr>
          <w:rFonts w:ascii="宋体" w:hAnsi="宋体" w:cs="宋体"/>
          <w:color w:val="auto"/>
          <w:highlight w:val="none"/>
        </w:rPr>
      </w:pPr>
    </w:p>
    <w:p w14:paraId="0B7C7006">
      <w:pPr>
        <w:spacing w:line="400" w:lineRule="exact"/>
        <w:rPr>
          <w:rFonts w:ascii="宋体" w:hAnsi="宋体" w:cs="宋体"/>
          <w:color w:val="auto"/>
          <w:highlight w:val="none"/>
        </w:rPr>
      </w:pPr>
    </w:p>
    <w:p w14:paraId="43957F41">
      <w:pPr>
        <w:spacing w:line="400" w:lineRule="exact"/>
        <w:rPr>
          <w:rFonts w:ascii="宋体" w:hAnsi="宋体" w:cs="宋体"/>
          <w:color w:val="auto"/>
          <w:highlight w:val="none"/>
        </w:rPr>
      </w:pPr>
    </w:p>
    <w:p w14:paraId="5C4A0DB8">
      <w:pPr>
        <w:spacing w:line="400" w:lineRule="exact"/>
        <w:rPr>
          <w:rFonts w:ascii="宋体" w:hAnsi="宋体" w:cs="宋体"/>
          <w:color w:val="auto"/>
          <w:highlight w:val="none"/>
        </w:rPr>
      </w:pPr>
    </w:p>
    <w:p w14:paraId="6D95955A">
      <w:pPr>
        <w:spacing w:line="400" w:lineRule="exact"/>
        <w:rPr>
          <w:rFonts w:ascii="宋体" w:hAnsi="宋体" w:cs="宋体"/>
          <w:color w:val="auto"/>
          <w:highlight w:val="none"/>
        </w:rPr>
      </w:pPr>
    </w:p>
    <w:p w14:paraId="493E23E2">
      <w:pPr>
        <w:spacing w:line="400" w:lineRule="exact"/>
        <w:rPr>
          <w:rFonts w:ascii="宋体" w:hAnsi="宋体" w:cs="宋体"/>
          <w:color w:val="auto"/>
          <w:highlight w:val="none"/>
        </w:rPr>
      </w:pPr>
      <w:r>
        <w:rPr>
          <w:rFonts w:ascii="宋体" w:hAnsi="宋体" w:cs="宋体"/>
          <w:color w:val="auto"/>
          <w:highlight w:val="none"/>
        </w:rPr>
        <w:br w:type="page"/>
      </w:r>
    </w:p>
    <w:p w14:paraId="04275578">
      <w:pPr>
        <w:pStyle w:val="3"/>
        <w:numPr>
          <w:ilvl w:val="0"/>
          <w:numId w:val="6"/>
        </w:numPr>
        <w:spacing w:before="0" w:after="0" w:line="360" w:lineRule="auto"/>
        <w:jc w:val="center"/>
        <w:rPr>
          <w:rFonts w:ascii="宋体" w:hAnsi="宋体" w:eastAsia="宋体" w:cs="宋体"/>
          <w:color w:val="auto"/>
          <w:sz w:val="28"/>
          <w:highlight w:val="none"/>
        </w:rPr>
      </w:pPr>
      <w:bookmarkStart w:id="187" w:name="_Toc29615"/>
      <w:bookmarkStart w:id="188" w:name="_Toc25874"/>
      <w:bookmarkStart w:id="189" w:name="_Toc15863"/>
      <w:bookmarkStart w:id="190" w:name="_Toc29547"/>
      <w:bookmarkStart w:id="191" w:name="_Toc513633969"/>
      <w:bookmarkStart w:id="192" w:name="_Toc503951048"/>
      <w:bookmarkStart w:id="193" w:name="_Toc447827053"/>
      <w:r>
        <w:rPr>
          <w:rFonts w:hint="eastAsia" w:ascii="宋体" w:hAnsi="宋体" w:eastAsia="宋体" w:cs="宋体"/>
          <w:color w:val="auto"/>
          <w:sz w:val="28"/>
          <w:highlight w:val="none"/>
        </w:rPr>
        <w:t>竞争比选响应声明书</w:t>
      </w:r>
      <w:bookmarkEnd w:id="187"/>
      <w:bookmarkEnd w:id="188"/>
      <w:bookmarkEnd w:id="189"/>
      <w:bookmarkEnd w:id="190"/>
    </w:p>
    <w:p w14:paraId="284AFF9B">
      <w:pPr>
        <w:rPr>
          <w:color w:val="auto"/>
          <w:highlight w:val="none"/>
        </w:rPr>
      </w:pPr>
    </w:p>
    <w:p w14:paraId="12AB803E">
      <w:pPr>
        <w:tabs>
          <w:tab w:val="left" w:pos="900"/>
        </w:tabs>
        <w:spacing w:line="360" w:lineRule="auto"/>
        <w:rPr>
          <w:rFonts w:ascii="Arial" w:hAnsi="Arial" w:cs="Arial"/>
          <w:b/>
          <w:bCs/>
          <w:color w:val="auto"/>
          <w:sz w:val="24"/>
          <w:highlight w:val="none"/>
          <w:u w:val="single"/>
        </w:rPr>
      </w:pPr>
      <w:r>
        <w:rPr>
          <w:rFonts w:hint="eastAsia" w:ascii="Arial" w:hAnsi="Arial" w:cs="Arial"/>
          <w:b/>
          <w:color w:val="auto"/>
          <w:sz w:val="24"/>
          <w:highlight w:val="none"/>
        </w:rPr>
        <w:t>致：</w:t>
      </w:r>
      <w:r>
        <w:rPr>
          <w:rFonts w:hint="eastAsia" w:ascii="Arial" w:hAnsi="Arial" w:cs="Arial"/>
          <w:b/>
          <w:bCs/>
          <w:color w:val="auto"/>
          <w:sz w:val="24"/>
          <w:highlight w:val="none"/>
          <w:u w:val="single"/>
        </w:rPr>
        <w:t>重庆首讯科技股份有限公司</w:t>
      </w:r>
    </w:p>
    <w:p w14:paraId="43B9F371">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6DCCD54E">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服务内容。服务地点达到竞争性比选文件要求，服务期限达到竞争性比选文件要求，服务要求达到竞争性比选文件要求</w:t>
      </w:r>
      <w:r>
        <w:rPr>
          <w:rFonts w:hint="eastAsia" w:asciiTheme="minorEastAsia" w:hAnsiTheme="minorEastAsia" w:eastAsiaTheme="minorEastAsia" w:cstheme="minorEastAsia"/>
          <w:color w:val="auto"/>
          <w:sz w:val="24"/>
          <w:highlight w:val="none"/>
          <w:u w:val="single"/>
        </w:rPr>
        <w:t>。</w:t>
      </w:r>
    </w:p>
    <w:p w14:paraId="01937CF0">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4F378E6D">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093CBE9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6824B655">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07AA18B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02E2B016">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5A1D06F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4422340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6D44BE84">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3E46A56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2AA62125">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80" w:firstLineChars="200"/>
        <w:textAlignment w:val="auto"/>
        <w:rPr>
          <w:color w:val="auto"/>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bookmarkStart w:id="194" w:name="_Toc27815"/>
      <w:bookmarkStart w:id="195" w:name="_Toc491883232"/>
    </w:p>
    <w:p w14:paraId="37833702">
      <w:pPr>
        <w:pStyle w:val="41"/>
        <w:rPr>
          <w:color w:val="auto"/>
          <w:highlight w:val="none"/>
        </w:rPr>
      </w:pPr>
    </w:p>
    <w:p w14:paraId="4D0A050F">
      <w:pPr>
        <w:pStyle w:val="41"/>
        <w:rPr>
          <w:color w:val="auto"/>
          <w:highlight w:val="none"/>
        </w:rPr>
      </w:pPr>
    </w:p>
    <w:p w14:paraId="2389618B">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3BAA5F8A">
      <w:pPr>
        <w:pStyle w:val="3"/>
        <w:numPr>
          <w:ilvl w:val="0"/>
          <w:numId w:val="6"/>
        </w:numPr>
        <w:spacing w:before="0" w:after="0" w:line="360" w:lineRule="auto"/>
        <w:jc w:val="center"/>
        <w:rPr>
          <w:rFonts w:hint="eastAsia" w:ascii="宋体" w:hAnsi="宋体" w:eastAsia="宋体" w:cs="宋体"/>
          <w:color w:val="auto"/>
          <w:sz w:val="28"/>
          <w:highlight w:val="none"/>
        </w:rPr>
      </w:pPr>
      <w:bookmarkStart w:id="196" w:name="_Toc15139"/>
      <w:r>
        <w:rPr>
          <w:rFonts w:hint="eastAsia" w:ascii="宋体" w:hAnsi="宋体" w:eastAsia="宋体" w:cs="宋体"/>
          <w:color w:val="auto"/>
          <w:sz w:val="28"/>
          <w:highlight w:val="none"/>
        </w:rPr>
        <w:t>法定代表人身份证明或法定代表人授权委托书</w:t>
      </w:r>
      <w:bookmarkEnd w:id="194"/>
      <w:bookmarkEnd w:id="196"/>
    </w:p>
    <w:bookmarkEnd w:id="195"/>
    <w:p w14:paraId="67306D7F">
      <w:pPr>
        <w:pStyle w:val="3"/>
        <w:spacing w:line="480" w:lineRule="auto"/>
        <w:jc w:val="center"/>
        <w:outlineLvl w:val="2"/>
        <w:rPr>
          <w:rFonts w:ascii="宋体" w:hAnsi="宋体" w:eastAsia="宋体" w:cs="宋体"/>
          <w:color w:val="auto"/>
          <w:sz w:val="24"/>
          <w:szCs w:val="24"/>
          <w:highlight w:val="none"/>
        </w:rPr>
      </w:pPr>
      <w:bookmarkStart w:id="197" w:name="_Toc14141"/>
      <w:bookmarkStart w:id="198" w:name="_Toc20985"/>
      <w:r>
        <w:rPr>
          <w:rFonts w:hint="eastAsia" w:ascii="宋体" w:hAnsi="宋体" w:eastAsia="宋体" w:cs="宋体"/>
          <w:color w:val="auto"/>
          <w:sz w:val="24"/>
          <w:szCs w:val="24"/>
          <w:highlight w:val="none"/>
        </w:rPr>
        <w:t>（一）法定代表人身份证明</w:t>
      </w:r>
      <w:bookmarkEnd w:id="197"/>
      <w:bookmarkEnd w:id="198"/>
    </w:p>
    <w:p w14:paraId="7D3AA60C">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6CC89824">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199" w:name="_Toc27897"/>
      <w:bookmarkStart w:id="200" w:name="_Toc369531698"/>
      <w:bookmarkStart w:id="201" w:name="_Toc352691662"/>
      <w:r>
        <w:rPr>
          <w:rFonts w:ascii="宋体" w:hAnsi="宋体"/>
          <w:color w:val="auto"/>
          <w:highlight w:val="none"/>
          <w:u w:val="single"/>
        </w:rPr>
        <w:t xml:space="preserve">        </w:t>
      </w:r>
      <w:r>
        <w:rPr>
          <w:rFonts w:ascii="宋体" w:hAnsi="宋体"/>
          <w:color w:val="auto"/>
          <w:highlight w:val="none"/>
        </w:rPr>
        <w:t>年</w:t>
      </w:r>
      <w:bookmarkEnd w:id="199"/>
      <w:bookmarkEnd w:id="200"/>
      <w:bookmarkEnd w:id="201"/>
      <w:r>
        <w:rPr>
          <w:rFonts w:ascii="宋体" w:hAnsi="宋体"/>
          <w:color w:val="auto"/>
          <w:highlight w:val="none"/>
        </w:rPr>
        <w:t>龄</w:t>
      </w:r>
      <w:bookmarkStart w:id="202" w:name="_Toc361508754"/>
      <w:bookmarkStart w:id="203" w:name="_Toc300835211"/>
      <w:bookmarkStart w:id="204" w:name="_Toc384308377"/>
      <w:bookmarkStart w:id="205" w:name="_Toc352691663"/>
      <w:bookmarkStart w:id="206" w:name="_Toc247527829"/>
      <w:bookmarkStart w:id="207" w:name="_Toc247514248"/>
      <w:bookmarkStart w:id="208" w:name="_Toc15573"/>
      <w:bookmarkStart w:id="209" w:name="_Toc152045789"/>
      <w:bookmarkStart w:id="210" w:name="_Toc369531699"/>
      <w:bookmarkStart w:id="211" w:name="_Toc152042578"/>
      <w:bookmarkStart w:id="212" w:name="_Toc144974858"/>
      <w:r>
        <w:rPr>
          <w:rFonts w:ascii="宋体" w:hAnsi="宋体"/>
          <w:color w:val="auto"/>
          <w:highlight w:val="none"/>
        </w:rPr>
        <w:t>：</w:t>
      </w:r>
      <w:bookmarkEnd w:id="202"/>
      <w:bookmarkEnd w:id="203"/>
      <w:bookmarkEnd w:id="204"/>
      <w:bookmarkEnd w:id="205"/>
      <w:bookmarkEnd w:id="206"/>
      <w:bookmarkEnd w:id="207"/>
      <w:bookmarkEnd w:id="208"/>
      <w:bookmarkEnd w:id="209"/>
      <w:bookmarkEnd w:id="210"/>
      <w:bookmarkEnd w:id="211"/>
      <w:bookmarkEnd w:id="212"/>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7DCAA03B">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545D0C16">
      <w:pPr>
        <w:spacing w:line="480" w:lineRule="auto"/>
        <w:ind w:firstLine="420" w:firstLineChars="200"/>
        <w:rPr>
          <w:rFonts w:ascii="宋体" w:hAnsi="宋体"/>
          <w:color w:val="auto"/>
          <w:highlight w:val="none"/>
        </w:rPr>
      </w:pPr>
      <w:r>
        <w:rPr>
          <w:rFonts w:ascii="宋体" w:hAnsi="宋体"/>
          <w:color w:val="auto"/>
          <w:highlight w:val="none"/>
        </w:rPr>
        <w:t>特此证明。</w:t>
      </w:r>
    </w:p>
    <w:p w14:paraId="78D166D8">
      <w:pPr>
        <w:spacing w:line="480" w:lineRule="auto"/>
        <w:rPr>
          <w:rFonts w:ascii="宋体" w:hAnsi="宋体"/>
          <w:color w:val="auto"/>
          <w:highlight w:val="none"/>
        </w:rPr>
      </w:pPr>
    </w:p>
    <w:p w14:paraId="09CE2E0B">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-126365</wp:posOffset>
                </wp:positionH>
                <wp:positionV relativeFrom="paragraph">
                  <wp:posOffset>-216535</wp:posOffset>
                </wp:positionV>
                <wp:extent cx="6045835" cy="1850390"/>
                <wp:effectExtent l="4445" t="4445" r="7620" b="1206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DD2BA9C">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74B5C74">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3360;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5DD2BA9C">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74B5C74">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0286154E">
      <w:pPr>
        <w:spacing w:line="480" w:lineRule="auto"/>
        <w:rPr>
          <w:rFonts w:ascii="宋体" w:hAnsi="宋体"/>
          <w:color w:val="auto"/>
          <w:highlight w:val="none"/>
        </w:rPr>
      </w:pPr>
    </w:p>
    <w:p w14:paraId="0080214C">
      <w:pPr>
        <w:spacing w:line="440" w:lineRule="exact"/>
        <w:rPr>
          <w:rFonts w:ascii="宋体" w:hAnsi="宋体"/>
          <w:color w:val="auto"/>
          <w:highlight w:val="none"/>
        </w:rPr>
      </w:pPr>
    </w:p>
    <w:p w14:paraId="01C856FC">
      <w:pPr>
        <w:spacing w:line="440" w:lineRule="exact"/>
        <w:rPr>
          <w:rFonts w:ascii="宋体" w:hAnsi="宋体"/>
          <w:color w:val="auto"/>
          <w:highlight w:val="none"/>
        </w:rPr>
      </w:pPr>
    </w:p>
    <w:p w14:paraId="08327094">
      <w:pPr>
        <w:spacing w:line="440" w:lineRule="exact"/>
        <w:rPr>
          <w:rFonts w:ascii="宋体" w:hAnsi="宋体"/>
          <w:color w:val="auto"/>
          <w:highlight w:val="none"/>
        </w:rPr>
      </w:pPr>
    </w:p>
    <w:p w14:paraId="09AB15CB">
      <w:pPr>
        <w:spacing w:line="440" w:lineRule="exact"/>
        <w:rPr>
          <w:rFonts w:ascii="宋体" w:hAnsi="宋体"/>
          <w:color w:val="auto"/>
          <w:highlight w:val="none"/>
        </w:rPr>
      </w:pPr>
    </w:p>
    <w:p w14:paraId="169544D2">
      <w:pPr>
        <w:spacing w:line="440" w:lineRule="exact"/>
        <w:rPr>
          <w:rFonts w:ascii="宋体" w:hAnsi="宋体"/>
          <w:color w:val="auto"/>
          <w:highlight w:val="none"/>
        </w:rPr>
      </w:pPr>
    </w:p>
    <w:p w14:paraId="1CE5D6D4">
      <w:pPr>
        <w:spacing w:line="440" w:lineRule="exact"/>
        <w:rPr>
          <w:rFonts w:ascii="宋体" w:hAnsi="宋体"/>
          <w:color w:val="auto"/>
          <w:highlight w:val="none"/>
        </w:rPr>
      </w:pPr>
    </w:p>
    <w:p w14:paraId="4019656B">
      <w:pPr>
        <w:spacing w:line="440" w:lineRule="exact"/>
        <w:rPr>
          <w:rFonts w:ascii="宋体" w:hAnsi="宋体"/>
          <w:color w:val="auto"/>
          <w:highlight w:val="none"/>
        </w:rPr>
      </w:pPr>
    </w:p>
    <w:p w14:paraId="58A92E9C">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13C4A556">
      <w:pPr>
        <w:spacing w:line="440" w:lineRule="exact"/>
        <w:rPr>
          <w:rFonts w:ascii="宋体" w:hAnsi="宋体"/>
          <w:color w:val="auto"/>
          <w:highlight w:val="none"/>
        </w:rPr>
      </w:pPr>
    </w:p>
    <w:p w14:paraId="743248DA">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615E040B">
      <w:pPr>
        <w:rPr>
          <w:rFonts w:ascii="宋体" w:hAnsi="宋体"/>
          <w:color w:val="auto"/>
          <w:highlight w:val="none"/>
        </w:rPr>
      </w:pPr>
    </w:p>
    <w:p w14:paraId="46006CA0">
      <w:pPr>
        <w:rPr>
          <w:rFonts w:ascii="宋体" w:hAnsi="宋体"/>
          <w:color w:val="auto"/>
          <w:highlight w:val="none"/>
        </w:rPr>
      </w:pPr>
    </w:p>
    <w:p w14:paraId="24AA7A7F">
      <w:pPr>
        <w:spacing w:line="440" w:lineRule="exact"/>
        <w:rPr>
          <w:rFonts w:ascii="宋体" w:hAnsi="宋体"/>
          <w:color w:val="auto"/>
          <w:highlight w:val="none"/>
        </w:rPr>
      </w:pPr>
      <w:r>
        <w:rPr>
          <w:rFonts w:ascii="宋体" w:hAnsi="宋体"/>
          <w:color w:val="auto"/>
          <w:highlight w:val="none"/>
        </w:rPr>
        <w:t>注：本身份证明需由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77B7E732">
      <w:pPr>
        <w:spacing w:line="440" w:lineRule="exact"/>
        <w:rPr>
          <w:rFonts w:ascii="宋体" w:hAnsi="宋体"/>
          <w:color w:val="auto"/>
          <w:sz w:val="20"/>
          <w:highlight w:val="none"/>
        </w:rPr>
      </w:pPr>
    </w:p>
    <w:p w14:paraId="45AC7C84">
      <w:pPr>
        <w:spacing w:line="20" w:lineRule="exact"/>
        <w:jc w:val="center"/>
        <w:rPr>
          <w:rFonts w:ascii="宋体" w:hAnsi="宋体"/>
          <w:color w:val="auto"/>
          <w:sz w:val="20"/>
          <w:highlight w:val="none"/>
        </w:rPr>
      </w:pPr>
      <w:r>
        <w:rPr>
          <w:rFonts w:ascii="宋体" w:hAnsi="宋体"/>
          <w:color w:val="auto"/>
          <w:sz w:val="20"/>
          <w:highlight w:val="none"/>
        </w:rPr>
        <w:br w:type="page"/>
      </w:r>
    </w:p>
    <w:p w14:paraId="2DEC7E0B">
      <w:pPr>
        <w:pStyle w:val="3"/>
        <w:spacing w:line="480" w:lineRule="auto"/>
        <w:jc w:val="center"/>
        <w:outlineLvl w:val="2"/>
        <w:rPr>
          <w:rFonts w:ascii="宋体" w:hAnsi="宋体"/>
          <w:color w:val="auto"/>
          <w:sz w:val="28"/>
          <w:szCs w:val="28"/>
          <w:highlight w:val="none"/>
        </w:rPr>
      </w:pPr>
      <w:bookmarkStart w:id="213" w:name="_Toc491883233"/>
      <w:bookmarkStart w:id="214" w:name="_Toc3882"/>
      <w:bookmarkStart w:id="215" w:name="_Toc58"/>
      <w:r>
        <w:rPr>
          <w:rFonts w:hint="eastAsia" w:ascii="宋体" w:hAnsi="宋体" w:eastAsia="宋体" w:cs="宋体"/>
          <w:color w:val="auto"/>
          <w:sz w:val="24"/>
          <w:szCs w:val="24"/>
          <w:highlight w:val="none"/>
        </w:rPr>
        <w:t>（二）</w:t>
      </w:r>
      <w:bookmarkEnd w:id="213"/>
      <w:r>
        <w:rPr>
          <w:rFonts w:hint="eastAsia" w:ascii="宋体" w:hAnsi="宋体" w:eastAsia="宋体" w:cs="宋体"/>
          <w:color w:val="auto"/>
          <w:sz w:val="24"/>
          <w:szCs w:val="24"/>
          <w:highlight w:val="none"/>
        </w:rPr>
        <w:t>法定代表人授权委托书</w:t>
      </w:r>
      <w:bookmarkEnd w:id="214"/>
      <w:bookmarkEnd w:id="215"/>
    </w:p>
    <w:p w14:paraId="7231745A">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40FA041B">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6BA14F35">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6D7F82EC">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03D01EC1">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-134620</wp:posOffset>
                </wp:positionH>
                <wp:positionV relativeFrom="paragraph">
                  <wp:posOffset>0</wp:posOffset>
                </wp:positionV>
                <wp:extent cx="6045835" cy="1850390"/>
                <wp:effectExtent l="4445" t="4445" r="7620" b="12065"/>
                <wp:wrapNone/>
                <wp:docPr id="5"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99E147E">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6AD53CD1">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45.7pt;width:476.05pt;z-index:251661312;mso-width-relative:page;mso-height-relative:page;" fillcolor="#FFFFFF" filled="t" stroked="t" coordsize="21600,21600" o:gfxdata="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gnTwm2AAAAAgBAAAPAAAAAAAAAAEA&#10;IAAAACIAAABkcnMvZG93bnJldi54bWxQSwECFAAUAAAACACHTuJA5TvF/Q8CAAA4BAAADgAAAAAA&#10;AAABACAAAAAnAQAAZHJzL2Uyb0RvYy54bWxQSwUGAAAAAAYABgBZAQAAqAUAAAAA&#10;">
                <v:fill on="t" focussize="0,0"/>
                <v:stroke color="#000000" joinstyle="miter"/>
                <v:imagedata o:title=""/>
                <o:lock v:ext="edit" aspectratio="f"/>
                <v:textbox>
                  <w:txbxContent>
                    <w:p w14:paraId="799E147E">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6AD53CD1">
                      <w:pPr>
                        <w:snapToGrid w:val="0"/>
                        <w:spacing w:line="360" w:lineRule="auto"/>
                        <w:rPr>
                          <w:highlight w:val="none"/>
                        </w:rPr>
                      </w:pPr>
                    </w:p>
                  </w:txbxContent>
                </v:textbox>
              </v:shape>
            </w:pict>
          </mc:Fallback>
        </mc:AlternateContent>
      </w:r>
    </w:p>
    <w:p w14:paraId="74E60D05">
      <w:pPr>
        <w:spacing w:line="440" w:lineRule="exact"/>
        <w:rPr>
          <w:rFonts w:ascii="宋体" w:hAnsi="宋体"/>
          <w:color w:val="auto"/>
          <w:highlight w:val="none"/>
        </w:rPr>
      </w:pPr>
    </w:p>
    <w:p w14:paraId="2E001FF2">
      <w:pPr>
        <w:spacing w:line="440" w:lineRule="exact"/>
        <w:rPr>
          <w:rFonts w:ascii="宋体" w:hAnsi="宋体"/>
          <w:color w:val="auto"/>
          <w:highlight w:val="none"/>
        </w:rPr>
      </w:pPr>
      <w:r>
        <w:rPr>
          <w:rFonts w:ascii="宋体" w:hAnsi="宋体"/>
          <w:color w:val="auto"/>
          <w:highlight w:val="none"/>
        </w:rPr>
        <w:t>委托代理人身份证复印件</w:t>
      </w:r>
    </w:p>
    <w:p w14:paraId="6D23BF14">
      <w:pPr>
        <w:spacing w:line="440" w:lineRule="exact"/>
        <w:rPr>
          <w:rFonts w:ascii="宋体" w:hAnsi="宋体"/>
          <w:color w:val="auto"/>
          <w:highlight w:val="none"/>
        </w:rPr>
      </w:pPr>
    </w:p>
    <w:p w14:paraId="505B76A8">
      <w:pPr>
        <w:spacing w:line="440" w:lineRule="exact"/>
        <w:rPr>
          <w:rFonts w:ascii="宋体" w:hAnsi="宋体"/>
          <w:color w:val="auto"/>
          <w:highlight w:val="none"/>
        </w:rPr>
      </w:pPr>
    </w:p>
    <w:p w14:paraId="6662606C">
      <w:pPr>
        <w:spacing w:line="440" w:lineRule="exact"/>
        <w:rPr>
          <w:rFonts w:ascii="宋体" w:hAnsi="宋体"/>
          <w:color w:val="auto"/>
          <w:highlight w:val="none"/>
        </w:rPr>
      </w:pPr>
    </w:p>
    <w:p w14:paraId="74243E26">
      <w:pPr>
        <w:spacing w:line="440" w:lineRule="exact"/>
        <w:rPr>
          <w:rFonts w:ascii="宋体" w:hAnsi="宋体"/>
          <w:color w:val="auto"/>
          <w:highlight w:val="none"/>
        </w:rPr>
      </w:pPr>
    </w:p>
    <w:p w14:paraId="4D21059C">
      <w:pPr>
        <w:spacing w:line="440" w:lineRule="exact"/>
        <w:ind w:firstLine="2692" w:firstLineChars="1282"/>
        <w:rPr>
          <w:rFonts w:hint="eastAsia"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-146050</wp:posOffset>
                </wp:positionH>
                <wp:positionV relativeFrom="paragraph">
                  <wp:posOffset>21590</wp:posOffset>
                </wp:positionV>
                <wp:extent cx="6066790" cy="1953260"/>
                <wp:effectExtent l="5080" t="4445" r="11430" b="10795"/>
                <wp:wrapNone/>
                <wp:docPr id="9" name="文本框 33"/>
                <wp:cNvGraphicFramePr/>
                <a:graphic xmlns:a="http://schemas.openxmlformats.org/drawingml/2006/main">
                  <a:graphicData uri="http://schemas.microsoft.com/office/word/2010/wordprocessingShape">
                    <wps:wsp>
                      <wps:cNvSpPr txBox="1"/>
                      <wps:spPr>
                        <a:xfrm>
                          <a:off x="0" y="0"/>
                          <a:ext cx="6066790" cy="19532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D63F1A2">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37B7912">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1.5pt;margin-top:1.7pt;height:153.8pt;width:477.7pt;z-index:251662336;mso-width-relative:page;mso-height-relative:page;" fillcolor="#FFFFFF" filled="t" stroked="t" coordsize="21600,21600" o:gfxdata="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CEPO3YAAAACQEAAA8AAAAAAAAAAQAg&#10;AAAAIgAAAGRycy9kb3ducmV2LnhtbFBLAQIUABQAAAAIAIdO4kBm4Zl7DgIAADgEAAAOAAAAAAAA&#10;AAEAIAAAACcBAABkcnMvZTJvRG9jLnhtbFBLBQYAAAAABgAGAFkBAACnBQAAAAA=&#10;">
                <v:fill on="t" focussize="0,0"/>
                <v:stroke color="#000000" joinstyle="miter"/>
                <v:imagedata o:title=""/>
                <o:lock v:ext="edit" aspectratio="f"/>
                <v:textbox>
                  <w:txbxContent>
                    <w:p w14:paraId="5D63F1A2">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37B7912">
                      <w:pPr>
                        <w:spacing w:line="360" w:lineRule="auto"/>
                        <w:jc w:val="center"/>
                        <w:rPr>
                          <w:highlight w:val="none"/>
                        </w:rPr>
                      </w:pPr>
                    </w:p>
                  </w:txbxContent>
                </v:textbox>
              </v:shape>
            </w:pict>
          </mc:Fallback>
        </mc:AlternateContent>
      </w:r>
    </w:p>
    <w:p w14:paraId="0EAB5692">
      <w:pPr>
        <w:spacing w:line="440" w:lineRule="exact"/>
        <w:ind w:firstLine="2692" w:firstLineChars="1282"/>
        <w:rPr>
          <w:rFonts w:hint="eastAsia" w:ascii="宋体" w:hAnsi="宋体"/>
          <w:color w:val="auto"/>
          <w:highlight w:val="none"/>
        </w:rPr>
      </w:pPr>
    </w:p>
    <w:p w14:paraId="4F2D8E3C">
      <w:pPr>
        <w:spacing w:line="440" w:lineRule="exact"/>
        <w:ind w:firstLine="2692" w:firstLineChars="1282"/>
        <w:rPr>
          <w:rFonts w:hint="eastAsia" w:ascii="宋体" w:hAnsi="宋体"/>
          <w:color w:val="auto"/>
          <w:highlight w:val="none"/>
        </w:rPr>
      </w:pPr>
    </w:p>
    <w:p w14:paraId="78AFF2C3">
      <w:pPr>
        <w:spacing w:line="440" w:lineRule="exact"/>
        <w:ind w:firstLine="2692" w:firstLineChars="1282"/>
        <w:rPr>
          <w:rFonts w:hint="eastAsia" w:ascii="宋体" w:hAnsi="宋体"/>
          <w:color w:val="auto"/>
          <w:highlight w:val="none"/>
        </w:rPr>
      </w:pPr>
    </w:p>
    <w:p w14:paraId="2F696D11">
      <w:pPr>
        <w:spacing w:line="440" w:lineRule="exact"/>
        <w:ind w:firstLine="2692" w:firstLineChars="1282"/>
        <w:rPr>
          <w:rFonts w:hint="eastAsia" w:ascii="宋体" w:hAnsi="宋体"/>
          <w:color w:val="auto"/>
          <w:highlight w:val="none"/>
        </w:rPr>
      </w:pPr>
    </w:p>
    <w:p w14:paraId="7F1151A8">
      <w:pPr>
        <w:spacing w:line="440" w:lineRule="exact"/>
        <w:ind w:firstLine="2692" w:firstLineChars="1282"/>
        <w:rPr>
          <w:rFonts w:hint="eastAsia" w:ascii="宋体" w:hAnsi="宋体"/>
          <w:color w:val="auto"/>
          <w:highlight w:val="none"/>
        </w:rPr>
      </w:pPr>
    </w:p>
    <w:p w14:paraId="4734AAE9">
      <w:pPr>
        <w:spacing w:line="440" w:lineRule="exact"/>
        <w:ind w:firstLine="2692" w:firstLineChars="1282"/>
        <w:rPr>
          <w:rFonts w:hint="eastAsia" w:ascii="宋体" w:hAnsi="宋体"/>
          <w:color w:val="auto"/>
          <w:highlight w:val="none"/>
        </w:rPr>
      </w:pPr>
    </w:p>
    <w:p w14:paraId="55FC50F3">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3EE7992C">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lang w:val="en-US" w:eastAsia="zh-CN"/>
        </w:rPr>
        <w:t>或盖章</w:t>
      </w:r>
      <w:r>
        <w:rPr>
          <w:rFonts w:ascii="宋体" w:hAnsi="宋体"/>
          <w:color w:val="auto"/>
          <w:highlight w:val="none"/>
        </w:rPr>
        <w:t>）</w:t>
      </w:r>
    </w:p>
    <w:p w14:paraId="42028B5C">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7B2FEA75">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hint="eastAsia" w:ascii="宋体" w:hAnsi="宋体"/>
          <w:color w:val="auto"/>
          <w:highlight w:val="none"/>
          <w:lang w:val="en-US" w:eastAsia="zh-CN"/>
        </w:rPr>
        <w:t>或盖章</w:t>
      </w:r>
      <w:r>
        <w:rPr>
          <w:rFonts w:ascii="宋体" w:hAnsi="宋体"/>
          <w:color w:val="auto"/>
          <w:highlight w:val="none"/>
        </w:rPr>
        <w:t>）</w:t>
      </w:r>
    </w:p>
    <w:p w14:paraId="3AD9CD1C">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0673EA8F">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6B6315B5">
      <w:pPr>
        <w:rPr>
          <w:rFonts w:ascii="宋体" w:hAnsi="宋体"/>
          <w:color w:val="auto"/>
          <w:highlight w:val="none"/>
        </w:rPr>
      </w:pPr>
    </w:p>
    <w:p w14:paraId="0E6EC09D">
      <w:pPr>
        <w:spacing w:line="440" w:lineRule="exact"/>
        <w:rPr>
          <w:rFonts w:ascii="宋体" w:hAnsi="宋体"/>
          <w:color w:val="auto"/>
          <w:highlight w:val="none"/>
        </w:rPr>
      </w:pPr>
      <w:r>
        <w:rPr>
          <w:rFonts w:ascii="宋体" w:hAnsi="宋体"/>
          <w:color w:val="auto"/>
          <w:highlight w:val="none"/>
        </w:rPr>
        <w:t>注：本授权委托书需由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71477EA0">
      <w:pPr>
        <w:pStyle w:val="28"/>
        <w:pageBreakBefore w:val="0"/>
        <w:widowControl w:val="0"/>
        <w:kinsoku/>
        <w:wordWrap/>
        <w:overflowPunct/>
        <w:autoSpaceDE/>
        <w:autoSpaceDN/>
        <w:bidi w:val="0"/>
        <w:adjustRightInd/>
        <w:snapToGrid/>
        <w:textAlignment w:val="auto"/>
        <w:outlineLvl w:val="9"/>
        <w:rPr>
          <w:color w:val="auto"/>
          <w:highlight w:val="none"/>
        </w:rPr>
        <w:sectPr>
          <w:footerReference r:id="rId11" w:type="first"/>
          <w:footerReference r:id="rId10" w:type="default"/>
          <w:pgSz w:w="11906" w:h="16838"/>
          <w:pgMar w:top="1440" w:right="1803" w:bottom="1440" w:left="1803" w:header="851" w:footer="992" w:gutter="0"/>
          <w:cols w:space="720" w:num="1"/>
          <w:titlePg/>
          <w:docGrid w:type="lines" w:linePitch="319" w:charSpace="0"/>
        </w:sectPr>
      </w:pPr>
    </w:p>
    <w:p w14:paraId="1CEB24DB">
      <w:pPr>
        <w:rPr>
          <w:rFonts w:ascii="宋体" w:hAnsi="宋体" w:cs="宋体"/>
          <w:snapToGrid w:val="0"/>
          <w:color w:val="auto"/>
          <w:kern w:val="0"/>
          <w:szCs w:val="21"/>
          <w:highlight w:val="none"/>
        </w:rPr>
      </w:pPr>
    </w:p>
    <w:p w14:paraId="6778F719">
      <w:pPr>
        <w:pStyle w:val="3"/>
        <w:spacing w:before="0" w:after="0" w:line="360" w:lineRule="auto"/>
        <w:jc w:val="center"/>
        <w:rPr>
          <w:rFonts w:ascii="宋体" w:hAnsi="宋体" w:eastAsia="宋体" w:cs="宋体"/>
          <w:color w:val="auto"/>
          <w:sz w:val="28"/>
          <w:highlight w:val="none"/>
        </w:rPr>
      </w:pPr>
      <w:bookmarkStart w:id="216" w:name="_Toc11329275"/>
      <w:bookmarkStart w:id="217" w:name="_Toc31983"/>
      <w:r>
        <w:rPr>
          <w:rFonts w:hint="eastAsia" w:ascii="宋体" w:hAnsi="宋体" w:eastAsia="宋体" w:cs="宋体"/>
          <w:color w:val="auto"/>
          <w:sz w:val="28"/>
          <w:highlight w:val="none"/>
        </w:rPr>
        <w:t>三、</w:t>
      </w:r>
      <w:bookmarkEnd w:id="191"/>
      <w:bookmarkEnd w:id="192"/>
      <w:bookmarkEnd w:id="193"/>
      <w:bookmarkEnd w:id="216"/>
      <w:r>
        <w:rPr>
          <w:rFonts w:hint="eastAsia" w:ascii="宋体" w:hAnsi="宋体" w:eastAsia="宋体" w:cs="宋体"/>
          <w:color w:val="auto"/>
          <w:sz w:val="28"/>
          <w:highlight w:val="none"/>
        </w:rPr>
        <w:t>报价一览表</w:t>
      </w:r>
      <w:bookmarkEnd w:id="217"/>
    </w:p>
    <w:p w14:paraId="71B3AFC7">
      <w:pPr>
        <w:ind w:left="765"/>
        <w:jc w:val="center"/>
        <w:rPr>
          <w:rFonts w:ascii="宋体" w:hAnsi="宋体" w:cs="宋体"/>
          <w:color w:val="auto"/>
          <w:szCs w:val="21"/>
          <w:highlight w:val="none"/>
        </w:rPr>
      </w:pPr>
    </w:p>
    <w:p w14:paraId="34226766">
      <w:pPr>
        <w:pStyle w:val="38"/>
        <w:spacing w:line="480" w:lineRule="auto"/>
        <w:jc w:val="both"/>
        <w:rPr>
          <w:rFonts w:hAnsi="宋体"/>
          <w:color w:val="auto"/>
          <w:highlight w:val="none"/>
        </w:rPr>
      </w:pPr>
      <w:r>
        <w:rPr>
          <w:rFonts w:hint="eastAsia" w:hAnsi="宋体"/>
          <w:color w:val="auto"/>
          <w:highlight w:val="none"/>
        </w:rPr>
        <w:t>重庆首讯科技股份有限公司：</w:t>
      </w:r>
    </w:p>
    <w:p w14:paraId="23C20CC6">
      <w:pPr>
        <w:spacing w:line="480" w:lineRule="auto"/>
        <w:ind w:firstLine="420" w:firstLineChars="200"/>
        <w:jc w:val="left"/>
        <w:rPr>
          <w:rFonts w:hint="eastAsia" w:ascii="宋体" w:hAnsi="宋体"/>
          <w:b/>
          <w:color w:val="auto"/>
          <w:szCs w:val="21"/>
          <w:highlight w:val="none"/>
        </w:rPr>
      </w:pPr>
      <w:bookmarkStart w:id="218" w:name="_Toc513633971"/>
      <w:bookmarkStart w:id="219" w:name="_Toc11329278"/>
      <w:bookmarkStart w:id="220" w:name="_Toc503951050"/>
      <w:bookmarkStart w:id="221" w:name="_Toc246997112"/>
      <w:bookmarkStart w:id="222" w:name="_Toc144974871"/>
      <w:bookmarkStart w:id="223" w:name="_Toc246996369"/>
      <w:bookmarkStart w:id="224" w:name="_Toc247085887"/>
      <w:bookmarkStart w:id="225" w:name="_Toc152042592"/>
      <w:bookmarkStart w:id="226" w:name="_Toc152045803"/>
      <w:bookmarkStart w:id="227" w:name="_Toc179632823"/>
      <w:bookmarkStart w:id="228" w:name="_Toc447827058"/>
      <w:r>
        <w:rPr>
          <w:rFonts w:hint="eastAsia" w:ascii="宋体" w:hAnsi="宋体"/>
          <w:color w:val="auto"/>
          <w:szCs w:val="21"/>
          <w:highlight w:val="none"/>
        </w:rPr>
        <w:t>在研究了竞争比选文件中所有文件后，我司对</w:t>
      </w:r>
      <w:r>
        <w:rPr>
          <w:rFonts w:hint="eastAsia" w:ascii="Arial" w:hAnsi="Arial" w:cs="Arial"/>
          <w:color w:val="auto"/>
          <w:szCs w:val="21"/>
          <w:highlight w:val="none"/>
          <w:u w:val="none"/>
          <w:lang w:val="en-US" w:eastAsia="zh-CN"/>
        </w:rPr>
        <w:t>本项目</w:t>
      </w:r>
      <w:r>
        <w:rPr>
          <w:rFonts w:hint="eastAsia" w:ascii="宋体" w:hAnsi="宋体"/>
          <w:color w:val="auto"/>
          <w:szCs w:val="21"/>
          <w:highlight w:val="none"/>
        </w:rPr>
        <w:t>竞</w:t>
      </w:r>
      <w:r>
        <w:rPr>
          <w:rFonts w:hint="eastAsia" w:ascii="Arial" w:hAnsi="Arial" w:cs="Arial"/>
          <w:color w:val="auto"/>
          <w:szCs w:val="21"/>
          <w:highlight w:val="none"/>
        </w:rPr>
        <w:t>争比选响应</w:t>
      </w:r>
      <w:r>
        <w:rPr>
          <w:rFonts w:hint="eastAsia" w:ascii="宋体" w:hAnsi="宋体"/>
          <w:color w:val="auto"/>
          <w:szCs w:val="21"/>
          <w:highlight w:val="none"/>
        </w:rPr>
        <w:t>报价如下：</w:t>
      </w:r>
      <w:r>
        <w:rPr>
          <w:rFonts w:hint="eastAsia" w:ascii="宋体" w:hAnsi="宋体"/>
          <w:b/>
          <w:color w:val="auto"/>
          <w:szCs w:val="21"/>
          <w:highlight w:val="none"/>
        </w:rPr>
        <w:t xml:space="preserve"> </w:t>
      </w:r>
    </w:p>
    <w:tbl>
      <w:tblPr>
        <w:tblW w:w="837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37"/>
        <w:gridCol w:w="818"/>
        <w:gridCol w:w="3613"/>
        <w:gridCol w:w="457"/>
        <w:gridCol w:w="437"/>
        <w:gridCol w:w="879"/>
        <w:gridCol w:w="879"/>
        <w:gridCol w:w="855"/>
      </w:tblGrid>
      <w:tr w14:paraId="51D56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57" w:hRule="atLeast"/>
        </w:trPr>
        <w:tc>
          <w:tcPr>
            <w:tcW w:w="427" w:type="dxa"/>
            <w:tcBorders>
              <w:top w:val="single" w:color="000000" w:sz="4" w:space="0"/>
              <w:left w:val="single" w:color="000000" w:sz="4" w:space="0"/>
              <w:bottom w:val="nil"/>
              <w:right w:val="single" w:color="000000" w:sz="4" w:space="0"/>
            </w:tcBorders>
            <w:shd w:val="clear"/>
            <w:vAlign w:val="center"/>
          </w:tcPr>
          <w:p w14:paraId="4DC29452">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序号</w:t>
            </w:r>
          </w:p>
        </w:tc>
        <w:tc>
          <w:tcPr>
            <w:tcW w:w="826" w:type="dxa"/>
            <w:tcBorders>
              <w:top w:val="single" w:color="000000" w:sz="4" w:space="0"/>
              <w:left w:val="single" w:color="000000" w:sz="4" w:space="0"/>
              <w:bottom w:val="nil"/>
              <w:right w:val="single" w:color="000000" w:sz="4" w:space="0"/>
            </w:tcBorders>
            <w:shd w:val="clear"/>
            <w:vAlign w:val="center"/>
          </w:tcPr>
          <w:p w14:paraId="1488C49A">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服务项目</w:t>
            </w:r>
          </w:p>
        </w:tc>
        <w:tc>
          <w:tcPr>
            <w:tcW w:w="3663" w:type="dxa"/>
            <w:tcBorders>
              <w:top w:val="single" w:color="000000" w:sz="4" w:space="0"/>
              <w:left w:val="single" w:color="000000" w:sz="4" w:space="0"/>
              <w:bottom w:val="nil"/>
              <w:right w:val="single" w:color="000000" w:sz="4" w:space="0"/>
            </w:tcBorders>
            <w:shd w:val="clear"/>
            <w:vAlign w:val="center"/>
          </w:tcPr>
          <w:p w14:paraId="546B6611">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服务内容</w:t>
            </w:r>
          </w:p>
        </w:tc>
        <w:tc>
          <w:tcPr>
            <w:tcW w:w="457" w:type="dxa"/>
            <w:tcBorders>
              <w:top w:val="single" w:color="000000" w:sz="4" w:space="0"/>
              <w:left w:val="single" w:color="000000" w:sz="4" w:space="0"/>
              <w:bottom w:val="nil"/>
              <w:right w:val="single" w:color="000000" w:sz="4" w:space="0"/>
            </w:tcBorders>
            <w:shd w:val="clear"/>
            <w:vAlign w:val="center"/>
          </w:tcPr>
          <w:p w14:paraId="6531A146">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单位</w:t>
            </w:r>
          </w:p>
        </w:tc>
        <w:tc>
          <w:tcPr>
            <w:tcW w:w="431" w:type="dxa"/>
            <w:tcBorders>
              <w:top w:val="single" w:color="000000" w:sz="4" w:space="0"/>
              <w:left w:val="single" w:color="000000" w:sz="4" w:space="0"/>
              <w:bottom w:val="nil"/>
              <w:right w:val="single" w:color="000000" w:sz="4" w:space="0"/>
            </w:tcBorders>
            <w:shd w:val="clear"/>
            <w:vAlign w:val="center"/>
          </w:tcPr>
          <w:p w14:paraId="1C944F41">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数量</w:t>
            </w: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798F3952">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含税单价（元）</w:t>
            </w: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155B363B">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含税合价（元）</w:t>
            </w:r>
          </w:p>
        </w:tc>
        <w:tc>
          <w:tcPr>
            <w:tcW w:w="855" w:type="dxa"/>
            <w:tcBorders>
              <w:top w:val="single" w:color="000000" w:sz="4" w:space="0"/>
              <w:left w:val="single" w:color="000000" w:sz="4" w:space="0"/>
              <w:bottom w:val="single" w:color="000000" w:sz="4" w:space="0"/>
              <w:right w:val="single" w:color="000000" w:sz="4" w:space="0"/>
            </w:tcBorders>
            <w:shd w:val="clear"/>
            <w:noWrap/>
            <w:vAlign w:val="center"/>
          </w:tcPr>
          <w:p w14:paraId="56D83B49">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备注</w:t>
            </w:r>
          </w:p>
        </w:tc>
      </w:tr>
      <w:tr w14:paraId="51C88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31" w:hRule="atLeast"/>
        </w:trPr>
        <w:tc>
          <w:tcPr>
            <w:tcW w:w="427" w:type="dxa"/>
            <w:tcBorders>
              <w:top w:val="single" w:color="000000" w:sz="4" w:space="0"/>
              <w:left w:val="single" w:color="000000" w:sz="4" w:space="0"/>
              <w:bottom w:val="single" w:color="000000" w:sz="4" w:space="0"/>
              <w:right w:val="single" w:color="000000" w:sz="4" w:space="0"/>
            </w:tcBorders>
            <w:shd w:val="clear"/>
            <w:vAlign w:val="center"/>
          </w:tcPr>
          <w:p w14:paraId="1AFB7EC1">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14:paraId="2216C22F">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安全巡检服务</w:t>
            </w:r>
          </w:p>
        </w:tc>
        <w:tc>
          <w:tcPr>
            <w:tcW w:w="3663" w:type="dxa"/>
            <w:tcBorders>
              <w:top w:val="single" w:color="000000" w:sz="4" w:space="0"/>
              <w:left w:val="single" w:color="000000" w:sz="4" w:space="0"/>
              <w:bottom w:val="single" w:color="000000" w:sz="4" w:space="0"/>
              <w:right w:val="single" w:color="000000" w:sz="4" w:space="0"/>
            </w:tcBorders>
            <w:shd w:val="clear"/>
            <w:vAlign w:val="center"/>
          </w:tcPr>
          <w:p w14:paraId="6EFA8679">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 攻防演练/重要时期保障前风险巡检，覆盖约600台服务器全量资产；2. 输出安全风险评估报告等；3. 服务周期内提供持续防守指导及答疑支持；4. 梳理互联网暴露面（IP地址、端口、服务等）并评估安全成熟度，按服务器集群分3组完成巡检。</w:t>
            </w:r>
          </w:p>
        </w:tc>
        <w:tc>
          <w:tcPr>
            <w:tcW w:w="457" w:type="dxa"/>
            <w:tcBorders>
              <w:top w:val="single" w:color="000000" w:sz="4" w:space="0"/>
              <w:left w:val="single" w:color="000000" w:sz="4" w:space="0"/>
              <w:bottom w:val="single" w:color="000000" w:sz="4" w:space="0"/>
              <w:right w:val="single" w:color="000000" w:sz="4" w:space="0"/>
            </w:tcBorders>
            <w:shd w:val="clear"/>
            <w:vAlign w:val="center"/>
          </w:tcPr>
          <w:p w14:paraId="11AE7AEB">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年</w:t>
            </w:r>
          </w:p>
        </w:tc>
        <w:tc>
          <w:tcPr>
            <w:tcW w:w="431" w:type="dxa"/>
            <w:tcBorders>
              <w:top w:val="single" w:color="000000" w:sz="4" w:space="0"/>
              <w:left w:val="single" w:color="000000" w:sz="4" w:space="0"/>
              <w:bottom w:val="single" w:color="000000" w:sz="4" w:space="0"/>
              <w:right w:val="single" w:color="000000" w:sz="4" w:space="0"/>
            </w:tcBorders>
            <w:shd w:val="clear"/>
            <w:vAlign w:val="center"/>
          </w:tcPr>
          <w:p w14:paraId="4FE2EE6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w:t>
            </w: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5EC3D4F3">
            <w:pPr>
              <w:rPr>
                <w:rFonts w:hint="eastAsia" w:ascii="宋体" w:hAnsi="宋体" w:eastAsia="宋体" w:cs="宋体"/>
                <w:i w:val="0"/>
                <w:iCs w:val="0"/>
                <w:color w:val="000000"/>
                <w:sz w:val="22"/>
                <w:szCs w:val="22"/>
                <w:highlight w:val="none"/>
                <w:u w:val="none"/>
              </w:rPr>
            </w:pP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6A37AF1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 xml:space="preserve">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448610">
            <w:pPr>
              <w:rPr>
                <w:rFonts w:hint="eastAsia" w:ascii="宋体" w:hAnsi="宋体" w:eastAsia="宋体" w:cs="宋体"/>
                <w:i w:val="0"/>
                <w:iCs w:val="0"/>
                <w:color w:val="000000"/>
                <w:sz w:val="22"/>
                <w:szCs w:val="22"/>
                <w:highlight w:val="none"/>
                <w:u w:val="none"/>
              </w:rPr>
            </w:pPr>
          </w:p>
        </w:tc>
      </w:tr>
      <w:tr w14:paraId="1D917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31" w:hRule="atLeast"/>
        </w:trPr>
        <w:tc>
          <w:tcPr>
            <w:tcW w:w="427" w:type="dxa"/>
            <w:tcBorders>
              <w:top w:val="single" w:color="000000" w:sz="4" w:space="0"/>
              <w:left w:val="single" w:color="000000" w:sz="4" w:space="0"/>
              <w:bottom w:val="single" w:color="000000" w:sz="4" w:space="0"/>
              <w:right w:val="single" w:color="000000" w:sz="4" w:space="0"/>
            </w:tcBorders>
            <w:shd w:val="clear"/>
            <w:vAlign w:val="center"/>
          </w:tcPr>
          <w:p w14:paraId="42D89F7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2</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14:paraId="1845C18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渗透测试服务</w:t>
            </w:r>
          </w:p>
        </w:tc>
        <w:tc>
          <w:tcPr>
            <w:tcW w:w="3663" w:type="dxa"/>
            <w:tcBorders>
              <w:top w:val="single" w:color="000000" w:sz="4" w:space="0"/>
              <w:left w:val="single" w:color="000000" w:sz="4" w:space="0"/>
              <w:bottom w:val="single" w:color="000000" w:sz="4" w:space="0"/>
              <w:right w:val="single" w:color="000000" w:sz="4" w:space="0"/>
            </w:tcBorders>
            <w:shd w:val="clear"/>
            <w:vAlign w:val="center"/>
          </w:tcPr>
          <w:p w14:paraId="0F39C762">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 按甲方要求，对业务系统开展模拟攻击测试；2. 模拟攻击能力+人工渗透测试，按业务系统分组挖掘设计及配置漏洞；3. 输出报告，详述测试目标、方法、漏洞及风险防控建议；4. 针对测试发现的漏洞提供3轮复测服务，确保整改到位。</w:t>
            </w:r>
          </w:p>
        </w:tc>
        <w:tc>
          <w:tcPr>
            <w:tcW w:w="457" w:type="dxa"/>
            <w:tcBorders>
              <w:top w:val="single" w:color="000000" w:sz="4" w:space="0"/>
              <w:left w:val="single" w:color="000000" w:sz="4" w:space="0"/>
              <w:bottom w:val="single" w:color="000000" w:sz="4" w:space="0"/>
              <w:right w:val="single" w:color="000000" w:sz="4" w:space="0"/>
            </w:tcBorders>
            <w:shd w:val="clear"/>
            <w:vAlign w:val="center"/>
          </w:tcPr>
          <w:p w14:paraId="33A5D2BB">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次</w:t>
            </w:r>
          </w:p>
        </w:tc>
        <w:tc>
          <w:tcPr>
            <w:tcW w:w="431" w:type="dxa"/>
            <w:tcBorders>
              <w:top w:val="single" w:color="000000" w:sz="4" w:space="0"/>
              <w:left w:val="single" w:color="000000" w:sz="4" w:space="0"/>
              <w:bottom w:val="single" w:color="000000" w:sz="4" w:space="0"/>
              <w:right w:val="single" w:color="000000" w:sz="4" w:space="0"/>
            </w:tcBorders>
            <w:shd w:val="clear"/>
            <w:vAlign w:val="center"/>
          </w:tcPr>
          <w:p w14:paraId="01D51F2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20</w:t>
            </w: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73DD082C">
            <w:pPr>
              <w:rPr>
                <w:rFonts w:hint="eastAsia" w:ascii="宋体" w:hAnsi="宋体" w:eastAsia="宋体" w:cs="宋体"/>
                <w:i w:val="0"/>
                <w:iCs w:val="0"/>
                <w:color w:val="000000"/>
                <w:sz w:val="22"/>
                <w:szCs w:val="22"/>
                <w:highlight w:val="none"/>
                <w:u w:val="none"/>
              </w:rPr>
            </w:pP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4E40DD0B">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 xml:space="preserve">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6BCE68">
            <w:pPr>
              <w:rPr>
                <w:rFonts w:hint="eastAsia" w:ascii="宋体" w:hAnsi="宋体" w:eastAsia="宋体" w:cs="宋体"/>
                <w:i w:val="0"/>
                <w:iCs w:val="0"/>
                <w:color w:val="000000"/>
                <w:sz w:val="22"/>
                <w:szCs w:val="22"/>
                <w:highlight w:val="none"/>
                <w:u w:val="none"/>
              </w:rPr>
            </w:pPr>
          </w:p>
        </w:tc>
      </w:tr>
      <w:tr w14:paraId="74D1F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10" w:hRule="atLeast"/>
        </w:trPr>
        <w:tc>
          <w:tcPr>
            <w:tcW w:w="427" w:type="dxa"/>
            <w:tcBorders>
              <w:top w:val="single" w:color="000000" w:sz="4" w:space="0"/>
              <w:left w:val="single" w:color="000000" w:sz="4" w:space="0"/>
              <w:bottom w:val="single" w:color="000000" w:sz="4" w:space="0"/>
              <w:right w:val="single" w:color="000000" w:sz="4" w:space="0"/>
            </w:tcBorders>
            <w:shd w:val="clear"/>
            <w:vAlign w:val="center"/>
          </w:tcPr>
          <w:p w14:paraId="7F9A47B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3</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14:paraId="53611FB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专项检查服务</w:t>
            </w:r>
          </w:p>
        </w:tc>
        <w:tc>
          <w:tcPr>
            <w:tcW w:w="3663" w:type="dxa"/>
            <w:tcBorders>
              <w:top w:val="single" w:color="000000" w:sz="4" w:space="0"/>
              <w:left w:val="single" w:color="000000" w:sz="4" w:space="0"/>
              <w:bottom w:val="single" w:color="000000" w:sz="4" w:space="0"/>
              <w:right w:val="single" w:color="000000" w:sz="4" w:space="0"/>
            </w:tcBorders>
            <w:shd w:val="clear"/>
            <w:vAlign w:val="center"/>
          </w:tcPr>
          <w:p w14:paraId="192FAC4A">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配合业主对业主及下属单位网络安全情况进行季度检查和不定期抽查，编制检查方案，形成检查记录，汇总分析，并提供可行整改方案；配合业主接受上级单位安全检查，编制迎检方案，协助准备迎检材料，做好前期迎检工作，现场协助检查，提供相关技术支持，对检查情况进行问题汇总分析，并提供可行整改方案；协助业主开展问题整改。</w:t>
            </w:r>
            <w:r>
              <w:rPr>
                <w:rFonts w:hint="eastAsia" w:ascii="宋体" w:hAnsi="宋体" w:eastAsia="宋体" w:cs="宋体"/>
                <w:i w:val="0"/>
                <w:iCs w:val="0"/>
                <w:color w:val="000000"/>
                <w:kern w:val="0"/>
                <w:sz w:val="22"/>
                <w:szCs w:val="22"/>
                <w:highlight w:val="none"/>
                <w:u w:val="none"/>
                <w:bdr w:val="none" w:color="auto" w:sz="0" w:space="0"/>
                <w:lang w:val="en-US" w:eastAsia="zh-CN" w:bidi="ar"/>
              </w:rPr>
              <w:br w:type="textWrapping"/>
            </w:r>
            <w:r>
              <w:rPr>
                <w:rFonts w:hint="eastAsia" w:ascii="宋体" w:hAnsi="宋体" w:eastAsia="宋体" w:cs="宋体"/>
                <w:i w:val="0"/>
                <w:iCs w:val="0"/>
                <w:color w:val="000000"/>
                <w:kern w:val="0"/>
                <w:sz w:val="22"/>
                <w:szCs w:val="22"/>
                <w:highlight w:val="none"/>
                <w:u w:val="none"/>
                <w:bdr w:val="none" w:color="auto" w:sz="0" w:space="0"/>
                <w:lang w:val="en-US" w:eastAsia="zh-CN" w:bidi="ar"/>
              </w:rPr>
              <w:t>重大节假日、重要会议、重大活动、敏感时期等重要期间前期配合业主开展节前巡检、安全自查、检查与整改，期间安全值守，形成相关方案、记录等。无偿提供设备进行安全防护，至少保障2人同时驻场值守。</w:t>
            </w:r>
          </w:p>
        </w:tc>
        <w:tc>
          <w:tcPr>
            <w:tcW w:w="457" w:type="dxa"/>
            <w:tcBorders>
              <w:top w:val="single" w:color="000000" w:sz="4" w:space="0"/>
              <w:left w:val="single" w:color="000000" w:sz="4" w:space="0"/>
              <w:bottom w:val="single" w:color="000000" w:sz="4" w:space="0"/>
              <w:right w:val="single" w:color="000000" w:sz="4" w:space="0"/>
            </w:tcBorders>
            <w:shd w:val="clear"/>
            <w:vAlign w:val="center"/>
          </w:tcPr>
          <w:p w14:paraId="695BF180">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年</w:t>
            </w:r>
          </w:p>
        </w:tc>
        <w:tc>
          <w:tcPr>
            <w:tcW w:w="431" w:type="dxa"/>
            <w:tcBorders>
              <w:top w:val="single" w:color="000000" w:sz="4" w:space="0"/>
              <w:left w:val="single" w:color="000000" w:sz="4" w:space="0"/>
              <w:bottom w:val="single" w:color="000000" w:sz="4" w:space="0"/>
              <w:right w:val="single" w:color="000000" w:sz="4" w:space="0"/>
            </w:tcBorders>
            <w:shd w:val="clear"/>
            <w:vAlign w:val="center"/>
          </w:tcPr>
          <w:p w14:paraId="62C8801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w:t>
            </w: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3525098D">
            <w:pPr>
              <w:rPr>
                <w:rFonts w:hint="eastAsia" w:ascii="宋体" w:hAnsi="宋体" w:eastAsia="宋体" w:cs="宋体"/>
                <w:i w:val="0"/>
                <w:iCs w:val="0"/>
                <w:color w:val="000000"/>
                <w:sz w:val="22"/>
                <w:szCs w:val="22"/>
                <w:highlight w:val="none"/>
                <w:u w:val="none"/>
              </w:rPr>
            </w:pP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09C947D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 xml:space="preserve">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ADB8D0">
            <w:pPr>
              <w:rPr>
                <w:rFonts w:hint="eastAsia" w:ascii="宋体" w:hAnsi="宋体" w:eastAsia="宋体" w:cs="宋体"/>
                <w:i w:val="0"/>
                <w:iCs w:val="0"/>
                <w:color w:val="000000"/>
                <w:sz w:val="22"/>
                <w:szCs w:val="22"/>
                <w:highlight w:val="none"/>
                <w:u w:val="none"/>
              </w:rPr>
            </w:pPr>
          </w:p>
        </w:tc>
      </w:tr>
      <w:tr w14:paraId="25A61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8" w:hRule="atLeast"/>
        </w:trPr>
        <w:tc>
          <w:tcPr>
            <w:tcW w:w="427" w:type="dxa"/>
            <w:tcBorders>
              <w:top w:val="single" w:color="000000" w:sz="4" w:space="0"/>
              <w:left w:val="single" w:color="000000" w:sz="4" w:space="0"/>
              <w:bottom w:val="single" w:color="000000" w:sz="4" w:space="0"/>
              <w:right w:val="single" w:color="000000" w:sz="4" w:space="0"/>
            </w:tcBorders>
            <w:shd w:val="clear"/>
            <w:vAlign w:val="center"/>
          </w:tcPr>
          <w:p w14:paraId="6914A207">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4</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14:paraId="1AF3AC79">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风险评估服务</w:t>
            </w:r>
          </w:p>
        </w:tc>
        <w:tc>
          <w:tcPr>
            <w:tcW w:w="3663" w:type="dxa"/>
            <w:tcBorders>
              <w:top w:val="single" w:color="000000" w:sz="4" w:space="0"/>
              <w:left w:val="single" w:color="000000" w:sz="4" w:space="0"/>
              <w:bottom w:val="single" w:color="000000" w:sz="4" w:space="0"/>
              <w:right w:val="single" w:color="000000" w:sz="4" w:space="0"/>
            </w:tcBorders>
            <w:shd w:val="clear"/>
            <w:vAlign w:val="center"/>
          </w:tcPr>
          <w:p w14:paraId="19D8140A">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 针对关联业务系统开展全面风险评估，覆盖网络层、主机层、应用层、数据层；2. 采用资产测绘、漏洞扫描、配置核查、威胁情报关联等多维度评估方法，识别高危风险点；3. 结合行业安全标准及业务特点，对风险进行量化分级（高/中/低），制定差异化整改优先级；4. 输出《全面风险评估总报告》及分集群风险明细，包含风险描述、影响范围、整改措施及实施建议；5. 配合完成风险整改效果验证，提供1次免费复评服务。</w:t>
            </w:r>
          </w:p>
        </w:tc>
        <w:tc>
          <w:tcPr>
            <w:tcW w:w="457" w:type="dxa"/>
            <w:tcBorders>
              <w:top w:val="single" w:color="000000" w:sz="4" w:space="0"/>
              <w:left w:val="single" w:color="000000" w:sz="4" w:space="0"/>
              <w:bottom w:val="single" w:color="000000" w:sz="4" w:space="0"/>
              <w:right w:val="single" w:color="000000" w:sz="4" w:space="0"/>
            </w:tcBorders>
            <w:shd w:val="clear"/>
            <w:vAlign w:val="center"/>
          </w:tcPr>
          <w:p w14:paraId="170399B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年</w:t>
            </w:r>
          </w:p>
        </w:tc>
        <w:tc>
          <w:tcPr>
            <w:tcW w:w="431" w:type="dxa"/>
            <w:tcBorders>
              <w:top w:val="single" w:color="000000" w:sz="4" w:space="0"/>
              <w:left w:val="single" w:color="000000" w:sz="4" w:space="0"/>
              <w:bottom w:val="single" w:color="000000" w:sz="4" w:space="0"/>
              <w:right w:val="single" w:color="000000" w:sz="4" w:space="0"/>
            </w:tcBorders>
            <w:shd w:val="clear"/>
            <w:vAlign w:val="center"/>
          </w:tcPr>
          <w:p w14:paraId="2F60D33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w:t>
            </w: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2807E6B9">
            <w:pPr>
              <w:rPr>
                <w:rFonts w:hint="eastAsia" w:ascii="宋体" w:hAnsi="宋体" w:eastAsia="宋体" w:cs="宋体"/>
                <w:i w:val="0"/>
                <w:iCs w:val="0"/>
                <w:color w:val="000000"/>
                <w:sz w:val="22"/>
                <w:szCs w:val="22"/>
                <w:highlight w:val="none"/>
                <w:u w:val="none"/>
              </w:rPr>
            </w:pP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3924667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 xml:space="preserve">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4A80FA">
            <w:pPr>
              <w:rPr>
                <w:rFonts w:hint="eastAsia" w:ascii="宋体" w:hAnsi="宋体" w:eastAsia="宋体" w:cs="宋体"/>
                <w:i w:val="0"/>
                <w:iCs w:val="0"/>
                <w:color w:val="000000"/>
                <w:sz w:val="22"/>
                <w:szCs w:val="22"/>
                <w:highlight w:val="none"/>
                <w:u w:val="none"/>
              </w:rPr>
            </w:pPr>
          </w:p>
        </w:tc>
      </w:tr>
      <w:tr w14:paraId="596E5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8" w:hRule="atLeast"/>
        </w:trPr>
        <w:tc>
          <w:tcPr>
            <w:tcW w:w="427" w:type="dxa"/>
            <w:tcBorders>
              <w:top w:val="single" w:color="000000" w:sz="4" w:space="0"/>
              <w:left w:val="single" w:color="000000" w:sz="4" w:space="0"/>
              <w:bottom w:val="single" w:color="000000" w:sz="4" w:space="0"/>
              <w:right w:val="single" w:color="000000" w:sz="4" w:space="0"/>
            </w:tcBorders>
            <w:shd w:val="clear"/>
            <w:vAlign w:val="center"/>
          </w:tcPr>
          <w:p w14:paraId="030855F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5</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14:paraId="6AA90C2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重保值守服务</w:t>
            </w:r>
          </w:p>
        </w:tc>
        <w:tc>
          <w:tcPr>
            <w:tcW w:w="3663" w:type="dxa"/>
            <w:tcBorders>
              <w:top w:val="single" w:color="000000" w:sz="4" w:space="0"/>
              <w:left w:val="single" w:color="000000" w:sz="4" w:space="0"/>
              <w:bottom w:val="single" w:color="000000" w:sz="4" w:space="0"/>
              <w:right w:val="single" w:color="000000" w:sz="4" w:space="0"/>
            </w:tcBorders>
            <w:shd w:val="clear"/>
            <w:vAlign w:val="center"/>
          </w:tcPr>
          <w:p w14:paraId="32184FCD">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 协助完成网络安全攻防演练任务；2. 演练前制定专项方案，明确目标、范围及规则，开展全员安全培训；3. 演练中组建专职防守团队7×24小时值守，实时监测攻击行为、阻断攻击路径，同步生成攻防日志；4. 演练后输出《攻防演练总结报告》，含攻击路径分析、防守短板诊断及针对性加固方案；5. 重要节假日及重大活动期间（含国家法定节假日、重大会议和活动等）提供7×24小时现场+远程重保值守，确保系统安全稳定运行。</w:t>
            </w:r>
          </w:p>
        </w:tc>
        <w:tc>
          <w:tcPr>
            <w:tcW w:w="457" w:type="dxa"/>
            <w:tcBorders>
              <w:top w:val="single" w:color="000000" w:sz="4" w:space="0"/>
              <w:left w:val="single" w:color="000000" w:sz="4" w:space="0"/>
              <w:bottom w:val="single" w:color="000000" w:sz="4" w:space="0"/>
              <w:right w:val="single" w:color="000000" w:sz="4" w:space="0"/>
            </w:tcBorders>
            <w:shd w:val="clear"/>
            <w:vAlign w:val="center"/>
          </w:tcPr>
          <w:p w14:paraId="6B9D174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年</w:t>
            </w:r>
          </w:p>
        </w:tc>
        <w:tc>
          <w:tcPr>
            <w:tcW w:w="431" w:type="dxa"/>
            <w:tcBorders>
              <w:top w:val="single" w:color="000000" w:sz="4" w:space="0"/>
              <w:left w:val="single" w:color="000000" w:sz="4" w:space="0"/>
              <w:bottom w:val="single" w:color="000000" w:sz="4" w:space="0"/>
              <w:right w:val="single" w:color="000000" w:sz="4" w:space="0"/>
            </w:tcBorders>
            <w:shd w:val="clear"/>
            <w:vAlign w:val="center"/>
          </w:tcPr>
          <w:p w14:paraId="2F18BAE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w:t>
            </w: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520EF9A2">
            <w:pPr>
              <w:rPr>
                <w:rFonts w:hint="eastAsia" w:ascii="宋体" w:hAnsi="宋体" w:eastAsia="宋体" w:cs="宋体"/>
                <w:i w:val="0"/>
                <w:iCs w:val="0"/>
                <w:color w:val="000000"/>
                <w:sz w:val="22"/>
                <w:szCs w:val="22"/>
                <w:highlight w:val="none"/>
                <w:u w:val="none"/>
              </w:rPr>
            </w:pP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7E9B895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 xml:space="preserve">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52C74E">
            <w:pPr>
              <w:rPr>
                <w:rFonts w:hint="eastAsia" w:ascii="宋体" w:hAnsi="宋体" w:eastAsia="宋体" w:cs="宋体"/>
                <w:i w:val="0"/>
                <w:iCs w:val="0"/>
                <w:color w:val="000000"/>
                <w:sz w:val="22"/>
                <w:szCs w:val="22"/>
                <w:highlight w:val="none"/>
                <w:u w:val="none"/>
              </w:rPr>
            </w:pPr>
          </w:p>
        </w:tc>
      </w:tr>
      <w:tr w14:paraId="2BAE3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31" w:hRule="atLeast"/>
        </w:trPr>
        <w:tc>
          <w:tcPr>
            <w:tcW w:w="427" w:type="dxa"/>
            <w:tcBorders>
              <w:top w:val="single" w:color="000000" w:sz="4" w:space="0"/>
              <w:left w:val="single" w:color="000000" w:sz="4" w:space="0"/>
              <w:bottom w:val="single" w:color="000000" w:sz="4" w:space="0"/>
              <w:right w:val="single" w:color="000000" w:sz="4" w:space="0"/>
            </w:tcBorders>
            <w:shd w:val="clear"/>
            <w:vAlign w:val="center"/>
          </w:tcPr>
          <w:p w14:paraId="5621615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6</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14:paraId="5555F711">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安全运维服务</w:t>
            </w:r>
          </w:p>
        </w:tc>
        <w:tc>
          <w:tcPr>
            <w:tcW w:w="3663" w:type="dxa"/>
            <w:tcBorders>
              <w:top w:val="single" w:color="000000" w:sz="4" w:space="0"/>
              <w:left w:val="single" w:color="000000" w:sz="4" w:space="0"/>
              <w:bottom w:val="single" w:color="000000" w:sz="4" w:space="0"/>
              <w:right w:val="single" w:color="000000" w:sz="4" w:space="0"/>
            </w:tcBorders>
            <w:shd w:val="clear"/>
            <w:vAlign w:val="center"/>
          </w:tcPr>
          <w:p w14:paraId="26CA2EC9">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 约600台服务器日常安全巡检维护、漏洞扫描及修复指导；2. 云架构安全设计优化，满足等保2.0合规要求；3. 配置与变更管理（含服务器集群扩容/缩容安全配置）；4. 安全事件分类分级处置，提供48小时内高危漏洞响应支持。</w:t>
            </w:r>
          </w:p>
        </w:tc>
        <w:tc>
          <w:tcPr>
            <w:tcW w:w="457" w:type="dxa"/>
            <w:tcBorders>
              <w:top w:val="single" w:color="000000" w:sz="4" w:space="0"/>
              <w:left w:val="single" w:color="000000" w:sz="4" w:space="0"/>
              <w:bottom w:val="single" w:color="000000" w:sz="4" w:space="0"/>
              <w:right w:val="single" w:color="000000" w:sz="4" w:space="0"/>
            </w:tcBorders>
            <w:shd w:val="clear"/>
            <w:vAlign w:val="center"/>
          </w:tcPr>
          <w:p w14:paraId="1F21FFB7">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年</w:t>
            </w:r>
          </w:p>
        </w:tc>
        <w:tc>
          <w:tcPr>
            <w:tcW w:w="431" w:type="dxa"/>
            <w:tcBorders>
              <w:top w:val="single" w:color="000000" w:sz="4" w:space="0"/>
              <w:left w:val="single" w:color="000000" w:sz="4" w:space="0"/>
              <w:bottom w:val="single" w:color="000000" w:sz="4" w:space="0"/>
              <w:right w:val="single" w:color="000000" w:sz="4" w:space="0"/>
            </w:tcBorders>
            <w:shd w:val="clear"/>
            <w:vAlign w:val="center"/>
          </w:tcPr>
          <w:p w14:paraId="4CAAA56F">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w:t>
            </w: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0546A6A2">
            <w:pPr>
              <w:rPr>
                <w:rFonts w:hint="eastAsia" w:ascii="宋体" w:hAnsi="宋体" w:eastAsia="宋体" w:cs="宋体"/>
                <w:i w:val="0"/>
                <w:iCs w:val="0"/>
                <w:color w:val="000000"/>
                <w:sz w:val="22"/>
                <w:szCs w:val="22"/>
                <w:highlight w:val="none"/>
                <w:u w:val="none"/>
              </w:rPr>
            </w:pP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6E3D65F6">
            <w:pPr>
              <w:jc w:val="center"/>
              <w:rPr>
                <w:rFonts w:hint="eastAsia" w:ascii="宋体" w:hAnsi="宋体" w:eastAsia="宋体" w:cs="宋体"/>
                <w:i w:val="0"/>
                <w:iCs w:val="0"/>
                <w:color w:val="000000"/>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EC74C8">
            <w:pPr>
              <w:rPr>
                <w:rFonts w:hint="eastAsia" w:ascii="宋体" w:hAnsi="宋体" w:eastAsia="宋体" w:cs="宋体"/>
                <w:i w:val="0"/>
                <w:iCs w:val="0"/>
                <w:color w:val="000000"/>
                <w:sz w:val="22"/>
                <w:szCs w:val="22"/>
                <w:highlight w:val="none"/>
                <w:u w:val="none"/>
              </w:rPr>
            </w:pPr>
          </w:p>
        </w:tc>
      </w:tr>
      <w:tr w14:paraId="0C369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07" w:hRule="atLeast"/>
        </w:trPr>
        <w:tc>
          <w:tcPr>
            <w:tcW w:w="427" w:type="dxa"/>
            <w:tcBorders>
              <w:top w:val="single" w:color="000000" w:sz="4" w:space="0"/>
              <w:left w:val="single" w:color="000000" w:sz="4" w:space="0"/>
              <w:bottom w:val="single" w:color="000000" w:sz="4" w:space="0"/>
              <w:right w:val="single" w:color="000000" w:sz="4" w:space="0"/>
            </w:tcBorders>
            <w:shd w:val="clear"/>
            <w:vAlign w:val="center"/>
          </w:tcPr>
          <w:p w14:paraId="3D7CA58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7</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14:paraId="7C91BF85">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等保咨询与评估加固服务</w:t>
            </w:r>
          </w:p>
        </w:tc>
        <w:tc>
          <w:tcPr>
            <w:tcW w:w="3663" w:type="dxa"/>
            <w:tcBorders>
              <w:top w:val="single" w:color="000000" w:sz="4" w:space="0"/>
              <w:left w:val="single" w:color="000000" w:sz="4" w:space="0"/>
              <w:bottom w:val="single" w:color="000000" w:sz="4" w:space="0"/>
              <w:right w:val="single" w:color="000000" w:sz="4" w:space="0"/>
            </w:tcBorders>
            <w:shd w:val="clear"/>
            <w:vAlign w:val="center"/>
          </w:tcPr>
          <w:p w14:paraId="2E720BDA">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 服务器关联业务系统等保2.0合规差距分析，提供技术/管理层面整改指导；2. 业务系统上线前安全加固（含服务器集群安全基线配置、第三方组件漏洞修复）；3. 协助完成安全设备整合及联动响应配置；4. 输出等保合规整改报告（分系统分集群）及加固方案，协助通过等保测评。</w:t>
            </w:r>
          </w:p>
        </w:tc>
        <w:tc>
          <w:tcPr>
            <w:tcW w:w="457" w:type="dxa"/>
            <w:tcBorders>
              <w:top w:val="single" w:color="000000" w:sz="4" w:space="0"/>
              <w:left w:val="single" w:color="000000" w:sz="4" w:space="0"/>
              <w:bottom w:val="single" w:color="000000" w:sz="4" w:space="0"/>
              <w:right w:val="single" w:color="000000" w:sz="4" w:space="0"/>
            </w:tcBorders>
            <w:shd w:val="clear"/>
            <w:vAlign w:val="center"/>
          </w:tcPr>
          <w:p w14:paraId="39CF61FB">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年</w:t>
            </w:r>
          </w:p>
        </w:tc>
        <w:tc>
          <w:tcPr>
            <w:tcW w:w="431" w:type="dxa"/>
            <w:tcBorders>
              <w:top w:val="single" w:color="000000" w:sz="4" w:space="0"/>
              <w:left w:val="single" w:color="000000" w:sz="4" w:space="0"/>
              <w:bottom w:val="single" w:color="000000" w:sz="4" w:space="0"/>
              <w:right w:val="single" w:color="000000" w:sz="4" w:space="0"/>
            </w:tcBorders>
            <w:shd w:val="clear"/>
            <w:vAlign w:val="center"/>
          </w:tcPr>
          <w:p w14:paraId="512E8E79">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w:t>
            </w: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2F3029B4">
            <w:pPr>
              <w:rPr>
                <w:rFonts w:hint="eastAsia" w:ascii="宋体" w:hAnsi="宋体" w:eastAsia="宋体" w:cs="宋体"/>
                <w:i w:val="0"/>
                <w:iCs w:val="0"/>
                <w:color w:val="000000"/>
                <w:sz w:val="22"/>
                <w:szCs w:val="22"/>
                <w:highlight w:val="none"/>
                <w:u w:val="none"/>
              </w:rPr>
            </w:pP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0C6EB279">
            <w:pPr>
              <w:jc w:val="center"/>
              <w:rPr>
                <w:rFonts w:hint="eastAsia" w:ascii="宋体" w:hAnsi="宋体" w:eastAsia="宋体" w:cs="宋体"/>
                <w:i w:val="0"/>
                <w:iCs w:val="0"/>
                <w:color w:val="000000"/>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134129">
            <w:pPr>
              <w:rPr>
                <w:rFonts w:hint="eastAsia" w:ascii="宋体" w:hAnsi="宋体" w:eastAsia="宋体" w:cs="宋体"/>
                <w:i w:val="0"/>
                <w:iCs w:val="0"/>
                <w:color w:val="000000"/>
                <w:sz w:val="22"/>
                <w:szCs w:val="22"/>
                <w:highlight w:val="none"/>
                <w:u w:val="none"/>
              </w:rPr>
            </w:pPr>
          </w:p>
        </w:tc>
      </w:tr>
      <w:tr w14:paraId="070A5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57" w:hRule="atLeast"/>
        </w:trPr>
        <w:tc>
          <w:tcPr>
            <w:tcW w:w="427" w:type="dxa"/>
            <w:tcBorders>
              <w:top w:val="single" w:color="000000" w:sz="4" w:space="0"/>
              <w:left w:val="single" w:color="000000" w:sz="4" w:space="0"/>
              <w:bottom w:val="single" w:color="000000" w:sz="4" w:space="0"/>
              <w:right w:val="single" w:color="000000" w:sz="4" w:space="0"/>
            </w:tcBorders>
            <w:shd w:val="clear"/>
            <w:vAlign w:val="center"/>
          </w:tcPr>
          <w:p w14:paraId="72BFC11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8</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14:paraId="67AD54A2">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应急响应服务</w:t>
            </w:r>
          </w:p>
        </w:tc>
        <w:tc>
          <w:tcPr>
            <w:tcW w:w="3663" w:type="dxa"/>
            <w:tcBorders>
              <w:top w:val="single" w:color="000000" w:sz="4" w:space="0"/>
              <w:left w:val="single" w:color="000000" w:sz="4" w:space="0"/>
              <w:bottom w:val="single" w:color="000000" w:sz="4" w:space="0"/>
              <w:right w:val="single" w:color="000000" w:sz="4" w:space="0"/>
            </w:tcBorders>
            <w:shd w:val="clear"/>
            <w:vAlign w:val="center"/>
          </w:tcPr>
          <w:p w14:paraId="4FD842DC">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 7×24小时高危安全事件应急处置（如挖矿病毒、Webshell植入、数据泄露等）；2. 制定应急预案（含服务器集群级故障处置流程）并组织实战场景应急演练（覆盖不同服务器集群故障场景）；3. 攻击溯源分析（含DDoS、APT攻击等）及处置复盘，输出溯源报告及防护优化建议；4. 提供漏洞应急修复及系统恢复支持，重大事件4小时内现场技术团队支援。</w:t>
            </w:r>
          </w:p>
        </w:tc>
        <w:tc>
          <w:tcPr>
            <w:tcW w:w="457" w:type="dxa"/>
            <w:tcBorders>
              <w:top w:val="single" w:color="000000" w:sz="4" w:space="0"/>
              <w:left w:val="single" w:color="000000" w:sz="4" w:space="0"/>
              <w:bottom w:val="single" w:color="000000" w:sz="4" w:space="0"/>
              <w:right w:val="single" w:color="000000" w:sz="4" w:space="0"/>
            </w:tcBorders>
            <w:shd w:val="clear"/>
            <w:vAlign w:val="center"/>
          </w:tcPr>
          <w:p w14:paraId="1B34B429">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年</w:t>
            </w:r>
          </w:p>
        </w:tc>
        <w:tc>
          <w:tcPr>
            <w:tcW w:w="431" w:type="dxa"/>
            <w:tcBorders>
              <w:top w:val="single" w:color="000000" w:sz="4" w:space="0"/>
              <w:left w:val="single" w:color="000000" w:sz="4" w:space="0"/>
              <w:bottom w:val="single" w:color="000000" w:sz="4" w:space="0"/>
              <w:right w:val="single" w:color="000000" w:sz="4" w:space="0"/>
            </w:tcBorders>
            <w:shd w:val="clear"/>
            <w:vAlign w:val="center"/>
          </w:tcPr>
          <w:p w14:paraId="2541DFFB">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w:t>
            </w: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40B047E6">
            <w:pPr>
              <w:rPr>
                <w:rFonts w:hint="eastAsia" w:ascii="宋体" w:hAnsi="宋体" w:eastAsia="宋体" w:cs="宋体"/>
                <w:i w:val="0"/>
                <w:iCs w:val="0"/>
                <w:color w:val="000000"/>
                <w:sz w:val="22"/>
                <w:szCs w:val="22"/>
                <w:highlight w:val="none"/>
                <w:u w:val="none"/>
              </w:rPr>
            </w:pP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28AFE93C">
            <w:pPr>
              <w:jc w:val="center"/>
              <w:rPr>
                <w:rFonts w:hint="eastAsia" w:ascii="宋体" w:hAnsi="宋体" w:eastAsia="宋体" w:cs="宋体"/>
                <w:i w:val="0"/>
                <w:iCs w:val="0"/>
                <w:color w:val="000000"/>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8C0439">
            <w:pPr>
              <w:rPr>
                <w:rFonts w:hint="eastAsia" w:ascii="宋体" w:hAnsi="宋体" w:eastAsia="宋体" w:cs="宋体"/>
                <w:i w:val="0"/>
                <w:iCs w:val="0"/>
                <w:color w:val="000000"/>
                <w:sz w:val="22"/>
                <w:szCs w:val="22"/>
                <w:highlight w:val="none"/>
                <w:u w:val="none"/>
              </w:rPr>
            </w:pPr>
          </w:p>
        </w:tc>
      </w:tr>
      <w:tr w14:paraId="663C9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84" w:hRule="atLeast"/>
        </w:trPr>
        <w:tc>
          <w:tcPr>
            <w:tcW w:w="427" w:type="dxa"/>
            <w:tcBorders>
              <w:top w:val="single" w:color="000000" w:sz="4" w:space="0"/>
              <w:left w:val="single" w:color="000000" w:sz="4" w:space="0"/>
              <w:bottom w:val="single" w:color="000000" w:sz="4" w:space="0"/>
              <w:right w:val="single" w:color="000000" w:sz="4" w:space="0"/>
            </w:tcBorders>
            <w:shd w:val="clear"/>
            <w:vAlign w:val="center"/>
          </w:tcPr>
          <w:p w14:paraId="127B618F">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9</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14:paraId="4E571DD6">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培训及演练服务</w:t>
            </w:r>
          </w:p>
        </w:tc>
        <w:tc>
          <w:tcPr>
            <w:tcW w:w="3663" w:type="dxa"/>
            <w:tcBorders>
              <w:top w:val="single" w:color="000000" w:sz="4" w:space="0"/>
              <w:left w:val="single" w:color="000000" w:sz="4" w:space="0"/>
              <w:bottom w:val="single" w:color="000000" w:sz="4" w:space="0"/>
              <w:right w:val="single" w:color="000000" w:sz="4" w:space="0"/>
            </w:tcBorders>
            <w:shd w:val="clear"/>
            <w:vAlign w:val="center"/>
          </w:tcPr>
          <w:p w14:paraId="3651BBAE">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根据业主安排，提供培训、演练服务；提供完善的培训实施计划、培训材料，由有网络安全相关资质的讲师承担；提供全面的演练实施方案，提供相关应急物资，提供演练技术服务，并形成完整的演练资料，根据演练情况完善或修改应急预案；根据业主单位完成保网/护网工作，提供全面的保网/护网方案，提供技术支撑，并形成完整的保网/护网材料，并在保网/护网期间安排驻场值守人员，除驻场人员外，全年需提供30天*2人以上的防护资源保障。</w:t>
            </w:r>
          </w:p>
        </w:tc>
        <w:tc>
          <w:tcPr>
            <w:tcW w:w="457" w:type="dxa"/>
            <w:tcBorders>
              <w:top w:val="single" w:color="000000" w:sz="4" w:space="0"/>
              <w:left w:val="single" w:color="000000" w:sz="4" w:space="0"/>
              <w:bottom w:val="single" w:color="000000" w:sz="4" w:space="0"/>
              <w:right w:val="single" w:color="000000" w:sz="4" w:space="0"/>
            </w:tcBorders>
            <w:shd w:val="clear"/>
            <w:vAlign w:val="center"/>
          </w:tcPr>
          <w:p w14:paraId="5258E2A3">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次</w:t>
            </w:r>
          </w:p>
        </w:tc>
        <w:tc>
          <w:tcPr>
            <w:tcW w:w="431" w:type="dxa"/>
            <w:tcBorders>
              <w:top w:val="single" w:color="000000" w:sz="4" w:space="0"/>
              <w:left w:val="single" w:color="000000" w:sz="4" w:space="0"/>
              <w:bottom w:val="single" w:color="000000" w:sz="4" w:space="0"/>
              <w:right w:val="single" w:color="000000" w:sz="4" w:space="0"/>
            </w:tcBorders>
            <w:shd w:val="clear"/>
            <w:vAlign w:val="center"/>
          </w:tcPr>
          <w:p w14:paraId="6753318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2</w:t>
            </w: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2BB3D2C5">
            <w:pPr>
              <w:rPr>
                <w:rFonts w:hint="eastAsia" w:ascii="宋体" w:hAnsi="宋体" w:eastAsia="宋体" w:cs="宋体"/>
                <w:i w:val="0"/>
                <w:iCs w:val="0"/>
                <w:color w:val="000000"/>
                <w:sz w:val="22"/>
                <w:szCs w:val="22"/>
                <w:highlight w:val="none"/>
                <w:u w:val="none"/>
              </w:rPr>
            </w:pP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43F51E32">
            <w:pPr>
              <w:jc w:val="center"/>
              <w:rPr>
                <w:rFonts w:hint="eastAsia" w:ascii="宋体" w:hAnsi="宋体" w:eastAsia="宋体" w:cs="宋体"/>
                <w:i w:val="0"/>
                <w:iCs w:val="0"/>
                <w:color w:val="000000"/>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04DF1B">
            <w:pPr>
              <w:rPr>
                <w:rFonts w:hint="eastAsia" w:ascii="宋体" w:hAnsi="宋体" w:eastAsia="宋体" w:cs="宋体"/>
                <w:i w:val="0"/>
                <w:iCs w:val="0"/>
                <w:color w:val="000000"/>
                <w:sz w:val="22"/>
                <w:szCs w:val="22"/>
                <w:highlight w:val="none"/>
                <w:u w:val="none"/>
              </w:rPr>
            </w:pPr>
          </w:p>
        </w:tc>
      </w:tr>
      <w:tr w14:paraId="2EA1F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62" w:hRule="atLeast"/>
        </w:trPr>
        <w:tc>
          <w:tcPr>
            <w:tcW w:w="427" w:type="dxa"/>
            <w:tcBorders>
              <w:top w:val="single" w:color="000000" w:sz="4" w:space="0"/>
              <w:left w:val="single" w:color="000000" w:sz="4" w:space="0"/>
              <w:bottom w:val="single" w:color="000000" w:sz="4" w:space="0"/>
              <w:right w:val="single" w:color="000000" w:sz="4" w:space="0"/>
            </w:tcBorders>
            <w:shd w:val="clear"/>
            <w:vAlign w:val="center"/>
          </w:tcPr>
          <w:p w14:paraId="5871F2DB">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10</w:t>
            </w:r>
          </w:p>
        </w:tc>
        <w:tc>
          <w:tcPr>
            <w:tcW w:w="826" w:type="dxa"/>
            <w:tcBorders>
              <w:top w:val="single" w:color="000000" w:sz="4" w:space="0"/>
              <w:left w:val="single" w:color="000000" w:sz="4" w:space="0"/>
              <w:bottom w:val="single" w:color="000000" w:sz="4" w:space="0"/>
              <w:right w:val="single" w:color="000000" w:sz="4" w:space="0"/>
            </w:tcBorders>
            <w:shd w:val="clear"/>
            <w:vAlign w:val="center"/>
          </w:tcPr>
          <w:p w14:paraId="428636C9">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驻场技术支持服务</w:t>
            </w:r>
          </w:p>
        </w:tc>
        <w:tc>
          <w:tcPr>
            <w:tcW w:w="3663" w:type="dxa"/>
            <w:tcBorders>
              <w:top w:val="single" w:color="000000" w:sz="4" w:space="0"/>
              <w:left w:val="single" w:color="000000" w:sz="4" w:space="0"/>
              <w:bottom w:val="single" w:color="000000" w:sz="4" w:space="0"/>
              <w:right w:val="single" w:color="000000" w:sz="4" w:space="0"/>
            </w:tcBorders>
            <w:shd w:val="clear"/>
            <w:vAlign w:val="center"/>
          </w:tcPr>
          <w:p w14:paraId="503E8519">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 提供1人的项目现场技术支持服务，人员资质：持有 CISP（注册信息安全专业人员）或同等资质证书（如 CISAW、CEH），具备 3 年及以上私有云安全运维经验，掌握云平台配置、漏洞修复、日志分析技能，具备基础公文写作能力；</w:t>
            </w:r>
            <w:r>
              <w:rPr>
                <w:rFonts w:hint="eastAsia" w:ascii="宋体" w:hAnsi="宋体" w:eastAsia="宋体" w:cs="宋体"/>
                <w:i w:val="0"/>
                <w:iCs w:val="0"/>
                <w:color w:val="000000"/>
                <w:kern w:val="0"/>
                <w:sz w:val="22"/>
                <w:szCs w:val="22"/>
                <w:highlight w:val="none"/>
                <w:u w:val="none"/>
                <w:bdr w:val="none" w:color="auto" w:sz="0" w:space="0"/>
                <w:lang w:val="en-US" w:eastAsia="zh-CN" w:bidi="ar"/>
              </w:rPr>
              <w:br w:type="textWrapping"/>
            </w:r>
            <w:r>
              <w:rPr>
                <w:rFonts w:hint="eastAsia" w:ascii="宋体" w:hAnsi="宋体" w:eastAsia="宋体" w:cs="宋体"/>
                <w:i w:val="0"/>
                <w:iCs w:val="0"/>
                <w:color w:val="000000"/>
                <w:kern w:val="0"/>
                <w:sz w:val="22"/>
                <w:szCs w:val="22"/>
                <w:highlight w:val="none"/>
                <w:u w:val="none"/>
                <w:bdr w:val="none" w:color="auto" w:sz="0" w:space="0"/>
                <w:lang w:val="en-US" w:eastAsia="zh-CN" w:bidi="ar"/>
              </w:rPr>
              <w:t>2. 日常运维：提供 5×8 小时现场驻场（与采购人工作时间同步）+ 7×24 小时远程应急响应，协助完成 服务器日常巡检、安全配置核对、简单漏洞修复（如弱口令整改、系统补丁安装）；</w:t>
            </w:r>
            <w:r>
              <w:rPr>
                <w:rFonts w:hint="eastAsia" w:ascii="宋体" w:hAnsi="宋体" w:eastAsia="宋体" w:cs="宋体"/>
                <w:i w:val="0"/>
                <w:iCs w:val="0"/>
                <w:color w:val="000000"/>
                <w:kern w:val="0"/>
                <w:sz w:val="22"/>
                <w:szCs w:val="22"/>
                <w:highlight w:val="none"/>
                <w:u w:val="none"/>
                <w:bdr w:val="none" w:color="auto" w:sz="0" w:space="0"/>
                <w:lang w:val="en-US" w:eastAsia="zh-CN" w:bidi="ar"/>
              </w:rPr>
              <w:br w:type="textWrapping"/>
            </w:r>
            <w:r>
              <w:rPr>
                <w:rFonts w:hint="eastAsia" w:ascii="宋体" w:hAnsi="宋体" w:eastAsia="宋体" w:cs="宋体"/>
                <w:i w:val="0"/>
                <w:iCs w:val="0"/>
                <w:color w:val="000000"/>
                <w:kern w:val="0"/>
                <w:sz w:val="22"/>
                <w:szCs w:val="22"/>
                <w:highlight w:val="none"/>
                <w:u w:val="none"/>
                <w:bdr w:val="none" w:color="auto" w:sz="0" w:space="0"/>
                <w:lang w:val="en-US" w:eastAsia="zh-CN" w:bidi="ar"/>
              </w:rPr>
              <w:t>3. 协同支持：配合其他服务（如渗透测试、专项检查、重保值守）开展工作，负责现场资料收集、进度同步、问题反馈，协助整理检查记录、整改方案等文档；</w:t>
            </w:r>
            <w:r>
              <w:rPr>
                <w:rFonts w:hint="eastAsia" w:ascii="宋体" w:hAnsi="宋体" w:eastAsia="宋体" w:cs="宋体"/>
                <w:i w:val="0"/>
                <w:iCs w:val="0"/>
                <w:color w:val="000000"/>
                <w:kern w:val="0"/>
                <w:sz w:val="22"/>
                <w:szCs w:val="22"/>
                <w:highlight w:val="none"/>
                <w:u w:val="none"/>
                <w:bdr w:val="none" w:color="auto" w:sz="0" w:space="0"/>
                <w:lang w:val="en-US" w:eastAsia="zh-CN" w:bidi="ar"/>
              </w:rPr>
              <w:br w:type="textWrapping"/>
            </w:r>
            <w:r>
              <w:rPr>
                <w:rFonts w:hint="eastAsia" w:ascii="宋体" w:hAnsi="宋体" w:eastAsia="宋体" w:cs="宋体"/>
                <w:i w:val="0"/>
                <w:iCs w:val="0"/>
                <w:color w:val="000000"/>
                <w:kern w:val="0"/>
                <w:sz w:val="22"/>
                <w:szCs w:val="22"/>
                <w:highlight w:val="none"/>
                <w:u w:val="none"/>
                <w:bdr w:val="none" w:color="auto" w:sz="0" w:space="0"/>
                <w:lang w:val="en-US" w:eastAsia="zh-CN" w:bidi="ar"/>
              </w:rPr>
              <w:t>4. 响应时效：日常问题（如配置咨询、小漏洞排查）2 小时内响应并处理；紧急问题（如系统告警、疑似攻击）30 分钟内响应，无法现场解决时 1 小时内协调技术团队支援；</w:t>
            </w:r>
          </w:p>
        </w:tc>
        <w:tc>
          <w:tcPr>
            <w:tcW w:w="457" w:type="dxa"/>
            <w:tcBorders>
              <w:top w:val="single" w:color="000000" w:sz="4" w:space="0"/>
              <w:left w:val="single" w:color="000000" w:sz="4" w:space="0"/>
              <w:bottom w:val="single" w:color="000000" w:sz="4" w:space="0"/>
              <w:right w:val="single" w:color="000000" w:sz="4" w:space="0"/>
            </w:tcBorders>
            <w:shd w:val="clear"/>
            <w:vAlign w:val="center"/>
          </w:tcPr>
          <w:p w14:paraId="4A3FAEB8">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年</w:t>
            </w:r>
          </w:p>
        </w:tc>
        <w:tc>
          <w:tcPr>
            <w:tcW w:w="431" w:type="dxa"/>
            <w:tcBorders>
              <w:top w:val="single" w:color="000000" w:sz="4" w:space="0"/>
              <w:left w:val="single" w:color="000000" w:sz="4" w:space="0"/>
              <w:bottom w:val="single" w:color="000000" w:sz="4" w:space="0"/>
              <w:right w:val="single" w:color="000000" w:sz="4" w:space="0"/>
            </w:tcBorders>
            <w:shd w:val="clear"/>
            <w:vAlign w:val="center"/>
          </w:tcPr>
          <w:p w14:paraId="5AB3D071">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1</w:t>
            </w: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60674AB4">
            <w:pPr>
              <w:rPr>
                <w:rFonts w:hint="eastAsia" w:ascii="宋体" w:hAnsi="宋体" w:eastAsia="宋体" w:cs="宋体"/>
                <w:i w:val="0"/>
                <w:iCs w:val="0"/>
                <w:color w:val="000000"/>
                <w:sz w:val="22"/>
                <w:szCs w:val="22"/>
                <w:highlight w:val="none"/>
                <w:u w:val="none"/>
              </w:rPr>
            </w:pPr>
          </w:p>
        </w:tc>
        <w:tc>
          <w:tcPr>
            <w:tcW w:w="858" w:type="dxa"/>
            <w:tcBorders>
              <w:top w:val="single" w:color="000000" w:sz="4" w:space="0"/>
              <w:left w:val="single" w:color="000000" w:sz="4" w:space="0"/>
              <w:bottom w:val="single" w:color="000000" w:sz="4" w:space="0"/>
              <w:right w:val="single" w:color="000000" w:sz="4" w:space="0"/>
            </w:tcBorders>
            <w:shd w:val="clear"/>
            <w:vAlign w:val="center"/>
          </w:tcPr>
          <w:p w14:paraId="0ADA9E6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bdr w:val="none" w:color="auto" w:sz="0" w:space="0"/>
                <w:lang w:val="en-US" w:eastAsia="zh-CN" w:bidi="ar"/>
              </w:rPr>
              <w:t xml:space="preserve">0.00 </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4B5116">
            <w:pPr>
              <w:rPr>
                <w:rFonts w:hint="eastAsia" w:ascii="宋体" w:hAnsi="宋体" w:eastAsia="宋体" w:cs="宋体"/>
                <w:i w:val="0"/>
                <w:iCs w:val="0"/>
                <w:color w:val="000000"/>
                <w:sz w:val="22"/>
                <w:szCs w:val="22"/>
                <w:highlight w:val="none"/>
                <w:u w:val="none"/>
              </w:rPr>
            </w:pPr>
          </w:p>
        </w:tc>
      </w:tr>
      <w:tr w14:paraId="5C7EF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1" w:hRule="atLeast"/>
        </w:trPr>
        <w:tc>
          <w:tcPr>
            <w:tcW w:w="1253" w:type="dxa"/>
            <w:gridSpan w:val="2"/>
            <w:tcBorders>
              <w:top w:val="single" w:color="000000" w:sz="4" w:space="0"/>
              <w:left w:val="single" w:color="000000" w:sz="4" w:space="0"/>
              <w:bottom w:val="single" w:color="000000" w:sz="4" w:space="0"/>
              <w:right w:val="single" w:color="000000" w:sz="4" w:space="0"/>
            </w:tcBorders>
            <w:shd w:val="clear"/>
            <w:vAlign w:val="center"/>
          </w:tcPr>
          <w:p w14:paraId="049E1E2D">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税率（%）</w:t>
            </w:r>
          </w:p>
        </w:tc>
        <w:tc>
          <w:tcPr>
            <w:tcW w:w="7122" w:type="dxa"/>
            <w:gridSpan w:val="6"/>
            <w:tcBorders>
              <w:top w:val="single" w:color="000000" w:sz="4" w:space="0"/>
              <w:left w:val="single" w:color="000000" w:sz="4" w:space="0"/>
              <w:bottom w:val="single" w:color="000000" w:sz="4" w:space="0"/>
              <w:right w:val="single" w:color="000000" w:sz="4" w:space="0"/>
            </w:tcBorders>
            <w:shd w:val="clear"/>
            <w:vAlign w:val="center"/>
          </w:tcPr>
          <w:p w14:paraId="75F6736F">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6%</w:t>
            </w:r>
          </w:p>
        </w:tc>
      </w:tr>
      <w:tr w14:paraId="2EA80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56" w:hRule="atLeast"/>
        </w:trPr>
        <w:tc>
          <w:tcPr>
            <w:tcW w:w="1253" w:type="dxa"/>
            <w:gridSpan w:val="2"/>
            <w:tcBorders>
              <w:top w:val="single" w:color="000000" w:sz="4" w:space="0"/>
              <w:left w:val="single" w:color="000000" w:sz="4" w:space="0"/>
              <w:bottom w:val="single" w:color="000000" w:sz="4" w:space="0"/>
              <w:right w:val="single" w:color="000000" w:sz="4" w:space="0"/>
            </w:tcBorders>
            <w:shd w:val="clear"/>
            <w:vAlign w:val="center"/>
          </w:tcPr>
          <w:p w14:paraId="0B762BCF">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含税总报价（元）</w:t>
            </w:r>
          </w:p>
        </w:tc>
        <w:tc>
          <w:tcPr>
            <w:tcW w:w="7122" w:type="dxa"/>
            <w:gridSpan w:val="6"/>
            <w:tcBorders>
              <w:top w:val="single" w:color="000000" w:sz="4" w:space="0"/>
              <w:left w:val="single" w:color="000000" w:sz="4" w:space="0"/>
              <w:bottom w:val="single" w:color="000000" w:sz="4" w:space="0"/>
              <w:right w:val="single" w:color="000000" w:sz="4" w:space="0"/>
            </w:tcBorders>
            <w:shd w:val="clear"/>
            <w:vAlign w:val="center"/>
          </w:tcPr>
          <w:p w14:paraId="0AED85AF">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Fonts w:hint="eastAsia" w:ascii="宋体" w:hAnsi="宋体" w:eastAsia="宋体" w:cs="宋体"/>
                <w:b/>
                <w:bCs/>
                <w:i w:val="0"/>
                <w:iCs w:val="0"/>
                <w:color w:val="000000"/>
                <w:kern w:val="0"/>
                <w:sz w:val="22"/>
                <w:szCs w:val="22"/>
                <w:highlight w:val="none"/>
                <w:u w:val="none"/>
                <w:bdr w:val="none" w:color="auto" w:sz="0" w:space="0"/>
                <w:lang w:val="en-US" w:eastAsia="zh-CN" w:bidi="ar"/>
              </w:rPr>
              <w:t xml:space="preserve">0.00 </w:t>
            </w:r>
          </w:p>
        </w:tc>
      </w:tr>
    </w:tbl>
    <w:p w14:paraId="07248345">
      <w:pPr>
        <w:spacing w:line="480" w:lineRule="auto"/>
        <w:jc w:val="left"/>
        <w:rPr>
          <w:rFonts w:hint="eastAsia" w:ascii="宋体" w:hAnsi="宋体"/>
          <w:b/>
          <w:color w:val="auto"/>
          <w:szCs w:val="21"/>
          <w:highlight w:val="none"/>
        </w:rPr>
      </w:pPr>
    </w:p>
    <w:p w14:paraId="6C13393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注：1</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含税</w:t>
      </w:r>
      <w:r>
        <w:rPr>
          <w:rFonts w:hint="eastAsia" w:ascii="宋体" w:hAnsi="宋体" w:eastAsia="宋体" w:cs="宋体"/>
          <w:b w:val="0"/>
          <w:bCs w:val="0"/>
          <w:color w:val="auto"/>
          <w:sz w:val="21"/>
          <w:szCs w:val="21"/>
          <w:highlight w:val="none"/>
        </w:rPr>
        <w:t>总报价应与</w:t>
      </w:r>
      <w:r>
        <w:rPr>
          <w:rFonts w:hint="eastAsia" w:ascii="宋体" w:hAnsi="宋体" w:eastAsia="宋体" w:cs="宋体"/>
          <w:b w:val="0"/>
          <w:bCs w:val="0"/>
          <w:color w:val="auto"/>
          <w:sz w:val="21"/>
          <w:szCs w:val="21"/>
          <w:highlight w:val="none"/>
          <w:lang w:eastAsia="zh-CN"/>
        </w:rPr>
        <w:t>竞争性比选</w:t>
      </w:r>
      <w:r>
        <w:rPr>
          <w:rFonts w:hint="eastAsia" w:ascii="宋体" w:hAnsi="宋体" w:eastAsia="宋体" w:cs="宋体"/>
          <w:b w:val="0"/>
          <w:bCs w:val="0"/>
          <w:color w:val="auto"/>
          <w:sz w:val="21"/>
          <w:szCs w:val="21"/>
          <w:highlight w:val="none"/>
        </w:rPr>
        <w:t>响应声明书中的报价一致；所有价格均系用人民币表示，单位为“元”，报价最多精确到小数点后两位。</w:t>
      </w:r>
    </w:p>
    <w:p w14:paraId="095FD5B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s="Times New Roman"/>
          <w:b w:val="0"/>
          <w:bCs w:val="0"/>
          <w:color w:val="auto"/>
          <w:highlight w:val="none"/>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人应仔细核实</w:t>
      </w:r>
      <w:r>
        <w:rPr>
          <w:rFonts w:hint="eastAsia" w:ascii="宋体" w:hAnsi="宋体" w:eastAsia="宋体" w:cs="宋体"/>
          <w:b w:val="0"/>
          <w:bCs w:val="0"/>
          <w:color w:val="auto"/>
          <w:sz w:val="21"/>
          <w:szCs w:val="21"/>
          <w:highlight w:val="none"/>
          <w:lang w:val="en-US" w:eastAsia="zh-CN"/>
        </w:rPr>
        <w:t>比选</w:t>
      </w:r>
      <w:r>
        <w:rPr>
          <w:rFonts w:hint="eastAsia" w:ascii="宋体" w:hAnsi="宋体" w:eastAsia="宋体" w:cs="宋体"/>
          <w:b w:val="0"/>
          <w:bCs w:val="0"/>
          <w:color w:val="auto"/>
          <w:sz w:val="21"/>
          <w:szCs w:val="21"/>
          <w:highlight w:val="none"/>
        </w:rPr>
        <w:t>范围内所包含的所有计费项目，未报及漏</w:t>
      </w:r>
      <w:bookmarkStart w:id="241" w:name="_GoBack"/>
      <w:bookmarkEnd w:id="241"/>
      <w:r>
        <w:rPr>
          <w:rFonts w:hint="eastAsia" w:ascii="宋体" w:hAnsi="宋体" w:eastAsia="宋体" w:cs="宋体"/>
          <w:b w:val="0"/>
          <w:bCs w:val="0"/>
          <w:color w:val="auto"/>
          <w:sz w:val="21"/>
          <w:szCs w:val="21"/>
          <w:highlight w:val="none"/>
        </w:rPr>
        <w:t>报的项目将视为是</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人对</w:t>
      </w:r>
      <w:r>
        <w:rPr>
          <w:rFonts w:hint="eastAsia" w:ascii="宋体" w:hAnsi="宋体" w:eastAsia="宋体" w:cs="宋体"/>
          <w:b w:val="0"/>
          <w:bCs w:val="0"/>
          <w:color w:val="auto"/>
          <w:sz w:val="21"/>
          <w:szCs w:val="21"/>
          <w:highlight w:val="none"/>
          <w:lang w:val="en-US" w:eastAsia="zh-CN"/>
        </w:rPr>
        <w:t>采购</w:t>
      </w:r>
      <w:r>
        <w:rPr>
          <w:rFonts w:hint="eastAsia" w:ascii="宋体" w:hAnsi="宋体" w:eastAsia="宋体" w:cs="宋体"/>
          <w:b w:val="0"/>
          <w:bCs w:val="0"/>
          <w:color w:val="auto"/>
          <w:sz w:val="21"/>
          <w:szCs w:val="21"/>
          <w:highlight w:val="none"/>
        </w:rPr>
        <w:t>人进行优惠，结算时不再进行增加。</w:t>
      </w:r>
    </w:p>
    <w:p w14:paraId="7185A822">
      <w:pPr>
        <w:keepNext w:val="0"/>
        <w:keepLines w:val="0"/>
        <w:pageBreakBefore w:val="0"/>
        <w:widowControl w:val="0"/>
        <w:kinsoku/>
        <w:wordWrap/>
        <w:overflowPunct/>
        <w:topLinePunct w:val="0"/>
        <w:autoSpaceDE/>
        <w:autoSpaceDN/>
        <w:bidi w:val="0"/>
        <w:adjustRightInd/>
        <w:snapToGrid/>
        <w:spacing w:line="480" w:lineRule="auto"/>
        <w:ind w:firstLine="4800" w:firstLineChars="2000"/>
        <w:textAlignment w:val="auto"/>
        <w:rPr>
          <w:rFonts w:hint="eastAsia" w:ascii="宋体" w:hAnsi="宋体"/>
          <w:b w:val="0"/>
          <w:bCs w:val="0"/>
          <w:color w:val="auto"/>
          <w:sz w:val="24"/>
          <w:highlight w:val="none"/>
        </w:rPr>
      </w:pPr>
    </w:p>
    <w:p w14:paraId="0A491143">
      <w:pPr>
        <w:tabs>
          <w:tab w:val="left" w:pos="7140"/>
          <w:tab w:val="left" w:pos="7560"/>
          <w:tab w:val="left" w:pos="8300"/>
        </w:tabs>
        <w:autoSpaceDE w:val="0"/>
        <w:autoSpaceDN w:val="0"/>
        <w:adjustRightInd w:val="0"/>
        <w:ind w:firstLine="420" w:firstLineChars="200"/>
        <w:jc w:val="right"/>
        <w:rPr>
          <w:rFonts w:hint="eastAsia" w:ascii="宋体" w:hAnsi="宋体"/>
          <w:b w:val="0"/>
          <w:bCs w:val="0"/>
          <w:color w:val="auto"/>
          <w:kern w:val="0"/>
          <w:szCs w:val="21"/>
          <w:highlight w:val="none"/>
          <w:lang w:val="en-US" w:eastAsia="zh-CN"/>
        </w:rPr>
      </w:pPr>
    </w:p>
    <w:p w14:paraId="4FDC4D30">
      <w:pPr>
        <w:tabs>
          <w:tab w:val="left" w:pos="7140"/>
          <w:tab w:val="left" w:pos="7560"/>
          <w:tab w:val="left" w:pos="8300"/>
        </w:tabs>
        <w:autoSpaceDE w:val="0"/>
        <w:autoSpaceDN w:val="0"/>
        <w:adjustRightInd w:val="0"/>
        <w:spacing w:line="360" w:lineRule="auto"/>
        <w:ind w:right="210" w:firstLine="3584" w:firstLineChars="1700"/>
        <w:rPr>
          <w:rFonts w:ascii="宋体" w:hAnsi="宋体" w:eastAsia="宋体"/>
          <w:b/>
          <w:bCs/>
          <w:snapToGrid w:val="0"/>
          <w:color w:val="auto"/>
          <w:kern w:val="0"/>
          <w:szCs w:val="21"/>
          <w:highlight w:val="none"/>
        </w:rPr>
      </w:pPr>
      <w:r>
        <w:rPr>
          <w:rFonts w:hint="eastAsia" w:ascii="宋体" w:hAnsi="宋体" w:eastAsia="宋体"/>
          <w:b/>
          <w:bCs/>
          <w:snapToGrid w:val="0"/>
          <w:color w:val="auto"/>
          <w:kern w:val="0"/>
          <w:szCs w:val="21"/>
          <w:highlight w:val="none"/>
          <w:lang w:val="en-US" w:eastAsia="zh-CN"/>
        </w:rPr>
        <w:t>报</w:t>
      </w:r>
      <w:r>
        <w:rPr>
          <w:rFonts w:ascii="宋体" w:hAnsi="宋体" w:eastAsia="宋体"/>
          <w:b/>
          <w:bCs/>
          <w:snapToGrid w:val="0"/>
          <w:color w:val="auto"/>
          <w:kern w:val="0"/>
          <w:szCs w:val="21"/>
          <w:highlight w:val="none"/>
        </w:rPr>
        <w:t xml:space="preserve">  </w:t>
      </w:r>
      <w:r>
        <w:rPr>
          <w:rFonts w:hint="eastAsia" w:ascii="宋体" w:hAnsi="宋体" w:eastAsia="宋体"/>
          <w:b/>
          <w:bCs/>
          <w:snapToGrid w:val="0"/>
          <w:color w:val="auto"/>
          <w:kern w:val="0"/>
          <w:szCs w:val="21"/>
          <w:highlight w:val="none"/>
          <w:lang w:val="en-US" w:eastAsia="zh-CN"/>
        </w:rPr>
        <w:t>价</w:t>
      </w:r>
      <w:r>
        <w:rPr>
          <w:rFonts w:ascii="宋体" w:hAnsi="宋体" w:eastAsia="宋体"/>
          <w:b/>
          <w:bCs/>
          <w:snapToGrid w:val="0"/>
          <w:color w:val="auto"/>
          <w:kern w:val="0"/>
          <w:szCs w:val="21"/>
          <w:highlight w:val="none"/>
        </w:rPr>
        <w:t xml:space="preserve">  人：</w:t>
      </w:r>
      <w:r>
        <w:rPr>
          <w:rFonts w:ascii="宋体" w:hAnsi="宋体" w:eastAsia="宋体"/>
          <w:b/>
          <w:bCs/>
          <w:snapToGrid w:val="0"/>
          <w:color w:val="auto"/>
          <w:kern w:val="0"/>
          <w:szCs w:val="21"/>
          <w:highlight w:val="none"/>
          <w:u w:val="single"/>
        </w:rPr>
        <w:t xml:space="preserve">     </w:t>
      </w:r>
      <w:r>
        <w:rPr>
          <w:rFonts w:hint="eastAsia" w:ascii="宋体" w:hAnsi="宋体" w:eastAsia="宋体"/>
          <w:b/>
          <w:bCs/>
          <w:snapToGrid w:val="0"/>
          <w:color w:val="auto"/>
          <w:kern w:val="0"/>
          <w:szCs w:val="21"/>
          <w:highlight w:val="none"/>
          <w:u w:val="single"/>
        </w:rPr>
        <w:t xml:space="preserve">       </w:t>
      </w:r>
      <w:r>
        <w:rPr>
          <w:rFonts w:ascii="宋体" w:hAnsi="宋体" w:eastAsia="宋体"/>
          <w:b/>
          <w:bCs/>
          <w:snapToGrid w:val="0"/>
          <w:color w:val="auto"/>
          <w:kern w:val="0"/>
          <w:szCs w:val="21"/>
          <w:highlight w:val="none"/>
          <w:u w:val="single"/>
        </w:rPr>
        <w:t xml:space="preserve">  </w:t>
      </w:r>
      <w:r>
        <w:rPr>
          <w:rFonts w:ascii="宋体" w:hAnsi="宋体" w:eastAsia="宋体"/>
          <w:b/>
          <w:bCs/>
          <w:snapToGrid w:val="0"/>
          <w:color w:val="auto"/>
          <w:kern w:val="0"/>
          <w:szCs w:val="21"/>
          <w:highlight w:val="none"/>
        </w:rPr>
        <w:t>（盖单位</w:t>
      </w:r>
      <w:r>
        <w:rPr>
          <w:rFonts w:hint="eastAsia" w:ascii="宋体" w:hAnsi="宋体" w:eastAsia="宋体"/>
          <w:b/>
          <w:bCs/>
          <w:snapToGrid w:val="0"/>
          <w:color w:val="auto"/>
          <w:kern w:val="0"/>
          <w:szCs w:val="21"/>
          <w:highlight w:val="none"/>
          <w:lang w:val="en-US" w:eastAsia="zh-CN"/>
        </w:rPr>
        <w:t>公</w:t>
      </w:r>
      <w:r>
        <w:rPr>
          <w:rFonts w:ascii="宋体" w:hAnsi="宋体" w:eastAsia="宋体"/>
          <w:b/>
          <w:bCs/>
          <w:snapToGrid w:val="0"/>
          <w:color w:val="auto"/>
          <w:kern w:val="0"/>
          <w:szCs w:val="21"/>
          <w:highlight w:val="none"/>
        </w:rPr>
        <w:t xml:space="preserve">章） </w:t>
      </w:r>
    </w:p>
    <w:p w14:paraId="582D7244">
      <w:pPr>
        <w:tabs>
          <w:tab w:val="left" w:pos="7140"/>
          <w:tab w:val="left" w:pos="7560"/>
          <w:tab w:val="left" w:pos="8300"/>
        </w:tabs>
        <w:autoSpaceDE w:val="0"/>
        <w:autoSpaceDN w:val="0"/>
        <w:adjustRightInd w:val="0"/>
        <w:ind w:firstLine="422" w:firstLineChars="200"/>
        <w:jc w:val="right"/>
        <w:rPr>
          <w:rFonts w:hint="eastAsia" w:ascii="宋体" w:hAnsi="宋体" w:eastAsia="宋体"/>
          <w:b/>
          <w:bCs/>
          <w:snapToGrid w:val="0"/>
          <w:color w:val="auto"/>
          <w:kern w:val="0"/>
          <w:szCs w:val="21"/>
          <w:highlight w:val="none"/>
        </w:rPr>
      </w:pPr>
      <w:r>
        <w:rPr>
          <w:rFonts w:ascii="宋体" w:hAnsi="宋体" w:eastAsia="宋体"/>
          <w:b/>
          <w:bCs/>
          <w:snapToGrid w:val="0"/>
          <w:color w:val="auto"/>
          <w:kern w:val="0"/>
          <w:szCs w:val="21"/>
          <w:highlight w:val="none"/>
        </w:rPr>
        <w:t>法定代表人或其委托代理人：</w:t>
      </w:r>
      <w:r>
        <w:rPr>
          <w:rFonts w:ascii="宋体" w:hAnsi="宋体" w:eastAsia="宋体"/>
          <w:b/>
          <w:bCs/>
          <w:snapToGrid w:val="0"/>
          <w:color w:val="auto"/>
          <w:kern w:val="0"/>
          <w:szCs w:val="21"/>
          <w:highlight w:val="none"/>
          <w:u w:val="single"/>
        </w:rPr>
        <w:t xml:space="preserve">  </w:t>
      </w:r>
      <w:r>
        <w:rPr>
          <w:rFonts w:hint="eastAsia" w:ascii="宋体" w:hAnsi="宋体" w:eastAsia="宋体"/>
          <w:b/>
          <w:bCs/>
          <w:snapToGrid w:val="0"/>
          <w:color w:val="auto"/>
          <w:kern w:val="0"/>
          <w:szCs w:val="21"/>
          <w:highlight w:val="none"/>
          <w:u w:val="single"/>
        </w:rPr>
        <w:t xml:space="preserve">   </w:t>
      </w:r>
      <w:r>
        <w:rPr>
          <w:rFonts w:ascii="宋体" w:hAnsi="宋体" w:eastAsia="宋体"/>
          <w:b/>
          <w:bCs/>
          <w:snapToGrid w:val="0"/>
          <w:color w:val="auto"/>
          <w:kern w:val="0"/>
          <w:szCs w:val="21"/>
          <w:highlight w:val="none"/>
        </w:rPr>
        <w:t>（</w:t>
      </w:r>
      <w:r>
        <w:rPr>
          <w:rFonts w:hint="eastAsia" w:ascii="宋体" w:hAnsi="宋体" w:eastAsia="宋体"/>
          <w:b/>
          <w:bCs/>
          <w:snapToGrid w:val="0"/>
          <w:color w:val="auto"/>
          <w:kern w:val="0"/>
          <w:szCs w:val="21"/>
          <w:highlight w:val="none"/>
        </w:rPr>
        <w:t>签名</w:t>
      </w:r>
      <w:r>
        <w:rPr>
          <w:rFonts w:ascii="宋体" w:hAnsi="宋体" w:eastAsia="宋体"/>
          <w:b/>
          <w:bCs/>
          <w:snapToGrid w:val="0"/>
          <w:color w:val="auto"/>
          <w:kern w:val="0"/>
          <w:szCs w:val="21"/>
          <w:highlight w:val="none"/>
        </w:rPr>
        <w:t xml:space="preserve">或盖章） </w:t>
      </w:r>
    </w:p>
    <w:p w14:paraId="4C6F8165">
      <w:pPr>
        <w:jc w:val="right"/>
        <w:rPr>
          <w:rFonts w:hint="eastAsia" w:ascii="宋体" w:hAnsi="宋体" w:eastAsia="宋体"/>
          <w:b/>
          <w:bCs/>
          <w:color w:val="auto"/>
          <w:kern w:val="0"/>
          <w:szCs w:val="21"/>
          <w:highlight w:val="none"/>
          <w:u w:val="single"/>
        </w:rPr>
      </w:pPr>
    </w:p>
    <w:p w14:paraId="08E2F58D">
      <w:pPr>
        <w:jc w:val="right"/>
        <w:rPr>
          <w:rFonts w:hint="eastAsia" w:ascii="宋体" w:hAnsi="宋体" w:eastAsia="宋体"/>
          <w:b/>
          <w:bCs/>
          <w:color w:val="auto"/>
          <w:kern w:val="0"/>
          <w:szCs w:val="21"/>
          <w:highlight w:val="none"/>
        </w:rPr>
      </w:pPr>
      <w:r>
        <w:rPr>
          <w:rFonts w:hint="eastAsia" w:ascii="宋体" w:hAnsi="宋体" w:eastAsia="宋体"/>
          <w:b/>
          <w:bCs/>
          <w:color w:val="auto"/>
          <w:kern w:val="0"/>
          <w:szCs w:val="21"/>
          <w:highlight w:val="none"/>
          <w:u w:val="single"/>
        </w:rPr>
        <w:t xml:space="preserve">    </w:t>
      </w:r>
      <w:r>
        <w:rPr>
          <w:rFonts w:ascii="宋体" w:hAnsi="宋体" w:eastAsia="宋体"/>
          <w:b/>
          <w:bCs/>
          <w:color w:val="auto"/>
          <w:kern w:val="0"/>
          <w:szCs w:val="21"/>
          <w:highlight w:val="none"/>
        </w:rPr>
        <w:t>年</w:t>
      </w:r>
      <w:r>
        <w:rPr>
          <w:rFonts w:hint="eastAsia" w:ascii="宋体" w:hAnsi="宋体" w:eastAsia="宋体"/>
          <w:b/>
          <w:bCs/>
          <w:color w:val="auto"/>
          <w:kern w:val="0"/>
          <w:szCs w:val="21"/>
          <w:highlight w:val="none"/>
          <w:u w:val="single"/>
        </w:rPr>
        <w:t xml:space="preserve">    </w:t>
      </w:r>
      <w:r>
        <w:rPr>
          <w:rFonts w:ascii="宋体" w:hAnsi="宋体" w:eastAsia="宋体"/>
          <w:b/>
          <w:bCs/>
          <w:color w:val="auto"/>
          <w:kern w:val="0"/>
          <w:szCs w:val="21"/>
          <w:highlight w:val="none"/>
        </w:rPr>
        <w:t>月</w:t>
      </w:r>
      <w:r>
        <w:rPr>
          <w:rFonts w:hint="eastAsia" w:ascii="宋体" w:hAnsi="宋体" w:eastAsia="宋体"/>
          <w:b/>
          <w:bCs/>
          <w:color w:val="auto"/>
          <w:kern w:val="0"/>
          <w:szCs w:val="21"/>
          <w:highlight w:val="none"/>
          <w:u w:val="single"/>
        </w:rPr>
        <w:t xml:space="preserve">    </w:t>
      </w:r>
      <w:r>
        <w:rPr>
          <w:rFonts w:ascii="宋体" w:hAnsi="宋体" w:eastAsia="宋体"/>
          <w:b/>
          <w:bCs/>
          <w:color w:val="auto"/>
          <w:kern w:val="0"/>
          <w:szCs w:val="21"/>
          <w:highlight w:val="none"/>
        </w:rPr>
        <w:t>日</w:t>
      </w:r>
    </w:p>
    <w:p w14:paraId="400E3C39">
      <w:pPr>
        <w:pStyle w:val="3"/>
        <w:spacing w:before="0" w:after="0" w:line="36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bookmarkStart w:id="229" w:name="_Toc18757"/>
      <w:bookmarkStart w:id="230" w:name="_Toc4544"/>
      <w:bookmarkStart w:id="231" w:name="_Toc12910"/>
      <w:bookmarkStart w:id="232" w:name="_Toc11961"/>
      <w:r>
        <w:rPr>
          <w:rFonts w:hint="eastAsia" w:ascii="宋体" w:hAnsi="宋体" w:eastAsia="宋体" w:cs="宋体"/>
          <w:color w:val="auto"/>
          <w:sz w:val="28"/>
          <w:highlight w:val="none"/>
        </w:rPr>
        <w:t>四、资格审查资料</w:t>
      </w:r>
      <w:bookmarkEnd w:id="218"/>
      <w:bookmarkEnd w:id="219"/>
      <w:bookmarkEnd w:id="220"/>
      <w:bookmarkEnd w:id="229"/>
      <w:bookmarkEnd w:id="230"/>
      <w:bookmarkEnd w:id="231"/>
      <w:bookmarkEnd w:id="232"/>
    </w:p>
    <w:bookmarkEnd w:id="221"/>
    <w:bookmarkEnd w:id="222"/>
    <w:bookmarkEnd w:id="223"/>
    <w:bookmarkEnd w:id="224"/>
    <w:bookmarkEnd w:id="225"/>
    <w:bookmarkEnd w:id="226"/>
    <w:bookmarkEnd w:id="227"/>
    <w:bookmarkEnd w:id="228"/>
    <w:p w14:paraId="1F791267">
      <w:pPr>
        <w:pageBreakBefore w:val="0"/>
        <w:widowControl w:val="0"/>
        <w:kinsoku/>
        <w:overflowPunct/>
        <w:topLinePunct w:val="0"/>
        <w:autoSpaceDE/>
        <w:autoSpaceDN/>
        <w:bidi w:val="0"/>
        <w:adjustRightInd/>
        <w:snapToGrid/>
        <w:jc w:val="center"/>
        <w:textAlignment w:val="auto"/>
        <w:outlineLvl w:val="9"/>
        <w:rPr>
          <w:rFonts w:ascii="宋体" w:hAnsi="宋体" w:eastAsia="宋体" w:cs="宋体"/>
          <w:b/>
          <w:bCs/>
          <w:color w:val="auto"/>
          <w:sz w:val="28"/>
          <w:szCs w:val="28"/>
          <w:highlight w:val="none"/>
        </w:rPr>
      </w:pPr>
      <w:bookmarkStart w:id="233" w:name="_Toc503951058"/>
      <w:bookmarkStart w:id="234" w:name="_Toc513633974"/>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一</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资格审查资料</w:t>
      </w:r>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328CF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79B631C1">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2EE4D1D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5C33B56F">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017B0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664" w:type="dxa"/>
            <w:tcBorders>
              <w:top w:val="single" w:color="auto" w:sz="4" w:space="0"/>
              <w:left w:val="single" w:color="auto" w:sz="4" w:space="0"/>
              <w:bottom w:val="single" w:color="auto" w:sz="4" w:space="0"/>
              <w:right w:val="single" w:color="auto" w:sz="4" w:space="0"/>
            </w:tcBorders>
            <w:vAlign w:val="center"/>
          </w:tcPr>
          <w:p w14:paraId="7F003F17">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1A5D47E6">
            <w:pPr>
              <w:spacing w:line="400" w:lineRule="exact"/>
              <w:jc w:val="center"/>
              <w:rPr>
                <w:rFonts w:ascii="宋体" w:hAnsi="宋体" w:cs="宋体"/>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10E7F3D6">
            <w:pPr>
              <w:spacing w:line="400" w:lineRule="exact"/>
              <w:ind w:firstLine="420" w:firstLineChars="200"/>
              <w:rPr>
                <w:rFonts w:hint="eastAsia" w:ascii="宋体" w:hAnsi="宋体" w:eastAsia="宋体" w:cs="宋体"/>
                <w:color w:val="auto"/>
                <w:szCs w:val="21"/>
                <w:highlight w:val="none"/>
                <w:lang w:val="en-US" w:eastAsia="zh-CN"/>
              </w:rPr>
            </w:pPr>
            <w:bookmarkStart w:id="235" w:name="资质要求2"/>
            <w:r>
              <w:rPr>
                <w:rFonts w:hint="eastAsia" w:ascii="宋体" w:hAnsi="宋体" w:eastAsia="宋体" w:cs="宋体"/>
                <w:i w:val="0"/>
                <w:iCs w:val="0"/>
                <w:caps w:val="0"/>
                <w:color w:val="auto"/>
                <w:spacing w:val="0"/>
                <w:sz w:val="21"/>
                <w:szCs w:val="21"/>
                <w:highlight w:val="none"/>
                <w:shd w:val="clear" w:fill="FCFCFC"/>
              </w:rPr>
              <w:t>报价人具有独立法人资格和有效的营业执照。</w:t>
            </w:r>
            <w:bookmarkEnd w:id="235"/>
          </w:p>
        </w:tc>
      </w:tr>
      <w:tr w14:paraId="7FAEC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02303C10">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74A722EE">
            <w:pPr>
              <w:spacing w:line="400" w:lineRule="exact"/>
              <w:jc w:val="center"/>
              <w:rPr>
                <w:rFonts w:hint="eastAsia" w:ascii="宋体" w:hAnsi="宋体" w:cs="宋体"/>
                <w:color w:val="auto"/>
                <w:szCs w:val="21"/>
                <w:highlight w:val="none"/>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65E64E1B">
            <w:pPr>
              <w:spacing w:line="400" w:lineRule="exact"/>
              <w:ind w:firstLine="420" w:firstLineChars="200"/>
              <w:rPr>
                <w:rFonts w:hint="eastAsia" w:ascii="宋体" w:hAnsi="宋体" w:cs="宋体"/>
                <w:color w:val="auto"/>
                <w:szCs w:val="21"/>
                <w:highlight w:val="none"/>
                <w:shd w:val="clear" w:color="auto" w:fill="FFFFFF"/>
              </w:rPr>
            </w:pPr>
            <w:bookmarkStart w:id="236" w:name="业绩要求2"/>
            <w:r>
              <w:rPr>
                <w:rFonts w:hint="eastAsia" w:ascii="宋体" w:hAnsi="宋体" w:eastAsia="宋体" w:cs="宋体"/>
                <w:color w:val="auto"/>
                <w:sz w:val="21"/>
                <w:szCs w:val="21"/>
                <w:highlight w:val="none"/>
                <w:lang w:val="en-US" w:eastAsia="zh-CN"/>
              </w:rPr>
              <w:t>2022年1月1日至报价截止日期（以合同签订时间为准）至少独立完成一项合同金额不低于15万元的网络安全建设或服务项目相关业绩。</w:t>
            </w:r>
            <w:bookmarkEnd w:id="236"/>
          </w:p>
        </w:tc>
      </w:tr>
      <w:tr w14:paraId="6BC8A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25BA38E4">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35176863">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752A7A17">
            <w:pPr>
              <w:spacing w:line="400" w:lineRule="exact"/>
              <w:jc w:val="center"/>
              <w:rPr>
                <w:rFonts w:hint="eastAsia" w:ascii="宋体" w:hAnsi="宋体" w:cs="宋体"/>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2E66956C">
            <w:pPr>
              <w:spacing w:line="400" w:lineRule="exact"/>
              <w:ind w:firstLine="420" w:firstLineChars="200"/>
              <w:rPr>
                <w:rFonts w:hint="eastAsia" w:ascii="宋体" w:hAnsi="宋体" w:eastAsia="宋体" w:cs="宋体"/>
                <w:color w:val="auto"/>
                <w:sz w:val="21"/>
                <w:szCs w:val="21"/>
                <w:highlight w:val="none"/>
                <w:lang w:val="en-US" w:eastAsia="zh-CN"/>
              </w:rPr>
            </w:pPr>
            <w:bookmarkStart w:id="237" w:name="主要管理人员要求1"/>
            <w:r>
              <w:rPr>
                <w:rFonts w:hint="eastAsia" w:ascii="宋体" w:hAnsi="宋体" w:eastAsia="宋体" w:cs="宋体"/>
                <w:color w:val="auto"/>
                <w:sz w:val="21"/>
                <w:szCs w:val="21"/>
                <w:highlight w:val="none"/>
                <w:lang w:val="en-US" w:eastAsia="zh-CN"/>
              </w:rPr>
              <w:t>项目负责人1人，需为报价人公司正式员工，3年以上相关工作经验。</w:t>
            </w:r>
            <w:bookmarkEnd w:id="237"/>
          </w:p>
        </w:tc>
      </w:tr>
      <w:tr w14:paraId="7BFA8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4EC7C908">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6F4A89E2">
            <w:pPr>
              <w:spacing w:line="400" w:lineRule="exact"/>
              <w:jc w:val="center"/>
              <w:rPr>
                <w:rFonts w:hint="eastAsia" w:ascii="宋体" w:hAnsi="宋体" w:cs="宋体"/>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1FCAB874">
            <w:pPr>
              <w:spacing w:line="400" w:lineRule="exact"/>
              <w:ind w:firstLine="420" w:firstLineChars="200"/>
              <w:rPr>
                <w:rFonts w:hint="eastAsia" w:ascii="宋体" w:hAnsi="宋体" w:eastAsia="宋体" w:cs="宋体"/>
                <w:color w:val="auto"/>
                <w:sz w:val="21"/>
                <w:szCs w:val="21"/>
                <w:highlight w:val="none"/>
                <w:lang w:val="en-US" w:eastAsia="zh-CN"/>
              </w:rPr>
            </w:pPr>
            <w:bookmarkStart w:id="238" w:name="其他人员要求1"/>
            <w:r>
              <w:rPr>
                <w:rFonts w:hint="eastAsia" w:ascii="宋体" w:hAnsi="宋体" w:cs="宋体"/>
                <w:b w:val="0"/>
                <w:bCs w:val="0"/>
                <w:color w:val="auto"/>
                <w:szCs w:val="21"/>
                <w:highlight w:val="none"/>
                <w:lang w:val="en-US" w:eastAsia="zh-CN"/>
              </w:rPr>
              <w:t>项目成员1人，需为报价人公司正式员工。</w:t>
            </w:r>
            <w:bookmarkEnd w:id="238"/>
          </w:p>
        </w:tc>
      </w:tr>
      <w:tr w14:paraId="55F82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6F0452BE">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385297BA">
            <w:pPr>
              <w:spacing w:line="400" w:lineRule="exact"/>
              <w:jc w:val="center"/>
              <w:rPr>
                <w:rFonts w:ascii="宋体" w:hAnsi="宋体" w:cs="宋体"/>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06F307AD">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28C62C4A">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注：1.提供营业执照复印件，并加盖</w:t>
      </w:r>
      <w:r>
        <w:rPr>
          <w:rFonts w:hint="eastAsia" w:hAnsi="宋体"/>
          <w:b/>
          <w:bCs/>
          <w:color w:val="auto"/>
          <w:sz w:val="21"/>
          <w:szCs w:val="21"/>
          <w:highlight w:val="none"/>
          <w:lang w:val="en-US" w:eastAsia="zh-CN"/>
        </w:rPr>
        <w:t>公</w:t>
      </w:r>
      <w:r>
        <w:rPr>
          <w:rFonts w:hint="eastAsia" w:hAnsi="宋体"/>
          <w:b/>
          <w:bCs/>
          <w:color w:val="auto"/>
          <w:sz w:val="21"/>
          <w:szCs w:val="21"/>
          <w:highlight w:val="none"/>
        </w:rPr>
        <w:t>章。</w:t>
      </w:r>
    </w:p>
    <w:p w14:paraId="7D852F8A">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23BC843F">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b/>
          <w:bCs/>
          <w:color w:val="auto"/>
          <w:sz w:val="21"/>
          <w:szCs w:val="21"/>
          <w:highlight w:val="none"/>
          <w:lang w:val="en-US" w:eastAsia="zh-CN"/>
        </w:rPr>
      </w:pPr>
      <w:r>
        <w:rPr>
          <w:rFonts w:hint="eastAsia"/>
          <w:b/>
          <w:bCs/>
          <w:color w:val="auto"/>
          <w:sz w:val="21"/>
          <w:szCs w:val="21"/>
          <w:highlight w:val="none"/>
          <w:lang w:val="en-US" w:eastAsia="zh-CN"/>
        </w:rPr>
        <w:t>3.以上人员要求为最低要求，后续根据项目具体情况及项目部要求追加人员，满足项目现场进度需要，报价人自行承诺即可，无需提供相关证明材料。</w:t>
      </w:r>
    </w:p>
    <w:p w14:paraId="7D30D4F9">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4.信誉要求报价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0A9F8B42">
      <w:pPr>
        <w:rPr>
          <w:color w:val="auto"/>
          <w:highlight w:val="none"/>
        </w:rPr>
      </w:pPr>
    </w:p>
    <w:p w14:paraId="178AC969">
      <w:pPr>
        <w:pStyle w:val="4"/>
        <w:jc w:val="center"/>
        <w:rPr>
          <w:rFonts w:ascii="宋体" w:hAnsi="宋体" w:cs="宋体"/>
          <w:color w:val="auto"/>
          <w:sz w:val="28"/>
          <w:highlight w:val="none"/>
        </w:rPr>
      </w:pPr>
    </w:p>
    <w:p w14:paraId="026362C9">
      <w:pPr>
        <w:rPr>
          <w:rFonts w:ascii="宋体" w:hAnsi="宋体" w:cs="宋体"/>
          <w:color w:val="auto"/>
          <w:sz w:val="28"/>
          <w:highlight w:val="none"/>
        </w:rPr>
      </w:pPr>
    </w:p>
    <w:p w14:paraId="229B5C7F">
      <w:pPr>
        <w:pStyle w:val="17"/>
        <w:rPr>
          <w:rFonts w:ascii="宋体" w:hAnsi="宋体" w:cs="宋体"/>
          <w:color w:val="auto"/>
          <w:sz w:val="28"/>
          <w:highlight w:val="none"/>
        </w:rPr>
      </w:pPr>
    </w:p>
    <w:p w14:paraId="0AEC0336">
      <w:pPr>
        <w:jc w:val="cente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20"/>
          <w:highlight w:val="none"/>
        </w:rPr>
        <w:t>商务部分偏离表</w:t>
      </w:r>
    </w:p>
    <w:p w14:paraId="1DE110FC">
      <w:pPr>
        <w:jc w:val="center"/>
        <w:rPr>
          <w:rFonts w:hint="eastAsia" w:ascii="宋体" w:hAnsi="宋体" w:cs="宋体"/>
          <w:b/>
          <w:bCs/>
          <w:color w:val="auto"/>
          <w:kern w:val="0"/>
          <w:sz w:val="28"/>
          <w:szCs w:val="20"/>
          <w:highlight w:val="none"/>
          <w:lang w:eastAsia="zh-CN"/>
        </w:rPr>
      </w:pPr>
    </w:p>
    <w:tbl>
      <w:tblPr>
        <w:tblStyle w:val="42"/>
        <w:tblW w:w="93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3"/>
        <w:gridCol w:w="1252"/>
        <w:gridCol w:w="1417"/>
        <w:gridCol w:w="1843"/>
        <w:gridCol w:w="1526"/>
        <w:gridCol w:w="1417"/>
        <w:gridCol w:w="1134"/>
      </w:tblGrid>
      <w:tr w14:paraId="5AA3AF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33" w:type="dxa"/>
            <w:tcBorders>
              <w:top w:val="single" w:color="auto" w:sz="4" w:space="0"/>
              <w:left w:val="single" w:color="auto" w:sz="4" w:space="0"/>
              <w:bottom w:val="single" w:color="auto" w:sz="4" w:space="0"/>
              <w:right w:val="single" w:color="auto" w:sz="4" w:space="0"/>
            </w:tcBorders>
            <w:vAlign w:val="center"/>
          </w:tcPr>
          <w:p w14:paraId="06DA806D">
            <w:pPr>
              <w:spacing w:line="320" w:lineRule="exact"/>
              <w:jc w:val="center"/>
              <w:rPr>
                <w:rFonts w:hint="eastAsia" w:ascii="宋体" w:hAnsi="宋体"/>
                <w:color w:val="auto"/>
                <w:szCs w:val="21"/>
                <w:highlight w:val="none"/>
              </w:rPr>
            </w:pPr>
            <w:r>
              <w:rPr>
                <w:rFonts w:hint="eastAsia" w:ascii="宋体" w:hAnsi="宋体"/>
                <w:color w:val="auto"/>
                <w:szCs w:val="21"/>
                <w:highlight w:val="none"/>
              </w:rPr>
              <w:t>序号</w:t>
            </w:r>
          </w:p>
        </w:tc>
        <w:tc>
          <w:tcPr>
            <w:tcW w:w="1252" w:type="dxa"/>
            <w:tcBorders>
              <w:top w:val="single" w:color="auto" w:sz="4" w:space="0"/>
              <w:left w:val="single" w:color="auto" w:sz="4" w:space="0"/>
              <w:bottom w:val="single" w:color="auto" w:sz="4" w:space="0"/>
              <w:right w:val="single" w:color="auto" w:sz="4" w:space="0"/>
            </w:tcBorders>
            <w:vAlign w:val="center"/>
          </w:tcPr>
          <w:p w14:paraId="409B5B21">
            <w:pPr>
              <w:spacing w:line="320" w:lineRule="exact"/>
              <w:jc w:val="center"/>
              <w:rPr>
                <w:rFonts w:hint="eastAsia" w:ascii="宋体" w:hAnsi="宋体"/>
                <w:color w:val="auto"/>
                <w:szCs w:val="21"/>
                <w:highlight w:val="none"/>
              </w:rPr>
            </w:pPr>
            <w:r>
              <w:rPr>
                <w:rFonts w:hint="eastAsia" w:ascii="宋体" w:hAnsi="宋体"/>
                <w:color w:val="auto"/>
                <w:szCs w:val="21"/>
                <w:highlight w:val="none"/>
              </w:rPr>
              <w:t>商务要求</w:t>
            </w:r>
          </w:p>
        </w:tc>
        <w:tc>
          <w:tcPr>
            <w:tcW w:w="1417" w:type="dxa"/>
            <w:tcBorders>
              <w:top w:val="single" w:color="auto" w:sz="4" w:space="0"/>
              <w:left w:val="single" w:color="auto" w:sz="4" w:space="0"/>
              <w:bottom w:val="single" w:color="auto" w:sz="4" w:space="0"/>
              <w:right w:val="single" w:color="auto" w:sz="4" w:space="0"/>
            </w:tcBorders>
            <w:vAlign w:val="center"/>
          </w:tcPr>
          <w:p w14:paraId="7ED7D09D">
            <w:pPr>
              <w:spacing w:line="320" w:lineRule="exact"/>
              <w:jc w:val="center"/>
              <w:rPr>
                <w:rFonts w:hint="eastAsia" w:ascii="宋体" w:hAnsi="宋体"/>
                <w:color w:val="auto"/>
                <w:szCs w:val="21"/>
                <w:highlight w:val="none"/>
              </w:rPr>
            </w:pPr>
            <w:r>
              <w:rPr>
                <w:rFonts w:hint="eastAsia" w:ascii="宋体" w:hAnsi="宋体"/>
                <w:color w:val="auto"/>
                <w:szCs w:val="21"/>
                <w:highlight w:val="none"/>
              </w:rPr>
              <w:t>条款号</w:t>
            </w:r>
          </w:p>
        </w:tc>
        <w:tc>
          <w:tcPr>
            <w:tcW w:w="1843" w:type="dxa"/>
            <w:tcBorders>
              <w:top w:val="single" w:color="auto" w:sz="4" w:space="0"/>
              <w:left w:val="single" w:color="auto" w:sz="4" w:space="0"/>
              <w:bottom w:val="single" w:color="auto" w:sz="4" w:space="0"/>
              <w:right w:val="single" w:color="auto" w:sz="4" w:space="0"/>
            </w:tcBorders>
            <w:vAlign w:val="center"/>
          </w:tcPr>
          <w:p w14:paraId="3BEA4BEE">
            <w:pPr>
              <w:spacing w:line="320" w:lineRule="exact"/>
              <w:jc w:val="center"/>
              <w:rPr>
                <w:rFonts w:hint="eastAsia" w:ascii="宋体" w:hAnsi="宋体"/>
                <w:bCs/>
                <w:color w:val="auto"/>
                <w:szCs w:val="21"/>
                <w:highlight w:val="none"/>
              </w:rPr>
            </w:pPr>
            <w:r>
              <w:rPr>
                <w:rFonts w:hint="eastAsia" w:ascii="宋体" w:hAnsi="宋体"/>
                <w:color w:val="auto"/>
                <w:szCs w:val="21"/>
                <w:highlight w:val="none"/>
              </w:rPr>
              <w:t>比选文件</w:t>
            </w:r>
            <w:r>
              <w:rPr>
                <w:rFonts w:ascii="宋体" w:hAnsi="宋体"/>
                <w:bCs/>
                <w:color w:val="auto"/>
                <w:szCs w:val="21"/>
                <w:highlight w:val="none"/>
              </w:rPr>
              <w:t>商务</w:t>
            </w:r>
          </w:p>
          <w:p w14:paraId="665E9302">
            <w:pPr>
              <w:spacing w:line="320" w:lineRule="exact"/>
              <w:jc w:val="center"/>
              <w:rPr>
                <w:rFonts w:hint="eastAsia" w:ascii="宋体" w:hAnsi="宋体"/>
                <w:color w:val="auto"/>
                <w:szCs w:val="21"/>
                <w:highlight w:val="none"/>
              </w:rPr>
            </w:pPr>
            <w:r>
              <w:rPr>
                <w:rFonts w:hint="eastAsia" w:ascii="宋体" w:hAnsi="宋体"/>
                <w:color w:val="auto"/>
                <w:szCs w:val="21"/>
                <w:highlight w:val="none"/>
              </w:rPr>
              <w:t>要求的项目</w:t>
            </w:r>
          </w:p>
        </w:tc>
        <w:tc>
          <w:tcPr>
            <w:tcW w:w="1526" w:type="dxa"/>
            <w:tcBorders>
              <w:top w:val="single" w:color="auto" w:sz="4" w:space="0"/>
              <w:left w:val="single" w:color="auto" w:sz="4" w:space="0"/>
              <w:bottom w:val="single" w:color="auto" w:sz="4" w:space="0"/>
              <w:right w:val="single" w:color="auto" w:sz="4" w:space="0"/>
            </w:tcBorders>
            <w:vAlign w:val="center"/>
          </w:tcPr>
          <w:p w14:paraId="420AFD14">
            <w:pPr>
              <w:spacing w:line="320" w:lineRule="exact"/>
              <w:jc w:val="center"/>
              <w:rPr>
                <w:rFonts w:hint="eastAsia" w:ascii="宋体" w:hAnsi="宋体"/>
                <w:color w:val="auto"/>
                <w:szCs w:val="21"/>
                <w:highlight w:val="none"/>
              </w:rPr>
            </w:pPr>
            <w:r>
              <w:rPr>
                <w:rFonts w:hint="eastAsia" w:ascii="宋体" w:hAnsi="宋体"/>
                <w:color w:val="auto"/>
                <w:szCs w:val="21"/>
                <w:highlight w:val="none"/>
              </w:rPr>
              <w:t>报价人偏离的</w:t>
            </w:r>
          </w:p>
          <w:p w14:paraId="5261DAA7">
            <w:pPr>
              <w:spacing w:line="320" w:lineRule="exact"/>
              <w:jc w:val="center"/>
              <w:rPr>
                <w:rFonts w:hint="eastAsia" w:ascii="宋体" w:hAnsi="宋体"/>
                <w:color w:val="auto"/>
                <w:szCs w:val="21"/>
                <w:highlight w:val="none"/>
              </w:rPr>
            </w:pPr>
            <w:r>
              <w:rPr>
                <w:rFonts w:ascii="宋体" w:hAnsi="宋体"/>
                <w:bCs/>
                <w:color w:val="auto"/>
                <w:szCs w:val="21"/>
                <w:highlight w:val="none"/>
              </w:rPr>
              <w:t>商务</w:t>
            </w:r>
            <w:r>
              <w:rPr>
                <w:rFonts w:hint="eastAsia" w:ascii="宋体" w:hAnsi="宋体"/>
                <w:bCs/>
                <w:color w:val="auto"/>
                <w:szCs w:val="21"/>
                <w:highlight w:val="none"/>
              </w:rPr>
              <w:t>项目</w:t>
            </w:r>
          </w:p>
        </w:tc>
        <w:tc>
          <w:tcPr>
            <w:tcW w:w="1417" w:type="dxa"/>
            <w:tcBorders>
              <w:top w:val="single" w:color="auto" w:sz="4" w:space="0"/>
              <w:left w:val="single" w:color="auto" w:sz="4" w:space="0"/>
              <w:bottom w:val="single" w:color="auto" w:sz="4" w:space="0"/>
              <w:right w:val="single" w:color="auto" w:sz="4" w:space="0"/>
            </w:tcBorders>
            <w:vAlign w:val="center"/>
          </w:tcPr>
          <w:p w14:paraId="733A6572">
            <w:pPr>
              <w:spacing w:line="320" w:lineRule="exact"/>
              <w:jc w:val="center"/>
              <w:rPr>
                <w:rFonts w:hint="eastAsia" w:ascii="宋体" w:hAnsi="宋体"/>
                <w:color w:val="auto"/>
                <w:szCs w:val="21"/>
                <w:highlight w:val="none"/>
              </w:rPr>
            </w:pPr>
            <w:r>
              <w:rPr>
                <w:rFonts w:hint="eastAsia" w:ascii="宋体" w:hAnsi="宋体"/>
                <w:bCs/>
                <w:color w:val="auto"/>
                <w:szCs w:val="21"/>
                <w:highlight w:val="none"/>
              </w:rPr>
              <w:t>偏离程度</w:t>
            </w:r>
          </w:p>
        </w:tc>
        <w:tc>
          <w:tcPr>
            <w:tcW w:w="1134" w:type="dxa"/>
            <w:tcBorders>
              <w:top w:val="single" w:color="auto" w:sz="4" w:space="0"/>
              <w:left w:val="single" w:color="auto" w:sz="4" w:space="0"/>
              <w:bottom w:val="single" w:color="auto" w:sz="4" w:space="0"/>
              <w:right w:val="single" w:color="auto" w:sz="4" w:space="0"/>
            </w:tcBorders>
            <w:vAlign w:val="center"/>
          </w:tcPr>
          <w:p w14:paraId="1D898C3A">
            <w:pPr>
              <w:spacing w:line="320" w:lineRule="exact"/>
              <w:jc w:val="center"/>
              <w:rPr>
                <w:rFonts w:hint="eastAsia" w:ascii="宋体" w:hAnsi="宋体"/>
                <w:bCs/>
                <w:color w:val="auto"/>
                <w:szCs w:val="21"/>
                <w:highlight w:val="none"/>
              </w:rPr>
            </w:pPr>
            <w:r>
              <w:rPr>
                <w:rFonts w:hint="eastAsia" w:ascii="宋体" w:hAnsi="宋体"/>
                <w:bCs/>
                <w:color w:val="auto"/>
                <w:szCs w:val="21"/>
                <w:highlight w:val="none"/>
              </w:rPr>
              <w:t>备注</w:t>
            </w:r>
          </w:p>
        </w:tc>
      </w:tr>
      <w:tr w14:paraId="0AE3E1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3C8C397F">
            <w:pPr>
              <w:jc w:val="center"/>
              <w:rPr>
                <w:rFonts w:hint="eastAsia" w:ascii="宋体" w:hAnsi="宋体"/>
                <w:color w:val="auto"/>
                <w:szCs w:val="21"/>
                <w:highlight w:val="none"/>
              </w:rPr>
            </w:pPr>
            <w:r>
              <w:rPr>
                <w:rFonts w:hint="eastAsia" w:ascii="宋体" w:hAnsi="宋体"/>
                <w:color w:val="auto"/>
                <w:szCs w:val="21"/>
                <w:highlight w:val="none"/>
              </w:rPr>
              <w:t>1</w:t>
            </w:r>
          </w:p>
        </w:tc>
        <w:tc>
          <w:tcPr>
            <w:tcW w:w="1252" w:type="dxa"/>
            <w:tcBorders>
              <w:top w:val="single" w:color="auto" w:sz="4" w:space="0"/>
              <w:left w:val="single" w:color="auto" w:sz="4" w:space="0"/>
              <w:right w:val="single" w:color="auto" w:sz="4" w:space="0"/>
            </w:tcBorders>
            <w:vAlign w:val="center"/>
          </w:tcPr>
          <w:p w14:paraId="002498BC">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C3C564E">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3620CD29">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01CA9EEA">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07B37F0">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12C6DDCD">
            <w:pPr>
              <w:jc w:val="center"/>
              <w:rPr>
                <w:rFonts w:hint="eastAsia" w:ascii="宋体" w:hAnsi="宋体"/>
                <w:color w:val="auto"/>
                <w:szCs w:val="21"/>
                <w:highlight w:val="none"/>
              </w:rPr>
            </w:pPr>
          </w:p>
        </w:tc>
      </w:tr>
      <w:tr w14:paraId="0D6679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5D687A9B">
            <w:pPr>
              <w:jc w:val="center"/>
              <w:rPr>
                <w:rFonts w:hint="eastAsia" w:ascii="宋体" w:hAnsi="宋体"/>
                <w:color w:val="auto"/>
                <w:szCs w:val="21"/>
                <w:highlight w:val="none"/>
              </w:rPr>
            </w:pPr>
            <w:r>
              <w:rPr>
                <w:rFonts w:hint="eastAsia" w:ascii="宋体" w:hAnsi="宋体"/>
                <w:color w:val="auto"/>
                <w:szCs w:val="21"/>
                <w:highlight w:val="none"/>
              </w:rPr>
              <w:t>2</w:t>
            </w:r>
          </w:p>
        </w:tc>
        <w:tc>
          <w:tcPr>
            <w:tcW w:w="1252" w:type="dxa"/>
            <w:tcBorders>
              <w:top w:val="single" w:color="auto" w:sz="4" w:space="0"/>
              <w:left w:val="single" w:color="auto" w:sz="4" w:space="0"/>
              <w:right w:val="single" w:color="auto" w:sz="4" w:space="0"/>
            </w:tcBorders>
            <w:vAlign w:val="center"/>
          </w:tcPr>
          <w:p w14:paraId="2C59D6E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23D232AF">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03DABCA6">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1FF8D71">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D89505D">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3BCEE3FD">
            <w:pPr>
              <w:jc w:val="center"/>
              <w:rPr>
                <w:rFonts w:hint="eastAsia" w:ascii="宋体" w:hAnsi="宋体"/>
                <w:color w:val="auto"/>
                <w:szCs w:val="21"/>
                <w:highlight w:val="none"/>
              </w:rPr>
            </w:pPr>
          </w:p>
        </w:tc>
      </w:tr>
      <w:tr w14:paraId="6E003F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35EABDD7">
            <w:pPr>
              <w:jc w:val="center"/>
              <w:rPr>
                <w:rFonts w:hint="eastAsia" w:ascii="宋体" w:hAnsi="宋体"/>
                <w:color w:val="auto"/>
                <w:szCs w:val="21"/>
                <w:highlight w:val="none"/>
              </w:rPr>
            </w:pPr>
            <w:r>
              <w:rPr>
                <w:rFonts w:hint="eastAsia" w:ascii="宋体" w:hAnsi="宋体"/>
                <w:color w:val="auto"/>
                <w:szCs w:val="21"/>
                <w:highlight w:val="none"/>
              </w:rPr>
              <w:t>3</w:t>
            </w:r>
          </w:p>
        </w:tc>
        <w:tc>
          <w:tcPr>
            <w:tcW w:w="1252" w:type="dxa"/>
            <w:tcBorders>
              <w:top w:val="single" w:color="auto" w:sz="4" w:space="0"/>
              <w:left w:val="single" w:color="auto" w:sz="4" w:space="0"/>
              <w:right w:val="single" w:color="auto" w:sz="4" w:space="0"/>
            </w:tcBorders>
            <w:vAlign w:val="center"/>
          </w:tcPr>
          <w:p w14:paraId="6C704630">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801BF0D">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09167CDA">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2BC3CD9E">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140DE0BE">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2398D9E9">
            <w:pPr>
              <w:jc w:val="center"/>
              <w:rPr>
                <w:rFonts w:hint="eastAsia" w:ascii="宋体" w:hAnsi="宋体"/>
                <w:color w:val="auto"/>
                <w:szCs w:val="21"/>
                <w:highlight w:val="none"/>
              </w:rPr>
            </w:pPr>
          </w:p>
        </w:tc>
      </w:tr>
      <w:tr w14:paraId="1753C1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6BB0C07C">
            <w:pPr>
              <w:jc w:val="center"/>
              <w:rPr>
                <w:rFonts w:hint="eastAsia" w:ascii="宋体" w:hAnsi="宋体"/>
                <w:color w:val="auto"/>
                <w:szCs w:val="21"/>
                <w:highlight w:val="none"/>
              </w:rPr>
            </w:pPr>
            <w:r>
              <w:rPr>
                <w:rFonts w:hint="eastAsia" w:ascii="宋体" w:hAnsi="宋体"/>
                <w:color w:val="auto"/>
                <w:szCs w:val="21"/>
                <w:highlight w:val="none"/>
              </w:rPr>
              <w:t>4</w:t>
            </w:r>
          </w:p>
        </w:tc>
        <w:tc>
          <w:tcPr>
            <w:tcW w:w="1252" w:type="dxa"/>
            <w:tcBorders>
              <w:top w:val="single" w:color="auto" w:sz="4" w:space="0"/>
              <w:left w:val="single" w:color="auto" w:sz="4" w:space="0"/>
              <w:right w:val="single" w:color="auto" w:sz="4" w:space="0"/>
            </w:tcBorders>
            <w:vAlign w:val="center"/>
          </w:tcPr>
          <w:p w14:paraId="51B9AEA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1A9D60D2">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63CCF00F">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4DAC3E12">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375947A">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4218B1DB">
            <w:pPr>
              <w:jc w:val="center"/>
              <w:rPr>
                <w:rFonts w:hint="eastAsia" w:ascii="宋体" w:hAnsi="宋体"/>
                <w:color w:val="auto"/>
                <w:szCs w:val="21"/>
                <w:highlight w:val="none"/>
              </w:rPr>
            </w:pPr>
          </w:p>
        </w:tc>
      </w:tr>
      <w:tr w14:paraId="3C7B25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2746C812">
            <w:pPr>
              <w:jc w:val="center"/>
              <w:rPr>
                <w:rFonts w:hint="eastAsia" w:ascii="宋体" w:hAnsi="宋体"/>
                <w:color w:val="auto"/>
                <w:szCs w:val="21"/>
                <w:highlight w:val="none"/>
              </w:rPr>
            </w:pPr>
            <w:r>
              <w:rPr>
                <w:rFonts w:hint="eastAsia" w:ascii="宋体" w:hAnsi="宋体"/>
                <w:color w:val="auto"/>
                <w:szCs w:val="21"/>
                <w:highlight w:val="none"/>
              </w:rPr>
              <w:t>5</w:t>
            </w:r>
          </w:p>
        </w:tc>
        <w:tc>
          <w:tcPr>
            <w:tcW w:w="1252" w:type="dxa"/>
            <w:tcBorders>
              <w:top w:val="single" w:color="auto" w:sz="4" w:space="0"/>
              <w:left w:val="single" w:color="auto" w:sz="4" w:space="0"/>
              <w:right w:val="single" w:color="auto" w:sz="4" w:space="0"/>
            </w:tcBorders>
            <w:vAlign w:val="center"/>
          </w:tcPr>
          <w:p w14:paraId="3CCE6115">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F7C222A">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041438FA">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47D0963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25807E2E">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2B42EBA5">
            <w:pPr>
              <w:jc w:val="center"/>
              <w:rPr>
                <w:rFonts w:hint="eastAsia" w:ascii="宋体" w:hAnsi="宋体"/>
                <w:color w:val="auto"/>
                <w:szCs w:val="21"/>
                <w:highlight w:val="none"/>
              </w:rPr>
            </w:pPr>
          </w:p>
        </w:tc>
      </w:tr>
    </w:tbl>
    <w:p w14:paraId="2F9ECBDC">
      <w:pPr>
        <w:adjustRightInd w:val="0"/>
        <w:snapToGrid w:val="0"/>
        <w:spacing w:line="460" w:lineRule="exact"/>
        <w:ind w:firstLine="422"/>
        <w:rPr>
          <w:rFonts w:hint="eastAsia" w:ascii="宋体" w:hAnsi="宋体"/>
          <w:b/>
          <w:color w:val="auto"/>
          <w:szCs w:val="21"/>
          <w:highlight w:val="none"/>
        </w:rPr>
      </w:pPr>
    </w:p>
    <w:p w14:paraId="2ADF4883">
      <w:pPr>
        <w:adjustRightInd w:val="0"/>
        <w:snapToGrid w:val="0"/>
        <w:spacing w:line="460" w:lineRule="exact"/>
        <w:ind w:firstLine="422"/>
        <w:rPr>
          <w:rFonts w:hint="eastAsia" w:ascii="宋体" w:hAnsi="宋体"/>
          <w:b/>
          <w:color w:val="auto"/>
          <w:szCs w:val="21"/>
          <w:highlight w:val="none"/>
        </w:rPr>
      </w:pPr>
      <w:r>
        <w:rPr>
          <w:rFonts w:hint="eastAsia" w:ascii="宋体" w:hAnsi="宋体"/>
          <w:b/>
          <w:color w:val="auto"/>
          <w:szCs w:val="21"/>
          <w:highlight w:val="none"/>
        </w:rPr>
        <w:t>报价人承诺：所有商务</w:t>
      </w:r>
      <w:r>
        <w:rPr>
          <w:rFonts w:hint="eastAsia" w:ascii="宋体" w:hAnsi="宋体"/>
          <w:b/>
          <w:color w:val="auto"/>
          <w:szCs w:val="21"/>
          <w:highlight w:val="none"/>
          <w:lang w:val="en-US" w:eastAsia="zh-CN"/>
        </w:rPr>
        <w:t>部分负</w:t>
      </w:r>
      <w:r>
        <w:rPr>
          <w:rFonts w:hint="eastAsia" w:ascii="宋体" w:hAnsi="宋体"/>
          <w:b/>
          <w:color w:val="auto"/>
          <w:szCs w:val="21"/>
          <w:highlight w:val="none"/>
        </w:rPr>
        <w:t>偏离项均已填写在本表，除此之外的商务条款均无偏离。</w:t>
      </w:r>
    </w:p>
    <w:p w14:paraId="2A3C668C">
      <w:pPr>
        <w:adjustRightInd w:val="0"/>
        <w:snapToGrid w:val="0"/>
        <w:spacing w:line="460" w:lineRule="exact"/>
        <w:ind w:firstLine="422"/>
        <w:rPr>
          <w:rFonts w:hint="eastAsia" w:ascii="宋体" w:hAnsi="宋体"/>
          <w:b/>
          <w:color w:val="auto"/>
          <w:szCs w:val="21"/>
          <w:highlight w:val="none"/>
        </w:rPr>
      </w:pPr>
    </w:p>
    <w:p w14:paraId="677DCC7D">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color w:val="auto"/>
          <w:szCs w:val="21"/>
          <w:highlight w:val="none"/>
        </w:rPr>
      </w:pPr>
      <w:r>
        <w:rPr>
          <w:rFonts w:hint="eastAsia" w:ascii="宋体" w:hAnsi="宋体"/>
          <w:b/>
          <w:color w:val="auto"/>
          <w:szCs w:val="21"/>
          <w:highlight w:val="none"/>
        </w:rPr>
        <w:t xml:space="preserve">报价人（盖单位公章）：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      </w:t>
      </w:r>
      <w:r>
        <w:rPr>
          <w:rFonts w:hint="eastAsia" w:ascii="宋体" w:hAnsi="宋体"/>
          <w:b/>
          <w:color w:val="auto"/>
          <w:szCs w:val="21"/>
          <w:highlight w:val="none"/>
        </w:rPr>
        <w:t>授权代表（签名或盖章）：</w:t>
      </w:r>
      <w:r>
        <w:rPr>
          <w:rFonts w:ascii="宋体" w:hAnsi="宋体"/>
          <w:color w:val="auto"/>
          <w:szCs w:val="21"/>
          <w:highlight w:val="none"/>
        </w:rPr>
        <w:t xml:space="preserve"> </w:t>
      </w:r>
      <w:r>
        <w:rPr>
          <w:rFonts w:hint="eastAsia" w:ascii="宋体" w:hAnsi="宋体"/>
          <w:color w:val="auto"/>
          <w:szCs w:val="21"/>
          <w:highlight w:val="none"/>
        </w:rPr>
        <w:t xml:space="preserve"> </w:t>
      </w:r>
    </w:p>
    <w:p w14:paraId="3385EBCD">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hint="eastAsia" w:ascii="宋体" w:hAnsi="宋体"/>
          <w:b/>
          <w:color w:val="auto"/>
          <w:szCs w:val="21"/>
          <w:highlight w:val="none"/>
        </w:rPr>
      </w:pPr>
      <w:r>
        <w:rPr>
          <w:rFonts w:hint="eastAsia" w:ascii="宋体" w:hAnsi="宋体"/>
          <w:b/>
          <w:color w:val="auto"/>
          <w:szCs w:val="21"/>
          <w:highlight w:val="none"/>
        </w:rPr>
        <w:t>年   月   日</w:t>
      </w:r>
    </w:p>
    <w:p w14:paraId="516E0721">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0D8CCC08">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223FB92C">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color w:val="auto"/>
          <w:szCs w:val="21"/>
          <w:highlight w:val="none"/>
        </w:rPr>
      </w:pPr>
      <w:r>
        <w:rPr>
          <w:rFonts w:hint="eastAsia" w:ascii="宋体" w:hAnsi="宋体"/>
          <w:b/>
          <w:bCs/>
          <w:color w:val="auto"/>
          <w:szCs w:val="21"/>
          <w:highlight w:val="none"/>
        </w:rPr>
        <w:t>说明</w:t>
      </w:r>
      <w:r>
        <w:rPr>
          <w:rFonts w:hint="eastAsia" w:ascii="宋体" w:hAnsi="宋体"/>
          <w:b/>
          <w:color w:val="auto"/>
          <w:szCs w:val="21"/>
          <w:highlight w:val="none"/>
        </w:rPr>
        <w:t>：</w:t>
      </w:r>
      <w:r>
        <w:rPr>
          <w:rFonts w:hint="eastAsia" w:ascii="宋体" w:hAnsi="宋体"/>
          <w:color w:val="auto"/>
          <w:szCs w:val="21"/>
          <w:highlight w:val="none"/>
        </w:rPr>
        <w:t>1、如果本表不能填写完毕，可按此格式扩展</w:t>
      </w:r>
    </w:p>
    <w:p w14:paraId="08F893AB">
      <w:pPr>
        <w:keepNext w:val="0"/>
        <w:keepLines w:val="0"/>
        <w:pageBreakBefore w:val="0"/>
        <w:widowControl w:val="0"/>
        <w:kinsoku/>
        <w:wordWrap/>
        <w:overflowPunct/>
        <w:topLinePunct w:val="0"/>
        <w:autoSpaceDE/>
        <w:autoSpaceDN/>
        <w:bidi w:val="0"/>
        <w:spacing w:line="600" w:lineRule="exact"/>
        <w:ind w:firstLine="630" w:firstLineChars="300"/>
        <w:jc w:val="left"/>
        <w:textAlignment w:val="auto"/>
        <w:rPr>
          <w:rFonts w:cs="宋体"/>
          <w:b/>
          <w:bCs/>
          <w:color w:val="auto"/>
          <w:highlight w:val="none"/>
        </w:rPr>
      </w:pPr>
      <w:r>
        <w:rPr>
          <w:rFonts w:hint="eastAsia" w:ascii="宋体" w:hAnsi="宋体"/>
          <w:color w:val="auto"/>
          <w:szCs w:val="21"/>
          <w:highlight w:val="none"/>
        </w:rPr>
        <w:t>2、报价人承诺“所有商务部分负偏离项均已填写在本表，除此之外的商务条款均无偏离。”视作对无偏离商务条款的响应。</w:t>
      </w:r>
    </w:p>
    <w:p w14:paraId="4ED0AF1B">
      <w:pPr>
        <w:keepNext w:val="0"/>
        <w:keepLines w:val="0"/>
        <w:pageBreakBefore w:val="0"/>
        <w:widowControl w:val="0"/>
        <w:kinsoku/>
        <w:wordWrap/>
        <w:overflowPunct/>
        <w:topLinePunct w:val="0"/>
        <w:autoSpaceDE/>
        <w:autoSpaceDN/>
        <w:bidi w:val="0"/>
        <w:spacing w:line="600" w:lineRule="exact"/>
        <w:textAlignment w:val="auto"/>
        <w:rPr>
          <w:color w:val="auto"/>
          <w:highlight w:val="none"/>
        </w:rPr>
      </w:pPr>
    </w:p>
    <w:p w14:paraId="208262EA">
      <w:pP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20"/>
          <w:highlight w:val="none"/>
          <w:lang w:eastAsia="zh-CN"/>
        </w:rPr>
        <w:br w:type="page"/>
      </w:r>
    </w:p>
    <w:p w14:paraId="7658342D">
      <w:pPr>
        <w:spacing w:after="312" w:afterLines="100" w:line="800" w:lineRule="exact"/>
        <w:ind w:firstLine="562"/>
        <w:jc w:val="center"/>
        <w:outlineLvl w:val="3"/>
        <w:rPr>
          <w:rFonts w:hint="eastAsia" w:ascii="宋体" w:hAnsi="宋体" w:eastAsia="宋体" w:cs="Times New Roman"/>
          <w:b/>
          <w:color w:val="auto"/>
          <w:kern w:val="0"/>
          <w:sz w:val="32"/>
          <w:szCs w:val="32"/>
          <w:highlight w:val="none"/>
          <w:lang w:eastAsia="zh-CN"/>
        </w:rPr>
      </w:pPr>
      <w:r>
        <w:rPr>
          <w:rFonts w:hint="eastAsia" w:ascii="宋体" w:hAnsi="宋体" w:cs="宋体"/>
          <w:b/>
          <w:bCs/>
          <w:color w:val="auto"/>
          <w:kern w:val="0"/>
          <w:sz w:val="28"/>
          <w:szCs w:val="20"/>
          <w:highlight w:val="none"/>
          <w:lang w:eastAsia="zh-CN"/>
        </w:rPr>
        <w:t>（</w:t>
      </w:r>
      <w:r>
        <w:rPr>
          <w:rFonts w:hint="eastAsia" w:ascii="宋体" w:hAnsi="宋体" w:cs="宋体"/>
          <w:b/>
          <w:bCs/>
          <w:color w:val="auto"/>
          <w:kern w:val="0"/>
          <w:sz w:val="28"/>
          <w:szCs w:val="20"/>
          <w:highlight w:val="none"/>
          <w:lang w:val="en-US" w:eastAsia="zh-CN"/>
        </w:rPr>
        <w:t>三</w:t>
      </w:r>
      <w:r>
        <w:rPr>
          <w:rFonts w:hint="eastAsia" w:ascii="宋体" w:hAnsi="宋体" w:cs="宋体"/>
          <w:b/>
          <w:bCs/>
          <w:color w:val="auto"/>
          <w:kern w:val="0"/>
          <w:sz w:val="28"/>
          <w:szCs w:val="20"/>
          <w:highlight w:val="none"/>
          <w:lang w:eastAsia="zh-CN"/>
        </w:rPr>
        <w:t>）</w:t>
      </w:r>
      <w:r>
        <w:rPr>
          <w:rFonts w:hint="eastAsia" w:ascii="宋体" w:hAnsi="宋体" w:eastAsia="宋体" w:cs="宋体"/>
          <w:b/>
          <w:bCs/>
          <w:color w:val="auto"/>
          <w:kern w:val="0"/>
          <w:sz w:val="28"/>
          <w:szCs w:val="20"/>
          <w:highlight w:val="none"/>
        </w:rPr>
        <w:t>技术部分偏离表</w:t>
      </w:r>
    </w:p>
    <w:p w14:paraId="282F0FDD">
      <w:pPr>
        <w:spacing w:line="360" w:lineRule="auto"/>
        <w:jc w:val="left"/>
        <w:rPr>
          <w:rFonts w:ascii="宋体" w:hAnsi="宋体" w:eastAsia="宋体" w:cs="Times New Roman"/>
          <w:color w:val="auto"/>
          <w:szCs w:val="21"/>
          <w:highlight w:val="none"/>
        </w:rPr>
      </w:pPr>
    </w:p>
    <w:tbl>
      <w:tblPr>
        <w:tblStyle w:val="42"/>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1548"/>
        <w:gridCol w:w="2041"/>
        <w:gridCol w:w="1701"/>
        <w:gridCol w:w="1134"/>
        <w:gridCol w:w="1134"/>
      </w:tblGrid>
      <w:tr w14:paraId="1F109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1A5369E5">
            <w:pPr>
              <w:spacing w:line="320" w:lineRule="exact"/>
              <w:jc w:val="center"/>
              <w:rPr>
                <w:rFonts w:ascii="宋体" w:hAnsi="宋体" w:eastAsia="宋体" w:cs="Times New Roman"/>
                <w:color w:val="auto"/>
                <w:szCs w:val="21"/>
                <w:highlight w:val="none"/>
              </w:rPr>
            </w:pPr>
            <w:r>
              <w:rPr>
                <w:rFonts w:hint="eastAsia" w:ascii="Times New Roman" w:hAnsi="Times New Roman" w:eastAsia="宋体" w:cs="Times New Roman"/>
                <w:color w:val="auto"/>
                <w:kern w:val="0"/>
                <w:szCs w:val="21"/>
                <w:highlight w:val="none"/>
                <w:lang w:bidi="ar"/>
              </w:rPr>
              <w:t>序号</w:t>
            </w:r>
          </w:p>
        </w:tc>
        <w:tc>
          <w:tcPr>
            <w:tcW w:w="1548" w:type="dxa"/>
            <w:vAlign w:val="center"/>
          </w:tcPr>
          <w:p w14:paraId="02705E2F">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条款号</w:t>
            </w:r>
          </w:p>
        </w:tc>
        <w:tc>
          <w:tcPr>
            <w:tcW w:w="2041" w:type="dxa"/>
            <w:vAlign w:val="center"/>
          </w:tcPr>
          <w:p w14:paraId="2F48C15A">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比选</w:t>
            </w:r>
            <w:r>
              <w:rPr>
                <w:rFonts w:hint="eastAsia" w:ascii="宋体" w:hAnsi="宋体" w:eastAsia="宋体" w:cs="Times New Roman"/>
                <w:color w:val="auto"/>
                <w:szCs w:val="21"/>
                <w:highlight w:val="none"/>
              </w:rPr>
              <w:t>文件要求</w:t>
            </w:r>
            <w:r>
              <w:rPr>
                <w:rFonts w:hint="eastAsia" w:ascii="宋体" w:hAnsi="宋体" w:cs="Times New Roman"/>
                <w:color w:val="auto"/>
                <w:szCs w:val="21"/>
                <w:highlight w:val="none"/>
                <w:lang w:val="en-US" w:eastAsia="zh-CN"/>
              </w:rPr>
              <w:t>的</w:t>
            </w:r>
          </w:p>
          <w:p w14:paraId="011E397F">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701" w:type="dxa"/>
            <w:vAlign w:val="center"/>
          </w:tcPr>
          <w:p w14:paraId="7410B0D7">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报价</w:t>
            </w:r>
            <w:r>
              <w:rPr>
                <w:rFonts w:hint="eastAsia" w:ascii="宋体" w:hAnsi="宋体" w:eastAsia="宋体" w:cs="Times New Roman"/>
                <w:color w:val="auto"/>
                <w:szCs w:val="21"/>
                <w:highlight w:val="none"/>
              </w:rPr>
              <w:t>人提供</w:t>
            </w:r>
            <w:r>
              <w:rPr>
                <w:rFonts w:hint="eastAsia" w:ascii="宋体" w:hAnsi="宋体" w:cs="Times New Roman"/>
                <w:color w:val="auto"/>
                <w:szCs w:val="21"/>
                <w:highlight w:val="none"/>
                <w:lang w:val="en-US" w:eastAsia="zh-CN"/>
              </w:rPr>
              <w:t>的</w:t>
            </w:r>
          </w:p>
          <w:p w14:paraId="7913BDB0">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134" w:type="dxa"/>
            <w:vAlign w:val="center"/>
          </w:tcPr>
          <w:p w14:paraId="368704D3">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偏离</w:t>
            </w:r>
          </w:p>
          <w:p w14:paraId="3041A919">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程度</w:t>
            </w:r>
          </w:p>
        </w:tc>
        <w:tc>
          <w:tcPr>
            <w:tcW w:w="1134" w:type="dxa"/>
            <w:vAlign w:val="center"/>
          </w:tcPr>
          <w:p w14:paraId="7A6BC6BE">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14:paraId="060B7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5258C9F7">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w:t>
            </w:r>
          </w:p>
        </w:tc>
        <w:tc>
          <w:tcPr>
            <w:tcW w:w="1548" w:type="dxa"/>
            <w:vAlign w:val="center"/>
          </w:tcPr>
          <w:p w14:paraId="6D0E18BC">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3D4FDBD8">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3E839129">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17AB1E0D">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491D51EE">
            <w:pPr>
              <w:spacing w:before="312" w:beforeLines="100" w:line="360" w:lineRule="auto"/>
              <w:jc w:val="center"/>
              <w:rPr>
                <w:rFonts w:ascii="宋体" w:hAnsi="宋体" w:eastAsia="宋体" w:cs="Times New Roman"/>
                <w:color w:val="auto"/>
                <w:szCs w:val="21"/>
                <w:highlight w:val="none"/>
              </w:rPr>
            </w:pPr>
          </w:p>
        </w:tc>
      </w:tr>
      <w:tr w14:paraId="669B0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505D9B03">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w:t>
            </w:r>
          </w:p>
        </w:tc>
        <w:tc>
          <w:tcPr>
            <w:tcW w:w="1548" w:type="dxa"/>
            <w:vAlign w:val="center"/>
          </w:tcPr>
          <w:p w14:paraId="2C69C59D">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7A8206B9">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2E24A417">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21D982DC">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5335ED80">
            <w:pPr>
              <w:spacing w:before="312" w:beforeLines="100" w:line="360" w:lineRule="auto"/>
              <w:jc w:val="center"/>
              <w:rPr>
                <w:rFonts w:ascii="宋体" w:hAnsi="宋体" w:eastAsia="宋体" w:cs="Times New Roman"/>
                <w:color w:val="auto"/>
                <w:szCs w:val="21"/>
                <w:highlight w:val="none"/>
              </w:rPr>
            </w:pPr>
          </w:p>
        </w:tc>
      </w:tr>
      <w:tr w14:paraId="23D78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1E048AA0">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w:t>
            </w:r>
          </w:p>
        </w:tc>
        <w:tc>
          <w:tcPr>
            <w:tcW w:w="1548" w:type="dxa"/>
            <w:vAlign w:val="center"/>
          </w:tcPr>
          <w:p w14:paraId="66BFCC57">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0FA15255">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5B90EE74">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3C6B268D">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1BBDF8CD">
            <w:pPr>
              <w:spacing w:before="312" w:beforeLines="100" w:line="360" w:lineRule="auto"/>
              <w:jc w:val="center"/>
              <w:rPr>
                <w:rFonts w:ascii="宋体" w:hAnsi="宋体" w:eastAsia="宋体" w:cs="Times New Roman"/>
                <w:color w:val="auto"/>
                <w:szCs w:val="21"/>
                <w:highlight w:val="none"/>
              </w:rPr>
            </w:pPr>
          </w:p>
        </w:tc>
      </w:tr>
      <w:tr w14:paraId="470BD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11C0AB89">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4</w:t>
            </w:r>
          </w:p>
        </w:tc>
        <w:tc>
          <w:tcPr>
            <w:tcW w:w="1548" w:type="dxa"/>
            <w:vAlign w:val="center"/>
          </w:tcPr>
          <w:p w14:paraId="5D06D08E">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2FC55CF6">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774055FA">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17123E95">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2351A1DD">
            <w:pPr>
              <w:spacing w:before="312" w:beforeLines="100" w:line="360" w:lineRule="auto"/>
              <w:jc w:val="center"/>
              <w:rPr>
                <w:rFonts w:ascii="宋体" w:hAnsi="宋体" w:eastAsia="宋体" w:cs="Times New Roman"/>
                <w:color w:val="auto"/>
                <w:szCs w:val="21"/>
                <w:highlight w:val="none"/>
              </w:rPr>
            </w:pPr>
          </w:p>
        </w:tc>
      </w:tr>
    </w:tbl>
    <w:p w14:paraId="0059553D">
      <w:pPr>
        <w:adjustRightInd w:val="0"/>
        <w:snapToGrid w:val="0"/>
        <w:spacing w:line="460" w:lineRule="exact"/>
        <w:ind w:firstLine="422"/>
        <w:rPr>
          <w:rFonts w:hint="eastAsia" w:ascii="宋体" w:hAnsi="宋体" w:eastAsia="宋体" w:cs="Times New Roman"/>
          <w:b/>
          <w:color w:val="auto"/>
          <w:sz w:val="22"/>
          <w:szCs w:val="22"/>
          <w:highlight w:val="none"/>
          <w:lang w:val="en-US" w:eastAsia="zh-CN"/>
        </w:rPr>
      </w:pPr>
    </w:p>
    <w:p w14:paraId="1AF49285">
      <w:pPr>
        <w:adjustRightInd w:val="0"/>
        <w:snapToGrid w:val="0"/>
        <w:spacing w:line="460" w:lineRule="exact"/>
        <w:ind w:firstLine="422"/>
        <w:rPr>
          <w:rFonts w:ascii="宋体" w:hAnsi="宋体" w:eastAsia="宋体" w:cs="Times New Roman"/>
          <w:b/>
          <w:color w:val="auto"/>
          <w:sz w:val="22"/>
          <w:szCs w:val="22"/>
          <w:highlight w:val="none"/>
        </w:rPr>
      </w:pPr>
      <w:r>
        <w:rPr>
          <w:rFonts w:hint="eastAsia" w:ascii="宋体" w:hAnsi="宋体" w:eastAsia="宋体" w:cs="Times New Roman"/>
          <w:b/>
          <w:color w:val="auto"/>
          <w:sz w:val="22"/>
          <w:szCs w:val="22"/>
          <w:highlight w:val="none"/>
          <w:lang w:val="en-US" w:eastAsia="zh-CN"/>
        </w:rPr>
        <w:t>报价人</w:t>
      </w:r>
      <w:r>
        <w:rPr>
          <w:rFonts w:hint="eastAsia" w:ascii="宋体" w:hAnsi="宋体" w:eastAsia="宋体" w:cs="Times New Roman"/>
          <w:b/>
          <w:color w:val="auto"/>
          <w:sz w:val="22"/>
          <w:szCs w:val="22"/>
          <w:highlight w:val="none"/>
        </w:rPr>
        <w:t>承诺：所有技术</w:t>
      </w:r>
      <w:r>
        <w:rPr>
          <w:rFonts w:hint="eastAsia" w:ascii="宋体" w:hAnsi="宋体" w:cs="Times New Roman"/>
          <w:b/>
          <w:color w:val="auto"/>
          <w:sz w:val="22"/>
          <w:szCs w:val="22"/>
          <w:highlight w:val="none"/>
          <w:lang w:val="en-US" w:eastAsia="zh-CN"/>
        </w:rPr>
        <w:t>部分</w:t>
      </w:r>
      <w:r>
        <w:rPr>
          <w:rFonts w:hint="eastAsia" w:ascii="宋体" w:hAnsi="宋体" w:eastAsia="宋体" w:cs="Times New Roman"/>
          <w:b/>
          <w:color w:val="auto"/>
          <w:sz w:val="22"/>
          <w:szCs w:val="22"/>
          <w:highlight w:val="none"/>
        </w:rPr>
        <w:t>负偏离项均已填写在本表，除此之外的技术条款均无偏离。</w:t>
      </w:r>
    </w:p>
    <w:p w14:paraId="31E644FD">
      <w:pPr>
        <w:adjustRightInd w:val="0"/>
        <w:snapToGrid w:val="0"/>
        <w:spacing w:line="460" w:lineRule="exact"/>
        <w:ind w:firstLine="422"/>
        <w:rPr>
          <w:rFonts w:ascii="宋体" w:hAnsi="宋体" w:eastAsia="宋体" w:cs="Times New Roman"/>
          <w:b/>
          <w:color w:val="auto"/>
          <w:szCs w:val="21"/>
          <w:highlight w:val="none"/>
        </w:rPr>
      </w:pPr>
    </w:p>
    <w:p w14:paraId="69C47029">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lang w:val="en-US" w:eastAsia="zh-CN"/>
        </w:rPr>
        <w:t>报价</w:t>
      </w:r>
      <w:r>
        <w:rPr>
          <w:rFonts w:hint="eastAsia" w:ascii="宋体" w:hAnsi="宋体" w:eastAsia="宋体" w:cs="Times New Roman"/>
          <w:b/>
          <w:color w:val="auto"/>
          <w:szCs w:val="21"/>
          <w:highlight w:val="none"/>
        </w:rPr>
        <w:t>人（盖单位</w:t>
      </w:r>
      <w:r>
        <w:rPr>
          <w:rFonts w:hint="eastAsia" w:ascii="宋体" w:hAnsi="宋体" w:eastAsia="宋体" w:cs="Times New Roman"/>
          <w:b/>
          <w:color w:val="auto"/>
          <w:szCs w:val="21"/>
          <w:highlight w:val="none"/>
          <w:lang w:val="en-US" w:eastAsia="zh-CN"/>
        </w:rPr>
        <w:t>公</w:t>
      </w:r>
      <w:r>
        <w:rPr>
          <w:rFonts w:hint="eastAsia" w:ascii="宋体" w:hAnsi="宋体" w:eastAsia="宋体" w:cs="Times New Roman"/>
          <w:b/>
          <w:color w:val="auto"/>
          <w:szCs w:val="21"/>
          <w:highlight w:val="none"/>
        </w:rPr>
        <w:t xml:space="preserve">章）： </w:t>
      </w:r>
      <w:r>
        <w:rPr>
          <w:rFonts w:hint="eastAsia"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lang w:val="en-US" w:eastAsia="zh-CN"/>
        </w:rPr>
        <w:t xml:space="preserve">   </w:t>
      </w:r>
      <w:r>
        <w:rPr>
          <w:rFonts w:hint="eastAsia" w:ascii="宋体" w:hAnsi="宋体" w:eastAsia="宋体" w:cs="Times New Roman"/>
          <w:color w:val="auto"/>
          <w:szCs w:val="21"/>
          <w:highlight w:val="none"/>
        </w:rPr>
        <w:t xml:space="preserve">  </w:t>
      </w:r>
      <w:r>
        <w:rPr>
          <w:rFonts w:hint="eastAsia" w:ascii="宋体" w:hAnsi="宋体" w:eastAsia="宋体" w:cs="Times New Roman"/>
          <w:b/>
          <w:color w:val="auto"/>
          <w:szCs w:val="21"/>
          <w:highlight w:val="none"/>
        </w:rPr>
        <w:t>授权代表（</w:t>
      </w:r>
      <w:r>
        <w:rPr>
          <w:rFonts w:hint="eastAsia" w:ascii="宋体" w:hAnsi="宋体"/>
          <w:b/>
          <w:color w:val="auto"/>
          <w:szCs w:val="21"/>
          <w:highlight w:val="none"/>
        </w:rPr>
        <w:t>签名或盖章</w:t>
      </w:r>
      <w:r>
        <w:rPr>
          <w:rFonts w:hint="eastAsia" w:ascii="宋体" w:hAnsi="宋体" w:eastAsia="宋体" w:cs="Times New Roman"/>
          <w:b/>
          <w:color w:val="auto"/>
          <w:szCs w:val="21"/>
          <w:highlight w:val="none"/>
        </w:rPr>
        <w:t>）：</w:t>
      </w:r>
    </w:p>
    <w:p w14:paraId="316DBC7C">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 xml:space="preserve">年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月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日</w:t>
      </w:r>
    </w:p>
    <w:p w14:paraId="595121D0">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ascii="宋体" w:hAnsi="宋体" w:eastAsia="宋体" w:cs="Times New Roman"/>
          <w:color w:val="auto"/>
          <w:sz w:val="21"/>
          <w:szCs w:val="21"/>
          <w:highlight w:val="none"/>
        </w:rPr>
      </w:pPr>
      <w:r>
        <w:rPr>
          <w:rFonts w:hint="eastAsia" w:ascii="宋体" w:hAnsi="宋体" w:eastAsia="宋体" w:cs="Times New Roman"/>
          <w:b/>
          <w:bCs/>
          <w:color w:val="auto"/>
          <w:sz w:val="21"/>
          <w:szCs w:val="21"/>
          <w:highlight w:val="none"/>
        </w:rPr>
        <w:t>说明</w:t>
      </w:r>
      <w:r>
        <w:rPr>
          <w:rFonts w:hint="eastAsia" w:ascii="宋体" w:hAnsi="宋体" w:eastAsia="宋体" w:cs="Times New Roman"/>
          <w:b/>
          <w:color w:val="auto"/>
          <w:sz w:val="21"/>
          <w:szCs w:val="21"/>
          <w:highlight w:val="none"/>
        </w:rPr>
        <w:t>：</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、如果本表不能填写完毕，可按此格式扩展。</w:t>
      </w:r>
    </w:p>
    <w:p w14:paraId="3A667328">
      <w:pPr>
        <w:pStyle w:val="17"/>
        <w:keepNext w:val="0"/>
        <w:keepLines w:val="0"/>
        <w:pageBreakBefore w:val="0"/>
        <w:widowControl w:val="0"/>
        <w:kinsoku/>
        <w:wordWrap/>
        <w:overflowPunct/>
        <w:topLinePunct w:val="0"/>
        <w:autoSpaceDE/>
        <w:autoSpaceDN/>
        <w:bidi w:val="0"/>
        <w:spacing w:line="600" w:lineRule="exact"/>
        <w:ind w:firstLine="630" w:firstLineChars="300"/>
        <w:textAlignment w:val="auto"/>
        <w:rPr>
          <w:color w:val="auto"/>
          <w:sz w:val="21"/>
          <w:szCs w:val="21"/>
          <w:highlight w:val="none"/>
        </w:rPr>
      </w:pPr>
      <w:r>
        <w:rPr>
          <w:rFonts w:hint="eastAsia" w:ascii="宋体" w:hAnsi="宋体" w:eastAsia="宋体" w:cs="Arial"/>
          <w:bCs/>
          <w:color w:val="auto"/>
          <w:kern w:val="0"/>
          <w:sz w:val="21"/>
          <w:szCs w:val="21"/>
          <w:highlight w:val="none"/>
          <w:lang w:val="en-US" w:eastAsia="zh-CN"/>
        </w:rPr>
        <w:t>2</w:t>
      </w:r>
      <w:r>
        <w:rPr>
          <w:rFonts w:hint="eastAsia" w:ascii="宋体" w:hAnsi="宋体" w:eastAsia="宋体" w:cs="Arial"/>
          <w:bCs/>
          <w:color w:val="auto"/>
          <w:kern w:val="0"/>
          <w:sz w:val="21"/>
          <w:szCs w:val="21"/>
          <w:highlight w:val="none"/>
        </w:rPr>
        <w:t>、</w:t>
      </w:r>
      <w:r>
        <w:rPr>
          <w:rFonts w:hint="eastAsia" w:ascii="宋体" w:hAnsi="宋体" w:eastAsia="宋体" w:cs="Arial"/>
          <w:bCs/>
          <w:color w:val="auto"/>
          <w:kern w:val="0"/>
          <w:sz w:val="21"/>
          <w:szCs w:val="21"/>
          <w:highlight w:val="none"/>
          <w:lang w:val="en-US" w:eastAsia="zh-CN"/>
        </w:rPr>
        <w:t>报价</w:t>
      </w:r>
      <w:r>
        <w:rPr>
          <w:rFonts w:hint="eastAsia" w:ascii="宋体" w:hAnsi="宋体" w:eastAsia="宋体" w:cs="Arial"/>
          <w:bCs/>
          <w:color w:val="auto"/>
          <w:kern w:val="0"/>
          <w:sz w:val="21"/>
          <w:szCs w:val="21"/>
          <w:highlight w:val="none"/>
        </w:rPr>
        <w:t>人承诺“所有技术部分负偏离项均已填写在本表，除此之外的技术条款均无偏离。”视作对无偏离技术条款的响应。</w:t>
      </w:r>
    </w:p>
    <w:p w14:paraId="30CDE41D">
      <w:pPr>
        <w:rPr>
          <w:rFonts w:ascii="宋体" w:hAnsi="宋体" w:cs="宋体"/>
          <w:color w:val="auto"/>
          <w:sz w:val="28"/>
          <w:highlight w:val="none"/>
        </w:rPr>
      </w:pPr>
    </w:p>
    <w:p w14:paraId="41864C73">
      <w:pPr>
        <w:pStyle w:val="17"/>
        <w:rPr>
          <w:rFonts w:ascii="宋体" w:hAnsi="宋体" w:cs="宋体"/>
          <w:color w:val="auto"/>
          <w:sz w:val="28"/>
          <w:highlight w:val="none"/>
        </w:rPr>
      </w:pPr>
    </w:p>
    <w:p w14:paraId="23F0BCF1">
      <w:pPr>
        <w:rPr>
          <w:rFonts w:ascii="宋体" w:hAnsi="宋体" w:cs="宋体"/>
          <w:color w:val="auto"/>
          <w:sz w:val="28"/>
          <w:highlight w:val="none"/>
        </w:rPr>
      </w:pPr>
    </w:p>
    <w:p w14:paraId="4559A65E">
      <w:pPr>
        <w:pStyle w:val="17"/>
        <w:rPr>
          <w:rFonts w:ascii="宋体" w:hAnsi="宋体" w:cs="宋体"/>
          <w:color w:val="auto"/>
          <w:sz w:val="28"/>
          <w:highlight w:val="none"/>
        </w:rPr>
      </w:pPr>
    </w:p>
    <w:p w14:paraId="05008B96">
      <w:pPr>
        <w:rPr>
          <w:rFonts w:ascii="宋体" w:hAnsi="宋体" w:cs="宋体"/>
          <w:color w:val="auto"/>
          <w:sz w:val="28"/>
          <w:highlight w:val="none"/>
        </w:rPr>
      </w:pPr>
    </w:p>
    <w:p w14:paraId="30C23B0C">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2A6F72D5">
      <w:pPr>
        <w:pStyle w:val="3"/>
        <w:spacing w:before="0" w:after="0" w:line="360" w:lineRule="auto"/>
        <w:jc w:val="center"/>
        <w:rPr>
          <w:rFonts w:ascii="宋体" w:hAnsi="宋体" w:eastAsia="宋体" w:cs="宋体"/>
          <w:color w:val="auto"/>
          <w:sz w:val="28"/>
          <w:highlight w:val="none"/>
        </w:rPr>
      </w:pPr>
      <w:bookmarkStart w:id="239" w:name="_Toc7326"/>
      <w:r>
        <w:rPr>
          <w:rFonts w:hint="eastAsia" w:ascii="宋体" w:hAnsi="宋体" w:eastAsia="宋体" w:cs="宋体"/>
          <w:color w:val="auto"/>
          <w:sz w:val="28"/>
          <w:highlight w:val="none"/>
        </w:rPr>
        <w:t>五、报价人承诺</w:t>
      </w:r>
      <w:bookmarkEnd w:id="239"/>
    </w:p>
    <w:p w14:paraId="62C5C8CA">
      <w:pPr>
        <w:pStyle w:val="17"/>
        <w:rPr>
          <w:color w:val="auto"/>
          <w:highlight w:val="none"/>
        </w:rPr>
      </w:pPr>
    </w:p>
    <w:p w14:paraId="272A45A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7EB41C6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14:paraId="2AC58AB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1、我公司比选响应文件中所有资料都是真实、准确、完整的。</w:t>
      </w:r>
    </w:p>
    <w:p w14:paraId="57508AA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2、我公司不存在资质挂靠或参与串标、围标情形。</w:t>
      </w:r>
    </w:p>
    <w:p w14:paraId="76DEB4F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标准等要求。</w:t>
      </w:r>
    </w:p>
    <w:p w14:paraId="135132D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6D6F0B2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我公司中标，将完全</w:t>
      </w:r>
      <w:r>
        <w:rPr>
          <w:rFonts w:hint="eastAsia" w:ascii="宋体" w:hAnsi="宋体" w:cs="宋体"/>
          <w:color w:val="auto"/>
          <w:sz w:val="21"/>
          <w:szCs w:val="21"/>
          <w:highlight w:val="none"/>
          <w:lang w:val="en-US" w:eastAsia="zh-CN"/>
        </w:rPr>
        <w:t>服从</w:t>
      </w:r>
      <w:r>
        <w:rPr>
          <w:rFonts w:hint="eastAsia" w:hAnsi="宋体" w:cs="宋体"/>
          <w:color w:val="auto"/>
          <w:sz w:val="21"/>
          <w:szCs w:val="21"/>
          <w:highlight w:val="none"/>
          <w:lang w:val="en-US" w:eastAsia="zh-CN"/>
        </w:rPr>
        <w:t>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32C8343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42CA2DA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6B41378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、如我公司违反上述承诺，隐瞒、提供虚假资料或不按竞争性比选文件要求组织实施，被贵方发现或被他人举报查实，无条件接受贵司的处罚，对造成的损失，任何法律和经济责任完全由我方承担。</w:t>
      </w:r>
    </w:p>
    <w:p w14:paraId="64D39DFF">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FF0000"/>
          <w:sz w:val="21"/>
          <w:szCs w:val="21"/>
          <w:highlight w:val="none"/>
        </w:rPr>
      </w:pPr>
    </w:p>
    <w:p w14:paraId="70690561">
      <w:pPr>
        <w:keepNext w:val="0"/>
        <w:keepLines w:val="0"/>
        <w:pageBreakBefore w:val="0"/>
        <w:widowControl w:val="0"/>
        <w:kinsoku/>
        <w:wordWrap/>
        <w:overflowPunct/>
        <w:topLinePunct w:val="0"/>
        <w:bidi w:val="0"/>
        <w:snapToGrid/>
        <w:spacing w:line="400" w:lineRule="exact"/>
        <w:textAlignment w:val="auto"/>
        <w:rPr>
          <w:rFonts w:hint="eastAsia" w:ascii="宋体" w:hAnsi="宋体" w:eastAsia="宋体" w:cs="宋体"/>
          <w:color w:val="auto"/>
          <w:sz w:val="21"/>
          <w:szCs w:val="21"/>
          <w:highlight w:val="none"/>
        </w:rPr>
      </w:pPr>
    </w:p>
    <w:p w14:paraId="0A9D32AC">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15FBD740">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78FB14A2">
      <w:pPr>
        <w:keepNext w:val="0"/>
        <w:keepLines w:val="0"/>
        <w:pageBreakBefore w:val="0"/>
        <w:widowControl w:val="0"/>
        <w:kinsoku/>
        <w:wordWrap/>
        <w:overflowPunct/>
        <w:topLinePunct w:val="0"/>
        <w:bidi w:val="0"/>
        <w:snapToGrid/>
        <w:spacing w:line="400" w:lineRule="exact"/>
        <w:jc w:val="center"/>
        <w:textAlignment w:val="auto"/>
        <w:rPr>
          <w:rFonts w:hint="eastAsia" w:ascii="宋体" w:hAnsi="宋体"/>
          <w:b/>
          <w:bCs/>
          <w:color w:val="auto"/>
          <w:kern w:val="0"/>
          <w:szCs w:val="21"/>
          <w:highlight w:val="none"/>
        </w:rPr>
      </w:pPr>
      <w:r>
        <w:rPr>
          <w:rFonts w:hint="eastAsia" w:ascii="宋体" w:hAnsi="宋体" w:eastAsia="宋体" w:cs="宋体"/>
          <w:b/>
          <w:bCs/>
          <w:color w:val="auto"/>
          <w:sz w:val="21"/>
          <w:szCs w:val="21"/>
          <w:highlight w:val="none"/>
          <w:lang w:val="en-US" w:eastAsia="zh-CN"/>
        </w:rPr>
        <w:t xml:space="preserve">                         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489EF944">
      <w:pPr>
        <w:rPr>
          <w:rFonts w:hint="eastAsia" w:ascii="宋体" w:hAnsi="宋体"/>
          <w:b/>
          <w:bCs/>
          <w:color w:val="auto"/>
          <w:sz w:val="24"/>
          <w:highlight w:val="none"/>
        </w:rPr>
      </w:pPr>
      <w:r>
        <w:rPr>
          <w:rFonts w:hint="eastAsia" w:ascii="宋体" w:hAnsi="宋体"/>
          <w:b/>
          <w:bCs/>
          <w:color w:val="auto"/>
          <w:sz w:val="24"/>
          <w:highlight w:val="none"/>
        </w:rPr>
        <w:br w:type="page"/>
      </w:r>
    </w:p>
    <w:p w14:paraId="7AE8BA51">
      <w:pPr>
        <w:keepNext w:val="0"/>
        <w:keepLines w:val="0"/>
        <w:pageBreakBefore w:val="0"/>
        <w:widowControl w:val="0"/>
        <w:kinsoku/>
        <w:wordWrap/>
        <w:overflowPunct/>
        <w:topLinePunct w:val="0"/>
        <w:autoSpaceDE/>
        <w:autoSpaceDN/>
        <w:bidi w:val="0"/>
        <w:adjustRightInd/>
        <w:snapToGrid/>
        <w:jc w:val="center"/>
        <w:textAlignment w:val="auto"/>
        <w:outlineLvl w:val="1"/>
        <w:rPr>
          <w:rFonts w:hint="default" w:ascii="宋体" w:hAnsi="宋体" w:eastAsia="宋体" w:cs="宋体"/>
          <w:b/>
          <w:bCs/>
          <w:color w:val="auto"/>
          <w:kern w:val="0"/>
          <w:sz w:val="28"/>
          <w:szCs w:val="32"/>
          <w:highlight w:val="none"/>
          <w:lang w:val="en-US" w:eastAsia="zh-CN" w:bidi="ar-SA"/>
        </w:rPr>
      </w:pPr>
      <w:bookmarkStart w:id="240" w:name="_Toc22594"/>
      <w:r>
        <w:rPr>
          <w:rFonts w:hint="eastAsia" w:ascii="宋体" w:hAnsi="宋体" w:eastAsia="宋体" w:cs="宋体"/>
          <w:b/>
          <w:bCs/>
          <w:color w:val="auto"/>
          <w:kern w:val="0"/>
          <w:sz w:val="28"/>
          <w:szCs w:val="32"/>
          <w:highlight w:val="none"/>
          <w:lang w:val="en-US" w:eastAsia="zh-CN" w:bidi="ar-SA"/>
        </w:rPr>
        <w:t>六、报价人其他资料</w:t>
      </w:r>
      <w:bookmarkEnd w:id="240"/>
    </w:p>
    <w:p w14:paraId="79A471DA">
      <w:pPr>
        <w:pStyle w:val="17"/>
        <w:rPr>
          <w:rFonts w:ascii="宋体" w:hAnsi="宋体"/>
          <w:color w:val="auto"/>
          <w:sz w:val="24"/>
          <w:highlight w:val="none"/>
        </w:rPr>
      </w:pPr>
    </w:p>
    <w:p w14:paraId="32A95D04">
      <w:pPr>
        <w:pStyle w:val="4"/>
        <w:spacing w:before="0" w:after="0" w:line="360" w:lineRule="auto"/>
        <w:jc w:val="center"/>
        <w:rPr>
          <w:color w:val="auto"/>
          <w:sz w:val="28"/>
          <w:szCs w:val="28"/>
          <w:highlight w:val="none"/>
        </w:rPr>
      </w:pPr>
      <w:r>
        <w:rPr>
          <w:rFonts w:hint="eastAsia"/>
          <w:color w:val="auto"/>
          <w:sz w:val="28"/>
          <w:szCs w:val="28"/>
          <w:highlight w:val="none"/>
        </w:rPr>
        <w:t>（一）报价人基本信息表</w:t>
      </w:r>
    </w:p>
    <w:p w14:paraId="552A35AE">
      <w:pPr>
        <w:pStyle w:val="26"/>
        <w:rPr>
          <w:color w:val="auto"/>
          <w:highlight w:val="none"/>
        </w:rPr>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7E9795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22310E9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C6BD9E9">
            <w:pPr>
              <w:topLinePunct/>
              <w:spacing w:line="440" w:lineRule="exact"/>
              <w:jc w:val="center"/>
              <w:rPr>
                <w:rFonts w:ascii="宋体" w:hAnsi="宋体" w:cs="宋体"/>
                <w:color w:val="auto"/>
                <w:szCs w:val="21"/>
                <w:highlight w:val="none"/>
              </w:rPr>
            </w:pPr>
          </w:p>
        </w:tc>
      </w:tr>
      <w:tr w14:paraId="6DB49B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43067CF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5E8B6BC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5488865">
            <w:pPr>
              <w:topLinePunct/>
              <w:spacing w:line="440" w:lineRule="exact"/>
              <w:jc w:val="center"/>
              <w:rPr>
                <w:rFonts w:ascii="宋体" w:hAnsi="宋体" w:cs="宋体"/>
                <w:color w:val="auto"/>
                <w:szCs w:val="21"/>
                <w:highlight w:val="none"/>
              </w:rPr>
            </w:pPr>
          </w:p>
        </w:tc>
      </w:tr>
      <w:tr w14:paraId="0A913A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118987D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49EE163D">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F1E3C8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21154A79">
            <w:pPr>
              <w:topLinePunct/>
              <w:spacing w:line="440" w:lineRule="exact"/>
              <w:jc w:val="center"/>
              <w:rPr>
                <w:rFonts w:ascii="宋体" w:hAnsi="宋体" w:cs="宋体"/>
                <w:color w:val="auto"/>
                <w:szCs w:val="21"/>
                <w:highlight w:val="none"/>
              </w:rPr>
            </w:pPr>
          </w:p>
        </w:tc>
      </w:tr>
      <w:tr w14:paraId="2B0E69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70A7196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3EE9BF7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5C445016">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50E66F6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7CA342C3">
            <w:pPr>
              <w:topLinePunct/>
              <w:spacing w:line="440" w:lineRule="exact"/>
              <w:jc w:val="center"/>
              <w:rPr>
                <w:rFonts w:ascii="宋体" w:hAnsi="宋体" w:cs="宋体"/>
                <w:color w:val="auto"/>
                <w:szCs w:val="21"/>
                <w:highlight w:val="none"/>
              </w:rPr>
            </w:pPr>
          </w:p>
        </w:tc>
      </w:tr>
      <w:tr w14:paraId="01871A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55CF32B8">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1CE5491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03D63D9A">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E82A24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6B485394">
            <w:pPr>
              <w:topLinePunct/>
              <w:spacing w:line="440" w:lineRule="exact"/>
              <w:jc w:val="center"/>
              <w:rPr>
                <w:rFonts w:ascii="宋体" w:hAnsi="宋体" w:cs="宋体"/>
                <w:color w:val="auto"/>
                <w:szCs w:val="21"/>
                <w:highlight w:val="none"/>
              </w:rPr>
            </w:pPr>
          </w:p>
        </w:tc>
      </w:tr>
      <w:tr w14:paraId="70B18F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2E2C7AC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F8A556E">
            <w:pPr>
              <w:topLinePunct/>
              <w:spacing w:line="440" w:lineRule="exact"/>
              <w:jc w:val="center"/>
              <w:rPr>
                <w:rFonts w:ascii="宋体" w:hAnsi="宋体" w:cs="宋体"/>
                <w:color w:val="auto"/>
                <w:szCs w:val="21"/>
                <w:highlight w:val="none"/>
              </w:rPr>
            </w:pPr>
          </w:p>
        </w:tc>
      </w:tr>
      <w:tr w14:paraId="5DA583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32CA8E9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20BCA31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7F1317E2">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1054178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5B9D2D91">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73AE7F3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123951D6">
            <w:pPr>
              <w:topLinePunct/>
              <w:spacing w:line="440" w:lineRule="exact"/>
              <w:jc w:val="center"/>
              <w:rPr>
                <w:rFonts w:ascii="宋体" w:hAnsi="宋体" w:cs="宋体"/>
                <w:color w:val="auto"/>
                <w:szCs w:val="21"/>
                <w:highlight w:val="none"/>
              </w:rPr>
            </w:pPr>
          </w:p>
        </w:tc>
      </w:tr>
      <w:tr w14:paraId="16E9CD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5ADFFEF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61BACF7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68910C92">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2373436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37F3FDEC">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2FDBC0A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4DD702A7">
            <w:pPr>
              <w:topLinePunct/>
              <w:spacing w:line="440" w:lineRule="exact"/>
              <w:jc w:val="center"/>
              <w:rPr>
                <w:rFonts w:ascii="宋体" w:hAnsi="宋体" w:cs="宋体"/>
                <w:color w:val="auto"/>
                <w:szCs w:val="21"/>
                <w:highlight w:val="none"/>
              </w:rPr>
            </w:pPr>
          </w:p>
        </w:tc>
      </w:tr>
      <w:tr w14:paraId="007ADD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5D4DFF8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B700DF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2C9EF728">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654012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070B6C0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4BB36FE">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4BA4512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306E428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0D14F13">
            <w:pPr>
              <w:topLinePunct/>
              <w:spacing w:line="440" w:lineRule="exact"/>
              <w:jc w:val="center"/>
              <w:rPr>
                <w:rFonts w:ascii="宋体" w:hAnsi="宋体" w:cs="宋体"/>
                <w:color w:val="auto"/>
                <w:szCs w:val="21"/>
                <w:highlight w:val="none"/>
              </w:rPr>
            </w:pPr>
          </w:p>
        </w:tc>
      </w:tr>
      <w:tr w14:paraId="023820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53536FD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D23E05C">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FDCA6C5">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2EE90F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9997B1C">
            <w:pPr>
              <w:topLinePunct/>
              <w:spacing w:line="440" w:lineRule="exact"/>
              <w:jc w:val="center"/>
              <w:rPr>
                <w:rFonts w:ascii="宋体" w:hAnsi="宋体" w:cs="宋体"/>
                <w:color w:val="auto"/>
                <w:szCs w:val="21"/>
                <w:highlight w:val="none"/>
              </w:rPr>
            </w:pPr>
          </w:p>
        </w:tc>
      </w:tr>
      <w:tr w14:paraId="4834E3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2A8DD65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B17EAEF">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798838BD">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67F2ED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88317DF">
            <w:pPr>
              <w:topLinePunct/>
              <w:spacing w:line="440" w:lineRule="exact"/>
              <w:jc w:val="center"/>
              <w:rPr>
                <w:rFonts w:ascii="宋体" w:hAnsi="宋体" w:cs="宋体"/>
                <w:color w:val="auto"/>
                <w:szCs w:val="21"/>
                <w:highlight w:val="none"/>
              </w:rPr>
            </w:pPr>
          </w:p>
        </w:tc>
      </w:tr>
      <w:tr w14:paraId="05C4C2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169B1D2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8F72506">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248CC20E">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496A85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6904FA95">
            <w:pPr>
              <w:topLinePunct/>
              <w:spacing w:line="440" w:lineRule="exact"/>
              <w:jc w:val="center"/>
              <w:rPr>
                <w:rFonts w:ascii="宋体" w:hAnsi="宋体" w:cs="宋体"/>
                <w:color w:val="auto"/>
                <w:szCs w:val="21"/>
                <w:highlight w:val="none"/>
              </w:rPr>
            </w:pPr>
          </w:p>
        </w:tc>
      </w:tr>
      <w:tr w14:paraId="331CA7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7A76D3B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4833BFD">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6468BDDD">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5CFA1C3">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BB1B99B">
            <w:pPr>
              <w:topLinePunct/>
              <w:spacing w:line="440" w:lineRule="exact"/>
              <w:jc w:val="center"/>
              <w:rPr>
                <w:rFonts w:ascii="宋体" w:hAnsi="宋体" w:cs="宋体"/>
                <w:color w:val="auto"/>
                <w:szCs w:val="21"/>
                <w:highlight w:val="none"/>
              </w:rPr>
            </w:pPr>
          </w:p>
        </w:tc>
      </w:tr>
      <w:tr w14:paraId="62243E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173FD310">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44E28B9E">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0100FF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4354436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AAC345B">
            <w:pPr>
              <w:topLinePunct/>
              <w:spacing w:line="440" w:lineRule="exact"/>
              <w:jc w:val="center"/>
              <w:rPr>
                <w:rFonts w:ascii="宋体" w:hAnsi="宋体" w:cs="宋体"/>
                <w:color w:val="auto"/>
                <w:szCs w:val="21"/>
                <w:highlight w:val="none"/>
              </w:rPr>
            </w:pPr>
          </w:p>
        </w:tc>
      </w:tr>
    </w:tbl>
    <w:p w14:paraId="559799C1">
      <w:pPr>
        <w:pStyle w:val="17"/>
        <w:rPr>
          <w:rFonts w:hint="eastAsia" w:ascii="宋体" w:hAnsi="宋体" w:cs="宋体"/>
          <w:color w:val="auto"/>
          <w:sz w:val="28"/>
          <w:highlight w:val="none"/>
          <w:lang w:eastAsia="zh-CN"/>
        </w:rPr>
      </w:pPr>
    </w:p>
    <w:p w14:paraId="0EDC86D9">
      <w:pPr>
        <w:pStyle w:val="17"/>
        <w:rPr>
          <w:rFonts w:hint="eastAsia" w:ascii="宋体" w:hAnsi="宋体" w:cs="宋体"/>
          <w:color w:val="auto"/>
          <w:sz w:val="28"/>
          <w:highlight w:val="none"/>
          <w:lang w:eastAsia="zh-CN"/>
        </w:rPr>
      </w:pPr>
    </w:p>
    <w:p w14:paraId="55D6CE5D">
      <w:pPr>
        <w:autoSpaceDE w:val="0"/>
        <w:autoSpaceDN w:val="0"/>
        <w:adjustRightInd w:val="0"/>
        <w:snapToGrid w:val="0"/>
        <w:spacing w:line="360" w:lineRule="auto"/>
        <w:jc w:val="center"/>
        <w:rPr>
          <w:b/>
          <w:bCs/>
          <w:caps/>
          <w:color w:val="auto"/>
          <w:sz w:val="32"/>
          <w:szCs w:val="32"/>
          <w:highlight w:val="none"/>
        </w:rPr>
      </w:pP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rPr>
        <w:t>低价风险担保提交承诺书（如有）</w:t>
      </w:r>
    </w:p>
    <w:p w14:paraId="023D4463">
      <w:pPr>
        <w:rPr>
          <w:color w:val="auto"/>
          <w:highlight w:val="none"/>
        </w:rPr>
      </w:pPr>
    </w:p>
    <w:p w14:paraId="39C135F0">
      <w:pPr>
        <w:keepNext w:val="0"/>
        <w:keepLines w:val="0"/>
        <w:pageBreakBefore w:val="0"/>
        <w:widowControl w:val="0"/>
        <w:kinsoku/>
        <w:wordWrap/>
        <w:overflowPunct/>
        <w:topLinePunct w:val="0"/>
        <w:autoSpaceDE w:val="0"/>
        <w:autoSpaceDN w:val="0"/>
        <w:bidi w:val="0"/>
        <w:adjustRightInd w:val="0"/>
        <w:snapToGrid w:val="0"/>
        <w:spacing w:line="360" w:lineRule="auto"/>
        <w:ind w:left="420" w:leftChars="200" w:right="420" w:rightChars="200"/>
        <w:jc w:val="center"/>
        <w:textAlignment w:val="auto"/>
        <w:rPr>
          <w:rFonts w:hint="eastAsia"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w:t>
      </w:r>
      <w:r>
        <w:rPr>
          <w:rFonts w:hint="eastAsia" w:ascii="宋体" w:hAnsi="宋体"/>
          <w:snapToGrid w:val="0"/>
          <w:color w:val="auto"/>
          <w:kern w:val="0"/>
          <w:sz w:val="32"/>
          <w:szCs w:val="32"/>
          <w:highlight w:val="none"/>
          <w:lang w:val="en-US" w:eastAsia="zh-CN"/>
        </w:rPr>
        <w:t>采用经评审的最低投标价法，且</w:t>
      </w:r>
      <w:r>
        <w:rPr>
          <w:rFonts w:hint="eastAsia" w:ascii="宋体" w:hAnsi="宋体"/>
          <w:snapToGrid w:val="0"/>
          <w:color w:val="auto"/>
          <w:kern w:val="0"/>
          <w:sz w:val="32"/>
          <w:szCs w:val="32"/>
          <w:highlight w:val="none"/>
        </w:rPr>
        <w:t>投标报价低于</w:t>
      </w:r>
      <w:r>
        <w:rPr>
          <w:rFonts w:hint="eastAsia" w:ascii="宋体" w:hAnsi="宋体"/>
          <w:snapToGrid w:val="0"/>
          <w:color w:val="auto"/>
          <w:kern w:val="0"/>
          <w:sz w:val="32"/>
          <w:szCs w:val="32"/>
          <w:highlight w:val="none"/>
          <w:lang w:val="en-US" w:eastAsia="zh-CN"/>
        </w:rPr>
        <w:t>采购</w:t>
      </w:r>
      <w:r>
        <w:rPr>
          <w:rFonts w:hint="eastAsia" w:ascii="宋体" w:hAnsi="宋体"/>
          <w:snapToGrid w:val="0"/>
          <w:color w:val="auto"/>
          <w:kern w:val="0"/>
          <w:sz w:val="32"/>
          <w:szCs w:val="32"/>
          <w:highlight w:val="none"/>
        </w:rPr>
        <w:t>项目最高限价的85%时采用）</w:t>
      </w:r>
    </w:p>
    <w:p w14:paraId="34C69DCF">
      <w:pPr>
        <w:autoSpaceDE w:val="0"/>
        <w:autoSpaceDN w:val="0"/>
        <w:adjustRightInd w:val="0"/>
        <w:snapToGrid w:val="0"/>
        <w:spacing w:line="360" w:lineRule="auto"/>
        <w:jc w:val="center"/>
        <w:rPr>
          <w:rFonts w:hint="eastAsia" w:ascii="宋体" w:hAnsi="宋体"/>
          <w:snapToGrid w:val="0"/>
          <w:color w:val="auto"/>
          <w:kern w:val="0"/>
          <w:sz w:val="32"/>
          <w:szCs w:val="32"/>
          <w:highlight w:val="none"/>
        </w:rPr>
      </w:pPr>
    </w:p>
    <w:p w14:paraId="46B6E4F3">
      <w:pPr>
        <w:autoSpaceDE w:val="0"/>
        <w:autoSpaceDN w:val="0"/>
        <w:adjustRightInd w:val="0"/>
        <w:snapToGrid w:val="0"/>
        <w:spacing w:line="360" w:lineRule="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采购人</w:t>
      </w:r>
      <w:r>
        <w:rPr>
          <w:rFonts w:hint="eastAsia" w:ascii="宋体" w:hAnsi="宋体" w:cs="宋体"/>
          <w:snapToGrid w:val="0"/>
          <w:color w:val="auto"/>
          <w:kern w:val="0"/>
          <w:szCs w:val="21"/>
          <w:highlight w:val="none"/>
          <w:u w:val="single"/>
        </w:rPr>
        <w:t>名称）</w:t>
      </w:r>
      <w:r>
        <w:rPr>
          <w:rFonts w:hint="eastAsia" w:ascii="宋体" w:hAnsi="宋体" w:cs="宋体"/>
          <w:snapToGrid w:val="0"/>
          <w:color w:val="auto"/>
          <w:kern w:val="0"/>
          <w:szCs w:val="21"/>
          <w:highlight w:val="none"/>
        </w:rPr>
        <w:t>：</w:t>
      </w:r>
    </w:p>
    <w:p w14:paraId="14D7C10A">
      <w:pPr>
        <w:autoSpaceDE w:val="0"/>
        <w:autoSpaceDN w:val="0"/>
        <w:adjustRightInd w:val="0"/>
        <w:snapToGrid w:val="0"/>
        <w:spacing w:line="360" w:lineRule="auto"/>
        <w:ind w:firstLine="420" w:firstLineChars="200"/>
        <w:jc w:val="left"/>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（报价人名称）</w:t>
      </w:r>
      <w:r>
        <w:rPr>
          <w:rFonts w:hint="eastAsia" w:ascii="宋体" w:hAnsi="宋体" w:cs="宋体"/>
          <w:snapToGrid w:val="0"/>
          <w:color w:val="auto"/>
          <w:kern w:val="0"/>
          <w:szCs w:val="21"/>
          <w:highlight w:val="none"/>
        </w:rPr>
        <w:t>参加了你单位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w:t>
      </w:r>
      <w:r>
        <w:rPr>
          <w:rFonts w:hint="eastAsia" w:ascii="宋体" w:hAnsi="宋体" w:cs="宋体"/>
          <w:snapToGrid w:val="0"/>
          <w:color w:val="auto"/>
          <w:kern w:val="0"/>
          <w:szCs w:val="21"/>
          <w:highlight w:val="none"/>
          <w:lang w:val="en-US" w:eastAsia="zh-CN"/>
        </w:rPr>
        <w:t>比选</w:t>
      </w:r>
      <w:r>
        <w:rPr>
          <w:rFonts w:hint="eastAsia" w:ascii="宋体" w:hAnsi="宋体" w:cs="宋体"/>
          <w:snapToGrid w:val="0"/>
          <w:color w:val="auto"/>
          <w:kern w:val="0"/>
          <w:szCs w:val="21"/>
          <w:highlight w:val="none"/>
        </w:rPr>
        <w:t>。我公司投标报价低于最高限价的85%，若获得中标资格，我公司承诺按照</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的规定递交低价风险担保。同时，我公司已落实低价风险担保的提交方案，承诺如采用保函形式提交低价风险担保，保函的格式和内容符合</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的要求。否则，我公司愿承担</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中约定的，因未按规定递交低价风险担保的相应责任。</w:t>
      </w:r>
    </w:p>
    <w:p w14:paraId="607A66A4">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p>
    <w:p w14:paraId="5DBF452F">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1C34DE42">
      <w:pPr>
        <w:autoSpaceDE w:val="0"/>
        <w:autoSpaceDN w:val="0"/>
        <w:adjustRightInd w:val="0"/>
        <w:snapToGrid w:val="0"/>
        <w:spacing w:line="360" w:lineRule="auto"/>
        <w:ind w:firstLine="640"/>
        <w:rPr>
          <w:rFonts w:hint="eastAsia" w:ascii="宋体" w:hAnsi="宋体" w:cs="宋体"/>
          <w:snapToGrid w:val="0"/>
          <w:color w:val="auto"/>
          <w:kern w:val="0"/>
          <w:sz w:val="32"/>
          <w:szCs w:val="32"/>
          <w:highlight w:val="none"/>
        </w:rPr>
      </w:pPr>
    </w:p>
    <w:p w14:paraId="0D261F23">
      <w:pPr>
        <w:tabs>
          <w:tab w:val="left" w:pos="4200"/>
          <w:tab w:val="left" w:pos="4620"/>
        </w:tabs>
        <w:autoSpaceDE w:val="0"/>
        <w:autoSpaceDN w:val="0"/>
        <w:adjustRightInd w:val="0"/>
        <w:snapToGrid w:val="0"/>
        <w:spacing w:line="480" w:lineRule="auto"/>
        <w:ind w:firstLine="5250" w:firstLineChars="2500"/>
        <w:jc w:val="left"/>
        <w:rPr>
          <w:rFonts w:hint="eastAsia" w:ascii="宋体" w:hAnsi="宋体"/>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1075B139">
      <w:pPr>
        <w:tabs>
          <w:tab w:val="left" w:pos="7140"/>
          <w:tab w:val="left" w:pos="7560"/>
          <w:tab w:val="left" w:pos="8300"/>
        </w:tabs>
        <w:autoSpaceDE w:val="0"/>
        <w:autoSpaceDN w:val="0"/>
        <w:adjustRightInd w:val="0"/>
        <w:ind w:firstLine="420" w:firstLineChars="200"/>
        <w:rPr>
          <w:rFonts w:hint="eastAsia" w:ascii="宋体" w:hAnsi="宋体"/>
          <w:snapToGrid w:val="0"/>
          <w:color w:val="auto"/>
          <w:kern w:val="0"/>
          <w:szCs w:val="21"/>
          <w:highlight w:val="none"/>
        </w:rPr>
      </w:pPr>
    </w:p>
    <w:p w14:paraId="7FAE664D">
      <w:pPr>
        <w:jc w:val="right"/>
        <w:rPr>
          <w:rFonts w:hint="eastAsia"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65CDE6A8">
      <w:pPr>
        <w:rPr>
          <w:rFonts w:hint="eastAsia"/>
          <w:color w:val="auto"/>
          <w:highlight w:val="none"/>
        </w:rPr>
      </w:pPr>
    </w:p>
    <w:p w14:paraId="65CEFD78">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34FAA128">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三</w:t>
      </w:r>
      <w:r>
        <w:rPr>
          <w:rFonts w:hint="eastAsia" w:ascii="宋体" w:hAnsi="宋体" w:cs="宋体"/>
          <w:b/>
          <w:bCs/>
          <w:color w:val="auto"/>
          <w:kern w:val="0"/>
          <w:sz w:val="28"/>
          <w:szCs w:val="32"/>
          <w:highlight w:val="none"/>
        </w:rPr>
        <w:t>）技术部分</w:t>
      </w:r>
    </w:p>
    <w:p w14:paraId="32D2B464">
      <w:pPr>
        <w:pStyle w:val="3"/>
        <w:spacing w:before="0" w:after="0" w:line="360" w:lineRule="auto"/>
        <w:jc w:val="center"/>
        <w:outlineLvl w:val="9"/>
        <w:rPr>
          <w:rFonts w:ascii="宋体" w:hAnsi="宋体" w:eastAsia="宋体" w:cs="宋体"/>
          <w:color w:val="auto"/>
          <w:sz w:val="28"/>
          <w:highlight w:val="none"/>
        </w:rPr>
      </w:pPr>
    </w:p>
    <w:p w14:paraId="3DC63685">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当竞争性比选文件采用综合评估法时，“第三章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22BCD562">
      <w:pPr>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br w:type="page"/>
      </w:r>
    </w:p>
    <w:p w14:paraId="7EDFB6C1">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四</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商务</w:t>
      </w:r>
      <w:r>
        <w:rPr>
          <w:rFonts w:hint="eastAsia" w:ascii="宋体" w:hAnsi="宋体" w:cs="宋体"/>
          <w:b/>
          <w:bCs/>
          <w:color w:val="auto"/>
          <w:kern w:val="0"/>
          <w:sz w:val="28"/>
          <w:szCs w:val="32"/>
          <w:highlight w:val="none"/>
        </w:rPr>
        <w:t>部分</w:t>
      </w:r>
    </w:p>
    <w:p w14:paraId="16CD38EE">
      <w:pPr>
        <w:pStyle w:val="3"/>
        <w:spacing w:before="0" w:after="0" w:line="360" w:lineRule="auto"/>
        <w:jc w:val="center"/>
        <w:outlineLvl w:val="9"/>
        <w:rPr>
          <w:rFonts w:hint="eastAsia" w:ascii="宋体" w:hAnsi="宋体" w:eastAsia="宋体" w:cs="宋体"/>
          <w:color w:val="auto"/>
          <w:sz w:val="21"/>
          <w:szCs w:val="21"/>
          <w:highlight w:val="none"/>
        </w:rPr>
      </w:pPr>
    </w:p>
    <w:p w14:paraId="16A78CA5">
      <w:pPr>
        <w:pStyle w:val="17"/>
        <w:keepNext w:val="0"/>
        <w:keepLines w:val="0"/>
        <w:pageBreakBefore w:val="0"/>
        <w:widowControl w:val="0"/>
        <w:kinsoku/>
        <w:wordWrap/>
        <w:overflowPunct/>
        <w:topLinePunct w:val="0"/>
        <w:autoSpaceDE/>
        <w:autoSpaceDN/>
        <w:bidi w:val="0"/>
        <w:adjustRightInd/>
        <w:snapToGrid/>
        <w:spacing w:line="4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kern w:val="0"/>
          <w:sz w:val="21"/>
          <w:szCs w:val="21"/>
          <w:highlight w:val="none"/>
          <w:lang w:bidi="ar"/>
        </w:rPr>
        <w:t>[提示：</w:t>
      </w:r>
      <w:r>
        <w:rPr>
          <w:rFonts w:hint="eastAsia" w:ascii="宋体" w:hAnsi="宋体" w:eastAsia="宋体" w:cs="宋体"/>
          <w:b/>
          <w:color w:val="auto"/>
          <w:kern w:val="0"/>
          <w:sz w:val="21"/>
          <w:szCs w:val="21"/>
          <w:highlight w:val="none"/>
          <w:lang w:val="en-US" w:eastAsia="zh-CN" w:bidi="ar"/>
        </w:rPr>
        <w:t>当竞争性比选文件采用综合评估法时，“第三章 评标办法”</w:t>
      </w:r>
      <w:r>
        <w:rPr>
          <w:rFonts w:hint="eastAsia" w:ascii="宋体" w:hAnsi="宋体" w:eastAsia="宋体" w:cs="宋体"/>
          <w:b/>
          <w:color w:val="auto"/>
          <w:kern w:val="0"/>
          <w:sz w:val="21"/>
          <w:szCs w:val="21"/>
          <w:highlight w:val="none"/>
          <w:lang w:bidi="ar"/>
        </w:rPr>
        <w:t>商务部分评分标准所涉及的内容及相关佐证资料由投标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14:paraId="64C54896">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63FF2DA8">
      <w:pPr>
        <w:pStyle w:val="17"/>
        <w:jc w:val="center"/>
        <w:rPr>
          <w:rFonts w:ascii="宋体" w:hAnsi="宋体"/>
          <w:b/>
          <w:bCs/>
          <w:color w:val="auto"/>
          <w:sz w:val="24"/>
          <w:highlight w:val="none"/>
        </w:rPr>
      </w:pPr>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五</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其他材料</w:t>
      </w:r>
    </w:p>
    <w:p w14:paraId="7B44785D">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6977FDAF">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2E9FA832">
      <w:p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14:paraId="5C57C348">
      <w:pPr>
        <w:wordWrap w:val="0"/>
        <w:adjustRightInd w:val="0"/>
        <w:snapToGrid w:val="0"/>
        <w:spacing w:line="460" w:lineRule="exact"/>
        <w:jc w:val="left"/>
        <w:rPr>
          <w:rFonts w:hint="eastAsia" w:ascii="宋体" w:hAnsi="宋体" w:cs="宋体"/>
          <w:color w:val="auto"/>
          <w:szCs w:val="21"/>
          <w:highlight w:val="none"/>
          <w:lang w:bidi="ar"/>
        </w:rPr>
      </w:pPr>
    </w:p>
    <w:p w14:paraId="520FA4A5">
      <w:pPr>
        <w:pStyle w:val="17"/>
        <w:rPr>
          <w:color w:val="auto"/>
          <w:highlight w:val="none"/>
        </w:rPr>
      </w:pPr>
    </w:p>
    <w:p w14:paraId="41B20AB5">
      <w:pPr>
        <w:rPr>
          <w:rFonts w:ascii="宋体" w:hAnsi="宋体" w:cs="宋体"/>
          <w:color w:val="auto"/>
          <w:sz w:val="28"/>
          <w:highlight w:val="none"/>
        </w:rPr>
      </w:pPr>
    </w:p>
    <w:bookmarkEnd w:id="233"/>
    <w:bookmarkEnd w:id="234"/>
    <w:p w14:paraId="7D0F392A">
      <w:pPr>
        <w:rPr>
          <w:color w:val="auto"/>
          <w:highlight w:val="none"/>
        </w:rPr>
      </w:pPr>
    </w:p>
    <w:sectPr>
      <w:footerReference r:id="rId13" w:type="first"/>
      <w:footerReference r:id="rId12"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embedRegular r:id="rId1" w:fontKey="{C7AC7AC7-449D-4DF4-8BA2-57A46C896645}"/>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2" w:fontKey="{964ADE1C-6A1D-4BBF-B44E-939A4B6D6CD4}"/>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10006FF" w:usb1="4000205B" w:usb2="00000010" w:usb3="00000000" w:csb0="2000019F" w:csb1="00000000"/>
  </w:font>
  <w:font w:name="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0002A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003" w:usb1="288F0000" w:usb2="00000006" w:usb3="00000000" w:csb0="00040001" w:csb1="00000000"/>
  </w:font>
  <w:font w:name="Wonder Arial">
    <w:panose1 w:val="00000500000000000000"/>
    <w:charset w:val="00"/>
    <w:family w:val="auto"/>
    <w:pitch w:val="default"/>
    <w:sig w:usb0="00000003" w:usb1="00000000" w:usb2="00000000" w:usb3="00000000" w:csb0="00000011" w:csb1="00000000"/>
    <w:embedRegular r:id="rId3" w:fontKey="{A70112F3-8777-454D-9FF9-4C165FCDAD91}"/>
  </w:font>
  <w:font w:name="方正小标宋_GBK">
    <w:panose1 w:val="02000000000000000000"/>
    <w:charset w:val="86"/>
    <w:family w:val="script"/>
    <w:pitch w:val="default"/>
    <w:sig w:usb0="A00002BF" w:usb1="38CF7CFA" w:usb2="00082016" w:usb3="00000000" w:csb0="00040001" w:csb1="00000000"/>
    <w:embedRegular r:id="rId4" w:fontKey="{C744942D-4772-46ED-9036-03984D053D96}"/>
  </w:font>
  <w:font w:name="仿宋">
    <w:panose1 w:val="02010609060101010101"/>
    <w:charset w:val="86"/>
    <w:family w:val="modern"/>
    <w:pitch w:val="default"/>
    <w:sig w:usb0="800002BF" w:usb1="38CF7CFA" w:usb2="00000016" w:usb3="00000000" w:csb0="00040001" w:csb1="00000000"/>
    <w:embedRegular r:id="rId5" w:fontKey="{B718C751-06FF-40C7-9A69-2555101732C1}"/>
  </w:font>
  <w:font w:name="WPSEMBED5">
    <w:panose1 w:val="00000500000000000000"/>
    <w:charset w:val="00"/>
    <w:family w:val="auto"/>
    <w:pitch w:val="default"/>
    <w:sig w:usb0="00000003" w:usb1="00000000"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1BD8F">
    <w:pPr>
      <w:pStyle w:val="26"/>
      <w:jc w:val="center"/>
    </w:pPr>
  </w:p>
  <w:p w14:paraId="7283DC54">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BBD05">
    <w:pPr>
      <w:pStyle w:val="26"/>
      <w:framePr w:wrap="around" w:vAnchor="text" w:hAnchor="margin" w:xAlign="center" w:y="1"/>
      <w:rPr>
        <w:rStyle w:val="46"/>
      </w:rPr>
    </w:pPr>
    <w:r>
      <w:fldChar w:fldCharType="begin"/>
    </w:r>
    <w:r>
      <w:rPr>
        <w:rStyle w:val="46"/>
      </w:rPr>
      <w:instrText xml:space="preserve">PAGE  </w:instrText>
    </w:r>
    <w:r>
      <w:fldChar w:fldCharType="end"/>
    </w:r>
  </w:p>
  <w:p w14:paraId="5B18FBA4">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8350F">
    <w:pPr>
      <w:pStyle w:val="26"/>
      <w:jc w:val="center"/>
    </w:pPr>
    <w:r>
      <w:fldChar w:fldCharType="begin"/>
    </w:r>
    <w:r>
      <w:instrText xml:space="preserve">PAGE   \* MERGEFORMAT</w:instrText>
    </w:r>
    <w:r>
      <w:fldChar w:fldCharType="separate"/>
    </w:r>
    <w:r>
      <w:rPr>
        <w:lang w:val="zh-CN"/>
      </w:rPr>
      <w:t>79</w:t>
    </w:r>
    <w:r>
      <w:fldChar w:fldCharType="end"/>
    </w:r>
  </w:p>
  <w:p w14:paraId="4AA489D9">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7E6EE">
    <w:pPr>
      <w:pStyle w:val="26"/>
      <w:jc w:val="center"/>
    </w:pPr>
    <w:r>
      <w:fldChar w:fldCharType="begin"/>
    </w:r>
    <w:r>
      <w:instrText xml:space="preserve">PAGE   \* MERGEFORMAT</w:instrText>
    </w:r>
    <w:r>
      <w:fldChar w:fldCharType="separate"/>
    </w:r>
    <w:r>
      <w:rPr>
        <w:lang w:val="zh-CN"/>
      </w:rPr>
      <w:t>35</w:t>
    </w:r>
    <w:r>
      <w:fldChar w:fldCharType="end"/>
    </w:r>
  </w:p>
  <w:p w14:paraId="2FCE9550">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3C9A8">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78</w:t>
    </w:r>
    <w:r>
      <w:fldChar w:fldCharType="end"/>
    </w:r>
  </w:p>
  <w:p w14:paraId="5CA42F2B">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E58E56">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5C7C37C">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JPt0q/LAQAAnAMAAA4AAAAAAAAAAQAgAAAAHgEAAGRycy9lMm9E&#10;b2MueG1sUEsFBgAAAAAGAAYAWQEAAFsFAAAAAA==&#10;">
              <v:fill on="f" focussize="0,0"/>
              <v:stroke on="f"/>
              <v:imagedata o:title=""/>
              <o:lock v:ext="edit" aspectratio="f"/>
              <v:textbox inset="0mm,0mm,0mm,0mm" style="mso-fit-shape-to-text:t;">
                <w:txbxContent>
                  <w:p w14:paraId="15C7C37C">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CC1233">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EA28DCA">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GPUvHXLAQAAnAMAAA4AAAAAAAAAAQAgAAAAHgEAAGRycy9lMm9E&#10;b2MueG1sUEsFBgAAAAAGAAYAWQEAAFsFAAAAAA==&#10;">
              <v:fill on="f" focussize="0,0"/>
              <v:stroke on="f"/>
              <v:imagedata o:title=""/>
              <o:lock v:ext="edit" aspectratio="f"/>
              <v:textbox inset="0mm,0mm,0mm,0mm" style="mso-fit-shape-to-text:t;">
                <w:txbxContent>
                  <w:p w14:paraId="5EA28DCA">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B6D70">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BA2AD0">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2ABA2AD0">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17048">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4493B5">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694493B5">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58C98">
    <w:pPr>
      <w:pStyle w:val="2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0E8DC">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A12678"/>
    <w:multiLevelType w:val="singleLevel"/>
    <w:tmpl w:val="C6A12678"/>
    <w:lvl w:ilvl="0" w:tentative="0">
      <w:start w:val="1"/>
      <w:numFmt w:val="chineseCounting"/>
      <w:suff w:val="nothing"/>
      <w:lvlText w:val="%1、"/>
      <w:lvlJc w:val="left"/>
      <w:rPr>
        <w:rFonts w:hint="eastAsia"/>
      </w:rPr>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46A08BB8"/>
    <w:multiLevelType w:val="singleLevel"/>
    <w:tmpl w:val="46A08BB8"/>
    <w:lvl w:ilvl="0" w:tentative="0">
      <w:start w:val="1"/>
      <w:numFmt w:val="bullet"/>
      <w:lvlText w:val=""/>
      <w:lvlJc w:val="left"/>
      <w:pPr>
        <w:ind w:left="420" w:hanging="420"/>
      </w:pPr>
      <w:rPr>
        <w:rFonts w:hint="default" w:ascii="Wingdings" w:hAnsi="Wingdings" w:eastAsia="Wingdings"/>
        <w:bCs/>
      </w:rPr>
    </w:lvl>
  </w:abstractNum>
  <w:abstractNum w:abstractNumId="4">
    <w:nsid w:val="61027DAC"/>
    <w:multiLevelType w:val="singleLevel"/>
    <w:tmpl w:val="61027DAC"/>
    <w:lvl w:ilvl="0" w:tentative="0">
      <w:start w:val="1"/>
      <w:numFmt w:val="chineseCounting"/>
      <w:suff w:val="nothing"/>
      <w:lvlText w:val="%1、"/>
      <w:lvlJc w:val="left"/>
    </w:lvl>
  </w:abstractNum>
  <w:abstractNum w:abstractNumId="5">
    <w:nsid w:val="639D35DC"/>
    <w:multiLevelType w:val="singleLevel"/>
    <w:tmpl w:val="639D35DC"/>
    <w:lvl w:ilvl="0" w:tentative="0">
      <w:start w:val="1"/>
      <w:numFmt w:val="decimal"/>
      <w:suff w:val="nothing"/>
      <w:lvlText w:val="（%1）"/>
      <w:lvlJc w:val="left"/>
    </w:lvl>
  </w:abstractNum>
  <w:num w:numId="1">
    <w:abstractNumId w:val="2"/>
  </w:num>
  <w:num w:numId="2">
    <w:abstractNumId w:val="1"/>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 w:name="KGWebUrl" w:val="http://113.250.85.227:8081/weaver/weaver.file.FileDownloadForNews?uuid=532a16b7-2c03-4a7b-bae5-79bf0074b9d4&amp;fileid=261254&amp;type=document&amp;isofficeview=0&amp;requestid=undefined&amp;authStr=undefined&amp;authSignatureStr=undefined&amp;f_weaver_belongto_userid=undefined&amp;isrequest=1&amp;download=1&amp;f_weaver_belongto_usertype=0"/>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9409D"/>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2BB1"/>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0FE8"/>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351"/>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32A"/>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17FC0"/>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5468"/>
    <w:rsid w:val="008D63E7"/>
    <w:rsid w:val="008D73C7"/>
    <w:rsid w:val="008E0572"/>
    <w:rsid w:val="008E1519"/>
    <w:rsid w:val="008E287D"/>
    <w:rsid w:val="008E45A7"/>
    <w:rsid w:val="008F3C41"/>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08B5"/>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00A2"/>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CF9"/>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5731"/>
    <w:rsid w:val="00C07B2A"/>
    <w:rsid w:val="00C11F6E"/>
    <w:rsid w:val="00C13F63"/>
    <w:rsid w:val="00C15831"/>
    <w:rsid w:val="00C168B7"/>
    <w:rsid w:val="00C20F3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E7A03"/>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6E"/>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26771"/>
    <w:rsid w:val="01A8609A"/>
    <w:rsid w:val="02195A53"/>
    <w:rsid w:val="023B0129"/>
    <w:rsid w:val="029D41FE"/>
    <w:rsid w:val="02A800C5"/>
    <w:rsid w:val="02C6499B"/>
    <w:rsid w:val="02C91CAA"/>
    <w:rsid w:val="033E10C9"/>
    <w:rsid w:val="037D0CD2"/>
    <w:rsid w:val="038B3366"/>
    <w:rsid w:val="03981B5E"/>
    <w:rsid w:val="03996EAD"/>
    <w:rsid w:val="03A153E9"/>
    <w:rsid w:val="03F60BFA"/>
    <w:rsid w:val="04023CC8"/>
    <w:rsid w:val="042674F4"/>
    <w:rsid w:val="042D3C13"/>
    <w:rsid w:val="04722D72"/>
    <w:rsid w:val="047A0BBC"/>
    <w:rsid w:val="04C12ED8"/>
    <w:rsid w:val="04DC5749"/>
    <w:rsid w:val="04E26FED"/>
    <w:rsid w:val="04E41F94"/>
    <w:rsid w:val="04FD6633"/>
    <w:rsid w:val="052E2B3B"/>
    <w:rsid w:val="054416D2"/>
    <w:rsid w:val="05507F0F"/>
    <w:rsid w:val="057A1FA9"/>
    <w:rsid w:val="05871A0A"/>
    <w:rsid w:val="05A42E7B"/>
    <w:rsid w:val="05A70EA9"/>
    <w:rsid w:val="05D55D36"/>
    <w:rsid w:val="060C2525"/>
    <w:rsid w:val="062756FD"/>
    <w:rsid w:val="065F7A31"/>
    <w:rsid w:val="067C53E7"/>
    <w:rsid w:val="06820F5E"/>
    <w:rsid w:val="06951992"/>
    <w:rsid w:val="06AE2ABA"/>
    <w:rsid w:val="06C75DF5"/>
    <w:rsid w:val="06C76C7A"/>
    <w:rsid w:val="06DD02BB"/>
    <w:rsid w:val="06E43F57"/>
    <w:rsid w:val="06E71F51"/>
    <w:rsid w:val="06F965AD"/>
    <w:rsid w:val="07050666"/>
    <w:rsid w:val="071C4DB7"/>
    <w:rsid w:val="07362674"/>
    <w:rsid w:val="073B54B2"/>
    <w:rsid w:val="07537EF9"/>
    <w:rsid w:val="07815EE7"/>
    <w:rsid w:val="07C66F31"/>
    <w:rsid w:val="08170505"/>
    <w:rsid w:val="081748AE"/>
    <w:rsid w:val="08635851"/>
    <w:rsid w:val="08C2359B"/>
    <w:rsid w:val="09041814"/>
    <w:rsid w:val="092D7BDC"/>
    <w:rsid w:val="09332D2B"/>
    <w:rsid w:val="093E2D64"/>
    <w:rsid w:val="09472203"/>
    <w:rsid w:val="094E590C"/>
    <w:rsid w:val="0950680C"/>
    <w:rsid w:val="097E50F5"/>
    <w:rsid w:val="098B1DA7"/>
    <w:rsid w:val="09907951"/>
    <w:rsid w:val="099F43E4"/>
    <w:rsid w:val="09A31A61"/>
    <w:rsid w:val="09BA7A85"/>
    <w:rsid w:val="09BF594F"/>
    <w:rsid w:val="09DE1094"/>
    <w:rsid w:val="09E2475B"/>
    <w:rsid w:val="0A3F34B7"/>
    <w:rsid w:val="0A4B11BE"/>
    <w:rsid w:val="0A7B4003"/>
    <w:rsid w:val="0A8E5B8D"/>
    <w:rsid w:val="0AA240FA"/>
    <w:rsid w:val="0AAC0CBB"/>
    <w:rsid w:val="0ABA5513"/>
    <w:rsid w:val="0AD84BD3"/>
    <w:rsid w:val="0AE941D3"/>
    <w:rsid w:val="0B1061C6"/>
    <w:rsid w:val="0B2B08D5"/>
    <w:rsid w:val="0BA35012"/>
    <w:rsid w:val="0BB47FE1"/>
    <w:rsid w:val="0BB825ED"/>
    <w:rsid w:val="0BC0647C"/>
    <w:rsid w:val="0BD7624B"/>
    <w:rsid w:val="0BF26817"/>
    <w:rsid w:val="0C22464A"/>
    <w:rsid w:val="0C2B72AE"/>
    <w:rsid w:val="0C5C6F5A"/>
    <w:rsid w:val="0C623EAC"/>
    <w:rsid w:val="0C946488"/>
    <w:rsid w:val="0CAD24AF"/>
    <w:rsid w:val="0CB27F34"/>
    <w:rsid w:val="0D07573C"/>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3416B8"/>
    <w:rsid w:val="0F4C19DA"/>
    <w:rsid w:val="0F4C7D05"/>
    <w:rsid w:val="0F4F31AF"/>
    <w:rsid w:val="0F5F17BD"/>
    <w:rsid w:val="0F90531D"/>
    <w:rsid w:val="0FAD64B5"/>
    <w:rsid w:val="0FB21FD4"/>
    <w:rsid w:val="0FFF5930"/>
    <w:rsid w:val="10A265EF"/>
    <w:rsid w:val="10DF2B28"/>
    <w:rsid w:val="10EC4A0F"/>
    <w:rsid w:val="11156FC6"/>
    <w:rsid w:val="11366ED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065285"/>
    <w:rsid w:val="142669A3"/>
    <w:rsid w:val="143805F9"/>
    <w:rsid w:val="144729D8"/>
    <w:rsid w:val="148E78CB"/>
    <w:rsid w:val="149F4D92"/>
    <w:rsid w:val="14A13E6D"/>
    <w:rsid w:val="14AB614D"/>
    <w:rsid w:val="14B96C2B"/>
    <w:rsid w:val="14D64BEE"/>
    <w:rsid w:val="15436E45"/>
    <w:rsid w:val="15507C7E"/>
    <w:rsid w:val="15664AEF"/>
    <w:rsid w:val="158E23E1"/>
    <w:rsid w:val="159D7EA6"/>
    <w:rsid w:val="159F1BF9"/>
    <w:rsid w:val="15B71B1D"/>
    <w:rsid w:val="15B71B24"/>
    <w:rsid w:val="15E63361"/>
    <w:rsid w:val="160B0227"/>
    <w:rsid w:val="167401D6"/>
    <w:rsid w:val="16864176"/>
    <w:rsid w:val="16DB5005"/>
    <w:rsid w:val="16E04880"/>
    <w:rsid w:val="16E33BB8"/>
    <w:rsid w:val="16F86032"/>
    <w:rsid w:val="17081A7A"/>
    <w:rsid w:val="17292C0C"/>
    <w:rsid w:val="176F50FE"/>
    <w:rsid w:val="17D10049"/>
    <w:rsid w:val="17DD0B49"/>
    <w:rsid w:val="17F1563C"/>
    <w:rsid w:val="17F23C73"/>
    <w:rsid w:val="180F3B80"/>
    <w:rsid w:val="181B1411"/>
    <w:rsid w:val="181C1400"/>
    <w:rsid w:val="18223BBF"/>
    <w:rsid w:val="18406E44"/>
    <w:rsid w:val="18556F8F"/>
    <w:rsid w:val="185C1918"/>
    <w:rsid w:val="186039EF"/>
    <w:rsid w:val="1880349D"/>
    <w:rsid w:val="18D435BC"/>
    <w:rsid w:val="18E261BC"/>
    <w:rsid w:val="19193365"/>
    <w:rsid w:val="19261639"/>
    <w:rsid w:val="1935660C"/>
    <w:rsid w:val="195D5C0E"/>
    <w:rsid w:val="19B64CC2"/>
    <w:rsid w:val="19BA69A5"/>
    <w:rsid w:val="19DF6D3F"/>
    <w:rsid w:val="19E24459"/>
    <w:rsid w:val="1A305FF4"/>
    <w:rsid w:val="1A3D7EBE"/>
    <w:rsid w:val="1A4353A0"/>
    <w:rsid w:val="1A557489"/>
    <w:rsid w:val="1AF45443"/>
    <w:rsid w:val="1B075A0C"/>
    <w:rsid w:val="1B67066F"/>
    <w:rsid w:val="1B7229E4"/>
    <w:rsid w:val="1B7A5EC7"/>
    <w:rsid w:val="1B7F03EA"/>
    <w:rsid w:val="1B8E5EC0"/>
    <w:rsid w:val="1BBE4697"/>
    <w:rsid w:val="1C0B794D"/>
    <w:rsid w:val="1CB33990"/>
    <w:rsid w:val="1CF6260F"/>
    <w:rsid w:val="1CF83AEA"/>
    <w:rsid w:val="1CF911FC"/>
    <w:rsid w:val="1D6914D5"/>
    <w:rsid w:val="1D7C7A22"/>
    <w:rsid w:val="1D7E09CF"/>
    <w:rsid w:val="1D844CE5"/>
    <w:rsid w:val="1D9F1A69"/>
    <w:rsid w:val="1DC81497"/>
    <w:rsid w:val="1DE41480"/>
    <w:rsid w:val="1E2139B7"/>
    <w:rsid w:val="1E7A14A8"/>
    <w:rsid w:val="1E7F32B0"/>
    <w:rsid w:val="1EBA058B"/>
    <w:rsid w:val="1EBB622E"/>
    <w:rsid w:val="1EEA13A6"/>
    <w:rsid w:val="1EF77A66"/>
    <w:rsid w:val="1EFE64E9"/>
    <w:rsid w:val="1F6207D0"/>
    <w:rsid w:val="1FE1627D"/>
    <w:rsid w:val="1FEA10E3"/>
    <w:rsid w:val="1FEA603B"/>
    <w:rsid w:val="20133D98"/>
    <w:rsid w:val="20226856"/>
    <w:rsid w:val="20293E2F"/>
    <w:rsid w:val="20686E43"/>
    <w:rsid w:val="206E3E8E"/>
    <w:rsid w:val="207224C8"/>
    <w:rsid w:val="2076639A"/>
    <w:rsid w:val="20876CA0"/>
    <w:rsid w:val="2093114F"/>
    <w:rsid w:val="209B57AA"/>
    <w:rsid w:val="20A121FD"/>
    <w:rsid w:val="20C20004"/>
    <w:rsid w:val="20D83D6E"/>
    <w:rsid w:val="20DE5531"/>
    <w:rsid w:val="20E1180E"/>
    <w:rsid w:val="20EA6084"/>
    <w:rsid w:val="20F01139"/>
    <w:rsid w:val="20F1461D"/>
    <w:rsid w:val="212B522B"/>
    <w:rsid w:val="21736537"/>
    <w:rsid w:val="21977807"/>
    <w:rsid w:val="219A6D4B"/>
    <w:rsid w:val="21C2735E"/>
    <w:rsid w:val="21C64455"/>
    <w:rsid w:val="21E57FA3"/>
    <w:rsid w:val="21FB5A74"/>
    <w:rsid w:val="222E74EE"/>
    <w:rsid w:val="226827C0"/>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0F46F5"/>
    <w:rsid w:val="283962F8"/>
    <w:rsid w:val="285F2F19"/>
    <w:rsid w:val="287A36F4"/>
    <w:rsid w:val="288458E7"/>
    <w:rsid w:val="28A33A20"/>
    <w:rsid w:val="28A47F17"/>
    <w:rsid w:val="290212C1"/>
    <w:rsid w:val="290D5ED8"/>
    <w:rsid w:val="29656DCE"/>
    <w:rsid w:val="296E75F6"/>
    <w:rsid w:val="298B4B23"/>
    <w:rsid w:val="29B71FDB"/>
    <w:rsid w:val="29CF18DD"/>
    <w:rsid w:val="29D65D23"/>
    <w:rsid w:val="29D875FE"/>
    <w:rsid w:val="29E259F5"/>
    <w:rsid w:val="29F232B2"/>
    <w:rsid w:val="29FA4AED"/>
    <w:rsid w:val="2A0B100E"/>
    <w:rsid w:val="2A0F3808"/>
    <w:rsid w:val="2A194E5D"/>
    <w:rsid w:val="2A21554B"/>
    <w:rsid w:val="2A594BC2"/>
    <w:rsid w:val="2A9F7561"/>
    <w:rsid w:val="2AA90FA0"/>
    <w:rsid w:val="2AB31CE2"/>
    <w:rsid w:val="2AB55266"/>
    <w:rsid w:val="2B487382"/>
    <w:rsid w:val="2B552F60"/>
    <w:rsid w:val="2B7841A6"/>
    <w:rsid w:val="2BB367B9"/>
    <w:rsid w:val="2BC45071"/>
    <w:rsid w:val="2C13380B"/>
    <w:rsid w:val="2C184D47"/>
    <w:rsid w:val="2C796A89"/>
    <w:rsid w:val="2CBD3A96"/>
    <w:rsid w:val="2CC74339"/>
    <w:rsid w:val="2CCC23F7"/>
    <w:rsid w:val="2CCE1414"/>
    <w:rsid w:val="2CF93ABF"/>
    <w:rsid w:val="2D1E27A3"/>
    <w:rsid w:val="2D394FF5"/>
    <w:rsid w:val="2D623014"/>
    <w:rsid w:val="2D766528"/>
    <w:rsid w:val="2DBB39E2"/>
    <w:rsid w:val="2E173684"/>
    <w:rsid w:val="2E1751F9"/>
    <w:rsid w:val="2E6A704D"/>
    <w:rsid w:val="2E8A6255"/>
    <w:rsid w:val="2F0B1048"/>
    <w:rsid w:val="2F141AAA"/>
    <w:rsid w:val="2F9A6191"/>
    <w:rsid w:val="2FCA4353"/>
    <w:rsid w:val="2FE55D75"/>
    <w:rsid w:val="2FF23F99"/>
    <w:rsid w:val="300A288E"/>
    <w:rsid w:val="30236367"/>
    <w:rsid w:val="30331BC6"/>
    <w:rsid w:val="303E7E03"/>
    <w:rsid w:val="304A182B"/>
    <w:rsid w:val="306939C3"/>
    <w:rsid w:val="30700C52"/>
    <w:rsid w:val="30757C00"/>
    <w:rsid w:val="307D5D65"/>
    <w:rsid w:val="30B34CE3"/>
    <w:rsid w:val="30CB1C83"/>
    <w:rsid w:val="30ED2830"/>
    <w:rsid w:val="31116EA7"/>
    <w:rsid w:val="312F0338"/>
    <w:rsid w:val="316B2857"/>
    <w:rsid w:val="31832D29"/>
    <w:rsid w:val="319D5339"/>
    <w:rsid w:val="319F2F47"/>
    <w:rsid w:val="31A974F8"/>
    <w:rsid w:val="31D20CDE"/>
    <w:rsid w:val="31F37E23"/>
    <w:rsid w:val="31FE689A"/>
    <w:rsid w:val="321F0A0A"/>
    <w:rsid w:val="32223DC6"/>
    <w:rsid w:val="325A02A1"/>
    <w:rsid w:val="32827D75"/>
    <w:rsid w:val="329032EF"/>
    <w:rsid w:val="329970EF"/>
    <w:rsid w:val="32B35AAA"/>
    <w:rsid w:val="33135210"/>
    <w:rsid w:val="3326373F"/>
    <w:rsid w:val="332C258B"/>
    <w:rsid w:val="334459AC"/>
    <w:rsid w:val="33705A64"/>
    <w:rsid w:val="33A055AF"/>
    <w:rsid w:val="33A51E80"/>
    <w:rsid w:val="33EE589E"/>
    <w:rsid w:val="33F03D7B"/>
    <w:rsid w:val="340329A9"/>
    <w:rsid w:val="342645AD"/>
    <w:rsid w:val="342B057B"/>
    <w:rsid w:val="342E1467"/>
    <w:rsid w:val="34335C8F"/>
    <w:rsid w:val="34617CD8"/>
    <w:rsid w:val="346925DA"/>
    <w:rsid w:val="34753860"/>
    <w:rsid w:val="34A61339"/>
    <w:rsid w:val="34CC3006"/>
    <w:rsid w:val="34F3793E"/>
    <w:rsid w:val="353C59B9"/>
    <w:rsid w:val="35574E9C"/>
    <w:rsid w:val="35712E34"/>
    <w:rsid w:val="35C10F67"/>
    <w:rsid w:val="35ED793B"/>
    <w:rsid w:val="35F84740"/>
    <w:rsid w:val="36383125"/>
    <w:rsid w:val="366C082D"/>
    <w:rsid w:val="368C388A"/>
    <w:rsid w:val="36C90DD1"/>
    <w:rsid w:val="37335AE2"/>
    <w:rsid w:val="374634AB"/>
    <w:rsid w:val="374B6987"/>
    <w:rsid w:val="37704489"/>
    <w:rsid w:val="37710026"/>
    <w:rsid w:val="37925427"/>
    <w:rsid w:val="37A55DCC"/>
    <w:rsid w:val="37CA04FF"/>
    <w:rsid w:val="37D30771"/>
    <w:rsid w:val="37EC0BB8"/>
    <w:rsid w:val="38995839"/>
    <w:rsid w:val="39265074"/>
    <w:rsid w:val="392B274A"/>
    <w:rsid w:val="394C4C39"/>
    <w:rsid w:val="394C68A5"/>
    <w:rsid w:val="395E479A"/>
    <w:rsid w:val="39675804"/>
    <w:rsid w:val="39A36C2D"/>
    <w:rsid w:val="39AA29B9"/>
    <w:rsid w:val="39E71AEC"/>
    <w:rsid w:val="39F60058"/>
    <w:rsid w:val="3A0948D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A34BB"/>
    <w:rsid w:val="3DD83D60"/>
    <w:rsid w:val="3DD86A9B"/>
    <w:rsid w:val="3E044CAE"/>
    <w:rsid w:val="3E12201C"/>
    <w:rsid w:val="3E427218"/>
    <w:rsid w:val="3EA72ABE"/>
    <w:rsid w:val="3EAD4174"/>
    <w:rsid w:val="3EAD7F9C"/>
    <w:rsid w:val="3EB32892"/>
    <w:rsid w:val="3EBC3336"/>
    <w:rsid w:val="3EDE79C6"/>
    <w:rsid w:val="3EF65530"/>
    <w:rsid w:val="3EF9D3F1"/>
    <w:rsid w:val="3F064AE9"/>
    <w:rsid w:val="3F3B0C43"/>
    <w:rsid w:val="3F431BA8"/>
    <w:rsid w:val="3F4C62B0"/>
    <w:rsid w:val="3F7279F0"/>
    <w:rsid w:val="3F9717D1"/>
    <w:rsid w:val="3FB2485B"/>
    <w:rsid w:val="402A34B8"/>
    <w:rsid w:val="40360CD1"/>
    <w:rsid w:val="40361D66"/>
    <w:rsid w:val="404A4209"/>
    <w:rsid w:val="406060C3"/>
    <w:rsid w:val="40613E30"/>
    <w:rsid w:val="40736573"/>
    <w:rsid w:val="407D7357"/>
    <w:rsid w:val="40940BD2"/>
    <w:rsid w:val="409B4A07"/>
    <w:rsid w:val="40BF6E39"/>
    <w:rsid w:val="40C25B7F"/>
    <w:rsid w:val="40F66678"/>
    <w:rsid w:val="410E1C56"/>
    <w:rsid w:val="4120577A"/>
    <w:rsid w:val="416C142E"/>
    <w:rsid w:val="41976EDF"/>
    <w:rsid w:val="41FD121E"/>
    <w:rsid w:val="421A7627"/>
    <w:rsid w:val="4233112B"/>
    <w:rsid w:val="42401E98"/>
    <w:rsid w:val="425608D6"/>
    <w:rsid w:val="42872311"/>
    <w:rsid w:val="428B5762"/>
    <w:rsid w:val="42D47C2B"/>
    <w:rsid w:val="42D8334B"/>
    <w:rsid w:val="42DA32B5"/>
    <w:rsid w:val="433543AC"/>
    <w:rsid w:val="43420FE8"/>
    <w:rsid w:val="434513F0"/>
    <w:rsid w:val="43702851"/>
    <w:rsid w:val="43CA4F48"/>
    <w:rsid w:val="4424604A"/>
    <w:rsid w:val="442967DE"/>
    <w:rsid w:val="44365A46"/>
    <w:rsid w:val="443F6CBF"/>
    <w:rsid w:val="445014AB"/>
    <w:rsid w:val="44A446C0"/>
    <w:rsid w:val="44CE660D"/>
    <w:rsid w:val="454F0B76"/>
    <w:rsid w:val="45795008"/>
    <w:rsid w:val="4579514B"/>
    <w:rsid w:val="457E2BBE"/>
    <w:rsid w:val="457F72E8"/>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70703F1"/>
    <w:rsid w:val="471B3499"/>
    <w:rsid w:val="4730142A"/>
    <w:rsid w:val="474608B5"/>
    <w:rsid w:val="478E4BD2"/>
    <w:rsid w:val="47DD756D"/>
    <w:rsid w:val="48037A8A"/>
    <w:rsid w:val="482303E2"/>
    <w:rsid w:val="48377D23"/>
    <w:rsid w:val="486634EE"/>
    <w:rsid w:val="48807890"/>
    <w:rsid w:val="48A64B98"/>
    <w:rsid w:val="48BC156D"/>
    <w:rsid w:val="48F765BE"/>
    <w:rsid w:val="490445F2"/>
    <w:rsid w:val="490935A0"/>
    <w:rsid w:val="49320F23"/>
    <w:rsid w:val="4944230E"/>
    <w:rsid w:val="49DD73AE"/>
    <w:rsid w:val="49E669E4"/>
    <w:rsid w:val="49F95BD6"/>
    <w:rsid w:val="4A14705F"/>
    <w:rsid w:val="4AA73240"/>
    <w:rsid w:val="4AB72272"/>
    <w:rsid w:val="4ABE526B"/>
    <w:rsid w:val="4AD703A4"/>
    <w:rsid w:val="4B305E1B"/>
    <w:rsid w:val="4B5279C2"/>
    <w:rsid w:val="4B9B43F1"/>
    <w:rsid w:val="4BB92D8E"/>
    <w:rsid w:val="4BD07B58"/>
    <w:rsid w:val="4BE87BA5"/>
    <w:rsid w:val="4C3176AB"/>
    <w:rsid w:val="4C415DC1"/>
    <w:rsid w:val="4C6E278E"/>
    <w:rsid w:val="4CFF538B"/>
    <w:rsid w:val="4D4D7800"/>
    <w:rsid w:val="4D7251FF"/>
    <w:rsid w:val="4DDF3E76"/>
    <w:rsid w:val="4DE50C0B"/>
    <w:rsid w:val="4E11105D"/>
    <w:rsid w:val="4E16225A"/>
    <w:rsid w:val="4E253AB8"/>
    <w:rsid w:val="4E472C92"/>
    <w:rsid w:val="4E824D97"/>
    <w:rsid w:val="4E9D5C2D"/>
    <w:rsid w:val="4EBA57C1"/>
    <w:rsid w:val="4EEA14D6"/>
    <w:rsid w:val="4F047E0A"/>
    <w:rsid w:val="4F477F24"/>
    <w:rsid w:val="4FA91AAC"/>
    <w:rsid w:val="4FBD0FF5"/>
    <w:rsid w:val="4FC854D7"/>
    <w:rsid w:val="50142DE1"/>
    <w:rsid w:val="5015687B"/>
    <w:rsid w:val="501926CA"/>
    <w:rsid w:val="503109FF"/>
    <w:rsid w:val="505E3D68"/>
    <w:rsid w:val="508F700E"/>
    <w:rsid w:val="509735C1"/>
    <w:rsid w:val="50D13748"/>
    <w:rsid w:val="516A440A"/>
    <w:rsid w:val="51BA5A6F"/>
    <w:rsid w:val="51C42E16"/>
    <w:rsid w:val="525351F4"/>
    <w:rsid w:val="525A6FBC"/>
    <w:rsid w:val="526C0997"/>
    <w:rsid w:val="52855A65"/>
    <w:rsid w:val="52AF1606"/>
    <w:rsid w:val="53311AB3"/>
    <w:rsid w:val="53317F44"/>
    <w:rsid w:val="533D33D1"/>
    <w:rsid w:val="53511F1B"/>
    <w:rsid w:val="53670B33"/>
    <w:rsid w:val="537735FB"/>
    <w:rsid w:val="53775B6A"/>
    <w:rsid w:val="538F5737"/>
    <w:rsid w:val="53D43855"/>
    <w:rsid w:val="53D6214F"/>
    <w:rsid w:val="53E564F4"/>
    <w:rsid w:val="53EE1101"/>
    <w:rsid w:val="53FC4E8E"/>
    <w:rsid w:val="541717DC"/>
    <w:rsid w:val="54271D5C"/>
    <w:rsid w:val="546535D1"/>
    <w:rsid w:val="54976AA9"/>
    <w:rsid w:val="549A3F89"/>
    <w:rsid w:val="54DE0134"/>
    <w:rsid w:val="553C46BA"/>
    <w:rsid w:val="55494082"/>
    <w:rsid w:val="554F368F"/>
    <w:rsid w:val="557D5B60"/>
    <w:rsid w:val="55834A19"/>
    <w:rsid w:val="55F27046"/>
    <w:rsid w:val="55F526C6"/>
    <w:rsid w:val="56066DC9"/>
    <w:rsid w:val="564E1228"/>
    <w:rsid w:val="56A6131D"/>
    <w:rsid w:val="56A82B00"/>
    <w:rsid w:val="56BC5AD0"/>
    <w:rsid w:val="56D00C68"/>
    <w:rsid w:val="56E520AB"/>
    <w:rsid w:val="57022BD1"/>
    <w:rsid w:val="57212B27"/>
    <w:rsid w:val="572809C2"/>
    <w:rsid w:val="572F0264"/>
    <w:rsid w:val="57480C4D"/>
    <w:rsid w:val="574C27F3"/>
    <w:rsid w:val="576F5440"/>
    <w:rsid w:val="57895A45"/>
    <w:rsid w:val="57C5313B"/>
    <w:rsid w:val="57D807D4"/>
    <w:rsid w:val="57EA7969"/>
    <w:rsid w:val="57F740F4"/>
    <w:rsid w:val="57FA3D86"/>
    <w:rsid w:val="58263B5F"/>
    <w:rsid w:val="58750691"/>
    <w:rsid w:val="58AB575D"/>
    <w:rsid w:val="58BC728D"/>
    <w:rsid w:val="58DD0763"/>
    <w:rsid w:val="59445F91"/>
    <w:rsid w:val="59815208"/>
    <w:rsid w:val="59F001A4"/>
    <w:rsid w:val="5A1E2DE7"/>
    <w:rsid w:val="5A20427A"/>
    <w:rsid w:val="5A395FB6"/>
    <w:rsid w:val="5A436A2D"/>
    <w:rsid w:val="5A767910"/>
    <w:rsid w:val="5AEB4FF2"/>
    <w:rsid w:val="5B0A066E"/>
    <w:rsid w:val="5B123FA7"/>
    <w:rsid w:val="5B201862"/>
    <w:rsid w:val="5B21789B"/>
    <w:rsid w:val="5B5E18A4"/>
    <w:rsid w:val="5B613C0E"/>
    <w:rsid w:val="5B955E96"/>
    <w:rsid w:val="5B9B3675"/>
    <w:rsid w:val="5BA26571"/>
    <w:rsid w:val="5BCA6564"/>
    <w:rsid w:val="5BD039C3"/>
    <w:rsid w:val="5BD66D67"/>
    <w:rsid w:val="5C107D40"/>
    <w:rsid w:val="5C1E3775"/>
    <w:rsid w:val="5C381264"/>
    <w:rsid w:val="5C672644"/>
    <w:rsid w:val="5C8132C7"/>
    <w:rsid w:val="5CA23A25"/>
    <w:rsid w:val="5CB00EB7"/>
    <w:rsid w:val="5CC26330"/>
    <w:rsid w:val="5CD67F41"/>
    <w:rsid w:val="5CDF760E"/>
    <w:rsid w:val="5CF93D1F"/>
    <w:rsid w:val="5D017C51"/>
    <w:rsid w:val="5D4165A3"/>
    <w:rsid w:val="5D463591"/>
    <w:rsid w:val="5D4F2A78"/>
    <w:rsid w:val="5D5A5DCC"/>
    <w:rsid w:val="5D792AE4"/>
    <w:rsid w:val="5DC25C67"/>
    <w:rsid w:val="5DD97571"/>
    <w:rsid w:val="5E0D57C8"/>
    <w:rsid w:val="5E2F58D3"/>
    <w:rsid w:val="5E5A06FD"/>
    <w:rsid w:val="5E9342EC"/>
    <w:rsid w:val="5EA27CF7"/>
    <w:rsid w:val="5EBC3C1E"/>
    <w:rsid w:val="5F013C4C"/>
    <w:rsid w:val="5F3815EE"/>
    <w:rsid w:val="5F5C32D6"/>
    <w:rsid w:val="5F762886"/>
    <w:rsid w:val="5F853E5C"/>
    <w:rsid w:val="5FA870CA"/>
    <w:rsid w:val="5FA92D9F"/>
    <w:rsid w:val="5FAC2DE4"/>
    <w:rsid w:val="5FB10E83"/>
    <w:rsid w:val="5FB70ABF"/>
    <w:rsid w:val="600E788A"/>
    <w:rsid w:val="6011673F"/>
    <w:rsid w:val="604130CF"/>
    <w:rsid w:val="60663C94"/>
    <w:rsid w:val="60794FD4"/>
    <w:rsid w:val="60814FEF"/>
    <w:rsid w:val="60AE4E89"/>
    <w:rsid w:val="60D23EEC"/>
    <w:rsid w:val="60D32F5A"/>
    <w:rsid w:val="610E2B4C"/>
    <w:rsid w:val="61561E7C"/>
    <w:rsid w:val="619945D7"/>
    <w:rsid w:val="61C24BFD"/>
    <w:rsid w:val="61DE43D4"/>
    <w:rsid w:val="61E06967"/>
    <w:rsid w:val="61ED083B"/>
    <w:rsid w:val="621F1FA5"/>
    <w:rsid w:val="624216A0"/>
    <w:rsid w:val="6246652C"/>
    <w:rsid w:val="626343A0"/>
    <w:rsid w:val="626736F9"/>
    <w:rsid w:val="626B4082"/>
    <w:rsid w:val="626B6B00"/>
    <w:rsid w:val="628E1BE9"/>
    <w:rsid w:val="62D06FF9"/>
    <w:rsid w:val="62D765EB"/>
    <w:rsid w:val="636B22CC"/>
    <w:rsid w:val="636C198B"/>
    <w:rsid w:val="636D03C0"/>
    <w:rsid w:val="63B65AC7"/>
    <w:rsid w:val="63D7428B"/>
    <w:rsid w:val="640C4C0D"/>
    <w:rsid w:val="642D54CF"/>
    <w:rsid w:val="643B5584"/>
    <w:rsid w:val="645830D7"/>
    <w:rsid w:val="64675414"/>
    <w:rsid w:val="647258C3"/>
    <w:rsid w:val="64AA2E73"/>
    <w:rsid w:val="64B8434A"/>
    <w:rsid w:val="64C5008F"/>
    <w:rsid w:val="64E45468"/>
    <w:rsid w:val="64E8446E"/>
    <w:rsid w:val="65376B47"/>
    <w:rsid w:val="654042F5"/>
    <w:rsid w:val="6586374B"/>
    <w:rsid w:val="65F66C79"/>
    <w:rsid w:val="660447CA"/>
    <w:rsid w:val="665622BC"/>
    <w:rsid w:val="6660772E"/>
    <w:rsid w:val="66653739"/>
    <w:rsid w:val="666C4EE6"/>
    <w:rsid w:val="66792487"/>
    <w:rsid w:val="66FB0FDC"/>
    <w:rsid w:val="66FC5AFF"/>
    <w:rsid w:val="6709462E"/>
    <w:rsid w:val="6777196F"/>
    <w:rsid w:val="678A1ED0"/>
    <w:rsid w:val="679F2FF2"/>
    <w:rsid w:val="67AB61F8"/>
    <w:rsid w:val="67BA7741"/>
    <w:rsid w:val="67BD2A93"/>
    <w:rsid w:val="67E6170C"/>
    <w:rsid w:val="680D0CA5"/>
    <w:rsid w:val="68A45648"/>
    <w:rsid w:val="68A5668C"/>
    <w:rsid w:val="68B20836"/>
    <w:rsid w:val="68D27297"/>
    <w:rsid w:val="6911241F"/>
    <w:rsid w:val="695E7EED"/>
    <w:rsid w:val="69B67115"/>
    <w:rsid w:val="69B82DF4"/>
    <w:rsid w:val="69EE20B7"/>
    <w:rsid w:val="69EF53B4"/>
    <w:rsid w:val="6A126DD2"/>
    <w:rsid w:val="6A420E56"/>
    <w:rsid w:val="6A8120E5"/>
    <w:rsid w:val="6A924E32"/>
    <w:rsid w:val="6A94008C"/>
    <w:rsid w:val="6A9E4A45"/>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0333AE"/>
    <w:rsid w:val="6D135E16"/>
    <w:rsid w:val="6D1C168A"/>
    <w:rsid w:val="6D282CEC"/>
    <w:rsid w:val="6D347A31"/>
    <w:rsid w:val="6D3668DD"/>
    <w:rsid w:val="6D471CAB"/>
    <w:rsid w:val="6DAC0977"/>
    <w:rsid w:val="6DAF0D17"/>
    <w:rsid w:val="6DB941BD"/>
    <w:rsid w:val="6DC60F63"/>
    <w:rsid w:val="6DEF6D4C"/>
    <w:rsid w:val="6E0E4B39"/>
    <w:rsid w:val="6E151E87"/>
    <w:rsid w:val="6E351C40"/>
    <w:rsid w:val="6E4C770B"/>
    <w:rsid w:val="6E5F1098"/>
    <w:rsid w:val="6E6F2793"/>
    <w:rsid w:val="6E703D8E"/>
    <w:rsid w:val="6E84323D"/>
    <w:rsid w:val="6E942A76"/>
    <w:rsid w:val="6EA41FA2"/>
    <w:rsid w:val="6EB44AD4"/>
    <w:rsid w:val="6EF2F120"/>
    <w:rsid w:val="6F313FE8"/>
    <w:rsid w:val="6F381CAC"/>
    <w:rsid w:val="6F6128C1"/>
    <w:rsid w:val="6F9C6902"/>
    <w:rsid w:val="6FA0729C"/>
    <w:rsid w:val="6FEF4FB0"/>
    <w:rsid w:val="700A492A"/>
    <w:rsid w:val="70100CA2"/>
    <w:rsid w:val="70393572"/>
    <w:rsid w:val="70437390"/>
    <w:rsid w:val="707A7026"/>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CF00B7"/>
    <w:rsid w:val="72D11D5C"/>
    <w:rsid w:val="72E85DAD"/>
    <w:rsid w:val="732303D9"/>
    <w:rsid w:val="73532CC9"/>
    <w:rsid w:val="736F4591"/>
    <w:rsid w:val="73993FFB"/>
    <w:rsid w:val="73D37E0A"/>
    <w:rsid w:val="73D73D11"/>
    <w:rsid w:val="73D937EE"/>
    <w:rsid w:val="744975DD"/>
    <w:rsid w:val="746920A5"/>
    <w:rsid w:val="74CB1EDB"/>
    <w:rsid w:val="74DE73F5"/>
    <w:rsid w:val="750B72A4"/>
    <w:rsid w:val="751E77AF"/>
    <w:rsid w:val="75D07F8B"/>
    <w:rsid w:val="75EE5669"/>
    <w:rsid w:val="76957051"/>
    <w:rsid w:val="76966F18"/>
    <w:rsid w:val="76BD4232"/>
    <w:rsid w:val="76C10199"/>
    <w:rsid w:val="76C57BCB"/>
    <w:rsid w:val="76F927CD"/>
    <w:rsid w:val="773B2934"/>
    <w:rsid w:val="773E064E"/>
    <w:rsid w:val="774E1211"/>
    <w:rsid w:val="777B71D8"/>
    <w:rsid w:val="77A54D53"/>
    <w:rsid w:val="77D75F2B"/>
    <w:rsid w:val="77FC6767"/>
    <w:rsid w:val="781A0BEC"/>
    <w:rsid w:val="78202415"/>
    <w:rsid w:val="78213FC9"/>
    <w:rsid w:val="78513353"/>
    <w:rsid w:val="78701D9C"/>
    <w:rsid w:val="789B4D29"/>
    <w:rsid w:val="78FA0671"/>
    <w:rsid w:val="793A634F"/>
    <w:rsid w:val="79515378"/>
    <w:rsid w:val="798635EB"/>
    <w:rsid w:val="79A5750A"/>
    <w:rsid w:val="79F87A3D"/>
    <w:rsid w:val="7A0C1011"/>
    <w:rsid w:val="7A0E7A81"/>
    <w:rsid w:val="7A321CDB"/>
    <w:rsid w:val="7A567B6E"/>
    <w:rsid w:val="7A6E32C8"/>
    <w:rsid w:val="7ABE4C8F"/>
    <w:rsid w:val="7AC900CF"/>
    <w:rsid w:val="7B052FBD"/>
    <w:rsid w:val="7B5A5A6C"/>
    <w:rsid w:val="7B5C250E"/>
    <w:rsid w:val="7B6D0F87"/>
    <w:rsid w:val="7B72691F"/>
    <w:rsid w:val="7B783FD8"/>
    <w:rsid w:val="7B9A3DB8"/>
    <w:rsid w:val="7BA113AB"/>
    <w:rsid w:val="7BD52290"/>
    <w:rsid w:val="7BD568A0"/>
    <w:rsid w:val="7BEF4EB5"/>
    <w:rsid w:val="7BF20E1E"/>
    <w:rsid w:val="7C1524F7"/>
    <w:rsid w:val="7C29438A"/>
    <w:rsid w:val="7C456120"/>
    <w:rsid w:val="7C5728ED"/>
    <w:rsid w:val="7C82779C"/>
    <w:rsid w:val="7C9408F4"/>
    <w:rsid w:val="7CB4634A"/>
    <w:rsid w:val="7CB83597"/>
    <w:rsid w:val="7CB90CC2"/>
    <w:rsid w:val="7CFB2CE9"/>
    <w:rsid w:val="7D0C34C4"/>
    <w:rsid w:val="7D212CA5"/>
    <w:rsid w:val="7D255EE2"/>
    <w:rsid w:val="7D293184"/>
    <w:rsid w:val="7D4B3EE6"/>
    <w:rsid w:val="7D6112EF"/>
    <w:rsid w:val="7D68620F"/>
    <w:rsid w:val="7D69777E"/>
    <w:rsid w:val="7D927DC0"/>
    <w:rsid w:val="7D971DB1"/>
    <w:rsid w:val="7DB34706"/>
    <w:rsid w:val="7E1A0A9F"/>
    <w:rsid w:val="7E3C401A"/>
    <w:rsid w:val="7E641213"/>
    <w:rsid w:val="7EE33139"/>
    <w:rsid w:val="7EF34773"/>
    <w:rsid w:val="7F05364F"/>
    <w:rsid w:val="7F0D08DC"/>
    <w:rsid w:val="7F173D26"/>
    <w:rsid w:val="7F224FB0"/>
    <w:rsid w:val="7F5DC674"/>
    <w:rsid w:val="7F666017"/>
    <w:rsid w:val="7F714EE5"/>
    <w:rsid w:val="7F7F2734"/>
    <w:rsid w:val="7FA3737C"/>
    <w:rsid w:val="7FA63F96"/>
    <w:rsid w:val="7FB9287C"/>
    <w:rsid w:val="7FCC47FD"/>
    <w:rsid w:val="7FD31973"/>
    <w:rsid w:val="7FE15B01"/>
    <w:rsid w:val="7FFA3A11"/>
    <w:rsid w:val="7FFB1B6E"/>
    <w:rsid w:val="C5DB1ABC"/>
    <w:rsid w:val="DDDB8AE3"/>
    <w:rsid w:val="DFE460DC"/>
    <w:rsid w:val="FFB9659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4">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5">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39"/>
    <w:pPr>
      <w:ind w:left="1260"/>
      <w:jc w:val="left"/>
    </w:pPr>
    <w:rPr>
      <w:rFonts w:ascii="Calibri" w:hAnsi="Calibri"/>
      <w:sz w:val="18"/>
      <w:szCs w:val="18"/>
    </w:rPr>
  </w:style>
  <w:style w:type="paragraph" w:styleId="11">
    <w:name w:val="table of authorities"/>
    <w:basedOn w:val="1"/>
    <w:next w:val="1"/>
    <w:qFormat/>
    <w:uiPriority w:val="99"/>
    <w:pPr>
      <w:ind w:left="420" w:leftChars="200"/>
    </w:pPr>
  </w:style>
  <w:style w:type="paragraph" w:styleId="12">
    <w:name w:val="Normal Indent"/>
    <w:basedOn w:val="13"/>
    <w:link w:val="68"/>
    <w:qFormat/>
    <w:uiPriority w:val="0"/>
    <w:pPr>
      <w:ind w:firstLine="420" w:firstLineChars="200"/>
    </w:pPr>
  </w:style>
  <w:style w:type="paragraph" w:styleId="13">
    <w:name w:val="Balloon Text"/>
    <w:basedOn w:val="1"/>
    <w:link w:val="79"/>
    <w:qFormat/>
    <w:uiPriority w:val="0"/>
    <w:rPr>
      <w:kern w:val="0"/>
      <w:sz w:val="18"/>
      <w:szCs w:val="18"/>
    </w:rPr>
  </w:style>
  <w:style w:type="paragraph" w:styleId="14">
    <w:name w:val="Document Map"/>
    <w:basedOn w:val="1"/>
    <w:link w:val="75"/>
    <w:qFormat/>
    <w:uiPriority w:val="0"/>
    <w:pPr>
      <w:shd w:val="clear" w:color="auto" w:fill="000080"/>
    </w:pPr>
    <w:rPr>
      <w:kern w:val="0"/>
      <w:sz w:val="20"/>
    </w:rPr>
  </w:style>
  <w:style w:type="paragraph" w:styleId="15">
    <w:name w:val="annotation text"/>
    <w:basedOn w:val="1"/>
    <w:link w:val="57"/>
    <w:unhideWhenUsed/>
    <w:qFormat/>
    <w:uiPriority w:val="99"/>
    <w:pPr>
      <w:jc w:val="left"/>
    </w:pPr>
    <w:rPr>
      <w:kern w:val="0"/>
      <w:sz w:val="20"/>
    </w:rPr>
  </w:style>
  <w:style w:type="paragraph" w:styleId="16">
    <w:name w:val="Body Text 3"/>
    <w:basedOn w:val="1"/>
    <w:link w:val="61"/>
    <w:qFormat/>
    <w:uiPriority w:val="0"/>
    <w:rPr>
      <w:rFonts w:ascii="宋体"/>
      <w:kern w:val="0"/>
      <w:sz w:val="24"/>
      <w:szCs w:val="20"/>
    </w:rPr>
  </w:style>
  <w:style w:type="paragraph" w:styleId="17">
    <w:name w:val="Body Text"/>
    <w:basedOn w:val="1"/>
    <w:next w:val="1"/>
    <w:link w:val="64"/>
    <w:qFormat/>
    <w:uiPriority w:val="0"/>
    <w:pPr>
      <w:spacing w:after="120"/>
    </w:pPr>
    <w:rPr>
      <w:kern w:val="0"/>
      <w:sz w:val="20"/>
    </w:rPr>
  </w:style>
  <w:style w:type="paragraph" w:styleId="18">
    <w:name w:val="Body Text Indent"/>
    <w:basedOn w:val="1"/>
    <w:link w:val="74"/>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方正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7"/>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1"/>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7"/>
    <w:qFormat/>
    <w:uiPriority w:val="0"/>
    <w:rPr>
      <w:b/>
      <w:bCs/>
    </w:rPr>
  </w:style>
  <w:style w:type="paragraph" w:styleId="41">
    <w:name w:val="Body Text First Indent 2"/>
    <w:basedOn w:val="18"/>
    <w:qFormat/>
    <w:uiPriority w:val="0"/>
    <w:pPr>
      <w:ind w:firstLine="420"/>
    </w:pPr>
    <w:rPr>
      <w:sz w:val="21"/>
    </w:rPr>
  </w:style>
  <w:style w:type="table" w:styleId="43">
    <w:name w:val="Table Grid"/>
    <w:basedOn w:val="42"/>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qFormat/>
    <w:uiPriority w:val="0"/>
  </w:style>
  <w:style w:type="character" w:styleId="47">
    <w:name w:val="FollowedHyperlink"/>
    <w:basedOn w:val="44"/>
    <w:qFormat/>
    <w:uiPriority w:val="0"/>
    <w:rPr>
      <w:rFonts w:hint="default" w:ascii="Arial" w:hAnsi="Arial" w:eastAsia="Arial" w:cs="Arial"/>
      <w:color w:val="333333"/>
      <w:sz w:val="21"/>
      <w:szCs w:val="21"/>
      <w:u w:val="none"/>
    </w:rPr>
  </w:style>
  <w:style w:type="character" w:styleId="48">
    <w:name w:val="Emphasis"/>
    <w:basedOn w:val="44"/>
    <w:qFormat/>
    <w:uiPriority w:val="20"/>
    <w:rPr>
      <w:i/>
    </w:rPr>
  </w:style>
  <w:style w:type="character" w:styleId="49">
    <w:name w:val="Hyperlink"/>
    <w:basedOn w:val="44"/>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ExtB" w:hAnsi="MingLiU-ExtB" w:eastAsia="MingLiU-ExtB" w:cs="MingLiU-ExtB"/>
      <w:color w:val="000000"/>
      <w:spacing w:val="0"/>
      <w:w w:val="100"/>
      <w:position w:val="0"/>
      <w:sz w:val="19"/>
      <w:szCs w:val="19"/>
      <w:u w:val="none"/>
      <w:lang w:val="zh-TW" w:eastAsia="zh-TW" w:bidi="zh-TW"/>
    </w:rPr>
  </w:style>
  <w:style w:type="character" w:customStyle="1" w:styleId="56">
    <w:name w:val="标题 3 字符"/>
    <w:link w:val="4"/>
    <w:qFormat/>
    <w:uiPriority w:val="0"/>
    <w:rPr>
      <w:rFonts w:ascii="Times New Roman" w:hAnsi="Times New Roman" w:eastAsia="宋体" w:cs="Times New Roman"/>
      <w:b/>
      <w:bCs/>
      <w:sz w:val="32"/>
      <w:szCs w:val="32"/>
    </w:rPr>
  </w:style>
  <w:style w:type="character" w:customStyle="1" w:styleId="57">
    <w:name w:val="批注文字 字符"/>
    <w:link w:val="15"/>
    <w:semiHidden/>
    <w:qFormat/>
    <w:uiPriority w:val="99"/>
    <w:rPr>
      <w:rFonts w:ascii="Times New Roman" w:hAnsi="Times New Roman" w:eastAsia="宋体" w:cs="Times New Roman"/>
      <w:szCs w:val="24"/>
    </w:rPr>
  </w:style>
  <w:style w:type="character" w:customStyle="1" w:styleId="58">
    <w:name w:val="标题 6 字符"/>
    <w:link w:val="6"/>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6"/>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17"/>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2"/>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9"/>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8"/>
    <w:qFormat/>
    <w:uiPriority w:val="0"/>
    <w:rPr>
      <w:szCs w:val="24"/>
    </w:rPr>
  </w:style>
  <w:style w:type="character" w:customStyle="1" w:styleId="75">
    <w:name w:val="文档结构图 字符"/>
    <w:link w:val="14"/>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3"/>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13"/>
    <w:qFormat/>
    <w:uiPriority w:val="0"/>
    <w:rPr>
      <w:rFonts w:ascii="Times New Roman" w:hAnsi="Times New Roman" w:eastAsia="宋体" w:cs="Times New Roman"/>
      <w:sz w:val="18"/>
      <w:szCs w:val="18"/>
    </w:rPr>
  </w:style>
  <w:style w:type="character" w:customStyle="1" w:styleId="80">
    <w:name w:val="标题 8 字符"/>
    <w:link w:val="8"/>
    <w:qFormat/>
    <w:uiPriority w:val="0"/>
    <w:rPr>
      <w:rFonts w:ascii="Arial" w:hAnsi="Arial" w:eastAsia="黑体" w:cs="Times New Roman"/>
      <w:kern w:val="0"/>
      <w:sz w:val="24"/>
      <w:szCs w:val="24"/>
    </w:rPr>
  </w:style>
  <w:style w:type="character" w:customStyle="1" w:styleId="81">
    <w:name w:val="日期 字符"/>
    <w:link w:val="24"/>
    <w:qFormat/>
    <w:uiPriority w:val="0"/>
    <w:rPr>
      <w:rFonts w:ascii="Times New Roman" w:hAnsi="Times New Roman" w:eastAsia="宋体" w:cs="Times New Roman"/>
      <w:sz w:val="24"/>
      <w:szCs w:val="20"/>
    </w:rPr>
  </w:style>
  <w:style w:type="character" w:customStyle="1" w:styleId="82">
    <w:name w:val="标题 1 字符"/>
    <w:link w:val="2"/>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5"/>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2"/>
    <w:qFormat/>
    <w:uiPriority w:val="99"/>
    <w:rPr>
      <w:rFonts w:ascii="Courier New" w:hAnsi="Courier New"/>
    </w:rPr>
  </w:style>
  <w:style w:type="character" w:customStyle="1" w:styleId="98">
    <w:name w:val="标题 7 字符"/>
    <w:link w:val="7"/>
    <w:qFormat/>
    <w:uiPriority w:val="0"/>
    <w:rPr>
      <w:rFonts w:ascii="Times New Roman" w:hAnsi="Times New Roman" w:eastAsia="宋体" w:cs="Times New Roman"/>
      <w:b/>
      <w:bCs/>
      <w:kern w:val="0"/>
      <w:sz w:val="24"/>
      <w:szCs w:val="24"/>
    </w:rPr>
  </w:style>
  <w:style w:type="paragraph" w:customStyle="1" w:styleId="99">
    <w:name w:val="样式4"/>
    <w:basedOn w:val="4"/>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4"/>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3"/>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4"/>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ExtB" w:hAnsi="MingLiU-ExtB" w:eastAsia="MingLiU-ExtB"/>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ExtB" w:hAnsi="MingLiU-ExtB" w:eastAsia="MingLiU-ExtB"/>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4"/>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Wonder Arial" w:hAnsi="Wonder Arial" w:eastAsia="Wonder Arial"/>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方正仿宋_GB2312" w:hAnsi="宋体" w:eastAsia="方正仿宋_GB2312" w:cs="Times New Roman"/>
      <w:kern w:val="2"/>
      <w:sz w:val="21"/>
      <w:szCs w:val="21"/>
      <w:lang w:val="en-US" w:eastAsia="zh-CN" w:bidi="ar-SA"/>
    </w:rPr>
  </w:style>
  <w:style w:type="paragraph" w:customStyle="1" w:styleId="158">
    <w:name w:val="样式2"/>
    <w:basedOn w:val="4"/>
    <w:qFormat/>
    <w:uiPriority w:val="0"/>
  </w:style>
  <w:style w:type="character" w:customStyle="1" w:styleId="159">
    <w:name w:val="after"/>
    <w:basedOn w:val="44"/>
    <w:qFormat/>
    <w:uiPriority w:val="0"/>
    <w:rPr>
      <w:bdr w:val="dashed" w:color="auto" w:sz="48" w:space="0"/>
    </w:rPr>
  </w:style>
  <w:style w:type="character" w:customStyle="1" w:styleId="160">
    <w:name w:val="before"/>
    <w:basedOn w:val="44"/>
    <w:qFormat/>
    <w:uiPriority w:val="0"/>
    <w:rPr>
      <w:bdr w:val="single" w:color="auto" w:sz="48" w:space="0"/>
    </w:rPr>
  </w:style>
  <w:style w:type="character" w:customStyle="1" w:styleId="161">
    <w:name w:val="hover48"/>
    <w:basedOn w:val="44"/>
    <w:qFormat/>
    <w:uiPriority w:val="0"/>
    <w:rPr>
      <w:shd w:val="clear" w:color="auto" w:fill="346AC3"/>
    </w:rPr>
  </w:style>
  <w:style w:type="character" w:customStyle="1" w:styleId="162">
    <w:name w:val="hover49"/>
    <w:basedOn w:val="44"/>
    <w:qFormat/>
    <w:uiPriority w:val="0"/>
  </w:style>
  <w:style w:type="character" w:customStyle="1" w:styleId="163">
    <w:name w:val="hover50"/>
    <w:basedOn w:val="44"/>
    <w:qFormat/>
    <w:uiPriority w:val="0"/>
    <w:rPr>
      <w:color w:val="4285F4"/>
      <w:u w:val="none"/>
    </w:rPr>
  </w:style>
  <w:style w:type="character" w:customStyle="1" w:styleId="164">
    <w:name w:val="hover51"/>
    <w:basedOn w:val="44"/>
    <w:qFormat/>
    <w:uiPriority w:val="0"/>
    <w:rPr>
      <w:color w:val="4285F4"/>
    </w:rPr>
  </w:style>
  <w:style w:type="character" w:customStyle="1" w:styleId="165">
    <w:name w:val="hover52"/>
    <w:basedOn w:val="44"/>
    <w:qFormat/>
    <w:uiPriority w:val="0"/>
    <w:rPr>
      <w:color w:val="1A85D7"/>
    </w:rPr>
  </w:style>
  <w:style w:type="character" w:customStyle="1" w:styleId="166">
    <w:name w:val="credit"/>
    <w:basedOn w:val="44"/>
    <w:qFormat/>
    <w:uiPriority w:val="0"/>
    <w:rPr>
      <w:sz w:val="18"/>
      <w:szCs w:val="18"/>
    </w:rPr>
  </w:style>
  <w:style w:type="character" w:customStyle="1" w:styleId="167">
    <w:name w:val="first-child"/>
    <w:basedOn w:val="44"/>
    <w:qFormat/>
    <w:uiPriority w:val="0"/>
  </w:style>
  <w:style w:type="paragraph" w:customStyle="1" w:styleId="168">
    <w:name w:val="_Style 6"/>
    <w:basedOn w:val="1"/>
    <w:next w:val="1"/>
    <w:qFormat/>
    <w:uiPriority w:val="39"/>
    <w:pPr>
      <w:tabs>
        <w:tab w:val="left" w:pos="1260"/>
        <w:tab w:val="left" w:pos="1680"/>
        <w:tab w:val="right" w:leader="dot" w:pos="9712"/>
      </w:tabs>
      <w:adjustRightInd w:val="0"/>
      <w:snapToGrid w:val="0"/>
      <w:spacing w:line="312" w:lineRule="auto"/>
    </w:pPr>
    <w:rPr>
      <w:rFonts w:hAnsi="宋体"/>
      <w:b/>
      <w:bCs/>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46</Pages>
  <Words>12673</Words>
  <Characters>13363</Characters>
  <Lines>116</Lines>
  <Paragraphs>32</Paragraphs>
  <TotalTime>8</TotalTime>
  <ScaleCrop>false</ScaleCrop>
  <LinksUpToDate>false</LinksUpToDate>
  <CharactersWithSpaces>13599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2020-04-30T00:16:00Z</dcterms:created>
  <dc:creator>陈桂兰</dc:creator>
  <cp:lastModifiedBy>Kevin</cp:lastModifiedBy>
  <cp:lastPrinted>2022-06-07T10:51:00Z</cp:lastPrinted>
  <dcterms:modified xsi:type="dcterms:W3CDTF">2025-11-26T06:50:29Z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1D9D886C34A74E4C9416790ABC01896C_13</vt:lpwstr>
  </property>
  <property fmtid="{D5CDD505-2E9C-101B-9397-08002B2CF9AE}" pid="4" name="KSOTemplateDocerSaveRecord">
    <vt:lpwstr>eyJoZGlkIjoiNmI0YzI4NGJiMjg2ZWZlN2MzZDcyYzg5ZDEwYzBhZDAiLCJ1c2VySWQiOiI0Mzk5MTQwNTcifQ==</vt:lpwstr>
  </property>
</Properties>
</file>