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F9548C">
      <w:pPr>
        <w:pStyle w:val="30"/>
        <w:numPr>
          <w:ilvl w:val="0"/>
          <w:numId w:val="1"/>
        </w:numPr>
        <w:jc w:val="center"/>
        <w:outlineLvl w:val="0"/>
        <w:rPr>
          <w:rFonts w:hint="eastAsia" w:ascii="黑体" w:hAnsi="黑体" w:eastAsia="黑体"/>
          <w:sz w:val="32"/>
        </w:rPr>
      </w:pPr>
      <w:r>
        <w:rPr>
          <w:rFonts w:ascii="黑体" w:hAnsi="黑体" w:eastAsia="黑体"/>
          <w:b/>
          <w:bCs/>
          <w:sz w:val="32"/>
        </w:rPr>
        <w:t>2025首讯存储维保技术规范书</w:t>
      </w:r>
    </w:p>
    <w:p w14:paraId="612D8A99">
      <w:pPr>
        <w:pStyle w:val="30"/>
        <w:numPr>
          <w:ilvl w:val="0"/>
          <w:numId w:val="2"/>
        </w:numPr>
        <w:outlineLvl w:val="1"/>
        <w:rPr>
          <w:rFonts w:hint="eastAsia" w:ascii="楷体" w:eastAsia="楷体"/>
          <w:sz w:val="32"/>
        </w:rPr>
      </w:pPr>
      <w:r>
        <w:rPr>
          <w:rFonts w:ascii="楷体" w:eastAsia="楷体"/>
          <w:b/>
          <w:bCs/>
          <w:sz w:val="32"/>
        </w:rPr>
        <w:t>项目概述与项目背景要求</w:t>
      </w:r>
    </w:p>
    <w:p w14:paraId="2B2B06A5">
      <w:pPr>
        <w:pStyle w:val="30"/>
        <w:numPr>
          <w:ilvl w:val="0"/>
          <w:numId w:val="3"/>
        </w:numPr>
        <w:outlineLvl w:val="2"/>
        <w:rPr>
          <w:rFonts w:hint="eastAsia" w:ascii="仿宋" w:eastAsia="仿宋"/>
          <w:sz w:val="32"/>
        </w:rPr>
      </w:pPr>
      <w:r>
        <w:rPr>
          <w:rFonts w:ascii="仿宋" w:eastAsia="仿宋"/>
          <w:b/>
          <w:bCs/>
          <w:sz w:val="32"/>
        </w:rPr>
        <w:t>项目概述</w:t>
      </w:r>
    </w:p>
    <w:p w14:paraId="74E2D18D">
      <w:pPr>
        <w:ind w:firstLine="420"/>
        <w:rPr>
          <w:rFonts w:hint="eastAsia" w:ascii="仿宋" w:hAnsi="仿宋" w:eastAsia="仿宋"/>
          <w:sz w:val="32"/>
        </w:rPr>
      </w:pPr>
      <w:r>
        <w:rPr>
          <w:rFonts w:hint="eastAsia" w:ascii="仿宋" w:hAnsi="仿宋" w:eastAsia="仿宋"/>
          <w:sz w:val="32"/>
        </w:rPr>
        <w:t>重庆首讯科技股份有限公司作为重庆高速公路集团的全资子公司，专注于智能交通、大数据、云计算及信息系统集成，并被认定为国家级“专精特新”小巨人企业及国务院国资委“科改示范企业”。其核心业务运营，尤其是以“高速云”平台为核心的智慧高速解决方案，高度依赖稳定、高效、安全的数据存储基础设施。鉴于当前“高速云”平台承载的业务数据量高速增长、性能需求不断提升、系统复杂性日益增加以及安全合规要求趋严等多重挑战，且其关键分布式存储和对象存储系统的原厂软件维保服务已到期，特此启动本次存储维保运维项目招标。</w:t>
      </w:r>
    </w:p>
    <w:p w14:paraId="31A99350">
      <w:pPr>
        <w:ind w:firstLine="420"/>
        <w:rPr>
          <w:rFonts w:hint="eastAsia" w:ascii="仿宋" w:hAnsi="仿宋" w:eastAsia="仿宋"/>
          <w:sz w:val="32"/>
        </w:rPr>
      </w:pPr>
      <w:r>
        <w:rPr>
          <w:rFonts w:hint="eastAsia" w:ascii="仿宋" w:hAnsi="仿宋" w:eastAsia="仿宋"/>
          <w:sz w:val="32"/>
        </w:rPr>
        <w:t>本项目旨在通过引入具备专业能力的原厂授权维保服务商，优化“高速云”平台存储系统管理，全面提升整体运行效能和风险应对能力，确保数据服务的连续性，有效降低运维成本，并有力支撑甲方未来智慧交通业务的持续发展。</w:t>
      </w:r>
    </w:p>
    <w:p w14:paraId="7E03CB57">
      <w:pPr>
        <w:ind w:firstLine="420"/>
        <w:rPr>
          <w:rFonts w:hint="eastAsia" w:ascii="仿宋" w:hAnsi="仿宋" w:eastAsia="仿宋"/>
          <w:sz w:val="32"/>
        </w:rPr>
      </w:pPr>
      <w:r>
        <w:rPr>
          <w:rFonts w:hint="eastAsia" w:ascii="仿宋" w:hAnsi="仿宋" w:eastAsia="仿宋"/>
          <w:sz w:val="32"/>
        </w:rPr>
        <w:t>本项目明确要求服务商需构建并提供一套全面、高效的存储运维体系，其核心目标在于保障“高速云”平台分布式存储和对象存储系统的高可用性与数据完整性，并实现存储资源的精细化配置与高效利用。服务商应通过实施精细化、常态化的运维管理，显著降低存储系统故障率，缩短故障恢复时间，从而持续满足甲方各项关键业务应用对存储服务的连续性需求。同时，服务商必须通过专业的技木支持和知识转移，积极协助提升甲方运维团队的整体技术水平，从而实现甲方存储资产的价值最大化。</w:t>
      </w:r>
    </w:p>
    <w:p w14:paraId="014F7BB7">
      <w:pPr>
        <w:ind w:firstLine="420"/>
        <w:rPr>
          <w:rFonts w:hint="eastAsia" w:ascii="仿宋" w:hAnsi="仿宋" w:eastAsia="仿宋"/>
          <w:sz w:val="32"/>
        </w:rPr>
      </w:pPr>
      <w:r>
        <w:rPr>
          <w:rFonts w:hint="eastAsia" w:ascii="仿宋" w:hAnsi="仿宋" w:eastAsia="仿宋"/>
          <w:sz w:val="32"/>
        </w:rPr>
        <w:t>“高速云”平台作为企业数字化运营的基石，承载着多种关键业务应用的数据存储与访问需求。其应用场景涵盖实时路况推送、车辆-道路协同、事故救援、大数据分析、智慧高速AI算法训练（如DeepSeek大模型私有化部署）、企业信息化建设以及网络安全等。这些业务对分布式存储和对象存储系统的性能、容量、可靠性和数据安全性均有极为严苛的要求。任何存储服务的波动或中断，都将直接影响甲方的核心业务流程，进而对企业运营效率和市场竞争力造成严重影响。因此，通过本运维项目，服务商必须确保这些关键业务应用所依赖存储的稳定性与高性能。</w:t>
      </w:r>
    </w:p>
    <w:p w14:paraId="3ECF6DC7">
      <w:pPr>
        <w:ind w:firstLine="420"/>
        <w:rPr>
          <w:rFonts w:hint="eastAsia" w:ascii="仿宋" w:hAnsi="仿宋" w:eastAsia="仿宋"/>
          <w:sz w:val="32"/>
        </w:rPr>
      </w:pPr>
      <w:r>
        <w:rPr>
          <w:rFonts w:hint="eastAsia" w:ascii="仿宋" w:hAnsi="仿宋" w:eastAsia="仿宋"/>
          <w:sz w:val="32"/>
        </w:rPr>
        <w:t>本项目的服务范围明确要求服务商覆盖甲方所有指定存储设备的日常运行、安全保障、性能优化及故障响应等全生命周期管理工作。服务商提供的具体服务内容应包括，但不限于：存储设备的健康状态监测、容量规划与管理、性能瓶颈分析与调优、配置变更管理、软件升级、故障诊断与排除、数据备份与恢复策略执行支持以及定期巡检与报告输出等。服务商须提供贯穿存储系统整个运行周期的连续、可靠的专业技术支持，以确保存储基础设施的稳定运行</w:t>
      </w:r>
      <w:r>
        <w:rPr>
          <w:rFonts w:ascii="仿宋" w:hAnsi="仿宋" w:eastAsia="仿宋"/>
          <w:sz w:val="32"/>
        </w:rPr>
        <w:t>。</w:t>
      </w:r>
    </w:p>
    <w:p w14:paraId="36B34B80">
      <w:pPr>
        <w:pStyle w:val="30"/>
        <w:numPr>
          <w:ilvl w:val="0"/>
          <w:numId w:val="4"/>
        </w:numPr>
        <w:outlineLvl w:val="1"/>
        <w:rPr>
          <w:rFonts w:hint="eastAsia" w:ascii="楷体" w:hAnsi="楷体" w:eastAsia="楷体"/>
          <w:sz w:val="32"/>
        </w:rPr>
      </w:pPr>
      <w:r>
        <w:rPr>
          <w:rFonts w:hint="eastAsia" w:ascii="楷体" w:hAnsi="楷体" w:eastAsia="楷体"/>
          <w:b/>
          <w:bCs/>
          <w:sz w:val="32"/>
        </w:rPr>
        <w:t>现状</w:t>
      </w:r>
      <w:r>
        <w:rPr>
          <w:rFonts w:ascii="楷体" w:hAnsi="楷体" w:eastAsia="楷体"/>
          <w:b/>
          <w:bCs/>
          <w:sz w:val="32"/>
        </w:rPr>
        <w:t>与</w:t>
      </w:r>
      <w:r>
        <w:rPr>
          <w:rFonts w:hint="eastAsia" w:ascii="楷体" w:hAnsi="楷体" w:eastAsia="楷体"/>
          <w:b/>
          <w:bCs/>
          <w:sz w:val="32"/>
        </w:rPr>
        <w:t>核心服务要求</w:t>
      </w:r>
    </w:p>
    <w:p w14:paraId="17645009">
      <w:pPr>
        <w:pStyle w:val="30"/>
        <w:numPr>
          <w:ilvl w:val="0"/>
          <w:numId w:val="5"/>
        </w:numPr>
        <w:outlineLvl w:val="2"/>
        <w:rPr>
          <w:rFonts w:hint="eastAsia" w:ascii="仿宋" w:hAnsi="仿宋" w:eastAsia="仿宋"/>
          <w:sz w:val="32"/>
        </w:rPr>
      </w:pPr>
      <w:r>
        <w:rPr>
          <w:rFonts w:ascii="仿宋" w:hAnsi="仿宋" w:eastAsia="仿宋"/>
          <w:b/>
          <w:bCs/>
          <w:sz w:val="32"/>
        </w:rPr>
        <w:t>当前存储环境现状</w:t>
      </w:r>
    </w:p>
    <w:p w14:paraId="6EBBC2B9">
      <w:pPr>
        <w:ind w:firstLine="420"/>
        <w:rPr>
          <w:rFonts w:hint="eastAsia" w:ascii="仿宋" w:hAnsi="仿宋" w:eastAsia="仿宋"/>
          <w:sz w:val="32"/>
        </w:rPr>
      </w:pPr>
      <w:r>
        <w:rPr>
          <w:rFonts w:hint="eastAsia" w:ascii="仿宋" w:hAnsi="仿宋" w:eastAsia="仿宋"/>
          <w:sz w:val="32"/>
        </w:rPr>
        <w:t>随着“高速云”平台在智能交通领域的深化应用与数字化转型的加速推进，数据量呈现爆发式增长态势，对底层分布式存储和对象存储基础设施的依赖性日益增强。“高速云”平台采用“1+N”中心-边缘云架构，基于天翼云、青云等国产自主架构，为如G65重庆-武隆段智慧高速改造、巴南智慧高速监控中心、AI+无人机交通巡检等多个核心应用场景提供支撑。</w:t>
      </w:r>
    </w:p>
    <w:p w14:paraId="7E5F1746">
      <w:pPr>
        <w:ind w:firstLine="420"/>
        <w:rPr>
          <w:rFonts w:hint="eastAsia" w:ascii="仿宋" w:hAnsi="仿宋" w:eastAsia="仿宋"/>
          <w:sz w:val="32"/>
        </w:rPr>
      </w:pPr>
      <w:r>
        <w:rPr>
          <w:rFonts w:hint="eastAsia" w:ascii="仿宋" w:hAnsi="仿宋" w:eastAsia="仿宋"/>
          <w:sz w:val="32"/>
        </w:rPr>
        <w:t>这些场景产生并消耗海量的实时感知数据、视频流数据、AI训练样本、大数据分析结果等，对分布式存储系统（提供高并发读写性能，满足AI训练和大数据处理需求）和对象存储系统（提供海量非结构化数据存储，支持归档和多媒体访问）的性能、容量、可靠性及数据安全性提出了日益严苛的要求。现有这些存储系统在支持业务快速迭代与数据洪流冲击方面已承载巨大压力，其复杂性也随之不断提升，同时需持续满足日益严格的国家网络安全和信创合规性要求</w:t>
      </w:r>
      <w:r>
        <w:rPr>
          <w:rFonts w:ascii="仿宋" w:hAnsi="仿宋" w:eastAsia="仿宋"/>
          <w:sz w:val="32"/>
        </w:rPr>
        <w:t>。</w:t>
      </w:r>
    </w:p>
    <w:p w14:paraId="072F1364">
      <w:pPr>
        <w:pStyle w:val="30"/>
        <w:numPr>
          <w:ilvl w:val="0"/>
          <w:numId w:val="6"/>
        </w:numPr>
        <w:outlineLvl w:val="2"/>
        <w:rPr>
          <w:rFonts w:hint="eastAsia" w:ascii="仿宋" w:hAnsi="仿宋" w:eastAsia="仿宋"/>
          <w:sz w:val="32"/>
        </w:rPr>
      </w:pPr>
      <w:r>
        <w:rPr>
          <w:rFonts w:hint="eastAsia" w:ascii="仿宋" w:hAnsi="仿宋" w:eastAsia="仿宋"/>
          <w:b/>
          <w:bCs/>
          <w:sz w:val="32"/>
        </w:rPr>
        <w:t>核心服务要求</w:t>
      </w:r>
    </w:p>
    <w:p w14:paraId="34078EA4">
      <w:pPr>
        <w:ind w:firstLine="420"/>
        <w:rPr>
          <w:rFonts w:hint="eastAsia" w:ascii="仿宋" w:hAnsi="仿宋" w:eastAsia="仿宋"/>
          <w:sz w:val="32"/>
        </w:rPr>
      </w:pPr>
      <w:r>
        <w:rPr>
          <w:rFonts w:hint="eastAsia" w:ascii="仿宋" w:hAnsi="仿宋" w:eastAsia="仿宋"/>
          <w:sz w:val="32"/>
        </w:rPr>
        <w:t>本次招标项目旨在选择合格的服务商，通过其专业的存储原厂维保运维服务，协助甲方共同实现以下核心目标：</w:t>
      </w:r>
    </w:p>
    <w:p w14:paraId="20F7E81C">
      <w:pPr>
        <w:ind w:firstLine="420"/>
        <w:rPr>
          <w:rFonts w:hint="eastAsia" w:ascii="仿宋" w:hAnsi="仿宋" w:eastAsia="仿宋"/>
          <w:sz w:val="32"/>
        </w:rPr>
      </w:pPr>
      <w:r>
        <w:rPr>
          <w:rFonts w:hint="eastAsia" w:ascii="仿宋" w:hAnsi="仿宋" w:eastAsia="仿宋"/>
          <w:sz w:val="32"/>
        </w:rPr>
        <w:t>①提供原厂针对本项目的维保授权服务函，续签并获得持续的原厂技术支持：确保“高速云”平台分布式存储和对象存储系统获得持续、全面、专业的原厂软件维保服务，覆盖系统运行、维护、优化及故障响应全生命周期。降低及化解维保过期风险：通过原厂的专业支持，有效降低因软件维保过期而带来的系统稳定性、数据安全性及业务连续性风险。</w:t>
      </w:r>
    </w:p>
    <w:p w14:paraId="619030AE">
      <w:pPr>
        <w:ind w:firstLine="420"/>
        <w:rPr>
          <w:rFonts w:hint="eastAsia" w:ascii="仿宋" w:hAnsi="仿宋" w:eastAsia="仿宋"/>
          <w:sz w:val="32"/>
        </w:rPr>
      </w:pPr>
      <w:r>
        <w:rPr>
          <w:rFonts w:hint="eastAsia" w:ascii="仿宋" w:hAnsi="仿宋" w:eastAsia="仿宋"/>
          <w:sz w:val="32"/>
        </w:rPr>
        <w:t>②构建高效专业的运维体系：要求服务商协助甲方建立并实施标准化、流程化且具备原厂深度支持的存储运维管理模式。</w:t>
      </w:r>
    </w:p>
    <w:p w14:paraId="73A875BC">
      <w:pPr>
        <w:ind w:firstLine="420"/>
        <w:rPr>
          <w:rFonts w:hint="eastAsia" w:ascii="仿宋" w:hAnsi="仿宋" w:eastAsia="仿宋"/>
          <w:sz w:val="32"/>
        </w:rPr>
      </w:pPr>
      <w:r>
        <w:rPr>
          <w:rFonts w:hint="eastAsia" w:ascii="仿宋" w:hAnsi="仿宋" w:eastAsia="仿宋"/>
          <w:sz w:val="32"/>
        </w:rPr>
        <w:t>③确保存储系统高可用性与数据完整性：要求服务商通过其提供的专业运维服务，显著降低存储系统故障率，缩短故障恢复时间，从而持续保障甲方“高速云”平台各项关键业务应用的服务连续性。</w:t>
      </w:r>
    </w:p>
    <w:p w14:paraId="20B9B2D2">
      <w:pPr>
        <w:ind w:firstLine="420"/>
        <w:rPr>
          <w:rFonts w:hint="eastAsia" w:ascii="仿宋" w:hAnsi="仿宋" w:eastAsia="仿宋"/>
          <w:sz w:val="32"/>
        </w:rPr>
      </w:pPr>
      <w:r>
        <w:rPr>
          <w:rFonts w:hint="eastAsia" w:ascii="仿宋" w:hAnsi="仿宋" w:eastAsia="仿宋"/>
          <w:sz w:val="32"/>
        </w:rPr>
        <w:t>④实现存储资源精细化配置与高效利用：要求服务商优化存储系统整体运行效能，确保其稳定高性能运行，避免资源浪费，以满足AI算法训练和大数据分析的严苛要求。</w:t>
      </w:r>
    </w:p>
    <w:p w14:paraId="0F0DF025">
      <w:pPr>
        <w:ind w:firstLine="420"/>
        <w:rPr>
          <w:rFonts w:hint="eastAsia" w:ascii="仿宋" w:hAnsi="仿宋" w:eastAsia="仿宋"/>
          <w:sz w:val="32"/>
        </w:rPr>
      </w:pPr>
      <w:r>
        <w:rPr>
          <w:rFonts w:hint="eastAsia" w:ascii="仿宋" w:hAnsi="仿宋" w:eastAsia="仿宋"/>
          <w:sz w:val="32"/>
        </w:rPr>
        <w:t>⑤提升甲方内部运维团队整体技术水平：要求服务商通过其专业的培训支持与知识转移，最大化甲方存储资产的业务价值，并提升甲方运维人员的专业能力</w:t>
      </w:r>
      <w:r>
        <w:rPr>
          <w:rFonts w:ascii="仿宋" w:hAnsi="仿宋" w:eastAsia="仿宋"/>
          <w:sz w:val="32"/>
        </w:rPr>
        <w:t>。</w:t>
      </w:r>
    </w:p>
    <w:p w14:paraId="4F6AB8D0">
      <w:pPr>
        <w:pStyle w:val="30"/>
        <w:numPr>
          <w:ilvl w:val="0"/>
          <w:numId w:val="7"/>
        </w:numPr>
        <w:outlineLvl w:val="2"/>
        <w:rPr>
          <w:rFonts w:hint="eastAsia" w:ascii="仿宋" w:hAnsi="仿宋" w:eastAsia="仿宋"/>
          <w:sz w:val="32"/>
        </w:rPr>
      </w:pPr>
      <w:r>
        <w:rPr>
          <w:rFonts w:ascii="仿宋" w:hAnsi="仿宋" w:eastAsia="仿宋"/>
          <w:b/>
          <w:bCs/>
          <w:sz w:val="32"/>
        </w:rPr>
        <w:t>核心业务系统对存储基础设施的可用性要求</w:t>
      </w:r>
    </w:p>
    <w:p w14:paraId="0376BF70">
      <w:pPr>
        <w:ind w:firstLine="420"/>
        <w:rPr>
          <w:rFonts w:hint="eastAsia" w:ascii="仿宋" w:hAnsi="仿宋" w:eastAsia="仿宋"/>
          <w:sz w:val="32"/>
        </w:rPr>
      </w:pPr>
      <w:r>
        <w:rPr>
          <w:rFonts w:hint="eastAsia" w:ascii="仿宋" w:hAnsi="仿宋" w:eastAsia="仿宋"/>
          <w:sz w:val="32"/>
        </w:rPr>
        <w:t>服务商所维保的分布式和对象存储系统必须保障企业数据服务的连续运行，满足甲方“高速云”平台核心业务系统对接近24/7不间断服务可用性的要求，并达到以下指标：</w:t>
      </w:r>
    </w:p>
    <w:p w14:paraId="7D9ADA37">
      <w:pPr>
        <w:ind w:firstLine="420"/>
        <w:rPr>
          <w:rFonts w:hint="eastAsia" w:ascii="仿宋" w:hAnsi="仿宋" w:eastAsia="仿宋"/>
          <w:sz w:val="32"/>
        </w:rPr>
      </w:pPr>
      <w:r>
        <w:rPr>
          <w:rFonts w:hint="eastAsia" w:ascii="仿宋" w:hAnsi="仿宋" w:eastAsia="仿宋"/>
          <w:sz w:val="32"/>
        </w:rPr>
        <w:t>①高可用架构：存储系统需具备并通过有效的运维手段保障高可用架构，包括大规模分布式集群、多路径I/O、自动故障切换机制以及无中断升级能力，确保系统年可用性达到[≥99.999%]。</w:t>
      </w:r>
    </w:p>
    <w:p w14:paraId="38B26877">
      <w:pPr>
        <w:ind w:firstLine="420"/>
        <w:rPr>
          <w:rFonts w:hint="eastAsia" w:ascii="仿宋" w:hAnsi="仿宋" w:eastAsia="仿宋"/>
          <w:sz w:val="32"/>
        </w:rPr>
      </w:pPr>
      <w:r>
        <w:rPr>
          <w:rFonts w:hint="eastAsia" w:ascii="仿宋" w:hAnsi="仿宋" w:eastAsia="仿宋"/>
          <w:sz w:val="32"/>
        </w:rPr>
        <w:t>②业务连续性方案：服务商需支持并维护甲方业务连续性方案，如同步/异步复制、站点级灾难恢复（DR）策略，确保在主存储系统发生严重故障或计划内维护时，业务可以无缝切换到备用系统或站点，将恢复时间目标（RTO）和恢复点目标（RPO）降至最低，RTO应≤[2小时]、RPO应≤[1小时]。</w:t>
      </w:r>
    </w:p>
    <w:p w14:paraId="4C40E485">
      <w:pPr>
        <w:ind w:firstLine="420"/>
        <w:rPr>
          <w:rFonts w:hint="eastAsia" w:ascii="仿宋" w:hAnsi="仿宋" w:eastAsia="仿宋"/>
          <w:sz w:val="32"/>
        </w:rPr>
      </w:pPr>
      <w:r>
        <w:rPr>
          <w:rFonts w:hint="eastAsia" w:ascii="仿宋" w:hAnsi="仿宋" w:eastAsia="仿宋"/>
          <w:sz w:val="32"/>
        </w:rPr>
        <w:t>③业务影响最小化：“高速云”平台承载的业务对存储的可用性需求极高，服务商需确保长时间的服务中断不会对企业运营效率产生负面影响，其服务连续性保障级别应与业务重要程度相匹配。</w:t>
      </w:r>
    </w:p>
    <w:p w14:paraId="55669648">
      <w:pPr>
        <w:pStyle w:val="30"/>
        <w:numPr>
          <w:ilvl w:val="0"/>
          <w:numId w:val="8"/>
        </w:numPr>
        <w:outlineLvl w:val="1"/>
        <w:rPr>
          <w:rFonts w:hint="eastAsia" w:ascii="楷体" w:hAnsi="楷体" w:eastAsia="楷体"/>
          <w:sz w:val="32"/>
        </w:rPr>
      </w:pPr>
      <w:r>
        <w:rPr>
          <w:rFonts w:ascii="楷体" w:hAnsi="楷体" w:eastAsia="楷体"/>
          <w:b/>
          <w:bCs/>
          <w:sz w:val="32"/>
        </w:rPr>
        <w:t>服务范围要求</w:t>
      </w:r>
    </w:p>
    <w:p w14:paraId="5BA01EFF">
      <w:pPr>
        <w:pStyle w:val="30"/>
        <w:numPr>
          <w:ilvl w:val="0"/>
          <w:numId w:val="9"/>
        </w:numPr>
        <w:outlineLvl w:val="2"/>
        <w:rPr>
          <w:rFonts w:hint="eastAsia" w:ascii="仿宋" w:hAnsi="仿宋" w:eastAsia="仿宋"/>
          <w:sz w:val="32"/>
        </w:rPr>
      </w:pPr>
      <w:r>
        <w:rPr>
          <w:rFonts w:ascii="仿宋" w:hAnsi="仿宋" w:eastAsia="仿宋"/>
          <w:b/>
          <w:bCs/>
          <w:sz w:val="32"/>
        </w:rPr>
        <w:t>项目范围</w:t>
      </w:r>
    </w:p>
    <w:p w14:paraId="28D20A7C">
      <w:pPr>
        <w:ind w:firstLine="420"/>
        <w:rPr>
          <w:rFonts w:hint="eastAsia" w:ascii="仿宋" w:hAnsi="仿宋" w:eastAsia="仿宋"/>
          <w:sz w:val="32"/>
        </w:rPr>
      </w:pPr>
      <w:r>
        <w:rPr>
          <w:rFonts w:ascii="仿宋" w:hAnsi="仿宋" w:eastAsia="仿宋"/>
          <w:sz w:val="32"/>
        </w:rPr>
        <w:t>本项目要求服务商提供全面的存储运维服务，以确保甲方存储基础设施的稳定、高效与安全运行。服务商提交的方案中必须明确各项服务活动、涉及的硬件设备、软件模块以及最终交付的成果，从而确保项目目标的精确实现。</w:t>
      </w:r>
    </w:p>
    <w:p w14:paraId="1CE8F577">
      <w:pPr>
        <w:pStyle w:val="30"/>
        <w:numPr>
          <w:ilvl w:val="0"/>
          <w:numId w:val="10"/>
        </w:numPr>
        <w:outlineLvl w:val="2"/>
        <w:rPr>
          <w:rFonts w:hint="eastAsia" w:ascii="仿宋" w:hAnsi="仿宋" w:eastAsia="仿宋"/>
          <w:sz w:val="32"/>
        </w:rPr>
      </w:pPr>
      <w:r>
        <w:rPr>
          <w:rFonts w:ascii="仿宋" w:hAnsi="仿宋" w:eastAsia="仿宋"/>
          <w:b/>
          <w:bCs/>
          <w:sz w:val="32"/>
        </w:rPr>
        <w:t>运维服务内容要求</w:t>
      </w:r>
    </w:p>
    <w:p w14:paraId="301D9579">
      <w:pPr>
        <w:ind w:firstLine="420"/>
        <w:rPr>
          <w:rFonts w:hint="eastAsia" w:ascii="仿宋" w:hAnsi="仿宋" w:eastAsia="仿宋"/>
          <w:sz w:val="32"/>
        </w:rPr>
      </w:pPr>
      <w:r>
        <w:rPr>
          <w:rFonts w:ascii="仿宋" w:hAnsi="仿宋" w:eastAsia="仿宋"/>
          <w:sz w:val="32"/>
        </w:rPr>
        <w:t>服务商提供的运维服务内容必须涵盖甲方存储系统的全生命周期管理，旨在提供专业化、系统化的持续支持。服务范围应包括，但不限于以下各项要求：</w:t>
      </w:r>
    </w:p>
    <w:p w14:paraId="79FC021E">
      <w:pPr>
        <w:ind w:firstLine="420"/>
        <w:rPr>
          <w:rFonts w:hint="eastAsia" w:ascii="仿宋" w:hAnsi="仿宋" w:eastAsia="仿宋"/>
          <w:sz w:val="32"/>
        </w:rPr>
      </w:pPr>
      <w:r>
        <w:rPr>
          <w:rFonts w:ascii="仿宋" w:hAnsi="仿宋" w:eastAsia="仿宋"/>
          <w:b/>
          <w:bCs/>
          <w:sz w:val="32"/>
        </w:rPr>
        <w:t>日常状态监测：</w:t>
      </w:r>
      <w:r>
        <w:rPr>
          <w:rFonts w:ascii="仿宋" w:hAnsi="仿宋" w:eastAsia="仿宋"/>
          <w:sz w:val="32"/>
        </w:rPr>
        <w:t> 服务商须对甲方存储设备和存储网络进行日常健康状态监测，实时了解系统运行状况与性能指标。</w:t>
      </w:r>
    </w:p>
    <w:p w14:paraId="53EA3DD2">
      <w:pPr>
        <w:ind w:firstLine="420"/>
        <w:rPr>
          <w:rFonts w:hint="eastAsia" w:ascii="仿宋" w:hAnsi="仿宋" w:eastAsia="仿宋"/>
          <w:sz w:val="32"/>
        </w:rPr>
      </w:pPr>
      <w:r>
        <w:rPr>
          <w:rFonts w:ascii="仿宋" w:hAnsi="仿宋" w:eastAsia="仿宋"/>
          <w:b/>
          <w:bCs/>
          <w:sz w:val="32"/>
        </w:rPr>
        <w:t>容量规划与管理：</w:t>
      </w:r>
      <w:r>
        <w:rPr>
          <w:rFonts w:ascii="仿宋" w:hAnsi="仿宋" w:eastAsia="仿宋"/>
          <w:sz w:val="32"/>
        </w:rPr>
        <w:t> 服务商须基于甲方业务需求和数据增长趋势，进行存储容量规划与管理，确保存储资源按需分配与高效利用。</w:t>
      </w:r>
    </w:p>
    <w:p w14:paraId="5C52841E">
      <w:pPr>
        <w:ind w:firstLine="420"/>
        <w:rPr>
          <w:rFonts w:hint="eastAsia" w:ascii="仿宋" w:hAnsi="仿宋" w:eastAsia="仿宋"/>
          <w:sz w:val="32"/>
        </w:rPr>
      </w:pPr>
      <w:r>
        <w:rPr>
          <w:rFonts w:ascii="仿宋" w:hAnsi="仿宋" w:eastAsia="仿宋"/>
          <w:b/>
          <w:bCs/>
          <w:sz w:val="32"/>
        </w:rPr>
        <w:t>性能分析与调优：</w:t>
      </w:r>
      <w:r>
        <w:rPr>
          <w:rFonts w:ascii="仿宋" w:hAnsi="仿宋" w:eastAsia="仿宋"/>
          <w:sz w:val="32"/>
        </w:rPr>
        <w:t>服务商须对甲方存储系统进行定期性能分析与持续调优，识别并解决潜在的性能瓶颈，以保障核心业务应用的高速响应。</w:t>
      </w:r>
    </w:p>
    <w:p w14:paraId="64A36324">
      <w:pPr>
        <w:ind w:firstLine="420"/>
        <w:rPr>
          <w:rFonts w:hint="eastAsia" w:ascii="仿宋" w:hAnsi="仿宋" w:eastAsia="仿宋"/>
          <w:sz w:val="32"/>
        </w:rPr>
      </w:pPr>
      <w:r>
        <w:rPr>
          <w:rFonts w:ascii="仿宋" w:hAnsi="仿宋" w:eastAsia="仿宋"/>
          <w:b/>
          <w:bCs/>
          <w:sz w:val="32"/>
        </w:rPr>
        <w:t>配置变更管理：</w:t>
      </w:r>
      <w:r>
        <w:rPr>
          <w:rFonts w:ascii="仿宋" w:hAnsi="仿宋" w:eastAsia="仿宋"/>
          <w:sz w:val="32"/>
        </w:rPr>
        <w:t>服务商须实施严格的配置变更管理，确保所有系统修改的可控性、可追溯性与安全性。</w:t>
      </w:r>
    </w:p>
    <w:p w14:paraId="6B1F39A9">
      <w:pPr>
        <w:ind w:firstLine="420"/>
        <w:rPr>
          <w:rFonts w:hint="eastAsia" w:ascii="仿宋" w:hAnsi="仿宋" w:eastAsia="仿宋"/>
          <w:sz w:val="32"/>
        </w:rPr>
      </w:pPr>
      <w:r>
        <w:rPr>
          <w:rFonts w:hint="eastAsia" w:ascii="仿宋" w:hAnsi="仿宋" w:eastAsia="仿宋"/>
          <w:b/>
          <w:bCs/>
          <w:sz w:val="32"/>
        </w:rPr>
        <w:t>软件</w:t>
      </w:r>
      <w:r>
        <w:rPr>
          <w:rFonts w:ascii="仿宋" w:hAnsi="仿宋" w:eastAsia="仿宋"/>
          <w:b/>
          <w:bCs/>
          <w:sz w:val="32"/>
        </w:rPr>
        <w:t>升级辅助：</w:t>
      </w:r>
      <w:r>
        <w:rPr>
          <w:rFonts w:ascii="仿宋" w:hAnsi="仿宋" w:eastAsia="仿宋"/>
          <w:sz w:val="32"/>
        </w:rPr>
        <w:t>服务商须为甲方存储系统</w:t>
      </w:r>
      <w:r>
        <w:rPr>
          <w:rFonts w:hint="eastAsia" w:ascii="仿宋" w:hAnsi="仿宋" w:eastAsia="仿宋"/>
          <w:sz w:val="32"/>
        </w:rPr>
        <w:t>软件</w:t>
      </w:r>
      <w:r>
        <w:rPr>
          <w:rFonts w:ascii="仿宋" w:hAnsi="仿宋" w:eastAsia="仿宋"/>
          <w:sz w:val="32"/>
        </w:rPr>
        <w:t>升级提供辅助支持，以保证系统组件的最新稳定性与功能。</w:t>
      </w:r>
    </w:p>
    <w:p w14:paraId="27F40394">
      <w:pPr>
        <w:ind w:firstLine="420"/>
        <w:rPr>
          <w:rFonts w:hint="eastAsia" w:ascii="仿宋" w:hAnsi="仿宋" w:eastAsia="仿宋"/>
          <w:sz w:val="32"/>
        </w:rPr>
      </w:pPr>
      <w:r>
        <w:rPr>
          <w:rFonts w:ascii="仿宋" w:hAnsi="仿宋" w:eastAsia="仿宋"/>
          <w:b/>
          <w:bCs/>
          <w:sz w:val="32"/>
        </w:rPr>
        <w:t>故障诊断与排除：</w:t>
      </w:r>
      <w:r>
        <w:rPr>
          <w:rFonts w:ascii="仿宋" w:hAnsi="仿宋" w:eastAsia="仿宋"/>
          <w:sz w:val="32"/>
        </w:rPr>
        <w:t>服务商须提供快速有效的故障诊断与排除服务，最大限度缩短故障恢复时间，降低业务中断风险。</w:t>
      </w:r>
    </w:p>
    <w:p w14:paraId="573A0FEB">
      <w:pPr>
        <w:ind w:firstLine="420"/>
        <w:rPr>
          <w:rFonts w:hint="eastAsia" w:ascii="仿宋" w:hAnsi="仿宋" w:eastAsia="仿宋"/>
          <w:sz w:val="32"/>
        </w:rPr>
      </w:pPr>
      <w:r>
        <w:rPr>
          <w:rFonts w:ascii="仿宋" w:hAnsi="仿宋" w:eastAsia="仿宋"/>
          <w:b/>
          <w:bCs/>
          <w:sz w:val="32"/>
        </w:rPr>
        <w:t>数据备份与恢复支持：</w:t>
      </w:r>
      <w:r>
        <w:rPr>
          <w:rFonts w:ascii="仿宋" w:hAnsi="仿宋" w:eastAsia="仿宋"/>
          <w:sz w:val="32"/>
        </w:rPr>
        <w:t>服务商须支持甲方数据备份与恢复策略的执行与验证，以确保数据完整性与业务连续性。</w:t>
      </w:r>
    </w:p>
    <w:p w14:paraId="69818B53">
      <w:pPr>
        <w:ind w:firstLine="420"/>
        <w:rPr>
          <w:rFonts w:hint="eastAsia" w:ascii="仿宋" w:hAnsi="仿宋" w:eastAsia="仿宋"/>
          <w:sz w:val="32"/>
        </w:rPr>
      </w:pPr>
      <w:r>
        <w:rPr>
          <w:rFonts w:ascii="仿宋" w:hAnsi="仿宋" w:eastAsia="仿宋"/>
          <w:b/>
          <w:bCs/>
          <w:sz w:val="32"/>
        </w:rPr>
        <w:t>定期巡检与报告：</w:t>
      </w:r>
      <w:r>
        <w:rPr>
          <w:rFonts w:ascii="仿宋" w:hAnsi="仿宋" w:eastAsia="仿宋"/>
          <w:sz w:val="32"/>
        </w:rPr>
        <w:t>服务商须开展定期存储系统巡检，主动发现潜在问题并输出详细巡检报告与改进建议。</w:t>
      </w:r>
    </w:p>
    <w:p w14:paraId="29CAF101">
      <w:pPr>
        <w:ind w:firstLine="420"/>
        <w:rPr>
          <w:rFonts w:hint="eastAsia" w:ascii="仿宋" w:hAnsi="仿宋" w:eastAsia="仿宋"/>
          <w:sz w:val="32"/>
        </w:rPr>
      </w:pPr>
      <w:r>
        <w:rPr>
          <w:rFonts w:ascii="仿宋" w:hAnsi="仿宋" w:eastAsia="仿宋"/>
          <w:b/>
          <w:bCs/>
          <w:sz w:val="32"/>
        </w:rPr>
        <w:t>风险管理机制：</w:t>
      </w:r>
      <w:r>
        <w:rPr>
          <w:rFonts w:ascii="仿宋" w:hAnsi="仿宋" w:eastAsia="仿宋"/>
          <w:sz w:val="32"/>
        </w:rPr>
        <w:t>服务商须建立完善的告警响应机制、日志审计流程和安全漏洞管理流程，从多维度提升甲方存储系统的整体运维水平与风险抵御能力。</w:t>
      </w:r>
    </w:p>
    <w:p w14:paraId="698C84E2">
      <w:pPr>
        <w:ind w:firstLine="420"/>
        <w:rPr>
          <w:rFonts w:hint="eastAsia" w:ascii="仿宋" w:hAnsi="仿宋" w:eastAsia="仿宋"/>
          <w:sz w:val="32"/>
        </w:rPr>
      </w:pPr>
      <w:r>
        <w:rPr>
          <w:rFonts w:ascii="仿宋" w:hAnsi="仿宋" w:eastAsia="仿宋"/>
          <w:b/>
          <w:bCs/>
          <w:sz w:val="32"/>
        </w:rPr>
        <w:t>技术咨询与知识传递：</w:t>
      </w:r>
      <w:r>
        <w:rPr>
          <w:rFonts w:ascii="仿宋" w:hAnsi="仿宋" w:eastAsia="仿宋"/>
          <w:sz w:val="32"/>
        </w:rPr>
        <w:t>服务商须提供存储相关的技术咨询与知识传递，协助提升甲方内部运维团队的整体技术能力。</w:t>
      </w:r>
    </w:p>
    <w:p w14:paraId="4ED2C3EB">
      <w:pPr>
        <w:pStyle w:val="30"/>
        <w:numPr>
          <w:ilvl w:val="0"/>
          <w:numId w:val="11"/>
        </w:numPr>
        <w:outlineLvl w:val="2"/>
        <w:rPr>
          <w:rFonts w:hint="eastAsia" w:ascii="仿宋" w:hAnsi="仿宋" w:eastAsia="仿宋"/>
          <w:sz w:val="32"/>
        </w:rPr>
      </w:pPr>
      <w:r>
        <w:rPr>
          <w:rFonts w:ascii="仿宋" w:hAnsi="仿宋" w:eastAsia="仿宋"/>
          <w:b/>
          <w:bCs/>
          <w:sz w:val="32"/>
        </w:rPr>
        <w:t>硬件设备范围要求</w:t>
      </w:r>
    </w:p>
    <w:p w14:paraId="06B2E4D8">
      <w:pPr>
        <w:ind w:firstLine="420"/>
        <w:rPr>
          <w:rFonts w:hint="eastAsia" w:ascii="仿宋" w:hAnsi="仿宋" w:eastAsia="仿宋"/>
          <w:sz w:val="32"/>
        </w:rPr>
      </w:pPr>
      <w:r>
        <w:rPr>
          <w:rFonts w:ascii="仿宋" w:hAnsi="仿宋" w:eastAsia="仿宋"/>
          <w:sz w:val="32"/>
        </w:rPr>
        <w:t>本项目所覆盖的硬件设备范围聚焦于甲方企业级存储基础设施及其核心组件。服务商提供的运维服务必须涵盖以下类型的硬件设备</w:t>
      </w:r>
      <w:r>
        <w:rPr>
          <w:rFonts w:hint="eastAsia" w:ascii="仿宋" w:hAnsi="仿宋" w:eastAsia="仿宋"/>
          <w:sz w:val="32"/>
        </w:rPr>
        <w:t>关联技术支持服务</w:t>
      </w:r>
      <w:r>
        <w:rPr>
          <w:rFonts w:ascii="仿宋" w:hAnsi="仿宋" w:eastAsia="仿宋"/>
          <w:sz w:val="32"/>
        </w:rPr>
        <w:t>：</w:t>
      </w:r>
    </w:p>
    <w:p w14:paraId="1801D71D">
      <w:pPr>
        <w:ind w:firstLine="420"/>
        <w:rPr>
          <w:rFonts w:hint="eastAsia" w:ascii="仿宋" w:hAnsi="仿宋" w:eastAsia="仿宋"/>
          <w:sz w:val="32"/>
        </w:rPr>
      </w:pPr>
      <w:r>
        <w:rPr>
          <w:rFonts w:hint="eastAsia" w:ascii="仿宋" w:hAnsi="仿宋" w:eastAsia="仿宋"/>
          <w:b/>
          <w:bCs/>
          <w:sz w:val="32"/>
        </w:rPr>
        <w:t>存储节点服务器</w:t>
      </w:r>
      <w:r>
        <w:rPr>
          <w:rFonts w:ascii="仿宋" w:hAnsi="仿宋" w:eastAsia="仿宋"/>
          <w:b/>
          <w:bCs/>
          <w:sz w:val="32"/>
        </w:rPr>
        <w:t>：</w:t>
      </w:r>
      <w:r>
        <w:rPr>
          <w:rFonts w:hint="eastAsia" w:ascii="仿宋" w:hAnsi="仿宋" w:eastAsia="仿宋"/>
          <w:sz w:val="32"/>
        </w:rPr>
        <w:t>包含但不限于与甲方存储系统紧密集成并承载存储管理功能的服务器设备</w:t>
      </w:r>
      <w:r>
        <w:rPr>
          <w:rFonts w:ascii="仿宋" w:hAnsi="仿宋" w:eastAsia="仿宋"/>
          <w:sz w:val="32"/>
        </w:rPr>
        <w:t>。</w:t>
      </w:r>
    </w:p>
    <w:p w14:paraId="19A62032">
      <w:pPr>
        <w:ind w:firstLine="420"/>
        <w:rPr>
          <w:rFonts w:hint="eastAsia" w:ascii="仿宋" w:hAnsi="仿宋" w:eastAsia="仿宋"/>
          <w:sz w:val="32"/>
        </w:rPr>
      </w:pPr>
      <w:r>
        <w:rPr>
          <w:rFonts w:ascii="仿宋" w:hAnsi="仿宋" w:eastAsia="仿宋"/>
          <w:b/>
          <w:bCs/>
          <w:sz w:val="32"/>
        </w:rPr>
        <w:t>存储网络设备：</w:t>
      </w:r>
      <w:r>
        <w:rPr>
          <w:rFonts w:ascii="仿宋" w:hAnsi="仿宋" w:eastAsia="仿宋"/>
          <w:sz w:val="32"/>
        </w:rPr>
        <w:t>包含但不限于</w:t>
      </w:r>
      <w:r>
        <w:rPr>
          <w:rFonts w:hint="eastAsia" w:ascii="仿宋" w:hAnsi="仿宋" w:eastAsia="仿宋"/>
          <w:sz w:val="32"/>
        </w:rPr>
        <w:t>存储外网、存储内外交换机</w:t>
      </w:r>
      <w:r>
        <w:rPr>
          <w:rFonts w:ascii="仿宋" w:hAnsi="仿宋" w:eastAsia="仿宋"/>
          <w:sz w:val="32"/>
        </w:rPr>
        <w:t>，服务商须确保数据传输链路的畅通与高效。</w:t>
      </w:r>
    </w:p>
    <w:p w14:paraId="152DDB89">
      <w:pPr>
        <w:ind w:firstLine="420"/>
        <w:rPr>
          <w:rFonts w:hint="eastAsia" w:ascii="仿宋" w:hAnsi="仿宋" w:eastAsia="仿宋"/>
          <w:sz w:val="32"/>
        </w:rPr>
      </w:pPr>
      <w:r>
        <w:rPr>
          <w:rFonts w:ascii="仿宋" w:hAnsi="仿宋" w:eastAsia="仿宋"/>
          <w:b/>
          <w:bCs/>
          <w:sz w:val="32"/>
        </w:rPr>
        <w:t>数据保护硬件：</w:t>
      </w:r>
      <w:r>
        <w:rPr>
          <w:rFonts w:ascii="仿宋" w:hAnsi="仿宋" w:eastAsia="仿宋"/>
          <w:sz w:val="32"/>
        </w:rPr>
        <w:t>包含但不限于备份</w:t>
      </w:r>
      <w:r>
        <w:rPr>
          <w:rFonts w:hint="eastAsia" w:ascii="仿宋" w:hAnsi="仿宋" w:eastAsia="仿宋"/>
          <w:sz w:val="32"/>
        </w:rPr>
        <w:t>涉及的相关超融合集群</w:t>
      </w:r>
      <w:r>
        <w:rPr>
          <w:rFonts w:ascii="仿宋" w:hAnsi="仿宋" w:eastAsia="仿宋"/>
          <w:sz w:val="32"/>
        </w:rPr>
        <w:t>。</w:t>
      </w:r>
    </w:p>
    <w:p w14:paraId="395FCE92">
      <w:pPr>
        <w:pStyle w:val="30"/>
        <w:numPr>
          <w:ilvl w:val="0"/>
          <w:numId w:val="12"/>
        </w:numPr>
        <w:outlineLvl w:val="2"/>
        <w:rPr>
          <w:rFonts w:hint="eastAsia" w:ascii="仿宋" w:hAnsi="仿宋" w:eastAsia="仿宋"/>
          <w:sz w:val="32"/>
        </w:rPr>
      </w:pPr>
      <w:r>
        <w:rPr>
          <w:rFonts w:ascii="仿宋" w:hAnsi="仿宋" w:eastAsia="仿宋"/>
          <w:b/>
          <w:bCs/>
          <w:sz w:val="32"/>
        </w:rPr>
        <w:t>软件模块范围要求</w:t>
      </w:r>
    </w:p>
    <w:p w14:paraId="2B847E4C">
      <w:pPr>
        <w:ind w:firstLine="420"/>
        <w:rPr>
          <w:rFonts w:hint="eastAsia" w:ascii="仿宋" w:hAnsi="仿宋" w:eastAsia="仿宋"/>
          <w:sz w:val="32"/>
        </w:rPr>
      </w:pPr>
      <w:r>
        <w:rPr>
          <w:rFonts w:ascii="仿宋" w:hAnsi="仿宋" w:eastAsia="仿宋"/>
          <w:sz w:val="32"/>
        </w:rPr>
        <w:t>本项目涉及的软件模块范围涵盖甲方存储基础设施运行、管理与维护的多个层面。服务商提供的运维服务必须覆盖以下软件模块：</w:t>
      </w:r>
    </w:p>
    <w:p w14:paraId="14EDF97C">
      <w:pPr>
        <w:ind w:firstLine="420"/>
        <w:rPr>
          <w:rFonts w:hint="eastAsia" w:ascii="仿宋" w:hAnsi="仿宋" w:eastAsia="仿宋"/>
          <w:sz w:val="32"/>
        </w:rPr>
      </w:pPr>
      <w:r>
        <w:rPr>
          <w:rFonts w:hint="eastAsia" w:ascii="仿宋" w:hAnsi="仿宋" w:eastAsia="仿宋"/>
          <w:b/>
          <w:bCs/>
          <w:sz w:val="32"/>
        </w:rPr>
        <w:t>分布式块存储模块</w:t>
      </w:r>
      <w:r>
        <w:rPr>
          <w:rFonts w:ascii="仿宋" w:hAnsi="仿宋" w:eastAsia="仿宋"/>
          <w:b/>
          <w:bCs/>
          <w:sz w:val="32"/>
        </w:rPr>
        <w:t>：</w:t>
      </w:r>
      <w:r>
        <w:rPr>
          <w:rFonts w:ascii="仿宋" w:hAnsi="仿宋" w:eastAsia="仿宋"/>
          <w:sz w:val="32"/>
        </w:rPr>
        <w:t>服务商须对甲方使用的存储厂商提供的或第三方的数据备份与恢复软件进行运维支持，以保障数据的周期性保护与可靠回溯。</w:t>
      </w:r>
    </w:p>
    <w:p w14:paraId="0888D5A7">
      <w:pPr>
        <w:ind w:firstLine="420"/>
        <w:rPr>
          <w:rFonts w:hint="eastAsia" w:ascii="仿宋" w:hAnsi="仿宋" w:eastAsia="仿宋"/>
          <w:sz w:val="32"/>
        </w:rPr>
      </w:pPr>
      <w:r>
        <w:rPr>
          <w:rFonts w:hint="eastAsia" w:ascii="仿宋" w:hAnsi="仿宋" w:eastAsia="仿宋"/>
          <w:b/>
          <w:bCs/>
          <w:sz w:val="32"/>
        </w:rPr>
        <w:t>对象存储模块</w:t>
      </w:r>
      <w:r>
        <w:rPr>
          <w:rFonts w:ascii="仿宋" w:hAnsi="仿宋" w:eastAsia="仿宋"/>
          <w:b/>
          <w:bCs/>
          <w:sz w:val="32"/>
        </w:rPr>
        <w:t>：</w:t>
      </w:r>
      <w:r>
        <w:rPr>
          <w:rFonts w:ascii="仿宋" w:hAnsi="仿宋" w:eastAsia="仿宋"/>
          <w:sz w:val="32"/>
        </w:rPr>
        <w:t>服务商须对甲方使用的容灾软件模块进行运维支持，以确保在主存储系统发生故障时，业务数据能够快速切换至备用站点，维持业务连续性。</w:t>
      </w:r>
    </w:p>
    <w:p w14:paraId="047925B6">
      <w:pPr>
        <w:ind w:firstLine="420"/>
        <w:rPr>
          <w:rFonts w:hint="eastAsia" w:ascii="仿宋" w:hAnsi="仿宋" w:eastAsia="仿宋"/>
          <w:sz w:val="32"/>
        </w:rPr>
      </w:pPr>
      <w:r>
        <w:rPr>
          <w:rFonts w:ascii="仿宋" w:hAnsi="仿宋" w:eastAsia="仿宋"/>
          <w:b/>
          <w:bCs/>
          <w:sz w:val="32"/>
        </w:rPr>
        <w:t>存储系统核心软件：</w:t>
      </w:r>
      <w:r>
        <w:rPr>
          <w:rFonts w:ascii="仿宋" w:hAnsi="仿宋" w:eastAsia="仿宋"/>
          <w:sz w:val="32"/>
        </w:rPr>
        <w:t>服务商须对甲方存储系统自身的操作系统、固件及相应的管理软件进行版本管理、补丁更新及功能配置支持。</w:t>
      </w:r>
    </w:p>
    <w:p w14:paraId="36A879E1">
      <w:pPr>
        <w:ind w:firstLine="420"/>
        <w:rPr>
          <w:rFonts w:hint="eastAsia" w:ascii="仿宋" w:hAnsi="仿宋" w:eastAsia="仿宋"/>
          <w:sz w:val="32"/>
        </w:rPr>
      </w:pPr>
      <w:r>
        <w:rPr>
          <w:rFonts w:ascii="仿宋" w:hAnsi="仿宋" w:eastAsia="仿宋"/>
          <w:b/>
          <w:bCs/>
          <w:sz w:val="32"/>
        </w:rPr>
        <w:t>监控与管理平台：</w:t>
      </w:r>
      <w:r>
        <w:rPr>
          <w:rFonts w:ascii="仿宋" w:hAnsi="仿宋" w:eastAsia="仿宋"/>
          <w:sz w:val="32"/>
        </w:rPr>
        <w:t>服务商须对用于存储资源统一监控、性能分析与告警管理的软件平台提供运维支持，以确保其提供可视化的实时运行状态反馈。</w:t>
      </w:r>
    </w:p>
    <w:p w14:paraId="7646D7E9">
      <w:pPr>
        <w:pStyle w:val="30"/>
        <w:numPr>
          <w:ilvl w:val="0"/>
          <w:numId w:val="13"/>
        </w:numPr>
        <w:outlineLvl w:val="2"/>
        <w:rPr>
          <w:rFonts w:hint="eastAsia" w:ascii="仿宋" w:hAnsi="仿宋" w:eastAsia="仿宋"/>
          <w:sz w:val="32"/>
        </w:rPr>
      </w:pPr>
      <w:r>
        <w:rPr>
          <w:rFonts w:ascii="仿宋" w:hAnsi="仿宋" w:eastAsia="仿宋"/>
          <w:b/>
          <w:bCs/>
          <w:sz w:val="32"/>
        </w:rPr>
        <w:t>交付成果要求</w:t>
      </w:r>
    </w:p>
    <w:p w14:paraId="16D5FA03">
      <w:pPr>
        <w:ind w:firstLine="420"/>
        <w:rPr>
          <w:rFonts w:hint="eastAsia" w:ascii="仿宋" w:hAnsi="仿宋" w:eastAsia="仿宋"/>
          <w:sz w:val="32"/>
        </w:rPr>
      </w:pPr>
      <w:r>
        <w:rPr>
          <w:rFonts w:ascii="仿宋" w:hAnsi="仿宋" w:eastAsia="仿宋"/>
          <w:sz w:val="32"/>
        </w:rPr>
        <w:t>本项目要求服务商在服务周期内提供一系列标准化、专业化的交付成果，以确保运维工作的透明化与可量化。主要交付成果要求如下：</w:t>
      </w:r>
    </w:p>
    <w:p w14:paraId="29E4FC04">
      <w:pPr>
        <w:ind w:firstLine="420"/>
        <w:rPr>
          <w:rFonts w:hint="eastAsia" w:ascii="仿宋" w:hAnsi="仿宋" w:eastAsia="仿宋"/>
          <w:sz w:val="32"/>
        </w:rPr>
      </w:pPr>
      <w:r>
        <w:rPr>
          <w:rFonts w:ascii="仿宋" w:hAnsi="仿宋" w:eastAsia="仿宋"/>
          <w:b/>
          <w:bCs/>
          <w:sz w:val="32"/>
        </w:rPr>
        <w:t>存储运维服务报告：</w:t>
      </w:r>
      <w:r>
        <w:rPr>
          <w:rFonts w:ascii="仿宋" w:hAnsi="仿宋" w:eastAsia="仿宋"/>
          <w:sz w:val="32"/>
        </w:rPr>
        <w:t>服务商须提供覆盖日常、周、月、季度的存储运维服务报告。报告内容必须详细阐述存储系统的健康状态、性能指标、容量使用情况、事件记录、问题分析及改进建议。</w:t>
      </w:r>
    </w:p>
    <w:p w14:paraId="50A4DE66">
      <w:pPr>
        <w:ind w:firstLine="420"/>
        <w:rPr>
          <w:rFonts w:hint="eastAsia" w:ascii="仿宋" w:hAnsi="仿宋" w:eastAsia="仿宋"/>
          <w:sz w:val="32"/>
        </w:rPr>
      </w:pPr>
      <w:r>
        <w:rPr>
          <w:rFonts w:ascii="仿宋" w:hAnsi="仿宋" w:eastAsia="仿宋"/>
          <w:b/>
          <w:bCs/>
          <w:sz w:val="32"/>
        </w:rPr>
        <w:t>故障诊断分析报告：</w:t>
      </w:r>
      <w:r>
        <w:rPr>
          <w:rFonts w:ascii="仿宋" w:hAnsi="仿宋" w:eastAsia="仿宋"/>
          <w:sz w:val="32"/>
        </w:rPr>
        <w:t>服务商须针对发生的重大故障或性能事件，输出专门的故障诊断分析报告，详述问题原因、处理过程及预防措施。</w:t>
      </w:r>
    </w:p>
    <w:p w14:paraId="5FF4CAB1">
      <w:pPr>
        <w:ind w:firstLine="420"/>
        <w:rPr>
          <w:rFonts w:hint="eastAsia" w:ascii="仿宋" w:hAnsi="仿宋" w:eastAsia="仿宋"/>
          <w:sz w:val="32"/>
        </w:rPr>
      </w:pPr>
      <w:r>
        <w:rPr>
          <w:rFonts w:ascii="仿宋" w:hAnsi="仿宋" w:eastAsia="仿宋"/>
          <w:b/>
          <w:bCs/>
          <w:sz w:val="32"/>
        </w:rPr>
        <w:t>配置文档与架构图：</w:t>
      </w:r>
      <w:r>
        <w:rPr>
          <w:rFonts w:ascii="仿宋" w:hAnsi="仿宋" w:eastAsia="仿宋"/>
          <w:sz w:val="32"/>
        </w:rPr>
        <w:t>服务商须定期更新并维护甲方存储系统配置文档与架构图，确保配置信息的准确性与可追溯性。</w:t>
      </w:r>
    </w:p>
    <w:p w14:paraId="4D10C7C2">
      <w:pPr>
        <w:ind w:firstLine="420"/>
        <w:rPr>
          <w:rFonts w:hint="eastAsia" w:ascii="仿宋" w:hAnsi="仿宋" w:eastAsia="仿宋"/>
          <w:sz w:val="32"/>
        </w:rPr>
      </w:pPr>
      <w:r>
        <w:rPr>
          <w:rFonts w:ascii="仿宋" w:hAnsi="仿宋" w:eastAsia="仿宋"/>
          <w:b/>
          <w:bCs/>
          <w:sz w:val="32"/>
        </w:rPr>
        <w:t>容量规划预测报告：</w:t>
      </w:r>
      <w:r>
        <w:rPr>
          <w:rFonts w:ascii="仿宋" w:hAnsi="仿宋" w:eastAsia="仿宋"/>
          <w:sz w:val="32"/>
        </w:rPr>
        <w:t>服务商须根据甲方存储系统增长趋势与业务需求，提交专业的容量规划预测报告，为未来的存储资源扩充提供决策依据。</w:t>
      </w:r>
    </w:p>
    <w:p w14:paraId="17CC470E">
      <w:pPr>
        <w:ind w:firstLine="420"/>
        <w:rPr>
          <w:rFonts w:hint="eastAsia" w:ascii="仿宋" w:hAnsi="仿宋" w:eastAsia="仿宋"/>
          <w:sz w:val="32"/>
        </w:rPr>
      </w:pPr>
      <w:r>
        <w:rPr>
          <w:rFonts w:ascii="仿宋" w:hAnsi="仿宋" w:eastAsia="仿宋"/>
          <w:b/>
          <w:bCs/>
          <w:sz w:val="32"/>
        </w:rPr>
        <w:t>性能优化建议书：</w:t>
      </w:r>
      <w:r>
        <w:rPr>
          <w:rFonts w:ascii="仿宋" w:hAnsi="仿宋" w:eastAsia="仿宋"/>
          <w:sz w:val="32"/>
        </w:rPr>
        <w:t>服务商须针对识别出的性能瓶颈或效率低下区域，提出详细的性能优化建议书。</w:t>
      </w:r>
    </w:p>
    <w:p w14:paraId="12CE94F1">
      <w:pPr>
        <w:ind w:firstLine="420"/>
        <w:rPr>
          <w:rFonts w:hint="eastAsia" w:ascii="仿宋" w:hAnsi="仿宋" w:eastAsia="仿宋"/>
          <w:sz w:val="32"/>
        </w:rPr>
      </w:pPr>
      <w:r>
        <w:rPr>
          <w:rFonts w:ascii="仿宋" w:hAnsi="仿宋" w:eastAsia="仿宋"/>
          <w:b/>
          <w:bCs/>
          <w:sz w:val="32"/>
        </w:rPr>
        <w:t>应急预案与操作规范（SOP）文档：</w:t>
      </w:r>
      <w:r>
        <w:rPr>
          <w:rFonts w:ascii="仿宋" w:hAnsi="仿宋" w:eastAsia="仿宋"/>
          <w:sz w:val="32"/>
        </w:rPr>
        <w:t>服务商须建立并更新应急预案与操作规范（SOP）文档，为突发事件提供清晰、高效的响应指南。</w:t>
      </w:r>
    </w:p>
    <w:p w14:paraId="1A34A583">
      <w:pPr>
        <w:ind w:firstLine="420"/>
        <w:rPr>
          <w:rFonts w:hint="eastAsia" w:ascii="仿宋" w:hAnsi="仿宋" w:eastAsia="仿宋"/>
          <w:sz w:val="32"/>
        </w:rPr>
      </w:pPr>
      <w:r>
        <w:rPr>
          <w:rFonts w:ascii="仿宋" w:hAnsi="仿宋" w:eastAsia="仿宋"/>
          <w:b/>
          <w:bCs/>
          <w:sz w:val="32"/>
        </w:rPr>
        <w:t>运维记录：</w:t>
      </w:r>
      <w:r>
        <w:rPr>
          <w:rFonts w:ascii="仿宋" w:hAnsi="仿宋" w:eastAsia="仿宋"/>
          <w:sz w:val="32"/>
        </w:rPr>
        <w:t>所有定期的巡检记录、变更操作记录及数据备份恢复验证报告必须作为重要交付物提交。</w:t>
      </w:r>
    </w:p>
    <w:p w14:paraId="70BE62C3">
      <w:pPr>
        <w:ind w:firstLine="420"/>
        <w:rPr>
          <w:rFonts w:hint="eastAsia" w:ascii="仿宋" w:hAnsi="仿宋" w:eastAsia="仿宋"/>
          <w:sz w:val="32"/>
        </w:rPr>
      </w:pPr>
      <w:r>
        <w:rPr>
          <w:rFonts w:ascii="仿宋" w:hAnsi="仿宋" w:eastAsia="仿宋"/>
          <w:b/>
          <w:bCs/>
          <w:sz w:val="32"/>
        </w:rPr>
        <w:t>知识传递材料与技术培训资料：</w:t>
      </w:r>
      <w:r>
        <w:rPr>
          <w:rFonts w:ascii="仿宋" w:hAnsi="仿宋" w:eastAsia="仿宋"/>
          <w:sz w:val="32"/>
        </w:rPr>
        <w:t>项目结束或按需，服务商须提供运维过程中的知识传递材料与技术培训资料，助力甲方提升内部团队的专业技能，并纳入甲方的知识库管理体系。</w:t>
      </w:r>
    </w:p>
    <w:p w14:paraId="6A3508ED">
      <w:pPr>
        <w:rPr>
          <w:rFonts w:hint="eastAsia"/>
        </w:rPr>
      </w:pPr>
    </w:p>
    <w:p w14:paraId="499AA096">
      <w:pPr>
        <w:pStyle w:val="30"/>
        <w:numPr>
          <w:ilvl w:val="0"/>
          <w:numId w:val="14"/>
        </w:numPr>
        <w:outlineLvl w:val="1"/>
        <w:rPr>
          <w:rFonts w:hint="eastAsia" w:ascii="楷体" w:hAnsi="楷体" w:eastAsia="楷体"/>
          <w:sz w:val="32"/>
        </w:rPr>
      </w:pPr>
      <w:r>
        <w:rPr>
          <w:rFonts w:ascii="楷体" w:hAnsi="楷体" w:eastAsia="楷体"/>
          <w:b/>
          <w:bCs/>
          <w:sz w:val="32"/>
        </w:rPr>
        <w:t>数据保护与系统安全要求</w:t>
      </w:r>
    </w:p>
    <w:p w14:paraId="4C0F742E">
      <w:pPr>
        <w:pStyle w:val="30"/>
        <w:numPr>
          <w:ilvl w:val="0"/>
          <w:numId w:val="15"/>
        </w:numPr>
        <w:outlineLvl w:val="2"/>
        <w:rPr>
          <w:rFonts w:hint="eastAsia" w:ascii="仿宋" w:hAnsi="仿宋" w:eastAsia="仿宋"/>
          <w:sz w:val="32"/>
        </w:rPr>
      </w:pPr>
      <w:r>
        <w:rPr>
          <w:rFonts w:ascii="仿宋" w:hAnsi="仿宋" w:eastAsia="仿宋"/>
          <w:b/>
          <w:bCs/>
          <w:sz w:val="32"/>
        </w:rPr>
        <w:t>数据保护与恢复</w:t>
      </w:r>
    </w:p>
    <w:p w14:paraId="07E8F2D0">
      <w:pPr>
        <w:ind w:firstLine="420"/>
        <w:rPr>
          <w:rFonts w:hint="eastAsia" w:ascii="仿宋" w:hAnsi="仿宋" w:eastAsia="仿宋"/>
          <w:sz w:val="32"/>
        </w:rPr>
      </w:pPr>
      <w:r>
        <w:rPr>
          <w:rFonts w:ascii="仿宋" w:hAnsi="仿宋" w:eastAsia="仿宋"/>
          <w:sz w:val="32"/>
        </w:rPr>
        <w:t>甲方要求服务商构建并有效管理完善的数据保护与恢复机制，该机制是保障甲方存储服务连续性与数据完整性的核心要素。服务商必须通过实施多重技术手段，最大程度降低甲方数据丢失风险，并缩短业务中断时间。这些机制包括但不限于快照技术、数据完整性校验、灵活的回滚策略以及规范化的灾后恢复流程。</w:t>
      </w:r>
    </w:p>
    <w:p w14:paraId="0EB7D0D6">
      <w:pPr>
        <w:pStyle w:val="30"/>
        <w:numPr>
          <w:ilvl w:val="0"/>
          <w:numId w:val="16"/>
        </w:numPr>
        <w:outlineLvl w:val="2"/>
        <w:rPr>
          <w:rFonts w:hint="eastAsia" w:ascii="仿宋" w:hAnsi="仿宋" w:eastAsia="仿宋"/>
          <w:sz w:val="32"/>
        </w:rPr>
      </w:pPr>
      <w:r>
        <w:rPr>
          <w:rFonts w:ascii="仿宋" w:hAnsi="仿宋" w:eastAsia="仿宋"/>
          <w:b/>
          <w:bCs/>
          <w:sz w:val="32"/>
        </w:rPr>
        <w:t>数据快照技术要求</w:t>
      </w:r>
    </w:p>
    <w:p w14:paraId="3CD348DB">
      <w:pPr>
        <w:ind w:firstLine="420"/>
        <w:rPr>
          <w:rFonts w:hint="eastAsia" w:ascii="仿宋" w:hAnsi="仿宋" w:eastAsia="仿宋"/>
          <w:sz w:val="32"/>
        </w:rPr>
      </w:pPr>
      <w:r>
        <w:rPr>
          <w:rFonts w:ascii="仿宋" w:hAnsi="仿宋" w:eastAsia="仿宋"/>
          <w:sz w:val="32"/>
        </w:rPr>
        <w:t>服务商必须为甲方提供并有效管理数据快照技术，确保：</w:t>
      </w:r>
    </w:p>
    <w:p w14:paraId="109ECC5C">
      <w:pPr>
        <w:ind w:firstLine="420"/>
        <w:rPr>
          <w:rFonts w:hint="eastAsia" w:ascii="仿宋" w:hAnsi="仿宋" w:eastAsia="仿宋"/>
          <w:sz w:val="32"/>
        </w:rPr>
      </w:pPr>
      <w:r>
        <w:rPr>
          <w:rFonts w:ascii="仿宋" w:hAnsi="仿宋" w:eastAsia="仿宋"/>
          <w:b/>
          <w:bCs/>
          <w:sz w:val="32"/>
        </w:rPr>
        <w:t>业务零中断快照创建：</w:t>
      </w:r>
      <w:r>
        <w:rPr>
          <w:rFonts w:ascii="仿宋" w:hAnsi="仿宋" w:eastAsia="仿宋"/>
          <w:sz w:val="32"/>
        </w:rPr>
        <w:t>服务商须能够在不中断甲方业务运行的情况下，对指定存储卷或文件系统创建特定时间点的一致性映像。</w:t>
      </w:r>
    </w:p>
    <w:p w14:paraId="5DD9F43C">
      <w:pPr>
        <w:ind w:firstLine="420"/>
        <w:rPr>
          <w:rFonts w:hint="eastAsia" w:ascii="仿宋" w:hAnsi="仿宋" w:eastAsia="仿宋"/>
          <w:sz w:val="32"/>
        </w:rPr>
      </w:pPr>
      <w:r>
        <w:rPr>
          <w:rFonts w:ascii="仿宋" w:hAnsi="仿宋" w:eastAsia="仿宋"/>
          <w:b/>
          <w:bCs/>
          <w:sz w:val="32"/>
        </w:rPr>
        <w:t>多场景应用支持：</w:t>
      </w:r>
      <w:r>
        <w:rPr>
          <w:rFonts w:ascii="仿宋" w:hAnsi="仿宋" w:eastAsia="仿宋"/>
          <w:sz w:val="32"/>
        </w:rPr>
        <w:t>快照主要用于甲方数据保护、快速恢复和测试开发场景。当数据发生逻辑错误、误删除或遭受病毒攻击时，服务商需利用最近的快照将数据迅速恢复到生成快照时的状态，从而大幅缩短甲方恢复时间目标（RTO），作为业务连续性保障的重要手段。</w:t>
      </w:r>
    </w:p>
    <w:p w14:paraId="0D7B9989">
      <w:pPr>
        <w:ind w:firstLine="420"/>
        <w:rPr>
          <w:rFonts w:hint="eastAsia" w:ascii="仿宋" w:hAnsi="仿宋" w:eastAsia="仿宋"/>
          <w:sz w:val="32"/>
        </w:rPr>
      </w:pPr>
      <w:r>
        <w:rPr>
          <w:rFonts w:ascii="仿宋" w:hAnsi="仿宋" w:eastAsia="仿宋"/>
          <w:b/>
          <w:bCs/>
          <w:sz w:val="32"/>
        </w:rPr>
        <w:t>策略定制与执行：</w:t>
      </w:r>
      <w:r>
        <w:rPr>
          <w:rFonts w:ascii="仿宋" w:hAnsi="仿宋" w:eastAsia="仿宋"/>
          <w:sz w:val="32"/>
        </w:rPr>
        <w:t>服务商须就不同粒度和频率的快照策略，结合甲方长期数据归档方案，共同构成全面的数据保护体系，并负责策略的定制、执行和日常维护。</w:t>
      </w:r>
    </w:p>
    <w:p w14:paraId="59BDDA49">
      <w:pPr>
        <w:pStyle w:val="30"/>
        <w:numPr>
          <w:ilvl w:val="0"/>
          <w:numId w:val="17"/>
        </w:numPr>
        <w:outlineLvl w:val="2"/>
        <w:rPr>
          <w:rFonts w:hint="eastAsia" w:ascii="仿宋" w:hAnsi="仿宋" w:eastAsia="仿宋"/>
          <w:sz w:val="32"/>
        </w:rPr>
      </w:pPr>
      <w:r>
        <w:rPr>
          <w:rFonts w:ascii="仿宋" w:hAnsi="仿宋" w:eastAsia="仿宋"/>
          <w:b/>
          <w:bCs/>
          <w:sz w:val="32"/>
        </w:rPr>
        <w:t>数据完整性校验要求</w:t>
      </w:r>
    </w:p>
    <w:p w14:paraId="636C013A">
      <w:pPr>
        <w:ind w:firstLine="420"/>
        <w:rPr>
          <w:rFonts w:hint="eastAsia" w:ascii="仿宋" w:hAnsi="仿宋" w:eastAsia="仿宋"/>
          <w:sz w:val="32"/>
        </w:rPr>
      </w:pPr>
      <w:r>
        <w:rPr>
          <w:rFonts w:ascii="仿宋" w:hAnsi="仿宋" w:eastAsia="仿宋"/>
          <w:sz w:val="32"/>
        </w:rPr>
        <w:t>服务商必须确保存储数据完整性和准确性，并通过以下机制实现：</w:t>
      </w:r>
    </w:p>
    <w:p w14:paraId="33728001">
      <w:pPr>
        <w:ind w:firstLine="420"/>
        <w:rPr>
          <w:rFonts w:hint="eastAsia" w:ascii="仿宋" w:hAnsi="仿宋" w:eastAsia="仿宋"/>
          <w:sz w:val="32"/>
        </w:rPr>
      </w:pPr>
      <w:r>
        <w:rPr>
          <w:rFonts w:ascii="仿宋" w:hAnsi="仿宋" w:eastAsia="仿宋"/>
          <w:b/>
          <w:bCs/>
          <w:sz w:val="32"/>
        </w:rPr>
        <w:t>主动预防数据损坏：</w:t>
      </w:r>
      <w:r>
        <w:rPr>
          <w:rFonts w:ascii="仿宋" w:hAnsi="仿宋" w:eastAsia="仿宋"/>
          <w:sz w:val="32"/>
        </w:rPr>
        <w:t>成功的校验是数据可靠性的基础，服务商必须确保在数据使用前预警并阻止不完整或损坏的数据被应用程序访问，从而维护甲方业务数据的一致性与可信度，作为主动预防数据损坏的重要防线。</w:t>
      </w:r>
    </w:p>
    <w:p w14:paraId="4AA56694">
      <w:pPr>
        <w:ind w:firstLine="420"/>
        <w:rPr>
          <w:rFonts w:hint="eastAsia" w:ascii="仿宋" w:hAnsi="仿宋" w:eastAsia="仿宋"/>
          <w:sz w:val="32"/>
        </w:rPr>
      </w:pPr>
      <w:r>
        <w:rPr>
          <w:rFonts w:ascii="仿宋" w:hAnsi="仿宋" w:eastAsia="仿宋"/>
          <w:b/>
          <w:bCs/>
          <w:sz w:val="32"/>
        </w:rPr>
        <w:t>定期校验与报告：</w:t>
      </w:r>
      <w:r>
        <w:rPr>
          <w:rFonts w:ascii="仿宋" w:hAnsi="仿宋" w:eastAsia="仿宋"/>
          <w:sz w:val="32"/>
        </w:rPr>
        <w:t>服务商须定期执行数据完整性校验并提供相关报告，指出任何潜在或已发生的数据完整性问题及其处理情况。</w:t>
      </w:r>
    </w:p>
    <w:p w14:paraId="465D08CB">
      <w:pPr>
        <w:pStyle w:val="30"/>
        <w:numPr>
          <w:ilvl w:val="0"/>
          <w:numId w:val="18"/>
        </w:numPr>
        <w:outlineLvl w:val="2"/>
        <w:rPr>
          <w:rFonts w:hint="eastAsia" w:ascii="仿宋" w:hAnsi="仿宋" w:eastAsia="仿宋"/>
          <w:sz w:val="32"/>
        </w:rPr>
      </w:pPr>
      <w:r>
        <w:rPr>
          <w:rFonts w:ascii="仿宋" w:hAnsi="仿宋" w:eastAsia="仿宋"/>
          <w:b/>
          <w:bCs/>
          <w:sz w:val="32"/>
        </w:rPr>
        <w:t>数据回滚策略要求</w:t>
      </w:r>
    </w:p>
    <w:p w14:paraId="7A272318">
      <w:pPr>
        <w:rPr>
          <w:rFonts w:hint="eastAsia" w:ascii="仿宋" w:hAnsi="仿宋" w:eastAsia="仿宋"/>
          <w:sz w:val="32"/>
        </w:rPr>
      </w:pPr>
      <w:r>
        <w:rPr>
          <w:rFonts w:ascii="仿宋" w:hAnsi="仿宋" w:eastAsia="仿宋"/>
          <w:sz w:val="32"/>
        </w:rPr>
        <w:t>服务商必须提供并管理高效的数据回滚能力，确保：</w:t>
      </w:r>
    </w:p>
    <w:p w14:paraId="4A7A3745">
      <w:pPr>
        <w:ind w:firstLine="420"/>
        <w:rPr>
          <w:rFonts w:hint="eastAsia" w:ascii="仿宋" w:hAnsi="仿宋" w:eastAsia="仿宋"/>
          <w:sz w:val="32"/>
        </w:rPr>
      </w:pPr>
      <w:r>
        <w:rPr>
          <w:rFonts w:ascii="仿宋" w:hAnsi="仿宋" w:eastAsia="仿宋"/>
          <w:b/>
          <w:bCs/>
          <w:sz w:val="32"/>
        </w:rPr>
        <w:t>快速恢复至健康状态：</w:t>
      </w:r>
      <w:r>
        <w:rPr>
          <w:rFonts w:ascii="仿宋" w:hAnsi="仿宋" w:eastAsia="仿宋"/>
          <w:sz w:val="32"/>
        </w:rPr>
        <w:t>服务商须具备将甲方存储系统或特定数据集恢复到先前已知的健康稳定状态的快速回滚能力。这通常在甲方系统升级、配置变更、软件部署失败或数据逻辑损坏后进行。</w:t>
      </w:r>
    </w:p>
    <w:p w14:paraId="4DA72D1B">
      <w:pPr>
        <w:ind w:firstLine="420"/>
        <w:rPr>
          <w:rFonts w:hint="eastAsia" w:ascii="仿宋" w:hAnsi="仿宋" w:eastAsia="仿宋"/>
          <w:sz w:val="32"/>
        </w:rPr>
      </w:pPr>
      <w:r>
        <w:rPr>
          <w:rFonts w:ascii="仿宋" w:hAnsi="仿宋" w:eastAsia="仿宋"/>
          <w:b/>
          <w:bCs/>
          <w:sz w:val="32"/>
        </w:rPr>
        <w:t>基于快照的回滚：</w:t>
      </w:r>
      <w:r>
        <w:rPr>
          <w:rFonts w:ascii="仿宋" w:hAnsi="仿宋" w:eastAsia="仿宋"/>
          <w:sz w:val="32"/>
        </w:rPr>
        <w:t>回滚操作必须能够利用事先生成的快照，将整个存储卷或文件系统迅速恢复到快照创建时的状态。</w:t>
      </w:r>
    </w:p>
    <w:p w14:paraId="217A32E3">
      <w:pPr>
        <w:ind w:firstLine="420"/>
        <w:rPr>
          <w:rFonts w:hint="eastAsia" w:ascii="仿宋" w:hAnsi="仿宋" w:eastAsia="仿宋"/>
          <w:sz w:val="32"/>
        </w:rPr>
      </w:pPr>
      <w:r>
        <w:rPr>
          <w:rFonts w:ascii="仿宋" w:hAnsi="仿宋" w:eastAsia="仿宋"/>
          <w:b/>
          <w:bCs/>
          <w:sz w:val="32"/>
        </w:rPr>
        <w:t>业务连续性保障：</w:t>
      </w:r>
      <w:r>
        <w:rPr>
          <w:rFonts w:ascii="仿宋" w:hAnsi="仿宋" w:eastAsia="仿宋"/>
          <w:sz w:val="32"/>
        </w:rPr>
        <w:t>高效的回滚能力是降低甲方变更风险、保障业务连续性以及快速修复因人为操作失误或软件缺陷导致数据异常的重要技术手段，服务商需确保其有效落地。</w:t>
      </w:r>
    </w:p>
    <w:p w14:paraId="67FEEC47">
      <w:pPr>
        <w:pStyle w:val="30"/>
        <w:numPr>
          <w:ilvl w:val="0"/>
          <w:numId w:val="19"/>
        </w:numPr>
        <w:outlineLvl w:val="2"/>
        <w:rPr>
          <w:rFonts w:hint="eastAsia" w:ascii="仿宋" w:hAnsi="仿宋" w:eastAsia="仿宋"/>
          <w:sz w:val="32"/>
        </w:rPr>
      </w:pPr>
      <w:r>
        <w:rPr>
          <w:rFonts w:ascii="仿宋" w:hAnsi="仿宋" w:eastAsia="仿宋"/>
          <w:b/>
          <w:bCs/>
          <w:sz w:val="32"/>
        </w:rPr>
        <w:t>灾后恢复流程要求</w:t>
      </w:r>
    </w:p>
    <w:p w14:paraId="39BB5A60">
      <w:pPr>
        <w:ind w:firstLine="420"/>
        <w:rPr>
          <w:rFonts w:hint="eastAsia" w:ascii="仿宋" w:hAnsi="仿宋" w:eastAsia="仿宋"/>
          <w:sz w:val="32"/>
        </w:rPr>
      </w:pPr>
      <w:r>
        <w:rPr>
          <w:rFonts w:ascii="仿宋" w:hAnsi="仿宋" w:eastAsia="仿宋"/>
          <w:sz w:val="32"/>
        </w:rPr>
        <w:t>服务商必须针对甲方存储系统面临严重故障或区域性灾难性事件，制定、实施并维护规范化的灾后恢复流程，旨在将甲方业务中断时间与数据丢失量降至最低。该流程须包含但不限于以下规范化步骤：</w:t>
      </w:r>
    </w:p>
    <w:p w14:paraId="6386F502">
      <w:pPr>
        <w:ind w:firstLine="420"/>
        <w:rPr>
          <w:rFonts w:hint="eastAsia" w:ascii="仿宋" w:hAnsi="仿宋" w:eastAsia="仿宋"/>
          <w:sz w:val="32"/>
        </w:rPr>
      </w:pPr>
      <w:r>
        <w:rPr>
          <w:rFonts w:ascii="仿宋" w:hAnsi="仿宋" w:eastAsia="仿宋"/>
          <w:b/>
          <w:bCs/>
          <w:sz w:val="32"/>
        </w:rPr>
        <w:t>预案启动与事件响应：</w:t>
      </w:r>
      <w:r>
        <w:rPr>
          <w:rFonts w:ascii="仿宋" w:hAnsi="仿宋" w:eastAsia="仿宋"/>
          <w:sz w:val="32"/>
        </w:rPr>
        <w:t>服务商须在灾情发生后立即启动既定的灾难恢复预案，并确保专业事件响应团队能迅速介入。</w:t>
      </w:r>
    </w:p>
    <w:p w14:paraId="4B72294A">
      <w:pPr>
        <w:ind w:firstLine="420"/>
        <w:rPr>
          <w:rFonts w:hint="eastAsia" w:ascii="仿宋" w:hAnsi="仿宋" w:eastAsia="仿宋"/>
          <w:sz w:val="32"/>
        </w:rPr>
      </w:pPr>
      <w:r>
        <w:rPr>
          <w:rFonts w:ascii="仿宋" w:hAnsi="仿宋" w:eastAsia="仿宋"/>
          <w:b/>
          <w:bCs/>
          <w:sz w:val="32"/>
        </w:rPr>
        <w:t>全面灾情评估：</w:t>
      </w:r>
      <w:r>
        <w:rPr>
          <w:rFonts w:ascii="仿宋" w:hAnsi="仿宋" w:eastAsia="仿宋"/>
          <w:sz w:val="32"/>
        </w:rPr>
        <w:t>服务商须对灾情进行全面评估，确定受影响的范围、数据丢失程度以及甲方业务优先级，明确恢复目标。</w:t>
      </w:r>
    </w:p>
    <w:p w14:paraId="75A6D45F">
      <w:pPr>
        <w:ind w:firstLine="420"/>
        <w:rPr>
          <w:rFonts w:hint="eastAsia" w:ascii="仿宋" w:hAnsi="仿宋" w:eastAsia="仿宋"/>
          <w:sz w:val="32"/>
        </w:rPr>
      </w:pPr>
      <w:r>
        <w:rPr>
          <w:rFonts w:ascii="仿宋" w:hAnsi="仿宋" w:eastAsia="仿宋"/>
          <w:b/>
          <w:bCs/>
          <w:sz w:val="32"/>
        </w:rPr>
        <w:t>基础设施与数据恢复：</w:t>
      </w:r>
      <w:r>
        <w:rPr>
          <w:rFonts w:ascii="仿宋" w:hAnsi="仿宋" w:eastAsia="仿宋"/>
          <w:sz w:val="32"/>
        </w:rPr>
        <w:t>服务商须按照预定的恢复顺序，优先恢复关键基础设施，如网络与存储链路，然后进行数据恢复，利用备份或复制数据在备用设施上重建环境。</w:t>
      </w:r>
    </w:p>
    <w:p w14:paraId="1C2E2E36">
      <w:pPr>
        <w:ind w:firstLine="420"/>
        <w:rPr>
          <w:rFonts w:hint="eastAsia" w:ascii="仿宋" w:hAnsi="仿宋" w:eastAsia="仿宋"/>
          <w:sz w:val="32"/>
        </w:rPr>
      </w:pPr>
      <w:r>
        <w:rPr>
          <w:rFonts w:ascii="仿宋" w:hAnsi="仿宋" w:eastAsia="仿宋"/>
          <w:b/>
          <w:bCs/>
          <w:sz w:val="32"/>
        </w:rPr>
        <w:t>业务应用激活与验证：</w:t>
      </w:r>
      <w:r>
        <w:rPr>
          <w:rFonts w:ascii="仿宋" w:hAnsi="仿宋" w:eastAsia="仿宋"/>
          <w:sz w:val="32"/>
        </w:rPr>
        <w:t>数据恢复完成后，服务商须依照甲方业务依赖关系，逐步激活和恢复应用程序和业务服务。</w:t>
      </w:r>
    </w:p>
    <w:p w14:paraId="32AF7E19">
      <w:pPr>
        <w:ind w:firstLine="420"/>
        <w:rPr>
          <w:rFonts w:hint="eastAsia" w:ascii="仿宋" w:hAnsi="仿宋" w:eastAsia="仿宋"/>
          <w:sz w:val="32"/>
        </w:rPr>
      </w:pPr>
      <w:r>
        <w:rPr>
          <w:rFonts w:ascii="仿宋" w:hAnsi="仿宋" w:eastAsia="仿宋"/>
          <w:b/>
          <w:bCs/>
          <w:sz w:val="32"/>
        </w:rPr>
        <w:t>严格验证测试：</w:t>
      </w:r>
      <w:r>
        <w:rPr>
          <w:rFonts w:ascii="仿宋" w:hAnsi="仿宋" w:eastAsia="仿宋"/>
          <w:sz w:val="32"/>
        </w:rPr>
        <w:t>甲方要求服务商必须对所有恢复的系统和数据进行严格的完整性和可用性验证测试，确保业务功能正常且数据一致。</w:t>
      </w:r>
    </w:p>
    <w:p w14:paraId="11854C91">
      <w:pPr>
        <w:ind w:firstLine="420"/>
        <w:rPr>
          <w:rFonts w:hint="eastAsia" w:ascii="仿宋" w:hAnsi="仿宋" w:eastAsia="仿宋"/>
          <w:sz w:val="32"/>
        </w:rPr>
      </w:pPr>
      <w:r>
        <w:rPr>
          <w:rFonts w:ascii="仿宋" w:hAnsi="仿宋" w:eastAsia="仿宋"/>
          <w:b/>
          <w:bCs/>
          <w:sz w:val="32"/>
        </w:rPr>
        <w:t>回切操作与总结优化：</w:t>
      </w:r>
      <w:r>
        <w:rPr>
          <w:rFonts w:ascii="仿宋" w:hAnsi="仿宋" w:eastAsia="仿宋"/>
          <w:sz w:val="32"/>
        </w:rPr>
        <w:t>服务商须根据甲方业务需求和原始生产环境恢复情况，适时进行回切操作，将业务流量重新引导至主生产环境，并对整个恢复过程进行复盘总结，持续优化灾难恢复预案，以提升未来应对类似事件的能力。</w:t>
      </w:r>
    </w:p>
    <w:p w14:paraId="3286B32D">
      <w:pPr>
        <w:pStyle w:val="30"/>
        <w:numPr>
          <w:ilvl w:val="0"/>
          <w:numId w:val="20"/>
        </w:numPr>
        <w:outlineLvl w:val="2"/>
        <w:rPr>
          <w:rFonts w:hint="eastAsia" w:ascii="仿宋" w:hAnsi="仿宋" w:eastAsia="仿宋"/>
          <w:sz w:val="32"/>
        </w:rPr>
      </w:pPr>
      <w:r>
        <w:rPr>
          <w:rFonts w:ascii="仿宋" w:hAnsi="仿宋" w:eastAsia="仿宋"/>
          <w:b/>
          <w:bCs/>
          <w:sz w:val="32"/>
        </w:rPr>
        <w:t>存储系统安全配置与漏洞管理要求</w:t>
      </w:r>
    </w:p>
    <w:p w14:paraId="7494A674">
      <w:pPr>
        <w:ind w:firstLine="420"/>
        <w:rPr>
          <w:rFonts w:hint="eastAsia" w:ascii="仿宋" w:hAnsi="仿宋" w:eastAsia="仿宋"/>
          <w:sz w:val="32"/>
        </w:rPr>
      </w:pPr>
      <w:r>
        <w:rPr>
          <w:rFonts w:ascii="仿宋" w:hAnsi="仿宋" w:eastAsia="仿宋"/>
          <w:sz w:val="32"/>
        </w:rPr>
        <w:t>服务商必须确保甲方存储系统自身的安全配置符合标准并有效管理漏洞：</w:t>
      </w:r>
    </w:p>
    <w:p w14:paraId="05C29992">
      <w:pPr>
        <w:ind w:firstLine="420"/>
        <w:rPr>
          <w:rFonts w:hint="eastAsia" w:ascii="仿宋" w:hAnsi="仿宋" w:eastAsia="仿宋"/>
          <w:sz w:val="32"/>
        </w:rPr>
      </w:pPr>
      <w:r>
        <w:rPr>
          <w:rFonts w:ascii="仿宋" w:hAnsi="仿宋" w:eastAsia="仿宋"/>
          <w:b/>
          <w:bCs/>
          <w:sz w:val="32"/>
        </w:rPr>
        <w:t>安全加固规范：</w:t>
      </w:r>
      <w:r>
        <w:rPr>
          <w:rFonts w:ascii="仿宋" w:hAnsi="仿宋" w:eastAsia="仿宋"/>
          <w:sz w:val="32"/>
        </w:rPr>
        <w:t>服务商须制定并遵循一套基于行业基线的安全加固规范，对存储设备的操作系统、管理软件及相关服务进行安全配置，关闭不必要的端口和服务，强化口令策略。</w:t>
      </w:r>
    </w:p>
    <w:p w14:paraId="158A1909">
      <w:pPr>
        <w:ind w:firstLine="420"/>
        <w:rPr>
          <w:rFonts w:hint="eastAsia" w:ascii="仿宋" w:hAnsi="仿宋" w:eastAsia="仿宋"/>
          <w:sz w:val="32"/>
        </w:rPr>
      </w:pPr>
      <w:r>
        <w:rPr>
          <w:rFonts w:ascii="仿宋" w:hAnsi="仿宋" w:eastAsia="仿宋"/>
          <w:b/>
          <w:bCs/>
          <w:sz w:val="32"/>
        </w:rPr>
        <w:t>漏洞扫描与补丁管理：</w:t>
      </w:r>
      <w:r>
        <w:rPr>
          <w:rFonts w:ascii="仿宋" w:hAnsi="仿宋" w:eastAsia="仿宋"/>
          <w:sz w:val="32"/>
        </w:rPr>
        <w:t>服务商须建立常态化的安全漏洞扫描和补丁管理流程，及时跟踪存储厂商的安全公告，在充分测试验证后，安装关键补丁以修复已知漏洞，降低被攻击的风险。所有补丁升级操作必须通过甲方审批并严格遵守变更管理流程。</w:t>
      </w:r>
    </w:p>
    <w:p w14:paraId="6DEF1B13">
      <w:pPr>
        <w:pStyle w:val="30"/>
        <w:numPr>
          <w:ilvl w:val="0"/>
          <w:numId w:val="21"/>
        </w:numPr>
        <w:outlineLvl w:val="2"/>
        <w:rPr>
          <w:rFonts w:hint="eastAsia" w:ascii="仿宋" w:hAnsi="仿宋" w:eastAsia="仿宋"/>
          <w:sz w:val="32"/>
        </w:rPr>
      </w:pPr>
      <w:r>
        <w:rPr>
          <w:rFonts w:ascii="仿宋" w:hAnsi="仿宋" w:eastAsia="仿宋"/>
          <w:b/>
          <w:bCs/>
          <w:sz w:val="32"/>
        </w:rPr>
        <w:t>日志审计与安全监控要求</w:t>
      </w:r>
    </w:p>
    <w:p w14:paraId="08EE9992">
      <w:pPr>
        <w:ind w:firstLine="420"/>
        <w:rPr>
          <w:rFonts w:hint="eastAsia" w:ascii="仿宋" w:hAnsi="仿宋" w:eastAsia="仿宋"/>
          <w:sz w:val="32"/>
        </w:rPr>
      </w:pPr>
      <w:r>
        <w:rPr>
          <w:rFonts w:ascii="仿宋" w:hAnsi="仿宋" w:eastAsia="仿宋"/>
          <w:sz w:val="32"/>
        </w:rPr>
        <w:t>服务商必须建立完善的日志审计与安全监控体系，确保：</w:t>
      </w:r>
    </w:p>
    <w:p w14:paraId="44863EA5">
      <w:pPr>
        <w:ind w:firstLine="420"/>
        <w:rPr>
          <w:rFonts w:hint="eastAsia" w:ascii="仿宋" w:hAnsi="仿宋" w:eastAsia="仿宋"/>
          <w:sz w:val="32"/>
        </w:rPr>
      </w:pPr>
      <w:r>
        <w:rPr>
          <w:rFonts w:ascii="仿宋" w:hAnsi="仿宋" w:eastAsia="仿宋"/>
          <w:b/>
          <w:bCs/>
          <w:sz w:val="32"/>
        </w:rPr>
        <w:t>详细操作日志记录：</w:t>
      </w:r>
      <w:r>
        <w:rPr>
          <w:rFonts w:ascii="仿宋" w:hAnsi="仿宋" w:eastAsia="仿宋"/>
          <w:sz w:val="32"/>
        </w:rPr>
        <w:t>存储系统须启用详细的操作日志记录功能，记录所有管理操作、数据访问事件和安全告警。</w:t>
      </w:r>
    </w:p>
    <w:p w14:paraId="6D1E1A27">
      <w:pPr>
        <w:ind w:firstLine="420"/>
        <w:rPr>
          <w:rFonts w:hint="eastAsia" w:ascii="仿宋" w:hAnsi="仿宋" w:eastAsia="仿宋"/>
          <w:sz w:val="32"/>
        </w:rPr>
      </w:pPr>
      <w:r>
        <w:rPr>
          <w:rFonts w:ascii="仿宋" w:hAnsi="仿宋" w:eastAsia="仿宋"/>
          <w:b/>
          <w:bCs/>
          <w:sz w:val="32"/>
        </w:rPr>
        <w:t>日志集中管理与分析：</w:t>
      </w:r>
      <w:r>
        <w:rPr>
          <w:rFonts w:ascii="仿宋" w:hAnsi="仿宋" w:eastAsia="仿宋"/>
          <w:sz w:val="32"/>
        </w:rPr>
        <w:t>这些日志须集中收集并传输至甲方指定的安全信息与事件管理平台进行统一分析和长期存储，确保日志的完整性、不可篡改性和可追溯性。</w:t>
      </w:r>
    </w:p>
    <w:p w14:paraId="36DE3EAF">
      <w:pPr>
        <w:ind w:firstLine="420"/>
        <w:rPr>
          <w:rFonts w:hint="eastAsia" w:ascii="仿宋" w:hAnsi="仿宋" w:eastAsia="仿宋"/>
          <w:sz w:val="32"/>
        </w:rPr>
      </w:pPr>
      <w:r>
        <w:rPr>
          <w:rFonts w:ascii="仿宋" w:hAnsi="仿宋" w:eastAsia="仿宋"/>
          <w:b/>
          <w:bCs/>
          <w:sz w:val="32"/>
        </w:rPr>
        <w:t>7x24小时安全监控：</w:t>
      </w:r>
      <w:r>
        <w:rPr>
          <w:rFonts w:ascii="仿宋" w:hAnsi="仿宋" w:eastAsia="仿宋"/>
          <w:sz w:val="32"/>
        </w:rPr>
        <w:t>服务商须建立7x24小时的安全监控机制，利用自动化工具实时分析日志、检测异常行为和安全事件（如异常登录尝试、权限变更），并联动告警系统及时通知甲方运维团队进行处理。</w:t>
      </w:r>
    </w:p>
    <w:p w14:paraId="4311A656">
      <w:pPr>
        <w:pStyle w:val="30"/>
        <w:numPr>
          <w:ilvl w:val="0"/>
          <w:numId w:val="22"/>
        </w:numPr>
        <w:outlineLvl w:val="2"/>
        <w:rPr>
          <w:rFonts w:hint="eastAsia" w:ascii="仿宋" w:hAnsi="仿宋" w:eastAsia="仿宋"/>
          <w:sz w:val="32"/>
        </w:rPr>
      </w:pPr>
      <w:r>
        <w:rPr>
          <w:rFonts w:ascii="仿宋" w:hAnsi="仿宋" w:eastAsia="仿宋"/>
          <w:b/>
          <w:bCs/>
          <w:sz w:val="32"/>
        </w:rPr>
        <w:t>应急响应与灾难恢复预案要求</w:t>
      </w:r>
    </w:p>
    <w:p w14:paraId="1726F880">
      <w:pPr>
        <w:ind w:firstLine="420"/>
        <w:rPr>
          <w:rFonts w:hint="eastAsia" w:ascii="仿宋" w:hAnsi="仿宋" w:eastAsia="仿宋"/>
          <w:sz w:val="32"/>
        </w:rPr>
      </w:pPr>
      <w:r>
        <w:rPr>
          <w:rFonts w:ascii="仿宋" w:hAnsi="仿宋" w:eastAsia="仿宋"/>
          <w:sz w:val="32"/>
        </w:rPr>
        <w:t>服务商必须为甲方制定并定期演练应急响应与灾难恢复预案，以应对突发安全事件：</w:t>
      </w:r>
    </w:p>
    <w:p w14:paraId="4D181660">
      <w:pPr>
        <w:ind w:firstLine="420"/>
        <w:rPr>
          <w:rFonts w:hint="eastAsia" w:ascii="仿宋" w:hAnsi="仿宋" w:eastAsia="仿宋"/>
          <w:sz w:val="32"/>
        </w:rPr>
      </w:pPr>
      <w:r>
        <w:rPr>
          <w:rFonts w:ascii="仿宋" w:hAnsi="仿宋" w:eastAsia="仿宋"/>
          <w:b/>
          <w:bCs/>
          <w:sz w:val="32"/>
        </w:rPr>
        <w:t>详细预案制定：</w:t>
      </w:r>
      <w:r>
        <w:rPr>
          <w:rFonts w:ascii="仿宋" w:hAnsi="仿宋" w:eastAsia="仿宋"/>
          <w:sz w:val="32"/>
        </w:rPr>
        <w:t>服务商须针对数据泄露、服务中断、勒索病毒攻击等各类存储安全事件，制定详细的应急响应预案，明确事件等级、响应流程、处理措施和责任人。</w:t>
      </w:r>
    </w:p>
    <w:p w14:paraId="301F2C7B">
      <w:pPr>
        <w:ind w:firstLine="420"/>
        <w:rPr>
          <w:rFonts w:hint="eastAsia" w:ascii="仿宋" w:hAnsi="仿宋" w:eastAsia="仿宋"/>
          <w:sz w:val="32"/>
        </w:rPr>
      </w:pPr>
      <w:r>
        <w:rPr>
          <w:rFonts w:ascii="仿宋" w:hAnsi="仿宋" w:eastAsia="仿宋"/>
          <w:b/>
          <w:bCs/>
          <w:sz w:val="32"/>
        </w:rPr>
        <w:t>定期模拟演练：</w:t>
      </w:r>
      <w:r>
        <w:rPr>
          <w:rFonts w:ascii="仿宋" w:hAnsi="仿宋" w:eastAsia="仿宋"/>
          <w:sz w:val="32"/>
        </w:rPr>
        <w:t>服务商须定期组织模拟演练，检验预案的有效性和团队的响应能力，并根据演练结果持续优化预案，确保在真正的安全事件发生时，能够迅速止损、恢复业务，最大限度减少损失。</w:t>
      </w:r>
    </w:p>
    <w:p w14:paraId="36FA28BA">
      <w:pPr>
        <w:ind w:firstLine="420"/>
        <w:rPr>
          <w:rFonts w:hint="eastAsia" w:ascii="仿宋" w:hAnsi="仿宋" w:eastAsia="仿宋"/>
          <w:sz w:val="32"/>
        </w:rPr>
      </w:pPr>
      <w:r>
        <w:rPr>
          <w:rFonts w:ascii="仿宋" w:hAnsi="仿宋" w:eastAsia="仿宋"/>
          <w:b/>
          <w:bCs/>
          <w:sz w:val="32"/>
        </w:rPr>
        <w:t>演练报告与复盘：</w:t>
      </w:r>
      <w:r>
        <w:rPr>
          <w:rFonts w:ascii="仿宋" w:hAnsi="仿宋" w:eastAsia="仿宋"/>
          <w:sz w:val="32"/>
        </w:rPr>
        <w:t>每次演练后，服务商须提交详细的演练报告及复盘总结，并根据发现的问题优化预案。</w:t>
      </w:r>
    </w:p>
    <w:p w14:paraId="792497D3">
      <w:pPr>
        <w:rPr>
          <w:rFonts w:hint="eastAsia"/>
        </w:rPr>
      </w:pPr>
    </w:p>
    <w:p w14:paraId="34B7441D">
      <w:pPr>
        <w:pStyle w:val="30"/>
        <w:numPr>
          <w:ilvl w:val="0"/>
          <w:numId w:val="23"/>
        </w:numPr>
        <w:outlineLvl w:val="1"/>
        <w:rPr>
          <w:rFonts w:hint="eastAsia" w:ascii="楷体" w:hAnsi="楷体" w:eastAsia="楷体"/>
          <w:sz w:val="32"/>
        </w:rPr>
      </w:pPr>
      <w:r>
        <w:rPr>
          <w:rFonts w:ascii="楷体" w:hAnsi="楷体" w:eastAsia="楷体"/>
          <w:b/>
          <w:bCs/>
          <w:sz w:val="32"/>
        </w:rPr>
        <w:t>运维管理与监控要求</w:t>
      </w:r>
    </w:p>
    <w:p w14:paraId="75BCE925">
      <w:pPr>
        <w:ind w:firstLine="420"/>
        <w:rPr>
          <w:rFonts w:hint="eastAsia" w:ascii="仿宋" w:hAnsi="仿宋" w:eastAsia="仿宋"/>
          <w:sz w:val="32"/>
        </w:rPr>
      </w:pPr>
      <w:r>
        <w:rPr>
          <w:rFonts w:ascii="仿宋" w:hAnsi="仿宋" w:eastAsia="仿宋"/>
          <w:sz w:val="32"/>
        </w:rPr>
        <w:t>本项目要求服务商建立一套全面、规范、高效的存储运维管理与监控体系，以确保甲方存储基础设施的持续健康运行，并提供快速、可靠的服务响应。该体系须涵盖日常运维操作的标准化流程、主动发现潜在问题的监控报警机制以及紧急事件处理的响应要求，旨在提升甲方存储系统的整体运行效率和风险应对能力。</w:t>
      </w:r>
    </w:p>
    <w:p w14:paraId="6324979E">
      <w:pPr>
        <w:pStyle w:val="30"/>
        <w:numPr>
          <w:ilvl w:val="0"/>
          <w:numId w:val="24"/>
        </w:numPr>
        <w:outlineLvl w:val="2"/>
        <w:rPr>
          <w:rFonts w:hint="eastAsia" w:ascii="仿宋" w:hAnsi="仿宋" w:eastAsia="仿宋"/>
          <w:sz w:val="32"/>
        </w:rPr>
      </w:pPr>
      <w:r>
        <w:rPr>
          <w:rFonts w:ascii="仿宋" w:hAnsi="仿宋" w:eastAsia="仿宋"/>
          <w:b/>
          <w:bCs/>
          <w:sz w:val="32"/>
        </w:rPr>
        <w:t>日常运维管理要求</w:t>
      </w:r>
    </w:p>
    <w:p w14:paraId="0DD97905">
      <w:pPr>
        <w:ind w:firstLine="420"/>
        <w:rPr>
          <w:rFonts w:hint="eastAsia" w:ascii="仿宋" w:hAnsi="仿宋" w:eastAsia="仿宋"/>
          <w:sz w:val="32"/>
        </w:rPr>
      </w:pPr>
      <w:r>
        <w:rPr>
          <w:rFonts w:ascii="仿宋" w:hAnsi="仿宋" w:eastAsia="仿宋"/>
          <w:sz w:val="32"/>
        </w:rPr>
        <w:t>日常运维流程是确保存储系统稳定运行的基础，服务商必须制定并执行详细的标准化操作程序（SOP），指导运维人员进行每日、每周、每月例行检查与维护：</w:t>
      </w:r>
    </w:p>
    <w:p w14:paraId="232A7688">
      <w:pPr>
        <w:pStyle w:val="30"/>
        <w:ind w:left="0" w:firstLine="360"/>
        <w:rPr>
          <w:rFonts w:hint="eastAsia" w:ascii="仿宋" w:hAnsi="仿宋" w:eastAsia="仿宋"/>
          <w:sz w:val="32"/>
        </w:rPr>
      </w:pPr>
      <w:r>
        <w:rPr>
          <w:rFonts w:ascii="仿宋" w:hAnsi="仿宋" w:eastAsia="仿宋"/>
          <w:b/>
          <w:bCs/>
          <w:sz w:val="32"/>
        </w:rPr>
        <w:t>每日巡检：</w:t>
      </w:r>
      <w:r>
        <w:rPr>
          <w:rFonts w:ascii="仿宋" w:hAnsi="仿宋" w:eastAsia="仿宋"/>
          <w:sz w:val="32"/>
        </w:rPr>
        <w:t>服务商须聚焦于甲方存储设备的健康状态、告警信息、容量增长趋势及核心业务存储卷的性能关键指标，确保即时发现并处理异常。</w:t>
      </w:r>
    </w:p>
    <w:p w14:paraId="2F120C82">
      <w:pPr>
        <w:ind w:firstLine="360"/>
        <w:rPr>
          <w:rFonts w:hint="eastAsia" w:ascii="仿宋" w:hAnsi="仿宋" w:eastAsia="仿宋"/>
          <w:sz w:val="32"/>
        </w:rPr>
      </w:pPr>
      <w:r>
        <w:rPr>
          <w:rFonts w:ascii="仿宋" w:hAnsi="仿宋" w:eastAsia="仿宋"/>
          <w:b/>
          <w:bCs/>
          <w:sz w:val="32"/>
        </w:rPr>
        <w:t>每周巡检：</w:t>
      </w:r>
      <w:r>
        <w:rPr>
          <w:rFonts w:ascii="仿宋" w:hAnsi="仿宋" w:eastAsia="仿宋"/>
          <w:sz w:val="32"/>
        </w:rPr>
        <w:t>服务商须深化对系统日志的审查、备份任务成功率的验证以及安全日志的审计，同时进行存储资源利用率的精细化分析。</w:t>
      </w:r>
    </w:p>
    <w:p w14:paraId="6276AD8B">
      <w:pPr>
        <w:ind w:firstLine="360"/>
        <w:rPr>
          <w:rFonts w:hint="eastAsia" w:ascii="仿宋" w:hAnsi="仿宋" w:eastAsia="仿宋"/>
          <w:sz w:val="32"/>
        </w:rPr>
      </w:pPr>
      <w:r>
        <w:rPr>
          <w:rFonts w:ascii="仿宋" w:hAnsi="仿宋" w:eastAsia="仿宋"/>
          <w:b/>
          <w:bCs/>
          <w:sz w:val="32"/>
        </w:rPr>
        <w:t>每月巡检：</w:t>
      </w:r>
      <w:r>
        <w:rPr>
          <w:rFonts w:ascii="仿宋" w:hAnsi="仿宋" w:eastAsia="仿宋"/>
          <w:sz w:val="32"/>
        </w:rPr>
        <w:t>服务商须对所有存储设备的固件版本进行检查、配置参数的合规性评估，并根据容量和性能趋势分析，提出未来扩展和优化的初步建议。</w:t>
      </w:r>
    </w:p>
    <w:p w14:paraId="7DEC90EC">
      <w:pPr>
        <w:ind w:firstLine="360"/>
        <w:rPr>
          <w:rFonts w:hint="eastAsia" w:ascii="仿宋" w:hAnsi="仿宋" w:eastAsia="仿宋"/>
          <w:sz w:val="32"/>
        </w:rPr>
      </w:pPr>
      <w:r>
        <w:rPr>
          <w:rFonts w:ascii="仿宋" w:hAnsi="仿宋" w:eastAsia="仿宋"/>
          <w:b/>
          <w:bCs/>
          <w:sz w:val="32"/>
        </w:rPr>
        <w:t>记录与报告：</w:t>
      </w:r>
      <w:r>
        <w:rPr>
          <w:rFonts w:ascii="仿宋" w:hAnsi="仿宋" w:eastAsia="仿宋"/>
          <w:sz w:val="32"/>
        </w:rPr>
        <w:t>所有例行检查结果、发现的问题及采取的措施都将详细记录，形成可追溯的运维日志，并按周期提供巡检报告。</w:t>
      </w:r>
    </w:p>
    <w:p w14:paraId="7780AF5B">
      <w:pPr>
        <w:ind w:firstLine="360"/>
        <w:rPr>
          <w:rFonts w:hint="eastAsia" w:ascii="仿宋" w:hAnsi="仿宋" w:eastAsia="仿宋"/>
          <w:sz w:val="32"/>
        </w:rPr>
      </w:pPr>
      <w:r>
        <w:rPr>
          <w:rFonts w:ascii="仿宋" w:hAnsi="仿宋" w:eastAsia="仿宋"/>
          <w:b/>
          <w:bCs/>
          <w:sz w:val="32"/>
        </w:rPr>
        <w:t>补丁管理要求：</w:t>
      </w:r>
      <w:r>
        <w:rPr>
          <w:rFonts w:ascii="仿宋" w:hAnsi="仿宋" w:eastAsia="仿宋"/>
          <w:sz w:val="32"/>
        </w:rPr>
        <w:t>服务商须通过系统化的流程处理厂商发布的最新</w:t>
      </w:r>
      <w:r>
        <w:rPr>
          <w:rFonts w:hint="eastAsia" w:ascii="仿宋" w:hAnsi="仿宋" w:eastAsia="仿宋"/>
          <w:sz w:val="32"/>
        </w:rPr>
        <w:t>软</w:t>
      </w:r>
      <w:r>
        <w:rPr>
          <w:rFonts w:ascii="仿宋" w:hAnsi="仿宋" w:eastAsia="仿宋"/>
          <w:sz w:val="32"/>
        </w:rPr>
        <w:t>件、操作系统更新、安全补丁及缺陷修复，以抵御新兴威胁、提升系统性能并增强功能。该流程须包含但不限于：</w:t>
      </w:r>
    </w:p>
    <w:p w14:paraId="1ED43F8E">
      <w:pPr>
        <w:ind w:firstLine="360"/>
        <w:rPr>
          <w:rFonts w:hint="eastAsia" w:ascii="仿宋" w:hAnsi="仿宋" w:eastAsia="仿宋"/>
          <w:sz w:val="32"/>
        </w:rPr>
      </w:pPr>
      <w:r>
        <w:rPr>
          <w:rFonts w:ascii="仿宋" w:hAnsi="仿宋" w:eastAsia="仿宋"/>
          <w:b/>
          <w:bCs/>
          <w:sz w:val="32"/>
        </w:rPr>
        <w:t>补丁跟踪与评估：</w:t>
      </w:r>
      <w:r>
        <w:rPr>
          <w:rFonts w:ascii="仿宋" w:hAnsi="仿宋" w:eastAsia="仿宋"/>
          <w:sz w:val="32"/>
        </w:rPr>
        <w:t>服务商须持续跟踪、收集并对所有补丁进行严格的风险评估与兼容性分析，深入理解其针对的问题及对甲方存储环境和上层应用的影响。</w:t>
      </w:r>
    </w:p>
    <w:p w14:paraId="4F96EA0D">
      <w:pPr>
        <w:ind w:firstLine="360"/>
        <w:rPr>
          <w:rFonts w:hint="eastAsia" w:ascii="仿宋" w:hAnsi="仿宋" w:eastAsia="仿宋"/>
          <w:sz w:val="32"/>
        </w:rPr>
      </w:pPr>
      <w:r>
        <w:rPr>
          <w:rFonts w:ascii="仿宋" w:hAnsi="仿宋" w:eastAsia="仿宋"/>
          <w:b/>
          <w:bCs/>
          <w:sz w:val="32"/>
        </w:rPr>
        <w:t>测试与批准：</w:t>
      </w:r>
      <w:r>
        <w:rPr>
          <w:rFonts w:ascii="仿宋" w:hAnsi="仿宋" w:eastAsia="仿宋"/>
          <w:sz w:val="32"/>
        </w:rPr>
        <w:t>补丁必须在一个独立的、与生产环境高度相似的测试环境中进行全面且充分的验证，确保稳定性、兼容性和预期效果。所有补丁部署需获得甲方正式的变更审批。</w:t>
      </w:r>
    </w:p>
    <w:p w14:paraId="6B9DC8CA">
      <w:pPr>
        <w:ind w:firstLine="360"/>
        <w:rPr>
          <w:rFonts w:hint="eastAsia" w:ascii="仿宋" w:hAnsi="仿宋" w:eastAsia="仿宋"/>
          <w:sz w:val="32"/>
        </w:rPr>
      </w:pPr>
      <w:r>
        <w:rPr>
          <w:rFonts w:ascii="仿宋" w:hAnsi="仿宋" w:eastAsia="仿宋"/>
          <w:b/>
          <w:bCs/>
          <w:sz w:val="32"/>
        </w:rPr>
        <w:t>部署与验证：</w:t>
      </w:r>
      <w:r>
        <w:rPr>
          <w:rFonts w:ascii="仿宋" w:hAnsi="仿宋" w:eastAsia="仿宋"/>
          <w:sz w:val="32"/>
        </w:rPr>
        <w:t>补丁部署须严格依照预定的实施方案，并在预先协商的业务低峰期或维护窗口内进行。每次部署前后进行详细的配置备份与系统状态检查。部署完成后，必须进行严格的功能和性能验证。</w:t>
      </w:r>
    </w:p>
    <w:p w14:paraId="1F2CE5F2">
      <w:pPr>
        <w:ind w:firstLine="360"/>
        <w:rPr>
          <w:rFonts w:hint="eastAsia" w:ascii="仿宋" w:hAnsi="仿宋" w:eastAsia="仿宋"/>
          <w:sz w:val="32"/>
        </w:rPr>
      </w:pPr>
      <w:r>
        <w:rPr>
          <w:rFonts w:ascii="仿宋" w:hAnsi="仿宋" w:eastAsia="仿宋"/>
          <w:b/>
          <w:bCs/>
          <w:sz w:val="32"/>
        </w:rPr>
        <w:t>记录与归档：</w:t>
      </w:r>
      <w:r>
        <w:rPr>
          <w:rFonts w:ascii="仿宋" w:hAnsi="仿宋" w:eastAsia="仿宋"/>
          <w:sz w:val="32"/>
        </w:rPr>
        <w:t>补丁管理过程的每一步骤，从获取、评估、测试、审批到部署与验证，均需进行详尽的记录与归档，以满足审计和合规性要求。</w:t>
      </w:r>
    </w:p>
    <w:p w14:paraId="187E326F">
      <w:pPr>
        <w:ind w:firstLine="360"/>
        <w:rPr>
          <w:rFonts w:hint="eastAsia" w:ascii="仿宋" w:hAnsi="仿宋" w:eastAsia="仿宋"/>
          <w:sz w:val="32"/>
        </w:rPr>
      </w:pPr>
      <w:r>
        <w:rPr>
          <w:rFonts w:ascii="仿宋" w:hAnsi="仿宋" w:eastAsia="仿宋"/>
          <w:b/>
          <w:bCs/>
          <w:sz w:val="32"/>
        </w:rPr>
        <w:t>变更控制要求：</w:t>
      </w:r>
      <w:r>
        <w:rPr>
          <w:rFonts w:ascii="仿宋" w:hAnsi="仿宋" w:eastAsia="仿宋"/>
          <w:sz w:val="32"/>
        </w:rPr>
        <w:t>针对对甲方存储基础设施进行的一切修改、升级、配置调整或引入新组件的操作，服务商必须遵循严谨的变更控制流程，确保：</w:t>
      </w:r>
    </w:p>
    <w:p w14:paraId="3C6184AC">
      <w:pPr>
        <w:ind w:firstLine="360"/>
        <w:rPr>
          <w:rFonts w:hint="eastAsia" w:ascii="仿宋" w:hAnsi="仿宋" w:eastAsia="仿宋"/>
          <w:sz w:val="32"/>
        </w:rPr>
      </w:pPr>
      <w:r>
        <w:rPr>
          <w:rFonts w:ascii="仿宋" w:hAnsi="仿宋" w:eastAsia="仿宋"/>
          <w:b/>
          <w:bCs/>
          <w:sz w:val="32"/>
        </w:rPr>
        <w:t>变更请求提交：</w:t>
      </w:r>
      <w:r>
        <w:rPr>
          <w:rFonts w:ascii="仿宋" w:hAnsi="仿宋" w:eastAsia="仿宋"/>
          <w:sz w:val="32"/>
        </w:rPr>
        <w:t>变更请求必须清晰阐明变更的背景、目的、范围、预期的结果、详细的实施步骤、所需的技术资源、对现有业务和系统可能产生的影响分析以及一旦出现问题时的回滚计划。</w:t>
      </w:r>
    </w:p>
    <w:p w14:paraId="042B84BE">
      <w:pPr>
        <w:ind w:firstLine="360"/>
        <w:rPr>
          <w:rFonts w:hint="eastAsia" w:ascii="仿宋" w:hAnsi="仿宋" w:eastAsia="仿宋"/>
          <w:sz w:val="32"/>
        </w:rPr>
      </w:pPr>
      <w:r>
        <w:rPr>
          <w:rFonts w:ascii="仿宋" w:hAnsi="仿宋" w:eastAsia="仿宋"/>
          <w:b/>
          <w:bCs/>
          <w:sz w:val="32"/>
        </w:rPr>
        <w:t>风险评估与审批：</w:t>
      </w:r>
      <w:r>
        <w:rPr>
          <w:rFonts w:ascii="仿宋" w:hAnsi="仿宋" w:eastAsia="仿宋"/>
          <w:sz w:val="32"/>
        </w:rPr>
        <w:t>变更需由多功能团队（包括甲方相关人员）共同对技术可行性、潜在风险、业务影响进行全面分析，并获得甲方多层级的正式审批。</w:t>
      </w:r>
    </w:p>
    <w:p w14:paraId="149020BA">
      <w:pPr>
        <w:ind w:firstLine="360"/>
        <w:rPr>
          <w:rFonts w:hint="eastAsia" w:ascii="仿宋" w:hAnsi="仿宋" w:eastAsia="仿宋"/>
          <w:sz w:val="32"/>
        </w:rPr>
      </w:pPr>
      <w:r>
        <w:rPr>
          <w:rFonts w:ascii="仿宋" w:hAnsi="仿宋" w:eastAsia="仿宋"/>
          <w:b/>
          <w:bCs/>
          <w:sz w:val="32"/>
        </w:rPr>
        <w:t>实施与监控：</w:t>
      </w:r>
      <w:r>
        <w:rPr>
          <w:rFonts w:ascii="仿宋" w:hAnsi="仿宋" w:eastAsia="仿宋"/>
          <w:sz w:val="32"/>
        </w:rPr>
        <w:t>获批变更须在预定的维护窗口内，严格按照既定实施计划执行，同时全程进行系统状态的实时监控。</w:t>
      </w:r>
    </w:p>
    <w:p w14:paraId="78443FC8">
      <w:pPr>
        <w:ind w:firstLine="360"/>
        <w:rPr>
          <w:rFonts w:hint="eastAsia" w:ascii="仿宋" w:hAnsi="仿宋" w:eastAsia="仿宋"/>
          <w:sz w:val="32"/>
        </w:rPr>
      </w:pPr>
      <w:r>
        <w:rPr>
          <w:rFonts w:ascii="仿宋" w:hAnsi="仿宋" w:eastAsia="仿宋"/>
          <w:b/>
          <w:bCs/>
          <w:sz w:val="32"/>
        </w:rPr>
        <w:t>验证与记录：</w:t>
      </w:r>
      <w:r>
        <w:rPr>
          <w:rFonts w:ascii="仿宋" w:hAnsi="仿宋" w:eastAsia="仿宋"/>
          <w:sz w:val="32"/>
        </w:rPr>
        <w:t>变更实施完成后，必须进行全面的验证测试。所有变更控制活动均需详尽记录和归档，形成完整的审计路径。</w:t>
      </w:r>
    </w:p>
    <w:p w14:paraId="6D4FCF0B">
      <w:pPr>
        <w:ind w:firstLine="360"/>
        <w:rPr>
          <w:rFonts w:hint="eastAsia" w:ascii="仿宋" w:hAnsi="仿宋" w:eastAsia="仿宋"/>
          <w:sz w:val="32"/>
        </w:rPr>
      </w:pPr>
      <w:r>
        <w:rPr>
          <w:rFonts w:ascii="仿宋" w:hAnsi="仿宋" w:eastAsia="仿宋"/>
          <w:b/>
          <w:bCs/>
          <w:sz w:val="32"/>
        </w:rPr>
        <w:t>健康检查要求：</w:t>
      </w:r>
      <w:r>
        <w:rPr>
          <w:rFonts w:ascii="仿宋" w:hAnsi="仿宋" w:eastAsia="仿宋"/>
          <w:sz w:val="32"/>
        </w:rPr>
        <w:t>服务商须定期进行存储系统健康检查，超越日常巡检范畴，深入分析存储系统运行健康状况、性能趋势、容量增长以及配置合规性，从而识别潜在瓶颈、预测未来风险并提供有针对性的优化建议。</w:t>
      </w:r>
    </w:p>
    <w:p w14:paraId="29C6CEB6">
      <w:pPr>
        <w:ind w:firstLine="360"/>
        <w:rPr>
          <w:rFonts w:hint="eastAsia" w:ascii="仿宋" w:hAnsi="仿宋" w:eastAsia="仿宋"/>
          <w:sz w:val="32"/>
        </w:rPr>
      </w:pPr>
      <w:r>
        <w:rPr>
          <w:rFonts w:ascii="仿宋" w:hAnsi="仿宋" w:eastAsia="仿宋"/>
          <w:b/>
          <w:bCs/>
          <w:sz w:val="32"/>
        </w:rPr>
        <w:t>检查内容：</w:t>
      </w:r>
      <w:r>
        <w:rPr>
          <w:rFonts w:ascii="仿宋" w:hAnsi="仿宋" w:eastAsia="仿宋"/>
          <w:sz w:val="32"/>
        </w:rPr>
        <w:t>涵盖硬件部件健康状态、关键性能指标长期趋势分析、容量分配与利用率、数据保护机制有效性、存储网络连接质量及管理软件运行健全性。</w:t>
      </w:r>
    </w:p>
    <w:p w14:paraId="4AF4DD61">
      <w:pPr>
        <w:ind w:firstLine="360"/>
        <w:rPr>
          <w:rFonts w:hint="eastAsia" w:ascii="仿宋" w:hAnsi="仿宋" w:eastAsia="仿宋"/>
          <w:sz w:val="32"/>
        </w:rPr>
      </w:pPr>
      <w:r>
        <w:rPr>
          <w:rFonts w:ascii="仿宋" w:hAnsi="仿宋" w:eastAsia="仿宋"/>
          <w:b/>
          <w:bCs/>
          <w:sz w:val="32"/>
        </w:rPr>
        <w:t>对比分析：</w:t>
      </w:r>
      <w:r>
        <w:rPr>
          <w:rFonts w:ascii="仿宋" w:hAnsi="仿宋" w:eastAsia="仿宋"/>
          <w:sz w:val="32"/>
        </w:rPr>
        <w:t>所收集数据须与预先设定性能基线、容量警戒阈值及行业最佳实践配置标准进行比对。</w:t>
      </w:r>
    </w:p>
    <w:p w14:paraId="2EDDB419">
      <w:pPr>
        <w:ind w:firstLine="360"/>
        <w:rPr>
          <w:rFonts w:hint="eastAsia" w:ascii="仿宋" w:hAnsi="仿宋" w:eastAsia="仿宋"/>
          <w:sz w:val="32"/>
        </w:rPr>
      </w:pPr>
      <w:r>
        <w:rPr>
          <w:rFonts w:ascii="仿宋" w:hAnsi="仿宋" w:eastAsia="仿宋"/>
          <w:b/>
          <w:bCs/>
          <w:sz w:val="32"/>
        </w:rPr>
        <w:t>报告与建议：</w:t>
      </w:r>
      <w:r>
        <w:rPr>
          <w:rFonts w:ascii="仿宋" w:hAnsi="仿宋" w:eastAsia="仿宋"/>
          <w:sz w:val="32"/>
        </w:rPr>
        <w:t>最终产出专业健康检查报告，系统呈现存储系统当前健康评分，量化各项关键指标，深入剖析问题根本原因，并据此提出具体可行的优化建议和改进措施。</w:t>
      </w:r>
    </w:p>
    <w:p w14:paraId="0A52DF1A">
      <w:pPr>
        <w:pStyle w:val="30"/>
        <w:numPr>
          <w:ilvl w:val="0"/>
          <w:numId w:val="25"/>
        </w:numPr>
        <w:outlineLvl w:val="2"/>
        <w:rPr>
          <w:rFonts w:hint="eastAsia" w:ascii="仿宋" w:hAnsi="仿宋" w:eastAsia="仿宋"/>
          <w:sz w:val="32"/>
        </w:rPr>
      </w:pPr>
      <w:r>
        <w:rPr>
          <w:rFonts w:ascii="仿宋" w:hAnsi="仿宋" w:eastAsia="仿宋"/>
          <w:b/>
          <w:bCs/>
          <w:sz w:val="32"/>
        </w:rPr>
        <w:t>监控与告警体系要求</w:t>
      </w:r>
    </w:p>
    <w:p w14:paraId="2845AEE1">
      <w:pPr>
        <w:ind w:firstLine="420"/>
        <w:rPr>
          <w:rFonts w:hint="eastAsia" w:ascii="仿宋" w:hAnsi="仿宋" w:eastAsia="仿宋"/>
          <w:sz w:val="32"/>
        </w:rPr>
      </w:pPr>
      <w:r>
        <w:rPr>
          <w:rFonts w:ascii="仿宋" w:hAnsi="仿宋" w:eastAsia="仿宋"/>
          <w:sz w:val="32"/>
        </w:rPr>
        <w:t>为实现对甲方存储系统7x24小时不间断的实时感知与快速响应，服务商必须</w:t>
      </w:r>
      <w:r>
        <w:rPr>
          <w:rFonts w:hint="eastAsia" w:ascii="仿宋" w:hAnsi="仿宋" w:eastAsia="仿宋"/>
          <w:sz w:val="32"/>
        </w:rPr>
        <w:t>参与运维</w:t>
      </w:r>
      <w:r>
        <w:rPr>
          <w:rFonts w:ascii="仿宋" w:hAnsi="仿宋" w:eastAsia="仿宋"/>
          <w:sz w:val="32"/>
        </w:rPr>
        <w:t>存储监控与告警管理平台：</w:t>
      </w:r>
    </w:p>
    <w:p w14:paraId="1452BDB1">
      <w:pPr>
        <w:ind w:firstLine="420"/>
        <w:rPr>
          <w:rFonts w:hint="eastAsia" w:ascii="仿宋" w:hAnsi="仿宋" w:eastAsia="仿宋"/>
          <w:sz w:val="32"/>
        </w:rPr>
      </w:pPr>
      <w:r>
        <w:rPr>
          <w:rFonts w:ascii="仿宋" w:hAnsi="仿宋" w:eastAsia="仿宋"/>
          <w:b/>
          <w:bCs/>
          <w:sz w:val="32"/>
        </w:rPr>
        <w:t>监控指标覆盖：</w:t>
      </w:r>
      <w:r>
        <w:rPr>
          <w:rFonts w:ascii="仿宋" w:hAnsi="仿宋" w:eastAsia="仿宋"/>
          <w:sz w:val="32"/>
        </w:rPr>
        <w:t>监控系统须集中采集所有存储</w:t>
      </w:r>
      <w:r>
        <w:rPr>
          <w:rFonts w:hint="eastAsia" w:ascii="仿宋" w:hAnsi="仿宋" w:eastAsia="仿宋"/>
          <w:sz w:val="32"/>
        </w:rPr>
        <w:t>节点</w:t>
      </w:r>
      <w:r>
        <w:rPr>
          <w:rFonts w:ascii="仿宋" w:hAnsi="仿宋" w:eastAsia="仿宋"/>
          <w:sz w:val="32"/>
        </w:rPr>
        <w:t>、存储网络设备以及相关主机服务器的运行数据，包括硬件状态（如磁盘健康度、RAID组状态、控制器、电源、风扇）、性能指标（IOPS、吞吐量、延迟、缓存命中率、CPU/内存利用率）、容量使用率、数据保护状态及安全事件日志。</w:t>
      </w:r>
    </w:p>
    <w:p w14:paraId="4543DB82">
      <w:pPr>
        <w:ind w:firstLine="420"/>
        <w:rPr>
          <w:rFonts w:hint="eastAsia" w:ascii="仿宋" w:hAnsi="仿宋" w:eastAsia="仿宋"/>
          <w:sz w:val="32"/>
        </w:rPr>
      </w:pPr>
      <w:r>
        <w:rPr>
          <w:rFonts w:ascii="仿宋" w:hAnsi="仿宋" w:eastAsia="仿宋"/>
          <w:b/>
          <w:bCs/>
          <w:sz w:val="32"/>
        </w:rPr>
        <w:t>告警阈值设定：</w:t>
      </w:r>
      <w:r>
        <w:rPr>
          <w:rFonts w:ascii="仿宋" w:hAnsi="仿宋" w:eastAsia="仿宋"/>
          <w:sz w:val="32"/>
        </w:rPr>
        <w:t>服务商须基于监控指标，设定精细化的分级告警阈值，例如：</w:t>
      </w:r>
    </w:p>
    <w:p w14:paraId="5748EA82">
      <w:pPr>
        <w:ind w:firstLine="420"/>
        <w:rPr>
          <w:rFonts w:hint="eastAsia" w:ascii="仿宋" w:hAnsi="仿宋" w:eastAsia="仿宋"/>
          <w:sz w:val="32"/>
        </w:rPr>
      </w:pPr>
      <w:r>
        <w:rPr>
          <w:rFonts w:ascii="仿宋" w:hAnsi="仿宋" w:eastAsia="仿宋"/>
          <w:b/>
          <w:bCs/>
          <w:sz w:val="32"/>
        </w:rPr>
        <w:t>硬件故障：</w:t>
      </w:r>
      <w:r>
        <w:rPr>
          <w:rFonts w:ascii="仿宋" w:hAnsi="仿宋" w:eastAsia="仿宋"/>
          <w:sz w:val="32"/>
        </w:rPr>
        <w:t>立即触发紧急告警（如磁盘故障、控制器失效、RAID降级）。</w:t>
      </w:r>
    </w:p>
    <w:p w14:paraId="235966BA">
      <w:pPr>
        <w:ind w:firstLine="420"/>
        <w:rPr>
          <w:rFonts w:hint="eastAsia" w:ascii="仿宋" w:hAnsi="仿宋" w:eastAsia="仿宋"/>
          <w:sz w:val="32"/>
        </w:rPr>
      </w:pPr>
      <w:r>
        <w:rPr>
          <w:rFonts w:ascii="仿宋" w:hAnsi="仿宋" w:eastAsia="仿宋"/>
          <w:b/>
          <w:bCs/>
          <w:sz w:val="32"/>
        </w:rPr>
        <w:t>性能异常：</w:t>
      </w:r>
      <w:r>
        <w:rPr>
          <w:rFonts w:ascii="仿宋" w:hAnsi="仿宋" w:eastAsia="仿宋"/>
          <w:sz w:val="32"/>
        </w:rPr>
        <w:t>性能指标（IOPS、延迟）持续超出正常基线，或系统资源利用率（CPU &gt; 80%, 内存 &gt; 90%, 网络带宽 &gt; 80%）持续过高时触发告警。</w:t>
      </w:r>
    </w:p>
    <w:p w14:paraId="37C6BDD2">
      <w:pPr>
        <w:ind w:firstLine="420"/>
        <w:rPr>
          <w:rFonts w:hint="eastAsia" w:ascii="仿宋" w:hAnsi="仿宋" w:eastAsia="仿宋"/>
          <w:sz w:val="32"/>
        </w:rPr>
      </w:pPr>
      <w:r>
        <w:rPr>
          <w:rFonts w:ascii="仿宋" w:hAnsi="仿宋" w:eastAsia="仿宋"/>
          <w:b/>
          <w:bCs/>
          <w:sz w:val="32"/>
        </w:rPr>
        <w:t>容量预警：</w:t>
      </w:r>
      <w:r>
        <w:rPr>
          <w:rFonts w:ascii="仿宋" w:hAnsi="仿宋" w:eastAsia="仿宋"/>
          <w:sz w:val="32"/>
        </w:rPr>
        <w:t>存储池或卷使用率达到70%预警，85%/90%告警，95%严重告警。</w:t>
      </w:r>
    </w:p>
    <w:p w14:paraId="5E6CE95E">
      <w:pPr>
        <w:ind w:firstLine="420"/>
        <w:rPr>
          <w:rFonts w:hint="eastAsia" w:ascii="仿宋" w:hAnsi="仿宋" w:eastAsia="仿宋"/>
          <w:sz w:val="32"/>
        </w:rPr>
      </w:pPr>
      <w:r>
        <w:rPr>
          <w:rFonts w:ascii="仿宋" w:hAnsi="仿宋" w:eastAsia="仿宋"/>
          <w:b/>
          <w:bCs/>
          <w:sz w:val="32"/>
        </w:rPr>
        <w:t>数据保护异常：</w:t>
      </w:r>
      <w:r>
        <w:rPr>
          <w:rFonts w:ascii="仿宋" w:hAnsi="仿宋" w:eastAsia="仿宋"/>
          <w:sz w:val="32"/>
        </w:rPr>
        <w:t>备份/复制任务失败，RPO超标立即告警。</w:t>
      </w:r>
    </w:p>
    <w:p w14:paraId="1341B150">
      <w:pPr>
        <w:ind w:firstLine="420"/>
        <w:rPr>
          <w:rFonts w:hint="eastAsia" w:ascii="仿宋" w:hAnsi="仿宋" w:eastAsia="仿宋"/>
          <w:sz w:val="32"/>
        </w:rPr>
      </w:pPr>
      <w:r>
        <w:rPr>
          <w:rFonts w:ascii="仿宋" w:hAnsi="仿宋" w:eastAsia="仿宋"/>
          <w:b/>
          <w:bCs/>
          <w:sz w:val="32"/>
        </w:rPr>
        <w:t>安全事件：</w:t>
      </w:r>
      <w:r>
        <w:rPr>
          <w:rFonts w:ascii="仿宋" w:hAnsi="仿宋" w:eastAsia="仿宋"/>
          <w:sz w:val="32"/>
        </w:rPr>
        <w:t>多次登录失败、高权限变更、异常访问立即告警。</w:t>
      </w:r>
    </w:p>
    <w:p w14:paraId="5A3C0EB2">
      <w:pPr>
        <w:ind w:firstLine="420"/>
        <w:rPr>
          <w:rFonts w:hint="eastAsia" w:ascii="仿宋" w:hAnsi="仿宋" w:eastAsia="仿宋"/>
          <w:sz w:val="32"/>
        </w:rPr>
      </w:pPr>
      <w:r>
        <w:rPr>
          <w:rFonts w:ascii="仿宋" w:hAnsi="仿宋" w:eastAsia="仿宋"/>
          <w:sz w:val="32"/>
        </w:rPr>
        <w:t>运维团队须定期对监控规则进行优化，调整报警阈值，减少误报，并确保报警的及时性和准确性。</w:t>
      </w:r>
    </w:p>
    <w:p w14:paraId="4D0CAB30">
      <w:pPr>
        <w:ind w:firstLine="420"/>
        <w:rPr>
          <w:rFonts w:hint="eastAsia" w:ascii="仿宋" w:hAnsi="仿宋" w:eastAsia="仿宋"/>
          <w:sz w:val="32"/>
        </w:rPr>
      </w:pPr>
      <w:r>
        <w:rPr>
          <w:rFonts w:ascii="仿宋" w:hAnsi="仿宋" w:eastAsia="仿宋"/>
          <w:b/>
          <w:bCs/>
          <w:sz w:val="32"/>
        </w:rPr>
        <w:t>多样化通知方式：</w:t>
      </w:r>
      <w:r>
        <w:rPr>
          <w:rFonts w:ascii="仿宋" w:hAnsi="仿宋" w:eastAsia="仿宋"/>
          <w:sz w:val="32"/>
        </w:rPr>
        <w:t>服务商须确保告警信息能够及时准确地送达甲方相关负责人。对于紧急或严重级别的告警，须利用多种渠道进行实时通知，如电子邮件、短信、企业即时通讯工具推送消息</w:t>
      </w:r>
      <w:r>
        <w:rPr>
          <w:rFonts w:hint="eastAsia" w:ascii="仿宋" w:hAnsi="仿宋" w:eastAsia="仿宋"/>
          <w:sz w:val="32"/>
        </w:rPr>
        <w:t>、</w:t>
      </w:r>
      <w:r>
        <w:rPr>
          <w:rFonts w:ascii="仿宋" w:hAnsi="仿宋" w:eastAsia="仿宋"/>
          <w:sz w:val="32"/>
        </w:rPr>
        <w:t>电话通知。</w:t>
      </w:r>
    </w:p>
    <w:p w14:paraId="7A10392F">
      <w:pPr>
        <w:rPr>
          <w:rFonts w:hint="eastAsia" w:ascii="仿宋" w:hAnsi="仿宋" w:eastAsia="仿宋"/>
          <w:sz w:val="32"/>
        </w:rPr>
      </w:pPr>
      <w:r>
        <w:rPr>
          <w:rFonts w:ascii="仿宋" w:hAnsi="仿宋" w:eastAsia="仿宋"/>
          <w:b/>
          <w:bCs/>
          <w:sz w:val="32"/>
        </w:rPr>
        <w:t>告警处理机制：</w:t>
      </w:r>
    </w:p>
    <w:p w14:paraId="5B6EBDBA">
      <w:pPr>
        <w:ind w:firstLine="420"/>
        <w:rPr>
          <w:rFonts w:hint="eastAsia" w:ascii="仿宋" w:hAnsi="仿宋" w:eastAsia="仿宋"/>
          <w:sz w:val="32"/>
        </w:rPr>
      </w:pPr>
      <w:r>
        <w:rPr>
          <w:rFonts w:ascii="仿宋" w:hAnsi="仿宋" w:eastAsia="仿宋"/>
          <w:b/>
          <w:bCs/>
          <w:sz w:val="32"/>
        </w:rPr>
        <w:t>分级响应：</w:t>
      </w:r>
      <w:r>
        <w:rPr>
          <w:rFonts w:ascii="仿宋" w:hAnsi="仿宋" w:eastAsia="仿宋"/>
          <w:sz w:val="32"/>
        </w:rPr>
        <w:t>所有告警事件将根据其对业务影响的严重程度进行分级（紧急、重要、一般），并启动相应的响应流程。</w:t>
      </w:r>
    </w:p>
    <w:p w14:paraId="427179F0">
      <w:pPr>
        <w:ind w:firstLine="420"/>
        <w:rPr>
          <w:rFonts w:hint="eastAsia" w:ascii="仿宋" w:hAnsi="仿宋" w:eastAsia="仿宋"/>
          <w:sz w:val="32"/>
        </w:rPr>
      </w:pPr>
      <w:r>
        <w:rPr>
          <w:rFonts w:ascii="仿宋" w:hAnsi="仿宋" w:eastAsia="仿宋"/>
          <w:b/>
          <w:bCs/>
          <w:sz w:val="32"/>
        </w:rPr>
        <w:t>快速处理：</w:t>
      </w:r>
      <w:r>
        <w:rPr>
          <w:rFonts w:ascii="仿宋" w:hAnsi="仿宋" w:eastAsia="仿宋"/>
          <w:sz w:val="32"/>
        </w:rPr>
        <w:t>对于紧急事件（如系统宕机、数据无法访问），服务商运维团队须在接收告警后5分钟内启动最高级别应急响应，15分钟内介入，优先恢复业务。</w:t>
      </w:r>
    </w:p>
    <w:p w14:paraId="165FBF36">
      <w:pPr>
        <w:ind w:firstLine="420"/>
        <w:rPr>
          <w:rFonts w:hint="eastAsia" w:ascii="仿宋" w:hAnsi="仿宋" w:eastAsia="仿宋"/>
          <w:sz w:val="32"/>
        </w:rPr>
      </w:pPr>
      <w:r>
        <w:rPr>
          <w:rFonts w:ascii="仿宋" w:hAnsi="仿宋" w:eastAsia="仿宋"/>
          <w:b/>
          <w:bCs/>
          <w:sz w:val="32"/>
        </w:rPr>
        <w:t>规范化流程：</w:t>
      </w:r>
      <w:r>
        <w:rPr>
          <w:rFonts w:ascii="仿宋" w:hAnsi="仿宋" w:eastAsia="仿宋"/>
          <w:sz w:val="32"/>
        </w:rPr>
        <w:t>故障诊断与排除须严格遵循最佳实践，收集信息、判断类型、隔离源头、执行恢复方案，并全面验证恢复效果。</w:t>
      </w:r>
    </w:p>
    <w:p w14:paraId="723737FB">
      <w:pPr>
        <w:ind w:firstLine="420"/>
        <w:rPr>
          <w:rFonts w:hint="eastAsia" w:ascii="仿宋" w:hAnsi="仿宋" w:eastAsia="仿宋"/>
          <w:sz w:val="32"/>
        </w:rPr>
      </w:pPr>
      <w:r>
        <w:rPr>
          <w:rFonts w:ascii="仿宋" w:hAnsi="仿宋" w:eastAsia="仿宋"/>
          <w:b/>
          <w:bCs/>
          <w:sz w:val="32"/>
        </w:rPr>
        <w:t>根因分析与优化：</w:t>
      </w:r>
      <w:r>
        <w:rPr>
          <w:rFonts w:ascii="仿宋" w:hAnsi="仿宋" w:eastAsia="仿宋"/>
          <w:sz w:val="32"/>
        </w:rPr>
        <w:t>针对所有重要级别及以上事件，服务商须进行彻底的根本原因分析（RCA），识别深层原因，制定长期预防措施，并更新知识库和SOP。</w:t>
      </w:r>
    </w:p>
    <w:p w14:paraId="4B6B8F52">
      <w:pPr>
        <w:ind w:firstLine="420"/>
        <w:rPr>
          <w:rFonts w:hint="eastAsia" w:ascii="仿宋" w:hAnsi="仿宋" w:eastAsia="仿宋"/>
          <w:sz w:val="32"/>
        </w:rPr>
      </w:pPr>
      <w:r>
        <w:rPr>
          <w:rFonts w:ascii="仿宋" w:hAnsi="仿宋" w:eastAsia="仿宋"/>
          <w:b/>
          <w:bCs/>
          <w:sz w:val="32"/>
        </w:rPr>
        <w:t>升级机制：</w:t>
      </w:r>
      <w:r>
        <w:rPr>
          <w:rFonts w:ascii="仿宋" w:hAnsi="仿宋" w:eastAsia="仿宋"/>
          <w:sz w:val="32"/>
        </w:rPr>
        <w:t>建立明确的多级升级路径，确保在内部技术支持团队无法解决问题时，能够迅速联络存储设备原厂获得专家支持。</w:t>
      </w:r>
    </w:p>
    <w:p w14:paraId="6B5766B2">
      <w:pPr>
        <w:rPr>
          <w:rFonts w:hint="eastAsia"/>
        </w:rPr>
      </w:pPr>
    </w:p>
    <w:p w14:paraId="6E6FCBF1">
      <w:pPr>
        <w:pStyle w:val="30"/>
        <w:numPr>
          <w:ilvl w:val="0"/>
          <w:numId w:val="26"/>
        </w:numPr>
        <w:outlineLvl w:val="1"/>
        <w:rPr>
          <w:rFonts w:hint="eastAsia" w:ascii="楷体" w:hAnsi="楷体" w:eastAsia="楷体"/>
          <w:sz w:val="32"/>
        </w:rPr>
      </w:pPr>
      <w:r>
        <w:rPr>
          <w:rFonts w:ascii="楷体" w:hAnsi="楷体" w:eastAsia="楷体"/>
          <w:b/>
          <w:bCs/>
          <w:sz w:val="32"/>
        </w:rPr>
        <w:t>服务支持与响应要求</w:t>
      </w:r>
    </w:p>
    <w:p w14:paraId="51EFD183">
      <w:pPr>
        <w:ind w:firstLine="420"/>
        <w:rPr>
          <w:rFonts w:hint="eastAsia" w:ascii="仿宋" w:hAnsi="仿宋" w:eastAsia="仿宋"/>
          <w:sz w:val="32"/>
        </w:rPr>
      </w:pPr>
      <w:r>
        <w:rPr>
          <w:rFonts w:ascii="仿宋" w:hAnsi="仿宋" w:eastAsia="仿宋"/>
          <w:sz w:val="32"/>
        </w:rPr>
        <w:t>本项目要求服务商提供全面、高效且专业的服务支持与响应机制，以确保甲方存储基础设施的持续稳定运行和业务连续性。该机制须涵盖明确的运维服务模式、严格的响应时限、分级支持体系及多样化的沟通渠道，旨在为甲方提供快速、可靠的技术支持，有效应对各类存储系统事件。</w:t>
      </w:r>
    </w:p>
    <w:p w14:paraId="78457D41">
      <w:pPr>
        <w:pStyle w:val="30"/>
        <w:numPr>
          <w:ilvl w:val="0"/>
          <w:numId w:val="27"/>
        </w:numPr>
        <w:outlineLvl w:val="2"/>
        <w:rPr>
          <w:rFonts w:hint="eastAsia" w:ascii="仿宋" w:hAnsi="仿宋" w:eastAsia="仿宋"/>
          <w:sz w:val="32"/>
        </w:rPr>
      </w:pPr>
      <w:r>
        <w:rPr>
          <w:rFonts w:ascii="仿宋" w:hAnsi="仿宋" w:eastAsia="仿宋"/>
          <w:b/>
          <w:bCs/>
          <w:sz w:val="32"/>
        </w:rPr>
        <w:t>运维服务模式要求</w:t>
      </w:r>
    </w:p>
    <w:p w14:paraId="1CE331AF">
      <w:pPr>
        <w:ind w:firstLine="420"/>
        <w:rPr>
          <w:rFonts w:hint="eastAsia" w:ascii="仿宋" w:hAnsi="仿宋" w:eastAsia="仿宋"/>
          <w:sz w:val="32"/>
        </w:rPr>
      </w:pPr>
      <w:r>
        <w:rPr>
          <w:rFonts w:ascii="仿宋" w:hAnsi="仿宋" w:eastAsia="仿宋"/>
          <w:sz w:val="32"/>
        </w:rPr>
        <w:t>服务商必须采用主动预防与快速响应相结合的运维服务模式，并满足以下要求：</w:t>
      </w:r>
    </w:p>
    <w:p w14:paraId="52F5BED8">
      <w:pPr>
        <w:ind w:firstLine="420"/>
        <w:rPr>
          <w:rFonts w:hint="eastAsia" w:ascii="仿宋" w:hAnsi="仿宋" w:eastAsia="仿宋"/>
          <w:sz w:val="32"/>
        </w:rPr>
      </w:pPr>
      <w:r>
        <w:rPr>
          <w:rFonts w:ascii="仿宋" w:hAnsi="仿宋" w:eastAsia="仿宋"/>
          <w:b/>
          <w:bCs/>
          <w:sz w:val="32"/>
        </w:rPr>
        <w:t>7x24小时全天候监控：</w:t>
      </w:r>
      <w:r>
        <w:rPr>
          <w:rFonts w:ascii="仿宋" w:hAnsi="仿宋" w:eastAsia="仿宋"/>
          <w:sz w:val="32"/>
        </w:rPr>
        <w:t>服务商须以7x24小时全天候远程监控为基础，通过自动化工具和专业平台实时监测甲方存储系统的健康状态、性能指标与潜在风险。</w:t>
      </w:r>
    </w:p>
    <w:p w14:paraId="38A74E1E">
      <w:pPr>
        <w:ind w:firstLine="420"/>
        <w:rPr>
          <w:rFonts w:hint="eastAsia" w:ascii="仿宋" w:hAnsi="仿宋" w:eastAsia="仿宋"/>
          <w:sz w:val="32"/>
        </w:rPr>
      </w:pPr>
      <w:r>
        <w:rPr>
          <w:rFonts w:ascii="仿宋" w:hAnsi="仿宋" w:eastAsia="仿宋"/>
          <w:b/>
          <w:bCs/>
          <w:sz w:val="32"/>
        </w:rPr>
        <w:t>远程与现场支持：</w:t>
      </w:r>
      <w:r>
        <w:rPr>
          <w:rFonts w:ascii="仿宋" w:hAnsi="仿宋" w:eastAsia="仿宋"/>
          <w:sz w:val="32"/>
        </w:rPr>
        <w:t>远程支持团队须负责甲方的日常系统巡检、性能优化、告警处理及远程故障诊断与排除工作。对于无法通过远程方式解决的复杂故障、硬件更换或大型变更操作，服务商须及时安排具备相应资质的现场工程师进行处置。</w:t>
      </w:r>
    </w:p>
    <w:p w14:paraId="056CB316">
      <w:pPr>
        <w:ind w:firstLine="420"/>
        <w:rPr>
          <w:rFonts w:hint="eastAsia" w:ascii="仿宋" w:hAnsi="仿宋" w:eastAsia="仿宋"/>
          <w:sz w:val="32"/>
        </w:rPr>
      </w:pPr>
      <w:r>
        <w:rPr>
          <w:rFonts w:ascii="仿宋" w:hAnsi="仿宋" w:eastAsia="仿宋"/>
          <w:b/>
          <w:bCs/>
          <w:sz w:val="32"/>
        </w:rPr>
        <w:t>运维效率最大化：</w:t>
      </w:r>
      <w:r>
        <w:rPr>
          <w:rFonts w:ascii="仿宋" w:hAnsi="仿宋" w:eastAsia="仿宋"/>
          <w:sz w:val="32"/>
        </w:rPr>
        <w:t>服务模式旨在最大化运维效率，降低响应成本，并在必要时提供快速现场支撑，确保甲方存储资源的持续可用性和稳定性。</w:t>
      </w:r>
    </w:p>
    <w:p w14:paraId="361F12D5">
      <w:pPr>
        <w:ind w:firstLine="420"/>
        <w:rPr>
          <w:rFonts w:hint="eastAsia" w:ascii="仿宋" w:hAnsi="仿宋" w:eastAsia="仿宋"/>
          <w:sz w:val="32"/>
        </w:rPr>
      </w:pPr>
      <w:r>
        <w:rPr>
          <w:rFonts w:ascii="仿宋" w:hAnsi="仿宋" w:eastAsia="仿宋"/>
          <w:b/>
          <w:bCs/>
          <w:sz w:val="32"/>
        </w:rPr>
        <w:t>透明化管理：</w:t>
      </w:r>
      <w:r>
        <w:rPr>
          <w:rFonts w:ascii="仿宋" w:hAnsi="仿宋" w:eastAsia="仿宋"/>
          <w:sz w:val="32"/>
        </w:rPr>
        <w:t>所有服务活动均须通过标准化流程和工单系统进行记录与追踪，确保甲方可以随时了解服务进展。</w:t>
      </w:r>
    </w:p>
    <w:p w14:paraId="612245ED">
      <w:pPr>
        <w:pStyle w:val="30"/>
        <w:numPr>
          <w:ilvl w:val="0"/>
          <w:numId w:val="28"/>
        </w:numPr>
        <w:outlineLvl w:val="2"/>
        <w:rPr>
          <w:rFonts w:hint="eastAsia" w:ascii="仿宋" w:hAnsi="仿宋" w:eastAsia="仿宋"/>
          <w:sz w:val="32"/>
        </w:rPr>
      </w:pPr>
      <w:r>
        <w:rPr>
          <w:rFonts w:ascii="仿宋" w:hAnsi="仿宋" w:eastAsia="仿宋"/>
          <w:b/>
          <w:bCs/>
          <w:sz w:val="32"/>
        </w:rPr>
        <w:t>响应时限要求</w:t>
      </w:r>
    </w:p>
    <w:p w14:paraId="7AE1790C">
      <w:pPr>
        <w:ind w:firstLine="420"/>
        <w:rPr>
          <w:rFonts w:hint="eastAsia" w:ascii="仿宋" w:hAnsi="仿宋" w:eastAsia="仿宋"/>
          <w:sz w:val="32"/>
        </w:rPr>
      </w:pPr>
      <w:r>
        <w:rPr>
          <w:rFonts w:ascii="仿宋" w:hAnsi="仿宋" w:eastAsia="仿宋"/>
          <w:sz w:val="32"/>
        </w:rPr>
        <w:t>服务商提供的服务响应时限必须根据事件对甲方业务影响的严重程度进行分级定义，并严格遵照服务级别协议（SLA）执行，以保障甲方业务连续性。具体响应时限要求如下：</w:t>
      </w:r>
    </w:p>
    <w:p w14:paraId="36EDCD67">
      <w:pPr>
        <w:rPr>
          <w:rFonts w:hint="eastAsia" w:ascii="仿宋" w:hAnsi="仿宋" w:eastAsia="仿宋"/>
          <w:sz w:val="32"/>
        </w:rPr>
      </w:pPr>
      <w:r>
        <w:rPr>
          <w:rFonts w:ascii="仿宋" w:hAnsi="仿宋" w:eastAsia="仿宋"/>
          <w:b/>
          <w:bCs/>
          <w:sz w:val="32"/>
        </w:rPr>
        <w:t>紧急事件响应：</w:t>
      </w:r>
    </w:p>
    <w:p w14:paraId="5BEDAEA0">
      <w:pPr>
        <w:ind w:firstLine="420"/>
        <w:rPr>
          <w:rFonts w:hint="eastAsia" w:ascii="仿宋" w:hAnsi="仿宋" w:eastAsia="仿宋"/>
          <w:sz w:val="32"/>
        </w:rPr>
      </w:pPr>
      <w:r>
        <w:rPr>
          <w:rFonts w:ascii="仿宋" w:hAnsi="仿宋" w:eastAsia="仿宋"/>
          <w:b/>
          <w:bCs/>
          <w:sz w:val="32"/>
        </w:rPr>
        <w:t>定义：</w:t>
      </w:r>
      <w:r>
        <w:rPr>
          <w:rFonts w:ascii="仿宋" w:hAnsi="仿宋" w:eastAsia="仿宋"/>
          <w:sz w:val="32"/>
        </w:rPr>
        <w:t>如存储系统宕机导致甲方核心业务中断、关键数据无法访问。</w:t>
      </w:r>
    </w:p>
    <w:p w14:paraId="48511188">
      <w:pPr>
        <w:ind w:firstLine="420"/>
        <w:rPr>
          <w:rFonts w:hint="eastAsia" w:ascii="仿宋" w:hAnsi="仿宋" w:eastAsia="仿宋"/>
          <w:sz w:val="32"/>
        </w:rPr>
      </w:pPr>
      <w:r>
        <w:rPr>
          <w:rFonts w:ascii="仿宋" w:hAnsi="仿宋" w:eastAsia="仿宋"/>
          <w:b/>
          <w:bCs/>
          <w:sz w:val="32"/>
        </w:rPr>
        <w:t>响应要求：</w:t>
      </w:r>
      <w:r>
        <w:rPr>
          <w:rFonts w:ascii="仿宋" w:hAnsi="仿宋" w:eastAsia="仿宋"/>
          <w:sz w:val="32"/>
        </w:rPr>
        <w:t>系统在告警触发后</w:t>
      </w:r>
      <w:r>
        <w:rPr>
          <w:rFonts w:ascii="仿宋" w:hAnsi="仿宋" w:eastAsia="仿宋"/>
          <w:b/>
          <w:bCs/>
          <w:sz w:val="32"/>
        </w:rPr>
        <w:t>5分钟内</w:t>
      </w:r>
      <w:r>
        <w:rPr>
          <w:rFonts w:ascii="仿宋" w:hAnsi="仿宋" w:eastAsia="仿宋"/>
          <w:sz w:val="32"/>
        </w:rPr>
        <w:t>自动通知值班人员，服务商运维团队须在</w:t>
      </w:r>
      <w:r>
        <w:rPr>
          <w:rFonts w:ascii="仿宋" w:hAnsi="仿宋" w:eastAsia="仿宋"/>
          <w:b/>
          <w:bCs/>
          <w:sz w:val="32"/>
        </w:rPr>
        <w:t>15分钟内</w:t>
      </w:r>
      <w:r>
        <w:rPr>
          <w:rFonts w:ascii="仿宋" w:hAnsi="仿宋" w:eastAsia="仿宋"/>
          <w:sz w:val="32"/>
        </w:rPr>
        <w:t>进行响应，启动应急预案，并在</w:t>
      </w:r>
      <w:r>
        <w:rPr>
          <w:rFonts w:ascii="仿宋" w:hAnsi="仿宋" w:eastAsia="仿宋"/>
          <w:b/>
          <w:bCs/>
          <w:sz w:val="32"/>
        </w:rPr>
        <w:t>30分钟内</w:t>
      </w:r>
      <w:r>
        <w:rPr>
          <w:rFonts w:hint="eastAsia" w:ascii="仿宋" w:hAnsi="仿宋" w:eastAsia="仿宋"/>
          <w:b/>
          <w:bCs/>
          <w:sz w:val="32"/>
        </w:rPr>
        <w:t>派工程师提达现场，</w:t>
      </w:r>
      <w:r>
        <w:rPr>
          <w:rFonts w:ascii="仿宋" w:hAnsi="仿宋" w:eastAsia="仿宋"/>
          <w:sz w:val="32"/>
        </w:rPr>
        <w:t>提供初步诊断结果及恢复计划，致力于在最短时间内恢复业务。</w:t>
      </w:r>
    </w:p>
    <w:p w14:paraId="691A6D57">
      <w:pPr>
        <w:rPr>
          <w:rFonts w:hint="eastAsia" w:ascii="仿宋" w:hAnsi="仿宋" w:eastAsia="仿宋"/>
          <w:sz w:val="32"/>
        </w:rPr>
      </w:pPr>
      <w:r>
        <w:rPr>
          <w:rFonts w:ascii="仿宋" w:hAnsi="仿宋" w:eastAsia="仿宋"/>
          <w:b/>
          <w:bCs/>
          <w:sz w:val="32"/>
        </w:rPr>
        <w:t>重要事件响应：</w:t>
      </w:r>
    </w:p>
    <w:p w14:paraId="35E181C4">
      <w:pPr>
        <w:ind w:firstLine="420"/>
        <w:rPr>
          <w:rFonts w:hint="eastAsia" w:ascii="仿宋" w:hAnsi="仿宋" w:eastAsia="仿宋"/>
          <w:sz w:val="32"/>
        </w:rPr>
      </w:pPr>
      <w:r>
        <w:rPr>
          <w:rFonts w:ascii="仿宋" w:hAnsi="仿宋" w:eastAsia="仿宋"/>
          <w:b/>
          <w:bCs/>
          <w:sz w:val="32"/>
        </w:rPr>
        <w:t>定义：</w:t>
      </w:r>
      <w:r>
        <w:rPr>
          <w:rFonts w:ascii="仿宋" w:hAnsi="仿宋" w:eastAsia="仿宋"/>
          <w:sz w:val="32"/>
        </w:rPr>
        <w:t>如存储性能严重下降影响部分关键业务、主要冗余组件故障、数据保护任务失败。</w:t>
      </w:r>
    </w:p>
    <w:p w14:paraId="273C09E8">
      <w:pPr>
        <w:ind w:firstLine="420"/>
        <w:rPr>
          <w:rFonts w:hint="eastAsia" w:ascii="仿宋" w:hAnsi="仿宋" w:eastAsia="仿宋"/>
          <w:sz w:val="32"/>
        </w:rPr>
      </w:pPr>
      <w:r>
        <w:rPr>
          <w:rFonts w:ascii="仿宋" w:hAnsi="仿宋" w:eastAsia="仿宋"/>
          <w:b/>
          <w:bCs/>
          <w:sz w:val="32"/>
        </w:rPr>
        <w:t>响应要求：</w:t>
      </w:r>
      <w:r>
        <w:rPr>
          <w:rFonts w:ascii="仿宋" w:hAnsi="仿宋" w:eastAsia="仿宋"/>
          <w:sz w:val="32"/>
        </w:rPr>
        <w:t>系统在告警触发后</w:t>
      </w:r>
      <w:r>
        <w:rPr>
          <w:rFonts w:ascii="仿宋" w:hAnsi="仿宋" w:eastAsia="仿宋"/>
          <w:b/>
          <w:bCs/>
          <w:sz w:val="32"/>
        </w:rPr>
        <w:t>10分钟内</w:t>
      </w:r>
      <w:r>
        <w:rPr>
          <w:rFonts w:ascii="仿宋" w:hAnsi="仿宋" w:eastAsia="仿宋"/>
          <w:sz w:val="32"/>
        </w:rPr>
        <w:t>自动通知值班人员，服务商运维团队须在</w:t>
      </w:r>
      <w:r>
        <w:rPr>
          <w:rFonts w:ascii="仿宋" w:hAnsi="仿宋" w:eastAsia="仿宋"/>
          <w:b/>
          <w:bCs/>
          <w:sz w:val="32"/>
        </w:rPr>
        <w:t>30分钟内</w:t>
      </w:r>
      <w:r>
        <w:rPr>
          <w:rFonts w:ascii="仿宋" w:hAnsi="仿宋" w:eastAsia="仿宋"/>
          <w:sz w:val="32"/>
        </w:rPr>
        <w:t>进行响应，并在</w:t>
      </w:r>
      <w:r>
        <w:rPr>
          <w:rFonts w:ascii="仿宋" w:hAnsi="仿宋" w:eastAsia="仿宋"/>
          <w:b/>
          <w:bCs/>
          <w:sz w:val="32"/>
        </w:rPr>
        <w:t>2小时内</w:t>
      </w:r>
      <w:r>
        <w:rPr>
          <w:rFonts w:ascii="仿宋" w:hAnsi="仿宋" w:eastAsia="仿宋"/>
          <w:sz w:val="32"/>
        </w:rPr>
        <w:t>提供解决方案或恢复措施，致力于尽快将系统恢复至正常状态。</w:t>
      </w:r>
    </w:p>
    <w:p w14:paraId="4554CA9E">
      <w:pPr>
        <w:rPr>
          <w:rFonts w:hint="eastAsia" w:ascii="仿宋" w:hAnsi="仿宋" w:eastAsia="仿宋"/>
          <w:sz w:val="32"/>
        </w:rPr>
      </w:pPr>
      <w:r>
        <w:rPr>
          <w:rFonts w:ascii="仿宋" w:hAnsi="仿宋" w:eastAsia="仿宋"/>
          <w:b/>
          <w:bCs/>
          <w:sz w:val="32"/>
        </w:rPr>
        <w:t>一般事件响应：</w:t>
      </w:r>
    </w:p>
    <w:p w14:paraId="60EDF839">
      <w:pPr>
        <w:ind w:firstLine="420"/>
        <w:rPr>
          <w:rFonts w:hint="eastAsia" w:ascii="仿宋" w:hAnsi="仿宋" w:eastAsia="仿宋"/>
          <w:sz w:val="32"/>
        </w:rPr>
      </w:pPr>
      <w:r>
        <w:rPr>
          <w:rFonts w:ascii="仿宋" w:hAnsi="仿宋" w:eastAsia="仿宋"/>
          <w:b/>
          <w:bCs/>
          <w:sz w:val="32"/>
        </w:rPr>
        <w:t>定义：</w:t>
      </w:r>
      <w:r>
        <w:rPr>
          <w:rFonts w:ascii="仿宋" w:hAnsi="仿宋" w:eastAsia="仿宋"/>
          <w:sz w:val="32"/>
        </w:rPr>
        <w:t>如存储容量预警、非关键告警、常规咨询、操作请求。</w:t>
      </w:r>
    </w:p>
    <w:p w14:paraId="245880F8">
      <w:pPr>
        <w:ind w:firstLine="420"/>
        <w:rPr>
          <w:rFonts w:hint="eastAsia" w:ascii="仿宋" w:hAnsi="仿宋" w:eastAsia="仿宋"/>
          <w:sz w:val="32"/>
        </w:rPr>
      </w:pPr>
      <w:r>
        <w:rPr>
          <w:rFonts w:ascii="仿宋" w:hAnsi="仿宋" w:eastAsia="仿宋"/>
          <w:b/>
          <w:bCs/>
          <w:sz w:val="32"/>
        </w:rPr>
        <w:t>响应要求：</w:t>
      </w:r>
      <w:r>
        <w:rPr>
          <w:rFonts w:ascii="仿宋" w:hAnsi="仿宋" w:eastAsia="仿宋"/>
          <w:sz w:val="32"/>
        </w:rPr>
        <w:t>系统在告警触发后</w:t>
      </w:r>
      <w:r>
        <w:rPr>
          <w:rFonts w:ascii="仿宋" w:hAnsi="仿宋" w:eastAsia="仿宋"/>
          <w:b/>
          <w:bCs/>
          <w:sz w:val="32"/>
        </w:rPr>
        <w:t>30分钟内</w:t>
      </w:r>
      <w:r>
        <w:rPr>
          <w:rFonts w:ascii="仿宋" w:hAnsi="仿宋" w:eastAsia="仿宋"/>
          <w:sz w:val="32"/>
        </w:rPr>
        <w:t>自动通知值班人员，服务商运维团队须在</w:t>
      </w:r>
      <w:r>
        <w:rPr>
          <w:rFonts w:ascii="仿宋" w:hAnsi="仿宋" w:eastAsia="仿宋"/>
          <w:b/>
          <w:bCs/>
          <w:sz w:val="32"/>
        </w:rPr>
        <w:t>1小时内</w:t>
      </w:r>
      <w:r>
        <w:rPr>
          <w:rFonts w:ascii="仿宋" w:hAnsi="仿宋" w:eastAsia="仿宋"/>
          <w:sz w:val="32"/>
        </w:rPr>
        <w:t>进行响应，并在</w:t>
      </w:r>
      <w:r>
        <w:rPr>
          <w:rFonts w:ascii="仿宋" w:hAnsi="仿宋" w:eastAsia="仿宋"/>
          <w:b/>
          <w:bCs/>
          <w:sz w:val="32"/>
        </w:rPr>
        <w:t>一个工作日内</w:t>
      </w:r>
      <w:r>
        <w:rPr>
          <w:rFonts w:ascii="仿宋" w:hAnsi="仿宋" w:eastAsia="仿宋"/>
          <w:sz w:val="32"/>
        </w:rPr>
        <w:t>提供解决方案或实施服务。</w:t>
      </w:r>
    </w:p>
    <w:p w14:paraId="725870E6">
      <w:pPr>
        <w:ind w:firstLine="420"/>
        <w:rPr>
          <w:rFonts w:hint="eastAsia" w:ascii="仿宋" w:hAnsi="仿宋" w:eastAsia="仿宋"/>
          <w:sz w:val="32"/>
        </w:rPr>
      </w:pPr>
      <w:r>
        <w:rPr>
          <w:rFonts w:ascii="仿宋" w:hAnsi="仿宋" w:eastAsia="仿宋"/>
          <w:b/>
          <w:bCs/>
          <w:sz w:val="32"/>
        </w:rPr>
        <w:t>服务请求处理：</w:t>
      </w:r>
      <w:r>
        <w:rPr>
          <w:rFonts w:ascii="仿宋" w:hAnsi="仿宋" w:eastAsia="仿宋"/>
          <w:sz w:val="32"/>
        </w:rPr>
        <w:t>对于甲方提出的服务请求，如容量申请、权限变更、日常操作指导等，服务商须通过项目工单系统接收并进行统一管理，确保在双方约定的时间内完成响应并提供服务。所有事件处理过程均须严格记录，并进行跟踪与升级管理，确保服务质量。</w:t>
      </w:r>
    </w:p>
    <w:p w14:paraId="45F01A58">
      <w:pPr>
        <w:pStyle w:val="30"/>
        <w:numPr>
          <w:ilvl w:val="0"/>
          <w:numId w:val="29"/>
        </w:numPr>
        <w:outlineLvl w:val="2"/>
        <w:rPr>
          <w:rFonts w:hint="eastAsia" w:ascii="仿宋" w:hAnsi="仿宋" w:eastAsia="仿宋"/>
          <w:sz w:val="32"/>
        </w:rPr>
      </w:pPr>
      <w:r>
        <w:rPr>
          <w:rFonts w:ascii="仿宋" w:hAnsi="仿宋" w:eastAsia="仿宋"/>
          <w:b/>
          <w:bCs/>
          <w:sz w:val="32"/>
        </w:rPr>
        <w:t>支持等级要求</w:t>
      </w:r>
    </w:p>
    <w:p w14:paraId="272F864D">
      <w:pPr>
        <w:ind w:firstLine="420"/>
        <w:rPr>
          <w:rFonts w:hint="eastAsia" w:ascii="仿宋" w:hAnsi="仿宋" w:eastAsia="仿宋"/>
          <w:sz w:val="32"/>
        </w:rPr>
      </w:pPr>
      <w:r>
        <w:rPr>
          <w:rFonts w:ascii="仿宋" w:hAnsi="仿宋" w:eastAsia="仿宋"/>
          <w:sz w:val="32"/>
        </w:rPr>
        <w:t>服务商必须建立清晰、高效的分级支持体系，确保甲方各类技术问题和请求能够得到专业且及时的处理：</w:t>
      </w:r>
    </w:p>
    <w:p w14:paraId="653FF3C3">
      <w:pPr>
        <w:rPr>
          <w:rFonts w:hint="eastAsia" w:ascii="仿宋" w:hAnsi="仿宋" w:eastAsia="仿宋"/>
          <w:sz w:val="32"/>
        </w:rPr>
      </w:pPr>
      <w:r>
        <w:rPr>
          <w:rFonts w:ascii="仿宋" w:hAnsi="仿宋" w:eastAsia="仿宋"/>
          <w:b/>
          <w:bCs/>
          <w:sz w:val="32"/>
        </w:rPr>
        <w:t>一级支持（L1）：</w:t>
      </w:r>
    </w:p>
    <w:p w14:paraId="61777E18">
      <w:pPr>
        <w:ind w:firstLine="420"/>
        <w:rPr>
          <w:rFonts w:hint="eastAsia" w:ascii="仿宋" w:hAnsi="仿宋" w:eastAsia="仿宋"/>
          <w:sz w:val="32"/>
        </w:rPr>
      </w:pPr>
      <w:r>
        <w:rPr>
          <w:rFonts w:ascii="仿宋" w:hAnsi="仿宋" w:eastAsia="仿宋"/>
          <w:b/>
          <w:bCs/>
          <w:sz w:val="32"/>
        </w:rPr>
        <w:t>职责：</w:t>
      </w:r>
      <w:r>
        <w:rPr>
          <w:rFonts w:ascii="仿宋" w:hAnsi="仿宋" w:eastAsia="仿宋"/>
          <w:sz w:val="32"/>
        </w:rPr>
        <w:t>作为甲方服务请求和技术事件的首先接触点，由经验丰富的</w:t>
      </w:r>
      <w:r>
        <w:rPr>
          <w:rFonts w:hint="eastAsia" w:ascii="仿宋" w:hAnsi="仿宋" w:eastAsia="仿宋"/>
          <w:sz w:val="32"/>
        </w:rPr>
        <w:t>具有原厂技术认证的</w:t>
      </w:r>
      <w:r>
        <w:rPr>
          <w:rFonts w:hint="eastAsia" w:ascii="仿宋" w:hAnsi="仿宋" w:eastAsia="仿宋"/>
          <w:b/>
          <w:bCs/>
          <w:sz w:val="32"/>
        </w:rPr>
        <w:t>本地</w:t>
      </w:r>
      <w:r>
        <w:rPr>
          <w:rFonts w:ascii="仿宋" w:hAnsi="仿宋" w:eastAsia="仿宋"/>
          <w:b/>
          <w:bCs/>
          <w:sz w:val="32"/>
        </w:rPr>
        <w:t>运维工程师</w:t>
      </w:r>
      <w:r>
        <w:rPr>
          <w:rFonts w:ascii="仿宋" w:hAnsi="仿宋" w:eastAsia="仿宋"/>
          <w:sz w:val="32"/>
        </w:rPr>
        <w:t>组成。L1团队须负责对接收到的事件和请求进行初步诊断、信息收集、分类归档，并尝试进行首次解决。其职责须包括回答常规技术咨询、处理标准化操作请求（如存储分配、简单权限修改）、进行系统健康检查、监控告警确认及简单故障的排除。</w:t>
      </w:r>
    </w:p>
    <w:p w14:paraId="402D3B08">
      <w:pPr>
        <w:ind w:firstLine="420"/>
        <w:rPr>
          <w:rFonts w:hint="eastAsia" w:ascii="仿宋" w:hAnsi="仿宋" w:eastAsia="仿宋"/>
          <w:sz w:val="32"/>
        </w:rPr>
      </w:pPr>
      <w:r>
        <w:rPr>
          <w:rFonts w:ascii="仿宋" w:hAnsi="仿宋" w:eastAsia="仿宋"/>
          <w:b/>
          <w:bCs/>
          <w:sz w:val="32"/>
        </w:rPr>
        <w:t>升级机制：</w:t>
      </w:r>
      <w:r>
        <w:rPr>
          <w:rFonts w:ascii="仿宋" w:hAnsi="仿宋" w:eastAsia="仿宋"/>
          <w:sz w:val="32"/>
        </w:rPr>
        <w:t>对于无法通过标准流程解决或超出其权限范围的问题，L1团队须按照既定流程迅速上报至二级支持团队。</w:t>
      </w:r>
    </w:p>
    <w:p w14:paraId="223E735B">
      <w:pPr>
        <w:rPr>
          <w:rFonts w:hint="eastAsia" w:ascii="仿宋" w:hAnsi="仿宋" w:eastAsia="仿宋"/>
          <w:sz w:val="32"/>
        </w:rPr>
      </w:pPr>
      <w:r>
        <w:rPr>
          <w:rFonts w:ascii="仿宋" w:hAnsi="仿宋" w:eastAsia="仿宋"/>
          <w:b/>
          <w:bCs/>
          <w:sz w:val="32"/>
        </w:rPr>
        <w:t>二级支持（L2）：</w:t>
      </w:r>
    </w:p>
    <w:p w14:paraId="50DC2E8B">
      <w:pPr>
        <w:ind w:firstLine="420"/>
        <w:rPr>
          <w:rFonts w:hint="eastAsia" w:ascii="仿宋" w:hAnsi="仿宋" w:eastAsia="仿宋"/>
          <w:sz w:val="32"/>
        </w:rPr>
      </w:pPr>
      <w:r>
        <w:rPr>
          <w:rFonts w:ascii="仿宋" w:hAnsi="仿宋" w:eastAsia="仿宋"/>
          <w:b/>
          <w:bCs/>
          <w:sz w:val="32"/>
        </w:rPr>
        <w:t>职责：</w:t>
      </w:r>
      <w:r>
        <w:rPr>
          <w:rFonts w:ascii="仿宋" w:hAnsi="仿宋" w:eastAsia="仿宋"/>
          <w:sz w:val="32"/>
        </w:rPr>
        <w:t>由具备深厚存储技术知识和丰富实践经验的高级运维工程师组成。L2团队须负责处理L1团队上报的复杂技术难题、性能瓶颈分析、疑难故障诊断与排除、非标准化配置变更的实施，以及数据备份与恢复的验证与执行。L2团队须有权访问更高级别的存储管理工具和诊断数据，并负责制定详细的故障恢复方案。</w:t>
      </w:r>
    </w:p>
    <w:p w14:paraId="29F26516">
      <w:pPr>
        <w:ind w:firstLine="420"/>
        <w:rPr>
          <w:rFonts w:hint="eastAsia" w:ascii="仿宋" w:hAnsi="仿宋" w:eastAsia="仿宋"/>
          <w:sz w:val="32"/>
        </w:rPr>
      </w:pPr>
      <w:r>
        <w:rPr>
          <w:rFonts w:ascii="仿宋" w:hAnsi="仿宋" w:eastAsia="仿宋"/>
          <w:b/>
          <w:bCs/>
          <w:sz w:val="32"/>
        </w:rPr>
        <w:t>升级机制：</w:t>
      </w:r>
      <w:r>
        <w:rPr>
          <w:rFonts w:ascii="仿宋" w:hAnsi="仿宋" w:eastAsia="仿宋"/>
          <w:sz w:val="32"/>
        </w:rPr>
        <w:t>在必要时，L2团队须协调三级支持或直接与存储原厂技术专家进行沟通与协作。</w:t>
      </w:r>
    </w:p>
    <w:p w14:paraId="531CC79F">
      <w:pPr>
        <w:rPr>
          <w:rFonts w:hint="eastAsia" w:ascii="仿宋" w:hAnsi="仿宋" w:eastAsia="仿宋"/>
          <w:sz w:val="32"/>
        </w:rPr>
      </w:pPr>
      <w:r>
        <w:rPr>
          <w:rFonts w:ascii="仿宋" w:hAnsi="仿宋" w:eastAsia="仿宋"/>
          <w:b/>
          <w:bCs/>
          <w:sz w:val="32"/>
        </w:rPr>
        <w:t>三级支持（L3）：</w:t>
      </w:r>
    </w:p>
    <w:p w14:paraId="1222F54F">
      <w:pPr>
        <w:ind w:firstLine="420"/>
        <w:rPr>
          <w:rFonts w:hint="eastAsia" w:ascii="仿宋" w:hAnsi="仿宋" w:eastAsia="仿宋"/>
          <w:sz w:val="32"/>
        </w:rPr>
      </w:pPr>
      <w:r>
        <w:rPr>
          <w:rFonts w:ascii="仿宋" w:hAnsi="仿宋" w:eastAsia="仿宋"/>
          <w:b/>
          <w:bCs/>
          <w:sz w:val="32"/>
        </w:rPr>
        <w:t>职责：</w:t>
      </w:r>
      <w:r>
        <w:rPr>
          <w:rFonts w:ascii="仿宋" w:hAnsi="仿宋" w:eastAsia="仿宋"/>
          <w:sz w:val="32"/>
        </w:rPr>
        <w:t>由存储架构师、资深技术专家或存储设备原厂的高级技术支持团队构成。L3团队须主要处理L2团队无法解决的、涉及系统底层架构、固件缺陷、软件Bug或需要厂商专利工具和深度知识的问题。L3团队须提供根本原因分析（RCA），并协助制定长期的解决方案或优化建议。</w:t>
      </w:r>
    </w:p>
    <w:p w14:paraId="6229834E">
      <w:pPr>
        <w:ind w:firstLine="420"/>
        <w:rPr>
          <w:rFonts w:hint="eastAsia" w:ascii="仿宋" w:hAnsi="仿宋" w:eastAsia="仿宋"/>
          <w:sz w:val="32"/>
        </w:rPr>
      </w:pPr>
      <w:r>
        <w:rPr>
          <w:rFonts w:ascii="仿宋" w:hAnsi="仿宋" w:eastAsia="仿宋"/>
          <w:b/>
          <w:bCs/>
          <w:sz w:val="32"/>
        </w:rPr>
        <w:t>定位：</w:t>
      </w:r>
      <w:r>
        <w:rPr>
          <w:rFonts w:ascii="仿宋" w:hAnsi="仿宋" w:eastAsia="仿宋"/>
          <w:sz w:val="32"/>
        </w:rPr>
        <w:t>三级支持是解决甲方最复杂、最关键问题的最高技术层级，旨在确保任何技术挑战均能得到最终解决。</w:t>
      </w:r>
    </w:p>
    <w:p w14:paraId="6D9F3C99">
      <w:pPr>
        <w:pStyle w:val="30"/>
        <w:numPr>
          <w:ilvl w:val="0"/>
          <w:numId w:val="30"/>
        </w:numPr>
        <w:outlineLvl w:val="2"/>
        <w:rPr>
          <w:rFonts w:hint="eastAsia" w:ascii="仿宋" w:hAnsi="仿宋" w:eastAsia="仿宋"/>
          <w:sz w:val="32"/>
        </w:rPr>
      </w:pPr>
      <w:r>
        <w:rPr>
          <w:rFonts w:ascii="仿宋" w:hAnsi="仿宋" w:eastAsia="仿宋"/>
          <w:b/>
          <w:bCs/>
          <w:sz w:val="32"/>
        </w:rPr>
        <w:t>沟通渠道要求</w:t>
      </w:r>
    </w:p>
    <w:p w14:paraId="10E49DB0">
      <w:pPr>
        <w:ind w:firstLine="420"/>
        <w:rPr>
          <w:rFonts w:hint="eastAsia" w:ascii="仿宋" w:hAnsi="仿宋" w:eastAsia="仿宋"/>
          <w:sz w:val="32"/>
        </w:rPr>
      </w:pPr>
      <w:r>
        <w:rPr>
          <w:rFonts w:ascii="仿宋" w:hAnsi="仿宋" w:eastAsia="仿宋"/>
          <w:sz w:val="32"/>
        </w:rPr>
        <w:t>服务商必须提供多样化且畅通的沟通渠道，以确保甲方存储服务有效响应和满意度。主要沟通渠道要求如下：</w:t>
      </w:r>
    </w:p>
    <w:p w14:paraId="2D823631">
      <w:pPr>
        <w:ind w:firstLine="420"/>
        <w:rPr>
          <w:rFonts w:hint="eastAsia" w:ascii="仿宋" w:hAnsi="仿宋" w:eastAsia="仿宋"/>
          <w:sz w:val="32"/>
        </w:rPr>
      </w:pPr>
      <w:r>
        <w:rPr>
          <w:rFonts w:ascii="仿宋" w:hAnsi="仿宋" w:eastAsia="仿宋"/>
          <w:b/>
          <w:bCs/>
          <w:sz w:val="32"/>
        </w:rPr>
        <w:t>工单管理系统：</w:t>
      </w:r>
      <w:r>
        <w:rPr>
          <w:rFonts w:ascii="仿宋" w:hAnsi="仿宋" w:eastAsia="仿宋"/>
          <w:sz w:val="32"/>
        </w:rPr>
        <w:t>作为甲方提交各类服务请求、故障报告、咨询和变更申请的主要入口。工单系统须提供清晰的请求模板、状态追踪、历史记录查询功能，确保所有请求有据可循、有迹可查，并可通过系统与运维团队进行异步沟通和信息更新。</w:t>
      </w:r>
    </w:p>
    <w:p w14:paraId="7765B3B0">
      <w:pPr>
        <w:ind w:firstLine="420"/>
        <w:rPr>
          <w:rFonts w:hint="eastAsia" w:ascii="仿宋" w:hAnsi="仿宋" w:eastAsia="仿宋"/>
          <w:sz w:val="32"/>
        </w:rPr>
      </w:pPr>
      <w:r>
        <w:rPr>
          <w:rFonts w:ascii="仿宋" w:hAnsi="仿宋" w:eastAsia="仿宋"/>
          <w:b/>
          <w:bCs/>
          <w:sz w:val="32"/>
        </w:rPr>
        <w:t>电话服务：</w:t>
      </w:r>
      <w:r>
        <w:rPr>
          <w:rFonts w:ascii="仿宋" w:hAnsi="仿宋" w:eastAsia="仿宋"/>
          <w:sz w:val="32"/>
        </w:rPr>
        <w:t>须提供紧急事件汇报和实时技术支持的电话热线。此渠道主要用于处理紧急故障、业务中断等需要即时响应的场景，确保在关键时刻，甲方能够迅速与运维团队取得联系。</w:t>
      </w:r>
    </w:p>
    <w:p w14:paraId="13AB687E">
      <w:pPr>
        <w:ind w:firstLine="420"/>
        <w:rPr>
          <w:rFonts w:hint="eastAsia" w:ascii="仿宋" w:hAnsi="仿宋" w:eastAsia="仿宋"/>
          <w:sz w:val="32"/>
        </w:rPr>
      </w:pPr>
      <w:r>
        <w:rPr>
          <w:rFonts w:ascii="仿宋" w:hAnsi="仿宋" w:eastAsia="仿宋"/>
          <w:b/>
          <w:bCs/>
          <w:sz w:val="32"/>
        </w:rPr>
        <w:t>电子邮件：</w:t>
      </w:r>
      <w:r>
        <w:rPr>
          <w:rFonts w:ascii="仿宋" w:hAnsi="仿宋" w:eastAsia="仿宋"/>
          <w:sz w:val="32"/>
        </w:rPr>
        <w:t>须用于发送非紧急的服务请求、技术咨询、定期服务报告，以及接收告警通知。电子邮件沟通须具备清晰记录、可存档的特点，适用于信息传递和正式通知。</w:t>
      </w:r>
    </w:p>
    <w:p w14:paraId="31D45F80">
      <w:pPr>
        <w:ind w:firstLine="420"/>
        <w:rPr>
          <w:rFonts w:hint="eastAsia" w:ascii="仿宋" w:hAnsi="仿宋" w:eastAsia="仿宋"/>
          <w:sz w:val="32"/>
        </w:rPr>
      </w:pPr>
      <w:r>
        <w:rPr>
          <w:rFonts w:ascii="仿宋" w:hAnsi="仿宋" w:eastAsia="仿宋"/>
          <w:b/>
          <w:bCs/>
          <w:sz w:val="32"/>
        </w:rPr>
        <w:t>即时通讯工具：</w:t>
      </w:r>
      <w:r>
        <w:rPr>
          <w:rFonts w:ascii="仿宋" w:hAnsi="仿宋" w:eastAsia="仿宋"/>
          <w:sz w:val="32"/>
        </w:rPr>
        <w:t>须利用企业内部或双方认可的即时通讯软件（如企业微信、钉钉等），建立运维沟通群组，作为常规工作沟通、突发事件快速通知和轻量级技术咨询的辅助渠道。此渠道侧重于快速非正式交流和信息共享。</w:t>
      </w:r>
    </w:p>
    <w:p w14:paraId="3B606E0B">
      <w:pPr>
        <w:ind w:firstLine="420"/>
        <w:rPr>
          <w:rFonts w:hint="eastAsia" w:ascii="仿宋" w:hAnsi="仿宋" w:eastAsia="仿宋"/>
          <w:sz w:val="32"/>
        </w:rPr>
      </w:pPr>
      <w:r>
        <w:rPr>
          <w:rFonts w:ascii="仿宋" w:hAnsi="仿宋" w:eastAsia="仿宋"/>
          <w:b/>
          <w:bCs/>
          <w:sz w:val="32"/>
        </w:rPr>
        <w:t>定期会议：</w:t>
      </w:r>
      <w:r>
        <w:rPr>
          <w:rFonts w:ascii="仿宋" w:hAnsi="仿宋" w:eastAsia="仿宋"/>
          <w:sz w:val="32"/>
        </w:rPr>
        <w:t>服务商项目管理团队须定期与甲方进行服务回顾会议，讨论服务报告、性能趋势、问题复盘、风险评估及未来优化建议。此沟通渠道用于高层次的决策支持、策略调整和项目进展同步。所有沟通渠道均力求高效、便捷，并保证信息的及时、准确传递。</w:t>
      </w:r>
    </w:p>
    <w:p w14:paraId="0780D10D">
      <w:pPr>
        <w:rPr>
          <w:rFonts w:hint="eastAsia"/>
        </w:rPr>
      </w:pPr>
    </w:p>
    <w:p w14:paraId="5692326C">
      <w:pPr>
        <w:pStyle w:val="30"/>
        <w:numPr>
          <w:ilvl w:val="0"/>
          <w:numId w:val="31"/>
        </w:numPr>
        <w:outlineLvl w:val="1"/>
        <w:rPr>
          <w:rFonts w:hint="eastAsia" w:ascii="楷体" w:hAnsi="楷体" w:eastAsia="楷体"/>
          <w:sz w:val="32"/>
        </w:rPr>
      </w:pPr>
      <w:r>
        <w:rPr>
          <w:rFonts w:ascii="楷体" w:hAnsi="楷体" w:eastAsia="楷体"/>
          <w:b/>
          <w:bCs/>
          <w:sz w:val="32"/>
        </w:rPr>
        <w:t>人员配置要求</w:t>
      </w:r>
    </w:p>
    <w:p w14:paraId="41A5425C">
      <w:pPr>
        <w:ind w:firstLine="420"/>
        <w:rPr>
          <w:rFonts w:hint="eastAsia" w:ascii="仿宋" w:hAnsi="仿宋" w:eastAsia="仿宋"/>
          <w:sz w:val="32"/>
        </w:rPr>
      </w:pPr>
      <w:r>
        <w:rPr>
          <w:rFonts w:ascii="仿宋" w:hAnsi="仿宋" w:eastAsia="仿宋"/>
          <w:sz w:val="32"/>
        </w:rPr>
        <w:t>本项目将严格遵循一套全面的测试与验收标准，以确保服务商所提供的存储运维服务能够高质量地交付，并全面满足甲方在功能、性能、安全性以及业务连续性方面的严苛要求。测试环节贯穿于项目实施与服务提供的全过程，旨在通过系统化、专业化的验证手段，确保存储基础设施的稳定、高效与可靠运行。</w:t>
      </w:r>
    </w:p>
    <w:p w14:paraId="7F56FB77">
      <w:pPr>
        <w:pStyle w:val="30"/>
        <w:numPr>
          <w:ilvl w:val="0"/>
          <w:numId w:val="32"/>
        </w:numPr>
        <w:outlineLvl w:val="2"/>
        <w:rPr>
          <w:rFonts w:hint="eastAsia" w:ascii="仿宋" w:hAnsi="仿宋" w:eastAsia="仿宋"/>
          <w:sz w:val="32"/>
        </w:rPr>
      </w:pPr>
      <w:r>
        <w:rPr>
          <w:rFonts w:ascii="仿宋" w:hAnsi="仿宋" w:eastAsia="仿宋"/>
          <w:b/>
          <w:bCs/>
          <w:sz w:val="32"/>
        </w:rPr>
        <w:t>技术人员配置要求</w:t>
      </w:r>
    </w:p>
    <w:p w14:paraId="46F9FFF0">
      <w:pPr>
        <w:ind w:firstLine="360"/>
        <w:rPr>
          <w:rFonts w:hint="eastAsia" w:ascii="仿宋" w:hAnsi="仿宋" w:eastAsia="仿宋"/>
          <w:sz w:val="32"/>
        </w:rPr>
      </w:pPr>
      <w:r>
        <w:rPr>
          <w:rFonts w:ascii="仿宋" w:hAnsi="仿宋" w:eastAsia="仿宋"/>
          <w:sz w:val="32"/>
        </w:rPr>
        <w:t>本项目高度重视技术人员的专业能力与团队协作效率，要求服务商构建一支具备深厚理论知识、丰富实践经验和高度服务意识的存储运维团队。团队须通过跨层级、专业化的角色分工，确保存储基础设施的稳定运行、持续优化与快速响应各类技术挑战。</w:t>
      </w:r>
    </w:p>
    <w:p w14:paraId="7FDC6FD4">
      <w:pPr>
        <w:pStyle w:val="30"/>
        <w:numPr>
          <w:ilvl w:val="0"/>
          <w:numId w:val="33"/>
        </w:numPr>
        <w:outlineLvl w:val="2"/>
        <w:rPr>
          <w:rFonts w:hint="eastAsia" w:ascii="仿宋" w:hAnsi="仿宋" w:eastAsia="仿宋"/>
          <w:sz w:val="32"/>
        </w:rPr>
      </w:pPr>
      <w:r>
        <w:rPr>
          <w:rFonts w:ascii="仿宋" w:hAnsi="仿宋" w:eastAsia="仿宋"/>
          <w:b/>
          <w:bCs/>
          <w:sz w:val="32"/>
        </w:rPr>
        <w:t>运维团队结构要求</w:t>
      </w:r>
    </w:p>
    <w:p w14:paraId="46BB0975">
      <w:pPr>
        <w:ind w:firstLine="420"/>
        <w:rPr>
          <w:rFonts w:hint="eastAsia" w:ascii="仿宋" w:hAnsi="仿宋" w:eastAsia="仿宋"/>
          <w:sz w:val="32"/>
        </w:rPr>
      </w:pPr>
      <w:r>
        <w:rPr>
          <w:rFonts w:ascii="仿宋" w:hAnsi="仿宋" w:eastAsia="仿宋"/>
          <w:sz w:val="32"/>
        </w:rPr>
        <w:t>服务商的运维团队结构须采用分级支持模式，包括</w:t>
      </w:r>
      <w:r>
        <w:rPr>
          <w:rFonts w:ascii="仿宋" w:hAnsi="仿宋" w:eastAsia="仿宋"/>
          <w:b/>
          <w:bCs/>
          <w:sz w:val="32"/>
        </w:rPr>
        <w:t>服务经理</w:t>
      </w:r>
      <w:r>
        <w:rPr>
          <w:rFonts w:ascii="仿宋" w:hAnsi="仿宋" w:eastAsia="仿宋"/>
          <w:sz w:val="32"/>
        </w:rPr>
        <w:t>、</w:t>
      </w:r>
      <w:r>
        <w:rPr>
          <w:rFonts w:ascii="仿宋" w:hAnsi="仿宋" w:eastAsia="仿宋"/>
          <w:b/>
          <w:bCs/>
          <w:sz w:val="32"/>
        </w:rPr>
        <w:t>高级存储工程师</w:t>
      </w:r>
      <w:r>
        <w:rPr>
          <w:rFonts w:ascii="仿宋" w:hAnsi="仿宋" w:eastAsia="仿宋"/>
          <w:sz w:val="32"/>
        </w:rPr>
        <w:t>和</w:t>
      </w:r>
      <w:r>
        <w:rPr>
          <w:rFonts w:ascii="仿宋" w:hAnsi="仿宋" w:eastAsia="仿宋"/>
          <w:b/>
          <w:bCs/>
          <w:sz w:val="32"/>
        </w:rPr>
        <w:t>存储工程师</w:t>
      </w:r>
      <w:r>
        <w:rPr>
          <w:rFonts w:ascii="仿宋" w:hAnsi="仿宋" w:eastAsia="仿宋"/>
          <w:sz w:val="32"/>
        </w:rPr>
        <w:t>。</w:t>
      </w:r>
    </w:p>
    <w:p w14:paraId="1066A7A5">
      <w:pPr>
        <w:ind w:firstLine="420"/>
        <w:rPr>
          <w:rFonts w:hint="eastAsia" w:ascii="仿宋" w:hAnsi="仿宋" w:eastAsia="仿宋"/>
          <w:sz w:val="32"/>
        </w:rPr>
      </w:pPr>
      <w:r>
        <w:rPr>
          <w:rFonts w:ascii="仿宋" w:hAnsi="仿宋" w:eastAsia="仿宋"/>
          <w:b/>
          <w:bCs/>
          <w:sz w:val="32"/>
        </w:rPr>
        <w:t>服务经理</w:t>
      </w:r>
      <w:r>
        <w:rPr>
          <w:rFonts w:ascii="仿宋" w:hAnsi="仿宋" w:eastAsia="仿宋"/>
          <w:sz w:val="32"/>
        </w:rPr>
        <w:t>：须负责整体项目的管理与协调，作为甲方与运维团队之间的主要沟通桥梁，确保服务交付符合合同要求和SLA标准。</w:t>
      </w:r>
    </w:p>
    <w:p w14:paraId="4D3A2C1F">
      <w:pPr>
        <w:ind w:firstLine="420"/>
        <w:rPr>
          <w:rFonts w:hint="eastAsia" w:ascii="仿宋" w:hAnsi="仿宋" w:eastAsia="仿宋"/>
          <w:sz w:val="32"/>
        </w:rPr>
      </w:pPr>
      <w:r>
        <w:rPr>
          <w:rFonts w:ascii="仿宋" w:hAnsi="仿宋" w:eastAsia="仿宋"/>
          <w:b/>
          <w:bCs/>
          <w:sz w:val="32"/>
        </w:rPr>
        <w:t>高级存储工程师</w:t>
      </w:r>
      <w:r>
        <w:rPr>
          <w:rFonts w:ascii="仿宋" w:hAnsi="仿宋" w:eastAsia="仿宋"/>
          <w:sz w:val="32"/>
        </w:rPr>
        <w:t>：须作为技术骨干，专注于复杂问题的诊断、性能优化、架构设计支持以及新技术引进与验证。</w:t>
      </w:r>
    </w:p>
    <w:p w14:paraId="4BBB9088">
      <w:pPr>
        <w:ind w:firstLine="420"/>
        <w:rPr>
          <w:rFonts w:hint="eastAsia" w:ascii="仿宋" w:hAnsi="仿宋" w:eastAsia="仿宋"/>
          <w:sz w:val="32"/>
        </w:rPr>
      </w:pPr>
      <w:r>
        <w:rPr>
          <w:rFonts w:ascii="仿宋" w:hAnsi="仿宋" w:eastAsia="仿宋"/>
          <w:b/>
          <w:bCs/>
          <w:sz w:val="32"/>
        </w:rPr>
        <w:t>存储工程师</w:t>
      </w:r>
      <w:r>
        <w:rPr>
          <w:rFonts w:ascii="仿宋" w:hAnsi="仿宋" w:eastAsia="仿宋"/>
          <w:sz w:val="32"/>
        </w:rPr>
        <w:t>：须承担日常运维操作、告警响应、标准化变更执行以及初步故障排查等职责。</w:t>
      </w:r>
    </w:p>
    <w:p w14:paraId="42FAB305">
      <w:pPr>
        <w:pStyle w:val="30"/>
        <w:numPr>
          <w:ilvl w:val="0"/>
          <w:numId w:val="34"/>
        </w:numPr>
        <w:outlineLvl w:val="2"/>
        <w:rPr>
          <w:rFonts w:hint="eastAsia" w:ascii="仿宋" w:hAnsi="仿宋" w:eastAsia="仿宋"/>
          <w:sz w:val="32"/>
        </w:rPr>
      </w:pPr>
      <w:r>
        <w:rPr>
          <w:rFonts w:hint="eastAsia" w:ascii="仿宋" w:hAnsi="仿宋" w:eastAsia="仿宋"/>
          <w:b/>
          <w:bCs/>
          <w:sz w:val="32"/>
        </w:rPr>
        <w:t>★</w:t>
      </w:r>
      <w:r>
        <w:rPr>
          <w:rFonts w:ascii="仿宋" w:hAnsi="仿宋" w:eastAsia="仿宋"/>
          <w:b/>
          <w:bCs/>
          <w:sz w:val="32"/>
        </w:rPr>
        <w:t>团队成员资质与经验要求</w:t>
      </w:r>
    </w:p>
    <w:p w14:paraId="25E52ABA">
      <w:pPr>
        <w:pStyle w:val="30"/>
        <w:ind w:left="0" w:firstLine="420"/>
        <w:rPr>
          <w:rFonts w:hint="eastAsia" w:ascii="仿宋" w:hAnsi="仿宋" w:eastAsia="仿宋"/>
          <w:sz w:val="32"/>
        </w:rPr>
      </w:pPr>
      <w:r>
        <w:rPr>
          <w:rFonts w:ascii="仿宋" w:hAnsi="仿宋" w:eastAsia="仿宋"/>
          <w:b/>
          <w:bCs/>
          <w:sz w:val="32"/>
        </w:rPr>
        <w:t>服务经理</w:t>
      </w:r>
      <w:r>
        <w:rPr>
          <w:rFonts w:ascii="仿宋" w:hAnsi="仿宋" w:eastAsia="仿宋"/>
          <w:sz w:val="32"/>
        </w:rPr>
        <w:t>：</w:t>
      </w:r>
      <w:r>
        <w:rPr>
          <w:rFonts w:hint="eastAsia" w:ascii="仿宋" w:hAnsi="仿宋" w:eastAsia="仿宋"/>
          <w:sz w:val="32"/>
        </w:rPr>
        <w:t>具有信息系统项目管理师</w:t>
      </w:r>
      <w:r>
        <w:rPr>
          <w:rFonts w:hint="eastAsia" w:ascii="仿宋" w:hAnsi="仿宋" w:eastAsia="仿宋"/>
          <w:sz w:val="32"/>
          <w:lang w:val="en-US" w:eastAsia="zh-CN"/>
        </w:rPr>
        <w:t>或</w:t>
      </w:r>
      <w:bookmarkStart w:id="0" w:name="_GoBack"/>
      <w:bookmarkEnd w:id="0"/>
      <w:r>
        <w:rPr>
          <w:rFonts w:hint="eastAsia" w:ascii="仿宋" w:hAnsi="仿宋" w:eastAsia="仿宋"/>
          <w:sz w:val="32"/>
        </w:rPr>
        <w:t>系统集成项目管理工程师认证</w:t>
      </w:r>
      <w:r>
        <w:rPr>
          <w:rFonts w:ascii="仿宋" w:hAnsi="仿宋" w:eastAsia="仿宋"/>
          <w:sz w:val="32"/>
        </w:rPr>
        <w:t>。</w:t>
      </w:r>
    </w:p>
    <w:p w14:paraId="63A4F437">
      <w:pPr>
        <w:pStyle w:val="30"/>
        <w:ind w:left="0" w:firstLine="420"/>
        <w:rPr>
          <w:rFonts w:hint="eastAsia" w:ascii="仿宋" w:hAnsi="仿宋" w:eastAsia="仿宋"/>
          <w:sz w:val="32"/>
        </w:rPr>
      </w:pPr>
      <w:r>
        <w:rPr>
          <w:rFonts w:ascii="仿宋" w:hAnsi="仿宋" w:eastAsia="仿宋"/>
          <w:b/>
          <w:bCs/>
          <w:sz w:val="32"/>
        </w:rPr>
        <w:t>高级存储工程师</w:t>
      </w:r>
      <w:r>
        <w:rPr>
          <w:rFonts w:ascii="仿宋" w:hAnsi="仿宋" w:eastAsia="仿宋"/>
          <w:sz w:val="32"/>
        </w:rPr>
        <w:t>：</w:t>
      </w:r>
      <w:r>
        <w:rPr>
          <w:rFonts w:hint="eastAsia" w:ascii="仿宋" w:hAnsi="仿宋" w:eastAsia="仿宋"/>
          <w:sz w:val="32"/>
        </w:rPr>
        <w:t>具有高速云存储软件厂商出具的高级工程师认证</w:t>
      </w:r>
      <w:r>
        <w:rPr>
          <w:rFonts w:ascii="仿宋" w:hAnsi="仿宋" w:eastAsia="仿宋"/>
          <w:sz w:val="32"/>
        </w:rPr>
        <w:t>。</w:t>
      </w:r>
    </w:p>
    <w:p w14:paraId="4A39C93B">
      <w:pPr>
        <w:pStyle w:val="30"/>
        <w:ind w:left="0" w:firstLine="360"/>
        <w:rPr>
          <w:rFonts w:hint="eastAsia" w:ascii="仿宋" w:hAnsi="仿宋" w:eastAsia="仿宋"/>
          <w:sz w:val="32"/>
        </w:rPr>
      </w:pPr>
      <w:r>
        <w:rPr>
          <w:rFonts w:ascii="仿宋" w:hAnsi="仿宋" w:eastAsia="仿宋"/>
          <w:b/>
          <w:bCs/>
          <w:sz w:val="32"/>
        </w:rPr>
        <w:t>存储工程师</w:t>
      </w:r>
      <w:r>
        <w:rPr>
          <w:rFonts w:ascii="仿宋" w:hAnsi="仿宋" w:eastAsia="仿宋"/>
          <w:sz w:val="32"/>
        </w:rPr>
        <w:t>：</w:t>
      </w:r>
      <w:r>
        <w:rPr>
          <w:rFonts w:hint="eastAsia" w:ascii="仿宋" w:hAnsi="仿宋" w:eastAsia="仿宋"/>
          <w:sz w:val="32"/>
        </w:rPr>
        <w:t>具有高速云存储软件厂商出具的工程师认证</w:t>
      </w:r>
      <w:r>
        <w:rPr>
          <w:rFonts w:ascii="仿宋" w:hAnsi="仿宋" w:eastAsia="仿宋"/>
          <w:sz w:val="32"/>
        </w:rPr>
        <w:t>。</w:t>
      </w:r>
    </w:p>
    <w:p w14:paraId="310A1CDD">
      <w:pPr>
        <w:pStyle w:val="30"/>
        <w:numPr>
          <w:ilvl w:val="0"/>
          <w:numId w:val="35"/>
        </w:numPr>
        <w:outlineLvl w:val="2"/>
        <w:rPr>
          <w:rFonts w:hint="eastAsia" w:ascii="仿宋" w:hAnsi="仿宋" w:eastAsia="仿宋"/>
          <w:sz w:val="32"/>
        </w:rPr>
      </w:pPr>
      <w:r>
        <w:rPr>
          <w:rFonts w:ascii="仿宋" w:hAnsi="仿宋" w:eastAsia="仿宋"/>
          <w:b/>
          <w:bCs/>
          <w:sz w:val="32"/>
        </w:rPr>
        <w:t>团队分工与职责要求</w:t>
      </w:r>
    </w:p>
    <w:p w14:paraId="6C02107E">
      <w:pPr>
        <w:ind w:firstLine="420"/>
        <w:rPr>
          <w:rFonts w:hint="eastAsia" w:ascii="仿宋" w:hAnsi="仿宋" w:eastAsia="仿宋"/>
          <w:sz w:val="32"/>
        </w:rPr>
      </w:pPr>
      <w:r>
        <w:rPr>
          <w:rFonts w:ascii="仿宋" w:hAnsi="仿宋" w:eastAsia="仿宋"/>
          <w:b/>
          <w:bCs/>
          <w:sz w:val="32"/>
        </w:rPr>
        <w:t>服务经理：</w:t>
      </w:r>
      <w:r>
        <w:rPr>
          <w:rFonts w:ascii="仿宋" w:hAnsi="仿宋" w:eastAsia="仿宋"/>
          <w:sz w:val="32"/>
        </w:rPr>
        <w:t>须全面负责项目的规划、进度控制、资源调配、与甲方的定期沟通以及服务质量报告的编制与交付，确保项目目标的顺利实现和甲方满意度。</w:t>
      </w:r>
    </w:p>
    <w:p w14:paraId="263F932F">
      <w:pPr>
        <w:ind w:firstLine="420"/>
        <w:rPr>
          <w:rFonts w:hint="eastAsia" w:ascii="仿宋" w:hAnsi="仿宋" w:eastAsia="仿宋"/>
          <w:sz w:val="32"/>
        </w:rPr>
      </w:pPr>
      <w:r>
        <w:rPr>
          <w:rFonts w:ascii="仿宋" w:hAnsi="仿宋" w:eastAsia="仿宋"/>
          <w:b/>
          <w:bCs/>
          <w:sz w:val="32"/>
        </w:rPr>
        <w:t>高级存储工程师：</w:t>
      </w:r>
      <w:r>
        <w:rPr>
          <w:rFonts w:ascii="仿宋" w:hAnsi="仿宋" w:eastAsia="仿宋"/>
          <w:sz w:val="32"/>
        </w:rPr>
        <w:t>须主要负责处理L2和L3级别的技术问题，包括存储性能瓶颈的深层分析与调优、复杂故障的根本原因分析与排除、存储架构的优化建议、灾备方案的规划与测试，以及协助服务经理进行技术风险评估和重大变更的审批。</w:t>
      </w:r>
    </w:p>
    <w:p w14:paraId="6FFE2AA4">
      <w:pPr>
        <w:ind w:firstLine="420"/>
        <w:rPr>
          <w:rFonts w:hint="eastAsia" w:ascii="仿宋" w:hAnsi="仿宋" w:eastAsia="仿宋"/>
          <w:sz w:val="32"/>
        </w:rPr>
      </w:pPr>
      <w:r>
        <w:rPr>
          <w:rFonts w:ascii="仿宋" w:hAnsi="仿宋" w:eastAsia="仿宋"/>
          <w:b/>
          <w:bCs/>
          <w:sz w:val="32"/>
        </w:rPr>
        <w:t>存储工程师：</w:t>
      </w:r>
      <w:r>
        <w:rPr>
          <w:rFonts w:ascii="仿宋" w:hAnsi="仿宋" w:eastAsia="仿宋"/>
          <w:sz w:val="32"/>
        </w:rPr>
        <w:t>须主要承担L1和L2级别的运维职责，包括对存储系统进行7x24小时不间断的监控、及时响应并处理各类监控告警、执行日常巡检任务、完成存储资源（卷、文件系统等）的创建、扩展与回收等标准化操作，并协助高级工程师进行故障排除与数据恢复任务。</w:t>
      </w:r>
    </w:p>
    <w:p w14:paraId="04B6DB1B">
      <w:pPr>
        <w:ind w:firstLine="420"/>
        <w:rPr>
          <w:rFonts w:hint="eastAsia" w:ascii="仿宋" w:hAnsi="仿宋" w:eastAsia="仿宋"/>
          <w:sz w:val="32"/>
        </w:rPr>
      </w:pPr>
      <w:r>
        <w:rPr>
          <w:rFonts w:ascii="仿宋" w:hAnsi="仿宋" w:eastAsia="仿宋"/>
          <w:sz w:val="32"/>
        </w:rPr>
        <w:t>所有团队成员均需严格遵循项目的安全规程和操作规范，并积极参与知识共享与技术培训，持续提升团队整体的技术实力和服务水平。</w:t>
      </w:r>
    </w:p>
    <w:p w14:paraId="6E3B8DBC">
      <w:pPr>
        <w:pStyle w:val="30"/>
        <w:numPr>
          <w:ilvl w:val="0"/>
          <w:numId w:val="36"/>
        </w:numPr>
        <w:outlineLvl w:val="1"/>
        <w:rPr>
          <w:rFonts w:hint="eastAsia" w:ascii="楷体" w:hAnsi="楷体" w:eastAsia="楷体"/>
          <w:sz w:val="32"/>
        </w:rPr>
      </w:pPr>
      <w:r>
        <w:rPr>
          <w:rFonts w:ascii="楷体" w:hAnsi="楷体" w:eastAsia="楷体"/>
          <w:b/>
          <w:bCs/>
          <w:sz w:val="32"/>
        </w:rPr>
        <w:t>服务等级协议与知识转移要求</w:t>
      </w:r>
    </w:p>
    <w:p w14:paraId="7DB96725">
      <w:pPr>
        <w:ind w:firstLine="420"/>
        <w:rPr>
          <w:rFonts w:hint="eastAsia" w:ascii="仿宋" w:hAnsi="仿宋" w:eastAsia="仿宋"/>
          <w:sz w:val="32"/>
        </w:rPr>
      </w:pPr>
      <w:r>
        <w:rPr>
          <w:rFonts w:ascii="仿宋" w:hAnsi="仿宋" w:eastAsia="仿宋"/>
          <w:sz w:val="32"/>
        </w:rPr>
        <w:t>本项目旨在通过明确的服务等级协议（SLA），正式承诺服务商所提供存储运维服务的性能、可用性和响应能力。本协议作为项目实施的关键保障，将详细定义各项服务指标，确保甲方存储基础设施持续满足业务对高可用性和数据完整性的严苛要求，并为服务未达标情况下的责任追究提供清晰依据。通过本SLA，将建立相互信任与清晰预期，共同保障存储系统稳定运行，支撑甲方核心业务发展。同时，服务商须全面实施培训与知识转移，提升甲方内部运维团队能力。</w:t>
      </w:r>
    </w:p>
    <w:p w14:paraId="4CB6EE67">
      <w:pPr>
        <w:pStyle w:val="30"/>
        <w:numPr>
          <w:ilvl w:val="0"/>
          <w:numId w:val="37"/>
        </w:numPr>
        <w:outlineLvl w:val="2"/>
        <w:rPr>
          <w:rFonts w:hint="eastAsia" w:ascii="仿宋" w:hAnsi="仿宋" w:eastAsia="仿宋"/>
          <w:sz w:val="32"/>
        </w:rPr>
      </w:pPr>
      <w:r>
        <w:rPr>
          <w:rFonts w:ascii="仿宋" w:hAnsi="仿宋" w:eastAsia="仿宋"/>
          <w:b/>
          <w:bCs/>
          <w:sz w:val="32"/>
        </w:rPr>
        <w:t>服务等级协议（SLA）要求</w:t>
      </w:r>
    </w:p>
    <w:p w14:paraId="20E4B7EB">
      <w:pPr>
        <w:ind w:firstLine="420"/>
        <w:rPr>
          <w:rFonts w:hint="eastAsia" w:ascii="仿宋" w:hAnsi="仿宋" w:eastAsia="仿宋"/>
          <w:sz w:val="32"/>
        </w:rPr>
      </w:pPr>
      <w:r>
        <w:rPr>
          <w:rFonts w:ascii="仿宋" w:hAnsi="仿宋" w:eastAsia="仿宋"/>
          <w:sz w:val="32"/>
        </w:rPr>
        <w:t>服务商必须严格遵守并承诺满足以下服务等级协议（SLA）条款：</w:t>
      </w:r>
    </w:p>
    <w:p w14:paraId="01706554">
      <w:pPr>
        <w:rPr>
          <w:rFonts w:hint="eastAsia" w:ascii="仿宋" w:hAnsi="仿宋" w:eastAsia="仿宋"/>
          <w:sz w:val="32"/>
        </w:rPr>
      </w:pPr>
      <w:r>
        <w:rPr>
          <w:rFonts w:ascii="仿宋" w:hAnsi="仿宋" w:eastAsia="仿宋"/>
          <w:b/>
          <w:bCs/>
          <w:sz w:val="32"/>
        </w:rPr>
        <w:t>SLA 响应时限承诺：</w:t>
      </w:r>
    </w:p>
    <w:p w14:paraId="4FEBE869">
      <w:pPr>
        <w:ind w:firstLine="420"/>
        <w:rPr>
          <w:rFonts w:hint="eastAsia" w:ascii="仿宋" w:hAnsi="仿宋" w:eastAsia="仿宋"/>
          <w:sz w:val="32"/>
        </w:rPr>
      </w:pPr>
      <w:r>
        <w:rPr>
          <w:rFonts w:ascii="仿宋" w:hAnsi="仿宋" w:eastAsia="仿宋"/>
          <w:sz w:val="32"/>
        </w:rPr>
        <w:t>服务商必须承诺针对各类事件实施快速有效的响应，其响应时限须严格与本技术规范书第五部分“服务支持与响应要求”中定义的响应时限保持一致。</w:t>
      </w:r>
    </w:p>
    <w:p w14:paraId="283FD405">
      <w:pPr>
        <w:ind w:firstLine="420"/>
        <w:rPr>
          <w:rFonts w:hint="eastAsia" w:ascii="仿宋" w:hAnsi="仿宋" w:eastAsia="仿宋"/>
          <w:sz w:val="32"/>
        </w:rPr>
      </w:pPr>
      <w:r>
        <w:rPr>
          <w:rFonts w:ascii="仿宋" w:hAnsi="仿宋" w:eastAsia="仿宋"/>
          <w:sz w:val="32"/>
        </w:rPr>
        <w:t>对于紧急事件，服务商须在接收告警通知后的</w:t>
      </w:r>
      <w:r>
        <w:rPr>
          <w:rFonts w:ascii="仿宋" w:hAnsi="仿宋" w:eastAsia="仿宋"/>
          <w:b/>
          <w:bCs/>
          <w:sz w:val="32"/>
        </w:rPr>
        <w:t>15分钟内</w:t>
      </w:r>
      <w:r>
        <w:rPr>
          <w:rFonts w:ascii="仿宋" w:hAnsi="仿宋" w:eastAsia="仿宋"/>
          <w:sz w:val="32"/>
        </w:rPr>
        <w:t>进行响应，并立即启动应急预案；在此基础上，服务商承诺在</w:t>
      </w:r>
      <w:r>
        <w:rPr>
          <w:rFonts w:ascii="仿宋" w:hAnsi="仿宋" w:eastAsia="仿宋"/>
          <w:b/>
          <w:bCs/>
          <w:sz w:val="32"/>
        </w:rPr>
        <w:t>30分钟内</w:t>
      </w:r>
      <w:r>
        <w:rPr>
          <w:rFonts w:ascii="仿宋" w:hAnsi="仿宋" w:eastAsia="仿宋"/>
          <w:sz w:val="32"/>
        </w:rPr>
        <w:t>提供初步诊断结果及详细的恢复计划。</w:t>
      </w:r>
    </w:p>
    <w:p w14:paraId="33B59AE2">
      <w:pPr>
        <w:ind w:firstLine="420"/>
        <w:rPr>
          <w:rFonts w:hint="eastAsia" w:ascii="仿宋" w:hAnsi="仿宋" w:eastAsia="仿宋"/>
          <w:sz w:val="32"/>
        </w:rPr>
      </w:pPr>
      <w:r>
        <w:rPr>
          <w:rFonts w:ascii="仿宋" w:hAnsi="仿宋" w:eastAsia="仿宋"/>
          <w:sz w:val="32"/>
        </w:rPr>
        <w:t>对于重要事件，服务商须在告警通知后</w:t>
      </w:r>
      <w:r>
        <w:rPr>
          <w:rFonts w:ascii="仿宋" w:hAnsi="仿宋" w:eastAsia="仿宋"/>
          <w:b/>
          <w:bCs/>
          <w:sz w:val="32"/>
        </w:rPr>
        <w:t>30分钟内</w:t>
      </w:r>
      <w:r>
        <w:rPr>
          <w:rFonts w:ascii="仿宋" w:hAnsi="仿宋" w:eastAsia="仿宋"/>
          <w:sz w:val="32"/>
        </w:rPr>
        <w:t>进行响应；并承诺在</w:t>
      </w:r>
      <w:r>
        <w:rPr>
          <w:rFonts w:ascii="仿宋" w:hAnsi="仿宋" w:eastAsia="仿宋"/>
          <w:b/>
          <w:bCs/>
          <w:sz w:val="32"/>
        </w:rPr>
        <w:t>2小时内</w:t>
      </w:r>
      <w:r>
        <w:rPr>
          <w:rFonts w:ascii="仿宋" w:hAnsi="仿宋" w:eastAsia="仿宋"/>
          <w:sz w:val="32"/>
        </w:rPr>
        <w:t>提供有效的解决方案或具体恢复措施。</w:t>
      </w:r>
    </w:p>
    <w:p w14:paraId="5903AC7D">
      <w:pPr>
        <w:ind w:firstLine="420"/>
        <w:rPr>
          <w:rFonts w:hint="eastAsia" w:ascii="仿宋" w:hAnsi="仿宋" w:eastAsia="仿宋"/>
          <w:sz w:val="32"/>
        </w:rPr>
      </w:pPr>
      <w:r>
        <w:rPr>
          <w:rFonts w:ascii="仿宋" w:hAnsi="仿宋" w:eastAsia="仿宋"/>
          <w:sz w:val="32"/>
        </w:rPr>
        <w:t>对于一般事件，服务商须在告警通知后</w:t>
      </w:r>
      <w:r>
        <w:rPr>
          <w:rFonts w:ascii="仿宋" w:hAnsi="仿宋" w:eastAsia="仿宋"/>
          <w:b/>
          <w:bCs/>
          <w:sz w:val="32"/>
        </w:rPr>
        <w:t>1小时内</w:t>
      </w:r>
      <w:r>
        <w:rPr>
          <w:rFonts w:ascii="仿宋" w:hAnsi="仿宋" w:eastAsia="仿宋"/>
          <w:sz w:val="32"/>
        </w:rPr>
        <w:t>进行响应；服务商承诺在</w:t>
      </w:r>
      <w:r>
        <w:rPr>
          <w:rFonts w:ascii="仿宋" w:hAnsi="仿宋" w:eastAsia="仿宋"/>
          <w:b/>
          <w:bCs/>
          <w:sz w:val="32"/>
        </w:rPr>
        <w:t>一个工作日内</w:t>
      </w:r>
      <w:r>
        <w:rPr>
          <w:rFonts w:ascii="仿宋" w:hAnsi="仿宋" w:eastAsia="仿宋"/>
          <w:sz w:val="32"/>
        </w:rPr>
        <w:t>提供解决方案或完成相关服务操作。这些时限旨在确保从问题发现到处理启动，乃至方案提出的整个过程，均能高效、有序地进行，最大限度地降低潜在的服务中断风险，并维护甲方业务连续性。</w:t>
      </w:r>
    </w:p>
    <w:p w14:paraId="7CFD0FD2">
      <w:pPr>
        <w:rPr>
          <w:rFonts w:hint="eastAsia" w:ascii="仿宋" w:hAnsi="仿宋" w:eastAsia="仿宋"/>
          <w:sz w:val="32"/>
        </w:rPr>
      </w:pPr>
      <w:r>
        <w:rPr>
          <w:rFonts w:ascii="仿宋" w:hAnsi="仿宋" w:eastAsia="仿宋"/>
          <w:b/>
          <w:bCs/>
          <w:sz w:val="32"/>
        </w:rPr>
        <w:t>故障恢复时间目标（RTO）承诺：</w:t>
      </w:r>
    </w:p>
    <w:p w14:paraId="1354F862">
      <w:pPr>
        <w:ind w:firstLine="420"/>
        <w:rPr>
          <w:rFonts w:hint="eastAsia" w:ascii="仿宋" w:hAnsi="仿宋" w:eastAsia="仿宋"/>
          <w:sz w:val="32"/>
        </w:rPr>
      </w:pPr>
      <w:r>
        <w:rPr>
          <w:rFonts w:ascii="仿宋" w:hAnsi="仿宋" w:eastAsia="仿宋"/>
          <w:sz w:val="32"/>
        </w:rPr>
        <w:t>业务连续性是甲方存储运维的核心目标，服务商必须针对不同级别的故障，设定并承诺满足严格的故障恢复时间目标（RTO）。</w:t>
      </w:r>
    </w:p>
    <w:p w14:paraId="3DC97C47">
      <w:pPr>
        <w:rPr>
          <w:rFonts w:hint="eastAsia" w:ascii="仿宋" w:hAnsi="仿宋" w:eastAsia="仿宋"/>
          <w:sz w:val="32"/>
        </w:rPr>
      </w:pPr>
      <w:r>
        <w:rPr>
          <w:rFonts w:ascii="仿宋" w:hAnsi="仿宋" w:eastAsia="仿宋"/>
          <w:b/>
          <w:bCs/>
          <w:sz w:val="32"/>
        </w:rPr>
        <w:t>紧急事件RTO：</w:t>
      </w:r>
    </w:p>
    <w:p w14:paraId="75B17DDE">
      <w:pPr>
        <w:ind w:firstLine="420"/>
        <w:rPr>
          <w:rFonts w:hint="eastAsia" w:ascii="仿宋" w:hAnsi="仿宋" w:eastAsia="仿宋"/>
          <w:sz w:val="32"/>
        </w:rPr>
      </w:pPr>
      <w:r>
        <w:rPr>
          <w:rFonts w:ascii="仿宋" w:hAnsi="仿宋" w:eastAsia="仿宋"/>
          <w:sz w:val="32"/>
        </w:rPr>
        <w:t>对于由存储系统整体故障导致的核心数据库服务中断，目标恢复时间（RTO）承诺为</w:t>
      </w:r>
      <w:r>
        <w:rPr>
          <w:rFonts w:ascii="仿宋" w:hAnsi="仿宋" w:eastAsia="仿宋"/>
          <w:b/>
          <w:bCs/>
          <w:sz w:val="32"/>
        </w:rPr>
        <w:t>4小时</w:t>
      </w:r>
      <w:r>
        <w:rPr>
          <w:rFonts w:ascii="仿宋" w:hAnsi="仿宋" w:eastAsia="仿宋"/>
          <w:sz w:val="32"/>
        </w:rPr>
        <w:t>，期间业务应用应能通过已部署的冗余或灾备机制切换至可用状态。</w:t>
      </w:r>
    </w:p>
    <w:p w14:paraId="353691D4">
      <w:pPr>
        <w:rPr>
          <w:rFonts w:hint="eastAsia" w:ascii="仿宋" w:hAnsi="仿宋" w:eastAsia="仿宋"/>
          <w:sz w:val="32"/>
        </w:rPr>
      </w:pPr>
      <w:r>
        <w:rPr>
          <w:rFonts w:ascii="仿宋" w:hAnsi="仿宋" w:eastAsia="仿宋"/>
          <w:sz w:val="32"/>
        </w:rPr>
        <w:t>对于因存储卷损坏、误删除导致的数据逻辑错误，若可通过快照快速回滚的数据恢复场景，其RTO承诺为</w:t>
      </w:r>
      <w:r>
        <w:rPr>
          <w:rFonts w:ascii="仿宋" w:hAnsi="仿宋" w:eastAsia="仿宋"/>
          <w:b/>
          <w:bCs/>
          <w:sz w:val="32"/>
        </w:rPr>
        <w:t>1小时</w:t>
      </w:r>
      <w:r>
        <w:rPr>
          <w:rFonts w:ascii="仿宋" w:hAnsi="仿宋" w:eastAsia="仿宋"/>
          <w:sz w:val="32"/>
        </w:rPr>
        <w:t>。</w:t>
      </w:r>
    </w:p>
    <w:p w14:paraId="09854650">
      <w:pPr>
        <w:ind w:firstLine="420"/>
        <w:rPr>
          <w:rFonts w:hint="eastAsia" w:ascii="仿宋" w:hAnsi="仿宋" w:eastAsia="仿宋"/>
          <w:sz w:val="32"/>
        </w:rPr>
      </w:pPr>
      <w:r>
        <w:rPr>
          <w:rFonts w:ascii="仿宋" w:hAnsi="仿宋" w:eastAsia="仿宋"/>
          <w:sz w:val="32"/>
        </w:rPr>
        <w:t>若需通过备份数据进行恢复，则根据数据量大小和RPO要求，RTO承诺为</w:t>
      </w:r>
      <w:r>
        <w:rPr>
          <w:rFonts w:ascii="仿宋" w:hAnsi="仿宋" w:eastAsia="仿宋"/>
          <w:b/>
          <w:bCs/>
          <w:sz w:val="32"/>
        </w:rPr>
        <w:t>6小时</w:t>
      </w:r>
      <w:r>
        <w:rPr>
          <w:rFonts w:ascii="仿宋" w:hAnsi="仿宋" w:eastAsia="仿宋"/>
          <w:sz w:val="32"/>
        </w:rPr>
        <w:t>。</w:t>
      </w:r>
    </w:p>
    <w:p w14:paraId="17C00BAF">
      <w:pPr>
        <w:rPr>
          <w:rFonts w:hint="eastAsia" w:ascii="仿宋" w:hAnsi="仿宋" w:eastAsia="仿宋"/>
          <w:sz w:val="32"/>
        </w:rPr>
      </w:pPr>
      <w:r>
        <w:rPr>
          <w:rFonts w:ascii="仿宋" w:hAnsi="仿宋" w:eastAsia="仿宋"/>
          <w:b/>
          <w:bCs/>
          <w:sz w:val="32"/>
        </w:rPr>
        <w:t>重要事件RTO：</w:t>
      </w:r>
    </w:p>
    <w:p w14:paraId="58E72BCD">
      <w:pPr>
        <w:ind w:firstLine="420"/>
        <w:rPr>
          <w:rFonts w:hint="eastAsia" w:ascii="仿宋" w:hAnsi="仿宋" w:eastAsia="仿宋"/>
          <w:sz w:val="32"/>
        </w:rPr>
      </w:pPr>
      <w:r>
        <w:rPr>
          <w:rFonts w:ascii="仿宋" w:hAnsi="仿宋" w:eastAsia="仿宋"/>
          <w:sz w:val="32"/>
        </w:rPr>
        <w:t>如单一存储控制器故障或其他不影响核心业务但影响系统冗余性的组件故障，目标恢复时间（RTO）承诺为</w:t>
      </w:r>
      <w:r>
        <w:rPr>
          <w:rFonts w:ascii="仿宋" w:hAnsi="仿宋" w:eastAsia="仿宋"/>
          <w:b/>
          <w:bCs/>
          <w:sz w:val="32"/>
        </w:rPr>
        <w:t>8小时</w:t>
      </w:r>
      <w:r>
        <w:rPr>
          <w:rFonts w:ascii="仿宋" w:hAnsi="仿宋" w:eastAsia="仿宋"/>
          <w:sz w:val="32"/>
        </w:rPr>
        <w:t>，确保在规定时间内完成故障部件更换、系统恢复及数据同步，使存储系统恢复至完全冗余的健康状态。</w:t>
      </w:r>
    </w:p>
    <w:p w14:paraId="55E6DC93">
      <w:pPr>
        <w:pStyle w:val="30"/>
        <w:numPr>
          <w:ilvl w:val="0"/>
          <w:numId w:val="38"/>
        </w:numPr>
        <w:outlineLvl w:val="2"/>
        <w:rPr>
          <w:rFonts w:hint="eastAsia" w:ascii="仿宋" w:hAnsi="仿宋" w:eastAsia="仿宋"/>
          <w:sz w:val="32"/>
        </w:rPr>
      </w:pPr>
      <w:r>
        <w:rPr>
          <w:rFonts w:ascii="仿宋" w:hAnsi="仿宋" w:eastAsia="仿宋"/>
          <w:b/>
          <w:bCs/>
          <w:sz w:val="32"/>
        </w:rPr>
        <w:t>培训与知识转移要求</w:t>
      </w:r>
    </w:p>
    <w:p w14:paraId="14A8E5E5">
      <w:pPr>
        <w:ind w:firstLine="420"/>
        <w:rPr>
          <w:rFonts w:hint="eastAsia" w:ascii="仿宋" w:hAnsi="仿宋" w:eastAsia="仿宋"/>
          <w:sz w:val="32"/>
        </w:rPr>
      </w:pPr>
      <w:r>
        <w:rPr>
          <w:rFonts w:ascii="仿宋" w:hAnsi="仿宋" w:eastAsia="仿宋"/>
          <w:sz w:val="32"/>
        </w:rPr>
        <w:t>本项目要求服务商致力于构建全面、系统化的知识体系，通过提供结构化的技术文档、实用的运维手册以及定制化的培训安排，确保甲方运维团队能够全面理解和高效管理存储基础设施，提升整体运维能力和风险应对水平。</w:t>
      </w:r>
    </w:p>
    <w:p w14:paraId="2E884AA6">
      <w:pPr>
        <w:pStyle w:val="30"/>
        <w:numPr>
          <w:ilvl w:val="0"/>
          <w:numId w:val="39"/>
        </w:numPr>
        <w:outlineLvl w:val="2"/>
        <w:rPr>
          <w:rFonts w:hint="eastAsia" w:ascii="仿宋" w:hAnsi="仿宋" w:eastAsia="仿宋"/>
          <w:sz w:val="32"/>
        </w:rPr>
      </w:pPr>
      <w:r>
        <w:rPr>
          <w:rFonts w:ascii="仿宋" w:hAnsi="仿宋" w:eastAsia="仿宋"/>
          <w:b/>
          <w:bCs/>
          <w:sz w:val="32"/>
        </w:rPr>
        <w:t>运维培训计划要求</w:t>
      </w:r>
    </w:p>
    <w:p w14:paraId="3DA48E95">
      <w:pPr>
        <w:ind w:firstLine="420"/>
        <w:rPr>
          <w:rFonts w:hint="eastAsia" w:ascii="仿宋" w:hAnsi="仿宋" w:eastAsia="仿宋"/>
          <w:sz w:val="32"/>
        </w:rPr>
      </w:pPr>
      <w:r>
        <w:rPr>
          <w:rFonts w:ascii="仿宋" w:hAnsi="仿宋" w:eastAsia="仿宋"/>
          <w:sz w:val="32"/>
        </w:rPr>
        <w:t>服务商必须提供全面、多层次的培训课程与知识转移安排，旨在提升甲方运维人员对存储系统的理解深度与操作实践能力，涵盖存储系统基础原理、架构解析、管理操作、故障排查、性能优化、安全管理及数据保护等核心内容。</w:t>
      </w:r>
    </w:p>
    <w:p w14:paraId="6CFEC085">
      <w:pPr>
        <w:ind w:firstLine="420"/>
        <w:rPr>
          <w:rFonts w:hint="eastAsia" w:ascii="仿宋" w:hAnsi="仿宋" w:eastAsia="仿宋"/>
          <w:sz w:val="32"/>
        </w:rPr>
      </w:pPr>
      <w:r>
        <w:rPr>
          <w:rFonts w:ascii="仿宋" w:hAnsi="仿宋" w:eastAsia="仿宋"/>
          <w:sz w:val="32"/>
        </w:rPr>
        <w:t>培训须采用理论讲解与实践操作相结合的方式，通过集中授课、现场指导、案例分析、答疑交流等多种形式进行。</w:t>
      </w:r>
    </w:p>
    <w:p w14:paraId="042C98B8">
      <w:pPr>
        <w:ind w:firstLine="420"/>
        <w:rPr>
          <w:rFonts w:hint="eastAsia" w:ascii="仿宋" w:hAnsi="仿宋" w:eastAsia="仿宋"/>
          <w:sz w:val="32"/>
        </w:rPr>
      </w:pPr>
      <w:r>
        <w:rPr>
          <w:rFonts w:ascii="仿宋" w:hAnsi="仿宋" w:eastAsia="仿宋"/>
          <w:sz w:val="32"/>
        </w:rPr>
        <w:t>培训内容须紧密结合本项目交付的技术文档与运维手册，确保培训所学知识与实际工作场景无缝衔接。</w:t>
      </w:r>
    </w:p>
    <w:p w14:paraId="3DEB7B9F">
      <w:pPr>
        <w:ind w:firstLine="420"/>
        <w:rPr>
          <w:rFonts w:hint="eastAsia" w:ascii="仿宋" w:hAnsi="仿宋" w:eastAsia="仿宋"/>
          <w:sz w:val="32"/>
        </w:rPr>
      </w:pPr>
      <w:r>
        <w:rPr>
          <w:rFonts w:ascii="仿宋" w:hAnsi="仿宋" w:eastAsia="仿宋"/>
          <w:sz w:val="32"/>
        </w:rPr>
        <w:t>具体培训内容包括但不限于：存储系统硬件组成与软件管理界面操作介绍；存储网络基础与高级配置；存储卷、文件系统、快照、复制等功能的创建与管理；日常巡检、监控告警的识别与响应；存储性能数据的分析与瓶颈定位；数据备份与恢复策略的规划与执行；以及存储系统安全加固与应急响应流程。</w:t>
      </w:r>
    </w:p>
    <w:p w14:paraId="0DF2661F">
      <w:pPr>
        <w:ind w:firstLine="420"/>
        <w:rPr>
          <w:rFonts w:hint="eastAsia" w:ascii="仿宋" w:hAnsi="仿宋" w:eastAsia="仿宋"/>
          <w:sz w:val="32"/>
        </w:rPr>
      </w:pPr>
      <w:r>
        <w:rPr>
          <w:rFonts w:ascii="仿宋" w:hAnsi="仿宋" w:eastAsia="仿宋"/>
          <w:sz w:val="32"/>
        </w:rPr>
        <w:t>培训结束后，服务商须进行效果评估与知识考核，确保参训人员达到预期技能水平。</w:t>
      </w:r>
    </w:p>
    <w:p w14:paraId="27446132">
      <w:pPr>
        <w:ind w:firstLine="420"/>
        <w:rPr>
          <w:rFonts w:hint="eastAsia" w:ascii="仿宋" w:hAnsi="仿宋" w:eastAsia="仿宋"/>
          <w:sz w:val="32"/>
        </w:rPr>
      </w:pPr>
      <w:r>
        <w:rPr>
          <w:rFonts w:ascii="仿宋" w:hAnsi="仿宋" w:eastAsia="仿宋"/>
          <w:sz w:val="32"/>
        </w:rPr>
        <w:t>此外，项目团队须提供一定期限的培训后技术咨询与支持，确保知识的持续传递和深化应用，为甲方构建一支具备高素质的专业存储运维团队。</w:t>
      </w:r>
    </w:p>
    <w:p w14:paraId="05517BE8">
      <w:pPr>
        <w:pStyle w:val="30"/>
        <w:numPr>
          <w:ilvl w:val="0"/>
          <w:numId w:val="40"/>
        </w:numPr>
        <w:outlineLvl w:val="2"/>
        <w:rPr>
          <w:rFonts w:hint="eastAsia" w:ascii="仿宋" w:hAnsi="仿宋" w:eastAsia="仿宋"/>
          <w:sz w:val="32"/>
        </w:rPr>
      </w:pPr>
      <w:r>
        <w:rPr>
          <w:rFonts w:ascii="仿宋" w:hAnsi="仿宋" w:eastAsia="仿宋"/>
          <w:b/>
          <w:bCs/>
          <w:sz w:val="32"/>
        </w:rPr>
        <w:t>操作指导与文档要求</w:t>
      </w:r>
    </w:p>
    <w:p w14:paraId="220B245D">
      <w:pPr>
        <w:ind w:firstLine="420"/>
        <w:rPr>
          <w:rFonts w:hint="eastAsia" w:ascii="仿宋" w:hAnsi="仿宋" w:eastAsia="仿宋"/>
          <w:sz w:val="32"/>
        </w:rPr>
      </w:pPr>
      <w:r>
        <w:rPr>
          <w:rFonts w:ascii="仿宋" w:hAnsi="仿宋" w:eastAsia="仿宋"/>
          <w:sz w:val="32"/>
        </w:rPr>
        <w:t>服务商必须交付一套完整且持续更新的技术文档，全面涵盖甲方存储基础设施的设计理念、系统架构、配置细节及各类技术规范，为存储系统的深入理解与精细化管理提供坚实基础。</w:t>
      </w:r>
    </w:p>
    <w:p w14:paraId="207EB64A">
      <w:pPr>
        <w:ind w:firstLine="420"/>
        <w:rPr>
          <w:rFonts w:hint="eastAsia" w:ascii="仿宋" w:hAnsi="仿宋" w:eastAsia="仿宋"/>
          <w:sz w:val="32"/>
        </w:rPr>
      </w:pPr>
      <w:r>
        <w:rPr>
          <w:rFonts w:ascii="仿宋" w:hAnsi="仿宋" w:eastAsia="仿宋"/>
          <w:sz w:val="32"/>
        </w:rPr>
        <w:t>文档内容包括但不限于：详细的系统架构拓扑图与组件说明；各类存储资源的配置文档；网络连接设计；存储系统与上层应用、虚拟化平台、数据库系统的集成方案与最佳实践；用于提升系统性能、优化资源利用的调优参数与建议；以及详细的存储安全配置规范。所有技术文档须定期审查与更新。</w:t>
      </w:r>
    </w:p>
    <w:p w14:paraId="3823F8B2">
      <w:pPr>
        <w:ind w:firstLine="420"/>
        <w:rPr>
          <w:rFonts w:hint="eastAsia" w:ascii="仿宋" w:hAnsi="仿宋" w:eastAsia="仿宋"/>
          <w:sz w:val="32"/>
        </w:rPr>
      </w:pPr>
      <w:r>
        <w:rPr>
          <w:rFonts w:ascii="仿宋" w:hAnsi="仿宋" w:eastAsia="仿宋"/>
          <w:sz w:val="32"/>
        </w:rPr>
        <w:t>服务商必须提供一套标准化、流程化的运维手册，旨在指导甲方运维团队有效执行所有存储相关的日常运行维护、故障管理、变更控制及应急响应工作，确保存储系统的高效、稳定与安全运行。</w:t>
      </w:r>
    </w:p>
    <w:p w14:paraId="570886E6">
      <w:pPr>
        <w:ind w:firstLine="420"/>
        <w:rPr>
          <w:rFonts w:hint="eastAsia" w:ascii="仿宋" w:hAnsi="仿宋" w:eastAsia="仿宋"/>
          <w:sz w:val="32"/>
        </w:rPr>
      </w:pPr>
      <w:r>
        <w:rPr>
          <w:rFonts w:ascii="仿宋" w:hAnsi="仿宋" w:eastAsia="仿宋"/>
          <w:sz w:val="32"/>
        </w:rPr>
        <w:t>手册须详细阐述各项标准操作程序（SOP），涵盖每日、每周、每月例行巡检的检查项与步骤；存储资源（如容量扩容、权限调整）的申请与实现流程；数据备份与恢复操作的具体步骤与最佳实践；存储系统性能瓶颈识别与初步调优指南；故障诊断树与故障排除手册；变更管理流程；以及各类紧急事件的应急响应预案与恢复流程。运维手册中的所有内容须结合甲方实际环境进行定制化，并定期根据系统变化和运维经验进行回顾与修订。</w:t>
      </w:r>
    </w:p>
    <w:p w14:paraId="7D2C1545">
      <w:pPr>
        <w:pStyle w:val="30"/>
        <w:numPr>
          <w:ilvl w:val="0"/>
          <w:numId w:val="41"/>
        </w:numPr>
        <w:outlineLvl w:val="2"/>
        <w:rPr>
          <w:rFonts w:hint="eastAsia" w:ascii="仿宋" w:hAnsi="仿宋" w:eastAsia="仿宋"/>
          <w:sz w:val="32"/>
        </w:rPr>
      </w:pPr>
      <w:r>
        <w:rPr>
          <w:rFonts w:ascii="仿宋" w:hAnsi="仿宋" w:eastAsia="仿宋"/>
          <w:b/>
          <w:bCs/>
          <w:sz w:val="32"/>
        </w:rPr>
        <w:t>知识库建设要求</w:t>
      </w:r>
    </w:p>
    <w:p w14:paraId="1F38F19A">
      <w:pPr>
        <w:ind w:firstLine="420"/>
        <w:rPr>
          <w:rFonts w:hint="eastAsia" w:ascii="仿宋" w:hAnsi="仿宋" w:eastAsia="仿宋"/>
          <w:sz w:val="32"/>
        </w:rPr>
      </w:pPr>
      <w:r>
        <w:rPr>
          <w:rFonts w:ascii="仿宋" w:hAnsi="仿宋" w:eastAsia="仿宋"/>
          <w:sz w:val="32"/>
        </w:rPr>
        <w:t>为了固化项目实施和运维服务过程中积累的宝贵经验与知识，服务商必须协助甲方建立和完善一套集中式、可检索、易于维护的存储知识库。该知识库将作为甲方存储运维团队的重要信息宝库，有效提升团队的自服务能力和解决问题的效率。</w:t>
      </w:r>
    </w:p>
    <w:p w14:paraId="66996C65">
      <w:pPr>
        <w:ind w:firstLine="420"/>
        <w:rPr>
          <w:rFonts w:hint="eastAsia" w:ascii="仿宋" w:hAnsi="仿宋" w:eastAsia="仿宋"/>
          <w:sz w:val="32"/>
        </w:rPr>
      </w:pPr>
      <w:r>
        <w:rPr>
          <w:rFonts w:ascii="仿宋" w:hAnsi="仿宋" w:eastAsia="仿宋"/>
          <w:sz w:val="32"/>
        </w:rPr>
        <w:t>知识库的内容须不仅包含上述交付的技术文档和运维手册，还将系统性地收集和归档存储系统的常见问题解答（FAQ）、故障诊断案例、性能优化实践、安全漏洞及应对措施、厂商最佳实践文档以及各类系统集成技术指南。</w:t>
      </w:r>
    </w:p>
    <w:p w14:paraId="26E05B86">
      <w:pPr>
        <w:ind w:firstLine="420"/>
        <w:rPr>
          <w:rFonts w:hint="eastAsia" w:ascii="仿宋" w:hAnsi="仿宋" w:eastAsia="仿宋"/>
          <w:sz w:val="32"/>
        </w:rPr>
      </w:pPr>
      <w:r>
        <w:rPr>
          <w:rFonts w:ascii="仿宋" w:hAnsi="仿宋" w:eastAsia="仿宋"/>
          <w:sz w:val="32"/>
        </w:rPr>
        <w:t>所有知识条目须进行结构化分类，并配备关键词和标签，确保运维人员能够通过高效的搜索机制迅速定位所需信息。知识库须集成版本控制功能。</w:t>
      </w:r>
    </w:p>
    <w:p w14:paraId="0823EEB0">
      <w:pPr>
        <w:ind w:firstLine="420"/>
        <w:rPr>
          <w:rFonts w:hint="eastAsia" w:ascii="仿宋" w:hAnsi="仿宋" w:eastAsia="仿宋"/>
          <w:sz w:val="32"/>
        </w:rPr>
      </w:pPr>
      <w:r>
        <w:rPr>
          <w:rFonts w:ascii="仿宋" w:hAnsi="仿宋" w:eastAsia="仿宋"/>
          <w:sz w:val="32"/>
        </w:rPr>
        <w:t>项目团队须在服务期内，积极引导并协助甲方运维团队将日常运维中遇到的新问题及解决方案、通过根本原因分析（RCA）获得的经验教训、以及项目团队提供的技术支持反馈，系统性地贡献和沉淀到知识库中，形成持续迭代和自我完善的机制。</w:t>
      </w:r>
    </w:p>
    <w:p w14:paraId="65888298">
      <w:pPr>
        <w:ind w:firstLine="420"/>
        <w:rPr>
          <w:rFonts w:hint="eastAsia" w:ascii="仿宋" w:hAnsi="仿宋" w:eastAsia="仿宋"/>
          <w:sz w:val="32"/>
        </w:rPr>
      </w:pPr>
      <w:r>
        <w:rPr>
          <w:rFonts w:ascii="仿宋" w:hAnsi="仿宋" w:eastAsia="仿宋"/>
          <w:sz w:val="32"/>
        </w:rPr>
        <w:t>服务商须通过定期组织知识分享会和技术交流活动，确保知识库中的内容能够被有效利用和持续更新，最终将知识库打造成为一个支撑甲方存储运维能力持续提升的核心平台。</w:t>
      </w:r>
    </w:p>
    <w:p w14:paraId="3AD8F63A">
      <w:pPr>
        <w:rPr>
          <w:rFonts w:hint="eastAsia"/>
        </w:rPr>
      </w:pP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004BBB"/>
    <w:multiLevelType w:val="singleLevel"/>
    <w:tmpl w:val="03004BBB"/>
    <w:lvl w:ilvl="0" w:tentative="0">
      <w:start w:val="1"/>
      <w:numFmt w:val="chineseCountingThousand"/>
      <w:suff w:val="nothing"/>
      <w:lvlText w:val="%1、"/>
      <w:lvlJc w:val="left"/>
      <w:pPr>
        <w:ind w:left="0" w:firstLine="0"/>
      </w:pPr>
    </w:lvl>
  </w:abstractNum>
  <w:abstractNum w:abstractNumId="1">
    <w:nsid w:val="05E715FB"/>
    <w:multiLevelType w:val="singleLevel"/>
    <w:tmpl w:val="05E715FB"/>
    <w:lvl w:ilvl="0" w:tentative="0">
      <w:start w:val="5"/>
      <w:numFmt w:val="decimal"/>
      <w:suff w:val="nothing"/>
      <w:lvlText w:val="%1．"/>
      <w:lvlJc w:val="left"/>
      <w:pPr>
        <w:ind w:left="0" w:firstLine="0"/>
      </w:pPr>
    </w:lvl>
  </w:abstractNum>
  <w:abstractNum w:abstractNumId="2">
    <w:nsid w:val="0AB86A4C"/>
    <w:multiLevelType w:val="singleLevel"/>
    <w:tmpl w:val="0AB86A4C"/>
    <w:lvl w:ilvl="0" w:tentative="0">
      <w:start w:val="4"/>
      <w:numFmt w:val="decimal"/>
      <w:suff w:val="nothing"/>
      <w:lvlText w:val="%1．"/>
      <w:lvlJc w:val="left"/>
      <w:pPr>
        <w:ind w:left="0" w:firstLine="0"/>
      </w:pPr>
    </w:lvl>
  </w:abstractNum>
  <w:abstractNum w:abstractNumId="3">
    <w:nsid w:val="0CCE5CAA"/>
    <w:multiLevelType w:val="singleLevel"/>
    <w:tmpl w:val="0CCE5CAA"/>
    <w:lvl w:ilvl="0" w:tentative="0">
      <w:start w:val="1"/>
      <w:numFmt w:val="decimal"/>
      <w:suff w:val="nothing"/>
      <w:lvlText w:val="%1．"/>
      <w:lvlJc w:val="left"/>
      <w:pPr>
        <w:ind w:left="0" w:firstLine="0"/>
      </w:pPr>
    </w:lvl>
  </w:abstractNum>
  <w:abstractNum w:abstractNumId="4">
    <w:nsid w:val="0CD862AA"/>
    <w:multiLevelType w:val="singleLevel"/>
    <w:tmpl w:val="0CD862AA"/>
    <w:lvl w:ilvl="0" w:tentative="0">
      <w:start w:val="1"/>
      <w:numFmt w:val="decimal"/>
      <w:suff w:val="nothing"/>
      <w:lvlText w:val="%1．"/>
      <w:lvlJc w:val="left"/>
      <w:pPr>
        <w:ind w:left="0" w:firstLine="0"/>
      </w:pPr>
    </w:lvl>
  </w:abstractNum>
  <w:abstractNum w:abstractNumId="5">
    <w:nsid w:val="10455AFD"/>
    <w:multiLevelType w:val="singleLevel"/>
    <w:tmpl w:val="10455AFD"/>
    <w:lvl w:ilvl="0" w:tentative="0">
      <w:start w:val="3"/>
      <w:numFmt w:val="decimal"/>
      <w:suff w:val="nothing"/>
      <w:lvlText w:val="%1．"/>
      <w:lvlJc w:val="left"/>
      <w:pPr>
        <w:ind w:left="0" w:firstLine="0"/>
      </w:pPr>
    </w:lvl>
  </w:abstractNum>
  <w:abstractNum w:abstractNumId="6">
    <w:nsid w:val="156B4F3A"/>
    <w:multiLevelType w:val="singleLevel"/>
    <w:tmpl w:val="156B4F3A"/>
    <w:lvl w:ilvl="0" w:tentative="0">
      <w:start w:val="8"/>
      <w:numFmt w:val="chineseCountingThousand"/>
      <w:suff w:val="nothing"/>
      <w:lvlText w:val="（%1）"/>
      <w:lvlJc w:val="left"/>
      <w:pPr>
        <w:ind w:left="0" w:firstLine="0"/>
      </w:pPr>
    </w:lvl>
  </w:abstractNum>
  <w:abstractNum w:abstractNumId="7">
    <w:nsid w:val="17C10C01"/>
    <w:multiLevelType w:val="singleLevel"/>
    <w:tmpl w:val="17C10C01"/>
    <w:lvl w:ilvl="0" w:tentative="0">
      <w:start w:val="7"/>
      <w:numFmt w:val="chineseCountingThousand"/>
      <w:suff w:val="nothing"/>
      <w:lvlText w:val="（%1）"/>
      <w:lvlJc w:val="left"/>
      <w:pPr>
        <w:ind w:left="0" w:firstLine="0"/>
      </w:pPr>
    </w:lvl>
  </w:abstractNum>
  <w:abstractNum w:abstractNumId="8">
    <w:nsid w:val="182734FD"/>
    <w:multiLevelType w:val="singleLevel"/>
    <w:tmpl w:val="182734FD"/>
    <w:lvl w:ilvl="0" w:tentative="0">
      <w:start w:val="4"/>
      <w:numFmt w:val="chineseCountingThousand"/>
      <w:suff w:val="nothing"/>
      <w:lvlText w:val="（%1）"/>
      <w:lvlJc w:val="left"/>
      <w:pPr>
        <w:ind w:left="0" w:firstLine="0"/>
      </w:pPr>
    </w:lvl>
  </w:abstractNum>
  <w:abstractNum w:abstractNumId="9">
    <w:nsid w:val="194A5055"/>
    <w:multiLevelType w:val="singleLevel"/>
    <w:tmpl w:val="194A5055"/>
    <w:lvl w:ilvl="0" w:tentative="0">
      <w:start w:val="3"/>
      <w:numFmt w:val="decimal"/>
      <w:suff w:val="nothing"/>
      <w:lvlText w:val="%1．"/>
      <w:lvlJc w:val="left"/>
      <w:pPr>
        <w:ind w:left="0" w:firstLine="0"/>
      </w:pPr>
    </w:lvl>
  </w:abstractNum>
  <w:abstractNum w:abstractNumId="10">
    <w:nsid w:val="1D83703F"/>
    <w:multiLevelType w:val="singleLevel"/>
    <w:tmpl w:val="1D83703F"/>
    <w:lvl w:ilvl="0" w:tentative="0">
      <w:start w:val="2"/>
      <w:numFmt w:val="decimal"/>
      <w:suff w:val="nothing"/>
      <w:lvlText w:val="%1．"/>
      <w:lvlJc w:val="left"/>
      <w:pPr>
        <w:ind w:left="0" w:firstLine="0"/>
      </w:pPr>
    </w:lvl>
  </w:abstractNum>
  <w:abstractNum w:abstractNumId="11">
    <w:nsid w:val="219A4930"/>
    <w:multiLevelType w:val="singleLevel"/>
    <w:tmpl w:val="219A4930"/>
    <w:lvl w:ilvl="0" w:tentative="0">
      <w:start w:val="1"/>
      <w:numFmt w:val="decimal"/>
      <w:suff w:val="nothing"/>
      <w:lvlText w:val="%1．"/>
      <w:lvlJc w:val="left"/>
      <w:pPr>
        <w:ind w:left="0" w:firstLine="0"/>
      </w:pPr>
    </w:lvl>
  </w:abstractNum>
  <w:abstractNum w:abstractNumId="12">
    <w:nsid w:val="23B62E20"/>
    <w:multiLevelType w:val="singleLevel"/>
    <w:tmpl w:val="23B62E20"/>
    <w:lvl w:ilvl="0" w:tentative="0">
      <w:start w:val="7"/>
      <w:numFmt w:val="decimal"/>
      <w:suff w:val="nothing"/>
      <w:lvlText w:val="%1．"/>
      <w:lvlJc w:val="left"/>
      <w:pPr>
        <w:ind w:left="0" w:firstLine="0"/>
      </w:pPr>
    </w:lvl>
  </w:abstractNum>
  <w:abstractNum w:abstractNumId="13">
    <w:nsid w:val="2CCD7B8F"/>
    <w:multiLevelType w:val="singleLevel"/>
    <w:tmpl w:val="2CCD7B8F"/>
    <w:lvl w:ilvl="0" w:tentative="0">
      <w:start w:val="5"/>
      <w:numFmt w:val="decimal"/>
      <w:suff w:val="nothing"/>
      <w:lvlText w:val="%1．"/>
      <w:lvlJc w:val="left"/>
      <w:pPr>
        <w:ind w:left="0" w:firstLine="0"/>
      </w:pPr>
    </w:lvl>
  </w:abstractNum>
  <w:abstractNum w:abstractNumId="14">
    <w:nsid w:val="34EE42A6"/>
    <w:multiLevelType w:val="singleLevel"/>
    <w:tmpl w:val="34EE42A6"/>
    <w:lvl w:ilvl="0" w:tentative="0">
      <w:start w:val="5"/>
      <w:numFmt w:val="chineseCountingThousand"/>
      <w:suff w:val="nothing"/>
      <w:lvlText w:val="（%1）"/>
      <w:lvlJc w:val="left"/>
      <w:pPr>
        <w:ind w:left="0" w:firstLine="0"/>
      </w:pPr>
    </w:lvl>
  </w:abstractNum>
  <w:abstractNum w:abstractNumId="15">
    <w:nsid w:val="36580291"/>
    <w:multiLevelType w:val="singleLevel"/>
    <w:tmpl w:val="36580291"/>
    <w:lvl w:ilvl="0" w:tentative="0">
      <w:start w:val="3"/>
      <w:numFmt w:val="decimal"/>
      <w:suff w:val="nothing"/>
      <w:lvlText w:val="%1．"/>
      <w:lvlJc w:val="left"/>
      <w:pPr>
        <w:ind w:left="0" w:firstLine="0"/>
      </w:pPr>
    </w:lvl>
  </w:abstractNum>
  <w:abstractNum w:abstractNumId="16">
    <w:nsid w:val="36AC210D"/>
    <w:multiLevelType w:val="singleLevel"/>
    <w:tmpl w:val="36AC210D"/>
    <w:lvl w:ilvl="0" w:tentative="0">
      <w:start w:val="3"/>
      <w:numFmt w:val="decimal"/>
      <w:suff w:val="nothing"/>
      <w:lvlText w:val="%1．"/>
      <w:lvlJc w:val="left"/>
      <w:pPr>
        <w:ind w:left="0" w:firstLine="0"/>
      </w:pPr>
    </w:lvl>
  </w:abstractNum>
  <w:abstractNum w:abstractNumId="17">
    <w:nsid w:val="37143CB1"/>
    <w:multiLevelType w:val="singleLevel"/>
    <w:tmpl w:val="37143CB1"/>
    <w:lvl w:ilvl="0" w:tentative="0">
      <w:start w:val="3"/>
      <w:numFmt w:val="chineseCountingThousand"/>
      <w:suff w:val="nothing"/>
      <w:lvlText w:val="（%1）"/>
      <w:lvlJc w:val="left"/>
      <w:pPr>
        <w:ind w:left="0" w:firstLine="0"/>
      </w:pPr>
    </w:lvl>
  </w:abstractNum>
  <w:abstractNum w:abstractNumId="18">
    <w:nsid w:val="37CC58E7"/>
    <w:multiLevelType w:val="singleLevel"/>
    <w:tmpl w:val="37CC58E7"/>
    <w:lvl w:ilvl="0" w:tentative="0">
      <w:start w:val="8"/>
      <w:numFmt w:val="decimal"/>
      <w:suff w:val="nothing"/>
      <w:lvlText w:val="%1．"/>
      <w:lvlJc w:val="left"/>
      <w:pPr>
        <w:ind w:left="0" w:firstLine="0"/>
      </w:pPr>
    </w:lvl>
  </w:abstractNum>
  <w:abstractNum w:abstractNumId="19">
    <w:nsid w:val="3D0B0941"/>
    <w:multiLevelType w:val="singleLevel"/>
    <w:tmpl w:val="3D0B0941"/>
    <w:lvl w:ilvl="0" w:tentative="0">
      <w:start w:val="2"/>
      <w:numFmt w:val="chineseCountingThousand"/>
      <w:suff w:val="nothing"/>
      <w:lvlText w:val="（%1）"/>
      <w:lvlJc w:val="left"/>
      <w:pPr>
        <w:ind w:left="0" w:firstLine="0"/>
      </w:pPr>
    </w:lvl>
  </w:abstractNum>
  <w:abstractNum w:abstractNumId="20">
    <w:nsid w:val="3E1E582E"/>
    <w:multiLevelType w:val="singleLevel"/>
    <w:tmpl w:val="3E1E582E"/>
    <w:lvl w:ilvl="0" w:tentative="0">
      <w:start w:val="1"/>
      <w:numFmt w:val="decimal"/>
      <w:suff w:val="nothing"/>
      <w:lvlText w:val="%1．"/>
      <w:lvlJc w:val="left"/>
      <w:pPr>
        <w:ind w:left="0" w:firstLine="0"/>
      </w:pPr>
    </w:lvl>
  </w:abstractNum>
  <w:abstractNum w:abstractNumId="21">
    <w:nsid w:val="41C56222"/>
    <w:multiLevelType w:val="singleLevel"/>
    <w:tmpl w:val="41C56222"/>
    <w:lvl w:ilvl="0" w:tentative="0">
      <w:start w:val="3"/>
      <w:numFmt w:val="decimal"/>
      <w:suff w:val="nothing"/>
      <w:lvlText w:val="%1．"/>
      <w:lvlJc w:val="left"/>
      <w:pPr>
        <w:ind w:left="0" w:firstLine="0"/>
      </w:pPr>
    </w:lvl>
  </w:abstractNum>
  <w:abstractNum w:abstractNumId="22">
    <w:nsid w:val="430B3BF9"/>
    <w:multiLevelType w:val="singleLevel"/>
    <w:tmpl w:val="430B3BF9"/>
    <w:lvl w:ilvl="0" w:tentative="0">
      <w:start w:val="4"/>
      <w:numFmt w:val="decimal"/>
      <w:suff w:val="nothing"/>
      <w:lvlText w:val="%1．"/>
      <w:lvlJc w:val="left"/>
      <w:pPr>
        <w:ind w:left="0" w:firstLine="0"/>
      </w:pPr>
    </w:lvl>
  </w:abstractNum>
  <w:abstractNum w:abstractNumId="23">
    <w:nsid w:val="44B2320D"/>
    <w:multiLevelType w:val="singleLevel"/>
    <w:tmpl w:val="44B2320D"/>
    <w:lvl w:ilvl="0" w:tentative="0">
      <w:start w:val="2"/>
      <w:numFmt w:val="decimal"/>
      <w:suff w:val="nothing"/>
      <w:lvlText w:val="%1．"/>
      <w:lvlJc w:val="left"/>
      <w:pPr>
        <w:ind w:left="0" w:firstLine="0"/>
      </w:pPr>
    </w:lvl>
  </w:abstractNum>
  <w:abstractNum w:abstractNumId="24">
    <w:nsid w:val="480A79E9"/>
    <w:multiLevelType w:val="singleLevel"/>
    <w:tmpl w:val="480A79E9"/>
    <w:lvl w:ilvl="0" w:tentative="0">
      <w:start w:val="1"/>
      <w:numFmt w:val="decimal"/>
      <w:suff w:val="nothing"/>
      <w:lvlText w:val="%1．"/>
      <w:lvlJc w:val="left"/>
      <w:pPr>
        <w:ind w:left="0" w:firstLine="0"/>
      </w:pPr>
    </w:lvl>
  </w:abstractNum>
  <w:abstractNum w:abstractNumId="25">
    <w:nsid w:val="480C383D"/>
    <w:multiLevelType w:val="singleLevel"/>
    <w:tmpl w:val="480C383D"/>
    <w:lvl w:ilvl="0" w:tentative="0">
      <w:start w:val="4"/>
      <w:numFmt w:val="decimal"/>
      <w:suff w:val="nothing"/>
      <w:lvlText w:val="%1．"/>
      <w:lvlJc w:val="left"/>
      <w:pPr>
        <w:ind w:left="0" w:firstLine="0"/>
      </w:pPr>
    </w:lvl>
  </w:abstractNum>
  <w:abstractNum w:abstractNumId="26">
    <w:nsid w:val="499225EF"/>
    <w:multiLevelType w:val="singleLevel"/>
    <w:tmpl w:val="499225EF"/>
    <w:lvl w:ilvl="0" w:tentative="0">
      <w:start w:val="2"/>
      <w:numFmt w:val="decimal"/>
      <w:suff w:val="nothing"/>
      <w:lvlText w:val="%1．"/>
      <w:lvlJc w:val="left"/>
      <w:pPr>
        <w:ind w:left="0" w:firstLine="0"/>
      </w:pPr>
    </w:lvl>
  </w:abstractNum>
  <w:abstractNum w:abstractNumId="27">
    <w:nsid w:val="51E75400"/>
    <w:multiLevelType w:val="singleLevel"/>
    <w:tmpl w:val="51E75400"/>
    <w:lvl w:ilvl="0" w:tentative="0">
      <w:start w:val="4"/>
      <w:numFmt w:val="decimal"/>
      <w:suff w:val="nothing"/>
      <w:lvlText w:val="%1．"/>
      <w:lvlJc w:val="left"/>
      <w:pPr>
        <w:ind w:left="0" w:firstLine="0"/>
      </w:pPr>
    </w:lvl>
  </w:abstractNum>
  <w:abstractNum w:abstractNumId="28">
    <w:nsid w:val="5C086941"/>
    <w:multiLevelType w:val="singleLevel"/>
    <w:tmpl w:val="5C086941"/>
    <w:lvl w:ilvl="0" w:tentative="0">
      <w:start w:val="2"/>
      <w:numFmt w:val="decimal"/>
      <w:suff w:val="nothing"/>
      <w:lvlText w:val="%1．"/>
      <w:lvlJc w:val="left"/>
      <w:pPr>
        <w:ind w:left="0" w:firstLine="0"/>
      </w:pPr>
    </w:lvl>
  </w:abstractNum>
  <w:abstractNum w:abstractNumId="29">
    <w:nsid w:val="5C44728A"/>
    <w:multiLevelType w:val="singleLevel"/>
    <w:tmpl w:val="5C44728A"/>
    <w:lvl w:ilvl="0" w:tentative="0">
      <w:start w:val="2"/>
      <w:numFmt w:val="decimal"/>
      <w:suff w:val="nothing"/>
      <w:lvlText w:val="%1．"/>
      <w:lvlJc w:val="left"/>
      <w:pPr>
        <w:ind w:left="0" w:firstLine="0"/>
      </w:pPr>
    </w:lvl>
  </w:abstractNum>
  <w:abstractNum w:abstractNumId="30">
    <w:nsid w:val="5D6C3E69"/>
    <w:multiLevelType w:val="singleLevel"/>
    <w:tmpl w:val="5D6C3E69"/>
    <w:lvl w:ilvl="0" w:tentative="0">
      <w:start w:val="1"/>
      <w:numFmt w:val="decimal"/>
      <w:suff w:val="nothing"/>
      <w:lvlText w:val="%1．"/>
      <w:lvlJc w:val="left"/>
      <w:pPr>
        <w:ind w:left="0" w:firstLine="0"/>
      </w:pPr>
    </w:lvl>
  </w:abstractNum>
  <w:abstractNum w:abstractNumId="31">
    <w:nsid w:val="5D9C7590"/>
    <w:multiLevelType w:val="singleLevel"/>
    <w:tmpl w:val="5D9C7590"/>
    <w:lvl w:ilvl="0" w:tentative="0">
      <w:start w:val="3"/>
      <w:numFmt w:val="decimal"/>
      <w:suff w:val="nothing"/>
      <w:lvlText w:val="%1．"/>
      <w:lvlJc w:val="left"/>
      <w:pPr>
        <w:ind w:left="0" w:firstLine="0"/>
      </w:pPr>
    </w:lvl>
  </w:abstractNum>
  <w:abstractNum w:abstractNumId="32">
    <w:nsid w:val="60E56B56"/>
    <w:multiLevelType w:val="singleLevel"/>
    <w:tmpl w:val="60E56B56"/>
    <w:lvl w:ilvl="0" w:tentative="0">
      <w:start w:val="4"/>
      <w:numFmt w:val="decimal"/>
      <w:suff w:val="nothing"/>
      <w:lvlText w:val="%1．"/>
      <w:lvlJc w:val="left"/>
      <w:pPr>
        <w:ind w:left="0" w:firstLine="0"/>
      </w:pPr>
    </w:lvl>
  </w:abstractNum>
  <w:abstractNum w:abstractNumId="33">
    <w:nsid w:val="618B6FA2"/>
    <w:multiLevelType w:val="singleLevel"/>
    <w:tmpl w:val="618B6FA2"/>
    <w:lvl w:ilvl="0" w:tentative="0">
      <w:start w:val="2"/>
      <w:numFmt w:val="decimal"/>
      <w:suff w:val="nothing"/>
      <w:lvlText w:val="%1．"/>
      <w:lvlJc w:val="left"/>
      <w:pPr>
        <w:ind w:left="0" w:firstLine="0"/>
      </w:pPr>
    </w:lvl>
  </w:abstractNum>
  <w:abstractNum w:abstractNumId="34">
    <w:nsid w:val="61C93501"/>
    <w:multiLevelType w:val="singleLevel"/>
    <w:tmpl w:val="61C93501"/>
    <w:lvl w:ilvl="0" w:tentative="0">
      <w:start w:val="1"/>
      <w:numFmt w:val="chineseCountingThousand"/>
      <w:suff w:val="nothing"/>
      <w:lvlText w:val="（%1）"/>
      <w:lvlJc w:val="left"/>
      <w:pPr>
        <w:ind w:left="0" w:firstLine="0"/>
      </w:pPr>
    </w:lvl>
  </w:abstractNum>
  <w:abstractNum w:abstractNumId="35">
    <w:nsid w:val="67AE487F"/>
    <w:multiLevelType w:val="singleLevel"/>
    <w:tmpl w:val="67AE487F"/>
    <w:lvl w:ilvl="0" w:tentative="0">
      <w:start w:val="1"/>
      <w:numFmt w:val="decimal"/>
      <w:suff w:val="nothing"/>
      <w:lvlText w:val="%1．"/>
      <w:lvlJc w:val="left"/>
      <w:pPr>
        <w:ind w:left="0" w:firstLine="0"/>
      </w:pPr>
    </w:lvl>
  </w:abstractNum>
  <w:abstractNum w:abstractNumId="36">
    <w:nsid w:val="67BB3DAB"/>
    <w:multiLevelType w:val="singleLevel"/>
    <w:tmpl w:val="67BB3DAB"/>
    <w:lvl w:ilvl="0" w:tentative="0">
      <w:start w:val="2"/>
      <w:numFmt w:val="decimal"/>
      <w:suff w:val="nothing"/>
      <w:lvlText w:val="%1．"/>
      <w:lvlJc w:val="left"/>
      <w:pPr>
        <w:ind w:left="0" w:firstLine="0"/>
      </w:pPr>
    </w:lvl>
  </w:abstractNum>
  <w:abstractNum w:abstractNumId="37">
    <w:nsid w:val="6D1A4CA3"/>
    <w:multiLevelType w:val="singleLevel"/>
    <w:tmpl w:val="6D1A4CA3"/>
    <w:lvl w:ilvl="0" w:tentative="0">
      <w:start w:val="6"/>
      <w:numFmt w:val="decimal"/>
      <w:suff w:val="nothing"/>
      <w:lvlText w:val="%1．"/>
      <w:lvlJc w:val="left"/>
      <w:pPr>
        <w:ind w:left="0" w:firstLine="0"/>
      </w:pPr>
    </w:lvl>
  </w:abstractNum>
  <w:abstractNum w:abstractNumId="38">
    <w:nsid w:val="73C643CB"/>
    <w:multiLevelType w:val="singleLevel"/>
    <w:tmpl w:val="73C643CB"/>
    <w:lvl w:ilvl="0" w:tentative="0">
      <w:start w:val="5"/>
      <w:numFmt w:val="decimal"/>
      <w:suff w:val="nothing"/>
      <w:lvlText w:val="%1．"/>
      <w:lvlJc w:val="left"/>
      <w:pPr>
        <w:ind w:left="0" w:firstLine="0"/>
      </w:pPr>
    </w:lvl>
  </w:abstractNum>
  <w:abstractNum w:abstractNumId="39">
    <w:nsid w:val="763634D3"/>
    <w:multiLevelType w:val="singleLevel"/>
    <w:tmpl w:val="763634D3"/>
    <w:lvl w:ilvl="0" w:tentative="0">
      <w:start w:val="6"/>
      <w:numFmt w:val="chineseCountingThousand"/>
      <w:suff w:val="nothing"/>
      <w:lvlText w:val="（%1）"/>
      <w:lvlJc w:val="left"/>
      <w:pPr>
        <w:ind w:left="0" w:firstLine="0"/>
      </w:pPr>
    </w:lvl>
  </w:abstractNum>
  <w:abstractNum w:abstractNumId="40">
    <w:nsid w:val="7D0C08F6"/>
    <w:multiLevelType w:val="singleLevel"/>
    <w:tmpl w:val="7D0C08F6"/>
    <w:lvl w:ilvl="0" w:tentative="0">
      <w:start w:val="1"/>
      <w:numFmt w:val="decimal"/>
      <w:suff w:val="nothing"/>
      <w:lvlText w:val="%1．"/>
      <w:lvlJc w:val="left"/>
      <w:pPr>
        <w:ind w:left="0" w:firstLine="0"/>
      </w:pPr>
    </w:lvl>
  </w:abstractNum>
  <w:num w:numId="1">
    <w:abstractNumId w:val="0"/>
  </w:num>
  <w:num w:numId="2">
    <w:abstractNumId w:val="34"/>
  </w:num>
  <w:num w:numId="3">
    <w:abstractNumId w:val="35"/>
  </w:num>
  <w:num w:numId="4">
    <w:abstractNumId w:val="19"/>
  </w:num>
  <w:num w:numId="5">
    <w:abstractNumId w:val="20"/>
  </w:num>
  <w:num w:numId="6">
    <w:abstractNumId w:val="33"/>
  </w:num>
  <w:num w:numId="7">
    <w:abstractNumId w:val="5"/>
  </w:num>
  <w:num w:numId="8">
    <w:abstractNumId w:val="17"/>
  </w:num>
  <w:num w:numId="9">
    <w:abstractNumId w:val="40"/>
  </w:num>
  <w:num w:numId="10">
    <w:abstractNumId w:val="29"/>
  </w:num>
  <w:num w:numId="11">
    <w:abstractNumId w:val="9"/>
  </w:num>
  <w:num w:numId="12">
    <w:abstractNumId w:val="22"/>
  </w:num>
  <w:num w:numId="13">
    <w:abstractNumId w:val="38"/>
  </w:num>
  <w:num w:numId="14">
    <w:abstractNumId w:val="8"/>
  </w:num>
  <w:num w:numId="15">
    <w:abstractNumId w:val="30"/>
  </w:num>
  <w:num w:numId="16">
    <w:abstractNumId w:val="23"/>
  </w:num>
  <w:num w:numId="17">
    <w:abstractNumId w:val="16"/>
  </w:num>
  <w:num w:numId="18">
    <w:abstractNumId w:val="25"/>
  </w:num>
  <w:num w:numId="19">
    <w:abstractNumId w:val="13"/>
  </w:num>
  <w:num w:numId="20">
    <w:abstractNumId w:val="37"/>
  </w:num>
  <w:num w:numId="21">
    <w:abstractNumId w:val="12"/>
  </w:num>
  <w:num w:numId="22">
    <w:abstractNumId w:val="18"/>
  </w:num>
  <w:num w:numId="23">
    <w:abstractNumId w:val="14"/>
  </w:num>
  <w:num w:numId="24">
    <w:abstractNumId w:val="3"/>
  </w:num>
  <w:num w:numId="25">
    <w:abstractNumId w:val="36"/>
  </w:num>
  <w:num w:numId="26">
    <w:abstractNumId w:val="39"/>
  </w:num>
  <w:num w:numId="27">
    <w:abstractNumId w:val="24"/>
  </w:num>
  <w:num w:numId="28">
    <w:abstractNumId w:val="10"/>
  </w:num>
  <w:num w:numId="29">
    <w:abstractNumId w:val="15"/>
  </w:num>
  <w:num w:numId="30">
    <w:abstractNumId w:val="27"/>
  </w:num>
  <w:num w:numId="31">
    <w:abstractNumId w:val="7"/>
  </w:num>
  <w:num w:numId="32">
    <w:abstractNumId w:val="11"/>
  </w:num>
  <w:num w:numId="33">
    <w:abstractNumId w:val="28"/>
  </w:num>
  <w:num w:numId="34">
    <w:abstractNumId w:val="31"/>
  </w:num>
  <w:num w:numId="35">
    <w:abstractNumId w:val="2"/>
  </w:num>
  <w:num w:numId="36">
    <w:abstractNumId w:val="6"/>
  </w:num>
  <w:num w:numId="37">
    <w:abstractNumId w:val="4"/>
  </w:num>
  <w:num w:numId="38">
    <w:abstractNumId w:val="26"/>
  </w:num>
  <w:num w:numId="39">
    <w:abstractNumId w:val="21"/>
  </w:num>
  <w:num w:numId="40">
    <w:abstractNumId w:val="3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14C"/>
    <w:rsid w:val="00040240"/>
    <w:rsid w:val="000439DA"/>
    <w:rsid w:val="00044558"/>
    <w:rsid w:val="000454FB"/>
    <w:rsid w:val="00081FA6"/>
    <w:rsid w:val="000B536E"/>
    <w:rsid w:val="000E24FB"/>
    <w:rsid w:val="001A0891"/>
    <w:rsid w:val="001C5EA3"/>
    <w:rsid w:val="003D01F3"/>
    <w:rsid w:val="00411BB8"/>
    <w:rsid w:val="00474766"/>
    <w:rsid w:val="00475984"/>
    <w:rsid w:val="0049033E"/>
    <w:rsid w:val="005A21E6"/>
    <w:rsid w:val="0063052F"/>
    <w:rsid w:val="00685016"/>
    <w:rsid w:val="0071769B"/>
    <w:rsid w:val="0076491B"/>
    <w:rsid w:val="008050E8"/>
    <w:rsid w:val="008B05B4"/>
    <w:rsid w:val="008B4CC5"/>
    <w:rsid w:val="00907631"/>
    <w:rsid w:val="00A96BA2"/>
    <w:rsid w:val="00B83619"/>
    <w:rsid w:val="00B90969"/>
    <w:rsid w:val="00BA1A00"/>
    <w:rsid w:val="00BB735F"/>
    <w:rsid w:val="00BE4C10"/>
    <w:rsid w:val="00BF4437"/>
    <w:rsid w:val="00C25905"/>
    <w:rsid w:val="00C91E71"/>
    <w:rsid w:val="00C93131"/>
    <w:rsid w:val="00CA11A7"/>
    <w:rsid w:val="00D173F2"/>
    <w:rsid w:val="00D779C5"/>
    <w:rsid w:val="00DC114C"/>
    <w:rsid w:val="00E062A1"/>
    <w:rsid w:val="00EC08BC"/>
    <w:rsid w:val="00F96C22"/>
    <w:rsid w:val="7C883D3D"/>
    <w:rsid w:val="DFDF24C0"/>
    <w:rsid w:val="F7BDD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2"/>
    <w:semiHidden/>
    <w:unhideWhenUsed/>
    <w:qFormat/>
    <w:uiPriority w:val="9"/>
    <w:pPr>
      <w:keepNext/>
      <w:keepLines/>
      <w:spacing w:before="40" w:after="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spacing w:line="240" w:lineRule="auto"/>
    </w:pPr>
    <w:rPr>
      <w:sz w:val="18"/>
      <w:szCs w:val="18"/>
    </w:rPr>
  </w:style>
  <w:style w:type="paragraph" w:styleId="12">
    <w:name w:val="header"/>
    <w:basedOn w:val="1"/>
    <w:link w:val="35"/>
    <w:unhideWhenUsed/>
    <w:qFormat/>
    <w:uiPriority w:val="99"/>
    <w:pPr>
      <w:tabs>
        <w:tab w:val="center" w:pos="4153"/>
        <w:tab w:val="right" w:pos="8306"/>
      </w:tabs>
      <w:snapToGrid w:val="0"/>
      <w:spacing w:line="240" w:lineRule="auto"/>
      <w:jc w:val="center"/>
    </w:pPr>
    <w:rPr>
      <w:sz w:val="18"/>
      <w:szCs w:val="18"/>
    </w:rPr>
  </w:style>
  <w:style w:type="paragraph" w:styleId="13">
    <w:name w:val="Subtitle"/>
    <w:basedOn w:val="1"/>
    <w:next w:val="1"/>
    <w:link w:val="27"/>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uiPriority w:val="99"/>
    <w:rPr>
      <w:sz w:val="18"/>
      <w:szCs w:val="18"/>
    </w:rPr>
  </w:style>
  <w:style w:type="character" w:customStyle="1" w:styleId="36">
    <w:name w:val="页脚 字符"/>
    <w:basedOn w:val="16"/>
    <w:link w:val="11"/>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13850</Words>
  <Characters>14027</Characters>
  <Lines>101</Lines>
  <Paragraphs>28</Paragraphs>
  <TotalTime>72</TotalTime>
  <ScaleCrop>false</ScaleCrop>
  <LinksUpToDate>false</LinksUpToDate>
  <CharactersWithSpaces>14038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2025-11-14T07:59:00Z</dcterms:created>
  <dc:creator>瑤 鄧</dc:creator>
  <cp:lastModifiedBy>Kevin</cp:lastModifiedBy>
  <dcterms:modified xsi:type="dcterms:W3CDTF">2025-11-21T03:35:18Z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1122E9C54AC0031A9B8E1669429F6606_43</vt:lpwstr>
  </property>
  <property fmtid="{D5CDD505-2E9C-101B-9397-08002B2CF9AE}" pid="4" name="KSOTemplateDocerSaveRecord">
    <vt:lpwstr>eyJoZGlkIjoiNmI0YzI4NGJiMjg2ZWZlN2MzZDcyYzg5ZDEwYzBhZDAiLCJ1c2VySWQiOiI0Mzk5MTQwNTcifQ==</vt:lpwstr>
  </property>
</Properties>
</file>