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CE244">
      <w:pPr>
        <w:pStyle w:val="4"/>
        <w:spacing w:before="0" w:after="0" w:line="360" w:lineRule="exact"/>
        <w:jc w:val="center"/>
        <w:outlineLvl w:val="0"/>
        <w:rPr>
          <w:rFonts w:hint="default" w:asciiTheme="majorAscii" w:hAnsiTheme="majorAscii" w:eastAsiaTheme="minorEastAsia" w:cstheme="minorEastAsia"/>
          <w:sz w:val="32"/>
          <w:szCs w:val="32"/>
          <w:highlight w:val="none"/>
          <w:lang w:val="en-US" w:eastAsia="zh-CN"/>
        </w:rPr>
      </w:pPr>
      <w:r>
        <w:rPr>
          <w:rFonts w:hint="default" w:asciiTheme="majorAscii" w:hAnsiTheme="majorAscii" w:eastAsiaTheme="minorEastAsia" w:cstheme="minorEastAsia"/>
          <w:sz w:val="32"/>
          <w:szCs w:val="32"/>
          <w:highlight w:val="none"/>
          <w:lang w:val="en-US" w:eastAsia="zh-CN"/>
        </w:rPr>
        <w:t>技术服务要求</w:t>
      </w:r>
    </w:p>
    <w:p w14:paraId="5FED756C">
      <w:pPr>
        <w:pStyle w:val="4"/>
        <w:spacing w:before="0" w:after="0" w:line="360" w:lineRule="exact"/>
        <w:outlineLvl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.网络安全运维要求</w:t>
      </w:r>
    </w:p>
    <w:p w14:paraId="4F14B748">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统一协调包括IT运维专家团队在内的运维资源，实时监控采购人指定的信息系统运行状况，及时发现并排除网络运行中的不良因素消除安全隐患。安全服务厂商结合采购人系统现状，提供切实可行的项目服务方案（包括但不限于安全评估方案、安全整改方案和安全运维服务方案）。</w:t>
      </w:r>
    </w:p>
    <w:p w14:paraId="1936F7C8">
      <w:pPr>
        <w:pStyle w:val="5"/>
        <w:spacing w:before="0" w:after="0" w:line="360" w:lineRule="exact"/>
        <w:outlineLvl w:val="1"/>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.1驻场人员要求</w:t>
      </w:r>
    </w:p>
    <w:p w14:paraId="54901E9B">
      <w:pPr>
        <w:numPr>
          <w:ilvl w:val="0"/>
          <w:numId w:val="1"/>
        </w:numPr>
        <w:spacing w:line="360" w:lineRule="exact"/>
        <w:ind w:left="0"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驻场人员持有CISP（注册信息安全专业人员）等证书。具有一定公文写作能力。</w:t>
      </w:r>
    </w:p>
    <w:p w14:paraId="099C8FC7">
      <w:pPr>
        <w:numPr>
          <w:ilvl w:val="0"/>
          <w:numId w:val="1"/>
        </w:numPr>
        <w:spacing w:line="360" w:lineRule="exact"/>
        <w:ind w:left="0"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 xml:space="preserve">驻场人员从事不少于3年网络安全运维工作，掌握信息安全技术相关技能，包括:云平台网络安全技术、安全咨询、安全评估、等保服务、数据中心云化等方面;掌握等级保护标准、分级保护标准、安全风险评估规范和实施流程及方法，具备等级保护、风险评估、数据中心等信息安全领域咨询和建设的相关标准和测评实施的方法和经验。 </w:t>
      </w:r>
    </w:p>
    <w:p w14:paraId="00494E55">
      <w:pPr>
        <w:numPr>
          <w:ilvl w:val="0"/>
          <w:numId w:val="1"/>
        </w:numPr>
        <w:spacing w:line="360" w:lineRule="exact"/>
        <w:ind w:left="0"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 xml:space="preserve">熟悉信息网络安全相关基础产品特性，了解市场上现有常见的网络安全设备和产品。熟悉各领域的安全技术，包括：Web安全、系统网络安全、大数据平台安全、云平台安全、网络安全域的划分等，熟悉安全漏洞扫描等常用安全设备； </w:t>
      </w:r>
    </w:p>
    <w:p w14:paraId="42C93126">
      <w:pPr>
        <w:numPr>
          <w:ilvl w:val="0"/>
          <w:numId w:val="1"/>
        </w:numPr>
        <w:spacing w:line="360" w:lineRule="exact"/>
        <w:ind w:left="0"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 xml:space="preserve">掌握主流操作系统、数据库、网络设备的配置及使用；掌握一种或多种编程或脚本语言，如Python、Perl等； </w:t>
      </w:r>
    </w:p>
    <w:p w14:paraId="06F49953">
      <w:pPr>
        <w:numPr>
          <w:ilvl w:val="0"/>
          <w:numId w:val="1"/>
        </w:numPr>
        <w:spacing w:line="360" w:lineRule="exact"/>
        <w:ind w:left="0"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掌握维护设备的操作方法、故障排除方法、设备性能监测及注意事项。确保维护设备的安全运行，每日进行巡检，监测，根据业主需要进行相关配置。</w:t>
      </w:r>
    </w:p>
    <w:p w14:paraId="71483CE2">
      <w:pPr>
        <w:numPr>
          <w:ilvl w:val="0"/>
          <w:numId w:val="1"/>
        </w:numPr>
        <w:spacing w:line="360" w:lineRule="exact"/>
        <w:ind w:left="0"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所有涉及特征库、病毒库服务的设备或软件均应提供免费升级服务。</w:t>
      </w:r>
    </w:p>
    <w:p w14:paraId="686896A7">
      <w:pPr>
        <w:pStyle w:val="5"/>
        <w:spacing w:before="0" w:after="0" w:line="360" w:lineRule="exact"/>
        <w:outlineLvl w:val="1"/>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.2维护服务清单</w:t>
      </w:r>
    </w:p>
    <w:p w14:paraId="2865AA7E">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.2.1设备监控</w:t>
      </w:r>
    </w:p>
    <w:p w14:paraId="74784162">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驻场工程师将提供5*8小时为基础的设备现场监控和7*24小时的手机在线值班，以配合首讯科技的日常运营。 驻场工程师的现场监控任务不仅仅是简单的“告警监控”，而是参考警报和性能指标，通过不同的方式和性能数据进行诊断，以更有效地识别问题，挖掘故障根因，以确保可以快速、专业地处理可能发生的任何故障和告警。</w:t>
      </w:r>
    </w:p>
    <w:p w14:paraId="18418F0C">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.2.2预防性维护</w:t>
      </w:r>
    </w:p>
    <w:p w14:paraId="04A029CD">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驻场工程师通过现场或远程访问的方式对安全设备进行每月一次的预防性维护，包括设备巡检，异常整改或调整，测试，设备内部和外部清洁，以及设备单元，板件，组件，模块的运行状态检查，异常部件的维修或更换。</w:t>
      </w:r>
    </w:p>
    <w:p w14:paraId="1F36070A">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预防性维护的目标是使设备保持稳定和正常的工作状态，预防缺陷和退化，从而减少设备故障发生频率和故障处理的时间。</w:t>
      </w:r>
    </w:p>
    <w:p w14:paraId="245C039A">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.2.3故障管理</w:t>
      </w:r>
    </w:p>
    <w:p w14:paraId="66E03FFA">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故障管理包括故障预测、故障诊断、故障处理、故障升级和故障进展跟踪、技术支持升级等子流程。</w:t>
      </w:r>
    </w:p>
    <w:p w14:paraId="401FE52A">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.2.4配置管理</w:t>
      </w:r>
    </w:p>
    <w:p w14:paraId="5773677F">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驻场工程师将根据业主的业务需求对业务配置进行修改，包括监督或执行生成、修改和删除设备的业务数据配置。对于计划性的设备系统配置修改、软件更新，驻场工程师将负责分析此配置变更的影响，设计和优化所需的设备配置数据，协调资源完成配置变更。</w:t>
      </w:r>
    </w:p>
    <w:p w14:paraId="50DB41DD">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配置变更操作结束后，驻场工程师将进行24小时业务监控，以业务系统的正常使用。</w:t>
      </w:r>
    </w:p>
    <w:p w14:paraId="0F66BB07">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.2.5重点保障</w:t>
      </w:r>
    </w:p>
    <w:p w14:paraId="2C930F9B">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在重要节日，重大会议或攻防演习期间，驻场工程师将</w:t>
      </w:r>
      <w:r>
        <w:rPr>
          <w:rFonts w:hint="eastAsia" w:asciiTheme="minorEastAsia" w:hAnsiTheme="minorEastAsia" w:eastAsiaTheme="minorEastAsia" w:cstheme="minorEastAsia"/>
          <w:color w:val="000000"/>
          <w:highlight w:val="none"/>
          <w:lang w:val="en-US" w:eastAsia="zh-CN"/>
        </w:rPr>
        <w:t>与甲方工程师</w:t>
      </w:r>
      <w:r>
        <w:rPr>
          <w:rFonts w:hint="eastAsia" w:asciiTheme="minorEastAsia" w:hAnsiTheme="minorEastAsia" w:eastAsiaTheme="minorEastAsia" w:cstheme="minorEastAsia"/>
          <w:color w:val="000000"/>
          <w:highlight w:val="none"/>
        </w:rPr>
        <w:t>或第三方其他驻场人员一起准备并执行重大事件保障计划，主要动作包括：</w:t>
      </w:r>
    </w:p>
    <w:p w14:paraId="5A451113">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提前准备额外的资源，备件和耗材；</w:t>
      </w:r>
    </w:p>
    <w:p w14:paraId="5C875CDD">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提前设备巡检，负载检查，数据备份和清理；</w:t>
      </w:r>
    </w:p>
    <w:p w14:paraId="30C20476">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制定值班计划，确保及时响应；</w:t>
      </w:r>
    </w:p>
    <w:p w14:paraId="33336954">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制定紧急和应急计划；</w:t>
      </w:r>
    </w:p>
    <w:p w14:paraId="60AF900E">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与</w:t>
      </w:r>
      <w:r>
        <w:rPr>
          <w:rFonts w:hint="eastAsia" w:asciiTheme="minorEastAsia" w:hAnsiTheme="minorEastAsia" w:eastAsiaTheme="minorEastAsia" w:cstheme="minorEastAsia"/>
          <w:color w:val="000000"/>
          <w:highlight w:val="none"/>
          <w:lang w:val="en-US" w:eastAsia="zh-CN"/>
        </w:rPr>
        <w:t>甲方工程师</w:t>
      </w:r>
      <w:r>
        <w:rPr>
          <w:rFonts w:hint="eastAsia" w:asciiTheme="minorEastAsia" w:hAnsiTheme="minorEastAsia" w:eastAsiaTheme="minorEastAsia" w:cstheme="minorEastAsia"/>
          <w:color w:val="000000"/>
          <w:highlight w:val="none"/>
        </w:rPr>
        <w:t>或第三方其他驻场人员进行计划沟通，确保各方的准备；</w:t>
      </w:r>
    </w:p>
    <w:p w14:paraId="673DF826">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至少保障2人同时驻场。</w:t>
      </w:r>
    </w:p>
    <w:p w14:paraId="5B8E1C3A">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.2.6建立设备安全配置基线库</w:t>
      </w:r>
    </w:p>
    <w:p w14:paraId="10AEBA30">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建立设备的安全配置基线库、定期对采购人现有系统进行脆弱性分析，对采购人开展行业网络信息安全监管工作、网络规划、信息安全建设和安全评审等信息系统相关活动提供技术支持。</w:t>
      </w:r>
    </w:p>
    <w:p w14:paraId="3E3820C6">
      <w:pPr>
        <w:pStyle w:val="4"/>
        <w:spacing w:before="0" w:after="0" w:line="360" w:lineRule="exact"/>
        <w:outlineLvl w:val="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.网络安全咨询服务要求</w:t>
      </w:r>
    </w:p>
    <w:p w14:paraId="5B64E515">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根据《网络安全法》及GB/T 22239-2019《信息安全技术网络安全等级保护要求》（以下简称“等保2.0”）等要求，提供包括且不限于安全管理体系建设、培训及演练服务、应急响应服务、网络安全检查、安全咨询服务、专项通报服务等服务。</w:t>
      </w:r>
    </w:p>
    <w:p w14:paraId="72FD4880">
      <w:pPr>
        <w:pStyle w:val="5"/>
        <w:spacing w:before="0" w:after="0" w:line="360" w:lineRule="exact"/>
        <w:outlineLvl w:val="1"/>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.1驻场人员要求</w:t>
      </w:r>
    </w:p>
    <w:p w14:paraId="7D5C423E">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驻场人员持有CISP（注册信息安全专业人员）等证书。具有一定公文写作能力。</w:t>
      </w:r>
    </w:p>
    <w:p w14:paraId="4867D531">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 xml:space="preserve">驻场人员从事不少于5年网络安全咨询工作，掌握信息安全技术相关技能，包括:云平台网络安全技术、资产梳理、安全制度汇编、信息安全保障设计规划咨询、安全评估、等保服务、渗透测试、漏洞管理、威胁管理、新上线业务安全评估等。 </w:t>
      </w:r>
    </w:p>
    <w:p w14:paraId="259E2364">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 xml:space="preserve">熟悉信息网络安全相关基础产品特性，了解市场上现有常见的网络安全设备和产品。熟悉各领域的安全技术，包括：Web安全、系统网络安全、大数据平台安全、云平台安全、网络安全域的划分等，熟悉安全漏洞扫描等常用安全设备； </w:t>
      </w:r>
    </w:p>
    <w:p w14:paraId="6940A324">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 xml:space="preserve">掌握主流操作系统、数据库、网络设备的配置及使用；掌握一种或多种编程或脚本语言，如Python、Perl等； </w:t>
      </w:r>
    </w:p>
    <w:p w14:paraId="1B0DAD84">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掌握安全设备的基本使用及策略配置。</w:t>
      </w:r>
    </w:p>
    <w:p w14:paraId="1CDC9DEF">
      <w:pPr>
        <w:pStyle w:val="5"/>
        <w:spacing w:before="0" w:after="0" w:line="360" w:lineRule="exact"/>
        <w:outlineLvl w:val="1"/>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.2网络安全咨询服务清单</w:t>
      </w:r>
    </w:p>
    <w:p w14:paraId="2C2770E1">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.2.1安全管理体系建设服务</w:t>
      </w:r>
    </w:p>
    <w:p w14:paraId="7DF67D13">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参照国家及行业相关政策要求以及国内国际权威安全管理体系标准，结合工作实际，配合业主单位完善和修订网络安全制度、应急预案、个人信息管理办法等相关安全管理制度，完善安全管理体系，并对制度的可实施性、可操作性提出相关合理建议。</w:t>
      </w:r>
    </w:p>
    <w:p w14:paraId="0803A7AB">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.2.2等保服务</w:t>
      </w:r>
    </w:p>
    <w:p w14:paraId="0CA558A9">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根据等保2.0等相关文件要求，协助业主单位对需要备案的信息系统完成定级备案，协调和邀请专家对所有需要定级备案的信息系统进行定级报告评审；针对信息系统进行差距分析，出具可实施的《差距分析报告与整改方案》，协助业主开展整改工作，确保顺利通过等保；协助开展等保测评工作，根据等保测评结果，制订合理的整改方案，并提供多种形式的技术响应和支持协助落实。</w:t>
      </w:r>
    </w:p>
    <w:p w14:paraId="2FCA866D">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.2.3培训及演练服务</w:t>
      </w:r>
    </w:p>
    <w:p w14:paraId="234741B2">
      <w:pPr>
        <w:spacing w:line="360" w:lineRule="exact"/>
        <w:ind w:firstLine="420" w:firstLineChars="200"/>
        <w:rPr>
          <w:rFonts w:hint="eastAsia" w:asciiTheme="minorEastAsia" w:hAnsiTheme="minorEastAsia" w:eastAsiaTheme="minorEastAsia" w:cstheme="minorEastAsia"/>
          <w:color w:val="000000"/>
          <w:sz w:val="18"/>
          <w:szCs w:val="18"/>
          <w:highlight w:val="none"/>
        </w:rPr>
      </w:pPr>
      <w:r>
        <w:rPr>
          <w:rFonts w:hint="eastAsia" w:asciiTheme="minorEastAsia" w:hAnsiTheme="minorEastAsia" w:eastAsiaTheme="minorEastAsia" w:cstheme="minorEastAsia"/>
          <w:color w:val="000000"/>
          <w:highlight w:val="none"/>
        </w:rPr>
        <w:t>根据业</w:t>
      </w:r>
      <w:r>
        <w:rPr>
          <w:rFonts w:hint="eastAsia" w:asciiTheme="minorEastAsia" w:hAnsiTheme="minorEastAsia" w:eastAsiaTheme="minorEastAsia" w:cstheme="minorEastAsia"/>
          <w:color w:val="000000"/>
          <w:sz w:val="18"/>
          <w:szCs w:val="18"/>
          <w:highlight w:val="none"/>
        </w:rPr>
        <w:t>主安排，提供培训、演练服务；提供完善的培训实施计划、培训材料，由有网络安全相关资质的讲师承担；提供全面的演练实施方案，提供相关应急物资，提供演练技术服务，并形成完整的演练资料，根据演练情况完善或修改应急预案；根据业主单位完成保网/护网工作，提供全面的保网/护网方案，提供技术支撑，并形成完整的保网/护网材料，并在保网/护网期间安排驻场值守人员。</w:t>
      </w:r>
    </w:p>
    <w:p w14:paraId="57356936">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.2.4应急响应服务</w:t>
      </w:r>
    </w:p>
    <w:p w14:paraId="39F6CB38">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提供重大时刻安全保障；对业主网站提供7*24小时实时监测服务；当业主单位发生网络安全事件或事件预警时，应半小时响应，并根据情况派出安全专家团队开展事件响应工作，制订应急处置方案，现场排查处理安全事件，保障业务系统的连续性，阻止和减小安全事件带来的负面影响；专家团队必须第一时间通过电话进行远程指导，一小时内到达现场；事后完善相关过程资料。</w:t>
      </w:r>
    </w:p>
    <w:p w14:paraId="00AD7DCE">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.2.5专项安全检查</w:t>
      </w:r>
    </w:p>
    <w:p w14:paraId="2421068C">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配合业主对业主及下属单位网络安全情况进行季度检查和不定期抽查，编制检查方案，形成检查记录，汇总分析，并提供可行整改方案；配合业主接受上级单位安全检查，编制迎检方案，协助准备迎检材料，做好前期迎检工作，现场协助检查，提供相关技术支持，对检查情况进行问题汇总分析，并提供可行整改方案；协助业主开展问题整改。</w:t>
      </w:r>
    </w:p>
    <w:p w14:paraId="2D7CFA6A">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重大节假日、重要会议、重大活动、敏感时期等重要期间前期配合业主开展节前巡检、安全自查、检查与整改，期间安全值守，形成相关方案、记录等。无偿提供设备进行安全防护，至少保障2人同时驻场值守。</w:t>
      </w:r>
    </w:p>
    <w:p w14:paraId="1F0A8F9C">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.2.6新建信息化项目安全检查</w:t>
      </w:r>
    </w:p>
    <w:p w14:paraId="630EEED6">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对业主单位部署的新系统，上线或接入前进行安全漏洞扫描、渗透测试、代码审查等各项检查，并提供检测报告及整改建议与措施。</w:t>
      </w:r>
    </w:p>
    <w:p w14:paraId="550AAED9">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.2.7巡检工作</w:t>
      </w:r>
    </w:p>
    <w:p w14:paraId="210DE55A">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提供资产梳理及日常巡检服务，包括7*24小时网站实时安全监测、不定期对服务器、网络、终端关键设备开展日常巡检，并形成记录文档，并及时更新资产。</w:t>
      </w:r>
    </w:p>
    <w:p w14:paraId="69F43C9B">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每季度开展不少于一次的季度巡检服务，内容包括且不限于渗透测试、风险评估、基线核查、WEB扫描、漏洞扫描、基线检查、弱口令、恶意代码检查、日志审计等。</w:t>
      </w:r>
    </w:p>
    <w:p w14:paraId="408EC3C3">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.2.8加固服务</w:t>
      </w:r>
    </w:p>
    <w:p w14:paraId="0973E503">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根据业主需求进行渗透测试、风险评估、基线核查、WEB扫描、漏洞扫描、基线检查、弱口令、恶意代码检查、日志审计等。提供安全漏洞修复、安全基线配置、网络及主机安全策略优化等服务，若需外单位协助整改，提供整改细则说明及相</w:t>
      </w:r>
      <w:bookmarkStart w:id="0" w:name="_GoBack"/>
      <w:bookmarkEnd w:id="0"/>
      <w:r>
        <w:rPr>
          <w:rFonts w:hint="eastAsia" w:asciiTheme="minorEastAsia" w:hAnsiTheme="minorEastAsia" w:eastAsiaTheme="minorEastAsia" w:cstheme="minorEastAsia"/>
          <w:color w:val="000000"/>
          <w:highlight w:val="none"/>
        </w:rPr>
        <w:t>关配合工作。</w:t>
      </w:r>
    </w:p>
    <w:p w14:paraId="22441BF4">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.2.9安全咨询服务</w:t>
      </w:r>
    </w:p>
    <w:p w14:paraId="40154B5A">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包含且不限于按照路网公司要求落实网络安全整体建设规划、设计网络结构改造及优化方案、网络技术咨询、安全技术咨询、安全需求分析、建设期间安全咨询、相关政策文件及上级单位文件落实咨询等服务。</w:t>
      </w:r>
    </w:p>
    <w:p w14:paraId="0E010E34">
      <w:pPr>
        <w:pStyle w:val="6"/>
        <w:spacing w:before="0" w:beforeAutospacing="0" w:after="0" w:afterAutospacing="0" w:line="360" w:lineRule="exact"/>
        <w:outlineLvl w:val="2"/>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.2.10专项通报服务</w:t>
      </w:r>
    </w:p>
    <w:p w14:paraId="5F1496CC">
      <w:pPr>
        <w:spacing w:line="360" w:lineRule="exact"/>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根据上级单位要求及本单位通报规范，提供通报数据来源分析、通报信息汇总等服务；针对网监、网信办、交通部、交通局等上级单位及互联网安全漏洞预警通知、安全通报、安全风险排查等响应，提供技术解决方案并处理，提交处理反馈报告；制定重大时刻工作计划与工作方案等。</w:t>
      </w:r>
    </w:p>
    <w:p w14:paraId="507477E6">
      <w:pPr>
        <w:rPr>
          <w:rFonts w:hint="eastAsia" w:asciiTheme="minorEastAsia" w:hAnsiTheme="minorEastAsia" w:eastAsiaTheme="minorEastAsia" w:cstheme="minorEastAsia"/>
          <w:lang w:eastAsia="zh-CN"/>
        </w:rPr>
      </w:pPr>
    </w:p>
    <w:sectPr>
      <w:pgSz w:w="11906" w:h="16838"/>
      <w:pgMar w:top="1440" w:right="1800" w:bottom="1440" w:left="1800" w:header="851" w:footer="992" w:gutter="0"/>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08BB8"/>
    <w:multiLevelType w:val="singleLevel"/>
    <w:tmpl w:val="46A08BB8"/>
    <w:lvl w:ilvl="0" w:tentative="0">
      <w:start w:val="1"/>
      <w:numFmt w:val="bullet"/>
      <w:lvlText w:val=""/>
      <w:lvlJc w:val="left"/>
      <w:pPr>
        <w:ind w:left="420" w:hanging="420"/>
      </w:pPr>
      <w:rPr>
        <w:rFonts w:hint="default" w:ascii="Wingdings" w:hAnsi="Wingdings" w:eastAsia="Wingdings"/>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BEDE516"/>
    <w:rsid w:val="0F2B6FD9"/>
    <w:rsid w:val="183C240D"/>
    <w:rsid w:val="1AA24D9F"/>
    <w:rsid w:val="204F305E"/>
    <w:rsid w:val="28DA2E89"/>
    <w:rsid w:val="2A4254F9"/>
    <w:rsid w:val="2D1F32F4"/>
    <w:rsid w:val="323B4D81"/>
    <w:rsid w:val="3311356F"/>
    <w:rsid w:val="337F6722"/>
    <w:rsid w:val="34B70380"/>
    <w:rsid w:val="34EE45C7"/>
    <w:rsid w:val="35FFFB7A"/>
    <w:rsid w:val="3AE174A3"/>
    <w:rsid w:val="43446334"/>
    <w:rsid w:val="44A84E71"/>
    <w:rsid w:val="477DCE1E"/>
    <w:rsid w:val="573E1E21"/>
    <w:rsid w:val="59BE1683"/>
    <w:rsid w:val="59EE6FA2"/>
    <w:rsid w:val="5B487E91"/>
    <w:rsid w:val="5CF9550F"/>
    <w:rsid w:val="5EFEBDE8"/>
    <w:rsid w:val="66FC3B0B"/>
    <w:rsid w:val="68CA2609"/>
    <w:rsid w:val="68CC1AED"/>
    <w:rsid w:val="69BB0F42"/>
    <w:rsid w:val="6A5B953F"/>
    <w:rsid w:val="6A637494"/>
    <w:rsid w:val="6BCF62E6"/>
    <w:rsid w:val="6CD3A16D"/>
    <w:rsid w:val="6D535020"/>
    <w:rsid w:val="6D6B61EA"/>
    <w:rsid w:val="6E5F49A6"/>
    <w:rsid w:val="6FBF7919"/>
    <w:rsid w:val="6FFF37D2"/>
    <w:rsid w:val="70DE2EF1"/>
    <w:rsid w:val="73FFD1E5"/>
    <w:rsid w:val="77776D66"/>
    <w:rsid w:val="777FA990"/>
    <w:rsid w:val="7A7E5DDC"/>
    <w:rsid w:val="7BF35E85"/>
    <w:rsid w:val="7C5F4108"/>
    <w:rsid w:val="7DFD71E8"/>
    <w:rsid w:val="7ED657EB"/>
    <w:rsid w:val="7EFD3F6E"/>
    <w:rsid w:val="7F5F30BF"/>
    <w:rsid w:val="7F79C282"/>
    <w:rsid w:val="7F7B6CAE"/>
    <w:rsid w:val="7FBF6DD0"/>
    <w:rsid w:val="7FCD17FE"/>
    <w:rsid w:val="7FD7E9A0"/>
    <w:rsid w:val="7FDBC2C6"/>
    <w:rsid w:val="7FE7CA4F"/>
    <w:rsid w:val="7FE9FBB2"/>
    <w:rsid w:val="7FFCEAA1"/>
    <w:rsid w:val="8FFFA67E"/>
    <w:rsid w:val="A97F623E"/>
    <w:rsid w:val="AFBF8780"/>
    <w:rsid w:val="AFC3ACB5"/>
    <w:rsid w:val="AFDEB0AE"/>
    <w:rsid w:val="BEEFCB4B"/>
    <w:rsid w:val="BF231278"/>
    <w:rsid w:val="BFBD95B9"/>
    <w:rsid w:val="BFDD66DE"/>
    <w:rsid w:val="BFDF3470"/>
    <w:rsid w:val="BFE6F841"/>
    <w:rsid w:val="BFFC63CB"/>
    <w:rsid w:val="C7EF0D14"/>
    <w:rsid w:val="C9E9CB5B"/>
    <w:rsid w:val="CF9F04B4"/>
    <w:rsid w:val="CFFF69DA"/>
    <w:rsid w:val="D5DE8897"/>
    <w:rsid w:val="D73EFC57"/>
    <w:rsid w:val="DAFF4F6A"/>
    <w:rsid w:val="DFBFC49E"/>
    <w:rsid w:val="DFD480C8"/>
    <w:rsid w:val="DFFF7A62"/>
    <w:rsid w:val="E7FE3684"/>
    <w:rsid w:val="ECFFD573"/>
    <w:rsid w:val="ED96630C"/>
    <w:rsid w:val="EF975E20"/>
    <w:rsid w:val="EFBB5752"/>
    <w:rsid w:val="EFFF70E4"/>
    <w:rsid w:val="F7DF6286"/>
    <w:rsid w:val="F7EEC240"/>
    <w:rsid w:val="FBEB1F54"/>
    <w:rsid w:val="FBF75102"/>
    <w:rsid w:val="FCEF9C2F"/>
    <w:rsid w:val="FD7B4567"/>
    <w:rsid w:val="FD7FCCBE"/>
    <w:rsid w:val="FD8E1200"/>
    <w:rsid w:val="FDDC5620"/>
    <w:rsid w:val="FDEA700A"/>
    <w:rsid w:val="FDFF3BD7"/>
    <w:rsid w:val="FF9F6362"/>
    <w:rsid w:val="FFBFCE42"/>
    <w:rsid w:val="FFFF4D1A"/>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w:hAnsi="Arial" w:eastAsia="微软雅黑" w:cs="Times New Roman"/>
      <w:kern w:val="2"/>
      <w:sz w:val="21"/>
      <w:szCs w:val="24"/>
      <w:lang w:val="en-US" w:eastAsia="zh-CN" w:bidi="ar-SA"/>
    </w:rPr>
  </w:style>
  <w:style w:type="paragraph" w:styleId="3">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4">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5">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6">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7">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8">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9">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10">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1">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4">
    <w:name w:val="Default Paragraph Font"/>
    <w:qFormat/>
    <w:uiPriority w:val="0"/>
    <w:rPr>
      <w:rFonts w:eastAsia="微软雅黑" w:asciiTheme="minorAscii" w:hAnsiTheme="minorAscii"/>
    </w:rPr>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cs="Times New Roman"/>
      <w:szCs w:val="24"/>
    </w:rPr>
  </w:style>
  <w:style w:type="table" w:styleId="13">
    <w:name w:val="Table Grid"/>
    <w:basedOn w:val="1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3260</Words>
  <Characters>3394</Characters>
  <Lines>0</Lines>
  <Paragraphs>0</Paragraphs>
  <TotalTime>5</TotalTime>
  <ScaleCrop>false</ScaleCrop>
  <LinksUpToDate>false</LinksUpToDate>
  <CharactersWithSpaces>3402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2018-05-28T17:24:00Z</dcterms:created>
  <dc:creator>Data</dc:creator>
  <cp:lastModifiedBy>Liquor</cp:lastModifiedBy>
  <dcterms:modified xsi:type="dcterms:W3CDTF">2025-11-26T07:37:05Z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807EA44E6C874B25B81648ADC330B84F_13</vt:lpwstr>
  </property>
  <property fmtid="{D5CDD505-2E9C-101B-9397-08002B2CF9AE}" pid="6" name="KSOTemplateDocerSaveRecord">
    <vt:lpwstr>eyJoZGlkIjoiYzFhZGY0ZTViYWQyN2I0ZGJhNDk0OThkMjNkNmQ2MDYiLCJ1c2VySWQiOiI2MjA1ODg2MDMifQ==</vt:lpwstr>
  </property>
</Properties>
</file>