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1C427">
      <w:pPr>
        <w:autoSpaceDE w:val="0"/>
        <w:autoSpaceDN w:val="0"/>
        <w:adjustRightInd w:val="0"/>
        <w:snapToGrid w:val="0"/>
        <w:spacing w:line="360" w:lineRule="auto"/>
        <w:jc w:val="both"/>
        <w:rPr>
          <w:rFonts w:hint="eastAsia" w:ascii="宋体" w:hAnsi="宋体" w:cs="宋体"/>
          <w:color w:val="auto"/>
          <w:kern w:val="0"/>
          <w:sz w:val="32"/>
          <w:szCs w:val="32"/>
          <w:highlight w:val="none"/>
          <w:u w:val="none"/>
          <w:lang w:eastAsia="zh-CN"/>
        </w:rPr>
      </w:pPr>
      <w:bookmarkStart w:id="892" w:name="_GoBack"/>
      <w:bookmarkEnd w:id="892"/>
      <w:bookmarkStart w:id="0" w:name="_Toc287620665"/>
      <w:r>
        <w:rPr>
          <w:rFonts w:hint="eastAsia" w:ascii="宋体" w:hAnsi="宋体" w:cs="宋体"/>
          <w:color w:val="auto"/>
          <w:kern w:val="0"/>
          <w:sz w:val="32"/>
          <w:szCs w:val="32"/>
          <w:highlight w:val="none"/>
          <w:u w:val="none"/>
          <w:lang w:eastAsia="zh-CN"/>
        </w:rPr>
        <w:t>渝湘复线巴水段监控系统软件升级改造二次开发服务（第二次）</w:t>
      </w:r>
    </w:p>
    <w:p w14:paraId="7F64A1D6">
      <w:pPr>
        <w:autoSpaceDE w:val="0"/>
        <w:autoSpaceDN w:val="0"/>
        <w:adjustRightInd w:val="0"/>
        <w:snapToGrid w:val="0"/>
        <w:spacing w:line="360" w:lineRule="auto"/>
        <w:jc w:val="both"/>
        <w:rPr>
          <w:rFonts w:hint="eastAsia" w:ascii="宋体" w:hAnsi="宋体" w:eastAsia="宋体" w:cs="宋体"/>
          <w:color w:val="auto"/>
          <w:kern w:val="0"/>
          <w:sz w:val="32"/>
          <w:szCs w:val="32"/>
          <w:highlight w:val="none"/>
          <w:u w:val="none"/>
          <w:lang w:val="en-US" w:eastAsia="zh-CN"/>
        </w:rPr>
      </w:pPr>
      <w:r>
        <w:rPr>
          <w:rFonts w:hint="eastAsia" w:ascii="宋体" w:hAnsi="宋体" w:eastAsia="宋体" w:cs="宋体"/>
          <w:color w:val="auto"/>
          <w:kern w:val="0"/>
          <w:sz w:val="32"/>
          <w:szCs w:val="32"/>
          <w:highlight w:val="none"/>
          <w:u w:val="none"/>
          <w:lang w:val="en-US" w:eastAsia="zh-CN"/>
        </w:rPr>
        <w:t>招标编号：FG2500781485A</w:t>
      </w:r>
    </w:p>
    <w:p w14:paraId="10AE0B24">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6169A78">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960FF0B">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3DA15FD5">
      <w:pPr>
        <w:rPr>
          <w:rFonts w:hint="eastAsia"/>
          <w:color w:val="auto"/>
          <w:highlight w:val="none"/>
        </w:rPr>
      </w:pPr>
    </w:p>
    <w:p w14:paraId="55CBBC76">
      <w:pPr>
        <w:rPr>
          <w:rFonts w:hint="eastAsia"/>
          <w:color w:val="auto"/>
          <w:highlight w:val="none"/>
        </w:rPr>
      </w:pPr>
    </w:p>
    <w:p w14:paraId="29C7A1AF">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F0CB2DB">
      <w:pPr>
        <w:pStyle w:val="6"/>
        <w:rPr>
          <w:rFonts w:hint="eastAsia" w:ascii="宋体" w:hAnsi="宋体" w:eastAsia="宋体" w:cs="宋体"/>
          <w:color w:val="auto"/>
          <w:kern w:val="0"/>
          <w:sz w:val="20"/>
          <w:szCs w:val="20"/>
          <w:highlight w:val="none"/>
        </w:rPr>
      </w:pPr>
    </w:p>
    <w:p w14:paraId="1A2354F5">
      <w:pPr>
        <w:rPr>
          <w:rFonts w:hint="eastAsia"/>
          <w:color w:val="auto"/>
          <w:highlight w:val="none"/>
        </w:rPr>
      </w:pPr>
    </w:p>
    <w:p w14:paraId="29204363">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F03A35C">
      <w:pPr>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b w:val="0"/>
          <w:bCs w:val="0"/>
          <w:color w:val="auto"/>
          <w:kern w:val="0"/>
          <w:sz w:val="84"/>
          <w:szCs w:val="84"/>
          <w:highlight w:val="none"/>
          <w:lang w:eastAsia="zh-CN"/>
        </w:rPr>
        <w:t>招标</w:t>
      </w:r>
      <w:r>
        <w:rPr>
          <w:rFonts w:hint="eastAsia" w:ascii="宋体" w:hAnsi="宋体" w:eastAsia="宋体" w:cs="宋体"/>
          <w:b w:val="0"/>
          <w:bCs w:val="0"/>
          <w:color w:val="auto"/>
          <w:kern w:val="0"/>
          <w:sz w:val="84"/>
          <w:szCs w:val="84"/>
          <w:highlight w:val="none"/>
        </w:rPr>
        <w:t>文件</w:t>
      </w:r>
    </w:p>
    <w:p w14:paraId="2316BB2A">
      <w:pPr>
        <w:autoSpaceDE w:val="0"/>
        <w:autoSpaceDN w:val="0"/>
        <w:adjustRightInd w:val="0"/>
        <w:snapToGrid w:val="0"/>
        <w:spacing w:line="360" w:lineRule="auto"/>
        <w:jc w:val="left"/>
        <w:rPr>
          <w:rFonts w:hint="eastAsia" w:ascii="宋体" w:hAnsi="宋体" w:eastAsia="宋体" w:cs="宋体"/>
          <w:color w:val="auto"/>
          <w:kern w:val="0"/>
          <w:sz w:val="10"/>
          <w:szCs w:val="10"/>
          <w:highlight w:val="none"/>
        </w:rPr>
      </w:pPr>
    </w:p>
    <w:p w14:paraId="78E79AEE">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EC82DE6">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B5AAD8A">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5276622B">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A9846C1">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7C2F9793">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1D8C4D18">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5D67F51B">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48E2288B">
      <w:pPr>
        <w:pStyle w:val="46"/>
        <w:rPr>
          <w:rFonts w:hint="eastAsia" w:ascii="宋体" w:hAnsi="宋体" w:eastAsia="宋体" w:cs="宋体"/>
          <w:color w:val="auto"/>
          <w:kern w:val="0"/>
          <w:sz w:val="20"/>
          <w:szCs w:val="20"/>
          <w:highlight w:val="none"/>
        </w:rPr>
      </w:pPr>
    </w:p>
    <w:p w14:paraId="542E7201">
      <w:pPr>
        <w:rPr>
          <w:rFonts w:hint="eastAsia"/>
          <w:color w:val="auto"/>
          <w:highlight w:val="none"/>
        </w:rPr>
      </w:pPr>
    </w:p>
    <w:p w14:paraId="4F2350C7">
      <w:pPr>
        <w:rPr>
          <w:rFonts w:hint="eastAsia" w:ascii="宋体" w:hAnsi="宋体" w:eastAsia="宋体" w:cs="宋体"/>
          <w:color w:val="auto"/>
          <w:highlight w:val="none"/>
        </w:rPr>
      </w:pPr>
    </w:p>
    <w:p w14:paraId="787A66A2">
      <w:pPr>
        <w:pStyle w:val="6"/>
        <w:rPr>
          <w:rFonts w:hint="eastAsia"/>
          <w:color w:val="auto"/>
          <w:highlight w:val="none"/>
        </w:rPr>
      </w:pPr>
    </w:p>
    <w:p w14:paraId="386BFEA7">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7ED95A92">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4412DE4F">
      <w:pPr>
        <w:tabs>
          <w:tab w:val="left" w:pos="6219"/>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cs="宋体"/>
          <w:bCs/>
          <w:color w:val="auto"/>
          <w:w w:val="99"/>
          <w:kern w:val="0"/>
          <w:sz w:val="28"/>
          <w:szCs w:val="28"/>
          <w:highlight w:val="none"/>
          <w:lang w:val="en-US" w:eastAsia="zh-CN"/>
        </w:rPr>
        <w:t xml:space="preserve"> </w:t>
      </w:r>
      <w:r>
        <w:rPr>
          <w:rFonts w:hint="eastAsia" w:ascii="宋体" w:hAnsi="宋体" w:eastAsia="宋体" w:cs="宋体"/>
          <w:bCs/>
          <w:color w:val="auto"/>
          <w:spacing w:val="8"/>
          <w:w w:val="100"/>
          <w:kern w:val="0"/>
          <w:sz w:val="28"/>
          <w:szCs w:val="28"/>
          <w:highlight w:val="none"/>
        </w:rPr>
        <w:t>招</w:t>
      </w:r>
      <w:r>
        <w:rPr>
          <w:rFonts w:hint="eastAsia" w:ascii="宋体" w:hAnsi="宋体" w:cs="宋体"/>
          <w:bCs/>
          <w:color w:val="auto"/>
          <w:spacing w:val="8"/>
          <w:w w:val="100"/>
          <w:kern w:val="0"/>
          <w:sz w:val="28"/>
          <w:szCs w:val="28"/>
          <w:highlight w:val="none"/>
          <w:lang w:val="en-US" w:eastAsia="zh-CN"/>
        </w:rPr>
        <w:t xml:space="preserve">   标  人</w:t>
      </w:r>
      <w:r>
        <w:rPr>
          <w:rFonts w:hint="eastAsia" w:ascii="宋体" w:hAnsi="宋体" w:eastAsia="宋体" w:cs="宋体"/>
          <w:bCs/>
          <w:color w:val="auto"/>
          <w:w w:val="99"/>
          <w:kern w:val="0"/>
          <w:sz w:val="28"/>
          <w:szCs w:val="28"/>
          <w:highlight w:val="none"/>
        </w:rPr>
        <w:t>：</w:t>
      </w:r>
      <w:r>
        <w:rPr>
          <w:rFonts w:hint="eastAsia" w:ascii="宋体" w:hAnsi="宋体" w:eastAsia="宋体" w:cs="宋体"/>
          <w:bCs/>
          <w:color w:val="auto"/>
          <w:spacing w:val="8"/>
          <w:w w:val="100"/>
          <w:kern w:val="0"/>
          <w:sz w:val="28"/>
          <w:szCs w:val="28"/>
          <w:highlight w:val="none"/>
          <w:u w:val="single"/>
          <w:lang w:val="en-US" w:eastAsia="zh-CN"/>
        </w:rPr>
        <w:t>重庆首讯科技股份有限公司</w:t>
      </w:r>
      <w:r>
        <w:rPr>
          <w:rFonts w:hint="eastAsia" w:ascii="宋体" w:hAnsi="宋体" w:eastAsia="宋体" w:cs="宋体"/>
          <w:bCs/>
          <w:color w:val="auto"/>
          <w:w w:val="99"/>
          <w:kern w:val="0"/>
          <w:sz w:val="28"/>
          <w:szCs w:val="28"/>
          <w:highlight w:val="none"/>
        </w:rPr>
        <w:t>（盖单位法人章）</w:t>
      </w:r>
    </w:p>
    <w:p w14:paraId="2189F76A">
      <w:pPr>
        <w:tabs>
          <w:tab w:val="left" w:pos="6252"/>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spacing w:val="8"/>
          <w:kern w:val="0"/>
          <w:sz w:val="28"/>
          <w:szCs w:val="28"/>
          <w:highlight w:val="none"/>
        </w:rPr>
        <w:t>招标代理机构：</w:t>
      </w:r>
      <w:r>
        <w:rPr>
          <w:rFonts w:hint="eastAsia" w:ascii="宋体" w:hAnsi="宋体" w:eastAsia="宋体" w:cs="宋体"/>
          <w:bCs/>
          <w:color w:val="auto"/>
          <w:spacing w:val="8"/>
          <w:kern w:val="0"/>
          <w:sz w:val="28"/>
          <w:szCs w:val="28"/>
          <w:highlight w:val="none"/>
          <w:u w:val="single"/>
        </w:rPr>
        <w:t>重庆市投资咨询有限公司</w:t>
      </w:r>
      <w:r>
        <w:rPr>
          <w:rFonts w:hint="eastAsia" w:ascii="宋体" w:hAnsi="宋体" w:eastAsia="宋体" w:cs="宋体"/>
          <w:bCs/>
          <w:color w:val="auto"/>
          <w:w w:val="99"/>
          <w:kern w:val="0"/>
          <w:sz w:val="28"/>
          <w:szCs w:val="28"/>
          <w:highlight w:val="none"/>
        </w:rPr>
        <w:t>（盖单位法人章）</w:t>
      </w:r>
    </w:p>
    <w:p w14:paraId="5AD9709A">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14:paraId="31249027">
      <w:pPr>
        <w:tabs>
          <w:tab w:val="left" w:pos="6252"/>
        </w:tabs>
        <w:autoSpaceDE w:val="0"/>
        <w:autoSpaceDN w:val="0"/>
        <w:adjustRightInd w:val="0"/>
        <w:snapToGrid w:val="0"/>
        <w:spacing w:line="360" w:lineRule="auto"/>
        <w:jc w:val="center"/>
        <w:rPr>
          <w:rFonts w:hint="eastAsia" w:ascii="宋体" w:hAnsi="宋体" w:eastAsia="宋体" w:cs="宋体"/>
          <w:bCs/>
          <w:color w:val="auto"/>
          <w:spacing w:val="8"/>
          <w:kern w:val="0"/>
          <w:sz w:val="28"/>
          <w:szCs w:val="28"/>
          <w:highlight w:val="none"/>
        </w:rPr>
      </w:pPr>
      <w:bookmarkStart w:id="1" w:name="_Toc536621766"/>
      <w:bookmarkStart w:id="2" w:name="_Toc509218549"/>
      <w:bookmarkStart w:id="3" w:name="_Toc536796736"/>
      <w:bookmarkStart w:id="4" w:name="_Toc13210649"/>
      <w:bookmarkStart w:id="5" w:name="_Toc536797277"/>
      <w:r>
        <w:rPr>
          <w:rFonts w:hint="eastAsia" w:ascii="宋体" w:hAnsi="宋体" w:eastAsia="宋体" w:cs="宋体"/>
          <w:bCs/>
          <w:color w:val="auto"/>
          <w:spacing w:val="8"/>
          <w:kern w:val="0"/>
          <w:sz w:val="28"/>
          <w:szCs w:val="28"/>
          <w:highlight w:val="none"/>
          <w:u w:val="single"/>
          <w:lang w:val="en-US" w:eastAsia="zh-CN"/>
        </w:rPr>
        <w:t>202</w:t>
      </w:r>
      <w:r>
        <w:rPr>
          <w:rFonts w:hint="eastAsia" w:ascii="宋体" w:hAnsi="宋体" w:cs="宋体"/>
          <w:bCs/>
          <w:color w:val="auto"/>
          <w:spacing w:val="8"/>
          <w:kern w:val="0"/>
          <w:sz w:val="28"/>
          <w:szCs w:val="28"/>
          <w:highlight w:val="none"/>
          <w:u w:val="single"/>
          <w:lang w:val="en-US" w:eastAsia="zh-CN"/>
        </w:rPr>
        <w:t>5</w:t>
      </w:r>
      <w:r>
        <w:rPr>
          <w:rFonts w:hint="eastAsia" w:ascii="宋体" w:hAnsi="宋体" w:eastAsia="宋体" w:cs="宋体"/>
          <w:bCs/>
          <w:color w:val="auto"/>
          <w:spacing w:val="8"/>
          <w:kern w:val="0"/>
          <w:sz w:val="28"/>
          <w:szCs w:val="28"/>
          <w:highlight w:val="none"/>
        </w:rPr>
        <w:t>年</w:t>
      </w:r>
      <w:r>
        <w:rPr>
          <w:rFonts w:hint="eastAsia" w:ascii="宋体" w:hAnsi="宋体" w:cs="宋体"/>
          <w:bCs/>
          <w:color w:val="auto"/>
          <w:spacing w:val="8"/>
          <w:kern w:val="0"/>
          <w:sz w:val="28"/>
          <w:szCs w:val="28"/>
          <w:highlight w:val="none"/>
          <w:u w:val="single"/>
          <w:lang w:val="en-US" w:eastAsia="zh-CN"/>
        </w:rPr>
        <w:t>12</w:t>
      </w:r>
      <w:r>
        <w:rPr>
          <w:rFonts w:hint="eastAsia" w:ascii="宋体" w:hAnsi="宋体" w:eastAsia="宋体" w:cs="宋体"/>
          <w:bCs/>
          <w:color w:val="auto"/>
          <w:spacing w:val="8"/>
          <w:kern w:val="0"/>
          <w:sz w:val="28"/>
          <w:szCs w:val="28"/>
          <w:highlight w:val="none"/>
        </w:rPr>
        <w:t>月</w:t>
      </w:r>
      <w:bookmarkEnd w:id="1"/>
      <w:bookmarkEnd w:id="2"/>
      <w:bookmarkEnd w:id="3"/>
      <w:bookmarkEnd w:id="4"/>
      <w:bookmarkEnd w:id="5"/>
    </w:p>
    <w:p w14:paraId="37DB4301">
      <w:pPr>
        <w:pStyle w:val="3"/>
        <w:spacing w:line="360" w:lineRule="auto"/>
        <w:rPr>
          <w:rFonts w:hint="eastAsia" w:ascii="宋体" w:hAnsi="宋体" w:eastAsia="宋体" w:cs="宋体"/>
          <w:color w:val="auto"/>
          <w:w w:val="99"/>
          <w:kern w:val="0"/>
          <w:sz w:val="24"/>
          <w:highlight w:val="none"/>
        </w:rPr>
        <w:sectPr>
          <w:headerReference r:id="rId3" w:type="default"/>
          <w:pgSz w:w="11907" w:h="16840"/>
          <w:pgMar w:top="1304" w:right="1134" w:bottom="1304" w:left="1304" w:header="851" w:footer="992" w:gutter="0"/>
          <w:pgNumType w:fmt="numberInDash" w:start="1"/>
          <w:cols w:space="720" w:num="1"/>
          <w:docGrid w:linePitch="312" w:charSpace="0"/>
        </w:sectPr>
      </w:pPr>
    </w:p>
    <w:p w14:paraId="1979098D">
      <w:pPr>
        <w:jc w:val="center"/>
        <w:rPr>
          <w:rFonts w:hint="eastAsia" w:ascii="宋体" w:hAnsi="宋体" w:eastAsia="宋体" w:cs="宋体"/>
          <w:i w:val="0"/>
          <w:iCs w:val="0"/>
          <w:color w:val="auto"/>
          <w:sz w:val="44"/>
          <w:szCs w:val="44"/>
          <w:highlight w:val="none"/>
        </w:rPr>
      </w:pPr>
      <w:bookmarkStart w:id="6" w:name="_Toc23843"/>
      <w:r>
        <w:rPr>
          <w:rFonts w:hint="eastAsia" w:ascii="宋体" w:hAnsi="宋体" w:eastAsia="宋体" w:cs="宋体"/>
          <w:i w:val="0"/>
          <w:iCs w:val="0"/>
          <w:color w:val="auto"/>
          <w:sz w:val="44"/>
          <w:szCs w:val="44"/>
          <w:highlight w:val="none"/>
          <w:lang w:val="zh-CN"/>
        </w:rPr>
        <w:t>目 录</w:t>
      </w:r>
      <w:bookmarkEnd w:id="6"/>
    </w:p>
    <w:p w14:paraId="5EAF94A5">
      <w:pPr>
        <w:pStyle w:val="31"/>
        <w:tabs>
          <w:tab w:val="right" w:leader="dot" w:pos="9469"/>
        </w:tabs>
        <w:rPr>
          <w:color w:val="auto"/>
          <w:highlight w:val="none"/>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HYPERLINK \l _Toc14244 </w:instrText>
      </w:r>
      <w:r>
        <w:rPr>
          <w:rFonts w:hint="eastAsia" w:ascii="宋体" w:hAnsi="宋体" w:eastAsia="宋体" w:cs="宋体"/>
          <w:i w:val="0"/>
          <w:iCs w:val="0"/>
          <w:color w:val="auto"/>
          <w:highlight w:val="none"/>
        </w:rPr>
        <w:fldChar w:fldCharType="separate"/>
      </w:r>
      <w:r>
        <w:rPr>
          <w:rFonts w:hint="eastAsia" w:ascii="宋体" w:hAnsi="宋体" w:eastAsia="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_Toc14244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i w:val="0"/>
          <w:iCs w:val="0"/>
          <w:color w:val="auto"/>
          <w:highlight w:val="none"/>
        </w:rPr>
        <w:fldChar w:fldCharType="end"/>
      </w:r>
    </w:p>
    <w:p w14:paraId="540E198E">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_Toc21368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_Toc21368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119AE26">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_Toc24358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rPr>
        <w:t>1.招标条件</w:t>
      </w:r>
      <w:r>
        <w:rPr>
          <w:color w:val="auto"/>
          <w:highlight w:val="none"/>
        </w:rPr>
        <w:tab/>
      </w:r>
      <w:r>
        <w:rPr>
          <w:color w:val="auto"/>
          <w:highlight w:val="none"/>
        </w:rPr>
        <w:fldChar w:fldCharType="begin"/>
      </w:r>
      <w:r>
        <w:rPr>
          <w:color w:val="auto"/>
          <w:highlight w:val="none"/>
        </w:rPr>
        <w:instrText xml:space="preserve"> PAGEREF _Toc24358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0D629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_Toc23855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2</w:t>
      </w:r>
      <w:r>
        <w:rPr>
          <w:rFonts w:hint="eastAsia" w:ascii="宋体" w:hAnsi="宋体" w:eastAsia="宋体" w:cs="宋体"/>
          <w:snapToGrid w:val="0"/>
          <w:color w:val="auto"/>
          <w:szCs w:val="21"/>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_Toc23855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00C8105">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3</w:t>
      </w:r>
      <w:r>
        <w:rPr>
          <w:rFonts w:hint="eastAsia" w:ascii="宋体" w:hAnsi="宋体" w:eastAsia="宋体" w:cs="宋体"/>
          <w:snapToGrid w:val="0"/>
          <w:color w:val="auto"/>
          <w:szCs w:val="21"/>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_Toc16173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840E66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_Toc16966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4</w:t>
      </w:r>
      <w:r>
        <w:rPr>
          <w:rFonts w:hint="eastAsia" w:ascii="宋体" w:hAnsi="宋体" w:eastAsia="宋体" w:cs="宋体"/>
          <w:snapToGrid w:val="0"/>
          <w:color w:val="auto"/>
          <w:szCs w:val="21"/>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_Toc16966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23963C">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5</w:t>
      </w:r>
      <w:r>
        <w:rPr>
          <w:rFonts w:hint="eastAsia" w:ascii="宋体" w:hAnsi="宋体" w:eastAsia="宋体" w:cs="宋体"/>
          <w:snapToGrid w:val="0"/>
          <w:color w:val="auto"/>
          <w:szCs w:val="21"/>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_Toc21555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265950A">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_Toc18804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6</w:t>
      </w:r>
      <w:r>
        <w:rPr>
          <w:rFonts w:hint="eastAsia" w:ascii="宋体" w:hAnsi="宋体" w:eastAsia="宋体" w:cs="宋体"/>
          <w:snapToGrid w:val="0"/>
          <w:color w:val="auto"/>
          <w:szCs w:val="21"/>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_Toc18804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516262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7</w:t>
      </w:r>
      <w:r>
        <w:rPr>
          <w:rFonts w:hint="eastAsia" w:ascii="宋体" w:hAnsi="宋体" w:eastAsia="宋体" w:cs="宋体"/>
          <w:snapToGrid w:val="0"/>
          <w:color w:val="auto"/>
          <w:szCs w:val="21"/>
          <w:highlight w:val="none"/>
        </w:rPr>
        <w:t>.联系方式</w:t>
      </w:r>
      <w:r>
        <w:rPr>
          <w:color w:val="auto"/>
          <w:highlight w:val="none"/>
        </w:rPr>
        <w:tab/>
      </w:r>
      <w:r>
        <w:rPr>
          <w:color w:val="auto"/>
          <w:highlight w:val="none"/>
        </w:rPr>
        <w:fldChar w:fldCharType="begin"/>
      </w:r>
      <w:r>
        <w:rPr>
          <w:color w:val="auto"/>
          <w:highlight w:val="none"/>
        </w:rPr>
        <w:instrText xml:space="preserve"> PAGEREF _Toc12930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AD9A403">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_Toc32528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_Toc32528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A0A2BE">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_Toc7088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28"/>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_Toc7088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5A99D8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_Toc12965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20C08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1.1  </w:t>
      </w:r>
      <w:r>
        <w:rPr>
          <w:rFonts w:hint="eastAsia" w:ascii="宋体" w:hAnsi="宋体" w:eastAsia="宋体" w:cs="宋体"/>
          <w:snapToGrid w:val="0"/>
          <w:color w:val="auto"/>
          <w:szCs w:val="24"/>
          <w:highlight w:val="none"/>
          <w:lang w:val="en-US" w:eastAsia="zh-CN"/>
        </w:rPr>
        <w:t>招标</w:t>
      </w:r>
      <w:r>
        <w:rPr>
          <w:rFonts w:hint="eastAsia" w:ascii="宋体" w:hAnsi="宋体" w:eastAsia="宋体" w:cs="宋体"/>
          <w:snapToGrid w:val="0"/>
          <w:color w:val="auto"/>
          <w:szCs w:val="24"/>
          <w:highlight w:val="none"/>
        </w:rPr>
        <w:t>项目概况</w:t>
      </w:r>
      <w:r>
        <w:rPr>
          <w:color w:val="auto"/>
          <w:highlight w:val="none"/>
        </w:rPr>
        <w:tab/>
      </w:r>
      <w:r>
        <w:rPr>
          <w:color w:val="auto"/>
          <w:highlight w:val="none"/>
        </w:rPr>
        <w:fldChar w:fldCharType="begin"/>
      </w:r>
      <w:r>
        <w:rPr>
          <w:color w:val="auto"/>
          <w:highlight w:val="none"/>
        </w:rPr>
        <w:instrText xml:space="preserve"> PAGEREF _Toc3129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A9D730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_Toc13654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1.2  招标项目的资金来源和落实情况</w:t>
      </w:r>
      <w:r>
        <w:rPr>
          <w:color w:val="auto"/>
          <w:highlight w:val="none"/>
        </w:rPr>
        <w:tab/>
      </w:r>
      <w:r>
        <w:rPr>
          <w:color w:val="auto"/>
          <w:highlight w:val="none"/>
        </w:rPr>
        <w:fldChar w:fldCharType="begin"/>
      </w:r>
      <w:r>
        <w:rPr>
          <w:color w:val="auto"/>
          <w:highlight w:val="none"/>
        </w:rPr>
        <w:instrText xml:space="preserve"> PAGEREF _Toc13654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C1890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_Toc9444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1.3  招标范围、</w:t>
      </w:r>
      <w:r>
        <w:rPr>
          <w:rFonts w:hint="eastAsia" w:ascii="宋体" w:hAnsi="宋体" w:eastAsia="宋体" w:cs="宋体"/>
          <w:snapToGrid w:val="0"/>
          <w:color w:val="auto"/>
          <w:szCs w:val="24"/>
          <w:highlight w:val="none"/>
          <w:lang w:val="en-US" w:eastAsia="zh-CN"/>
        </w:rPr>
        <w:t>交货期、交货地点</w:t>
      </w:r>
      <w:r>
        <w:rPr>
          <w:rFonts w:hint="eastAsia" w:ascii="宋体" w:hAnsi="宋体" w:cs="宋体"/>
          <w:snapToGrid w:val="0"/>
          <w:color w:val="auto"/>
          <w:szCs w:val="24"/>
          <w:highlight w:val="none"/>
          <w:lang w:val="en-US" w:eastAsia="zh-CN"/>
        </w:rPr>
        <w:t>、质量标准</w:t>
      </w:r>
      <w:r>
        <w:rPr>
          <w:rFonts w:hint="eastAsia" w:ascii="宋体" w:hAnsi="宋体" w:eastAsia="宋体" w:cs="宋体"/>
          <w:snapToGrid w:val="0"/>
          <w:color w:val="auto"/>
          <w:szCs w:val="24"/>
          <w:highlight w:val="none"/>
          <w:lang w:val="en-US" w:eastAsia="zh-CN"/>
        </w:rPr>
        <w:t>和技术性能指标</w:t>
      </w:r>
      <w:r>
        <w:rPr>
          <w:color w:val="auto"/>
          <w:highlight w:val="none"/>
        </w:rPr>
        <w:tab/>
      </w:r>
      <w:r>
        <w:rPr>
          <w:color w:val="auto"/>
          <w:highlight w:val="none"/>
        </w:rPr>
        <w:fldChar w:fldCharType="begin"/>
      </w:r>
      <w:r>
        <w:rPr>
          <w:color w:val="auto"/>
          <w:highlight w:val="none"/>
        </w:rPr>
        <w:instrText xml:space="preserve"> PAGEREF _Toc9444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7997BA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_Toc12343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1.4 </w:t>
      </w:r>
      <w:r>
        <w:rPr>
          <w:rFonts w:hint="eastAsia" w:ascii="宋体" w:hAnsi="宋体" w:eastAsia="宋体" w:cs="宋体"/>
          <w:snapToGrid w:val="0"/>
          <w:color w:val="auto"/>
          <w:szCs w:val="24"/>
          <w:highlight w:val="none"/>
          <w:lang w:val="en-US" w:eastAsia="zh-CN"/>
        </w:rPr>
        <w:t xml:space="preserve"> </w:t>
      </w:r>
      <w:r>
        <w:rPr>
          <w:rFonts w:hint="eastAsia" w:ascii="宋体" w:hAnsi="宋体" w:eastAsia="宋体" w:cs="宋体"/>
          <w:snapToGrid w:val="0"/>
          <w:color w:val="auto"/>
          <w:szCs w:val="24"/>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_Toc12343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3EB2CF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_Toc28732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1.5  费用承担</w:t>
      </w:r>
      <w:r>
        <w:rPr>
          <w:color w:val="auto"/>
          <w:highlight w:val="none"/>
        </w:rPr>
        <w:tab/>
      </w:r>
      <w:r>
        <w:rPr>
          <w:color w:val="auto"/>
          <w:highlight w:val="none"/>
        </w:rPr>
        <w:fldChar w:fldCharType="begin"/>
      </w:r>
      <w:r>
        <w:rPr>
          <w:color w:val="auto"/>
          <w:highlight w:val="none"/>
        </w:rPr>
        <w:instrText xml:space="preserve"> PAGEREF _Toc28732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B208EB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_Toc31329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1.6  保密</w:t>
      </w:r>
      <w:r>
        <w:rPr>
          <w:color w:val="auto"/>
          <w:highlight w:val="none"/>
        </w:rPr>
        <w:tab/>
      </w:r>
      <w:r>
        <w:rPr>
          <w:color w:val="auto"/>
          <w:highlight w:val="none"/>
        </w:rPr>
        <w:fldChar w:fldCharType="begin"/>
      </w:r>
      <w:r>
        <w:rPr>
          <w:color w:val="auto"/>
          <w:highlight w:val="none"/>
        </w:rPr>
        <w:instrText xml:space="preserve"> PAGEREF _Toc31329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40C6FF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1.7  语言文字</w:t>
      </w:r>
      <w:r>
        <w:rPr>
          <w:color w:val="auto"/>
          <w:highlight w:val="none"/>
        </w:rPr>
        <w:tab/>
      </w:r>
      <w:r>
        <w:rPr>
          <w:color w:val="auto"/>
          <w:highlight w:val="none"/>
        </w:rPr>
        <w:fldChar w:fldCharType="begin"/>
      </w:r>
      <w:r>
        <w:rPr>
          <w:color w:val="auto"/>
          <w:highlight w:val="none"/>
        </w:rPr>
        <w:instrText xml:space="preserve"> PAGEREF _Toc27843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A7CA84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_Toc21722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1.8  计量单位</w:t>
      </w:r>
      <w:r>
        <w:rPr>
          <w:color w:val="auto"/>
          <w:highlight w:val="none"/>
        </w:rPr>
        <w:tab/>
      </w:r>
      <w:r>
        <w:rPr>
          <w:color w:val="auto"/>
          <w:highlight w:val="none"/>
        </w:rPr>
        <w:fldChar w:fldCharType="begin"/>
      </w:r>
      <w:r>
        <w:rPr>
          <w:color w:val="auto"/>
          <w:highlight w:val="none"/>
        </w:rPr>
        <w:instrText xml:space="preserve"> PAGEREF _Toc21722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71EE30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_Toc18892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1.9  踏勘现场</w:t>
      </w:r>
      <w:r>
        <w:rPr>
          <w:rFonts w:hint="eastAsia" w:ascii="宋体" w:hAnsi="宋体" w:eastAsia="宋体" w:cs="宋体"/>
          <w:snapToGrid w:val="0"/>
          <w:color w:val="auto"/>
          <w:szCs w:val="24"/>
          <w:highlight w:val="none"/>
          <w:lang w:eastAsia="zh-CN"/>
        </w:rPr>
        <w:t>（</w:t>
      </w:r>
      <w:r>
        <w:rPr>
          <w:rFonts w:hint="eastAsia" w:ascii="宋体" w:hAnsi="宋体" w:eastAsia="宋体" w:cs="宋体"/>
          <w:snapToGrid w:val="0"/>
          <w:color w:val="auto"/>
          <w:szCs w:val="24"/>
          <w:highlight w:val="none"/>
          <w:lang w:val="en-US" w:eastAsia="zh-CN"/>
        </w:rPr>
        <w:t>增加条款</w:t>
      </w:r>
      <w:r>
        <w:rPr>
          <w:rFonts w:hint="eastAsia" w:ascii="宋体" w:hAnsi="宋体" w:eastAsia="宋体" w:cs="宋体"/>
          <w:snapToGrid w:val="0"/>
          <w:color w:val="auto"/>
          <w:szCs w:val="24"/>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_Toc18892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C224EB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_Toc25221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1.10  投标预备会</w:t>
      </w:r>
      <w:r>
        <w:rPr>
          <w:color w:val="auto"/>
          <w:highlight w:val="none"/>
        </w:rPr>
        <w:tab/>
      </w:r>
      <w:r>
        <w:rPr>
          <w:color w:val="auto"/>
          <w:highlight w:val="none"/>
        </w:rPr>
        <w:fldChar w:fldCharType="begin"/>
      </w:r>
      <w:r>
        <w:rPr>
          <w:color w:val="auto"/>
          <w:highlight w:val="none"/>
        </w:rPr>
        <w:instrText xml:space="preserve"> PAGEREF _Toc25221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62B95A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_Toc29727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1.11  分包</w:t>
      </w:r>
      <w:r>
        <w:rPr>
          <w:color w:val="auto"/>
          <w:highlight w:val="none"/>
        </w:rPr>
        <w:tab/>
      </w:r>
      <w:r>
        <w:rPr>
          <w:color w:val="auto"/>
          <w:highlight w:val="none"/>
        </w:rPr>
        <w:fldChar w:fldCharType="begin"/>
      </w:r>
      <w:r>
        <w:rPr>
          <w:color w:val="auto"/>
          <w:highlight w:val="none"/>
        </w:rPr>
        <w:instrText xml:space="preserve"> PAGEREF _Toc29727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DDFC54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_Toc9390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1.12  响应和偏</w:t>
      </w:r>
      <w:r>
        <w:rPr>
          <w:rFonts w:hint="eastAsia" w:ascii="宋体" w:hAnsi="宋体" w:eastAsia="宋体" w:cs="宋体"/>
          <w:snapToGrid w:val="0"/>
          <w:color w:val="auto"/>
          <w:szCs w:val="24"/>
          <w:highlight w:val="none"/>
          <w:lang w:val="en-US" w:eastAsia="zh-CN"/>
        </w:rPr>
        <w:t>差</w:t>
      </w:r>
      <w:r>
        <w:rPr>
          <w:color w:val="auto"/>
          <w:highlight w:val="none"/>
        </w:rPr>
        <w:tab/>
      </w:r>
      <w:r>
        <w:rPr>
          <w:color w:val="auto"/>
          <w:highlight w:val="none"/>
        </w:rPr>
        <w:fldChar w:fldCharType="begin"/>
      </w:r>
      <w:r>
        <w:rPr>
          <w:color w:val="auto"/>
          <w:highlight w:val="none"/>
        </w:rPr>
        <w:instrText xml:space="preserve"> PAGEREF _Toc9390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F10A628">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_Toc14554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2.  招标文件</w:t>
      </w:r>
      <w:r>
        <w:rPr>
          <w:color w:val="auto"/>
          <w:highlight w:val="none"/>
        </w:rPr>
        <w:tab/>
      </w:r>
      <w:r>
        <w:rPr>
          <w:color w:val="auto"/>
          <w:highlight w:val="none"/>
        </w:rPr>
        <w:fldChar w:fldCharType="begin"/>
      </w:r>
      <w:r>
        <w:rPr>
          <w:color w:val="auto"/>
          <w:highlight w:val="none"/>
        </w:rPr>
        <w:instrText xml:space="preserve"> PAGEREF _Toc14554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CB6B4A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_Toc18680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2.1  招标文件的组成</w:t>
      </w:r>
      <w:r>
        <w:rPr>
          <w:color w:val="auto"/>
          <w:highlight w:val="none"/>
        </w:rPr>
        <w:tab/>
      </w:r>
      <w:r>
        <w:rPr>
          <w:color w:val="auto"/>
          <w:highlight w:val="none"/>
        </w:rPr>
        <w:fldChar w:fldCharType="begin"/>
      </w:r>
      <w:r>
        <w:rPr>
          <w:color w:val="auto"/>
          <w:highlight w:val="none"/>
        </w:rPr>
        <w:instrText xml:space="preserve"> PAGEREF _Toc18680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48A320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_Toc14375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2.2  招标文件的澄清</w:t>
      </w:r>
      <w:r>
        <w:rPr>
          <w:color w:val="auto"/>
          <w:highlight w:val="none"/>
        </w:rPr>
        <w:tab/>
      </w:r>
      <w:r>
        <w:rPr>
          <w:color w:val="auto"/>
          <w:highlight w:val="none"/>
        </w:rPr>
        <w:fldChar w:fldCharType="begin"/>
      </w:r>
      <w:r>
        <w:rPr>
          <w:color w:val="auto"/>
          <w:highlight w:val="none"/>
        </w:rPr>
        <w:instrText xml:space="preserve"> PAGEREF _Toc14375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15FDAC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2.3  招标文件的修改</w:t>
      </w:r>
      <w:r>
        <w:rPr>
          <w:color w:val="auto"/>
          <w:highlight w:val="none"/>
        </w:rPr>
        <w:tab/>
      </w:r>
      <w:r>
        <w:rPr>
          <w:color w:val="auto"/>
          <w:highlight w:val="none"/>
        </w:rPr>
        <w:fldChar w:fldCharType="begin"/>
      </w:r>
      <w:r>
        <w:rPr>
          <w:color w:val="auto"/>
          <w:highlight w:val="none"/>
        </w:rPr>
        <w:instrText xml:space="preserve"> PAGEREF _Toc15284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2C673E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_Toc28341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2.4  招标文件的异议</w:t>
      </w:r>
      <w:r>
        <w:rPr>
          <w:color w:val="auto"/>
          <w:highlight w:val="none"/>
        </w:rPr>
        <w:tab/>
      </w:r>
      <w:r>
        <w:rPr>
          <w:color w:val="auto"/>
          <w:highlight w:val="none"/>
        </w:rPr>
        <w:fldChar w:fldCharType="begin"/>
      </w:r>
      <w:r>
        <w:rPr>
          <w:color w:val="auto"/>
          <w:highlight w:val="none"/>
        </w:rPr>
        <w:instrText xml:space="preserve"> PAGEREF _Toc28341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7248C7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_Toc18917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3.  投标文件</w:t>
      </w:r>
      <w:r>
        <w:rPr>
          <w:color w:val="auto"/>
          <w:highlight w:val="none"/>
        </w:rPr>
        <w:tab/>
      </w:r>
      <w:r>
        <w:rPr>
          <w:color w:val="auto"/>
          <w:highlight w:val="none"/>
        </w:rPr>
        <w:fldChar w:fldCharType="begin"/>
      </w:r>
      <w:r>
        <w:rPr>
          <w:color w:val="auto"/>
          <w:highlight w:val="none"/>
        </w:rPr>
        <w:instrText xml:space="preserve"> PAGEREF _Toc18917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8E2558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_Toc5165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3.1  投标文件的组成</w:t>
      </w:r>
      <w:r>
        <w:rPr>
          <w:color w:val="auto"/>
          <w:highlight w:val="none"/>
        </w:rPr>
        <w:tab/>
      </w:r>
      <w:r>
        <w:rPr>
          <w:color w:val="auto"/>
          <w:highlight w:val="none"/>
        </w:rPr>
        <w:fldChar w:fldCharType="begin"/>
      </w:r>
      <w:r>
        <w:rPr>
          <w:color w:val="auto"/>
          <w:highlight w:val="none"/>
        </w:rPr>
        <w:instrText xml:space="preserve"> PAGEREF _Toc5165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96DED5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_Toc14467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3.2  投标报价</w:t>
      </w:r>
      <w:r>
        <w:rPr>
          <w:color w:val="auto"/>
          <w:highlight w:val="none"/>
        </w:rPr>
        <w:tab/>
      </w:r>
      <w:r>
        <w:rPr>
          <w:color w:val="auto"/>
          <w:highlight w:val="none"/>
        </w:rPr>
        <w:fldChar w:fldCharType="begin"/>
      </w:r>
      <w:r>
        <w:rPr>
          <w:color w:val="auto"/>
          <w:highlight w:val="none"/>
        </w:rPr>
        <w:instrText xml:space="preserve"> PAGEREF _Toc14467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7A29E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_Toc15846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3.3  投标有效期</w:t>
      </w:r>
      <w:r>
        <w:rPr>
          <w:color w:val="auto"/>
          <w:highlight w:val="none"/>
        </w:rPr>
        <w:tab/>
      </w:r>
      <w:r>
        <w:rPr>
          <w:color w:val="auto"/>
          <w:highlight w:val="none"/>
        </w:rPr>
        <w:fldChar w:fldCharType="begin"/>
      </w:r>
      <w:r>
        <w:rPr>
          <w:color w:val="auto"/>
          <w:highlight w:val="none"/>
        </w:rPr>
        <w:instrText xml:space="preserve"> PAGEREF _Toc15846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C13E06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_Toc8891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3.4  投标保证金</w:t>
      </w:r>
      <w:r>
        <w:rPr>
          <w:color w:val="auto"/>
          <w:highlight w:val="none"/>
        </w:rPr>
        <w:tab/>
      </w:r>
      <w:r>
        <w:rPr>
          <w:color w:val="auto"/>
          <w:highlight w:val="none"/>
        </w:rPr>
        <w:fldChar w:fldCharType="begin"/>
      </w:r>
      <w:r>
        <w:rPr>
          <w:color w:val="auto"/>
          <w:highlight w:val="none"/>
        </w:rPr>
        <w:instrText xml:space="preserve"> PAGEREF _Toc8891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C8BA9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3.5  资格审查资料</w:t>
      </w:r>
      <w:r>
        <w:rPr>
          <w:color w:val="auto"/>
          <w:highlight w:val="none"/>
        </w:rPr>
        <w:tab/>
      </w:r>
      <w:r>
        <w:rPr>
          <w:color w:val="auto"/>
          <w:highlight w:val="none"/>
        </w:rPr>
        <w:fldChar w:fldCharType="begin"/>
      </w:r>
      <w:r>
        <w:rPr>
          <w:color w:val="auto"/>
          <w:highlight w:val="none"/>
        </w:rPr>
        <w:instrText xml:space="preserve"> PAGEREF _Toc28844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C43732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3.6  备选投标方案</w:t>
      </w:r>
      <w:r>
        <w:rPr>
          <w:color w:val="auto"/>
          <w:highlight w:val="none"/>
        </w:rPr>
        <w:tab/>
      </w:r>
      <w:r>
        <w:rPr>
          <w:color w:val="auto"/>
          <w:highlight w:val="none"/>
        </w:rPr>
        <w:fldChar w:fldCharType="begin"/>
      </w:r>
      <w:r>
        <w:rPr>
          <w:color w:val="auto"/>
          <w:highlight w:val="none"/>
        </w:rPr>
        <w:instrText xml:space="preserve"> PAGEREF _Toc16188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6F2D3A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_Toc24920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3.7  投标文件的编制</w:t>
      </w:r>
      <w:r>
        <w:rPr>
          <w:color w:val="auto"/>
          <w:highlight w:val="none"/>
        </w:rPr>
        <w:tab/>
      </w:r>
      <w:r>
        <w:rPr>
          <w:color w:val="auto"/>
          <w:highlight w:val="none"/>
        </w:rPr>
        <w:fldChar w:fldCharType="begin"/>
      </w:r>
      <w:r>
        <w:rPr>
          <w:color w:val="auto"/>
          <w:highlight w:val="none"/>
        </w:rPr>
        <w:instrText xml:space="preserve"> PAGEREF _Toc24920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4CE324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4.  投标</w:t>
      </w:r>
      <w:r>
        <w:rPr>
          <w:color w:val="auto"/>
          <w:highlight w:val="none"/>
        </w:rPr>
        <w:tab/>
      </w:r>
      <w:r>
        <w:rPr>
          <w:color w:val="auto"/>
          <w:highlight w:val="none"/>
        </w:rPr>
        <w:fldChar w:fldCharType="begin"/>
      </w:r>
      <w:r>
        <w:rPr>
          <w:color w:val="auto"/>
          <w:highlight w:val="none"/>
        </w:rPr>
        <w:instrText xml:space="preserve"> PAGEREF _Toc27851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6BCDA8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4.1  投标文件的密封和标记</w:t>
      </w:r>
      <w:r>
        <w:rPr>
          <w:color w:val="auto"/>
          <w:highlight w:val="none"/>
        </w:rPr>
        <w:tab/>
      </w:r>
      <w:r>
        <w:rPr>
          <w:color w:val="auto"/>
          <w:highlight w:val="none"/>
        </w:rPr>
        <w:fldChar w:fldCharType="begin"/>
      </w:r>
      <w:r>
        <w:rPr>
          <w:color w:val="auto"/>
          <w:highlight w:val="none"/>
        </w:rPr>
        <w:instrText xml:space="preserve"> PAGEREF _Toc25481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3508B1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_Toc10431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4.2  投标文件的递交</w:t>
      </w:r>
      <w:r>
        <w:rPr>
          <w:color w:val="auto"/>
          <w:highlight w:val="none"/>
        </w:rPr>
        <w:tab/>
      </w:r>
      <w:r>
        <w:rPr>
          <w:color w:val="auto"/>
          <w:highlight w:val="none"/>
        </w:rPr>
        <w:fldChar w:fldCharType="begin"/>
      </w:r>
      <w:r>
        <w:rPr>
          <w:color w:val="auto"/>
          <w:highlight w:val="none"/>
        </w:rPr>
        <w:instrText xml:space="preserve"> PAGEREF _Toc10431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8741D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_Toc16061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4.3  投标文件的修改与撤回</w:t>
      </w:r>
      <w:r>
        <w:rPr>
          <w:color w:val="auto"/>
          <w:highlight w:val="none"/>
        </w:rPr>
        <w:tab/>
      </w:r>
      <w:r>
        <w:rPr>
          <w:color w:val="auto"/>
          <w:highlight w:val="none"/>
        </w:rPr>
        <w:fldChar w:fldCharType="begin"/>
      </w:r>
      <w:r>
        <w:rPr>
          <w:color w:val="auto"/>
          <w:highlight w:val="none"/>
        </w:rPr>
        <w:instrText xml:space="preserve"> PAGEREF _Toc16061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83910CA">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_Toc26130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5.  开标</w:t>
      </w:r>
      <w:r>
        <w:rPr>
          <w:color w:val="auto"/>
          <w:highlight w:val="none"/>
        </w:rPr>
        <w:tab/>
      </w:r>
      <w:r>
        <w:rPr>
          <w:color w:val="auto"/>
          <w:highlight w:val="none"/>
        </w:rPr>
        <w:fldChar w:fldCharType="begin"/>
      </w:r>
      <w:r>
        <w:rPr>
          <w:color w:val="auto"/>
          <w:highlight w:val="none"/>
        </w:rPr>
        <w:instrText xml:space="preserve"> PAGEREF _Toc26130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0DF64A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_Toc9625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5.1  开标时间和地点</w:t>
      </w:r>
      <w:r>
        <w:rPr>
          <w:color w:val="auto"/>
          <w:highlight w:val="none"/>
        </w:rPr>
        <w:tab/>
      </w:r>
      <w:r>
        <w:rPr>
          <w:color w:val="auto"/>
          <w:highlight w:val="none"/>
        </w:rPr>
        <w:fldChar w:fldCharType="begin"/>
      </w:r>
      <w:r>
        <w:rPr>
          <w:color w:val="auto"/>
          <w:highlight w:val="none"/>
        </w:rPr>
        <w:instrText xml:space="preserve"> PAGEREF _Toc9625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A732F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_Toc12831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5.2  开标程序</w:t>
      </w:r>
      <w:r>
        <w:rPr>
          <w:color w:val="auto"/>
          <w:highlight w:val="none"/>
        </w:rPr>
        <w:tab/>
      </w:r>
      <w:r>
        <w:rPr>
          <w:color w:val="auto"/>
          <w:highlight w:val="none"/>
        </w:rPr>
        <w:fldChar w:fldCharType="begin"/>
      </w:r>
      <w:r>
        <w:rPr>
          <w:color w:val="auto"/>
          <w:highlight w:val="none"/>
        </w:rPr>
        <w:instrText xml:space="preserve"> PAGEREF _Toc12831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7F155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5.3  开标异议</w:t>
      </w:r>
      <w:r>
        <w:rPr>
          <w:color w:val="auto"/>
          <w:highlight w:val="none"/>
        </w:rPr>
        <w:tab/>
      </w:r>
      <w:r>
        <w:rPr>
          <w:color w:val="auto"/>
          <w:highlight w:val="none"/>
        </w:rPr>
        <w:fldChar w:fldCharType="begin"/>
      </w:r>
      <w:r>
        <w:rPr>
          <w:color w:val="auto"/>
          <w:highlight w:val="none"/>
        </w:rPr>
        <w:instrText xml:space="preserve"> PAGEREF _Toc10284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037D26">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_Toc15443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6.  评标</w:t>
      </w:r>
      <w:r>
        <w:rPr>
          <w:color w:val="auto"/>
          <w:highlight w:val="none"/>
        </w:rPr>
        <w:tab/>
      </w:r>
      <w:r>
        <w:rPr>
          <w:color w:val="auto"/>
          <w:highlight w:val="none"/>
        </w:rPr>
        <w:fldChar w:fldCharType="begin"/>
      </w:r>
      <w:r>
        <w:rPr>
          <w:color w:val="auto"/>
          <w:highlight w:val="none"/>
        </w:rPr>
        <w:instrText xml:space="preserve"> PAGEREF _Toc15443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CF3585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_Toc356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6.1  评标委员会</w:t>
      </w:r>
      <w:r>
        <w:rPr>
          <w:color w:val="auto"/>
          <w:highlight w:val="none"/>
        </w:rPr>
        <w:tab/>
      </w:r>
      <w:r>
        <w:rPr>
          <w:color w:val="auto"/>
          <w:highlight w:val="none"/>
        </w:rPr>
        <w:fldChar w:fldCharType="begin"/>
      </w:r>
      <w:r>
        <w:rPr>
          <w:color w:val="auto"/>
          <w:highlight w:val="none"/>
        </w:rPr>
        <w:instrText xml:space="preserve"> PAGEREF _Toc356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93983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_Toc16468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6.2  评标原则</w:t>
      </w:r>
      <w:r>
        <w:rPr>
          <w:color w:val="auto"/>
          <w:highlight w:val="none"/>
        </w:rPr>
        <w:tab/>
      </w:r>
      <w:r>
        <w:rPr>
          <w:color w:val="auto"/>
          <w:highlight w:val="none"/>
        </w:rPr>
        <w:fldChar w:fldCharType="begin"/>
      </w:r>
      <w:r>
        <w:rPr>
          <w:color w:val="auto"/>
          <w:highlight w:val="none"/>
        </w:rPr>
        <w:instrText xml:space="preserve"> PAGEREF _Toc16468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0FBCD0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_Toc24847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6.3  评标</w:t>
      </w:r>
      <w:r>
        <w:rPr>
          <w:color w:val="auto"/>
          <w:highlight w:val="none"/>
        </w:rPr>
        <w:tab/>
      </w:r>
      <w:r>
        <w:rPr>
          <w:color w:val="auto"/>
          <w:highlight w:val="none"/>
        </w:rPr>
        <w:fldChar w:fldCharType="begin"/>
      </w:r>
      <w:r>
        <w:rPr>
          <w:color w:val="auto"/>
          <w:highlight w:val="none"/>
        </w:rPr>
        <w:instrText xml:space="preserve"> PAGEREF _Toc24847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6EAB6A">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7.  合同授予</w:t>
      </w:r>
      <w:r>
        <w:rPr>
          <w:color w:val="auto"/>
          <w:highlight w:val="none"/>
        </w:rPr>
        <w:tab/>
      </w:r>
      <w:r>
        <w:rPr>
          <w:color w:val="auto"/>
          <w:highlight w:val="none"/>
        </w:rPr>
        <w:fldChar w:fldCharType="begin"/>
      </w:r>
      <w:r>
        <w:rPr>
          <w:color w:val="auto"/>
          <w:highlight w:val="none"/>
        </w:rPr>
        <w:instrText xml:space="preserve"> PAGEREF _Toc3690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8CC352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_Toc7976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7.1  中标候选人公示</w:t>
      </w:r>
      <w:r>
        <w:rPr>
          <w:color w:val="auto"/>
          <w:highlight w:val="none"/>
        </w:rPr>
        <w:tab/>
      </w:r>
      <w:r>
        <w:rPr>
          <w:color w:val="auto"/>
          <w:highlight w:val="none"/>
        </w:rPr>
        <w:fldChar w:fldCharType="begin"/>
      </w:r>
      <w:r>
        <w:rPr>
          <w:color w:val="auto"/>
          <w:highlight w:val="none"/>
        </w:rPr>
        <w:instrText xml:space="preserve"> PAGEREF _Toc7976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1EE510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7.2  评标结果异议</w:t>
      </w:r>
      <w:r>
        <w:rPr>
          <w:color w:val="auto"/>
          <w:highlight w:val="none"/>
        </w:rPr>
        <w:tab/>
      </w:r>
      <w:r>
        <w:rPr>
          <w:color w:val="auto"/>
          <w:highlight w:val="none"/>
        </w:rPr>
        <w:fldChar w:fldCharType="begin"/>
      </w:r>
      <w:r>
        <w:rPr>
          <w:color w:val="auto"/>
          <w:highlight w:val="none"/>
        </w:rPr>
        <w:instrText xml:space="preserve"> PAGEREF _Toc3120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914FB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_Toc27196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7.3  中标候选人履约能力审查</w:t>
      </w:r>
      <w:r>
        <w:rPr>
          <w:color w:val="auto"/>
          <w:highlight w:val="none"/>
        </w:rPr>
        <w:tab/>
      </w:r>
      <w:r>
        <w:rPr>
          <w:color w:val="auto"/>
          <w:highlight w:val="none"/>
        </w:rPr>
        <w:fldChar w:fldCharType="begin"/>
      </w:r>
      <w:r>
        <w:rPr>
          <w:color w:val="auto"/>
          <w:highlight w:val="none"/>
        </w:rPr>
        <w:instrText xml:space="preserve"> PAGEREF _Toc27196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80DA19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_Toc6108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7.4  定标</w:t>
      </w:r>
      <w:r>
        <w:rPr>
          <w:color w:val="auto"/>
          <w:highlight w:val="none"/>
        </w:rPr>
        <w:tab/>
      </w:r>
      <w:r>
        <w:rPr>
          <w:color w:val="auto"/>
          <w:highlight w:val="none"/>
        </w:rPr>
        <w:fldChar w:fldCharType="begin"/>
      </w:r>
      <w:r>
        <w:rPr>
          <w:color w:val="auto"/>
          <w:highlight w:val="none"/>
        </w:rPr>
        <w:instrText xml:space="preserve"> PAGEREF _Toc6108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5A02FB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7.5  中标通知</w:t>
      </w:r>
      <w:r>
        <w:rPr>
          <w:color w:val="auto"/>
          <w:highlight w:val="none"/>
        </w:rPr>
        <w:tab/>
      </w:r>
      <w:r>
        <w:rPr>
          <w:color w:val="auto"/>
          <w:highlight w:val="none"/>
        </w:rPr>
        <w:fldChar w:fldCharType="begin"/>
      </w:r>
      <w:r>
        <w:rPr>
          <w:color w:val="auto"/>
          <w:highlight w:val="none"/>
        </w:rPr>
        <w:instrText xml:space="preserve"> PAGEREF _Toc21025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7B1C8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_Toc19093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6</w:t>
      </w:r>
      <w:r>
        <w:rPr>
          <w:rFonts w:hint="eastAsia" w:ascii="宋体" w:hAnsi="宋体" w:eastAsia="宋体" w:cs="宋体"/>
          <w:snapToGrid w:val="0"/>
          <w:color w:val="auto"/>
          <w:szCs w:val="24"/>
          <w:highlight w:val="none"/>
        </w:rPr>
        <w:t xml:space="preserve">  履约</w:t>
      </w:r>
      <w:r>
        <w:rPr>
          <w:rFonts w:hint="eastAsia" w:ascii="宋体" w:hAnsi="宋体" w:eastAsia="宋体" w:cs="宋体"/>
          <w:snapToGrid w:val="0"/>
          <w:color w:val="auto"/>
          <w:szCs w:val="24"/>
          <w:highlight w:val="none"/>
          <w:lang w:val="en-US" w:eastAsia="zh-CN"/>
        </w:rPr>
        <w:t>保证金</w:t>
      </w:r>
      <w:r>
        <w:rPr>
          <w:color w:val="auto"/>
          <w:highlight w:val="none"/>
        </w:rPr>
        <w:tab/>
      </w:r>
      <w:r>
        <w:rPr>
          <w:color w:val="auto"/>
          <w:highlight w:val="none"/>
        </w:rPr>
        <w:fldChar w:fldCharType="begin"/>
      </w:r>
      <w:r>
        <w:rPr>
          <w:color w:val="auto"/>
          <w:highlight w:val="none"/>
        </w:rPr>
        <w:instrText xml:space="preserve"> PAGEREF _Toc19093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AA852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_Toc22882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7</w:t>
      </w:r>
      <w:r>
        <w:rPr>
          <w:rFonts w:hint="eastAsia" w:ascii="宋体" w:hAnsi="宋体" w:eastAsia="宋体" w:cs="宋体"/>
          <w:snapToGrid w:val="0"/>
          <w:color w:val="auto"/>
          <w:szCs w:val="24"/>
          <w:highlight w:val="none"/>
        </w:rPr>
        <w:t xml:space="preserve">  签订合同</w:t>
      </w:r>
      <w:r>
        <w:rPr>
          <w:color w:val="auto"/>
          <w:highlight w:val="none"/>
        </w:rPr>
        <w:tab/>
      </w:r>
      <w:r>
        <w:rPr>
          <w:color w:val="auto"/>
          <w:highlight w:val="none"/>
        </w:rPr>
        <w:fldChar w:fldCharType="begin"/>
      </w:r>
      <w:r>
        <w:rPr>
          <w:color w:val="auto"/>
          <w:highlight w:val="none"/>
        </w:rPr>
        <w:instrText xml:space="preserve"> PAGEREF _Toc22882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1871F40">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_Toc15026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8.  重新招标和不再招标</w:t>
      </w: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增加条款</w:t>
      </w:r>
      <w:r>
        <w:rPr>
          <w:rFonts w:hint="eastAsia" w:ascii="宋体" w:hAnsi="宋体" w:eastAsia="宋体" w:cs="宋体"/>
          <w:snapToGrid w:val="0"/>
          <w:color w:val="auto"/>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_Toc15026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8C168C">
      <w:pPr>
        <w:pStyle w:val="22"/>
        <w:tabs>
          <w:tab w:val="right" w:leader="dot" w:pos="9469"/>
        </w:tabs>
        <w:rPr>
          <w:rFonts w:hint="eastAsia" w:ascii="Times New Roman" w:hAnsi="Times New Roman" w:eastAsia="宋体" w:cs="Times New Roman"/>
          <w:b w:val="0"/>
          <w:bCs w:val="0"/>
          <w:i/>
          <w:iCs/>
          <w:smallCaps/>
          <w:color w:val="auto"/>
          <w:kern w:val="2"/>
          <w:sz w:val="20"/>
          <w:szCs w:val="20"/>
          <w:highlight w:val="none"/>
          <w:lang w:val="en-US" w:eastAsia="zh-CN" w:bidi="ar-SA"/>
        </w:rPr>
      </w:pP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begin"/>
      </w:r>
      <w:r>
        <w:rPr>
          <w:rFonts w:hint="eastAsia" w:ascii="Times New Roman" w:hAnsi="Times New Roman" w:eastAsia="宋体" w:cs="Times New Roman"/>
          <w:b w:val="0"/>
          <w:bCs w:val="0"/>
          <w:i/>
          <w:iCs/>
          <w:smallCaps/>
          <w:color w:val="auto"/>
          <w:kern w:val="2"/>
          <w:sz w:val="20"/>
          <w:szCs w:val="20"/>
          <w:highlight w:val="none"/>
          <w:lang w:val="zh-CN" w:eastAsia="zh-CN" w:bidi="ar-SA"/>
        </w:rPr>
        <w:instrText xml:space="preserve"> HYPERLINK \l _Toc19208 </w:instrTex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separate"/>
      </w:r>
      <w:r>
        <w:rPr>
          <w:rFonts w:hint="eastAsia" w:ascii="Times New Roman" w:hAnsi="Times New Roman" w:eastAsia="宋体" w:cs="Times New Roman"/>
          <w:b w:val="0"/>
          <w:bCs w:val="0"/>
          <w:i/>
          <w:iCs/>
          <w:smallCaps/>
          <w:color w:val="auto"/>
          <w:kern w:val="2"/>
          <w:sz w:val="20"/>
          <w:szCs w:val="20"/>
          <w:highlight w:val="none"/>
          <w:lang w:val="en-US" w:eastAsia="zh-CN" w:bidi="ar-SA"/>
        </w:rPr>
        <w:t>8.1  重新招标的情形</w:t>
      </w:r>
      <w:r>
        <w:rPr>
          <w:rFonts w:ascii="Times New Roman" w:hAnsi="Times New Roman" w:eastAsia="宋体" w:cs="Times New Roman"/>
          <w:b w:val="0"/>
          <w:bCs w:val="0"/>
          <w:i/>
          <w:iCs/>
          <w:smallCaps/>
          <w:color w:val="auto"/>
          <w:kern w:val="2"/>
          <w:sz w:val="20"/>
          <w:szCs w:val="20"/>
          <w:highlight w:val="none"/>
          <w:lang w:val="en-US" w:eastAsia="zh-CN" w:bidi="ar-SA"/>
        </w:rPr>
        <w:tab/>
      </w:r>
      <w:r>
        <w:rPr>
          <w:rFonts w:hint="eastAsia" w:ascii="Times New Roman" w:hAnsi="Times New Roman" w:eastAsia="宋体" w:cs="Times New Roman"/>
          <w:b w:val="0"/>
          <w:bCs w:val="0"/>
          <w:i/>
          <w:iCs/>
          <w:smallCaps/>
          <w:color w:val="auto"/>
          <w:kern w:val="2"/>
          <w:sz w:val="20"/>
          <w:szCs w:val="20"/>
          <w:highlight w:val="none"/>
          <w:lang w:val="en-US" w:eastAsia="zh-CN" w:bidi="ar-SA"/>
        </w:rPr>
        <w:t>2</w: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end"/>
      </w:r>
      <w:r>
        <w:rPr>
          <w:rFonts w:hint="eastAsia" w:ascii="Times New Roman" w:hAnsi="Times New Roman" w:eastAsia="宋体" w:cs="Times New Roman"/>
          <w:b w:val="0"/>
          <w:bCs w:val="0"/>
          <w:i/>
          <w:iCs/>
          <w:smallCaps/>
          <w:color w:val="auto"/>
          <w:kern w:val="2"/>
          <w:sz w:val="20"/>
          <w:szCs w:val="20"/>
          <w:highlight w:val="none"/>
          <w:lang w:val="en-US" w:eastAsia="zh-CN" w:bidi="ar-SA"/>
        </w:rPr>
        <w:t>5</w:t>
      </w:r>
    </w:p>
    <w:p w14:paraId="1B946EA1">
      <w:pPr>
        <w:pStyle w:val="22"/>
        <w:tabs>
          <w:tab w:val="right" w:leader="dot" w:pos="9469"/>
        </w:tabs>
        <w:rPr>
          <w:rFonts w:hint="eastAsia" w:eastAsia="宋体"/>
          <w:color w:val="auto"/>
          <w:highlight w:val="none"/>
          <w:lang w:val="en-US" w:eastAsia="zh-CN"/>
        </w:rPr>
      </w:pP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begin"/>
      </w:r>
      <w:r>
        <w:rPr>
          <w:rFonts w:hint="eastAsia" w:ascii="Times New Roman" w:hAnsi="Times New Roman" w:eastAsia="宋体" w:cs="Times New Roman"/>
          <w:b w:val="0"/>
          <w:bCs w:val="0"/>
          <w:i/>
          <w:iCs/>
          <w:smallCaps/>
          <w:color w:val="auto"/>
          <w:kern w:val="2"/>
          <w:sz w:val="20"/>
          <w:szCs w:val="20"/>
          <w:highlight w:val="none"/>
          <w:lang w:val="zh-CN" w:eastAsia="zh-CN" w:bidi="ar-SA"/>
        </w:rPr>
        <w:instrText xml:space="preserve"> HYPERLINK \l _Toc16295 </w:instrTex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separate"/>
      </w:r>
      <w:r>
        <w:rPr>
          <w:rFonts w:hint="eastAsia" w:ascii="Times New Roman" w:hAnsi="Times New Roman" w:eastAsia="宋体" w:cs="Times New Roman"/>
          <w:b w:val="0"/>
          <w:bCs w:val="0"/>
          <w:i/>
          <w:iCs/>
          <w:smallCaps/>
          <w:color w:val="auto"/>
          <w:kern w:val="2"/>
          <w:sz w:val="20"/>
          <w:szCs w:val="20"/>
          <w:highlight w:val="none"/>
          <w:lang w:val="en-US" w:eastAsia="zh-CN" w:bidi="ar-SA"/>
        </w:rPr>
        <w:t>8.2  重新招标和不再招标</w:t>
      </w:r>
      <w:r>
        <w:rPr>
          <w:rFonts w:ascii="Times New Roman" w:hAnsi="Times New Roman" w:eastAsia="宋体" w:cs="Times New Roman"/>
          <w:b w:val="0"/>
          <w:bCs w:val="0"/>
          <w:i/>
          <w:iCs/>
          <w:smallCaps/>
          <w:color w:val="auto"/>
          <w:kern w:val="2"/>
          <w:sz w:val="20"/>
          <w:szCs w:val="20"/>
          <w:highlight w:val="none"/>
          <w:lang w:val="en-US" w:eastAsia="zh-CN" w:bidi="ar-SA"/>
        </w:rPr>
        <w:tab/>
      </w:r>
      <w:r>
        <w:rPr>
          <w:rFonts w:hint="eastAsia" w:ascii="Times New Roman" w:hAnsi="Times New Roman" w:eastAsia="宋体" w:cs="Times New Roman"/>
          <w:b w:val="0"/>
          <w:bCs w:val="0"/>
          <w:i/>
          <w:iCs/>
          <w:smallCaps/>
          <w:color w:val="auto"/>
          <w:kern w:val="2"/>
          <w:sz w:val="20"/>
          <w:szCs w:val="20"/>
          <w:highlight w:val="none"/>
          <w:lang w:val="en-US" w:eastAsia="zh-CN" w:bidi="ar-SA"/>
        </w:rPr>
        <w:t>2</w: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end"/>
      </w:r>
      <w:r>
        <w:rPr>
          <w:rFonts w:hint="eastAsia" w:ascii="Times New Roman" w:hAnsi="Times New Roman" w:eastAsia="宋体" w:cs="Times New Roman"/>
          <w:b w:val="0"/>
          <w:bCs w:val="0"/>
          <w:i/>
          <w:iCs/>
          <w:smallCaps/>
          <w:color w:val="auto"/>
          <w:kern w:val="2"/>
          <w:sz w:val="20"/>
          <w:szCs w:val="20"/>
          <w:highlight w:val="none"/>
          <w:lang w:val="en-US" w:eastAsia="zh-CN" w:bidi="ar-SA"/>
        </w:rPr>
        <w:t>5</w:t>
      </w:r>
    </w:p>
    <w:p w14:paraId="31B9541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_Toc23432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9.  纪律和监督</w:t>
      </w:r>
      <w:r>
        <w:rPr>
          <w:color w:val="auto"/>
          <w:highlight w:val="none"/>
        </w:rPr>
        <w:tab/>
      </w:r>
      <w:r>
        <w:rPr>
          <w:color w:val="auto"/>
          <w:highlight w:val="none"/>
        </w:rPr>
        <w:fldChar w:fldCharType="begin"/>
      </w:r>
      <w:r>
        <w:rPr>
          <w:color w:val="auto"/>
          <w:highlight w:val="none"/>
        </w:rPr>
        <w:instrText xml:space="preserve"> PAGEREF _Toc23432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F2FB7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_Toc21466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9.1  对招标人的纪律要求</w:t>
      </w:r>
      <w:r>
        <w:rPr>
          <w:color w:val="auto"/>
          <w:highlight w:val="none"/>
        </w:rPr>
        <w:tab/>
      </w:r>
      <w:r>
        <w:rPr>
          <w:color w:val="auto"/>
          <w:highlight w:val="none"/>
        </w:rPr>
        <w:fldChar w:fldCharType="begin"/>
      </w:r>
      <w:r>
        <w:rPr>
          <w:color w:val="auto"/>
          <w:highlight w:val="none"/>
        </w:rPr>
        <w:instrText xml:space="preserve"> PAGEREF _Toc21466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F91CC6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_Toc5560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9.2  对投标人的纪律要求</w:t>
      </w:r>
      <w:r>
        <w:rPr>
          <w:color w:val="auto"/>
          <w:highlight w:val="none"/>
        </w:rPr>
        <w:tab/>
      </w:r>
      <w:r>
        <w:rPr>
          <w:color w:val="auto"/>
          <w:highlight w:val="none"/>
        </w:rPr>
        <w:fldChar w:fldCharType="begin"/>
      </w:r>
      <w:r>
        <w:rPr>
          <w:color w:val="auto"/>
          <w:highlight w:val="none"/>
        </w:rPr>
        <w:instrText xml:space="preserve"> PAGEREF _Toc5560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026E6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9.3  对评标委员会成员的纪律要求</w:t>
      </w:r>
      <w:r>
        <w:rPr>
          <w:color w:val="auto"/>
          <w:highlight w:val="none"/>
        </w:rPr>
        <w:tab/>
      </w:r>
      <w:r>
        <w:rPr>
          <w:color w:val="auto"/>
          <w:highlight w:val="none"/>
        </w:rPr>
        <w:fldChar w:fldCharType="begin"/>
      </w:r>
      <w:r>
        <w:rPr>
          <w:color w:val="auto"/>
          <w:highlight w:val="none"/>
        </w:rPr>
        <w:instrText xml:space="preserve"> PAGEREF _Toc25487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86A20B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_Toc17377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9.4  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_Toc17377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C0C6A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_Toc30938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9.5  投诉</w:t>
      </w:r>
      <w:r>
        <w:rPr>
          <w:color w:val="auto"/>
          <w:highlight w:val="none"/>
        </w:rPr>
        <w:tab/>
      </w:r>
      <w:r>
        <w:rPr>
          <w:color w:val="auto"/>
          <w:highlight w:val="none"/>
        </w:rPr>
        <w:fldChar w:fldCharType="begin"/>
      </w:r>
      <w:r>
        <w:rPr>
          <w:color w:val="auto"/>
          <w:highlight w:val="none"/>
        </w:rPr>
        <w:instrText xml:space="preserve"> PAGEREF _Toc30938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9288826">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_Toc32213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_Toc32213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E373607">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r>
        <w:rPr>
          <w:color w:val="auto"/>
          <w:highlight w:val="none"/>
        </w:rPr>
        <w:tab/>
      </w:r>
      <w:r>
        <w:rPr>
          <w:color w:val="auto"/>
          <w:highlight w:val="none"/>
        </w:rPr>
        <w:fldChar w:fldCharType="begin"/>
      </w:r>
      <w:r>
        <w:rPr>
          <w:color w:val="auto"/>
          <w:highlight w:val="none"/>
        </w:rPr>
        <w:instrText xml:space="preserve"> PAGEREF _Toc21024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431C7E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_Toc32445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_Toc32445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FF4C26A">
      <w:pPr>
        <w:pStyle w:val="37"/>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_Toc17113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1. 评标方法</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8</w:t>
      </w:r>
    </w:p>
    <w:p w14:paraId="3C494755">
      <w:pPr>
        <w:pStyle w:val="37"/>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2. 评审标准</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8</w:t>
      </w:r>
    </w:p>
    <w:p w14:paraId="53D20064">
      <w:pPr>
        <w:pStyle w:val="22"/>
        <w:tabs>
          <w:tab w:val="right" w:leader="dot" w:pos="9469"/>
        </w:tabs>
        <w:rPr>
          <w:rFonts w:hint="eastAsia" w:ascii="Times New Roman" w:hAnsi="Times New Roman" w:eastAsia="宋体" w:cs="Times New Roman"/>
          <w:b w:val="0"/>
          <w:bCs w:val="0"/>
          <w:i/>
          <w:iCs/>
          <w:smallCaps/>
          <w:color w:val="auto"/>
          <w:kern w:val="2"/>
          <w:sz w:val="20"/>
          <w:szCs w:val="20"/>
          <w:highlight w:val="none"/>
          <w:lang w:val="en-US" w:eastAsia="zh-CN" w:bidi="ar-SA"/>
        </w:rPr>
      </w:pP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begin"/>
      </w:r>
      <w:r>
        <w:rPr>
          <w:rFonts w:hint="eastAsia" w:ascii="Times New Roman" w:hAnsi="Times New Roman" w:eastAsia="宋体" w:cs="Times New Roman"/>
          <w:b w:val="0"/>
          <w:bCs w:val="0"/>
          <w:i/>
          <w:iCs/>
          <w:smallCaps/>
          <w:color w:val="auto"/>
          <w:kern w:val="2"/>
          <w:sz w:val="20"/>
          <w:szCs w:val="20"/>
          <w:highlight w:val="none"/>
          <w:lang w:val="zh-CN" w:eastAsia="zh-CN" w:bidi="ar-SA"/>
        </w:rPr>
        <w:instrText xml:space="preserve"> HYPERLINK \l _Toc2884 </w:instrTex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separate"/>
      </w:r>
      <w:r>
        <w:rPr>
          <w:rFonts w:hint="eastAsia" w:ascii="Times New Roman" w:hAnsi="Times New Roman" w:eastAsia="宋体" w:cs="Times New Roman"/>
          <w:b w:val="0"/>
          <w:bCs w:val="0"/>
          <w:i/>
          <w:iCs/>
          <w:smallCaps/>
          <w:color w:val="auto"/>
          <w:kern w:val="2"/>
          <w:sz w:val="20"/>
          <w:szCs w:val="20"/>
          <w:highlight w:val="none"/>
          <w:lang w:val="en-US" w:eastAsia="zh-CN" w:bidi="ar-SA"/>
        </w:rPr>
        <w:t>2.1 初步评审标准</w:t>
      </w:r>
      <w:r>
        <w:rPr>
          <w:rFonts w:hint="eastAsia" w:ascii="Times New Roman" w:hAnsi="Times New Roman" w:eastAsia="宋体" w:cs="Times New Roman"/>
          <w:b w:val="0"/>
          <w:bCs w:val="0"/>
          <w:i/>
          <w:iCs/>
          <w:smallCaps/>
          <w:color w:val="auto"/>
          <w:kern w:val="2"/>
          <w:sz w:val="20"/>
          <w:szCs w:val="20"/>
          <w:highlight w:val="none"/>
          <w:lang w:val="en-US" w:eastAsia="zh-CN" w:bidi="ar-SA"/>
        </w:rPr>
        <w:tab/>
      </w:r>
      <w:r>
        <w:rPr>
          <w:rFonts w:hint="eastAsia" w:ascii="Times New Roman" w:hAnsi="Times New Roman" w:eastAsia="宋体" w:cs="Times New Roman"/>
          <w:b w:val="0"/>
          <w:bCs w:val="0"/>
          <w:i/>
          <w:iCs/>
          <w:smallCaps/>
          <w:color w:val="auto"/>
          <w:kern w:val="2"/>
          <w:sz w:val="20"/>
          <w:szCs w:val="20"/>
          <w:highlight w:val="none"/>
          <w:lang w:val="en-US" w:eastAsia="zh-CN" w:bidi="ar-SA"/>
        </w:rPr>
        <w:t>3</w: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end"/>
      </w:r>
      <w:r>
        <w:rPr>
          <w:rFonts w:hint="eastAsia" w:ascii="Times New Roman" w:hAnsi="Times New Roman" w:eastAsia="宋体" w:cs="Times New Roman"/>
          <w:b w:val="0"/>
          <w:bCs w:val="0"/>
          <w:i/>
          <w:iCs/>
          <w:smallCaps/>
          <w:color w:val="auto"/>
          <w:kern w:val="2"/>
          <w:sz w:val="20"/>
          <w:szCs w:val="20"/>
          <w:highlight w:val="none"/>
          <w:lang w:val="en-US" w:eastAsia="zh-CN" w:bidi="ar-SA"/>
        </w:rPr>
        <w:t>8</w:t>
      </w:r>
    </w:p>
    <w:p w14:paraId="25B4C471">
      <w:pPr>
        <w:pStyle w:val="22"/>
        <w:tabs>
          <w:tab w:val="right" w:leader="dot" w:pos="9469"/>
        </w:tabs>
        <w:rPr>
          <w:rFonts w:hint="eastAsia" w:eastAsia="宋体"/>
          <w:color w:val="auto"/>
          <w:highlight w:val="none"/>
          <w:lang w:val="en-US" w:eastAsia="zh-CN"/>
        </w:rPr>
      </w:pP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begin"/>
      </w:r>
      <w:r>
        <w:rPr>
          <w:rFonts w:hint="eastAsia" w:ascii="Times New Roman" w:hAnsi="Times New Roman" w:eastAsia="宋体" w:cs="Times New Roman"/>
          <w:b w:val="0"/>
          <w:bCs w:val="0"/>
          <w:i/>
          <w:iCs/>
          <w:smallCaps/>
          <w:color w:val="auto"/>
          <w:kern w:val="2"/>
          <w:sz w:val="20"/>
          <w:szCs w:val="20"/>
          <w:highlight w:val="none"/>
          <w:lang w:val="zh-CN" w:eastAsia="zh-CN" w:bidi="ar-SA"/>
        </w:rPr>
        <w:instrText xml:space="preserve"> HYPERLINK \l _Toc25454 </w:instrTex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separate"/>
      </w:r>
      <w:r>
        <w:rPr>
          <w:rFonts w:hint="eastAsia" w:ascii="Times New Roman" w:hAnsi="Times New Roman" w:eastAsia="宋体" w:cs="Times New Roman"/>
          <w:b w:val="0"/>
          <w:bCs w:val="0"/>
          <w:i/>
          <w:iCs/>
          <w:smallCaps/>
          <w:color w:val="auto"/>
          <w:kern w:val="2"/>
          <w:sz w:val="20"/>
          <w:szCs w:val="20"/>
          <w:highlight w:val="none"/>
          <w:lang w:val="en-US" w:eastAsia="zh-CN" w:bidi="ar-SA"/>
        </w:rPr>
        <w:t>2.2 分值构成与评分标准</w:t>
      </w:r>
      <w:r>
        <w:rPr>
          <w:rFonts w:hint="eastAsia" w:ascii="Times New Roman" w:hAnsi="Times New Roman" w:eastAsia="宋体" w:cs="Times New Roman"/>
          <w:b w:val="0"/>
          <w:bCs w:val="0"/>
          <w:i/>
          <w:iCs/>
          <w:smallCaps/>
          <w:color w:val="auto"/>
          <w:kern w:val="2"/>
          <w:sz w:val="20"/>
          <w:szCs w:val="20"/>
          <w:highlight w:val="none"/>
          <w:lang w:val="en-US" w:eastAsia="zh-CN" w:bidi="ar-SA"/>
        </w:rPr>
        <w:tab/>
      </w:r>
      <w:r>
        <w:rPr>
          <w:rFonts w:hint="eastAsia" w:ascii="Times New Roman" w:hAnsi="Times New Roman" w:eastAsia="宋体" w:cs="Times New Roman"/>
          <w:b w:val="0"/>
          <w:bCs w:val="0"/>
          <w:i/>
          <w:iCs/>
          <w:smallCaps/>
          <w:color w:val="auto"/>
          <w:kern w:val="2"/>
          <w:sz w:val="20"/>
          <w:szCs w:val="20"/>
          <w:highlight w:val="none"/>
          <w:lang w:val="en-US" w:eastAsia="zh-CN" w:bidi="ar-SA"/>
        </w:rPr>
        <w:t>3</w: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end"/>
      </w:r>
      <w:r>
        <w:rPr>
          <w:rFonts w:hint="eastAsia" w:ascii="Times New Roman" w:hAnsi="Times New Roman" w:eastAsia="宋体" w:cs="Times New Roman"/>
          <w:b w:val="0"/>
          <w:bCs w:val="0"/>
          <w:i/>
          <w:iCs/>
          <w:smallCaps/>
          <w:color w:val="auto"/>
          <w:kern w:val="2"/>
          <w:sz w:val="20"/>
          <w:szCs w:val="20"/>
          <w:highlight w:val="none"/>
          <w:lang w:val="en-US" w:eastAsia="zh-CN" w:bidi="ar-SA"/>
        </w:rPr>
        <w:t>8</w:t>
      </w:r>
    </w:p>
    <w:p w14:paraId="78DCC774">
      <w:pPr>
        <w:pStyle w:val="37"/>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_Toc26293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3. 评标程序</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8</w:t>
      </w:r>
    </w:p>
    <w:p w14:paraId="22A931EC">
      <w:pPr>
        <w:pStyle w:val="22"/>
        <w:tabs>
          <w:tab w:val="right" w:leader="dot" w:pos="9469"/>
        </w:tabs>
        <w:rPr>
          <w:rFonts w:hint="eastAsia" w:ascii="Times New Roman" w:hAnsi="Times New Roman" w:eastAsia="宋体" w:cs="Times New Roman"/>
          <w:b w:val="0"/>
          <w:bCs w:val="0"/>
          <w:i/>
          <w:iCs/>
          <w:smallCaps/>
          <w:color w:val="auto"/>
          <w:kern w:val="2"/>
          <w:sz w:val="20"/>
          <w:szCs w:val="20"/>
          <w:highlight w:val="none"/>
          <w:lang w:val="en-US" w:eastAsia="zh-CN" w:bidi="ar-SA"/>
        </w:rPr>
      </w:pP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begin"/>
      </w:r>
      <w:r>
        <w:rPr>
          <w:rFonts w:hint="eastAsia" w:ascii="Times New Roman" w:hAnsi="Times New Roman" w:eastAsia="宋体" w:cs="Times New Roman"/>
          <w:b w:val="0"/>
          <w:bCs w:val="0"/>
          <w:i/>
          <w:iCs/>
          <w:smallCaps/>
          <w:color w:val="auto"/>
          <w:kern w:val="2"/>
          <w:sz w:val="20"/>
          <w:szCs w:val="20"/>
          <w:highlight w:val="none"/>
          <w:lang w:val="zh-CN" w:eastAsia="zh-CN" w:bidi="ar-SA"/>
        </w:rPr>
        <w:instrText xml:space="preserve"> HYPERLINK \l _Toc7488 </w:instrTex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separate"/>
      </w:r>
      <w:r>
        <w:rPr>
          <w:rFonts w:hint="eastAsia" w:ascii="Times New Roman" w:hAnsi="Times New Roman" w:eastAsia="宋体" w:cs="Times New Roman"/>
          <w:b w:val="0"/>
          <w:bCs w:val="0"/>
          <w:i/>
          <w:iCs/>
          <w:smallCaps/>
          <w:color w:val="auto"/>
          <w:kern w:val="2"/>
          <w:sz w:val="20"/>
          <w:szCs w:val="20"/>
          <w:highlight w:val="none"/>
          <w:lang w:val="en-US" w:eastAsia="zh-CN" w:bidi="ar-SA"/>
        </w:rPr>
        <w:t>3.1 初步评审</w:t>
      </w:r>
      <w:r>
        <w:rPr>
          <w:rFonts w:hint="eastAsia" w:ascii="Times New Roman" w:hAnsi="Times New Roman" w:eastAsia="宋体" w:cs="Times New Roman"/>
          <w:b w:val="0"/>
          <w:bCs w:val="0"/>
          <w:i/>
          <w:iCs/>
          <w:smallCaps/>
          <w:color w:val="auto"/>
          <w:kern w:val="2"/>
          <w:sz w:val="20"/>
          <w:szCs w:val="20"/>
          <w:highlight w:val="none"/>
          <w:lang w:val="en-US" w:eastAsia="zh-CN" w:bidi="ar-SA"/>
        </w:rPr>
        <w:tab/>
      </w:r>
      <w:r>
        <w:rPr>
          <w:rFonts w:hint="eastAsia" w:ascii="Times New Roman" w:hAnsi="Times New Roman" w:eastAsia="宋体" w:cs="Times New Roman"/>
          <w:b w:val="0"/>
          <w:bCs w:val="0"/>
          <w:i/>
          <w:iCs/>
          <w:smallCaps/>
          <w:color w:val="auto"/>
          <w:kern w:val="2"/>
          <w:sz w:val="20"/>
          <w:szCs w:val="20"/>
          <w:highlight w:val="none"/>
          <w:lang w:val="en-US" w:eastAsia="zh-CN" w:bidi="ar-SA"/>
        </w:rPr>
        <w:t>3</w: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end"/>
      </w:r>
      <w:r>
        <w:rPr>
          <w:rFonts w:hint="eastAsia" w:ascii="Times New Roman" w:hAnsi="Times New Roman" w:eastAsia="宋体" w:cs="Times New Roman"/>
          <w:b w:val="0"/>
          <w:bCs w:val="0"/>
          <w:i/>
          <w:iCs/>
          <w:smallCaps/>
          <w:color w:val="auto"/>
          <w:kern w:val="2"/>
          <w:sz w:val="20"/>
          <w:szCs w:val="20"/>
          <w:highlight w:val="none"/>
          <w:lang w:val="en-US" w:eastAsia="zh-CN" w:bidi="ar-SA"/>
        </w:rPr>
        <w:t>8</w:t>
      </w:r>
    </w:p>
    <w:p w14:paraId="1DA545D9">
      <w:pPr>
        <w:pStyle w:val="22"/>
        <w:tabs>
          <w:tab w:val="right" w:leader="dot" w:pos="9469"/>
        </w:tabs>
        <w:rPr>
          <w:rFonts w:hint="eastAsia" w:ascii="Times New Roman" w:hAnsi="Times New Roman" w:eastAsia="宋体" w:cs="Times New Roman"/>
          <w:b w:val="0"/>
          <w:bCs w:val="0"/>
          <w:i/>
          <w:iCs/>
          <w:smallCaps/>
          <w:color w:val="auto"/>
          <w:kern w:val="2"/>
          <w:sz w:val="20"/>
          <w:szCs w:val="20"/>
          <w:highlight w:val="none"/>
          <w:lang w:val="en-US" w:eastAsia="zh-CN" w:bidi="ar-SA"/>
        </w:rPr>
      </w:pP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begin"/>
      </w:r>
      <w:r>
        <w:rPr>
          <w:rFonts w:hint="eastAsia" w:ascii="Times New Roman" w:hAnsi="Times New Roman" w:eastAsia="宋体" w:cs="Times New Roman"/>
          <w:b w:val="0"/>
          <w:bCs w:val="0"/>
          <w:i/>
          <w:iCs/>
          <w:smallCaps/>
          <w:color w:val="auto"/>
          <w:kern w:val="2"/>
          <w:sz w:val="20"/>
          <w:szCs w:val="20"/>
          <w:highlight w:val="none"/>
          <w:lang w:val="zh-CN" w:eastAsia="zh-CN" w:bidi="ar-SA"/>
        </w:rPr>
        <w:instrText xml:space="preserve"> HYPERLINK \l _Toc19822 </w:instrTex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separate"/>
      </w:r>
      <w:r>
        <w:rPr>
          <w:rFonts w:hint="eastAsia" w:ascii="Times New Roman" w:hAnsi="Times New Roman" w:eastAsia="宋体" w:cs="Times New Roman"/>
          <w:b w:val="0"/>
          <w:bCs w:val="0"/>
          <w:i/>
          <w:iCs/>
          <w:smallCaps/>
          <w:color w:val="auto"/>
          <w:kern w:val="2"/>
          <w:sz w:val="20"/>
          <w:szCs w:val="20"/>
          <w:highlight w:val="none"/>
          <w:lang w:val="en-US" w:eastAsia="zh-CN" w:bidi="ar-SA"/>
        </w:rPr>
        <w:t>3.2 详细评审</w:t>
      </w:r>
      <w:r>
        <w:rPr>
          <w:rFonts w:hint="eastAsia" w:ascii="Times New Roman" w:hAnsi="Times New Roman" w:eastAsia="宋体" w:cs="Times New Roman"/>
          <w:b w:val="0"/>
          <w:bCs w:val="0"/>
          <w:i/>
          <w:iCs/>
          <w:smallCaps/>
          <w:color w:val="auto"/>
          <w:kern w:val="2"/>
          <w:sz w:val="20"/>
          <w:szCs w:val="20"/>
          <w:highlight w:val="none"/>
          <w:lang w:val="en-US" w:eastAsia="zh-CN" w:bidi="ar-SA"/>
        </w:rPr>
        <w:tab/>
      </w:r>
      <w:r>
        <w:rPr>
          <w:rFonts w:hint="eastAsia" w:ascii="Times New Roman" w:hAnsi="Times New Roman" w:eastAsia="宋体" w:cs="Times New Roman"/>
          <w:b w:val="0"/>
          <w:bCs w:val="0"/>
          <w:i/>
          <w:iCs/>
          <w:smallCaps/>
          <w:color w:val="auto"/>
          <w:kern w:val="2"/>
          <w:sz w:val="20"/>
          <w:szCs w:val="20"/>
          <w:highlight w:val="none"/>
          <w:lang w:val="en-US" w:eastAsia="zh-CN" w:bidi="ar-SA"/>
        </w:rPr>
        <w:t>3</w: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end"/>
      </w:r>
      <w:r>
        <w:rPr>
          <w:rFonts w:hint="eastAsia" w:ascii="Times New Roman" w:hAnsi="Times New Roman" w:eastAsia="宋体" w:cs="Times New Roman"/>
          <w:b w:val="0"/>
          <w:bCs w:val="0"/>
          <w:i/>
          <w:iCs/>
          <w:smallCaps/>
          <w:color w:val="auto"/>
          <w:kern w:val="2"/>
          <w:sz w:val="20"/>
          <w:szCs w:val="20"/>
          <w:highlight w:val="none"/>
          <w:lang w:val="en-US" w:eastAsia="zh-CN" w:bidi="ar-SA"/>
        </w:rPr>
        <w:t>9</w:t>
      </w:r>
    </w:p>
    <w:p w14:paraId="460B37CA">
      <w:pPr>
        <w:pStyle w:val="22"/>
        <w:tabs>
          <w:tab w:val="right" w:leader="dot" w:pos="9469"/>
        </w:tabs>
        <w:rPr>
          <w:rFonts w:hint="default" w:ascii="Times New Roman" w:hAnsi="Times New Roman" w:eastAsia="宋体" w:cs="Times New Roman"/>
          <w:b w:val="0"/>
          <w:bCs w:val="0"/>
          <w:i/>
          <w:iCs/>
          <w:smallCaps/>
          <w:color w:val="auto"/>
          <w:kern w:val="2"/>
          <w:sz w:val="20"/>
          <w:szCs w:val="20"/>
          <w:highlight w:val="none"/>
          <w:lang w:val="en-US" w:eastAsia="zh-CN" w:bidi="ar-SA"/>
        </w:rPr>
      </w:pP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begin"/>
      </w:r>
      <w:r>
        <w:rPr>
          <w:rFonts w:hint="eastAsia" w:ascii="Times New Roman" w:hAnsi="Times New Roman" w:eastAsia="宋体" w:cs="Times New Roman"/>
          <w:b w:val="0"/>
          <w:bCs w:val="0"/>
          <w:i/>
          <w:iCs/>
          <w:smallCaps/>
          <w:color w:val="auto"/>
          <w:kern w:val="2"/>
          <w:sz w:val="20"/>
          <w:szCs w:val="20"/>
          <w:highlight w:val="none"/>
          <w:lang w:val="zh-CN" w:eastAsia="zh-CN" w:bidi="ar-SA"/>
        </w:rPr>
        <w:instrText xml:space="preserve"> HYPERLINK \l _Toc17063 </w:instrTex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separate"/>
      </w:r>
      <w:r>
        <w:rPr>
          <w:rFonts w:hint="eastAsia" w:ascii="Times New Roman" w:hAnsi="Times New Roman" w:eastAsia="宋体" w:cs="Times New Roman"/>
          <w:b w:val="0"/>
          <w:bCs w:val="0"/>
          <w:i/>
          <w:iCs/>
          <w:smallCaps/>
          <w:color w:val="auto"/>
          <w:kern w:val="2"/>
          <w:sz w:val="20"/>
          <w:szCs w:val="20"/>
          <w:highlight w:val="none"/>
          <w:lang w:val="en-US" w:eastAsia="zh-CN" w:bidi="ar-SA"/>
        </w:rPr>
        <w:t>3.3 投标文件的澄清和补正</w:t>
      </w:r>
      <w:r>
        <w:rPr>
          <w:rFonts w:hint="eastAsia" w:ascii="Times New Roman" w:hAnsi="Times New Roman" w:eastAsia="宋体" w:cs="Times New Roman"/>
          <w:b w:val="0"/>
          <w:bCs w:val="0"/>
          <w:i/>
          <w:iCs/>
          <w:smallCaps/>
          <w:color w:val="auto"/>
          <w:kern w:val="2"/>
          <w:sz w:val="20"/>
          <w:szCs w:val="20"/>
          <w:highlight w:val="none"/>
          <w:lang w:val="en-US" w:eastAsia="zh-CN" w:bidi="ar-SA"/>
        </w:rPr>
        <w:tab/>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end"/>
      </w:r>
      <w:r>
        <w:rPr>
          <w:rFonts w:hint="eastAsia" w:ascii="Times New Roman" w:hAnsi="Times New Roman" w:eastAsia="宋体" w:cs="Times New Roman"/>
          <w:b w:val="0"/>
          <w:bCs w:val="0"/>
          <w:i/>
          <w:iCs/>
          <w:smallCaps/>
          <w:color w:val="auto"/>
          <w:kern w:val="2"/>
          <w:sz w:val="20"/>
          <w:szCs w:val="20"/>
          <w:highlight w:val="none"/>
          <w:lang w:val="en-US" w:eastAsia="zh-CN" w:bidi="ar-SA"/>
        </w:rPr>
        <w:t>39</w:t>
      </w:r>
    </w:p>
    <w:p w14:paraId="0E40DFA8">
      <w:pPr>
        <w:pStyle w:val="22"/>
        <w:tabs>
          <w:tab w:val="right" w:leader="dot" w:pos="9469"/>
        </w:tabs>
        <w:rPr>
          <w:rFonts w:hint="eastAsia" w:eastAsia="宋体"/>
          <w:color w:val="auto"/>
          <w:highlight w:val="none"/>
          <w:lang w:val="en-US" w:eastAsia="zh-CN"/>
        </w:rPr>
      </w:pP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begin"/>
      </w:r>
      <w:r>
        <w:rPr>
          <w:rFonts w:hint="eastAsia" w:ascii="Times New Roman" w:hAnsi="Times New Roman" w:eastAsia="宋体" w:cs="Times New Roman"/>
          <w:b w:val="0"/>
          <w:bCs w:val="0"/>
          <w:i/>
          <w:iCs/>
          <w:smallCaps/>
          <w:color w:val="auto"/>
          <w:kern w:val="2"/>
          <w:sz w:val="20"/>
          <w:szCs w:val="20"/>
          <w:highlight w:val="none"/>
          <w:lang w:val="zh-CN" w:eastAsia="zh-CN" w:bidi="ar-SA"/>
        </w:rPr>
        <w:instrText xml:space="preserve"> HYPERLINK \l _Toc3616 </w:instrTex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separate"/>
      </w:r>
      <w:r>
        <w:rPr>
          <w:rFonts w:hint="eastAsia" w:ascii="Times New Roman" w:hAnsi="Times New Roman" w:eastAsia="宋体" w:cs="Times New Roman"/>
          <w:b w:val="0"/>
          <w:bCs w:val="0"/>
          <w:i/>
          <w:iCs/>
          <w:smallCaps/>
          <w:color w:val="auto"/>
          <w:kern w:val="2"/>
          <w:sz w:val="20"/>
          <w:szCs w:val="20"/>
          <w:highlight w:val="none"/>
          <w:lang w:val="en-US" w:eastAsia="zh-CN" w:bidi="ar-SA"/>
        </w:rPr>
        <w:t>3.4 评标结果</w:t>
      </w:r>
      <w:r>
        <w:rPr>
          <w:rFonts w:hint="eastAsia" w:ascii="Times New Roman" w:hAnsi="Times New Roman" w:eastAsia="宋体" w:cs="Times New Roman"/>
          <w:b w:val="0"/>
          <w:bCs w:val="0"/>
          <w:i/>
          <w:iCs/>
          <w:smallCaps/>
          <w:color w:val="auto"/>
          <w:kern w:val="2"/>
          <w:sz w:val="20"/>
          <w:szCs w:val="20"/>
          <w:highlight w:val="none"/>
          <w:lang w:val="en-US" w:eastAsia="zh-CN" w:bidi="ar-SA"/>
        </w:rPr>
        <w:tab/>
      </w:r>
      <w:r>
        <w:rPr>
          <w:rFonts w:hint="eastAsia" w:ascii="Times New Roman" w:hAnsi="Times New Roman" w:eastAsia="宋体" w:cs="Times New Roman"/>
          <w:b w:val="0"/>
          <w:bCs w:val="0"/>
          <w:i/>
          <w:iCs/>
          <w:smallCaps/>
          <w:color w:val="auto"/>
          <w:kern w:val="2"/>
          <w:sz w:val="20"/>
          <w:szCs w:val="20"/>
          <w:highlight w:val="none"/>
          <w:lang w:val="en-US" w:eastAsia="zh-CN" w:bidi="ar-SA"/>
        </w:rPr>
        <w:t>3</w:t>
      </w:r>
      <w:r>
        <w:rPr>
          <w:rFonts w:hint="eastAsia" w:ascii="Times New Roman" w:hAnsi="Times New Roman" w:eastAsia="宋体" w:cs="Times New Roman"/>
          <w:b w:val="0"/>
          <w:bCs w:val="0"/>
          <w:i/>
          <w:iCs/>
          <w:smallCaps/>
          <w:color w:val="auto"/>
          <w:kern w:val="2"/>
          <w:sz w:val="20"/>
          <w:szCs w:val="20"/>
          <w:highlight w:val="none"/>
          <w:lang w:val="zh-CN" w:eastAsia="zh-CN" w:bidi="ar-SA"/>
        </w:rPr>
        <w:fldChar w:fldCharType="end"/>
      </w:r>
      <w:r>
        <w:rPr>
          <w:rFonts w:hint="eastAsia" w:ascii="Times New Roman" w:hAnsi="Times New Roman" w:eastAsia="宋体" w:cs="Times New Roman"/>
          <w:b w:val="0"/>
          <w:bCs w:val="0"/>
          <w:i/>
          <w:iCs/>
          <w:smallCaps/>
          <w:color w:val="auto"/>
          <w:kern w:val="2"/>
          <w:sz w:val="20"/>
          <w:szCs w:val="20"/>
          <w:highlight w:val="none"/>
          <w:lang w:val="en-US" w:eastAsia="zh-CN" w:bidi="ar-SA"/>
        </w:rPr>
        <w:t>9</w:t>
      </w:r>
    </w:p>
    <w:p w14:paraId="4D80A242">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_Toc13564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kern w:val="0"/>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_Toc13564 \h </w:instrText>
      </w:r>
      <w:r>
        <w:rPr>
          <w:color w:val="auto"/>
          <w:highlight w:val="none"/>
        </w:rPr>
        <w:fldChar w:fldCharType="separate"/>
      </w:r>
      <w:r>
        <w:rPr>
          <w:color w:val="auto"/>
          <w:highlight w:val="none"/>
        </w:rPr>
        <w:t>42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B648E72">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_Toc17536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_Toc17536 \h </w:instrText>
      </w:r>
      <w:r>
        <w:rPr>
          <w:color w:val="auto"/>
          <w:highlight w:val="none"/>
        </w:rPr>
        <w:fldChar w:fldCharType="separate"/>
      </w:r>
      <w:r>
        <w:rPr>
          <w:color w:val="auto"/>
          <w:highlight w:val="none"/>
        </w:rPr>
        <w:t>70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0591B0">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_Toc27094 </w:instrText>
      </w:r>
      <w:r>
        <w:rPr>
          <w:rFonts w:hint="eastAsia" w:ascii="宋体" w:hAnsi="宋体" w:eastAsia="宋体" w:cs="宋体"/>
          <w:bCs/>
          <w:i w:val="0"/>
          <w:iCs w:val="0"/>
          <w:color w:val="auto"/>
          <w:szCs w:val="20"/>
          <w:highlight w:val="none"/>
          <w:lang w:val="zh-CN"/>
        </w:rPr>
        <w:fldChar w:fldCharType="separate"/>
      </w:r>
      <w:r>
        <w:rPr>
          <w:rFonts w:hint="eastAsia"/>
          <w:color w:val="auto"/>
          <w:highlight w:val="none"/>
        </w:rPr>
        <w:t xml:space="preserve">第五章 </w:t>
      </w:r>
      <w:r>
        <w:rPr>
          <w:rFonts w:hint="eastAsia" w:ascii="宋体" w:hAnsi="宋体" w:cs="宋体"/>
          <w:color w:val="auto"/>
          <w:highlight w:val="none"/>
          <w:lang w:val="en-US" w:eastAsia="zh-CN"/>
        </w:rPr>
        <w:t>项目需求</w:t>
      </w:r>
      <w:r>
        <w:rPr>
          <w:color w:val="auto"/>
          <w:highlight w:val="none"/>
        </w:rPr>
        <w:tab/>
      </w:r>
      <w:r>
        <w:rPr>
          <w:color w:val="auto"/>
          <w:highlight w:val="none"/>
        </w:rPr>
        <w:fldChar w:fldCharType="begin"/>
      </w:r>
      <w:r>
        <w:rPr>
          <w:color w:val="auto"/>
          <w:highlight w:val="none"/>
        </w:rPr>
        <w:instrText xml:space="preserve"> PAGEREF _Toc27094 \h </w:instrText>
      </w:r>
      <w:r>
        <w:rPr>
          <w:color w:val="auto"/>
          <w:highlight w:val="none"/>
        </w:rPr>
        <w:fldChar w:fldCharType="separate"/>
      </w:r>
      <w:r>
        <w:rPr>
          <w:color w:val="auto"/>
          <w:highlight w:val="none"/>
        </w:rPr>
        <w:t>71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A4B179">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_Toc7586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_Toc7586 \h </w:instrText>
      </w:r>
      <w:r>
        <w:rPr>
          <w:color w:val="auto"/>
          <w:highlight w:val="none"/>
        </w:rPr>
        <w:fldChar w:fldCharType="separate"/>
      </w:r>
      <w:r>
        <w:rPr>
          <w:color w:val="auto"/>
          <w:highlight w:val="none"/>
        </w:rPr>
        <w:t>72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FC0F0A2">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_Toc30854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_Toc30854 \h </w:instrText>
      </w:r>
      <w:r>
        <w:rPr>
          <w:color w:val="auto"/>
          <w:highlight w:val="none"/>
        </w:rPr>
        <w:fldChar w:fldCharType="separate"/>
      </w:r>
      <w:r>
        <w:rPr>
          <w:color w:val="auto"/>
          <w:highlight w:val="none"/>
        </w:rPr>
        <w:t>73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727FACA">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rPr>
        <w:t>一、投标函部分</w:t>
      </w:r>
      <w:r>
        <w:rPr>
          <w:color w:val="auto"/>
          <w:highlight w:val="none"/>
        </w:rPr>
        <w:tab/>
      </w:r>
      <w:r>
        <w:rPr>
          <w:color w:val="auto"/>
          <w:highlight w:val="none"/>
        </w:rPr>
        <w:fldChar w:fldCharType="begin"/>
      </w:r>
      <w:r>
        <w:rPr>
          <w:color w:val="auto"/>
          <w:highlight w:val="none"/>
        </w:rPr>
        <w:instrText xml:space="preserve"> PAGEREF _Toc8173 \h </w:instrText>
      </w:r>
      <w:r>
        <w:rPr>
          <w:color w:val="auto"/>
          <w:highlight w:val="none"/>
        </w:rPr>
        <w:fldChar w:fldCharType="separate"/>
      </w:r>
      <w:r>
        <w:rPr>
          <w:color w:val="auto"/>
          <w:highlight w:val="none"/>
        </w:rPr>
        <w:t>76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845D07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（一）投标函</w:t>
      </w:r>
      <w:r>
        <w:rPr>
          <w:color w:val="auto"/>
          <w:highlight w:val="none"/>
        </w:rPr>
        <w:tab/>
      </w:r>
      <w:r>
        <w:rPr>
          <w:color w:val="auto"/>
          <w:highlight w:val="none"/>
        </w:rPr>
        <w:fldChar w:fldCharType="begin"/>
      </w:r>
      <w:r>
        <w:rPr>
          <w:color w:val="auto"/>
          <w:highlight w:val="none"/>
        </w:rPr>
        <w:instrText xml:space="preserve"> PAGEREF _Toc28851 \h </w:instrText>
      </w:r>
      <w:r>
        <w:rPr>
          <w:color w:val="auto"/>
          <w:highlight w:val="none"/>
        </w:rPr>
        <w:fldChar w:fldCharType="separate"/>
      </w:r>
      <w:r>
        <w:rPr>
          <w:color w:val="auto"/>
          <w:highlight w:val="none"/>
        </w:rPr>
        <w:t>78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47A7DE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_Toc7137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（二）</w:t>
      </w:r>
      <w:r>
        <w:rPr>
          <w:rFonts w:hint="eastAsia" w:ascii="宋体" w:hAnsi="宋体" w:eastAsia="宋体" w:cs="宋体"/>
          <w:bCs w:val="0"/>
          <w:color w:val="auto"/>
          <w:szCs w:val="20"/>
          <w:highlight w:val="none"/>
          <w:lang w:eastAsia="zh-CN"/>
        </w:rPr>
        <w:t>分项报价表</w:t>
      </w:r>
      <w:r>
        <w:rPr>
          <w:color w:val="auto"/>
          <w:highlight w:val="none"/>
        </w:rPr>
        <w:tab/>
      </w:r>
      <w:r>
        <w:rPr>
          <w:color w:val="auto"/>
          <w:highlight w:val="none"/>
        </w:rPr>
        <w:fldChar w:fldCharType="begin"/>
      </w:r>
      <w:r>
        <w:rPr>
          <w:color w:val="auto"/>
          <w:highlight w:val="none"/>
        </w:rPr>
        <w:instrText xml:space="preserve"> PAGEREF _Toc7137 \h </w:instrText>
      </w:r>
      <w:r>
        <w:rPr>
          <w:color w:val="auto"/>
          <w:highlight w:val="none"/>
        </w:rPr>
        <w:fldChar w:fldCharType="separate"/>
      </w:r>
      <w:r>
        <w:rPr>
          <w:color w:val="auto"/>
          <w:highlight w:val="none"/>
        </w:rPr>
        <w:t>79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E1861B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_Toc10880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（三）</w:t>
      </w:r>
      <w:r>
        <w:rPr>
          <w:rFonts w:hint="eastAsia" w:ascii="宋体" w:hAnsi="宋体" w:eastAsia="宋体" w:cs="宋体"/>
          <w:bCs w:val="0"/>
          <w:color w:val="auto"/>
          <w:szCs w:val="30"/>
          <w:highlight w:val="none"/>
        </w:rPr>
        <w:t>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_Toc10880 \h </w:instrText>
      </w:r>
      <w:r>
        <w:rPr>
          <w:color w:val="auto"/>
          <w:highlight w:val="none"/>
        </w:rPr>
        <w:fldChar w:fldCharType="separate"/>
      </w:r>
      <w:r>
        <w:rPr>
          <w:color w:val="auto"/>
          <w:highlight w:val="none"/>
        </w:rPr>
        <w:t>80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133A59">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lang w:val="en-US" w:eastAsia="zh-CN"/>
        </w:rPr>
        <w:t>二</w:t>
      </w:r>
      <w:r>
        <w:rPr>
          <w:rFonts w:hint="eastAsia" w:ascii="宋体" w:hAnsi="宋体" w:eastAsia="宋体" w:cs="宋体"/>
          <w:bCs w:val="0"/>
          <w:color w:val="auto"/>
          <w:szCs w:val="44"/>
          <w:highlight w:val="none"/>
        </w:rPr>
        <w:t>、资格审查部分</w:t>
      </w:r>
      <w:r>
        <w:rPr>
          <w:rFonts w:hint="eastAsia" w:ascii="宋体" w:hAnsi="宋体" w:cs="宋体"/>
          <w:bCs w:val="0"/>
          <w:color w:val="auto"/>
          <w:szCs w:val="44"/>
          <w:highlight w:val="none"/>
          <w:lang w:eastAsia="zh-CN"/>
        </w:rPr>
        <w:t>（含商务部分）</w:t>
      </w:r>
      <w:r>
        <w:rPr>
          <w:color w:val="auto"/>
          <w:highlight w:val="none"/>
        </w:rPr>
        <w:tab/>
      </w:r>
      <w:r>
        <w:rPr>
          <w:color w:val="auto"/>
          <w:highlight w:val="none"/>
        </w:rPr>
        <w:fldChar w:fldCharType="begin"/>
      </w:r>
      <w:r>
        <w:rPr>
          <w:color w:val="auto"/>
          <w:highlight w:val="none"/>
        </w:rPr>
        <w:instrText xml:space="preserve"> PAGEREF _Toc21530 \h </w:instrText>
      </w:r>
      <w:r>
        <w:rPr>
          <w:color w:val="auto"/>
          <w:highlight w:val="none"/>
        </w:rPr>
        <w:fldChar w:fldCharType="separate"/>
      </w:r>
      <w:r>
        <w:rPr>
          <w:color w:val="auto"/>
          <w:highlight w:val="none"/>
        </w:rPr>
        <w:t>82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905EDE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_Toc1305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30"/>
          <w:highlight w:val="none"/>
        </w:rPr>
        <w:t>（一）法定代表人身份证明或附有法定代表人身份证明的授权委托书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_Toc1305 \h </w:instrText>
      </w:r>
      <w:r>
        <w:rPr>
          <w:color w:val="auto"/>
          <w:highlight w:val="none"/>
        </w:rPr>
        <w:fldChar w:fldCharType="separate"/>
      </w:r>
      <w:r>
        <w:rPr>
          <w:color w:val="auto"/>
          <w:highlight w:val="none"/>
        </w:rPr>
        <w:t>84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4B0949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_Toc7713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w:t>
      </w:r>
      <w:r>
        <w:rPr>
          <w:rFonts w:hint="eastAsia" w:ascii="宋体" w:hAnsi="宋体" w:cs="宋体"/>
          <w:bCs w:val="0"/>
          <w:color w:val="auto"/>
          <w:highlight w:val="none"/>
          <w:lang w:val="en-US" w:eastAsia="zh-CN"/>
        </w:rPr>
        <w:t>二</w:t>
      </w:r>
      <w:r>
        <w:rPr>
          <w:rFonts w:hint="eastAsia" w:ascii="宋体" w:hAnsi="宋体" w:eastAsia="宋体" w:cs="宋体"/>
          <w:bCs w:val="0"/>
          <w:color w:val="auto"/>
          <w:highlight w:val="none"/>
        </w:rPr>
        <w:t>）投标人基本情况表</w:t>
      </w:r>
      <w:r>
        <w:rPr>
          <w:color w:val="auto"/>
          <w:highlight w:val="none"/>
        </w:rPr>
        <w:tab/>
      </w:r>
      <w:r>
        <w:rPr>
          <w:color w:val="auto"/>
          <w:highlight w:val="none"/>
        </w:rPr>
        <w:fldChar w:fldCharType="begin"/>
      </w:r>
      <w:r>
        <w:rPr>
          <w:color w:val="auto"/>
          <w:highlight w:val="none"/>
        </w:rPr>
        <w:instrText xml:space="preserve"> PAGEREF _Toc7713 \h </w:instrText>
      </w:r>
      <w:r>
        <w:rPr>
          <w:color w:val="auto"/>
          <w:highlight w:val="none"/>
        </w:rPr>
        <w:fldChar w:fldCharType="separate"/>
      </w:r>
      <w:r>
        <w:rPr>
          <w:color w:val="auto"/>
          <w:highlight w:val="none"/>
        </w:rPr>
        <w:t>86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C4B38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_Toc28334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kern w:val="2"/>
          <w:szCs w:val="32"/>
          <w:highlight w:val="none"/>
          <w:lang w:val="en-US" w:eastAsia="zh-CN" w:bidi="ar-SA"/>
        </w:rPr>
        <w:t>（</w:t>
      </w:r>
      <w:r>
        <w:rPr>
          <w:rFonts w:hint="eastAsia" w:ascii="宋体" w:hAnsi="宋体" w:cs="宋体"/>
          <w:bCs w:val="0"/>
          <w:color w:val="auto"/>
          <w:kern w:val="2"/>
          <w:szCs w:val="32"/>
          <w:highlight w:val="none"/>
          <w:lang w:val="en-US" w:eastAsia="zh-CN" w:bidi="ar-SA"/>
        </w:rPr>
        <w:t>三</w:t>
      </w:r>
      <w:r>
        <w:rPr>
          <w:rFonts w:hint="eastAsia" w:ascii="宋体" w:hAnsi="宋体" w:eastAsia="宋体" w:cs="宋体"/>
          <w:bCs w:val="0"/>
          <w:color w:val="auto"/>
          <w:kern w:val="2"/>
          <w:szCs w:val="32"/>
          <w:highlight w:val="none"/>
          <w:lang w:val="en-US" w:eastAsia="zh-CN" w:bidi="ar-SA"/>
        </w:rPr>
        <w:t>）项目经理简历表</w:t>
      </w:r>
      <w:r>
        <w:rPr>
          <w:color w:val="auto"/>
          <w:highlight w:val="none"/>
        </w:rPr>
        <w:tab/>
      </w:r>
      <w:r>
        <w:rPr>
          <w:color w:val="auto"/>
          <w:highlight w:val="none"/>
        </w:rPr>
        <w:fldChar w:fldCharType="begin"/>
      </w:r>
      <w:r>
        <w:rPr>
          <w:color w:val="auto"/>
          <w:highlight w:val="none"/>
        </w:rPr>
        <w:instrText xml:space="preserve"> PAGEREF _Toc28334 \h </w:instrText>
      </w:r>
      <w:r>
        <w:rPr>
          <w:color w:val="auto"/>
          <w:highlight w:val="none"/>
        </w:rPr>
        <w:fldChar w:fldCharType="separate"/>
      </w:r>
      <w:r>
        <w:rPr>
          <w:color w:val="auto"/>
          <w:highlight w:val="none"/>
        </w:rPr>
        <w:t>87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3E9129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四</w:t>
      </w:r>
      <w:r>
        <w:rPr>
          <w:rFonts w:hint="eastAsia" w:ascii="宋体" w:hAnsi="宋体" w:eastAsia="宋体" w:cs="宋体"/>
          <w:bCs/>
          <w:color w:val="auto"/>
          <w:kern w:val="2"/>
          <w:szCs w:val="32"/>
          <w:highlight w:val="none"/>
          <w:lang w:val="en-US" w:eastAsia="zh-CN" w:bidi="ar-SA"/>
        </w:rPr>
        <w:t>）类似项目情况表</w:t>
      </w:r>
      <w:r>
        <w:rPr>
          <w:color w:val="auto"/>
          <w:highlight w:val="none"/>
        </w:rPr>
        <w:tab/>
      </w:r>
      <w:r>
        <w:rPr>
          <w:color w:val="auto"/>
          <w:highlight w:val="none"/>
        </w:rPr>
        <w:fldChar w:fldCharType="begin"/>
      </w:r>
      <w:r>
        <w:rPr>
          <w:color w:val="auto"/>
          <w:highlight w:val="none"/>
        </w:rPr>
        <w:instrText xml:space="preserve"> PAGEREF _Toc2827 \h </w:instrText>
      </w:r>
      <w:r>
        <w:rPr>
          <w:color w:val="auto"/>
          <w:highlight w:val="none"/>
        </w:rPr>
        <w:fldChar w:fldCharType="separate"/>
      </w:r>
      <w:r>
        <w:rPr>
          <w:color w:val="auto"/>
          <w:highlight w:val="none"/>
        </w:rPr>
        <w:t>88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F9A423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_Toc10518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color w:val="auto"/>
          <w:szCs w:val="20"/>
          <w:highlight w:val="none"/>
        </w:rPr>
        <w:t>（</w:t>
      </w:r>
      <w:r>
        <w:rPr>
          <w:rFonts w:hint="eastAsia" w:ascii="宋体" w:hAnsi="宋体" w:cs="宋体"/>
          <w:color w:val="auto"/>
          <w:szCs w:val="20"/>
          <w:highlight w:val="none"/>
          <w:lang w:eastAsia="zh-CN"/>
        </w:rPr>
        <w:t>五</w:t>
      </w:r>
      <w:r>
        <w:rPr>
          <w:rFonts w:hint="eastAsia" w:ascii="宋体" w:hAnsi="宋体" w:cs="宋体"/>
          <w:color w:val="auto"/>
          <w:szCs w:val="20"/>
          <w:highlight w:val="none"/>
        </w:rPr>
        <w:t>）拟委任的其他参与项目人员汇总表</w:t>
      </w:r>
      <w:r>
        <w:rPr>
          <w:color w:val="auto"/>
          <w:highlight w:val="none"/>
        </w:rPr>
        <w:tab/>
      </w:r>
      <w:r>
        <w:rPr>
          <w:color w:val="auto"/>
          <w:highlight w:val="none"/>
        </w:rPr>
        <w:fldChar w:fldCharType="begin"/>
      </w:r>
      <w:r>
        <w:rPr>
          <w:color w:val="auto"/>
          <w:highlight w:val="none"/>
        </w:rPr>
        <w:instrText xml:space="preserve"> PAGEREF _Toc10518 \h </w:instrText>
      </w:r>
      <w:r>
        <w:rPr>
          <w:color w:val="auto"/>
          <w:highlight w:val="none"/>
        </w:rPr>
        <w:fldChar w:fldCharType="separate"/>
      </w:r>
      <w:r>
        <w:rPr>
          <w:color w:val="auto"/>
          <w:highlight w:val="none"/>
        </w:rPr>
        <w:t>89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1B9C25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六</w:t>
      </w:r>
      <w:r>
        <w:rPr>
          <w:rFonts w:hint="eastAsia" w:ascii="宋体" w:hAnsi="宋体" w:eastAsia="宋体" w:cs="宋体"/>
          <w:bCs/>
          <w:color w:val="auto"/>
          <w:kern w:val="2"/>
          <w:szCs w:val="32"/>
          <w:highlight w:val="none"/>
          <w:lang w:val="en-US" w:eastAsia="zh-CN" w:bidi="ar-SA"/>
        </w:rPr>
        <w:t>）承诺</w:t>
      </w:r>
      <w:r>
        <w:rPr>
          <w:color w:val="auto"/>
          <w:highlight w:val="none"/>
        </w:rPr>
        <w:tab/>
      </w:r>
      <w:r>
        <w:rPr>
          <w:color w:val="auto"/>
          <w:highlight w:val="none"/>
        </w:rPr>
        <w:fldChar w:fldCharType="begin"/>
      </w:r>
      <w:r>
        <w:rPr>
          <w:color w:val="auto"/>
          <w:highlight w:val="none"/>
        </w:rPr>
        <w:instrText xml:space="preserve"> PAGEREF _Toc24071 \h </w:instrText>
      </w:r>
      <w:r>
        <w:rPr>
          <w:color w:val="auto"/>
          <w:highlight w:val="none"/>
        </w:rPr>
        <w:fldChar w:fldCharType="separate"/>
      </w:r>
      <w:r>
        <w:rPr>
          <w:color w:val="auto"/>
          <w:highlight w:val="none"/>
        </w:rPr>
        <w:t>90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47E89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_Toc6317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w:t>
      </w:r>
      <w:r>
        <w:rPr>
          <w:rFonts w:hint="eastAsia" w:ascii="宋体" w:hAnsi="宋体" w:cs="宋体"/>
          <w:color w:val="auto"/>
          <w:highlight w:val="none"/>
          <w:lang w:val="en-US" w:eastAsia="zh-CN"/>
        </w:rPr>
        <w:t>七</w:t>
      </w:r>
      <w:r>
        <w:rPr>
          <w:rFonts w:hint="eastAsia" w:ascii="宋体" w:hAnsi="宋体" w:eastAsia="宋体" w:cs="宋体"/>
          <w:color w:val="auto"/>
          <w:highlight w:val="none"/>
        </w:rPr>
        <w:t>）其他资料</w:t>
      </w:r>
      <w:r>
        <w:rPr>
          <w:color w:val="auto"/>
          <w:highlight w:val="none"/>
        </w:rPr>
        <w:tab/>
      </w:r>
      <w:r>
        <w:rPr>
          <w:color w:val="auto"/>
          <w:highlight w:val="none"/>
        </w:rPr>
        <w:fldChar w:fldCharType="begin"/>
      </w:r>
      <w:r>
        <w:rPr>
          <w:color w:val="auto"/>
          <w:highlight w:val="none"/>
        </w:rPr>
        <w:instrText xml:space="preserve"> PAGEREF _Toc6317 \h </w:instrText>
      </w:r>
      <w:r>
        <w:rPr>
          <w:color w:val="auto"/>
          <w:highlight w:val="none"/>
        </w:rPr>
        <w:fldChar w:fldCharType="separate"/>
      </w:r>
      <w:r>
        <w:rPr>
          <w:color w:val="auto"/>
          <w:highlight w:val="none"/>
        </w:rPr>
        <w:t>91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467237">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44"/>
          <w:highlight w:val="none"/>
          <w:lang w:val="en-US" w:eastAsia="zh-CN" w:bidi="ar-SA"/>
        </w:rPr>
        <w:t>三、</w:t>
      </w:r>
      <w:r>
        <w:rPr>
          <w:rFonts w:hint="eastAsia" w:ascii="宋体" w:hAnsi="宋体" w:eastAsia="宋体" w:cs="宋体"/>
          <w:bCs w:val="0"/>
          <w:color w:val="auto"/>
          <w:kern w:val="0"/>
          <w:szCs w:val="44"/>
          <w:highlight w:val="none"/>
          <w:lang w:val="en-US" w:eastAsia="zh-CN" w:bidi="ar-SA"/>
        </w:rPr>
        <w:t>技术部分</w:t>
      </w:r>
      <w:r>
        <w:rPr>
          <w:color w:val="auto"/>
          <w:highlight w:val="none"/>
        </w:rPr>
        <w:tab/>
      </w:r>
      <w:r>
        <w:rPr>
          <w:color w:val="auto"/>
          <w:highlight w:val="none"/>
        </w:rPr>
        <w:fldChar w:fldCharType="begin"/>
      </w:r>
      <w:r>
        <w:rPr>
          <w:color w:val="auto"/>
          <w:highlight w:val="none"/>
        </w:rPr>
        <w:instrText xml:space="preserve"> PAGEREF _Toc2107 \h </w:instrText>
      </w:r>
      <w:r>
        <w:rPr>
          <w:color w:val="auto"/>
          <w:highlight w:val="none"/>
        </w:rPr>
        <w:fldChar w:fldCharType="separate"/>
      </w:r>
      <w:r>
        <w:rPr>
          <w:color w:val="auto"/>
          <w:highlight w:val="none"/>
        </w:rPr>
        <w:t>96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8335A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highlight w:val="none"/>
        </w:rPr>
      </w:pPr>
      <w:r>
        <w:rPr>
          <w:rFonts w:hint="eastAsia" w:ascii="宋体" w:hAnsi="宋体" w:eastAsia="宋体" w:cs="宋体"/>
          <w:bCs/>
          <w:i w:val="0"/>
          <w:iCs w:val="0"/>
          <w:color w:val="auto"/>
          <w:szCs w:val="20"/>
          <w:highlight w:val="none"/>
          <w:lang w:val="zh-CN"/>
        </w:rPr>
        <w:fldChar w:fldCharType="end"/>
      </w:r>
    </w:p>
    <w:bookmarkEnd w:id="0"/>
    <w:p w14:paraId="46448175">
      <w:pPr>
        <w:spacing w:line="20" w:lineRule="exact"/>
        <w:rPr>
          <w:rFonts w:hint="eastAsia" w:ascii="宋体" w:hAnsi="宋体" w:eastAsia="宋体" w:cs="宋体"/>
          <w:color w:val="auto"/>
          <w:highlight w:val="none"/>
        </w:rPr>
      </w:pPr>
      <w:bookmarkStart w:id="7" w:name="_Toc430530414"/>
    </w:p>
    <w:p w14:paraId="0A7E0685">
      <w:pPr>
        <w:spacing w:line="20" w:lineRule="exact"/>
        <w:jc w:val="left"/>
        <w:rPr>
          <w:rFonts w:hint="eastAsia" w:ascii="宋体" w:hAnsi="宋体" w:eastAsia="宋体" w:cs="宋体"/>
          <w:color w:val="auto"/>
          <w:highlight w:val="none"/>
        </w:rPr>
        <w:sectPr>
          <w:footerReference r:id="rId4" w:type="default"/>
          <w:pgSz w:w="11907" w:h="16840"/>
          <w:pgMar w:top="1304" w:right="1134" w:bottom="1304" w:left="1304" w:header="851" w:footer="992" w:gutter="0"/>
          <w:pgNumType w:fmt="numberInDash" w:start="1"/>
          <w:cols w:space="720" w:num="1"/>
          <w:docGrid w:linePitch="312" w:charSpace="0"/>
        </w:sectPr>
      </w:pPr>
    </w:p>
    <w:bookmarkEnd w:id="7"/>
    <w:p w14:paraId="7EDD131B">
      <w:pPr>
        <w:spacing w:line="360" w:lineRule="auto"/>
        <w:rPr>
          <w:rFonts w:hint="eastAsia" w:ascii="宋体" w:hAnsi="宋体" w:eastAsia="宋体" w:cs="宋体"/>
          <w:color w:val="auto"/>
          <w:highlight w:val="none"/>
        </w:rPr>
      </w:pPr>
    </w:p>
    <w:p w14:paraId="640AA8C1">
      <w:pPr>
        <w:pStyle w:val="3"/>
        <w:spacing w:before="0" w:after="0" w:line="480" w:lineRule="auto"/>
        <w:jc w:val="center"/>
        <w:rPr>
          <w:rFonts w:hint="eastAsia" w:ascii="宋体" w:hAnsi="宋体" w:eastAsia="宋体" w:cs="宋体"/>
          <w:color w:val="auto"/>
          <w:sz w:val="52"/>
          <w:szCs w:val="52"/>
          <w:highlight w:val="none"/>
        </w:rPr>
      </w:pPr>
      <w:bookmarkStart w:id="8" w:name="_Toc14244"/>
      <w:bookmarkStart w:id="9" w:name="_Toc12999"/>
      <w:bookmarkStart w:id="10" w:name="_Toc409"/>
      <w:bookmarkStart w:id="11" w:name="_Toc509218690"/>
      <w:r>
        <w:rPr>
          <w:rFonts w:hint="eastAsia" w:ascii="宋体" w:hAnsi="宋体" w:eastAsia="宋体" w:cs="宋体"/>
          <w:color w:val="auto"/>
          <w:sz w:val="52"/>
          <w:szCs w:val="52"/>
          <w:highlight w:val="none"/>
        </w:rPr>
        <w:t>第 一 卷</w:t>
      </w:r>
      <w:bookmarkEnd w:id="8"/>
      <w:bookmarkEnd w:id="9"/>
      <w:bookmarkEnd w:id="10"/>
      <w:bookmarkEnd w:id="11"/>
    </w:p>
    <w:p w14:paraId="23F2E4C3">
      <w:pPr>
        <w:spacing w:line="200" w:lineRule="exact"/>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5CA2BFB">
      <w:pPr>
        <w:pStyle w:val="3"/>
        <w:spacing w:line="360" w:lineRule="auto"/>
        <w:jc w:val="center"/>
        <w:rPr>
          <w:rFonts w:hint="eastAsia" w:ascii="宋体" w:hAnsi="宋体" w:eastAsia="宋体" w:cs="宋体"/>
          <w:snapToGrid w:val="0"/>
          <w:color w:val="auto"/>
          <w:kern w:val="0"/>
          <w:highlight w:val="none"/>
        </w:rPr>
      </w:pPr>
      <w:bookmarkStart w:id="12" w:name="_Toc21368"/>
      <w:bookmarkStart w:id="13" w:name="_Toc287620666"/>
      <w:bookmarkStart w:id="14" w:name="_Toc224103298"/>
      <w:bookmarkStart w:id="15" w:name="_Toc509218691"/>
      <w:bookmarkStart w:id="16" w:name="_Toc23509"/>
      <w:bookmarkStart w:id="17" w:name="_Toc31282"/>
      <w:bookmarkStart w:id="18" w:name="_Toc430530415"/>
      <w:bookmarkStart w:id="19" w:name="_Toc277082535"/>
      <w:bookmarkStart w:id="20" w:name="_Toc287607727"/>
      <w:r>
        <w:rPr>
          <w:rFonts w:hint="eastAsia" w:ascii="宋体" w:hAnsi="宋体" w:eastAsia="宋体" w:cs="宋体"/>
          <w:snapToGrid w:val="0"/>
          <w:color w:val="auto"/>
          <w:kern w:val="0"/>
          <w:highlight w:val="none"/>
        </w:rPr>
        <w:t>第一章  招标公告</w:t>
      </w:r>
      <w:bookmarkEnd w:id="12"/>
      <w:bookmarkEnd w:id="13"/>
      <w:bookmarkEnd w:id="14"/>
      <w:bookmarkEnd w:id="15"/>
      <w:bookmarkEnd w:id="16"/>
      <w:bookmarkEnd w:id="17"/>
      <w:bookmarkEnd w:id="18"/>
      <w:bookmarkEnd w:id="19"/>
      <w:bookmarkEnd w:id="20"/>
    </w:p>
    <w:p w14:paraId="7122DC54">
      <w:pPr>
        <w:autoSpaceDE w:val="0"/>
        <w:autoSpaceDN w:val="0"/>
        <w:adjustRightInd w:val="0"/>
        <w:snapToGrid w:val="0"/>
        <w:spacing w:beforeLines="0" w:afterLines="0" w:line="360" w:lineRule="auto"/>
        <w:jc w:val="center"/>
        <w:rPr>
          <w:rFonts w:hint="eastAsia" w:ascii="宋体" w:hAnsi="宋体" w:cs="宋体"/>
          <w:b/>
          <w:bCs/>
          <w:snapToGrid w:val="0"/>
          <w:color w:val="auto"/>
          <w:kern w:val="0"/>
          <w:sz w:val="28"/>
          <w:szCs w:val="28"/>
          <w:highlight w:val="none"/>
          <w:u w:val="single"/>
          <w:lang w:eastAsia="zh-CN"/>
        </w:rPr>
      </w:pPr>
      <w:r>
        <w:rPr>
          <w:rFonts w:hint="eastAsia" w:ascii="宋体" w:hAnsi="宋体" w:cs="宋体"/>
          <w:b/>
          <w:bCs/>
          <w:snapToGrid w:val="0"/>
          <w:color w:val="auto"/>
          <w:kern w:val="0"/>
          <w:sz w:val="28"/>
          <w:szCs w:val="28"/>
          <w:highlight w:val="none"/>
          <w:u w:val="single"/>
          <w:lang w:eastAsia="zh-CN"/>
        </w:rPr>
        <w:t>渝湘复线巴水段监控系统软件升级改造二次开发服务（第二次）</w:t>
      </w:r>
    </w:p>
    <w:p w14:paraId="6E1099CA">
      <w:pPr>
        <w:autoSpaceDE w:val="0"/>
        <w:autoSpaceDN w:val="0"/>
        <w:adjustRightInd w:val="0"/>
        <w:snapToGrid w:val="0"/>
        <w:spacing w:beforeLines="0" w:afterLines="0" w:line="360" w:lineRule="auto"/>
        <w:jc w:val="center"/>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w w:val="100"/>
          <w:kern w:val="0"/>
          <w:sz w:val="28"/>
          <w:szCs w:val="28"/>
          <w:highlight w:val="none"/>
          <w:u w:val="none"/>
          <w:lang w:eastAsia="zh-CN"/>
        </w:rPr>
        <w:t>招标</w:t>
      </w:r>
      <w:r>
        <w:rPr>
          <w:rFonts w:hint="eastAsia" w:ascii="宋体" w:hAnsi="宋体" w:eastAsia="宋体" w:cs="宋体"/>
          <w:b/>
          <w:bCs/>
          <w:snapToGrid w:val="0"/>
          <w:color w:val="auto"/>
          <w:w w:val="100"/>
          <w:kern w:val="0"/>
          <w:sz w:val="28"/>
          <w:szCs w:val="28"/>
          <w:highlight w:val="none"/>
          <w:u w:val="none"/>
        </w:rPr>
        <w:t>公告</w:t>
      </w:r>
    </w:p>
    <w:p w14:paraId="30076557">
      <w:pPr>
        <w:rPr>
          <w:rFonts w:hint="eastAsia"/>
          <w:color w:val="auto"/>
          <w:highlight w:val="none"/>
        </w:rPr>
      </w:pPr>
      <w:bookmarkStart w:id="21" w:name="_Toc200359427"/>
      <w:bookmarkStart w:id="22" w:name="_Toc509218692"/>
      <w:bookmarkStart w:id="23" w:name="_Toc277082536"/>
      <w:bookmarkStart w:id="24" w:name="_Toc287620667"/>
      <w:bookmarkStart w:id="25" w:name="_Toc287607728"/>
      <w:bookmarkStart w:id="26" w:name="_Toc224103299"/>
      <w:bookmarkStart w:id="27" w:name="_Toc200359238"/>
      <w:bookmarkStart w:id="28" w:name="_Toc430530416"/>
    </w:p>
    <w:p w14:paraId="04069505">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29" w:name="_Toc22858"/>
      <w:bookmarkStart w:id="30" w:name="_Toc22530"/>
      <w:bookmarkStart w:id="31" w:name="_Toc21063"/>
      <w:bookmarkStart w:id="32" w:name="_Toc26108"/>
      <w:bookmarkStart w:id="33" w:name="_Toc24358"/>
      <w:r>
        <w:rPr>
          <w:rFonts w:hint="eastAsia" w:ascii="宋体" w:hAnsi="宋体" w:eastAsia="宋体" w:cs="宋体"/>
          <w:snapToGrid w:val="0"/>
          <w:color w:val="auto"/>
          <w:sz w:val="21"/>
          <w:szCs w:val="21"/>
          <w:highlight w:val="none"/>
        </w:rPr>
        <w:t>1.招标条件</w:t>
      </w:r>
      <w:bookmarkEnd w:id="21"/>
      <w:bookmarkEnd w:id="22"/>
      <w:bookmarkEnd w:id="23"/>
      <w:bookmarkEnd w:id="24"/>
      <w:bookmarkEnd w:id="25"/>
      <w:bookmarkEnd w:id="26"/>
      <w:bookmarkEnd w:id="27"/>
      <w:bookmarkEnd w:id="28"/>
      <w:bookmarkEnd w:id="29"/>
      <w:bookmarkEnd w:id="30"/>
      <w:bookmarkEnd w:id="31"/>
      <w:bookmarkEnd w:id="32"/>
      <w:bookmarkEnd w:id="33"/>
    </w:p>
    <w:p w14:paraId="5ECD3FA4">
      <w:pPr>
        <w:keepNext/>
        <w:keepLines/>
        <w:pageBreakBefore w:val="0"/>
        <w:widowControl w:val="0"/>
        <w:kinsoku/>
        <w:wordWrap/>
        <w:overflowPunct/>
        <w:topLinePunct w:val="0"/>
        <w:autoSpaceDE/>
        <w:autoSpaceDN/>
        <w:bidi w:val="0"/>
        <w:adjustRightInd w:val="0"/>
        <w:snapToGrid w:val="0"/>
        <w:spacing w:before="0" w:beforeLines="0" w:after="0" w:afterLines="0" w:line="360" w:lineRule="auto"/>
        <w:ind w:firstLine="420" w:firstLineChars="200"/>
        <w:textAlignment w:val="auto"/>
        <w:outlineLvl w:val="9"/>
        <w:rPr>
          <w:rFonts w:hint="eastAsia" w:ascii="宋体" w:hAnsi="宋体" w:cs="宋体"/>
          <w:snapToGrid w:val="0"/>
          <w:color w:val="auto"/>
          <w:sz w:val="21"/>
          <w:szCs w:val="21"/>
          <w:highlight w:val="none"/>
          <w:lang w:eastAsia="zh-CN"/>
        </w:rPr>
      </w:pPr>
      <w:bookmarkStart w:id="34" w:name="_Toc8718"/>
      <w:bookmarkStart w:id="35" w:name="_Toc5939"/>
      <w:bookmarkStart w:id="36" w:name="_Toc22265"/>
      <w:bookmarkStart w:id="37" w:name="_Toc31803"/>
      <w:r>
        <w:rPr>
          <w:rFonts w:hint="eastAsia" w:ascii="宋体" w:hAnsi="宋体" w:eastAsia="宋体" w:cs="宋体"/>
          <w:b w:val="0"/>
          <w:bCs w:val="0"/>
          <w:snapToGrid w:val="0"/>
          <w:color w:val="auto"/>
          <w:kern w:val="0"/>
          <w:sz w:val="21"/>
          <w:szCs w:val="21"/>
          <w:highlight w:val="none"/>
        </w:rPr>
        <w:t>本招标项目</w:t>
      </w:r>
      <w:r>
        <w:rPr>
          <w:rFonts w:hint="eastAsia" w:ascii="宋体" w:hAnsi="宋体" w:cs="宋体"/>
          <w:b w:val="0"/>
          <w:bCs w:val="0"/>
          <w:snapToGrid w:val="0"/>
          <w:color w:val="auto"/>
          <w:kern w:val="0"/>
          <w:sz w:val="21"/>
          <w:szCs w:val="21"/>
          <w:highlight w:val="none"/>
          <w:u w:val="single"/>
          <w:lang w:eastAsia="zh-CN"/>
        </w:rPr>
        <w:t>渝湘复线巴水段监控系统软件升级改造二次开发服务（第二次）</w:t>
      </w:r>
      <w:r>
        <w:rPr>
          <w:rFonts w:hint="eastAsia" w:ascii="宋体" w:hAnsi="宋体" w:eastAsia="宋体" w:cs="宋体"/>
          <w:b w:val="0"/>
          <w:bCs w:val="0"/>
          <w:snapToGrid w:val="0"/>
          <w:color w:val="auto"/>
          <w:kern w:val="0"/>
          <w:sz w:val="21"/>
          <w:szCs w:val="21"/>
          <w:highlight w:val="none"/>
          <w:u w:val="none"/>
          <w:lang w:val="en-US" w:eastAsia="zh-CN"/>
        </w:rPr>
        <w:t>已具</w:t>
      </w:r>
      <w:r>
        <w:rPr>
          <w:rFonts w:hint="eastAsia" w:ascii="宋体" w:hAnsi="宋体" w:eastAsia="宋体" w:cs="宋体"/>
          <w:b w:val="0"/>
          <w:bCs w:val="0"/>
          <w:snapToGrid w:val="0"/>
          <w:color w:val="auto"/>
          <w:kern w:val="0"/>
          <w:sz w:val="21"/>
          <w:szCs w:val="21"/>
          <w:highlight w:val="none"/>
          <w:lang w:val="en-US" w:eastAsia="zh-CN"/>
        </w:rPr>
        <w:t>备采购条件</w:t>
      </w:r>
      <w:r>
        <w:rPr>
          <w:rFonts w:hint="eastAsia" w:ascii="宋体" w:hAnsi="宋体" w:eastAsia="宋体" w:cs="宋体"/>
          <w:b w:val="0"/>
          <w:bCs w:val="0"/>
          <w:snapToGrid w:val="0"/>
          <w:color w:val="auto"/>
          <w:kern w:val="0"/>
          <w:sz w:val="21"/>
          <w:szCs w:val="21"/>
          <w:highlight w:val="none"/>
        </w:rPr>
        <w:t>，项目</w:t>
      </w:r>
      <w:r>
        <w:rPr>
          <w:rFonts w:hint="eastAsia" w:ascii="宋体" w:hAnsi="宋体" w:eastAsia="宋体" w:cs="宋体"/>
          <w:b w:val="0"/>
          <w:bCs w:val="0"/>
          <w:snapToGrid w:val="0"/>
          <w:color w:val="auto"/>
          <w:kern w:val="0"/>
          <w:sz w:val="21"/>
          <w:szCs w:val="21"/>
          <w:highlight w:val="none"/>
          <w:lang w:eastAsia="zh-CN"/>
        </w:rPr>
        <w:t>业主</w:t>
      </w:r>
      <w:r>
        <w:rPr>
          <w:rFonts w:hint="eastAsia" w:ascii="宋体" w:hAnsi="宋体" w:eastAsia="宋体" w:cs="宋体"/>
          <w:b w:val="0"/>
          <w:bCs w:val="0"/>
          <w:snapToGrid w:val="0"/>
          <w:color w:val="auto"/>
          <w:kern w:val="0"/>
          <w:sz w:val="21"/>
          <w:szCs w:val="21"/>
          <w:highlight w:val="none"/>
        </w:rPr>
        <w:t>为</w:t>
      </w:r>
      <w:r>
        <w:rPr>
          <w:rFonts w:hint="eastAsia" w:ascii="宋体" w:hAnsi="宋体" w:eastAsia="宋体" w:cs="宋体"/>
          <w:b w:val="0"/>
          <w:bCs w:val="0"/>
          <w:snapToGrid w:val="0"/>
          <w:color w:val="auto"/>
          <w:kern w:val="0"/>
          <w:sz w:val="21"/>
          <w:szCs w:val="21"/>
          <w:highlight w:val="none"/>
          <w:u w:val="single"/>
        </w:rPr>
        <w:t>重庆渝湘复线高速公路有限公司</w:t>
      </w:r>
      <w:r>
        <w:rPr>
          <w:rFonts w:hint="eastAsia" w:ascii="宋体" w:hAnsi="宋体" w:eastAsia="宋体" w:cs="宋体"/>
          <w:b w:val="0"/>
          <w:bCs w:val="0"/>
          <w:snapToGrid w:val="0"/>
          <w:color w:val="auto"/>
          <w:kern w:val="0"/>
          <w:sz w:val="21"/>
          <w:szCs w:val="21"/>
          <w:highlight w:val="none"/>
        </w:rPr>
        <w:t>，招标项目资金已落实，招标人为</w:t>
      </w:r>
      <w:r>
        <w:rPr>
          <w:rFonts w:hint="eastAsia" w:ascii="宋体" w:hAnsi="宋体" w:eastAsia="宋体" w:cs="宋体"/>
          <w:b w:val="0"/>
          <w:bCs w:val="0"/>
          <w:snapToGrid w:val="0"/>
          <w:color w:val="auto"/>
          <w:kern w:val="0"/>
          <w:sz w:val="21"/>
          <w:szCs w:val="21"/>
          <w:highlight w:val="none"/>
          <w:u w:val="single"/>
          <w:lang w:val="en-US" w:eastAsia="zh-CN"/>
        </w:rPr>
        <w:t>重庆首讯科技股份有限公司</w:t>
      </w:r>
      <w:r>
        <w:rPr>
          <w:rFonts w:hint="eastAsia" w:ascii="宋体" w:hAnsi="宋体" w:eastAsia="宋体" w:cs="宋体"/>
          <w:b w:val="0"/>
          <w:bCs w:val="0"/>
          <w:snapToGrid w:val="0"/>
          <w:color w:val="auto"/>
          <w:kern w:val="0"/>
          <w:position w:val="-2"/>
          <w:sz w:val="21"/>
          <w:szCs w:val="21"/>
          <w:highlight w:val="none"/>
        </w:rPr>
        <w:t>。项目已具备招标条件，现对</w:t>
      </w:r>
      <w:r>
        <w:rPr>
          <w:rFonts w:hint="eastAsia" w:ascii="宋体" w:hAnsi="宋体" w:cs="宋体"/>
          <w:b w:val="0"/>
          <w:bCs w:val="0"/>
          <w:snapToGrid w:val="0"/>
          <w:color w:val="auto"/>
          <w:kern w:val="0"/>
          <w:position w:val="-2"/>
          <w:sz w:val="21"/>
          <w:szCs w:val="21"/>
          <w:highlight w:val="none"/>
          <w:u w:val="single"/>
          <w:lang w:val="en-US" w:eastAsia="zh-CN"/>
        </w:rPr>
        <w:t>渝湘复线巴水段监控系统软件升级改造二次开发服务（第二次）</w:t>
      </w:r>
      <w:r>
        <w:rPr>
          <w:rFonts w:hint="eastAsia" w:ascii="宋体" w:hAnsi="宋体" w:eastAsia="宋体" w:cs="宋体"/>
          <w:b w:val="0"/>
          <w:bCs w:val="0"/>
          <w:snapToGrid w:val="0"/>
          <w:color w:val="auto"/>
          <w:kern w:val="0"/>
          <w:position w:val="-2"/>
          <w:sz w:val="21"/>
          <w:szCs w:val="21"/>
          <w:highlight w:val="none"/>
        </w:rPr>
        <w:t>进行公开</w:t>
      </w:r>
      <w:r>
        <w:rPr>
          <w:rFonts w:hint="eastAsia" w:ascii="宋体" w:hAnsi="宋体" w:eastAsia="宋体" w:cs="宋体"/>
          <w:b w:val="0"/>
          <w:bCs w:val="0"/>
          <w:snapToGrid w:val="0"/>
          <w:color w:val="auto"/>
          <w:kern w:val="0"/>
          <w:position w:val="-2"/>
          <w:sz w:val="21"/>
          <w:szCs w:val="21"/>
          <w:highlight w:val="none"/>
          <w:lang w:eastAsia="zh-CN"/>
        </w:rPr>
        <w:t>招标</w:t>
      </w:r>
      <w:r>
        <w:rPr>
          <w:rFonts w:hint="eastAsia" w:ascii="宋体" w:hAnsi="宋体" w:eastAsia="宋体" w:cs="宋体"/>
          <w:b w:val="0"/>
          <w:bCs w:val="0"/>
          <w:snapToGrid w:val="0"/>
          <w:color w:val="auto"/>
          <w:kern w:val="0"/>
          <w:position w:val="-2"/>
          <w:sz w:val="21"/>
          <w:szCs w:val="21"/>
          <w:highlight w:val="none"/>
        </w:rPr>
        <w:t>。</w:t>
      </w:r>
      <w:bookmarkEnd w:id="34"/>
      <w:bookmarkEnd w:id="35"/>
      <w:bookmarkEnd w:id="36"/>
      <w:bookmarkEnd w:id="37"/>
      <w:bookmarkStart w:id="38" w:name="_Toc430530418"/>
      <w:bookmarkStart w:id="39" w:name="_Toc277082538"/>
      <w:bookmarkStart w:id="40" w:name="_Toc200359240"/>
      <w:bookmarkStart w:id="41" w:name="_Toc287620669"/>
      <w:bookmarkStart w:id="42" w:name="_Toc200359429"/>
      <w:bookmarkStart w:id="43" w:name="_Toc1880"/>
      <w:bookmarkStart w:id="44" w:name="_Toc287607730"/>
      <w:bookmarkStart w:id="45" w:name="_Toc509218694"/>
      <w:bookmarkStart w:id="46" w:name="_Toc224103301"/>
      <w:bookmarkStart w:id="47" w:name="_Toc4567"/>
    </w:p>
    <w:p w14:paraId="3EF30144">
      <w:pPr>
        <w:pStyle w:val="4"/>
        <w:adjustRightInd w:val="0"/>
        <w:snapToGrid w:val="0"/>
        <w:spacing w:before="0" w:beforeLines="0" w:after="0" w:afterLines="0" w:line="360" w:lineRule="auto"/>
        <w:rPr>
          <w:rFonts w:hint="default" w:ascii="宋体" w:hAnsi="宋体" w:eastAsia="宋体" w:cs="宋体"/>
          <w:snapToGrid w:val="0"/>
          <w:color w:val="auto"/>
          <w:sz w:val="21"/>
          <w:szCs w:val="21"/>
          <w:highlight w:val="none"/>
          <w:lang w:val="en-US" w:eastAsia="zh-CN"/>
        </w:rPr>
      </w:pPr>
      <w:bookmarkStart w:id="48" w:name="_Toc23855"/>
      <w:bookmarkStart w:id="49" w:name="_Toc30127"/>
      <w:bookmarkStart w:id="50" w:name="_Toc9663"/>
      <w:r>
        <w:rPr>
          <w:rFonts w:hint="eastAsia" w:ascii="宋体" w:hAnsi="宋体" w:cs="宋体"/>
          <w:snapToGrid w:val="0"/>
          <w:color w:val="auto"/>
          <w:sz w:val="21"/>
          <w:szCs w:val="21"/>
          <w:highlight w:val="none"/>
          <w:lang w:eastAsia="zh-CN"/>
        </w:rPr>
        <w:t>2</w:t>
      </w:r>
      <w:r>
        <w:rPr>
          <w:rFonts w:hint="eastAsia" w:ascii="宋体" w:hAnsi="宋体" w:eastAsia="宋体" w:cs="宋体"/>
          <w:snapToGrid w:val="0"/>
          <w:color w:val="auto"/>
          <w:sz w:val="21"/>
          <w:szCs w:val="21"/>
          <w:highlight w:val="none"/>
        </w:rPr>
        <w:t>.项目概况与招标范围</w:t>
      </w:r>
      <w:bookmarkEnd w:id="48"/>
      <w:bookmarkEnd w:id="49"/>
      <w:bookmarkEnd w:id="50"/>
      <w:r>
        <w:rPr>
          <w:rFonts w:hint="eastAsia" w:ascii="宋体" w:hAnsi="宋体" w:cs="宋体"/>
          <w:snapToGrid w:val="0"/>
          <w:color w:val="auto"/>
          <w:sz w:val="21"/>
          <w:szCs w:val="21"/>
          <w:highlight w:val="none"/>
          <w:lang w:val="en-US" w:eastAsia="zh-CN"/>
        </w:rPr>
        <w:t xml:space="preserve">  </w:t>
      </w:r>
    </w:p>
    <w:p w14:paraId="313D69FA">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lang w:val="en-US" w:eastAsia="zh-CN"/>
        </w:rPr>
        <w:t>重庆市。</w:t>
      </w:r>
    </w:p>
    <w:p w14:paraId="2A63CF29">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lang w:eastAsia="zh-CN"/>
        </w:rPr>
        <w:t>：为达到渝湘复线高速公路机电工程数字化、智能化建设目标。现升级渝湘复线巴水段监控系统架构：构建后端插件化与前端微前端框架，同步实现设备通信协议适配及驾驶舱需求开发。为保障工期及质量，拟采购一家专业化单位进行开发</w:t>
      </w:r>
      <w:r>
        <w:rPr>
          <w:rFonts w:hint="eastAsia" w:ascii="宋体" w:hAnsi="宋体" w:cs="宋体"/>
          <w:snapToGrid w:val="0"/>
          <w:color w:val="auto"/>
          <w:kern w:val="0"/>
          <w:szCs w:val="21"/>
          <w:highlight w:val="none"/>
          <w:lang w:eastAsia="zh-CN"/>
        </w:rPr>
        <w:t>。</w:t>
      </w:r>
    </w:p>
    <w:p w14:paraId="5A641F41">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2.3 本次招标项目合同估算金额：</w:t>
      </w:r>
      <w:r>
        <w:rPr>
          <w:rFonts w:hint="eastAsia" w:ascii="宋体" w:hAnsi="宋体" w:cs="宋体"/>
          <w:snapToGrid w:val="0"/>
          <w:color w:val="auto"/>
          <w:kern w:val="0"/>
          <w:sz w:val="21"/>
          <w:szCs w:val="21"/>
          <w:highlight w:val="none"/>
          <w:u w:val="none"/>
          <w:lang w:val="en-US" w:eastAsia="zh-CN" w:bidi="ar"/>
        </w:rPr>
        <w:t>250.09</w:t>
      </w:r>
      <w:r>
        <w:rPr>
          <w:rFonts w:hint="eastAsia" w:ascii="宋体" w:hAnsi="宋体" w:eastAsia="宋体" w:cs="宋体"/>
          <w:snapToGrid w:val="0"/>
          <w:color w:val="auto"/>
          <w:kern w:val="0"/>
          <w:sz w:val="21"/>
          <w:szCs w:val="21"/>
          <w:highlight w:val="none"/>
          <w:u w:val="none"/>
          <w:lang w:bidi="ar"/>
        </w:rPr>
        <w:t>万</w:t>
      </w:r>
      <w:r>
        <w:rPr>
          <w:rFonts w:hint="eastAsia" w:ascii="宋体" w:hAnsi="宋体" w:cs="宋体"/>
          <w:snapToGrid w:val="0"/>
          <w:color w:val="auto"/>
          <w:kern w:val="0"/>
          <w:szCs w:val="21"/>
          <w:highlight w:val="none"/>
          <w:u w:val="none"/>
          <w:lang w:val="en-US" w:eastAsia="zh-CN"/>
        </w:rPr>
        <w:t>元</w:t>
      </w:r>
      <w:r>
        <w:rPr>
          <w:rFonts w:hint="eastAsia" w:ascii="宋体" w:hAnsi="宋体" w:eastAsia="宋体" w:cs="宋体"/>
          <w:snapToGrid w:val="0"/>
          <w:color w:val="auto"/>
          <w:kern w:val="0"/>
          <w:szCs w:val="21"/>
          <w:highlight w:val="none"/>
          <w:u w:val="none"/>
          <w:lang w:eastAsia="zh-CN"/>
        </w:rPr>
        <w:t>。</w:t>
      </w:r>
    </w:p>
    <w:p w14:paraId="1B6F5CD1">
      <w:pPr>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2.4 招标范围：包括系统相关功能模块开发，架构优化、遥测设备故障自检、个性化需求定制开发等内容。</w:t>
      </w:r>
    </w:p>
    <w:p w14:paraId="0DD714C8">
      <w:pPr>
        <w:adjustRightInd w:val="0"/>
        <w:snapToGrid w:val="0"/>
        <w:spacing w:beforeLines="0" w:afterLines="0" w:line="360" w:lineRule="auto"/>
        <w:ind w:firstLine="420" w:firstLineChars="200"/>
        <w:rPr>
          <w:rFonts w:hint="eastAsia" w:ascii="宋体" w:hAnsi="宋体" w:eastAsia="宋体" w:cs="宋体"/>
          <w:color w:val="auto"/>
          <w:kern w:val="0"/>
          <w:szCs w:val="21"/>
          <w:highlight w:val="none"/>
          <w:u w:val="none"/>
          <w:lang w:val="en-US" w:eastAsia="zh-CN"/>
        </w:rPr>
      </w:pPr>
      <w:r>
        <w:rPr>
          <w:rFonts w:hint="eastAsia" w:ascii="宋体" w:hAnsi="宋体" w:eastAsia="宋体" w:cs="宋体"/>
          <w:snapToGrid w:val="0"/>
          <w:color w:val="auto"/>
          <w:kern w:val="0"/>
          <w:szCs w:val="21"/>
          <w:highlight w:val="none"/>
        </w:rPr>
        <w:t xml:space="preserve">2.5 </w:t>
      </w:r>
      <w:r>
        <w:rPr>
          <w:rFonts w:hint="eastAsia" w:ascii="宋体" w:hAnsi="宋体" w:eastAsia="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预计开发周期为2个月，具体进场服务时间</w:t>
      </w:r>
      <w:r>
        <w:rPr>
          <w:rFonts w:hint="eastAsia" w:ascii="宋体" w:hAnsi="宋体" w:eastAsia="宋体" w:cs="宋体"/>
          <w:snapToGrid w:val="0"/>
          <w:color w:val="auto"/>
          <w:kern w:val="0"/>
          <w:szCs w:val="21"/>
          <w:highlight w:val="none"/>
          <w:u w:val="none"/>
        </w:rPr>
        <w:t>以甲方实际下达的通知为准</w:t>
      </w:r>
      <w:r>
        <w:rPr>
          <w:rFonts w:hint="eastAsia" w:ascii="宋体" w:hAnsi="宋体" w:eastAsia="宋体" w:cs="宋体"/>
          <w:color w:val="auto"/>
          <w:kern w:val="0"/>
          <w:szCs w:val="21"/>
          <w:highlight w:val="none"/>
          <w:u w:val="none"/>
          <w:lang w:val="en-US" w:eastAsia="zh-CN"/>
        </w:rPr>
        <w:t xml:space="preserve">。       </w:t>
      </w:r>
    </w:p>
    <w:p w14:paraId="512AB56D">
      <w:pPr>
        <w:tabs>
          <w:tab w:val="left" w:pos="3840"/>
          <w:tab w:val="left" w:pos="5300"/>
        </w:tabs>
        <w:autoSpaceDE w:val="0"/>
        <w:autoSpaceDN w:val="0"/>
        <w:adjustRightInd w:val="0"/>
        <w:snapToGrid w:val="0"/>
        <w:spacing w:beforeLines="0" w:afterLines="0" w:line="360" w:lineRule="auto"/>
        <w:ind w:firstLine="420" w:firstLineChars="200"/>
        <w:jc w:val="left"/>
        <w:rPr>
          <w:rFonts w:hint="default" w:ascii="Times New Roman" w:hAnsi="Times New Roman" w:eastAsia="宋体" w:cs="Times New Roman"/>
          <w:color w:val="auto"/>
          <w:sz w:val="21"/>
          <w:szCs w:val="24"/>
          <w:highlight w:val="none"/>
        </w:rPr>
      </w:pPr>
      <w:r>
        <w:rPr>
          <w:rFonts w:hint="eastAsia" w:ascii="宋体" w:hAnsi="宋体" w:eastAsia="宋体" w:cs="宋体"/>
          <w:color w:val="auto"/>
          <w:kern w:val="0"/>
          <w:szCs w:val="21"/>
          <w:highlight w:val="none"/>
          <w:u w:val="none"/>
          <w:lang w:val="en-US" w:eastAsia="zh-CN"/>
        </w:rPr>
        <w:t>2.6 服务地点：招标人指定地点。</w:t>
      </w:r>
    </w:p>
    <w:bookmarkEnd w:id="38"/>
    <w:bookmarkEnd w:id="39"/>
    <w:bookmarkEnd w:id="40"/>
    <w:bookmarkEnd w:id="41"/>
    <w:bookmarkEnd w:id="42"/>
    <w:bookmarkEnd w:id="43"/>
    <w:bookmarkEnd w:id="44"/>
    <w:bookmarkEnd w:id="45"/>
    <w:bookmarkEnd w:id="46"/>
    <w:bookmarkEnd w:id="47"/>
    <w:p w14:paraId="181A9C83">
      <w:pPr>
        <w:pStyle w:val="4"/>
        <w:spacing w:before="0" w:after="0" w:line="360" w:lineRule="auto"/>
        <w:ind w:firstLine="0" w:firstLineChars="0"/>
        <w:rPr>
          <w:rFonts w:hint="eastAsia" w:ascii="宋体" w:hAnsi="宋体" w:eastAsia="宋体" w:cs="宋体"/>
          <w:snapToGrid w:val="0"/>
          <w:color w:val="auto"/>
          <w:sz w:val="21"/>
          <w:szCs w:val="21"/>
          <w:highlight w:val="none"/>
        </w:rPr>
      </w:pPr>
      <w:bookmarkStart w:id="51" w:name="_Toc30428"/>
      <w:bookmarkStart w:id="52" w:name="_Toc16173"/>
      <w:bookmarkStart w:id="53" w:name="_Toc18561"/>
      <w:bookmarkStart w:id="54" w:name="_Toc287620670"/>
      <w:bookmarkStart w:id="55" w:name="_Toc430530419"/>
      <w:bookmarkStart w:id="56" w:name="_Toc509218695"/>
      <w:bookmarkStart w:id="57" w:name="_Toc27747"/>
      <w:bookmarkStart w:id="58" w:name="_Toc19500"/>
      <w:bookmarkStart w:id="59" w:name="_Toc200359241"/>
      <w:bookmarkStart w:id="60" w:name="_Toc277082539"/>
      <w:bookmarkStart w:id="61" w:name="_Toc200359430"/>
      <w:bookmarkStart w:id="62" w:name="_Toc224103302"/>
      <w:bookmarkStart w:id="63" w:name="_Toc287607731"/>
      <w:r>
        <w:rPr>
          <w:rFonts w:hint="eastAsia" w:ascii="宋体" w:hAnsi="宋体" w:cs="宋体"/>
          <w:snapToGrid w:val="0"/>
          <w:color w:val="auto"/>
          <w:sz w:val="21"/>
          <w:szCs w:val="21"/>
          <w:highlight w:val="none"/>
          <w:lang w:eastAsia="zh-CN"/>
        </w:rPr>
        <w:t>3</w:t>
      </w:r>
      <w:r>
        <w:rPr>
          <w:rFonts w:hint="eastAsia" w:ascii="宋体" w:hAnsi="宋体" w:eastAsia="宋体" w:cs="宋体"/>
          <w:snapToGrid w:val="0"/>
          <w:color w:val="auto"/>
          <w:sz w:val="21"/>
          <w:szCs w:val="21"/>
          <w:highlight w:val="none"/>
        </w:rPr>
        <w:t>.投标人资格要求</w:t>
      </w:r>
      <w:bookmarkEnd w:id="51"/>
      <w:bookmarkEnd w:id="52"/>
      <w:bookmarkEnd w:id="53"/>
    </w:p>
    <w:p w14:paraId="02302037">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14:paraId="40E20CF8">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14:paraId="582B4B1F">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lang w:eastAsia="zh-CN"/>
        </w:rPr>
      </w:pPr>
      <w:r>
        <w:rPr>
          <w:rFonts w:hint="eastAsia" w:ascii="宋体" w:hAnsi="宋体" w:eastAsia="宋体" w:cs="宋体"/>
          <w:snapToGrid w:val="0"/>
          <w:color w:val="auto"/>
          <w:kern w:val="0"/>
          <w:szCs w:val="21"/>
          <w:highlight w:val="none"/>
          <w:u w:val="single"/>
        </w:rPr>
        <w:t>具有独立法人资格；</w:t>
      </w:r>
    </w:p>
    <w:p w14:paraId="700F9948">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i w:val="0"/>
          <w:snapToGrid w:val="0"/>
          <w:color w:val="auto"/>
          <w:kern w:val="0"/>
          <w:szCs w:val="21"/>
          <w:highlight w:val="none"/>
          <w:u w:val="single"/>
        </w:rPr>
      </w:pPr>
      <w:r>
        <w:rPr>
          <w:rFonts w:hint="eastAsia" w:ascii="宋体" w:hAnsi="宋体" w:eastAsia="宋体" w:cs="宋体"/>
          <w:snapToGrid w:val="0"/>
          <w:color w:val="auto"/>
          <w:kern w:val="0"/>
          <w:szCs w:val="21"/>
          <w:highlight w:val="none"/>
        </w:rPr>
        <w:t>3.1.2 本次招标要求投标人具备的业绩条件：</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rPr>
        <w:t>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cs="宋体"/>
          <w:snapToGrid w:val="0"/>
          <w:color w:val="auto"/>
          <w:kern w:val="0"/>
          <w:sz w:val="21"/>
          <w:szCs w:val="21"/>
          <w:highlight w:val="none"/>
          <w:u w:val="single"/>
          <w:lang w:val="en-US" w:eastAsia="zh-CN"/>
        </w:rPr>
        <w:t>120万</w:t>
      </w:r>
      <w:r>
        <w:rPr>
          <w:rFonts w:hint="eastAsia" w:ascii="宋体" w:hAnsi="宋体" w:eastAsia="宋体" w:cs="宋体"/>
          <w:snapToGrid w:val="0"/>
          <w:color w:val="auto"/>
          <w:kern w:val="0"/>
          <w:sz w:val="21"/>
          <w:szCs w:val="21"/>
          <w:highlight w:val="none"/>
          <w:u w:val="single"/>
          <w:lang w:val="en-US" w:eastAsia="zh-CN"/>
        </w:rPr>
        <w:t>元的信息系统服务或软件开发类业绩。</w:t>
      </w:r>
    </w:p>
    <w:p w14:paraId="06DDDE18">
      <w:pPr>
        <w:keepNext w:val="0"/>
        <w:keepLines w:val="0"/>
        <w:widowControl w:val="0"/>
        <w:suppressLineNumbers w:val="0"/>
        <w:adjustRightInd w:val="0"/>
        <w:snapToGrid w:val="0"/>
        <w:spacing w:beforeLines="0" w:after="0" w:afterLines="0" w:afterAutospacing="0" w:line="360" w:lineRule="auto"/>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3.1.3 投标人还应在人员等方面具有相应的能力，详见招标文件第二章投标人须知前附表第1.4.1项内容。</w:t>
      </w:r>
    </w:p>
    <w:p w14:paraId="6AAC5BBA">
      <w:pPr>
        <w:adjustRightInd w:val="0"/>
        <w:snapToGrid w:val="0"/>
        <w:spacing w:beforeLines="0" w:after="0" w:afterLines="0" w:line="360" w:lineRule="auto"/>
        <w:ind w:firstLine="420" w:firstLineChars="200"/>
        <w:rPr>
          <w:rFonts w:hint="eastAsia" w:ascii="宋体" w:hAnsi="宋体" w:eastAsia="宋体" w:cs="宋体"/>
          <w:snapToGrid w:val="0"/>
          <w:color w:val="auto"/>
          <w:kern w:val="0"/>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3.2 本次招标不接受联合体投标。</w:t>
      </w:r>
    </w:p>
    <w:p w14:paraId="2F66019F">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4" w:name="_Toc16966"/>
      <w:bookmarkStart w:id="65" w:name="_Toc32232"/>
      <w:bookmarkStart w:id="66" w:name="_Toc9015"/>
      <w:r>
        <w:rPr>
          <w:rFonts w:hint="eastAsia" w:ascii="宋体" w:hAnsi="宋体" w:eastAsia="宋体" w:cs="宋体"/>
          <w:snapToGrid w:val="0"/>
          <w:color w:val="auto"/>
          <w:sz w:val="21"/>
          <w:szCs w:val="21"/>
          <w:highlight w:val="none"/>
          <w:lang w:val="en-US" w:eastAsia="zh-CN"/>
        </w:rPr>
        <w:t>4</w:t>
      </w:r>
      <w:r>
        <w:rPr>
          <w:rFonts w:hint="eastAsia" w:ascii="宋体" w:hAnsi="宋体" w:eastAsia="宋体" w:cs="宋体"/>
          <w:snapToGrid w:val="0"/>
          <w:color w:val="auto"/>
          <w:sz w:val="21"/>
          <w:szCs w:val="21"/>
          <w:highlight w:val="none"/>
        </w:rPr>
        <w:t>.招标文件的获取</w:t>
      </w:r>
      <w:bookmarkEnd w:id="54"/>
      <w:bookmarkEnd w:id="55"/>
      <w:bookmarkEnd w:id="56"/>
      <w:bookmarkEnd w:id="57"/>
      <w:bookmarkEnd w:id="58"/>
      <w:bookmarkEnd w:id="59"/>
      <w:bookmarkEnd w:id="60"/>
      <w:bookmarkEnd w:id="61"/>
      <w:bookmarkEnd w:id="62"/>
      <w:bookmarkEnd w:id="63"/>
      <w:bookmarkEnd w:id="64"/>
      <w:bookmarkEnd w:id="65"/>
      <w:bookmarkEnd w:id="66"/>
    </w:p>
    <w:p w14:paraId="4F32C19B">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4.1  凡有意参加投标者，请于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eastAsia="zh-CN"/>
        </w:rPr>
        <w:t>12</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23</w:t>
      </w:r>
      <w:r>
        <w:rPr>
          <w:rFonts w:hint="eastAsia" w:ascii="宋体" w:hAnsi="宋体" w:eastAsia="宋体" w:cs="宋体"/>
          <w:b/>
          <w:snapToGrid w:val="0"/>
          <w:color w:val="auto"/>
          <w:kern w:val="0"/>
          <w:sz w:val="21"/>
          <w:szCs w:val="21"/>
          <w:highlight w:val="none"/>
          <w:u w:val="single"/>
        </w:rPr>
        <w:t>日</w:t>
      </w:r>
      <w:r>
        <w:rPr>
          <w:rFonts w:hint="eastAsia" w:ascii="宋体" w:hAnsi="宋体" w:eastAsia="宋体" w:cs="宋体"/>
          <w:snapToGrid w:val="0"/>
          <w:color w:val="auto"/>
          <w:kern w:val="0"/>
          <w:sz w:val="21"/>
          <w:szCs w:val="21"/>
          <w:highlight w:val="none"/>
        </w:rPr>
        <w:t>（北京时间，下同）</w:t>
      </w:r>
      <w:r>
        <w:rPr>
          <w:rFonts w:hint="eastAsia" w:ascii="宋体" w:hAnsi="宋体" w:eastAsia="宋体" w:cs="宋体"/>
          <w:snapToGrid w:val="0"/>
          <w:color w:val="auto"/>
          <w:kern w:val="0"/>
          <w:sz w:val="21"/>
          <w:szCs w:val="21"/>
          <w:highlight w:val="none"/>
          <w:lang w:val="en-US" w:eastAsia="zh-CN"/>
        </w:rPr>
        <w:t>前</w:t>
      </w:r>
      <w:r>
        <w:rPr>
          <w:rFonts w:hint="eastAsia" w:ascii="宋体" w:hAnsi="宋体" w:eastAsia="宋体" w:cs="宋体"/>
          <w:snapToGrid w:val="0"/>
          <w:color w:val="auto"/>
          <w:kern w:val="0"/>
          <w:sz w:val="21"/>
          <w:szCs w:val="21"/>
          <w:highlight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 w:val="21"/>
          <w:szCs w:val="21"/>
          <w:highlight w:val="none"/>
        </w:rPr>
        <w:t>下载招标文件、清单、澄清、修改、补充通知、最高限价通知等全部内容。不管下载与否都视为潜在投标人全部知晓有关招投标过程和全部内容。</w:t>
      </w:r>
      <w:r>
        <w:rPr>
          <w:rFonts w:hint="eastAsia" w:ascii="宋体" w:hAnsi="宋体" w:eastAsia="宋体" w:cs="宋体"/>
          <w:color w:val="auto"/>
          <w:szCs w:val="21"/>
          <w:highlight w:val="none"/>
        </w:rPr>
        <w:t>本项目不需要报名，直接投标。</w:t>
      </w:r>
    </w:p>
    <w:p w14:paraId="14C55C95">
      <w:pPr>
        <w:keepNext w:val="0"/>
        <w:keepLines w:val="0"/>
        <w:pageBreakBefore w:val="0"/>
        <w:tabs>
          <w:tab w:val="left" w:pos="2420"/>
          <w:tab w:val="left" w:pos="5445"/>
        </w:tabs>
        <w:kinsoku/>
        <w:wordWrap/>
        <w:overflowPunct/>
        <w:topLinePunct w:val="0"/>
        <w:autoSpaceDE w:val="0"/>
        <w:autoSpaceDN w:val="0"/>
        <w:bidi w:val="0"/>
        <w:adjustRightInd w:val="0"/>
        <w:snapToGrid w:val="0"/>
        <w:spacing w:beforeLines="0" w:afterLines="0" w:line="360" w:lineRule="auto"/>
        <w:ind w:firstLine="420" w:firstLineChars="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4.2  投标人可</w:t>
      </w:r>
      <w:r>
        <w:rPr>
          <w:rFonts w:hint="eastAsia" w:ascii="宋体" w:hAnsi="宋体" w:eastAsia="宋体" w:cs="宋体"/>
          <w:snapToGrid w:val="0"/>
          <w:color w:val="auto"/>
          <w:kern w:val="0"/>
          <w:sz w:val="21"/>
          <w:szCs w:val="21"/>
          <w:highlight w:val="none"/>
          <w:lang w:eastAsia="zh-CN"/>
        </w:rPr>
        <w:t>以电子邮件形式对本项目</w:t>
      </w:r>
      <w:r>
        <w:rPr>
          <w:rFonts w:hint="eastAsia" w:ascii="宋体" w:hAnsi="宋体" w:eastAsia="宋体" w:cs="宋体"/>
          <w:snapToGrid w:val="0"/>
          <w:color w:val="auto"/>
          <w:kern w:val="0"/>
          <w:sz w:val="21"/>
          <w:szCs w:val="21"/>
          <w:highlight w:val="none"/>
        </w:rPr>
        <w:t>提出疑问</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提问</w:t>
      </w:r>
      <w:r>
        <w:rPr>
          <w:rFonts w:hint="eastAsia" w:ascii="宋体" w:hAnsi="宋体" w:eastAsia="宋体" w:cs="宋体"/>
          <w:snapToGrid w:val="0"/>
          <w:color w:val="auto"/>
          <w:kern w:val="0"/>
          <w:sz w:val="21"/>
          <w:szCs w:val="21"/>
          <w:highlight w:val="none"/>
          <w:lang w:eastAsia="zh-CN"/>
        </w:rPr>
        <w:t>方式为</w:t>
      </w:r>
      <w:r>
        <w:rPr>
          <w:rFonts w:hint="eastAsia" w:ascii="宋体" w:hAnsi="宋体" w:eastAsia="宋体" w:cs="宋体"/>
          <w:snapToGrid w:val="0"/>
          <w:color w:val="auto"/>
          <w:kern w:val="0"/>
          <w:szCs w:val="21"/>
          <w:highlight w:val="none"/>
          <w:lang w:val="en-US" w:eastAsia="zh-CN"/>
        </w:rPr>
        <w:t>向招标代理机构及招标人邮箱发送提问文件扫描件</w:t>
      </w:r>
      <w:r>
        <w:rPr>
          <w:rFonts w:hint="eastAsia" w:ascii="宋体" w:hAnsi="宋体" w:eastAsia="宋体" w:cs="宋体"/>
          <w:bCs w:val="0"/>
          <w:snapToGrid w:val="0"/>
          <w:color w:val="auto"/>
          <w:w w:val="100"/>
          <w:kern w:val="0"/>
          <w:sz w:val="21"/>
          <w:szCs w:val="21"/>
          <w:highlight w:val="none"/>
        </w:rPr>
        <w:t>（</w:t>
      </w:r>
      <w:r>
        <w:rPr>
          <w:rFonts w:hint="eastAsia" w:ascii="宋体" w:hAnsi="宋体" w:eastAsia="宋体" w:cs="宋体"/>
          <w:bCs w:val="0"/>
          <w:snapToGrid w:val="0"/>
          <w:color w:val="auto"/>
          <w:w w:val="100"/>
          <w:kern w:val="0"/>
          <w:sz w:val="21"/>
          <w:szCs w:val="21"/>
          <w:highlight w:val="none"/>
          <w:lang w:eastAsia="zh-CN"/>
        </w:rPr>
        <w:t>需</w:t>
      </w:r>
      <w:r>
        <w:rPr>
          <w:rFonts w:hint="eastAsia" w:ascii="宋体" w:hAnsi="宋体" w:eastAsia="宋体" w:cs="宋体"/>
          <w:bCs w:val="0"/>
          <w:snapToGrid w:val="0"/>
          <w:color w:val="auto"/>
          <w:w w:val="100"/>
          <w:kern w:val="0"/>
          <w:sz w:val="21"/>
          <w:szCs w:val="21"/>
          <w:highlight w:val="none"/>
        </w:rPr>
        <w:t>盖单位法人章）</w:t>
      </w:r>
      <w:r>
        <w:rPr>
          <w:rFonts w:hint="eastAsia" w:ascii="宋体" w:hAnsi="宋体" w:eastAsia="宋体" w:cs="宋体"/>
          <w:bCs w:val="0"/>
          <w:snapToGrid w:val="0"/>
          <w:color w:val="auto"/>
          <w:w w:val="100"/>
          <w:kern w:val="0"/>
          <w:sz w:val="21"/>
          <w:szCs w:val="21"/>
          <w:highlight w:val="none"/>
          <w:lang w:eastAsia="zh-CN"/>
        </w:rPr>
        <w:t>和可编辑电子文档，</w:t>
      </w:r>
      <w:r>
        <w:rPr>
          <w:rFonts w:hint="eastAsia" w:ascii="宋体" w:hAnsi="宋体" w:eastAsia="宋体" w:cs="宋体"/>
          <w:snapToGrid w:val="0"/>
          <w:color w:val="auto"/>
          <w:kern w:val="0"/>
          <w:sz w:val="21"/>
          <w:szCs w:val="21"/>
          <w:highlight w:val="none"/>
        </w:rPr>
        <w:t>提问时间从本公告发</w:t>
      </w:r>
      <w:r>
        <w:rPr>
          <w:rFonts w:hint="eastAsia" w:ascii="宋体" w:hAnsi="宋体" w:eastAsia="宋体" w:cs="宋体"/>
          <w:snapToGrid w:val="0"/>
          <w:color w:val="auto"/>
          <w:kern w:val="0"/>
          <w:sz w:val="21"/>
          <w:szCs w:val="21"/>
          <w:highlight w:val="none"/>
          <w:u w:val="none"/>
        </w:rPr>
        <w:t>布至</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eastAsia="zh-CN"/>
        </w:rPr>
        <w:t>12</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18</w:t>
      </w:r>
      <w:r>
        <w:rPr>
          <w:rFonts w:hint="eastAsia" w:ascii="宋体" w:hAnsi="宋体" w:eastAsia="宋体" w:cs="宋体"/>
          <w:b/>
          <w:snapToGrid w:val="0"/>
          <w:color w:val="auto"/>
          <w:kern w:val="0"/>
          <w:sz w:val="21"/>
          <w:szCs w:val="21"/>
          <w:highlight w:val="none"/>
          <w:u w:val="single"/>
        </w:rPr>
        <w:t>日</w:t>
      </w:r>
      <w:r>
        <w:rPr>
          <w:rFonts w:hint="eastAsia" w:ascii="宋体" w:hAnsi="宋体" w:cs="宋体"/>
          <w:b/>
          <w:color w:val="auto"/>
          <w:kern w:val="0"/>
          <w:sz w:val="21"/>
          <w:szCs w:val="21"/>
          <w:highlight w:val="none"/>
          <w:u w:val="none"/>
          <w:lang w:val="en-US" w:eastAsia="zh-CN"/>
        </w:rPr>
        <w:t>17</w:t>
      </w:r>
      <w:r>
        <w:rPr>
          <w:rFonts w:hint="eastAsia" w:ascii="宋体" w:hAnsi="宋体" w:eastAsia="宋体" w:cs="宋体"/>
          <w:b/>
          <w:color w:val="auto"/>
          <w:sz w:val="21"/>
          <w:szCs w:val="21"/>
          <w:highlight w:val="none"/>
          <w:u w:val="none"/>
        </w:rPr>
        <w:t>时</w:t>
      </w:r>
      <w:r>
        <w:rPr>
          <w:rFonts w:hint="eastAsia" w:ascii="宋体" w:hAnsi="宋体" w:eastAsia="宋体" w:cs="宋体"/>
          <w:b/>
          <w:color w:val="auto"/>
          <w:kern w:val="0"/>
          <w:sz w:val="21"/>
          <w:szCs w:val="21"/>
          <w:highlight w:val="none"/>
          <w:u w:val="none"/>
        </w:rPr>
        <w:t>00</w:t>
      </w:r>
      <w:r>
        <w:rPr>
          <w:rFonts w:hint="eastAsia" w:ascii="宋体" w:hAnsi="宋体" w:eastAsia="宋体" w:cs="宋体"/>
          <w:b/>
          <w:color w:val="auto"/>
          <w:sz w:val="21"/>
          <w:szCs w:val="21"/>
          <w:highlight w:val="none"/>
          <w:u w:val="none"/>
        </w:rPr>
        <w:t>分</w:t>
      </w:r>
      <w:r>
        <w:rPr>
          <w:rFonts w:hint="eastAsia" w:ascii="宋体" w:hAnsi="宋体" w:eastAsia="宋体" w:cs="宋体"/>
          <w:snapToGrid w:val="0"/>
          <w:color w:val="auto"/>
          <w:kern w:val="0"/>
          <w:sz w:val="21"/>
          <w:szCs w:val="21"/>
          <w:highlight w:val="none"/>
        </w:rPr>
        <w:t>（北京时间）前。</w:t>
      </w:r>
    </w:p>
    <w:p w14:paraId="7FFA7FC8">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highlight w:val="none"/>
        </w:rPr>
        <w:t>4.3  招标人</w:t>
      </w:r>
      <w:r>
        <w:rPr>
          <w:rFonts w:hint="eastAsia" w:ascii="宋体" w:hAnsi="宋体" w:eastAsia="宋体" w:cs="宋体"/>
          <w:snapToGrid w:val="0"/>
          <w:color w:val="auto"/>
          <w:kern w:val="0"/>
          <w:highlight w:val="none"/>
          <w:u w:val="none"/>
        </w:rPr>
        <w:t>应于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eastAsia="zh-CN"/>
        </w:rPr>
        <w:t>12</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19</w:t>
      </w:r>
      <w:r>
        <w:rPr>
          <w:rFonts w:hint="eastAsia" w:ascii="宋体" w:hAnsi="宋体" w:eastAsia="宋体" w:cs="宋体"/>
          <w:b/>
          <w:snapToGrid w:val="0"/>
          <w:color w:val="auto"/>
          <w:kern w:val="0"/>
          <w:sz w:val="21"/>
          <w:szCs w:val="21"/>
          <w:highlight w:val="none"/>
          <w:u w:val="single"/>
        </w:rPr>
        <w:t>日</w:t>
      </w:r>
      <w:r>
        <w:rPr>
          <w:rFonts w:hint="eastAsia" w:ascii="宋体" w:hAnsi="宋体" w:cs="宋体"/>
          <w:b/>
          <w:color w:val="auto"/>
          <w:kern w:val="0"/>
          <w:highlight w:val="none"/>
          <w:u w:val="none"/>
          <w:lang w:val="en-US" w:eastAsia="zh-CN"/>
        </w:rPr>
        <w:t>18</w:t>
      </w:r>
      <w:r>
        <w:rPr>
          <w:rFonts w:hint="eastAsia" w:ascii="宋体" w:hAnsi="宋体" w:eastAsia="宋体" w:cs="宋体"/>
          <w:b/>
          <w:color w:val="auto"/>
          <w:highlight w:val="none"/>
          <w:u w:val="none"/>
        </w:rPr>
        <w:t>时</w:t>
      </w:r>
      <w:r>
        <w:rPr>
          <w:rFonts w:hint="eastAsia" w:ascii="宋体" w:hAnsi="宋体" w:eastAsia="宋体" w:cs="宋体"/>
          <w:b/>
          <w:color w:val="auto"/>
          <w:kern w:val="0"/>
          <w:highlight w:val="none"/>
          <w:u w:val="none"/>
        </w:rPr>
        <w:t>00</w:t>
      </w:r>
      <w:r>
        <w:rPr>
          <w:rFonts w:hint="eastAsia" w:ascii="宋体" w:hAnsi="宋体" w:eastAsia="宋体" w:cs="宋体"/>
          <w:b/>
          <w:color w:val="auto"/>
          <w:highlight w:val="none"/>
          <w:u w:val="none"/>
        </w:rPr>
        <w:t>分</w:t>
      </w:r>
      <w:r>
        <w:rPr>
          <w:rFonts w:hint="eastAsia" w:ascii="宋体" w:hAnsi="宋体" w:eastAsia="宋体" w:cs="宋体"/>
          <w:snapToGrid w:val="0"/>
          <w:color w:val="auto"/>
          <w:kern w:val="0"/>
          <w:highlight w:val="none"/>
        </w:rPr>
        <w:t>（北京时间）前在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highlight w:val="none"/>
        </w:rPr>
        <w:t>发布澄清。</w:t>
      </w:r>
    </w:p>
    <w:p w14:paraId="3DE854A7">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7" w:name="_Toc287607732"/>
      <w:bookmarkStart w:id="68" w:name="_Toc200359242"/>
      <w:bookmarkStart w:id="69" w:name="_Toc224103303"/>
      <w:bookmarkStart w:id="70" w:name="_Toc10765"/>
      <w:bookmarkStart w:id="71" w:name="_Toc1705"/>
      <w:bookmarkStart w:id="72" w:name="_Toc21555"/>
      <w:bookmarkStart w:id="73" w:name="_Toc287620671"/>
      <w:bookmarkStart w:id="74" w:name="_Toc277082540"/>
      <w:bookmarkStart w:id="75" w:name="_Toc509218696"/>
      <w:bookmarkStart w:id="76" w:name="_Toc2044"/>
      <w:bookmarkStart w:id="77" w:name="_Toc430530420"/>
      <w:bookmarkStart w:id="78" w:name="_Toc25858"/>
      <w:bookmarkStart w:id="79" w:name="_Toc200359431"/>
      <w:r>
        <w:rPr>
          <w:rFonts w:hint="eastAsia" w:ascii="宋体" w:hAnsi="宋体" w:eastAsia="宋体" w:cs="宋体"/>
          <w:snapToGrid w:val="0"/>
          <w:color w:val="auto"/>
          <w:sz w:val="21"/>
          <w:szCs w:val="21"/>
          <w:highlight w:val="none"/>
          <w:lang w:val="en-US" w:eastAsia="zh-CN"/>
        </w:rPr>
        <w:t>5</w:t>
      </w:r>
      <w:r>
        <w:rPr>
          <w:rFonts w:hint="eastAsia" w:ascii="宋体" w:hAnsi="宋体" w:eastAsia="宋体" w:cs="宋体"/>
          <w:snapToGrid w:val="0"/>
          <w:color w:val="auto"/>
          <w:sz w:val="21"/>
          <w:szCs w:val="21"/>
          <w:highlight w:val="none"/>
        </w:rPr>
        <w:t>.投标文件的递交</w:t>
      </w:r>
      <w:bookmarkEnd w:id="67"/>
      <w:bookmarkEnd w:id="68"/>
      <w:bookmarkEnd w:id="69"/>
      <w:bookmarkEnd w:id="70"/>
      <w:bookmarkEnd w:id="71"/>
      <w:bookmarkEnd w:id="72"/>
      <w:bookmarkEnd w:id="73"/>
      <w:bookmarkEnd w:id="74"/>
      <w:bookmarkEnd w:id="75"/>
      <w:bookmarkEnd w:id="76"/>
      <w:bookmarkEnd w:id="77"/>
      <w:bookmarkEnd w:id="78"/>
      <w:bookmarkEnd w:id="79"/>
    </w:p>
    <w:p w14:paraId="09A0E65A">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5.1投标截止时间和开标</w:t>
      </w:r>
      <w:r>
        <w:rPr>
          <w:rFonts w:hint="eastAsia" w:ascii="宋体" w:hAnsi="宋体" w:eastAsia="宋体" w:cs="宋体"/>
          <w:color w:val="auto"/>
          <w:szCs w:val="21"/>
          <w:highlight w:val="none"/>
          <w:u w:val="none"/>
        </w:rPr>
        <w:t>时间：</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eastAsia="zh-CN"/>
        </w:rPr>
        <w:t>12</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23</w:t>
      </w:r>
      <w:r>
        <w:rPr>
          <w:rFonts w:hint="eastAsia" w:ascii="宋体" w:hAnsi="宋体" w:eastAsia="宋体" w:cs="宋体"/>
          <w:b/>
          <w:snapToGrid w:val="0"/>
          <w:color w:val="auto"/>
          <w:kern w:val="0"/>
          <w:sz w:val="21"/>
          <w:szCs w:val="21"/>
          <w:highlight w:val="none"/>
          <w:u w:val="single"/>
        </w:rPr>
        <w:t>日</w:t>
      </w:r>
      <w:r>
        <w:rPr>
          <w:rFonts w:hint="eastAsia" w:ascii="宋体" w:hAnsi="宋体" w:cs="宋体"/>
          <w:b/>
          <w:snapToGrid w:val="0"/>
          <w:color w:val="auto"/>
          <w:kern w:val="0"/>
          <w:sz w:val="21"/>
          <w:szCs w:val="21"/>
          <w:highlight w:val="none"/>
          <w:lang w:val="en-US" w:eastAsia="zh-CN"/>
        </w:rPr>
        <w:t>11</w:t>
      </w:r>
      <w:r>
        <w:rPr>
          <w:rFonts w:hint="eastAsia" w:ascii="宋体" w:hAnsi="宋体" w:eastAsia="宋体" w:cs="宋体"/>
          <w:b/>
          <w:bCs/>
          <w:color w:val="auto"/>
          <w:szCs w:val="21"/>
          <w:highlight w:val="none"/>
          <w:u w:val="none"/>
        </w:rPr>
        <w:t>时</w:t>
      </w:r>
      <w:r>
        <w:rPr>
          <w:rFonts w:hint="eastAsia" w:ascii="宋体" w:hAnsi="宋体" w:eastAsia="宋体" w:cs="宋体"/>
          <w:b/>
          <w:bCs/>
          <w:color w:val="auto"/>
          <w:szCs w:val="21"/>
          <w:highlight w:val="none"/>
          <w:u w:val="none"/>
          <w:lang w:val="en-US" w:eastAsia="zh-CN"/>
        </w:rPr>
        <w:t>00</w:t>
      </w:r>
      <w:r>
        <w:rPr>
          <w:rFonts w:hint="eastAsia" w:ascii="宋体" w:hAnsi="宋体" w:eastAsia="宋体" w:cs="宋体"/>
          <w:b/>
          <w:bCs/>
          <w:color w:val="auto"/>
          <w:szCs w:val="21"/>
          <w:highlight w:val="none"/>
          <w:u w:val="none"/>
        </w:rPr>
        <w:t>分</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rPr>
        <w:t>北京时间）。</w:t>
      </w:r>
    </w:p>
    <w:p w14:paraId="2373824B">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5.2投标地点和开标地点：</w:t>
      </w:r>
      <w:r>
        <w:rPr>
          <w:rFonts w:hint="eastAsia" w:ascii="宋体" w:hAnsi="宋体" w:eastAsia="宋体" w:cs="宋体"/>
          <w:color w:val="auto"/>
          <w:szCs w:val="21"/>
          <w:highlight w:val="none"/>
          <w:lang w:eastAsia="zh-CN"/>
        </w:rPr>
        <w:t>重庆市江北区五简路2号重庆咨询大厦A座负一楼开标厅(重咨大厦车库入口旁的原工商银行网点位置)，可见开标当日开标厅指示牌。</w:t>
      </w:r>
    </w:p>
    <w:p w14:paraId="5F8BE340">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5.3逾期送达、或未送达指定地点、或未按招标文件要求密封的投标文件，招标人将予以拒收。</w:t>
      </w:r>
    </w:p>
    <w:p w14:paraId="3F68509E">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80" w:name="_Toc509218697"/>
      <w:bookmarkStart w:id="81" w:name="_Toc287620672"/>
      <w:bookmarkStart w:id="82" w:name="_Toc6456"/>
      <w:bookmarkStart w:id="83" w:name="_Toc277082541"/>
      <w:bookmarkStart w:id="84" w:name="_Toc32448"/>
      <w:bookmarkStart w:id="85" w:name="_Toc224103304"/>
      <w:bookmarkStart w:id="86" w:name="_Toc18804"/>
      <w:bookmarkStart w:id="87" w:name="_Toc287607733"/>
      <w:bookmarkStart w:id="88" w:name="_Toc23111"/>
      <w:bookmarkStart w:id="89" w:name="_Toc200359432"/>
      <w:bookmarkStart w:id="90" w:name="_Toc430530421"/>
      <w:bookmarkStart w:id="91" w:name="_Toc3985"/>
      <w:bookmarkStart w:id="92" w:name="_Toc200359243"/>
      <w:r>
        <w:rPr>
          <w:rFonts w:hint="eastAsia" w:ascii="宋体" w:hAnsi="宋体" w:eastAsia="宋体" w:cs="宋体"/>
          <w:snapToGrid w:val="0"/>
          <w:color w:val="auto"/>
          <w:sz w:val="21"/>
          <w:szCs w:val="21"/>
          <w:highlight w:val="none"/>
          <w:lang w:val="en-US" w:eastAsia="zh-CN"/>
        </w:rPr>
        <w:t>6</w:t>
      </w:r>
      <w:r>
        <w:rPr>
          <w:rFonts w:hint="eastAsia" w:ascii="宋体" w:hAnsi="宋体" w:eastAsia="宋体" w:cs="宋体"/>
          <w:snapToGrid w:val="0"/>
          <w:color w:val="auto"/>
          <w:sz w:val="21"/>
          <w:szCs w:val="21"/>
          <w:highlight w:val="none"/>
        </w:rPr>
        <w:t>.发布公告的媒介</w:t>
      </w:r>
      <w:bookmarkEnd w:id="80"/>
      <w:bookmarkEnd w:id="81"/>
      <w:bookmarkEnd w:id="82"/>
      <w:bookmarkEnd w:id="83"/>
      <w:bookmarkEnd w:id="84"/>
      <w:bookmarkEnd w:id="85"/>
      <w:bookmarkEnd w:id="86"/>
      <w:bookmarkEnd w:id="87"/>
      <w:bookmarkEnd w:id="88"/>
      <w:bookmarkEnd w:id="89"/>
      <w:bookmarkEnd w:id="90"/>
      <w:bookmarkEnd w:id="91"/>
      <w:bookmarkEnd w:id="92"/>
    </w:p>
    <w:p w14:paraId="6D99F3E7">
      <w:pPr>
        <w:tabs>
          <w:tab w:val="left" w:pos="4950"/>
        </w:tabs>
        <w:autoSpaceDE w:val="0"/>
        <w:autoSpaceDN w:val="0"/>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本次招标公告同时在</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rPr>
        <w:t>上发布。</w:t>
      </w:r>
    </w:p>
    <w:p w14:paraId="7C15486C">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93" w:name="_Toc287607734"/>
      <w:bookmarkStart w:id="94" w:name="_Toc25922"/>
      <w:bookmarkStart w:id="95" w:name="_Toc509218698"/>
      <w:bookmarkStart w:id="96" w:name="_Toc22409"/>
      <w:bookmarkStart w:id="97" w:name="_Toc224103305"/>
      <w:bookmarkStart w:id="98" w:name="_Toc31408"/>
      <w:bookmarkStart w:id="99" w:name="_Toc31214"/>
      <w:bookmarkStart w:id="100" w:name="_Toc430530422"/>
      <w:bookmarkStart w:id="101" w:name="_Toc12930"/>
      <w:bookmarkStart w:id="102" w:name="_Toc287620673"/>
      <w:bookmarkStart w:id="103" w:name="_Toc277082542"/>
      <w:r>
        <w:rPr>
          <w:rFonts w:hint="eastAsia" w:ascii="宋体" w:hAnsi="宋体" w:eastAsia="宋体" w:cs="宋体"/>
          <w:snapToGrid w:val="0"/>
          <w:color w:val="auto"/>
          <w:sz w:val="21"/>
          <w:szCs w:val="21"/>
          <w:highlight w:val="none"/>
          <w:lang w:val="en-US" w:eastAsia="zh-CN"/>
        </w:rPr>
        <w:t>7</w:t>
      </w:r>
      <w:r>
        <w:rPr>
          <w:rFonts w:hint="eastAsia" w:ascii="宋体" w:hAnsi="宋体" w:eastAsia="宋体" w:cs="宋体"/>
          <w:snapToGrid w:val="0"/>
          <w:color w:val="auto"/>
          <w:sz w:val="21"/>
          <w:szCs w:val="21"/>
          <w:highlight w:val="none"/>
        </w:rPr>
        <w:t>.联系方式</w:t>
      </w:r>
      <w:bookmarkEnd w:id="93"/>
      <w:bookmarkEnd w:id="94"/>
      <w:bookmarkEnd w:id="95"/>
      <w:bookmarkEnd w:id="96"/>
      <w:bookmarkEnd w:id="97"/>
      <w:bookmarkEnd w:id="98"/>
      <w:bookmarkEnd w:id="99"/>
      <w:bookmarkEnd w:id="100"/>
      <w:bookmarkEnd w:id="101"/>
      <w:bookmarkEnd w:id="102"/>
      <w:bookmarkEnd w:id="103"/>
    </w:p>
    <w:p w14:paraId="2A3067F8">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招 标 人： 重庆首讯科技股份有限公司         </w:t>
      </w:r>
    </w:p>
    <w:p w14:paraId="5B45082C">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地    址： 重庆市渝北区龙溪街道新南路52号   </w:t>
      </w:r>
    </w:p>
    <w:p w14:paraId="391FE3A5">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联 系 人： 刘老师                          </w:t>
      </w:r>
    </w:p>
    <w:p w14:paraId="2D444C0E">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    话： 023-63131274                    </w:t>
      </w:r>
    </w:p>
    <w:p w14:paraId="05DD613A">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电子邮件： sxliudong@cegc.com.cn </w:t>
      </w:r>
    </w:p>
    <w:p w14:paraId="274EE1C5">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p>
    <w:p w14:paraId="598DED9C">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招标代理机构：重庆市投资咨询有限公司</w:t>
      </w:r>
    </w:p>
    <w:p w14:paraId="2A2E22DC">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地    址：重庆市江北区五里店五简路2号重庆咨询大厦</w:t>
      </w:r>
    </w:p>
    <w:p w14:paraId="2DF9E307">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 系 人：</w:t>
      </w:r>
      <w:r>
        <w:rPr>
          <w:rFonts w:hint="eastAsia" w:ascii="宋体" w:hAnsi="宋体" w:cs="宋体"/>
          <w:snapToGrid w:val="0"/>
          <w:color w:val="auto"/>
          <w:kern w:val="0"/>
          <w:szCs w:val="21"/>
          <w:highlight w:val="none"/>
          <w:u w:val="none"/>
          <w:lang w:eastAsia="zh-CN"/>
        </w:rPr>
        <w:t>王</w:t>
      </w:r>
      <w:r>
        <w:rPr>
          <w:rFonts w:hint="eastAsia" w:ascii="宋体" w:hAnsi="宋体" w:cs="宋体"/>
          <w:snapToGrid w:val="0"/>
          <w:color w:val="auto"/>
          <w:kern w:val="0"/>
          <w:szCs w:val="21"/>
          <w:highlight w:val="none"/>
          <w:u w:val="none"/>
          <w:lang w:val="en-US" w:eastAsia="zh-CN"/>
        </w:rPr>
        <w:t>老师</w:t>
      </w:r>
    </w:p>
    <w:p w14:paraId="3996E9DE">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电    话：023-</w:t>
      </w:r>
      <w:r>
        <w:rPr>
          <w:rFonts w:hint="eastAsia" w:ascii="宋体" w:hAnsi="宋体" w:cs="宋体"/>
          <w:snapToGrid w:val="0"/>
          <w:color w:val="auto"/>
          <w:kern w:val="0"/>
          <w:szCs w:val="21"/>
          <w:highlight w:val="none"/>
          <w:u w:val="none"/>
          <w:lang w:val="en-US" w:eastAsia="zh-CN"/>
        </w:rPr>
        <w:t>63867971</w:t>
      </w:r>
    </w:p>
    <w:p w14:paraId="430FBDC7">
      <w:pPr>
        <w:ind w:firstLine="42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u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snapToGrid w:val="0"/>
          <w:color w:val="auto"/>
          <w:highlight w:val="none"/>
        </w:rPr>
        <w:br w:type="page"/>
      </w:r>
    </w:p>
    <w:p w14:paraId="339B7983">
      <w:pPr>
        <w:pStyle w:val="3"/>
        <w:spacing w:line="360" w:lineRule="auto"/>
        <w:jc w:val="center"/>
        <w:rPr>
          <w:rFonts w:hint="eastAsia" w:ascii="宋体" w:hAnsi="宋体" w:eastAsia="宋体" w:cs="宋体"/>
          <w:bCs w:val="0"/>
          <w:snapToGrid w:val="0"/>
          <w:color w:val="auto"/>
          <w:kern w:val="0"/>
          <w:highlight w:val="none"/>
        </w:rPr>
      </w:pPr>
      <w:bookmarkStart w:id="104" w:name="_Toc430530432"/>
      <w:bookmarkStart w:id="105" w:name="_Toc287607744"/>
      <w:bookmarkStart w:id="106" w:name="_Toc6429"/>
      <w:bookmarkStart w:id="107" w:name="_Toc224103315"/>
      <w:bookmarkStart w:id="108" w:name="_Toc287620683"/>
      <w:bookmarkStart w:id="109" w:name="_Toc12853"/>
      <w:bookmarkStart w:id="110" w:name="_Toc32528"/>
      <w:r>
        <w:rPr>
          <w:rFonts w:hint="eastAsia" w:ascii="宋体" w:hAnsi="宋体" w:eastAsia="宋体" w:cs="宋体"/>
          <w:snapToGrid w:val="0"/>
          <w:color w:val="auto"/>
          <w:kern w:val="0"/>
          <w:highlight w:val="none"/>
        </w:rPr>
        <w:t>第二章  投标人须知</w:t>
      </w:r>
      <w:bookmarkEnd w:id="104"/>
      <w:bookmarkEnd w:id="105"/>
      <w:bookmarkEnd w:id="106"/>
      <w:bookmarkEnd w:id="107"/>
      <w:bookmarkEnd w:id="108"/>
      <w:bookmarkEnd w:id="109"/>
      <w:bookmarkEnd w:id="110"/>
      <w:bookmarkStart w:id="111" w:name="_Toc277082551"/>
      <w:bookmarkStart w:id="112" w:name="_Toc287620684"/>
      <w:bookmarkStart w:id="113" w:name="_Toc224103316"/>
      <w:bookmarkStart w:id="114" w:name="_Toc287607745"/>
      <w:bookmarkStart w:id="115" w:name="_Toc430530433"/>
    </w:p>
    <w:p w14:paraId="31B4B3AB">
      <w:pPr>
        <w:pStyle w:val="4"/>
        <w:spacing w:before="0" w:after="0" w:line="360" w:lineRule="auto"/>
        <w:jc w:val="center"/>
        <w:rPr>
          <w:rFonts w:hint="eastAsia" w:ascii="宋体" w:hAnsi="宋体" w:eastAsia="宋体" w:cs="宋体"/>
          <w:color w:val="auto"/>
          <w:sz w:val="28"/>
          <w:szCs w:val="28"/>
          <w:highlight w:val="none"/>
        </w:rPr>
      </w:pPr>
      <w:bookmarkStart w:id="116" w:name="_Toc837"/>
      <w:bookmarkStart w:id="117" w:name="_Toc7088"/>
      <w:bookmarkStart w:id="118" w:name="_Toc509218708"/>
      <w:bookmarkStart w:id="119" w:name="_Toc10183"/>
      <w:r>
        <w:rPr>
          <w:rFonts w:hint="eastAsia" w:ascii="宋体" w:hAnsi="宋体" w:eastAsia="宋体" w:cs="宋体"/>
          <w:color w:val="auto"/>
          <w:sz w:val="28"/>
          <w:szCs w:val="28"/>
          <w:highlight w:val="none"/>
        </w:rPr>
        <w:t>投标人须知前附表</w:t>
      </w:r>
      <w:bookmarkEnd w:id="111"/>
      <w:bookmarkEnd w:id="112"/>
      <w:bookmarkEnd w:id="113"/>
      <w:bookmarkEnd w:id="114"/>
      <w:bookmarkEnd w:id="115"/>
      <w:bookmarkEnd w:id="116"/>
      <w:bookmarkEnd w:id="117"/>
      <w:bookmarkEnd w:id="118"/>
      <w:bookmarkEnd w:id="119"/>
    </w:p>
    <w:p w14:paraId="56C4518D">
      <w:pPr>
        <w:spacing w:line="36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若投标人须知前附表与正文不一致的地方，以投标人须知前附表为准。</w:t>
      </w:r>
    </w:p>
    <w:tbl>
      <w:tblPr>
        <w:tblStyle w:val="47"/>
        <w:tblW w:w="499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788"/>
        <w:gridCol w:w="6638"/>
      </w:tblGrid>
      <w:tr w14:paraId="10C4BB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244" w:type="dxa"/>
            <w:vAlign w:val="center"/>
          </w:tcPr>
          <w:p w14:paraId="2F57D4A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 款 号</w:t>
            </w:r>
          </w:p>
        </w:tc>
        <w:tc>
          <w:tcPr>
            <w:tcW w:w="1788" w:type="dxa"/>
            <w:vAlign w:val="center"/>
          </w:tcPr>
          <w:p w14:paraId="59BF10F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条款名称</w:t>
            </w:r>
          </w:p>
        </w:tc>
        <w:tc>
          <w:tcPr>
            <w:tcW w:w="6640" w:type="dxa"/>
            <w:vAlign w:val="center"/>
          </w:tcPr>
          <w:p w14:paraId="3B240E3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编  列  内  容</w:t>
            </w:r>
          </w:p>
        </w:tc>
      </w:tr>
      <w:tr w14:paraId="60CC4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71A1380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w:t>
            </w:r>
          </w:p>
        </w:tc>
        <w:tc>
          <w:tcPr>
            <w:tcW w:w="1788" w:type="dxa"/>
            <w:vAlign w:val="center"/>
          </w:tcPr>
          <w:p w14:paraId="77C5F02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w:t>
            </w:r>
          </w:p>
        </w:tc>
        <w:tc>
          <w:tcPr>
            <w:tcW w:w="6640" w:type="dxa"/>
            <w:vAlign w:val="center"/>
          </w:tcPr>
          <w:p w14:paraId="3FCA5E7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招 标 人： 重庆首讯科技股份有限公司</w:t>
            </w:r>
          </w:p>
          <w:p w14:paraId="5EB474D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地    址： 重庆市渝北区龙溪街道新南路52号</w:t>
            </w:r>
          </w:p>
          <w:p w14:paraId="54AA874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联 系 人： 刘老师                          </w:t>
            </w:r>
          </w:p>
          <w:p w14:paraId="75F0495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    话： 023-63131274                    </w:t>
            </w:r>
          </w:p>
          <w:p w14:paraId="5DFC0D0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电子邮件： sxliudong@cegc.com.cn </w:t>
            </w:r>
            <w:r>
              <w:rPr>
                <w:rFonts w:hint="eastAsia" w:ascii="宋体" w:hAnsi="宋体" w:eastAsia="宋体" w:cs="宋体"/>
                <w:color w:val="auto"/>
                <w:kern w:val="0"/>
                <w:sz w:val="21"/>
                <w:szCs w:val="21"/>
                <w:highlight w:val="none"/>
                <w:lang w:bidi="ar"/>
              </w:rPr>
              <w:t xml:space="preserve"> </w:t>
            </w:r>
            <w:r>
              <w:rPr>
                <w:rFonts w:hint="eastAsia" w:ascii="宋体" w:hAnsi="宋体" w:cs="宋体"/>
                <w:color w:val="auto"/>
                <w:szCs w:val="21"/>
                <w:highlight w:val="none"/>
              </w:rPr>
              <w:t xml:space="preserve"> </w:t>
            </w:r>
          </w:p>
        </w:tc>
      </w:tr>
      <w:tr w14:paraId="7B4E6F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4CE2CE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p>
        </w:tc>
        <w:tc>
          <w:tcPr>
            <w:tcW w:w="1788" w:type="dxa"/>
            <w:vAlign w:val="center"/>
          </w:tcPr>
          <w:p w14:paraId="7EA125A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招标代理机构</w:t>
            </w:r>
          </w:p>
        </w:tc>
        <w:tc>
          <w:tcPr>
            <w:tcW w:w="6640" w:type="dxa"/>
            <w:vAlign w:val="center"/>
          </w:tcPr>
          <w:p w14:paraId="15F11C5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招标代理机构：重庆市投资咨询有限公司</w:t>
            </w:r>
          </w:p>
          <w:p w14:paraId="01677C7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址：重庆市江北区五里店五简路2号重庆咨询大厦</w:t>
            </w:r>
          </w:p>
          <w:p w14:paraId="22816CB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 系 人：王</w:t>
            </w:r>
            <w:r>
              <w:rPr>
                <w:rFonts w:hint="eastAsia" w:ascii="宋体" w:hAnsi="宋体" w:cs="宋体"/>
                <w:color w:val="auto"/>
                <w:sz w:val="21"/>
                <w:szCs w:val="21"/>
                <w:highlight w:val="none"/>
                <w:lang w:val="en-US" w:eastAsia="zh-CN"/>
              </w:rPr>
              <w:t>老师</w:t>
            </w:r>
          </w:p>
          <w:p w14:paraId="78C285B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话：023-63867971</w:t>
            </w:r>
          </w:p>
          <w:p w14:paraId="0496DEC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color w:val="auto"/>
                <w:sz w:val="21"/>
                <w:szCs w:val="21"/>
                <w:highlight w:val="none"/>
              </w:rPr>
              <w:t xml:space="preserve"> </w:t>
            </w:r>
          </w:p>
        </w:tc>
      </w:tr>
      <w:tr w14:paraId="16AF90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45DAF8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w:t>
            </w:r>
          </w:p>
        </w:tc>
        <w:tc>
          <w:tcPr>
            <w:tcW w:w="1788" w:type="dxa"/>
            <w:vAlign w:val="center"/>
          </w:tcPr>
          <w:p w14:paraId="315467D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招标项目名称</w:t>
            </w:r>
          </w:p>
        </w:tc>
        <w:tc>
          <w:tcPr>
            <w:tcW w:w="6640" w:type="dxa"/>
            <w:vAlign w:val="center"/>
          </w:tcPr>
          <w:p w14:paraId="49211DF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cs="宋体"/>
                <w:color w:val="auto"/>
                <w:szCs w:val="21"/>
                <w:highlight w:val="none"/>
                <w:u w:val="none"/>
                <w:lang w:val="en-US" w:eastAsia="zh-CN"/>
              </w:rPr>
              <w:t>渝湘复线巴水段监控系统软件升级改造二次开发服务（第二次）</w:t>
            </w:r>
          </w:p>
        </w:tc>
      </w:tr>
      <w:tr w14:paraId="0E6C14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840764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p>
        </w:tc>
        <w:tc>
          <w:tcPr>
            <w:tcW w:w="1788" w:type="dxa"/>
            <w:vAlign w:val="center"/>
          </w:tcPr>
          <w:p w14:paraId="3B375CE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资金来源及比例</w:t>
            </w:r>
          </w:p>
        </w:tc>
        <w:tc>
          <w:tcPr>
            <w:tcW w:w="6640" w:type="dxa"/>
            <w:vAlign w:val="center"/>
          </w:tcPr>
          <w:p w14:paraId="3A46E311">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u w:val="none"/>
                <w:lang w:val="en-US" w:eastAsia="zh-CN"/>
              </w:rPr>
            </w:pPr>
            <w:r>
              <w:rPr>
                <w:rFonts w:hint="eastAsia" w:ascii="宋体" w:hAnsi="宋体" w:cs="宋体"/>
                <w:color w:val="auto"/>
                <w:szCs w:val="21"/>
                <w:highlight w:val="none"/>
                <w:u w:val="none"/>
              </w:rPr>
              <w:t>业主自筹，100%</w:t>
            </w:r>
          </w:p>
        </w:tc>
      </w:tr>
      <w:tr w14:paraId="7EAA8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894CF2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w:t>
            </w:r>
          </w:p>
        </w:tc>
        <w:tc>
          <w:tcPr>
            <w:tcW w:w="1788" w:type="dxa"/>
            <w:vAlign w:val="center"/>
          </w:tcPr>
          <w:p w14:paraId="5EFFC9D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资金落实情况</w:t>
            </w:r>
          </w:p>
        </w:tc>
        <w:tc>
          <w:tcPr>
            <w:tcW w:w="6640" w:type="dxa"/>
            <w:vAlign w:val="center"/>
          </w:tcPr>
          <w:p w14:paraId="6DF8DDA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已落实</w:t>
            </w:r>
          </w:p>
        </w:tc>
      </w:tr>
      <w:tr w14:paraId="5FB849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46ED37B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w:t>
            </w:r>
          </w:p>
        </w:tc>
        <w:tc>
          <w:tcPr>
            <w:tcW w:w="1788" w:type="dxa"/>
            <w:vAlign w:val="center"/>
          </w:tcPr>
          <w:p w14:paraId="1DA9AE1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招标范围</w:t>
            </w:r>
          </w:p>
        </w:tc>
        <w:tc>
          <w:tcPr>
            <w:tcW w:w="6640" w:type="dxa"/>
            <w:vAlign w:val="center"/>
          </w:tcPr>
          <w:p w14:paraId="1DB67ED3">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i/>
                <w:color w:val="auto"/>
                <w:szCs w:val="21"/>
                <w:highlight w:val="none"/>
                <w:u w:val="none"/>
              </w:rPr>
            </w:pPr>
            <w:r>
              <w:rPr>
                <w:rFonts w:hint="eastAsia" w:ascii="宋体" w:hAnsi="宋体" w:cs="宋体"/>
                <w:snapToGrid w:val="0"/>
                <w:color w:val="auto"/>
                <w:kern w:val="0"/>
                <w:szCs w:val="21"/>
                <w:highlight w:val="none"/>
                <w:lang w:eastAsia="zh-CN"/>
              </w:rPr>
              <w:t>详见招标公告</w:t>
            </w:r>
            <w:r>
              <w:rPr>
                <w:rFonts w:hint="eastAsia" w:ascii="宋体" w:hAnsi="宋体" w:cs="宋体"/>
                <w:snapToGrid w:val="0"/>
                <w:color w:val="auto"/>
                <w:kern w:val="0"/>
                <w:szCs w:val="21"/>
                <w:highlight w:val="none"/>
                <w:lang w:val="en-US" w:eastAsia="zh-CN"/>
              </w:rPr>
              <w:t>2.4</w:t>
            </w:r>
          </w:p>
        </w:tc>
      </w:tr>
      <w:tr w14:paraId="5E9699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4" w:type="dxa"/>
            <w:vAlign w:val="center"/>
          </w:tcPr>
          <w:p w14:paraId="4A0EF12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w:t>
            </w:r>
          </w:p>
        </w:tc>
        <w:tc>
          <w:tcPr>
            <w:tcW w:w="1788" w:type="dxa"/>
            <w:vAlign w:val="center"/>
          </w:tcPr>
          <w:p w14:paraId="4D9BD23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服务期</w:t>
            </w:r>
          </w:p>
        </w:tc>
        <w:tc>
          <w:tcPr>
            <w:tcW w:w="6640" w:type="dxa"/>
            <w:vAlign w:val="center"/>
          </w:tcPr>
          <w:p w14:paraId="6D270375">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cs="宋体"/>
                <w:snapToGrid w:val="0"/>
                <w:color w:val="auto"/>
                <w:kern w:val="0"/>
                <w:szCs w:val="21"/>
                <w:highlight w:val="none"/>
                <w:u w:val="none"/>
                <w:lang w:val="en-US" w:eastAsia="zh-CN"/>
              </w:rPr>
              <w:t>详见招标公告2.5</w:t>
            </w:r>
          </w:p>
        </w:tc>
      </w:tr>
      <w:tr w14:paraId="2FF4F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3BFEA9E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w:t>
            </w:r>
          </w:p>
        </w:tc>
        <w:tc>
          <w:tcPr>
            <w:tcW w:w="1788" w:type="dxa"/>
            <w:vAlign w:val="center"/>
          </w:tcPr>
          <w:p w14:paraId="34EA457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w:t>
            </w:r>
            <w:r>
              <w:rPr>
                <w:rFonts w:hint="eastAsia" w:ascii="宋体" w:hAnsi="宋体" w:eastAsia="宋体" w:cs="宋体"/>
                <w:color w:val="auto"/>
                <w:kern w:val="0"/>
                <w:szCs w:val="21"/>
                <w:highlight w:val="none"/>
                <w:lang w:val="en-US" w:eastAsia="zh-CN"/>
              </w:rPr>
              <w:t>地点</w:t>
            </w:r>
          </w:p>
        </w:tc>
        <w:tc>
          <w:tcPr>
            <w:tcW w:w="6640" w:type="dxa"/>
            <w:vAlign w:val="center"/>
          </w:tcPr>
          <w:p w14:paraId="12AED62F">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lang w:val="en-US" w:eastAsia="zh-CN"/>
              </w:rPr>
              <w:t>详见招标公告2.</w:t>
            </w:r>
            <w:r>
              <w:rPr>
                <w:rFonts w:hint="eastAsia" w:ascii="宋体" w:hAnsi="宋体" w:cs="宋体"/>
                <w:snapToGrid w:val="0"/>
                <w:color w:val="auto"/>
                <w:kern w:val="0"/>
                <w:szCs w:val="21"/>
                <w:highlight w:val="none"/>
                <w:u w:val="none"/>
                <w:lang w:val="en-US" w:eastAsia="zh-CN"/>
              </w:rPr>
              <w:t>6</w:t>
            </w:r>
          </w:p>
        </w:tc>
      </w:tr>
      <w:tr w14:paraId="6F08BA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4" w:type="dxa"/>
            <w:vAlign w:val="center"/>
          </w:tcPr>
          <w:p w14:paraId="6234D09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1.3.</w:t>
            </w:r>
            <w:r>
              <w:rPr>
                <w:rFonts w:hint="eastAsia" w:ascii="宋体" w:hAnsi="宋体" w:eastAsia="宋体" w:cs="宋体"/>
                <w:color w:val="auto"/>
                <w:kern w:val="0"/>
                <w:szCs w:val="21"/>
                <w:highlight w:val="none"/>
                <w:lang w:val="en-US" w:eastAsia="zh-CN"/>
              </w:rPr>
              <w:t>4</w:t>
            </w:r>
          </w:p>
        </w:tc>
        <w:tc>
          <w:tcPr>
            <w:tcW w:w="1788" w:type="dxa"/>
            <w:vAlign w:val="center"/>
          </w:tcPr>
          <w:p w14:paraId="5FF4AD6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质量标准、技术性能指标</w:t>
            </w:r>
          </w:p>
        </w:tc>
        <w:tc>
          <w:tcPr>
            <w:tcW w:w="6640" w:type="dxa"/>
            <w:vAlign w:val="center"/>
          </w:tcPr>
          <w:p w14:paraId="1D814CB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szCs w:val="21"/>
                <w:highlight w:val="none"/>
              </w:rPr>
            </w:pPr>
            <w:r>
              <w:rPr>
                <w:rFonts w:hint="eastAsia" w:ascii="宋体" w:hAnsi="宋体" w:eastAsia="宋体" w:cs="宋体"/>
                <w:color w:val="auto"/>
                <w:szCs w:val="21"/>
                <w:highlight w:val="none"/>
                <w:lang w:val="en-US" w:eastAsia="zh-CN"/>
              </w:rPr>
              <w:t>符合国家及行业颁发的现行有关标准和规范，并满足“第五章 项目需求”</w:t>
            </w:r>
            <w:r>
              <w:rPr>
                <w:rFonts w:hint="eastAsia" w:ascii="宋体" w:hAnsi="宋体" w:cs="宋体"/>
                <w:color w:val="auto"/>
                <w:szCs w:val="21"/>
                <w:highlight w:val="none"/>
                <w:lang w:val="en-US" w:eastAsia="zh-CN"/>
              </w:rPr>
              <w:t>的技术性能指标</w:t>
            </w:r>
            <w:r>
              <w:rPr>
                <w:rFonts w:hint="eastAsia" w:ascii="宋体" w:hAnsi="宋体" w:eastAsia="宋体" w:cs="宋体"/>
                <w:color w:val="auto"/>
                <w:szCs w:val="21"/>
                <w:highlight w:val="none"/>
                <w:lang w:val="en-US" w:eastAsia="zh-CN"/>
              </w:rPr>
              <w:t>。</w:t>
            </w:r>
          </w:p>
        </w:tc>
      </w:tr>
      <w:tr w14:paraId="3F10A6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44" w:type="dxa"/>
            <w:vAlign w:val="center"/>
          </w:tcPr>
          <w:p w14:paraId="7DEA76C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02770BB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3D8520D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4FA8CCE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52FFF6B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175DB96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1.4.1</w:t>
            </w:r>
          </w:p>
          <w:p w14:paraId="337E5632">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AE14791">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275DEE8">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D4A5DB7">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350F761">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6565C7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1EACECD">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9443F59">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002F048">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971DE0E">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D1405B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821A3AA">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174E83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2E76C4F">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CFFC3EE">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4452EDD8">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AC93882">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FE87281">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109C436">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78DBCB0">
            <w:pPr>
              <w:pStyle w:val="6"/>
              <w:keepNext w:val="0"/>
              <w:keepLines w:val="0"/>
              <w:suppressLineNumbers w:val="0"/>
              <w:spacing w:beforeLines="0" w:afterLines="0" w:line="400" w:lineRule="exact"/>
              <w:ind w:left="0" w:right="0"/>
              <w:jc w:val="center"/>
              <w:rPr>
                <w:rFonts w:hint="eastAsia"/>
                <w:color w:val="auto"/>
                <w:sz w:val="21"/>
                <w:szCs w:val="21"/>
                <w:highlight w:val="none"/>
              </w:rPr>
            </w:pPr>
            <w:r>
              <w:rPr>
                <w:rFonts w:hint="eastAsia" w:ascii="宋体" w:hAnsi="宋体" w:cs="宋体"/>
                <w:b w:val="0"/>
                <w:bCs w:val="0"/>
                <w:color w:val="auto"/>
                <w:kern w:val="2"/>
                <w:sz w:val="21"/>
                <w:szCs w:val="21"/>
                <w:highlight w:val="none"/>
              </w:rPr>
              <w:t>1.4.1</w:t>
            </w:r>
          </w:p>
        </w:tc>
        <w:tc>
          <w:tcPr>
            <w:tcW w:w="1788" w:type="dxa"/>
            <w:vAlign w:val="center"/>
          </w:tcPr>
          <w:p w14:paraId="0F0C6C9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B562BA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713218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6CB5B2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5361AF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标人资质条件、能力和信誉</w:t>
            </w:r>
          </w:p>
          <w:p w14:paraId="497B298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84D0A5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66B6D0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7A24B4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16EF8A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775E14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7B5543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F1D9D1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F061F0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45E74B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71C1C0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ED7A92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F9133C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6A9818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355FA7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67B97F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3006A73">
            <w:pPr>
              <w:pStyle w:val="6"/>
              <w:keepNext w:val="0"/>
              <w:keepLines w:val="0"/>
              <w:suppressLineNumbers w:val="0"/>
              <w:ind w:left="0" w:right="0"/>
              <w:rPr>
                <w:rFonts w:hint="eastAsia" w:ascii="宋体" w:hAnsi="宋体" w:eastAsia="宋体" w:cs="宋体"/>
                <w:color w:val="auto"/>
                <w:kern w:val="0"/>
                <w:szCs w:val="21"/>
                <w:highlight w:val="none"/>
              </w:rPr>
            </w:pPr>
          </w:p>
          <w:p w14:paraId="5875908B">
            <w:pPr>
              <w:keepNext w:val="0"/>
              <w:keepLines w:val="0"/>
              <w:suppressLineNumbers w:val="0"/>
              <w:spacing w:before="0" w:beforeAutospacing="0" w:after="0" w:afterAutospacing="0"/>
              <w:ind w:left="0" w:right="0"/>
              <w:rPr>
                <w:rFonts w:hint="eastAsia" w:ascii="宋体" w:hAnsi="宋体" w:eastAsia="宋体" w:cs="宋体"/>
                <w:color w:val="auto"/>
                <w:kern w:val="0"/>
                <w:szCs w:val="21"/>
                <w:highlight w:val="none"/>
              </w:rPr>
            </w:pPr>
          </w:p>
          <w:p w14:paraId="1D3C4F3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14:paraId="2C61AC3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1C1016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FF0CD3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9E9862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C267F6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18D9CB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DF58F7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419AE1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6E0892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52E63E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FC73E3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35DB82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9B7EF5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D997B2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C3587F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DFF3EB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99A8E5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tc>
        <w:tc>
          <w:tcPr>
            <w:tcW w:w="6640" w:type="dxa"/>
            <w:vAlign w:val="center"/>
          </w:tcPr>
          <w:p w14:paraId="124B527A">
            <w:pPr>
              <w:keepNext w:val="0"/>
              <w:keepLines w:val="0"/>
              <w:suppressLineNumbers w:val="0"/>
              <w:autoSpaceDE/>
              <w:autoSpaceDN/>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lang w:val="en-US" w:eastAsia="zh-CN"/>
              </w:rPr>
            </w:pPr>
            <w:bookmarkStart w:id="120" w:name="OLE_LINK1"/>
            <w:r>
              <w:rPr>
                <w:rFonts w:hint="eastAsia" w:ascii="宋体" w:hAnsi="宋体" w:eastAsia="宋体" w:cs="宋体"/>
                <w:color w:val="auto"/>
                <w:szCs w:val="21"/>
                <w:highlight w:val="none"/>
              </w:rPr>
              <w:t>本次招标实行资格后审，投标人应具备以下资格条件：</w:t>
            </w:r>
          </w:p>
          <w:bookmarkEnd w:id="120"/>
          <w:p w14:paraId="0480E065">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1、独立法人资格</w:t>
            </w:r>
          </w:p>
          <w:p w14:paraId="2B1A9D8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szCs w:val="21"/>
                <w:highlight w:val="none"/>
              </w:rPr>
            </w:pPr>
            <w:r>
              <w:rPr>
                <w:rFonts w:hint="default" w:ascii="宋体" w:hAnsi="宋体"/>
                <w:szCs w:val="21"/>
                <w:highlight w:val="none"/>
              </w:rPr>
              <w:t>提供</w:t>
            </w:r>
            <w:r>
              <w:rPr>
                <w:rFonts w:hint="eastAsia" w:ascii="宋体" w:hAnsi="宋体"/>
                <w:szCs w:val="21"/>
                <w:highlight w:val="none"/>
                <w:lang w:eastAsia="zh-CN"/>
              </w:rPr>
              <w:t>：</w:t>
            </w:r>
            <w:r>
              <w:rPr>
                <w:rFonts w:hint="default" w:ascii="宋体" w:hAnsi="宋体"/>
                <w:szCs w:val="21"/>
                <w:highlight w:val="none"/>
              </w:rPr>
              <w:t>有效的营业执照。</w:t>
            </w:r>
          </w:p>
          <w:p w14:paraId="528DC2CB">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2、业绩要求</w:t>
            </w:r>
          </w:p>
          <w:p w14:paraId="75728A10">
            <w:pPr>
              <w:keepNext w:val="0"/>
              <w:keepLines w:val="0"/>
              <w:suppressLineNumbers w:val="0"/>
              <w:adjustRightInd/>
              <w:snapToGrid/>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lang w:bidi="ar"/>
              </w:rPr>
            </w:pP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rPr>
              <w:t>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cs="宋体"/>
                <w:snapToGrid w:val="0"/>
                <w:color w:val="auto"/>
                <w:kern w:val="0"/>
                <w:sz w:val="21"/>
                <w:szCs w:val="21"/>
                <w:highlight w:val="none"/>
                <w:u w:val="single"/>
                <w:lang w:val="en-US" w:eastAsia="zh-CN"/>
              </w:rPr>
              <w:t>120万</w:t>
            </w:r>
            <w:r>
              <w:rPr>
                <w:rFonts w:hint="eastAsia" w:ascii="宋体" w:hAnsi="宋体" w:eastAsia="宋体" w:cs="宋体"/>
                <w:snapToGrid w:val="0"/>
                <w:color w:val="auto"/>
                <w:kern w:val="0"/>
                <w:sz w:val="21"/>
                <w:szCs w:val="21"/>
                <w:highlight w:val="none"/>
                <w:u w:val="single"/>
                <w:lang w:val="en-US" w:eastAsia="zh-CN"/>
              </w:rPr>
              <w:t>元的信息系统服务或软件开发类业绩。</w:t>
            </w:r>
          </w:p>
          <w:p w14:paraId="2496C382">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p w14:paraId="46591B9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b/>
                <w:bCs/>
                <w:color w:val="auto"/>
                <w:szCs w:val="21"/>
                <w:highlight w:val="none"/>
                <w:lang w:val="en-US" w:eastAsia="zh-CN"/>
              </w:rPr>
            </w:pPr>
            <w:r>
              <w:rPr>
                <w:rFonts w:hint="eastAsia" w:ascii="宋体" w:hAnsi="宋体" w:eastAsia="宋体" w:cs="宋体"/>
                <w:color w:val="auto"/>
                <w:szCs w:val="21"/>
                <w:highlight w:val="none"/>
              </w:rPr>
              <w:t>不满足上述业绩要求的业绩</w:t>
            </w:r>
            <w:r>
              <w:rPr>
                <w:rFonts w:hint="eastAsia" w:ascii="宋体" w:hAnsi="宋体" w:eastAsia="宋体" w:cs="宋体"/>
                <w:color w:val="auto"/>
                <w:szCs w:val="21"/>
                <w:highlight w:val="none"/>
                <w:lang w:val="en-US" w:eastAsia="zh-CN"/>
              </w:rPr>
              <w:t>视为</w:t>
            </w:r>
            <w:r>
              <w:rPr>
                <w:rFonts w:hint="eastAsia" w:ascii="宋体" w:hAnsi="宋体" w:eastAsia="宋体" w:cs="宋体"/>
                <w:color w:val="auto"/>
                <w:szCs w:val="21"/>
                <w:highlight w:val="none"/>
              </w:rPr>
              <w:t>无效。</w:t>
            </w:r>
          </w:p>
          <w:p w14:paraId="509D9A9D">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3、投标截止日投标资格情况要求</w:t>
            </w:r>
          </w:p>
          <w:p w14:paraId="3B59C42E">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投标人自行承诺（格式见第六章投标文件格式）不得存在下列情形之一：</w:t>
            </w:r>
          </w:p>
          <w:p w14:paraId="20F1BF33">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（1）被人民法院列入失信被执行人名单且在被执行期内；</w:t>
            </w:r>
          </w:p>
          <w:p w14:paraId="34FD2654">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（2）被列入《重庆市工程建设领域招标投标信用管理暂行办法》规定的重点关注名单且记分达到12分且在记分有效期内；</w:t>
            </w:r>
          </w:p>
          <w:p w14:paraId="43F6AE87">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（3）被列入《重庆市工程建设领域招标投标信用管理暂行办法》规定的重庆市工程建设领域招标投标失信惩戒对象名单（以下称黑名单）且在记分有效期内；</w:t>
            </w:r>
          </w:p>
          <w:p w14:paraId="66A60CF3">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（4）被国家、重庆市（含市或任意区县）有关行政部门处以暂停投标资格行政处罚或暂停在渝承揽新业务，且在暂停期限内。</w:t>
            </w:r>
          </w:p>
          <w:p w14:paraId="6EF34A1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（5）被国家企业信用信息公示系统（http://www.gsxt.gov.cn/）中列入严重违法失信企业名单（黑名单）信息。</w:t>
            </w:r>
          </w:p>
          <w:p w14:paraId="4AF4DBB3">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（6）被“信用中国”网站（http://www.creditchina.gov.cn/）列入失信惩戒执行人名单。</w:t>
            </w:r>
          </w:p>
          <w:p w14:paraId="295C00C8">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承诺（格式见第六章投标文件格式）。</w:t>
            </w:r>
          </w:p>
          <w:p w14:paraId="034F3413">
            <w:pPr>
              <w:keepNext w:val="0"/>
              <w:keepLines w:val="0"/>
              <w:numPr>
                <w:ilvl w:val="0"/>
                <w:numId w:val="1"/>
              </w:numPr>
              <w:suppressLineNumbers w:val="0"/>
              <w:adjustRightInd w:val="0"/>
              <w:snapToGrid w:val="0"/>
              <w:spacing w:before="0" w:beforeLines="0" w:beforeAutospacing="0" w:after="0" w:afterLines="0" w:afterAutospacing="0" w:line="400" w:lineRule="exact"/>
              <w:ind w:left="0" w:leftChars="0" w:right="0" w:firstLine="422" w:firstLineChars="200"/>
              <w:rPr>
                <w:rFonts w:hint="default" w:ascii="宋体" w:hAnsi="宋体" w:eastAsia="宋体" w:cs="宋体"/>
                <w:b/>
                <w:bCs w:val="0"/>
                <w:color w:val="auto"/>
                <w:sz w:val="21"/>
                <w:szCs w:val="21"/>
                <w:highlight w:val="none"/>
                <w:lang w:bidi="ar"/>
              </w:rPr>
            </w:pPr>
            <w:r>
              <w:rPr>
                <w:rFonts w:hint="eastAsia" w:ascii="宋体" w:hAnsi="宋体" w:eastAsia="宋体" w:cs="宋体"/>
                <w:b/>
                <w:bCs w:val="0"/>
                <w:color w:val="auto"/>
                <w:kern w:val="0"/>
                <w:sz w:val="21"/>
                <w:szCs w:val="21"/>
                <w:highlight w:val="none"/>
                <w:lang w:bidi="ar"/>
              </w:rPr>
              <w:t>项目经理：1名</w:t>
            </w:r>
          </w:p>
          <w:p w14:paraId="554F831E">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投标人拟派的项目经理须具备人力资源和社会保障部、工业和信息化部颁发的有效的信息系统项目管理师证书。</w:t>
            </w:r>
          </w:p>
          <w:p w14:paraId="769EB5A3">
            <w:pPr>
              <w:keepNext w:val="0"/>
              <w:keepLines w:val="0"/>
              <w:suppressLineNumbers w:val="0"/>
              <w:adjustRightInd/>
              <w:snapToGrid w:val="0"/>
              <w:spacing w:before="0" w:beforeLines="-2147483648" w:beforeAutospacing="0" w:after="0" w:afterLines="-2147483648" w:afterAutospacing="0" w:line="400" w:lineRule="exact"/>
              <w:ind w:left="0" w:right="0" w:firstLine="420" w:firstLineChars="200"/>
              <w:rPr>
                <w:rFonts w:hint="default"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提供</w:t>
            </w:r>
            <w:r>
              <w:rPr>
                <w:rFonts w:hint="eastAsia" w:ascii="宋体" w:hAnsi="宋体" w:cs="宋体"/>
                <w:color w:val="auto"/>
                <w:sz w:val="21"/>
                <w:szCs w:val="21"/>
                <w:highlight w:val="none"/>
                <w:lang w:eastAsia="zh-CN" w:bidi="ar"/>
              </w:rPr>
              <w:t>：</w:t>
            </w:r>
            <w:r>
              <w:rPr>
                <w:rFonts w:hint="eastAsia"/>
                <w:highlight w:val="none"/>
              </w:rPr>
              <w:t>拟派项目经理有效的身份证、</w:t>
            </w:r>
            <w:r>
              <w:rPr>
                <w:rFonts w:hint="eastAsia" w:ascii="宋体" w:hAnsi="宋体" w:eastAsia="宋体" w:cs="宋体"/>
                <w:color w:val="auto"/>
                <w:sz w:val="21"/>
                <w:szCs w:val="21"/>
                <w:highlight w:val="none"/>
                <w:lang w:bidi="ar"/>
              </w:rPr>
              <w:t>证书复印件</w:t>
            </w:r>
            <w:r>
              <w:rPr>
                <w:rFonts w:hint="eastAsia"/>
                <w:highlight w:val="none"/>
              </w:rPr>
              <w:t>、投标人为其交纳的养老保险证明材料。</w:t>
            </w:r>
          </w:p>
          <w:p w14:paraId="31A63200">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val="en-US" w:eastAsia="zh-CN"/>
              </w:rPr>
              <w:t>5、</w:t>
            </w:r>
            <w:r>
              <w:rPr>
                <w:rFonts w:hint="eastAsia" w:ascii="宋体" w:hAnsi="宋体" w:eastAsia="宋体" w:cs="宋体"/>
                <w:b/>
                <w:color w:val="auto"/>
                <w:sz w:val="21"/>
                <w:szCs w:val="21"/>
                <w:highlight w:val="none"/>
              </w:rPr>
              <w:t>法定代表人或委托代理人</w:t>
            </w:r>
            <w:r>
              <w:rPr>
                <w:rFonts w:hint="eastAsia" w:ascii="宋体" w:hAnsi="宋体" w:cs="宋体"/>
                <w:b/>
                <w:color w:val="auto"/>
                <w:sz w:val="21"/>
                <w:szCs w:val="21"/>
                <w:highlight w:val="none"/>
                <w:lang w:eastAsia="zh-CN"/>
              </w:rPr>
              <w:t>：</w:t>
            </w:r>
          </w:p>
          <w:p w14:paraId="4BEBA6CD">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default"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法定代表人或委托代理人代表投标人签署、澄清、说明、补正、递交、撤回、修改本项目投标文件、签订合同和处理有关事宜，其法律后果由投标人承担。委托代理人须是投标单位人员。</w:t>
            </w:r>
          </w:p>
          <w:p w14:paraId="6708C280">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bidi="ar"/>
              </w:rPr>
              <w:t>提供</w:t>
            </w:r>
            <w:r>
              <w:rPr>
                <w:rFonts w:hint="eastAsia" w:ascii="宋体" w:hAnsi="宋体" w:cs="宋体"/>
                <w:color w:val="auto"/>
                <w:sz w:val="21"/>
                <w:szCs w:val="21"/>
                <w:highlight w:val="none"/>
                <w:lang w:eastAsia="zh-CN" w:bidi="ar"/>
              </w:rPr>
              <w:t>：</w:t>
            </w:r>
            <w:r>
              <w:rPr>
                <w:rFonts w:hint="eastAsia" w:ascii="宋体" w:hAnsi="宋体" w:eastAsia="宋体" w:cs="宋体"/>
                <w:b w:val="0"/>
                <w:bCs/>
                <w:color w:val="auto"/>
                <w:sz w:val="21"/>
                <w:szCs w:val="21"/>
                <w:highlight w:val="none"/>
              </w:rPr>
              <w:t>法定代表人身份证明（格式见第六章投标文件格式）。法定代表人委托代理人投标的，还须提供授权委托书（格式见第六章投标文件格式）、投标人为该委托代理人缴纳的养老保险证明材料。</w:t>
            </w:r>
          </w:p>
          <w:p w14:paraId="3F7AE1EA">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特别说明：</w:t>
            </w:r>
          </w:p>
          <w:p w14:paraId="0F4D7FAF">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（1）上述要求须提交的相关证明材料复印件须清晰可辨，且均应加盖投标单位法人章并装入投标文件资格审查部分。上述要求，有一条不满足则投标文件由评标委员会作否决投标处理</w:t>
            </w:r>
            <w:r>
              <w:rPr>
                <w:rFonts w:hint="eastAsia" w:ascii="宋体" w:hAnsi="宋体" w:eastAsia="宋体" w:cs="宋体"/>
                <w:color w:val="auto"/>
                <w:kern w:val="0"/>
                <w:sz w:val="21"/>
                <w:szCs w:val="21"/>
                <w:highlight w:val="none"/>
              </w:rPr>
              <w:t>。</w:t>
            </w:r>
          </w:p>
          <w:p w14:paraId="7B8A70C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（2）投标人须自行承诺其提供的上述相关证明材料真实有效，不存在弄虚作假情形（格式见第六章投标文件格式）。</w:t>
            </w:r>
            <w:r>
              <w:rPr>
                <w:rFonts w:hint="eastAsia" w:ascii="宋体" w:hAnsi="宋体" w:eastAsia="宋体" w:cs="宋体"/>
                <w:color w:val="auto"/>
                <w:sz w:val="21"/>
                <w:szCs w:val="21"/>
                <w:highlight w:val="none"/>
                <w:u w:val="single"/>
              </w:rPr>
              <w:t>招标人在合同签订前均有权对投标人提供的资料进行核实，若发现弄虚作假，按相关规定取消其中标资格，并按相关法律法规报招标投标监督部门，其投标保证金不予退还，投标人承担因此造成的相关责任并赔偿相应损失</w:t>
            </w:r>
            <w:r>
              <w:rPr>
                <w:rFonts w:hint="eastAsia" w:ascii="宋体" w:hAnsi="宋体" w:eastAsia="宋体" w:cs="宋体"/>
                <w:color w:val="auto"/>
                <w:sz w:val="21"/>
                <w:szCs w:val="21"/>
                <w:highlight w:val="none"/>
              </w:rPr>
              <w:t>。</w:t>
            </w:r>
          </w:p>
          <w:p w14:paraId="040A2DA1">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（3）本招标文件中所要求的人员养老保险证明要求如下：</w:t>
            </w:r>
          </w:p>
          <w:p w14:paraId="1B224E5F">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①企业提供养老保险证明，事业单位提供养老保险证明或行政主管部门在编证明。</w:t>
            </w:r>
          </w:p>
          <w:p w14:paraId="783D1BA4">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 w:val="21"/>
                <w:szCs w:val="21"/>
                <w:highlight w:val="none"/>
              </w:rPr>
              <w:t>②</w:t>
            </w:r>
            <w:r>
              <w:rPr>
                <w:rFonts w:hint="eastAsia" w:ascii="宋体" w:hAnsi="宋体" w:cs="宋体"/>
                <w:color w:val="auto"/>
                <w:kern w:val="0"/>
                <w:sz w:val="21"/>
                <w:szCs w:val="21"/>
                <w:highlight w:val="none"/>
                <w:lang w:val="en-US" w:eastAsia="zh-CN"/>
              </w:rPr>
              <w:t>拟派</w:t>
            </w:r>
            <w:r>
              <w:rPr>
                <w:rFonts w:hint="eastAsia" w:ascii="宋体" w:hAnsi="宋体" w:eastAsia="宋体" w:cs="宋体"/>
                <w:snapToGrid w:val="0"/>
                <w:color w:val="auto"/>
                <w:kern w:val="0"/>
                <w:sz w:val="21"/>
                <w:szCs w:val="21"/>
                <w:highlight w:val="none"/>
              </w:rPr>
              <w:t>人员的连续养老保险证明期限须包含</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u w:val="single"/>
                <w:lang w:val="en-US" w:eastAsia="zh-CN"/>
              </w:rPr>
              <w:t>6</w:t>
            </w:r>
            <w:r>
              <w:rPr>
                <w:rFonts w:hint="eastAsia" w:ascii="宋体" w:hAnsi="宋体" w:eastAsia="宋体" w:cs="宋体"/>
                <w:snapToGrid w:val="0"/>
                <w:color w:val="auto"/>
                <w:kern w:val="0"/>
                <w:sz w:val="21"/>
                <w:szCs w:val="21"/>
                <w:highlight w:val="none"/>
              </w:rPr>
              <w:t>月至</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u w:val="single"/>
                <w:lang w:val="en-US" w:eastAsia="zh-CN"/>
              </w:rPr>
              <w:t>11</w:t>
            </w:r>
            <w:r>
              <w:rPr>
                <w:rFonts w:hint="eastAsia" w:ascii="宋体" w:hAnsi="宋体" w:eastAsia="宋体" w:cs="宋体"/>
                <w:snapToGrid w:val="0"/>
                <w:color w:val="auto"/>
                <w:kern w:val="0"/>
                <w:sz w:val="21"/>
                <w:szCs w:val="21"/>
                <w:highlight w:val="none"/>
              </w:rPr>
              <w:t>月</w:t>
            </w:r>
            <w:r>
              <w:rPr>
                <w:rFonts w:hint="eastAsia" w:ascii="宋体" w:hAnsi="宋体" w:eastAsia="宋体" w:cs="宋体"/>
                <w:color w:val="auto"/>
                <w:sz w:val="21"/>
                <w:szCs w:val="21"/>
                <w:highlight w:val="none"/>
              </w:rPr>
              <w:t>。提供的养老保险参保证明须体现</w:t>
            </w:r>
            <w:r>
              <w:rPr>
                <w:rFonts w:hint="eastAsia" w:ascii="宋体" w:hAnsi="宋体" w:cs="宋体"/>
                <w:color w:val="auto"/>
                <w:sz w:val="21"/>
                <w:szCs w:val="21"/>
                <w:highlight w:val="none"/>
                <w:lang w:val="en-US" w:eastAsia="zh-CN"/>
              </w:rPr>
              <w:t>拟派</w:t>
            </w:r>
            <w:r>
              <w:rPr>
                <w:rFonts w:hint="eastAsia" w:ascii="宋体" w:hAnsi="宋体" w:eastAsia="宋体" w:cs="宋体"/>
                <w:color w:val="auto"/>
                <w:sz w:val="21"/>
                <w:szCs w:val="21"/>
                <w:highlight w:val="none"/>
              </w:rPr>
              <w:t>人员的姓名、身份证号（或社保号）、单位名称、</w:t>
            </w:r>
            <w:r>
              <w:rPr>
                <w:rFonts w:hint="eastAsia" w:ascii="宋体" w:hAnsi="宋体" w:cs="宋体"/>
                <w:color w:val="auto"/>
                <w:sz w:val="21"/>
                <w:szCs w:val="21"/>
                <w:highlight w:val="none"/>
                <w:lang w:val="en-US" w:eastAsia="zh-CN"/>
              </w:rPr>
              <w:t>在</w:t>
            </w:r>
            <w:r>
              <w:rPr>
                <w:rFonts w:hint="eastAsia" w:ascii="宋体" w:hAnsi="宋体" w:eastAsia="宋体" w:cs="宋体"/>
                <w:color w:val="auto"/>
                <w:sz w:val="21"/>
                <w:szCs w:val="21"/>
                <w:highlight w:val="none"/>
              </w:rPr>
              <w:t>本单位参保时间（或起始参保时间），并带有社保部门公章或社保部门的有效电子印章。</w:t>
            </w:r>
          </w:p>
        </w:tc>
      </w:tr>
      <w:tr w14:paraId="5CE724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7135E3C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w:t>
            </w:r>
          </w:p>
        </w:tc>
        <w:tc>
          <w:tcPr>
            <w:tcW w:w="1788" w:type="dxa"/>
            <w:vAlign w:val="center"/>
          </w:tcPr>
          <w:p w14:paraId="51EF624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是否接受联合体投标</w:t>
            </w:r>
          </w:p>
        </w:tc>
        <w:tc>
          <w:tcPr>
            <w:tcW w:w="6640" w:type="dxa"/>
            <w:vAlign w:val="center"/>
          </w:tcPr>
          <w:p w14:paraId="2B0CBC8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tc>
      </w:tr>
      <w:tr w14:paraId="21D72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5F01515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w:t>
            </w:r>
          </w:p>
        </w:tc>
        <w:tc>
          <w:tcPr>
            <w:tcW w:w="1788" w:type="dxa"/>
            <w:vAlign w:val="center"/>
          </w:tcPr>
          <w:p w14:paraId="2506068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投标人不得存在的其他情形</w:t>
            </w:r>
          </w:p>
        </w:tc>
        <w:tc>
          <w:tcPr>
            <w:tcW w:w="6640" w:type="dxa"/>
            <w:vAlign w:val="center"/>
          </w:tcPr>
          <w:p w14:paraId="14E6515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无</w:t>
            </w:r>
          </w:p>
        </w:tc>
      </w:tr>
      <w:tr w14:paraId="0D6835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7D0801E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1.9.1</w:t>
            </w:r>
          </w:p>
        </w:tc>
        <w:tc>
          <w:tcPr>
            <w:tcW w:w="1788" w:type="dxa"/>
            <w:vAlign w:val="center"/>
          </w:tcPr>
          <w:p w14:paraId="2036966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踏勘现场</w:t>
            </w:r>
          </w:p>
        </w:tc>
        <w:tc>
          <w:tcPr>
            <w:tcW w:w="6640" w:type="dxa"/>
            <w:vAlign w:val="center"/>
          </w:tcPr>
          <w:p w14:paraId="453608F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不组织</w:t>
            </w:r>
          </w:p>
        </w:tc>
      </w:tr>
      <w:tr w14:paraId="67FF44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6393B8A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10</w:t>
            </w:r>
            <w:r>
              <w:rPr>
                <w:rFonts w:hint="eastAsia" w:ascii="宋体" w:hAnsi="宋体" w:eastAsia="宋体" w:cs="宋体"/>
                <w:color w:val="auto"/>
                <w:kern w:val="0"/>
                <w:szCs w:val="21"/>
                <w:highlight w:val="none"/>
              </w:rPr>
              <w:t>.1</w:t>
            </w:r>
          </w:p>
        </w:tc>
        <w:tc>
          <w:tcPr>
            <w:tcW w:w="1788" w:type="dxa"/>
            <w:vAlign w:val="center"/>
          </w:tcPr>
          <w:p w14:paraId="689F768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投标预备会</w:t>
            </w:r>
          </w:p>
        </w:tc>
        <w:tc>
          <w:tcPr>
            <w:tcW w:w="6640" w:type="dxa"/>
            <w:vAlign w:val="center"/>
          </w:tcPr>
          <w:p w14:paraId="5DEDEBC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不召开</w:t>
            </w:r>
          </w:p>
        </w:tc>
      </w:tr>
      <w:tr w14:paraId="3B7199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3535255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.1</w:t>
            </w:r>
          </w:p>
        </w:tc>
        <w:tc>
          <w:tcPr>
            <w:tcW w:w="1788" w:type="dxa"/>
            <w:vAlign w:val="center"/>
          </w:tcPr>
          <w:p w14:paraId="66ABFF1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w:t>
            </w:r>
          </w:p>
        </w:tc>
        <w:tc>
          <w:tcPr>
            <w:tcW w:w="6640" w:type="dxa"/>
            <w:vAlign w:val="center"/>
          </w:tcPr>
          <w:p w14:paraId="001D314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不允许</w:t>
            </w:r>
          </w:p>
        </w:tc>
      </w:tr>
      <w:tr w14:paraId="06EA3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11657F1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1.12.1</w:t>
            </w:r>
          </w:p>
        </w:tc>
        <w:tc>
          <w:tcPr>
            <w:tcW w:w="1788" w:type="dxa"/>
            <w:vAlign w:val="center"/>
          </w:tcPr>
          <w:p w14:paraId="6668379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实质性要求和条件</w:t>
            </w:r>
          </w:p>
        </w:tc>
        <w:tc>
          <w:tcPr>
            <w:tcW w:w="6640" w:type="dxa"/>
            <w:vAlign w:val="center"/>
          </w:tcPr>
          <w:p w14:paraId="4AD4D4E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none"/>
                <w:lang w:val="en-US" w:eastAsia="zh-CN"/>
              </w:rPr>
              <w:t>不允许出现技术偏差</w:t>
            </w:r>
          </w:p>
        </w:tc>
      </w:tr>
      <w:tr w14:paraId="320B06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EFAE70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1.12.3</w:t>
            </w:r>
          </w:p>
        </w:tc>
        <w:tc>
          <w:tcPr>
            <w:tcW w:w="1788" w:type="dxa"/>
            <w:vAlign w:val="center"/>
          </w:tcPr>
          <w:p w14:paraId="3052EEE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其他可以被接受的技术支持资料</w:t>
            </w:r>
          </w:p>
        </w:tc>
        <w:tc>
          <w:tcPr>
            <w:tcW w:w="6640" w:type="dxa"/>
            <w:vAlign w:val="center"/>
          </w:tcPr>
          <w:p w14:paraId="5384CE3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无</w:t>
            </w:r>
          </w:p>
        </w:tc>
      </w:tr>
      <w:tr w14:paraId="7AD2E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09EE0B4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p>
        </w:tc>
        <w:tc>
          <w:tcPr>
            <w:tcW w:w="1788" w:type="dxa"/>
            <w:vAlign w:val="center"/>
          </w:tcPr>
          <w:p w14:paraId="02BCCF6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偏差</w:t>
            </w:r>
          </w:p>
        </w:tc>
        <w:tc>
          <w:tcPr>
            <w:tcW w:w="6640" w:type="dxa"/>
            <w:vAlign w:val="center"/>
          </w:tcPr>
          <w:p w14:paraId="6404E8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不允许</w:t>
            </w:r>
          </w:p>
        </w:tc>
      </w:tr>
      <w:tr w14:paraId="1A1567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0888708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1788" w:type="dxa"/>
            <w:vAlign w:val="center"/>
          </w:tcPr>
          <w:p w14:paraId="5B1FFEF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构成招标文件的其他</w:t>
            </w:r>
            <w:r>
              <w:rPr>
                <w:rFonts w:hint="eastAsia" w:ascii="宋体" w:hAnsi="宋体" w:eastAsia="宋体" w:cs="宋体"/>
                <w:color w:val="auto"/>
                <w:kern w:val="0"/>
                <w:szCs w:val="21"/>
                <w:highlight w:val="none"/>
                <w:lang w:val="en-US" w:eastAsia="zh-CN"/>
              </w:rPr>
              <w:t>资</w:t>
            </w:r>
            <w:r>
              <w:rPr>
                <w:rFonts w:hint="eastAsia" w:ascii="宋体" w:hAnsi="宋体" w:eastAsia="宋体" w:cs="宋体"/>
                <w:color w:val="auto"/>
                <w:kern w:val="0"/>
                <w:szCs w:val="21"/>
                <w:highlight w:val="none"/>
              </w:rPr>
              <w:t>料</w:t>
            </w:r>
          </w:p>
        </w:tc>
        <w:tc>
          <w:tcPr>
            <w:tcW w:w="6640" w:type="dxa"/>
            <w:vAlign w:val="center"/>
          </w:tcPr>
          <w:p w14:paraId="383E474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招标人发出的澄清及修改</w:t>
            </w:r>
            <w:r>
              <w:rPr>
                <w:rFonts w:hint="eastAsia" w:ascii="宋体" w:hAnsi="宋体" w:eastAsia="宋体" w:cs="宋体"/>
                <w:color w:val="auto"/>
                <w:szCs w:val="21"/>
                <w:highlight w:val="none"/>
                <w:lang w:eastAsia="zh-CN"/>
              </w:rPr>
              <w:t>。</w:t>
            </w:r>
          </w:p>
        </w:tc>
      </w:tr>
      <w:tr w14:paraId="29BCF3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12D925C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w:t>
            </w:r>
          </w:p>
        </w:tc>
        <w:tc>
          <w:tcPr>
            <w:tcW w:w="1788" w:type="dxa"/>
            <w:tcBorders>
              <w:bottom w:val="single" w:color="auto" w:sz="4" w:space="0"/>
            </w:tcBorders>
            <w:vAlign w:val="center"/>
          </w:tcPr>
          <w:p w14:paraId="52D7A53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投标人要求澄清招标文件的形式和截止时间</w:t>
            </w:r>
          </w:p>
        </w:tc>
        <w:tc>
          <w:tcPr>
            <w:tcW w:w="6640" w:type="dxa"/>
            <w:vAlign w:val="center"/>
          </w:tcPr>
          <w:p w14:paraId="74BFA9D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w:t>
            </w:r>
            <w:r>
              <w:rPr>
                <w:rFonts w:hint="eastAsia" w:ascii="宋体" w:hAnsi="宋体" w:eastAsia="宋体" w:cs="宋体"/>
                <w:color w:val="auto"/>
                <w:kern w:val="0"/>
                <w:szCs w:val="21"/>
                <w:highlight w:val="none"/>
                <w:lang w:eastAsia="zh-CN"/>
              </w:rPr>
              <w:t>以电子邮件形式</w:t>
            </w:r>
            <w:r>
              <w:rPr>
                <w:rFonts w:hint="eastAsia" w:ascii="宋体" w:hAnsi="宋体" w:eastAsia="宋体" w:cs="宋体"/>
                <w:color w:val="auto"/>
                <w:kern w:val="0"/>
                <w:szCs w:val="21"/>
                <w:highlight w:val="none"/>
              </w:rPr>
              <w:t>提交</w:t>
            </w:r>
            <w:r>
              <w:rPr>
                <w:rFonts w:hint="eastAsia" w:ascii="宋体" w:hAnsi="宋体" w:eastAsia="宋体" w:cs="宋体"/>
                <w:color w:val="auto"/>
                <w:kern w:val="0"/>
                <w:szCs w:val="21"/>
                <w:highlight w:val="none"/>
                <w:lang w:eastAsia="zh-CN"/>
              </w:rPr>
              <w:t>提问</w:t>
            </w:r>
            <w:r>
              <w:rPr>
                <w:rFonts w:hint="eastAsia" w:ascii="宋体" w:hAnsi="宋体" w:eastAsia="宋体" w:cs="宋体"/>
                <w:color w:val="auto"/>
                <w:kern w:val="0"/>
                <w:szCs w:val="21"/>
                <w:highlight w:val="none"/>
              </w:rPr>
              <w:t>。</w:t>
            </w:r>
          </w:p>
        </w:tc>
      </w:tr>
      <w:tr w14:paraId="1AF06D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44" w:type="dxa"/>
            <w:vAlign w:val="center"/>
          </w:tcPr>
          <w:p w14:paraId="79C1EAF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w:t>
            </w:r>
          </w:p>
        </w:tc>
        <w:tc>
          <w:tcPr>
            <w:tcW w:w="1788" w:type="dxa"/>
            <w:tcBorders>
              <w:top w:val="single" w:color="auto" w:sz="4" w:space="0"/>
            </w:tcBorders>
            <w:vAlign w:val="center"/>
          </w:tcPr>
          <w:p w14:paraId="33FDEC9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招标文件澄清发出的形式和时间</w:t>
            </w:r>
          </w:p>
        </w:tc>
        <w:tc>
          <w:tcPr>
            <w:tcW w:w="6640" w:type="dxa"/>
            <w:vAlign w:val="center"/>
          </w:tcPr>
          <w:p w14:paraId="308A39B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color w:val="auto"/>
                <w:szCs w:val="21"/>
                <w:highlight w:val="none"/>
                <w:u w:val="none"/>
              </w:rPr>
              <w:t>招标人应在招标公告规定的时间前，</w:t>
            </w:r>
            <w:r>
              <w:rPr>
                <w:rFonts w:hint="eastAsia" w:ascii="宋体" w:hAnsi="宋体" w:eastAsia="宋体" w:cs="宋体"/>
                <w:color w:val="auto"/>
                <w:kern w:val="0"/>
                <w:szCs w:val="21"/>
                <w:highlight w:val="none"/>
                <w:u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kern w:val="0"/>
                <w:szCs w:val="21"/>
                <w:highlight w:val="none"/>
                <w:u w:val="none"/>
              </w:rPr>
              <w:t>发布澄清。</w:t>
            </w:r>
          </w:p>
        </w:tc>
      </w:tr>
      <w:tr w14:paraId="7FE5D3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56781B7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w:t>
            </w:r>
          </w:p>
        </w:tc>
        <w:tc>
          <w:tcPr>
            <w:tcW w:w="1788" w:type="dxa"/>
            <w:vAlign w:val="center"/>
          </w:tcPr>
          <w:p w14:paraId="553BC14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招标文件修改发出的形式和时间</w:t>
            </w:r>
          </w:p>
        </w:tc>
        <w:tc>
          <w:tcPr>
            <w:tcW w:w="6640" w:type="dxa"/>
            <w:vAlign w:val="center"/>
          </w:tcPr>
          <w:p w14:paraId="575E863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rPr>
              <w:t>招标人应在招标公告规定的时间前，在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u w:val="none"/>
              </w:rPr>
              <w:t>发布修改。</w:t>
            </w:r>
          </w:p>
        </w:tc>
      </w:tr>
      <w:tr w14:paraId="65ED83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7FF18C4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w:t>
            </w:r>
          </w:p>
        </w:tc>
        <w:tc>
          <w:tcPr>
            <w:tcW w:w="1788" w:type="dxa"/>
            <w:vAlign w:val="center"/>
          </w:tcPr>
          <w:p w14:paraId="0497CF1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构成投标文件的其他资料</w:t>
            </w:r>
          </w:p>
        </w:tc>
        <w:tc>
          <w:tcPr>
            <w:tcW w:w="6640" w:type="dxa"/>
            <w:vAlign w:val="center"/>
          </w:tcPr>
          <w:p w14:paraId="7C0E85A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投标人的书面澄清、说明和补正（但不得改变投标文件的实质性内容）</w:t>
            </w:r>
          </w:p>
        </w:tc>
      </w:tr>
      <w:tr w14:paraId="0DCB75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396927B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w:t>
            </w:r>
          </w:p>
        </w:tc>
        <w:tc>
          <w:tcPr>
            <w:tcW w:w="1788" w:type="dxa"/>
            <w:vAlign w:val="center"/>
          </w:tcPr>
          <w:p w14:paraId="5DE3A80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增值税税金的计算方法</w:t>
            </w:r>
          </w:p>
        </w:tc>
        <w:tc>
          <w:tcPr>
            <w:tcW w:w="6640" w:type="dxa"/>
            <w:vAlign w:val="center"/>
          </w:tcPr>
          <w:p w14:paraId="0EE597C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一般计税法</w:t>
            </w:r>
          </w:p>
        </w:tc>
      </w:tr>
      <w:tr w14:paraId="6CE5B9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4" w:type="dxa"/>
            <w:vAlign w:val="center"/>
          </w:tcPr>
          <w:p w14:paraId="0A441CB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w:t>
            </w:r>
          </w:p>
        </w:tc>
        <w:tc>
          <w:tcPr>
            <w:tcW w:w="1788" w:type="dxa"/>
            <w:vAlign w:val="center"/>
          </w:tcPr>
          <w:p w14:paraId="47927B5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报价方式</w:t>
            </w:r>
          </w:p>
        </w:tc>
        <w:tc>
          <w:tcPr>
            <w:tcW w:w="6640" w:type="dxa"/>
            <w:vAlign w:val="center"/>
          </w:tcPr>
          <w:p w14:paraId="020E698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cs="宋体"/>
                <w:color w:val="auto"/>
                <w:szCs w:val="21"/>
                <w:highlight w:val="none"/>
              </w:rPr>
            </w:pPr>
            <w:r>
              <w:rPr>
                <w:rFonts w:hint="eastAsia" w:ascii="宋体" w:hAnsi="宋体" w:cs="宋体"/>
                <w:color w:val="auto"/>
                <w:szCs w:val="21"/>
                <w:highlight w:val="none"/>
              </w:rPr>
              <w:t>投标人填报的</w:t>
            </w:r>
            <w:r>
              <w:rPr>
                <w:rFonts w:hint="eastAsia" w:ascii="宋体" w:hAnsi="宋体" w:cs="宋体"/>
                <w:color w:val="auto"/>
                <w:szCs w:val="21"/>
                <w:highlight w:val="none"/>
                <w:lang w:eastAsia="zh-CN"/>
              </w:rPr>
              <w:t>投标</w:t>
            </w:r>
            <w:r>
              <w:rPr>
                <w:rFonts w:hint="eastAsia" w:ascii="宋体" w:hAnsi="宋体" w:cs="宋体"/>
                <w:color w:val="auto"/>
                <w:szCs w:val="21"/>
                <w:highlight w:val="none"/>
              </w:rPr>
              <w:t>总</w:t>
            </w:r>
            <w:r>
              <w:rPr>
                <w:rFonts w:hint="eastAsia" w:ascii="宋体" w:hAnsi="宋体" w:cs="宋体"/>
                <w:color w:val="auto"/>
                <w:szCs w:val="21"/>
                <w:highlight w:val="none"/>
                <w:lang w:eastAsia="zh-CN"/>
              </w:rPr>
              <w:t>报价</w:t>
            </w:r>
            <w:r>
              <w:rPr>
                <w:rFonts w:hint="eastAsia" w:ascii="宋体" w:hAnsi="宋体" w:cs="宋体"/>
                <w:color w:val="auto"/>
                <w:szCs w:val="21"/>
                <w:highlight w:val="none"/>
              </w:rPr>
              <w:t>包括但不限于本项目详细设计，建设期现货软件的购置，定制软件开发，软件系统免费升级、业务流程编制及嵌入，软件部署测试，安全系统的建设，标准规范的编制，系统集成，试运行，操作培训，验收、质保期内的维保等所需</w:t>
            </w:r>
            <w:r>
              <w:rPr>
                <w:rFonts w:hint="eastAsia" w:ascii="宋体" w:hAnsi="宋体" w:cs="宋体"/>
                <w:color w:val="auto"/>
                <w:szCs w:val="21"/>
                <w:highlight w:val="none"/>
                <w:lang w:eastAsia="zh-CN"/>
              </w:rPr>
              <w:t>的</w:t>
            </w:r>
            <w:r>
              <w:rPr>
                <w:rFonts w:hint="eastAsia" w:ascii="宋体" w:hAnsi="宋体" w:cs="宋体"/>
                <w:color w:val="auto"/>
                <w:szCs w:val="21"/>
                <w:highlight w:val="none"/>
              </w:rPr>
              <w:t>一切费用，税金。若投标人有漏项报价，视为已包含在投标总报价中。</w:t>
            </w:r>
          </w:p>
          <w:p w14:paraId="560A880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tc>
      </w:tr>
      <w:tr w14:paraId="5A984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74FDD7F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3.2.4</w:t>
            </w:r>
          </w:p>
        </w:tc>
        <w:tc>
          <w:tcPr>
            <w:tcW w:w="1788" w:type="dxa"/>
            <w:vAlign w:val="center"/>
          </w:tcPr>
          <w:p w14:paraId="7684FBA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最高投标限价</w:t>
            </w:r>
          </w:p>
        </w:tc>
        <w:tc>
          <w:tcPr>
            <w:tcW w:w="6640" w:type="dxa"/>
            <w:vAlign w:val="center"/>
          </w:tcPr>
          <w:p w14:paraId="09998616">
            <w:pPr>
              <w:keepNext w:val="0"/>
              <w:keepLines w:val="0"/>
              <w:widowControl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投标报价最高限价为</w:t>
            </w:r>
            <w:r>
              <w:rPr>
                <w:rFonts w:hint="eastAsia" w:ascii="宋体" w:hAnsi="宋体" w:eastAsia="宋体" w:cs="宋体"/>
                <w:color w:val="auto"/>
                <w:szCs w:val="21"/>
                <w:highlight w:val="none"/>
                <w:u w:val="single"/>
              </w:rPr>
              <w:t>2500840.00</w:t>
            </w:r>
            <w:r>
              <w:rPr>
                <w:rFonts w:hint="default" w:ascii="宋体" w:hAnsi="宋体" w:cs="宋体"/>
                <w:color w:val="auto"/>
                <w:szCs w:val="21"/>
                <w:highlight w:val="none"/>
                <w:u w:val="none"/>
                <w:lang w:val="en-US" w:eastAsia="zh-CN"/>
              </w:rPr>
              <w:t>元（大写：</w:t>
            </w:r>
            <w:r>
              <w:rPr>
                <w:rFonts w:hint="eastAsia" w:ascii="宋体" w:hAnsi="宋体" w:cs="宋体"/>
                <w:color w:val="auto"/>
                <w:szCs w:val="21"/>
                <w:highlight w:val="none"/>
                <w:u w:val="single"/>
                <w:lang w:val="en-US" w:eastAsia="zh-CN"/>
              </w:rPr>
              <w:t>贰佰伍拾万零捌佰肆拾元整</w:t>
            </w:r>
            <w:r>
              <w:rPr>
                <w:rFonts w:hint="default" w:ascii="宋体" w:hAnsi="宋体" w:cs="宋体"/>
                <w:color w:val="auto"/>
                <w:szCs w:val="21"/>
                <w:highlight w:val="none"/>
                <w:u w:val="single"/>
                <w:lang w:val="en-US" w:eastAsia="zh-CN"/>
              </w:rPr>
              <w:t>）</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rPr>
              <w:t>投标人的投标报价不得超过其最高限价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否则由评标委员会作否决投标处理。</w:t>
            </w:r>
          </w:p>
        </w:tc>
      </w:tr>
      <w:tr w14:paraId="4604F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44" w:type="dxa"/>
            <w:vAlign w:val="center"/>
          </w:tcPr>
          <w:p w14:paraId="584F297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3.2.5</w:t>
            </w:r>
          </w:p>
        </w:tc>
        <w:tc>
          <w:tcPr>
            <w:tcW w:w="1788" w:type="dxa"/>
            <w:vAlign w:val="center"/>
          </w:tcPr>
          <w:p w14:paraId="11932D4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投标报价的其他要求</w:t>
            </w:r>
          </w:p>
        </w:tc>
        <w:tc>
          <w:tcPr>
            <w:tcW w:w="6640" w:type="dxa"/>
            <w:vAlign w:val="center"/>
          </w:tcPr>
          <w:p w14:paraId="767160C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0C7385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44" w:type="dxa"/>
            <w:vAlign w:val="center"/>
          </w:tcPr>
          <w:p w14:paraId="19B6C67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w:t>
            </w:r>
          </w:p>
        </w:tc>
        <w:tc>
          <w:tcPr>
            <w:tcW w:w="1788" w:type="dxa"/>
            <w:vAlign w:val="center"/>
          </w:tcPr>
          <w:p w14:paraId="043FFCD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投标有效期</w:t>
            </w:r>
          </w:p>
        </w:tc>
        <w:tc>
          <w:tcPr>
            <w:tcW w:w="6640" w:type="dxa"/>
            <w:vAlign w:val="center"/>
          </w:tcPr>
          <w:p w14:paraId="45630FD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日历天（从提交投标文件截止日起计算）</w:t>
            </w:r>
          </w:p>
        </w:tc>
      </w:tr>
      <w:tr w14:paraId="18A45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0F9C5E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w:t>
            </w:r>
          </w:p>
        </w:tc>
        <w:tc>
          <w:tcPr>
            <w:tcW w:w="1788" w:type="dxa"/>
            <w:vAlign w:val="center"/>
          </w:tcPr>
          <w:p w14:paraId="3557B05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6640" w:type="dxa"/>
            <w:vAlign w:val="center"/>
          </w:tcPr>
          <w:p w14:paraId="045CB8F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投标保证金的交纳方式：投标人可选择以下二种方式之一。</w:t>
            </w:r>
          </w:p>
          <w:p w14:paraId="315B8A0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0B5178D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一、投标保证金的交纳</w:t>
            </w:r>
          </w:p>
          <w:p w14:paraId="61C0DBA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1.本项目投标保证金为:</w:t>
            </w:r>
            <w:r>
              <w:rPr>
                <w:rFonts w:hint="eastAsia" w:ascii="宋体" w:hAnsi="宋体" w:cs="宋体"/>
                <w:color w:val="auto"/>
                <w:szCs w:val="21"/>
                <w:highlight w:val="none"/>
                <w:lang w:val="en-US" w:eastAsia="zh-CN"/>
              </w:rPr>
              <w:t>3.8万元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叁万捌仟元整</w:t>
            </w:r>
            <w:r>
              <w:rPr>
                <w:rFonts w:hint="eastAsia" w:ascii="宋体" w:hAnsi="宋体" w:eastAsia="宋体" w:cs="宋体"/>
                <w:color w:val="auto"/>
                <w:szCs w:val="21"/>
                <w:highlight w:val="none"/>
                <w:lang w:eastAsia="zh-CN"/>
              </w:rPr>
              <w:t>）。</w:t>
            </w:r>
          </w:p>
          <w:p w14:paraId="2E5D8AC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2.投标保证金提交方式：以银行转账或银行电汇形式提交，投标可任选一种。</w:t>
            </w:r>
          </w:p>
          <w:p w14:paraId="3A085AE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3.提交时间和方式：投标保证金必须从投标人单位基本账户直接转（汇）入重庆市投资咨询有限公司指定的专用银行账户，其转（汇）款到账截止时间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投标截止时间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，若本招标文件规定的投标文件递交截止时间顺延，则投标保证金到账截止时间相应顺延。迟到的投标保证金将导致评委会对其作否决处理。</w:t>
            </w:r>
          </w:p>
          <w:p w14:paraId="2ED3FA5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各投标人递交的投标保证金，如果不是从其基本账户汇出，或者不是汇到上述指定专用账户；将导致评审委员会对其作否决处理。</w:t>
            </w:r>
          </w:p>
          <w:p w14:paraId="11D8C16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投标保证金指定账户如下：</w:t>
            </w:r>
          </w:p>
          <w:p w14:paraId="2203823B">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31DD2D68">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7184F8AE">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账    号：346010100105354662</w:t>
            </w:r>
          </w:p>
          <w:p w14:paraId="3E081DC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4.特别提示：请投标人务必仔细阅读下列条款：</w:t>
            </w:r>
          </w:p>
          <w:p w14:paraId="1EAE974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（1）投标人必须在付款凭证备注栏中注明“项目名称”（可简写）保证金；</w:t>
            </w:r>
          </w:p>
          <w:p w14:paraId="2287337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投标人在银行转账（电汇）时，须充分考虑银行转账（电汇）的时间差风险，如同城转账、异地转账、跨行转账或电汇等所需的时间。投标保证金未在到账截止时间前汇入招标文件指定账户的风险由投标人自行承担。</w:t>
            </w:r>
          </w:p>
          <w:p w14:paraId="598574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投标保证金的退还</w:t>
            </w:r>
          </w:p>
          <w:p w14:paraId="4331A54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非中标候选人的投标保证金的退还：招标人应当在</w:t>
            </w:r>
            <w:r>
              <w:rPr>
                <w:rFonts w:hint="eastAsia" w:ascii="宋体" w:hAnsi="宋体" w:cs="宋体"/>
                <w:color w:val="auto"/>
                <w:szCs w:val="21"/>
                <w:highlight w:val="none"/>
                <w:lang w:val="en-US" w:eastAsia="zh-CN"/>
              </w:rPr>
              <w:t>法定</w:t>
            </w:r>
            <w:r>
              <w:rPr>
                <w:rFonts w:hint="eastAsia" w:ascii="宋体" w:hAnsi="宋体" w:eastAsia="宋体" w:cs="宋体"/>
                <w:color w:val="auto"/>
                <w:szCs w:val="21"/>
                <w:highlight w:val="none"/>
                <w:lang w:eastAsia="zh-CN"/>
              </w:rPr>
              <w:t>时间内确定中标人，通报代理机构并向中标人发出中标通知书，同时代理机构5日内将除中标人以外的投标人</w:t>
            </w:r>
            <w:r>
              <w:rPr>
                <w:rFonts w:hint="eastAsia" w:ascii="宋体" w:hAnsi="宋体" w:cs="宋体"/>
                <w:color w:val="auto"/>
                <w:szCs w:val="21"/>
                <w:highlight w:val="none"/>
                <w:lang w:eastAsia="zh-CN"/>
              </w:rPr>
              <w:t>的</w:t>
            </w:r>
            <w:r>
              <w:rPr>
                <w:rFonts w:hint="eastAsia" w:ascii="宋体" w:hAnsi="宋体" w:eastAsia="宋体" w:cs="宋体"/>
                <w:color w:val="auto"/>
                <w:szCs w:val="21"/>
                <w:highlight w:val="none"/>
                <w:lang w:eastAsia="zh-CN"/>
              </w:rPr>
              <w:t>投标保证金</w:t>
            </w:r>
            <w:r>
              <w:rPr>
                <w:rFonts w:hint="eastAsia"/>
                <w:color w:val="auto"/>
                <w:highlight w:val="none"/>
              </w:rPr>
              <w:t>及银行同期活期存款利息</w:t>
            </w:r>
            <w:r>
              <w:rPr>
                <w:rFonts w:hint="eastAsia" w:ascii="宋体" w:hAnsi="宋体" w:eastAsia="宋体" w:cs="宋体"/>
                <w:color w:val="auto"/>
                <w:szCs w:val="21"/>
                <w:highlight w:val="none"/>
                <w:lang w:eastAsia="zh-CN"/>
              </w:rPr>
              <w:t>退还至其银行基本账户。</w:t>
            </w:r>
          </w:p>
          <w:p w14:paraId="2F2A031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中标人的投标保证金的退还：在招标人与中标人签订合同后5日内，由代理机构将投标保证金</w:t>
            </w:r>
            <w:r>
              <w:rPr>
                <w:rFonts w:hint="eastAsia"/>
                <w:color w:val="auto"/>
                <w:highlight w:val="none"/>
              </w:rPr>
              <w:t>及银行同期活期存款利息</w:t>
            </w:r>
            <w:r>
              <w:rPr>
                <w:rFonts w:hint="eastAsia" w:ascii="宋体" w:hAnsi="宋体" w:eastAsia="宋体" w:cs="宋体"/>
                <w:color w:val="auto"/>
                <w:szCs w:val="21"/>
                <w:highlight w:val="none"/>
                <w:lang w:eastAsia="zh-CN"/>
              </w:rPr>
              <w:t>退还至其银行基本账户。</w:t>
            </w:r>
          </w:p>
          <w:p w14:paraId="2D2E9A08">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2C516A77">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一、以纸质投标保函形式交纳投标保证金</w:t>
            </w:r>
          </w:p>
          <w:p w14:paraId="3FF94E2F">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0481AAE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（1）缴纳形式：纸质投标保函包括银行保函、保证保险和担保保函，其示范文本详见投标文件格式。投标人提交的纸质投标保函应严格执行其示范文本，不得对示范文本中的实质性内容进行修改。</w:t>
            </w:r>
          </w:p>
          <w:p w14:paraId="363FED41">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14:paraId="6AAD380F">
            <w:pPr>
              <w:pStyle w:val="2"/>
              <w:keepNext w:val="0"/>
              <w:keepLines w:val="0"/>
              <w:suppressLineNumbers w:val="0"/>
              <w:spacing w:before="0" w:beforeAutospacing="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cs="宋体"/>
                <w:color w:val="auto"/>
                <w:kern w:val="2"/>
                <w:szCs w:val="21"/>
                <w:highlight w:val="none"/>
              </w:rPr>
              <w:t>投标人须在投标文件</w:t>
            </w:r>
            <w:r>
              <w:rPr>
                <w:rFonts w:hint="eastAsia" w:ascii="宋体" w:hAnsi="宋体" w:cs="宋体"/>
                <w:color w:val="auto"/>
                <w:kern w:val="2"/>
                <w:szCs w:val="21"/>
                <w:highlight w:val="none"/>
                <w:lang w:val="en-US" w:eastAsia="zh-CN"/>
              </w:rPr>
              <w:t>资格审查部分“其他资料”中</w:t>
            </w:r>
            <w:r>
              <w:rPr>
                <w:rFonts w:hint="eastAsia" w:ascii="宋体" w:hAnsi="宋体" w:cs="宋体"/>
                <w:color w:val="auto"/>
                <w:kern w:val="2"/>
                <w:szCs w:val="21"/>
                <w:highlight w:val="none"/>
              </w:rPr>
              <w:t>提供</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复印件</w:t>
            </w:r>
            <w:r>
              <w:rPr>
                <w:rFonts w:hint="eastAsia" w:ascii="宋体" w:hAnsi="宋体" w:cs="宋体"/>
                <w:color w:val="auto"/>
                <w:kern w:val="2"/>
                <w:szCs w:val="21"/>
                <w:highlight w:val="none"/>
              </w:rPr>
              <w:t>，</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原件应当于投标截止时间前在开标现场</w:t>
            </w:r>
            <w:r>
              <w:rPr>
                <w:rFonts w:hint="eastAsia" w:ascii="宋体" w:hAnsi="宋体" w:cs="宋体"/>
                <w:color w:val="auto"/>
                <w:kern w:val="2"/>
                <w:szCs w:val="21"/>
                <w:highlight w:val="none"/>
              </w:rPr>
              <w:t>递交招标人保管</w:t>
            </w:r>
            <w:r>
              <w:rPr>
                <w:rFonts w:hint="eastAsia" w:ascii="宋体" w:hAnsi="宋体" w:cs="宋体"/>
                <w:color w:val="auto"/>
                <w:kern w:val="2"/>
                <w:szCs w:val="21"/>
                <w:highlight w:val="none"/>
                <w:lang w:eastAsia="zh-CN"/>
              </w:rPr>
              <w:t>。</w:t>
            </w:r>
          </w:p>
          <w:p w14:paraId="433475F3">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若投标截止时间延期，则纸质投标保函递交的截止时间和投标截止时间保持一致。</w:t>
            </w:r>
          </w:p>
          <w:p w14:paraId="19E86E0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不满足上述要求的纸质投标保函无效。</w:t>
            </w:r>
          </w:p>
          <w:p w14:paraId="74576381">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 以纸质投标保函形式担保的投标保证金的金额：</w:t>
            </w:r>
            <w:r>
              <w:rPr>
                <w:rFonts w:hint="eastAsia" w:ascii="宋体" w:hAnsi="宋体" w:cs="宋体"/>
                <w:color w:val="auto"/>
                <w:szCs w:val="21"/>
                <w:highlight w:val="none"/>
                <w:lang w:val="en-US" w:eastAsia="zh-CN"/>
              </w:rPr>
              <w:t>3.8万元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叁万捌仟元整</w:t>
            </w:r>
            <w:r>
              <w:rPr>
                <w:rFonts w:hint="eastAsia" w:ascii="宋体" w:hAnsi="宋体" w:eastAsia="宋体" w:cs="宋体"/>
                <w:color w:val="auto"/>
                <w:szCs w:val="21"/>
                <w:highlight w:val="none"/>
                <w:lang w:eastAsia="zh-CN"/>
              </w:rPr>
              <w:t>）。</w:t>
            </w:r>
          </w:p>
          <w:p w14:paraId="241261D8">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 投标人须在纸质投标保函中注明在重庆市辖区范围内的核验地址和核验方式，并确保其递交的纸质投标保函能在开立人在渝的总部或者分支机构进行核验。</w:t>
            </w:r>
          </w:p>
          <w:p w14:paraId="5EEB612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 投标人递交的纸质投标保函原件应与投标文件中提供的纸质投标保函复印件一致，否则由评标委员会作否决投标处理。</w:t>
            </w:r>
          </w:p>
          <w:p w14:paraId="46CC9EF3">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14:paraId="507E1BC9">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二、纸质投标保函的退还、注销</w:t>
            </w:r>
          </w:p>
          <w:p w14:paraId="62B95611">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当在法定时间内确定中标人，向中标人发出中标通知书，同时向除中标人以外的其他投标人退还纸质投标保函并书面通知相关金融机构本项目准予提前注销纸质投标保函。具体注销事宜由投标人与金融机构协商。</w:t>
            </w:r>
          </w:p>
          <w:p w14:paraId="45FFF357">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招标人应在法定时间内和中标人签订合同，并同时书面通知相关金融机构向中标人注销纸质投标保函。具体注销事宜由投标人与金融机构协商。</w:t>
            </w:r>
          </w:p>
          <w:p w14:paraId="6A5CAD3E">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招标人</w:t>
            </w:r>
            <w:r>
              <w:rPr>
                <w:rFonts w:hint="eastAsia" w:ascii="宋体" w:hAnsi="宋体" w:eastAsia="宋体" w:cs="宋体"/>
                <w:b/>
                <w:bCs/>
                <w:color w:val="auto"/>
                <w:szCs w:val="21"/>
                <w:highlight w:val="none"/>
              </w:rPr>
              <w:t>《合格供方库管理办法》，符合免交投标</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及履约</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投标</w:t>
            </w:r>
            <w:r>
              <w:rPr>
                <w:rFonts w:hint="eastAsia" w:ascii="宋体" w:hAnsi="宋体" w:eastAsia="宋体" w:cs="宋体"/>
                <w:b/>
                <w:bCs/>
                <w:color w:val="auto"/>
                <w:szCs w:val="21"/>
                <w:highlight w:val="none"/>
              </w:rPr>
              <w:t>人，可提交经</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人审批通过并加盖</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人单位公章的《免交投标担保及履约担保审批表》代替相关</w:t>
            </w:r>
            <w:r>
              <w:rPr>
                <w:rFonts w:hint="eastAsia" w:ascii="宋体" w:hAnsi="宋体" w:eastAsia="宋体" w:cs="宋体"/>
                <w:b/>
                <w:bCs/>
                <w:color w:val="auto"/>
                <w:szCs w:val="21"/>
                <w:highlight w:val="none"/>
                <w:lang w:eastAsia="zh-CN"/>
              </w:rPr>
              <w:t>投标（或履约）</w:t>
            </w:r>
            <w:r>
              <w:rPr>
                <w:rFonts w:hint="eastAsia" w:ascii="宋体" w:hAnsi="宋体" w:eastAsia="宋体" w:cs="宋体"/>
                <w:b/>
                <w:bCs/>
                <w:color w:val="auto"/>
                <w:szCs w:val="21"/>
                <w:highlight w:val="none"/>
              </w:rPr>
              <w:t>保证金凭证。《免交投标担保及履约担保审批表》须在有效期内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加盖投标单位法人章并装入投标文件</w:t>
            </w:r>
            <w:r>
              <w:rPr>
                <w:rFonts w:hint="eastAsia" w:ascii="宋体" w:hAnsi="宋体" w:eastAsia="宋体" w:cs="宋体"/>
                <w:b/>
                <w:bCs/>
                <w:color w:val="auto"/>
                <w:szCs w:val="21"/>
                <w:highlight w:val="none"/>
                <w:lang w:eastAsia="zh-CN"/>
              </w:rPr>
              <w:t>中。</w:t>
            </w:r>
          </w:p>
          <w:p w14:paraId="41B484BF">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rPr>
            </w:pPr>
            <w:r>
              <w:rPr>
                <w:rFonts w:hint="eastAsia" w:ascii="宋体" w:hAnsi="宋体" w:eastAsia="宋体" w:cs="宋体"/>
                <w:b/>
                <w:bCs/>
                <w:color w:val="auto"/>
                <w:szCs w:val="21"/>
                <w:highlight w:val="none"/>
                <w:lang w:eastAsia="zh-CN"/>
              </w:rPr>
              <w:t>特别说明：已参加本项目第一次投标且已递交投标保证金的投标人，若参与本项目第二次投标的，则不再交纳投标保证金。</w:t>
            </w:r>
          </w:p>
        </w:tc>
      </w:tr>
      <w:tr w14:paraId="2CE324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7B0263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3.4.4</w:t>
            </w:r>
          </w:p>
        </w:tc>
        <w:tc>
          <w:tcPr>
            <w:tcW w:w="1788" w:type="dxa"/>
            <w:vAlign w:val="center"/>
          </w:tcPr>
          <w:p w14:paraId="61B5C74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不予退还投标保证金的情形</w:t>
            </w:r>
          </w:p>
        </w:tc>
        <w:tc>
          <w:tcPr>
            <w:tcW w:w="6640" w:type="dxa"/>
            <w:vAlign w:val="center"/>
          </w:tcPr>
          <w:p w14:paraId="1543C70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（1）投标人在规定的投标有效期内撤销</w:t>
            </w:r>
            <w:r>
              <w:rPr>
                <w:rFonts w:hint="eastAsia" w:ascii="宋体" w:hAnsi="宋体" w:eastAsia="宋体" w:cs="宋体"/>
                <w:color w:val="auto"/>
                <w:kern w:val="0"/>
                <w:szCs w:val="21"/>
                <w:highlight w:val="none"/>
                <w:lang w:val="en-US" w:eastAsia="zh-CN"/>
              </w:rPr>
              <w:t>或修改</w:t>
            </w:r>
            <w:r>
              <w:rPr>
                <w:rFonts w:hint="eastAsia" w:ascii="宋体" w:hAnsi="宋体" w:eastAsia="宋体" w:cs="宋体"/>
                <w:color w:val="auto"/>
                <w:kern w:val="0"/>
                <w:szCs w:val="21"/>
                <w:highlight w:val="none"/>
              </w:rPr>
              <w:t>投标文件；</w:t>
            </w:r>
          </w:p>
          <w:p w14:paraId="3766792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（2）中标人在收到中标通知书后，无正当理由不与招标人订立合同，在签订合同时向招标人提出附加条件，或者不按照招标文件要求提交履约保证金；</w:t>
            </w:r>
          </w:p>
          <w:p w14:paraId="6F1E600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）违反投标人须知第9.2款对投标人的纪律要求的；</w:t>
            </w:r>
          </w:p>
          <w:p w14:paraId="21BBA4F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）法律法规规定的其他情形。</w:t>
            </w:r>
          </w:p>
        </w:tc>
      </w:tr>
      <w:tr w14:paraId="76B249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0761423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p>
        </w:tc>
        <w:tc>
          <w:tcPr>
            <w:tcW w:w="1788" w:type="dxa"/>
            <w:vAlign w:val="center"/>
          </w:tcPr>
          <w:p w14:paraId="088C765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是否允许递交</w:t>
            </w:r>
          </w:p>
          <w:p w14:paraId="6C77288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备选投标方案</w:t>
            </w:r>
          </w:p>
        </w:tc>
        <w:tc>
          <w:tcPr>
            <w:tcW w:w="6640" w:type="dxa"/>
            <w:vAlign w:val="center"/>
          </w:tcPr>
          <w:p w14:paraId="161CDF2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不允许</w:t>
            </w:r>
          </w:p>
        </w:tc>
      </w:tr>
      <w:tr w14:paraId="51927B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1164939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w:t>
            </w:r>
          </w:p>
        </w:tc>
        <w:tc>
          <w:tcPr>
            <w:tcW w:w="1788" w:type="dxa"/>
            <w:vAlign w:val="center"/>
          </w:tcPr>
          <w:p w14:paraId="0E9E48A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投标文件格式要求</w:t>
            </w:r>
          </w:p>
        </w:tc>
        <w:tc>
          <w:tcPr>
            <w:tcW w:w="6640" w:type="dxa"/>
            <w:vAlign w:val="center"/>
          </w:tcPr>
          <w:p w14:paraId="5CB6899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编制投标文件时不得对第六章“投标文件格式”的相应要素作实质性修改，否则视为重大偏差，由评标委员会作否决投标处理。</w:t>
            </w:r>
          </w:p>
        </w:tc>
      </w:tr>
      <w:tr w14:paraId="0018D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05413E7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w:t>
            </w:r>
          </w:p>
        </w:tc>
        <w:tc>
          <w:tcPr>
            <w:tcW w:w="1788" w:type="dxa"/>
            <w:vAlign w:val="center"/>
          </w:tcPr>
          <w:p w14:paraId="29422D4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签名盖章要求</w:t>
            </w:r>
          </w:p>
        </w:tc>
        <w:tc>
          <w:tcPr>
            <w:tcW w:w="6640" w:type="dxa"/>
            <w:vAlign w:val="center"/>
          </w:tcPr>
          <w:p w14:paraId="08C3544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应用不褪色的材料书写或打印，并由投标人的法定代表人或其委托代理人在招标文件规定的位置按招标文件要求签名或盖章、盖单位法人章。委托代理人签名的，投标文件应附法定代表人签署的授权委托书。投标文件应尽量避免涂改、行间插字或删除。如果出现上述情况，改动之处应加盖单位法人章或由投标人的法定代表人或其授权的代理人签名确认。</w:t>
            </w:r>
          </w:p>
          <w:p w14:paraId="35C152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未按上述规定执行的，交由评标委员会作否决投标处理。</w:t>
            </w:r>
          </w:p>
        </w:tc>
      </w:tr>
      <w:tr w14:paraId="6D5677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59BF77C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3.7.4</w:t>
            </w:r>
          </w:p>
        </w:tc>
        <w:tc>
          <w:tcPr>
            <w:tcW w:w="1788" w:type="dxa"/>
            <w:vAlign w:val="center"/>
          </w:tcPr>
          <w:p w14:paraId="059BD8C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投标文件的份数</w:t>
            </w:r>
          </w:p>
        </w:tc>
        <w:tc>
          <w:tcPr>
            <w:tcW w:w="6640" w:type="dxa"/>
            <w:vAlign w:val="center"/>
          </w:tcPr>
          <w:p w14:paraId="1C178721">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kern w:val="0"/>
                <w:szCs w:val="21"/>
                <w:highlight w:val="none"/>
              </w:rPr>
              <w:t>投标文件正本1份、副本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r>
              <w:rPr>
                <w:rFonts w:hint="eastAsia" w:ascii="宋体" w:hAnsi="宋体" w:eastAsia="宋体" w:cs="宋体"/>
                <w:color w:val="auto"/>
                <w:szCs w:val="21"/>
                <w:highlight w:val="none"/>
              </w:rPr>
              <w:t>电子文档</w:t>
            </w:r>
            <w:r>
              <w:rPr>
                <w:rFonts w:hint="eastAsia" w:ascii="宋体" w:hAnsi="宋体" w:eastAsia="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pdf格式</w:t>
            </w:r>
            <w:r>
              <w:rPr>
                <w:rFonts w:hint="eastAsia" w:ascii="宋体" w:hAnsi="宋体" w:eastAsia="宋体" w:cs="宋体"/>
                <w:color w:val="auto"/>
                <w:kern w:val="0"/>
                <w:szCs w:val="21"/>
                <w:highlight w:val="none"/>
              </w:rPr>
              <w:t>）1份</w:t>
            </w:r>
            <w:r>
              <w:rPr>
                <w:rFonts w:hint="eastAsia" w:ascii="宋体" w:hAnsi="宋体" w:cs="宋体"/>
                <w:color w:val="auto"/>
                <w:kern w:val="0"/>
                <w:szCs w:val="21"/>
                <w:highlight w:val="none"/>
                <w:lang w:eastAsia="zh-CN"/>
              </w:rPr>
              <w:t>（包含投标文件所有内容且签字盖章齐全）</w:t>
            </w:r>
            <w:r>
              <w:rPr>
                <w:rFonts w:hint="eastAsia" w:ascii="宋体" w:hAnsi="宋体" w:eastAsia="宋体" w:cs="宋体"/>
                <w:color w:val="auto"/>
                <w:kern w:val="0"/>
                <w:szCs w:val="21"/>
                <w:highlight w:val="none"/>
              </w:rPr>
              <w:t>。当副本和正本不一致时，以正本为准。否则由评标委员会作否决投标处理。</w:t>
            </w:r>
          </w:p>
        </w:tc>
      </w:tr>
      <w:tr w14:paraId="5E46E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44" w:type="dxa"/>
            <w:vAlign w:val="center"/>
          </w:tcPr>
          <w:p w14:paraId="74D22EC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1788" w:type="dxa"/>
            <w:vAlign w:val="center"/>
          </w:tcPr>
          <w:p w14:paraId="5E02141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6640" w:type="dxa"/>
            <w:vAlign w:val="center"/>
          </w:tcPr>
          <w:p w14:paraId="3D103DB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1、本项目</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投标函部分、资格审查部分（含商务部分）、技术部分</w:t>
            </w:r>
            <w:r>
              <w:rPr>
                <w:rFonts w:hint="eastAsia" w:ascii="宋体" w:hAnsi="宋体" w:eastAsia="宋体" w:cs="宋体"/>
                <w:color w:val="auto"/>
                <w:szCs w:val="21"/>
                <w:highlight w:val="none"/>
                <w:lang w:eastAsia="zh-CN"/>
              </w:rPr>
              <w:t>（如有）可以共同装订成一册，也可</w:t>
            </w:r>
            <w:r>
              <w:rPr>
                <w:rFonts w:hint="eastAsia" w:ascii="宋体" w:hAnsi="宋体" w:eastAsia="宋体" w:cs="宋体"/>
                <w:color w:val="auto"/>
                <w:szCs w:val="21"/>
                <w:highlight w:val="none"/>
              </w:rPr>
              <w:t>各自分别装订成册。所有投标文件不论使用任何方式进行装订，必须保证投标书装订牢固，否则，招标人对由于投标文件装订松散而造成的丢失或其他后果不承担任何责任。</w:t>
            </w:r>
          </w:p>
          <w:p w14:paraId="66D7A4A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2、装订</w:t>
            </w:r>
          </w:p>
          <w:p w14:paraId="539CF7A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（1）投标函部分的装订要求</w:t>
            </w:r>
          </w:p>
          <w:p w14:paraId="08AE75D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应按照第六章规定格式装订成册，原则上并应编制目录（但不得将目录编制作为评审因素），标注页码。</w:t>
            </w:r>
          </w:p>
          <w:p w14:paraId="6140314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（2）资格审查部分（含商务部分）的装订要求</w:t>
            </w:r>
          </w:p>
          <w:p w14:paraId="4C2AF9D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应按照第六章规定格式装订成册，并原则上并应编制目录（但不得将目录编制作为评审因素），标注页码。</w:t>
            </w:r>
          </w:p>
          <w:p w14:paraId="073E7CE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（3）技术部分</w:t>
            </w:r>
            <w:r>
              <w:rPr>
                <w:rFonts w:hint="eastAsia" w:ascii="宋体" w:hAnsi="宋体" w:eastAsia="宋体" w:cs="宋体"/>
                <w:color w:val="auto"/>
                <w:szCs w:val="21"/>
                <w:highlight w:val="none"/>
                <w:lang w:eastAsia="zh-CN"/>
              </w:rPr>
              <w:t>（如有）</w:t>
            </w:r>
            <w:r>
              <w:rPr>
                <w:rFonts w:hint="eastAsia" w:ascii="宋体" w:hAnsi="宋体" w:eastAsia="宋体" w:cs="宋体"/>
                <w:color w:val="auto"/>
                <w:szCs w:val="21"/>
                <w:highlight w:val="none"/>
              </w:rPr>
              <w:t>的装订要求</w:t>
            </w:r>
          </w:p>
          <w:p w14:paraId="70E7725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应按第六章规定格式装订成册，原则上并应编制目录（但不得将目录编制作为评审因素），标注页码。</w:t>
            </w:r>
          </w:p>
        </w:tc>
      </w:tr>
      <w:tr w14:paraId="27D8F4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796D5E4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w:t>
            </w:r>
          </w:p>
        </w:tc>
        <w:tc>
          <w:tcPr>
            <w:tcW w:w="1788" w:type="dxa"/>
            <w:vAlign w:val="center"/>
          </w:tcPr>
          <w:p w14:paraId="60D80D7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w:t>
            </w:r>
          </w:p>
          <w:p w14:paraId="12A22D8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的密封</w:t>
            </w:r>
          </w:p>
        </w:tc>
        <w:tc>
          <w:tcPr>
            <w:tcW w:w="6640" w:type="dxa"/>
            <w:vAlign w:val="center"/>
          </w:tcPr>
          <w:p w14:paraId="07D662D5">
            <w:pPr>
              <w:pStyle w:val="320"/>
              <w:keepNext w:val="0"/>
              <w:keepLines w:val="0"/>
              <w:suppressLineNumbers w:val="0"/>
              <w:adjustRightInd w:val="0"/>
              <w:snapToGrid w:val="0"/>
              <w:spacing w:before="0" w:beforeLines="0" w:beforeAutospacing="0" w:after="0" w:afterLines="0" w:afterAutospacing="0" w:line="400" w:lineRule="exact"/>
              <w:ind w:left="0" w:leftChars="0" w:right="0" w:firstLine="420" w:firstLineChars="200"/>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1、电子文档</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U盘</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val="en-US" w:eastAsia="zh-CN"/>
              </w:rPr>
              <w:t>1</w:t>
            </w:r>
            <w:r>
              <w:rPr>
                <w:rFonts w:hint="eastAsia" w:ascii="宋体" w:hAnsi="宋体" w:eastAsia="宋体" w:cs="宋体"/>
                <w:color w:val="auto"/>
                <w:szCs w:val="21"/>
                <w:highlight w:val="none"/>
                <w:u w:val="none"/>
              </w:rPr>
              <w:t>份，U盘上注明项目名称和投标单位名称并加盖投标人单位法人章，装入“电子</w:t>
            </w:r>
            <w:r>
              <w:rPr>
                <w:rFonts w:hint="eastAsia" w:ascii="宋体" w:hAnsi="宋体" w:eastAsia="宋体" w:cs="宋体"/>
                <w:color w:val="auto"/>
                <w:szCs w:val="21"/>
                <w:highlight w:val="none"/>
                <w:u w:val="none"/>
                <w:lang w:eastAsia="zh-CN"/>
              </w:rPr>
              <w:t>文档袋</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rPr>
              <w:t xml:space="preserve"> </w:t>
            </w:r>
          </w:p>
          <w:p w14:paraId="7FACB1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2</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所有投标文件（含</w:t>
            </w:r>
            <w:r>
              <w:rPr>
                <w:rFonts w:hint="eastAsia" w:ascii="宋体" w:hAnsi="宋体" w:eastAsia="宋体" w:cs="宋体"/>
                <w:color w:val="auto"/>
                <w:szCs w:val="21"/>
                <w:highlight w:val="none"/>
                <w:u w:val="none"/>
              </w:rPr>
              <w:t>电子</w:t>
            </w:r>
            <w:r>
              <w:rPr>
                <w:rFonts w:hint="eastAsia" w:ascii="宋体" w:hAnsi="宋体" w:eastAsia="宋体" w:cs="宋体"/>
                <w:color w:val="auto"/>
                <w:szCs w:val="21"/>
                <w:highlight w:val="none"/>
                <w:u w:val="none"/>
                <w:lang w:eastAsia="zh-CN"/>
              </w:rPr>
              <w:t>文档）</w:t>
            </w:r>
            <w:r>
              <w:rPr>
                <w:rFonts w:hint="eastAsia" w:ascii="宋体" w:hAnsi="宋体" w:eastAsia="宋体" w:cs="宋体"/>
                <w:color w:val="auto"/>
                <w:szCs w:val="21"/>
                <w:highlight w:val="none"/>
                <w:u w:val="none"/>
              </w:rPr>
              <w:t>等装入“投标文件”大袋中，密封并在大袋上加盖投标人单位法人章，同时“投标文件”袋应按本表第4.1.2项的规定写明相应内容。一个大袋装不下的，可使用多个大袋分册封装。大袋未按要求密封的，招标人或代理机构应该拒收。</w:t>
            </w:r>
          </w:p>
        </w:tc>
      </w:tr>
      <w:tr w14:paraId="33A43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028BC24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w:t>
            </w:r>
          </w:p>
        </w:tc>
        <w:tc>
          <w:tcPr>
            <w:tcW w:w="1788" w:type="dxa"/>
            <w:vAlign w:val="center"/>
          </w:tcPr>
          <w:p w14:paraId="363C65B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封套上应载明的信息</w:t>
            </w:r>
          </w:p>
        </w:tc>
        <w:tc>
          <w:tcPr>
            <w:tcW w:w="6640" w:type="dxa"/>
            <w:vAlign w:val="center"/>
          </w:tcPr>
          <w:p w14:paraId="1F2F685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“投标文件”袋封套上</w:t>
            </w:r>
            <w:r>
              <w:rPr>
                <w:rFonts w:hint="eastAsia" w:ascii="宋体" w:hAnsi="宋体" w:eastAsia="宋体" w:cs="宋体"/>
                <w:color w:val="auto"/>
                <w:kern w:val="0"/>
                <w:szCs w:val="21"/>
                <w:highlight w:val="none"/>
                <w:lang w:val="en-US" w:eastAsia="zh-CN"/>
              </w:rPr>
              <w:t>载</w:t>
            </w:r>
            <w:r>
              <w:rPr>
                <w:rFonts w:hint="eastAsia" w:ascii="宋体" w:hAnsi="宋体" w:eastAsia="宋体" w:cs="宋体"/>
                <w:color w:val="auto"/>
                <w:kern w:val="0"/>
                <w:szCs w:val="21"/>
                <w:highlight w:val="none"/>
              </w:rPr>
              <w:t>明如下内容：</w:t>
            </w:r>
          </w:p>
          <w:p w14:paraId="0DD21EB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招标人名称：</w:t>
            </w:r>
          </w:p>
          <w:p w14:paraId="1401DEB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投标人名称：</w:t>
            </w:r>
          </w:p>
          <w:p w14:paraId="0A4D1C2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（项目名称）</w:t>
            </w:r>
            <w:r>
              <w:rPr>
                <w:rFonts w:hint="eastAsia" w:ascii="宋体" w:hAnsi="宋体" w:eastAsia="宋体" w:cs="宋体"/>
                <w:color w:val="auto"/>
                <w:kern w:val="0"/>
                <w:szCs w:val="21"/>
                <w:highlight w:val="none"/>
              </w:rPr>
              <w:t>投标文件</w:t>
            </w:r>
          </w:p>
          <w:p w14:paraId="0203F11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分前不得开启</w:t>
            </w:r>
          </w:p>
        </w:tc>
      </w:tr>
      <w:tr w14:paraId="62F406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48FD622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w:t>
            </w:r>
          </w:p>
        </w:tc>
        <w:tc>
          <w:tcPr>
            <w:tcW w:w="1788" w:type="dxa"/>
            <w:vAlign w:val="center"/>
          </w:tcPr>
          <w:p w14:paraId="509DEE0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投标截止时间</w:t>
            </w:r>
          </w:p>
        </w:tc>
        <w:tc>
          <w:tcPr>
            <w:tcW w:w="6640" w:type="dxa"/>
            <w:vAlign w:val="center"/>
          </w:tcPr>
          <w:p w14:paraId="30492A3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详见招标公告中规定的投标文件递交截止时间。</w:t>
            </w:r>
          </w:p>
        </w:tc>
      </w:tr>
      <w:tr w14:paraId="5FA8DF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56D3D3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w:t>
            </w:r>
          </w:p>
        </w:tc>
        <w:tc>
          <w:tcPr>
            <w:tcW w:w="1788" w:type="dxa"/>
            <w:vAlign w:val="center"/>
          </w:tcPr>
          <w:p w14:paraId="59C8627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递交投标文件地点</w:t>
            </w:r>
          </w:p>
        </w:tc>
        <w:tc>
          <w:tcPr>
            <w:tcW w:w="6640" w:type="dxa"/>
            <w:vAlign w:val="center"/>
          </w:tcPr>
          <w:p w14:paraId="2A2B2C6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0BDF0A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3C1859E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4.2.3</w:t>
            </w:r>
          </w:p>
        </w:tc>
        <w:tc>
          <w:tcPr>
            <w:tcW w:w="1788" w:type="dxa"/>
            <w:vAlign w:val="center"/>
          </w:tcPr>
          <w:p w14:paraId="6EF9784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投标文件是否退还</w:t>
            </w:r>
          </w:p>
        </w:tc>
        <w:tc>
          <w:tcPr>
            <w:tcW w:w="6640" w:type="dxa"/>
            <w:vAlign w:val="center"/>
          </w:tcPr>
          <w:p w14:paraId="7DBF4A8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否</w:t>
            </w:r>
          </w:p>
        </w:tc>
      </w:tr>
      <w:tr w14:paraId="44CD67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4630CB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w:t>
            </w:r>
          </w:p>
        </w:tc>
        <w:tc>
          <w:tcPr>
            <w:tcW w:w="1788" w:type="dxa"/>
            <w:vAlign w:val="center"/>
          </w:tcPr>
          <w:p w14:paraId="75E3EAB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开标时间和</w:t>
            </w:r>
          </w:p>
          <w:p w14:paraId="2DB36AD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地点</w:t>
            </w:r>
          </w:p>
        </w:tc>
        <w:tc>
          <w:tcPr>
            <w:tcW w:w="6640" w:type="dxa"/>
            <w:vAlign w:val="center"/>
          </w:tcPr>
          <w:p w14:paraId="69019E86">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开标时间：同投标截止时间。 </w:t>
            </w:r>
          </w:p>
          <w:p w14:paraId="284A898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 w:val="21"/>
                <w:szCs w:val="21"/>
                <w:highlight w:val="none"/>
              </w:rPr>
              <w:t>开标地点：</w:t>
            </w: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18D403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03E1B94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1788" w:type="dxa"/>
            <w:vAlign w:val="center"/>
          </w:tcPr>
          <w:p w14:paraId="1AD12F3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开标程序</w:t>
            </w:r>
          </w:p>
        </w:tc>
        <w:tc>
          <w:tcPr>
            <w:tcW w:w="6640" w:type="dxa"/>
            <w:vAlign w:val="center"/>
          </w:tcPr>
          <w:p w14:paraId="63B8E57F">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主持人按下列程序进行开标：</w:t>
            </w:r>
          </w:p>
          <w:p w14:paraId="34952DEE">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法定代表人或委托代理人可自行选择是否参加开标会，不参加开标会的视为默认开标结果。</w:t>
            </w:r>
          </w:p>
          <w:p w14:paraId="7DF5D0F2">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（2）宣布开标纪律；</w:t>
            </w:r>
          </w:p>
          <w:p w14:paraId="4ED3A6ED">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（3）宣布开标人、唱标人、记录人、监标人等有关人员姓名；</w:t>
            </w:r>
          </w:p>
          <w:p w14:paraId="77E16C40">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（4）公布在投标截止时间前递交投标文件的投标人名称。</w:t>
            </w:r>
          </w:p>
          <w:p w14:paraId="5BE2118B">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（5）投标文件的密封检查：投标人可对自己的投标文件封装情况进行检查，以确认其投标文件密封完好。</w:t>
            </w:r>
          </w:p>
          <w:p w14:paraId="73C5BF71">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（6）汇总投标保证金缴纳情况</w:t>
            </w:r>
            <w:r>
              <w:rPr>
                <w:rFonts w:hint="eastAsia" w:ascii="宋体" w:hAnsi="宋体" w:eastAsia="宋体" w:cs="宋体"/>
                <w:color w:val="auto"/>
                <w:sz w:val="21"/>
                <w:szCs w:val="21"/>
                <w:highlight w:val="none"/>
                <w:lang w:eastAsia="zh-CN"/>
              </w:rPr>
              <w:t>。</w:t>
            </w:r>
          </w:p>
          <w:p w14:paraId="15B24E86">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（7）设有最高限价的，公布最高限价。</w:t>
            </w:r>
          </w:p>
          <w:p w14:paraId="4035CF82">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（8）逐单位随机开启投标文件。公布投标人名称、投标报价、</w:t>
            </w:r>
            <w:r>
              <w:rPr>
                <w:rFonts w:hint="eastAsia" w:ascii="宋体" w:hAnsi="宋体" w:cs="宋体"/>
                <w:color w:val="auto"/>
                <w:sz w:val="21"/>
                <w:szCs w:val="21"/>
                <w:highlight w:val="none"/>
                <w:lang w:eastAsia="zh-CN"/>
              </w:rPr>
              <w:t>交货</w:t>
            </w:r>
            <w:r>
              <w:rPr>
                <w:rFonts w:hint="eastAsia" w:ascii="宋体" w:hAnsi="宋体" w:eastAsia="宋体" w:cs="宋体"/>
                <w:color w:val="auto"/>
                <w:sz w:val="21"/>
                <w:szCs w:val="21"/>
                <w:highlight w:val="none"/>
              </w:rPr>
              <w:t>期及其他内容并记录在案。</w:t>
            </w:r>
          </w:p>
          <w:p w14:paraId="033E1D62">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（9）投标人对开标有异议的，应当场提出，由招标人或代理机构当场答复，并记录到开标记录表中。异议处理完毕后，汇总开标情况，打印开标记录表。</w:t>
            </w:r>
          </w:p>
          <w:p w14:paraId="1BBE1CED">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（10）投标人代表、招标人代表、监标人、主持人、记录人等有关人员在开标记录上签名确认。因其他原因未能签名的，视为默认开标结果。</w:t>
            </w:r>
          </w:p>
          <w:p w14:paraId="1416C39C">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（11）开标结束。</w:t>
            </w:r>
          </w:p>
        </w:tc>
      </w:tr>
      <w:tr w14:paraId="524191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1990788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w:t>
            </w:r>
          </w:p>
        </w:tc>
        <w:tc>
          <w:tcPr>
            <w:tcW w:w="1788" w:type="dxa"/>
            <w:vAlign w:val="center"/>
          </w:tcPr>
          <w:p w14:paraId="3BDDE4E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评标委员会的组建</w:t>
            </w:r>
          </w:p>
        </w:tc>
        <w:tc>
          <w:tcPr>
            <w:tcW w:w="6640" w:type="dxa"/>
            <w:vAlign w:val="center"/>
          </w:tcPr>
          <w:p w14:paraId="4A6D9C44">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36"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pacing w:val="4"/>
                <w:kern w:val="0"/>
                <w:szCs w:val="21"/>
                <w:highlight w:val="none"/>
              </w:rPr>
              <w:t>由招标人按法律法规及相关规定依法组建评标委员会</w:t>
            </w:r>
            <w:r>
              <w:rPr>
                <w:rFonts w:hint="eastAsia" w:ascii="宋体" w:hAnsi="宋体" w:eastAsia="宋体" w:cs="宋体"/>
                <w:color w:val="auto"/>
                <w:kern w:val="0"/>
                <w:szCs w:val="21"/>
                <w:highlight w:val="none"/>
              </w:rPr>
              <w:t>。</w:t>
            </w:r>
          </w:p>
        </w:tc>
      </w:tr>
      <w:tr w14:paraId="053F2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18083A3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6.3.2</w:t>
            </w:r>
          </w:p>
        </w:tc>
        <w:tc>
          <w:tcPr>
            <w:tcW w:w="1788" w:type="dxa"/>
            <w:vAlign w:val="center"/>
          </w:tcPr>
          <w:p w14:paraId="17AAB3A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评标委员会推荐中标候选人的人数</w:t>
            </w:r>
          </w:p>
        </w:tc>
        <w:tc>
          <w:tcPr>
            <w:tcW w:w="6640" w:type="dxa"/>
            <w:vAlign w:val="center"/>
          </w:tcPr>
          <w:p w14:paraId="73CD28C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2名</w:t>
            </w:r>
          </w:p>
        </w:tc>
      </w:tr>
      <w:tr w14:paraId="257597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064AA8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w:t>
            </w:r>
          </w:p>
        </w:tc>
        <w:tc>
          <w:tcPr>
            <w:tcW w:w="1788" w:type="dxa"/>
            <w:vAlign w:val="center"/>
          </w:tcPr>
          <w:p w14:paraId="1288FA1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中标候选人公示</w:t>
            </w:r>
          </w:p>
        </w:tc>
        <w:tc>
          <w:tcPr>
            <w:tcW w:w="6640" w:type="dxa"/>
            <w:vAlign w:val="center"/>
          </w:tcPr>
          <w:p w14:paraId="7C703443">
            <w:pPr>
              <w:keepNext w:val="0"/>
              <w:keepLines w:val="0"/>
              <w:suppressLineNumbers w:val="0"/>
              <w:wordWrap w:val="0"/>
              <w:autoSpaceDE w:val="0"/>
              <w:autoSpaceDN w:val="0"/>
              <w:adjustRightInd w:val="0"/>
              <w:snapToGrid w:val="0"/>
              <w:spacing w:before="0" w:beforeLines="0" w:beforeAutospacing="0" w:after="0" w:afterLines="0" w:afterAutospacing="0" w:line="400" w:lineRule="exact"/>
              <w:ind w:left="0" w:right="0" w:firstLine="436" w:firstLineChars="200"/>
              <w:jc w:val="left"/>
              <w:rPr>
                <w:rFonts w:hint="eastAsia" w:ascii="宋体" w:hAnsi="宋体" w:eastAsia="宋体" w:cs="宋体"/>
                <w:color w:val="auto"/>
                <w:spacing w:val="4"/>
                <w:kern w:val="0"/>
                <w:szCs w:val="21"/>
                <w:highlight w:val="none"/>
              </w:rPr>
            </w:pPr>
            <w:r>
              <w:rPr>
                <w:rFonts w:hint="eastAsia" w:ascii="宋体" w:hAnsi="宋体" w:eastAsia="宋体" w:cs="宋体"/>
                <w:color w:val="auto"/>
                <w:spacing w:val="4"/>
                <w:kern w:val="0"/>
                <w:szCs w:val="21"/>
                <w:highlight w:val="none"/>
              </w:rPr>
              <w:t>招标人在收到评标报告后3日内将评标结果在</w:t>
            </w:r>
            <w:r>
              <w:rPr>
                <w:rFonts w:hint="eastAsia" w:ascii="宋体" w:hAnsi="宋体" w:eastAsia="宋体" w:cs="宋体"/>
                <w:color w:val="auto"/>
                <w:spacing w:val="4"/>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spacing w:val="4"/>
                <w:kern w:val="0"/>
                <w:szCs w:val="21"/>
                <w:highlight w:val="none"/>
              </w:rPr>
              <w:t>上进行公示，公示期</w:t>
            </w:r>
            <w:r>
              <w:rPr>
                <w:rFonts w:hint="eastAsia" w:ascii="宋体" w:hAnsi="宋体" w:eastAsia="宋体" w:cs="宋体"/>
                <w:color w:val="auto"/>
                <w:spacing w:val="4"/>
                <w:kern w:val="0"/>
                <w:szCs w:val="21"/>
                <w:highlight w:val="none"/>
                <w:lang w:val="en-US" w:eastAsia="zh-CN"/>
              </w:rPr>
              <w:t>不少于</w:t>
            </w:r>
            <w:r>
              <w:rPr>
                <w:rFonts w:hint="eastAsia" w:ascii="宋体" w:hAnsi="宋体" w:eastAsia="宋体" w:cs="宋体"/>
                <w:color w:val="auto"/>
                <w:spacing w:val="4"/>
                <w:kern w:val="0"/>
                <w:szCs w:val="21"/>
                <w:highlight w:val="none"/>
              </w:rPr>
              <w:t>3日。</w:t>
            </w:r>
          </w:p>
        </w:tc>
      </w:tr>
      <w:tr w14:paraId="36192C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0AD0488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w:t>
            </w:r>
          </w:p>
        </w:tc>
        <w:tc>
          <w:tcPr>
            <w:tcW w:w="1788" w:type="dxa"/>
            <w:vAlign w:val="center"/>
          </w:tcPr>
          <w:p w14:paraId="16F6C2A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是否授权评标委员会确定中标人</w:t>
            </w:r>
          </w:p>
        </w:tc>
        <w:tc>
          <w:tcPr>
            <w:tcW w:w="6640" w:type="dxa"/>
            <w:vAlign w:val="center"/>
          </w:tcPr>
          <w:p w14:paraId="40C6370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kern w:val="0"/>
                <w:szCs w:val="21"/>
                <w:highlight w:val="none"/>
              </w:rPr>
            </w:pPr>
            <w:r>
              <w:rPr>
                <w:rFonts w:hint="eastAsia" w:ascii="宋体" w:hAnsi="宋体" w:eastAsia="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名为中标候选人</w:t>
            </w:r>
            <w:r>
              <w:rPr>
                <w:rFonts w:hint="eastAsia" w:ascii="宋体" w:hAnsi="宋体" w:cs="宋体"/>
                <w:color w:val="auto"/>
                <w:kern w:val="0"/>
                <w:szCs w:val="21"/>
                <w:highlight w:val="none"/>
                <w:lang w:eastAsia="zh-CN"/>
              </w:rPr>
              <w:t>，不足</w:t>
            </w:r>
            <w:r>
              <w:rPr>
                <w:rFonts w:hint="eastAsia" w:ascii="宋体" w:hAnsi="宋体" w:cs="宋体"/>
                <w:color w:val="auto"/>
                <w:kern w:val="0"/>
                <w:szCs w:val="21"/>
                <w:highlight w:val="none"/>
                <w:lang w:val="en-US" w:eastAsia="zh-CN"/>
              </w:rPr>
              <w:t>2名按实际数量推荐</w:t>
            </w:r>
            <w:r>
              <w:rPr>
                <w:rFonts w:hint="eastAsia" w:ascii="宋体" w:hAnsi="宋体" w:eastAsia="宋体" w:cs="宋体"/>
                <w:color w:val="auto"/>
                <w:kern w:val="0"/>
                <w:szCs w:val="21"/>
                <w:highlight w:val="none"/>
              </w:rPr>
              <w:t>。</w:t>
            </w:r>
          </w:p>
        </w:tc>
      </w:tr>
      <w:tr w14:paraId="20D41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5EBAC62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.1</w:t>
            </w:r>
          </w:p>
        </w:tc>
        <w:tc>
          <w:tcPr>
            <w:tcW w:w="1788" w:type="dxa"/>
            <w:vAlign w:val="center"/>
          </w:tcPr>
          <w:p w14:paraId="03A0F8D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w:t>
            </w:r>
          </w:p>
        </w:tc>
        <w:tc>
          <w:tcPr>
            <w:tcW w:w="6640" w:type="dxa"/>
            <w:vAlign w:val="center"/>
          </w:tcPr>
          <w:p w14:paraId="281F57F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1、中标人是否提供履约保证金：提供。</w:t>
            </w:r>
          </w:p>
          <w:p w14:paraId="6398E04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2、中标人提供履约保证金的形式、金额及期限：</w:t>
            </w:r>
          </w:p>
          <w:p w14:paraId="2D77943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（1）履约保证金的形式：现金或</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保函或现金+</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保函的组合，履约保函包括银行保函、保证保险和担保保函，其示范文本详见第四章合同条款及格式附件。中标人提交的履约保函应严格执行其示范文本，不得对示范文本中的实质性内容进行修改。</w:t>
            </w:r>
          </w:p>
          <w:p w14:paraId="48C4E9F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中标人对所提交的履约保函的真实性、合法性、有效性负责。</w:t>
            </w:r>
          </w:p>
          <w:p w14:paraId="1580934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）履约保证金的金额：</w:t>
            </w:r>
            <w:r>
              <w:rPr>
                <w:rFonts w:hint="eastAsia" w:ascii="宋体" w:hAnsi="宋体" w:eastAsia="宋体" w:cs="宋体"/>
                <w:color w:val="auto"/>
                <w:szCs w:val="21"/>
                <w:highlight w:val="none"/>
                <w:u w:val="single"/>
                <w:lang w:val="en-US" w:eastAsia="zh-CN"/>
              </w:rPr>
              <w:t>中标合同额的10%</w:t>
            </w:r>
            <w:r>
              <w:rPr>
                <w:rFonts w:hint="eastAsia" w:ascii="宋体" w:hAnsi="宋体" w:eastAsia="宋体" w:cs="宋体"/>
                <w:color w:val="auto"/>
                <w:szCs w:val="21"/>
                <w:highlight w:val="none"/>
                <w:u w:val="single"/>
              </w:rPr>
              <w:t>。</w:t>
            </w:r>
          </w:p>
          <w:p w14:paraId="7A6B8B1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）履约保证金的提交时间：</w:t>
            </w:r>
            <w:r>
              <w:rPr>
                <w:rFonts w:hint="eastAsia" w:ascii="宋体" w:hAnsi="宋体" w:cs="宋体"/>
                <w:color w:val="auto"/>
                <w:szCs w:val="21"/>
                <w:highlight w:val="none"/>
              </w:rPr>
              <w:t>中标人收到中标通知书后30日内提交</w:t>
            </w:r>
            <w:r>
              <w:rPr>
                <w:rFonts w:hint="eastAsia" w:ascii="宋体" w:hAnsi="宋体" w:eastAsia="宋体" w:cs="宋体"/>
                <w:color w:val="auto"/>
                <w:szCs w:val="21"/>
                <w:highlight w:val="none"/>
              </w:rPr>
              <w:t>。</w:t>
            </w:r>
          </w:p>
          <w:p w14:paraId="3E4B4DE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）履约保证金的期限：</w:t>
            </w:r>
            <w:r>
              <w:rPr>
                <w:rFonts w:hint="eastAsia" w:ascii="宋体" w:hAnsi="宋体" w:cs="宋体"/>
                <w:color w:val="auto"/>
                <w:szCs w:val="21"/>
                <w:highlight w:val="none"/>
              </w:rPr>
              <w:t>自提交履约担保之日起至项目完工之日止。</w:t>
            </w:r>
          </w:p>
          <w:p w14:paraId="0D997C5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）履约保证金的退还时间：</w:t>
            </w:r>
            <w:r>
              <w:rPr>
                <w:rFonts w:hint="eastAsia" w:ascii="宋体" w:hAnsi="宋体" w:cs="宋体"/>
                <w:color w:val="auto"/>
                <w:szCs w:val="21"/>
                <w:highlight w:val="none"/>
              </w:rPr>
              <w:t>采用现金担保的，合同工程完工证书颁发后28天内一次性退还；采用银行保函的，合同工程完工证书颁发后28天内退还。</w:t>
            </w:r>
          </w:p>
          <w:p w14:paraId="14DC05C8">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注：</w:t>
            </w: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lang w:eastAsia="zh-CN"/>
              </w:rPr>
              <w:t>招标人</w:t>
            </w:r>
            <w:r>
              <w:rPr>
                <w:rFonts w:hint="eastAsia" w:ascii="宋体" w:hAnsi="宋体" w:eastAsia="宋体" w:cs="宋体"/>
                <w:color w:val="auto"/>
                <w:szCs w:val="21"/>
                <w:highlight w:val="none"/>
              </w:rPr>
              <w:t>《合格供方库管理办法》，符合免交投标</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及履约</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资格的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人，可提交经</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人审批通过并加盖</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人单位公章的《免交投标担保及履约担保审批表》代替相关</w:t>
            </w:r>
            <w:r>
              <w:rPr>
                <w:rFonts w:hint="eastAsia" w:ascii="宋体" w:hAnsi="宋体" w:eastAsia="宋体" w:cs="宋体"/>
                <w:color w:val="auto"/>
                <w:szCs w:val="21"/>
                <w:highlight w:val="none"/>
                <w:lang w:eastAsia="zh-CN"/>
              </w:rPr>
              <w:t>投标（或履约）</w:t>
            </w:r>
            <w:r>
              <w:rPr>
                <w:rFonts w:hint="eastAsia" w:ascii="宋体" w:hAnsi="宋体" w:eastAsia="宋体" w:cs="宋体"/>
                <w:color w:val="auto"/>
                <w:szCs w:val="21"/>
                <w:highlight w:val="none"/>
              </w:rPr>
              <w:t>保证金凭证。《免交投标担保及履约担保审批表》须在有效期内</w:t>
            </w:r>
            <w:r>
              <w:rPr>
                <w:rFonts w:hint="eastAsia" w:ascii="宋体" w:hAnsi="宋体" w:eastAsia="宋体" w:cs="宋体"/>
                <w:color w:val="auto"/>
                <w:szCs w:val="21"/>
                <w:highlight w:val="none"/>
                <w:lang w:eastAsia="zh-CN"/>
              </w:rPr>
              <w:t>。</w:t>
            </w:r>
          </w:p>
        </w:tc>
      </w:tr>
      <w:tr w14:paraId="7F49B8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73A60DC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.1</w:t>
            </w:r>
          </w:p>
        </w:tc>
        <w:tc>
          <w:tcPr>
            <w:tcW w:w="1788" w:type="dxa"/>
            <w:vAlign w:val="center"/>
          </w:tcPr>
          <w:p w14:paraId="70E8FEB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签订合同</w:t>
            </w:r>
          </w:p>
        </w:tc>
        <w:tc>
          <w:tcPr>
            <w:tcW w:w="6640" w:type="dxa"/>
            <w:vAlign w:val="center"/>
          </w:tcPr>
          <w:p w14:paraId="6D1089F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中标人有《中华人民共和国招标投标法实施条例》第七十四条规定行为的，按中标项目金额10‰罚款上限予以行政处罚，纳入</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黑名单管理。</w:t>
            </w:r>
          </w:p>
        </w:tc>
      </w:tr>
      <w:tr w14:paraId="350427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5107BC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w:t>
            </w:r>
          </w:p>
        </w:tc>
        <w:tc>
          <w:tcPr>
            <w:tcW w:w="1788" w:type="dxa"/>
            <w:vAlign w:val="center"/>
          </w:tcPr>
          <w:p w14:paraId="387917B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bookmarkStart w:id="121" w:name="_Toc430530434"/>
            <w:bookmarkStart w:id="122" w:name="_Toc16930431"/>
            <w:bookmarkStart w:id="123" w:name="_Toc13210670"/>
            <w:bookmarkStart w:id="124" w:name="_Toc536628250"/>
            <w:bookmarkStart w:id="125" w:name="_Toc509218709"/>
            <w:r>
              <w:rPr>
                <w:rFonts w:hint="eastAsia" w:ascii="宋体" w:hAnsi="宋体" w:eastAsia="宋体" w:cs="宋体"/>
                <w:color w:val="auto"/>
                <w:kern w:val="0"/>
                <w:szCs w:val="21"/>
                <w:highlight w:val="none"/>
              </w:rPr>
              <w:t>重新招标和不再招标</w:t>
            </w:r>
            <w:bookmarkEnd w:id="121"/>
            <w:bookmarkEnd w:id="122"/>
            <w:bookmarkEnd w:id="123"/>
            <w:bookmarkEnd w:id="124"/>
            <w:bookmarkEnd w:id="125"/>
          </w:p>
        </w:tc>
        <w:tc>
          <w:tcPr>
            <w:tcW w:w="6640" w:type="dxa"/>
            <w:vAlign w:val="center"/>
          </w:tcPr>
          <w:p w14:paraId="305313E7">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4B2258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5DBF091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428" w:type="dxa"/>
            <w:gridSpan w:val="2"/>
            <w:vAlign w:val="center"/>
          </w:tcPr>
          <w:p w14:paraId="4828941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需要补充的其他内容</w:t>
            </w:r>
          </w:p>
        </w:tc>
      </w:tr>
      <w:tr w14:paraId="0AA108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232A9E6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1</w:t>
            </w:r>
          </w:p>
        </w:tc>
        <w:tc>
          <w:tcPr>
            <w:tcW w:w="1788" w:type="dxa"/>
            <w:vAlign w:val="center"/>
          </w:tcPr>
          <w:p w14:paraId="11B3C14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异议、投诉处理</w:t>
            </w:r>
          </w:p>
        </w:tc>
        <w:tc>
          <w:tcPr>
            <w:tcW w:w="6640" w:type="dxa"/>
            <w:vAlign w:val="center"/>
          </w:tcPr>
          <w:p w14:paraId="05936EDE">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投标人或者其他利害关系人就本项目的招标文件（含澄清修改）、开标情况、评标结果等事项提出投诉的，应当先向招标人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提出异议；招标人应当在规定时间内答复；对招标人的答复不满意，可向</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监督部门投诉。</w:t>
            </w:r>
          </w:p>
          <w:p w14:paraId="59FE7830">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66CE356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738EEDAC">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688AB1A4">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6EC7E7B3">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5E62F08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5B6DE963">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1ADA2E5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 根据《重庆市工程建设领域招标投标信用管理暂行办法》的规定，投标人捏造事实、伪造材料，或者以非法手段获取证明材料进行质疑或者投诉的，将被列入黑名单管理；给他人造成损失的，依法承担赔偿责任。</w:t>
            </w:r>
          </w:p>
          <w:p w14:paraId="0B93A91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异议受理单位：</w:t>
            </w:r>
            <w:r>
              <w:rPr>
                <w:rFonts w:hint="eastAsia" w:ascii="宋体" w:hAnsi="宋体" w:eastAsia="宋体" w:cs="宋体"/>
                <w:color w:val="auto"/>
                <w:kern w:val="0"/>
                <w:szCs w:val="21"/>
                <w:highlight w:val="none"/>
                <w:lang w:val="en-US" w:eastAsia="zh-CN"/>
              </w:rPr>
              <w:t>重庆首讯科技股份有限公司供应链管理部</w:t>
            </w:r>
          </w:p>
          <w:p w14:paraId="0C01C98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2855830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29E1637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联系电话：023-63132246</w:t>
            </w:r>
          </w:p>
        </w:tc>
      </w:tr>
      <w:tr w14:paraId="606CD8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5A72706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1788" w:type="dxa"/>
            <w:vAlign w:val="center"/>
          </w:tcPr>
          <w:p w14:paraId="74097FC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关于对招标文件及投标争议的解释</w:t>
            </w:r>
          </w:p>
        </w:tc>
        <w:tc>
          <w:tcPr>
            <w:tcW w:w="6640" w:type="dxa"/>
            <w:vAlign w:val="center"/>
          </w:tcPr>
          <w:p w14:paraId="42950B8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26CBBB9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对投标文件理解有争议的，应当作出不利于提交该投标文件的投标人的解释。</w:t>
            </w:r>
          </w:p>
        </w:tc>
      </w:tr>
      <w:tr w14:paraId="1A01B2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14:paraId="1A7A7ADC">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10.3</w:t>
            </w:r>
          </w:p>
        </w:tc>
        <w:tc>
          <w:tcPr>
            <w:tcW w:w="1788" w:type="dxa"/>
            <w:vAlign w:val="center"/>
          </w:tcPr>
          <w:p w14:paraId="6D687701">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eastAsia="zh-CN"/>
              </w:rPr>
              <w:t>招标代理服务费</w:t>
            </w:r>
          </w:p>
        </w:tc>
        <w:tc>
          <w:tcPr>
            <w:tcW w:w="6640" w:type="dxa"/>
            <w:vAlign w:val="center"/>
          </w:tcPr>
          <w:p w14:paraId="7445ED8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val="0"/>
                <w:color w:val="auto"/>
                <w:kern w:val="2"/>
                <w:szCs w:val="21"/>
                <w:highlight w:val="none"/>
              </w:rPr>
            </w:pPr>
            <w:r>
              <w:rPr>
                <w:rFonts w:hint="eastAsia" w:ascii="宋体" w:hAnsi="宋体" w:eastAsia="宋体" w:cs="宋体"/>
                <w:color w:val="auto"/>
                <w:sz w:val="21"/>
                <w:szCs w:val="21"/>
                <w:highlight w:val="none"/>
                <w:lang w:eastAsia="zh-CN"/>
              </w:rPr>
              <w:t>招标代理服务费</w:t>
            </w:r>
            <w:r>
              <w:rPr>
                <w:rFonts w:hint="eastAsia" w:ascii="宋体" w:hAnsi="宋体" w:cs="宋体"/>
                <w:color w:val="auto"/>
                <w:sz w:val="21"/>
                <w:szCs w:val="21"/>
                <w:highlight w:val="none"/>
                <w:lang w:val="en-US" w:eastAsia="zh-CN"/>
              </w:rPr>
              <w:t>为2.55万元，</w:t>
            </w:r>
            <w:r>
              <w:rPr>
                <w:rFonts w:hint="eastAsia" w:ascii="宋体" w:hAnsi="宋体" w:eastAsia="宋体" w:cs="宋体"/>
                <w:color w:val="auto"/>
                <w:sz w:val="21"/>
                <w:szCs w:val="21"/>
                <w:highlight w:val="none"/>
                <w:lang w:eastAsia="zh-CN"/>
              </w:rPr>
              <w:t>由中标人在领取中标通知书时向招标代理机构缴纳招标代理服务费。</w:t>
            </w:r>
          </w:p>
        </w:tc>
      </w:tr>
      <w:tr w14:paraId="554A38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shd w:val="clear" w:color="auto" w:fill="auto"/>
            <w:vAlign w:val="center"/>
          </w:tcPr>
          <w:p w14:paraId="68C99378">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bookmarkStart w:id="126" w:name="_Toc287607746"/>
            <w:bookmarkStart w:id="127" w:name="_Toc287620685"/>
            <w:bookmarkStart w:id="128" w:name="_Toc430530435"/>
            <w:bookmarkStart w:id="129" w:name="_Toc200513126"/>
            <w:bookmarkStart w:id="130" w:name="_Toc277082552"/>
            <w:bookmarkStart w:id="131" w:name="_Toc224103317"/>
            <w:r>
              <w:rPr>
                <w:rFonts w:hint="eastAsia" w:ascii="宋体" w:hAnsi="宋体" w:cs="宋体"/>
                <w:color w:val="auto"/>
                <w:sz w:val="21"/>
                <w:szCs w:val="21"/>
                <w:highlight w:val="none"/>
                <w:lang w:val="en-US" w:eastAsia="zh-CN"/>
              </w:rPr>
              <w:t>10.4</w:t>
            </w:r>
          </w:p>
        </w:tc>
        <w:tc>
          <w:tcPr>
            <w:tcW w:w="1788" w:type="dxa"/>
            <w:shd w:val="clear" w:color="auto" w:fill="auto"/>
            <w:vAlign w:val="center"/>
          </w:tcPr>
          <w:p w14:paraId="482B18A6">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r>
              <w:rPr>
                <w:rFonts w:hint="eastAsia" w:ascii="宋体" w:hAnsi="宋体" w:cs="宋体"/>
                <w:color w:val="auto"/>
                <w:sz w:val="21"/>
                <w:szCs w:val="21"/>
                <w:highlight w:val="none"/>
                <w:lang w:val="en-US" w:eastAsia="zh-CN"/>
              </w:rPr>
              <w:t>支付方式</w:t>
            </w:r>
          </w:p>
        </w:tc>
        <w:tc>
          <w:tcPr>
            <w:tcW w:w="6640" w:type="dxa"/>
            <w:shd w:val="clear" w:color="auto" w:fill="auto"/>
            <w:vAlign w:val="center"/>
          </w:tcPr>
          <w:p w14:paraId="2EAB8778">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14:paraId="1E3B75CB">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（1）完成项目需求调研和设计并经甲方验收合格后30日内支付至合同总金额的30%；</w:t>
            </w:r>
          </w:p>
          <w:p w14:paraId="16B07D4E">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（2）完成项目所有功能点开发，经甲方验收合格后30日内支付至合同总金额的70%；</w:t>
            </w:r>
          </w:p>
          <w:p w14:paraId="09F2D2AB">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（3）完成总体项目的开发、部署调试等任务，甲方验收合格后30日内支付至合同总金额的95%；</w:t>
            </w:r>
          </w:p>
          <w:p w14:paraId="6ED499CB">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（4）双方已确认的结算货款的5%作为质量保证金，缺陷责任期12个月满后经甲方业务部门确认后30日内支付剩余款项。</w:t>
            </w:r>
          </w:p>
        </w:tc>
      </w:tr>
    </w:tbl>
    <w:p w14:paraId="5523CE4E">
      <w:pPr>
        <w:rPr>
          <w:rFonts w:hint="eastAsia"/>
          <w:color w:val="auto"/>
          <w:highlight w:val="none"/>
        </w:rPr>
      </w:pPr>
    </w:p>
    <w:p w14:paraId="70CD2ADA">
      <w:pPr>
        <w:rPr>
          <w:rFonts w:hint="eastAsia"/>
          <w:color w:val="auto"/>
          <w:highlight w:val="none"/>
        </w:rPr>
      </w:pPr>
      <w:r>
        <w:rPr>
          <w:rFonts w:hint="eastAsia"/>
          <w:color w:val="auto"/>
          <w:highlight w:val="none"/>
        </w:rPr>
        <w:br w:type="page"/>
      </w:r>
    </w:p>
    <w:p w14:paraId="0741EEFC">
      <w:pPr>
        <w:pStyle w:val="4"/>
        <w:spacing w:before="0" w:after="0" w:line="360" w:lineRule="auto"/>
        <w:rPr>
          <w:rFonts w:hint="eastAsia" w:ascii="宋体" w:hAnsi="宋体" w:eastAsia="宋体" w:cs="宋体"/>
          <w:b w:val="0"/>
          <w:snapToGrid w:val="0"/>
          <w:color w:val="auto"/>
          <w:highlight w:val="none"/>
        </w:rPr>
      </w:pPr>
      <w:bookmarkStart w:id="132" w:name="_Toc26455"/>
      <w:bookmarkStart w:id="133" w:name="_Toc13115"/>
      <w:bookmarkStart w:id="134" w:name="_Toc509218710"/>
      <w:bookmarkStart w:id="135" w:name="_Toc12965"/>
      <w:r>
        <w:rPr>
          <w:rFonts w:hint="eastAsia" w:ascii="宋体" w:hAnsi="宋体" w:eastAsia="宋体" w:cs="宋体"/>
          <w:b w:val="0"/>
          <w:snapToGrid w:val="0"/>
          <w:color w:val="auto"/>
          <w:highlight w:val="none"/>
        </w:rPr>
        <w:t>1.  总则</w:t>
      </w:r>
      <w:bookmarkEnd w:id="126"/>
      <w:bookmarkEnd w:id="127"/>
      <w:bookmarkEnd w:id="128"/>
      <w:bookmarkEnd w:id="129"/>
      <w:bookmarkEnd w:id="130"/>
      <w:bookmarkEnd w:id="131"/>
      <w:bookmarkEnd w:id="132"/>
      <w:bookmarkEnd w:id="133"/>
      <w:bookmarkEnd w:id="134"/>
      <w:bookmarkEnd w:id="135"/>
    </w:p>
    <w:p w14:paraId="042C55A7">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36" w:name="_Toc287620686"/>
      <w:bookmarkStart w:id="137" w:name="_Toc430530436"/>
      <w:bookmarkStart w:id="138" w:name="_Toc7057"/>
      <w:bookmarkStart w:id="139" w:name="_Toc3129"/>
      <w:bookmarkStart w:id="140" w:name="_Toc224103318"/>
      <w:bookmarkStart w:id="141" w:name="_Toc200513127"/>
      <w:bookmarkStart w:id="142" w:name="_Toc509218711"/>
      <w:bookmarkStart w:id="143" w:name="_Toc1524"/>
      <w:bookmarkStart w:id="144" w:name="_Toc287607747"/>
      <w:bookmarkStart w:id="145" w:name="_Toc277082553"/>
      <w:r>
        <w:rPr>
          <w:rFonts w:hint="eastAsia" w:ascii="宋体" w:hAnsi="宋体" w:eastAsia="宋体" w:cs="宋体"/>
          <w:b w:val="0"/>
          <w:snapToGrid w:val="0"/>
          <w:color w:val="auto"/>
          <w:sz w:val="24"/>
          <w:szCs w:val="24"/>
          <w:highlight w:val="none"/>
        </w:rPr>
        <w:t xml:space="preserve">1.1  </w:t>
      </w:r>
      <w:r>
        <w:rPr>
          <w:rFonts w:hint="eastAsia" w:ascii="宋体" w:hAnsi="宋体" w:eastAsia="宋体" w:cs="宋体"/>
          <w:b w:val="0"/>
          <w:snapToGrid w:val="0"/>
          <w:color w:val="auto"/>
          <w:sz w:val="24"/>
          <w:szCs w:val="24"/>
          <w:highlight w:val="none"/>
          <w:lang w:val="en-US" w:eastAsia="zh-CN"/>
        </w:rPr>
        <w:t>招标</w:t>
      </w:r>
      <w:r>
        <w:rPr>
          <w:rFonts w:hint="eastAsia" w:ascii="宋体" w:hAnsi="宋体" w:eastAsia="宋体" w:cs="宋体"/>
          <w:b w:val="0"/>
          <w:snapToGrid w:val="0"/>
          <w:color w:val="auto"/>
          <w:sz w:val="24"/>
          <w:szCs w:val="24"/>
          <w:highlight w:val="none"/>
        </w:rPr>
        <w:t>项目概况</w:t>
      </w:r>
      <w:bookmarkEnd w:id="136"/>
      <w:bookmarkEnd w:id="137"/>
      <w:bookmarkEnd w:id="138"/>
      <w:bookmarkEnd w:id="139"/>
      <w:bookmarkEnd w:id="140"/>
      <w:bookmarkEnd w:id="141"/>
      <w:bookmarkEnd w:id="142"/>
      <w:bookmarkEnd w:id="143"/>
      <w:bookmarkEnd w:id="144"/>
      <w:bookmarkEnd w:id="145"/>
    </w:p>
    <w:p w14:paraId="44B64E7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  根据《中华人民共和国招标投标法》、《中华人民共和国招标投标法实施条例》等有关法律、法规和规章的规定，本招标项目已具备招标条件，现对</w:t>
      </w:r>
      <w:r>
        <w:rPr>
          <w:rFonts w:hint="eastAsia" w:ascii="宋体" w:hAnsi="宋体" w:cs="宋体"/>
          <w:snapToGrid w:val="0"/>
          <w:color w:val="auto"/>
          <w:kern w:val="0"/>
          <w:szCs w:val="21"/>
          <w:highlight w:val="none"/>
          <w:lang w:val="en-US" w:eastAsia="zh-CN"/>
        </w:rPr>
        <w:t>本项目</w:t>
      </w:r>
      <w:r>
        <w:rPr>
          <w:rFonts w:hint="eastAsia" w:ascii="宋体" w:hAnsi="宋体" w:eastAsia="宋体" w:cs="宋体"/>
          <w:snapToGrid w:val="0"/>
          <w:color w:val="auto"/>
          <w:kern w:val="0"/>
          <w:szCs w:val="21"/>
          <w:highlight w:val="none"/>
        </w:rPr>
        <w:t>进行招标。</w:t>
      </w:r>
    </w:p>
    <w:p w14:paraId="0641F71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  招标人：见投标人须知前附表。</w:t>
      </w:r>
    </w:p>
    <w:p w14:paraId="68A22FE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1.1.3  招标代理机构：见投标人须知前附表。</w:t>
      </w:r>
    </w:p>
    <w:p w14:paraId="3FB6211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1.1.4  招标项目名称：见投标人须知前附表。</w:t>
      </w:r>
    </w:p>
    <w:p w14:paraId="2FAB0C2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1.1.5  </w:t>
      </w:r>
      <w:r>
        <w:rPr>
          <w:rFonts w:hint="eastAsia" w:ascii="宋体" w:hAnsi="宋体" w:eastAsia="宋体" w:cs="宋体"/>
          <w:snapToGrid w:val="0"/>
          <w:color w:val="auto"/>
          <w:kern w:val="0"/>
          <w:szCs w:val="21"/>
          <w:highlight w:val="none"/>
          <w:lang w:val="en-US" w:eastAsia="zh-CN"/>
        </w:rPr>
        <w:t>工程项目名称</w:t>
      </w:r>
      <w:r>
        <w:rPr>
          <w:rFonts w:hint="eastAsia" w:ascii="宋体" w:hAnsi="宋体" w:eastAsia="宋体" w:cs="宋体"/>
          <w:snapToGrid w:val="0"/>
          <w:color w:val="auto"/>
          <w:kern w:val="0"/>
          <w:szCs w:val="21"/>
          <w:highlight w:val="none"/>
        </w:rPr>
        <w:t>：即招标项目所属的工程建设项目，见投标人须知前附表。</w:t>
      </w:r>
    </w:p>
    <w:p w14:paraId="6748D6D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46" w:name="_Toc29270"/>
      <w:bookmarkStart w:id="147" w:name="_Toc277082554"/>
      <w:bookmarkStart w:id="148" w:name="_Toc5353"/>
      <w:bookmarkStart w:id="149" w:name="_Toc287620687"/>
      <w:bookmarkStart w:id="150" w:name="_Toc200513128"/>
      <w:bookmarkStart w:id="151" w:name="_Toc430530437"/>
      <w:bookmarkStart w:id="152" w:name="_Toc224103319"/>
      <w:bookmarkStart w:id="153" w:name="_Toc13654"/>
      <w:bookmarkStart w:id="154" w:name="_Toc287607748"/>
      <w:bookmarkStart w:id="155" w:name="_Toc509218712"/>
      <w:r>
        <w:rPr>
          <w:rFonts w:hint="eastAsia" w:ascii="宋体" w:hAnsi="宋体" w:eastAsia="宋体" w:cs="宋体"/>
          <w:b w:val="0"/>
          <w:snapToGrid w:val="0"/>
          <w:color w:val="auto"/>
          <w:sz w:val="24"/>
          <w:szCs w:val="24"/>
          <w:highlight w:val="none"/>
        </w:rPr>
        <w:t>1.2  招标项目的资金来源和落实情况</w:t>
      </w:r>
      <w:bookmarkEnd w:id="146"/>
      <w:bookmarkEnd w:id="147"/>
      <w:bookmarkEnd w:id="148"/>
      <w:bookmarkEnd w:id="149"/>
      <w:bookmarkEnd w:id="150"/>
      <w:bookmarkEnd w:id="151"/>
      <w:bookmarkEnd w:id="152"/>
      <w:bookmarkEnd w:id="153"/>
      <w:bookmarkEnd w:id="154"/>
      <w:bookmarkEnd w:id="155"/>
    </w:p>
    <w:p w14:paraId="59A3699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1.2.1  资金来源及比例：见投标人须知前附表。</w:t>
      </w:r>
    </w:p>
    <w:p w14:paraId="2644AFD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1.2.2  资金落实情况：见投标人须知前附表。</w:t>
      </w:r>
    </w:p>
    <w:p w14:paraId="324E8B2F">
      <w:pPr>
        <w:pStyle w:val="5"/>
        <w:snapToGrid w:val="0"/>
        <w:spacing w:before="0" w:after="0" w:line="360" w:lineRule="auto"/>
        <w:rPr>
          <w:rFonts w:hint="eastAsia" w:ascii="宋体" w:hAnsi="宋体" w:eastAsia="宋体" w:cs="宋体"/>
          <w:b w:val="0"/>
          <w:snapToGrid w:val="0"/>
          <w:color w:val="auto"/>
          <w:sz w:val="24"/>
          <w:szCs w:val="24"/>
          <w:highlight w:val="none"/>
          <w:lang w:val="en-US" w:eastAsia="zh-CN"/>
        </w:rPr>
      </w:pPr>
      <w:bookmarkStart w:id="156" w:name="_Toc200513129"/>
      <w:bookmarkStart w:id="157" w:name="_Toc277082555"/>
      <w:bookmarkStart w:id="158" w:name="_Toc287620688"/>
      <w:bookmarkStart w:id="159" w:name="_Toc287607749"/>
      <w:bookmarkStart w:id="160" w:name="_Toc509218713"/>
      <w:bookmarkStart w:id="161" w:name="_Toc224103320"/>
      <w:bookmarkStart w:id="162" w:name="_Toc430530438"/>
      <w:bookmarkStart w:id="163" w:name="_Toc6773"/>
      <w:bookmarkStart w:id="164" w:name="_Toc23170"/>
      <w:bookmarkStart w:id="165" w:name="_Toc9444"/>
      <w:r>
        <w:rPr>
          <w:rFonts w:hint="eastAsia" w:ascii="宋体" w:hAnsi="宋体" w:eastAsia="宋体" w:cs="宋体"/>
          <w:b w:val="0"/>
          <w:snapToGrid w:val="0"/>
          <w:color w:val="auto"/>
          <w:sz w:val="24"/>
          <w:szCs w:val="24"/>
          <w:highlight w:val="none"/>
        </w:rPr>
        <w:t>1.3  招标范围、</w:t>
      </w:r>
      <w:bookmarkEnd w:id="156"/>
      <w:bookmarkEnd w:id="157"/>
      <w:bookmarkEnd w:id="158"/>
      <w:bookmarkEnd w:id="159"/>
      <w:bookmarkEnd w:id="160"/>
      <w:bookmarkEnd w:id="161"/>
      <w:bookmarkEnd w:id="162"/>
      <w:r>
        <w:rPr>
          <w:rFonts w:hint="eastAsia" w:ascii="宋体" w:hAnsi="宋体" w:eastAsia="宋体" w:cs="宋体"/>
          <w:b w:val="0"/>
          <w:snapToGrid w:val="0"/>
          <w:color w:val="auto"/>
          <w:sz w:val="24"/>
          <w:szCs w:val="24"/>
          <w:highlight w:val="none"/>
          <w:lang w:val="en-US" w:eastAsia="zh-CN"/>
        </w:rPr>
        <w:t>交货期、交货地点</w:t>
      </w:r>
      <w:r>
        <w:rPr>
          <w:rFonts w:hint="eastAsia" w:ascii="宋体" w:hAnsi="宋体" w:cs="宋体"/>
          <w:b w:val="0"/>
          <w:snapToGrid w:val="0"/>
          <w:color w:val="auto"/>
          <w:sz w:val="24"/>
          <w:szCs w:val="24"/>
          <w:highlight w:val="none"/>
          <w:lang w:val="en-US" w:eastAsia="zh-CN"/>
        </w:rPr>
        <w:t>、质量标准</w:t>
      </w:r>
      <w:r>
        <w:rPr>
          <w:rFonts w:hint="eastAsia" w:ascii="宋体" w:hAnsi="宋体" w:eastAsia="宋体" w:cs="宋体"/>
          <w:b w:val="0"/>
          <w:snapToGrid w:val="0"/>
          <w:color w:val="auto"/>
          <w:sz w:val="24"/>
          <w:szCs w:val="24"/>
          <w:highlight w:val="none"/>
          <w:lang w:val="en-US" w:eastAsia="zh-CN"/>
        </w:rPr>
        <w:t>和技术性能指标</w:t>
      </w:r>
      <w:bookmarkEnd w:id="163"/>
      <w:bookmarkEnd w:id="164"/>
      <w:bookmarkEnd w:id="165"/>
    </w:p>
    <w:p w14:paraId="3DD8535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1.3.1  招标范围：见投标人须知前附表。</w:t>
      </w:r>
    </w:p>
    <w:p w14:paraId="21DE3BF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1.3.2  </w:t>
      </w:r>
      <w:r>
        <w:rPr>
          <w:rFonts w:hint="eastAsia" w:ascii="宋体" w:hAnsi="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：见投标人须知前附表。</w:t>
      </w:r>
    </w:p>
    <w:p w14:paraId="6E713ED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1.3.3  </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地点</w:t>
      </w:r>
      <w:r>
        <w:rPr>
          <w:rFonts w:hint="eastAsia" w:ascii="宋体" w:hAnsi="宋体" w:eastAsia="宋体" w:cs="宋体"/>
          <w:snapToGrid w:val="0"/>
          <w:color w:val="auto"/>
          <w:kern w:val="0"/>
          <w:szCs w:val="21"/>
          <w:highlight w:val="none"/>
        </w:rPr>
        <w:t>：见投标人须知前附表。</w:t>
      </w:r>
    </w:p>
    <w:p w14:paraId="2A11C8E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1.3.</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cs="宋体"/>
          <w:snapToGrid w:val="0"/>
          <w:color w:val="auto"/>
          <w:kern w:val="0"/>
          <w:szCs w:val="21"/>
          <w:highlight w:val="none"/>
          <w:lang w:val="en-US" w:eastAsia="zh-CN"/>
        </w:rPr>
        <w:t>质量标准、</w:t>
      </w:r>
      <w:r>
        <w:rPr>
          <w:rFonts w:hint="eastAsia" w:ascii="宋体" w:hAnsi="宋体" w:eastAsia="宋体" w:cs="宋体"/>
          <w:snapToGrid w:val="0"/>
          <w:color w:val="auto"/>
          <w:kern w:val="0"/>
          <w:szCs w:val="21"/>
          <w:highlight w:val="none"/>
          <w:lang w:val="en-US" w:eastAsia="zh-CN"/>
        </w:rPr>
        <w:t>技术性能指标</w:t>
      </w:r>
      <w:r>
        <w:rPr>
          <w:rFonts w:hint="eastAsia" w:ascii="宋体" w:hAnsi="宋体" w:eastAsia="宋体" w:cs="宋体"/>
          <w:snapToGrid w:val="0"/>
          <w:color w:val="auto"/>
          <w:kern w:val="0"/>
          <w:szCs w:val="21"/>
          <w:highlight w:val="none"/>
        </w:rPr>
        <w:t>：见投标人须知前附表。</w:t>
      </w:r>
    </w:p>
    <w:p w14:paraId="181249B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66" w:name="_Toc509218715"/>
      <w:bookmarkStart w:id="167" w:name="_Toc287607751"/>
      <w:bookmarkStart w:id="168" w:name="_Toc224103322"/>
      <w:bookmarkStart w:id="169" w:name="_Toc12343"/>
      <w:bookmarkStart w:id="170" w:name="_Toc430530440"/>
      <w:bookmarkStart w:id="171" w:name="_Toc18549"/>
      <w:bookmarkStart w:id="172" w:name="_Toc277082557"/>
      <w:bookmarkStart w:id="173" w:name="_Toc29952"/>
      <w:bookmarkStart w:id="174" w:name="_Toc287620690"/>
      <w:bookmarkStart w:id="175" w:name="_Toc200513131"/>
      <w:r>
        <w:rPr>
          <w:rFonts w:hint="eastAsia" w:ascii="宋体" w:hAnsi="宋体" w:eastAsia="宋体" w:cs="宋体"/>
          <w:b w:val="0"/>
          <w:snapToGrid w:val="0"/>
          <w:color w:val="auto"/>
          <w:sz w:val="24"/>
          <w:szCs w:val="24"/>
          <w:highlight w:val="none"/>
        </w:rPr>
        <w:t xml:space="preserve">1.4 </w:t>
      </w:r>
      <w:r>
        <w:rPr>
          <w:rFonts w:hint="eastAsia" w:ascii="宋体" w:hAnsi="宋体" w:eastAsia="宋体" w:cs="宋体"/>
          <w:b w:val="0"/>
          <w:snapToGrid w:val="0"/>
          <w:color w:val="auto"/>
          <w:sz w:val="24"/>
          <w:szCs w:val="24"/>
          <w:highlight w:val="none"/>
          <w:lang w:val="en-US" w:eastAsia="zh-CN"/>
        </w:rPr>
        <w:t xml:space="preserve"> </w:t>
      </w:r>
      <w:r>
        <w:rPr>
          <w:rFonts w:hint="eastAsia" w:ascii="宋体" w:hAnsi="宋体" w:eastAsia="宋体" w:cs="宋体"/>
          <w:b w:val="0"/>
          <w:snapToGrid w:val="0"/>
          <w:color w:val="auto"/>
          <w:sz w:val="24"/>
          <w:szCs w:val="24"/>
          <w:highlight w:val="none"/>
        </w:rPr>
        <w:t>投标人资格要求</w:t>
      </w:r>
      <w:bookmarkEnd w:id="166"/>
      <w:bookmarkEnd w:id="167"/>
      <w:bookmarkEnd w:id="168"/>
      <w:bookmarkEnd w:id="169"/>
      <w:bookmarkEnd w:id="170"/>
      <w:bookmarkEnd w:id="171"/>
      <w:bookmarkEnd w:id="172"/>
      <w:bookmarkEnd w:id="173"/>
      <w:bookmarkEnd w:id="174"/>
      <w:bookmarkEnd w:id="175"/>
    </w:p>
    <w:p w14:paraId="25906EF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1.4.1 投标人应具备承担本招标项目的资质条件、能力和信誉：</w:t>
      </w:r>
    </w:p>
    <w:p w14:paraId="67E2AEE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见投标人须知前附表；</w:t>
      </w:r>
    </w:p>
    <w:p w14:paraId="042C5DF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投标人为代理经销商的，对投标人的资质要求包含对制造商的资质要求，对投标人的业绩要求包含对投标</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的业绩要求。</w:t>
      </w:r>
    </w:p>
    <w:p w14:paraId="460AFBB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  投标人须知前附表规定接受联合体投标的，联合体除应符合本章第1.4.1项和投标人须知前附表的要求外，还应遵守以下规定：</w:t>
      </w:r>
    </w:p>
    <w:p w14:paraId="5C6E78F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（1）联合体各方应按招标文件提供的格式签订联合体协议书，明确联合体牵头人和各方权利义务，并承诺就中标项目向招标人承担连带责任；</w:t>
      </w:r>
    </w:p>
    <w:p w14:paraId="65D72D4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（2）联合体协议约定同一专业分工由两个及以上单位共同承担的，按照资质等级较低的单位确定资质等级；</w:t>
      </w:r>
    </w:p>
    <w:p w14:paraId="21A0D06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（3）联合体各方不得再以自己名义单独或参加其他联合体在本招标项目同一标段中投标，否则各相关投标均无效。</w:t>
      </w:r>
    </w:p>
    <w:p w14:paraId="75B0C49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1.4.3  投标人不得存在下列情形之一：</w:t>
      </w:r>
    </w:p>
    <w:p w14:paraId="16D62C9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1</w:t>
      </w:r>
      <w:r>
        <w:rPr>
          <w:rFonts w:hint="eastAsia" w:ascii="宋体" w:hAnsi="宋体" w:eastAsia="宋体" w:cs="宋体"/>
          <w:snapToGrid w:val="0"/>
          <w:color w:val="auto"/>
          <w:kern w:val="0"/>
          <w:position w:val="-2"/>
          <w:szCs w:val="21"/>
          <w:highlight w:val="none"/>
        </w:rPr>
        <w:t>）与招标人存在利害关系且可能影响招标公正性的法人、其他组织或者个人；</w:t>
      </w:r>
    </w:p>
    <w:p w14:paraId="6129FC4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2</w:t>
      </w:r>
      <w:r>
        <w:rPr>
          <w:rFonts w:hint="eastAsia" w:ascii="宋体" w:hAnsi="宋体" w:eastAsia="宋体" w:cs="宋体"/>
          <w:snapToGrid w:val="0"/>
          <w:color w:val="auto"/>
          <w:kern w:val="0"/>
          <w:position w:val="-2"/>
          <w:szCs w:val="21"/>
          <w:highlight w:val="none"/>
        </w:rPr>
        <w:t>）与本招标项目的其他投标人为同一个单位负责人；</w:t>
      </w:r>
    </w:p>
    <w:p w14:paraId="5375F827">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3</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与本招标项目的其他投标人存在控股、管理关系；</w:t>
      </w:r>
    </w:p>
    <w:p w14:paraId="7BF2F2E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4</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与本招标项目其他投标人代理同一个制造商同一品牌同一型号的</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投标；</w:t>
      </w:r>
    </w:p>
    <w:p w14:paraId="450F467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（5）为本招标项目提供过设计、编制技术规范和其他文件的咨询服务；</w:t>
      </w:r>
    </w:p>
    <w:p w14:paraId="4F6F9F0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（6）为本工程项目的相关监理人</w:t>
      </w:r>
      <w:r>
        <w:rPr>
          <w:rFonts w:hint="eastAsia" w:ascii="宋体" w:hAnsi="宋体" w:eastAsia="宋体" w:cs="宋体"/>
          <w:snapToGrid w:val="0"/>
          <w:color w:val="auto"/>
          <w:kern w:val="0"/>
          <w:position w:val="-2"/>
          <w:szCs w:val="21"/>
          <w:highlight w:val="none"/>
          <w:lang w:eastAsia="zh-CN"/>
        </w:rPr>
        <w:t>，</w:t>
      </w:r>
      <w:r>
        <w:rPr>
          <w:rFonts w:hint="eastAsia" w:ascii="宋体" w:hAnsi="宋体" w:eastAsia="宋体" w:cs="宋体"/>
          <w:snapToGrid w:val="0"/>
          <w:color w:val="auto"/>
          <w:kern w:val="0"/>
          <w:position w:val="-2"/>
          <w:szCs w:val="21"/>
          <w:highlight w:val="none"/>
        </w:rPr>
        <w:t>或者与本工程项目的相关监理人存在隶属关系或者其他利害关系；</w:t>
      </w:r>
    </w:p>
    <w:p w14:paraId="1BB5069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）为本招标项目的代建人；</w:t>
      </w:r>
    </w:p>
    <w:p w14:paraId="2C9275F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）为本招标项目的招标代理机构；</w:t>
      </w:r>
    </w:p>
    <w:p w14:paraId="6620E65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9</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代建人或招标代理机构同为一个法定代表人；</w:t>
      </w:r>
    </w:p>
    <w:p w14:paraId="75F0AE2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10</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代建人或招标代理机构存在控股或参股关系；</w:t>
      </w:r>
    </w:p>
    <w:p w14:paraId="5125F95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11</w:t>
      </w:r>
      <w:r>
        <w:rPr>
          <w:rFonts w:hint="eastAsia" w:ascii="宋体" w:hAnsi="宋体" w:eastAsia="宋体" w:cs="宋体"/>
          <w:snapToGrid w:val="0"/>
          <w:color w:val="auto"/>
          <w:kern w:val="0"/>
          <w:szCs w:val="21"/>
          <w:highlight w:val="none"/>
        </w:rPr>
        <w:t>）被国家、重庆市（含市或任意区县）有关行政部门处以暂停投标资格行政处罚，且在处罚期限内的；</w:t>
      </w:r>
    </w:p>
    <w:p w14:paraId="3F96A29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w:t>
      </w:r>
      <w:bookmarkStart w:id="176" w:name="_Hlk66280425"/>
      <w:r>
        <w:rPr>
          <w:rFonts w:hint="eastAsia" w:ascii="宋体" w:hAnsi="宋体" w:eastAsia="宋体" w:cs="宋体"/>
          <w:snapToGrid w:val="0"/>
          <w:color w:val="auto"/>
          <w:kern w:val="0"/>
          <w:szCs w:val="21"/>
          <w:highlight w:val="none"/>
        </w:rPr>
        <w:t>被责令停产停业、暂扣或者吊销许可证、暂扣或者吊销执照；</w:t>
      </w:r>
      <w:bookmarkEnd w:id="176"/>
    </w:p>
    <w:p w14:paraId="74AB7C4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w:t>
      </w:r>
      <w:bookmarkStart w:id="177" w:name="_Hlk66280433"/>
      <w:r>
        <w:rPr>
          <w:rFonts w:hint="eastAsia" w:ascii="宋体" w:hAnsi="宋体" w:eastAsia="宋体" w:cs="宋体"/>
          <w:snapToGrid w:val="0"/>
          <w:color w:val="auto"/>
          <w:kern w:val="0"/>
          <w:szCs w:val="21"/>
          <w:highlight w:val="none"/>
        </w:rPr>
        <w:t>进入清算程序，或被宣告破产，或其他丧失履约能力的情形；</w:t>
      </w:r>
      <w:bookmarkEnd w:id="177"/>
    </w:p>
    <w:p w14:paraId="5CCE1A6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）被市场监督管理机关在全国企业信用信息公示系统中列入严重违法失信企业名单；</w:t>
      </w:r>
    </w:p>
    <w:p w14:paraId="030C676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）法律法规或投标人须知前附表规定的其他情形。</w:t>
      </w:r>
    </w:p>
    <w:p w14:paraId="26C57137">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78" w:name="_Toc509218716"/>
      <w:bookmarkStart w:id="179" w:name="_Toc277082558"/>
      <w:bookmarkStart w:id="180" w:name="_Toc287607752"/>
      <w:bookmarkStart w:id="181" w:name="_Toc287620691"/>
      <w:bookmarkStart w:id="182" w:name="_Toc224103323"/>
      <w:bookmarkStart w:id="183" w:name="_Toc27312"/>
      <w:bookmarkStart w:id="184" w:name="_Toc430530441"/>
      <w:bookmarkStart w:id="185" w:name="_Toc200513132"/>
      <w:bookmarkStart w:id="186" w:name="_Toc28732"/>
      <w:bookmarkStart w:id="187" w:name="_Toc16585"/>
      <w:r>
        <w:rPr>
          <w:rFonts w:hint="eastAsia" w:ascii="宋体" w:hAnsi="宋体" w:eastAsia="宋体" w:cs="宋体"/>
          <w:b w:val="0"/>
          <w:snapToGrid w:val="0"/>
          <w:color w:val="auto"/>
          <w:sz w:val="24"/>
          <w:szCs w:val="24"/>
          <w:highlight w:val="none"/>
        </w:rPr>
        <w:t>1.5  费用承担</w:t>
      </w:r>
      <w:bookmarkEnd w:id="178"/>
      <w:bookmarkEnd w:id="179"/>
      <w:bookmarkEnd w:id="180"/>
      <w:bookmarkEnd w:id="181"/>
      <w:bookmarkEnd w:id="182"/>
      <w:bookmarkEnd w:id="183"/>
      <w:bookmarkEnd w:id="184"/>
      <w:bookmarkEnd w:id="185"/>
      <w:bookmarkEnd w:id="186"/>
      <w:bookmarkEnd w:id="187"/>
    </w:p>
    <w:p w14:paraId="2261474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投标人准备和参加投标活动发生的费用自理。</w:t>
      </w:r>
    </w:p>
    <w:p w14:paraId="486B669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88" w:name="_Toc287620692"/>
      <w:bookmarkStart w:id="189" w:name="_Toc287607753"/>
      <w:bookmarkStart w:id="190" w:name="_Toc31329"/>
      <w:bookmarkStart w:id="191" w:name="_Toc509218717"/>
      <w:bookmarkStart w:id="192" w:name="_Toc430530442"/>
      <w:bookmarkStart w:id="193" w:name="_Toc12418"/>
      <w:bookmarkStart w:id="194" w:name="_Toc200513133"/>
      <w:bookmarkStart w:id="195" w:name="_Toc277082559"/>
      <w:bookmarkStart w:id="196" w:name="_Toc15418"/>
      <w:bookmarkStart w:id="197" w:name="_Toc224103324"/>
      <w:r>
        <w:rPr>
          <w:rFonts w:hint="eastAsia" w:ascii="宋体" w:hAnsi="宋体" w:eastAsia="宋体" w:cs="宋体"/>
          <w:b w:val="0"/>
          <w:snapToGrid w:val="0"/>
          <w:color w:val="auto"/>
          <w:sz w:val="24"/>
          <w:szCs w:val="24"/>
          <w:highlight w:val="none"/>
        </w:rPr>
        <w:t>1.6  保密</w:t>
      </w:r>
      <w:bookmarkEnd w:id="188"/>
      <w:bookmarkEnd w:id="189"/>
      <w:bookmarkEnd w:id="190"/>
      <w:bookmarkEnd w:id="191"/>
      <w:bookmarkEnd w:id="192"/>
      <w:bookmarkEnd w:id="193"/>
      <w:bookmarkEnd w:id="194"/>
      <w:bookmarkEnd w:id="195"/>
      <w:bookmarkEnd w:id="196"/>
      <w:bookmarkEnd w:id="197"/>
    </w:p>
    <w:p w14:paraId="2438F805">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参与招标投标活动的各方应对招标文件和投标文件中的商业和技术等秘密保密，否则应承担相应的法律责任。</w:t>
      </w:r>
    </w:p>
    <w:p w14:paraId="113691A3">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98" w:name="_Toc200513134"/>
      <w:bookmarkStart w:id="199" w:name="_Toc277082560"/>
      <w:bookmarkStart w:id="200" w:name="_Toc509218718"/>
      <w:bookmarkStart w:id="201" w:name="_Toc287607754"/>
      <w:bookmarkStart w:id="202" w:name="_Toc30763"/>
      <w:bookmarkStart w:id="203" w:name="_Toc28858"/>
      <w:bookmarkStart w:id="204" w:name="_Toc27843"/>
      <w:bookmarkStart w:id="205" w:name="_Toc430530443"/>
      <w:bookmarkStart w:id="206" w:name="_Toc287620693"/>
      <w:bookmarkStart w:id="207" w:name="_Toc224103325"/>
      <w:r>
        <w:rPr>
          <w:rFonts w:hint="eastAsia" w:ascii="宋体" w:hAnsi="宋体" w:eastAsia="宋体" w:cs="宋体"/>
          <w:b w:val="0"/>
          <w:snapToGrid w:val="0"/>
          <w:color w:val="auto"/>
          <w:sz w:val="24"/>
          <w:szCs w:val="24"/>
          <w:highlight w:val="none"/>
        </w:rPr>
        <w:t>1.7  语言文字</w:t>
      </w:r>
      <w:bookmarkEnd w:id="198"/>
      <w:bookmarkEnd w:id="199"/>
      <w:bookmarkEnd w:id="200"/>
      <w:bookmarkEnd w:id="201"/>
      <w:bookmarkEnd w:id="202"/>
      <w:bookmarkEnd w:id="203"/>
      <w:bookmarkEnd w:id="204"/>
      <w:bookmarkEnd w:id="205"/>
      <w:bookmarkEnd w:id="206"/>
      <w:bookmarkEnd w:id="207"/>
    </w:p>
    <w:p w14:paraId="79ED5F8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招标投标文件使用的语言文字为中文。专用术语使用外文的，应附有中文注释。</w:t>
      </w:r>
    </w:p>
    <w:p w14:paraId="07C52AC8">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08" w:name="_Toc277082561"/>
      <w:bookmarkStart w:id="209" w:name="_Toc200513135"/>
      <w:bookmarkStart w:id="210" w:name="_Toc21722"/>
      <w:bookmarkStart w:id="211" w:name="_Toc14817"/>
      <w:bookmarkStart w:id="212" w:name="_Toc509218719"/>
      <w:bookmarkStart w:id="213" w:name="_Toc287607755"/>
      <w:bookmarkStart w:id="214" w:name="_Toc224103326"/>
      <w:bookmarkStart w:id="215" w:name="_Toc287620694"/>
      <w:bookmarkStart w:id="216" w:name="_Toc430530444"/>
      <w:bookmarkStart w:id="217" w:name="_Toc21776"/>
      <w:r>
        <w:rPr>
          <w:rFonts w:hint="eastAsia" w:ascii="宋体" w:hAnsi="宋体" w:eastAsia="宋体" w:cs="宋体"/>
          <w:b w:val="0"/>
          <w:snapToGrid w:val="0"/>
          <w:color w:val="auto"/>
          <w:sz w:val="24"/>
          <w:szCs w:val="24"/>
          <w:highlight w:val="none"/>
        </w:rPr>
        <w:t>1.8  计量单位</w:t>
      </w:r>
      <w:bookmarkEnd w:id="208"/>
      <w:bookmarkEnd w:id="209"/>
      <w:bookmarkEnd w:id="210"/>
      <w:bookmarkEnd w:id="211"/>
      <w:bookmarkEnd w:id="212"/>
      <w:bookmarkEnd w:id="213"/>
      <w:bookmarkEnd w:id="214"/>
      <w:bookmarkEnd w:id="215"/>
      <w:bookmarkEnd w:id="216"/>
      <w:bookmarkEnd w:id="217"/>
    </w:p>
    <w:p w14:paraId="3A967A4D">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所有计量均采用中华人民共和国法定计量单位。</w:t>
      </w:r>
    </w:p>
    <w:p w14:paraId="0CBA972C">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18" w:name="_Toc277082562"/>
      <w:bookmarkStart w:id="219" w:name="_Toc287620695"/>
      <w:bookmarkStart w:id="220" w:name="_Toc509218720"/>
      <w:bookmarkStart w:id="221" w:name="_Toc430530445"/>
      <w:bookmarkStart w:id="222" w:name="_Toc224103327"/>
      <w:bookmarkStart w:id="223" w:name="_Toc287607756"/>
      <w:bookmarkStart w:id="224" w:name="_Toc200513136"/>
      <w:bookmarkStart w:id="225" w:name="_Toc27384"/>
      <w:bookmarkStart w:id="226" w:name="_Toc18892"/>
      <w:bookmarkStart w:id="227" w:name="_Toc21280"/>
      <w:r>
        <w:rPr>
          <w:rFonts w:hint="eastAsia" w:ascii="宋体" w:hAnsi="宋体" w:eastAsia="宋体" w:cs="宋体"/>
          <w:b w:val="0"/>
          <w:snapToGrid w:val="0"/>
          <w:color w:val="auto"/>
          <w:sz w:val="24"/>
          <w:szCs w:val="24"/>
          <w:highlight w:val="none"/>
        </w:rPr>
        <w:t>1.9  踏勘现场</w:t>
      </w:r>
      <w:bookmarkEnd w:id="218"/>
      <w:bookmarkEnd w:id="219"/>
      <w:bookmarkEnd w:id="220"/>
      <w:bookmarkEnd w:id="221"/>
      <w:bookmarkEnd w:id="222"/>
      <w:bookmarkEnd w:id="223"/>
      <w:bookmarkEnd w:id="224"/>
      <w:r>
        <w:rPr>
          <w:rFonts w:hint="eastAsia" w:ascii="宋体" w:hAnsi="宋体" w:eastAsia="宋体" w:cs="宋体"/>
          <w:b w:val="0"/>
          <w:snapToGrid w:val="0"/>
          <w:color w:val="auto"/>
          <w:sz w:val="24"/>
          <w:szCs w:val="24"/>
          <w:highlight w:val="none"/>
          <w:lang w:eastAsia="zh-CN"/>
        </w:rPr>
        <w:t>（</w:t>
      </w:r>
      <w:r>
        <w:rPr>
          <w:rFonts w:hint="eastAsia" w:ascii="宋体" w:hAnsi="宋体" w:eastAsia="宋体" w:cs="宋体"/>
          <w:b w:val="0"/>
          <w:snapToGrid w:val="0"/>
          <w:color w:val="auto"/>
          <w:sz w:val="24"/>
          <w:szCs w:val="24"/>
          <w:highlight w:val="none"/>
          <w:lang w:val="en-US" w:eastAsia="zh-CN"/>
        </w:rPr>
        <w:t>增加条款</w:t>
      </w:r>
      <w:r>
        <w:rPr>
          <w:rFonts w:hint="eastAsia" w:ascii="宋体" w:hAnsi="宋体" w:eastAsia="宋体" w:cs="宋体"/>
          <w:b w:val="0"/>
          <w:snapToGrid w:val="0"/>
          <w:color w:val="auto"/>
          <w:sz w:val="24"/>
          <w:szCs w:val="24"/>
          <w:highlight w:val="none"/>
          <w:lang w:eastAsia="zh-CN"/>
        </w:rPr>
        <w:t>）</w:t>
      </w:r>
      <w:bookmarkEnd w:id="225"/>
      <w:bookmarkEnd w:id="226"/>
      <w:bookmarkEnd w:id="227"/>
    </w:p>
    <w:p w14:paraId="4101BAA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14:paraId="07FE4BB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1.9.2  投标人踏勘现场发生的费用自理。</w:t>
      </w:r>
    </w:p>
    <w:p w14:paraId="5B7C5DB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1.9.3  除招标人的原因外，投标人自行负责在踏勘现场中所发生的人员伤亡和财产损失。</w:t>
      </w:r>
    </w:p>
    <w:p w14:paraId="3638BB5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5A185DE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28" w:name="_Toc224103328"/>
      <w:bookmarkStart w:id="229" w:name="_Toc13038"/>
      <w:bookmarkStart w:id="230" w:name="_Toc200513137"/>
      <w:bookmarkStart w:id="231" w:name="_Toc18227"/>
      <w:bookmarkStart w:id="232" w:name="_Toc25221"/>
      <w:bookmarkStart w:id="233" w:name="_Toc509218721"/>
      <w:bookmarkStart w:id="234" w:name="_Toc287607757"/>
      <w:bookmarkStart w:id="235" w:name="_Toc287620696"/>
      <w:bookmarkStart w:id="236" w:name="_Toc430530446"/>
      <w:bookmarkStart w:id="237" w:name="_Toc277082563"/>
      <w:r>
        <w:rPr>
          <w:rFonts w:hint="eastAsia" w:ascii="宋体" w:hAnsi="宋体" w:eastAsia="宋体" w:cs="宋体"/>
          <w:b w:val="0"/>
          <w:snapToGrid w:val="0"/>
          <w:color w:val="auto"/>
          <w:sz w:val="24"/>
          <w:szCs w:val="24"/>
          <w:highlight w:val="none"/>
        </w:rPr>
        <w:t>1.10  投标预备会</w:t>
      </w:r>
      <w:bookmarkEnd w:id="228"/>
      <w:bookmarkEnd w:id="229"/>
      <w:bookmarkEnd w:id="230"/>
      <w:bookmarkEnd w:id="231"/>
      <w:bookmarkEnd w:id="232"/>
      <w:bookmarkEnd w:id="233"/>
      <w:bookmarkEnd w:id="234"/>
      <w:bookmarkEnd w:id="235"/>
      <w:bookmarkEnd w:id="236"/>
      <w:bookmarkEnd w:id="237"/>
    </w:p>
    <w:p w14:paraId="2B2A5E15">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087FE7B1">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1.10.2  投标人应按投标人须知前附表规定的时间和形式将提出的问题送达招标人，以便招标人在会议期间澄清。</w:t>
      </w:r>
    </w:p>
    <w:p w14:paraId="10B083D2">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1.10.3  投标预备会后，招标人将对投标人所提问题的澄清，以投标人须知前附表规定的形式通知所有潜在投标人。该澄清内容为招标文件的组成部分。</w:t>
      </w:r>
    </w:p>
    <w:p w14:paraId="1DEBCB8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38" w:name="_Toc509218722"/>
      <w:bookmarkStart w:id="239" w:name="_Toc287607758"/>
      <w:bookmarkStart w:id="240" w:name="_Toc31956"/>
      <w:bookmarkStart w:id="241" w:name="_Toc224103329"/>
      <w:bookmarkStart w:id="242" w:name="_Toc287620697"/>
      <w:bookmarkStart w:id="243" w:name="_Toc430530447"/>
      <w:bookmarkStart w:id="244" w:name="_Toc25757"/>
      <w:bookmarkStart w:id="245" w:name="_Toc29727"/>
      <w:bookmarkStart w:id="246" w:name="_Toc277082564"/>
      <w:bookmarkStart w:id="247" w:name="_Toc200513138"/>
      <w:r>
        <w:rPr>
          <w:rFonts w:hint="eastAsia" w:ascii="宋体" w:hAnsi="宋体" w:eastAsia="宋体" w:cs="宋体"/>
          <w:b w:val="0"/>
          <w:snapToGrid w:val="0"/>
          <w:color w:val="auto"/>
          <w:sz w:val="24"/>
          <w:szCs w:val="24"/>
          <w:highlight w:val="none"/>
        </w:rPr>
        <w:t>1.11  分包</w:t>
      </w:r>
      <w:bookmarkEnd w:id="238"/>
      <w:bookmarkEnd w:id="239"/>
      <w:bookmarkEnd w:id="240"/>
      <w:bookmarkEnd w:id="241"/>
      <w:bookmarkEnd w:id="242"/>
      <w:bookmarkEnd w:id="243"/>
      <w:bookmarkEnd w:id="244"/>
      <w:bookmarkEnd w:id="245"/>
      <w:bookmarkEnd w:id="246"/>
      <w:bookmarkEnd w:id="247"/>
    </w:p>
    <w:p w14:paraId="53E41AE2">
      <w:pPr>
        <w:autoSpaceDE w:val="0"/>
        <w:autoSpaceDN w:val="0"/>
        <w:adjustRightInd w:val="0"/>
        <w:snapToGrid w:val="0"/>
        <w:spacing w:line="360" w:lineRule="auto"/>
        <w:ind w:firstLine="426"/>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1.11.1  投标人拟在中标后将中标项目的非主体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进行分包的，应符合投标人须知前附表规定的分包内容、分包金额和资质要求等限制性条件，除投标人须知前附表规定的非主体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外，其他工作不得分包。</w:t>
      </w:r>
    </w:p>
    <w:p w14:paraId="42BE7E7F">
      <w:pPr>
        <w:autoSpaceDE w:val="0"/>
        <w:autoSpaceDN w:val="0"/>
        <w:adjustRightInd w:val="0"/>
        <w:snapToGrid w:val="0"/>
        <w:spacing w:line="360" w:lineRule="auto"/>
        <w:ind w:firstLine="426"/>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1.11.2  </w:t>
      </w:r>
      <w:r>
        <w:rPr>
          <w:rFonts w:hint="eastAsia" w:ascii="宋体" w:hAnsi="宋体" w:eastAsia="宋体" w:cs="宋体"/>
          <w:color w:val="auto"/>
          <w:highlight w:val="none"/>
        </w:rPr>
        <w:t>中标人不得向他人转让中标项目，接受分包的人不得再次分包。中标人应当就分包项目向招标人负责，接受分包的人就分包项目承担连带责任。</w:t>
      </w:r>
    </w:p>
    <w:p w14:paraId="780A817A">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48" w:name="_Toc287607759"/>
      <w:bookmarkStart w:id="249" w:name="_Toc200513139"/>
      <w:bookmarkStart w:id="250" w:name="_Toc277082565"/>
      <w:bookmarkStart w:id="251" w:name="_Toc224103330"/>
      <w:bookmarkStart w:id="252" w:name="_Toc287620698"/>
      <w:bookmarkStart w:id="253" w:name="_Toc509218723"/>
      <w:bookmarkStart w:id="254" w:name="_Toc430530448"/>
      <w:bookmarkStart w:id="255" w:name="_Toc9390"/>
      <w:bookmarkStart w:id="256" w:name="_Toc4674"/>
      <w:bookmarkStart w:id="257" w:name="_Toc24416"/>
      <w:r>
        <w:rPr>
          <w:rFonts w:hint="eastAsia" w:ascii="宋体" w:hAnsi="宋体" w:eastAsia="宋体" w:cs="宋体"/>
          <w:b w:val="0"/>
          <w:snapToGrid w:val="0"/>
          <w:color w:val="auto"/>
          <w:sz w:val="24"/>
          <w:szCs w:val="24"/>
          <w:highlight w:val="none"/>
        </w:rPr>
        <w:t xml:space="preserve">1.12  </w:t>
      </w:r>
      <w:bookmarkEnd w:id="248"/>
      <w:bookmarkEnd w:id="249"/>
      <w:bookmarkEnd w:id="250"/>
      <w:bookmarkEnd w:id="251"/>
      <w:bookmarkEnd w:id="252"/>
      <w:bookmarkEnd w:id="253"/>
      <w:bookmarkEnd w:id="254"/>
      <w:r>
        <w:rPr>
          <w:rFonts w:hint="eastAsia" w:ascii="宋体" w:hAnsi="宋体" w:eastAsia="宋体" w:cs="宋体"/>
          <w:b w:val="0"/>
          <w:snapToGrid w:val="0"/>
          <w:color w:val="auto"/>
          <w:sz w:val="24"/>
          <w:szCs w:val="24"/>
          <w:highlight w:val="none"/>
        </w:rPr>
        <w:t>响应和偏</w:t>
      </w:r>
      <w:r>
        <w:rPr>
          <w:rFonts w:hint="eastAsia" w:ascii="宋体" w:hAnsi="宋体" w:eastAsia="宋体" w:cs="宋体"/>
          <w:b w:val="0"/>
          <w:snapToGrid w:val="0"/>
          <w:color w:val="auto"/>
          <w:sz w:val="24"/>
          <w:szCs w:val="24"/>
          <w:highlight w:val="none"/>
          <w:lang w:val="en-US" w:eastAsia="zh-CN"/>
        </w:rPr>
        <w:t>差</w:t>
      </w:r>
      <w:bookmarkEnd w:id="255"/>
      <w:bookmarkEnd w:id="256"/>
      <w:bookmarkEnd w:id="257"/>
    </w:p>
    <w:p w14:paraId="19CCE31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1.12.1  投标文件应当对招标文件的实质性要求和条件作出满足性或更有利于招标人的响应，否则，投标人的投标将被否决。</w:t>
      </w:r>
      <w:r>
        <w:rPr>
          <w:rFonts w:hint="eastAsia" w:ascii="宋体" w:hAnsi="宋体" w:eastAsia="宋体" w:cs="宋体"/>
          <w:color w:val="auto"/>
          <w:highlight w:val="none"/>
        </w:rPr>
        <w:t>实质性要求和条件见投标人须知前附表</w:t>
      </w:r>
      <w:r>
        <w:rPr>
          <w:rFonts w:hint="eastAsia" w:ascii="宋体" w:hAnsi="宋体" w:eastAsia="宋体" w:cs="宋体"/>
          <w:color w:val="auto"/>
          <w:highlight w:val="none"/>
          <w:lang w:eastAsia="zh-CN"/>
        </w:rPr>
        <w:t>。</w:t>
      </w:r>
    </w:p>
    <w:p w14:paraId="0FB7F20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1.12.2  投标人应根据招标文件的要求提供</w:t>
      </w:r>
      <w:r>
        <w:rPr>
          <w:rFonts w:hint="eastAsia" w:ascii="宋体" w:hAnsi="宋体" w:eastAsia="宋体" w:cs="宋体"/>
          <w:color w:val="auto"/>
          <w:spacing w:val="-3"/>
          <w:sz w:val="21"/>
          <w:highlight w:val="none"/>
        </w:rPr>
        <w:t>投标设备技术性能指标的详细描述、技术支持资料及技术服务和质保期服务计划等内容以对招标文件作出响应</w:t>
      </w:r>
      <w:r>
        <w:rPr>
          <w:rFonts w:hint="eastAsia" w:ascii="宋体" w:hAnsi="宋体" w:eastAsia="宋体" w:cs="宋体"/>
          <w:snapToGrid w:val="0"/>
          <w:color w:val="auto"/>
          <w:kern w:val="0"/>
          <w:szCs w:val="21"/>
          <w:highlight w:val="none"/>
        </w:rPr>
        <w:t>。</w:t>
      </w:r>
    </w:p>
    <w:p w14:paraId="6522E56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投标文件中应针对实质性要求和条件中列明的</w:t>
      </w:r>
      <w:r>
        <w:rPr>
          <w:rFonts w:hint="eastAsia" w:ascii="宋体" w:hAnsi="宋体" w:cs="宋体"/>
          <w:color w:val="auto"/>
          <w:spacing w:val="-3"/>
          <w:sz w:val="21"/>
          <w:highlight w:val="none"/>
          <w:lang w:eastAsia="zh-CN"/>
        </w:rPr>
        <w:t>项目需求</w:t>
      </w:r>
      <w:r>
        <w:rPr>
          <w:rFonts w:hint="eastAsia" w:ascii="宋体" w:hAnsi="宋体" w:eastAsia="宋体" w:cs="宋体"/>
          <w:color w:val="auto"/>
          <w:spacing w:val="-3"/>
          <w:sz w:val="21"/>
          <w:highlight w:val="none"/>
        </w:rPr>
        <w:t>提供技术支持资料。技术支持资料以制造商公开发布的印刷资料，或检测机构出具的检测报告或投标人须知前附表允许的其他形式为准，不符合前述要求的，视为无技术支持资料，其投标将被否决。</w:t>
      </w:r>
    </w:p>
    <w:p w14:paraId="0FFF338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投标人须知前附表规定了可以偏差的范围和最高偏差项数的，偏差应当符合投标人须知前附表规定的偏差范围和最高项数，超出偏差范围和最高偏差项数的投标将被否决。</w:t>
      </w:r>
    </w:p>
    <w:p w14:paraId="6C7DCC4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投标文件对招标文件的全部偏差，均应在投标文件的商务和技术偏差表中列明，除列明的内容外，视为投标人响应招标文件的全部要求。</w:t>
      </w:r>
    </w:p>
    <w:p w14:paraId="0713C1BF">
      <w:pPr>
        <w:pStyle w:val="4"/>
        <w:spacing w:before="0" w:after="0" w:line="360" w:lineRule="auto"/>
        <w:rPr>
          <w:rFonts w:hint="eastAsia" w:ascii="宋体" w:hAnsi="宋体" w:eastAsia="宋体" w:cs="宋体"/>
          <w:b w:val="0"/>
          <w:snapToGrid w:val="0"/>
          <w:color w:val="auto"/>
          <w:highlight w:val="none"/>
        </w:rPr>
      </w:pPr>
      <w:bookmarkStart w:id="258" w:name="_Toc509218724"/>
      <w:bookmarkStart w:id="259" w:name="_Toc287607760"/>
      <w:bookmarkStart w:id="260" w:name="_Toc200513140"/>
      <w:bookmarkStart w:id="261" w:name="_Toc17015"/>
      <w:bookmarkStart w:id="262" w:name="_Toc14554"/>
      <w:bookmarkStart w:id="263" w:name="_Toc430530449"/>
      <w:bookmarkStart w:id="264" w:name="_Toc277082566"/>
      <w:bookmarkStart w:id="265" w:name="_Toc25368"/>
      <w:bookmarkStart w:id="266" w:name="_Toc287620699"/>
      <w:bookmarkStart w:id="267" w:name="_Toc224103331"/>
      <w:r>
        <w:rPr>
          <w:rFonts w:hint="eastAsia" w:ascii="宋体" w:hAnsi="宋体" w:eastAsia="宋体" w:cs="宋体"/>
          <w:b w:val="0"/>
          <w:snapToGrid w:val="0"/>
          <w:color w:val="auto"/>
          <w:highlight w:val="none"/>
        </w:rPr>
        <w:t>2.  招标文件</w:t>
      </w:r>
      <w:bookmarkEnd w:id="258"/>
      <w:bookmarkEnd w:id="259"/>
      <w:bookmarkEnd w:id="260"/>
      <w:bookmarkEnd w:id="261"/>
      <w:bookmarkEnd w:id="262"/>
      <w:bookmarkEnd w:id="263"/>
      <w:bookmarkEnd w:id="264"/>
      <w:bookmarkEnd w:id="265"/>
      <w:bookmarkEnd w:id="266"/>
      <w:bookmarkEnd w:id="267"/>
    </w:p>
    <w:p w14:paraId="3121839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68" w:name="_Toc430530450"/>
      <w:bookmarkStart w:id="269" w:name="_Toc509218725"/>
      <w:bookmarkStart w:id="270" w:name="_Toc24826"/>
      <w:bookmarkStart w:id="271" w:name="_Toc224103332"/>
      <w:bookmarkStart w:id="272" w:name="_Toc287607761"/>
      <w:bookmarkStart w:id="273" w:name="_Toc18680"/>
      <w:bookmarkStart w:id="274" w:name="_Toc22191"/>
      <w:bookmarkStart w:id="275" w:name="_Toc200513141"/>
      <w:bookmarkStart w:id="276" w:name="_Toc287620700"/>
      <w:bookmarkStart w:id="277" w:name="_Toc277082567"/>
      <w:r>
        <w:rPr>
          <w:rFonts w:hint="eastAsia" w:ascii="宋体" w:hAnsi="宋体" w:eastAsia="宋体" w:cs="宋体"/>
          <w:b w:val="0"/>
          <w:snapToGrid w:val="0"/>
          <w:color w:val="auto"/>
          <w:sz w:val="24"/>
          <w:szCs w:val="24"/>
          <w:highlight w:val="none"/>
        </w:rPr>
        <w:t>2.1  招标文件的组成</w:t>
      </w:r>
      <w:bookmarkEnd w:id="268"/>
      <w:bookmarkEnd w:id="269"/>
      <w:bookmarkEnd w:id="270"/>
      <w:bookmarkEnd w:id="271"/>
      <w:bookmarkEnd w:id="272"/>
      <w:bookmarkEnd w:id="273"/>
      <w:bookmarkEnd w:id="274"/>
      <w:bookmarkEnd w:id="275"/>
      <w:bookmarkEnd w:id="276"/>
      <w:bookmarkEnd w:id="277"/>
    </w:p>
    <w:p w14:paraId="7F2AC664">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本招标文件包括：</w:t>
      </w:r>
    </w:p>
    <w:p w14:paraId="2AB24236">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（1）招标公告（或投标邀请书）；</w:t>
      </w:r>
    </w:p>
    <w:p w14:paraId="02070106">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（2）投标人须知；</w:t>
      </w:r>
    </w:p>
    <w:p w14:paraId="5D366B97">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（3）评标办法；</w:t>
      </w:r>
    </w:p>
    <w:p w14:paraId="0DFCCCE0">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（4）合同条款及格式；</w:t>
      </w:r>
    </w:p>
    <w:p w14:paraId="41666A25">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w:t>
      </w:r>
      <w:r>
        <w:rPr>
          <w:rFonts w:hint="eastAsia" w:ascii="宋体" w:hAnsi="宋体" w:cs="宋体"/>
          <w:snapToGrid w:val="0"/>
          <w:color w:val="auto"/>
          <w:kern w:val="0"/>
          <w:szCs w:val="21"/>
          <w:highlight w:val="none"/>
          <w:lang w:val="en-US" w:eastAsia="zh-CN"/>
        </w:rPr>
        <w:t>项目需求</w:t>
      </w:r>
      <w:r>
        <w:rPr>
          <w:rFonts w:hint="eastAsia" w:ascii="宋体" w:hAnsi="宋体" w:eastAsia="宋体" w:cs="宋体"/>
          <w:snapToGrid w:val="0"/>
          <w:color w:val="auto"/>
          <w:kern w:val="0"/>
          <w:szCs w:val="21"/>
          <w:highlight w:val="none"/>
        </w:rPr>
        <w:t>；</w:t>
      </w:r>
    </w:p>
    <w:p w14:paraId="6A0376B5">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（6）投标文件格式；</w:t>
      </w:r>
    </w:p>
    <w:p w14:paraId="2EDB222E">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（7）投标人须知前附表规定的其他材料。</w:t>
      </w:r>
    </w:p>
    <w:p w14:paraId="4E5870B8">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根据本章第1.10款、第2.2款和第2.3款对招标文件所作的澄清、修改，构成招标文件的组成部分。</w:t>
      </w:r>
    </w:p>
    <w:p w14:paraId="06197F1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78" w:name="_Toc509218726"/>
      <w:bookmarkStart w:id="279" w:name="_Toc14375"/>
      <w:bookmarkStart w:id="280" w:name="_Toc2175"/>
      <w:bookmarkStart w:id="281" w:name="_Toc430530451"/>
      <w:bookmarkStart w:id="282" w:name="_Toc23830"/>
      <w:r>
        <w:rPr>
          <w:rFonts w:hint="eastAsia" w:ascii="宋体" w:hAnsi="宋体" w:eastAsia="宋体" w:cs="宋体"/>
          <w:b w:val="0"/>
          <w:snapToGrid w:val="0"/>
          <w:color w:val="auto"/>
          <w:sz w:val="24"/>
          <w:szCs w:val="24"/>
          <w:highlight w:val="none"/>
        </w:rPr>
        <w:t>2.2  招标文件的澄清</w:t>
      </w:r>
      <w:bookmarkEnd w:id="278"/>
      <w:bookmarkEnd w:id="279"/>
      <w:bookmarkEnd w:id="280"/>
      <w:bookmarkEnd w:id="281"/>
      <w:bookmarkEnd w:id="282"/>
    </w:p>
    <w:p w14:paraId="2DFEA6E9">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投标人应仔细阅读和检查招标文件的全部内容。如发现缺页或附件不全，应及时向招标人提出，以便补齐。如有疑问，应按投标人须知前附表规定的时间和形式提出问题，要求招标人对招标文件予以澄清。</w:t>
      </w:r>
    </w:p>
    <w:p w14:paraId="229708A7">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  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14:paraId="14C50A49">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2.2.3  </w:t>
      </w:r>
      <w:r>
        <w:rPr>
          <w:rFonts w:hint="eastAsia" w:ascii="宋体" w:hAnsi="宋体" w:eastAsia="宋体" w:cs="宋体"/>
          <w:color w:val="auto"/>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6E6C18B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2.2.4  除非招标人认为确有必要答复，否则，招标人有权拒绝回复投标人在本章第2.2.1项规定的时间后的任何澄清要求。</w:t>
      </w:r>
    </w:p>
    <w:p w14:paraId="2043ED9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83" w:name="_Toc224103334"/>
      <w:bookmarkStart w:id="284" w:name="_Toc277082569"/>
      <w:bookmarkStart w:id="285" w:name="_Toc15284"/>
      <w:bookmarkStart w:id="286" w:name="_Toc509218727"/>
      <w:bookmarkStart w:id="287" w:name="_Toc287607763"/>
      <w:bookmarkStart w:id="288" w:name="_Toc200513143"/>
      <w:bookmarkStart w:id="289" w:name="_Toc29357"/>
      <w:bookmarkStart w:id="290" w:name="_Toc287620702"/>
      <w:bookmarkStart w:id="291" w:name="_Toc29396"/>
      <w:bookmarkStart w:id="292" w:name="_Toc430530452"/>
      <w:r>
        <w:rPr>
          <w:rFonts w:hint="eastAsia" w:ascii="宋体" w:hAnsi="宋体" w:eastAsia="宋体" w:cs="宋体"/>
          <w:b w:val="0"/>
          <w:snapToGrid w:val="0"/>
          <w:color w:val="auto"/>
          <w:sz w:val="24"/>
          <w:szCs w:val="24"/>
          <w:highlight w:val="none"/>
        </w:rPr>
        <w:t>2.3  招标文件的修改</w:t>
      </w:r>
      <w:bookmarkEnd w:id="283"/>
      <w:bookmarkEnd w:id="284"/>
      <w:bookmarkEnd w:id="285"/>
      <w:bookmarkEnd w:id="286"/>
      <w:bookmarkEnd w:id="287"/>
      <w:bookmarkEnd w:id="288"/>
      <w:bookmarkEnd w:id="289"/>
      <w:bookmarkEnd w:id="290"/>
      <w:bookmarkEnd w:id="291"/>
      <w:bookmarkEnd w:id="292"/>
    </w:p>
    <w:p w14:paraId="79015FDE">
      <w:pPr>
        <w:autoSpaceDE w:val="0"/>
        <w:autoSpaceDN w:val="0"/>
        <w:adjustRightInd w:val="0"/>
        <w:snapToGrid w:val="0"/>
        <w:spacing w:line="360" w:lineRule="auto"/>
        <w:ind w:firstLine="420"/>
        <w:rPr>
          <w:rFonts w:hint="eastAsia" w:ascii="宋体" w:hAnsi="宋体" w:eastAsia="宋体" w:cs="宋体"/>
          <w:snapToGrid w:val="0"/>
          <w:color w:val="auto"/>
          <w:highlight w:val="none"/>
        </w:rPr>
      </w:pPr>
      <w:bookmarkStart w:id="293" w:name="_Toc200513144"/>
      <w:bookmarkStart w:id="294" w:name="_Toc287620703"/>
      <w:bookmarkStart w:id="295" w:name="_Toc277082570"/>
      <w:bookmarkStart w:id="296" w:name="_Toc224103335"/>
      <w:bookmarkStart w:id="297" w:name="_Toc287607764"/>
      <w:r>
        <w:rPr>
          <w:rFonts w:hint="eastAsia" w:ascii="宋体" w:hAnsi="宋体" w:eastAsia="宋体" w:cs="宋体"/>
          <w:snapToGrid w:val="0"/>
          <w:color w:val="auto"/>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14:paraId="255DDD6A">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14:paraId="7F3EBB7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98" w:name="_Toc4753"/>
      <w:bookmarkStart w:id="299" w:name="_Toc28341"/>
      <w:bookmarkStart w:id="300" w:name="_Toc4855"/>
      <w:r>
        <w:rPr>
          <w:rFonts w:hint="eastAsia" w:ascii="宋体" w:hAnsi="宋体" w:eastAsia="宋体" w:cs="宋体"/>
          <w:b w:val="0"/>
          <w:snapToGrid w:val="0"/>
          <w:color w:val="auto"/>
          <w:sz w:val="24"/>
          <w:szCs w:val="24"/>
          <w:highlight w:val="none"/>
        </w:rPr>
        <w:t>2.4  招标文件的异议</w:t>
      </w:r>
      <w:bookmarkEnd w:id="298"/>
      <w:bookmarkEnd w:id="299"/>
      <w:bookmarkEnd w:id="300"/>
    </w:p>
    <w:p w14:paraId="05EBF76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投标人或者其他利害关系人对招标文件及澄清修改有异议的，应当在投标截止时间10日前按投标人须知前附表规定的形式提出。招标人应当自收到异议之日起 3 日内作出答复。作出答复前，将暂停招标投标活动。</w:t>
      </w:r>
    </w:p>
    <w:p w14:paraId="388DE5D8">
      <w:pPr>
        <w:pStyle w:val="4"/>
        <w:spacing w:before="0" w:after="0" w:line="360" w:lineRule="auto"/>
        <w:rPr>
          <w:rFonts w:hint="eastAsia" w:ascii="宋体" w:hAnsi="宋体" w:eastAsia="宋体" w:cs="宋体"/>
          <w:b w:val="0"/>
          <w:snapToGrid w:val="0"/>
          <w:color w:val="auto"/>
          <w:highlight w:val="none"/>
        </w:rPr>
      </w:pPr>
      <w:bookmarkStart w:id="301" w:name="_Toc21915"/>
      <w:bookmarkStart w:id="302" w:name="_Toc509218728"/>
      <w:bookmarkStart w:id="303" w:name="_Toc18917"/>
      <w:bookmarkStart w:id="304" w:name="_Toc430530453"/>
      <w:bookmarkStart w:id="305" w:name="_Toc14809"/>
      <w:r>
        <w:rPr>
          <w:rFonts w:hint="eastAsia" w:ascii="宋体" w:hAnsi="宋体" w:eastAsia="宋体" w:cs="宋体"/>
          <w:b w:val="0"/>
          <w:snapToGrid w:val="0"/>
          <w:color w:val="auto"/>
          <w:highlight w:val="none"/>
        </w:rPr>
        <w:t>3.  投标文件</w:t>
      </w:r>
      <w:bookmarkEnd w:id="293"/>
      <w:bookmarkEnd w:id="294"/>
      <w:bookmarkEnd w:id="295"/>
      <w:bookmarkEnd w:id="296"/>
      <w:bookmarkEnd w:id="297"/>
      <w:bookmarkEnd w:id="301"/>
      <w:bookmarkEnd w:id="302"/>
      <w:bookmarkEnd w:id="303"/>
      <w:bookmarkEnd w:id="304"/>
      <w:bookmarkEnd w:id="305"/>
    </w:p>
    <w:p w14:paraId="64B7CAE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06" w:name="_Toc5714"/>
      <w:bookmarkStart w:id="307" w:name="_Toc509218729"/>
      <w:bookmarkStart w:id="308" w:name="_Toc200513145"/>
      <w:bookmarkStart w:id="309" w:name="_Toc5165"/>
      <w:bookmarkStart w:id="310" w:name="_Toc322"/>
      <w:bookmarkStart w:id="311" w:name="_Toc277082571"/>
      <w:bookmarkStart w:id="312" w:name="_Toc287607765"/>
      <w:bookmarkStart w:id="313" w:name="_Toc224103336"/>
      <w:bookmarkStart w:id="314" w:name="_Toc430530454"/>
      <w:bookmarkStart w:id="315" w:name="_Toc287620704"/>
      <w:r>
        <w:rPr>
          <w:rFonts w:hint="eastAsia" w:ascii="宋体" w:hAnsi="宋体" w:eastAsia="宋体" w:cs="宋体"/>
          <w:b w:val="0"/>
          <w:snapToGrid w:val="0"/>
          <w:color w:val="auto"/>
          <w:sz w:val="24"/>
          <w:szCs w:val="24"/>
          <w:highlight w:val="none"/>
        </w:rPr>
        <w:t>3.1  投标文件的组成</w:t>
      </w:r>
      <w:bookmarkEnd w:id="306"/>
      <w:bookmarkEnd w:id="307"/>
      <w:bookmarkEnd w:id="308"/>
      <w:bookmarkEnd w:id="309"/>
      <w:bookmarkEnd w:id="310"/>
      <w:bookmarkEnd w:id="311"/>
      <w:bookmarkEnd w:id="312"/>
      <w:bookmarkEnd w:id="313"/>
      <w:bookmarkEnd w:id="314"/>
      <w:bookmarkEnd w:id="315"/>
    </w:p>
    <w:p w14:paraId="3D9D817C">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 投标文件应包括下列内容：</w:t>
      </w:r>
    </w:p>
    <w:p w14:paraId="3A4713C8">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3.1.1.1投标函部分</w:t>
      </w:r>
    </w:p>
    <w:p w14:paraId="6BBB4B8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（1）投标函；</w:t>
      </w:r>
    </w:p>
    <w:p w14:paraId="48A2E2CC">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w:t>
      </w:r>
      <w:r>
        <w:rPr>
          <w:rFonts w:hint="eastAsia" w:ascii="宋体" w:hAnsi="宋体" w:eastAsia="宋体" w:cs="宋体"/>
          <w:snapToGrid w:val="0"/>
          <w:color w:val="auto"/>
          <w:highlight w:val="none"/>
          <w:lang w:val="en-US" w:eastAsia="zh-CN"/>
        </w:rPr>
        <w:t>分项报价表</w:t>
      </w:r>
      <w:r>
        <w:rPr>
          <w:rFonts w:hint="eastAsia" w:ascii="宋体" w:hAnsi="宋体" w:eastAsia="宋体" w:cs="宋体"/>
          <w:snapToGrid w:val="0"/>
          <w:color w:val="auto"/>
          <w:highlight w:val="none"/>
        </w:rPr>
        <w:t>（如有）；</w:t>
      </w:r>
    </w:p>
    <w:p w14:paraId="52BC0C6B">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（3）法定代表人身份证明或附有法定代表人身份证明的授权委托书；</w:t>
      </w:r>
    </w:p>
    <w:p w14:paraId="3A428EF0">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3.1.1.2资格审查部分</w:t>
      </w:r>
      <w:r>
        <w:rPr>
          <w:rFonts w:hint="eastAsia" w:ascii="宋体" w:hAnsi="宋体" w:cs="宋体"/>
          <w:snapToGrid w:val="0"/>
          <w:color w:val="auto"/>
          <w:highlight w:val="none"/>
          <w:lang w:eastAsia="zh-CN"/>
        </w:rPr>
        <w:t>（含</w:t>
      </w:r>
      <w:r>
        <w:rPr>
          <w:rFonts w:hint="eastAsia" w:ascii="宋体" w:hAnsi="宋体" w:eastAsia="宋体" w:cs="宋体"/>
          <w:snapToGrid w:val="0"/>
          <w:color w:val="auto"/>
          <w:highlight w:val="none"/>
        </w:rPr>
        <w:t>商务部分</w:t>
      </w:r>
      <w:r>
        <w:rPr>
          <w:rFonts w:hint="eastAsia" w:ascii="宋体" w:hAnsi="宋体" w:cs="宋体"/>
          <w:snapToGrid w:val="0"/>
          <w:color w:val="auto"/>
          <w:highlight w:val="none"/>
          <w:lang w:eastAsia="zh-CN"/>
        </w:rPr>
        <w:t>）</w:t>
      </w:r>
    </w:p>
    <w:p w14:paraId="2E44CFFC">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（1）法定代表人身份证明或附有法定代表人身份证明的授权委托书；</w:t>
      </w:r>
    </w:p>
    <w:p w14:paraId="05792D31">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2</w:t>
      </w:r>
      <w:r>
        <w:rPr>
          <w:rFonts w:hint="eastAsia" w:ascii="宋体" w:hAnsi="宋体" w:eastAsia="宋体" w:cs="宋体"/>
          <w:color w:val="auto"/>
          <w:highlight w:val="none"/>
          <w:lang w:eastAsia="zh-CN"/>
        </w:rPr>
        <w:t>）投标人基本情况表；</w:t>
      </w:r>
    </w:p>
    <w:p w14:paraId="47FC49FF">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项目经理简历表</w:t>
      </w:r>
      <w:r>
        <w:rPr>
          <w:rFonts w:hint="eastAsia" w:ascii="宋体" w:hAnsi="宋体" w:eastAsia="宋体" w:cs="宋体"/>
          <w:color w:val="auto"/>
          <w:highlight w:val="none"/>
          <w:lang w:eastAsia="zh-CN"/>
        </w:rPr>
        <w:t>；</w:t>
      </w:r>
    </w:p>
    <w:p w14:paraId="5C783514">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4</w:t>
      </w:r>
      <w:r>
        <w:rPr>
          <w:rFonts w:hint="eastAsia" w:ascii="宋体" w:hAnsi="宋体" w:eastAsia="宋体" w:cs="宋体"/>
          <w:color w:val="auto"/>
          <w:highlight w:val="none"/>
          <w:lang w:eastAsia="zh-CN"/>
        </w:rPr>
        <w:t>）类似项目情况表；</w:t>
      </w:r>
    </w:p>
    <w:p w14:paraId="2265D553">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lang w:eastAsia="zh-CN"/>
        </w:rPr>
        <w:t>）拟委任的其他参与项目人员汇总表</w:t>
      </w:r>
    </w:p>
    <w:p w14:paraId="173206D5">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6</w:t>
      </w:r>
      <w:r>
        <w:rPr>
          <w:rFonts w:hint="eastAsia" w:ascii="宋体" w:hAnsi="宋体" w:eastAsia="宋体" w:cs="宋体"/>
          <w:color w:val="auto"/>
          <w:highlight w:val="none"/>
          <w:lang w:eastAsia="zh-CN"/>
        </w:rPr>
        <w:t>）承诺；</w:t>
      </w:r>
    </w:p>
    <w:p w14:paraId="0726BCCF">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7</w:t>
      </w:r>
      <w:r>
        <w:rPr>
          <w:rFonts w:hint="eastAsia" w:ascii="宋体" w:hAnsi="宋体" w:eastAsia="宋体" w:cs="宋体"/>
          <w:color w:val="auto"/>
          <w:highlight w:val="none"/>
          <w:lang w:eastAsia="zh-CN"/>
        </w:rPr>
        <w:t>）其他资料。</w:t>
      </w:r>
    </w:p>
    <w:p w14:paraId="4B11D0D5">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3.1.1.3技术部分（不设置技术</w:t>
      </w:r>
      <w:r>
        <w:rPr>
          <w:rFonts w:hint="eastAsia" w:ascii="宋体" w:hAnsi="宋体" w:eastAsia="宋体" w:cs="宋体"/>
          <w:snapToGrid w:val="0"/>
          <w:color w:val="auto"/>
          <w:highlight w:val="none"/>
          <w:lang w:val="en-US" w:eastAsia="zh-CN"/>
        </w:rPr>
        <w:t>部分</w:t>
      </w:r>
      <w:r>
        <w:rPr>
          <w:rFonts w:hint="eastAsia" w:ascii="宋体" w:hAnsi="宋体" w:eastAsia="宋体" w:cs="宋体"/>
          <w:snapToGrid w:val="0"/>
          <w:color w:val="auto"/>
          <w:highlight w:val="none"/>
        </w:rPr>
        <w:t>评审的不设此部分）</w:t>
      </w:r>
    </w:p>
    <w:p w14:paraId="0550C5DC">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投标人在评标过程中作出的符合法律法规和招标文件规定的澄清确认，构成投标文件的组成部分。</w:t>
      </w:r>
    </w:p>
    <w:p w14:paraId="59BB960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3.1.2  投标人须知前附表规定不接受联合体投标的，或投标人没有组成联合体的，投标文件不包括联合体协议书。</w:t>
      </w:r>
    </w:p>
    <w:p w14:paraId="72FA28A7">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highlight w:val="none"/>
        </w:rPr>
        <w:t>3.1.</w:t>
      </w:r>
      <w:r>
        <w:rPr>
          <w:rFonts w:hint="eastAsia" w:ascii="宋体" w:hAnsi="宋体" w:eastAsia="宋体" w:cs="宋体"/>
          <w:snapToGrid w:val="0"/>
          <w:color w:val="auto"/>
          <w:highlight w:val="none"/>
          <w:lang w:val="en-US" w:eastAsia="zh-CN"/>
        </w:rPr>
        <w:t>3</w:t>
      </w:r>
      <w:r>
        <w:rPr>
          <w:rFonts w:hint="eastAsia" w:ascii="宋体" w:hAnsi="宋体" w:eastAsia="宋体" w:cs="宋体"/>
          <w:snapToGrid w:val="0"/>
          <w:color w:val="auto"/>
          <w:highlight w:val="none"/>
        </w:rPr>
        <w:t xml:space="preserve">  </w:t>
      </w:r>
      <w:r>
        <w:rPr>
          <w:rFonts w:hint="eastAsia" w:ascii="宋体" w:hAnsi="宋体" w:eastAsia="宋体" w:cs="宋体"/>
          <w:color w:val="auto"/>
          <w:spacing w:val="-3"/>
          <w:sz w:val="21"/>
          <w:highlight w:val="none"/>
        </w:rPr>
        <w:t>投标人须知前附表未要求提交投标保证金的，投标文件不包括投标保证金。</w:t>
      </w:r>
    </w:p>
    <w:p w14:paraId="08D5F12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16" w:name="_Toc200513146"/>
      <w:bookmarkStart w:id="317" w:name="_Toc8414"/>
      <w:bookmarkStart w:id="318" w:name="_Toc509218730"/>
      <w:bookmarkStart w:id="319" w:name="_Toc287620705"/>
      <w:bookmarkStart w:id="320" w:name="_Toc430530455"/>
      <w:bookmarkStart w:id="321" w:name="_Toc287607766"/>
      <w:bookmarkStart w:id="322" w:name="_Toc16655"/>
      <w:bookmarkStart w:id="323" w:name="_Toc277082572"/>
      <w:bookmarkStart w:id="324" w:name="_Toc14467"/>
      <w:bookmarkStart w:id="325" w:name="_Toc224103337"/>
      <w:r>
        <w:rPr>
          <w:rFonts w:hint="eastAsia" w:ascii="宋体" w:hAnsi="宋体" w:eastAsia="宋体" w:cs="宋体"/>
          <w:b w:val="0"/>
          <w:snapToGrid w:val="0"/>
          <w:color w:val="auto"/>
          <w:sz w:val="24"/>
          <w:szCs w:val="24"/>
          <w:highlight w:val="none"/>
        </w:rPr>
        <w:t>3.2  投标报价</w:t>
      </w:r>
      <w:bookmarkEnd w:id="316"/>
      <w:bookmarkEnd w:id="317"/>
      <w:bookmarkEnd w:id="318"/>
      <w:bookmarkEnd w:id="319"/>
      <w:bookmarkEnd w:id="320"/>
      <w:bookmarkEnd w:id="321"/>
      <w:bookmarkEnd w:id="322"/>
      <w:bookmarkEnd w:id="323"/>
      <w:bookmarkEnd w:id="324"/>
      <w:bookmarkEnd w:id="325"/>
    </w:p>
    <w:p w14:paraId="1225AAD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3.2.1  投标报价应包括国家规定的增值税税金，除投标人须知前附表另有规定外，增值税税金按一般计税方法计算。投标人应按第六章“投标文件格式”的要求在投标函中进行报价</w:t>
      </w:r>
      <w:r>
        <w:rPr>
          <w:rFonts w:hint="eastAsia" w:ascii="宋体" w:hAnsi="宋体" w:eastAsia="宋体" w:cs="宋体"/>
          <w:color w:val="auto"/>
          <w:spacing w:val="-7"/>
          <w:sz w:val="21"/>
          <w:highlight w:val="none"/>
        </w:rPr>
        <w:t>并填写</w:t>
      </w:r>
      <w:r>
        <w:rPr>
          <w:rFonts w:hint="eastAsia" w:ascii="宋体" w:hAnsi="宋体" w:eastAsia="宋体" w:cs="宋体"/>
          <w:color w:val="auto"/>
          <w:spacing w:val="-5"/>
          <w:sz w:val="21"/>
          <w:highlight w:val="none"/>
        </w:rPr>
        <w:t>分项报价表。</w:t>
      </w:r>
    </w:p>
    <w:p w14:paraId="5208D78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3.2.2  投标人应充分了解该项目的总体情况以及影响投标报价的其他要素。</w:t>
      </w:r>
    </w:p>
    <w:p w14:paraId="0269AA2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3.2.3  </w:t>
      </w:r>
      <w:r>
        <w:rPr>
          <w:rFonts w:hint="eastAsia" w:ascii="宋体" w:hAnsi="宋体" w:eastAsia="宋体" w:cs="宋体"/>
          <w:color w:val="auto"/>
          <w:spacing w:val="-8"/>
          <w:sz w:val="21"/>
          <w:highlight w:val="none"/>
        </w:rPr>
        <w:t>投标报价为各分项报价金额之和，投标报价与分项报价的合价不一致的，应以各分项合价累计数为准，修正投标报价；如分项报价中存在缺漏项，则视为缺漏项价格已包含在其他</w:t>
      </w:r>
      <w:r>
        <w:rPr>
          <w:rFonts w:hint="eastAsia" w:ascii="宋体" w:hAnsi="宋体" w:eastAsia="宋体" w:cs="宋体"/>
          <w:color w:val="auto"/>
          <w:spacing w:val="-3"/>
          <w:sz w:val="21"/>
          <w:highlight w:val="none"/>
        </w:rPr>
        <w:t>分项报价之中。投标人在投标截止时间前修改投标函中的投标报价总额，应同时修改投标文件</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分项报价表</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中的相应报价</w:t>
      </w:r>
      <w:r>
        <w:rPr>
          <w:rFonts w:hint="eastAsia" w:ascii="宋体" w:hAnsi="宋体" w:eastAsia="宋体" w:cs="宋体"/>
          <w:snapToGrid w:val="0"/>
          <w:color w:val="auto"/>
          <w:kern w:val="0"/>
          <w:szCs w:val="21"/>
          <w:highlight w:val="none"/>
        </w:rPr>
        <w:t>。此修改须符合本章第 4.3 款的有关要求。</w:t>
      </w:r>
    </w:p>
    <w:p w14:paraId="6B88293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3.2.4  招标人设有最高投标限价的，投标人的投标报价不得超过最高投标限价，最高投标限价在投标人须知前附表中载明。</w:t>
      </w:r>
    </w:p>
    <w:p w14:paraId="535EF657">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3.2.5  投标报价的其他要求见投标人须知前附表。</w:t>
      </w:r>
    </w:p>
    <w:p w14:paraId="7091E9A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26" w:name="_Toc287620706"/>
      <w:bookmarkStart w:id="327" w:name="_Toc200513147"/>
      <w:bookmarkStart w:id="328" w:name="_Toc509218731"/>
      <w:bookmarkStart w:id="329" w:name="_Toc224103338"/>
      <w:bookmarkStart w:id="330" w:name="_Toc430530456"/>
      <w:bookmarkStart w:id="331" w:name="_Toc277082573"/>
      <w:bookmarkStart w:id="332" w:name="_Toc7315"/>
      <w:bookmarkStart w:id="333" w:name="_Toc8442"/>
      <w:bookmarkStart w:id="334" w:name="_Toc15846"/>
      <w:bookmarkStart w:id="335" w:name="_Toc287607767"/>
      <w:r>
        <w:rPr>
          <w:rFonts w:hint="eastAsia" w:ascii="宋体" w:hAnsi="宋体" w:eastAsia="宋体" w:cs="宋体"/>
          <w:b w:val="0"/>
          <w:snapToGrid w:val="0"/>
          <w:color w:val="auto"/>
          <w:sz w:val="24"/>
          <w:szCs w:val="24"/>
          <w:highlight w:val="none"/>
        </w:rPr>
        <w:t>3.3  投标有效期</w:t>
      </w:r>
      <w:bookmarkEnd w:id="326"/>
      <w:bookmarkEnd w:id="327"/>
      <w:bookmarkEnd w:id="328"/>
      <w:bookmarkEnd w:id="329"/>
      <w:bookmarkEnd w:id="330"/>
      <w:bookmarkEnd w:id="331"/>
      <w:bookmarkEnd w:id="332"/>
      <w:bookmarkEnd w:id="333"/>
      <w:bookmarkEnd w:id="334"/>
      <w:bookmarkEnd w:id="335"/>
    </w:p>
    <w:p w14:paraId="6ED73EF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3.3.1  除投标人须知前附表另有规定外，投标有效期为 90 天。</w:t>
      </w:r>
    </w:p>
    <w:p w14:paraId="5A6A7F14">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3.3.2  在投标有效期内，投标人撤销投标文件的，应承担招标文件和法律规定的责任。</w:t>
      </w:r>
    </w:p>
    <w:p w14:paraId="5A8075B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3.3.3  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同意延长的，应相应延长其投标保函的有效期，但不得要求或被允许修改或撤销其投标文件；投标人拒绝延长的，其投标失效，但投标人有权收回其投标保函。（适用于投标保证金采用投标保函形式的）</w:t>
      </w:r>
    </w:p>
    <w:p w14:paraId="5A877E1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同意延长的，应相应延长其投标保证金的有效期，但不得要求或被允许修改或撤销其投标文件；投标人拒绝延长的，其投标失效，但投标人有权收回其投标保证金</w:t>
      </w:r>
      <w:r>
        <w:rPr>
          <w:rFonts w:hint="eastAsia" w:ascii="宋体" w:hAnsi="宋体" w:eastAsia="宋体" w:cs="宋体"/>
          <w:snapToGrid w:val="0"/>
          <w:color w:val="auto"/>
          <w:kern w:val="0"/>
          <w:szCs w:val="21"/>
          <w:highlight w:val="none"/>
          <w:lang w:val="en-US" w:eastAsia="zh-CN"/>
        </w:rPr>
        <w:t>及</w:t>
      </w:r>
      <w:r>
        <w:rPr>
          <w:rFonts w:hint="eastAsia" w:ascii="宋体" w:hAnsi="宋体" w:eastAsia="宋体" w:cs="宋体"/>
          <w:color w:val="auto"/>
          <w:spacing w:val="-3"/>
          <w:sz w:val="21"/>
          <w:highlight w:val="none"/>
        </w:rPr>
        <w:t>银行同期存款利息</w:t>
      </w:r>
      <w:r>
        <w:rPr>
          <w:rFonts w:hint="eastAsia" w:ascii="宋体" w:hAnsi="宋体" w:eastAsia="宋体" w:cs="宋体"/>
          <w:snapToGrid w:val="0"/>
          <w:color w:val="auto"/>
          <w:kern w:val="0"/>
          <w:szCs w:val="21"/>
          <w:highlight w:val="none"/>
        </w:rPr>
        <w:t>。（适用于投标保证金采用银行转账形式的）</w:t>
      </w:r>
    </w:p>
    <w:p w14:paraId="23BAE8C8">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36" w:name="_Toc509218732"/>
      <w:bookmarkStart w:id="337" w:name="_Toc287620707"/>
      <w:bookmarkStart w:id="338" w:name="_Toc287607768"/>
      <w:bookmarkStart w:id="339" w:name="_Toc200513148"/>
      <w:bookmarkStart w:id="340" w:name="_Toc277082574"/>
      <w:bookmarkStart w:id="341" w:name="_Toc224103339"/>
      <w:bookmarkStart w:id="342" w:name="_Toc430530457"/>
      <w:bookmarkStart w:id="343" w:name="_Toc4884"/>
      <w:bookmarkStart w:id="344" w:name="_Toc8891"/>
      <w:bookmarkStart w:id="345" w:name="_Toc16113"/>
      <w:r>
        <w:rPr>
          <w:rFonts w:hint="eastAsia" w:ascii="宋体" w:hAnsi="宋体" w:eastAsia="宋体" w:cs="宋体"/>
          <w:b w:val="0"/>
          <w:snapToGrid w:val="0"/>
          <w:color w:val="auto"/>
          <w:sz w:val="24"/>
          <w:szCs w:val="24"/>
          <w:highlight w:val="none"/>
        </w:rPr>
        <w:t>3.4  投标</w:t>
      </w:r>
      <w:bookmarkEnd w:id="336"/>
      <w:bookmarkEnd w:id="337"/>
      <w:bookmarkEnd w:id="338"/>
      <w:bookmarkEnd w:id="339"/>
      <w:bookmarkEnd w:id="340"/>
      <w:bookmarkEnd w:id="341"/>
      <w:bookmarkEnd w:id="342"/>
      <w:r>
        <w:rPr>
          <w:rFonts w:hint="eastAsia" w:ascii="宋体" w:hAnsi="宋体" w:eastAsia="宋体" w:cs="宋体"/>
          <w:b w:val="0"/>
          <w:snapToGrid w:val="0"/>
          <w:color w:val="auto"/>
          <w:sz w:val="24"/>
          <w:szCs w:val="24"/>
          <w:highlight w:val="none"/>
        </w:rPr>
        <w:t>保证金</w:t>
      </w:r>
      <w:bookmarkEnd w:id="343"/>
      <w:bookmarkEnd w:id="344"/>
      <w:bookmarkEnd w:id="345"/>
    </w:p>
    <w:p w14:paraId="35C5091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548A6B95">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3.4.2  投标人不按本章第3.4.1项要求提交投标保证金的，</w:t>
      </w:r>
      <w:r>
        <w:rPr>
          <w:rFonts w:hint="eastAsia" w:ascii="宋体" w:hAnsi="宋体" w:eastAsia="宋体" w:cs="宋体"/>
          <w:color w:val="auto"/>
          <w:spacing w:val="-3"/>
          <w:sz w:val="21"/>
          <w:highlight w:val="none"/>
        </w:rPr>
        <w:t>评标委员会将否决其投标</w:t>
      </w:r>
      <w:r>
        <w:rPr>
          <w:rFonts w:hint="eastAsia" w:ascii="宋体" w:hAnsi="宋体" w:eastAsia="宋体" w:cs="宋体"/>
          <w:snapToGrid w:val="0"/>
          <w:color w:val="auto"/>
          <w:kern w:val="0"/>
          <w:szCs w:val="21"/>
          <w:highlight w:val="none"/>
        </w:rPr>
        <w:t>。</w:t>
      </w:r>
    </w:p>
    <w:p w14:paraId="5F7B0BAB">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3.4.3  投标保证金（投标保函）退还：见投标人须知前附表。</w:t>
      </w:r>
    </w:p>
    <w:p w14:paraId="4847FF7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3.4.4  有下列情形之一的，投标保证金以现金形式交纳的不予退还，以保函形式交纳的由保函开立人支付保函担保的与投标保证金等额的款项：</w:t>
      </w:r>
    </w:p>
    <w:p w14:paraId="20EDAC2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（1）投标人在规定的投标有效期内撤销</w:t>
      </w:r>
      <w:r>
        <w:rPr>
          <w:rFonts w:hint="eastAsia" w:ascii="宋体" w:hAnsi="宋体" w:eastAsia="宋体" w:cs="宋体"/>
          <w:snapToGrid w:val="0"/>
          <w:color w:val="auto"/>
          <w:kern w:val="0"/>
          <w:szCs w:val="21"/>
          <w:highlight w:val="none"/>
          <w:lang w:val="en-US" w:eastAsia="zh-CN"/>
        </w:rPr>
        <w:t>或修改</w:t>
      </w:r>
      <w:r>
        <w:rPr>
          <w:rFonts w:hint="eastAsia" w:ascii="宋体" w:hAnsi="宋体" w:eastAsia="宋体" w:cs="宋体"/>
          <w:snapToGrid w:val="0"/>
          <w:color w:val="auto"/>
          <w:kern w:val="0"/>
          <w:szCs w:val="21"/>
          <w:highlight w:val="none"/>
        </w:rPr>
        <w:t>投标文件；</w:t>
      </w:r>
    </w:p>
    <w:p w14:paraId="355E7E2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（2）中标人在收到中标通知书后，无正当理由不与招标人订立合同，在签订合同时向招标人提出附加条件，或者不按照招标文件要求提交履约保证金；</w:t>
      </w:r>
    </w:p>
    <w:p w14:paraId="55D041D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发生投标人须知前附表规定的其他可以不予退还投标保证金的情形。</w:t>
      </w:r>
    </w:p>
    <w:p w14:paraId="4C2C8CA1">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46" w:name="_Toc287607770"/>
      <w:bookmarkStart w:id="347" w:name="_Toc6361"/>
      <w:bookmarkStart w:id="348" w:name="_Toc430530459"/>
      <w:bookmarkStart w:id="349" w:name="_Toc25315"/>
      <w:bookmarkStart w:id="350" w:name="_Toc509218734"/>
      <w:bookmarkStart w:id="351" w:name="_Toc224103341"/>
      <w:bookmarkStart w:id="352" w:name="_Toc287620709"/>
      <w:bookmarkStart w:id="353" w:name="_Toc200513150"/>
      <w:bookmarkStart w:id="354" w:name="_Toc28844"/>
      <w:bookmarkStart w:id="355" w:name="_Toc277082576"/>
      <w:r>
        <w:rPr>
          <w:rFonts w:hint="eastAsia" w:ascii="宋体" w:hAnsi="宋体" w:eastAsia="宋体" w:cs="宋体"/>
          <w:b w:val="0"/>
          <w:snapToGrid w:val="0"/>
          <w:color w:val="auto"/>
          <w:sz w:val="24"/>
          <w:szCs w:val="24"/>
          <w:highlight w:val="none"/>
        </w:rPr>
        <w:t>3.5  资格审查资料</w:t>
      </w:r>
      <w:bookmarkEnd w:id="346"/>
      <w:bookmarkEnd w:id="347"/>
      <w:bookmarkEnd w:id="348"/>
      <w:bookmarkEnd w:id="349"/>
      <w:bookmarkEnd w:id="350"/>
      <w:bookmarkEnd w:id="351"/>
      <w:bookmarkEnd w:id="352"/>
      <w:bookmarkEnd w:id="353"/>
      <w:bookmarkEnd w:id="354"/>
      <w:bookmarkEnd w:id="355"/>
    </w:p>
    <w:p w14:paraId="044134D8">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14:paraId="6812379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14:paraId="61A5622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56" w:name="_Toc16188"/>
      <w:bookmarkStart w:id="357" w:name="_Toc287607771"/>
      <w:bookmarkStart w:id="358" w:name="_Toc509218735"/>
      <w:bookmarkStart w:id="359" w:name="_Toc26857"/>
      <w:bookmarkStart w:id="360" w:name="_Toc430530460"/>
      <w:bookmarkStart w:id="361" w:name="_Toc200513151"/>
      <w:bookmarkStart w:id="362" w:name="_Toc287620710"/>
      <w:bookmarkStart w:id="363" w:name="_Toc12995"/>
      <w:bookmarkStart w:id="364" w:name="_Toc224103342"/>
      <w:bookmarkStart w:id="365" w:name="_Toc277082577"/>
      <w:r>
        <w:rPr>
          <w:rFonts w:hint="eastAsia" w:ascii="宋体" w:hAnsi="宋体" w:eastAsia="宋体" w:cs="宋体"/>
          <w:b w:val="0"/>
          <w:snapToGrid w:val="0"/>
          <w:color w:val="auto"/>
          <w:sz w:val="24"/>
          <w:szCs w:val="24"/>
          <w:highlight w:val="none"/>
        </w:rPr>
        <w:t>3.6  备选投标方案</w:t>
      </w:r>
      <w:bookmarkEnd w:id="356"/>
      <w:bookmarkEnd w:id="357"/>
      <w:bookmarkEnd w:id="358"/>
      <w:bookmarkEnd w:id="359"/>
      <w:bookmarkEnd w:id="360"/>
      <w:bookmarkEnd w:id="361"/>
      <w:bookmarkEnd w:id="362"/>
      <w:bookmarkEnd w:id="363"/>
      <w:bookmarkEnd w:id="364"/>
      <w:bookmarkEnd w:id="365"/>
    </w:p>
    <w:p w14:paraId="5E202A6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3.6.1  除投标人须知前附表规定允许外，投标人不得递交备选投标方案，否则其投标将被否决。</w:t>
      </w:r>
    </w:p>
    <w:p w14:paraId="656603B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509D167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3.6.3  投标人提供两个或两个以上投标报价，或者在投标文件中提供一个报价，但同时提供两个或两个以上</w:t>
      </w:r>
      <w:r>
        <w:rPr>
          <w:rFonts w:hint="eastAsia" w:ascii="宋体" w:hAnsi="宋体" w:eastAsia="宋体" w:cs="宋体"/>
          <w:snapToGrid w:val="0"/>
          <w:color w:val="auto"/>
          <w:kern w:val="0"/>
          <w:szCs w:val="21"/>
          <w:highlight w:val="none"/>
          <w:lang w:val="en-US" w:eastAsia="zh-CN"/>
        </w:rPr>
        <w:t>供货</w:t>
      </w:r>
      <w:r>
        <w:rPr>
          <w:rFonts w:hint="eastAsia" w:ascii="宋体" w:hAnsi="宋体" w:eastAsia="宋体" w:cs="宋体"/>
          <w:snapToGrid w:val="0"/>
          <w:color w:val="auto"/>
          <w:kern w:val="0"/>
          <w:szCs w:val="21"/>
          <w:highlight w:val="none"/>
        </w:rPr>
        <w:t>方案的，视为提供备选方案。</w:t>
      </w:r>
    </w:p>
    <w:p w14:paraId="5EA00A7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66" w:name="_Toc14602"/>
      <w:bookmarkStart w:id="367" w:name="_Toc287607772"/>
      <w:bookmarkStart w:id="368" w:name="_Toc13259"/>
      <w:bookmarkStart w:id="369" w:name="_Toc24920"/>
      <w:bookmarkStart w:id="370" w:name="_Toc509218736"/>
      <w:bookmarkStart w:id="371" w:name="_Toc287620711"/>
      <w:bookmarkStart w:id="372" w:name="_Toc224103343"/>
      <w:bookmarkStart w:id="373" w:name="_Toc430530461"/>
      <w:bookmarkStart w:id="374" w:name="_Toc277082578"/>
      <w:bookmarkStart w:id="375" w:name="_Toc200513152"/>
      <w:r>
        <w:rPr>
          <w:rFonts w:hint="eastAsia" w:ascii="宋体" w:hAnsi="宋体" w:eastAsia="宋体" w:cs="宋体"/>
          <w:b w:val="0"/>
          <w:snapToGrid w:val="0"/>
          <w:color w:val="auto"/>
          <w:sz w:val="24"/>
          <w:szCs w:val="24"/>
          <w:highlight w:val="none"/>
        </w:rPr>
        <w:t>3.7  投标文件的编制</w:t>
      </w:r>
      <w:bookmarkEnd w:id="366"/>
      <w:bookmarkEnd w:id="367"/>
      <w:bookmarkEnd w:id="368"/>
      <w:bookmarkEnd w:id="369"/>
      <w:bookmarkEnd w:id="370"/>
      <w:bookmarkEnd w:id="371"/>
      <w:bookmarkEnd w:id="372"/>
      <w:bookmarkEnd w:id="373"/>
      <w:bookmarkEnd w:id="374"/>
      <w:bookmarkEnd w:id="375"/>
    </w:p>
    <w:p w14:paraId="1233072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3.7.1  投标文件应按第六章“投标文件格式”进行编写，如有必要，可以增加附页，作为投标文件的组成部分。</w:t>
      </w:r>
    </w:p>
    <w:p w14:paraId="60A6484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3.7.2  </w:t>
      </w:r>
      <w:r>
        <w:rPr>
          <w:rFonts w:hint="eastAsia" w:ascii="宋体" w:hAnsi="宋体" w:eastAsia="宋体" w:cs="宋体"/>
          <w:color w:val="auto"/>
          <w:spacing w:val="-7"/>
          <w:sz w:val="21"/>
          <w:highlight w:val="none"/>
        </w:rPr>
        <w:t>投标文件应当对招标文件有关供货期、投标有效期、</w:t>
      </w:r>
      <w:r>
        <w:rPr>
          <w:rFonts w:hint="eastAsia" w:ascii="宋体" w:hAnsi="宋体" w:cs="宋体"/>
          <w:color w:val="auto"/>
          <w:spacing w:val="-7"/>
          <w:sz w:val="21"/>
          <w:highlight w:val="none"/>
          <w:lang w:eastAsia="zh-CN"/>
        </w:rPr>
        <w:t>项目需求</w:t>
      </w:r>
      <w:r>
        <w:rPr>
          <w:rFonts w:hint="eastAsia" w:ascii="宋体" w:hAnsi="宋体" w:eastAsia="宋体" w:cs="宋体"/>
          <w:color w:val="auto"/>
          <w:spacing w:val="-7"/>
          <w:sz w:val="21"/>
          <w:highlight w:val="none"/>
        </w:rPr>
        <w:t>、招标范围等实质性内容作出响应。投标文件在满足招标文件实质性要求的基础上，可以提出比招标文件要求更有利</w:t>
      </w:r>
      <w:r>
        <w:rPr>
          <w:rFonts w:hint="eastAsia" w:ascii="宋体" w:hAnsi="宋体" w:eastAsia="宋体" w:cs="宋体"/>
          <w:color w:val="auto"/>
          <w:spacing w:val="-5"/>
          <w:sz w:val="21"/>
          <w:highlight w:val="none"/>
        </w:rPr>
        <w:t>于招标人的承诺。</w:t>
      </w:r>
    </w:p>
    <w:p w14:paraId="222A220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投标文件的签名盖章要求：按本章投标人须知前附表第3.7.3项执行。</w:t>
      </w:r>
    </w:p>
    <w:p w14:paraId="546F3593">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3.7.4  投标文件的份数：按投标</w:t>
      </w:r>
      <w:r>
        <w:rPr>
          <w:rFonts w:hint="eastAsia" w:ascii="宋体" w:hAnsi="宋体" w:eastAsia="宋体" w:cs="宋体"/>
          <w:color w:val="auto"/>
          <w:kern w:val="0"/>
          <w:szCs w:val="21"/>
          <w:highlight w:val="none"/>
          <w:lang w:val="en-US" w:eastAsia="zh-CN"/>
        </w:rPr>
        <w:t>人须知前附表第3.7.4项执行。</w:t>
      </w:r>
    </w:p>
    <w:p w14:paraId="71F5B387">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3.7.5  投标文件应按规定格式排版，并编制目录，具体编制要求按投标人须知前附表第3.7.5项执行。</w:t>
      </w:r>
    </w:p>
    <w:p w14:paraId="0F77B15E">
      <w:pPr>
        <w:pStyle w:val="4"/>
        <w:keepNext w:val="0"/>
        <w:keepLines w:val="0"/>
        <w:spacing w:before="0" w:after="0" w:line="360" w:lineRule="auto"/>
        <w:rPr>
          <w:rFonts w:hint="eastAsia" w:ascii="宋体" w:hAnsi="宋体" w:eastAsia="宋体" w:cs="宋体"/>
          <w:b w:val="0"/>
          <w:snapToGrid w:val="0"/>
          <w:color w:val="auto"/>
          <w:highlight w:val="none"/>
        </w:rPr>
      </w:pPr>
      <w:bookmarkStart w:id="376" w:name="_Toc23669"/>
      <w:bookmarkStart w:id="377" w:name="_Toc287620712"/>
      <w:bookmarkStart w:id="378" w:name="_Toc27851"/>
      <w:bookmarkStart w:id="379" w:name="_Toc509218737"/>
      <w:bookmarkStart w:id="380" w:name="_Toc287607773"/>
      <w:bookmarkStart w:id="381" w:name="_Toc224103344"/>
      <w:bookmarkStart w:id="382" w:name="_Toc200513153"/>
      <w:bookmarkStart w:id="383" w:name="_Toc277082579"/>
      <w:bookmarkStart w:id="384" w:name="_Toc430530462"/>
      <w:bookmarkStart w:id="385" w:name="_Toc25764"/>
      <w:r>
        <w:rPr>
          <w:rFonts w:hint="eastAsia" w:ascii="宋体" w:hAnsi="宋体" w:eastAsia="宋体" w:cs="宋体"/>
          <w:b w:val="0"/>
          <w:snapToGrid w:val="0"/>
          <w:color w:val="auto"/>
          <w:highlight w:val="none"/>
        </w:rPr>
        <w:t>4.  投标</w:t>
      </w:r>
      <w:bookmarkEnd w:id="376"/>
      <w:bookmarkEnd w:id="377"/>
      <w:bookmarkEnd w:id="378"/>
      <w:bookmarkEnd w:id="379"/>
      <w:bookmarkEnd w:id="380"/>
      <w:bookmarkEnd w:id="381"/>
      <w:bookmarkEnd w:id="382"/>
      <w:bookmarkEnd w:id="383"/>
      <w:bookmarkEnd w:id="384"/>
      <w:bookmarkEnd w:id="385"/>
    </w:p>
    <w:p w14:paraId="1FB5D5D2">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86" w:name="_Toc287607774"/>
      <w:bookmarkStart w:id="387" w:name="_Toc287620713"/>
      <w:bookmarkStart w:id="388" w:name="_Toc224103345"/>
      <w:bookmarkStart w:id="389" w:name="_Toc200513154"/>
      <w:bookmarkStart w:id="390" w:name="_Toc430530463"/>
      <w:bookmarkStart w:id="391" w:name="_Toc277082580"/>
      <w:bookmarkStart w:id="392" w:name="_Toc509218738"/>
      <w:bookmarkStart w:id="393" w:name="_Toc5521"/>
      <w:bookmarkStart w:id="394" w:name="_Toc18339"/>
      <w:bookmarkStart w:id="395" w:name="_Toc25481"/>
      <w:r>
        <w:rPr>
          <w:rFonts w:hint="eastAsia" w:ascii="宋体" w:hAnsi="宋体" w:eastAsia="宋体" w:cs="宋体"/>
          <w:b w:val="0"/>
          <w:snapToGrid w:val="0"/>
          <w:color w:val="auto"/>
          <w:sz w:val="24"/>
          <w:szCs w:val="24"/>
          <w:highlight w:val="none"/>
        </w:rPr>
        <w:t>4.1  投标文件的密封和标记</w:t>
      </w:r>
      <w:bookmarkEnd w:id="386"/>
      <w:bookmarkEnd w:id="387"/>
      <w:bookmarkEnd w:id="388"/>
      <w:bookmarkEnd w:id="389"/>
      <w:bookmarkEnd w:id="390"/>
      <w:bookmarkEnd w:id="391"/>
      <w:bookmarkEnd w:id="392"/>
      <w:bookmarkEnd w:id="393"/>
      <w:bookmarkEnd w:id="394"/>
      <w:bookmarkEnd w:id="395"/>
    </w:p>
    <w:p w14:paraId="1ECF54D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bookmarkStart w:id="396" w:name="_Toc200513155"/>
      <w:r>
        <w:rPr>
          <w:rFonts w:hint="eastAsia" w:ascii="宋体" w:hAnsi="宋体" w:eastAsia="宋体" w:cs="宋体"/>
          <w:snapToGrid w:val="0"/>
          <w:color w:val="auto"/>
          <w:kern w:val="0"/>
          <w:szCs w:val="21"/>
          <w:highlight w:val="none"/>
        </w:rPr>
        <w:t>4.1.1  投标文件的密封：见投标人须知前附表。</w:t>
      </w:r>
    </w:p>
    <w:p w14:paraId="728086B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投标文件封套上应载明的信息：见投标人须知前附表。</w:t>
      </w:r>
    </w:p>
    <w:p w14:paraId="6AE84880">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97" w:name="_Toc4240"/>
      <w:bookmarkStart w:id="398" w:name="_Toc287620714"/>
      <w:bookmarkStart w:id="399" w:name="_Toc287607775"/>
      <w:bookmarkStart w:id="400" w:name="_Toc509218739"/>
      <w:bookmarkStart w:id="401" w:name="_Toc430530464"/>
      <w:bookmarkStart w:id="402" w:name="_Toc224103346"/>
      <w:bookmarkStart w:id="403" w:name="_Toc23867"/>
      <w:bookmarkStart w:id="404" w:name="_Toc277082581"/>
      <w:bookmarkStart w:id="405" w:name="_Toc10431"/>
      <w:r>
        <w:rPr>
          <w:rFonts w:hint="eastAsia" w:ascii="宋体" w:hAnsi="宋体" w:eastAsia="宋体" w:cs="宋体"/>
          <w:b w:val="0"/>
          <w:snapToGrid w:val="0"/>
          <w:color w:val="auto"/>
          <w:sz w:val="24"/>
          <w:szCs w:val="24"/>
          <w:highlight w:val="none"/>
        </w:rPr>
        <w:t>4.2  投标文件的递交</w:t>
      </w:r>
      <w:bookmarkEnd w:id="396"/>
      <w:bookmarkEnd w:id="397"/>
      <w:bookmarkEnd w:id="398"/>
      <w:bookmarkEnd w:id="399"/>
      <w:bookmarkEnd w:id="400"/>
      <w:bookmarkEnd w:id="401"/>
      <w:bookmarkEnd w:id="402"/>
      <w:bookmarkEnd w:id="403"/>
      <w:bookmarkEnd w:id="404"/>
      <w:bookmarkEnd w:id="405"/>
    </w:p>
    <w:p w14:paraId="07C6438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4.2.1  投标人应在投标人须知前附表第4.2.1项规定的投标截止时间前递交投标文件。</w:t>
      </w:r>
    </w:p>
    <w:p w14:paraId="5F18852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4.2.2  投标人递交投标文件的地点：见投标人须知前附表。</w:t>
      </w:r>
    </w:p>
    <w:p w14:paraId="73C45DA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4.2.3  除投标人须知前附表另有规定外，投标人所递交的投标文件不予退还。</w:t>
      </w:r>
    </w:p>
    <w:p w14:paraId="3126870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逾期送达的或者未送达指定地点的投标文件，</w:t>
      </w:r>
      <w:r>
        <w:rPr>
          <w:rFonts w:hint="eastAsia" w:ascii="宋体" w:hAnsi="宋体" w:eastAsia="宋体" w:cs="宋体"/>
          <w:color w:val="auto"/>
          <w:highlight w:val="none"/>
        </w:rPr>
        <w:t>将予以拒收</w:t>
      </w:r>
      <w:r>
        <w:rPr>
          <w:rFonts w:hint="eastAsia" w:ascii="宋体" w:hAnsi="宋体" w:eastAsia="宋体" w:cs="宋体"/>
          <w:snapToGrid w:val="0"/>
          <w:color w:val="auto"/>
          <w:kern w:val="0"/>
          <w:szCs w:val="21"/>
          <w:highlight w:val="none"/>
        </w:rPr>
        <w:t>。</w:t>
      </w:r>
    </w:p>
    <w:p w14:paraId="46866431">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06" w:name="_Toc11692"/>
      <w:bookmarkStart w:id="407" w:name="_Toc430530465"/>
      <w:bookmarkStart w:id="408" w:name="_Toc509218740"/>
      <w:bookmarkStart w:id="409" w:name="_Toc277082582"/>
      <w:bookmarkStart w:id="410" w:name="_Toc16061"/>
      <w:bookmarkStart w:id="411" w:name="_Toc224103347"/>
      <w:bookmarkStart w:id="412" w:name="_Toc287607776"/>
      <w:bookmarkStart w:id="413" w:name="_Toc287620715"/>
      <w:bookmarkStart w:id="414" w:name="_Toc20667"/>
      <w:bookmarkStart w:id="415" w:name="_Toc200513156"/>
      <w:r>
        <w:rPr>
          <w:rFonts w:hint="eastAsia" w:ascii="宋体" w:hAnsi="宋体" w:eastAsia="宋体" w:cs="宋体"/>
          <w:b w:val="0"/>
          <w:snapToGrid w:val="0"/>
          <w:color w:val="auto"/>
          <w:sz w:val="24"/>
          <w:szCs w:val="24"/>
          <w:highlight w:val="none"/>
        </w:rPr>
        <w:t>4.3  投标文件的修改与撤回</w:t>
      </w:r>
      <w:bookmarkEnd w:id="406"/>
      <w:bookmarkEnd w:id="407"/>
      <w:bookmarkEnd w:id="408"/>
      <w:bookmarkEnd w:id="409"/>
      <w:bookmarkEnd w:id="410"/>
      <w:bookmarkEnd w:id="411"/>
      <w:bookmarkEnd w:id="412"/>
      <w:bookmarkEnd w:id="413"/>
      <w:bookmarkEnd w:id="414"/>
      <w:bookmarkEnd w:id="415"/>
    </w:p>
    <w:p w14:paraId="58BC7EE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4.3.1  在投标人须知前附表第4.2.1项规定的投标截止时间前，投标人可以修改或撤回已递交的投标文件。</w:t>
      </w:r>
    </w:p>
    <w:p w14:paraId="1AAE0423">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4.3.</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 xml:space="preserve">  投标人撤回投标文件的，</w:t>
      </w:r>
      <w:r>
        <w:rPr>
          <w:rFonts w:hint="eastAsia" w:ascii="宋体" w:hAnsi="宋体" w:eastAsia="宋体" w:cs="宋体"/>
          <w:color w:val="auto"/>
          <w:spacing w:val="-11"/>
          <w:sz w:val="21"/>
          <w:highlight w:val="none"/>
        </w:rPr>
        <w:t xml:space="preserve">招标人自收到投标人书面撤回通知之日起 </w:t>
      </w:r>
      <w:r>
        <w:rPr>
          <w:rFonts w:hint="eastAsia" w:ascii="宋体" w:hAnsi="宋体" w:eastAsia="宋体" w:cs="宋体"/>
          <w:color w:val="auto"/>
          <w:sz w:val="21"/>
          <w:highlight w:val="none"/>
        </w:rPr>
        <w:t>5</w:t>
      </w:r>
      <w:r>
        <w:rPr>
          <w:rFonts w:hint="eastAsia" w:ascii="宋体" w:hAnsi="宋体" w:eastAsia="宋体" w:cs="宋体"/>
          <w:color w:val="auto"/>
          <w:spacing w:val="15"/>
          <w:sz w:val="21"/>
          <w:highlight w:val="none"/>
        </w:rPr>
        <w:t xml:space="preserve"> </w:t>
      </w:r>
      <w:r>
        <w:rPr>
          <w:rFonts w:hint="eastAsia" w:ascii="宋体" w:hAnsi="宋体" w:eastAsia="宋体" w:cs="宋体"/>
          <w:color w:val="auto"/>
          <w:spacing w:val="-3"/>
          <w:sz w:val="21"/>
          <w:highlight w:val="none"/>
        </w:rPr>
        <w:t>日内退还已收取的投标保证金。</w:t>
      </w:r>
    </w:p>
    <w:p w14:paraId="3165C834">
      <w:pPr>
        <w:pStyle w:val="4"/>
        <w:keepNext w:val="0"/>
        <w:keepLines w:val="0"/>
        <w:spacing w:before="0" w:after="0" w:line="360" w:lineRule="auto"/>
        <w:rPr>
          <w:rFonts w:hint="eastAsia" w:ascii="宋体" w:hAnsi="宋体" w:eastAsia="宋体" w:cs="宋体"/>
          <w:b w:val="0"/>
          <w:snapToGrid w:val="0"/>
          <w:color w:val="auto"/>
          <w:highlight w:val="none"/>
        </w:rPr>
      </w:pPr>
      <w:bookmarkStart w:id="416" w:name="_Toc27732"/>
      <w:bookmarkStart w:id="417" w:name="_Toc287620716"/>
      <w:bookmarkStart w:id="418" w:name="_Toc509218741"/>
      <w:bookmarkStart w:id="419" w:name="_Toc430530466"/>
      <w:bookmarkStart w:id="420" w:name="_Toc17848"/>
      <w:bookmarkStart w:id="421" w:name="_Toc26130"/>
      <w:bookmarkStart w:id="422" w:name="_Toc287607777"/>
      <w:bookmarkStart w:id="423" w:name="_Toc224103348"/>
      <w:bookmarkStart w:id="424" w:name="_Toc200513157"/>
      <w:bookmarkStart w:id="425" w:name="_Toc277082583"/>
      <w:r>
        <w:rPr>
          <w:rFonts w:hint="eastAsia" w:ascii="宋体" w:hAnsi="宋体" w:eastAsia="宋体" w:cs="宋体"/>
          <w:b w:val="0"/>
          <w:snapToGrid w:val="0"/>
          <w:color w:val="auto"/>
          <w:highlight w:val="none"/>
        </w:rPr>
        <w:t>5.  开标</w:t>
      </w:r>
      <w:bookmarkEnd w:id="416"/>
      <w:bookmarkEnd w:id="417"/>
      <w:bookmarkEnd w:id="418"/>
      <w:bookmarkEnd w:id="419"/>
      <w:bookmarkEnd w:id="420"/>
      <w:bookmarkEnd w:id="421"/>
      <w:bookmarkEnd w:id="422"/>
      <w:bookmarkEnd w:id="423"/>
      <w:bookmarkEnd w:id="424"/>
      <w:bookmarkEnd w:id="425"/>
    </w:p>
    <w:p w14:paraId="3CDC861F">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26" w:name="_Toc200513158"/>
      <w:bookmarkStart w:id="427" w:name="_Toc277082584"/>
      <w:bookmarkStart w:id="428" w:name="_Toc15985"/>
      <w:bookmarkStart w:id="429" w:name="_Toc287620717"/>
      <w:bookmarkStart w:id="430" w:name="_Toc430530467"/>
      <w:bookmarkStart w:id="431" w:name="_Toc9625"/>
      <w:bookmarkStart w:id="432" w:name="_Toc224103349"/>
      <w:bookmarkStart w:id="433" w:name="_Toc287607778"/>
      <w:bookmarkStart w:id="434" w:name="_Toc8805"/>
      <w:bookmarkStart w:id="435" w:name="_Toc509218742"/>
      <w:r>
        <w:rPr>
          <w:rFonts w:hint="eastAsia" w:ascii="宋体" w:hAnsi="宋体" w:eastAsia="宋体" w:cs="宋体"/>
          <w:b w:val="0"/>
          <w:snapToGrid w:val="0"/>
          <w:color w:val="auto"/>
          <w:sz w:val="24"/>
          <w:szCs w:val="24"/>
          <w:highlight w:val="none"/>
        </w:rPr>
        <w:t>5.1  开标时间和地点</w:t>
      </w:r>
      <w:bookmarkEnd w:id="426"/>
      <w:bookmarkEnd w:id="427"/>
      <w:bookmarkEnd w:id="428"/>
      <w:bookmarkEnd w:id="429"/>
      <w:bookmarkEnd w:id="430"/>
      <w:bookmarkEnd w:id="431"/>
      <w:bookmarkEnd w:id="432"/>
      <w:bookmarkEnd w:id="433"/>
      <w:bookmarkEnd w:id="434"/>
      <w:bookmarkEnd w:id="435"/>
    </w:p>
    <w:p w14:paraId="51E68DA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5.1.1  招标人在投标人须知前附表第4.2.1项规定的投标截止时间（开标时间）和投标人须知前附表规定的地点公开开标，并邀请所有投标人的法定代表人</w:t>
      </w:r>
      <w:r>
        <w:rPr>
          <w:rFonts w:hint="eastAsia" w:ascii="宋体" w:hAnsi="宋体" w:eastAsia="宋体" w:cs="宋体"/>
          <w:color w:val="auto"/>
          <w:spacing w:val="-3"/>
          <w:highlight w:val="none"/>
        </w:rPr>
        <w:t>（单位负责人</w:t>
      </w:r>
      <w:r>
        <w:rPr>
          <w:rFonts w:hint="eastAsia" w:ascii="宋体" w:hAnsi="宋体" w:eastAsia="宋体" w:cs="宋体"/>
          <w:color w:val="auto"/>
          <w:highlight w:val="none"/>
        </w:rPr>
        <w:t>）</w:t>
      </w:r>
      <w:r>
        <w:rPr>
          <w:rFonts w:hint="eastAsia" w:ascii="宋体" w:hAnsi="宋体" w:eastAsia="宋体" w:cs="宋体"/>
          <w:snapToGrid w:val="0"/>
          <w:color w:val="auto"/>
          <w:kern w:val="0"/>
          <w:szCs w:val="21"/>
          <w:highlight w:val="none"/>
        </w:rPr>
        <w:t>或其委托代理人准时参加。</w:t>
      </w:r>
    </w:p>
    <w:p w14:paraId="3806884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投标人若未派法定代表人或委托代理人出席开标活动，视为该投标人默认开标结果。</w:t>
      </w:r>
    </w:p>
    <w:p w14:paraId="7F0F441E">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36" w:name="_Toc287607779"/>
      <w:bookmarkStart w:id="437" w:name="_Toc12831"/>
      <w:bookmarkStart w:id="438" w:name="_Toc978"/>
      <w:bookmarkStart w:id="439" w:name="_Toc509218743"/>
      <w:bookmarkStart w:id="440" w:name="_Toc200513159"/>
      <w:bookmarkStart w:id="441" w:name="_Toc1312"/>
      <w:bookmarkStart w:id="442" w:name="_Toc224103350"/>
      <w:bookmarkStart w:id="443" w:name="_Toc430530468"/>
      <w:bookmarkStart w:id="444" w:name="_Toc277082585"/>
      <w:bookmarkStart w:id="445" w:name="_Toc287620718"/>
      <w:r>
        <w:rPr>
          <w:rFonts w:hint="eastAsia" w:ascii="宋体" w:hAnsi="宋体" w:eastAsia="宋体" w:cs="宋体"/>
          <w:b w:val="0"/>
          <w:snapToGrid w:val="0"/>
          <w:color w:val="auto"/>
          <w:sz w:val="24"/>
          <w:szCs w:val="24"/>
          <w:highlight w:val="none"/>
        </w:rPr>
        <w:t>5.2  开标程序</w:t>
      </w:r>
      <w:bookmarkEnd w:id="436"/>
      <w:bookmarkEnd w:id="437"/>
      <w:bookmarkEnd w:id="438"/>
      <w:bookmarkEnd w:id="439"/>
      <w:bookmarkEnd w:id="440"/>
      <w:bookmarkEnd w:id="441"/>
      <w:bookmarkEnd w:id="442"/>
      <w:bookmarkEnd w:id="443"/>
      <w:bookmarkEnd w:id="444"/>
      <w:bookmarkEnd w:id="445"/>
    </w:p>
    <w:p w14:paraId="124BDDA6">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bookmarkStart w:id="446" w:name="_Toc277082586"/>
      <w:bookmarkStart w:id="447" w:name="_Toc200513160"/>
      <w:bookmarkStart w:id="448" w:name="_Toc287620719"/>
      <w:bookmarkStart w:id="449" w:name="_Toc224103351"/>
      <w:bookmarkStart w:id="450" w:name="_Toc287607780"/>
      <w:r>
        <w:rPr>
          <w:rFonts w:hint="eastAsia" w:ascii="宋体" w:hAnsi="宋体" w:eastAsia="宋体" w:cs="宋体"/>
          <w:color w:val="auto"/>
          <w:szCs w:val="21"/>
          <w:highlight w:val="none"/>
        </w:rPr>
        <w:t>详见投标人须知前附表第5.2款开标程序。</w:t>
      </w:r>
    </w:p>
    <w:p w14:paraId="7374C77C">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1" w:name="_Toc32030"/>
      <w:bookmarkStart w:id="452" w:name="_Toc10284"/>
      <w:bookmarkStart w:id="453" w:name="_Toc16692"/>
      <w:r>
        <w:rPr>
          <w:rFonts w:hint="eastAsia" w:ascii="宋体" w:hAnsi="宋体" w:eastAsia="宋体" w:cs="宋体"/>
          <w:b w:val="0"/>
          <w:snapToGrid w:val="0"/>
          <w:color w:val="auto"/>
          <w:sz w:val="24"/>
          <w:szCs w:val="24"/>
          <w:highlight w:val="none"/>
        </w:rPr>
        <w:t>5.3  开标异议</w:t>
      </w:r>
      <w:bookmarkEnd w:id="451"/>
      <w:bookmarkEnd w:id="452"/>
      <w:bookmarkEnd w:id="453"/>
    </w:p>
    <w:p w14:paraId="50827FC7">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投标人对开标有异议的，应</w:t>
      </w:r>
      <w:r>
        <w:rPr>
          <w:rFonts w:hint="eastAsia" w:ascii="宋体" w:hAnsi="宋体" w:eastAsia="宋体" w:cs="宋体"/>
          <w:color w:val="auto"/>
          <w:szCs w:val="21"/>
          <w:highlight w:val="none"/>
          <w:lang w:eastAsia="zh-CN"/>
        </w:rPr>
        <w:t>当</w:t>
      </w:r>
      <w:r>
        <w:rPr>
          <w:rFonts w:hint="eastAsia" w:ascii="宋体" w:hAnsi="宋体" w:eastAsia="宋体" w:cs="宋体"/>
          <w:color w:val="auto"/>
          <w:szCs w:val="21"/>
          <w:highlight w:val="none"/>
        </w:rPr>
        <w:t>在开标现场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239CD523">
      <w:pPr>
        <w:pStyle w:val="4"/>
        <w:keepNext w:val="0"/>
        <w:keepLines w:val="0"/>
        <w:spacing w:before="0" w:after="0" w:line="360" w:lineRule="auto"/>
        <w:rPr>
          <w:rFonts w:hint="eastAsia" w:ascii="宋体" w:hAnsi="宋体" w:eastAsia="宋体" w:cs="宋体"/>
          <w:b w:val="0"/>
          <w:snapToGrid w:val="0"/>
          <w:color w:val="auto"/>
          <w:highlight w:val="none"/>
        </w:rPr>
      </w:pPr>
      <w:bookmarkStart w:id="454" w:name="_Toc509218744"/>
      <w:bookmarkStart w:id="455" w:name="_Toc430530469"/>
      <w:bookmarkStart w:id="456" w:name="_Toc24172"/>
      <w:bookmarkStart w:id="457" w:name="_Toc21828"/>
      <w:bookmarkStart w:id="458" w:name="_Toc15443"/>
      <w:r>
        <w:rPr>
          <w:rFonts w:hint="eastAsia" w:ascii="宋体" w:hAnsi="宋体" w:eastAsia="宋体" w:cs="宋体"/>
          <w:b w:val="0"/>
          <w:snapToGrid w:val="0"/>
          <w:color w:val="auto"/>
          <w:highlight w:val="none"/>
        </w:rPr>
        <w:t>6.  评标</w:t>
      </w:r>
      <w:bookmarkEnd w:id="446"/>
      <w:bookmarkEnd w:id="447"/>
      <w:bookmarkEnd w:id="448"/>
      <w:bookmarkEnd w:id="449"/>
      <w:bookmarkEnd w:id="450"/>
      <w:bookmarkEnd w:id="454"/>
      <w:bookmarkEnd w:id="455"/>
      <w:bookmarkEnd w:id="456"/>
      <w:bookmarkEnd w:id="457"/>
      <w:bookmarkEnd w:id="458"/>
    </w:p>
    <w:p w14:paraId="550045A9">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9" w:name="_Toc287620720"/>
      <w:bookmarkStart w:id="460" w:name="_Toc27238"/>
      <w:bookmarkStart w:id="461" w:name="_Toc509218745"/>
      <w:bookmarkStart w:id="462" w:name="_Toc200513161"/>
      <w:bookmarkStart w:id="463" w:name="_Toc224103352"/>
      <w:bookmarkStart w:id="464" w:name="_Toc277082587"/>
      <w:bookmarkStart w:id="465" w:name="_Toc356"/>
      <w:bookmarkStart w:id="466" w:name="_Toc430530470"/>
      <w:bookmarkStart w:id="467" w:name="_Toc287607781"/>
      <w:bookmarkStart w:id="468" w:name="_Toc19680"/>
      <w:r>
        <w:rPr>
          <w:rFonts w:hint="eastAsia" w:ascii="宋体" w:hAnsi="宋体" w:eastAsia="宋体" w:cs="宋体"/>
          <w:b w:val="0"/>
          <w:snapToGrid w:val="0"/>
          <w:color w:val="auto"/>
          <w:sz w:val="24"/>
          <w:szCs w:val="24"/>
          <w:highlight w:val="none"/>
        </w:rPr>
        <w:t>6.1  评标委员会</w:t>
      </w:r>
      <w:bookmarkEnd w:id="459"/>
      <w:bookmarkEnd w:id="460"/>
      <w:bookmarkEnd w:id="461"/>
      <w:bookmarkEnd w:id="462"/>
      <w:bookmarkEnd w:id="463"/>
      <w:bookmarkEnd w:id="464"/>
      <w:bookmarkEnd w:id="465"/>
      <w:bookmarkEnd w:id="466"/>
      <w:bookmarkEnd w:id="467"/>
      <w:bookmarkEnd w:id="468"/>
    </w:p>
    <w:p w14:paraId="3871AC3B">
      <w:pPr>
        <w:autoSpaceDE w:val="0"/>
        <w:autoSpaceDN w:val="0"/>
        <w:adjustRightInd w:val="0"/>
        <w:snapToGrid w:val="0"/>
        <w:spacing w:line="360" w:lineRule="auto"/>
        <w:ind w:firstLine="420" w:firstLineChars="200"/>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6.1.1  评标由招标人依据法律法规和相关规范性文件组建的评标委员会负责。</w:t>
      </w:r>
    </w:p>
    <w:p w14:paraId="2747455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评标委员会成员有下列情形之一的，应当回避：</w:t>
      </w:r>
    </w:p>
    <w:p w14:paraId="1837583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（1）投标人或投标人主要负责人的近亲属；</w:t>
      </w:r>
    </w:p>
    <w:p w14:paraId="7E9A012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（2）项目主管部门或者项目行政监督部门的人员；</w:t>
      </w:r>
    </w:p>
    <w:p w14:paraId="49E2487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（3）与投标人有利害关系，可能影响对投标公正评审的；</w:t>
      </w:r>
    </w:p>
    <w:p w14:paraId="7572974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（4）曾因在招标、评标以及其他与招标投标有关活动中从事违法行为而受过行政处罚或刑事处罚的；</w:t>
      </w:r>
    </w:p>
    <w:p w14:paraId="586D1C3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（5）法律法规规定的其他情形。</w:t>
      </w:r>
    </w:p>
    <w:p w14:paraId="79FE48BF">
      <w:pPr>
        <w:pStyle w:val="14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2A4D602B">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69" w:name="_Toc224103353"/>
      <w:bookmarkStart w:id="470" w:name="_Toc30836"/>
      <w:bookmarkStart w:id="471" w:name="_Toc509218746"/>
      <w:bookmarkStart w:id="472" w:name="_Toc7326"/>
      <w:bookmarkStart w:id="473" w:name="_Toc287620721"/>
      <w:bookmarkStart w:id="474" w:name="_Toc277082588"/>
      <w:bookmarkStart w:id="475" w:name="_Toc16468"/>
      <w:bookmarkStart w:id="476" w:name="_Toc200513162"/>
      <w:bookmarkStart w:id="477" w:name="_Toc287607782"/>
      <w:bookmarkStart w:id="478" w:name="_Toc430530471"/>
      <w:r>
        <w:rPr>
          <w:rFonts w:hint="eastAsia" w:ascii="宋体" w:hAnsi="宋体" w:eastAsia="宋体" w:cs="宋体"/>
          <w:b w:val="0"/>
          <w:snapToGrid w:val="0"/>
          <w:color w:val="auto"/>
          <w:sz w:val="24"/>
          <w:szCs w:val="24"/>
          <w:highlight w:val="none"/>
        </w:rPr>
        <w:t>6.2  评标原则</w:t>
      </w:r>
      <w:bookmarkEnd w:id="469"/>
      <w:bookmarkEnd w:id="470"/>
      <w:bookmarkEnd w:id="471"/>
      <w:bookmarkEnd w:id="472"/>
      <w:bookmarkEnd w:id="473"/>
      <w:bookmarkEnd w:id="474"/>
      <w:bookmarkEnd w:id="475"/>
      <w:bookmarkEnd w:id="476"/>
      <w:bookmarkEnd w:id="477"/>
      <w:bookmarkEnd w:id="478"/>
    </w:p>
    <w:p w14:paraId="7E5FEDA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评标活动遵循公平、公正、科学和择优的原则。</w:t>
      </w:r>
    </w:p>
    <w:p w14:paraId="4CCF07F3">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79" w:name="_Toc21443"/>
      <w:bookmarkStart w:id="480" w:name="_Toc200513163"/>
      <w:bookmarkStart w:id="481" w:name="_Toc430530472"/>
      <w:bookmarkStart w:id="482" w:name="_Toc24847"/>
      <w:bookmarkStart w:id="483" w:name="_Toc277082589"/>
      <w:bookmarkStart w:id="484" w:name="_Toc509218747"/>
      <w:bookmarkStart w:id="485" w:name="_Toc287607783"/>
      <w:bookmarkStart w:id="486" w:name="_Toc224103354"/>
      <w:bookmarkStart w:id="487" w:name="_Toc287620722"/>
      <w:bookmarkStart w:id="488" w:name="_Toc13148"/>
      <w:r>
        <w:rPr>
          <w:rFonts w:hint="eastAsia" w:ascii="宋体" w:hAnsi="宋体" w:eastAsia="宋体" w:cs="宋体"/>
          <w:b w:val="0"/>
          <w:snapToGrid w:val="0"/>
          <w:color w:val="auto"/>
          <w:sz w:val="24"/>
          <w:szCs w:val="24"/>
          <w:highlight w:val="none"/>
        </w:rPr>
        <w:t>6.3  评标</w:t>
      </w:r>
      <w:bookmarkEnd w:id="479"/>
      <w:bookmarkEnd w:id="480"/>
      <w:bookmarkEnd w:id="481"/>
      <w:bookmarkEnd w:id="482"/>
      <w:bookmarkEnd w:id="483"/>
      <w:bookmarkEnd w:id="484"/>
      <w:bookmarkEnd w:id="485"/>
      <w:bookmarkEnd w:id="486"/>
      <w:bookmarkEnd w:id="487"/>
      <w:bookmarkEnd w:id="488"/>
    </w:p>
    <w:p w14:paraId="5046122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6.3.1  评标委员会按照第三章“评标办法”规定的方法、评审因素、标准和程序对投标文件进行评审。第三章“评标办法”没有规定的方法、评审因素和标准，不得作为评标依据。</w:t>
      </w:r>
    </w:p>
    <w:p w14:paraId="7D30712B">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6.3.2  </w:t>
      </w:r>
      <w:r>
        <w:rPr>
          <w:rFonts w:hint="eastAsia" w:ascii="宋体" w:hAnsi="宋体" w:eastAsia="宋体" w:cs="宋体"/>
          <w:color w:val="auto"/>
          <w:highlight w:val="none"/>
        </w:rPr>
        <w:t>评标完成后，评标委员会应当向招标人提交书面评标报告和中标候选人名单。评标委员会推荐中标候选人的数量见投标人须知前附表。</w:t>
      </w:r>
    </w:p>
    <w:p w14:paraId="67EDADE6">
      <w:pPr>
        <w:pStyle w:val="4"/>
        <w:spacing w:before="0" w:after="0" w:line="360" w:lineRule="auto"/>
        <w:rPr>
          <w:rFonts w:hint="eastAsia" w:ascii="宋体" w:hAnsi="宋体" w:eastAsia="宋体" w:cs="宋体"/>
          <w:b w:val="0"/>
          <w:snapToGrid w:val="0"/>
          <w:color w:val="auto"/>
          <w:highlight w:val="none"/>
        </w:rPr>
      </w:pPr>
      <w:bookmarkStart w:id="489" w:name="_Toc224103355"/>
      <w:bookmarkStart w:id="490" w:name="_Toc287620723"/>
      <w:bookmarkStart w:id="491" w:name="_Toc287607784"/>
      <w:bookmarkStart w:id="492" w:name="_Toc5152"/>
      <w:bookmarkStart w:id="493" w:name="_Toc11036"/>
      <w:bookmarkStart w:id="494" w:name="_Toc277082590"/>
      <w:bookmarkStart w:id="495" w:name="_Toc200513164"/>
      <w:bookmarkStart w:id="496" w:name="_Toc430530473"/>
      <w:bookmarkStart w:id="497" w:name="_Toc509218748"/>
      <w:bookmarkStart w:id="498" w:name="_Toc3690"/>
      <w:r>
        <w:rPr>
          <w:rFonts w:hint="eastAsia" w:ascii="宋体" w:hAnsi="宋体" w:eastAsia="宋体" w:cs="宋体"/>
          <w:b w:val="0"/>
          <w:snapToGrid w:val="0"/>
          <w:color w:val="auto"/>
          <w:highlight w:val="none"/>
        </w:rPr>
        <w:t>7.  合同授予</w:t>
      </w:r>
      <w:bookmarkEnd w:id="489"/>
      <w:bookmarkEnd w:id="490"/>
      <w:bookmarkEnd w:id="491"/>
      <w:bookmarkEnd w:id="492"/>
      <w:bookmarkEnd w:id="493"/>
      <w:bookmarkEnd w:id="494"/>
      <w:bookmarkEnd w:id="495"/>
      <w:bookmarkEnd w:id="496"/>
      <w:bookmarkEnd w:id="497"/>
      <w:bookmarkEnd w:id="498"/>
    </w:p>
    <w:p w14:paraId="4064489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99" w:name="_Toc277082591"/>
      <w:bookmarkStart w:id="500" w:name="_Toc287620724"/>
      <w:bookmarkStart w:id="501" w:name="_Toc224103356"/>
      <w:bookmarkStart w:id="502" w:name="_Toc430530474"/>
      <w:bookmarkStart w:id="503" w:name="_Toc287607785"/>
      <w:bookmarkStart w:id="504" w:name="_Toc200513165"/>
      <w:bookmarkStart w:id="505" w:name="_Toc509218749"/>
      <w:bookmarkStart w:id="506" w:name="_Toc22232"/>
      <w:bookmarkStart w:id="507" w:name="_Toc7976"/>
      <w:bookmarkStart w:id="508" w:name="_Toc864"/>
      <w:r>
        <w:rPr>
          <w:rFonts w:hint="eastAsia" w:ascii="宋体" w:hAnsi="宋体" w:eastAsia="宋体" w:cs="宋体"/>
          <w:b w:val="0"/>
          <w:snapToGrid w:val="0"/>
          <w:color w:val="auto"/>
          <w:sz w:val="24"/>
          <w:szCs w:val="24"/>
          <w:highlight w:val="none"/>
        </w:rPr>
        <w:t xml:space="preserve">7.1  </w:t>
      </w:r>
      <w:bookmarkEnd w:id="499"/>
      <w:bookmarkEnd w:id="500"/>
      <w:bookmarkEnd w:id="501"/>
      <w:bookmarkEnd w:id="502"/>
      <w:bookmarkEnd w:id="503"/>
      <w:bookmarkEnd w:id="504"/>
      <w:bookmarkEnd w:id="505"/>
      <w:r>
        <w:rPr>
          <w:rFonts w:hint="eastAsia" w:ascii="宋体" w:hAnsi="宋体" w:eastAsia="宋体" w:cs="宋体"/>
          <w:b w:val="0"/>
          <w:snapToGrid w:val="0"/>
          <w:color w:val="auto"/>
          <w:sz w:val="24"/>
          <w:szCs w:val="24"/>
          <w:highlight w:val="none"/>
        </w:rPr>
        <w:t>中标候选人公示</w:t>
      </w:r>
      <w:bookmarkEnd w:id="506"/>
      <w:bookmarkEnd w:id="507"/>
      <w:bookmarkEnd w:id="508"/>
    </w:p>
    <w:p w14:paraId="5DE4E177">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招标人在收到评标报告之日起3日内，按照投标人须知前附表规定的公示媒介和期限公示中标候选人，公示期不得少于3天。</w:t>
      </w:r>
    </w:p>
    <w:p w14:paraId="781E2323">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09" w:name="_Toc20795"/>
      <w:bookmarkStart w:id="510" w:name="_Toc9144"/>
      <w:bookmarkStart w:id="511" w:name="_Toc3120"/>
      <w:r>
        <w:rPr>
          <w:rFonts w:hint="eastAsia" w:ascii="宋体" w:hAnsi="宋体" w:eastAsia="宋体" w:cs="宋体"/>
          <w:b w:val="0"/>
          <w:snapToGrid w:val="0"/>
          <w:color w:val="auto"/>
          <w:sz w:val="24"/>
          <w:szCs w:val="24"/>
          <w:highlight w:val="none"/>
        </w:rPr>
        <w:t>7.2  评标结果异议</w:t>
      </w:r>
      <w:bookmarkEnd w:id="509"/>
      <w:bookmarkEnd w:id="510"/>
      <w:bookmarkEnd w:id="511"/>
    </w:p>
    <w:p w14:paraId="430A086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投标人或者其他利害关系人对评标结果有异议的，应当在中标候选人公示期间提出。招标人将在收到异议之日起 3 日内作出答复；作出答复前，将暂停招标投标活动。</w:t>
      </w:r>
    </w:p>
    <w:p w14:paraId="52FFCC3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2" w:name="_Toc27196"/>
      <w:bookmarkStart w:id="513" w:name="_Toc25641"/>
      <w:bookmarkStart w:id="514" w:name="_Toc23728"/>
      <w:r>
        <w:rPr>
          <w:rFonts w:hint="eastAsia" w:ascii="宋体" w:hAnsi="宋体" w:eastAsia="宋体" w:cs="宋体"/>
          <w:b w:val="0"/>
          <w:snapToGrid w:val="0"/>
          <w:color w:val="auto"/>
          <w:sz w:val="24"/>
          <w:szCs w:val="24"/>
          <w:highlight w:val="none"/>
        </w:rPr>
        <w:t>7.3  中标候选人履约能力审查</w:t>
      </w:r>
      <w:bookmarkEnd w:id="512"/>
      <w:bookmarkEnd w:id="513"/>
      <w:bookmarkEnd w:id="514"/>
    </w:p>
    <w:p w14:paraId="6BF9C5B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4FFB947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5" w:name="_Toc30448"/>
      <w:bookmarkStart w:id="516" w:name="_Toc6108"/>
      <w:bookmarkStart w:id="517" w:name="_Toc29840"/>
      <w:r>
        <w:rPr>
          <w:rFonts w:hint="eastAsia" w:ascii="宋体" w:hAnsi="宋体" w:eastAsia="宋体" w:cs="宋体"/>
          <w:b w:val="0"/>
          <w:snapToGrid w:val="0"/>
          <w:color w:val="auto"/>
          <w:sz w:val="24"/>
          <w:szCs w:val="24"/>
          <w:highlight w:val="none"/>
        </w:rPr>
        <w:t>7.4  定标</w:t>
      </w:r>
      <w:bookmarkEnd w:id="515"/>
      <w:bookmarkEnd w:id="516"/>
      <w:bookmarkEnd w:id="517"/>
    </w:p>
    <w:p w14:paraId="53F3CA5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按照投标人须知前附表的规定，招标人或招标人授权的评标委员会依法确定中标人。</w:t>
      </w:r>
    </w:p>
    <w:p w14:paraId="059DEBEB">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2696D4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8" w:name="_Toc27578"/>
      <w:bookmarkStart w:id="519" w:name="_Toc21025"/>
      <w:bookmarkStart w:id="520" w:name="_Toc509218750"/>
      <w:bookmarkStart w:id="521" w:name="_Toc11497"/>
      <w:bookmarkStart w:id="522" w:name="_Toc430530475"/>
      <w:r>
        <w:rPr>
          <w:rFonts w:hint="eastAsia" w:ascii="宋体" w:hAnsi="宋体" w:eastAsia="宋体" w:cs="宋体"/>
          <w:b w:val="0"/>
          <w:snapToGrid w:val="0"/>
          <w:color w:val="auto"/>
          <w:sz w:val="24"/>
          <w:szCs w:val="24"/>
          <w:highlight w:val="none"/>
        </w:rPr>
        <w:t>7.5  中标通知</w:t>
      </w:r>
      <w:bookmarkEnd w:id="518"/>
      <w:bookmarkEnd w:id="519"/>
      <w:bookmarkEnd w:id="520"/>
      <w:bookmarkEnd w:id="521"/>
      <w:bookmarkEnd w:id="522"/>
    </w:p>
    <w:p w14:paraId="10E9663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在本章第3.3款规定的投标有效期内，且</w:t>
      </w:r>
      <w:r>
        <w:rPr>
          <w:rFonts w:hint="eastAsia" w:ascii="宋体" w:hAnsi="宋体" w:eastAsia="宋体" w:cs="宋体"/>
          <w:snapToGrid w:val="0"/>
          <w:color w:val="auto"/>
          <w:kern w:val="0"/>
          <w:szCs w:val="21"/>
          <w:highlight w:val="none"/>
          <w:lang w:val="en-US" w:eastAsia="zh-CN"/>
        </w:rPr>
        <w:t>无异议和投诉，或异议和投诉不成立</w:t>
      </w:r>
      <w:r>
        <w:rPr>
          <w:rFonts w:hint="eastAsia" w:ascii="宋体" w:hAnsi="宋体" w:eastAsia="宋体" w:cs="宋体"/>
          <w:snapToGrid w:val="0"/>
          <w:color w:val="auto"/>
          <w:kern w:val="0"/>
          <w:szCs w:val="21"/>
          <w:highlight w:val="none"/>
        </w:rPr>
        <w:t>，招标人以书面形式向中标人发出中标通知书，同时将中标结果通知未中标的投标人。</w:t>
      </w:r>
    </w:p>
    <w:p w14:paraId="2E33EE00">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523" w:name="_Toc509218751"/>
      <w:bookmarkStart w:id="524" w:name="_Toc200513167"/>
      <w:bookmarkStart w:id="525" w:name="_Toc287620726"/>
      <w:bookmarkStart w:id="526" w:name="_Toc287607787"/>
      <w:bookmarkStart w:id="527" w:name="_Toc430530476"/>
      <w:bookmarkStart w:id="528" w:name="_Toc277082593"/>
      <w:bookmarkStart w:id="529" w:name="_Toc224103358"/>
      <w:bookmarkStart w:id="530" w:name="_Toc16447"/>
      <w:bookmarkStart w:id="531" w:name="_Toc19093"/>
      <w:bookmarkStart w:id="532" w:name="_Toc16718"/>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6</w:t>
      </w:r>
      <w:r>
        <w:rPr>
          <w:rFonts w:hint="eastAsia" w:ascii="宋体" w:hAnsi="宋体" w:eastAsia="宋体" w:cs="宋体"/>
          <w:b w:val="0"/>
          <w:snapToGrid w:val="0"/>
          <w:color w:val="auto"/>
          <w:sz w:val="24"/>
          <w:szCs w:val="24"/>
          <w:highlight w:val="none"/>
        </w:rPr>
        <w:t xml:space="preserve">  履约</w:t>
      </w:r>
      <w:bookmarkEnd w:id="523"/>
      <w:bookmarkEnd w:id="524"/>
      <w:bookmarkEnd w:id="525"/>
      <w:bookmarkEnd w:id="526"/>
      <w:bookmarkEnd w:id="527"/>
      <w:bookmarkEnd w:id="528"/>
      <w:bookmarkEnd w:id="529"/>
      <w:r>
        <w:rPr>
          <w:rFonts w:hint="eastAsia" w:ascii="宋体" w:hAnsi="宋体" w:eastAsia="宋体" w:cs="宋体"/>
          <w:b w:val="0"/>
          <w:snapToGrid w:val="0"/>
          <w:color w:val="auto"/>
          <w:sz w:val="24"/>
          <w:szCs w:val="24"/>
          <w:highlight w:val="none"/>
          <w:lang w:val="en-US" w:eastAsia="zh-CN"/>
        </w:rPr>
        <w:t>保证金</w:t>
      </w:r>
      <w:bookmarkEnd w:id="530"/>
      <w:bookmarkEnd w:id="531"/>
      <w:bookmarkEnd w:id="532"/>
    </w:p>
    <w:p w14:paraId="6C9F6B2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在签订合同前，中标人应按投标人须知前附表规定的形式、金额和招标文件第四章“合同条款及格式”规定的或者事先经过招标人认可的履约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格式向招标人提交履约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。除投标人须知前附表另有规定外，履约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为中标合同金额的10%。联合体中标的，</w:t>
      </w:r>
      <w:r>
        <w:rPr>
          <w:rFonts w:hint="eastAsia" w:ascii="宋体" w:hAnsi="宋体" w:eastAsia="宋体" w:cs="宋体"/>
          <w:color w:val="auto"/>
          <w:spacing w:val="-3"/>
          <w:highlight w:val="none"/>
        </w:rPr>
        <w:t>其履约保证金以联合体各方或者联合体中牵头人的名义提交。</w:t>
      </w:r>
    </w:p>
    <w:p w14:paraId="38100BB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中标人不能按本章第7.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.1项要求提交履约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的，视为放弃中标，其投标保证金以现金形式交纳的不予退还，以保函形式交纳的由保函开立人支付保函担保的与投标保证金等额的款项，给招标人造成的损失超过投标保证金数额的，中标人还应当对超过部分予以赔偿。</w:t>
      </w:r>
    </w:p>
    <w:p w14:paraId="7666891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33" w:name="_Toc22882"/>
      <w:bookmarkStart w:id="534" w:name="_Toc430530477"/>
      <w:bookmarkStart w:id="535" w:name="_Toc287607788"/>
      <w:bookmarkStart w:id="536" w:name="_Toc277082594"/>
      <w:bookmarkStart w:id="537" w:name="_Toc224103359"/>
      <w:bookmarkStart w:id="538" w:name="_Toc509218752"/>
      <w:bookmarkStart w:id="539" w:name="_Toc200513168"/>
      <w:bookmarkStart w:id="540" w:name="_Toc287620727"/>
      <w:bookmarkStart w:id="541" w:name="_Toc13003"/>
      <w:bookmarkStart w:id="542" w:name="_Toc23592"/>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7</w:t>
      </w:r>
      <w:r>
        <w:rPr>
          <w:rFonts w:hint="eastAsia" w:ascii="宋体" w:hAnsi="宋体" w:eastAsia="宋体" w:cs="宋体"/>
          <w:b w:val="0"/>
          <w:snapToGrid w:val="0"/>
          <w:color w:val="auto"/>
          <w:sz w:val="24"/>
          <w:szCs w:val="24"/>
          <w:highlight w:val="none"/>
        </w:rPr>
        <w:t xml:space="preserve">  签订合同</w:t>
      </w:r>
      <w:bookmarkEnd w:id="533"/>
      <w:bookmarkEnd w:id="534"/>
      <w:bookmarkEnd w:id="535"/>
      <w:bookmarkEnd w:id="536"/>
      <w:bookmarkEnd w:id="537"/>
      <w:bookmarkEnd w:id="538"/>
      <w:bookmarkEnd w:id="539"/>
      <w:bookmarkEnd w:id="540"/>
      <w:bookmarkEnd w:id="541"/>
      <w:bookmarkEnd w:id="542"/>
    </w:p>
    <w:p w14:paraId="6AAAD24D">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.1  招标人和中标人应当自中标通知书发出之日起30日内，根据招标文件和中标人的投标文件订立书面合同。中标人放弃中标项目，无正当理由拒签合同，在签订合同时向招标人提出附加条件或者更改合同实质性内容，</w:t>
      </w:r>
      <w:r>
        <w:rPr>
          <w:rFonts w:hint="eastAsia" w:ascii="宋体" w:hAnsi="宋体" w:eastAsia="宋体" w:cs="宋体"/>
          <w:color w:val="auto"/>
          <w:szCs w:val="21"/>
          <w:highlight w:val="none"/>
        </w:rPr>
        <w:t>或者不按照招标文件要求提交履约</w:t>
      </w:r>
      <w:r>
        <w:rPr>
          <w:rFonts w:hint="eastAsia" w:ascii="宋体" w:hAnsi="宋体" w:eastAsia="宋体" w:cs="宋体"/>
          <w:color w:val="auto"/>
          <w:szCs w:val="21"/>
          <w:highlight w:val="none"/>
          <w:lang w:val="en-US" w:eastAsia="zh-CN"/>
        </w:rPr>
        <w:t>保证金</w:t>
      </w:r>
      <w:r>
        <w:rPr>
          <w:rFonts w:hint="eastAsia" w:ascii="宋体" w:hAnsi="宋体" w:eastAsia="宋体" w:cs="宋体"/>
          <w:color w:val="auto"/>
          <w:szCs w:val="21"/>
          <w:highlight w:val="none"/>
        </w:rPr>
        <w:t>的，</w:t>
      </w:r>
      <w:r>
        <w:rPr>
          <w:rFonts w:hint="eastAsia" w:ascii="宋体" w:hAnsi="宋体" w:eastAsia="宋体" w:cs="宋体"/>
          <w:snapToGrid w:val="0"/>
          <w:color w:val="auto"/>
          <w:kern w:val="0"/>
          <w:szCs w:val="21"/>
          <w:highlight w:val="none"/>
        </w:rPr>
        <w:t>招标人</w:t>
      </w:r>
      <w:r>
        <w:rPr>
          <w:rFonts w:hint="eastAsia" w:ascii="宋体" w:hAnsi="宋体" w:eastAsia="宋体" w:cs="宋体"/>
          <w:color w:val="auto"/>
          <w:spacing w:val="-3"/>
          <w:highlight w:val="none"/>
        </w:rPr>
        <w:t>有权</w:t>
      </w:r>
      <w:r>
        <w:rPr>
          <w:rFonts w:hint="eastAsia" w:ascii="宋体" w:hAnsi="宋体" w:eastAsia="宋体" w:cs="宋体"/>
          <w:snapToGrid w:val="0"/>
          <w:color w:val="auto"/>
          <w:kern w:val="0"/>
          <w:szCs w:val="21"/>
          <w:highlight w:val="none"/>
        </w:rPr>
        <w:t>取消其中标资格，其投标保证金以现金形式交纳的不予退还，以保函形式交纳的由保函开立人支付保函担保的与投标保证金等额的款项；给招标人造成的损失超过投标保证金数额的，中标人还应当对超过部分予以赔偿。</w:t>
      </w:r>
    </w:p>
    <w:p w14:paraId="7848BF3B">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7.8.2  发出中标通知书后，招标人无正当理由拒签合同，在签订合同时向中标人提出附加条件或者更改合同实质性内容的，招标人向中标人退还投标保证金；给中标人造成损失的，还应当赔偿损失。</w:t>
      </w:r>
    </w:p>
    <w:p w14:paraId="0DE01010">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7.8.3  联合体中标的，联合体各方应当共同与招标人签订合同，就中标项目向招标人承担连带责任。</w:t>
      </w:r>
    </w:p>
    <w:p w14:paraId="5E409824">
      <w:pPr>
        <w:pStyle w:val="4"/>
        <w:spacing w:before="0" w:after="0" w:line="360" w:lineRule="auto"/>
        <w:rPr>
          <w:rFonts w:hint="eastAsia" w:ascii="宋体" w:hAnsi="宋体" w:eastAsia="宋体" w:cs="宋体"/>
          <w:b w:val="0"/>
          <w:snapToGrid w:val="0"/>
          <w:color w:val="auto"/>
          <w:highlight w:val="none"/>
          <w:lang w:eastAsia="zh-CN"/>
        </w:rPr>
      </w:pPr>
      <w:bookmarkStart w:id="543" w:name="_Toc13539"/>
      <w:bookmarkStart w:id="544" w:name="_Toc224103360"/>
      <w:bookmarkStart w:id="545" w:name="_Toc23894"/>
      <w:bookmarkStart w:id="546" w:name="_Toc277082595"/>
      <w:bookmarkStart w:id="547" w:name="_Toc26013"/>
      <w:bookmarkStart w:id="548" w:name="_Toc430530478"/>
      <w:bookmarkStart w:id="549" w:name="_Toc200513169"/>
      <w:bookmarkStart w:id="550" w:name="_Toc15026"/>
      <w:bookmarkStart w:id="551" w:name="_Toc287620728"/>
      <w:bookmarkStart w:id="552" w:name="_Toc509218753"/>
      <w:bookmarkStart w:id="553" w:name="_Toc287607789"/>
      <w:r>
        <w:rPr>
          <w:rFonts w:hint="eastAsia" w:ascii="宋体" w:hAnsi="宋体" w:eastAsia="宋体" w:cs="宋体"/>
          <w:b w:val="0"/>
          <w:snapToGrid w:val="0"/>
          <w:color w:val="auto"/>
          <w:highlight w:val="none"/>
        </w:rPr>
        <w:t>8.  重新招标和不再招标</w:t>
      </w:r>
      <w:r>
        <w:rPr>
          <w:rFonts w:hint="eastAsia" w:ascii="宋体" w:hAnsi="宋体" w:eastAsia="宋体" w:cs="宋体"/>
          <w:b w:val="0"/>
          <w:snapToGrid w:val="0"/>
          <w:color w:val="auto"/>
          <w:highlight w:val="none"/>
          <w:lang w:eastAsia="zh-CN"/>
        </w:rPr>
        <w:t>（</w:t>
      </w:r>
      <w:r>
        <w:rPr>
          <w:rFonts w:hint="eastAsia" w:ascii="宋体" w:hAnsi="宋体" w:eastAsia="宋体" w:cs="宋体"/>
          <w:b w:val="0"/>
          <w:snapToGrid w:val="0"/>
          <w:color w:val="auto"/>
          <w:highlight w:val="none"/>
          <w:lang w:val="en-US" w:eastAsia="zh-CN"/>
        </w:rPr>
        <w:t>增加条款</w:t>
      </w:r>
      <w:r>
        <w:rPr>
          <w:rFonts w:hint="eastAsia" w:ascii="宋体" w:hAnsi="宋体" w:eastAsia="宋体" w:cs="宋体"/>
          <w:b w:val="0"/>
          <w:snapToGrid w:val="0"/>
          <w:color w:val="auto"/>
          <w:highlight w:val="none"/>
          <w:lang w:eastAsia="zh-CN"/>
        </w:rPr>
        <w:t>）</w:t>
      </w:r>
      <w:bookmarkEnd w:id="543"/>
    </w:p>
    <w:p w14:paraId="10EC538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54" w:name="_Toc4869"/>
      <w:r>
        <w:rPr>
          <w:rFonts w:hint="eastAsia" w:ascii="宋体" w:hAnsi="宋体" w:eastAsia="宋体" w:cs="宋体"/>
          <w:b w:val="0"/>
          <w:snapToGrid w:val="0"/>
          <w:color w:val="auto"/>
          <w:sz w:val="24"/>
          <w:szCs w:val="24"/>
          <w:highlight w:val="none"/>
        </w:rPr>
        <w:t>8.1  重新招标的情形</w:t>
      </w:r>
      <w:bookmarkEnd w:id="554"/>
    </w:p>
    <w:p w14:paraId="7F4077EA">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有下列情形之一的，招标人将重新招标：</w:t>
      </w:r>
    </w:p>
    <w:p w14:paraId="5E4BCD5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（1）投标截止时间止，投标人少于 3 个的；</w:t>
      </w:r>
    </w:p>
    <w:p w14:paraId="0954D5B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（2）经评标委员会评审后否决所有投标的；</w:t>
      </w:r>
    </w:p>
    <w:p w14:paraId="2672972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3）经评标委员会评审后部分投标被否决，导致有效投标人不足三个的，评标委员会应当对有效投标是否仍具有竞争性进行评审。经评审有效投标仍具有竞争性的，评标委员会应当继续评标并确定中标候选人；经评审有效投标不具有竞争性的，评标委员会应当否决所有投标。评标委员会应当在评标报告中记载评审过程和结果；</w:t>
      </w:r>
    </w:p>
    <w:p w14:paraId="0CB166E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14:paraId="0A318020">
      <w:pPr>
        <w:spacing w:beforeLines="0" w:afterLines="0" w:line="400" w:lineRule="exact"/>
        <w:ind w:firstLine="0" w:firstLineChars="0"/>
        <w:rPr>
          <w:rFonts w:hint="eastAsia" w:ascii="宋体" w:hAnsi="宋体" w:eastAsia="宋体" w:cs="宋体"/>
          <w:b w:val="0"/>
          <w:bCs/>
          <w:snapToGrid w:val="0"/>
          <w:color w:val="auto"/>
          <w:kern w:val="2"/>
          <w:sz w:val="24"/>
          <w:szCs w:val="24"/>
          <w:highlight w:val="none"/>
        </w:rPr>
      </w:pPr>
      <w:bookmarkStart w:id="555" w:name="_Toc176"/>
      <w:r>
        <w:rPr>
          <w:rFonts w:hint="eastAsia" w:ascii="宋体" w:hAnsi="宋体" w:eastAsia="宋体" w:cs="宋体"/>
          <w:b w:val="0"/>
          <w:bCs/>
          <w:snapToGrid w:val="0"/>
          <w:color w:val="auto"/>
          <w:kern w:val="2"/>
          <w:sz w:val="24"/>
          <w:szCs w:val="24"/>
          <w:highlight w:val="none"/>
        </w:rPr>
        <w:t>8.2  重新招标和不再招标</w:t>
      </w:r>
      <w:bookmarkEnd w:id="555"/>
    </w:p>
    <w:p w14:paraId="37F7D129">
      <w:pPr>
        <w:autoSpaceDE/>
        <w:autoSpaceDN/>
        <w:adjustRightInd w:val="0"/>
        <w:snapToGrid w:val="0"/>
        <w:spacing w:beforeLines="0" w:afterLines="0" w:line="4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bookmarkEnd w:id="544"/>
    <w:bookmarkEnd w:id="545"/>
    <w:bookmarkEnd w:id="546"/>
    <w:bookmarkEnd w:id="547"/>
    <w:bookmarkEnd w:id="548"/>
    <w:bookmarkEnd w:id="549"/>
    <w:bookmarkEnd w:id="550"/>
    <w:bookmarkEnd w:id="551"/>
    <w:bookmarkEnd w:id="552"/>
    <w:bookmarkEnd w:id="553"/>
    <w:p w14:paraId="792544FD">
      <w:pPr>
        <w:pStyle w:val="4"/>
        <w:spacing w:before="0" w:after="0" w:line="360" w:lineRule="auto"/>
        <w:rPr>
          <w:rFonts w:hint="eastAsia"/>
          <w:highlight w:val="none"/>
        </w:rPr>
      </w:pPr>
      <w:bookmarkStart w:id="556" w:name="_Toc509218756"/>
      <w:bookmarkStart w:id="557" w:name="_Toc430530481"/>
      <w:bookmarkStart w:id="558" w:name="_Toc277082598"/>
      <w:bookmarkStart w:id="559" w:name="_Toc287620731"/>
      <w:bookmarkStart w:id="560" w:name="_Toc11130"/>
      <w:bookmarkStart w:id="561" w:name="_Toc224103363"/>
      <w:bookmarkStart w:id="562" w:name="_Toc287607792"/>
      <w:bookmarkStart w:id="563" w:name="_Toc200513172"/>
      <w:bookmarkStart w:id="564" w:name="_Toc12376"/>
      <w:bookmarkStart w:id="565" w:name="_Toc23432"/>
      <w:r>
        <w:rPr>
          <w:rFonts w:hint="eastAsia" w:ascii="宋体" w:hAnsi="宋体" w:eastAsia="宋体" w:cs="宋体"/>
          <w:b w:val="0"/>
          <w:snapToGrid w:val="0"/>
          <w:color w:val="auto"/>
          <w:highlight w:val="none"/>
        </w:rPr>
        <w:t>9.  纪律和监督</w:t>
      </w:r>
      <w:bookmarkEnd w:id="556"/>
      <w:bookmarkEnd w:id="557"/>
      <w:bookmarkEnd w:id="558"/>
      <w:bookmarkEnd w:id="559"/>
      <w:bookmarkEnd w:id="560"/>
      <w:bookmarkEnd w:id="561"/>
      <w:bookmarkEnd w:id="562"/>
      <w:bookmarkEnd w:id="563"/>
      <w:bookmarkEnd w:id="564"/>
      <w:bookmarkEnd w:id="565"/>
    </w:p>
    <w:p w14:paraId="76948C5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66" w:name="_Toc31886"/>
      <w:bookmarkStart w:id="567" w:name="_Toc287607793"/>
      <w:bookmarkStart w:id="568" w:name="_Toc21466"/>
      <w:bookmarkStart w:id="569" w:name="_Toc509218757"/>
      <w:bookmarkStart w:id="570" w:name="_Toc430530482"/>
      <w:bookmarkStart w:id="571" w:name="_Toc224103364"/>
      <w:bookmarkStart w:id="572" w:name="_Toc200513173"/>
      <w:bookmarkStart w:id="573" w:name="_Toc277082599"/>
      <w:bookmarkStart w:id="574" w:name="_Toc1220"/>
      <w:bookmarkStart w:id="575" w:name="_Toc287620732"/>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.1  对招标人的纪律要求</w:t>
      </w:r>
      <w:bookmarkEnd w:id="566"/>
      <w:bookmarkEnd w:id="567"/>
      <w:bookmarkEnd w:id="568"/>
      <w:bookmarkEnd w:id="569"/>
      <w:bookmarkEnd w:id="570"/>
      <w:bookmarkEnd w:id="571"/>
      <w:bookmarkEnd w:id="572"/>
      <w:bookmarkEnd w:id="573"/>
      <w:bookmarkEnd w:id="574"/>
      <w:bookmarkEnd w:id="575"/>
    </w:p>
    <w:p w14:paraId="4A38F8CC">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招标人不得泄露招标投标活动中应当保密的情况和资料，不得与投标人串通损害国家利益、社会公共利益或者他人合法权益，</w:t>
      </w:r>
      <w:r>
        <w:rPr>
          <w:rFonts w:hint="eastAsia" w:ascii="宋体" w:hAnsi="宋体" w:eastAsia="宋体" w:cs="宋体"/>
          <w:color w:val="auto"/>
          <w:highlight w:val="none"/>
        </w:rPr>
        <w:t>禁止招标人与投标人串通投标。</w:t>
      </w:r>
    </w:p>
    <w:p w14:paraId="6F25A580">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14:paraId="246FF0FE">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14:paraId="7573766E">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14:paraId="2EAA10F1">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14:paraId="1C63D398">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14:paraId="3CE12B35">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14:paraId="09C325A9">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14:paraId="2883DE01">
      <w:pPr>
        <w:pStyle w:val="5"/>
        <w:snapToGrid w:val="0"/>
        <w:spacing w:before="0" w:after="0" w:line="360" w:lineRule="auto"/>
        <w:ind w:firstLine="480" w:firstLineChars="200"/>
        <w:rPr>
          <w:rFonts w:hint="eastAsia" w:ascii="宋体" w:hAnsi="宋体" w:eastAsia="宋体" w:cs="宋体"/>
          <w:b w:val="0"/>
          <w:snapToGrid w:val="0"/>
          <w:color w:val="auto"/>
          <w:sz w:val="24"/>
          <w:szCs w:val="24"/>
          <w:highlight w:val="none"/>
        </w:rPr>
      </w:pPr>
      <w:bookmarkStart w:id="576" w:name="_Toc200513174"/>
      <w:bookmarkStart w:id="577" w:name="_Toc287607794"/>
      <w:bookmarkStart w:id="578" w:name="_Toc509218758"/>
      <w:bookmarkStart w:id="579" w:name="_Toc16536"/>
      <w:bookmarkStart w:id="580" w:name="_Toc430530483"/>
      <w:bookmarkStart w:id="581" w:name="_Toc287620733"/>
      <w:bookmarkStart w:id="582" w:name="_Toc5560"/>
      <w:bookmarkStart w:id="583" w:name="_Toc2394"/>
      <w:bookmarkStart w:id="584" w:name="_Toc224103365"/>
      <w:bookmarkStart w:id="585" w:name="_Toc277082600"/>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.2  对投标人的纪律要求</w:t>
      </w:r>
      <w:bookmarkEnd w:id="576"/>
      <w:bookmarkEnd w:id="577"/>
      <w:bookmarkEnd w:id="578"/>
      <w:bookmarkEnd w:id="579"/>
      <w:bookmarkEnd w:id="580"/>
      <w:bookmarkEnd w:id="581"/>
      <w:bookmarkEnd w:id="582"/>
      <w:bookmarkEnd w:id="583"/>
      <w:bookmarkEnd w:id="584"/>
      <w:bookmarkEnd w:id="585"/>
    </w:p>
    <w:p w14:paraId="56E46E3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310DA3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.2.1  </w:t>
      </w:r>
      <w:r>
        <w:rPr>
          <w:rFonts w:hint="eastAsia" w:ascii="宋体" w:hAnsi="宋体" w:eastAsia="宋体" w:cs="宋体"/>
          <w:color w:val="auto"/>
          <w:highlight w:val="none"/>
        </w:rPr>
        <w:t>有下列情形之一的，属于投标人相互串通投标：</w:t>
      </w:r>
    </w:p>
    <w:p w14:paraId="26E7AF8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14:paraId="12680DB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14:paraId="0786A52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14:paraId="05EB29F1">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14:paraId="564F910D">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14:paraId="00120EC6">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.2.2  有下列情形之一的，视为投标人相互串通投标：</w:t>
      </w:r>
    </w:p>
    <w:p w14:paraId="4B2161C7">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（1）不同投标人的投标文件由同一单位或者个人编制；</w:t>
      </w:r>
    </w:p>
    <w:p w14:paraId="243C13F5">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（2）不同投标人委托同一单位或者个人办理投标事宜；</w:t>
      </w:r>
    </w:p>
    <w:p w14:paraId="2ECD421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（3）不同投标人的投标文件载明的项目管理成员为同一人；</w:t>
      </w:r>
    </w:p>
    <w:p w14:paraId="7D3F7B0E">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（4）不同投标人的投标文件异常一致或者投标报价呈规律性差异；</w:t>
      </w:r>
    </w:p>
    <w:p w14:paraId="3655BB9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（5）不同投标人的投标文件相互混装；</w:t>
      </w:r>
    </w:p>
    <w:p w14:paraId="2E9C5127">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（6）不同投标人的投标保证金从同一单位或者个人的账户转出；</w:t>
      </w:r>
    </w:p>
    <w:p w14:paraId="77023B2C">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（7）不同投标人的电子投标文件制作机器码相同。</w:t>
      </w:r>
    </w:p>
    <w:p w14:paraId="3AEA1824">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.2.3  使用通过受让或者租借等方式获取的资格、资质证书投标的，属于以他人名义投标。</w:t>
      </w:r>
    </w:p>
    <w:p w14:paraId="7DFA9B7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.2.4  投标人有下列情形之一的，属于以其他方式弄虚作假的行为：</w:t>
      </w:r>
    </w:p>
    <w:p w14:paraId="7AC907C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14:paraId="1FE57C73">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14:paraId="16A83B3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14:paraId="6835811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14:paraId="5066869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14:paraId="1787E41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86" w:name="_Toc430530484"/>
      <w:bookmarkStart w:id="587" w:name="_Toc25487"/>
      <w:bookmarkStart w:id="588" w:name="_Toc200513175"/>
      <w:bookmarkStart w:id="589" w:name="_Toc287620734"/>
      <w:bookmarkStart w:id="590" w:name="_Toc277082601"/>
      <w:bookmarkStart w:id="591" w:name="_Toc10260"/>
      <w:bookmarkStart w:id="592" w:name="_Toc30775"/>
      <w:bookmarkStart w:id="593" w:name="_Toc509218759"/>
      <w:bookmarkStart w:id="594" w:name="_Toc287607795"/>
      <w:bookmarkStart w:id="595" w:name="_Toc224103366"/>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.3  对评标委员会成员的纪律要求</w:t>
      </w:r>
      <w:bookmarkEnd w:id="586"/>
      <w:bookmarkEnd w:id="587"/>
      <w:bookmarkEnd w:id="588"/>
      <w:bookmarkEnd w:id="589"/>
      <w:bookmarkEnd w:id="590"/>
      <w:bookmarkEnd w:id="591"/>
      <w:bookmarkEnd w:id="592"/>
      <w:bookmarkEnd w:id="593"/>
      <w:bookmarkEnd w:id="594"/>
      <w:bookmarkEnd w:id="595"/>
    </w:p>
    <w:p w14:paraId="0BC0F00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33DBB2F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96" w:name="_Toc287607796"/>
      <w:bookmarkStart w:id="597" w:name="_Toc287620735"/>
      <w:bookmarkStart w:id="598" w:name="_Toc17377"/>
      <w:bookmarkStart w:id="599" w:name="_Toc28464"/>
      <w:bookmarkStart w:id="600" w:name="_Toc509218760"/>
      <w:bookmarkStart w:id="601" w:name="_Toc277082602"/>
      <w:bookmarkStart w:id="602" w:name="_Toc200513176"/>
      <w:bookmarkStart w:id="603" w:name="_Toc430530485"/>
      <w:bookmarkStart w:id="604" w:name="_Toc224103367"/>
      <w:bookmarkStart w:id="605" w:name="_Toc2694"/>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.4  对与评标活动有关的工作人员的纪律要求</w:t>
      </w:r>
      <w:bookmarkEnd w:id="596"/>
      <w:bookmarkEnd w:id="597"/>
      <w:bookmarkEnd w:id="598"/>
      <w:bookmarkEnd w:id="599"/>
      <w:bookmarkEnd w:id="600"/>
      <w:bookmarkEnd w:id="601"/>
      <w:bookmarkEnd w:id="602"/>
      <w:bookmarkEnd w:id="603"/>
      <w:bookmarkEnd w:id="604"/>
      <w:bookmarkEnd w:id="605"/>
    </w:p>
    <w:p w14:paraId="5EFB794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与评标活动有关的工作人员不得收受他人的财物或者其他好处，不得向他人透露对投标文件的评审和比较、中标候选人的推荐情况以及与评标有关的其他情况。在评标活动中，与评标活动有关的工作人员不得擅离职守，影响评标程序正常进行。</w:t>
      </w:r>
    </w:p>
    <w:p w14:paraId="47B35108">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606" w:name="_Toc287620736"/>
      <w:bookmarkStart w:id="607" w:name="_Toc287607797"/>
      <w:bookmarkStart w:id="608" w:name="_Toc30938"/>
      <w:bookmarkStart w:id="609" w:name="_Toc15731"/>
      <w:bookmarkStart w:id="610" w:name="_Toc509218761"/>
      <w:bookmarkStart w:id="611" w:name="_Toc21314"/>
      <w:bookmarkStart w:id="612" w:name="_Toc430530486"/>
      <w:bookmarkStart w:id="613" w:name="_Toc277082603"/>
      <w:bookmarkStart w:id="614" w:name="_Toc224103368"/>
      <w:bookmarkStart w:id="615" w:name="_Toc200513177"/>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.5  投诉</w:t>
      </w:r>
      <w:bookmarkEnd w:id="606"/>
      <w:bookmarkEnd w:id="607"/>
      <w:bookmarkEnd w:id="608"/>
      <w:bookmarkEnd w:id="609"/>
      <w:bookmarkEnd w:id="610"/>
      <w:bookmarkEnd w:id="611"/>
      <w:bookmarkEnd w:id="612"/>
      <w:bookmarkEnd w:id="613"/>
      <w:bookmarkEnd w:id="614"/>
      <w:bookmarkEnd w:id="615"/>
    </w:p>
    <w:p w14:paraId="63CDB5D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.5.1  投标人或者其他利害关系人认为招标投标活动不符合法律、行政法规规定的，可以自知道或者应当知道之日起 10 日内向有关行政监督部门投诉。投诉应当有明确的请求和必要的证明材料。</w:t>
      </w:r>
    </w:p>
    <w:p w14:paraId="786407C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.5.2  投标人或者其他利害关系人对招标文件、开标和评标结果提出投诉的，应当按照投标人须知第 2.4 款、第 5.3 款和第 7.2 款的规定先向招标人提出异议。异议答复期间不计算在第 </w:t>
      </w:r>
      <w:r>
        <w:rPr>
          <w:rFonts w:hint="default" w:ascii="宋体" w:hAnsi="宋体" w:eastAsia="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.5.1 项规定的期限内。</w:t>
      </w:r>
    </w:p>
    <w:p w14:paraId="7A74AE19">
      <w:pPr>
        <w:pStyle w:val="4"/>
        <w:spacing w:before="0" w:after="0" w:line="360" w:lineRule="auto"/>
        <w:rPr>
          <w:rFonts w:hint="eastAsia" w:ascii="宋体" w:hAnsi="宋体" w:eastAsia="宋体" w:cs="宋体"/>
          <w:b w:val="0"/>
          <w:snapToGrid w:val="0"/>
          <w:color w:val="auto"/>
          <w:highlight w:val="none"/>
        </w:rPr>
      </w:pPr>
      <w:bookmarkStart w:id="616" w:name="_Toc277082604"/>
      <w:bookmarkStart w:id="617" w:name="_Toc509218762"/>
      <w:bookmarkStart w:id="618" w:name="_Toc200513178"/>
      <w:bookmarkStart w:id="619" w:name="_Toc287620737"/>
      <w:bookmarkStart w:id="620" w:name="_Toc32213"/>
      <w:bookmarkStart w:id="621" w:name="_Toc26387"/>
      <w:bookmarkStart w:id="622" w:name="_Toc224103369"/>
      <w:bookmarkStart w:id="623" w:name="_Toc430530487"/>
      <w:bookmarkStart w:id="624" w:name="_Toc20742"/>
      <w:bookmarkStart w:id="625" w:name="_Toc287607798"/>
      <w:r>
        <w:rPr>
          <w:rFonts w:hint="eastAsia" w:ascii="宋体" w:hAnsi="宋体" w:eastAsia="宋体" w:cs="宋体"/>
          <w:b w:val="0"/>
          <w:snapToGrid w:val="0"/>
          <w:color w:val="auto"/>
          <w:highlight w:val="none"/>
        </w:rPr>
        <w:t>10. 需要补充的其他内容</w:t>
      </w:r>
      <w:bookmarkEnd w:id="616"/>
      <w:bookmarkEnd w:id="617"/>
      <w:bookmarkEnd w:id="618"/>
      <w:bookmarkEnd w:id="619"/>
      <w:bookmarkEnd w:id="620"/>
      <w:bookmarkEnd w:id="621"/>
      <w:bookmarkEnd w:id="622"/>
      <w:bookmarkEnd w:id="623"/>
      <w:bookmarkEnd w:id="624"/>
      <w:bookmarkEnd w:id="625"/>
    </w:p>
    <w:p w14:paraId="73939B2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sectPr>
          <w:footerReference r:id="rId5" w:type="default"/>
          <w:footerReference r:id="rId6" w:type="even"/>
          <w:pgSz w:w="11906" w:h="16838"/>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Cs w:val="21"/>
          <w:highlight w:val="none"/>
        </w:rPr>
        <w:t>需要补充的其他内容：见投标人须知前附表。</w:t>
      </w:r>
    </w:p>
    <w:p w14:paraId="756F008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p>
    <w:p w14:paraId="740A1D19">
      <w:pPr>
        <w:autoSpaceDE w:val="0"/>
        <w:autoSpaceDN w:val="0"/>
        <w:adjustRightInd w:val="0"/>
        <w:snapToGrid w:val="0"/>
        <w:spacing w:line="360" w:lineRule="auto"/>
        <w:jc w:val="left"/>
        <w:rPr>
          <w:rFonts w:hint="eastAsia" w:ascii="宋体" w:hAnsi="宋体" w:eastAsia="宋体" w:cs="宋体"/>
          <w:b/>
          <w:snapToGrid w:val="0"/>
          <w:color w:val="auto"/>
          <w:kern w:val="0"/>
          <w:highlight w:val="none"/>
          <w:lang w:eastAsia="zh-CN"/>
        </w:rPr>
      </w:pPr>
      <w:r>
        <w:rPr>
          <w:rFonts w:hint="eastAsia" w:ascii="宋体" w:hAnsi="宋体" w:eastAsia="宋体" w:cs="宋体"/>
          <w:b/>
          <w:snapToGrid w:val="0"/>
          <w:color w:val="auto"/>
          <w:kern w:val="0"/>
          <w:highlight w:val="none"/>
        </w:rPr>
        <w:t>附表一：开标记录表</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18D823DF">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p>
    <w:p w14:paraId="1FDFB975">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color w:val="auto"/>
          <w:kern w:val="0"/>
          <w:sz w:val="28"/>
          <w:szCs w:val="28"/>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w:t>
      </w:r>
      <w:r>
        <w:rPr>
          <w:rFonts w:hint="eastAsia" w:ascii="宋体" w:hAnsi="宋体" w:eastAsia="宋体" w:cs="宋体"/>
          <w:b/>
          <w:snapToGrid w:val="0"/>
          <w:color w:val="auto"/>
          <w:w w:val="99"/>
          <w:kern w:val="0"/>
          <w:sz w:val="28"/>
          <w:szCs w:val="28"/>
          <w:highlight w:val="none"/>
        </w:rPr>
        <w:t>开标记录表</w:t>
      </w:r>
    </w:p>
    <w:p w14:paraId="1D87DCDA">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8"/>
          <w:szCs w:val="28"/>
          <w:highlight w:val="none"/>
        </w:rPr>
        <w:t xml:space="preserve">                             </w:t>
      </w:r>
      <w:r>
        <w:rPr>
          <w:rFonts w:hint="eastAsia" w:ascii="宋体" w:hAnsi="宋体" w:eastAsia="宋体" w:cs="宋体"/>
          <w:snapToGrid w:val="0"/>
          <w:color w:val="auto"/>
          <w:kern w:val="0"/>
          <w:szCs w:val="21"/>
          <w:highlight w:val="none"/>
        </w:rPr>
        <w:t>开标时间：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55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2931"/>
        <w:gridCol w:w="1551"/>
        <w:gridCol w:w="2115"/>
        <w:gridCol w:w="1450"/>
        <w:gridCol w:w="1679"/>
      </w:tblGrid>
      <w:tr w14:paraId="51A2D1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vAlign w:val="center"/>
          </w:tcPr>
          <w:p w14:paraId="6D23932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序号</w:t>
            </w:r>
          </w:p>
        </w:tc>
        <w:tc>
          <w:tcPr>
            <w:tcW w:w="3260" w:type="dxa"/>
            <w:vAlign w:val="center"/>
          </w:tcPr>
          <w:p w14:paraId="55D7C89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p>
        </w:tc>
        <w:tc>
          <w:tcPr>
            <w:tcW w:w="1134" w:type="dxa"/>
            <w:vAlign w:val="center"/>
          </w:tcPr>
          <w:p w14:paraId="57A0F35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zh-CN"/>
              </w:rPr>
              <w:t>密封情况</w:t>
            </w:r>
          </w:p>
        </w:tc>
        <w:tc>
          <w:tcPr>
            <w:tcW w:w="2931" w:type="dxa"/>
            <w:tcBorders>
              <w:right w:val="single" w:color="auto" w:sz="4" w:space="0"/>
            </w:tcBorders>
            <w:vAlign w:val="center"/>
          </w:tcPr>
          <w:p w14:paraId="43162E0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投标报价</w:t>
            </w:r>
          </w:p>
        </w:tc>
        <w:tc>
          <w:tcPr>
            <w:tcW w:w="1551" w:type="dxa"/>
            <w:tcBorders>
              <w:left w:val="single" w:color="auto" w:sz="4" w:space="0"/>
            </w:tcBorders>
            <w:vAlign w:val="center"/>
          </w:tcPr>
          <w:p w14:paraId="495422D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p>
        </w:tc>
        <w:tc>
          <w:tcPr>
            <w:tcW w:w="2115" w:type="dxa"/>
            <w:vAlign w:val="center"/>
          </w:tcPr>
          <w:p w14:paraId="1DC40A0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交货期</w:t>
            </w:r>
          </w:p>
        </w:tc>
        <w:tc>
          <w:tcPr>
            <w:tcW w:w="1450" w:type="dxa"/>
            <w:vAlign w:val="center"/>
          </w:tcPr>
          <w:p w14:paraId="3DF4CFA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备注</w:t>
            </w:r>
          </w:p>
        </w:tc>
        <w:tc>
          <w:tcPr>
            <w:tcW w:w="1679" w:type="dxa"/>
            <w:vAlign w:val="center"/>
          </w:tcPr>
          <w:p w14:paraId="6818FAA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投标人代表签名</w:t>
            </w:r>
          </w:p>
        </w:tc>
      </w:tr>
      <w:tr w14:paraId="1F879F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6CE9676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8C1CE1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4C4FF47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340C909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26F18B6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17CC9F4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57DF5A1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46FCF24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DB1A5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890F22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57CFA5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6A18575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7A43155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05A38DE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7726F26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30FB08F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3C072B4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239186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4E39AB2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3B127E7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12C3A64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451BEB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5794B94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30CC3F7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02DB675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17FA3AF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5244A7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53A1CD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35B7747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0DCC64C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EE24F4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7BAFEF7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32C12A3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79A9B86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2AF3640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571E8F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3F2A912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E53FC8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1DF3CBA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29D7ADF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4452EE4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42188B0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7CD7CE3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466E369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216247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359A60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48FC13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0AC11DA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73F3A59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499C518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1FCD417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37636C4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5DA22D8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686316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51" w:hRule="exact"/>
          <w:jc w:val="center"/>
        </w:trPr>
        <w:tc>
          <w:tcPr>
            <w:tcW w:w="3693" w:type="dxa"/>
            <w:gridSpan w:val="2"/>
            <w:tcBorders>
              <w:bottom w:val="single" w:color="auto" w:sz="4" w:space="0"/>
            </w:tcBorders>
            <w:vAlign w:val="center"/>
          </w:tcPr>
          <w:p w14:paraId="452257A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最高限价</w:t>
            </w:r>
          </w:p>
        </w:tc>
        <w:tc>
          <w:tcPr>
            <w:tcW w:w="10860" w:type="dxa"/>
            <w:gridSpan w:val="6"/>
            <w:tcBorders>
              <w:bottom w:val="single" w:color="auto" w:sz="4" w:space="0"/>
            </w:tcBorders>
            <w:vAlign w:val="center"/>
          </w:tcPr>
          <w:p w14:paraId="0246EE6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Cs w:val="21"/>
                <w:highlight w:val="none"/>
              </w:rPr>
            </w:pPr>
          </w:p>
        </w:tc>
      </w:tr>
      <w:tr w14:paraId="53D6E7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76911A7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异常情况</w:t>
            </w:r>
          </w:p>
        </w:tc>
        <w:tc>
          <w:tcPr>
            <w:tcW w:w="10860" w:type="dxa"/>
            <w:gridSpan w:val="6"/>
            <w:tcBorders>
              <w:top w:val="single" w:color="auto" w:sz="4" w:space="0"/>
            </w:tcBorders>
            <w:vAlign w:val="center"/>
          </w:tcPr>
          <w:p w14:paraId="21E717F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i/>
                <w:color w:val="auto"/>
                <w:kern w:val="0"/>
                <w:szCs w:val="21"/>
                <w:highlight w:val="none"/>
              </w:rPr>
            </w:pPr>
          </w:p>
        </w:tc>
      </w:tr>
    </w:tbl>
    <w:p w14:paraId="6E4DDBE3">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443A917E">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主持人：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14:paraId="2C39BB46">
      <w:pPr>
        <w:autoSpaceDE/>
        <w:autoSpaceDN/>
        <w:adjustRightInd/>
        <w:snapToGrid/>
        <w:spacing w:before="0" w:beforeLines="-2147483648"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029A3D4D">
      <w:pPr>
        <w:autoSpaceDE w:val="0"/>
        <w:autoSpaceDN w:val="0"/>
        <w:adjustRightInd w:val="0"/>
        <w:snapToGrid w:val="0"/>
        <w:spacing w:before="62" w:beforeLines="20" w:line="360" w:lineRule="auto"/>
        <w:jc w:val="both"/>
        <w:rPr>
          <w:rFonts w:hint="eastAsia" w:ascii="宋体" w:hAnsi="宋体" w:eastAsia="宋体" w:cs="宋体"/>
          <w:snapToGrid w:val="0"/>
          <w:color w:val="auto"/>
          <w:kern w:val="0"/>
          <w:sz w:val="24"/>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val="en-US" w:eastAsia="zh-CN"/>
        </w:rPr>
        <w:t>二</w:t>
      </w:r>
      <w:r>
        <w:rPr>
          <w:rFonts w:hint="eastAsia" w:ascii="宋体" w:hAnsi="宋体" w:eastAsia="宋体" w:cs="宋体"/>
          <w:b/>
          <w:snapToGrid w:val="0"/>
          <w:color w:val="auto"/>
          <w:kern w:val="0"/>
          <w:highlight w:val="none"/>
        </w:rPr>
        <w:t>：</w:t>
      </w:r>
      <w:r>
        <w:rPr>
          <w:rFonts w:hint="eastAsia" w:ascii="宋体" w:hAnsi="宋体" w:eastAsia="宋体" w:cs="宋体"/>
          <w:b/>
          <w:snapToGrid w:val="0"/>
          <w:color w:val="auto"/>
          <w:w w:val="100"/>
          <w:kern w:val="0"/>
          <w:sz w:val="21"/>
          <w:szCs w:val="24"/>
          <w:highlight w:val="none"/>
          <w:u w:val="none"/>
          <w:lang w:val="en-US" w:eastAsia="zh-CN"/>
        </w:rPr>
        <w:t>纸质投标保函递交情况一览表（如有）</w:t>
      </w:r>
    </w:p>
    <w:p w14:paraId="48C4A6AD">
      <w:pPr>
        <w:autoSpaceDE/>
        <w:autoSpaceDN/>
        <w:adjustRightInd/>
        <w:snapToGrid/>
        <w:spacing w:before="0" w:beforeLines="-2147483648"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b/>
          <w:bCs w:val="0"/>
          <w:color w:val="auto"/>
          <w:kern w:val="0"/>
          <w:sz w:val="28"/>
          <w:szCs w:val="28"/>
          <w:highlight w:val="none"/>
          <w:u w:val="single"/>
          <w:lang w:val="en-US" w:eastAsia="zh-CN" w:bidi="ar"/>
        </w:rPr>
        <w:t>（项目名称）</w:t>
      </w:r>
      <w:r>
        <w:rPr>
          <w:rFonts w:hint="eastAsia" w:ascii="宋体" w:hAnsi="宋体" w:eastAsia="宋体" w:cs="宋体"/>
          <w:b/>
          <w:snapToGrid w:val="0"/>
          <w:color w:val="auto"/>
          <w:w w:val="99"/>
          <w:kern w:val="0"/>
          <w:sz w:val="28"/>
          <w:szCs w:val="28"/>
          <w:highlight w:val="none"/>
          <w:u w:val="single"/>
          <w:lang w:val="en-US" w:eastAsia="zh-CN"/>
        </w:rPr>
        <w:t xml:space="preserve"> 纸质投标保函递交情况一览表</w:t>
      </w:r>
    </w:p>
    <w:p w14:paraId="1C8BD38C">
      <w:pPr>
        <w:autoSpaceDE w:val="0"/>
        <w:autoSpaceDN w:val="0"/>
        <w:adjustRightInd w:val="0"/>
        <w:snapToGrid w:val="0"/>
        <w:spacing w:before="62" w:beforeLines="20" w:line="360" w:lineRule="auto"/>
        <w:ind w:firstLine="8610" w:firstLineChars="4100"/>
        <w:jc w:val="both"/>
        <w:rPr>
          <w:rFonts w:hint="eastAsia" w:ascii="宋体" w:hAnsi="宋体" w:eastAsia="宋体" w:cs="宋体"/>
          <w:color w:val="auto"/>
          <w:szCs w:val="21"/>
          <w:highlight w:val="none"/>
          <w:lang w:val="en-US" w:eastAsia="zh-CN"/>
        </w:rPr>
      </w:pPr>
      <w:r>
        <w:rPr>
          <w:rFonts w:hint="eastAsia" w:ascii="宋体" w:hAnsi="宋体" w:eastAsia="宋体" w:cs="宋体"/>
          <w:snapToGrid w:val="0"/>
          <w:color w:val="auto"/>
          <w:kern w:val="0"/>
          <w:szCs w:val="21"/>
          <w:highlight w:val="none"/>
          <w:lang w:val="en-US" w:eastAsia="zh-CN"/>
        </w:rPr>
        <w:t>投标截止时间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7AF0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2D8B070">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4160" w:type="dxa"/>
          </w:tcPr>
          <w:p w14:paraId="20B3602F">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投标人</w:t>
            </w:r>
          </w:p>
        </w:tc>
        <w:tc>
          <w:tcPr>
            <w:tcW w:w="3088" w:type="dxa"/>
          </w:tcPr>
          <w:p w14:paraId="7005662C">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金额（元）</w:t>
            </w:r>
          </w:p>
        </w:tc>
        <w:tc>
          <w:tcPr>
            <w:tcW w:w="2987" w:type="dxa"/>
          </w:tcPr>
          <w:p w14:paraId="2C014DB6">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递交时间</w:t>
            </w:r>
          </w:p>
        </w:tc>
        <w:tc>
          <w:tcPr>
            <w:tcW w:w="3175" w:type="dxa"/>
          </w:tcPr>
          <w:p w14:paraId="33E52E7D">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15B2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196777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A5F290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58DEA2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49C97DD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3B9A8A8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C90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0110FA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704CC5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22FDCC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5C1E67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950C65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798E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ED2986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334C4E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56CC2782">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3EC4BF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FD1019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095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2AEA09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7B9FD68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0B47986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5A2457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1AA8BA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55EA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6CB167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0BD1D8F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36C79BC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4E4D80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3A1864B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7F5A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40F360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73D6595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588A4C5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5E2F6C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1014A37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09B16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1F9B2C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3E1F905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7BFFA2D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48894DB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356078D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4B43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868533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1A51DA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73BD468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6F1E7E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2CC89B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6168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32AE45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7CB2A242">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7491761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2566FE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18A2ED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12CF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5AEABE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162350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446E20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116E73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3FFB766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5873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3CF7E3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ADC25B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6F3F374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5B1D201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31EF5BA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6CE4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A7AE79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06C68C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3C7315B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12E5E12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394C532">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bl>
    <w:p w14:paraId="21022C47">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sectPr>
          <w:pgSz w:w="16838" w:h="11906" w:orient="landscape"/>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 w:val="24"/>
          <w:highlight w:val="none"/>
        </w:rPr>
        <w:t xml:space="preserve">                                   </w:t>
      </w:r>
    </w:p>
    <w:p w14:paraId="15054E56">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pPr>
    </w:p>
    <w:p w14:paraId="7B1CC8F9">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三</w:t>
      </w:r>
      <w:r>
        <w:rPr>
          <w:rFonts w:hint="eastAsia" w:ascii="宋体" w:hAnsi="宋体" w:eastAsia="宋体" w:cs="宋体"/>
          <w:b/>
          <w:snapToGrid w:val="0"/>
          <w:color w:val="auto"/>
          <w:kern w:val="0"/>
          <w:highlight w:val="none"/>
        </w:rPr>
        <w:t>：问题澄清通知</w:t>
      </w:r>
    </w:p>
    <w:p w14:paraId="2FD94F0D">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460DD3E2">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问题澄清通知</w:t>
      </w:r>
    </w:p>
    <w:p w14:paraId="1D2D954B">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3F51DAB1">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3745C08D">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3602EF55">
      <w:pPr>
        <w:autoSpaceDE w:val="0"/>
        <w:autoSpaceDN w:val="0"/>
        <w:adjustRightInd w:val="0"/>
        <w:snapToGrid w:val="0"/>
        <w:spacing w:line="360" w:lineRule="auto"/>
        <w:rPr>
          <w:rFonts w:hint="eastAsia" w:ascii="宋体" w:hAnsi="宋体" w:eastAsia="宋体" w:cs="宋体"/>
          <w:snapToGrid w:val="0"/>
          <w:color w:val="auto"/>
          <w:kern w:val="0"/>
          <w:sz w:val="28"/>
          <w:szCs w:val="28"/>
          <w:highlight w:val="none"/>
        </w:rPr>
      </w:pPr>
    </w:p>
    <w:p w14:paraId="0309F678">
      <w:pPr>
        <w:tabs>
          <w:tab w:val="left" w:pos="158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（投标人名称）</w:t>
      </w:r>
      <w:r>
        <w:rPr>
          <w:rFonts w:hint="eastAsia" w:ascii="宋体" w:hAnsi="宋体" w:eastAsia="宋体" w:cs="宋体"/>
          <w:snapToGrid w:val="0"/>
          <w:color w:val="auto"/>
          <w:kern w:val="0"/>
          <w:szCs w:val="21"/>
          <w:highlight w:val="none"/>
        </w:rPr>
        <w:t>：</w:t>
      </w:r>
    </w:p>
    <w:p w14:paraId="22900566">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的评标委员会，对你方的投标文件进行了仔细的审查，现需你方对下列问题予以澄清：</w:t>
      </w:r>
    </w:p>
    <w:p w14:paraId="77789621">
      <w:pPr>
        <w:autoSpaceDE w:val="0"/>
        <w:autoSpaceDN w:val="0"/>
        <w:adjustRightInd w:val="0"/>
        <w:snapToGrid w:val="0"/>
        <w:spacing w:line="360" w:lineRule="auto"/>
        <w:jc w:val="left"/>
        <w:rPr>
          <w:rFonts w:hint="eastAsia" w:ascii="宋体" w:hAnsi="宋体" w:eastAsia="宋体" w:cs="宋体"/>
          <w:snapToGrid w:val="0"/>
          <w:color w:val="auto"/>
          <w:kern w:val="0"/>
          <w:sz w:val="24"/>
          <w:highlight w:val="none"/>
        </w:rPr>
      </w:pPr>
    </w:p>
    <w:p w14:paraId="31E3AF19">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75CDACAE">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2BA26E58">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55C39C58">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4C36EC34">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64E61445">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34AE5221">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55A228B1">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55E2C44A">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461DBB9B">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2E582CE4">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23D365D8">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请将上述问题的澄清于</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时前提交。</w:t>
      </w:r>
    </w:p>
    <w:p w14:paraId="4FA142D2">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2A8662CF">
      <w:pPr>
        <w:tabs>
          <w:tab w:val="left" w:pos="640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评标委员会：</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14:paraId="0E6BE340">
      <w:pPr>
        <w:tabs>
          <w:tab w:val="left" w:pos="6400"/>
        </w:tabs>
        <w:autoSpaceDE w:val="0"/>
        <w:autoSpaceDN w:val="0"/>
        <w:adjustRightInd w:val="0"/>
        <w:snapToGrid w:val="0"/>
        <w:spacing w:line="360" w:lineRule="auto"/>
        <w:ind w:right="120"/>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14:paraId="7FC3CFB7">
      <w:pPr>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2076CA2C">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0D1DEBF7">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sz w:val="24"/>
          <w:highlight w:val="none"/>
        </w:rPr>
        <w:br w:type="page"/>
      </w: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四</w:t>
      </w:r>
      <w:r>
        <w:rPr>
          <w:rFonts w:hint="eastAsia" w:ascii="宋体" w:hAnsi="宋体" w:eastAsia="宋体" w:cs="宋体"/>
          <w:b/>
          <w:snapToGrid w:val="0"/>
          <w:color w:val="auto"/>
          <w:kern w:val="0"/>
          <w:highlight w:val="none"/>
        </w:rPr>
        <w:t>：问题的澄清</w:t>
      </w:r>
    </w:p>
    <w:p w14:paraId="035E1403">
      <w:pPr>
        <w:autoSpaceDE w:val="0"/>
        <w:autoSpaceDN w:val="0"/>
        <w:adjustRightInd w:val="0"/>
        <w:snapToGrid w:val="0"/>
        <w:spacing w:line="360" w:lineRule="auto"/>
        <w:jc w:val="left"/>
        <w:rPr>
          <w:rFonts w:hint="eastAsia" w:ascii="宋体" w:hAnsi="宋体" w:eastAsia="宋体" w:cs="宋体"/>
          <w:b/>
          <w:snapToGrid w:val="0"/>
          <w:color w:val="auto"/>
          <w:kern w:val="0"/>
          <w:sz w:val="10"/>
          <w:szCs w:val="10"/>
          <w:highlight w:val="none"/>
        </w:rPr>
      </w:pPr>
    </w:p>
    <w:p w14:paraId="786B866D">
      <w:pPr>
        <w:autoSpaceDE w:val="0"/>
        <w:autoSpaceDN w:val="0"/>
        <w:adjustRightInd w:val="0"/>
        <w:snapToGrid w:val="0"/>
        <w:spacing w:line="360" w:lineRule="auto"/>
        <w:jc w:val="center"/>
        <w:rPr>
          <w:rFonts w:hint="eastAsia" w:ascii="宋体" w:hAnsi="宋体" w:eastAsia="宋体" w:cs="宋体"/>
          <w:b/>
          <w:snapToGrid w:val="0"/>
          <w:color w:val="auto"/>
          <w:kern w:val="0"/>
          <w:sz w:val="32"/>
          <w:szCs w:val="32"/>
          <w:highlight w:val="none"/>
        </w:rPr>
      </w:pPr>
      <w:r>
        <w:rPr>
          <w:rFonts w:hint="eastAsia" w:ascii="宋体" w:hAnsi="宋体" w:eastAsia="宋体" w:cs="宋体"/>
          <w:b/>
          <w:snapToGrid w:val="0"/>
          <w:color w:val="auto"/>
          <w:w w:val="99"/>
          <w:kern w:val="0"/>
          <w:sz w:val="32"/>
          <w:szCs w:val="32"/>
          <w:highlight w:val="none"/>
        </w:rPr>
        <w:t>问题的澄清</w:t>
      </w:r>
    </w:p>
    <w:p w14:paraId="2360CB73">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rPr>
      </w:pPr>
    </w:p>
    <w:p w14:paraId="75B5F881">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0D5E7782">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4F12A1A9">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33DFB35B">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（项目名称）    </w:t>
      </w:r>
      <w:r>
        <w:rPr>
          <w:rFonts w:hint="eastAsia" w:ascii="宋体" w:hAnsi="宋体" w:eastAsia="宋体" w:cs="宋体"/>
          <w:snapToGrid w:val="0"/>
          <w:color w:val="auto"/>
          <w:kern w:val="0"/>
          <w:szCs w:val="21"/>
          <w:highlight w:val="none"/>
        </w:rPr>
        <w:t>招标评标委员会：</w:t>
      </w:r>
    </w:p>
    <w:p w14:paraId="18FC9755">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问题澄清通知（编号：</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）已收悉，现澄清如下：</w:t>
      </w:r>
    </w:p>
    <w:p w14:paraId="04D33722">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3CBB80E2">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40E7D7D2">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54952D6B">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25F01719">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6295DD1B">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573B1277">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21F272ED">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4AF5E0A9">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54E99A91">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04B40EB2">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0DB4F7A">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090159F3">
      <w:pPr>
        <w:autoSpaceDE w:val="0"/>
        <w:autoSpaceDN w:val="0"/>
        <w:adjustRightInd w:val="0"/>
        <w:snapToGrid w:val="0"/>
        <w:spacing w:line="360" w:lineRule="auto"/>
        <w:jc w:val="left"/>
        <w:rPr>
          <w:rFonts w:hint="eastAsia" w:ascii="宋体" w:hAnsi="宋体" w:eastAsia="宋体" w:cs="宋体"/>
          <w:snapToGrid w:val="0"/>
          <w:color w:val="auto"/>
          <w:kern w:val="0"/>
          <w:sz w:val="22"/>
          <w:szCs w:val="22"/>
          <w:highlight w:val="none"/>
        </w:rPr>
      </w:pPr>
    </w:p>
    <w:p w14:paraId="7E7BD36A">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4391101A">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29943F48">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上述问题的澄清，不改变我方投标文件的实质性内容，构成我方投标文件的组成部分。</w:t>
      </w:r>
    </w:p>
    <w:p w14:paraId="6331FFF3">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7C849B63">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12EEEA68">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03750C79">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（签名或盖章）</w:t>
      </w:r>
    </w:p>
    <w:p w14:paraId="5DBA1777">
      <w:pPr>
        <w:autoSpaceDE w:val="0"/>
        <w:autoSpaceDN w:val="0"/>
        <w:adjustRightInd w:val="0"/>
        <w:snapToGrid w:val="0"/>
        <w:spacing w:line="360" w:lineRule="auto"/>
        <w:jc w:val="right"/>
        <w:rPr>
          <w:rFonts w:hint="eastAsia" w:ascii="宋体" w:hAnsi="宋体" w:eastAsia="宋体" w:cs="宋体"/>
          <w:snapToGrid w:val="0"/>
          <w:color w:val="auto"/>
          <w:kern w:val="0"/>
          <w:sz w:val="20"/>
          <w:szCs w:val="20"/>
          <w:highlight w:val="none"/>
        </w:rPr>
      </w:pPr>
    </w:p>
    <w:p w14:paraId="7E578C54">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1510F84E">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00625AE4">
      <w:pPr>
        <w:autoSpaceDE/>
        <w:autoSpaceDN/>
        <w:adjustRightInd/>
        <w:snapToGrid/>
        <w:spacing w:line="240" w:lineRule="auto"/>
        <w:jc w:val="left"/>
        <w:rPr>
          <w:rFonts w:hint="eastAsia" w:ascii="宋体" w:hAnsi="宋体" w:eastAsia="宋体" w:cs="宋体"/>
          <w:b/>
          <w:snapToGrid w:val="0"/>
          <w:color w:val="auto"/>
          <w:kern w:val="0"/>
          <w:highlight w:val="none"/>
        </w:rPr>
      </w:pPr>
    </w:p>
    <w:p w14:paraId="1F94CE99">
      <w:pPr>
        <w:autoSpaceDE/>
        <w:autoSpaceDN/>
        <w:adjustRightInd/>
        <w:snapToGrid/>
        <w:spacing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36142506">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五</w:t>
      </w:r>
      <w:r>
        <w:rPr>
          <w:rFonts w:hint="eastAsia" w:ascii="宋体" w:hAnsi="宋体" w:eastAsia="宋体" w:cs="宋体"/>
          <w:b/>
          <w:snapToGrid w:val="0"/>
          <w:color w:val="auto"/>
          <w:kern w:val="0"/>
          <w:highlight w:val="none"/>
        </w:rPr>
        <w:t>：中标通知书</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675A70D2">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0E9FDEE8">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50217F12">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7EEEDD7C">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中标通知书</w:t>
      </w:r>
    </w:p>
    <w:p w14:paraId="5A5F435D">
      <w:pPr>
        <w:spacing w:line="360" w:lineRule="auto"/>
        <w:rPr>
          <w:rFonts w:hint="eastAsia" w:ascii="宋体" w:hAnsi="宋体" w:eastAsia="宋体" w:cs="宋体"/>
          <w:bCs/>
          <w:color w:val="auto"/>
          <w:kern w:val="0"/>
          <w:szCs w:val="21"/>
          <w:highlight w:val="none"/>
          <w:u w:val="single"/>
        </w:rPr>
      </w:pP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中标单位名称</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bCs/>
          <w:color w:val="auto"/>
          <w:kern w:val="0"/>
          <w:szCs w:val="21"/>
          <w:highlight w:val="none"/>
        </w:rPr>
        <w:t>：</w:t>
      </w:r>
    </w:p>
    <w:p w14:paraId="1DD98AB6">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你方于</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日（投标日期）所递交的</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（项目名称）   </w:t>
      </w:r>
      <w:r>
        <w:rPr>
          <w:rFonts w:hint="eastAsia" w:ascii="宋体" w:hAnsi="宋体" w:eastAsia="宋体" w:cs="宋体"/>
          <w:color w:val="auto"/>
          <w:kern w:val="0"/>
          <w:szCs w:val="21"/>
          <w:highlight w:val="none"/>
        </w:rPr>
        <w:t>招标的投标文件已被我方接受，经评标委员会评定，被确定为中标人。</w:t>
      </w:r>
    </w:p>
    <w:p w14:paraId="3C90B033">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中标价：</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p>
    <w:p w14:paraId="082621FB">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供货范围：</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none"/>
          <w:lang w:eastAsia="zh-CN"/>
        </w:rPr>
        <w:t>；</w:t>
      </w:r>
    </w:p>
    <w:p w14:paraId="27557512">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供货期</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日历天</w:t>
      </w:r>
      <w:r>
        <w:rPr>
          <w:rFonts w:hint="eastAsia" w:ascii="宋体" w:hAnsi="宋体" w:eastAsia="宋体" w:cs="宋体"/>
          <w:color w:val="auto"/>
          <w:highlight w:val="none"/>
          <w:lang w:eastAsia="zh-CN"/>
        </w:rPr>
        <w:t>。</w:t>
      </w:r>
    </w:p>
    <w:p w14:paraId="54104DC0">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请你方在接到本通知书后的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日内到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（指定地点）  </w:t>
      </w:r>
      <w:r>
        <w:rPr>
          <w:rFonts w:hint="eastAsia" w:ascii="宋体" w:hAnsi="宋体" w:eastAsia="宋体" w:cs="宋体"/>
          <w:color w:val="auto"/>
          <w:kern w:val="0"/>
          <w:szCs w:val="21"/>
          <w:highlight w:val="none"/>
        </w:rPr>
        <w:t>与我方签订</w:t>
      </w:r>
      <w:r>
        <w:rPr>
          <w:rFonts w:hint="eastAsia" w:ascii="宋体" w:hAnsi="宋体" w:eastAsia="宋体" w:cs="宋体"/>
          <w:color w:val="auto"/>
          <w:kern w:val="0"/>
          <w:szCs w:val="21"/>
          <w:highlight w:val="none"/>
          <w:lang w:val="en-US" w:eastAsia="zh-CN"/>
        </w:rPr>
        <w:t>设备（材料）采购</w:t>
      </w:r>
      <w:r>
        <w:rPr>
          <w:rFonts w:hint="eastAsia" w:ascii="宋体" w:hAnsi="宋体" w:eastAsia="宋体" w:cs="宋体"/>
          <w:color w:val="auto"/>
          <w:kern w:val="0"/>
          <w:szCs w:val="21"/>
          <w:highlight w:val="none"/>
        </w:rPr>
        <w:t>合同。</w:t>
      </w:r>
      <w:r>
        <w:rPr>
          <w:rFonts w:hint="eastAsia" w:ascii="宋体" w:hAnsi="宋体" w:eastAsia="宋体" w:cs="宋体"/>
          <w:color w:val="auto"/>
          <w:szCs w:val="21"/>
          <w:highlight w:val="none"/>
        </w:rPr>
        <w:t>在此之前按招标文件第二章“投标人须知”第7.</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款规定向我方提交履约担保。</w:t>
      </w:r>
    </w:p>
    <w:p w14:paraId="5D00AE29">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特此通知。</w:t>
      </w:r>
    </w:p>
    <w:p w14:paraId="016BF0C5">
      <w:pPr>
        <w:spacing w:line="480" w:lineRule="auto"/>
        <w:rPr>
          <w:rFonts w:hint="eastAsia" w:ascii="宋体" w:hAnsi="宋体" w:eastAsia="宋体" w:cs="宋体"/>
          <w:color w:val="auto"/>
          <w:kern w:val="0"/>
          <w:sz w:val="24"/>
          <w:highlight w:val="none"/>
        </w:rPr>
      </w:pPr>
    </w:p>
    <w:p w14:paraId="78E6B7F5">
      <w:pPr>
        <w:spacing w:line="480" w:lineRule="auto"/>
        <w:rPr>
          <w:rFonts w:hint="eastAsia" w:ascii="宋体" w:hAnsi="宋体" w:eastAsia="宋体" w:cs="宋体"/>
          <w:color w:val="auto"/>
          <w:kern w:val="0"/>
          <w:sz w:val="24"/>
          <w:highlight w:val="none"/>
        </w:rPr>
      </w:pPr>
    </w:p>
    <w:p w14:paraId="0FA575DB">
      <w:pPr>
        <w:spacing w:line="480" w:lineRule="auto"/>
        <w:rPr>
          <w:rFonts w:hint="eastAsia" w:ascii="宋体" w:hAnsi="宋体" w:eastAsia="宋体" w:cs="宋体"/>
          <w:color w:val="auto"/>
          <w:kern w:val="0"/>
          <w:sz w:val="24"/>
          <w:highlight w:val="none"/>
        </w:rPr>
      </w:pPr>
    </w:p>
    <w:p w14:paraId="3E163DED">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Cs w:val="21"/>
          <w:highlight w:val="none"/>
        </w:rPr>
        <w:t>招标人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snapToGrid w:val="0"/>
          <w:color w:val="auto"/>
          <w:kern w:val="0"/>
          <w:szCs w:val="21"/>
          <w:highlight w:val="none"/>
        </w:rPr>
        <w:t>盖单位法人章</w:t>
      </w:r>
      <w:r>
        <w:rPr>
          <w:rFonts w:hint="eastAsia" w:ascii="宋体" w:hAnsi="宋体" w:eastAsia="宋体" w:cs="宋体"/>
          <w:color w:val="auto"/>
          <w:kern w:val="0"/>
          <w:szCs w:val="21"/>
          <w:highlight w:val="none"/>
        </w:rPr>
        <w:t>）</w:t>
      </w:r>
    </w:p>
    <w:p w14:paraId="59F45CE6">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14:paraId="01A3227E">
      <w:pPr>
        <w:spacing w:line="48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联系人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4B6C7FC6">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联系电话</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2A74057C">
      <w:pPr>
        <w:spacing w:line="480" w:lineRule="auto"/>
        <w:jc w:val="right"/>
        <w:rPr>
          <w:rFonts w:hint="eastAsia" w:ascii="宋体" w:hAnsi="宋体" w:eastAsia="宋体" w:cs="宋体"/>
          <w:color w:val="auto"/>
          <w:kern w:val="0"/>
          <w:szCs w:val="21"/>
          <w:highlight w:val="none"/>
        </w:rPr>
      </w:pPr>
    </w:p>
    <w:p w14:paraId="05A71432">
      <w:pPr>
        <w:spacing w:line="480" w:lineRule="auto"/>
        <w:jc w:val="right"/>
        <w:rPr>
          <w:rFonts w:hint="eastAsia" w:ascii="宋体" w:hAnsi="宋体" w:eastAsia="宋体" w:cs="宋体"/>
          <w:color w:val="auto"/>
          <w:kern w:val="0"/>
          <w:szCs w:val="21"/>
          <w:highlight w:val="none"/>
        </w:rPr>
      </w:pPr>
    </w:p>
    <w:p w14:paraId="4CC47EA0">
      <w:pPr>
        <w:spacing w:line="48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 xml:space="preserve">                   签发日期</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153BFDBB">
      <w:pPr>
        <w:spacing w:line="200" w:lineRule="exact"/>
        <w:rPr>
          <w:rFonts w:hint="eastAsia" w:ascii="宋体" w:hAnsi="宋体" w:eastAsia="宋体" w:cs="宋体"/>
          <w:color w:val="auto"/>
          <w:kern w:val="0"/>
          <w:highlight w:val="none"/>
        </w:rPr>
      </w:pPr>
      <w:r>
        <w:rPr>
          <w:rFonts w:hint="eastAsia" w:ascii="宋体" w:hAnsi="宋体" w:eastAsia="宋体" w:cs="宋体"/>
          <w:snapToGrid w:val="0"/>
          <w:color w:val="auto"/>
          <w:kern w:val="0"/>
          <w:highlight w:val="none"/>
        </w:rPr>
        <w:br w:type="page"/>
      </w:r>
      <w:bookmarkStart w:id="626" w:name="招标文件03章02评标办法综合评估法"/>
      <w:bookmarkEnd w:id="626"/>
      <w:bookmarkStart w:id="627" w:name="招标文件03章02评标办法综合评估法00"/>
      <w:bookmarkEnd w:id="627"/>
      <w:bookmarkStart w:id="628" w:name="_Toc200513198"/>
      <w:bookmarkStart w:id="629" w:name="_Toc277082618"/>
      <w:bookmarkStart w:id="630" w:name="_Toc287620751"/>
      <w:bookmarkStart w:id="631" w:name="_Toc287607812"/>
      <w:bookmarkStart w:id="632" w:name="_Toc430530500"/>
      <w:bookmarkStart w:id="633" w:name="_Toc224103384"/>
    </w:p>
    <w:bookmarkEnd w:id="628"/>
    <w:bookmarkEnd w:id="629"/>
    <w:bookmarkEnd w:id="630"/>
    <w:bookmarkEnd w:id="631"/>
    <w:bookmarkEnd w:id="632"/>
    <w:bookmarkEnd w:id="633"/>
    <w:p w14:paraId="327AE546">
      <w:pPr>
        <w:pStyle w:val="3"/>
        <w:spacing w:line="360" w:lineRule="auto"/>
        <w:jc w:val="center"/>
        <w:rPr>
          <w:rFonts w:hint="eastAsia" w:ascii="宋体" w:hAnsi="宋体" w:eastAsia="宋体" w:cs="宋体"/>
          <w:snapToGrid w:val="0"/>
          <w:color w:val="auto"/>
          <w:kern w:val="0"/>
          <w:highlight w:val="none"/>
        </w:rPr>
      </w:pPr>
      <w:bookmarkStart w:id="634" w:name="_Toc2811"/>
      <w:bookmarkStart w:id="635" w:name="_Toc3037"/>
      <w:bookmarkStart w:id="636" w:name="_Toc58860121"/>
      <w:bookmarkStart w:id="637" w:name="_Toc21024"/>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bookmarkEnd w:id="634"/>
      <w:bookmarkEnd w:id="635"/>
      <w:bookmarkEnd w:id="636"/>
      <w:bookmarkEnd w:id="637"/>
    </w:p>
    <w:p w14:paraId="67B6D0B9">
      <w:pPr>
        <w:pStyle w:val="4"/>
        <w:spacing w:before="100" w:after="100" w:line="360" w:lineRule="auto"/>
        <w:rPr>
          <w:rFonts w:hint="eastAsia" w:ascii="宋体" w:hAnsi="宋体" w:eastAsia="宋体" w:cs="宋体"/>
          <w:color w:val="auto"/>
          <w:highlight w:val="none"/>
        </w:rPr>
      </w:pPr>
      <w:bookmarkStart w:id="638" w:name="_Toc8561"/>
      <w:bookmarkStart w:id="639" w:name="_Toc32445"/>
      <w:bookmarkStart w:id="640" w:name="_Toc509218775"/>
      <w:bookmarkStart w:id="641" w:name="_Toc28619"/>
      <w:bookmarkStart w:id="642" w:name="_Toc430530499"/>
      <w:bookmarkStart w:id="643" w:name="_Toc277082617"/>
      <w:bookmarkStart w:id="644" w:name="_Toc287607811"/>
      <w:bookmarkStart w:id="645" w:name="_Toc287620750"/>
      <w:bookmarkStart w:id="646" w:name="_Toc224103383"/>
      <w:bookmarkStart w:id="647" w:name="_Toc58860122"/>
      <w:bookmarkStart w:id="648" w:name="_Toc9076"/>
      <w:r>
        <w:rPr>
          <w:rFonts w:hint="eastAsia" w:ascii="宋体" w:hAnsi="宋体" w:eastAsia="宋体" w:cs="宋体"/>
          <w:color w:val="auto"/>
          <w:highlight w:val="none"/>
        </w:rPr>
        <w:t>评标办法前附表</w:t>
      </w:r>
      <w:bookmarkEnd w:id="638"/>
      <w:bookmarkEnd w:id="639"/>
      <w:bookmarkEnd w:id="640"/>
      <w:bookmarkEnd w:id="641"/>
    </w:p>
    <w:p w14:paraId="04318CC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评标办法中的评审内容必须和投标人须知中的对应内容一致，若投标人须知中未作要求的内容，不得列入评标办法作为评定依据。</w:t>
      </w:r>
    </w:p>
    <w:bookmarkEnd w:id="642"/>
    <w:bookmarkEnd w:id="643"/>
    <w:bookmarkEnd w:id="644"/>
    <w:bookmarkEnd w:id="645"/>
    <w:bookmarkEnd w:id="646"/>
    <w:tbl>
      <w:tblPr>
        <w:tblStyle w:val="47"/>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067"/>
        <w:gridCol w:w="657"/>
        <w:gridCol w:w="1043"/>
        <w:gridCol w:w="6362"/>
      </w:tblGrid>
      <w:tr w14:paraId="5548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169A98B2">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bookmarkStart w:id="649" w:name="_Toc509218776"/>
            <w:r>
              <w:rPr>
                <w:rFonts w:hint="eastAsia" w:ascii="宋体" w:hAnsi="宋体" w:eastAsia="宋体" w:cs="宋体"/>
                <w:b/>
                <w:color w:val="auto"/>
                <w:szCs w:val="21"/>
                <w:highlight w:val="none"/>
              </w:rPr>
              <w:t>条款号</w:t>
            </w:r>
          </w:p>
        </w:tc>
        <w:tc>
          <w:tcPr>
            <w:tcW w:w="1067" w:type="dxa"/>
            <w:tcBorders>
              <w:top w:val="single" w:color="auto" w:sz="4" w:space="0"/>
              <w:left w:val="single" w:color="auto" w:sz="4" w:space="0"/>
              <w:bottom w:val="single" w:color="auto" w:sz="4" w:space="0"/>
              <w:right w:val="single" w:color="auto" w:sz="4" w:space="0"/>
            </w:tcBorders>
            <w:vAlign w:val="center"/>
          </w:tcPr>
          <w:p w14:paraId="2122979A">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评审因素</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195F48C2">
            <w:pPr>
              <w:keepNext w:val="0"/>
              <w:keepLines w:val="0"/>
              <w:suppressLineNumbers w:val="0"/>
              <w:adjustRightInd w:val="0"/>
              <w:snapToGrid w:val="0"/>
              <w:spacing w:before="0" w:beforeAutospacing="0" w:after="0" w:afterAutospacing="0" w:line="400" w:lineRule="exact"/>
              <w:ind w:left="0" w:right="0" w:firstLine="42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68F7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029AEFE8">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067" w:type="dxa"/>
            <w:tcBorders>
              <w:top w:val="single" w:color="auto" w:sz="4" w:space="0"/>
              <w:left w:val="single" w:color="auto" w:sz="4" w:space="0"/>
              <w:bottom w:val="single" w:color="auto" w:sz="4" w:space="0"/>
              <w:right w:val="single" w:color="auto" w:sz="4" w:space="0"/>
            </w:tcBorders>
            <w:vAlign w:val="center"/>
          </w:tcPr>
          <w:p w14:paraId="21522A34">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评标办法</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5D74250A">
            <w:pPr>
              <w:keepNext w:val="0"/>
              <w:keepLines w:val="0"/>
              <w:suppressLineNumbers w:val="0"/>
              <w:adjustRightInd w:val="0"/>
              <w:snapToGrid w:val="0"/>
              <w:spacing w:before="0" w:beforeAutospacing="0" w:after="0" w:afterAutospacing="0" w:line="400" w:lineRule="exact"/>
              <w:ind w:left="0" w:right="0" w:firstLine="436" w:firstLineChars="200"/>
              <w:rPr>
                <w:rFonts w:hint="eastAsia" w:ascii="宋体" w:hAnsi="宋体" w:eastAsia="宋体" w:cs="宋体"/>
                <w:i/>
                <w:color w:val="auto"/>
                <w:spacing w:val="4"/>
                <w:kern w:val="0"/>
                <w:szCs w:val="21"/>
                <w:highlight w:val="none"/>
              </w:rPr>
            </w:pPr>
            <w:r>
              <w:rPr>
                <w:rFonts w:hint="eastAsia" w:ascii="宋体" w:hAnsi="宋体" w:eastAsia="宋体" w:cs="宋体"/>
                <w:color w:val="auto"/>
                <w:spacing w:val="4"/>
                <w:kern w:val="0"/>
                <w:szCs w:val="21"/>
                <w:highlight w:val="none"/>
              </w:rPr>
              <w:t>本次评标采用综合评分法，若出现投标人综合评分相等时，评标委员会依次按照以下优先顺序推荐中标候选人：以评标价低的优先；若出现评标价相同的，</w:t>
            </w:r>
            <w:r>
              <w:rPr>
                <w:rFonts w:hint="eastAsia" w:ascii="宋体" w:hAnsi="宋体" w:eastAsia="宋体" w:cs="宋体"/>
                <w:spacing w:val="4"/>
                <w:kern w:val="0"/>
                <w:sz w:val="21"/>
                <w:szCs w:val="21"/>
                <w:highlight w:val="none"/>
                <w:lang w:val="en-US" w:eastAsia="zh-CN" w:bidi="ar"/>
              </w:rPr>
              <w:t>由评标委员会按照由评标委员会按照优先免缴投标担保和履约担保单位的原则排序，若均为免缴单位，则以递交投标文件先后顺序，若均不为免缴单位，则以缴纳投标保证金的先后顺序排列。</w:t>
            </w:r>
          </w:p>
        </w:tc>
      </w:tr>
      <w:tr w14:paraId="1081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4F8B2DEE">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2"/>
                <w:szCs w:val="21"/>
                <w:highlight w:val="none"/>
              </w:rPr>
              <w:t>2.1.</w:t>
            </w:r>
            <w:r>
              <w:rPr>
                <w:rFonts w:hint="eastAsia" w:ascii="宋体" w:hAnsi="宋体" w:eastAsia="宋体" w:cs="宋体"/>
                <w:color w:val="auto"/>
                <w:kern w:val="0"/>
                <w:szCs w:val="21"/>
                <w:highlight w:val="none"/>
              </w:rPr>
              <w:t>1</w:t>
            </w:r>
          </w:p>
        </w:tc>
        <w:tc>
          <w:tcPr>
            <w:tcW w:w="1067" w:type="dxa"/>
            <w:vMerge w:val="restart"/>
            <w:tcBorders>
              <w:top w:val="single" w:color="auto" w:sz="4" w:space="0"/>
              <w:left w:val="single" w:color="auto" w:sz="4" w:space="0"/>
              <w:right w:val="single" w:color="auto" w:sz="4" w:space="0"/>
            </w:tcBorders>
            <w:vAlign w:val="center"/>
          </w:tcPr>
          <w:p w14:paraId="59F0CFFD">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资格评审标准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EF5E6F6">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szCs w:val="21"/>
                <w:highlight w:val="none"/>
                <w:lang w:val="en-US" w:eastAsia="zh-CN"/>
              </w:rPr>
              <w:t>独立法人资格</w:t>
            </w:r>
          </w:p>
        </w:tc>
        <w:tc>
          <w:tcPr>
            <w:tcW w:w="6362" w:type="dxa"/>
            <w:tcBorders>
              <w:top w:val="single" w:color="auto" w:sz="4" w:space="0"/>
              <w:left w:val="single" w:color="auto" w:sz="4" w:space="0"/>
              <w:bottom w:val="single" w:color="auto" w:sz="4" w:space="0"/>
              <w:right w:val="single" w:color="auto" w:sz="4" w:space="0"/>
            </w:tcBorders>
            <w:vAlign w:val="center"/>
          </w:tcPr>
          <w:p w14:paraId="02D39678">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3EE3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4EB80D2E">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675E7CEC">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45DF06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业绩要求</w:t>
            </w:r>
          </w:p>
        </w:tc>
        <w:tc>
          <w:tcPr>
            <w:tcW w:w="6362" w:type="dxa"/>
            <w:tcBorders>
              <w:top w:val="single" w:color="auto" w:sz="4" w:space="0"/>
              <w:left w:val="single" w:color="auto" w:sz="4" w:space="0"/>
              <w:bottom w:val="single" w:color="auto" w:sz="4" w:space="0"/>
              <w:right w:val="single" w:color="auto" w:sz="4" w:space="0"/>
            </w:tcBorders>
            <w:vAlign w:val="center"/>
          </w:tcPr>
          <w:p w14:paraId="7AE0D0B4">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2288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2B3FE6B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2BBBB9B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68052D92">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szCs w:val="21"/>
                <w:highlight w:val="none"/>
              </w:rPr>
              <w:t>投标截止日投标资格情况</w:t>
            </w:r>
          </w:p>
        </w:tc>
        <w:tc>
          <w:tcPr>
            <w:tcW w:w="6362" w:type="dxa"/>
            <w:tcBorders>
              <w:top w:val="single" w:color="auto" w:sz="4" w:space="0"/>
              <w:left w:val="single" w:color="auto" w:sz="4" w:space="0"/>
              <w:bottom w:val="single" w:color="auto" w:sz="4" w:space="0"/>
              <w:right w:val="single" w:color="auto" w:sz="4" w:space="0"/>
            </w:tcBorders>
            <w:vAlign w:val="center"/>
          </w:tcPr>
          <w:p w14:paraId="7B25B4C3">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120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2F65198">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2FF1905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09CA97D">
            <w:pPr>
              <w:keepNext w:val="0"/>
              <w:keepLines w:val="0"/>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项目经理</w:t>
            </w:r>
          </w:p>
        </w:tc>
        <w:tc>
          <w:tcPr>
            <w:tcW w:w="6362" w:type="dxa"/>
            <w:tcBorders>
              <w:top w:val="single" w:color="auto" w:sz="4" w:space="0"/>
              <w:left w:val="single" w:color="auto" w:sz="4" w:space="0"/>
              <w:bottom w:val="single" w:color="auto" w:sz="4" w:space="0"/>
              <w:right w:val="single" w:color="auto" w:sz="4" w:space="0"/>
            </w:tcBorders>
            <w:shd w:val="clear" w:color="auto" w:fill="auto"/>
            <w:vAlign w:val="center"/>
          </w:tcPr>
          <w:p w14:paraId="1E0418D5">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符合第二章“投标人须知”第1.4.1项规定</w:t>
            </w:r>
          </w:p>
        </w:tc>
      </w:tr>
      <w:tr w14:paraId="3472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3DD130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2D69530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6264B5B2">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其他要求</w:t>
            </w:r>
          </w:p>
        </w:tc>
        <w:tc>
          <w:tcPr>
            <w:tcW w:w="6362" w:type="dxa"/>
            <w:tcBorders>
              <w:top w:val="single" w:color="auto" w:sz="4" w:space="0"/>
              <w:left w:val="single" w:color="auto" w:sz="4" w:space="0"/>
              <w:bottom w:val="single" w:color="auto" w:sz="4" w:space="0"/>
              <w:right w:val="single" w:color="auto" w:sz="4" w:space="0"/>
            </w:tcBorders>
            <w:vAlign w:val="center"/>
          </w:tcPr>
          <w:p w14:paraId="3D9C640E">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22CE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64F98702">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2.1.2</w:t>
            </w:r>
          </w:p>
        </w:tc>
        <w:tc>
          <w:tcPr>
            <w:tcW w:w="1067" w:type="dxa"/>
            <w:vMerge w:val="restart"/>
            <w:tcBorders>
              <w:left w:val="single" w:color="auto" w:sz="4" w:space="0"/>
              <w:right w:val="single" w:color="auto" w:sz="4" w:space="0"/>
            </w:tcBorders>
            <w:vAlign w:val="center"/>
          </w:tcPr>
          <w:p w14:paraId="79FEF5DC">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形式评审标准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352F078">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p>
        </w:tc>
        <w:tc>
          <w:tcPr>
            <w:tcW w:w="6362" w:type="dxa"/>
            <w:tcBorders>
              <w:top w:val="single" w:color="auto" w:sz="4" w:space="0"/>
              <w:left w:val="single" w:color="auto" w:sz="4" w:space="0"/>
              <w:bottom w:val="single" w:color="auto" w:sz="4" w:space="0"/>
              <w:right w:val="single" w:color="auto" w:sz="4" w:space="0"/>
            </w:tcBorders>
            <w:vAlign w:val="center"/>
          </w:tcPr>
          <w:p w14:paraId="1E28C818">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与营业执照一致，依法变更名称的应提交相应证明材料。</w:t>
            </w:r>
          </w:p>
        </w:tc>
      </w:tr>
      <w:tr w14:paraId="6369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126D23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3EAFFA4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1898D28">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w:t>
            </w:r>
          </w:p>
        </w:tc>
        <w:tc>
          <w:tcPr>
            <w:tcW w:w="6362" w:type="dxa"/>
            <w:tcBorders>
              <w:top w:val="single" w:color="auto" w:sz="4" w:space="0"/>
              <w:left w:val="single" w:color="auto" w:sz="4" w:space="0"/>
              <w:bottom w:val="single" w:color="auto" w:sz="4" w:space="0"/>
              <w:right w:val="single" w:color="auto" w:sz="4" w:space="0"/>
            </w:tcBorders>
            <w:vAlign w:val="center"/>
          </w:tcPr>
          <w:p w14:paraId="0AFF594D">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符合第二章“投标人须知”第3.7款的要求（不含投标函部分）。</w:t>
            </w:r>
          </w:p>
        </w:tc>
      </w:tr>
      <w:tr w14:paraId="054B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F684CE8">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7A938D87">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E297C46">
            <w:pPr>
              <w:keepNext w:val="0"/>
              <w:keepLines w:val="0"/>
              <w:suppressLineNumbers w:val="0"/>
              <w:adjustRightInd w:val="0"/>
              <w:snapToGrid w:val="0"/>
              <w:spacing w:before="0" w:beforeLines="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投标文件份数</w:t>
            </w:r>
          </w:p>
        </w:tc>
        <w:tc>
          <w:tcPr>
            <w:tcW w:w="6362" w:type="dxa"/>
            <w:tcBorders>
              <w:top w:val="single" w:color="auto" w:sz="4" w:space="0"/>
              <w:left w:val="single" w:color="auto" w:sz="4" w:space="0"/>
              <w:bottom w:val="single" w:color="auto" w:sz="4" w:space="0"/>
              <w:right w:val="single" w:color="auto" w:sz="4" w:space="0"/>
            </w:tcBorders>
            <w:vAlign w:val="center"/>
          </w:tcPr>
          <w:p w14:paraId="0C03829F">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符合第二章“投标人须知”第3.7.4项规定。</w:t>
            </w:r>
          </w:p>
        </w:tc>
      </w:tr>
      <w:tr w14:paraId="26CF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4016CB65">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0C95827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067D4A6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投标文件的签署</w:t>
            </w:r>
          </w:p>
        </w:tc>
        <w:tc>
          <w:tcPr>
            <w:tcW w:w="6362" w:type="dxa"/>
            <w:tcBorders>
              <w:top w:val="single" w:color="auto" w:sz="4" w:space="0"/>
              <w:left w:val="single" w:color="auto" w:sz="4" w:space="0"/>
              <w:bottom w:val="single" w:color="auto" w:sz="4" w:space="0"/>
              <w:right w:val="single" w:color="auto" w:sz="4" w:space="0"/>
            </w:tcBorders>
            <w:vAlign w:val="center"/>
          </w:tcPr>
          <w:p w14:paraId="47F115D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投标文件（不含投标函部分）格式要求法定代表人或其委托代理人签名（或盖章）的须齐全。</w:t>
            </w:r>
          </w:p>
        </w:tc>
      </w:tr>
      <w:tr w14:paraId="1FCFB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Merge w:val="continue"/>
            <w:tcBorders>
              <w:left w:val="single" w:color="auto" w:sz="4" w:space="0"/>
              <w:bottom w:val="single" w:color="auto" w:sz="4" w:space="0"/>
              <w:right w:val="single" w:color="auto" w:sz="4" w:space="0"/>
            </w:tcBorders>
            <w:vAlign w:val="center"/>
          </w:tcPr>
          <w:p w14:paraId="2166D080">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72B51ED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04C6931">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p>
        </w:tc>
        <w:tc>
          <w:tcPr>
            <w:tcW w:w="6362" w:type="dxa"/>
            <w:tcBorders>
              <w:top w:val="single" w:color="auto" w:sz="4" w:space="0"/>
              <w:left w:val="single" w:color="auto" w:sz="4" w:space="0"/>
              <w:bottom w:val="single" w:color="auto" w:sz="4" w:space="0"/>
              <w:right w:val="single" w:color="auto" w:sz="4" w:space="0"/>
            </w:tcBorders>
            <w:vAlign w:val="center"/>
          </w:tcPr>
          <w:p w14:paraId="29400918">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投标人法定代表人的委托代理人有法定代表人签署的授权委托书和投标人为其缴纳的养老保险。</w:t>
            </w:r>
          </w:p>
        </w:tc>
      </w:tr>
      <w:tr w14:paraId="76414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525FF020">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w:t>
            </w:r>
          </w:p>
        </w:tc>
        <w:tc>
          <w:tcPr>
            <w:tcW w:w="1067" w:type="dxa"/>
            <w:vMerge w:val="restart"/>
            <w:tcBorders>
              <w:left w:val="single" w:color="auto" w:sz="4" w:space="0"/>
              <w:right w:val="single" w:color="auto" w:sz="4" w:space="0"/>
            </w:tcBorders>
            <w:vAlign w:val="center"/>
          </w:tcPr>
          <w:p w14:paraId="289EB15A">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响应性评审标准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24094C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投标内容</w:t>
            </w:r>
          </w:p>
        </w:tc>
        <w:tc>
          <w:tcPr>
            <w:tcW w:w="6362" w:type="dxa"/>
            <w:tcBorders>
              <w:top w:val="single" w:color="auto" w:sz="4" w:space="0"/>
              <w:left w:val="single" w:color="auto" w:sz="4" w:space="0"/>
              <w:bottom w:val="single" w:color="auto" w:sz="4" w:space="0"/>
              <w:right w:val="single" w:color="auto" w:sz="4" w:space="0"/>
            </w:tcBorders>
            <w:vAlign w:val="center"/>
          </w:tcPr>
          <w:p w14:paraId="546C8464">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符合第二章“投标人须知”第1.3.1项规定</w:t>
            </w:r>
          </w:p>
        </w:tc>
      </w:tr>
      <w:tr w14:paraId="1EB7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26EAA179">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7959219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3DD853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6362" w:type="dxa"/>
            <w:tcBorders>
              <w:top w:val="single" w:color="auto" w:sz="4" w:space="0"/>
              <w:left w:val="single" w:color="auto" w:sz="4" w:space="0"/>
              <w:bottom w:val="single" w:color="auto" w:sz="4" w:space="0"/>
              <w:right w:val="single" w:color="auto" w:sz="4" w:space="0"/>
            </w:tcBorders>
            <w:vAlign w:val="center"/>
          </w:tcPr>
          <w:p w14:paraId="49924199">
            <w:pPr>
              <w:keepNext w:val="0"/>
              <w:keepLines w:val="0"/>
              <w:suppressLineNumbers w:val="0"/>
              <w:tabs>
                <w:tab w:val="left" w:pos="601"/>
                <w:tab w:val="left" w:pos="669"/>
              </w:tabs>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符合第二章投标人须知前附表第3.4款规定</w:t>
            </w:r>
          </w:p>
        </w:tc>
      </w:tr>
      <w:tr w14:paraId="3E3D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1D1B6728">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1488251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0FA5802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权利义务</w:t>
            </w:r>
          </w:p>
        </w:tc>
        <w:tc>
          <w:tcPr>
            <w:tcW w:w="6362" w:type="dxa"/>
            <w:tcBorders>
              <w:top w:val="single" w:color="auto" w:sz="4" w:space="0"/>
              <w:left w:val="single" w:color="auto" w:sz="4" w:space="0"/>
              <w:bottom w:val="single" w:color="auto" w:sz="4" w:space="0"/>
              <w:right w:val="single" w:color="auto" w:sz="4" w:space="0"/>
            </w:tcBorders>
            <w:vAlign w:val="center"/>
          </w:tcPr>
          <w:p w14:paraId="34E8376C">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符合第四章“合同条款及格式”规定，投标文件不应附有招标人不能接受的条件。（由投标人承诺，承诺书格式详见</w:t>
            </w:r>
            <w:r>
              <w:rPr>
                <w:rFonts w:hint="eastAsia" w:ascii="宋体" w:hAnsi="宋体" w:eastAsia="宋体" w:cs="宋体"/>
                <w:color w:val="auto"/>
                <w:kern w:val="0"/>
                <w:szCs w:val="21"/>
                <w:highlight w:val="none"/>
                <w:lang w:eastAsia="zh-CN"/>
              </w:rPr>
              <w:t>第六章</w:t>
            </w:r>
            <w:r>
              <w:rPr>
                <w:rFonts w:hint="eastAsia" w:ascii="宋体" w:hAnsi="宋体" w:eastAsia="宋体" w:cs="宋体"/>
                <w:color w:val="auto"/>
                <w:kern w:val="0"/>
                <w:szCs w:val="21"/>
                <w:highlight w:val="none"/>
              </w:rPr>
              <w:t>投标文件格式。）</w:t>
            </w:r>
          </w:p>
        </w:tc>
      </w:tr>
      <w:tr w14:paraId="2E26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D799D59">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431AD32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BEB32A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质量标准（技术性能指标）</w:t>
            </w:r>
          </w:p>
        </w:tc>
        <w:tc>
          <w:tcPr>
            <w:tcW w:w="6362" w:type="dxa"/>
            <w:tcBorders>
              <w:top w:val="single" w:color="auto" w:sz="4" w:space="0"/>
              <w:left w:val="single" w:color="auto" w:sz="4" w:space="0"/>
              <w:bottom w:val="single" w:color="auto" w:sz="4" w:space="0"/>
              <w:right w:val="single" w:color="auto" w:sz="4" w:space="0"/>
            </w:tcBorders>
            <w:vAlign w:val="center"/>
          </w:tcPr>
          <w:p w14:paraId="13FDC995">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符合第五章 </w:t>
            </w:r>
            <w:r>
              <w:rPr>
                <w:rFonts w:hint="eastAsia" w:ascii="宋体" w:hAnsi="宋体" w:eastAsia="宋体" w:cs="宋体"/>
                <w:color w:val="auto"/>
                <w:kern w:val="0"/>
                <w:szCs w:val="21"/>
                <w:highlight w:val="none"/>
                <w:lang w:eastAsia="zh-CN"/>
              </w:rPr>
              <w:t>项目需求</w:t>
            </w:r>
            <w:r>
              <w:rPr>
                <w:rFonts w:hint="eastAsia" w:ascii="宋体" w:hAnsi="宋体" w:eastAsia="宋体" w:cs="宋体"/>
                <w:color w:val="auto"/>
                <w:kern w:val="0"/>
                <w:szCs w:val="21"/>
                <w:highlight w:val="none"/>
              </w:rPr>
              <w:t>中的技术性能指标要求。（由投标人承诺，承诺书格式详见第六章投标文件格式。）</w:t>
            </w:r>
          </w:p>
        </w:tc>
      </w:tr>
      <w:tr w14:paraId="537A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753" w:type="dxa"/>
            <w:vMerge w:val="continue"/>
            <w:tcBorders>
              <w:left w:val="single" w:color="auto" w:sz="4" w:space="0"/>
              <w:bottom w:val="single" w:color="auto" w:sz="4" w:space="0"/>
              <w:right w:val="single" w:color="auto" w:sz="4" w:space="0"/>
            </w:tcBorders>
            <w:vAlign w:val="center"/>
          </w:tcPr>
          <w:p w14:paraId="1AF2D37B">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3DB07979">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78936C4">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实质性要求</w:t>
            </w:r>
          </w:p>
        </w:tc>
        <w:tc>
          <w:tcPr>
            <w:tcW w:w="6362" w:type="dxa"/>
            <w:tcBorders>
              <w:top w:val="single" w:color="auto" w:sz="4" w:space="0"/>
              <w:left w:val="single" w:color="auto" w:sz="4" w:space="0"/>
              <w:bottom w:val="single" w:color="auto" w:sz="4" w:space="0"/>
              <w:right w:val="single" w:color="auto" w:sz="4" w:space="0"/>
            </w:tcBorders>
            <w:vAlign w:val="center"/>
          </w:tcPr>
          <w:p w14:paraId="33F64182">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符合第二章“投标人须知”第1.4.3项规定。</w:t>
            </w:r>
          </w:p>
          <w:p w14:paraId="52170F02">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本次投标不得有串通投标、弄虚作假等其他违反招投标相关法律、法规行为。</w:t>
            </w:r>
          </w:p>
          <w:p w14:paraId="7D5815BE">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按评标委员会要求澄清、说明或补正。</w:t>
            </w:r>
          </w:p>
        </w:tc>
      </w:tr>
      <w:tr w14:paraId="1E3D7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74BB18FB">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2.2.1</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14:paraId="2ABF8836">
            <w:pPr>
              <w:keepNext w:val="0"/>
              <w:keepLines w:val="0"/>
              <w:widowControl/>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分值构成（总分 100 分）</w:t>
            </w:r>
          </w:p>
        </w:tc>
        <w:tc>
          <w:tcPr>
            <w:tcW w:w="806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4AE7487">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07698849">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w:t>
            </w:r>
            <w:r>
              <w:rPr>
                <w:rFonts w:hint="eastAsia" w:ascii="宋体" w:hAnsi="宋体" w:cs="宋体"/>
                <w:color w:val="auto"/>
                <w:kern w:val="0"/>
                <w:szCs w:val="21"/>
                <w:highlight w:val="none"/>
                <w:u w:val="none"/>
                <w:lang w:val="en-US" w:eastAsia="zh-CN"/>
              </w:rPr>
              <w:t>1</w:t>
            </w:r>
            <w:r>
              <w:rPr>
                <w:rFonts w:hint="eastAsia" w:ascii="宋体" w:hAnsi="宋体" w:eastAsia="宋体" w:cs="宋体"/>
                <w:color w:val="auto"/>
                <w:kern w:val="0"/>
                <w:szCs w:val="21"/>
                <w:highlight w:val="none"/>
                <w:u w:val="none"/>
                <w:lang w:val="en-US" w:eastAsia="zh-CN"/>
              </w:rPr>
              <w:t>0</w:t>
            </w:r>
            <w:r>
              <w:rPr>
                <w:rFonts w:hint="eastAsia" w:ascii="宋体" w:hAnsi="宋体" w:eastAsia="宋体" w:cs="宋体"/>
                <w:color w:val="auto"/>
                <w:kern w:val="0"/>
                <w:szCs w:val="21"/>
                <w:highlight w:val="none"/>
              </w:rPr>
              <w:t>分；</w:t>
            </w:r>
          </w:p>
          <w:p w14:paraId="7DF3C5F5">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3.投标总报价</w:t>
            </w:r>
            <w:r>
              <w:rPr>
                <w:rFonts w:hint="eastAsia" w:ascii="宋体" w:hAnsi="宋体" w:cs="宋体"/>
                <w:color w:val="auto"/>
                <w:kern w:val="0"/>
                <w:szCs w:val="21"/>
                <w:highlight w:val="none"/>
                <w:u w:val="none"/>
                <w:lang w:val="en-US" w:eastAsia="zh-CN"/>
              </w:rPr>
              <w:t>70</w:t>
            </w:r>
            <w:r>
              <w:rPr>
                <w:rFonts w:hint="eastAsia" w:ascii="宋体" w:hAnsi="宋体" w:eastAsia="宋体" w:cs="宋体"/>
                <w:color w:val="auto"/>
                <w:kern w:val="0"/>
                <w:szCs w:val="21"/>
                <w:highlight w:val="none"/>
              </w:rPr>
              <w:t>分。</w:t>
            </w:r>
          </w:p>
        </w:tc>
      </w:tr>
      <w:tr w14:paraId="2F668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44D93303">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（1）</w:t>
            </w:r>
          </w:p>
        </w:tc>
        <w:tc>
          <w:tcPr>
            <w:tcW w:w="1067" w:type="dxa"/>
            <w:vMerge w:val="restart"/>
            <w:tcBorders>
              <w:top w:val="single" w:color="auto" w:sz="4" w:space="0"/>
              <w:left w:val="single" w:color="auto" w:sz="4" w:space="0"/>
              <w:right w:val="single" w:color="auto" w:sz="4" w:space="0"/>
            </w:tcBorders>
            <w:vAlign w:val="center"/>
          </w:tcPr>
          <w:p w14:paraId="3F9FECA1">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技术部分评分标准</w:t>
            </w:r>
          </w:p>
        </w:tc>
        <w:tc>
          <w:tcPr>
            <w:tcW w:w="657" w:type="dxa"/>
            <w:vMerge w:val="restart"/>
            <w:tcBorders>
              <w:top w:val="single" w:color="auto" w:sz="4" w:space="0"/>
              <w:left w:val="single" w:color="auto" w:sz="4" w:space="0"/>
              <w:right w:val="single" w:color="auto" w:sz="4" w:space="0"/>
            </w:tcBorders>
            <w:vAlign w:val="center"/>
          </w:tcPr>
          <w:p w14:paraId="08FB6218">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技</w:t>
            </w:r>
          </w:p>
          <w:p w14:paraId="0174DFBA">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术</w:t>
            </w:r>
          </w:p>
          <w:p w14:paraId="4B473BBB">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方</w:t>
            </w:r>
          </w:p>
          <w:p w14:paraId="49E8F52A">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案</w:t>
            </w:r>
          </w:p>
          <w:p w14:paraId="5077CA5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评</w:t>
            </w:r>
          </w:p>
          <w:p w14:paraId="100088EC">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审</w:t>
            </w:r>
          </w:p>
        </w:tc>
        <w:tc>
          <w:tcPr>
            <w:tcW w:w="1043" w:type="dxa"/>
            <w:tcBorders>
              <w:top w:val="single" w:color="auto" w:sz="4" w:space="0"/>
              <w:left w:val="single" w:color="auto" w:sz="4" w:space="0"/>
              <w:bottom w:val="single" w:color="auto" w:sz="4" w:space="0"/>
              <w:right w:val="single" w:color="auto" w:sz="4" w:space="0"/>
            </w:tcBorders>
            <w:vAlign w:val="center"/>
          </w:tcPr>
          <w:p w14:paraId="33C9B662">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项目整体理解（7分）</w:t>
            </w:r>
          </w:p>
        </w:tc>
        <w:tc>
          <w:tcPr>
            <w:tcW w:w="6362" w:type="dxa"/>
            <w:tcBorders>
              <w:top w:val="single" w:color="auto" w:sz="4" w:space="0"/>
              <w:left w:val="single" w:color="auto" w:sz="4" w:space="0"/>
              <w:bottom w:val="single" w:color="auto" w:sz="4" w:space="0"/>
              <w:right w:val="single" w:color="auto" w:sz="4" w:space="0"/>
            </w:tcBorders>
            <w:vAlign w:val="center"/>
          </w:tcPr>
          <w:p w14:paraId="11715CAE">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投标人需阐述项目整体理解：包括但不限于项目背景、现状分析、项目建设目标、项目需求、建设周期等内容。整体阐述应清晰透彻、内容详实、贴合实际。根据编制内容优劣给分。</w:t>
            </w:r>
          </w:p>
          <w:p w14:paraId="0E51926E">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注：</w:t>
            </w:r>
            <w:r>
              <w:rPr>
                <w:rFonts w:hint="eastAsia" w:ascii="宋体" w:hAnsi="宋体" w:eastAsia="宋体" w:cs="宋体"/>
                <w:bCs/>
                <w:color w:val="auto"/>
                <w:szCs w:val="21"/>
                <w:highlight w:val="none"/>
                <w:lang w:bidi="ar"/>
              </w:rPr>
              <w:t>方案内容合理、可行性高、完整性好，内容全面结构清晰得7~5.6分；方案内容较合理、可行性较高、完整性一般、内容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全面结构一般得5.6~4.2分；方案内容不合理、不具有可行性、完整性较差、内容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面结构模糊得4.2~0分。</w:t>
            </w:r>
          </w:p>
        </w:tc>
      </w:tr>
      <w:tr w14:paraId="739F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44A7E325">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2D5809CC">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4524298D">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6E548C9A">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系统建设方案（7分）</w:t>
            </w:r>
          </w:p>
        </w:tc>
        <w:tc>
          <w:tcPr>
            <w:tcW w:w="6362" w:type="dxa"/>
            <w:tcBorders>
              <w:top w:val="single" w:color="auto" w:sz="4" w:space="0"/>
              <w:left w:val="single" w:color="auto" w:sz="4" w:space="0"/>
              <w:bottom w:val="single" w:color="auto" w:sz="4" w:space="0"/>
              <w:right w:val="single" w:color="auto" w:sz="4" w:space="0"/>
            </w:tcBorders>
            <w:vAlign w:val="center"/>
          </w:tcPr>
          <w:p w14:paraId="0B9D8BD1">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bCs/>
                <w:color w:val="auto"/>
                <w:szCs w:val="21"/>
                <w:highlight w:val="none"/>
                <w:lang w:bidi="ar"/>
              </w:rPr>
            </w:pPr>
            <w:r>
              <w:rPr>
                <w:rFonts w:hint="eastAsia" w:ascii="宋体" w:hAnsi="宋体" w:eastAsia="宋体" w:cs="宋体"/>
                <w:bCs/>
                <w:color w:val="auto"/>
                <w:szCs w:val="21"/>
                <w:highlight w:val="none"/>
                <w:lang w:bidi="ar"/>
              </w:rPr>
              <w:t>投标人需阐述系统建设方案：包括但不限于建设原则、建设内容、系统架构、系统功能、数据采集和处理等内容。整体阐述应清晰透彻、内容详实、贴合实际。根据编制内容优劣给分。</w:t>
            </w:r>
          </w:p>
          <w:p w14:paraId="1B10619D">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color w:val="auto"/>
                <w:szCs w:val="21"/>
                <w:highlight w:val="none"/>
                <w:lang w:bidi="ar"/>
              </w:rPr>
              <w:t>注：方案内容合理、可行性高、完整性好，内容全面结构清晰得7~5.6分；方案内容较合理、可行性较高、完整性一般、内容较全面结构一般得5.6~4.2分；方案内容不合理、不具有可行性、完整性较差、内容片面结构模糊得4.2~0分。</w:t>
            </w:r>
          </w:p>
        </w:tc>
      </w:tr>
      <w:tr w14:paraId="1468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6B697CD">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5B61D9B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38A85781">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16EECC79">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项目实施方案（6分）</w:t>
            </w:r>
          </w:p>
        </w:tc>
        <w:tc>
          <w:tcPr>
            <w:tcW w:w="6362" w:type="dxa"/>
            <w:tcBorders>
              <w:top w:val="single" w:color="auto" w:sz="4" w:space="0"/>
              <w:left w:val="single" w:color="auto" w:sz="4" w:space="0"/>
              <w:bottom w:val="single" w:color="auto" w:sz="4" w:space="0"/>
              <w:right w:val="single" w:color="auto" w:sz="4" w:space="0"/>
            </w:tcBorders>
            <w:vAlign w:val="center"/>
          </w:tcPr>
          <w:p w14:paraId="4E536239">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投标人需阐述项目实施方案：包括但不限于项目建设工期、人员配置、管理制度、保障措施等内容。整体阐述应清晰透彻、内容详实、贴合实际。根据编制内容优劣给分。</w:t>
            </w:r>
          </w:p>
          <w:p w14:paraId="11818D17">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w:t>
            </w:r>
            <w:r>
              <w:rPr>
                <w:rFonts w:hint="eastAsia" w:ascii="宋体" w:hAnsi="宋体" w:eastAsia="宋体" w:cs="宋体"/>
                <w:bCs/>
                <w:color w:val="auto"/>
                <w:szCs w:val="21"/>
                <w:highlight w:val="none"/>
                <w:lang w:bidi="ar"/>
              </w:rPr>
              <w:t>方案内容合理、可行性高、完整性好，内容全面结构清晰得</w:t>
            </w:r>
            <w:r>
              <w:rPr>
                <w:rFonts w:hint="eastAsia" w:ascii="宋体" w:hAnsi="宋体" w:eastAsia="宋体" w:cs="宋体"/>
                <w:color w:val="auto"/>
                <w:kern w:val="0"/>
                <w:sz w:val="21"/>
                <w:szCs w:val="21"/>
                <w:highlight w:val="none"/>
                <w:lang w:val="en-US" w:eastAsia="zh-CN" w:bidi="ar"/>
              </w:rPr>
              <w:t>6~4.8</w:t>
            </w:r>
            <w:r>
              <w:rPr>
                <w:rFonts w:hint="eastAsia" w:ascii="宋体" w:hAnsi="宋体" w:eastAsia="宋体" w:cs="宋体"/>
                <w:bCs/>
                <w:color w:val="auto"/>
                <w:szCs w:val="21"/>
                <w:highlight w:val="none"/>
                <w:lang w:bidi="ar"/>
              </w:rPr>
              <w:t>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w:t>
            </w:r>
            <w:r>
              <w:rPr>
                <w:rFonts w:hint="eastAsia" w:ascii="宋体" w:hAnsi="宋体" w:eastAsia="宋体" w:cs="宋体"/>
                <w:color w:val="auto"/>
                <w:kern w:val="0"/>
                <w:sz w:val="21"/>
                <w:szCs w:val="21"/>
                <w:highlight w:val="none"/>
                <w:lang w:val="en-US" w:eastAsia="zh-CN" w:bidi="ar"/>
              </w:rPr>
              <w:t>4.8~3.6</w:t>
            </w:r>
            <w:r>
              <w:rPr>
                <w:rFonts w:hint="eastAsia" w:ascii="宋体" w:hAnsi="宋体" w:eastAsia="宋体" w:cs="宋体"/>
                <w:bCs/>
                <w:color w:val="auto"/>
                <w:szCs w:val="21"/>
                <w:highlight w:val="none"/>
                <w:lang w:bidi="ar"/>
              </w:rPr>
              <w:t>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w:t>
            </w:r>
            <w:r>
              <w:rPr>
                <w:rFonts w:hint="eastAsia" w:ascii="宋体" w:hAnsi="宋体" w:eastAsia="宋体" w:cs="宋体"/>
                <w:color w:val="auto"/>
                <w:kern w:val="0"/>
                <w:sz w:val="21"/>
                <w:szCs w:val="21"/>
                <w:highlight w:val="none"/>
                <w:lang w:val="en-US" w:eastAsia="zh-CN" w:bidi="ar"/>
              </w:rPr>
              <w:t>3.6~0</w:t>
            </w:r>
            <w:r>
              <w:rPr>
                <w:rFonts w:hint="eastAsia" w:ascii="宋体" w:hAnsi="宋体" w:eastAsia="宋体" w:cs="宋体"/>
                <w:bCs/>
                <w:color w:val="auto"/>
                <w:szCs w:val="21"/>
                <w:highlight w:val="none"/>
                <w:lang w:bidi="ar"/>
              </w:rPr>
              <w:t>分。</w:t>
            </w:r>
          </w:p>
        </w:tc>
      </w:tr>
      <w:tr w14:paraId="6E1E7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753" w:type="dxa"/>
            <w:vMerge w:val="restart"/>
            <w:tcBorders>
              <w:left w:val="single" w:color="auto" w:sz="4" w:space="0"/>
              <w:right w:val="single" w:color="auto" w:sz="4" w:space="0"/>
            </w:tcBorders>
            <w:vAlign w:val="center"/>
          </w:tcPr>
          <w:p w14:paraId="29CDE2E4">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（2）</w:t>
            </w:r>
          </w:p>
        </w:tc>
        <w:tc>
          <w:tcPr>
            <w:tcW w:w="1067" w:type="dxa"/>
            <w:vMerge w:val="restart"/>
            <w:tcBorders>
              <w:left w:val="single" w:color="auto" w:sz="4" w:space="0"/>
              <w:right w:val="single" w:color="auto" w:sz="4" w:space="0"/>
            </w:tcBorders>
            <w:vAlign w:val="center"/>
          </w:tcPr>
          <w:p w14:paraId="25F78800">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商务部分评分标准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BEC5742">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rPr>
              <w:t>业绩要求（</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分）</w:t>
            </w:r>
          </w:p>
        </w:tc>
        <w:tc>
          <w:tcPr>
            <w:tcW w:w="6362" w:type="dxa"/>
            <w:tcBorders>
              <w:top w:val="single" w:color="auto" w:sz="4" w:space="0"/>
              <w:left w:val="single" w:color="auto" w:sz="4" w:space="0"/>
              <w:bottom w:val="single" w:color="auto" w:sz="4" w:space="0"/>
              <w:right w:val="single" w:color="auto" w:sz="4" w:space="0"/>
            </w:tcBorders>
            <w:vAlign w:val="center"/>
          </w:tcPr>
          <w:p w14:paraId="51EEACCB">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在满足资格要求的基础上，202</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年1月1日至投标截止日（以合同签订时间为准）投标人每额外具有一个合同金额不低于</w:t>
            </w:r>
            <w:r>
              <w:rPr>
                <w:rFonts w:hint="eastAsia" w:ascii="宋体" w:hAnsi="宋体" w:cs="宋体"/>
                <w:color w:val="auto"/>
                <w:szCs w:val="21"/>
                <w:highlight w:val="none"/>
                <w:lang w:val="en-US" w:eastAsia="zh-CN"/>
              </w:rPr>
              <w:t>120万</w:t>
            </w:r>
            <w:r>
              <w:rPr>
                <w:rFonts w:hint="eastAsia" w:ascii="宋体" w:hAnsi="宋体" w:eastAsia="宋体" w:cs="宋体"/>
                <w:color w:val="auto"/>
                <w:szCs w:val="21"/>
                <w:highlight w:val="none"/>
                <w:lang w:val="en-US" w:eastAsia="zh-CN"/>
              </w:rPr>
              <w:t>元的信息化系统服务业绩或软件开发类业绩的得2分，本项满分6分。</w:t>
            </w:r>
          </w:p>
          <w:p w14:paraId="2162000D">
            <w:pPr>
              <w:keepNext w:val="0"/>
              <w:keepLines w:val="0"/>
              <w:numPr>
                <w:ilvl w:val="0"/>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highlight w:val="none"/>
                <w:lang w:eastAsia="zh-CN"/>
              </w:rPr>
            </w:pPr>
            <w:r>
              <w:rPr>
                <w:rFonts w:hint="eastAsia" w:ascii="宋体" w:hAnsi="宋体" w:eastAsia="宋体" w:cs="宋体"/>
                <w:color w:val="auto"/>
                <w:szCs w:val="21"/>
                <w:highlight w:val="none"/>
                <w:lang w:val="en-US" w:eastAsia="zh-CN"/>
              </w:rPr>
              <w:t>提供：</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tc>
      </w:tr>
      <w:tr w14:paraId="3875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46B03C4D">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3A2E16AF">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513EE12">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项目投入人员</w:t>
            </w:r>
          </w:p>
          <w:p w14:paraId="49449C3E">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分）</w:t>
            </w:r>
          </w:p>
        </w:tc>
        <w:tc>
          <w:tcPr>
            <w:tcW w:w="6362" w:type="dxa"/>
            <w:tcBorders>
              <w:top w:val="single" w:color="auto" w:sz="4" w:space="0"/>
              <w:left w:val="single" w:color="auto" w:sz="4" w:space="0"/>
              <w:bottom w:val="single" w:color="auto" w:sz="4" w:space="0"/>
              <w:right w:val="single" w:color="auto" w:sz="4" w:space="0"/>
            </w:tcBorders>
            <w:vAlign w:val="center"/>
          </w:tcPr>
          <w:p w14:paraId="673F3421">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default"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投标人拟派的项目团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w:t>
            </w:r>
            <w:r>
              <w:rPr>
                <w:rFonts w:hint="eastAsia" w:ascii="宋体" w:hAnsi="宋体" w:cs="宋体"/>
                <w:b w:val="0"/>
                <w:bCs w:val="0"/>
                <w:color w:val="auto"/>
                <w:szCs w:val="21"/>
                <w:highlight w:val="none"/>
                <w:shd w:val="clear"/>
                <w:lang w:eastAsia="zh-CN"/>
              </w:rPr>
              <w:t>（</w:t>
            </w:r>
            <w:r>
              <w:rPr>
                <w:rFonts w:hint="eastAsia" w:ascii="宋体" w:hAnsi="宋体" w:cs="宋体"/>
                <w:b w:val="0"/>
                <w:bCs w:val="0"/>
                <w:color w:val="auto"/>
                <w:szCs w:val="21"/>
                <w:highlight w:val="none"/>
                <w:shd w:val="clear"/>
                <w:lang w:val="en-US" w:eastAsia="zh-CN"/>
              </w:rPr>
              <w:t>不包括项目经理</w:t>
            </w:r>
            <w:r>
              <w:rPr>
                <w:rFonts w:hint="eastAsia" w:ascii="宋体" w:hAnsi="宋体" w:cs="宋体"/>
                <w:b w:val="0"/>
                <w:bCs w:val="0"/>
                <w:color w:val="auto"/>
                <w:szCs w:val="21"/>
                <w:highlight w:val="none"/>
                <w:shd w:val="clear"/>
                <w:lang w:eastAsia="zh-CN"/>
              </w:rPr>
              <w:t>）</w:t>
            </w:r>
            <w:r>
              <w:rPr>
                <w:rFonts w:hint="eastAsia" w:ascii="宋体" w:hAnsi="宋体" w:eastAsia="宋体" w:cs="宋体"/>
                <w:b w:val="0"/>
                <w:bCs w:val="0"/>
                <w:color w:val="auto"/>
                <w:szCs w:val="21"/>
                <w:highlight w:val="none"/>
                <w:lang w:eastAsia="zh-CN"/>
              </w:rPr>
              <w:t>中具有政府主管部门颁发的高级工程师职称证书或具备人力资源和社会保障部、工业和信息化部颁发的有效的计算机技术与软件专业技术资格（高级）的得1分，本项满分</w:t>
            </w:r>
            <w:r>
              <w:rPr>
                <w:rFonts w:hint="eastAsia" w:ascii="宋体" w:hAnsi="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分。</w:t>
            </w:r>
          </w:p>
          <w:p w14:paraId="3B6819CC">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bCs/>
                <w:color w:val="auto"/>
                <w:szCs w:val="21"/>
                <w:highlight w:val="none"/>
                <w:lang w:eastAsia="zh-CN"/>
              </w:rPr>
            </w:pPr>
            <w:r>
              <w:rPr>
                <w:rFonts w:hint="eastAsia" w:ascii="宋体" w:hAnsi="宋体" w:eastAsia="宋体" w:cs="宋体"/>
                <w:b w:val="0"/>
                <w:bCs w:val="0"/>
                <w:color w:val="auto"/>
                <w:szCs w:val="21"/>
                <w:highlight w:val="none"/>
                <w:lang w:eastAsia="zh-CN"/>
              </w:rPr>
              <w:t>提供：证书复印件并加盖投标单位法人章。</w:t>
            </w:r>
          </w:p>
        </w:tc>
      </w:tr>
      <w:tr w14:paraId="3FE1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66C80700">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tcBorders>
              <w:left w:val="single" w:color="auto" w:sz="4" w:space="0"/>
              <w:right w:val="single" w:color="auto" w:sz="4" w:space="0"/>
            </w:tcBorders>
            <w:vAlign w:val="center"/>
          </w:tcPr>
          <w:p w14:paraId="4916A011">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2ED4876">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财务要求（</w:t>
            </w:r>
            <w:r>
              <w:rPr>
                <w:rFonts w:hint="eastAsia" w:ascii="宋体" w:hAnsi="宋体" w:cs="宋体"/>
                <w:color w:val="auto"/>
                <w:kern w:val="0"/>
                <w:szCs w:val="21"/>
                <w:highlight w:val="none"/>
                <w:lang w:val="en-US" w:eastAsia="zh-CN"/>
              </w:rPr>
              <w:t>1</w:t>
            </w:r>
            <w:r>
              <w:rPr>
                <w:rFonts w:hint="eastAsia" w:ascii="宋体" w:hAnsi="宋体" w:eastAsia="宋体" w:cs="宋体"/>
                <w:color w:val="auto"/>
                <w:kern w:val="0"/>
                <w:szCs w:val="21"/>
                <w:highlight w:val="none"/>
                <w:lang w:val="en-US" w:eastAsia="zh-CN"/>
              </w:rPr>
              <w:t>分）</w:t>
            </w:r>
          </w:p>
        </w:tc>
        <w:tc>
          <w:tcPr>
            <w:tcW w:w="6362" w:type="dxa"/>
            <w:tcBorders>
              <w:top w:val="single" w:color="auto" w:sz="4" w:space="0"/>
              <w:left w:val="single" w:color="auto" w:sz="4" w:space="0"/>
              <w:bottom w:val="single" w:color="auto" w:sz="4" w:space="0"/>
              <w:right w:val="single" w:color="auto" w:sz="4" w:space="0"/>
            </w:tcBorders>
            <w:vAlign w:val="center"/>
          </w:tcPr>
          <w:p w14:paraId="046D0A47">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投标人202</w:t>
            </w:r>
            <w:r>
              <w:rPr>
                <w:rFonts w:hint="eastAsia" w:ascii="宋体" w:hAnsi="宋体" w:eastAsia="宋体" w:cs="宋体"/>
                <w:color w:val="auto"/>
                <w:szCs w:val="21"/>
                <w:highlight w:val="none"/>
                <w:lang w:val="en-US" w:eastAsia="zh-CN"/>
              </w:rPr>
              <w:t>2年</w:t>
            </w:r>
            <w:r>
              <w:rPr>
                <w:rFonts w:hint="eastAsia" w:ascii="宋体" w:hAnsi="宋体" w:eastAsia="宋体" w:cs="宋体"/>
                <w:color w:val="auto"/>
                <w:szCs w:val="21"/>
                <w:highlight w:val="none"/>
                <w:lang w:eastAsia="zh-CN"/>
              </w:rPr>
              <w:t>、202</w:t>
            </w:r>
            <w:r>
              <w:rPr>
                <w:rFonts w:hint="eastAsia" w:ascii="宋体" w:hAnsi="宋体" w:eastAsia="宋体" w:cs="宋体"/>
                <w:color w:val="auto"/>
                <w:szCs w:val="21"/>
                <w:highlight w:val="none"/>
                <w:lang w:val="en-US" w:eastAsia="zh-CN"/>
              </w:rPr>
              <w:t>3年</w:t>
            </w:r>
            <w:r>
              <w:rPr>
                <w:rFonts w:hint="eastAsia" w:ascii="宋体" w:hAnsi="宋体" w:eastAsia="宋体" w:cs="宋体"/>
                <w:color w:val="auto"/>
                <w:szCs w:val="21"/>
                <w:highlight w:val="none"/>
                <w:lang w:eastAsia="zh-CN"/>
              </w:rPr>
              <w:t>以及202</w:t>
            </w:r>
            <w:r>
              <w:rPr>
                <w:rFonts w:hint="eastAsia" w:ascii="宋体" w:hAnsi="宋体" w:eastAsia="宋体" w:cs="宋体"/>
                <w:color w:val="auto"/>
                <w:szCs w:val="21"/>
                <w:highlight w:val="none"/>
                <w:lang w:val="en-US" w:eastAsia="zh-CN"/>
              </w:rPr>
              <w:t>4年</w:t>
            </w:r>
            <w:r>
              <w:rPr>
                <w:rFonts w:hint="eastAsia" w:ascii="宋体" w:hAnsi="宋体" w:eastAsia="宋体" w:cs="宋体"/>
                <w:color w:val="auto"/>
                <w:szCs w:val="21"/>
                <w:highlight w:val="none"/>
                <w:lang w:eastAsia="zh-CN"/>
              </w:rPr>
              <w:t>经营状况良好，3年的</w:t>
            </w:r>
            <w:r>
              <w:rPr>
                <w:rFonts w:hint="eastAsia" w:ascii="宋体" w:hAnsi="宋体"/>
                <w:kern w:val="0"/>
                <w:szCs w:val="21"/>
                <w:highlight w:val="none"/>
              </w:rPr>
              <w:t>年度财务状况</w:t>
            </w:r>
            <w:r>
              <w:rPr>
                <w:rFonts w:hint="eastAsia" w:ascii="宋体" w:hAnsi="宋体" w:eastAsia="宋体" w:cs="宋体"/>
                <w:color w:val="auto"/>
                <w:szCs w:val="21"/>
                <w:highlight w:val="none"/>
                <w:lang w:eastAsia="zh-CN"/>
              </w:rPr>
              <w:t>均不亏损得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eastAsia="zh-CN"/>
              </w:rPr>
              <w:t>分，其余情况不得分。</w:t>
            </w:r>
          </w:p>
          <w:p w14:paraId="0E255378">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提供：第三方审计机构出具的审计报告复印件并加盖投标单位法人章。</w:t>
            </w:r>
          </w:p>
        </w:tc>
      </w:tr>
      <w:tr w14:paraId="2F094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restart"/>
            <w:tcBorders>
              <w:left w:val="single" w:color="auto" w:sz="4" w:space="0"/>
              <w:right w:val="single" w:color="auto" w:sz="4" w:space="0"/>
            </w:tcBorders>
            <w:vAlign w:val="center"/>
          </w:tcPr>
          <w:p w14:paraId="7B30B209">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2"/>
                <w:sz w:val="21"/>
                <w:szCs w:val="21"/>
                <w:highlight w:val="none"/>
                <w:lang w:val="en-US" w:eastAsia="zh-CN" w:bidi="ar"/>
              </w:rPr>
              <w:t>（3）</w:t>
            </w:r>
          </w:p>
        </w:tc>
        <w:tc>
          <w:tcPr>
            <w:tcW w:w="1067" w:type="dxa"/>
            <w:vMerge w:val="restart"/>
            <w:tcBorders>
              <w:left w:val="single" w:color="auto" w:sz="4" w:space="0"/>
              <w:right w:val="single" w:color="auto" w:sz="4" w:space="0"/>
            </w:tcBorders>
            <w:vAlign w:val="center"/>
          </w:tcPr>
          <w:p w14:paraId="3F782470">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投标函部分及经济部分评审标准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A85BB4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投标函部分的签名盖章</w:t>
            </w:r>
          </w:p>
        </w:tc>
        <w:tc>
          <w:tcPr>
            <w:tcW w:w="6362" w:type="dxa"/>
            <w:tcBorders>
              <w:top w:val="single" w:color="auto" w:sz="4" w:space="0"/>
              <w:left w:val="single" w:color="auto" w:sz="4" w:space="0"/>
              <w:bottom w:val="single" w:color="auto" w:sz="4" w:space="0"/>
              <w:right w:val="single" w:color="auto" w:sz="4" w:space="0"/>
            </w:tcBorders>
            <w:vAlign w:val="center"/>
          </w:tcPr>
          <w:p w14:paraId="4227FE5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投标函部分的格式要求法定代表人或其委托代理人签名（或盖章）的须齐全。</w:t>
            </w:r>
          </w:p>
          <w:p w14:paraId="4F2A389E">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w:t>
            </w:r>
            <w:r>
              <w:rPr>
                <w:rFonts w:hint="eastAsia" w:ascii="宋体" w:hAnsi="宋体" w:eastAsia="宋体" w:cs="宋体"/>
                <w:szCs w:val="21"/>
                <w:highlight w:val="none"/>
                <w:lang w:val="en-US" w:eastAsia="zh-CN"/>
              </w:rPr>
              <w:t>函部分的格式中</w:t>
            </w:r>
            <w:r>
              <w:rPr>
                <w:rFonts w:hint="eastAsia" w:ascii="宋体" w:hAnsi="宋体" w:eastAsia="宋体" w:cs="宋体"/>
                <w:szCs w:val="21"/>
                <w:highlight w:val="none"/>
              </w:rPr>
              <w:t>要求</w:t>
            </w:r>
            <w:r>
              <w:rPr>
                <w:rFonts w:hint="eastAsia" w:ascii="宋体" w:hAnsi="宋体" w:eastAsia="宋体" w:cs="宋体"/>
                <w:szCs w:val="21"/>
                <w:highlight w:val="none"/>
                <w:lang w:val="en-US" w:eastAsia="zh-CN"/>
              </w:rPr>
              <w:t>投标人加盖单位法人章的，应加盖其单位法人章。</w:t>
            </w:r>
          </w:p>
        </w:tc>
      </w:tr>
      <w:tr w14:paraId="3C842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48B88EC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2C18F67D">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340AF954">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lang w:eastAsia="zh-CN"/>
              </w:rPr>
              <w:t>服务期</w:t>
            </w:r>
          </w:p>
        </w:tc>
        <w:tc>
          <w:tcPr>
            <w:tcW w:w="6362" w:type="dxa"/>
            <w:vAlign w:val="center"/>
          </w:tcPr>
          <w:p w14:paraId="3A7C2B92">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符合第二章“投标人须知”第1.3.2项规定</w:t>
            </w:r>
          </w:p>
        </w:tc>
      </w:tr>
      <w:tr w14:paraId="1C4D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36AB652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245B9B41">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367EC9AC">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rPr>
              <w:t>质量</w:t>
            </w:r>
            <w:r>
              <w:rPr>
                <w:rFonts w:hint="eastAsia" w:ascii="宋体" w:hAnsi="宋体" w:eastAsia="宋体" w:cs="宋体"/>
                <w:color w:val="auto"/>
                <w:kern w:val="0"/>
                <w:szCs w:val="21"/>
                <w:highlight w:val="none"/>
                <w:lang w:eastAsia="zh-CN"/>
              </w:rPr>
              <w:t>标准</w:t>
            </w:r>
          </w:p>
        </w:tc>
        <w:tc>
          <w:tcPr>
            <w:tcW w:w="6362" w:type="dxa"/>
            <w:vAlign w:val="center"/>
          </w:tcPr>
          <w:p w14:paraId="24CFF44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符合第二章“投标人须知”第1.3.3项规定</w:t>
            </w:r>
          </w:p>
        </w:tc>
      </w:tr>
      <w:tr w14:paraId="742C9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0DE507B4">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4076A5F4">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54477A6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投标有效期</w:t>
            </w:r>
          </w:p>
        </w:tc>
        <w:tc>
          <w:tcPr>
            <w:tcW w:w="6362" w:type="dxa"/>
            <w:vAlign w:val="center"/>
          </w:tcPr>
          <w:p w14:paraId="6B39529F">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符合第二章“投标人须知”第3.3.1项规定</w:t>
            </w:r>
          </w:p>
        </w:tc>
      </w:tr>
      <w:tr w14:paraId="2A1EF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0C77BEC4">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2DA288A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413CA9BC">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w:t>
            </w:r>
          </w:p>
        </w:tc>
        <w:tc>
          <w:tcPr>
            <w:tcW w:w="6362" w:type="dxa"/>
            <w:tcBorders>
              <w:top w:val="single" w:color="auto" w:sz="4" w:space="0"/>
              <w:left w:val="single" w:color="auto" w:sz="4" w:space="0"/>
              <w:bottom w:val="single" w:color="auto" w:sz="4" w:space="0"/>
              <w:right w:val="single" w:color="auto" w:sz="4" w:space="0"/>
            </w:tcBorders>
            <w:vAlign w:val="center"/>
          </w:tcPr>
          <w:p w14:paraId="18E86E07">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 投标人须知前附表3.2条规定。</w:t>
            </w:r>
          </w:p>
          <w:p w14:paraId="7B1D1BF5">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投标报价</w:t>
            </w:r>
            <w:r>
              <w:rPr>
                <w:rFonts w:hint="eastAsia" w:ascii="宋体" w:hAnsi="宋体" w:eastAsia="宋体" w:cs="宋体"/>
                <w:color w:val="auto"/>
                <w:szCs w:val="21"/>
                <w:highlight w:val="none"/>
              </w:rPr>
              <w:t>不得高于招标人公布的投标总报价最高限价。</w:t>
            </w:r>
          </w:p>
        </w:tc>
      </w:tr>
      <w:tr w14:paraId="1E6B8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2575F4F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15A0E223">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10C2CE79">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报价唯一</w:t>
            </w:r>
          </w:p>
        </w:tc>
        <w:tc>
          <w:tcPr>
            <w:tcW w:w="6362" w:type="dxa"/>
            <w:vAlign w:val="center"/>
          </w:tcPr>
          <w:p w14:paraId="47678FCF">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只能有一个有效报价，在招标文件没有规定的情况下，不得提交选择性报价。</w:t>
            </w:r>
          </w:p>
        </w:tc>
      </w:tr>
      <w:tr w14:paraId="7A4E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3B1AFC78">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2B19298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F3B8E9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投标报价算术错误修正</w:t>
            </w:r>
          </w:p>
        </w:tc>
        <w:tc>
          <w:tcPr>
            <w:tcW w:w="6362" w:type="dxa"/>
            <w:tcBorders>
              <w:top w:val="single" w:color="auto" w:sz="4" w:space="0"/>
              <w:left w:val="single" w:color="auto" w:sz="4" w:space="0"/>
              <w:bottom w:val="single" w:color="auto" w:sz="4" w:space="0"/>
              <w:right w:val="single" w:color="auto" w:sz="4" w:space="0"/>
            </w:tcBorders>
            <w:vAlign w:val="center"/>
          </w:tcPr>
          <w:p w14:paraId="4A97CBC3">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符合第三章3.评标程序第3.1.3项规定。</w:t>
            </w:r>
          </w:p>
        </w:tc>
      </w:tr>
      <w:tr w14:paraId="5C25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744F7040">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3</w:t>
            </w:r>
          </w:p>
        </w:tc>
        <w:tc>
          <w:tcPr>
            <w:tcW w:w="1067" w:type="dxa"/>
            <w:tcBorders>
              <w:left w:val="single" w:color="auto" w:sz="4" w:space="0"/>
              <w:right w:val="single" w:color="auto" w:sz="4" w:space="0"/>
            </w:tcBorders>
            <w:shd w:val="clear" w:color="auto" w:fill="auto"/>
            <w:vAlign w:val="center"/>
          </w:tcPr>
          <w:p w14:paraId="3628D0CA">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评标基准价计算方法</w:t>
            </w:r>
          </w:p>
        </w:tc>
        <w:tc>
          <w:tcPr>
            <w:tcW w:w="8062" w:type="dxa"/>
            <w:gridSpan w:val="3"/>
            <w:tcBorders>
              <w:left w:val="single" w:color="auto" w:sz="4" w:space="0"/>
              <w:right w:val="single" w:color="auto" w:sz="4" w:space="0"/>
            </w:tcBorders>
            <w:shd w:val="clear" w:color="auto" w:fill="auto"/>
            <w:vAlign w:val="center"/>
          </w:tcPr>
          <w:p w14:paraId="0F48D92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所有通过初步评审和本章第</w:t>
            </w:r>
            <w:r>
              <w:rPr>
                <w:rFonts w:hint="eastAsia" w:ascii="宋体" w:hAnsi="宋体" w:eastAsia="宋体" w:cs="宋体"/>
                <w:color w:val="auto"/>
                <w:szCs w:val="21"/>
                <w:highlight w:val="none"/>
                <w:lang w:val="en-US" w:eastAsia="zh-CN"/>
              </w:rPr>
              <w:t>2.2.2</w:t>
            </w:r>
            <w:r>
              <w:rPr>
                <w:rFonts w:hint="eastAsia" w:ascii="宋体" w:hAnsi="宋体" w:eastAsia="宋体" w:cs="宋体"/>
                <w:color w:val="auto"/>
                <w:kern w:val="0"/>
                <w:szCs w:val="21"/>
                <w:highlight w:val="none"/>
              </w:rPr>
              <w:t>（3）目评审合格的</w:t>
            </w:r>
            <w:r>
              <w:rPr>
                <w:rFonts w:hint="eastAsia" w:ascii="宋体" w:hAnsi="宋体" w:eastAsia="宋体" w:cs="宋体"/>
                <w:color w:val="auto"/>
                <w:szCs w:val="21"/>
                <w:highlight w:val="none"/>
              </w:rPr>
              <w:t>投标总报</w:t>
            </w:r>
            <w:r>
              <w:rPr>
                <w:rFonts w:hint="eastAsia" w:ascii="宋体" w:hAnsi="宋体" w:eastAsia="宋体" w:cs="宋体"/>
                <w:color w:val="auto"/>
                <w:kern w:val="0"/>
                <w:szCs w:val="21"/>
                <w:highlight w:val="none"/>
              </w:rPr>
              <w:t>价中去掉六分之一（不能整除的按小数点前整数取整，不足六家报价则不去掉）的最低价和相同家数的最高价后的算术平均值，即为本项目的投标总报价的评标基准价。评标基准价计算的最终结果取小数点后两位，第三位四舍五入。</w:t>
            </w:r>
          </w:p>
          <w:p w14:paraId="1E56DDD3">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在评标基准价计算完成后（除计算错误外），在后续的评审中不得再对其做出调整。</w:t>
            </w:r>
          </w:p>
        </w:tc>
      </w:tr>
      <w:tr w14:paraId="57EB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78BC28C5">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4</w:t>
            </w:r>
          </w:p>
          <w:p w14:paraId="0F719F9A">
            <w:pPr>
              <w:pStyle w:val="2"/>
              <w:keepNext w:val="0"/>
              <w:keepLines w:val="0"/>
              <w:suppressLineNumbers w:val="0"/>
              <w:spacing w:before="0" w:beforeAutospacing="0" w:afterAutospacing="0"/>
              <w:ind w:left="0" w:leftChars="0" w:right="0" w:rightChars="0"/>
              <w:rPr>
                <w:rFonts w:hint="eastAsia" w:ascii="宋体" w:hAnsi="宋体" w:eastAsia="宋体" w:cs="宋体"/>
                <w:kern w:val="2"/>
                <w:sz w:val="21"/>
                <w:szCs w:val="21"/>
                <w:highlight w:val="none"/>
                <w:lang w:val="en-US" w:eastAsia="zh-CN" w:bidi="ar-SA"/>
              </w:rPr>
            </w:pPr>
          </w:p>
        </w:tc>
        <w:tc>
          <w:tcPr>
            <w:tcW w:w="1067" w:type="dxa"/>
            <w:tcBorders>
              <w:left w:val="single" w:color="auto" w:sz="4" w:space="0"/>
              <w:right w:val="single" w:color="auto" w:sz="4" w:space="0"/>
            </w:tcBorders>
            <w:shd w:val="clear" w:color="auto" w:fill="auto"/>
            <w:vAlign w:val="center"/>
          </w:tcPr>
          <w:p w14:paraId="20DF6F17">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偏差率计算</w:t>
            </w:r>
          </w:p>
        </w:tc>
        <w:tc>
          <w:tcPr>
            <w:tcW w:w="8062" w:type="dxa"/>
            <w:gridSpan w:val="3"/>
            <w:tcBorders>
              <w:left w:val="single" w:color="auto" w:sz="4" w:space="0"/>
              <w:right w:val="single" w:color="auto" w:sz="4" w:space="0"/>
            </w:tcBorders>
            <w:shd w:val="clear" w:color="auto" w:fill="auto"/>
            <w:vAlign w:val="center"/>
          </w:tcPr>
          <w:p w14:paraId="371D9A6A">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投标总报价的偏差率计算公式</w:t>
            </w:r>
          </w:p>
          <w:p w14:paraId="1DD4FA4D">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偏差率=100％×（投标人报价一评标基准价）／评标基准价</w:t>
            </w:r>
          </w:p>
          <w:p w14:paraId="70497A44">
            <w:pPr>
              <w:keepNext w:val="0"/>
              <w:keepLines w:val="0"/>
              <w:suppressLineNumbers w:val="0"/>
              <w:adjustRightInd w:val="0"/>
              <w:snapToGrid w:val="0"/>
              <w:spacing w:before="0" w:beforeAutospacing="0" w:after="0" w:afterAutospacing="0" w:line="400" w:lineRule="exact"/>
              <w:ind w:left="0" w:leftChars="0" w:right="0" w:rightChars="0" w:firstLine="20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 xml:space="preserve">  偏差率计算的最终结果取小数点后两位，小数点后第三位“四舍五入”。</w:t>
            </w:r>
          </w:p>
        </w:tc>
      </w:tr>
      <w:tr w14:paraId="1B1A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0F09D06A">
            <w:pPr>
              <w:keepNext w:val="0"/>
              <w:keepLines w:val="0"/>
              <w:suppressLineNumbers w:val="0"/>
              <w:adjustRightInd w:val="0"/>
              <w:snapToGrid w:val="0"/>
              <w:spacing w:before="0" w:beforeLines="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3</w:t>
            </w:r>
          </w:p>
        </w:tc>
        <w:tc>
          <w:tcPr>
            <w:tcW w:w="1067" w:type="dxa"/>
            <w:tcBorders>
              <w:left w:val="single" w:color="auto" w:sz="4" w:space="0"/>
              <w:right w:val="single" w:color="auto" w:sz="4" w:space="0"/>
            </w:tcBorders>
            <w:shd w:val="clear" w:color="auto" w:fill="auto"/>
            <w:vAlign w:val="center"/>
          </w:tcPr>
          <w:p w14:paraId="599E5DED">
            <w:pPr>
              <w:keepNext w:val="0"/>
              <w:keepLines w:val="0"/>
              <w:suppressLineNumbers w:val="0"/>
              <w:adjustRightInd w:val="0"/>
              <w:snapToGrid w:val="0"/>
              <w:spacing w:before="0" w:beforeLines="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评标程序</w:t>
            </w:r>
          </w:p>
        </w:tc>
        <w:tc>
          <w:tcPr>
            <w:tcW w:w="8062" w:type="dxa"/>
            <w:gridSpan w:val="3"/>
            <w:tcBorders>
              <w:left w:val="single" w:color="auto" w:sz="4" w:space="0"/>
              <w:right w:val="single" w:color="auto" w:sz="4" w:space="0"/>
            </w:tcBorders>
            <w:shd w:val="clear" w:color="auto" w:fill="auto"/>
            <w:vAlign w:val="top"/>
          </w:tcPr>
          <w:p w14:paraId="0A630BC9">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1.按本章评标办法第3.1款进行初步评审，未通过初步评审或评标委员会认定为无效的投标文件的不再进行后续评审。</w:t>
            </w:r>
          </w:p>
          <w:p w14:paraId="13FA1CC5">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2.按本章评标办法前附表第2.2.2（1）目及第3.2.1（1）目的规定对技术部分进行评审。</w:t>
            </w:r>
          </w:p>
          <w:p w14:paraId="31712505">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3.按本章评标办法前附表第2.2.2（2）目及第3.2.1（2）目的规定对商务部分进行评审。</w:t>
            </w:r>
          </w:p>
          <w:p w14:paraId="3CDD01DA">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4.按本章评标办法前附表第2.2.2（3）目的规定对投标函部分及经济部分部分进行评审，经评审不合格的投标文件不再参与后续评审。</w:t>
            </w:r>
          </w:p>
          <w:p w14:paraId="52137391">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.本次招标为第二次招标，如果投标人仍然少于三个，按照招标投标法律法规规定的程序开标和评标，确定中标人。经评审无合格投标人，则招标失败。</w:t>
            </w:r>
          </w:p>
          <w:p w14:paraId="150D371F">
            <w:pPr>
              <w:keepNext w:val="0"/>
              <w:keepLines w:val="0"/>
              <w:suppressLineNumbers w:val="0"/>
              <w:adjustRightInd w:val="0"/>
              <w:snapToGrid w:val="0"/>
              <w:spacing w:before="0" w:beforeLines="0" w:beforeAutospacing="0" w:after="0" w:afterAutospacing="0" w:line="400" w:lineRule="exact"/>
              <w:ind w:left="0" w:right="0" w:firstLine="420" w:firstLineChars="200"/>
              <w:jc w:val="left"/>
              <w:rPr>
                <w:rFonts w:hint="default" w:ascii="宋体" w:hAnsi="宋体" w:eastAsia="宋体" w:cs="宋体"/>
                <w:color w:val="auto"/>
                <w:szCs w:val="21"/>
                <w:highlight w:val="none"/>
              </w:rPr>
            </w:pPr>
            <w:r>
              <w:rPr>
                <w:rFonts w:hint="eastAsia" w:ascii="宋体" w:hAnsi="宋体" w:eastAsia="宋体" w:cs="宋体"/>
                <w:color w:val="auto"/>
                <w:szCs w:val="21"/>
                <w:highlight w:val="none"/>
              </w:rPr>
              <w:t>6.经评审合格的投标人按照本章第2.2.3项计算方法计算评标基准价，并按本附表第3.2.1（3）目规定的评分方法对投标总报价进行评分。</w:t>
            </w:r>
          </w:p>
          <w:p w14:paraId="5A7E5E3A">
            <w:pPr>
              <w:keepNext w:val="0"/>
              <w:keepLines w:val="0"/>
              <w:suppressLineNumbers w:val="0"/>
              <w:adjustRightInd w:val="0"/>
              <w:snapToGrid w:val="0"/>
              <w:spacing w:before="0" w:beforeLines="0" w:beforeAutospacing="0" w:after="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7.对技术部分、商务部分、投标总报价得分进行汇总，确定得分由高至低前二名投标人为中标候选人，若有效投标人少于2个的则按实际数量推荐。</w:t>
            </w:r>
          </w:p>
        </w:tc>
      </w:tr>
      <w:tr w14:paraId="3F03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restart"/>
            <w:tcBorders>
              <w:left w:val="single" w:color="auto" w:sz="4" w:space="0"/>
              <w:right w:val="single" w:color="auto" w:sz="4" w:space="0"/>
            </w:tcBorders>
            <w:shd w:val="clear" w:color="auto" w:fill="auto"/>
            <w:vAlign w:val="center"/>
          </w:tcPr>
          <w:p w14:paraId="72C65CBA">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w:t>
            </w:r>
          </w:p>
          <w:p w14:paraId="55F6CE53">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（1）</w:t>
            </w:r>
          </w:p>
        </w:tc>
        <w:tc>
          <w:tcPr>
            <w:tcW w:w="1067" w:type="dxa"/>
            <w:vMerge w:val="restart"/>
            <w:tcBorders>
              <w:left w:val="single" w:color="auto" w:sz="4" w:space="0"/>
              <w:right w:val="single" w:color="auto" w:sz="4" w:space="0"/>
            </w:tcBorders>
            <w:shd w:val="clear" w:color="auto" w:fill="auto"/>
            <w:vAlign w:val="center"/>
          </w:tcPr>
          <w:p w14:paraId="794277E1">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技术部分</w:t>
            </w:r>
            <w:r>
              <w:rPr>
                <w:rFonts w:hint="eastAsia" w:ascii="宋体" w:hAnsi="宋体" w:eastAsia="宋体" w:cs="宋体"/>
                <w:color w:val="auto"/>
                <w:kern w:val="0"/>
                <w:szCs w:val="21"/>
                <w:highlight w:val="none"/>
              </w:rPr>
              <w:t>得分</w:t>
            </w:r>
            <w:r>
              <w:rPr>
                <w:rFonts w:hint="eastAsia" w:ascii="宋体" w:hAnsi="宋体" w:eastAsia="宋体" w:cs="宋体"/>
                <w:color w:val="auto"/>
                <w:spacing w:val="-4"/>
                <w:szCs w:val="21"/>
                <w:highlight w:val="none"/>
              </w:rPr>
              <w:t>（A）</w:t>
            </w:r>
          </w:p>
        </w:tc>
        <w:tc>
          <w:tcPr>
            <w:tcW w:w="1700" w:type="dxa"/>
            <w:gridSpan w:val="2"/>
            <w:tcBorders>
              <w:left w:val="single" w:color="auto" w:sz="4" w:space="0"/>
              <w:right w:val="single" w:color="auto" w:sz="4" w:space="0"/>
            </w:tcBorders>
            <w:shd w:val="clear" w:color="auto" w:fill="auto"/>
            <w:vAlign w:val="center"/>
          </w:tcPr>
          <w:p w14:paraId="2639059F">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项目整体理解（7分）</w:t>
            </w:r>
          </w:p>
        </w:tc>
        <w:tc>
          <w:tcPr>
            <w:tcW w:w="6362" w:type="dxa"/>
            <w:vMerge w:val="restart"/>
            <w:tcBorders>
              <w:left w:val="single" w:color="auto" w:sz="4" w:space="0"/>
              <w:right w:val="single" w:color="auto" w:sz="4" w:space="0"/>
            </w:tcBorders>
            <w:shd w:val="clear" w:color="auto" w:fill="auto"/>
            <w:vAlign w:val="center"/>
          </w:tcPr>
          <w:p w14:paraId="1268E971">
            <w:pPr>
              <w:keepNext w:val="0"/>
              <w:keepLines w:val="0"/>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评标委员会按第2.2.2（1）目各评审因素设定的分值评分。</w:t>
            </w:r>
          </w:p>
          <w:p w14:paraId="64EBFF50">
            <w:pPr>
              <w:keepNext w:val="0"/>
              <w:keepLines w:val="0"/>
              <w:suppressLineNumbers w:val="0"/>
              <w:spacing w:before="0" w:beforeLines="0" w:beforeAutospacing="0" w:after="0" w:afterLines="0" w:afterAutospacing="0" w:line="400" w:lineRule="exact"/>
              <w:ind w:left="0" w:right="0" w:firstLine="420" w:firstLineChars="200"/>
              <w:rPr>
                <w:rFonts w:hint="eastAsia"/>
                <w:highlight w:val="none"/>
              </w:rPr>
            </w:pPr>
            <w:r>
              <w:rPr>
                <w:rFonts w:hint="eastAsia" w:ascii="宋体" w:hAnsi="宋体" w:eastAsia="宋体" w:cs="宋体"/>
                <w:color w:val="auto"/>
                <w:szCs w:val="21"/>
                <w:highlight w:val="none"/>
              </w:rPr>
              <w:t>技术部分缺项的该项得0分。</w:t>
            </w:r>
          </w:p>
          <w:p w14:paraId="6A8DF18A">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评标委员会成员为5人及以上时，所有评委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中去掉一个最高和一个最低分，余下评委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取算术平均值为该投标人技术方案得分。</w:t>
            </w:r>
          </w:p>
          <w:p w14:paraId="1D5AF4C9">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技术方案得分的最终结果取小数点后两位，第三位四舍五入。</w:t>
            </w:r>
          </w:p>
        </w:tc>
      </w:tr>
      <w:tr w14:paraId="1DE1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7DA2466D">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1033C81F">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1457C4CC">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系统建设方案（7分）</w:t>
            </w:r>
          </w:p>
        </w:tc>
        <w:tc>
          <w:tcPr>
            <w:tcW w:w="6362" w:type="dxa"/>
            <w:vMerge w:val="continue"/>
            <w:tcBorders>
              <w:left w:val="single" w:color="auto" w:sz="4" w:space="0"/>
              <w:right w:val="single" w:color="auto" w:sz="4" w:space="0"/>
            </w:tcBorders>
            <w:shd w:val="clear" w:color="auto" w:fill="auto"/>
            <w:vAlign w:val="center"/>
          </w:tcPr>
          <w:p w14:paraId="7B4C5E97">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3022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2FCDB7EA">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724F16F0">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04298260">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项目实施方案（6分）</w:t>
            </w:r>
          </w:p>
        </w:tc>
        <w:tc>
          <w:tcPr>
            <w:tcW w:w="6362" w:type="dxa"/>
            <w:vMerge w:val="continue"/>
            <w:tcBorders>
              <w:left w:val="single" w:color="auto" w:sz="4" w:space="0"/>
              <w:right w:val="single" w:color="auto" w:sz="4" w:space="0"/>
            </w:tcBorders>
            <w:shd w:val="clear" w:color="auto" w:fill="auto"/>
            <w:vAlign w:val="center"/>
          </w:tcPr>
          <w:p w14:paraId="47C0B687">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4041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753" w:type="dxa"/>
            <w:tcBorders>
              <w:left w:val="single" w:color="auto" w:sz="4" w:space="0"/>
              <w:right w:val="single" w:color="auto" w:sz="4" w:space="0"/>
            </w:tcBorders>
            <w:shd w:val="clear" w:color="auto" w:fill="auto"/>
            <w:vAlign w:val="center"/>
          </w:tcPr>
          <w:p w14:paraId="61FA3C6B">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3.2.1（2）</w:t>
            </w:r>
          </w:p>
        </w:tc>
        <w:tc>
          <w:tcPr>
            <w:tcW w:w="1067" w:type="dxa"/>
            <w:tcBorders>
              <w:left w:val="single" w:color="auto" w:sz="4" w:space="0"/>
              <w:right w:val="single" w:color="auto" w:sz="4" w:space="0"/>
            </w:tcBorders>
            <w:shd w:val="clear" w:color="auto" w:fill="auto"/>
            <w:vAlign w:val="center"/>
          </w:tcPr>
          <w:p w14:paraId="55F8CD40">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商务部分得分（B）</w:t>
            </w:r>
          </w:p>
        </w:tc>
        <w:tc>
          <w:tcPr>
            <w:tcW w:w="1700" w:type="dxa"/>
            <w:gridSpan w:val="2"/>
            <w:tcBorders>
              <w:left w:val="single" w:color="auto" w:sz="4" w:space="0"/>
              <w:right w:val="single" w:color="auto" w:sz="4" w:space="0"/>
            </w:tcBorders>
            <w:shd w:val="clear" w:color="auto" w:fill="auto"/>
            <w:vAlign w:val="center"/>
          </w:tcPr>
          <w:p w14:paraId="29ADCF65">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评标标准详见</w:t>
            </w:r>
          </w:p>
          <w:p w14:paraId="35E26D9A">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2.2.2（2）</w:t>
            </w:r>
          </w:p>
        </w:tc>
        <w:tc>
          <w:tcPr>
            <w:tcW w:w="6362" w:type="dxa"/>
            <w:tcBorders>
              <w:left w:val="single" w:color="auto" w:sz="4" w:space="0"/>
              <w:right w:val="single" w:color="auto" w:sz="4" w:space="0"/>
            </w:tcBorders>
            <w:shd w:val="clear" w:color="auto" w:fill="auto"/>
            <w:vAlign w:val="top"/>
          </w:tcPr>
          <w:p w14:paraId="1545438D">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商务部分评分为客观评分，评标委员会按第2.2.2（2）目各评审因素设定的分值统一进行评分。商务评分的最终结果取小数点后两位，第三位四舍五入。</w:t>
            </w:r>
          </w:p>
        </w:tc>
      </w:tr>
      <w:tr w14:paraId="5ED0D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753" w:type="dxa"/>
            <w:tcBorders>
              <w:left w:val="single" w:color="auto" w:sz="4" w:space="0"/>
              <w:right w:val="single" w:color="auto" w:sz="4" w:space="0"/>
            </w:tcBorders>
            <w:shd w:val="clear" w:color="auto" w:fill="auto"/>
            <w:vAlign w:val="center"/>
          </w:tcPr>
          <w:p w14:paraId="0AF9C391">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3.2.1（3）</w:t>
            </w:r>
          </w:p>
        </w:tc>
        <w:tc>
          <w:tcPr>
            <w:tcW w:w="1067" w:type="dxa"/>
            <w:tcBorders>
              <w:left w:val="single" w:color="auto" w:sz="4" w:space="0"/>
              <w:right w:val="single" w:color="auto" w:sz="4" w:space="0"/>
            </w:tcBorders>
            <w:shd w:val="clear" w:color="auto" w:fill="auto"/>
            <w:vAlign w:val="center"/>
          </w:tcPr>
          <w:p w14:paraId="4A4F30C5">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投标报价</w:t>
            </w:r>
            <w:r>
              <w:rPr>
                <w:rFonts w:hint="eastAsia" w:ascii="宋体" w:hAnsi="宋体" w:eastAsia="宋体" w:cs="宋体"/>
                <w:color w:val="auto"/>
                <w:kern w:val="0"/>
                <w:szCs w:val="21"/>
                <w:highlight w:val="none"/>
              </w:rPr>
              <w:t>得分</w:t>
            </w:r>
            <w:r>
              <w:rPr>
                <w:rFonts w:hint="eastAsia" w:ascii="宋体" w:hAnsi="宋体" w:eastAsia="宋体" w:cs="宋体"/>
                <w:color w:val="auto"/>
                <w:spacing w:val="-8"/>
                <w:szCs w:val="21"/>
                <w:highlight w:val="none"/>
              </w:rPr>
              <w:t>（C）</w:t>
            </w:r>
          </w:p>
        </w:tc>
        <w:tc>
          <w:tcPr>
            <w:tcW w:w="1700" w:type="dxa"/>
            <w:gridSpan w:val="2"/>
            <w:tcBorders>
              <w:left w:val="single" w:color="auto" w:sz="4" w:space="0"/>
              <w:right w:val="single" w:color="auto" w:sz="4" w:space="0"/>
            </w:tcBorders>
            <w:shd w:val="clear" w:color="auto" w:fill="auto"/>
            <w:vAlign w:val="center"/>
          </w:tcPr>
          <w:p w14:paraId="04E80F6D">
            <w:pPr>
              <w:keepNext w:val="0"/>
              <w:keepLines w:val="0"/>
              <w:suppressLineNumbers w:val="0"/>
              <w:adjustRightInd w:val="0"/>
              <w:snapToGrid w:val="0"/>
              <w:spacing w:before="0" w:beforeAutospacing="0" w:after="0" w:afterLines="0" w:afterAutospacing="0" w:line="400" w:lineRule="exact"/>
              <w:ind w:left="0" w:leftChars="0" w:right="0" w:rightChars="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投标总报价</w:t>
            </w:r>
          </w:p>
        </w:tc>
        <w:tc>
          <w:tcPr>
            <w:tcW w:w="6362" w:type="dxa"/>
            <w:tcBorders>
              <w:left w:val="single" w:color="auto" w:sz="4" w:space="0"/>
              <w:right w:val="single" w:color="auto" w:sz="4" w:space="0"/>
            </w:tcBorders>
            <w:shd w:val="clear" w:color="auto" w:fill="auto"/>
            <w:vAlign w:val="top"/>
          </w:tcPr>
          <w:p w14:paraId="21C2F434">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所有通过初步评审和本章第2.2.2（3）目评审合格的投标人</w:t>
            </w:r>
            <w:r>
              <w:rPr>
                <w:rFonts w:hint="eastAsia" w:ascii="宋体" w:hAnsi="宋体" w:eastAsia="宋体" w:cs="宋体"/>
                <w:color w:val="auto"/>
                <w:szCs w:val="21"/>
                <w:highlight w:val="none"/>
              </w:rPr>
              <w:t>的投标总报</w:t>
            </w:r>
            <w:r>
              <w:rPr>
                <w:rFonts w:hint="eastAsia" w:ascii="宋体" w:hAnsi="宋体" w:eastAsia="宋体" w:cs="宋体"/>
                <w:color w:val="auto"/>
                <w:kern w:val="0"/>
                <w:szCs w:val="21"/>
                <w:highlight w:val="none"/>
              </w:rPr>
              <w:t>价</w:t>
            </w:r>
            <w:r>
              <w:rPr>
                <w:rFonts w:hint="eastAsia" w:ascii="宋体" w:hAnsi="宋体" w:eastAsia="宋体" w:cs="宋体"/>
                <w:color w:val="auto"/>
                <w:szCs w:val="21"/>
                <w:highlight w:val="none"/>
              </w:rPr>
              <w:t>得</w:t>
            </w:r>
            <w:r>
              <w:rPr>
                <w:rFonts w:hint="eastAsia" w:ascii="宋体" w:hAnsi="宋体" w:eastAsia="宋体" w:cs="宋体"/>
                <w:bCs/>
                <w:color w:val="auto"/>
                <w:szCs w:val="21"/>
                <w:highlight w:val="none"/>
              </w:rPr>
              <w:t>本附表第2.2.1项规定分值的满分</w:t>
            </w:r>
            <w:r>
              <w:rPr>
                <w:rFonts w:hint="eastAsia" w:ascii="宋体" w:hAnsi="宋体" w:cs="宋体"/>
                <w:bCs/>
                <w:color w:val="auto"/>
                <w:szCs w:val="21"/>
                <w:highlight w:val="none"/>
                <w:u w:val="single"/>
                <w:lang w:val="en-US" w:eastAsia="zh-CN"/>
              </w:rPr>
              <w:t>70</w:t>
            </w:r>
            <w:r>
              <w:rPr>
                <w:rFonts w:hint="eastAsia" w:ascii="宋体" w:hAnsi="宋体" w:eastAsia="宋体" w:cs="宋体"/>
                <w:color w:val="auto"/>
                <w:szCs w:val="21"/>
                <w:highlight w:val="none"/>
              </w:rPr>
              <w:t>分。在此基础上，投标总报价与评标基准价相比，每增加1%扣</w:t>
            </w:r>
            <w:r>
              <w:rPr>
                <w:rFonts w:hint="eastAsia" w:ascii="宋体" w:hAnsi="宋体" w:cs="宋体"/>
                <w:color w:val="auto"/>
                <w:szCs w:val="21"/>
                <w:highlight w:val="none"/>
                <w:u w:val="single"/>
                <w:lang w:val="en-US" w:eastAsia="zh-CN"/>
              </w:rPr>
              <w:t>0.5</w:t>
            </w:r>
            <w:r>
              <w:rPr>
                <w:rFonts w:hint="eastAsia" w:ascii="宋体" w:hAnsi="宋体" w:eastAsia="宋体" w:cs="宋体"/>
                <w:color w:val="auto"/>
                <w:szCs w:val="21"/>
                <w:highlight w:val="none"/>
              </w:rPr>
              <w:t>分，每减少1%扣</w:t>
            </w:r>
            <w:r>
              <w:rPr>
                <w:rFonts w:hint="eastAsia" w:ascii="宋体" w:hAnsi="宋体" w:eastAsia="宋体" w:cs="宋体"/>
                <w:color w:val="auto"/>
                <w:szCs w:val="21"/>
                <w:highlight w:val="none"/>
                <w:u w:val="single"/>
                <w:lang w:val="en-US" w:eastAsia="zh-CN"/>
              </w:rPr>
              <w:t>0.</w:t>
            </w:r>
            <w:r>
              <w:rPr>
                <w:rFonts w:hint="eastAsia" w:ascii="宋体" w:hAnsi="宋体" w:cs="宋体"/>
                <w:color w:val="auto"/>
                <w:szCs w:val="21"/>
                <w:highlight w:val="none"/>
                <w:u w:val="single"/>
                <w:lang w:val="en-US" w:eastAsia="zh-CN"/>
              </w:rPr>
              <w:t>25</w:t>
            </w:r>
            <w:r>
              <w:rPr>
                <w:rFonts w:hint="eastAsia" w:ascii="宋体" w:hAnsi="宋体" w:eastAsia="宋体" w:cs="宋体"/>
                <w:color w:val="auto"/>
                <w:szCs w:val="21"/>
                <w:highlight w:val="none"/>
                <w:u w:val="single"/>
                <w:lang w:val="en-US" w:eastAsia="zh-CN"/>
              </w:rPr>
              <w:t>分</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至多扣10分</w:t>
            </w:r>
            <w:r>
              <w:rPr>
                <w:rFonts w:hint="eastAsia" w:ascii="宋体" w:hAnsi="宋体" w:eastAsia="宋体" w:cs="宋体"/>
                <w:color w:val="auto"/>
                <w:szCs w:val="21"/>
                <w:highlight w:val="none"/>
              </w:rPr>
              <w:t>。</w:t>
            </w:r>
          </w:p>
          <w:p w14:paraId="789611FB">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按插入法计算得分。</w:t>
            </w:r>
          </w:p>
          <w:p w14:paraId="4B96BB96">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未参与评标基准价计算的投标报价，仍应参加计算相应分值。</w:t>
            </w:r>
          </w:p>
          <w:p w14:paraId="10BEBAA1">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投标总报价</w:t>
            </w:r>
            <w:r>
              <w:rPr>
                <w:rFonts w:hint="eastAsia" w:ascii="宋体" w:hAnsi="宋体" w:eastAsia="宋体" w:cs="宋体"/>
                <w:color w:val="auto"/>
                <w:kern w:val="0"/>
                <w:szCs w:val="21"/>
                <w:highlight w:val="none"/>
                <w:lang w:val="en-US" w:eastAsia="zh-CN"/>
              </w:rPr>
              <w:t>得分</w:t>
            </w:r>
            <w:r>
              <w:rPr>
                <w:rFonts w:hint="eastAsia" w:ascii="宋体" w:hAnsi="宋体" w:eastAsia="宋体" w:cs="宋体"/>
                <w:color w:val="auto"/>
                <w:kern w:val="0"/>
                <w:szCs w:val="21"/>
                <w:highlight w:val="none"/>
              </w:rPr>
              <w:t>最终结果取小数点后两位，第三位四舍五入。</w:t>
            </w:r>
          </w:p>
        </w:tc>
      </w:tr>
      <w:tr w14:paraId="74A2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vAlign w:val="center"/>
          </w:tcPr>
          <w:p w14:paraId="06368545">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2.3</w:t>
            </w:r>
          </w:p>
        </w:tc>
        <w:tc>
          <w:tcPr>
            <w:tcW w:w="1067" w:type="dxa"/>
            <w:tcBorders>
              <w:left w:val="single" w:color="auto" w:sz="4" w:space="0"/>
              <w:right w:val="single" w:color="auto" w:sz="4" w:space="0"/>
            </w:tcBorders>
            <w:vAlign w:val="center"/>
          </w:tcPr>
          <w:p w14:paraId="38530F5D">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投标人得分</w:t>
            </w:r>
          </w:p>
        </w:tc>
        <w:tc>
          <w:tcPr>
            <w:tcW w:w="8062" w:type="dxa"/>
            <w:gridSpan w:val="3"/>
            <w:tcBorders>
              <w:left w:val="single" w:color="auto" w:sz="4" w:space="0"/>
              <w:right w:val="single" w:color="auto" w:sz="4" w:space="0"/>
            </w:tcBorders>
            <w:vAlign w:val="center"/>
          </w:tcPr>
          <w:p w14:paraId="2A3F6F7B">
            <w:pPr>
              <w:keepNext w:val="0"/>
              <w:keepLines w:val="0"/>
              <w:suppressLineNumbers w:val="0"/>
              <w:adjustRightInd w:val="0"/>
              <w:snapToGrid w:val="0"/>
              <w:spacing w:before="0" w:beforeAutospacing="0" w:after="0" w:afterAutospacing="0" w:line="400" w:lineRule="exact"/>
              <w:ind w:left="0" w:right="0" w:firstLine="18" w:firstLineChars="9"/>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投标人得分=A+B+C</w:t>
            </w:r>
          </w:p>
        </w:tc>
      </w:tr>
      <w:tr w14:paraId="52E57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bottom w:val="single" w:color="auto" w:sz="4" w:space="0"/>
              <w:right w:val="single" w:color="auto" w:sz="4" w:space="0"/>
            </w:tcBorders>
            <w:shd w:val="clear" w:color="auto" w:fill="auto"/>
            <w:vAlign w:val="center"/>
          </w:tcPr>
          <w:p w14:paraId="37B3A539">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bookmarkStart w:id="650" w:name="_Toc33106452"/>
            <w:r>
              <w:rPr>
                <w:rFonts w:hint="eastAsia" w:ascii="宋体" w:hAnsi="宋体" w:eastAsia="宋体" w:cs="宋体"/>
                <w:color w:val="auto"/>
                <w:szCs w:val="21"/>
                <w:highlight w:val="none"/>
                <w:lang w:val="en-US" w:eastAsia="zh-CN"/>
              </w:rPr>
              <w:t>3.4</w:t>
            </w:r>
          </w:p>
        </w:tc>
        <w:tc>
          <w:tcPr>
            <w:tcW w:w="1067" w:type="dxa"/>
            <w:tcBorders>
              <w:left w:val="single" w:color="auto" w:sz="4" w:space="0"/>
              <w:bottom w:val="single" w:color="auto" w:sz="4" w:space="0"/>
              <w:right w:val="single" w:color="auto" w:sz="4" w:space="0"/>
            </w:tcBorders>
            <w:shd w:val="clear" w:color="auto" w:fill="auto"/>
            <w:vAlign w:val="center"/>
          </w:tcPr>
          <w:p w14:paraId="365A6019">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评标结果</w:t>
            </w:r>
          </w:p>
        </w:tc>
        <w:tc>
          <w:tcPr>
            <w:tcW w:w="8062" w:type="dxa"/>
            <w:gridSpan w:val="3"/>
            <w:tcBorders>
              <w:left w:val="single" w:color="auto" w:sz="4" w:space="0"/>
              <w:bottom w:val="single" w:color="auto" w:sz="4" w:space="0"/>
              <w:right w:val="single" w:color="auto" w:sz="4" w:space="0"/>
            </w:tcBorders>
            <w:shd w:val="clear" w:color="auto" w:fill="auto"/>
            <w:vAlign w:val="center"/>
          </w:tcPr>
          <w:p w14:paraId="6842230C">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3.4.1</w:t>
            </w:r>
            <w:r>
              <w:rPr>
                <w:rFonts w:hint="eastAsia" w:ascii="宋体" w:hAnsi="宋体" w:eastAsia="宋体" w:cs="宋体"/>
                <w:color w:val="auto"/>
                <w:szCs w:val="21"/>
                <w:highlight w:val="none"/>
              </w:rPr>
              <w:t>除第二章“投标人须知”前附表授权直接确定中标人外，评标委员会按照得分由高到低的顺序推荐中标候选人，并标明排序。</w:t>
            </w:r>
          </w:p>
          <w:p w14:paraId="322C7DC8">
            <w:pPr>
              <w:keepNext w:val="0"/>
              <w:keepLines w:val="0"/>
              <w:suppressLineNumbers w:val="0"/>
              <w:adjustRightInd w:val="0"/>
              <w:snapToGrid w:val="0"/>
              <w:spacing w:before="0" w:beforeLines="0" w:beforeAutospacing="0" w:after="0" w:afterLines="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评标委员会完成评标后，应当向招标人提交书面评标报告和中标候选人名单。</w:t>
            </w:r>
          </w:p>
        </w:tc>
      </w:tr>
    </w:tbl>
    <w:p w14:paraId="3B51DFAC">
      <w:pPr>
        <w:pStyle w:val="4"/>
        <w:spacing w:before="0" w:after="0" w:line="360" w:lineRule="auto"/>
        <w:rPr>
          <w:rFonts w:hint="eastAsia" w:ascii="宋体" w:hAnsi="宋体" w:eastAsia="宋体" w:cs="宋体"/>
          <w:b w:val="0"/>
          <w:bCs/>
          <w:snapToGrid w:val="0"/>
          <w:color w:val="auto"/>
          <w:kern w:val="0"/>
          <w:sz w:val="32"/>
          <w:szCs w:val="32"/>
          <w:highlight w:val="none"/>
          <w:lang w:val="en-US" w:eastAsia="zh-CN" w:bidi="ar-SA"/>
        </w:rPr>
      </w:pPr>
      <w:r>
        <w:rPr>
          <w:rFonts w:hint="eastAsia" w:ascii="宋体" w:hAnsi="宋体" w:eastAsia="宋体" w:cs="宋体"/>
          <w:b w:val="0"/>
          <w:bCs/>
          <w:snapToGrid w:val="0"/>
          <w:color w:val="auto"/>
          <w:kern w:val="0"/>
          <w:sz w:val="32"/>
          <w:szCs w:val="32"/>
          <w:highlight w:val="none"/>
          <w:lang w:val="en-US" w:eastAsia="zh-CN" w:bidi="ar-SA"/>
        </w:rPr>
        <w:br w:type="page"/>
      </w:r>
      <w:bookmarkStart w:id="651" w:name="_Toc17113"/>
      <w:bookmarkStart w:id="652" w:name="_Toc24382"/>
      <w:bookmarkStart w:id="653" w:name="_Toc27639"/>
      <w:bookmarkStart w:id="654" w:name="_Toc26050"/>
      <w:bookmarkStart w:id="655" w:name="_Toc13156"/>
      <w:bookmarkStart w:id="656" w:name="_Toc14390"/>
    </w:p>
    <w:bookmarkEnd w:id="650"/>
    <w:bookmarkEnd w:id="651"/>
    <w:bookmarkEnd w:id="652"/>
    <w:bookmarkEnd w:id="653"/>
    <w:bookmarkEnd w:id="654"/>
    <w:bookmarkEnd w:id="655"/>
    <w:bookmarkEnd w:id="656"/>
    <w:p w14:paraId="7D445EB5">
      <w:pPr>
        <w:pStyle w:val="4"/>
        <w:spacing w:before="0" w:after="0" w:line="360" w:lineRule="auto"/>
        <w:rPr>
          <w:rFonts w:hint="eastAsia" w:ascii="宋体" w:hAnsi="宋体" w:eastAsia="宋体" w:cs="宋体"/>
          <w:b w:val="0"/>
          <w:snapToGrid w:val="0"/>
          <w:color w:val="auto"/>
          <w:highlight w:val="none"/>
        </w:rPr>
      </w:pPr>
      <w:bookmarkStart w:id="657" w:name="_Toc6485"/>
      <w:r>
        <w:rPr>
          <w:rFonts w:hint="eastAsia" w:ascii="宋体" w:hAnsi="宋体" w:eastAsia="宋体" w:cs="宋体"/>
          <w:color w:val="auto"/>
          <w:sz w:val="28"/>
          <w:szCs w:val="28"/>
          <w:highlight w:val="none"/>
        </w:rPr>
        <w:t>1. 评标方法</w:t>
      </w:r>
      <w:bookmarkEnd w:id="657"/>
    </w:p>
    <w:p w14:paraId="339191E0">
      <w:pPr>
        <w:autoSpaceDE w:val="0"/>
        <w:autoSpaceDN w:val="0"/>
        <w:adjustRightInd w:val="0"/>
        <w:snapToGrid w:val="0"/>
        <w:spacing w:line="36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本次评标采用综合评分法</w:t>
      </w:r>
      <w:r>
        <w:rPr>
          <w:rFonts w:hint="eastAsia" w:ascii="宋体" w:hAnsi="宋体" w:eastAsia="宋体" w:cs="宋体"/>
          <w:color w:val="auto"/>
          <w:spacing w:val="-47"/>
          <w:kern w:val="0"/>
          <w:szCs w:val="21"/>
          <w:highlight w:val="none"/>
        </w:rPr>
        <w:t>。</w:t>
      </w:r>
      <w:r>
        <w:rPr>
          <w:rFonts w:hint="eastAsia" w:ascii="宋体" w:hAnsi="宋体" w:eastAsia="宋体" w:cs="宋体"/>
          <w:color w:val="auto"/>
          <w:kern w:val="0"/>
          <w:szCs w:val="21"/>
          <w:highlight w:val="none"/>
        </w:rPr>
        <w:t xml:space="preserve">评标委员会按照本章第 </w:t>
      </w:r>
      <w:r>
        <w:rPr>
          <w:rFonts w:hint="eastAsia" w:ascii="宋体" w:hAnsi="宋体" w:eastAsia="宋体" w:cs="宋体"/>
          <w:color w:val="auto"/>
          <w:spacing w:val="1"/>
          <w:kern w:val="0"/>
          <w:szCs w:val="21"/>
          <w:highlight w:val="none"/>
        </w:rPr>
        <w:t>2</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2</w:t>
      </w:r>
      <w:r>
        <w:rPr>
          <w:rFonts w:hint="eastAsia" w:ascii="宋体" w:hAnsi="宋体" w:eastAsia="宋体" w:cs="宋体"/>
          <w:color w:val="auto"/>
          <w:spacing w:val="1"/>
          <w:kern w:val="0"/>
          <w:szCs w:val="21"/>
          <w:highlight w:val="none"/>
        </w:rPr>
        <w:t xml:space="preserve"> </w:t>
      </w:r>
      <w:r>
        <w:rPr>
          <w:rFonts w:hint="eastAsia" w:ascii="宋体" w:hAnsi="宋体" w:eastAsia="宋体" w:cs="宋体"/>
          <w:color w:val="auto"/>
          <w:kern w:val="0"/>
          <w:szCs w:val="21"/>
          <w:highlight w:val="none"/>
        </w:rPr>
        <w:t>款</w:t>
      </w:r>
      <w:r>
        <w:rPr>
          <w:rFonts w:hint="eastAsia" w:ascii="宋体" w:hAnsi="宋体" w:eastAsia="宋体" w:cs="宋体"/>
          <w:color w:val="auto"/>
          <w:spacing w:val="-1"/>
          <w:kern w:val="0"/>
          <w:szCs w:val="21"/>
          <w:highlight w:val="none"/>
        </w:rPr>
        <w:t>规</w:t>
      </w:r>
      <w:r>
        <w:rPr>
          <w:rFonts w:hint="eastAsia" w:ascii="宋体" w:hAnsi="宋体" w:eastAsia="宋体" w:cs="宋体"/>
          <w:color w:val="auto"/>
          <w:kern w:val="0"/>
          <w:szCs w:val="21"/>
          <w:highlight w:val="none"/>
        </w:rPr>
        <w:t>定的评分标准进行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，按得分由高到低顺序推荐中标候选人</w:t>
      </w:r>
      <w:r>
        <w:rPr>
          <w:rFonts w:hint="eastAsia" w:ascii="宋体" w:hAnsi="宋体" w:eastAsia="宋体" w:cs="宋体"/>
          <w:color w:val="auto"/>
          <w:spacing w:val="-20"/>
          <w:kern w:val="0"/>
          <w:szCs w:val="21"/>
          <w:highlight w:val="none"/>
        </w:rPr>
        <w:t>，</w:t>
      </w:r>
      <w:r>
        <w:rPr>
          <w:rFonts w:hint="eastAsia" w:ascii="宋体" w:hAnsi="宋体" w:eastAsia="宋体" w:cs="宋体"/>
          <w:color w:val="auto"/>
          <w:kern w:val="0"/>
          <w:szCs w:val="21"/>
          <w:highlight w:val="none"/>
        </w:rPr>
        <w:t>或根据招标人授权直接确定中标人，若出现投标人投标报价相同的，以评标办法前附表约定的原则确定排序</w:t>
      </w:r>
      <w:r>
        <w:rPr>
          <w:rFonts w:hint="eastAsia" w:ascii="宋体" w:hAnsi="宋体" w:eastAsia="宋体" w:cs="宋体"/>
          <w:color w:val="auto"/>
          <w:spacing w:val="-31"/>
          <w:kern w:val="0"/>
          <w:szCs w:val="21"/>
          <w:highlight w:val="none"/>
        </w:rPr>
        <w:t>。</w:t>
      </w:r>
    </w:p>
    <w:p w14:paraId="246FAAD1">
      <w:pPr>
        <w:pStyle w:val="4"/>
        <w:spacing w:before="0" w:after="0" w:line="360" w:lineRule="auto"/>
        <w:rPr>
          <w:rFonts w:hint="eastAsia" w:ascii="宋体" w:hAnsi="宋体" w:eastAsia="宋体" w:cs="宋体"/>
          <w:color w:val="auto"/>
          <w:sz w:val="28"/>
          <w:szCs w:val="28"/>
          <w:highlight w:val="none"/>
        </w:rPr>
      </w:pPr>
      <w:bookmarkStart w:id="658" w:name="_Toc224103385"/>
      <w:bookmarkStart w:id="659" w:name="_Toc200513199"/>
      <w:bookmarkStart w:id="660" w:name="_Toc287620752"/>
      <w:bookmarkStart w:id="661" w:name="_Toc430530501"/>
      <w:bookmarkStart w:id="662" w:name="_Toc287607813"/>
      <w:bookmarkStart w:id="663" w:name="_Toc33106453"/>
      <w:bookmarkStart w:id="664" w:name="_Toc277082619"/>
      <w:bookmarkStart w:id="665" w:name="_Toc509218777"/>
      <w:r>
        <w:rPr>
          <w:rFonts w:hint="eastAsia" w:ascii="宋体" w:hAnsi="宋体" w:eastAsia="宋体" w:cs="宋体"/>
          <w:color w:val="auto"/>
          <w:sz w:val="28"/>
          <w:szCs w:val="28"/>
          <w:highlight w:val="none"/>
        </w:rPr>
        <w:t>2. 评审标准</w:t>
      </w:r>
      <w:bookmarkEnd w:id="658"/>
      <w:bookmarkEnd w:id="659"/>
      <w:bookmarkEnd w:id="660"/>
      <w:bookmarkEnd w:id="661"/>
      <w:bookmarkEnd w:id="662"/>
      <w:bookmarkEnd w:id="663"/>
      <w:bookmarkEnd w:id="664"/>
      <w:bookmarkEnd w:id="665"/>
    </w:p>
    <w:p w14:paraId="0A37D00D">
      <w:pPr>
        <w:pStyle w:val="5"/>
        <w:spacing w:before="0" w:after="0" w:line="360" w:lineRule="auto"/>
        <w:rPr>
          <w:rFonts w:hint="eastAsia" w:ascii="宋体" w:hAnsi="宋体" w:eastAsia="宋体" w:cs="宋体"/>
          <w:color w:val="auto"/>
          <w:sz w:val="21"/>
          <w:szCs w:val="21"/>
          <w:highlight w:val="none"/>
        </w:rPr>
      </w:pPr>
      <w:bookmarkStart w:id="666" w:name="_Toc224103386"/>
      <w:bookmarkStart w:id="667" w:name="_Toc430530502"/>
      <w:bookmarkStart w:id="668" w:name="_Toc200513200"/>
      <w:bookmarkStart w:id="669" w:name="_Toc287620753"/>
      <w:bookmarkStart w:id="670" w:name="_Toc509218778"/>
      <w:bookmarkStart w:id="671" w:name="_Toc287607814"/>
      <w:bookmarkStart w:id="672" w:name="_Toc21245"/>
      <w:bookmarkStart w:id="673" w:name="_Toc33106454"/>
      <w:bookmarkStart w:id="674" w:name="_Toc277082620"/>
      <w:r>
        <w:rPr>
          <w:rFonts w:hint="eastAsia" w:ascii="宋体" w:hAnsi="宋体" w:eastAsia="宋体" w:cs="宋体"/>
          <w:color w:val="auto"/>
          <w:sz w:val="21"/>
          <w:szCs w:val="21"/>
          <w:highlight w:val="none"/>
        </w:rPr>
        <w:t>2.1 初步评审标准</w:t>
      </w:r>
      <w:bookmarkEnd w:id="666"/>
      <w:bookmarkEnd w:id="667"/>
      <w:bookmarkEnd w:id="668"/>
      <w:bookmarkEnd w:id="669"/>
      <w:bookmarkEnd w:id="670"/>
      <w:bookmarkEnd w:id="671"/>
      <w:bookmarkEnd w:id="672"/>
      <w:bookmarkEnd w:id="673"/>
      <w:bookmarkEnd w:id="674"/>
    </w:p>
    <w:p w14:paraId="251D9845">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2.1.1A 资格评审标准：见评标办法前附表（适用于未进行资格预审的）。</w:t>
      </w:r>
    </w:p>
    <w:p w14:paraId="6162A2EE">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2.1.1B 资格评审标准：见资格预审文件第三章“资格审查办法”详细审查标准（适用于已进行资格预审的）。</w:t>
      </w:r>
    </w:p>
    <w:p w14:paraId="7902BD12">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2.1.2 形式评审标准：见评标办法前附表。</w:t>
      </w:r>
    </w:p>
    <w:p w14:paraId="050E9E9D">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2.1.3 响应性评审标准：见评标办法前附表。</w:t>
      </w:r>
    </w:p>
    <w:p w14:paraId="105C8DE0">
      <w:pPr>
        <w:pStyle w:val="5"/>
        <w:spacing w:before="0" w:after="0" w:line="360" w:lineRule="auto"/>
        <w:rPr>
          <w:rFonts w:hint="eastAsia" w:ascii="宋体" w:hAnsi="宋体" w:eastAsia="宋体" w:cs="宋体"/>
          <w:color w:val="auto"/>
          <w:sz w:val="21"/>
          <w:szCs w:val="21"/>
          <w:highlight w:val="none"/>
        </w:rPr>
      </w:pPr>
      <w:bookmarkStart w:id="675" w:name="_Toc277082621"/>
      <w:bookmarkStart w:id="676" w:name="_Toc509218779"/>
      <w:bookmarkStart w:id="677" w:name="_Toc5110"/>
      <w:bookmarkStart w:id="678" w:name="_Toc287620754"/>
      <w:bookmarkStart w:id="679" w:name="_Toc224103387"/>
      <w:bookmarkStart w:id="680" w:name="_Toc430530503"/>
      <w:bookmarkStart w:id="681" w:name="_Toc33106455"/>
      <w:bookmarkStart w:id="682" w:name="_Toc200513201"/>
      <w:bookmarkStart w:id="683" w:name="_Toc287607815"/>
      <w:r>
        <w:rPr>
          <w:rFonts w:hint="eastAsia" w:ascii="宋体" w:hAnsi="宋体" w:eastAsia="宋体" w:cs="宋体"/>
          <w:color w:val="auto"/>
          <w:sz w:val="21"/>
          <w:szCs w:val="21"/>
          <w:highlight w:val="none"/>
        </w:rPr>
        <w:t>2.2 分值构成与评分标准</w:t>
      </w:r>
      <w:bookmarkEnd w:id="675"/>
      <w:bookmarkEnd w:id="676"/>
      <w:bookmarkEnd w:id="677"/>
      <w:bookmarkEnd w:id="678"/>
      <w:bookmarkEnd w:id="679"/>
      <w:bookmarkEnd w:id="680"/>
      <w:bookmarkEnd w:id="681"/>
      <w:bookmarkEnd w:id="682"/>
      <w:bookmarkEnd w:id="683"/>
    </w:p>
    <w:p w14:paraId="038AA4F0">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 分值构成</w:t>
      </w:r>
    </w:p>
    <w:p w14:paraId="0FE7764F">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）技术部分：见评标办法前附表；</w:t>
      </w:r>
    </w:p>
    <w:p w14:paraId="3A1186EF">
      <w:pPr>
        <w:pStyle w:val="2"/>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（2）商务部分：见评标办法前附表；</w:t>
      </w:r>
    </w:p>
    <w:p w14:paraId="77B7306B">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）投标总</w:t>
      </w:r>
      <w:r>
        <w:rPr>
          <w:rFonts w:hint="eastAsia" w:ascii="宋体" w:hAnsi="宋体" w:eastAsia="宋体" w:cs="宋体"/>
          <w:color w:val="auto"/>
          <w:spacing w:val="-1"/>
          <w:kern w:val="0"/>
          <w:szCs w:val="21"/>
          <w:highlight w:val="none"/>
        </w:rPr>
        <w:t>报</w:t>
      </w:r>
      <w:r>
        <w:rPr>
          <w:rFonts w:hint="eastAsia" w:ascii="宋体" w:hAnsi="宋体" w:eastAsia="宋体" w:cs="宋体"/>
          <w:color w:val="auto"/>
          <w:kern w:val="0"/>
          <w:szCs w:val="21"/>
          <w:highlight w:val="none"/>
        </w:rPr>
        <w:t>价：见评标办法前附表。</w:t>
      </w:r>
    </w:p>
    <w:p w14:paraId="21831D40">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 评审标准</w:t>
      </w:r>
    </w:p>
    <w:p w14:paraId="5B74BD1B">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（1）技术部分评分标准：见评标办法前附表；（对于施工难度大、专业技术复杂的项目，应由招标人会同设计单位提出技术方案方案编写要点，作为评分标准）。</w:t>
      </w:r>
    </w:p>
    <w:p w14:paraId="2CD2B063">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商务部分评分标准：见评标办法前附表；</w:t>
      </w:r>
    </w:p>
    <w:p w14:paraId="52816CF0">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投标函部分及经济部分评审标准：见评标办法前附表；</w:t>
      </w:r>
    </w:p>
    <w:p w14:paraId="3C9DB7D1">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2.2.3 评标基准价计算</w:t>
      </w:r>
    </w:p>
    <w:p w14:paraId="38CB88B7">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评标基准价的计算方法：见评标办法前附表。</w:t>
      </w:r>
    </w:p>
    <w:p w14:paraId="13B99C40">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2.2.4 投标报价的偏差率计算</w:t>
      </w:r>
    </w:p>
    <w:p w14:paraId="4590E68D">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投标报价的偏差率计算公式：见评标办法前附表。</w:t>
      </w:r>
    </w:p>
    <w:p w14:paraId="7149A4F3">
      <w:pPr>
        <w:pStyle w:val="4"/>
        <w:spacing w:before="0" w:after="0" w:line="360" w:lineRule="auto"/>
        <w:rPr>
          <w:rFonts w:hint="eastAsia" w:ascii="宋体" w:hAnsi="宋体" w:eastAsia="宋体" w:cs="宋体"/>
          <w:color w:val="auto"/>
          <w:sz w:val="28"/>
          <w:szCs w:val="28"/>
          <w:highlight w:val="none"/>
        </w:rPr>
      </w:pPr>
      <w:bookmarkStart w:id="684" w:name="_Toc287607816"/>
      <w:bookmarkStart w:id="685" w:name="_Toc509218780"/>
      <w:bookmarkStart w:id="686" w:name="_Toc430530504"/>
      <w:bookmarkStart w:id="687" w:name="_Toc33106456"/>
      <w:bookmarkStart w:id="688" w:name="_Toc277082622"/>
      <w:bookmarkStart w:id="689" w:name="_Toc200513202"/>
      <w:bookmarkStart w:id="690" w:name="_Toc30334"/>
      <w:bookmarkStart w:id="691" w:name="_Toc287620755"/>
      <w:bookmarkStart w:id="692" w:name="_Toc224103388"/>
      <w:r>
        <w:rPr>
          <w:rFonts w:hint="eastAsia" w:ascii="宋体" w:hAnsi="宋体" w:eastAsia="宋体" w:cs="宋体"/>
          <w:color w:val="auto"/>
          <w:sz w:val="28"/>
          <w:szCs w:val="28"/>
          <w:highlight w:val="none"/>
        </w:rPr>
        <w:t>3. 评标程序</w:t>
      </w:r>
      <w:bookmarkEnd w:id="684"/>
      <w:bookmarkEnd w:id="685"/>
      <w:bookmarkEnd w:id="686"/>
      <w:bookmarkEnd w:id="687"/>
      <w:bookmarkEnd w:id="688"/>
      <w:bookmarkEnd w:id="689"/>
      <w:bookmarkEnd w:id="690"/>
      <w:bookmarkEnd w:id="691"/>
      <w:bookmarkEnd w:id="692"/>
    </w:p>
    <w:p w14:paraId="7C3402E2">
      <w:pPr>
        <w:pStyle w:val="5"/>
        <w:spacing w:before="0" w:after="0" w:line="360" w:lineRule="auto"/>
        <w:rPr>
          <w:rFonts w:hint="eastAsia" w:ascii="宋体" w:hAnsi="宋体" w:eastAsia="宋体" w:cs="宋体"/>
          <w:color w:val="auto"/>
          <w:sz w:val="21"/>
          <w:szCs w:val="21"/>
          <w:highlight w:val="none"/>
        </w:rPr>
      </w:pPr>
      <w:bookmarkStart w:id="693" w:name="_Toc287607817"/>
      <w:bookmarkStart w:id="694" w:name="_Toc33106457"/>
      <w:bookmarkStart w:id="695" w:name="_Toc224103389"/>
      <w:bookmarkStart w:id="696" w:name="_Toc200513203"/>
      <w:bookmarkStart w:id="697" w:name="_Toc430530505"/>
      <w:bookmarkStart w:id="698" w:name="_Toc287620756"/>
      <w:bookmarkStart w:id="699" w:name="_Toc509218781"/>
      <w:bookmarkStart w:id="700" w:name="_Toc24633"/>
      <w:bookmarkStart w:id="701" w:name="_Toc277082623"/>
      <w:r>
        <w:rPr>
          <w:rFonts w:hint="eastAsia" w:ascii="宋体" w:hAnsi="宋体" w:eastAsia="宋体" w:cs="宋体"/>
          <w:color w:val="auto"/>
          <w:sz w:val="21"/>
          <w:szCs w:val="21"/>
          <w:highlight w:val="none"/>
        </w:rPr>
        <w:t>3.1 初步评审</w:t>
      </w:r>
      <w:bookmarkEnd w:id="693"/>
      <w:bookmarkEnd w:id="694"/>
      <w:bookmarkEnd w:id="695"/>
      <w:bookmarkEnd w:id="696"/>
      <w:bookmarkEnd w:id="697"/>
      <w:bookmarkEnd w:id="698"/>
      <w:bookmarkEnd w:id="699"/>
      <w:bookmarkEnd w:id="700"/>
      <w:bookmarkEnd w:id="701"/>
    </w:p>
    <w:p w14:paraId="4E8C9D52">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 2.1 款规定的标准对投标文件进行初步评审。有一项不符合评审标准的，作否决投标处理。（适用于未进行资格预审的）</w:t>
      </w:r>
    </w:p>
    <w:p w14:paraId="5CAD5ED7">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2.1.1项至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02FDE27A">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投标人有以下情形之一的，其投标作否决投标处理：</w:t>
      </w:r>
    </w:p>
    <w:p w14:paraId="50DB387C">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）第二</w:t>
      </w:r>
      <w:r>
        <w:rPr>
          <w:rFonts w:hint="eastAsia" w:ascii="宋体" w:hAnsi="宋体" w:eastAsia="宋体" w:cs="宋体"/>
          <w:color w:val="auto"/>
          <w:spacing w:val="-1"/>
          <w:kern w:val="0"/>
          <w:szCs w:val="21"/>
          <w:highlight w:val="none"/>
        </w:rPr>
        <w:t>章</w:t>
      </w:r>
      <w:r>
        <w:rPr>
          <w:rFonts w:hint="eastAsia" w:ascii="宋体" w:hAnsi="宋体" w:eastAsia="宋体" w:cs="宋体"/>
          <w:color w:val="auto"/>
          <w:kern w:val="0"/>
          <w:szCs w:val="21"/>
          <w:highlight w:val="none"/>
        </w:rPr>
        <w:t>“投标人须知”第</w:t>
      </w:r>
      <w:r>
        <w:rPr>
          <w:rFonts w:hint="eastAsia" w:ascii="宋体" w:hAnsi="宋体" w:eastAsia="宋体" w:cs="宋体"/>
          <w:color w:val="auto"/>
          <w:spacing w:val="1"/>
          <w:kern w:val="0"/>
          <w:szCs w:val="21"/>
          <w:highlight w:val="none"/>
        </w:rPr>
        <w:t>1</w:t>
      </w:r>
      <w:r>
        <w:rPr>
          <w:rFonts w:hint="eastAsia" w:ascii="宋体" w:hAnsi="宋体" w:eastAsia="宋体" w:cs="宋体"/>
          <w:color w:val="auto"/>
          <w:spacing w:val="-1"/>
          <w:kern w:val="0"/>
          <w:szCs w:val="21"/>
          <w:highlight w:val="none"/>
        </w:rPr>
        <w:t>.</w:t>
      </w:r>
      <w:r>
        <w:rPr>
          <w:rFonts w:hint="eastAsia" w:ascii="宋体" w:hAnsi="宋体" w:eastAsia="宋体" w:cs="宋体"/>
          <w:color w:val="auto"/>
          <w:spacing w:val="1"/>
          <w:kern w:val="0"/>
          <w:szCs w:val="21"/>
          <w:highlight w:val="none"/>
        </w:rPr>
        <w:t>4</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3项规定的任何一种情形的；</w:t>
      </w:r>
    </w:p>
    <w:p w14:paraId="1CA07010">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2</w:t>
      </w:r>
      <w:r>
        <w:rPr>
          <w:rFonts w:hint="eastAsia" w:ascii="宋体" w:hAnsi="宋体" w:eastAsia="宋体" w:cs="宋体"/>
          <w:color w:val="auto"/>
          <w:kern w:val="0"/>
          <w:szCs w:val="21"/>
          <w:highlight w:val="none"/>
        </w:rPr>
        <w:t>）本次投标有串通投标、弄虚作假等其他违反招投标相关法律、法规行为的；</w:t>
      </w:r>
    </w:p>
    <w:p w14:paraId="5D2C26BC">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）拒绝按</w:t>
      </w:r>
      <w:r>
        <w:rPr>
          <w:rFonts w:hint="eastAsia" w:ascii="宋体" w:hAnsi="宋体" w:eastAsia="宋体" w:cs="宋体"/>
          <w:color w:val="auto"/>
          <w:spacing w:val="-1"/>
          <w:kern w:val="0"/>
          <w:szCs w:val="21"/>
          <w:highlight w:val="none"/>
        </w:rPr>
        <w:t>评</w:t>
      </w:r>
      <w:r>
        <w:rPr>
          <w:rFonts w:hint="eastAsia" w:ascii="宋体" w:hAnsi="宋体" w:eastAsia="宋体" w:cs="宋体"/>
          <w:color w:val="auto"/>
          <w:kern w:val="0"/>
          <w:szCs w:val="21"/>
          <w:highlight w:val="none"/>
        </w:rPr>
        <w:t>标委员会要求澄清、说明或补正的。</w:t>
      </w:r>
    </w:p>
    <w:p w14:paraId="50502A0C">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eastAsia="宋体" w:cs="宋体"/>
          <w:color w:val="auto"/>
          <w:szCs w:val="21"/>
          <w:highlight w:val="none"/>
        </w:rPr>
        <w:t>，修正原则如下：</w:t>
      </w:r>
    </w:p>
    <w:p w14:paraId="5096C6FC">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（1）投标文件中的大写金额与小写金额不一致的，以大写金额为准；</w:t>
      </w:r>
    </w:p>
    <w:p w14:paraId="60A4FD6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（2）投标函中的总报价与已标价工程量清单总报价不一致的，由评标委员会作否决投标处理。</w:t>
      </w:r>
    </w:p>
    <w:p w14:paraId="501C1E0C">
      <w:pPr>
        <w:pStyle w:val="5"/>
        <w:spacing w:before="0" w:after="0" w:line="360" w:lineRule="auto"/>
        <w:rPr>
          <w:rFonts w:hint="eastAsia" w:ascii="宋体" w:hAnsi="宋体" w:eastAsia="宋体" w:cs="宋体"/>
          <w:color w:val="auto"/>
          <w:sz w:val="21"/>
          <w:szCs w:val="21"/>
          <w:highlight w:val="none"/>
        </w:rPr>
      </w:pPr>
      <w:bookmarkStart w:id="702" w:name="_Toc10755"/>
      <w:bookmarkStart w:id="703" w:name="_Toc509218782"/>
      <w:bookmarkStart w:id="704" w:name="_Toc430530506"/>
      <w:bookmarkStart w:id="705" w:name="_Toc200513204"/>
      <w:bookmarkStart w:id="706" w:name="_Toc33106458"/>
      <w:bookmarkStart w:id="707" w:name="_Toc277082624"/>
      <w:bookmarkStart w:id="708" w:name="_Toc287620757"/>
      <w:bookmarkStart w:id="709" w:name="_Toc224103390"/>
      <w:bookmarkStart w:id="710" w:name="_Toc287607818"/>
      <w:r>
        <w:rPr>
          <w:rFonts w:hint="eastAsia" w:ascii="宋体" w:hAnsi="宋体" w:eastAsia="宋体" w:cs="宋体"/>
          <w:color w:val="auto"/>
          <w:sz w:val="21"/>
          <w:szCs w:val="21"/>
          <w:highlight w:val="none"/>
        </w:rPr>
        <w:t>3.2 详细评审</w:t>
      </w:r>
      <w:bookmarkEnd w:id="702"/>
      <w:bookmarkEnd w:id="703"/>
      <w:bookmarkEnd w:id="704"/>
      <w:bookmarkEnd w:id="705"/>
      <w:bookmarkEnd w:id="706"/>
      <w:bookmarkEnd w:id="707"/>
      <w:bookmarkEnd w:id="708"/>
      <w:bookmarkEnd w:id="709"/>
      <w:bookmarkEnd w:id="710"/>
    </w:p>
    <w:p w14:paraId="51FE0BE8">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评标委员会按本章第2.2款规定的量化因素和分值进行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，并计算出综合评估得分。</w:t>
      </w:r>
    </w:p>
    <w:p w14:paraId="7BA46858">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（1）按本章第3.2.1（1）目规定的评审因素和分值对技术部分计算出得分A</w:t>
      </w:r>
    </w:p>
    <w:p w14:paraId="29FBD034">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（2）按本章第3.2.1（2）目规定的评审因素和分值对商务部分计算出得分B。</w:t>
      </w:r>
    </w:p>
    <w:p w14:paraId="72C78C72">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（3）按本章第3.2.1（3）目规定的评审因素和分值对投标总报价计算出得分C。</w:t>
      </w:r>
    </w:p>
    <w:p w14:paraId="17A0B13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  各类评分分值的最终计算结果保留小数点后两位，小数点后第三位“四舍五入”。</w:t>
      </w:r>
    </w:p>
    <w:p w14:paraId="02BF8F43">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  投标人得分=A+B+C。</w:t>
      </w:r>
    </w:p>
    <w:p w14:paraId="7704CD49">
      <w:pPr>
        <w:pStyle w:val="5"/>
        <w:spacing w:before="0" w:after="0" w:line="360" w:lineRule="auto"/>
        <w:rPr>
          <w:rFonts w:hint="eastAsia" w:ascii="宋体" w:hAnsi="宋体" w:eastAsia="宋体" w:cs="宋体"/>
          <w:color w:val="auto"/>
          <w:sz w:val="21"/>
          <w:szCs w:val="21"/>
          <w:highlight w:val="none"/>
        </w:rPr>
      </w:pPr>
      <w:bookmarkStart w:id="711" w:name="_Toc200513205"/>
      <w:bookmarkStart w:id="712" w:name="_Toc287620758"/>
      <w:bookmarkStart w:id="713" w:name="_Toc224103391"/>
      <w:bookmarkStart w:id="714" w:name="_Toc509218783"/>
      <w:bookmarkStart w:id="715" w:name="_Toc430530507"/>
      <w:bookmarkStart w:id="716" w:name="_Toc18149"/>
      <w:bookmarkStart w:id="717" w:name="_Toc287607819"/>
      <w:bookmarkStart w:id="718" w:name="_Toc33106459"/>
      <w:bookmarkStart w:id="719" w:name="_Toc277082625"/>
      <w:r>
        <w:rPr>
          <w:rFonts w:hint="eastAsia" w:ascii="宋体" w:hAnsi="宋体" w:eastAsia="宋体" w:cs="宋体"/>
          <w:color w:val="auto"/>
          <w:sz w:val="21"/>
          <w:szCs w:val="21"/>
          <w:highlight w:val="none"/>
        </w:rPr>
        <w:t>3.3 投标文件的澄清和补正</w:t>
      </w:r>
      <w:bookmarkEnd w:id="711"/>
      <w:bookmarkEnd w:id="712"/>
      <w:bookmarkEnd w:id="713"/>
      <w:bookmarkEnd w:id="714"/>
      <w:bookmarkEnd w:id="715"/>
      <w:bookmarkEnd w:id="716"/>
      <w:bookmarkEnd w:id="717"/>
      <w:bookmarkEnd w:id="718"/>
      <w:bookmarkEnd w:id="719"/>
    </w:p>
    <w:p w14:paraId="3ABEACEB">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045787DA">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3.3.2 澄清、说明和补正不得改变投标文件的实质性内容（算术性错误修正的除外）。投标人的书面澄清、说明和补正属于投标文件的组成部分。</w:t>
      </w:r>
    </w:p>
    <w:p w14:paraId="2A37FDD1">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评标委员会对投标人提交的澄清、说明或补正有疑问的，可以要求投标人进一步澄清、说明或补正，直至满足评标委员会的要求。</w:t>
      </w:r>
    </w:p>
    <w:p w14:paraId="608518FF">
      <w:pPr>
        <w:pStyle w:val="5"/>
        <w:spacing w:before="0" w:after="0" w:line="360" w:lineRule="auto"/>
        <w:rPr>
          <w:rFonts w:hint="eastAsia" w:ascii="宋体" w:hAnsi="宋体" w:eastAsia="宋体" w:cs="宋体"/>
          <w:color w:val="auto"/>
          <w:sz w:val="21"/>
          <w:szCs w:val="21"/>
          <w:highlight w:val="none"/>
        </w:rPr>
      </w:pPr>
      <w:bookmarkStart w:id="720" w:name="_Toc430530508"/>
      <w:bookmarkStart w:id="721" w:name="_Toc509218784"/>
      <w:bookmarkStart w:id="722" w:name="_Toc5097"/>
      <w:bookmarkStart w:id="723" w:name="_Toc33106460"/>
      <w:bookmarkStart w:id="724" w:name="_Toc287620759"/>
      <w:bookmarkStart w:id="725" w:name="_Toc277082626"/>
      <w:bookmarkStart w:id="726" w:name="_Toc200513206"/>
      <w:bookmarkStart w:id="727" w:name="_Toc224103392"/>
      <w:bookmarkStart w:id="728" w:name="_Toc287607820"/>
      <w:r>
        <w:rPr>
          <w:rFonts w:hint="eastAsia" w:ascii="宋体" w:hAnsi="宋体" w:eastAsia="宋体" w:cs="宋体"/>
          <w:color w:val="auto"/>
          <w:sz w:val="21"/>
          <w:szCs w:val="21"/>
          <w:highlight w:val="none"/>
        </w:rPr>
        <w:t>3.4 评标结果</w:t>
      </w:r>
      <w:bookmarkEnd w:id="720"/>
      <w:bookmarkEnd w:id="721"/>
      <w:bookmarkEnd w:id="722"/>
      <w:bookmarkEnd w:id="723"/>
      <w:bookmarkEnd w:id="724"/>
      <w:bookmarkEnd w:id="725"/>
      <w:bookmarkEnd w:id="726"/>
      <w:bookmarkEnd w:id="727"/>
      <w:bookmarkEnd w:id="728"/>
    </w:p>
    <w:p w14:paraId="15157B1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spacing w:val="-1"/>
          <w:kern w:val="0"/>
          <w:szCs w:val="21"/>
          <w:highlight w:val="none"/>
        </w:rPr>
        <w:t>4</w:t>
      </w:r>
      <w:r>
        <w:rPr>
          <w:rFonts w:hint="eastAsia" w:ascii="宋体" w:hAnsi="宋体" w:eastAsia="宋体" w:cs="宋体"/>
          <w:color w:val="auto"/>
          <w:kern w:val="0"/>
          <w:szCs w:val="21"/>
          <w:highlight w:val="none"/>
        </w:rPr>
        <w:t>.1 除第二章“投标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须知”前</w:t>
      </w:r>
      <w:r>
        <w:rPr>
          <w:rFonts w:hint="eastAsia" w:ascii="宋体" w:hAnsi="宋体" w:eastAsia="宋体" w:cs="宋体"/>
          <w:color w:val="auto"/>
          <w:spacing w:val="1"/>
          <w:kern w:val="0"/>
          <w:szCs w:val="21"/>
          <w:highlight w:val="none"/>
        </w:rPr>
        <w:t>附</w:t>
      </w:r>
      <w:r>
        <w:rPr>
          <w:rFonts w:hint="eastAsia" w:ascii="宋体" w:hAnsi="宋体" w:eastAsia="宋体" w:cs="宋体"/>
          <w:color w:val="auto"/>
          <w:kern w:val="0"/>
          <w:szCs w:val="21"/>
          <w:highlight w:val="none"/>
        </w:rPr>
        <w:t>表授权直</w:t>
      </w:r>
      <w:r>
        <w:rPr>
          <w:rFonts w:hint="eastAsia" w:ascii="宋体" w:hAnsi="宋体" w:eastAsia="宋体" w:cs="宋体"/>
          <w:color w:val="auto"/>
          <w:spacing w:val="1"/>
          <w:kern w:val="0"/>
          <w:szCs w:val="21"/>
          <w:highlight w:val="none"/>
        </w:rPr>
        <w:t>接</w:t>
      </w:r>
      <w:r>
        <w:rPr>
          <w:rFonts w:hint="eastAsia" w:ascii="宋体" w:hAnsi="宋体" w:eastAsia="宋体" w:cs="宋体"/>
          <w:color w:val="auto"/>
          <w:kern w:val="0"/>
          <w:szCs w:val="21"/>
          <w:highlight w:val="none"/>
        </w:rPr>
        <w:t>确定中标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外，评标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员会按照</w:t>
      </w:r>
      <w:r>
        <w:rPr>
          <w:rFonts w:hint="eastAsia" w:ascii="宋体" w:hAnsi="宋体" w:eastAsia="宋体" w:cs="宋体"/>
          <w:color w:val="auto"/>
          <w:spacing w:val="1"/>
          <w:kern w:val="0"/>
          <w:szCs w:val="21"/>
          <w:highlight w:val="none"/>
        </w:rPr>
        <w:t>得分</w:t>
      </w:r>
      <w:r>
        <w:rPr>
          <w:rFonts w:hint="eastAsia" w:ascii="宋体" w:hAnsi="宋体" w:eastAsia="宋体" w:cs="宋体"/>
          <w:color w:val="auto"/>
          <w:kern w:val="0"/>
          <w:szCs w:val="21"/>
          <w:highlight w:val="none"/>
        </w:rPr>
        <w:t>由高到低的顺序推荐中标候选人。</w:t>
      </w:r>
    </w:p>
    <w:p w14:paraId="1110D0EE">
      <w:pPr>
        <w:widowControl/>
        <w:spacing w:line="360" w:lineRule="auto"/>
        <w:ind w:firstLine="424" w:firstLineChars="200"/>
        <w:jc w:val="both"/>
        <w:rPr>
          <w:rFonts w:hint="eastAsia" w:ascii="宋体" w:hAnsi="宋体" w:eastAsia="宋体" w:cs="宋体"/>
          <w:b/>
          <w:color w:val="auto"/>
          <w:kern w:val="0"/>
          <w:sz w:val="28"/>
          <w:szCs w:val="28"/>
          <w:highlight w:val="none"/>
          <w:u w:val="single"/>
          <w:lang w:val="en-US" w:eastAsia="zh-CN" w:bidi="ar-SA"/>
        </w:rPr>
      </w:pP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.4.2 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员会完成评标后，应当向招标人提交书面评标报告。</w:t>
      </w:r>
      <w:r>
        <w:rPr>
          <w:rFonts w:hint="eastAsia" w:ascii="宋体" w:hAnsi="宋体" w:eastAsia="宋体" w:cs="宋体"/>
          <w:b/>
          <w:color w:val="auto"/>
          <w:kern w:val="0"/>
          <w:sz w:val="28"/>
          <w:szCs w:val="28"/>
          <w:highlight w:val="none"/>
          <w:u w:val="none"/>
          <w:lang w:val="en-US" w:eastAsia="zh-CN" w:bidi="ar-SA"/>
        </w:rPr>
        <w:br w:type="page"/>
      </w:r>
    </w:p>
    <w:p w14:paraId="45590C7C">
      <w:pPr>
        <w:widowControl/>
        <w:spacing w:line="360" w:lineRule="auto"/>
        <w:jc w:val="center"/>
        <w:rPr>
          <w:rFonts w:hint="eastAsia" w:ascii="宋体" w:hAnsi="宋体" w:eastAsia="宋体" w:cs="宋体"/>
          <w:b/>
          <w:color w:val="auto"/>
          <w:kern w:val="0"/>
          <w:sz w:val="28"/>
          <w:szCs w:val="28"/>
          <w:highlight w:val="none"/>
          <w:u w:val="none"/>
          <w:lang w:val="en-US" w:eastAsia="zh-CN" w:bidi="ar-SA"/>
        </w:rPr>
      </w:pPr>
      <w:r>
        <w:rPr>
          <w:rFonts w:hint="eastAsia" w:ascii="宋体" w:hAnsi="宋体" w:eastAsia="宋体" w:cs="宋体"/>
          <w:b/>
          <w:color w:val="auto"/>
          <w:kern w:val="0"/>
          <w:sz w:val="28"/>
          <w:szCs w:val="28"/>
          <w:highlight w:val="none"/>
          <w:u w:val="none"/>
          <w:lang w:val="en-US" w:eastAsia="zh-CN" w:bidi="ar-SA"/>
        </w:rPr>
        <w:t>附件A：综合评估法否决投标情况一览表</w:t>
      </w:r>
    </w:p>
    <w:p w14:paraId="67267125">
      <w:pPr>
        <w:widowControl/>
        <w:spacing w:line="360" w:lineRule="auto"/>
        <w:ind w:firstLine="420" w:firstLineChars="200"/>
        <w:jc w:val="both"/>
        <w:rPr>
          <w:rFonts w:hint="eastAsia" w:ascii="宋体" w:hAnsi="宋体" w:eastAsia="宋体" w:cs="宋体"/>
          <w:color w:val="auto"/>
          <w:kern w:val="0"/>
          <w:sz w:val="21"/>
          <w:szCs w:val="21"/>
          <w:highlight w:val="none"/>
          <w:u w:val="none"/>
          <w:lang w:val="en-US" w:eastAsia="zh-CN" w:bidi="ar-SA"/>
        </w:rPr>
      </w:pPr>
      <w:r>
        <w:rPr>
          <w:rFonts w:hint="eastAsia" w:ascii="宋体" w:hAnsi="宋体" w:eastAsia="宋体" w:cs="宋体"/>
          <w:color w:val="auto"/>
          <w:kern w:val="0"/>
          <w:sz w:val="21"/>
          <w:szCs w:val="21"/>
          <w:highlight w:val="none"/>
          <w:u w:val="none"/>
          <w:lang w:val="en-US" w:eastAsia="zh-CN" w:bidi="ar-SA"/>
        </w:rPr>
        <w:t>投标文件存在本一览表下列情形之一的，投标文件视为重大偏差并作否决投标处理，否则，评标委员会不得视为重大偏差而否决投标人的投标文件。</w:t>
      </w:r>
    </w:p>
    <w:tbl>
      <w:tblPr>
        <w:tblStyle w:val="47"/>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1940DE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363E84AB">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章节号</w:t>
            </w:r>
          </w:p>
        </w:tc>
        <w:tc>
          <w:tcPr>
            <w:tcW w:w="1899" w:type="dxa"/>
            <w:vAlign w:val="center"/>
          </w:tcPr>
          <w:p w14:paraId="59FEE02E">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条款名称</w:t>
            </w:r>
          </w:p>
        </w:tc>
        <w:tc>
          <w:tcPr>
            <w:tcW w:w="6333" w:type="dxa"/>
            <w:vAlign w:val="center"/>
          </w:tcPr>
          <w:p w14:paraId="5E43EFCA">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否决投标条件</w:t>
            </w:r>
          </w:p>
        </w:tc>
      </w:tr>
      <w:tr w14:paraId="4CCCF0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6748DBC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第三章</w:t>
            </w:r>
          </w:p>
        </w:tc>
        <w:tc>
          <w:tcPr>
            <w:tcW w:w="1899" w:type="dxa"/>
            <w:vMerge w:val="restart"/>
            <w:vAlign w:val="center"/>
          </w:tcPr>
          <w:p w14:paraId="4095700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资格评审</w:t>
            </w:r>
          </w:p>
        </w:tc>
        <w:tc>
          <w:tcPr>
            <w:tcW w:w="6333" w:type="dxa"/>
            <w:vAlign w:val="center"/>
          </w:tcPr>
          <w:p w14:paraId="1521954F">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A-1投标人的</w:t>
            </w:r>
            <w:r>
              <w:rPr>
                <w:rFonts w:hint="eastAsia" w:ascii="宋体" w:hAnsi="宋体" w:cs="宋体"/>
                <w:color w:val="auto"/>
                <w:szCs w:val="21"/>
                <w:highlight w:val="none"/>
                <w:lang w:val="en-US" w:eastAsia="zh-CN"/>
              </w:rPr>
              <w:t>独立法人资格</w:t>
            </w:r>
            <w:r>
              <w:rPr>
                <w:rFonts w:hint="eastAsia" w:ascii="宋体" w:hAnsi="宋体" w:eastAsia="宋体" w:cs="宋体"/>
                <w:color w:val="auto"/>
                <w:szCs w:val="21"/>
                <w:highlight w:val="none"/>
              </w:rPr>
              <w:t>须满足投标人须知前附表1.4.1项的要求，否则由评标委员会作否决投标处理。</w:t>
            </w:r>
          </w:p>
        </w:tc>
      </w:tr>
      <w:tr w14:paraId="54617B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FAF354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FDC2E8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383645BF">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投标人的业绩须满足投标人须知前附表1.4.1项的要求，否则由评标委员会作否决投标处理。</w:t>
            </w:r>
          </w:p>
        </w:tc>
      </w:tr>
      <w:tr w14:paraId="60C529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BCA6C7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845877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D55096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投标人的投标截止日投标资格情况须满足投标人须知前附表1.4.1项的要求，否则由评标委员会作否决投标处理。</w:t>
            </w:r>
          </w:p>
        </w:tc>
      </w:tr>
      <w:tr w14:paraId="2A007A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F220F2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CA5535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4899FA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投标人的</w:t>
            </w:r>
            <w:r>
              <w:rPr>
                <w:rFonts w:hint="default" w:ascii="宋体" w:hAnsi="宋体" w:cs="宋体"/>
                <w:color w:val="auto"/>
                <w:szCs w:val="21"/>
                <w:highlight w:val="none"/>
                <w:lang w:val="en-US" w:eastAsia="zh-CN"/>
              </w:rPr>
              <w:t>人员要求</w:t>
            </w:r>
            <w:r>
              <w:rPr>
                <w:rFonts w:hint="eastAsia" w:ascii="宋体" w:hAnsi="宋体" w:eastAsia="宋体" w:cs="宋体"/>
                <w:color w:val="auto"/>
                <w:szCs w:val="21"/>
                <w:highlight w:val="none"/>
              </w:rPr>
              <w:t>须满足投标人须知前附表1.4.1项的要求，否则由评标委员会作否决投标处理。</w:t>
            </w:r>
          </w:p>
        </w:tc>
      </w:tr>
      <w:tr w14:paraId="193423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6210CB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BA7E95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E85C5A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投标人的其他要求须满足投标人须知前附表1.4.1项的要求，否则由评标委员会作否决投标处理。</w:t>
            </w:r>
          </w:p>
        </w:tc>
      </w:tr>
      <w:tr w14:paraId="79C098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4C57C6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02AA36A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形式评审</w:t>
            </w:r>
          </w:p>
        </w:tc>
        <w:tc>
          <w:tcPr>
            <w:tcW w:w="6333" w:type="dxa"/>
          </w:tcPr>
          <w:p w14:paraId="0B15C97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投标人名称必须与营业执照一致，依法变更名称的应提交相应证明材料，否则由评标委员会作否决投标处理。</w:t>
            </w:r>
          </w:p>
        </w:tc>
      </w:tr>
      <w:tr w14:paraId="0FBC5D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C6B745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DBF519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3F314AD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投标文件格式（不含投标函部分）符合第二章“投标人须知”第3.7款的要求，否则由评标委员会作否决投标处理。</w:t>
            </w:r>
          </w:p>
          <w:p w14:paraId="70F48872">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编制投标文件时不得对</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“投标文件格式”的相应要素作实质性修改，否则视为重大偏差，由评标委员会作否决投标处理。</w:t>
            </w:r>
          </w:p>
        </w:tc>
      </w:tr>
      <w:tr w14:paraId="2AFDE7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F2F905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F9A0C2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4ED42EA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投标文件份数第二章“投标人须知”第3.7.4项规定，否则由评标委员会作否决投标处理。</w:t>
            </w:r>
          </w:p>
        </w:tc>
      </w:tr>
      <w:tr w14:paraId="2AAC70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7F5986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2FF81C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357B4786">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9</w:t>
            </w:r>
            <w:r>
              <w:rPr>
                <w:rFonts w:hint="eastAsia" w:ascii="宋体" w:hAnsi="宋体" w:eastAsia="宋体" w:cs="宋体"/>
                <w:color w:val="auto"/>
                <w:highlight w:val="none"/>
              </w:rPr>
              <w:t>投标文件格式要求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否则由评标委员会作否决投标处理。</w:t>
            </w:r>
          </w:p>
        </w:tc>
      </w:tr>
      <w:tr w14:paraId="3BDDBB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0FE873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tcBorders>
              <w:bottom w:val="single" w:color="auto" w:sz="4" w:space="0"/>
            </w:tcBorders>
            <w:vAlign w:val="center"/>
          </w:tcPr>
          <w:p w14:paraId="44FA2E3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689950B2">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投标人法定代表人的委托代理人有法定代表人签署的授权委托书和投标人为其缴纳的养老保险证明材料。否则由评标委员会作否决投标处理。</w:t>
            </w:r>
          </w:p>
        </w:tc>
      </w:tr>
      <w:tr w14:paraId="6C5558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F9132D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tcBorders>
              <w:top w:val="single" w:color="auto" w:sz="4" w:space="0"/>
            </w:tcBorders>
            <w:vAlign w:val="center"/>
          </w:tcPr>
          <w:p w14:paraId="1B69035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响应性评审</w:t>
            </w:r>
          </w:p>
        </w:tc>
        <w:tc>
          <w:tcPr>
            <w:tcW w:w="6333" w:type="dxa"/>
            <w:vAlign w:val="center"/>
          </w:tcPr>
          <w:p w14:paraId="4912D6D3">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投标内容符合第二章“投标人须知”第1.3.1项规定，否则由评标委员会作否决投标处理。</w:t>
            </w:r>
          </w:p>
        </w:tc>
      </w:tr>
      <w:tr w14:paraId="0045B4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CE868D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63B1940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EEC6E13">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rPr>
              <w:t>投标人应按投标人须知前附表第3.4款规定递交投标保证金，并作为其投标文件的组成部分，否则由评标委员会作否决投标处理。</w:t>
            </w:r>
          </w:p>
        </w:tc>
      </w:tr>
      <w:tr w14:paraId="3A3392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912E42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6B16615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B84639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13</w:t>
            </w:r>
            <w:r>
              <w:rPr>
                <w:rFonts w:hint="eastAsia" w:ascii="宋体" w:hAnsi="宋体" w:eastAsia="宋体" w:cs="宋体"/>
                <w:color w:val="auto"/>
                <w:szCs w:val="21"/>
                <w:highlight w:val="none"/>
              </w:rPr>
              <w:t>符合第四章“合同条款及格式”规定，投标文件不应附有招标人不能接受的条件。否则由评标委员会作否决投标处理。（由投标人承诺，承诺书格式详见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168F88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FB36A0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38577B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32CF32D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14</w:t>
            </w:r>
            <w:r>
              <w:rPr>
                <w:rFonts w:hint="eastAsia" w:ascii="宋体" w:hAnsi="宋体" w:eastAsia="宋体" w:cs="宋体"/>
                <w:color w:val="auto"/>
                <w:szCs w:val="21"/>
                <w:highlight w:val="none"/>
              </w:rPr>
              <w:t>符合第</w:t>
            </w:r>
            <w:r>
              <w:rPr>
                <w:rFonts w:hint="eastAsia" w:ascii="宋体" w:hAnsi="宋体" w:cs="宋体"/>
                <w:color w:val="auto"/>
                <w:szCs w:val="21"/>
                <w:highlight w:val="none"/>
                <w:lang w:eastAsia="zh-CN"/>
              </w:rPr>
              <w:t>五</w:t>
            </w:r>
            <w:r>
              <w:rPr>
                <w:rFonts w:hint="eastAsia" w:ascii="宋体" w:hAnsi="宋体" w:eastAsia="宋体" w:cs="宋体"/>
                <w:color w:val="auto"/>
                <w:szCs w:val="21"/>
                <w:highlight w:val="none"/>
              </w:rPr>
              <w:t>章</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项目需求中的技术性能指标要求。否则由评标委员会作否决投标处理（如有）。（由投标人承诺，承诺书格式详见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383BA5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B44267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94C54B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522399A">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15</w:t>
            </w:r>
            <w:r>
              <w:rPr>
                <w:rFonts w:hint="eastAsia" w:ascii="宋体" w:hAnsi="宋体" w:eastAsia="宋体" w:cs="宋体"/>
                <w:color w:val="auto"/>
                <w:szCs w:val="21"/>
                <w:highlight w:val="none"/>
              </w:rPr>
              <w:t>投标人有以下情形之一的，其投标文件由评标委员会作否决投标处理：</w:t>
            </w:r>
          </w:p>
          <w:p w14:paraId="46BF868B">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1.第二章“投标人须知”第1.4.3项规定的任何一种情形的；</w:t>
            </w:r>
          </w:p>
          <w:p w14:paraId="2A72E1A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2.本次投标有串通投标、弄虚作假等违反招投标相关法律、法规的行为的；</w:t>
            </w:r>
          </w:p>
          <w:p w14:paraId="56EA55C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3.拒绝按评标委员会要求澄清、说明或补正的。</w:t>
            </w:r>
          </w:p>
        </w:tc>
      </w:tr>
      <w:tr w14:paraId="5B2D05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86F64B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230EBF9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投标函部分及经济部分评审</w:t>
            </w:r>
          </w:p>
        </w:tc>
        <w:tc>
          <w:tcPr>
            <w:tcW w:w="6333" w:type="dxa"/>
            <w:vAlign w:val="center"/>
          </w:tcPr>
          <w:p w14:paraId="5300521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16</w:t>
            </w:r>
            <w:r>
              <w:rPr>
                <w:rFonts w:hint="eastAsia" w:ascii="宋体" w:hAnsi="宋体" w:eastAsia="宋体" w:cs="宋体"/>
                <w:color w:val="auto"/>
                <w:szCs w:val="21"/>
                <w:highlight w:val="none"/>
              </w:rPr>
              <w:t>投标函部分的格式要求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否则由评标委员会作否决投标处理。</w:t>
            </w:r>
          </w:p>
        </w:tc>
      </w:tr>
      <w:tr w14:paraId="539008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32EE66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723DA7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B2C73B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lang w:eastAsia="zh-CN"/>
              </w:rPr>
              <w:t>服务期</w:t>
            </w:r>
            <w:r>
              <w:rPr>
                <w:rFonts w:hint="eastAsia" w:ascii="宋体" w:hAnsi="宋体" w:eastAsia="宋体" w:cs="宋体"/>
                <w:color w:val="auto"/>
                <w:szCs w:val="21"/>
                <w:highlight w:val="none"/>
              </w:rPr>
              <w:t>符合第二章“投标人须知”第1.3.2项规定，否则由评标委员会作否决投标处理。</w:t>
            </w:r>
          </w:p>
        </w:tc>
      </w:tr>
      <w:tr w14:paraId="1FECF6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F277DB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BAB15F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A16B0E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18</w:t>
            </w:r>
            <w:r>
              <w:rPr>
                <w:rFonts w:hint="eastAsia" w:ascii="宋体" w:hAnsi="宋体" w:eastAsia="宋体" w:cs="宋体"/>
                <w:color w:val="auto"/>
                <w:szCs w:val="21"/>
                <w:highlight w:val="none"/>
              </w:rPr>
              <w:t>质量</w:t>
            </w:r>
            <w:r>
              <w:rPr>
                <w:rFonts w:hint="eastAsia" w:ascii="宋体" w:hAnsi="宋体" w:cs="宋体"/>
                <w:color w:val="auto"/>
                <w:szCs w:val="21"/>
                <w:highlight w:val="none"/>
                <w:lang w:eastAsia="zh-CN"/>
              </w:rPr>
              <w:t>标准</w:t>
            </w:r>
            <w:r>
              <w:rPr>
                <w:rFonts w:hint="eastAsia" w:ascii="宋体" w:hAnsi="宋体" w:eastAsia="宋体" w:cs="宋体"/>
                <w:color w:val="auto"/>
                <w:szCs w:val="21"/>
                <w:highlight w:val="none"/>
              </w:rPr>
              <w:t>符合第二章“投标人须知”第1.3.3项规定，否则由评标委员会作否决投标处理。</w:t>
            </w:r>
          </w:p>
        </w:tc>
      </w:tr>
      <w:tr w14:paraId="57C801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DC1AF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DA1980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37984A6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19</w:t>
            </w:r>
            <w:r>
              <w:rPr>
                <w:rFonts w:hint="eastAsia" w:ascii="宋体" w:hAnsi="宋体" w:eastAsia="宋体" w:cs="宋体"/>
                <w:color w:val="auto"/>
                <w:szCs w:val="21"/>
                <w:highlight w:val="none"/>
              </w:rPr>
              <w:t>投标有效期符合第二章“投标人须知”第3.3.1项规定，否则由评标委员会作否决投标处理。</w:t>
            </w:r>
          </w:p>
        </w:tc>
      </w:tr>
      <w:tr w14:paraId="1F45FB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EA722A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763AA5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D47D8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color w:val="auto"/>
                <w:highlight w:val="none"/>
              </w:rPr>
            </w:pPr>
            <w:r>
              <w:rPr>
                <w:rFonts w:hint="eastAsia" w:ascii="宋体" w:hAnsi="宋体" w:cs="宋体"/>
                <w:color w:val="auto"/>
                <w:szCs w:val="21"/>
                <w:highlight w:val="none"/>
              </w:rPr>
              <w:t>A-</w:t>
            </w:r>
            <w:r>
              <w:rPr>
                <w:rFonts w:hint="eastAsia" w:ascii="宋体" w:hAnsi="宋体" w:cs="宋体"/>
                <w:color w:val="auto"/>
                <w:szCs w:val="21"/>
                <w:highlight w:val="none"/>
                <w:lang w:val="en-US" w:eastAsia="zh-CN"/>
              </w:rPr>
              <w:t>20</w:t>
            </w:r>
            <w:r>
              <w:rPr>
                <w:rFonts w:hint="eastAsia"/>
                <w:color w:val="auto"/>
                <w:highlight w:val="none"/>
              </w:rPr>
              <w:t>投标人的投标报价符合第二章 投标人须知前附表3.2条规定，否则由评标委员会作否决投标处理。</w:t>
            </w:r>
          </w:p>
          <w:p w14:paraId="199CB51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400" w:lineRule="exact"/>
              <w:ind w:left="0" w:right="0" w:firstLine="420" w:firstLineChars="200"/>
              <w:textAlignment w:val="auto"/>
              <w:rPr>
                <w:rFonts w:hint="eastAsia" w:eastAsia="宋体"/>
                <w:color w:val="auto"/>
                <w:highlight w:val="none"/>
                <w:lang w:eastAsia="zh-CN"/>
              </w:rPr>
            </w:pPr>
            <w:r>
              <w:rPr>
                <w:rFonts w:hint="eastAsia"/>
                <w:color w:val="auto"/>
                <w:highlight w:val="none"/>
              </w:rPr>
              <w:t>投标人的投标报价不得高于招标人公布的投标总报价最高限价</w:t>
            </w:r>
            <w:r>
              <w:rPr>
                <w:rFonts w:hint="eastAsia"/>
                <w:color w:val="auto"/>
                <w:highlight w:val="none"/>
                <w:lang w:eastAsia="zh-CN"/>
              </w:rPr>
              <w:t>，否则由评标委员会作否决投标处理。</w:t>
            </w:r>
          </w:p>
        </w:tc>
      </w:tr>
      <w:tr w14:paraId="0F29FA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590555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F96BC3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7E84085">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21</w:t>
            </w:r>
            <w:r>
              <w:rPr>
                <w:rFonts w:hint="eastAsia" w:ascii="宋体" w:hAnsi="宋体" w:eastAsia="宋体" w:cs="宋体"/>
                <w:color w:val="auto"/>
                <w:szCs w:val="21"/>
                <w:highlight w:val="none"/>
              </w:rPr>
              <w:t>只能有一个有效报价。在招标文件没有规定的情况下，不得提交选择性报价，否则由评标委员会作否决投标处理。</w:t>
            </w:r>
          </w:p>
        </w:tc>
      </w:tr>
      <w:tr w14:paraId="1FEC1B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9FC7BE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163509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F36D25F">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投标报价有算术错误的，按照第三章3.评标程序第3.1.3项规定执行，否则由评标委员会作否决投标处理。</w:t>
            </w:r>
          </w:p>
        </w:tc>
      </w:tr>
      <w:tr w14:paraId="082EF5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4C498DC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1899" w:type="dxa"/>
            <w:vAlign w:val="center"/>
          </w:tcPr>
          <w:p w14:paraId="623F3E6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1E5BFFD2">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无</w:t>
            </w:r>
          </w:p>
        </w:tc>
      </w:tr>
    </w:tbl>
    <w:p w14:paraId="3298222A">
      <w:pPr>
        <w:autoSpaceDE w:val="0"/>
        <w:autoSpaceDN w:val="0"/>
        <w:adjustRightInd w:val="0"/>
        <w:snapToGrid w:val="0"/>
        <w:spacing w:before="340" w:after="330" w:line="360" w:lineRule="auto"/>
        <w:jc w:val="left"/>
        <w:rPr>
          <w:rFonts w:hint="eastAsia" w:ascii="宋体" w:hAnsi="宋体" w:eastAsia="宋体" w:cs="宋体"/>
          <w:color w:val="auto"/>
          <w:kern w:val="0"/>
          <w:sz w:val="52"/>
          <w:szCs w:val="52"/>
          <w:highlight w:val="none"/>
        </w:rPr>
      </w:pPr>
      <w:r>
        <w:rPr>
          <w:rFonts w:hint="eastAsia" w:ascii="宋体" w:hAnsi="宋体" w:eastAsia="宋体" w:cs="宋体"/>
          <w:b w:val="0"/>
          <w:snapToGrid w:val="0"/>
          <w:color w:val="auto"/>
          <w:highlight w:val="none"/>
        </w:rPr>
        <w:br w:type="page"/>
      </w:r>
      <w:bookmarkEnd w:id="647"/>
      <w:bookmarkEnd w:id="648"/>
      <w:bookmarkEnd w:id="649"/>
    </w:p>
    <w:p w14:paraId="3380D647">
      <w:pPr>
        <w:pStyle w:val="3"/>
        <w:spacing w:line="360" w:lineRule="auto"/>
        <w:jc w:val="center"/>
        <w:rPr>
          <w:rFonts w:hint="eastAsia" w:ascii="宋体" w:hAnsi="宋体" w:eastAsia="宋体" w:cs="宋体"/>
          <w:color w:val="auto"/>
          <w:kern w:val="0"/>
          <w:highlight w:val="none"/>
        </w:rPr>
      </w:pPr>
      <w:bookmarkStart w:id="729" w:name="_Toc430530509"/>
      <w:bookmarkStart w:id="730" w:name="_Toc30521"/>
      <w:bookmarkStart w:id="731" w:name="_Toc509218785"/>
      <w:bookmarkStart w:id="732" w:name="_Toc29312"/>
      <w:bookmarkStart w:id="733" w:name="_Toc13564"/>
      <w:r>
        <w:rPr>
          <w:rFonts w:hint="eastAsia" w:ascii="宋体" w:hAnsi="宋体" w:eastAsia="宋体" w:cs="宋体"/>
          <w:color w:val="auto"/>
          <w:kern w:val="0"/>
          <w:highlight w:val="none"/>
        </w:rPr>
        <w:t>第四章  合同条款及格式</w:t>
      </w:r>
      <w:bookmarkEnd w:id="729"/>
      <w:bookmarkEnd w:id="730"/>
      <w:bookmarkEnd w:id="731"/>
      <w:bookmarkEnd w:id="732"/>
      <w:bookmarkEnd w:id="733"/>
    </w:p>
    <w:p w14:paraId="499E4C27">
      <w:pPr>
        <w:rPr>
          <w:rFonts w:hint="eastAsia" w:ascii="宋体" w:hAnsi="宋体" w:eastAsia="宋体" w:cs="宋体"/>
          <w:color w:val="auto"/>
          <w:sz w:val="32"/>
          <w:szCs w:val="32"/>
          <w:highlight w:val="none"/>
        </w:rPr>
      </w:pPr>
      <w:bookmarkStart w:id="734" w:name="_Toc351203632"/>
      <w:bookmarkStart w:id="735" w:name="_Toc267261701"/>
      <w:bookmarkStart w:id="736" w:name="_Toc351203480"/>
      <w:bookmarkStart w:id="737" w:name="_Toc296890982"/>
      <w:bookmarkStart w:id="738" w:name="_Toc296503025"/>
    </w:p>
    <w:p w14:paraId="56047467">
      <w:pPr>
        <w:pStyle w:val="2"/>
        <w:rPr>
          <w:rFonts w:hint="eastAsia" w:ascii="宋体" w:hAnsi="宋体" w:eastAsia="宋体" w:cs="宋体"/>
          <w:color w:val="auto"/>
          <w:sz w:val="32"/>
          <w:szCs w:val="32"/>
          <w:highlight w:val="none"/>
        </w:rPr>
      </w:pPr>
    </w:p>
    <w:p w14:paraId="7562A29B">
      <w:pPr>
        <w:rPr>
          <w:rFonts w:hint="eastAsia" w:ascii="宋体" w:hAnsi="宋体" w:eastAsia="宋体" w:cs="宋体"/>
          <w:color w:val="auto"/>
          <w:sz w:val="32"/>
          <w:szCs w:val="32"/>
          <w:highlight w:val="none"/>
        </w:rPr>
      </w:pPr>
    </w:p>
    <w:p w14:paraId="4D285E21">
      <w:pPr>
        <w:pStyle w:val="2"/>
        <w:rPr>
          <w:rFonts w:hint="eastAsia" w:ascii="宋体" w:hAnsi="宋体" w:eastAsia="宋体" w:cs="宋体"/>
          <w:color w:val="auto"/>
          <w:sz w:val="32"/>
          <w:szCs w:val="32"/>
          <w:highlight w:val="none"/>
        </w:rPr>
      </w:pPr>
    </w:p>
    <w:p w14:paraId="78053BFA">
      <w:pPr>
        <w:rPr>
          <w:rFonts w:hint="eastAsia" w:ascii="宋体" w:hAnsi="宋体" w:eastAsia="宋体" w:cs="宋体"/>
          <w:color w:val="auto"/>
          <w:sz w:val="32"/>
          <w:szCs w:val="32"/>
          <w:highlight w:val="none"/>
        </w:rPr>
      </w:pPr>
    </w:p>
    <w:p w14:paraId="6EAE475B">
      <w:pPr>
        <w:pStyle w:val="2"/>
        <w:rPr>
          <w:rFonts w:hint="eastAsia" w:ascii="宋体" w:hAnsi="宋体" w:eastAsia="宋体" w:cs="宋体"/>
          <w:color w:val="auto"/>
          <w:sz w:val="32"/>
          <w:szCs w:val="32"/>
          <w:highlight w:val="none"/>
        </w:rPr>
      </w:pPr>
    </w:p>
    <w:p w14:paraId="45E1B2E1">
      <w:pPr>
        <w:rPr>
          <w:rFonts w:hint="eastAsia" w:ascii="宋体" w:hAnsi="宋体" w:eastAsia="宋体" w:cs="宋体"/>
          <w:color w:val="auto"/>
          <w:sz w:val="32"/>
          <w:szCs w:val="32"/>
          <w:highlight w:val="none"/>
        </w:rPr>
      </w:pPr>
    </w:p>
    <w:p w14:paraId="3C27BEE1">
      <w:pPr>
        <w:pStyle w:val="2"/>
        <w:rPr>
          <w:rFonts w:hint="eastAsia" w:ascii="宋体" w:hAnsi="宋体" w:eastAsia="宋体" w:cs="宋体"/>
          <w:color w:val="auto"/>
          <w:sz w:val="32"/>
          <w:szCs w:val="32"/>
          <w:highlight w:val="none"/>
        </w:rPr>
      </w:pPr>
    </w:p>
    <w:p w14:paraId="75949639">
      <w:pPr>
        <w:rPr>
          <w:rFonts w:hint="eastAsia" w:ascii="宋体" w:hAnsi="宋体" w:eastAsia="宋体" w:cs="宋体"/>
          <w:color w:val="auto"/>
          <w:sz w:val="32"/>
          <w:szCs w:val="32"/>
          <w:highlight w:val="none"/>
        </w:rPr>
      </w:pPr>
    </w:p>
    <w:p w14:paraId="5079FADE">
      <w:pPr>
        <w:pStyle w:val="2"/>
        <w:rPr>
          <w:rFonts w:hint="eastAsia" w:ascii="宋体" w:hAnsi="宋体" w:eastAsia="宋体" w:cs="宋体"/>
          <w:color w:val="auto"/>
          <w:sz w:val="32"/>
          <w:szCs w:val="32"/>
          <w:highlight w:val="none"/>
        </w:rPr>
      </w:pPr>
    </w:p>
    <w:p w14:paraId="0C45D49D">
      <w:pPr>
        <w:rPr>
          <w:rFonts w:hint="eastAsia" w:ascii="宋体" w:hAnsi="宋体" w:eastAsia="宋体" w:cs="宋体"/>
          <w:color w:val="auto"/>
          <w:sz w:val="32"/>
          <w:szCs w:val="32"/>
          <w:highlight w:val="none"/>
        </w:rPr>
      </w:pPr>
    </w:p>
    <w:p w14:paraId="44B56795">
      <w:pPr>
        <w:pStyle w:val="2"/>
        <w:rPr>
          <w:rFonts w:hint="eastAsia" w:ascii="宋体" w:hAnsi="宋体" w:eastAsia="宋体" w:cs="宋体"/>
          <w:color w:val="auto"/>
          <w:sz w:val="32"/>
          <w:szCs w:val="32"/>
          <w:highlight w:val="none"/>
        </w:rPr>
      </w:pPr>
    </w:p>
    <w:p w14:paraId="1B1C2586">
      <w:pPr>
        <w:rPr>
          <w:rFonts w:hint="eastAsia" w:ascii="宋体" w:hAnsi="宋体" w:eastAsia="宋体" w:cs="宋体"/>
          <w:color w:val="auto"/>
          <w:sz w:val="32"/>
          <w:szCs w:val="32"/>
          <w:highlight w:val="none"/>
        </w:rPr>
      </w:pPr>
    </w:p>
    <w:p w14:paraId="28CFB7C9">
      <w:pPr>
        <w:pStyle w:val="2"/>
        <w:rPr>
          <w:rFonts w:hint="eastAsia" w:ascii="宋体" w:hAnsi="宋体" w:eastAsia="宋体" w:cs="宋体"/>
          <w:color w:val="auto"/>
          <w:sz w:val="32"/>
          <w:szCs w:val="32"/>
          <w:highlight w:val="none"/>
        </w:rPr>
      </w:pPr>
    </w:p>
    <w:p w14:paraId="1008AC0D">
      <w:pPr>
        <w:rPr>
          <w:rFonts w:hint="eastAsia" w:ascii="宋体" w:hAnsi="宋体" w:eastAsia="宋体" w:cs="宋体"/>
          <w:color w:val="auto"/>
          <w:sz w:val="32"/>
          <w:szCs w:val="32"/>
          <w:highlight w:val="none"/>
        </w:rPr>
      </w:pPr>
    </w:p>
    <w:p w14:paraId="09FCC1D1">
      <w:pPr>
        <w:pStyle w:val="2"/>
        <w:rPr>
          <w:rFonts w:hint="eastAsia" w:ascii="宋体" w:hAnsi="宋体" w:eastAsia="宋体" w:cs="宋体"/>
          <w:color w:val="auto"/>
          <w:sz w:val="32"/>
          <w:szCs w:val="32"/>
          <w:highlight w:val="none"/>
        </w:rPr>
      </w:pPr>
    </w:p>
    <w:p w14:paraId="1B6EC8AD">
      <w:pPr>
        <w:rPr>
          <w:rFonts w:hint="eastAsia" w:ascii="宋体" w:hAnsi="宋体" w:eastAsia="宋体" w:cs="宋体"/>
          <w:color w:val="auto"/>
          <w:sz w:val="32"/>
          <w:szCs w:val="32"/>
          <w:highlight w:val="none"/>
        </w:rPr>
      </w:pPr>
    </w:p>
    <w:p w14:paraId="6A9F0320">
      <w:pPr>
        <w:pStyle w:val="2"/>
        <w:rPr>
          <w:rFonts w:hint="eastAsia" w:ascii="宋体" w:hAnsi="宋体" w:eastAsia="宋体" w:cs="宋体"/>
          <w:color w:val="auto"/>
          <w:sz w:val="32"/>
          <w:szCs w:val="32"/>
          <w:highlight w:val="none"/>
        </w:rPr>
      </w:pPr>
    </w:p>
    <w:p w14:paraId="43B4588F">
      <w:pPr>
        <w:rPr>
          <w:rFonts w:hint="eastAsia" w:ascii="宋体" w:hAnsi="宋体" w:eastAsia="宋体" w:cs="宋体"/>
          <w:color w:val="auto"/>
          <w:sz w:val="32"/>
          <w:szCs w:val="32"/>
          <w:highlight w:val="none"/>
        </w:rPr>
      </w:pPr>
    </w:p>
    <w:p w14:paraId="2AD14CD3">
      <w:pPr>
        <w:pStyle w:val="2"/>
        <w:rPr>
          <w:rFonts w:hint="eastAsia" w:ascii="宋体" w:hAnsi="宋体" w:eastAsia="宋体" w:cs="宋体"/>
          <w:color w:val="auto"/>
          <w:sz w:val="32"/>
          <w:szCs w:val="32"/>
          <w:highlight w:val="none"/>
        </w:rPr>
      </w:pPr>
    </w:p>
    <w:p w14:paraId="3E0AB068">
      <w:pPr>
        <w:rPr>
          <w:rFonts w:hint="eastAsia" w:ascii="宋体" w:hAnsi="宋体" w:eastAsia="宋体" w:cs="宋体"/>
          <w:color w:val="auto"/>
          <w:sz w:val="32"/>
          <w:szCs w:val="32"/>
          <w:highlight w:val="none"/>
        </w:rPr>
      </w:pPr>
    </w:p>
    <w:p w14:paraId="51B245B0">
      <w:pPr>
        <w:pStyle w:val="2"/>
        <w:rPr>
          <w:rFonts w:hint="eastAsia" w:ascii="宋体" w:hAnsi="宋体" w:eastAsia="宋体" w:cs="宋体"/>
          <w:color w:val="auto"/>
          <w:sz w:val="32"/>
          <w:szCs w:val="32"/>
          <w:highlight w:val="none"/>
        </w:rPr>
      </w:pPr>
    </w:p>
    <w:p w14:paraId="69148FB7">
      <w:pPr>
        <w:rPr>
          <w:rFonts w:hint="eastAsia" w:ascii="宋体" w:hAnsi="宋体" w:eastAsia="宋体" w:cs="宋体"/>
          <w:color w:val="auto"/>
          <w:sz w:val="32"/>
          <w:szCs w:val="32"/>
          <w:highlight w:val="none"/>
        </w:rPr>
      </w:pPr>
    </w:p>
    <w:p w14:paraId="29B47F5C">
      <w:pPr>
        <w:pStyle w:val="2"/>
        <w:rPr>
          <w:rFonts w:hint="eastAsia" w:ascii="宋体" w:hAnsi="宋体" w:eastAsia="宋体" w:cs="宋体"/>
          <w:color w:val="auto"/>
          <w:sz w:val="32"/>
          <w:szCs w:val="32"/>
          <w:highlight w:val="none"/>
        </w:rPr>
      </w:pPr>
    </w:p>
    <w:p w14:paraId="29D73D5E">
      <w:pPr>
        <w:rPr>
          <w:rFonts w:hint="eastAsia" w:ascii="宋体" w:hAnsi="宋体" w:eastAsia="宋体" w:cs="宋体"/>
          <w:color w:val="auto"/>
          <w:sz w:val="32"/>
          <w:szCs w:val="32"/>
          <w:highlight w:val="none"/>
        </w:rPr>
      </w:pPr>
    </w:p>
    <w:p w14:paraId="6B28BE4B">
      <w:pPr>
        <w:pStyle w:val="2"/>
        <w:rPr>
          <w:rFonts w:hint="eastAsia" w:ascii="宋体" w:hAnsi="宋体" w:eastAsia="宋体" w:cs="宋体"/>
          <w:color w:val="auto"/>
          <w:sz w:val="32"/>
          <w:szCs w:val="32"/>
          <w:highlight w:val="none"/>
        </w:rPr>
      </w:pPr>
    </w:p>
    <w:p w14:paraId="4F58F62A">
      <w:pPr>
        <w:rPr>
          <w:rFonts w:hint="eastAsia" w:ascii="宋体" w:hAnsi="宋体" w:eastAsia="宋体" w:cs="宋体"/>
          <w:color w:val="auto"/>
          <w:sz w:val="32"/>
          <w:szCs w:val="32"/>
          <w:highlight w:val="none"/>
        </w:rPr>
      </w:pPr>
    </w:p>
    <w:p w14:paraId="55BF8427">
      <w:pPr>
        <w:rPr>
          <w:rFonts w:hint="eastAsia" w:ascii="Calibri" w:hAnsi="Calibri" w:eastAsia="宋体" w:cs="Times New Roman"/>
          <w:b/>
          <w:color w:val="auto"/>
          <w:sz w:val="44"/>
          <w:szCs w:val="44"/>
          <w:highlight w:val="none"/>
        </w:rPr>
      </w:pPr>
    </w:p>
    <w:p w14:paraId="1679D105">
      <w:pPr>
        <w:jc w:val="center"/>
        <w:rPr>
          <w:rFonts w:hint="eastAsia" w:ascii="仿宋" w:hAnsi="仿宋" w:eastAsia="仿宋" w:cs="仿宋"/>
          <w:b/>
          <w:color w:val="auto"/>
          <w:sz w:val="44"/>
          <w:szCs w:val="44"/>
          <w:highlight w:val="none"/>
        </w:rPr>
      </w:pPr>
    </w:p>
    <w:p w14:paraId="785D758C">
      <w:pPr>
        <w:rPr>
          <w:rFonts w:hint="eastAsia"/>
          <w:highlight w:val="none"/>
        </w:rPr>
      </w:pPr>
      <w:r>
        <w:rPr>
          <w:rFonts w:hint="eastAsia" w:ascii="仿宋" w:hAnsi="仿宋" w:eastAsia="仿宋" w:cs="仿宋"/>
          <w:b/>
          <w:color w:val="auto"/>
          <w:sz w:val="44"/>
          <w:szCs w:val="44"/>
          <w:highlight w:val="none"/>
          <w:lang w:val="en-US" w:eastAsia="zh-CN"/>
        </w:rPr>
        <w:t xml:space="preserve">  </w:t>
      </w:r>
    </w:p>
    <w:p w14:paraId="08B64E5E">
      <w:pPr>
        <w:jc w:val="center"/>
        <w:rPr>
          <w:rFonts w:hint="eastAsia" w:ascii="仿宋" w:hAnsi="仿宋" w:eastAsia="仿宋" w:cs="仿宋"/>
          <w:b/>
          <w:sz w:val="36"/>
          <w:szCs w:val="36"/>
          <w:highlight w:val="none"/>
        </w:rPr>
      </w:pPr>
      <w:r>
        <w:rPr>
          <w:rFonts w:hint="eastAsia" w:ascii="仿宋" w:hAnsi="仿宋" w:eastAsia="仿宋" w:cs="仿宋"/>
          <w:b/>
          <w:sz w:val="44"/>
          <w:szCs w:val="44"/>
          <w:highlight w:val="none"/>
          <w:lang w:val="en-US" w:eastAsia="zh-CN"/>
        </w:rPr>
        <w:t xml:space="preserve">             </w:t>
      </w:r>
      <w:r>
        <w:rPr>
          <w:rFonts w:hint="eastAsia" w:ascii="仿宋" w:hAnsi="仿宋" w:eastAsia="仿宋" w:cs="仿宋"/>
          <w:b/>
          <w:sz w:val="44"/>
          <w:szCs w:val="44"/>
          <w:highlight w:val="none"/>
        </w:rPr>
        <w:t>软件开发合同</w:t>
      </w:r>
    </w:p>
    <w:p w14:paraId="1F5492D1">
      <w:pPr>
        <w:jc w:val="right"/>
        <w:rPr>
          <w:rFonts w:hint="eastAsia" w:ascii="仿宋" w:hAnsi="仿宋" w:eastAsia="仿宋" w:cs="仿宋"/>
          <w:b/>
          <w:sz w:val="36"/>
          <w:szCs w:val="36"/>
          <w:highlight w:val="none"/>
        </w:rPr>
      </w:pPr>
    </w:p>
    <w:p w14:paraId="16CF0CE7">
      <w:pPr>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合同文件</w:t>
      </w:r>
    </w:p>
    <w:p w14:paraId="4C8A6284">
      <w:pPr>
        <w:ind w:firstLine="561"/>
        <w:jc w:val="center"/>
        <w:rPr>
          <w:rFonts w:hint="eastAsia" w:ascii="仿宋" w:hAnsi="仿宋" w:eastAsia="仿宋" w:cs="仿宋"/>
          <w:b/>
          <w:sz w:val="28"/>
          <w:highlight w:val="none"/>
        </w:rPr>
      </w:pPr>
    </w:p>
    <w:p w14:paraId="4C6C48C6">
      <w:pPr>
        <w:ind w:firstLine="561"/>
        <w:jc w:val="center"/>
        <w:rPr>
          <w:rFonts w:hint="eastAsia" w:ascii="仿宋" w:hAnsi="仿宋" w:eastAsia="仿宋" w:cs="仿宋"/>
          <w:b/>
          <w:sz w:val="28"/>
          <w:highlight w:val="none"/>
        </w:rPr>
      </w:pPr>
    </w:p>
    <w:p w14:paraId="4936B478">
      <w:pPr>
        <w:ind w:firstLine="561"/>
        <w:jc w:val="center"/>
        <w:rPr>
          <w:rFonts w:hint="eastAsia" w:ascii="仿宋" w:hAnsi="仿宋" w:eastAsia="仿宋" w:cs="仿宋"/>
          <w:b/>
          <w:sz w:val="28"/>
          <w:highlight w:val="none"/>
        </w:rPr>
      </w:pPr>
    </w:p>
    <w:p w14:paraId="57DEF184">
      <w:pPr>
        <w:ind w:firstLine="2718" w:firstLineChars="967"/>
        <w:jc w:val="both"/>
        <w:rPr>
          <w:rFonts w:hint="eastAsia" w:ascii="仿宋" w:hAnsi="仿宋" w:eastAsia="仿宋" w:cs="仿宋"/>
          <w:b/>
          <w:sz w:val="28"/>
          <w:highlight w:val="none"/>
          <w:u w:val="single"/>
        </w:rPr>
      </w:pPr>
      <w:r>
        <w:rPr>
          <w:rFonts w:hint="eastAsia" w:ascii="仿宋" w:hAnsi="仿宋" w:eastAsia="仿宋" w:cs="仿宋"/>
          <w:b/>
          <w:sz w:val="28"/>
          <w:highlight w:val="none"/>
        </w:rPr>
        <w:t>合同编号：</w:t>
      </w:r>
      <w:r>
        <w:rPr>
          <w:rFonts w:hint="eastAsia" w:ascii="仿宋" w:hAnsi="仿宋" w:eastAsia="仿宋" w:cs="仿宋"/>
          <w:b/>
          <w:sz w:val="28"/>
          <w:highlight w:val="none"/>
          <w:lang w:val="en-US" w:eastAsia="zh-CN"/>
        </w:rPr>
        <w:t xml:space="preserve">                 </w:t>
      </w:r>
    </w:p>
    <w:p w14:paraId="01085CA2">
      <w:pPr>
        <w:widowControl w:val="0"/>
        <w:spacing w:before="120"/>
        <w:jc w:val="both"/>
        <w:rPr>
          <w:rFonts w:hint="eastAsia" w:ascii="仿宋" w:hAnsi="仿宋" w:eastAsia="仿宋" w:cs="仿宋"/>
          <w:b/>
          <w:bCs/>
          <w:kern w:val="2"/>
          <w:sz w:val="28"/>
          <w:szCs w:val="24"/>
          <w:highlight w:val="none"/>
          <w:lang w:val="en-US" w:eastAsia="zh-CN" w:bidi="ar-SA"/>
        </w:rPr>
      </w:pPr>
    </w:p>
    <w:p w14:paraId="677B96CA">
      <w:pPr>
        <w:widowControl w:val="0"/>
        <w:spacing w:before="120"/>
        <w:jc w:val="both"/>
        <w:rPr>
          <w:rFonts w:hint="eastAsia" w:ascii="仿宋" w:hAnsi="仿宋" w:eastAsia="仿宋" w:cs="仿宋"/>
          <w:b w:val="0"/>
          <w:bCs/>
          <w:kern w:val="2"/>
          <w:sz w:val="44"/>
          <w:szCs w:val="44"/>
          <w:highlight w:val="none"/>
          <w:lang w:val="en-US" w:eastAsia="zh-CN" w:bidi="ar-SA"/>
        </w:rPr>
      </w:pPr>
    </w:p>
    <w:p w14:paraId="396F2F2B">
      <w:pPr>
        <w:rPr>
          <w:rFonts w:hint="eastAsia" w:ascii="仿宋" w:hAnsi="仿宋" w:eastAsia="仿宋" w:cs="仿宋"/>
          <w:highlight w:val="none"/>
        </w:rPr>
      </w:pPr>
    </w:p>
    <w:p w14:paraId="7C4D27EC">
      <w:pPr>
        <w:jc w:val="center"/>
        <w:rPr>
          <w:rFonts w:hint="eastAsia" w:ascii="仿宋" w:hAnsi="仿宋" w:eastAsia="仿宋" w:cs="仿宋"/>
          <w:b/>
          <w:sz w:val="84"/>
          <w:szCs w:val="84"/>
          <w:highlight w:val="none"/>
        </w:rPr>
      </w:pPr>
    </w:p>
    <w:p w14:paraId="582EE603">
      <w:pPr>
        <w:jc w:val="center"/>
        <w:rPr>
          <w:rFonts w:hint="eastAsia" w:ascii="仿宋" w:hAnsi="仿宋" w:eastAsia="仿宋" w:cs="仿宋"/>
          <w:b/>
          <w:sz w:val="84"/>
          <w:szCs w:val="84"/>
          <w:highlight w:val="none"/>
        </w:rPr>
      </w:pPr>
    </w:p>
    <w:p w14:paraId="5BD59D7F">
      <w:pPr>
        <w:rPr>
          <w:rFonts w:hint="eastAsia" w:ascii="仿宋" w:hAnsi="仿宋" w:eastAsia="仿宋" w:cs="仿宋"/>
          <w:b/>
          <w:sz w:val="32"/>
          <w:szCs w:val="32"/>
          <w:highlight w:val="none"/>
        </w:rPr>
      </w:pPr>
    </w:p>
    <w:p w14:paraId="6B529B43">
      <w:pPr>
        <w:jc w:val="center"/>
        <w:rPr>
          <w:rFonts w:hint="eastAsia" w:ascii="仿宋" w:hAnsi="仿宋" w:eastAsia="仿宋" w:cs="仿宋"/>
          <w:b/>
          <w:sz w:val="32"/>
          <w:szCs w:val="32"/>
          <w:highlight w:val="none"/>
        </w:rPr>
      </w:pPr>
    </w:p>
    <w:p w14:paraId="13258376">
      <w:pPr>
        <w:jc w:val="center"/>
        <w:rPr>
          <w:rFonts w:hint="eastAsia" w:ascii="仿宋" w:hAnsi="仿宋" w:eastAsia="仿宋" w:cs="仿宋"/>
          <w:b/>
          <w:sz w:val="32"/>
          <w:szCs w:val="32"/>
          <w:highlight w:val="none"/>
        </w:rPr>
      </w:pPr>
    </w:p>
    <w:p w14:paraId="28FE2BF6">
      <w:pPr>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甲方：</w:t>
      </w:r>
      <w:r>
        <w:rPr>
          <w:rFonts w:hint="eastAsia" w:ascii="仿宋" w:hAnsi="仿宋" w:eastAsia="仿宋" w:cs="仿宋"/>
          <w:b/>
          <w:sz w:val="32"/>
          <w:szCs w:val="32"/>
          <w:highlight w:val="none"/>
          <w:u w:val="single"/>
        </w:rPr>
        <w:t>重庆首讯科技股份有限公司</w:t>
      </w:r>
    </w:p>
    <w:p w14:paraId="02B39E58">
      <w:pPr>
        <w:ind w:firstLine="2249" w:firstLineChars="700"/>
        <w:jc w:val="both"/>
        <w:rPr>
          <w:rFonts w:hint="eastAsia" w:ascii="仿宋" w:hAnsi="仿宋" w:eastAsia="仿宋" w:cs="仿宋"/>
          <w:b/>
          <w:color w:val="auto"/>
          <w:sz w:val="28"/>
          <w:highlight w:val="none"/>
          <w:u w:val="single"/>
        </w:rPr>
      </w:pPr>
      <w:r>
        <w:rPr>
          <w:rFonts w:hint="eastAsia" w:ascii="仿宋" w:hAnsi="仿宋" w:eastAsia="仿宋" w:cs="仿宋"/>
          <w:b/>
          <w:sz w:val="32"/>
          <w:szCs w:val="32"/>
          <w:highlight w:val="none"/>
        </w:rPr>
        <w:t>乙方：</w:t>
      </w:r>
      <w:r>
        <w:rPr>
          <w:rFonts w:hint="eastAsia" w:ascii="仿宋" w:hAnsi="仿宋" w:eastAsia="仿宋" w:cs="仿宋"/>
          <w:b/>
          <w:sz w:val="32"/>
          <w:szCs w:val="32"/>
          <w:highlight w:val="none"/>
          <w:u w:val="single"/>
          <w:lang w:val="en-US" w:eastAsia="zh-CN"/>
        </w:rPr>
        <w:t xml:space="preserve">                   </w:t>
      </w:r>
      <w:r>
        <w:rPr>
          <w:rFonts w:hint="eastAsia" w:ascii="仿宋" w:hAnsi="仿宋" w:eastAsia="仿宋" w:cs="仿宋"/>
          <w:b/>
          <w:sz w:val="32"/>
          <w:szCs w:val="32"/>
          <w:highlight w:val="none"/>
          <w:u w:val="single"/>
        </w:rPr>
        <w:t>公司</w:t>
      </w:r>
      <w:r>
        <w:rPr>
          <w:rFonts w:hint="eastAsia" w:ascii="仿宋" w:hAnsi="仿宋" w:eastAsia="仿宋" w:cs="仿宋"/>
          <w:b/>
          <w:color w:val="auto"/>
          <w:sz w:val="28"/>
          <w:highlight w:val="none"/>
          <w:lang w:val="en-US" w:eastAsia="zh-CN"/>
        </w:rPr>
        <w:t xml:space="preserve">                 </w:t>
      </w:r>
    </w:p>
    <w:p w14:paraId="3A7048F3">
      <w:pPr>
        <w:widowControl w:val="0"/>
        <w:spacing w:before="120"/>
        <w:jc w:val="both"/>
        <w:rPr>
          <w:rFonts w:hint="eastAsia" w:ascii="仿宋" w:hAnsi="仿宋" w:eastAsia="仿宋" w:cs="仿宋"/>
          <w:b/>
          <w:bCs/>
          <w:color w:val="auto"/>
          <w:kern w:val="2"/>
          <w:sz w:val="28"/>
          <w:szCs w:val="24"/>
          <w:highlight w:val="none"/>
          <w:lang w:val="en-US" w:eastAsia="zh-CN" w:bidi="ar-SA"/>
        </w:rPr>
      </w:pPr>
    </w:p>
    <w:p w14:paraId="2642F268">
      <w:pPr>
        <w:widowControl w:val="0"/>
        <w:spacing w:before="120"/>
        <w:jc w:val="both"/>
        <w:rPr>
          <w:rFonts w:hint="eastAsia" w:ascii="仿宋" w:hAnsi="仿宋" w:eastAsia="仿宋" w:cs="仿宋"/>
          <w:b w:val="0"/>
          <w:bCs/>
          <w:color w:val="auto"/>
          <w:kern w:val="2"/>
          <w:sz w:val="44"/>
          <w:szCs w:val="44"/>
          <w:highlight w:val="none"/>
          <w:lang w:val="en-US" w:eastAsia="zh-CN" w:bidi="ar-SA"/>
        </w:rPr>
      </w:pPr>
    </w:p>
    <w:p w14:paraId="36018C89">
      <w:pPr>
        <w:rPr>
          <w:rFonts w:hint="eastAsia" w:ascii="仿宋" w:hAnsi="仿宋" w:eastAsia="仿宋" w:cs="仿宋"/>
          <w:color w:val="auto"/>
          <w:highlight w:val="none"/>
        </w:rPr>
      </w:pPr>
    </w:p>
    <w:p w14:paraId="10A2D429">
      <w:pPr>
        <w:jc w:val="center"/>
        <w:rPr>
          <w:rFonts w:hint="eastAsia" w:ascii="仿宋" w:hAnsi="仿宋" w:eastAsia="仿宋" w:cs="仿宋"/>
          <w:b/>
          <w:color w:val="auto"/>
          <w:sz w:val="84"/>
          <w:szCs w:val="84"/>
          <w:highlight w:val="none"/>
        </w:rPr>
      </w:pPr>
    </w:p>
    <w:p w14:paraId="2ECB6248">
      <w:pPr>
        <w:jc w:val="center"/>
        <w:rPr>
          <w:rFonts w:hint="eastAsia" w:ascii="仿宋" w:hAnsi="仿宋" w:eastAsia="仿宋" w:cs="仿宋"/>
          <w:b/>
          <w:color w:val="auto"/>
          <w:sz w:val="84"/>
          <w:szCs w:val="84"/>
          <w:highlight w:val="none"/>
        </w:rPr>
      </w:pPr>
    </w:p>
    <w:p w14:paraId="4566E634">
      <w:pPr>
        <w:rPr>
          <w:rFonts w:hint="eastAsia" w:ascii="仿宋" w:hAnsi="仿宋" w:eastAsia="仿宋" w:cs="仿宋"/>
          <w:b/>
          <w:color w:val="auto"/>
          <w:sz w:val="32"/>
          <w:szCs w:val="32"/>
          <w:highlight w:val="none"/>
        </w:rPr>
      </w:pPr>
    </w:p>
    <w:p w14:paraId="06BF3F89">
      <w:pPr>
        <w:rPr>
          <w:rFonts w:hint="eastAsia"/>
          <w:color w:val="auto"/>
          <w:highlight w:val="none"/>
          <w:lang w:val="en-US" w:eastAsia="zh-CN"/>
        </w:rPr>
      </w:pPr>
    </w:p>
    <w:p w14:paraId="113679FC">
      <w:pPr>
        <w:widowControl w:val="0"/>
        <w:tabs>
          <w:tab w:val="right" w:leader="dot" w:pos="8296"/>
        </w:tabs>
        <w:spacing w:line="360" w:lineRule="auto"/>
        <w:ind w:left="210"/>
        <w:jc w:val="center"/>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目     录</w:t>
      </w:r>
    </w:p>
    <w:p w14:paraId="38EAD7C6">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TOC \o "1-3" \h \z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"_Toc513647839"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第1条 </w:t>
      </w:r>
      <w:r>
        <w:rPr>
          <w:rStyle w:val="57"/>
          <w:rFonts w:ascii="仿宋" w:hAnsi="仿宋" w:eastAsia="仿宋" w:cs="仿宋"/>
          <w:b w:val="0"/>
          <w:smallCaps w:val="0"/>
          <w:color w:val="auto"/>
          <w:kern w:val="0"/>
          <w:sz w:val="24"/>
          <w:szCs w:val="24"/>
          <w:highlight w:val="none"/>
          <w:lang w:val="en-US" w:eastAsia="zh-CN" w:bidi="ar-SA"/>
        </w:rPr>
        <w:t>定义</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3</w:t>
      </w:r>
      <w:r>
        <w:rPr>
          <w:rFonts w:hint="eastAsia" w:ascii="仿宋" w:hAnsi="仿宋" w:eastAsia="仿宋" w:cs="仿宋"/>
          <w:b w:val="0"/>
          <w:smallCaps w:val="0"/>
          <w:color w:val="auto"/>
          <w:kern w:val="0"/>
          <w:sz w:val="24"/>
          <w:szCs w:val="24"/>
          <w:highlight w:val="none"/>
          <w:lang w:val="en-US" w:eastAsia="zh-CN" w:bidi="ar-SA"/>
        </w:rPr>
        <w:fldChar w:fldCharType="end"/>
      </w:r>
    </w:p>
    <w:p w14:paraId="7D0C649E">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第2条 </w:t>
      </w:r>
      <w:r>
        <w:rPr>
          <w:rStyle w:val="57"/>
          <w:rFonts w:ascii="仿宋" w:hAnsi="仿宋" w:eastAsia="仿宋" w:cs="仿宋"/>
          <w:b w:val="0"/>
          <w:smallCaps w:val="0"/>
          <w:color w:val="auto"/>
          <w:kern w:val="0"/>
          <w:sz w:val="24"/>
          <w:szCs w:val="24"/>
          <w:highlight w:val="none"/>
          <w:lang w:val="en-US" w:eastAsia="zh-CN" w:bidi="ar-SA"/>
        </w:rPr>
        <w:t>开发软件描述</w:t>
      </w:r>
      <w:r>
        <w:rPr>
          <w:rStyle w:val="57"/>
          <w:rFonts w:hint="eastAsia" w:ascii="仿宋" w:hAnsi="仿宋" w:eastAsia="仿宋" w:cs="仿宋"/>
          <w:b w:val="0"/>
          <w:smallCaps w:val="0"/>
          <w:color w:val="auto"/>
          <w:kern w:val="0"/>
          <w:sz w:val="24"/>
          <w:szCs w:val="24"/>
          <w:highlight w:val="none"/>
          <w:lang w:val="en-US" w:eastAsia="zh-CN" w:bidi="ar-SA"/>
        </w:rPr>
        <w:t>及清单</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60916056">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第3条 </w:t>
      </w:r>
      <w:r>
        <w:rPr>
          <w:rStyle w:val="57"/>
          <w:rFonts w:ascii="仿宋" w:hAnsi="仿宋" w:eastAsia="仿宋" w:cs="仿宋"/>
          <w:b w:val="0"/>
          <w:smallCaps w:val="0"/>
          <w:color w:val="auto"/>
          <w:kern w:val="0"/>
          <w:sz w:val="24"/>
          <w:szCs w:val="24"/>
          <w:highlight w:val="none"/>
          <w:lang w:val="en-US" w:eastAsia="zh-CN" w:bidi="ar-SA"/>
        </w:rPr>
        <w:t>软件开发</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6174C8FD">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第4条 </w:t>
      </w:r>
      <w:r>
        <w:rPr>
          <w:rStyle w:val="57"/>
          <w:rFonts w:ascii="仿宋" w:hAnsi="仿宋" w:eastAsia="仿宋" w:cs="仿宋"/>
          <w:b w:val="0"/>
          <w:smallCaps w:val="0"/>
          <w:color w:val="auto"/>
          <w:kern w:val="0"/>
          <w:sz w:val="24"/>
          <w:szCs w:val="24"/>
          <w:highlight w:val="none"/>
          <w:lang w:val="en-US" w:eastAsia="zh-CN" w:bidi="ar-SA"/>
        </w:rPr>
        <w:t>项目变更</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1F73AA60">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第5条 </w:t>
      </w:r>
      <w:r>
        <w:rPr>
          <w:rStyle w:val="57"/>
          <w:rFonts w:ascii="仿宋" w:hAnsi="仿宋" w:eastAsia="仿宋" w:cs="仿宋"/>
          <w:b w:val="0"/>
          <w:smallCaps w:val="0"/>
          <w:color w:val="auto"/>
          <w:kern w:val="0"/>
          <w:sz w:val="24"/>
          <w:szCs w:val="24"/>
          <w:highlight w:val="none"/>
          <w:lang w:val="en-US" w:eastAsia="zh-CN" w:bidi="ar-SA"/>
        </w:rPr>
        <w:t>交付、领受与验收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2A4D3411">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"_Toc513647857"</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第6条 </w:t>
      </w:r>
      <w:r>
        <w:rPr>
          <w:rStyle w:val="57"/>
          <w:rFonts w:ascii="仿宋" w:hAnsi="仿宋" w:eastAsia="仿宋" w:cs="仿宋"/>
          <w:b w:val="0"/>
          <w:smallCaps w:val="0"/>
          <w:color w:val="auto"/>
          <w:kern w:val="0"/>
          <w:sz w:val="24"/>
          <w:szCs w:val="24"/>
          <w:highlight w:val="none"/>
          <w:lang w:val="en-US" w:eastAsia="zh-CN" w:bidi="ar-SA"/>
        </w:rPr>
        <w:t>知识产权和使用权</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7</w:t>
      </w:r>
    </w:p>
    <w:p w14:paraId="4D7C38A8">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第7条 </w:t>
      </w:r>
      <w:r>
        <w:rPr>
          <w:rStyle w:val="57"/>
          <w:rFonts w:ascii="仿宋" w:hAnsi="仿宋" w:eastAsia="仿宋" w:cs="仿宋"/>
          <w:b w:val="0"/>
          <w:smallCaps w:val="0"/>
          <w:color w:val="auto"/>
          <w:kern w:val="0"/>
          <w:sz w:val="24"/>
          <w:szCs w:val="24"/>
          <w:highlight w:val="none"/>
          <w:lang w:val="en-US" w:eastAsia="zh-CN" w:bidi="ar-SA"/>
        </w:rPr>
        <w:t>维护和培训</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4BAB6A7C">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第8条 </w:t>
      </w:r>
      <w:r>
        <w:rPr>
          <w:rStyle w:val="57"/>
          <w:rFonts w:ascii="仿宋" w:hAnsi="仿宋" w:eastAsia="仿宋" w:cs="仿宋"/>
          <w:b w:val="0"/>
          <w:smallCaps w:val="0"/>
          <w:color w:val="auto"/>
          <w:kern w:val="0"/>
          <w:sz w:val="24"/>
          <w:szCs w:val="24"/>
          <w:highlight w:val="none"/>
          <w:lang w:val="en-US" w:eastAsia="zh-CN" w:bidi="ar-SA"/>
        </w:rPr>
        <w:t>价格与付款方式</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25E4FCAC">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"_Toc513647860"</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第9条 </w:t>
      </w:r>
      <w:r>
        <w:rPr>
          <w:rStyle w:val="57"/>
          <w:rFonts w:ascii="仿宋" w:hAnsi="仿宋" w:eastAsia="仿宋" w:cs="仿宋"/>
          <w:b w:val="0"/>
          <w:smallCaps w:val="0"/>
          <w:color w:val="auto"/>
          <w:kern w:val="0"/>
          <w:sz w:val="24"/>
          <w:szCs w:val="24"/>
          <w:highlight w:val="none"/>
          <w:lang w:val="en-US" w:eastAsia="zh-CN" w:bidi="ar-SA"/>
        </w:rPr>
        <w:t>保证与免责</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9</w:t>
      </w:r>
    </w:p>
    <w:p w14:paraId="1F1DF4D0">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"_Toc513647863"</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第10条 </w:t>
      </w:r>
      <w:r>
        <w:rPr>
          <w:rStyle w:val="57"/>
          <w:rFonts w:ascii="仿宋" w:hAnsi="仿宋" w:eastAsia="仿宋" w:cs="仿宋"/>
          <w:b w:val="0"/>
          <w:smallCaps w:val="0"/>
          <w:color w:val="auto"/>
          <w:kern w:val="0"/>
          <w:sz w:val="24"/>
          <w:szCs w:val="24"/>
          <w:highlight w:val="none"/>
          <w:lang w:val="en-US" w:eastAsia="zh-CN" w:bidi="ar-SA"/>
        </w:rPr>
        <w:t>保密</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w:t>
      </w:r>
    </w:p>
    <w:p w14:paraId="7D4D5CD6">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"_Toc513647864"</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第11条 </w:t>
      </w:r>
      <w:r>
        <w:rPr>
          <w:rFonts w:hint="eastAsia" w:ascii="仿宋" w:hAnsi="仿宋" w:eastAsia="仿宋" w:cs="仿宋"/>
          <w:b w:val="0"/>
          <w:smallCaps w:val="0"/>
          <w:color w:val="auto"/>
          <w:kern w:val="0"/>
          <w:sz w:val="24"/>
          <w:szCs w:val="24"/>
          <w:highlight w:val="none"/>
          <w:lang w:val="en-US" w:eastAsia="zh-CN" w:bidi="ar-SA"/>
        </w:rPr>
        <w:t>违约与赔偿责任</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3</w:t>
      </w:r>
    </w:p>
    <w:p w14:paraId="468E6B8C">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"_Toc513647864"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第12条 综合条款</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2157E010">
      <w:pPr>
        <w:widowControl w:val="0"/>
        <w:tabs>
          <w:tab w:val="right" w:leader="dot" w:pos="8296"/>
        </w:tabs>
        <w:spacing w:line="360" w:lineRule="auto"/>
        <w:ind w:left="210"/>
        <w:jc w:val="left"/>
        <w:rPr>
          <w:rFonts w:ascii="Calibri" w:hAnsi="Calibri" w:eastAsia="宋体" w:cs="Times New Roman"/>
          <w:b/>
          <w:smallCaps/>
          <w:color w:val="auto"/>
          <w:kern w:val="2"/>
          <w:sz w:val="21"/>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第13条</w:t>
      </w:r>
      <w:r>
        <w:rPr>
          <w:rStyle w:val="57"/>
          <w:rFonts w:hint="eastAsia" w:ascii="仿宋" w:hAnsi="仿宋" w:eastAsia="仿宋" w:cs="仿宋"/>
          <w:b w:val="0"/>
          <w:smallCaps w:val="0"/>
          <w:color w:val="auto"/>
          <w:kern w:val="0"/>
          <w:sz w:val="24"/>
          <w:szCs w:val="24"/>
          <w:highlight w:val="none"/>
          <w:lang w:val="en-US" w:eastAsia="zh-CN" w:bidi="ar-SA"/>
        </w:rPr>
        <w:t xml:space="preserve"> </w:t>
      </w:r>
      <w:r>
        <w:rPr>
          <w:rStyle w:val="57"/>
          <w:rFonts w:ascii="仿宋" w:hAnsi="仿宋" w:eastAsia="仿宋" w:cs="仿宋"/>
          <w:b w:val="0"/>
          <w:smallCaps w:val="0"/>
          <w:color w:val="auto"/>
          <w:kern w:val="0"/>
          <w:sz w:val="24"/>
          <w:szCs w:val="24"/>
          <w:highlight w:val="none"/>
          <w:lang w:val="en-US" w:eastAsia="zh-CN" w:bidi="ar-SA"/>
        </w:rPr>
        <w:t>争议解决</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537A8FB5">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w:t>
      </w:r>
      <w:r>
        <w:rPr>
          <w:rStyle w:val="57"/>
          <w:rFonts w:hint="eastAsia" w:ascii="仿宋" w:hAnsi="仿宋" w:eastAsia="仿宋" w:cs="仿宋"/>
          <w:b w:val="0"/>
          <w:smallCaps w:val="0"/>
          <w:color w:val="auto"/>
          <w:kern w:val="0"/>
          <w:sz w:val="24"/>
          <w:szCs w:val="24"/>
          <w:highlight w:val="none"/>
          <w:lang w:val="en-US" w:eastAsia="zh-CN" w:bidi="ar-SA"/>
        </w:rPr>
        <w:t xml:space="preserve">14条 </w:t>
      </w:r>
      <w:r>
        <w:rPr>
          <w:rStyle w:val="57"/>
          <w:rFonts w:ascii="仿宋" w:hAnsi="仿宋" w:eastAsia="仿宋" w:cs="仿宋"/>
          <w:b w:val="0"/>
          <w:smallCaps w:val="0"/>
          <w:color w:val="auto"/>
          <w:kern w:val="0"/>
          <w:sz w:val="24"/>
          <w:szCs w:val="24"/>
          <w:highlight w:val="none"/>
          <w:lang w:val="en-US" w:eastAsia="zh-CN" w:bidi="ar-SA"/>
        </w:rPr>
        <w:t>通知</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4D279FD3">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"_Toc513647866"</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第15条 </w:t>
      </w:r>
      <w:r>
        <w:rPr>
          <w:rStyle w:val="57"/>
          <w:rFonts w:ascii="仿宋" w:hAnsi="仿宋" w:eastAsia="仿宋" w:cs="仿宋"/>
          <w:b w:val="0"/>
          <w:smallCaps w:val="0"/>
          <w:color w:val="auto"/>
          <w:kern w:val="0"/>
          <w:sz w:val="24"/>
          <w:szCs w:val="24"/>
          <w:highlight w:val="none"/>
          <w:lang w:val="en-US" w:eastAsia="zh-CN" w:bidi="ar-SA"/>
        </w:rPr>
        <w:t>合同的生效、变更与终止</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3689C7BE">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第16条 信用</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16</w:t>
      </w:r>
    </w:p>
    <w:p w14:paraId="2660B406">
      <w:pPr>
        <w:widowControl w:val="0"/>
        <w:tabs>
          <w:tab w:val="right" w:leader="dot" w:pos="8296"/>
        </w:tabs>
        <w:spacing w:line="360" w:lineRule="auto"/>
        <w:ind w:left="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 xml:space="preserve">  </w:t>
      </w: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附件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17</w:t>
      </w:r>
    </w:p>
    <w:p w14:paraId="0EA4CDF8">
      <w:pPr>
        <w:rPr>
          <w:rFonts w:ascii="Calibri" w:hAnsi="Calibri" w:eastAsia="宋体" w:cs="Times New Roman"/>
          <w:color w:val="auto"/>
          <w:highlight w:val="none"/>
        </w:rPr>
      </w:pPr>
    </w:p>
    <w:p w14:paraId="0A177BE6">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fldChar w:fldCharType="end"/>
      </w:r>
    </w:p>
    <w:p w14:paraId="72FAEAD0">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3F194382">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69917A9D">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5DC1B4DF">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3091ECB4">
      <w:pPr>
        <w:widowControl/>
        <w:spacing w:before="100" w:beforeAutospacing="1" w:after="100" w:afterAutospacing="1" w:line="500" w:lineRule="exact"/>
        <w:jc w:val="center"/>
        <w:rPr>
          <w:rFonts w:hint="eastAsia" w:ascii="仿宋" w:hAnsi="仿宋" w:eastAsia="仿宋" w:cs="仿宋"/>
          <w:b/>
          <w:color w:val="auto"/>
          <w:kern w:val="2"/>
          <w:sz w:val="32"/>
          <w:szCs w:val="32"/>
          <w:highlight w:val="none"/>
          <w:lang w:val="en-US" w:eastAsia="zh-CN" w:bidi="ar-SA"/>
        </w:rPr>
      </w:pPr>
    </w:p>
    <w:p w14:paraId="5F089B39">
      <w:pPr>
        <w:widowControl/>
        <w:spacing w:before="100" w:beforeAutospacing="1" w:after="100" w:afterAutospacing="1" w:line="500" w:lineRule="exact"/>
        <w:ind w:firstLine="0" w:firstLine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color w:val="auto"/>
          <w:kern w:val="2"/>
          <w:sz w:val="32"/>
          <w:szCs w:val="32"/>
          <w:highlight w:val="none"/>
          <w:u w:val="single"/>
          <w:lang w:val="en-US" w:eastAsia="zh-CN" w:bidi="ar-SA"/>
        </w:rPr>
        <w:t xml:space="preserve">            </w:t>
      </w:r>
      <w:r>
        <w:rPr>
          <w:rFonts w:hint="eastAsia" w:ascii="仿宋" w:hAnsi="仿宋" w:eastAsia="仿宋" w:cs="仿宋"/>
          <w:b/>
          <w:kern w:val="2"/>
          <w:sz w:val="32"/>
          <w:szCs w:val="32"/>
          <w:highlight w:val="none"/>
          <w:lang w:val="en-US" w:eastAsia="zh-CN" w:bidi="ar-SA"/>
        </w:rPr>
        <w:t>软件开发合同</w:t>
      </w:r>
    </w:p>
    <w:p w14:paraId="4D9D735D">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w:t>
      </w:r>
      <w:r>
        <w:rPr>
          <w:rFonts w:hint="eastAsia" w:ascii="仿宋" w:hAnsi="仿宋" w:eastAsia="仿宋" w:cs="仿宋"/>
          <w:color w:val="auto"/>
          <w:kern w:val="0"/>
          <w:sz w:val="24"/>
          <w:szCs w:val="24"/>
          <w:highlight w:val="none"/>
          <w:u w:val="single"/>
          <w:lang w:val="en-US" w:eastAsia="zh-CN" w:bidi="ar-SA"/>
        </w:rPr>
        <w:t xml:space="preserve">                                   </w:t>
      </w:r>
    </w:p>
    <w:p w14:paraId="3CB697C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7E61369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51293F0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75FC59E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46C2290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w:t>
      </w:r>
      <w:r>
        <w:rPr>
          <w:rFonts w:hint="eastAsia" w:ascii="仿宋" w:hAnsi="仿宋" w:eastAsia="仿宋" w:cs="仿宋"/>
          <w:color w:val="auto"/>
          <w:kern w:val="0"/>
          <w:sz w:val="24"/>
          <w:szCs w:val="24"/>
          <w:highlight w:val="none"/>
          <w:u w:val="single"/>
          <w:lang w:val="en-US" w:eastAsia="zh-CN" w:bidi="ar-SA"/>
        </w:rPr>
        <w:t xml:space="preserve">                                   </w:t>
      </w:r>
    </w:p>
    <w:p w14:paraId="47C9F81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7790DA1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3487EE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3EF48F2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3F6248B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鉴于甲方有意委托乙方开发用于</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（财务、企业经营管理等业务）的计算机信息化系统软件，双方特依据《中华人民共和国民法典》和相关的法律法规，按照平等互利的原则达成如下协议：</w:t>
      </w:r>
    </w:p>
    <w:p w14:paraId="0301FD91">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第1条 定义</w:t>
      </w:r>
    </w:p>
    <w:p w14:paraId="5EA53B4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本合同中使用的下列词语具有如下含义：</w:t>
      </w:r>
    </w:p>
    <w:p w14:paraId="2E116B5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 “软件”包括“软件系统”，除另有指明外，指描述于本合同附件—中的在本合同履行期内所开发和提供的当前和将来的软件版本，包括乙方为履行本合同所开发和提供的软件版本和相关的文件。</w:t>
      </w:r>
    </w:p>
    <w:p w14:paraId="430D56A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 “可交付件”指附件中指定的由乙方所交付的软件，包括源代码、安装盘、技术文档、用户指南、操作手册、安装指南和测试报告等。</w:t>
      </w:r>
    </w:p>
    <w:p w14:paraId="07462A0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 “交付”指乙方在双方规定的日期内交付约定开发的软件的行为。但是乙方完成交付行为，并不意味着乙方已经完成了本合同项下所规定的所有义务。</w:t>
      </w:r>
    </w:p>
    <w:p w14:paraId="6DC7D1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 “规格”是指在技术或其他开发任务上所设定的技术标准、规范。</w:t>
      </w:r>
    </w:p>
    <w:p w14:paraId="0F814DF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 “里程碑”是指附件中所规定的由乙方在本软件开发过程中阶段性完成的，并具有相对独立性的部分软件或模块。</w:t>
      </w:r>
    </w:p>
    <w:p w14:paraId="26E6DD4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 “源代码”指用于该软件的源代码。其必须可为熟练的程序员理解和使用，可打印以及被机器阅读或具备其他合理而必要的形式，包括对该软件的评估、测试或其它技术文件。</w:t>
      </w:r>
    </w:p>
    <w:p w14:paraId="6282F5D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1.7 “商业秘密”指甲、乙方各自所拥有的，不为公众所知的管理信息、方式方法、顾客名单、商业数据、产品信息、销售渠道、技术诀窍、源代码、计算机文档等，或由甲、乙方在履行本合同过程中明确指明为商业秘密的、法律所认可的任何信息。</w:t>
      </w:r>
    </w:p>
    <w:p w14:paraId="40AF9C1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 “工作日”指国家所规定的节假日之外的所有工作日，未指明为工作日的日期指自然顺延的日期。</w:t>
      </w:r>
    </w:p>
    <w:p w14:paraId="45EE7059">
      <w:pPr>
        <w:tabs>
          <w:tab w:val="left" w:pos="2880"/>
          <w:tab w:val="left" w:pos="7020"/>
        </w:tabs>
        <w:spacing w:line="360" w:lineRule="auto"/>
        <w:ind w:right="178" w:rightChars="85" w:firstLine="482"/>
        <w:rPr>
          <w:rFonts w:hint="default"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第2条 开发软件描述</w:t>
      </w:r>
      <w:r>
        <w:rPr>
          <w:rFonts w:hint="eastAsia" w:ascii="仿宋" w:hAnsi="仿宋" w:eastAsia="仿宋" w:cs="仿宋"/>
          <w:b/>
          <w:bCs/>
          <w:color w:val="auto"/>
          <w:kern w:val="0"/>
          <w:sz w:val="24"/>
          <w:highlight w:val="none"/>
          <w:lang w:val="en-US" w:eastAsia="zh-CN"/>
        </w:rPr>
        <w:t>及清单</w:t>
      </w:r>
    </w:p>
    <w:p w14:paraId="162A909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 软件系统</w:t>
      </w:r>
    </w:p>
    <w:p w14:paraId="336015B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乙方所开发的软件系统为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（系统名称）；</w:t>
      </w:r>
    </w:p>
    <w:tbl>
      <w:tblPr>
        <w:tblStyle w:val="47"/>
        <w:tblpPr w:leftFromText="180" w:rightFromText="180" w:vertAnchor="text" w:horzAnchor="page" w:tblpX="1537" w:tblpY="406"/>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44"/>
        <w:gridCol w:w="965"/>
        <w:gridCol w:w="1716"/>
        <w:gridCol w:w="827"/>
        <w:gridCol w:w="1232"/>
        <w:gridCol w:w="1342"/>
        <w:gridCol w:w="1343"/>
      </w:tblGrid>
      <w:tr w14:paraId="0B78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09" w:type="dxa"/>
            <w:vAlign w:val="top"/>
          </w:tcPr>
          <w:p w14:paraId="040B77F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1544" w:type="dxa"/>
            <w:vAlign w:val="top"/>
          </w:tcPr>
          <w:p w14:paraId="27E1430B">
            <w:pPr>
              <w:keepNext w:val="0"/>
              <w:keepLines w:val="0"/>
              <w:widowControl/>
              <w:suppressLineNumbers w:val="0"/>
              <w:spacing w:before="0" w:beforeAutospacing="0" w:after="0" w:afterAutospacing="0" w:line="400" w:lineRule="exact"/>
              <w:ind w:left="0" w:right="0" w:firstLine="0" w:firstLineChars="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名称</w:t>
            </w:r>
          </w:p>
        </w:tc>
        <w:tc>
          <w:tcPr>
            <w:tcW w:w="965" w:type="dxa"/>
            <w:vAlign w:val="top"/>
          </w:tcPr>
          <w:p w14:paraId="2EA9001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品牌</w:t>
            </w:r>
          </w:p>
        </w:tc>
        <w:tc>
          <w:tcPr>
            <w:tcW w:w="1716" w:type="dxa"/>
            <w:vAlign w:val="top"/>
          </w:tcPr>
          <w:p w14:paraId="10A2CA3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功能描述</w:t>
            </w:r>
          </w:p>
        </w:tc>
        <w:tc>
          <w:tcPr>
            <w:tcW w:w="827" w:type="dxa"/>
            <w:vAlign w:val="top"/>
          </w:tcPr>
          <w:p w14:paraId="2A91B25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单位</w:t>
            </w:r>
          </w:p>
        </w:tc>
        <w:tc>
          <w:tcPr>
            <w:tcW w:w="1232" w:type="dxa"/>
            <w:vAlign w:val="top"/>
          </w:tcPr>
          <w:p w14:paraId="7B4E829C">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数量</w:t>
            </w:r>
          </w:p>
        </w:tc>
        <w:tc>
          <w:tcPr>
            <w:tcW w:w="1342" w:type="dxa"/>
            <w:vAlign w:val="top"/>
          </w:tcPr>
          <w:p w14:paraId="4E438767">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单价（元）</w:t>
            </w:r>
          </w:p>
        </w:tc>
        <w:tc>
          <w:tcPr>
            <w:tcW w:w="1343" w:type="dxa"/>
            <w:vAlign w:val="top"/>
          </w:tcPr>
          <w:p w14:paraId="02AFC4A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总价（元）</w:t>
            </w:r>
          </w:p>
        </w:tc>
      </w:tr>
      <w:tr w14:paraId="7BC50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09" w:type="dxa"/>
            <w:vAlign w:val="top"/>
          </w:tcPr>
          <w:p w14:paraId="034B66D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w:t>
            </w:r>
          </w:p>
        </w:tc>
        <w:tc>
          <w:tcPr>
            <w:tcW w:w="1544" w:type="dxa"/>
            <w:vAlign w:val="top"/>
          </w:tcPr>
          <w:p w14:paraId="7188A01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965" w:type="dxa"/>
            <w:vAlign w:val="top"/>
          </w:tcPr>
          <w:p w14:paraId="38856810">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716" w:type="dxa"/>
            <w:vAlign w:val="top"/>
          </w:tcPr>
          <w:p w14:paraId="5C923BD8">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27" w:type="dxa"/>
            <w:vAlign w:val="top"/>
          </w:tcPr>
          <w:p w14:paraId="03D9597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232" w:type="dxa"/>
            <w:vAlign w:val="top"/>
          </w:tcPr>
          <w:p w14:paraId="1B57E3A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342" w:type="dxa"/>
            <w:vAlign w:val="top"/>
          </w:tcPr>
          <w:p w14:paraId="7B2BB34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343" w:type="dxa"/>
            <w:vAlign w:val="top"/>
          </w:tcPr>
          <w:p w14:paraId="1CBEB08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590A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09" w:type="dxa"/>
            <w:vAlign w:val="top"/>
          </w:tcPr>
          <w:p w14:paraId="1328E86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w:t>
            </w:r>
          </w:p>
        </w:tc>
        <w:tc>
          <w:tcPr>
            <w:tcW w:w="1544" w:type="dxa"/>
            <w:vAlign w:val="top"/>
          </w:tcPr>
          <w:p w14:paraId="248F8DC6">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965" w:type="dxa"/>
            <w:vAlign w:val="top"/>
          </w:tcPr>
          <w:p w14:paraId="5A30D898">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716" w:type="dxa"/>
            <w:vAlign w:val="top"/>
          </w:tcPr>
          <w:p w14:paraId="078E629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27" w:type="dxa"/>
            <w:vAlign w:val="top"/>
          </w:tcPr>
          <w:p w14:paraId="12AAC2C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232" w:type="dxa"/>
            <w:vAlign w:val="top"/>
          </w:tcPr>
          <w:p w14:paraId="3CA12488">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342" w:type="dxa"/>
            <w:vAlign w:val="top"/>
          </w:tcPr>
          <w:p w14:paraId="35D22EA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343" w:type="dxa"/>
            <w:vAlign w:val="top"/>
          </w:tcPr>
          <w:p w14:paraId="47FFF5D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31B2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709" w:type="dxa"/>
            <w:vAlign w:val="top"/>
          </w:tcPr>
          <w:p w14:paraId="23A7C51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default" w:ascii="Arial" w:hAnsi="Arial" w:eastAsia="仿宋" w:cs="Arial"/>
                <w:color w:val="auto"/>
                <w:kern w:val="0"/>
                <w:sz w:val="24"/>
                <w:szCs w:val="24"/>
                <w:highlight w:val="none"/>
                <w:lang w:val="en-US" w:eastAsia="zh-CN" w:bidi="ar-SA"/>
              </w:rPr>
              <w:t>……</w:t>
            </w:r>
          </w:p>
        </w:tc>
        <w:tc>
          <w:tcPr>
            <w:tcW w:w="1544" w:type="dxa"/>
            <w:vAlign w:val="top"/>
          </w:tcPr>
          <w:p w14:paraId="248CBDB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965" w:type="dxa"/>
            <w:vAlign w:val="top"/>
          </w:tcPr>
          <w:p w14:paraId="438CC16C">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716" w:type="dxa"/>
            <w:vAlign w:val="top"/>
          </w:tcPr>
          <w:p w14:paraId="3F86EDE0">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27" w:type="dxa"/>
            <w:vAlign w:val="top"/>
          </w:tcPr>
          <w:p w14:paraId="6B218AC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232" w:type="dxa"/>
            <w:vAlign w:val="top"/>
          </w:tcPr>
          <w:p w14:paraId="05456F8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342" w:type="dxa"/>
            <w:vAlign w:val="top"/>
          </w:tcPr>
          <w:p w14:paraId="71C64CD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1343" w:type="dxa"/>
            <w:vAlign w:val="top"/>
          </w:tcPr>
          <w:p w14:paraId="055B008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bl>
    <w:p w14:paraId="26862423">
      <w:pPr>
        <w:widowControl/>
        <w:spacing w:before="0" w:beforeAutospacing="0" w:after="0" w:afterAutospacing="0" w:line="400" w:lineRule="exact"/>
        <w:ind w:firstLine="0" w:firstLineChars="0"/>
        <w:jc w:val="both"/>
        <w:rPr>
          <w:rFonts w:hint="eastAsia" w:ascii="仿宋" w:hAnsi="仿宋" w:eastAsia="仿宋" w:cs="仿宋"/>
          <w:color w:val="auto"/>
          <w:kern w:val="0"/>
          <w:sz w:val="24"/>
          <w:szCs w:val="24"/>
          <w:highlight w:val="none"/>
          <w:lang w:val="en-US" w:eastAsia="zh-CN" w:bidi="ar-SA"/>
        </w:rPr>
      </w:pPr>
    </w:p>
    <w:p w14:paraId="44FD11A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 软件开发的目标</w:t>
      </w:r>
    </w:p>
    <w:p w14:paraId="61E52AC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软件整体功能符合甲方所描述的经营和管理等要求，应达到</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正确性、效率、安全性、可靠性、开放性、实用性等</w:t>
      </w:r>
      <w:r>
        <w:rPr>
          <w:rFonts w:hint="eastAsia" w:ascii="仿宋" w:hAnsi="仿宋" w:eastAsia="仿宋" w:cs="仿宋"/>
          <w:color w:val="auto"/>
          <w:kern w:val="0"/>
          <w:sz w:val="24"/>
          <w:szCs w:val="24"/>
          <w:highlight w:val="none"/>
          <w:u w:val="single"/>
          <w:lang w:val="en-US" w:eastAsia="zh-CN" w:bidi="ar-SA"/>
        </w:rPr>
        <w:t>）</w:t>
      </w:r>
      <w:r>
        <w:rPr>
          <w:rFonts w:hint="eastAsia" w:ascii="仿宋" w:hAnsi="仿宋" w:eastAsia="仿宋" w:cs="仿宋"/>
          <w:color w:val="auto"/>
          <w:kern w:val="0"/>
          <w:sz w:val="24"/>
          <w:szCs w:val="24"/>
          <w:highlight w:val="none"/>
          <w:lang w:val="en-US" w:eastAsia="zh-CN" w:bidi="ar-SA"/>
        </w:rPr>
        <w:t>的技术指标。</w:t>
      </w:r>
    </w:p>
    <w:p w14:paraId="1FEF62E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2.3 软件开发的交付进度和时间</w:t>
      </w:r>
    </w:p>
    <w:p w14:paraId="5E1F98B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（1）本开发软件交付的时间为</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w:t>
      </w:r>
    </w:p>
    <w:p w14:paraId="720DAB6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（2）软件开发分为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个里程碑阶段，每个里程碑阶段的项目完成后，均应该依据本合同附件</w:t>
      </w:r>
      <w:r>
        <w:rPr>
          <w:rFonts w:hint="eastAsia" w:ascii="仿宋" w:hAnsi="仿宋" w:eastAsia="仿宋" w:cs="仿宋"/>
          <w:color w:val="auto"/>
          <w:kern w:val="0"/>
          <w:sz w:val="24"/>
          <w:szCs w:val="24"/>
          <w:highlight w:val="none"/>
          <w:u w:val="none"/>
          <w:lang w:val="en-US" w:eastAsia="zh-CN" w:bidi="ar-SA"/>
        </w:rPr>
        <w:t>三</w:t>
      </w:r>
      <w:r>
        <w:rPr>
          <w:rFonts w:hint="eastAsia" w:ascii="仿宋" w:hAnsi="仿宋" w:eastAsia="仿宋" w:cs="仿宋"/>
          <w:color w:val="auto"/>
          <w:kern w:val="0"/>
          <w:sz w:val="24"/>
          <w:szCs w:val="24"/>
          <w:highlight w:val="none"/>
          <w:lang w:val="en-US" w:eastAsia="zh-CN" w:bidi="ar-SA"/>
        </w:rPr>
        <w:t>所列的检测标准进行检测和交付。甲方将按照本合同的第</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条规定进行付款。乙方开发软件或引用的检测标准不得低于</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国家</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行业</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企业的标准。其具体规格、检测标准、阶段和进度、交付时间与地点、付款方式等见附件。</w:t>
      </w:r>
    </w:p>
    <w:p w14:paraId="09C4C0FD">
      <w:pPr>
        <w:tabs>
          <w:tab w:val="left" w:pos="2880"/>
          <w:tab w:val="left" w:pos="7020"/>
        </w:tabs>
        <w:spacing w:line="360" w:lineRule="auto"/>
        <w:ind w:right="178" w:rightChars="85" w:firstLine="482"/>
        <w:rPr>
          <w:rFonts w:hint="eastAsia" w:ascii="仿宋" w:hAnsi="仿宋" w:eastAsia="仿宋" w:cs="仿宋"/>
          <w:color w:val="auto"/>
          <w:highlight w:val="none"/>
        </w:rPr>
      </w:pPr>
      <w:r>
        <w:rPr>
          <w:rFonts w:hint="eastAsia" w:ascii="仿宋" w:hAnsi="仿宋" w:eastAsia="仿宋" w:cs="仿宋"/>
          <w:b/>
          <w:bCs/>
          <w:color w:val="auto"/>
          <w:kern w:val="0"/>
          <w:sz w:val="24"/>
          <w:highlight w:val="none"/>
        </w:rPr>
        <w:t>第3条 软件开发</w:t>
      </w:r>
    </w:p>
    <w:p w14:paraId="4363BF66">
      <w:pPr>
        <w:tabs>
          <w:tab w:val="left" w:pos="2880"/>
          <w:tab w:val="left" w:pos="7020"/>
        </w:tabs>
        <w:spacing w:line="360" w:lineRule="auto"/>
        <w:ind w:right="178" w:rightChars="85" w:firstLine="482"/>
        <w:rPr>
          <w:rFonts w:hint="eastAsia" w:ascii="仿宋" w:hAnsi="仿宋" w:eastAsia="仿宋" w:cs="仿宋"/>
          <w:color w:val="auto"/>
          <w:sz w:val="24"/>
          <w:highlight w:val="none"/>
        </w:rPr>
      </w:pPr>
      <w:r>
        <w:rPr>
          <w:rFonts w:hint="eastAsia" w:ascii="仿宋" w:hAnsi="仿宋" w:eastAsia="仿宋" w:cs="仿宋"/>
          <w:color w:val="auto"/>
          <w:sz w:val="24"/>
          <w:highlight w:val="none"/>
        </w:rPr>
        <w:t>3.1 开发</w:t>
      </w:r>
    </w:p>
    <w:p w14:paraId="7D775D9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自本合同签订之日起，乙方应尽力履行其在开发计划中所规定的义务，按时完成并交付每一项里程碑，其质量标准应符合附件</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的规定。</w:t>
      </w:r>
    </w:p>
    <w:p w14:paraId="133D55C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3.2 转包或分包</w:t>
      </w:r>
    </w:p>
    <w:p w14:paraId="1BB3B30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本合同项下的项目禁止转包。如双方同意，乙方可以将本合同项下的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（项目名称）等非主体项目分包给具有相应资质的第三方实施。违反本条规定的，乙方应依据本合同的相关规定承担违约责任，并赔偿由此给甲方造成的一切直接或间接损失。</w:t>
      </w:r>
    </w:p>
    <w:p w14:paraId="75A4586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3.3 项目管理（供选择）</w:t>
      </w:r>
    </w:p>
    <w:p w14:paraId="4EEC718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合同各方指派代表组成本信息系统开发管理小组，管理本软件的开发。管理小组成员名单和通讯方式见附件</w:t>
      </w:r>
      <w:r>
        <w:rPr>
          <w:rFonts w:hint="eastAsia" w:ascii="仿宋" w:hAnsi="仿宋" w:eastAsia="仿宋" w:cs="仿宋"/>
          <w:color w:val="auto"/>
          <w:kern w:val="0"/>
          <w:sz w:val="24"/>
          <w:szCs w:val="24"/>
          <w:highlight w:val="none"/>
          <w:u w:val="none"/>
          <w:lang w:val="en-US" w:eastAsia="zh-CN" w:bidi="ar-SA"/>
        </w:rPr>
        <w:t>四</w:t>
      </w:r>
      <w:r>
        <w:rPr>
          <w:rFonts w:hint="eastAsia" w:ascii="仿宋" w:hAnsi="仿宋" w:eastAsia="仿宋" w:cs="仿宋"/>
          <w:color w:val="auto"/>
          <w:kern w:val="0"/>
          <w:sz w:val="24"/>
          <w:szCs w:val="24"/>
          <w:highlight w:val="none"/>
          <w:lang w:val="en-US" w:eastAsia="zh-CN" w:bidi="ar-SA"/>
        </w:rPr>
        <w:t>。合同各方可以根据具体情况重新指定本方的管理小组的成员，但应当以书面方式通知另一方；如一方重新指定的小组成员涉及到本项目的重要方面，更换方应事先征得对方的书面同意。另一方应及时审查更换方提出的书面建议，双方在合理、善意、维护双方利益的基础上讨论更换事宜。</w:t>
      </w:r>
    </w:p>
    <w:p w14:paraId="7C0742D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3.4 信息与资料</w:t>
      </w:r>
    </w:p>
    <w:p w14:paraId="0A4738F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应互相配合，充分沟通。乙方有权根据本合同的规定和项目需要，向甲方了解有关情况，调阅有关资料，向有关职能人员调查、了解甲方现有的相关数据和资料，以对该软件进行全面的研究和设计。甲方应予以积极配合，向乙方提供有关信息与资料，特别是有关甲方对开发软件的功能和目标需求方面的信息和资料。如甲方对乙方完成本合同所需的甲方所有的信息和资料不予提供，则由甲方承担不予提供的损害后果。</w:t>
      </w:r>
    </w:p>
    <w:p w14:paraId="59B7E4E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 需求与需求分析</w:t>
      </w:r>
    </w:p>
    <w:p w14:paraId="0137DA9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3.5.1 乙方应根据合同项下中的业务开发软件及其所需功能的描述和甲方所提供的资料与信息制作需求分析。乙方在编写需求说明、资料和信息时，可以就其中所涉及的软件功能、目标、需求构成及相关技术问题向甲方咨询或征求意见，甲方应当及时予以解释和答复。</w:t>
      </w:r>
    </w:p>
    <w:p w14:paraId="1D516A6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3.5.2 乙方在获取上述需求信息和资料后，应及时完成需求分析书。该需求分析书经甲方认可，并由甲、乙双方签字后作为本合同的附件。</w:t>
      </w:r>
    </w:p>
    <w:p w14:paraId="13110C8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 需求说明书、概要设计说明书和详细设计说明书</w:t>
      </w:r>
    </w:p>
    <w:p w14:paraId="533328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3.6.1 乙方在取得了甲方提供的必要的信息和资料后，将依据本合同所约定的软件的功能、目标与需求分析书，在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日之前完成需求说明书，在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日之前完成概要设计说明书，在 </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日之前完成详细设计说明书。以上三项完成后，均应提交甲方审核。甲方在收到上述文件后，对其中所描述软件的适用性、需求性和应用性等进行审核。甲方在收到上述说明书后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工作日内完成审核。如甲方认可上述文件后的，则在上述文件中签字。如有异议，乙方应在3个工作日内完成修改并再次提交甲方审核，直至双方一致认可签字。</w:t>
      </w:r>
    </w:p>
    <w:p w14:paraId="6FABB70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3.6.2 甲方对上述说明书的签字认可，并不对说明书中的技术问题进行审核。如说明书中出现任何与乙方设计相关的技术问题或技术调整，仍由乙方承担责任。</w:t>
      </w:r>
    </w:p>
    <w:p w14:paraId="316419A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3.6.3 如甲方未在约定的时间内完成本条款所规定的义务，乙方则可以相应顺延交付时间。</w:t>
      </w:r>
    </w:p>
    <w:p w14:paraId="2BD253A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3.6.4 上述需求说明书、概要设计说明书和详细设计说明书经双方签字后，作为本合同的附件，与本合同具有同等效力。</w:t>
      </w:r>
    </w:p>
    <w:p w14:paraId="78AB832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3.7 进度报告</w:t>
      </w:r>
    </w:p>
    <w:p w14:paraId="7414B8F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乙方应于每</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月</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季度以书面形式向甲方提供项目阶段进度报告，内容包括项目进度或里程碑计划执行情况，已完成的软件开发项目，有无遇到的困难和障碍，本项目的预期效果，人员配置情况，有无项目变更及变更情况或其它与本项目有关的甲方应该知道或甲方要求知道的情况。如有重大的问题或重要的变更发生，乙方应当在变更发生之日起</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7个工作日内向甲方做出书面报告。乙方也应当在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7个工作日内回复甲方在其它时间内提出的与本项目相关的询问。如乙方违反本条的规定，应该承担由此而引起的项目迟延和甲方不能及时付款或配合项目进行的后果。甲方在收到乙方的书面报告后，应当在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7个工作日内回复乙方。</w:t>
      </w:r>
    </w:p>
    <w:p w14:paraId="2EDFEE5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3.8 第三方监理</w:t>
      </w:r>
    </w:p>
    <w:p w14:paraId="7D7B2D1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有权聘请第三方作为本软件开发的监理。如甲方指定了第三方作为甲方的监理，依甲方的授权，该监理享有与本合同中所约定的甲方同等的权利，以监理本项目的进行。监理方应拥有相应的资质并依法行使其监理职责，否则乙方有权拒绝接受监理。</w:t>
      </w:r>
    </w:p>
    <w:p w14:paraId="66333EE7">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第4条 项目变更</w:t>
      </w:r>
    </w:p>
    <w:p w14:paraId="41CADFE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为了维护和兼顾各方的利益，确保开发软件的质量，在本合同签署后，甲、乙双方均有权在履行本合同的过程中合理地提出变更、扩展、替换或修改本项目的某些部分的请求，包括增加或减少软件的相应功能/提高或提升有关技术参数/变更交付或安装的时间与地点。为此，双方同意：</w:t>
      </w:r>
    </w:p>
    <w:p w14:paraId="11ABD84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 若甲方提出部分项目的变更建议，甲方应该将变更请求以书面形式提交给乙方。乙方应当在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个工作日内对此作出书面回复，其内容包括该变更对合同价格、项目交付日期、软件的系统性能、项目技术参数的影响和变化以及对合同条款的影响等；</w:t>
      </w:r>
    </w:p>
    <w:p w14:paraId="77DEFA6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 甲方在收到乙方的上述回复后，应在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工作日内以书面方式通知乙方是否接受上述回复。如果甲方接受乙方的上述回复，则双方应对此变更以书面形式确认，并按变更后的约定履行本合同。</w:t>
      </w:r>
    </w:p>
    <w:p w14:paraId="0C56F73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 如果甲方不同意乙方有关合同价格变化和项目交付日期变更的回复，但上述变更如不执行，将会影响开发软件的正常使用或主要功能，则乙方应执行变更要求。同时，甲、乙双方均有权按照第十三条的规定解决争议。在争议解决之前，乙方应按照甲方的书面通知要求执行。</w:t>
      </w:r>
    </w:p>
    <w:p w14:paraId="1E3DEB3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4.4 如乙方提出部分项目的变更建议，乙方应同时详细阐明该变更对合同价格、项目交付日期、软件性能、项目技术参数的影响以及对合同条款的影响等情况。</w:t>
      </w:r>
    </w:p>
    <w:p w14:paraId="339FD15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4.5 甲方在收到乙方的上述变更建议后，应在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形式通知乙方是否同意和接受乙方的上述变更建议。如果甲方同意乙方提出的变更建议，则双方对此变更建议以书面形式确认，双方按变更后的约定履行本合同。如甲方不同意乙方的上述建议，双方仍按原合同执行。</w:t>
      </w:r>
    </w:p>
    <w:p w14:paraId="3AE996DE">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第5条 交付、领受与验收</w:t>
      </w:r>
    </w:p>
    <w:p w14:paraId="2171389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 交付</w:t>
      </w:r>
    </w:p>
    <w:p w14:paraId="1B306F6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5.1.1 乙方应在进行每项交付前</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7个工作日内，以书面方式通知甲方。甲方应当在接到通知后的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7个工作日内安排接受交付。乙方在交付前应根据本合同所列的检测标准对该交付件进行测试，以确认其符合本合同的规定。</w:t>
      </w:r>
    </w:p>
    <w:p w14:paraId="6F74396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5.1.2 如由于甲方的原因而导致交付不能按照规定的时间进行，乙方将按延期时间顺延交付。</w:t>
      </w:r>
    </w:p>
    <w:p w14:paraId="3FE3B53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 交付内容</w:t>
      </w:r>
    </w:p>
    <w:p w14:paraId="3CE6576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5.2.1 乙方应按照合同及其附件所约定的内容进行交付，所交付的文档与文件应当是电子版式和可供人阅读的。具体交付内容见附件</w:t>
      </w:r>
      <w:r>
        <w:rPr>
          <w:rFonts w:hint="eastAsia" w:ascii="仿宋" w:hAnsi="仿宋" w:eastAsia="仿宋" w:cs="仿宋"/>
          <w:color w:val="auto"/>
          <w:kern w:val="0"/>
          <w:sz w:val="24"/>
          <w:szCs w:val="24"/>
          <w:highlight w:val="none"/>
          <w:u w:val="none"/>
          <w:lang w:val="en-US" w:eastAsia="zh-CN" w:bidi="ar-SA"/>
        </w:rPr>
        <w:t>一</w:t>
      </w:r>
      <w:r>
        <w:rPr>
          <w:rFonts w:hint="eastAsia" w:ascii="仿宋" w:hAnsi="仿宋" w:eastAsia="仿宋" w:cs="仿宋"/>
          <w:color w:val="auto"/>
          <w:kern w:val="0"/>
          <w:sz w:val="24"/>
          <w:szCs w:val="24"/>
          <w:highlight w:val="none"/>
          <w:lang w:val="en-US" w:eastAsia="zh-CN" w:bidi="ar-SA"/>
        </w:rPr>
        <w:t>。</w:t>
      </w:r>
    </w:p>
    <w:p w14:paraId="3B0C278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5.2.2 如乙方所交付项目存在故障或问题，经甲方要求，乙方应在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3个工作日内帮助处理此项故障或问题，由此而发生的费用由乙方承担。</w:t>
      </w:r>
    </w:p>
    <w:p w14:paraId="0BC11EF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5.3 领受</w:t>
      </w:r>
    </w:p>
    <w:p w14:paraId="231DBA6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在领受了上述交付件后，应立即对该交付件进行测试和评估，以确认其是否符合开发软件的功能和规格。如有缺陷，乙方应立即纠正该缺陷，并再次进行测试和评估。甲、乙双方将重复此项程序直至甲方领受，或由甲方依法或依约终止本合同为止。</w:t>
      </w:r>
    </w:p>
    <w:p w14:paraId="71F9B08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 软件系统试运行</w:t>
      </w:r>
    </w:p>
    <w:p w14:paraId="2BCFCFF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5.4.1 自软件交付通过之日起，甲方拥有</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1/</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3/</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6</w:t>
      </w:r>
      <w:r>
        <w:rPr>
          <w:rFonts w:hint="eastAsia" w:ascii="仿宋" w:hAnsi="仿宋" w:eastAsia="仿宋" w:cs="仿宋"/>
          <w:color w:val="auto"/>
          <w:kern w:val="0"/>
          <w:sz w:val="24"/>
          <w:szCs w:val="24"/>
          <w:highlight w:val="none"/>
          <w:lang w:val="en-US" w:eastAsia="zh-CN" w:bidi="ar-SA"/>
        </w:rPr>
        <w:t>个月试运行权利。</w:t>
      </w:r>
    </w:p>
    <w:p w14:paraId="6D24246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5.4.2 如由于乙方原因，软件在试运行期间出现故障或问题，乙方应及时排除该方面的故障或问题，所引起的相关费用由乙方承担。</w:t>
      </w:r>
    </w:p>
    <w:p w14:paraId="6A678EA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5.4.3 乙方应在合理的期限内排除故障或处理问题。如以上故障或问题影响软件基本功能和目标的实现，且排除故障或处理问题的时间超过</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个工作日（自收到甲方通知之日起计），则视为乙方交付违约。</w:t>
      </w:r>
    </w:p>
    <w:p w14:paraId="5C29204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 系统验收</w:t>
      </w:r>
    </w:p>
    <w:p w14:paraId="7D70E4A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5.5.1 软件试运行完成后，甲方应及时按规定对该软件进行系统验收。乙方应以书面形式向甲方递交验收申请书，甲方在收到验收申请书的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7个工作日内，安排具体日期，由甲、乙双方按照本合同的规定完成软件系统验收。</w:t>
      </w:r>
    </w:p>
    <w:p w14:paraId="3C38F47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5.5.2 如属于乙方原因致使软件未通过系统验收，乙方应排除故障，并承担相关费用，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重新计算运行期限/</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同时延长试运行期限</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个工作日，直至软件系统完全符合验收标准。</w:t>
      </w:r>
    </w:p>
    <w:p w14:paraId="00B6908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5.5.3 如属于甲方原因致使软件未通过系统验收，如属甲方原有计算机系统故障原因，甲方应在合理时间内排除故障，再进行验收。</w:t>
      </w:r>
    </w:p>
    <w:p w14:paraId="03B8F673">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第6条 知识产权和使用权</w:t>
      </w:r>
    </w:p>
    <w:p w14:paraId="06F0694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6.1 知识产权</w:t>
      </w:r>
    </w:p>
    <w:p w14:paraId="3656528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拥有开发软件的知识产权。乙方非经对方同意，不得以任何方式向第三方披露、转让和许可有关的技术成果、计算机软件、技术诀窍、秘密信息、技术资料和文件。除本研发工作需要之外，未得到甲方的书面许可，乙方不得以任何方式商业性地利用上述资料和技术。如乙方违反本条的规定，除立即停止违约行为外，还应支付合同总金额的20%的违约金以及赔偿甲方的损失。</w:t>
      </w:r>
    </w:p>
    <w:p w14:paraId="117B1B4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6.2 乙方在使用甲方提供的属于第三方软件时，应当依照甲方与第三方对该软件使用的约定进行，否则乙方需承担因其违约使用而导致甲方需承担的全部违约责任及损失赔偿责任。</w:t>
      </w:r>
    </w:p>
    <w:p w14:paraId="406E791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6.3 乙方在领受甲方提供的软件后，应严格遵守相关的知识产权及软件版权保护的法律、法规，并在本合同所规定的范围内使用本软件。乙方因非经授权而实施的商业性复制行为构成违约或侵权责任造成甲方损失的，由其承担相关责任。</w:t>
      </w:r>
    </w:p>
    <w:p w14:paraId="6A9C4E4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6.4 本合同项下双方的任何权利和义务不因合同双方发生收购、兼并、重组、分立而发生变化。如发生上述情形之一，则本合同项下的权利和义务随之转移至收购、兼并、重组或分立之单位。如甲、乙双方在本合同项下的各项权利和义务由甲、乙双方之分立单位分别承受的，则甲、乙双方与甲、乙双方之分立单位分别享有和承担相关权利和义务。</w:t>
      </w:r>
    </w:p>
    <w:p w14:paraId="02030315">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第7条 维护和培训</w:t>
      </w:r>
    </w:p>
    <w:p w14:paraId="309FB9E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7.1 软件的维护和支持</w:t>
      </w:r>
    </w:p>
    <w:p w14:paraId="4677B89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同意在本合同规定的期限内按照附件五的规定，向甲方提供软件维护和支持服务。除双方另有书面约定，如甲方依法或依据本合同将软件用于商业性销售，乙方将负责为所有的与本软件相关的最终用户提供维护和支持服务。维护和支持服务期满后，如甲方继续聘请乙方提供上述服务，甲、乙双方另行签订维护和支持协议，维护和支持服务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之日止。</w:t>
      </w:r>
    </w:p>
    <w:p w14:paraId="602F3A6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7.2 项目培训</w:t>
      </w:r>
    </w:p>
    <w:p w14:paraId="4C1ED0C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乙方应及时对甲方的相关人员和最终用户进行培训，培训目标为受训者能够独立、熟练地完成操作，实现依据本合同所规定的软件的目标和功能。</w:t>
      </w:r>
    </w:p>
    <w:p w14:paraId="536D5AA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培训计划详见附件五。</w:t>
      </w:r>
    </w:p>
    <w:p w14:paraId="62BA7908">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第8条 价格与付款方式</w:t>
      </w:r>
    </w:p>
    <w:p w14:paraId="34227C7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 价格</w:t>
      </w:r>
    </w:p>
    <w:p w14:paraId="706FD9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8.1.1 合同含税总价款为为￥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），其中不含税金额为￥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），税金为￥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），税率为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xml:space="preserve">%的增值税专用发票。在合同执行过程中，如因国家税务政策调整，当增值税税率提高，本合同含税总价不变；当增值税税率降低，本合同不含税总价不变，并相应减少增值税金额。  </w:t>
      </w:r>
    </w:p>
    <w:p w14:paraId="336D4FAF">
      <w:pPr>
        <w:widowControl/>
        <w:spacing w:before="0" w:beforeAutospacing="0" w:after="0" w:afterAutospacing="0" w:line="360" w:lineRule="auto"/>
        <w:ind w:firstLine="480" w:firstLineChars="200"/>
        <w:jc w:val="both"/>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8.2</w:t>
      </w:r>
      <w:r>
        <w:rPr>
          <w:rFonts w:hint="eastAsia" w:ascii="仿宋" w:hAnsi="仿宋" w:eastAsia="仿宋" w:cs="仿宋"/>
          <w:b w:val="0"/>
          <w:bCs w:val="0"/>
          <w:color w:val="auto"/>
          <w:kern w:val="0"/>
          <w:sz w:val="24"/>
          <w:szCs w:val="24"/>
          <w:highlight w:val="none"/>
          <w:lang w:val="en-US" w:eastAsia="zh-CN" w:bidi="ar-SA"/>
        </w:rPr>
        <w:t>付款方式</w:t>
      </w:r>
    </w:p>
    <w:p w14:paraId="21EBAB5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每次支付前需由乙方提交书面支付申请、相关证明材料以及对应增值税专用发票经甲方审核无误后，按以下节点支付：</w:t>
      </w:r>
    </w:p>
    <w:p w14:paraId="1B3CF91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（1）完成项目需求调研和设计并经甲方验收合格后30日内支付至合同总金额的30%；</w:t>
      </w:r>
    </w:p>
    <w:p w14:paraId="101047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（2）完成项目所有功能点开发，经甲方验收合格后30日内支付至合同总金额的70%；</w:t>
      </w:r>
    </w:p>
    <w:p w14:paraId="27980AC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（3）完成总体项目的开发、部署调试等任务，甲方验收合格后30日内支付至合同总金额的95%；</w:t>
      </w:r>
    </w:p>
    <w:p w14:paraId="66CEB7C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（4）双方已确认的结算货款的5%作为质量保证金，缺陷责任期12个月满后经甲方业务部门确认后30日内支付剩余款项。</w:t>
      </w:r>
    </w:p>
    <w:p w14:paraId="05B94F7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8.3 根据本合同的规定，如果乙方有赔偿和/或支付违约金的责任，则甲方有权从上述任何一笔付款中扣除相应金额。</w:t>
      </w:r>
    </w:p>
    <w:p w14:paraId="5B66820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8.4 乙方结算账号：</w:t>
      </w:r>
    </w:p>
    <w:tbl>
      <w:tblPr>
        <w:tblStyle w:val="47"/>
        <w:tblW w:w="8322" w:type="dxa"/>
        <w:jc w:val="center"/>
        <w:tblLayout w:type="fixed"/>
        <w:tblCellMar>
          <w:top w:w="0" w:type="dxa"/>
          <w:left w:w="108" w:type="dxa"/>
          <w:bottom w:w="0" w:type="dxa"/>
          <w:right w:w="108" w:type="dxa"/>
        </w:tblCellMar>
      </w:tblPr>
      <w:tblGrid>
        <w:gridCol w:w="1705"/>
        <w:gridCol w:w="6617"/>
      </w:tblGrid>
      <w:tr w14:paraId="55075724">
        <w:tblPrEx>
          <w:tblCellMar>
            <w:top w:w="0" w:type="dxa"/>
            <w:left w:w="108" w:type="dxa"/>
            <w:bottom w:w="0" w:type="dxa"/>
            <w:right w:w="108" w:type="dxa"/>
          </w:tblCellMar>
        </w:tblPrEx>
        <w:trPr>
          <w:trHeight w:val="353" w:hRule="atLeast"/>
          <w:jc w:val="center"/>
        </w:trPr>
        <w:tc>
          <w:tcPr>
            <w:tcW w:w="1705" w:type="dxa"/>
            <w:tcBorders>
              <w:top w:val="single" w:color="auto" w:sz="6" w:space="0"/>
              <w:left w:val="single" w:color="auto" w:sz="6" w:space="0"/>
              <w:bottom w:val="single" w:color="auto" w:sz="6" w:space="0"/>
              <w:right w:val="single" w:color="auto" w:sz="6" w:space="0"/>
            </w:tcBorders>
            <w:vAlign w:val="center"/>
          </w:tcPr>
          <w:p w14:paraId="175541D8">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tc>
        <w:tc>
          <w:tcPr>
            <w:tcW w:w="6617" w:type="dxa"/>
            <w:tcBorders>
              <w:top w:val="single" w:color="auto" w:sz="6" w:space="0"/>
              <w:left w:val="single" w:color="auto" w:sz="6" w:space="0"/>
              <w:bottom w:val="single" w:color="auto" w:sz="6" w:space="0"/>
              <w:right w:val="single" w:color="auto" w:sz="6" w:space="0"/>
            </w:tcBorders>
            <w:vAlign w:val="center"/>
          </w:tcPr>
          <w:p w14:paraId="59CF4F81">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r w14:paraId="598B9851">
        <w:tblPrEx>
          <w:tblCellMar>
            <w:top w:w="0" w:type="dxa"/>
            <w:left w:w="108" w:type="dxa"/>
            <w:bottom w:w="0" w:type="dxa"/>
            <w:right w:w="108" w:type="dxa"/>
          </w:tblCellMar>
        </w:tblPrEx>
        <w:trPr>
          <w:trHeight w:val="368" w:hRule="atLeast"/>
          <w:jc w:val="center"/>
        </w:trPr>
        <w:tc>
          <w:tcPr>
            <w:tcW w:w="1705" w:type="dxa"/>
            <w:tcBorders>
              <w:top w:val="single" w:color="auto" w:sz="6" w:space="0"/>
              <w:left w:val="single" w:color="auto" w:sz="6" w:space="0"/>
              <w:bottom w:val="single" w:color="auto" w:sz="6" w:space="0"/>
              <w:right w:val="single" w:color="auto" w:sz="6" w:space="0"/>
            </w:tcBorders>
            <w:vAlign w:val="center"/>
          </w:tcPr>
          <w:p w14:paraId="50744A5A">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银行账号</w:t>
            </w:r>
          </w:p>
        </w:tc>
        <w:tc>
          <w:tcPr>
            <w:tcW w:w="6617" w:type="dxa"/>
            <w:tcBorders>
              <w:top w:val="single" w:color="auto" w:sz="6" w:space="0"/>
              <w:left w:val="single" w:color="auto" w:sz="6" w:space="0"/>
              <w:bottom w:val="single" w:color="auto" w:sz="6" w:space="0"/>
              <w:right w:val="single" w:color="auto" w:sz="6" w:space="0"/>
            </w:tcBorders>
            <w:vAlign w:val="center"/>
          </w:tcPr>
          <w:p w14:paraId="0B8E24C8">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bl>
    <w:p w14:paraId="573A629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乙方如需改变上述账户，应提前十日以书面通知甲方。</w:t>
      </w:r>
    </w:p>
    <w:p w14:paraId="2D85CB3F">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8.5乙方在每次支付</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天前申请向甲方开具支付款等额合法有效增值税专用发票（发票金额包含用于抵扣乙方赔偿金、违约金的金额等），经甲方认可后，乙方于每次支付</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日前向甲方提供合法有效的发票。因乙方未及时申请或开票造成甲方逾期付款的，甲方无需承担任何逾期付款责任。因乙方开具的发票不规范、不合法或涉嫌虚开发票引起税务问题的，乙方需依法向甲方重新开具发票，并向甲方承担赔偿责任，包括但不限于税款、滞纳金、罚款及相关损失等；因乙方未及时开具发票造成甲方无法及时认证、抵扣发票等情形的，乙方需向甲方承担赔偿责任，包括但不限于税款、滞纳金、罚款及相关损失等。</w:t>
      </w:r>
    </w:p>
    <w:p w14:paraId="6E19D43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8.6 项目增减定价</w:t>
      </w:r>
    </w:p>
    <w:p w14:paraId="02DC06D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在本项目进展过程中，甲、乙双方依据本合同对项目作出任何变更或经双方同意的功能变化或软件模块的增减等，一方或双方将以上述规定的价格为原则，商定变更后的具体价格。</w:t>
      </w:r>
    </w:p>
    <w:p w14:paraId="15EA70A1">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第9条 保证与免责</w:t>
      </w:r>
    </w:p>
    <w:p w14:paraId="499E868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9.1乙方保证</w:t>
      </w:r>
    </w:p>
    <w:p w14:paraId="5B0BA0E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9.1.1 乙方签署和履行本合同或与本合同相关的文件将不会</w:t>
      </w:r>
    </w:p>
    <w:p w14:paraId="6706DB2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（1）与乙方的章程或其他适用于乙方的法律法规或判决相冲突；</w:t>
      </w:r>
    </w:p>
    <w:p w14:paraId="6F0822B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（2）与乙方同第三人所签署的任何法律文件如保证协议、承诺、合同等规定的义务相冲突或导致任何违约，或使乙方的权利受到约束。</w:t>
      </w:r>
    </w:p>
    <w:p w14:paraId="591E569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9.1.2 乙方保证：乙方履行本合同项下的义务，授予甲方的许可权没有受到任何第三方的约束或限制，也没有承担任何约束或限制性义务。</w:t>
      </w:r>
    </w:p>
    <w:p w14:paraId="4381615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9.1.3乙方保证：所提供的合同设备是全新、完整、未使用过的，且具有合法、完备的进出口手续，质量是优良的；所提供设备软件是标准的、规范的、成熟稳定并可用的；所提供的技术文件是最新的、完备的、清晰的、正确的。</w:t>
      </w:r>
    </w:p>
    <w:p w14:paraId="4CB2C06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9.1.4乙方保证：乙方所开发的软件必须符合国家有关软件产品方面的规定和软件标准规范以及甲方现行的相关体制标准的产品；如无前述体制标准，则保证其符合相关国际标准；如无国际标准，则保证其符合行业惯常标准。</w:t>
      </w:r>
    </w:p>
    <w:p w14:paraId="5DEC620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9.1.5乙方承诺：在本合同软件被其它软件替换的情况下，乙方应免费配合甲方将合同软件系统中全部用户数据置换为通用的可识别的文件。此种情况下，乙方应免费进行合同软件的改造及相关配合工作，以满足甲方的要求。</w:t>
      </w:r>
    </w:p>
    <w:p w14:paraId="26B6F25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9.1.6乙方承诺：在甲方要求时免费配合、提供并完成与甲方其它应用系统间的互通性测试，在甲方及相关开发方与乙方签订保密协议并承担保密义务的情形下免费开放相关的接口协议，包括但不限于通信协议、协议的原语、协议中使用的消息集、由协议所交换的数据格式、系统所支持的信息模型、管理目标定义、数据库结构及其他必要的技术文件，上述文件应满足甲方能够自行开发或委托第三方开发与合同系统有关的应用软件的要求。乙方进行软件版本升级时应提前1个月提供上述技术文件的修改部分，并在需要时按照买方的技术规范免费修改合同设备、软件以满足与甲方其它应用系统互通的要求。</w:t>
      </w:r>
    </w:p>
    <w:p w14:paraId="1C5683B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9.1.7 侵权与被诉</w:t>
      </w:r>
    </w:p>
    <w:p w14:paraId="084D294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乙方保证本软件或其授予的权利不会侵犯任何第三人的知识产权或其他权利，也没有其他针对乙方拥有本软件权利的未决诉讼，或甲方行使乙方所授予的软件权利不会侵犯任何第三人的合法权利。</w:t>
      </w:r>
    </w:p>
    <w:p w14:paraId="10C6DDF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9.1.8 在乙方所交付的软件系统中，不含任何可以自动终止或妨碍系统运作的软件。</w:t>
      </w:r>
    </w:p>
    <w:p w14:paraId="7C0E846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9.1.9如乙方所交付和许可甲方使用的软件需经国家有关部门登记、备案、审批或许可的，乙方应保证所提供的软件已完成了上述手续。</w:t>
      </w:r>
    </w:p>
    <w:p w14:paraId="6CB123B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 侵权赔偿</w:t>
      </w:r>
    </w:p>
    <w:p w14:paraId="767372C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9.2.1 乙方同意，如有第三方声称甲方或甲方所分许可的顾客使用本软件侵犯了第三方的知识产权或其它财产权利，乙方将对由此而引起的任何诉讼或法律请求进行抗辩。乙方同意支付有关判决或和解所确定的赔偿金额（包括但不限于诉讼费、仲裁费、保全费、违约金、赔偿金等）。甲方同意，一旦发生此类诉讼或请求，甲方将及时通知乙方并对乙方处理该诉讼或请求提供合理的帮助，以便乙方获得应有的权利，并在征得乙方书面同意的情况下处理与此相关的应诉、抗辩或进行和解。甲方有权自费参与针对该项诉请的应诉抗辩或和解。如乙方由于经济或其他原因不能针对该项诉请进行应诉或和解，甲方有权应诉或进行和解，其发生的费用由乙方承担。</w:t>
      </w:r>
    </w:p>
    <w:p w14:paraId="0F638BF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9.2.2 如本软件或其任何部分被依法认定为侵犯第三人的合法权利，或任何依约定使用或分销该软件或行使任何由乙方授予的权利被认定为侵权，乙方应尽力用相等功能的且非侵权的软件替换本软件，或取得相关授权，以使甲方能够继续享有本合同所规定的各项权利。</w:t>
      </w:r>
    </w:p>
    <w:p w14:paraId="7BD5659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9.2.3 如果乙方经合理和具有事实根据的判断，认为本软件或其任何部分可能被依法认定为侵犯第三人合法权利的，或使用或分销该软件或甲方行使由乙方授予的权利可能被认定为侵权的，乙方可以用相类似的具有相同功能的非侵权软件替换本软件，或尽力取得必要的相关授权，以使甲方能够继续享有本合同所规定的各项权利，乙方除违约金外，还应赔偿由此给甲方造成的一切直接或间接损失。但乙方对甲方由于使用了相关的非法软件系统，或在本软件中使用了非乙方提供的软件，或该软件中非乙方对本软件的修改而导致的侵权不承担责任。</w:t>
      </w:r>
    </w:p>
    <w:p w14:paraId="4A40374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9.3 甲方保证</w:t>
      </w:r>
    </w:p>
    <w:p w14:paraId="7012D84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甲方签署和履行本合同或与本合同相关的文件将不会产生冲突：</w:t>
      </w:r>
    </w:p>
    <w:p w14:paraId="0010DC6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（1）与甲方的章程或其他适用于甲方的法律法规或判决等相冲突；</w:t>
      </w:r>
    </w:p>
    <w:p w14:paraId="2B66CF7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（2）与甲方同第三人所签署的任何法律文件如保证协议、承诺、合同等中的义务相冲突或导致任何违约，或使乙方的权利受到约束。</w:t>
      </w:r>
    </w:p>
    <w:p w14:paraId="370F36AA">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第10条 保密</w:t>
      </w:r>
    </w:p>
    <w:p w14:paraId="7746818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 信息传递</w:t>
      </w:r>
    </w:p>
    <w:p w14:paraId="5FCFCD2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在本合同的履行期内，任何一方可以获得与本项目相关的对方的商业秘密，对此双方皆应谨慎地进行披露和接受。</w:t>
      </w:r>
    </w:p>
    <w:p w14:paraId="1AE61BE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10.2 保密</w:t>
      </w:r>
    </w:p>
    <w:p w14:paraId="358C3C9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拥有信息的一方（“提供方”）根据本合同向另一方（“接受方”）提供的信息，包括但不限于技术性信息、商业性信息、文件、程序、计划、技术、图表、模型、参数、数据、标准、专有技术、业务或业务运作方法以及其他专有信息，本合同的条款和与本合同有关的其他商业信息和技术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企业或其分支机构、代理、组织或其他实体，但不包括甲方关联公司。</w:t>
      </w:r>
    </w:p>
    <w:p w14:paraId="354BED0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10.3 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雇员做出至少与本合同保密义务一样严格的保密承诺等，以防止该雇员为个人利益使用保密信息或向任何第三方做出未经授权的任何披露。</w:t>
      </w:r>
    </w:p>
    <w:p w14:paraId="0695020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10.4 接受方的律师、会计师、承包商和顾问为提供专业协助而需要了解保密信息时，接受方可向其披露保密信息，但是，其应要求上述人员签订保密协议和按照有关职业道德标准履行保密义务。</w:t>
      </w:r>
    </w:p>
    <w:p w14:paraId="47C5B5C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10.5 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合理的努力确保该等被披露的信息获得有关政府机关或机构的保密待遇。</w:t>
      </w:r>
    </w:p>
    <w:p w14:paraId="3992144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10.6 本条所规定的保密义务永久持续有效。</w:t>
      </w:r>
    </w:p>
    <w:p w14:paraId="036E78A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10.7 非竞争</w:t>
      </w:r>
    </w:p>
    <w:p w14:paraId="0035151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甲、乙双方同意，在本合同实施过程中以及本合同履行完毕后的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年内，双方均不得使用在履行本项目过程中得到的对方商业秘密，从事与对方有竞争性的业务，也不得采取任何方式聘用本开发项目中的对方相关技术或管理人员。</w:t>
      </w:r>
    </w:p>
    <w:p w14:paraId="45137D3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 上述保密义务不适用以下情况</w:t>
      </w:r>
    </w:p>
    <w:p w14:paraId="4840DE9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10.8.1在一方披露时，已经是公众所知的信息，或者在披露后，并非由于接受方或其雇员、律师、会计师、承包商、顾问或者其他人员的过失而成为公众所知的信息；</w:t>
      </w:r>
    </w:p>
    <w:p w14:paraId="0AFF40F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10.8.2有书面证据证明在披露时已经由接受方掌握的信息，而且信息并非直接或间接来自提供方；</w:t>
      </w:r>
    </w:p>
    <w:p w14:paraId="18DDE4D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10.8.3 获取该信息一方可以通过合法渠道获取该信息；</w:t>
      </w:r>
    </w:p>
    <w:p w14:paraId="59B932C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10.8.4获取该信息一方从第三人处合法获取，并且不承担保密义务；</w:t>
      </w:r>
    </w:p>
    <w:p w14:paraId="7B15C9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10.8.5 向第三人披露过的，且第三人不承担保密义务；</w:t>
      </w:r>
    </w:p>
    <w:p w14:paraId="1136DD1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10.8.6 独立开发或获取的信息；</w:t>
      </w:r>
    </w:p>
    <w:p w14:paraId="71C2FB9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10.8.7 法律强制披露；</w:t>
      </w:r>
    </w:p>
    <w:p w14:paraId="17EF02C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10.8.8 经披露方书面许可。</w:t>
      </w:r>
    </w:p>
    <w:p w14:paraId="4A72A1E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10.9 信息安全</w:t>
      </w:r>
    </w:p>
    <w:p w14:paraId="24E5F5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甲、乙双方同意采取相应的安全措施以遵守和履行上述条款所规定的义务。经一方的合理请求，该方可以检查对方所采取的安全措施是否符合上述规定的义务。</w:t>
      </w:r>
    </w:p>
    <w:p w14:paraId="6F59729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10.10当本合同解除或终止时，接受方应立即停止使用且不得许可第三方使用提供方的保密信息，同时，接受方应按照提供方的书面要求，将提供方提供的保密信息退还提供方或予以删除或销毁。</w:t>
      </w:r>
    </w:p>
    <w:p w14:paraId="405BCDA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第11条 违约与赔偿责任</w:t>
      </w:r>
    </w:p>
    <w:p w14:paraId="17812E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 交付违约</w:t>
      </w:r>
    </w:p>
    <w:p w14:paraId="02C5D054">
      <w:pPr>
        <w:widowControl/>
        <w:spacing w:before="0" w:beforeAutospacing="0" w:after="0" w:afterAutospacing="0" w:line="360" w:lineRule="auto"/>
        <w:ind w:firstLine="480" w:firstLineChars="200"/>
        <w:jc w:val="both"/>
        <w:rPr>
          <w:rFonts w:ascii="宋体" w:hAnsi="宋体" w:eastAsia="宋体" w:cs="Times New Roman"/>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乙方应在合同所规定的时间内完成和交付本合同规定的项目。如开发工作延时，甲方同意给予乙方</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日的宽限期，宽限期内不追究乙方的违约责任。如乙方在宽限期内仍未依据本合同的规定完成和交付本合同所规定的项目，除依约支付违约金人民币</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元外，甲方有权要求乙方作出补偿和采取补救措施，并继续履行本合同所规定的义务。违约金的具体确定方式为：</w:t>
      </w:r>
    </w:p>
    <w:p w14:paraId="57E16E6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11.1.1 每延期</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天，乙方应向甲方支付合同总价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%的违约金，但违约金的总数不超过合同总价的</w:t>
      </w:r>
      <w:r>
        <w:rPr>
          <w:rFonts w:hint="eastAsia" w:ascii="宋体" w:hAnsi="宋体" w:eastAsia="仿宋" w:cs="Times New Roman"/>
          <w:color w:val="auto"/>
          <w:kern w:val="0"/>
          <w:sz w:val="24"/>
          <w:szCs w:val="24"/>
          <w:highlight w:val="none"/>
          <w:u w:val="single"/>
          <w:lang w:val="en-US" w:eastAsia="zh-CN" w:bidi="ar-SA"/>
        </w:rPr>
        <w:t>20%</w:t>
      </w:r>
      <w:r>
        <w:rPr>
          <w:rFonts w:hint="eastAsia" w:ascii="仿宋" w:hAnsi="仿宋" w:eastAsia="仿宋" w:cs="仿宋"/>
          <w:color w:val="auto"/>
          <w:kern w:val="0"/>
          <w:sz w:val="24"/>
          <w:szCs w:val="24"/>
          <w:highlight w:val="none"/>
          <w:lang w:val="en-US" w:eastAsia="zh-CN" w:bidi="ar-SA"/>
        </w:rPr>
        <w:t>；</w:t>
      </w:r>
    </w:p>
    <w:p w14:paraId="09183E8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11.1.2 如延期时间超过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天，甲方有权单方解除本合同，除前款所约定的违约金外，并要求乙方支付合同总价的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%作为对甲方的赔偿。</w:t>
      </w:r>
    </w:p>
    <w:p w14:paraId="6B6EAD1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11.2由于乙方原因致使初验、终验、保修、技术服务等不能按合同规定完成，乙方应以如下方式向甲方支付逾期初验或终验违约金：</w:t>
      </w:r>
    </w:p>
    <w:p w14:paraId="7BFEC0B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（1）每逾期一天或发生一次，支付合同总价款的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xml:space="preserve">%的违约金； </w:t>
      </w:r>
    </w:p>
    <w:p w14:paraId="7E2C3A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（2）上述逾期违约金的支付不免除卖方按合同规定履行义务；</w:t>
      </w:r>
    </w:p>
    <w:p w14:paraId="46588F5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（3）逾期超过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天或违约累计超过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次的，甲方有权单方解除本合同。乙方应向甲方支付合同总价</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的违约金。违约金不足以弥补买方的全部损失的，卖方还应予以赔偿。</w:t>
      </w:r>
    </w:p>
    <w:p w14:paraId="60CA39DA">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甲方依据上述条款解除本合同后，乙方在承担相应违约责任同时，应在甲方解除合同的书面通知送达之日起 7日内全额退还甲方已支付的款额及相应的利息，计息时间从甲方支付日期开始到卖方退还日期为止，利率以归还上述款额时中国人民银行公布的同期一年期贷款利率为准。逾期退还的，按日需支付应退款额 5 %的违约金。乙方应依甲方的指示：负责退还或销毁所有的基础性文件和原始资料，负责拆卸、卸载或删除已安装在现场的合同软件、设备、相关技术文件和合同软件介质，并赔偿甲方由此而引起的直接和间接损失。相关拆卸、卸载、运输和投保费用均由乙方负责，甲方对此时间内发生的毁损和灭失不承担任何责任。</w:t>
      </w:r>
    </w:p>
    <w:p w14:paraId="76462D4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11.3 付款违约</w:t>
      </w:r>
    </w:p>
    <w:p w14:paraId="660D874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甲方无正当理由未按合同规定逾期付款应支付给乙方违约金，每延迟一周支付合同总金额的</w:t>
      </w:r>
      <w:r>
        <w:rPr>
          <w:rFonts w:hint="eastAsia" w:ascii="仿宋" w:hAnsi="仿宋" w:eastAsia="仿宋" w:cs="仿宋"/>
          <w:color w:val="auto"/>
          <w:kern w:val="0"/>
          <w:sz w:val="24"/>
          <w:szCs w:val="24"/>
          <w:highlight w:val="none"/>
          <w:u w:val="single"/>
          <w:lang w:val="en-US" w:eastAsia="zh-CN" w:bidi="ar-SA"/>
        </w:rPr>
        <w:t>0.1%</w:t>
      </w:r>
      <w:r>
        <w:rPr>
          <w:rFonts w:hint="eastAsia" w:ascii="仿宋" w:hAnsi="仿宋" w:eastAsia="仿宋" w:cs="仿宋"/>
          <w:color w:val="auto"/>
          <w:kern w:val="0"/>
          <w:sz w:val="24"/>
          <w:szCs w:val="24"/>
          <w:highlight w:val="none"/>
          <w:lang w:val="en-US" w:eastAsia="zh-CN" w:bidi="ar-SA"/>
        </w:rPr>
        <w:t>的违约金，不足一周按一周计，但最多不超过合同总金额的</w:t>
      </w:r>
      <w:r>
        <w:rPr>
          <w:rFonts w:hint="eastAsia" w:ascii="仿宋" w:hAnsi="仿宋" w:eastAsia="仿宋" w:cs="仿宋"/>
          <w:color w:val="auto"/>
          <w:kern w:val="0"/>
          <w:sz w:val="24"/>
          <w:szCs w:val="24"/>
          <w:highlight w:val="none"/>
          <w:u w:val="single"/>
          <w:lang w:val="en-US" w:eastAsia="zh-CN" w:bidi="ar-SA"/>
        </w:rPr>
        <w:t>5%。</w:t>
      </w:r>
    </w:p>
    <w:p w14:paraId="17ACFC6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11.4由于甲方原因导致工作进度推迟，则本合同履行期限相应顺延。合同各方应按顺延后的日期履行本合同，顺延日期以甲方的书面通知为准。</w:t>
      </w:r>
    </w:p>
    <w:p w14:paraId="1675F57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11.5 保密违约</w:t>
      </w:r>
    </w:p>
    <w:p w14:paraId="0A5F84C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任何一方违反保密约定，故意、过错或过失泄密的，除应立即采取措施停止泄密行为，减小泄密造成的损失外，还应向保密信息拥有方支付不低于合同总价5%的违约金。上述违约金不足以弥补保密信息拥有方所受损失的，泄密方还应予以赔偿。同时，保密信息拥有方还有权根据泄密造成损失的大小，单方解除本合同。</w:t>
      </w:r>
    </w:p>
    <w:p w14:paraId="32B7CB6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11.6 质保期为自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none"/>
          <w:lang w:val="en-US" w:eastAsia="zh-CN" w:bidi="ar-SA"/>
        </w:rPr>
        <w:t>之日止。</w:t>
      </w:r>
      <w:r>
        <w:rPr>
          <w:rFonts w:hint="eastAsia" w:ascii="仿宋" w:hAnsi="仿宋" w:eastAsia="仿宋" w:cs="仿宋"/>
          <w:color w:val="auto"/>
          <w:kern w:val="0"/>
          <w:sz w:val="24"/>
          <w:szCs w:val="24"/>
          <w:highlight w:val="none"/>
          <w:lang w:val="en-US" w:eastAsia="zh-CN" w:bidi="ar-SA"/>
        </w:rPr>
        <w:t>质保期满后若软件在正常使用期限内，因产品自身缺陷而造成甲方或第三方人身财产损失的，乙方应依法承担产品责任。</w:t>
      </w:r>
    </w:p>
    <w:p w14:paraId="7D499EC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11.7 其它条款违约</w:t>
      </w:r>
    </w:p>
    <w:p w14:paraId="6B9EDA1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任何一方违反本合同所规定的义务，除本合同另有规定外，违约方应按合同总价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%的金额向对方支付违约金。</w:t>
      </w:r>
    </w:p>
    <w:p w14:paraId="05DF493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11.8 如发生违约事件，守约方要求违约方支付违约金时，应以书面方式通知违约方，内容包括违约事件、违约金、支付时间和方式等。违约方在收到上述通知后，应于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天内答复对方，并支付违约金。如双方不能就此达成一致意见，将按照本合同所规定的争议解决条款解决双方的纠纷，但任何一方不得采取非法手段或以损害本项目的方式实现违约金。</w:t>
      </w:r>
    </w:p>
    <w:p w14:paraId="738EA4BB">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第12条 综合条款</w:t>
      </w:r>
    </w:p>
    <w:p w14:paraId="5F0CEFC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12.1 如本合同附件中的条款或本合同签署之前所签署的任何文件与本合同的条款相冲突或不一致，以本合同为准。</w:t>
      </w:r>
    </w:p>
    <w:p w14:paraId="288C2D4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 任何一方可以根据其经营需要对外披露本合同的存在或其性质，但本合同的具体条款属于保密范围，未经对方的同意，不得向第三方披露。但以下情况除外</w:t>
      </w:r>
    </w:p>
    <w:p w14:paraId="23F9CAA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12.2.1 法院或政府有关部门的要求；</w:t>
      </w:r>
    </w:p>
    <w:p w14:paraId="24A0BF1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12.2.2 法律规定；</w:t>
      </w:r>
    </w:p>
    <w:p w14:paraId="256C26A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12.2.3 —方向为自己服务的法律顾问披露；</w:t>
      </w:r>
    </w:p>
    <w:p w14:paraId="47BE373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12.2.4 —方向为自己服务的会计、银行、其他的金融机构及其顾问（采取保密措施）披露；</w:t>
      </w:r>
    </w:p>
    <w:p w14:paraId="66A4931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12.2.5 当事人实施收购、兼并或相类似的行为（采取保密措施）。</w:t>
      </w:r>
    </w:p>
    <w:p w14:paraId="2E037DE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 不可抗力</w:t>
      </w:r>
    </w:p>
    <w:p w14:paraId="322D025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12.3.1 由于地震、台风、水灾、火灾、战争以及其他不能预见并对其发生和后果不能预防、不能克服或避免的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14:paraId="7B73BAD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12.3.2 受到不可抗力影响的一方，应尽可能地采取合理的行为和适当的措施减轻不可抗力对本合同的履行所造成的影响。没有采取适当措施致使损失扩大的，该方不得就扩大损失的部分要求免责或赔偿。</w:t>
      </w:r>
    </w:p>
    <w:p w14:paraId="0477A4C8">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第13条 争议解决</w:t>
      </w:r>
    </w:p>
    <w:p w14:paraId="3731073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13.1 如果合同双方在履行本合同过程中发生争议，双方应首先采取友好协商的方式解决该争议。如协商不成，双方同意按下列方式予以解决：_______</w:t>
      </w:r>
    </w:p>
    <w:p w14:paraId="6CB7B9D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（1）向重庆仲裁委员会提起仲裁，并按其仲裁规则进行仲裁；</w:t>
      </w:r>
    </w:p>
    <w:p w14:paraId="0449540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（2）双方当事人另有选择，则划去前款，具体约定如下： ______________。</w:t>
      </w:r>
    </w:p>
    <w:p w14:paraId="2A26220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13.2 如对任何争议进行仲裁或向人民法院提起诉讼，除争议事项或争议事项所涉及的条款外，双方应继续履行本合同项下的其它义务。</w:t>
      </w:r>
    </w:p>
    <w:p w14:paraId="1906368A">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第14条 通知</w:t>
      </w:r>
    </w:p>
    <w:p w14:paraId="0ADA257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14.1甲方确认其送达地址为：___________________，受送达人为：_________，联系方式为：__________________________。</w:t>
      </w:r>
    </w:p>
    <w:p w14:paraId="1BE7076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p>
    <w:p w14:paraId="323FEFA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乙方确认其送达地址为：____________________________，受送达人为：_________，联系方式为：__________________________。</w:t>
      </w:r>
    </w:p>
    <w:p w14:paraId="22FC11E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（若联系地址未填写，则以身份证载明的住址或工商登记的住所地为送达地址）</w:t>
      </w:r>
    </w:p>
    <w:p w14:paraId="76D6A18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14.2以上送达地址适用范围包括但不限于各类告知书、通知书、工作联系单、协议文件、诉讼或仲裁文书，送达主体可以是合同各方、人民法院、仲裁委员会及各行政机关。                         </w:t>
      </w:r>
    </w:p>
    <w:p w14:paraId="002F74B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14.3送达主体按照上述送达地址进行送达，视为有效送达；采用邮寄送达的，以文书签收之日或退回之日视为送达之日；直接送达的，送达人当场在送达回证上记明情况之日视为送达之日。</w:t>
      </w:r>
    </w:p>
    <w:p w14:paraId="6C4506E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14.4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06E0DFC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第15条 合同的生效、变更与终止</w:t>
      </w:r>
    </w:p>
    <w:p w14:paraId="1E83497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15.1 本合同经双方盖章后生效。</w:t>
      </w:r>
    </w:p>
    <w:p w14:paraId="6AFC3C2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 如发生以下情况，任何一方有权终止合同，但须以书面方式通知对方：</w:t>
      </w:r>
    </w:p>
    <w:p w14:paraId="69675BE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15.2.1 —方进入破产、撤销或已进入清算阶段，或被解散、被依法关闭；</w:t>
      </w:r>
    </w:p>
    <w:p w14:paraId="5598A85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15.2.2 —方财务状况严重恶化，不能支付到期债务；</w:t>
      </w:r>
    </w:p>
    <w:p w14:paraId="63372B9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15.2.3 出现了合同规定的或法定解除事由。</w:t>
      </w:r>
    </w:p>
    <w:p w14:paraId="15E3513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除本合同和法律法规另有规定外，任何一方发生上述情况，将被视作违约，另一方有权依照本合同的规定，追究该方的违约责任。</w:t>
      </w:r>
    </w:p>
    <w:p w14:paraId="70DE08E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15.3 本合同一经签署，未经双方同意，任何一方不得随意更改本合同。本合同所列的附件及需求说明书、系统设计书、检测标准等文件，经双方签字后为本合同的组成部分。其它任何口头或未包含在本合同内的，或未依据本合同制定的书面文件，均不对双方发生拘束力。</w:t>
      </w:r>
    </w:p>
    <w:p w14:paraId="3462443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如本合同在履行过程中有任何补充或修改，双方应另行签订书面协议。</w:t>
      </w:r>
    </w:p>
    <w:p w14:paraId="78D2FC8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15.4 本合同一式</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份，甲方执肆份，乙方执</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w:t>
      </w:r>
    </w:p>
    <w:p w14:paraId="7825266B">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第16条 信用</w:t>
      </w:r>
    </w:p>
    <w:p w14:paraId="00024D9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16.1 本合同任何一方可以要求对方提供其信用报告。</w:t>
      </w:r>
    </w:p>
    <w:p w14:paraId="3EB8A30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16.2 如合同双方在履行本合同过程中发生争议，并进入司法等争端解决程序，任何一方可以将生效判决提交给本市的联合征信机构。</w:t>
      </w:r>
    </w:p>
    <w:p w14:paraId="4BCD2922">
      <w:pPr>
        <w:widowControl/>
        <w:spacing w:before="0" w:beforeAutospacing="0" w:after="0" w:afterAutospacing="0"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（以下无合同正文）</w:t>
      </w:r>
    </w:p>
    <w:tbl>
      <w:tblPr>
        <w:tblStyle w:val="47"/>
        <w:tblW w:w="0" w:type="auto"/>
        <w:tblInd w:w="0" w:type="dxa"/>
        <w:tblLayout w:type="fixed"/>
        <w:tblCellMar>
          <w:top w:w="0" w:type="dxa"/>
          <w:left w:w="108" w:type="dxa"/>
          <w:bottom w:w="0" w:type="dxa"/>
          <w:right w:w="108" w:type="dxa"/>
        </w:tblCellMar>
      </w:tblPr>
      <w:tblGrid>
        <w:gridCol w:w="4896"/>
        <w:gridCol w:w="4583"/>
      </w:tblGrid>
      <w:tr w14:paraId="6B71ABB5">
        <w:tblPrEx>
          <w:tblCellMar>
            <w:top w:w="0" w:type="dxa"/>
            <w:left w:w="108" w:type="dxa"/>
            <w:bottom w:w="0" w:type="dxa"/>
            <w:right w:w="108" w:type="dxa"/>
          </w:tblCellMar>
        </w:tblPrEx>
        <w:trPr>
          <w:trHeight w:val="725" w:hRule="atLeast"/>
        </w:trPr>
        <w:tc>
          <w:tcPr>
            <w:tcW w:w="4896" w:type="dxa"/>
            <w:vAlign w:val="top"/>
          </w:tcPr>
          <w:p w14:paraId="5FA5AEFA">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甲方名称：重庆首讯科技股份有限公司（章）</w:t>
            </w:r>
          </w:p>
          <w:p w14:paraId="79E834A4">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c>
          <w:tcPr>
            <w:tcW w:w="4583" w:type="dxa"/>
            <w:vAlign w:val="top"/>
          </w:tcPr>
          <w:p w14:paraId="3E98009E">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公司（章）</w:t>
            </w:r>
          </w:p>
          <w:p w14:paraId="1A22168D">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r>
      <w:tr w14:paraId="429A0E38">
        <w:tblPrEx>
          <w:tblCellMar>
            <w:top w:w="0" w:type="dxa"/>
            <w:left w:w="108" w:type="dxa"/>
            <w:bottom w:w="0" w:type="dxa"/>
            <w:right w:w="108" w:type="dxa"/>
          </w:tblCellMar>
        </w:tblPrEx>
        <w:trPr>
          <w:trHeight w:val="572" w:hRule="atLeast"/>
        </w:trPr>
        <w:tc>
          <w:tcPr>
            <w:tcW w:w="4896" w:type="dxa"/>
            <w:vAlign w:val="top"/>
          </w:tcPr>
          <w:p w14:paraId="7C2DE699">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单位地址：重庆市渝北区余松西路155号1幢7-5</w:t>
            </w:r>
          </w:p>
        </w:tc>
        <w:tc>
          <w:tcPr>
            <w:tcW w:w="4583" w:type="dxa"/>
            <w:vAlign w:val="top"/>
          </w:tcPr>
          <w:p w14:paraId="14B17649">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单位地址：</w:t>
            </w:r>
            <w:r>
              <w:rPr>
                <w:rFonts w:hint="eastAsia" w:ascii="仿宋" w:hAnsi="仿宋" w:eastAsia="仿宋" w:cs="仿宋"/>
                <w:color w:val="auto"/>
                <w:sz w:val="24"/>
                <w:highlight w:val="none"/>
                <w:lang w:val="en-US" w:eastAsia="zh-CN"/>
              </w:rPr>
              <w:t xml:space="preserve">                             </w:t>
            </w:r>
          </w:p>
        </w:tc>
      </w:tr>
      <w:tr w14:paraId="15044E7C">
        <w:tblPrEx>
          <w:tblCellMar>
            <w:top w:w="0" w:type="dxa"/>
            <w:left w:w="108" w:type="dxa"/>
            <w:bottom w:w="0" w:type="dxa"/>
            <w:right w:w="108" w:type="dxa"/>
          </w:tblCellMar>
        </w:tblPrEx>
        <w:trPr>
          <w:trHeight w:val="572" w:hRule="atLeast"/>
        </w:trPr>
        <w:tc>
          <w:tcPr>
            <w:tcW w:w="4896" w:type="dxa"/>
            <w:vAlign w:val="top"/>
          </w:tcPr>
          <w:p w14:paraId="28A489F8">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123F9EE1">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p w14:paraId="090FC13E">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c>
          <w:tcPr>
            <w:tcW w:w="4583" w:type="dxa"/>
            <w:vAlign w:val="top"/>
          </w:tcPr>
          <w:p w14:paraId="7E89F010">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4811EBEB">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r>
      <w:tr w14:paraId="5E378425">
        <w:tblPrEx>
          <w:tblCellMar>
            <w:top w:w="0" w:type="dxa"/>
            <w:left w:w="108" w:type="dxa"/>
            <w:bottom w:w="0" w:type="dxa"/>
            <w:right w:w="108" w:type="dxa"/>
          </w:tblCellMar>
        </w:tblPrEx>
        <w:trPr>
          <w:trHeight w:val="286" w:hRule="atLeast"/>
        </w:trPr>
        <w:tc>
          <w:tcPr>
            <w:tcW w:w="4896" w:type="dxa"/>
            <w:vAlign w:val="top"/>
          </w:tcPr>
          <w:p w14:paraId="58EB3033">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c>
          <w:tcPr>
            <w:tcW w:w="4583" w:type="dxa"/>
            <w:vAlign w:val="top"/>
          </w:tcPr>
          <w:p w14:paraId="50642BF2">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r>
      <w:tr w14:paraId="0475C87C">
        <w:tblPrEx>
          <w:tblCellMar>
            <w:top w:w="0" w:type="dxa"/>
            <w:left w:w="108" w:type="dxa"/>
            <w:bottom w:w="0" w:type="dxa"/>
            <w:right w:w="108" w:type="dxa"/>
          </w:tblCellMar>
        </w:tblPrEx>
        <w:trPr>
          <w:trHeight w:val="286" w:hRule="atLeast"/>
        </w:trPr>
        <w:tc>
          <w:tcPr>
            <w:tcW w:w="4896" w:type="dxa"/>
            <w:vAlign w:val="top"/>
          </w:tcPr>
          <w:p w14:paraId="47197D66">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公司电话：</w:t>
            </w:r>
            <w:r>
              <w:rPr>
                <w:rFonts w:hint="eastAsia" w:ascii="仿宋" w:hAnsi="仿宋" w:eastAsia="仿宋" w:cs="仿宋"/>
                <w:color w:val="auto"/>
                <w:highlight w:val="none"/>
              </w:rPr>
              <w:t xml:space="preserve">023-86917860 </w:t>
            </w:r>
          </w:p>
        </w:tc>
        <w:tc>
          <w:tcPr>
            <w:tcW w:w="4583" w:type="dxa"/>
            <w:vAlign w:val="top"/>
          </w:tcPr>
          <w:p w14:paraId="15971CEF">
            <w:pPr>
              <w:keepNext w:val="0"/>
              <w:keepLines w:val="0"/>
              <w:widowControl/>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公司电话：</w:t>
            </w:r>
          </w:p>
        </w:tc>
      </w:tr>
      <w:tr w14:paraId="65ADC2C3">
        <w:tblPrEx>
          <w:tblCellMar>
            <w:top w:w="0" w:type="dxa"/>
            <w:left w:w="108" w:type="dxa"/>
            <w:bottom w:w="0" w:type="dxa"/>
            <w:right w:w="108" w:type="dxa"/>
          </w:tblCellMar>
        </w:tblPrEx>
        <w:trPr>
          <w:trHeight w:val="527" w:hRule="atLeast"/>
        </w:trPr>
        <w:tc>
          <w:tcPr>
            <w:tcW w:w="4896" w:type="dxa"/>
            <w:vAlign w:val="top"/>
          </w:tcPr>
          <w:p w14:paraId="7B7FA650">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开户银行：中国光大银行股份有限公司重庆冉家坝支行</w:t>
            </w:r>
          </w:p>
        </w:tc>
        <w:tc>
          <w:tcPr>
            <w:tcW w:w="4583" w:type="dxa"/>
            <w:vAlign w:val="top"/>
          </w:tcPr>
          <w:p w14:paraId="45FDADBD">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lang w:val="en-US" w:eastAsia="zh-CN"/>
              </w:rPr>
              <w:t xml:space="preserve">                           </w:t>
            </w:r>
          </w:p>
        </w:tc>
      </w:tr>
      <w:tr w14:paraId="5FBB0629">
        <w:tblPrEx>
          <w:tblCellMar>
            <w:top w:w="0" w:type="dxa"/>
            <w:left w:w="108" w:type="dxa"/>
            <w:bottom w:w="0" w:type="dxa"/>
            <w:right w:w="108" w:type="dxa"/>
          </w:tblCellMar>
        </w:tblPrEx>
        <w:trPr>
          <w:trHeight w:val="527" w:hRule="atLeast"/>
        </w:trPr>
        <w:tc>
          <w:tcPr>
            <w:tcW w:w="4896" w:type="dxa"/>
            <w:vAlign w:val="top"/>
          </w:tcPr>
          <w:p w14:paraId="5498094B">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银行账号：39530188000016968</w:t>
            </w:r>
          </w:p>
        </w:tc>
        <w:tc>
          <w:tcPr>
            <w:tcW w:w="4583" w:type="dxa"/>
            <w:vAlign w:val="top"/>
          </w:tcPr>
          <w:p w14:paraId="0DA03062">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银行帐号：</w:t>
            </w:r>
            <w:r>
              <w:rPr>
                <w:rFonts w:hint="eastAsia" w:ascii="仿宋" w:hAnsi="仿宋" w:eastAsia="仿宋" w:cs="仿宋"/>
                <w:color w:val="auto"/>
                <w:sz w:val="24"/>
                <w:highlight w:val="none"/>
                <w:lang w:val="en-US" w:eastAsia="zh-CN"/>
              </w:rPr>
              <w:t xml:space="preserve">                            </w:t>
            </w:r>
          </w:p>
        </w:tc>
      </w:tr>
      <w:tr w14:paraId="5B4A44BE">
        <w:tblPrEx>
          <w:tblCellMar>
            <w:top w:w="0" w:type="dxa"/>
            <w:left w:w="108" w:type="dxa"/>
            <w:bottom w:w="0" w:type="dxa"/>
            <w:right w:w="108" w:type="dxa"/>
          </w:tblCellMar>
        </w:tblPrEx>
        <w:trPr>
          <w:trHeight w:val="527" w:hRule="atLeast"/>
        </w:trPr>
        <w:tc>
          <w:tcPr>
            <w:tcW w:w="4896" w:type="dxa"/>
            <w:vAlign w:val="center"/>
          </w:tcPr>
          <w:p w14:paraId="0777E631">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c>
          <w:tcPr>
            <w:tcW w:w="4583" w:type="dxa"/>
            <w:vAlign w:val="top"/>
          </w:tcPr>
          <w:p w14:paraId="2AEECE5D">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r>
    </w:tbl>
    <w:p w14:paraId="3A2B8E8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w:t>
      </w:r>
    </w:p>
    <w:p w14:paraId="0C09A6BD">
      <w:pPr>
        <w:jc w:val="center"/>
        <w:rPr>
          <w:rFonts w:hint="eastAsia" w:ascii="仿宋" w:hAnsi="仿宋" w:eastAsia="仿宋" w:cs="仿宋"/>
          <w:b/>
          <w:color w:val="auto"/>
          <w:kern w:val="0"/>
          <w:sz w:val="32"/>
          <w:szCs w:val="32"/>
          <w:highlight w:val="none"/>
        </w:rPr>
      </w:pPr>
    </w:p>
    <w:p w14:paraId="3BB56EA6">
      <w:pPr>
        <w:jc w:val="left"/>
        <w:rPr>
          <w:rFonts w:hint="eastAsia" w:ascii="仿宋" w:hAnsi="仿宋" w:eastAsia="仿宋" w:cs="仿宋"/>
          <w:b/>
          <w:color w:val="auto"/>
          <w:kern w:val="0"/>
          <w:sz w:val="32"/>
          <w:szCs w:val="32"/>
          <w:highlight w:val="none"/>
        </w:rPr>
        <w:sectPr>
          <w:headerReference r:id="rId7" w:type="default"/>
          <w:footerReference r:id="rId8" w:type="default"/>
          <w:pgSz w:w="11906" w:h="16838"/>
          <w:pgMar w:top="1304" w:right="1134" w:bottom="1304" w:left="1304" w:header="851" w:footer="992" w:gutter="0"/>
          <w:cols w:space="720" w:num="1"/>
          <w:docGrid w:linePitch="312" w:charSpace="0"/>
        </w:sectPr>
      </w:pPr>
    </w:p>
    <w:p w14:paraId="52530818">
      <w:pPr>
        <w:jc w:val="left"/>
        <w:rPr>
          <w:rFonts w:hint="default"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附件一</w:t>
      </w:r>
      <w:r>
        <w:rPr>
          <w:rFonts w:hint="eastAsia" w:ascii="仿宋" w:hAnsi="仿宋" w:eastAsia="仿宋" w:cs="仿宋"/>
          <w:b/>
          <w:color w:val="auto"/>
          <w:kern w:val="0"/>
          <w:sz w:val="32"/>
          <w:szCs w:val="32"/>
          <w:highlight w:val="none"/>
          <w:lang w:eastAsia="zh-CN"/>
        </w:rPr>
        <w:t>：</w:t>
      </w:r>
      <w:r>
        <w:rPr>
          <w:rFonts w:hint="eastAsia" w:ascii="仿宋" w:hAnsi="仿宋" w:eastAsia="仿宋" w:cs="仿宋"/>
          <w:b/>
          <w:color w:val="auto"/>
          <w:kern w:val="0"/>
          <w:sz w:val="32"/>
          <w:szCs w:val="32"/>
          <w:highlight w:val="none"/>
          <w:lang w:val="en-US" w:eastAsia="zh-CN"/>
        </w:rPr>
        <w:t>软件功能及性能描述</w:t>
      </w:r>
    </w:p>
    <w:p w14:paraId="044E495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AAFCA7E">
      <w:pPr>
        <w:widowControl/>
        <w:spacing w:before="0" w:beforeAutospacing="0" w:after="0" w:afterAutospacing="0" w:line="40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详见招标文件第五章。</w:t>
      </w:r>
    </w:p>
    <w:p w14:paraId="764C96A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47AA3E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415E53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EBDDF9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5DF42B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23A712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4CF26E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514D73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A292F8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7F9520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33E8BC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19CEA8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B9CC19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6E2970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385EF8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59CDF9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687B0D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49703B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6DE466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BDC543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3C4761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52AA23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8D5E3B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3AF401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83D512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7FA752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92C9B6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5A1F23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A06DCFF">
      <w:pPr>
        <w:ind w:firstLine="0" w:firstLineChars="0"/>
        <w:jc w:val="both"/>
        <w:rPr>
          <w:rFonts w:hint="eastAsia" w:ascii="仿宋" w:hAnsi="仿宋" w:eastAsia="仿宋" w:cs="仿宋"/>
          <w:b/>
          <w:color w:val="auto"/>
          <w:kern w:val="0"/>
          <w:sz w:val="32"/>
          <w:szCs w:val="32"/>
          <w:highlight w:val="none"/>
        </w:rPr>
      </w:pPr>
    </w:p>
    <w:p w14:paraId="5D0C3AAF">
      <w:pPr>
        <w:ind w:firstLine="2570" w:firstLineChars="800"/>
        <w:jc w:val="both"/>
        <w:rPr>
          <w:rFonts w:hint="eastAsia" w:ascii="仿宋" w:hAnsi="仿宋" w:eastAsia="仿宋" w:cs="仿宋"/>
          <w:b/>
          <w:color w:val="auto"/>
          <w:kern w:val="0"/>
          <w:sz w:val="32"/>
          <w:szCs w:val="32"/>
          <w:highlight w:val="none"/>
        </w:rPr>
      </w:pPr>
    </w:p>
    <w:p w14:paraId="2F20419C">
      <w:pPr>
        <w:ind w:firstLine="2570" w:firstLineChars="800"/>
        <w:jc w:val="both"/>
        <w:rPr>
          <w:rFonts w:hint="eastAsia" w:ascii="仿宋" w:hAnsi="仿宋" w:eastAsia="仿宋" w:cs="仿宋"/>
          <w:b/>
          <w:color w:val="auto"/>
          <w:kern w:val="0"/>
          <w:sz w:val="32"/>
          <w:szCs w:val="32"/>
          <w:highlight w:val="none"/>
        </w:rPr>
      </w:pPr>
    </w:p>
    <w:p w14:paraId="4D0705AD">
      <w:pPr>
        <w:ind w:firstLine="0" w:firstLineChars="0"/>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50DD96B2">
      <w:pPr>
        <w:ind w:firstLine="0" w:firstLineChars="0"/>
        <w:jc w:val="both"/>
        <w:rPr>
          <w:rFonts w:hint="eastAsia" w:ascii="仿宋" w:hAnsi="仿宋" w:eastAsia="仿宋" w:cs="仿宋"/>
          <w:b/>
          <w:color w:val="auto"/>
          <w:kern w:val="0"/>
          <w:sz w:val="32"/>
          <w:szCs w:val="32"/>
          <w:highlight w:val="none"/>
          <w:lang w:val="en-US"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二</w:t>
      </w:r>
      <w:r>
        <w:rPr>
          <w:rFonts w:hint="eastAsia" w:ascii="仿宋" w:hAnsi="仿宋" w:eastAsia="仿宋" w:cs="仿宋"/>
          <w:b/>
          <w:color w:val="auto"/>
          <w:kern w:val="0"/>
          <w:sz w:val="32"/>
          <w:szCs w:val="32"/>
          <w:highlight w:val="none"/>
        </w:rPr>
        <w:t>：具体价格清单</w:t>
      </w:r>
    </w:p>
    <w:p w14:paraId="08C3A4A0">
      <w:pPr>
        <w:jc w:val="center"/>
        <w:rPr>
          <w:rFonts w:hint="eastAsia" w:ascii="仿宋" w:hAnsi="仿宋" w:eastAsia="仿宋" w:cs="仿宋"/>
          <w:b/>
          <w:color w:val="auto"/>
          <w:kern w:val="0"/>
          <w:sz w:val="32"/>
          <w:szCs w:val="32"/>
          <w:highlight w:val="none"/>
        </w:rPr>
      </w:pPr>
    </w:p>
    <w:p w14:paraId="7A9E5B37">
      <w:pPr>
        <w:ind w:firstLine="2570" w:firstLineChars="800"/>
        <w:jc w:val="both"/>
        <w:rPr>
          <w:rFonts w:hint="eastAsia" w:ascii="仿宋" w:hAnsi="仿宋" w:eastAsia="仿宋" w:cs="仿宋"/>
          <w:b/>
          <w:color w:val="auto"/>
          <w:kern w:val="0"/>
          <w:sz w:val="32"/>
          <w:szCs w:val="32"/>
          <w:highlight w:val="none"/>
        </w:rPr>
      </w:pPr>
    </w:p>
    <w:p w14:paraId="4D266FF4">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0BA254A0">
      <w:pPr>
        <w:rPr>
          <w:rFonts w:hint="eastAsia" w:ascii="仿宋" w:hAnsi="仿宋" w:eastAsia="仿宋" w:cs="仿宋"/>
          <w:b/>
          <w:color w:val="auto"/>
          <w:kern w:val="0"/>
          <w:sz w:val="32"/>
          <w:szCs w:val="32"/>
          <w:highlight w:val="none"/>
        </w:rPr>
      </w:pPr>
    </w:p>
    <w:p w14:paraId="2A06D22B">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5AE38BA9">
      <w:pPr>
        <w:rPr>
          <w:rFonts w:hint="eastAsia" w:ascii="仿宋" w:hAnsi="仿宋" w:eastAsia="仿宋" w:cs="仿宋"/>
          <w:b/>
          <w:color w:val="auto"/>
          <w:kern w:val="0"/>
          <w:sz w:val="32"/>
          <w:szCs w:val="32"/>
          <w:highlight w:val="none"/>
        </w:rPr>
      </w:pPr>
    </w:p>
    <w:p w14:paraId="32E01C32">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06B92C86">
      <w:pPr>
        <w:rPr>
          <w:rFonts w:hint="eastAsia" w:ascii="仿宋" w:hAnsi="仿宋" w:eastAsia="仿宋" w:cs="仿宋"/>
          <w:b/>
          <w:color w:val="auto"/>
          <w:kern w:val="0"/>
          <w:sz w:val="32"/>
          <w:szCs w:val="32"/>
          <w:highlight w:val="none"/>
        </w:rPr>
      </w:pPr>
    </w:p>
    <w:p w14:paraId="64F814FF">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4535CB59">
      <w:pPr>
        <w:rPr>
          <w:rFonts w:hint="eastAsia" w:ascii="仿宋" w:hAnsi="仿宋" w:eastAsia="仿宋" w:cs="仿宋"/>
          <w:b/>
          <w:color w:val="auto"/>
          <w:kern w:val="0"/>
          <w:sz w:val="32"/>
          <w:szCs w:val="32"/>
          <w:highlight w:val="none"/>
        </w:rPr>
      </w:pPr>
    </w:p>
    <w:p w14:paraId="10C64D18">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69C8465A">
      <w:pPr>
        <w:rPr>
          <w:rFonts w:hint="eastAsia" w:ascii="仿宋" w:hAnsi="仿宋" w:eastAsia="仿宋" w:cs="仿宋"/>
          <w:b/>
          <w:color w:val="auto"/>
          <w:kern w:val="0"/>
          <w:sz w:val="32"/>
          <w:szCs w:val="32"/>
          <w:highlight w:val="none"/>
        </w:rPr>
      </w:pPr>
    </w:p>
    <w:p w14:paraId="27F00A4E">
      <w:pPr>
        <w:ind w:firstLine="2570" w:firstLineChars="800"/>
        <w:jc w:val="both"/>
        <w:rPr>
          <w:rFonts w:hint="eastAsia" w:ascii="仿宋" w:hAnsi="仿宋" w:eastAsia="仿宋" w:cs="仿宋"/>
          <w:b/>
          <w:color w:val="auto"/>
          <w:kern w:val="0"/>
          <w:sz w:val="32"/>
          <w:szCs w:val="32"/>
          <w:highlight w:val="none"/>
        </w:rPr>
      </w:pPr>
    </w:p>
    <w:p w14:paraId="3C427FFF">
      <w:pPr>
        <w:ind w:firstLine="0" w:firstLineChars="0"/>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三</w:t>
      </w:r>
      <w:r>
        <w:rPr>
          <w:rFonts w:hint="eastAsia" w:ascii="仿宋" w:hAnsi="仿宋" w:eastAsia="仿宋" w:cs="仿宋"/>
          <w:b/>
          <w:color w:val="auto"/>
          <w:kern w:val="0"/>
          <w:sz w:val="32"/>
          <w:szCs w:val="32"/>
          <w:highlight w:val="none"/>
        </w:rPr>
        <w:t>：里程碑工程进度</w:t>
      </w:r>
    </w:p>
    <w:p w14:paraId="58D8500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01DA303">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里程碑阶段项目：名称内容规格、完成时间检测标准备注</w:t>
      </w:r>
    </w:p>
    <w:p w14:paraId="3D7C8B0E">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p>
    <w:p w14:paraId="5B79FC15">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里程碑1：</w:t>
      </w:r>
    </w:p>
    <w:p w14:paraId="477AD12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06772ED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7749451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交付内容：（关键事件与目标边界一里程碑）总体详细设计说明书、需求分析、系统设计书、系统与子系统检测标准书：构成本合同的附件。检测标准不得低于本行业的标准。）</w:t>
      </w:r>
    </w:p>
    <w:p w14:paraId="1649FD5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799EC31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186BD3D">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里程碑2：</w:t>
      </w:r>
    </w:p>
    <w:p w14:paraId="5FCACFA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164EAB0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04C83DA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测试和测试用例阶段性交付：业务流程方案，系统设计书、系统与子系统检测标准书，软件产品评审文件，项目计划，软件需求分析文件，软件设计文件，软件实现和单元测试文件，系统测试文件，双方对上述文件进行评审和调试和调整。）</w:t>
      </w:r>
    </w:p>
    <w:p w14:paraId="00F60663">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06490F5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90A154D">
      <w:pPr>
        <w:widowControl/>
        <w:spacing w:before="0" w:beforeAutospacing="0" w:after="0" w:afterAutospacing="0" w:line="400" w:lineRule="exact"/>
        <w:ind w:firstLine="482"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里程碑3：</w:t>
      </w:r>
    </w:p>
    <w:p w14:paraId="0BCD751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188F571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4FDC30A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w:t>
      </w:r>
    </w:p>
    <w:p w14:paraId="05AB3D4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10CD2A6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w:t>
      </w:r>
    </w:p>
    <w:p w14:paraId="1D1BE33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51871A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062852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98FC31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91E7F3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782D96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85A63F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48FFA5E">
      <w:pPr>
        <w:pStyle w:val="6"/>
        <w:rPr>
          <w:rFonts w:hint="eastAsia" w:ascii="仿宋" w:hAnsi="仿宋" w:eastAsia="仿宋" w:cs="仿宋"/>
          <w:color w:val="auto"/>
          <w:kern w:val="0"/>
          <w:sz w:val="24"/>
          <w:szCs w:val="24"/>
          <w:highlight w:val="none"/>
          <w:lang w:val="en-US" w:eastAsia="zh-CN" w:bidi="ar-SA"/>
        </w:rPr>
      </w:pPr>
    </w:p>
    <w:p w14:paraId="2DA9D4D4">
      <w:pPr>
        <w:rPr>
          <w:rFonts w:hint="eastAsia" w:ascii="仿宋" w:hAnsi="仿宋" w:eastAsia="仿宋" w:cs="仿宋"/>
          <w:color w:val="auto"/>
          <w:kern w:val="0"/>
          <w:sz w:val="24"/>
          <w:szCs w:val="24"/>
          <w:highlight w:val="none"/>
          <w:lang w:val="en-US" w:eastAsia="zh-CN" w:bidi="ar-SA"/>
        </w:rPr>
      </w:pPr>
    </w:p>
    <w:p w14:paraId="737AC898">
      <w:pPr>
        <w:jc w:val="both"/>
        <w:rPr>
          <w:rFonts w:hint="eastAsia" w:ascii="仿宋" w:hAnsi="仿宋" w:eastAsia="仿宋" w:cs="仿宋"/>
          <w:b/>
          <w:color w:val="auto"/>
          <w:kern w:val="0"/>
          <w:sz w:val="32"/>
          <w:szCs w:val="32"/>
          <w:highlight w:val="none"/>
        </w:rPr>
      </w:pPr>
    </w:p>
    <w:p w14:paraId="0D0AA95B">
      <w:pPr>
        <w:jc w:val="both"/>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四</w:t>
      </w:r>
    </w:p>
    <w:p w14:paraId="28093985">
      <w:pPr>
        <w:jc w:val="both"/>
        <w:rPr>
          <w:rFonts w:hint="eastAsia" w:ascii="仿宋" w:hAnsi="仿宋" w:eastAsia="仿宋" w:cs="仿宋"/>
          <w:b/>
          <w:color w:val="auto"/>
          <w:kern w:val="0"/>
          <w:sz w:val="32"/>
          <w:szCs w:val="32"/>
          <w:highlight w:val="none"/>
          <w:lang w:eastAsia="zh-CN"/>
        </w:rPr>
      </w:pPr>
    </w:p>
    <w:tbl>
      <w:tblPr>
        <w:tblStyle w:val="47"/>
        <w:tblW w:w="4977"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779"/>
        <w:gridCol w:w="1345"/>
        <w:gridCol w:w="1359"/>
        <w:gridCol w:w="3677"/>
        <w:gridCol w:w="2480"/>
      </w:tblGrid>
      <w:tr w14:paraId="1E1DB9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9640" w:type="dxa"/>
            <w:gridSpan w:val="5"/>
            <w:tcBorders>
              <w:top w:val="single" w:color="000000" w:sz="6" w:space="0"/>
              <w:left w:val="single" w:color="000000" w:sz="6" w:space="0"/>
              <w:bottom w:val="single" w:color="000000" w:sz="6" w:space="0"/>
              <w:right w:val="single" w:color="000000" w:sz="6" w:space="0"/>
            </w:tcBorders>
            <w:vAlign w:val="top"/>
          </w:tcPr>
          <w:p w14:paraId="2221C9DA">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项目小组成员</w:t>
            </w:r>
          </w:p>
        </w:tc>
      </w:tr>
      <w:tr w14:paraId="394705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779" w:type="dxa"/>
            <w:tcBorders>
              <w:top w:val="single" w:color="000000" w:sz="6" w:space="0"/>
              <w:left w:val="single" w:color="000000" w:sz="6" w:space="0"/>
              <w:bottom w:val="single" w:color="000000" w:sz="6" w:space="0"/>
              <w:right w:val="single" w:color="000000" w:sz="6" w:space="0"/>
            </w:tcBorders>
            <w:vAlign w:val="top"/>
          </w:tcPr>
          <w:p w14:paraId="46112535">
            <w:pPr>
              <w:keepNext w:val="0"/>
              <w:keepLines w:val="0"/>
              <w:widowControl/>
              <w:suppressLineNumbers w:val="0"/>
              <w:spacing w:before="0" w:beforeAutospacing="0" w:after="0" w:afterAutospacing="0" w:line="400" w:lineRule="exact"/>
              <w:ind w:left="0" w:right="0" w:firstLine="0" w:firstLineChars="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1345" w:type="dxa"/>
            <w:tcBorders>
              <w:top w:val="single" w:color="000000" w:sz="6" w:space="0"/>
              <w:left w:val="single" w:color="000000" w:sz="6" w:space="0"/>
              <w:bottom w:val="single" w:color="000000" w:sz="6" w:space="0"/>
              <w:right w:val="single" w:color="000000" w:sz="6" w:space="0"/>
            </w:tcBorders>
            <w:vAlign w:val="top"/>
          </w:tcPr>
          <w:p w14:paraId="191C628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姓名</w:t>
            </w:r>
          </w:p>
        </w:tc>
        <w:tc>
          <w:tcPr>
            <w:tcW w:w="1359" w:type="dxa"/>
            <w:tcBorders>
              <w:top w:val="single" w:color="000000" w:sz="6" w:space="0"/>
              <w:left w:val="single" w:color="000000" w:sz="6" w:space="0"/>
              <w:bottom w:val="single" w:color="000000" w:sz="6" w:space="0"/>
              <w:right w:val="single" w:color="000000" w:sz="6" w:space="0"/>
            </w:tcBorders>
            <w:vAlign w:val="top"/>
          </w:tcPr>
          <w:p w14:paraId="2FE2878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tc>
        <w:tc>
          <w:tcPr>
            <w:tcW w:w="3677" w:type="dxa"/>
            <w:tcBorders>
              <w:top w:val="single" w:color="000000" w:sz="6" w:space="0"/>
              <w:left w:val="single" w:color="000000" w:sz="6" w:space="0"/>
              <w:bottom w:val="single" w:color="000000" w:sz="6" w:space="0"/>
              <w:right w:val="single" w:color="000000" w:sz="6" w:space="0"/>
            </w:tcBorders>
            <w:vAlign w:val="top"/>
          </w:tcPr>
          <w:p w14:paraId="1BAB9FC6">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工作内容</w:t>
            </w:r>
          </w:p>
        </w:tc>
        <w:tc>
          <w:tcPr>
            <w:tcW w:w="2480" w:type="dxa"/>
            <w:tcBorders>
              <w:top w:val="single" w:color="000000" w:sz="6" w:space="0"/>
              <w:left w:val="single" w:color="000000" w:sz="6" w:space="0"/>
              <w:bottom w:val="single" w:color="000000" w:sz="6" w:space="0"/>
              <w:right w:val="single" w:color="000000" w:sz="6" w:space="0"/>
            </w:tcBorders>
            <w:vAlign w:val="top"/>
          </w:tcPr>
          <w:p w14:paraId="5114CEF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联系方式</w:t>
            </w:r>
          </w:p>
        </w:tc>
      </w:tr>
      <w:tr w14:paraId="4375597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6" w:space="0"/>
              <w:left w:val="single" w:color="000000" w:sz="6" w:space="0"/>
              <w:bottom w:val="single" w:color="000000" w:sz="6" w:space="0"/>
              <w:right w:val="single" w:color="000000" w:sz="6" w:space="0"/>
            </w:tcBorders>
            <w:vAlign w:val="top"/>
          </w:tcPr>
          <w:p w14:paraId="1E460FA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45" w:type="dxa"/>
            <w:tcBorders>
              <w:top w:val="single" w:color="000000" w:sz="6" w:space="0"/>
              <w:left w:val="single" w:color="000000" w:sz="6" w:space="0"/>
              <w:bottom w:val="single" w:color="000000" w:sz="6" w:space="0"/>
              <w:right w:val="single" w:color="000000" w:sz="6" w:space="0"/>
            </w:tcBorders>
            <w:vAlign w:val="top"/>
          </w:tcPr>
          <w:p w14:paraId="012F78A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59" w:type="dxa"/>
            <w:tcBorders>
              <w:top w:val="single" w:color="000000" w:sz="6" w:space="0"/>
              <w:left w:val="single" w:color="000000" w:sz="6" w:space="0"/>
              <w:bottom w:val="single" w:color="000000" w:sz="6" w:space="0"/>
              <w:right w:val="single" w:color="000000" w:sz="6" w:space="0"/>
            </w:tcBorders>
            <w:vAlign w:val="top"/>
          </w:tcPr>
          <w:p w14:paraId="42706CB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677" w:type="dxa"/>
            <w:tcBorders>
              <w:top w:val="single" w:color="000000" w:sz="6" w:space="0"/>
              <w:left w:val="single" w:color="000000" w:sz="6" w:space="0"/>
              <w:bottom w:val="single" w:color="000000" w:sz="6" w:space="0"/>
              <w:right w:val="single" w:color="000000" w:sz="6" w:space="0"/>
            </w:tcBorders>
            <w:vAlign w:val="top"/>
          </w:tcPr>
          <w:p w14:paraId="08B7383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480" w:type="dxa"/>
            <w:tcBorders>
              <w:top w:val="single" w:color="000000" w:sz="6" w:space="0"/>
              <w:left w:val="single" w:color="000000" w:sz="6" w:space="0"/>
              <w:bottom w:val="single" w:color="000000" w:sz="6" w:space="0"/>
              <w:right w:val="single" w:color="000000" w:sz="6" w:space="0"/>
            </w:tcBorders>
            <w:vAlign w:val="top"/>
          </w:tcPr>
          <w:p w14:paraId="76E8DC4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459E6CE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6" w:space="0"/>
              <w:left w:val="single" w:color="000000" w:sz="6" w:space="0"/>
              <w:bottom w:val="single" w:color="000000" w:sz="6" w:space="0"/>
              <w:right w:val="single" w:color="000000" w:sz="6" w:space="0"/>
            </w:tcBorders>
            <w:vAlign w:val="top"/>
          </w:tcPr>
          <w:p w14:paraId="026EA47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45" w:type="dxa"/>
            <w:tcBorders>
              <w:top w:val="single" w:color="000000" w:sz="6" w:space="0"/>
              <w:left w:val="single" w:color="000000" w:sz="6" w:space="0"/>
              <w:bottom w:val="single" w:color="000000" w:sz="6" w:space="0"/>
              <w:right w:val="single" w:color="000000" w:sz="6" w:space="0"/>
            </w:tcBorders>
            <w:vAlign w:val="top"/>
          </w:tcPr>
          <w:p w14:paraId="42F23D3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59" w:type="dxa"/>
            <w:tcBorders>
              <w:top w:val="single" w:color="000000" w:sz="6" w:space="0"/>
              <w:left w:val="single" w:color="000000" w:sz="6" w:space="0"/>
              <w:bottom w:val="single" w:color="000000" w:sz="6" w:space="0"/>
              <w:right w:val="single" w:color="000000" w:sz="6" w:space="0"/>
            </w:tcBorders>
            <w:vAlign w:val="top"/>
          </w:tcPr>
          <w:p w14:paraId="59AA28F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677" w:type="dxa"/>
            <w:tcBorders>
              <w:top w:val="single" w:color="000000" w:sz="6" w:space="0"/>
              <w:left w:val="single" w:color="000000" w:sz="6" w:space="0"/>
              <w:bottom w:val="single" w:color="000000" w:sz="6" w:space="0"/>
              <w:right w:val="single" w:color="000000" w:sz="6" w:space="0"/>
            </w:tcBorders>
            <w:vAlign w:val="top"/>
          </w:tcPr>
          <w:p w14:paraId="0F9BC27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480" w:type="dxa"/>
            <w:tcBorders>
              <w:top w:val="single" w:color="000000" w:sz="6" w:space="0"/>
              <w:left w:val="single" w:color="000000" w:sz="6" w:space="0"/>
              <w:bottom w:val="single" w:color="000000" w:sz="6" w:space="0"/>
              <w:right w:val="single" w:color="000000" w:sz="6" w:space="0"/>
            </w:tcBorders>
            <w:vAlign w:val="top"/>
          </w:tcPr>
          <w:p w14:paraId="7CD7A9A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5B30227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6" w:space="0"/>
              <w:left w:val="single" w:color="000000" w:sz="6" w:space="0"/>
              <w:bottom w:val="single" w:color="000000" w:sz="6" w:space="0"/>
              <w:right w:val="single" w:color="000000" w:sz="6" w:space="0"/>
            </w:tcBorders>
            <w:vAlign w:val="top"/>
          </w:tcPr>
          <w:p w14:paraId="21263BF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45" w:type="dxa"/>
            <w:tcBorders>
              <w:top w:val="single" w:color="000000" w:sz="6" w:space="0"/>
              <w:left w:val="single" w:color="000000" w:sz="6" w:space="0"/>
              <w:bottom w:val="single" w:color="000000" w:sz="6" w:space="0"/>
              <w:right w:val="single" w:color="000000" w:sz="6" w:space="0"/>
            </w:tcBorders>
            <w:vAlign w:val="top"/>
          </w:tcPr>
          <w:p w14:paraId="0F178B8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59" w:type="dxa"/>
            <w:tcBorders>
              <w:top w:val="single" w:color="000000" w:sz="6" w:space="0"/>
              <w:left w:val="single" w:color="000000" w:sz="6" w:space="0"/>
              <w:bottom w:val="single" w:color="000000" w:sz="6" w:space="0"/>
              <w:right w:val="single" w:color="000000" w:sz="6" w:space="0"/>
            </w:tcBorders>
            <w:vAlign w:val="top"/>
          </w:tcPr>
          <w:p w14:paraId="156EF95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677" w:type="dxa"/>
            <w:tcBorders>
              <w:top w:val="single" w:color="000000" w:sz="6" w:space="0"/>
              <w:left w:val="single" w:color="000000" w:sz="6" w:space="0"/>
              <w:bottom w:val="single" w:color="000000" w:sz="6" w:space="0"/>
              <w:right w:val="single" w:color="000000" w:sz="6" w:space="0"/>
            </w:tcBorders>
            <w:vAlign w:val="top"/>
          </w:tcPr>
          <w:p w14:paraId="35A870D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480" w:type="dxa"/>
            <w:tcBorders>
              <w:top w:val="single" w:color="000000" w:sz="6" w:space="0"/>
              <w:left w:val="single" w:color="000000" w:sz="6" w:space="0"/>
              <w:bottom w:val="single" w:color="000000" w:sz="6" w:space="0"/>
              <w:right w:val="single" w:color="000000" w:sz="6" w:space="0"/>
            </w:tcBorders>
            <w:vAlign w:val="top"/>
          </w:tcPr>
          <w:p w14:paraId="663FCD9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1EF8C4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6" w:space="0"/>
              <w:left w:val="single" w:color="000000" w:sz="6" w:space="0"/>
              <w:bottom w:val="single" w:color="000000" w:sz="6" w:space="0"/>
              <w:right w:val="single" w:color="000000" w:sz="6" w:space="0"/>
            </w:tcBorders>
            <w:vAlign w:val="top"/>
          </w:tcPr>
          <w:p w14:paraId="360EEB7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45" w:type="dxa"/>
            <w:tcBorders>
              <w:top w:val="single" w:color="000000" w:sz="6" w:space="0"/>
              <w:left w:val="single" w:color="000000" w:sz="6" w:space="0"/>
              <w:bottom w:val="single" w:color="000000" w:sz="6" w:space="0"/>
              <w:right w:val="single" w:color="000000" w:sz="6" w:space="0"/>
            </w:tcBorders>
            <w:vAlign w:val="top"/>
          </w:tcPr>
          <w:p w14:paraId="63D1024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59" w:type="dxa"/>
            <w:tcBorders>
              <w:top w:val="single" w:color="000000" w:sz="6" w:space="0"/>
              <w:left w:val="single" w:color="000000" w:sz="6" w:space="0"/>
              <w:bottom w:val="single" w:color="000000" w:sz="6" w:space="0"/>
              <w:right w:val="single" w:color="000000" w:sz="6" w:space="0"/>
            </w:tcBorders>
            <w:vAlign w:val="top"/>
          </w:tcPr>
          <w:p w14:paraId="7258869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677" w:type="dxa"/>
            <w:tcBorders>
              <w:top w:val="single" w:color="000000" w:sz="6" w:space="0"/>
              <w:left w:val="single" w:color="000000" w:sz="6" w:space="0"/>
              <w:bottom w:val="single" w:color="000000" w:sz="6" w:space="0"/>
              <w:right w:val="single" w:color="000000" w:sz="6" w:space="0"/>
            </w:tcBorders>
            <w:vAlign w:val="top"/>
          </w:tcPr>
          <w:p w14:paraId="042AAB7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480" w:type="dxa"/>
            <w:tcBorders>
              <w:top w:val="single" w:color="000000" w:sz="6" w:space="0"/>
              <w:left w:val="single" w:color="000000" w:sz="6" w:space="0"/>
              <w:bottom w:val="single" w:color="000000" w:sz="6" w:space="0"/>
              <w:right w:val="single" w:color="000000" w:sz="6" w:space="0"/>
            </w:tcBorders>
            <w:vAlign w:val="top"/>
          </w:tcPr>
          <w:p w14:paraId="4428983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2856889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6" w:space="0"/>
              <w:left w:val="single" w:color="000000" w:sz="6" w:space="0"/>
              <w:bottom w:val="single" w:color="000000" w:sz="6" w:space="0"/>
              <w:right w:val="single" w:color="000000" w:sz="6" w:space="0"/>
            </w:tcBorders>
            <w:vAlign w:val="top"/>
          </w:tcPr>
          <w:p w14:paraId="3360BF2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45" w:type="dxa"/>
            <w:tcBorders>
              <w:top w:val="single" w:color="000000" w:sz="6" w:space="0"/>
              <w:left w:val="single" w:color="000000" w:sz="6" w:space="0"/>
              <w:bottom w:val="single" w:color="000000" w:sz="6" w:space="0"/>
              <w:right w:val="single" w:color="000000" w:sz="6" w:space="0"/>
            </w:tcBorders>
            <w:vAlign w:val="top"/>
          </w:tcPr>
          <w:p w14:paraId="1A37F38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59" w:type="dxa"/>
            <w:tcBorders>
              <w:top w:val="single" w:color="000000" w:sz="6" w:space="0"/>
              <w:left w:val="single" w:color="000000" w:sz="6" w:space="0"/>
              <w:bottom w:val="single" w:color="000000" w:sz="6" w:space="0"/>
              <w:right w:val="single" w:color="000000" w:sz="6" w:space="0"/>
            </w:tcBorders>
            <w:vAlign w:val="top"/>
          </w:tcPr>
          <w:p w14:paraId="0BE0B67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677" w:type="dxa"/>
            <w:tcBorders>
              <w:top w:val="single" w:color="000000" w:sz="6" w:space="0"/>
              <w:left w:val="single" w:color="000000" w:sz="6" w:space="0"/>
              <w:bottom w:val="single" w:color="000000" w:sz="6" w:space="0"/>
              <w:right w:val="single" w:color="000000" w:sz="6" w:space="0"/>
            </w:tcBorders>
            <w:vAlign w:val="top"/>
          </w:tcPr>
          <w:p w14:paraId="50658B0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480" w:type="dxa"/>
            <w:tcBorders>
              <w:top w:val="single" w:color="000000" w:sz="6" w:space="0"/>
              <w:left w:val="single" w:color="000000" w:sz="6" w:space="0"/>
              <w:bottom w:val="single" w:color="000000" w:sz="6" w:space="0"/>
              <w:right w:val="single" w:color="000000" w:sz="6" w:space="0"/>
            </w:tcBorders>
            <w:vAlign w:val="top"/>
          </w:tcPr>
          <w:p w14:paraId="4671A18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3E7F46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6" w:space="0"/>
              <w:left w:val="single" w:color="000000" w:sz="6" w:space="0"/>
              <w:bottom w:val="single" w:color="000000" w:sz="6" w:space="0"/>
              <w:right w:val="single" w:color="000000" w:sz="6" w:space="0"/>
            </w:tcBorders>
            <w:vAlign w:val="top"/>
          </w:tcPr>
          <w:p w14:paraId="73755EA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45" w:type="dxa"/>
            <w:tcBorders>
              <w:top w:val="single" w:color="000000" w:sz="6" w:space="0"/>
              <w:left w:val="single" w:color="000000" w:sz="6" w:space="0"/>
              <w:bottom w:val="single" w:color="000000" w:sz="6" w:space="0"/>
              <w:right w:val="single" w:color="000000" w:sz="6" w:space="0"/>
            </w:tcBorders>
            <w:vAlign w:val="top"/>
          </w:tcPr>
          <w:p w14:paraId="1CB929A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59" w:type="dxa"/>
            <w:tcBorders>
              <w:top w:val="single" w:color="000000" w:sz="6" w:space="0"/>
              <w:left w:val="single" w:color="000000" w:sz="6" w:space="0"/>
              <w:bottom w:val="single" w:color="000000" w:sz="6" w:space="0"/>
              <w:right w:val="single" w:color="000000" w:sz="6" w:space="0"/>
            </w:tcBorders>
            <w:vAlign w:val="top"/>
          </w:tcPr>
          <w:p w14:paraId="49F48E6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677" w:type="dxa"/>
            <w:tcBorders>
              <w:top w:val="single" w:color="000000" w:sz="6" w:space="0"/>
              <w:left w:val="single" w:color="000000" w:sz="6" w:space="0"/>
              <w:bottom w:val="single" w:color="000000" w:sz="6" w:space="0"/>
              <w:right w:val="single" w:color="000000" w:sz="6" w:space="0"/>
            </w:tcBorders>
            <w:vAlign w:val="top"/>
          </w:tcPr>
          <w:p w14:paraId="379EB462">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480" w:type="dxa"/>
            <w:tcBorders>
              <w:top w:val="single" w:color="000000" w:sz="6" w:space="0"/>
              <w:left w:val="single" w:color="000000" w:sz="6" w:space="0"/>
              <w:bottom w:val="single" w:color="000000" w:sz="6" w:space="0"/>
              <w:right w:val="single" w:color="000000" w:sz="6" w:space="0"/>
            </w:tcBorders>
            <w:vAlign w:val="top"/>
          </w:tcPr>
          <w:p w14:paraId="426B7B2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6490F2E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6" w:space="0"/>
              <w:left w:val="single" w:color="000000" w:sz="6" w:space="0"/>
              <w:bottom w:val="single" w:color="000000" w:sz="6" w:space="0"/>
              <w:right w:val="single" w:color="000000" w:sz="6" w:space="0"/>
            </w:tcBorders>
            <w:vAlign w:val="top"/>
          </w:tcPr>
          <w:p w14:paraId="57C15B0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45" w:type="dxa"/>
            <w:tcBorders>
              <w:top w:val="single" w:color="000000" w:sz="6" w:space="0"/>
              <w:left w:val="single" w:color="000000" w:sz="6" w:space="0"/>
              <w:bottom w:val="single" w:color="000000" w:sz="6" w:space="0"/>
              <w:right w:val="single" w:color="000000" w:sz="6" w:space="0"/>
            </w:tcBorders>
            <w:vAlign w:val="top"/>
          </w:tcPr>
          <w:p w14:paraId="526F1FC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59" w:type="dxa"/>
            <w:tcBorders>
              <w:top w:val="single" w:color="000000" w:sz="6" w:space="0"/>
              <w:left w:val="single" w:color="000000" w:sz="6" w:space="0"/>
              <w:bottom w:val="single" w:color="000000" w:sz="6" w:space="0"/>
              <w:right w:val="single" w:color="000000" w:sz="6" w:space="0"/>
            </w:tcBorders>
            <w:vAlign w:val="top"/>
          </w:tcPr>
          <w:p w14:paraId="31C2BCD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677" w:type="dxa"/>
            <w:tcBorders>
              <w:top w:val="single" w:color="000000" w:sz="6" w:space="0"/>
              <w:left w:val="single" w:color="000000" w:sz="6" w:space="0"/>
              <w:bottom w:val="single" w:color="000000" w:sz="6" w:space="0"/>
              <w:right w:val="single" w:color="000000" w:sz="6" w:space="0"/>
            </w:tcBorders>
            <w:vAlign w:val="top"/>
          </w:tcPr>
          <w:p w14:paraId="650552F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480" w:type="dxa"/>
            <w:tcBorders>
              <w:top w:val="single" w:color="000000" w:sz="6" w:space="0"/>
              <w:left w:val="single" w:color="000000" w:sz="6" w:space="0"/>
              <w:bottom w:val="single" w:color="000000" w:sz="6" w:space="0"/>
              <w:right w:val="single" w:color="000000" w:sz="6" w:space="0"/>
            </w:tcBorders>
            <w:vAlign w:val="top"/>
          </w:tcPr>
          <w:p w14:paraId="287FB13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2F57A5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6" w:space="0"/>
              <w:left w:val="single" w:color="000000" w:sz="6" w:space="0"/>
              <w:bottom w:val="single" w:color="000000" w:sz="6" w:space="0"/>
              <w:right w:val="single" w:color="000000" w:sz="6" w:space="0"/>
            </w:tcBorders>
            <w:vAlign w:val="top"/>
          </w:tcPr>
          <w:p w14:paraId="2513AF1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45" w:type="dxa"/>
            <w:tcBorders>
              <w:top w:val="single" w:color="000000" w:sz="6" w:space="0"/>
              <w:left w:val="single" w:color="000000" w:sz="6" w:space="0"/>
              <w:bottom w:val="single" w:color="000000" w:sz="6" w:space="0"/>
              <w:right w:val="single" w:color="000000" w:sz="6" w:space="0"/>
            </w:tcBorders>
            <w:vAlign w:val="top"/>
          </w:tcPr>
          <w:p w14:paraId="310079E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359" w:type="dxa"/>
            <w:tcBorders>
              <w:top w:val="single" w:color="000000" w:sz="6" w:space="0"/>
              <w:left w:val="single" w:color="000000" w:sz="6" w:space="0"/>
              <w:bottom w:val="single" w:color="000000" w:sz="6" w:space="0"/>
              <w:right w:val="single" w:color="000000" w:sz="6" w:space="0"/>
            </w:tcBorders>
            <w:vAlign w:val="top"/>
          </w:tcPr>
          <w:p w14:paraId="5E0E690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677" w:type="dxa"/>
            <w:tcBorders>
              <w:top w:val="single" w:color="000000" w:sz="6" w:space="0"/>
              <w:left w:val="single" w:color="000000" w:sz="6" w:space="0"/>
              <w:bottom w:val="single" w:color="000000" w:sz="6" w:space="0"/>
              <w:right w:val="single" w:color="000000" w:sz="6" w:space="0"/>
            </w:tcBorders>
            <w:vAlign w:val="top"/>
          </w:tcPr>
          <w:p w14:paraId="50A2736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480" w:type="dxa"/>
            <w:tcBorders>
              <w:top w:val="single" w:color="000000" w:sz="6" w:space="0"/>
              <w:left w:val="single" w:color="000000" w:sz="6" w:space="0"/>
              <w:bottom w:val="single" w:color="000000" w:sz="6" w:space="0"/>
              <w:right w:val="single" w:color="000000" w:sz="6" w:space="0"/>
            </w:tcBorders>
            <w:vAlign w:val="top"/>
          </w:tcPr>
          <w:p w14:paraId="5032855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bl>
    <w:p w14:paraId="1DBDC117">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6CABB484">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7FB8A4FF">
      <w:pPr>
        <w:spacing w:line="400" w:lineRule="exact"/>
        <w:rPr>
          <w:rFonts w:hint="eastAsia" w:ascii="仿宋" w:hAnsi="仿宋" w:eastAsia="仿宋" w:cs="仿宋"/>
          <w:color w:val="auto"/>
          <w:sz w:val="24"/>
          <w:highlight w:val="none"/>
        </w:rPr>
      </w:pPr>
    </w:p>
    <w:p w14:paraId="777346E2">
      <w:pPr>
        <w:widowControl/>
        <w:jc w:val="left"/>
        <w:rPr>
          <w:rFonts w:ascii="仿宋" w:hAnsi="仿宋" w:eastAsia="仿宋" w:cs="仿宋"/>
          <w:b/>
          <w:color w:val="auto"/>
          <w:kern w:val="0"/>
          <w:sz w:val="32"/>
          <w:szCs w:val="32"/>
          <w:highlight w:val="none"/>
        </w:rPr>
      </w:pPr>
    </w:p>
    <w:p w14:paraId="5B696B13">
      <w:pPr>
        <w:widowControl/>
        <w:jc w:val="left"/>
        <w:rPr>
          <w:rFonts w:ascii="仿宋" w:hAnsi="仿宋" w:eastAsia="仿宋" w:cs="仿宋"/>
          <w:b/>
          <w:color w:val="auto"/>
          <w:kern w:val="0"/>
          <w:sz w:val="32"/>
          <w:szCs w:val="32"/>
          <w:highlight w:val="none"/>
        </w:rPr>
      </w:pPr>
    </w:p>
    <w:p w14:paraId="789B1882">
      <w:pPr>
        <w:widowControl/>
        <w:jc w:val="left"/>
        <w:rPr>
          <w:rFonts w:ascii="仿宋" w:hAnsi="仿宋" w:eastAsia="仿宋" w:cs="仿宋"/>
          <w:b/>
          <w:color w:val="auto"/>
          <w:kern w:val="0"/>
          <w:sz w:val="32"/>
          <w:szCs w:val="32"/>
          <w:highlight w:val="none"/>
        </w:rPr>
      </w:pPr>
    </w:p>
    <w:p w14:paraId="1EDBC583">
      <w:pPr>
        <w:rPr>
          <w:rFonts w:hint="eastAsia" w:ascii="仿宋" w:hAnsi="仿宋" w:eastAsia="仿宋" w:cs="仿宋"/>
          <w:b/>
          <w:color w:val="auto"/>
          <w:kern w:val="0"/>
          <w:sz w:val="32"/>
          <w:szCs w:val="32"/>
          <w:highlight w:val="none"/>
        </w:rPr>
      </w:pPr>
    </w:p>
    <w:p w14:paraId="633BB714">
      <w:pPr>
        <w:widowControl/>
        <w:jc w:val="center"/>
        <w:rPr>
          <w:rFonts w:hint="eastAsia" w:ascii="仿宋" w:hAnsi="仿宋" w:eastAsia="仿宋" w:cs="仿宋"/>
          <w:b/>
          <w:color w:val="auto"/>
          <w:kern w:val="0"/>
          <w:sz w:val="32"/>
          <w:szCs w:val="32"/>
          <w:highlight w:val="none"/>
        </w:rPr>
      </w:pPr>
    </w:p>
    <w:p w14:paraId="036B0E59">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40C90C67">
      <w:pPr>
        <w:rPr>
          <w:rFonts w:hint="eastAsia" w:ascii="仿宋" w:hAnsi="仿宋" w:eastAsia="仿宋" w:cs="仿宋"/>
          <w:b/>
          <w:color w:val="auto"/>
          <w:kern w:val="0"/>
          <w:sz w:val="32"/>
          <w:szCs w:val="32"/>
          <w:highlight w:val="none"/>
        </w:rPr>
      </w:pPr>
    </w:p>
    <w:p w14:paraId="0E429141">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06575690">
      <w:pPr>
        <w:rPr>
          <w:rFonts w:hint="eastAsia" w:ascii="仿宋" w:hAnsi="仿宋" w:eastAsia="仿宋" w:cs="仿宋"/>
          <w:b/>
          <w:color w:val="auto"/>
          <w:kern w:val="0"/>
          <w:sz w:val="32"/>
          <w:szCs w:val="32"/>
          <w:highlight w:val="none"/>
        </w:rPr>
      </w:pPr>
    </w:p>
    <w:p w14:paraId="795753EF">
      <w:pPr>
        <w:widowControl/>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五</w:t>
      </w:r>
      <w:r>
        <w:rPr>
          <w:rFonts w:hint="eastAsia" w:ascii="仿宋" w:hAnsi="仿宋" w:eastAsia="仿宋" w:cs="仿宋"/>
          <w:b/>
          <w:color w:val="auto"/>
          <w:kern w:val="0"/>
          <w:sz w:val="32"/>
          <w:szCs w:val="32"/>
          <w:highlight w:val="none"/>
        </w:rPr>
        <w:t>：</w:t>
      </w:r>
      <w:r>
        <w:rPr>
          <w:rFonts w:hint="eastAsia" w:ascii="仿宋" w:hAnsi="仿宋" w:eastAsia="仿宋" w:cs="仿宋"/>
          <w:b/>
          <w:color w:val="auto"/>
          <w:kern w:val="0"/>
          <w:sz w:val="32"/>
          <w:szCs w:val="32"/>
          <w:highlight w:val="none"/>
          <w:lang w:val="en-US" w:eastAsia="zh-CN"/>
        </w:rPr>
        <w:t>维护和</w:t>
      </w:r>
      <w:r>
        <w:rPr>
          <w:rFonts w:hint="eastAsia" w:ascii="仿宋" w:hAnsi="仿宋" w:eastAsia="仿宋" w:cs="仿宋"/>
          <w:b/>
          <w:color w:val="auto"/>
          <w:kern w:val="0"/>
          <w:sz w:val="32"/>
          <w:szCs w:val="32"/>
          <w:highlight w:val="none"/>
        </w:rPr>
        <w:t>培训</w:t>
      </w:r>
    </w:p>
    <w:p w14:paraId="39EB8376">
      <w:pPr>
        <w:keepNext/>
        <w:keepLines/>
        <w:widowControl w:val="0"/>
        <w:spacing w:before="280" w:beforeLines="0" w:after="290" w:afterLines="0" w:line="372" w:lineRule="auto"/>
        <w:jc w:val="both"/>
        <w:outlineLvl w:val="3"/>
        <w:rPr>
          <w:rFonts w:hint="default" w:ascii="Cambria" w:hAnsi="Cambria" w:eastAsia="仿宋" w:cs="Times New Roman"/>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一、维护要求：详见第五章要求。</w:t>
      </w:r>
    </w:p>
    <w:p w14:paraId="11465189">
      <w:pPr>
        <w:keepNext/>
        <w:keepLines/>
        <w:widowControl w:val="0"/>
        <w:spacing w:before="280" w:beforeLines="0" w:after="290" w:afterLines="0" w:line="372" w:lineRule="auto"/>
        <w:jc w:val="both"/>
        <w:outlineLvl w:val="3"/>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二、培训：详见第五章要求。</w:t>
      </w:r>
    </w:p>
    <w:p w14:paraId="39FB43F5">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培训项目</w:t>
      </w:r>
    </w:p>
    <w:p w14:paraId="77889D19">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培训科目   </w:t>
      </w:r>
    </w:p>
    <w:p w14:paraId="7E69628D">
      <w:pPr>
        <w:widowControl/>
        <w:spacing w:before="100" w:beforeAutospacing="1" w:after="100" w:afterAutospacing="1"/>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合同编号：</w:t>
      </w:r>
      <w:r>
        <w:rPr>
          <w:rFonts w:hint="eastAsia" w:ascii="仿宋" w:hAnsi="仿宋" w:eastAsia="仿宋" w:cs="仿宋"/>
          <w:color w:val="auto"/>
          <w:kern w:val="0"/>
          <w:sz w:val="24"/>
          <w:szCs w:val="24"/>
          <w:highlight w:val="none"/>
          <w:u w:val="single"/>
          <w:lang w:val="en-US" w:eastAsia="zh-CN" w:bidi="ar-SA"/>
        </w:rPr>
        <w:t xml:space="preserve">                      </w:t>
      </w:r>
    </w:p>
    <w:p w14:paraId="706C66F9">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培训对象与人数</w:t>
      </w:r>
    </w:p>
    <w:p w14:paraId="086A537B">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培训时间</w:t>
      </w:r>
    </w:p>
    <w:p w14:paraId="3F3E10A9">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备注</w:t>
      </w:r>
    </w:p>
    <w:p w14:paraId="050FB233">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培训所达到的目标：</w:t>
      </w:r>
    </w:p>
    <w:p w14:paraId="35D99A59">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787627D6">
      <w:pPr>
        <w:widowControl/>
        <w:jc w:val="left"/>
        <w:rPr>
          <w:rFonts w:ascii="仿宋" w:hAnsi="仿宋" w:eastAsia="仿宋" w:cs="仿宋"/>
          <w:b/>
          <w:color w:val="auto"/>
          <w:kern w:val="0"/>
          <w:sz w:val="32"/>
          <w:szCs w:val="32"/>
          <w:highlight w:val="none"/>
        </w:rPr>
      </w:pPr>
    </w:p>
    <w:p w14:paraId="6C91B0AC">
      <w:pPr>
        <w:widowControl/>
        <w:jc w:val="left"/>
        <w:rPr>
          <w:rFonts w:ascii="仿宋" w:hAnsi="仿宋" w:eastAsia="仿宋" w:cs="仿宋"/>
          <w:b/>
          <w:color w:val="auto"/>
          <w:kern w:val="0"/>
          <w:sz w:val="32"/>
          <w:szCs w:val="32"/>
          <w:highlight w:val="none"/>
        </w:rPr>
      </w:pPr>
    </w:p>
    <w:p w14:paraId="20AE37CB">
      <w:pPr>
        <w:widowControl/>
        <w:jc w:val="left"/>
        <w:rPr>
          <w:rFonts w:ascii="仿宋" w:hAnsi="仿宋" w:eastAsia="仿宋" w:cs="仿宋"/>
          <w:b/>
          <w:color w:val="auto"/>
          <w:kern w:val="0"/>
          <w:sz w:val="32"/>
          <w:szCs w:val="32"/>
          <w:highlight w:val="none"/>
        </w:rPr>
      </w:pPr>
    </w:p>
    <w:p w14:paraId="5F625605">
      <w:pPr>
        <w:widowControl/>
        <w:jc w:val="left"/>
        <w:rPr>
          <w:rFonts w:ascii="仿宋" w:hAnsi="仿宋" w:eastAsia="仿宋" w:cs="仿宋"/>
          <w:b/>
          <w:color w:val="auto"/>
          <w:kern w:val="0"/>
          <w:sz w:val="32"/>
          <w:szCs w:val="32"/>
          <w:highlight w:val="none"/>
        </w:rPr>
      </w:pPr>
    </w:p>
    <w:p w14:paraId="5B07536B">
      <w:pPr>
        <w:widowControl/>
        <w:jc w:val="left"/>
        <w:rPr>
          <w:rFonts w:ascii="仿宋" w:hAnsi="仿宋" w:eastAsia="仿宋" w:cs="仿宋"/>
          <w:b/>
          <w:color w:val="auto"/>
          <w:kern w:val="0"/>
          <w:sz w:val="32"/>
          <w:szCs w:val="32"/>
          <w:highlight w:val="none"/>
        </w:rPr>
      </w:pPr>
    </w:p>
    <w:p w14:paraId="6C95C991">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03DBC9FC">
      <w:pPr>
        <w:widowControl/>
        <w:jc w:val="left"/>
        <w:rPr>
          <w:rFonts w:ascii="仿宋" w:hAnsi="仿宋" w:eastAsia="仿宋" w:cs="仿宋"/>
          <w:b/>
          <w:color w:val="auto"/>
          <w:kern w:val="0"/>
          <w:sz w:val="32"/>
          <w:szCs w:val="32"/>
          <w:highlight w:val="none"/>
        </w:rPr>
      </w:pPr>
    </w:p>
    <w:p w14:paraId="114DDDC1">
      <w:pPr>
        <w:pStyle w:val="6"/>
        <w:rPr>
          <w:rFonts w:ascii="仿宋" w:hAnsi="仿宋" w:eastAsia="仿宋" w:cs="仿宋"/>
          <w:b/>
          <w:color w:val="auto"/>
          <w:kern w:val="0"/>
          <w:sz w:val="32"/>
          <w:szCs w:val="32"/>
          <w:highlight w:val="none"/>
        </w:rPr>
      </w:pPr>
    </w:p>
    <w:p w14:paraId="7EBB95E3">
      <w:pPr>
        <w:rPr>
          <w:rFonts w:ascii="仿宋" w:hAnsi="仿宋" w:eastAsia="仿宋" w:cs="仿宋"/>
          <w:b/>
          <w:color w:val="auto"/>
          <w:kern w:val="0"/>
          <w:sz w:val="32"/>
          <w:szCs w:val="32"/>
          <w:highlight w:val="none"/>
        </w:rPr>
      </w:pPr>
    </w:p>
    <w:p w14:paraId="0274D51A">
      <w:pPr>
        <w:pStyle w:val="6"/>
        <w:rPr>
          <w:rFonts w:ascii="仿宋" w:hAnsi="仿宋" w:eastAsia="仿宋" w:cs="仿宋"/>
          <w:b/>
          <w:color w:val="auto"/>
          <w:kern w:val="0"/>
          <w:sz w:val="32"/>
          <w:szCs w:val="32"/>
          <w:highlight w:val="none"/>
        </w:rPr>
      </w:pPr>
    </w:p>
    <w:p w14:paraId="0ED4269A">
      <w:pPr>
        <w:rPr>
          <w:rFonts w:ascii="仿宋" w:hAnsi="仿宋" w:eastAsia="仿宋" w:cs="仿宋"/>
          <w:b/>
          <w:color w:val="auto"/>
          <w:kern w:val="0"/>
          <w:sz w:val="32"/>
          <w:szCs w:val="32"/>
          <w:highlight w:val="none"/>
        </w:rPr>
      </w:pPr>
    </w:p>
    <w:p w14:paraId="5FA17858">
      <w:pPr>
        <w:pStyle w:val="6"/>
        <w:rPr>
          <w:rFonts w:ascii="仿宋" w:hAnsi="仿宋" w:eastAsia="仿宋" w:cs="仿宋"/>
          <w:b/>
          <w:color w:val="auto"/>
          <w:kern w:val="0"/>
          <w:sz w:val="32"/>
          <w:szCs w:val="32"/>
          <w:highlight w:val="none"/>
        </w:rPr>
      </w:pPr>
    </w:p>
    <w:p w14:paraId="033BB58A">
      <w:pPr>
        <w:rPr>
          <w:color w:val="auto"/>
          <w:highlight w:val="none"/>
        </w:rPr>
      </w:pPr>
    </w:p>
    <w:p w14:paraId="26A21CC5">
      <w:pPr>
        <w:widowControl/>
        <w:jc w:val="left"/>
        <w:rPr>
          <w:rFonts w:ascii="仿宋" w:hAnsi="仿宋" w:eastAsia="仿宋" w:cs="仿宋"/>
          <w:b/>
          <w:color w:val="auto"/>
          <w:kern w:val="0"/>
          <w:sz w:val="32"/>
          <w:szCs w:val="32"/>
          <w:highlight w:val="none"/>
        </w:rPr>
      </w:pPr>
    </w:p>
    <w:p w14:paraId="7C9E8600">
      <w:pPr>
        <w:widowControl/>
        <w:spacing w:line="240" w:lineRule="auto"/>
        <w:jc w:val="left"/>
        <w:rPr>
          <w:rFonts w:ascii="宋体" w:hAnsi="宋体" w:eastAsia="宋体" w:cs="Times New Roman"/>
          <w:color w:val="auto"/>
          <w:highlight w:val="none"/>
        </w:rPr>
      </w:pP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六</w:t>
      </w:r>
      <w:r>
        <w:rPr>
          <w:rFonts w:ascii="仿宋" w:hAnsi="仿宋" w:eastAsia="仿宋" w:cs="仿宋"/>
          <w:b/>
          <w:color w:val="auto"/>
          <w:kern w:val="0"/>
          <w:sz w:val="32"/>
          <w:szCs w:val="32"/>
          <w:highlight w:val="none"/>
        </w:rPr>
        <w:t>：</w:t>
      </w:r>
      <w:r>
        <w:rPr>
          <w:rFonts w:hint="default" w:ascii="仿宋" w:hAnsi="仿宋" w:eastAsia="仿宋" w:cs="仿宋"/>
          <w:b/>
          <w:color w:val="auto"/>
          <w:kern w:val="0"/>
          <w:sz w:val="32"/>
          <w:szCs w:val="32"/>
          <w:highlight w:val="none"/>
        </w:rPr>
        <w:t>代理人授权委托书原件</w:t>
      </w:r>
    </w:p>
    <w:p w14:paraId="7BEB264B">
      <w:pPr>
        <w:widowControl/>
        <w:jc w:val="left"/>
        <w:rPr>
          <w:rFonts w:ascii="Calibri" w:hAnsi="Calibri" w:eastAsia="宋体" w:cs="Times New Roman"/>
          <w:color w:val="auto"/>
          <w:highlight w:val="none"/>
        </w:rPr>
      </w:pPr>
    </w:p>
    <w:p w14:paraId="5B9BAB2C">
      <w:pPr>
        <w:widowControl/>
        <w:spacing w:after="120"/>
        <w:jc w:val="left"/>
        <w:rPr>
          <w:rFonts w:ascii="Times New Roman" w:hAnsi="Times New Roman" w:eastAsia="宋体" w:cs="Times New Roman"/>
          <w:color w:val="auto"/>
          <w:kern w:val="0"/>
          <w:sz w:val="20"/>
          <w:szCs w:val="20"/>
          <w:highlight w:val="none"/>
          <w:lang w:val="en-US" w:eastAsia="zh-CN" w:bidi="ar-SA"/>
        </w:rPr>
      </w:pPr>
    </w:p>
    <w:p w14:paraId="2C8DFC28">
      <w:pPr>
        <w:snapToGrid w:val="0"/>
        <w:spacing w:before="163" w:beforeLines="50" w:line="480" w:lineRule="auto"/>
        <w:jc w:val="center"/>
        <w:rPr>
          <w:rFonts w:ascii="Calibri" w:hAnsi="Calibri" w:eastAsia="宋体" w:cs="Times New Roman"/>
          <w:b/>
          <w:bCs/>
          <w:color w:val="auto"/>
          <w:sz w:val="36"/>
          <w:szCs w:val="36"/>
          <w:highlight w:val="none"/>
        </w:rPr>
      </w:pPr>
      <w:bookmarkStart w:id="739" w:name="_Toc60522875"/>
      <w:r>
        <w:rPr>
          <w:rFonts w:ascii="Calibri" w:hAnsi="Calibri" w:eastAsia="宋体" w:cs="Times New Roman"/>
          <w:b/>
          <w:bCs/>
          <w:color w:val="auto"/>
          <w:sz w:val="36"/>
          <w:szCs w:val="36"/>
          <w:highlight w:val="none"/>
        </w:rPr>
        <w:t>法定代表人授权委托书</w:t>
      </w:r>
      <w:bookmarkEnd w:id="739"/>
    </w:p>
    <w:p w14:paraId="78B125C3">
      <w:pPr>
        <w:adjustRightInd w:val="0"/>
        <w:snapToGrid w:val="0"/>
        <w:spacing w:before="0" w:beforeLines="0" w:line="360" w:lineRule="auto"/>
        <w:ind w:firstLine="0"/>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none"/>
        </w:rPr>
        <w:t>重庆首讯科技股份有限公司</w:t>
      </w:r>
    </w:p>
    <w:p w14:paraId="413E6A68">
      <w:pPr>
        <w:adjustRightInd w:val="0"/>
        <w:snapToGrid w:val="0"/>
        <w:spacing w:beforeLines="0"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本授权书宣告</w:t>
      </w:r>
      <w:r>
        <w:rPr>
          <w:rFonts w:hint="eastAsia" w:ascii="仿宋" w:hAnsi="仿宋" w:eastAsia="仿宋" w:cs="仿宋"/>
          <w:color w:val="auto"/>
          <w:kern w:val="0"/>
          <w:sz w:val="24"/>
          <w:highlight w:val="none"/>
          <w:u w:val="none"/>
        </w:rPr>
        <w:t>：</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u w:val="none"/>
          <w:lang w:val="en-US" w:eastAsia="zh-CN"/>
        </w:rPr>
        <w:t>公司</w:t>
      </w:r>
      <w:r>
        <w:rPr>
          <w:rFonts w:hint="eastAsia" w:ascii="仿宋" w:hAnsi="仿宋" w:eastAsia="仿宋" w:cs="仿宋"/>
          <w:color w:val="auto"/>
          <w:kern w:val="0"/>
          <w:sz w:val="24"/>
          <w:highlight w:val="none"/>
          <w:u w:val="none"/>
        </w:rPr>
        <w:t>法定代表人</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rPr>
        <w:t>合法地代表我单位，授权</w:t>
      </w:r>
      <w:r>
        <w:rPr>
          <w:rFonts w:ascii="Calibri" w:hAnsi="Calibri" w:eastAsia="宋体" w:cs="Times New Roman"/>
          <w:color w:val="auto"/>
          <w:highlight w:val="none"/>
          <w:u w:val="single"/>
        </w:rPr>
        <w:t xml:space="preserve">          </w:t>
      </w:r>
      <w:r>
        <w:rPr>
          <w:rFonts w:hint="eastAsia" w:ascii="仿宋" w:hAnsi="仿宋" w:eastAsia="仿宋" w:cs="仿宋"/>
          <w:b w:val="0"/>
          <w:bCs w:val="0"/>
          <w:color w:val="auto"/>
          <w:kern w:val="0"/>
          <w:sz w:val="24"/>
          <w:highlight w:val="none"/>
          <w:u w:val="none"/>
        </w:rPr>
        <w:t>公司</w:t>
      </w:r>
      <w:r>
        <w:rPr>
          <w:rFonts w:hint="eastAsia" w:ascii="仿宋" w:hAnsi="仿宋" w:eastAsia="仿宋" w:cs="仿宋"/>
          <w:color w:val="auto"/>
          <w:kern w:val="0"/>
          <w:sz w:val="24"/>
          <w:highlight w:val="none"/>
        </w:rPr>
        <w:t>的</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eastAsia="zh-CN"/>
        </w:rPr>
        <w:t>（</w:t>
      </w:r>
      <w:r>
        <w:rPr>
          <w:rFonts w:hint="eastAsia" w:ascii="Calibri" w:hAnsi="Calibri" w:eastAsia="宋体" w:cs="Times New Roman"/>
          <w:color w:val="auto"/>
          <w:highlight w:val="none"/>
          <w:u w:val="single"/>
          <w:lang w:val="en-US" w:eastAsia="zh-CN"/>
        </w:rPr>
        <w:t>身份证号：</w:t>
      </w:r>
      <w:r>
        <w:rPr>
          <w:rFonts w:hint="eastAsia" w:ascii="Calibri" w:hAnsi="Calibri" w:eastAsia="宋体" w:cs="Times New Roman"/>
          <w:color w:val="auto"/>
          <w:highlight w:val="none"/>
          <w:u w:val="single"/>
          <w:lang w:eastAsia="zh-CN"/>
        </w:rPr>
        <w:t>）</w:t>
      </w:r>
      <w:r>
        <w:rPr>
          <w:rFonts w:hint="eastAsia" w:ascii="仿宋" w:hAnsi="仿宋" w:eastAsia="仿宋" w:cs="仿宋"/>
          <w:color w:val="auto"/>
          <w:kern w:val="0"/>
          <w:sz w:val="24"/>
          <w:highlight w:val="none"/>
        </w:rPr>
        <w:t>为我单位代理人，该代理人有权代表我单位与你们进行</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仿宋" w:hAnsi="仿宋" w:eastAsia="仿宋" w:cs="仿宋"/>
          <w:color w:val="auto"/>
          <w:kern w:val="0"/>
          <w:sz w:val="24"/>
          <w:highlight w:val="none"/>
        </w:rPr>
        <w:t>的相关合同签订、签署文件和处理一切与该项目有关的事务。</w:t>
      </w:r>
    </w:p>
    <w:p w14:paraId="6B814AD9">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在整个过程中，该代理人的一切行为均代表本单位，与本单位的行为具有同等法律效力。本单位将承担该代理人行为的全部法律责任和后果。</w:t>
      </w:r>
    </w:p>
    <w:p w14:paraId="4CC64174">
      <w:pPr>
        <w:adjustRightInd w:val="0"/>
        <w:snapToGrid w:val="0"/>
        <w:spacing w:before="0" w:beforeLines="0" w:line="360" w:lineRule="auto"/>
        <w:ind w:firstLine="504"/>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委托期限：</w:t>
      </w:r>
      <w:r>
        <w:rPr>
          <w:rFonts w:hint="eastAsia" w:ascii="仿宋" w:hAnsi="仿宋" w:eastAsia="仿宋" w:cs="仿宋"/>
          <w:color w:val="auto"/>
          <w:kern w:val="0"/>
          <w:sz w:val="24"/>
          <w:highlight w:val="none"/>
          <w:u w:val="none"/>
        </w:rPr>
        <w:t xml:space="preserve">自出具之日起生效至此项目缺陷责任期结束 </w:t>
      </w:r>
      <w:r>
        <w:rPr>
          <w:rFonts w:hint="eastAsia" w:ascii="仿宋" w:hAnsi="仿宋" w:eastAsia="仿宋" w:cs="仿宋"/>
          <w:color w:val="auto"/>
          <w:kern w:val="0"/>
          <w:sz w:val="24"/>
          <w:highlight w:val="none"/>
          <w:u w:val="none"/>
          <w:lang w:eastAsia="zh-CN"/>
        </w:rPr>
        <w:t>。</w:t>
      </w:r>
      <w:r>
        <w:rPr>
          <w:rFonts w:hint="eastAsia" w:ascii="仿宋" w:hAnsi="仿宋" w:eastAsia="仿宋" w:cs="仿宋"/>
          <w:color w:val="auto"/>
          <w:kern w:val="0"/>
          <w:sz w:val="24"/>
          <w:highlight w:val="none"/>
          <w:u w:val="none"/>
        </w:rPr>
        <w:t xml:space="preserve"> </w:t>
      </w:r>
    </w:p>
    <w:p w14:paraId="016FFA5B">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代理人无权转换代理权。特此委托。</w:t>
      </w:r>
    </w:p>
    <w:p w14:paraId="6590E9B2">
      <w:pPr>
        <w:ind w:firstLine="504"/>
        <w:rPr>
          <w:rFonts w:ascii="Calibri" w:hAnsi="Calibri" w:eastAsia="宋体" w:cs="Times New Roman"/>
          <w:color w:val="auto"/>
          <w:highlight w:val="none"/>
        </w:rPr>
      </w:pPr>
    </w:p>
    <w:p w14:paraId="7DFDBB8E">
      <w:pPr>
        <w:ind w:firstLine="504"/>
        <w:rPr>
          <w:rFonts w:ascii="Calibri" w:hAnsi="Calibri" w:eastAsia="宋体" w:cs="Times New Roman"/>
          <w:color w:val="auto"/>
          <w:highlight w:val="none"/>
        </w:rPr>
      </w:pPr>
    </w:p>
    <w:p w14:paraId="0BF344B9">
      <w:pPr>
        <w:ind w:firstLine="504"/>
        <w:rPr>
          <w:rFonts w:ascii="Calibri" w:hAnsi="Calibri" w:eastAsia="宋体" w:cs="Times New Roman"/>
          <w:color w:val="auto"/>
          <w:highlight w:val="none"/>
        </w:rPr>
      </w:pPr>
    </w:p>
    <w:p w14:paraId="0E617152">
      <w:pPr>
        <w:spacing w:line="480" w:lineRule="auto"/>
        <w:jc w:val="right"/>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hint="eastAsia" w:ascii="Calibri" w:hAnsi="Calibri" w:cs="Times New Roman"/>
          <w:color w:val="auto"/>
          <w:highlight w:val="none"/>
          <w:lang w:val="en-US" w:eastAsia="zh-CN"/>
        </w:rPr>
        <w:t xml:space="preserve">      </w:t>
      </w:r>
      <w:r>
        <w:rPr>
          <w:rFonts w:hint="eastAsia" w:ascii="Calibri" w:hAnsi="Calibri" w:eastAsia="宋体" w:cs="Times New Roman"/>
          <w:color w:val="auto"/>
          <w:highlight w:val="none"/>
        </w:rPr>
        <w:t>单位名称</w:t>
      </w:r>
      <w:r>
        <w:rPr>
          <w:rFonts w:ascii="Calibri" w:hAnsi="Calibri" w:eastAsia="宋体" w:cs="Times New Roman"/>
          <w:color w:val="auto"/>
          <w:highlight w:val="none"/>
        </w:rPr>
        <w:t>：</w:t>
      </w:r>
      <w:r>
        <w:rPr>
          <w:rFonts w:ascii="Calibri" w:hAnsi="Calibri" w:eastAsia="宋体" w:cs="Times New Roman"/>
          <w:color w:val="auto"/>
          <w:highlight w:val="none"/>
          <w:u w:val="single"/>
        </w:rPr>
        <w:t xml:space="preserve">          </w:t>
      </w:r>
      <w:r>
        <w:rPr>
          <w:rFonts w:hint="eastAsia" w:ascii="Calibri" w:hAnsi="Calibri"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val="en-US" w:eastAsia="zh-CN"/>
        </w:rPr>
        <w:t xml:space="preserve">             </w:t>
      </w:r>
      <w:r>
        <w:rPr>
          <w:rFonts w:ascii="Calibri" w:hAnsi="Calibri" w:eastAsia="宋体" w:cs="Times New Roman"/>
          <w:color w:val="auto"/>
          <w:highlight w:val="none"/>
          <w:u w:val="single"/>
        </w:rPr>
        <w:t>（盖章）</w:t>
      </w:r>
    </w:p>
    <w:p w14:paraId="0E39A536">
      <w:pPr>
        <w:spacing w:line="480" w:lineRule="auto"/>
        <w:ind w:firstLine="365" w:firstLineChars="174"/>
        <w:jc w:val="right"/>
        <w:rPr>
          <w:rFonts w:ascii="Calibri" w:hAnsi="Calibri" w:eastAsia="宋体" w:cs="Times New Roman"/>
          <w:color w:val="auto"/>
          <w:highlight w:val="none"/>
        </w:rPr>
      </w:pPr>
      <w:r>
        <w:rPr>
          <w:rFonts w:ascii="Calibri" w:hAnsi="Calibri" w:eastAsia="宋体" w:cs="Times New Roman"/>
          <w:color w:val="auto"/>
          <w:highlight w:val="none"/>
        </w:rPr>
        <w:t>授权人：</w:t>
      </w:r>
      <w:r>
        <w:rPr>
          <w:rFonts w:ascii="Calibri" w:hAnsi="Calibri" w:eastAsia="宋体" w:cs="Times New Roman"/>
          <w:color w:val="auto"/>
          <w:highlight w:val="none"/>
          <w:u w:val="single"/>
        </w:rPr>
        <w:t xml:space="preserve">                    （签字或盖章）</w:t>
      </w:r>
    </w:p>
    <w:p w14:paraId="0CBC4897">
      <w:pPr>
        <w:spacing w:line="480" w:lineRule="auto"/>
        <w:jc w:val="right"/>
        <w:rPr>
          <w:rFonts w:ascii="Calibri" w:hAnsi="Calibri" w:eastAsia="宋体" w:cs="Times New Roman"/>
          <w:color w:val="auto"/>
          <w:highlight w:val="none"/>
        </w:rPr>
      </w:pPr>
      <w:r>
        <w:rPr>
          <w:rFonts w:ascii="Calibri" w:hAnsi="Calibri" w:eastAsia="宋体" w:cs="Times New Roman"/>
          <w:color w:val="auto"/>
          <w:highlight w:val="none"/>
        </w:rPr>
        <w:t>被授权的代理人：</w:t>
      </w:r>
      <w:r>
        <w:rPr>
          <w:rFonts w:ascii="Calibri" w:hAnsi="Calibri" w:eastAsia="宋体" w:cs="Times New Roman"/>
          <w:color w:val="auto"/>
          <w:highlight w:val="none"/>
          <w:u w:val="single"/>
        </w:rPr>
        <w:t xml:space="preserve">                  （签字）</w:t>
      </w:r>
    </w:p>
    <w:p w14:paraId="0BE5A563">
      <w:pPr>
        <w:spacing w:line="480" w:lineRule="auto"/>
        <w:ind w:right="1920" w:firstLine="365" w:firstLineChars="174"/>
        <w:jc w:val="center"/>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 xml:space="preserve"> </w:t>
      </w:r>
      <w:r>
        <w:rPr>
          <w:rFonts w:hint="eastAsia" w:ascii="Calibri" w:hAnsi="Calibri" w:cs="Times New Roman"/>
          <w:color w:val="auto"/>
          <w:highlight w:val="none"/>
          <w:lang w:val="en-US" w:eastAsia="zh-CN"/>
        </w:rPr>
        <w:t xml:space="preserve">    </w:t>
      </w:r>
      <w:r>
        <w:rPr>
          <w:rFonts w:ascii="Calibri" w:hAnsi="Calibri" w:eastAsia="宋体" w:cs="Times New Roman"/>
          <w:color w:val="auto"/>
          <w:highlight w:val="none"/>
        </w:rPr>
        <w:t>日    期：</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年</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月</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日</w:t>
      </w:r>
    </w:p>
    <w:p w14:paraId="107A81BE">
      <w:pPr>
        <w:widowControl/>
        <w:jc w:val="left"/>
        <w:rPr>
          <w:rFonts w:ascii="仿宋" w:hAnsi="仿宋" w:eastAsia="仿宋" w:cs="仿宋"/>
          <w:b/>
          <w:color w:val="auto"/>
          <w:kern w:val="0"/>
          <w:sz w:val="32"/>
          <w:szCs w:val="32"/>
          <w:highlight w:val="none"/>
        </w:rPr>
      </w:pPr>
    </w:p>
    <w:p w14:paraId="19ED87C3">
      <w:pPr>
        <w:widowControl/>
        <w:jc w:val="left"/>
        <w:rPr>
          <w:rFonts w:ascii="仿宋" w:hAnsi="仿宋" w:eastAsia="仿宋" w:cs="仿宋"/>
          <w:b/>
          <w:color w:val="auto"/>
          <w:kern w:val="0"/>
          <w:sz w:val="32"/>
          <w:szCs w:val="32"/>
          <w:highlight w:val="none"/>
        </w:rPr>
      </w:pPr>
    </w:p>
    <w:p w14:paraId="52D3A4FE">
      <w:pPr>
        <w:widowControl/>
        <w:jc w:val="left"/>
        <w:rPr>
          <w:rFonts w:ascii="仿宋" w:hAnsi="仿宋" w:eastAsia="仿宋" w:cs="仿宋"/>
          <w:b/>
          <w:color w:val="auto"/>
          <w:kern w:val="0"/>
          <w:sz w:val="32"/>
          <w:szCs w:val="32"/>
          <w:highlight w:val="none"/>
        </w:rPr>
      </w:pPr>
    </w:p>
    <w:p w14:paraId="12B5C079">
      <w:pPr>
        <w:widowControl/>
        <w:jc w:val="left"/>
        <w:rPr>
          <w:rFonts w:hint="default" w:ascii="仿宋" w:hAnsi="仿宋" w:eastAsia="仿宋" w:cs="仿宋"/>
          <w:b/>
          <w:color w:val="auto"/>
          <w:kern w:val="0"/>
          <w:sz w:val="32"/>
          <w:szCs w:val="32"/>
          <w:highlight w:val="none"/>
        </w:rPr>
      </w:pPr>
    </w:p>
    <w:p w14:paraId="4E0AC63D">
      <w:pPr>
        <w:widowControl/>
        <w:jc w:val="left"/>
        <w:rPr>
          <w:rFonts w:hint="default" w:ascii="仿宋" w:hAnsi="仿宋" w:eastAsia="仿宋" w:cs="仿宋"/>
          <w:b/>
          <w:color w:val="auto"/>
          <w:kern w:val="0"/>
          <w:sz w:val="32"/>
          <w:szCs w:val="32"/>
          <w:highlight w:val="none"/>
        </w:rPr>
      </w:pPr>
    </w:p>
    <w:p w14:paraId="326BE6BF">
      <w:pPr>
        <w:widowControl/>
        <w:jc w:val="left"/>
        <w:rPr>
          <w:rFonts w:hint="default" w:ascii="仿宋" w:hAnsi="仿宋" w:eastAsia="仿宋" w:cs="仿宋"/>
          <w:b/>
          <w:color w:val="auto"/>
          <w:kern w:val="0"/>
          <w:sz w:val="32"/>
          <w:szCs w:val="32"/>
          <w:highlight w:val="none"/>
        </w:rPr>
      </w:pPr>
    </w:p>
    <w:p w14:paraId="6E8243FE">
      <w:pPr>
        <w:widowControl/>
        <w:jc w:val="left"/>
        <w:rPr>
          <w:rFonts w:hint="default" w:ascii="仿宋" w:hAnsi="仿宋" w:eastAsia="仿宋" w:cs="仿宋"/>
          <w:b/>
          <w:color w:val="auto"/>
          <w:kern w:val="0"/>
          <w:sz w:val="32"/>
          <w:szCs w:val="32"/>
          <w:highlight w:val="none"/>
        </w:rPr>
      </w:pPr>
    </w:p>
    <w:p w14:paraId="6D0E87C6">
      <w:pPr>
        <w:widowControl/>
        <w:jc w:val="left"/>
        <w:rPr>
          <w:rFonts w:hint="default" w:ascii="仿宋" w:hAnsi="仿宋" w:eastAsia="仿宋" w:cs="仿宋"/>
          <w:b/>
          <w:color w:val="auto"/>
          <w:kern w:val="0"/>
          <w:sz w:val="32"/>
          <w:szCs w:val="32"/>
          <w:highlight w:val="none"/>
        </w:rPr>
      </w:pPr>
    </w:p>
    <w:p w14:paraId="57A9B527">
      <w:pPr>
        <w:widowControl/>
        <w:jc w:val="left"/>
        <w:rPr>
          <w:rFonts w:hint="default" w:ascii="仿宋" w:hAnsi="仿宋" w:eastAsia="仿宋" w:cs="仿宋"/>
          <w:b/>
          <w:color w:val="auto"/>
          <w:kern w:val="0"/>
          <w:sz w:val="32"/>
          <w:szCs w:val="32"/>
          <w:highlight w:val="none"/>
        </w:rPr>
      </w:pPr>
    </w:p>
    <w:p w14:paraId="754C07C5">
      <w:pPr>
        <w:widowControl/>
        <w:jc w:val="left"/>
        <w:rPr>
          <w:rFonts w:hint="default" w:ascii="仿宋" w:hAnsi="仿宋" w:eastAsia="仿宋" w:cs="仿宋"/>
          <w:b/>
          <w:color w:val="auto"/>
          <w:kern w:val="0"/>
          <w:sz w:val="32"/>
          <w:szCs w:val="32"/>
          <w:highlight w:val="none"/>
        </w:rPr>
      </w:pPr>
    </w:p>
    <w:p w14:paraId="260400A9">
      <w:pPr>
        <w:widowControl/>
        <w:jc w:val="left"/>
        <w:rPr>
          <w:rFonts w:hint="default" w:ascii="仿宋" w:hAnsi="仿宋" w:eastAsia="仿宋" w:cs="仿宋"/>
          <w:b/>
          <w:color w:val="auto"/>
          <w:kern w:val="0"/>
          <w:sz w:val="32"/>
          <w:szCs w:val="32"/>
          <w:highlight w:val="none"/>
        </w:rPr>
      </w:pPr>
    </w:p>
    <w:p w14:paraId="6CD8CEAC">
      <w:pPr>
        <w:widowControl/>
        <w:jc w:val="left"/>
        <w:rPr>
          <w:rFonts w:hint="default"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br w:type="page"/>
      </w:r>
    </w:p>
    <w:p w14:paraId="52E68EF2">
      <w:pPr>
        <w:widowControl/>
        <w:jc w:val="left"/>
        <w:rPr>
          <w:rFonts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七</w:t>
      </w:r>
      <w:r>
        <w:rPr>
          <w:rFonts w:hint="default" w:ascii="仿宋" w:hAnsi="仿宋" w:eastAsia="仿宋" w:cs="仿宋"/>
          <w:b/>
          <w:color w:val="auto"/>
          <w:kern w:val="0"/>
          <w:sz w:val="32"/>
          <w:szCs w:val="32"/>
          <w:highlight w:val="none"/>
        </w:rPr>
        <w:t>：乙方（供方）营业执照复印件（盖乙方公章）</w:t>
      </w:r>
    </w:p>
    <w:p w14:paraId="23BECC2A">
      <w:pPr>
        <w:widowControl/>
        <w:jc w:val="left"/>
        <w:rPr>
          <w:rFonts w:ascii="仿宋" w:hAnsi="仿宋" w:eastAsia="仿宋" w:cs="仿宋"/>
          <w:b/>
          <w:color w:val="auto"/>
          <w:kern w:val="0"/>
          <w:sz w:val="32"/>
          <w:szCs w:val="32"/>
          <w:highlight w:val="none"/>
        </w:rPr>
      </w:pPr>
    </w:p>
    <w:p w14:paraId="39C19D4F">
      <w:pPr>
        <w:widowControl/>
        <w:jc w:val="left"/>
        <w:rPr>
          <w:rFonts w:ascii="仿宋" w:hAnsi="仿宋" w:eastAsia="仿宋" w:cs="仿宋"/>
          <w:b/>
          <w:color w:val="auto"/>
          <w:kern w:val="0"/>
          <w:sz w:val="32"/>
          <w:szCs w:val="32"/>
          <w:highlight w:val="none"/>
        </w:rPr>
      </w:pPr>
    </w:p>
    <w:p w14:paraId="6797AD96">
      <w:pPr>
        <w:widowControl/>
        <w:jc w:val="left"/>
        <w:rPr>
          <w:rFonts w:ascii="仿宋" w:hAnsi="仿宋" w:eastAsia="仿宋" w:cs="仿宋"/>
          <w:b/>
          <w:color w:val="auto"/>
          <w:kern w:val="0"/>
          <w:sz w:val="32"/>
          <w:szCs w:val="32"/>
          <w:highlight w:val="none"/>
        </w:rPr>
      </w:pPr>
    </w:p>
    <w:p w14:paraId="798EA46F">
      <w:pPr>
        <w:widowControl/>
        <w:jc w:val="left"/>
        <w:rPr>
          <w:rFonts w:ascii="仿宋" w:hAnsi="仿宋" w:eastAsia="仿宋" w:cs="仿宋"/>
          <w:b/>
          <w:color w:val="auto"/>
          <w:kern w:val="0"/>
          <w:sz w:val="32"/>
          <w:szCs w:val="32"/>
          <w:highlight w:val="none"/>
        </w:rPr>
      </w:pPr>
    </w:p>
    <w:p w14:paraId="1849ECEA">
      <w:pPr>
        <w:widowControl/>
        <w:jc w:val="left"/>
        <w:rPr>
          <w:rFonts w:ascii="仿宋" w:hAnsi="仿宋" w:eastAsia="仿宋" w:cs="仿宋"/>
          <w:b/>
          <w:color w:val="auto"/>
          <w:kern w:val="0"/>
          <w:sz w:val="32"/>
          <w:szCs w:val="32"/>
          <w:highlight w:val="none"/>
        </w:rPr>
      </w:pPr>
    </w:p>
    <w:p w14:paraId="05C386B1">
      <w:pPr>
        <w:widowControl/>
        <w:jc w:val="left"/>
        <w:rPr>
          <w:rFonts w:ascii="仿宋" w:hAnsi="仿宋" w:eastAsia="仿宋" w:cs="仿宋"/>
          <w:b/>
          <w:color w:val="auto"/>
          <w:kern w:val="0"/>
          <w:sz w:val="32"/>
          <w:szCs w:val="32"/>
          <w:highlight w:val="none"/>
        </w:rPr>
      </w:pPr>
    </w:p>
    <w:p w14:paraId="64C92E41">
      <w:pPr>
        <w:widowControl/>
        <w:jc w:val="left"/>
        <w:rPr>
          <w:rFonts w:ascii="仿宋" w:hAnsi="仿宋" w:eastAsia="仿宋" w:cs="仿宋"/>
          <w:b/>
          <w:color w:val="auto"/>
          <w:kern w:val="0"/>
          <w:sz w:val="32"/>
          <w:szCs w:val="32"/>
          <w:highlight w:val="none"/>
        </w:rPr>
      </w:pPr>
    </w:p>
    <w:p w14:paraId="71232286">
      <w:pPr>
        <w:widowControl/>
        <w:jc w:val="left"/>
        <w:rPr>
          <w:rFonts w:ascii="仿宋" w:hAnsi="仿宋" w:eastAsia="仿宋" w:cs="仿宋"/>
          <w:b/>
          <w:color w:val="auto"/>
          <w:kern w:val="0"/>
          <w:sz w:val="32"/>
          <w:szCs w:val="32"/>
          <w:highlight w:val="none"/>
        </w:rPr>
      </w:pPr>
    </w:p>
    <w:p w14:paraId="7EF35BBF">
      <w:pPr>
        <w:widowControl/>
        <w:jc w:val="left"/>
        <w:rPr>
          <w:rFonts w:ascii="仿宋" w:hAnsi="仿宋" w:eastAsia="仿宋" w:cs="仿宋"/>
          <w:b/>
          <w:color w:val="auto"/>
          <w:kern w:val="0"/>
          <w:sz w:val="32"/>
          <w:szCs w:val="32"/>
          <w:highlight w:val="none"/>
        </w:rPr>
      </w:pPr>
    </w:p>
    <w:p w14:paraId="5B0E9FAC">
      <w:pPr>
        <w:widowControl/>
        <w:jc w:val="left"/>
        <w:rPr>
          <w:rFonts w:ascii="仿宋" w:hAnsi="仿宋" w:eastAsia="仿宋" w:cs="仿宋"/>
          <w:b/>
          <w:color w:val="auto"/>
          <w:kern w:val="0"/>
          <w:sz w:val="32"/>
          <w:szCs w:val="32"/>
          <w:highlight w:val="none"/>
        </w:rPr>
      </w:pPr>
    </w:p>
    <w:p w14:paraId="4EEEA841">
      <w:pPr>
        <w:widowControl/>
        <w:jc w:val="left"/>
        <w:rPr>
          <w:rFonts w:ascii="仿宋" w:hAnsi="仿宋" w:eastAsia="仿宋" w:cs="仿宋"/>
          <w:b/>
          <w:color w:val="auto"/>
          <w:kern w:val="0"/>
          <w:sz w:val="32"/>
          <w:szCs w:val="32"/>
          <w:highlight w:val="none"/>
        </w:rPr>
      </w:pPr>
    </w:p>
    <w:p w14:paraId="4BD7E1B6">
      <w:pPr>
        <w:widowControl/>
        <w:jc w:val="left"/>
        <w:rPr>
          <w:rFonts w:ascii="仿宋" w:hAnsi="仿宋" w:eastAsia="仿宋" w:cs="仿宋"/>
          <w:b/>
          <w:color w:val="auto"/>
          <w:kern w:val="0"/>
          <w:sz w:val="32"/>
          <w:szCs w:val="32"/>
          <w:highlight w:val="none"/>
        </w:rPr>
      </w:pPr>
    </w:p>
    <w:p w14:paraId="32428D8C">
      <w:pPr>
        <w:widowControl/>
        <w:jc w:val="left"/>
        <w:rPr>
          <w:rFonts w:ascii="仿宋" w:hAnsi="仿宋" w:eastAsia="仿宋" w:cs="仿宋"/>
          <w:b/>
          <w:color w:val="auto"/>
          <w:kern w:val="0"/>
          <w:sz w:val="32"/>
          <w:szCs w:val="32"/>
          <w:highlight w:val="none"/>
        </w:rPr>
      </w:pPr>
    </w:p>
    <w:p w14:paraId="3B3F55E0">
      <w:pPr>
        <w:widowControl/>
        <w:jc w:val="left"/>
        <w:rPr>
          <w:rFonts w:ascii="仿宋" w:hAnsi="仿宋" w:eastAsia="仿宋" w:cs="仿宋"/>
          <w:b/>
          <w:color w:val="auto"/>
          <w:kern w:val="0"/>
          <w:sz w:val="32"/>
          <w:szCs w:val="32"/>
          <w:highlight w:val="none"/>
        </w:rPr>
      </w:pPr>
    </w:p>
    <w:p w14:paraId="1D7BF31F">
      <w:pPr>
        <w:widowControl/>
        <w:jc w:val="left"/>
        <w:rPr>
          <w:rFonts w:ascii="仿宋" w:hAnsi="仿宋" w:eastAsia="仿宋" w:cs="仿宋"/>
          <w:b/>
          <w:color w:val="auto"/>
          <w:kern w:val="0"/>
          <w:sz w:val="32"/>
          <w:szCs w:val="32"/>
          <w:highlight w:val="none"/>
        </w:rPr>
      </w:pPr>
    </w:p>
    <w:p w14:paraId="411E067E">
      <w:pPr>
        <w:widowControl/>
        <w:jc w:val="left"/>
        <w:rPr>
          <w:rFonts w:ascii="仿宋" w:hAnsi="仿宋" w:eastAsia="仿宋" w:cs="仿宋"/>
          <w:b/>
          <w:color w:val="auto"/>
          <w:kern w:val="0"/>
          <w:sz w:val="32"/>
          <w:szCs w:val="32"/>
          <w:highlight w:val="none"/>
        </w:rPr>
      </w:pPr>
    </w:p>
    <w:p w14:paraId="43C0549F">
      <w:pPr>
        <w:widowControl/>
        <w:jc w:val="left"/>
        <w:rPr>
          <w:rFonts w:ascii="仿宋" w:hAnsi="仿宋" w:eastAsia="仿宋" w:cs="仿宋"/>
          <w:b/>
          <w:color w:val="auto"/>
          <w:kern w:val="0"/>
          <w:sz w:val="32"/>
          <w:szCs w:val="32"/>
          <w:highlight w:val="none"/>
        </w:rPr>
      </w:pPr>
    </w:p>
    <w:p w14:paraId="4747072F">
      <w:pPr>
        <w:widowControl/>
        <w:jc w:val="left"/>
        <w:rPr>
          <w:rFonts w:ascii="仿宋" w:hAnsi="仿宋" w:eastAsia="仿宋" w:cs="仿宋"/>
          <w:b/>
          <w:color w:val="auto"/>
          <w:kern w:val="0"/>
          <w:sz w:val="32"/>
          <w:szCs w:val="32"/>
          <w:highlight w:val="none"/>
        </w:rPr>
      </w:pPr>
    </w:p>
    <w:p w14:paraId="7603A66E">
      <w:pPr>
        <w:widowControl/>
        <w:jc w:val="left"/>
        <w:rPr>
          <w:rFonts w:ascii="仿宋" w:hAnsi="仿宋" w:eastAsia="仿宋" w:cs="仿宋"/>
          <w:b/>
          <w:color w:val="auto"/>
          <w:kern w:val="0"/>
          <w:sz w:val="32"/>
          <w:szCs w:val="32"/>
          <w:highlight w:val="none"/>
        </w:rPr>
      </w:pPr>
    </w:p>
    <w:p w14:paraId="1B22D5A7">
      <w:pPr>
        <w:widowControl/>
        <w:jc w:val="left"/>
        <w:rPr>
          <w:rFonts w:ascii="仿宋" w:hAnsi="仿宋" w:eastAsia="仿宋" w:cs="仿宋"/>
          <w:b/>
          <w:color w:val="auto"/>
          <w:kern w:val="0"/>
          <w:sz w:val="32"/>
          <w:szCs w:val="32"/>
          <w:highlight w:val="none"/>
        </w:rPr>
      </w:pPr>
    </w:p>
    <w:p w14:paraId="6C6B7010">
      <w:pPr>
        <w:widowControl/>
        <w:jc w:val="left"/>
        <w:rPr>
          <w:rFonts w:hint="eastAsia" w:ascii="仿宋" w:hAnsi="仿宋" w:eastAsia="仿宋" w:cs="仿宋"/>
          <w:b/>
          <w:color w:val="auto"/>
          <w:kern w:val="0"/>
          <w:sz w:val="32"/>
          <w:szCs w:val="32"/>
          <w:highlight w:val="none"/>
        </w:rPr>
      </w:pPr>
      <w:r>
        <w:rPr>
          <w:rFonts w:ascii="仿宋" w:hAnsi="仿宋" w:eastAsia="仿宋" w:cs="仿宋"/>
          <w:b/>
          <w:color w:val="auto"/>
          <w:kern w:val="0"/>
          <w:sz w:val="32"/>
          <w:szCs w:val="32"/>
          <w:highlight w:val="none"/>
        </w:rPr>
        <w:br w:type="page"/>
      </w: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八</w:t>
      </w:r>
      <w:r>
        <w:rPr>
          <w:rFonts w:ascii="仿宋" w:hAnsi="仿宋" w:eastAsia="仿宋" w:cs="仿宋"/>
          <w:b/>
          <w:color w:val="auto"/>
          <w:kern w:val="0"/>
          <w:sz w:val="32"/>
          <w:szCs w:val="32"/>
          <w:highlight w:val="none"/>
        </w:rPr>
        <w:t>：廉政合同</w:t>
      </w:r>
    </w:p>
    <w:p w14:paraId="431D1269">
      <w:pPr>
        <w:widowControl/>
        <w:spacing w:before="100" w:beforeAutospacing="1" w:after="100" w:afterAutospacing="1" w:line="500" w:lineRule="exact"/>
        <w:jc w:val="center"/>
        <w:rPr>
          <w:rFonts w:ascii="仿宋" w:hAnsi="仿宋" w:eastAsia="仿宋" w:cs="仿宋"/>
          <w:b/>
          <w:color w:val="auto"/>
          <w:kern w:val="0"/>
          <w:sz w:val="32"/>
          <w:szCs w:val="32"/>
          <w:highlight w:val="none"/>
          <w:lang w:val="en-US" w:eastAsia="zh-CN" w:bidi="ar-SA"/>
        </w:rPr>
      </w:pPr>
      <w:r>
        <w:rPr>
          <w:rFonts w:hint="eastAsia" w:ascii="仿宋" w:hAnsi="仿宋" w:eastAsia="仿宋" w:cs="仿宋"/>
          <w:b/>
          <w:color w:val="auto"/>
          <w:kern w:val="0"/>
          <w:sz w:val="32"/>
          <w:szCs w:val="32"/>
          <w:highlight w:val="none"/>
          <w:lang w:val="en-US" w:eastAsia="zh-CN" w:bidi="ar-SA"/>
        </w:rPr>
        <w:t>廉政合同</w:t>
      </w:r>
    </w:p>
    <w:p w14:paraId="33491E7E">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甲方：重庆首讯科技股份有限公司</w:t>
      </w:r>
    </w:p>
    <w:p w14:paraId="00136FB9">
      <w:pPr>
        <w:widowControl/>
        <w:tabs>
          <w:tab w:val="left" w:pos="3936"/>
        </w:tabs>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w:t>
      </w:r>
    </w:p>
    <w:p w14:paraId="61DD0FCA">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重庆首讯科技股份有限公司（以下称甲方）与</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公司（以下称乙方），特订立如下合同。</w:t>
      </w:r>
    </w:p>
    <w:p w14:paraId="4B50075E">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一、甲乙双方的权利和义务</w:t>
      </w:r>
    </w:p>
    <w:p w14:paraId="0C902ED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（1）严格遵守党的政策规定和国家有关法律法规及交通部的有关规定。</w:t>
      </w:r>
    </w:p>
    <w:p w14:paraId="4C7057C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（2）双方的业务活动坚持公开、公正、诚信、透明的原则（除法律认定的商业秘密和合同文件另有规定之外），不得损害国家和集体利益。</w:t>
      </w:r>
    </w:p>
    <w:p w14:paraId="295D2B18">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（3）建立健全廉政制度，开展廉政教育，设立廉政告示牌，公布举报电话，监督并认真查处违法违纪行为。</w:t>
      </w:r>
    </w:p>
    <w:p w14:paraId="20BAA475">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（4）发现对方在业务活动中有违反廉政规定的行为，有及时提醒对方纠正的权利和义务。</w:t>
      </w:r>
    </w:p>
    <w:p w14:paraId="31E1479B">
      <w:pPr>
        <w:widowControl/>
        <w:tabs>
          <w:tab w:val="left" w:pos="3936"/>
        </w:tabs>
        <w:adjustRightInd w:val="0"/>
        <w:snapToGrid w:val="0"/>
        <w:spacing w:line="360" w:lineRule="auto"/>
        <w:ind w:firstLine="480" w:firstLineChars="200"/>
        <w:jc w:val="left"/>
        <w:rPr>
          <w:rFonts w:ascii="仿宋" w:hAnsi="仿宋" w:eastAsia="仿宋" w:cs="仿宋"/>
          <w:color w:val="auto"/>
          <w:szCs w:val="21"/>
          <w:highlight w:val="none"/>
        </w:rPr>
      </w:pPr>
      <w:r>
        <w:rPr>
          <w:rFonts w:hint="eastAsia" w:ascii="仿宋" w:hAnsi="仿宋" w:eastAsia="仿宋" w:cs="仿宋"/>
          <w:color w:val="auto"/>
          <w:sz w:val="24"/>
          <w:highlight w:val="none"/>
        </w:rPr>
        <w:t>（5）发现对方严重违反本合同义务条款的行为，有向上级有关部门举报、建议给予处理并要求告知处理结果的权利。</w:t>
      </w:r>
    </w:p>
    <w:p w14:paraId="7787D239">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二、甲方的义务</w:t>
      </w:r>
    </w:p>
    <w:p w14:paraId="101E9995">
      <w:pPr>
        <w:widowControl/>
        <w:tabs>
          <w:tab w:val="left" w:pos="3936"/>
        </w:tabs>
        <w:adjustRightInd w:val="0"/>
        <w:snapToGrid w:val="0"/>
        <w:spacing w:line="360" w:lineRule="auto"/>
        <w:ind w:firstLine="420" w:firstLineChars="200"/>
        <w:jc w:val="left"/>
        <w:rPr>
          <w:rFonts w:ascii="仿宋" w:hAnsi="仿宋" w:eastAsia="仿宋" w:cs="仿宋"/>
          <w:color w:val="auto"/>
          <w:sz w:val="24"/>
          <w:highlight w:val="none"/>
        </w:rPr>
      </w:pP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1）甲方及其工作人员不得索要或接受乙方的礼金、有价证券和贵重物品，不得在乙方报销任何应由甲方或甲方工作人员个人支付的费用等。</w:t>
      </w:r>
    </w:p>
    <w:p w14:paraId="404E80AD">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（2）甲方工作人员不得参加乙方安排的超标准宴请和娱乐活动；不得接受乙方提供的通讯工具、交通工具和高档办公用品等。</w:t>
      </w:r>
    </w:p>
    <w:p w14:paraId="61C7E8C9">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（3）甲方及其工作人员不得要求或者接受乙方为其住房装修、婚丧嫁娶活动、配偶子女的工作安排以及出国出境、旅游等提供方便等。</w:t>
      </w:r>
    </w:p>
    <w:p w14:paraId="1D674EA2">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（4）甲方工作人员及其配偶、子女不得从事与甲方工程有关部门的材料设备供应、工程分包、劳务等经济活动等。</w:t>
      </w:r>
    </w:p>
    <w:p w14:paraId="673F9D44">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（5）甲方及其工作人员不得以任何理由向乙方推荐分包单位或推销材料，不得要求乙方购买合同规定外的材料和设备。</w:t>
      </w:r>
    </w:p>
    <w:p w14:paraId="72BD1673">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三、乙方义务</w:t>
      </w:r>
    </w:p>
    <w:p w14:paraId="4F244D73">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（1）乙方不得以任何理由向甲方及其工作人员行贿或馈赠礼金、有价证券、贵重物品。</w:t>
      </w:r>
    </w:p>
    <w:p w14:paraId="43BB6816">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（2）乙方不得以任何名义为甲方及其工作人员报销应由甲方单位或个人支付的任何费用。</w:t>
      </w:r>
    </w:p>
    <w:p w14:paraId="629F4AF9">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（3）乙方不得以任何理由邀请甲方工作人员外出旅游或安排甲方人员参加超标准宴请及娱乐活动。</w:t>
      </w:r>
    </w:p>
    <w:p w14:paraId="3EF0E733">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（4）乙方不得为甲方单位和个人购置或提供通讯工具、交通工具和高档办公用品等。</w:t>
      </w:r>
    </w:p>
    <w:p w14:paraId="2F4EA296">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254B6232">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的优先邀请投标权。</w:t>
      </w:r>
    </w:p>
    <w:p w14:paraId="23EB52D4">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四、违约责任</w:t>
      </w:r>
    </w:p>
    <w:p w14:paraId="3239B958">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3002732F">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7408CCAF">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五、双方约定</w:t>
      </w: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165C72DE">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六、</w:t>
      </w:r>
      <w:r>
        <w:rPr>
          <w:rFonts w:hint="eastAsia" w:ascii="仿宋" w:hAnsi="仿宋" w:eastAsia="仿宋" w:cs="仿宋"/>
          <w:color w:val="auto"/>
          <w:sz w:val="24"/>
          <w:highlight w:val="none"/>
        </w:rPr>
        <w:t>本合同有效期为甲乙双方签署之日起至</w:t>
      </w:r>
      <w:r>
        <w:rPr>
          <w:rFonts w:hint="eastAsia" w:ascii="仿宋" w:hAnsi="仿宋" w:eastAsia="仿宋" w:cs="仿宋"/>
          <w:color w:val="auto"/>
          <w:sz w:val="24"/>
          <w:highlight w:val="none"/>
          <w:lang w:val="en-US" w:eastAsia="zh-CN"/>
        </w:rPr>
        <w:t>双方履行完毕全部合同约定义务之日</w:t>
      </w:r>
      <w:r>
        <w:rPr>
          <w:rFonts w:hint="eastAsia" w:ascii="仿宋" w:hAnsi="仿宋" w:eastAsia="仿宋" w:cs="仿宋"/>
          <w:color w:val="auto"/>
          <w:sz w:val="24"/>
          <w:highlight w:val="none"/>
        </w:rPr>
        <w:t>止。</w:t>
      </w:r>
    </w:p>
    <w:p w14:paraId="20A43D51">
      <w:pPr>
        <w:widowControl/>
        <w:adjustRightInd w:val="0"/>
        <w:snapToGrid w:val="0"/>
        <w:spacing w:line="360" w:lineRule="auto"/>
        <w:jc w:val="left"/>
        <w:rPr>
          <w:rFonts w:ascii="仿宋" w:hAnsi="仿宋" w:eastAsia="仿宋" w:cs="仿宋"/>
          <w:color w:val="auto"/>
          <w:szCs w:val="21"/>
          <w:highlight w:val="none"/>
        </w:rPr>
      </w:pPr>
      <w:r>
        <w:rPr>
          <w:rFonts w:hint="eastAsia" w:ascii="仿宋" w:hAnsi="仿宋" w:eastAsia="仿宋" w:cs="仿宋"/>
          <w:b/>
          <w:bCs/>
          <w:color w:val="auto"/>
          <w:sz w:val="24"/>
          <w:highlight w:val="none"/>
        </w:rPr>
        <w:t>七、</w:t>
      </w:r>
      <w:r>
        <w:rPr>
          <w:rFonts w:hint="eastAsia" w:ascii="仿宋" w:hAnsi="仿宋" w:eastAsia="仿宋" w:cs="仿宋"/>
          <w:color w:val="auto"/>
          <w:sz w:val="24"/>
          <w:highlight w:val="none"/>
        </w:rPr>
        <w:t>本合同一式两份，甲、乙双方各执一份。</w:t>
      </w:r>
    </w:p>
    <w:p w14:paraId="12B1BA49">
      <w:pPr>
        <w:widowControl/>
        <w:adjustRightInd w:val="0"/>
        <w:snapToGrid w:val="0"/>
        <w:spacing w:line="360" w:lineRule="auto"/>
        <w:jc w:val="left"/>
        <w:rPr>
          <w:rFonts w:hint="eastAsia" w:ascii="仿宋" w:hAnsi="仿宋" w:eastAsia="仿宋" w:cs="仿宋"/>
          <w:color w:val="auto"/>
          <w:sz w:val="24"/>
          <w:highlight w:val="none"/>
        </w:rPr>
      </w:pPr>
    </w:p>
    <w:p w14:paraId="0E2C760F">
      <w:pPr>
        <w:widowControl/>
        <w:adjustRightInd w:val="0"/>
        <w:snapToGrid w:val="0"/>
        <w:spacing w:line="360" w:lineRule="auto"/>
        <w:jc w:val="left"/>
        <w:rPr>
          <w:rFonts w:hint="eastAsia" w:ascii="仿宋" w:hAnsi="仿宋" w:eastAsia="仿宋" w:cs="仿宋"/>
          <w:color w:val="auto"/>
          <w:sz w:val="24"/>
          <w:highlight w:val="none"/>
        </w:rPr>
      </w:pPr>
    </w:p>
    <w:p w14:paraId="00F4534F">
      <w:pPr>
        <w:widowControl/>
        <w:adjustRightInd w:val="0"/>
        <w:snapToGrid w:val="0"/>
        <w:spacing w:line="360" w:lineRule="auto"/>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甲方：重庆首讯科技股份有限公司            乙方：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p>
    <w:p w14:paraId="3ECB44D1">
      <w:pPr>
        <w:widowControl/>
        <w:adjustRightInd w:val="0"/>
        <w:snapToGrid w:val="0"/>
        <w:spacing w:line="360" w:lineRule="auto"/>
        <w:jc w:val="left"/>
        <w:rPr>
          <w:rFonts w:hint="eastAsia" w:ascii="仿宋" w:hAnsi="仿宋" w:eastAsia="仿宋" w:cs="仿宋"/>
          <w:color w:val="auto"/>
          <w:sz w:val="24"/>
          <w:highlight w:val="none"/>
        </w:rPr>
      </w:pPr>
    </w:p>
    <w:p w14:paraId="58EDF42C">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公司负责人或授权代理人：                   公司负责人或授权代理人：</w:t>
      </w:r>
    </w:p>
    <w:p w14:paraId="2824F74F">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项目经理：</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项目经理：</w:t>
      </w:r>
    </w:p>
    <w:p w14:paraId="6B0FD9E0">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                                    经办人：</w:t>
      </w:r>
    </w:p>
    <w:p w14:paraId="6D123FCD">
      <w:pPr>
        <w:adjustRightInd w:val="0"/>
        <w:snapToGrid w:val="0"/>
        <w:spacing w:line="360" w:lineRule="auto"/>
        <w:rPr>
          <w:rFonts w:hint="eastAsia" w:ascii="Calibri" w:hAnsi="Calibri" w:eastAsia="仿宋_GB2312" w:cs="Times New Roman"/>
          <w:color w:val="auto"/>
          <w:sz w:val="30"/>
          <w:szCs w:val="30"/>
          <w:highlight w:val="none"/>
        </w:rPr>
      </w:pPr>
      <w:r>
        <w:rPr>
          <w:rFonts w:hint="eastAsia" w:ascii="仿宋" w:hAnsi="仿宋" w:eastAsia="仿宋" w:cs="仿宋"/>
          <w:color w:val="auto"/>
          <w:sz w:val="24"/>
          <w:highlight w:val="none"/>
        </w:rPr>
        <w:t xml:space="preserve">日期: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日期:</w:t>
      </w:r>
    </w:p>
    <w:p w14:paraId="2EF718A1">
      <w:pPr>
        <w:rPr>
          <w:rFonts w:ascii="Calibri" w:hAnsi="Calibri" w:eastAsia="宋体" w:cs="Times New Roman"/>
          <w:color w:val="auto"/>
          <w:highlight w:val="none"/>
        </w:rPr>
      </w:pPr>
    </w:p>
    <w:p w14:paraId="12A1A66C">
      <w:pPr>
        <w:rPr>
          <w:rFonts w:ascii="Calibri" w:hAnsi="Calibri" w:eastAsia="宋体" w:cs="Times New Roman"/>
          <w:color w:val="auto"/>
          <w:highlight w:val="none"/>
        </w:rPr>
      </w:pPr>
    </w:p>
    <w:bookmarkEnd w:id="734"/>
    <w:bookmarkEnd w:id="735"/>
    <w:p w14:paraId="5E5C878D">
      <w:pPr>
        <w:rPr>
          <w:rFonts w:hint="eastAsia" w:ascii="宋体" w:hAnsi="宋体" w:eastAsia="宋体" w:cs="宋体"/>
          <w:color w:val="auto"/>
          <w:sz w:val="52"/>
          <w:szCs w:val="52"/>
          <w:highlight w:val="none"/>
        </w:rPr>
      </w:pPr>
      <w:bookmarkStart w:id="740" w:name="_Toc534185823"/>
      <w:bookmarkStart w:id="741" w:name="_Toc509218844"/>
      <w:bookmarkStart w:id="742" w:name="_Toc29755"/>
      <w:bookmarkStart w:id="743" w:name="_Toc22003"/>
      <w:r>
        <w:rPr>
          <w:rFonts w:hint="eastAsia" w:ascii="宋体" w:hAnsi="宋体" w:eastAsia="宋体" w:cs="宋体"/>
          <w:color w:val="auto"/>
          <w:sz w:val="52"/>
          <w:szCs w:val="52"/>
          <w:highlight w:val="none"/>
        </w:rPr>
        <w:br w:type="page"/>
      </w:r>
    </w:p>
    <w:p w14:paraId="0889F044">
      <w:pPr>
        <w:rPr>
          <w:rFonts w:hint="eastAsia"/>
          <w:color w:val="auto"/>
          <w:highlight w:val="none"/>
        </w:rPr>
      </w:pPr>
    </w:p>
    <w:p w14:paraId="6D79C3BF">
      <w:pPr>
        <w:pStyle w:val="3"/>
        <w:spacing w:before="0" w:after="0" w:line="360" w:lineRule="auto"/>
        <w:jc w:val="center"/>
        <w:rPr>
          <w:rFonts w:hint="eastAsia" w:ascii="宋体" w:hAnsi="宋体" w:eastAsia="宋体" w:cs="宋体"/>
          <w:color w:val="auto"/>
          <w:sz w:val="52"/>
          <w:szCs w:val="52"/>
          <w:highlight w:val="none"/>
        </w:rPr>
      </w:pPr>
      <w:bookmarkStart w:id="744" w:name="_Toc17536"/>
      <w:r>
        <w:rPr>
          <w:rFonts w:hint="eastAsia" w:ascii="宋体" w:hAnsi="宋体" w:eastAsia="宋体" w:cs="宋体"/>
          <w:color w:val="auto"/>
          <w:sz w:val="52"/>
          <w:szCs w:val="52"/>
          <w:highlight w:val="none"/>
        </w:rPr>
        <w:t>第 二 卷</w:t>
      </w:r>
      <w:bookmarkEnd w:id="740"/>
      <w:bookmarkEnd w:id="741"/>
      <w:bookmarkEnd w:id="742"/>
      <w:bookmarkEnd w:id="743"/>
      <w:bookmarkEnd w:id="744"/>
    </w:p>
    <w:p w14:paraId="7F2C6775">
      <w:pPr>
        <w:spacing w:line="360" w:lineRule="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br w:type="page"/>
      </w:r>
    </w:p>
    <w:p w14:paraId="0C896388">
      <w:pPr>
        <w:pStyle w:val="3"/>
        <w:spacing w:line="360" w:lineRule="auto"/>
        <w:jc w:val="center"/>
        <w:rPr>
          <w:rFonts w:hint="eastAsia" w:ascii="宋体" w:hAnsi="宋体" w:eastAsia="宋体" w:cs="宋体"/>
          <w:color w:val="auto"/>
          <w:highlight w:val="none"/>
        </w:rPr>
        <w:sectPr>
          <w:pgSz w:w="11906" w:h="16838"/>
          <w:pgMar w:top="1304" w:right="1134" w:bottom="1304" w:left="1304" w:header="851" w:footer="992" w:gutter="0"/>
          <w:cols w:space="720" w:num="1"/>
          <w:docGrid w:linePitch="312" w:charSpace="0"/>
        </w:sectPr>
      </w:pPr>
      <w:bookmarkStart w:id="745" w:name="招标文件06章图纸"/>
      <w:bookmarkEnd w:id="745"/>
      <w:bookmarkStart w:id="746" w:name="_Toc7023"/>
      <w:bookmarkStart w:id="747" w:name="_Toc509218846"/>
      <w:bookmarkStart w:id="748" w:name="_Toc534185825"/>
      <w:bookmarkStart w:id="749" w:name="_Toc8323"/>
      <w:bookmarkStart w:id="750" w:name="_Toc287607861"/>
      <w:bookmarkStart w:id="751" w:name="_Toc287620803"/>
      <w:bookmarkStart w:id="752" w:name="_Toc430530519"/>
    </w:p>
    <w:p w14:paraId="6778B57F">
      <w:pPr>
        <w:pStyle w:val="3"/>
        <w:numPr>
          <w:ilvl w:val="0"/>
          <w:numId w:val="2"/>
        </w:numPr>
        <w:spacing w:line="360" w:lineRule="auto"/>
        <w:jc w:val="center"/>
        <w:rPr>
          <w:color w:val="auto"/>
          <w:highlight w:val="none"/>
        </w:rPr>
      </w:pPr>
      <w:r>
        <w:rPr>
          <w:rFonts w:hint="eastAsia" w:ascii="宋体" w:hAnsi="宋体" w:eastAsia="宋体" w:cs="宋体"/>
          <w:color w:val="auto"/>
          <w:highlight w:val="none"/>
        </w:rPr>
        <w:t xml:space="preserve"> </w:t>
      </w:r>
      <w:bookmarkEnd w:id="746"/>
      <w:bookmarkEnd w:id="747"/>
      <w:bookmarkEnd w:id="748"/>
      <w:bookmarkEnd w:id="749"/>
      <w:bookmarkEnd w:id="750"/>
      <w:bookmarkEnd w:id="751"/>
      <w:bookmarkEnd w:id="752"/>
      <w:bookmarkStart w:id="753" w:name="_Toc27094"/>
      <w:r>
        <w:rPr>
          <w:rFonts w:hint="eastAsia" w:ascii="宋体" w:hAnsi="宋体" w:cs="宋体"/>
          <w:color w:val="auto"/>
          <w:highlight w:val="none"/>
          <w:lang w:val="en-US" w:eastAsia="zh-CN"/>
        </w:rPr>
        <w:t>项目需求</w:t>
      </w:r>
      <w:bookmarkEnd w:id="753"/>
    </w:p>
    <w:p w14:paraId="53C390C5">
      <w:pPr>
        <w:keepNext/>
        <w:keepLines/>
        <w:jc w:val="left"/>
        <w:outlineLvl w:val="9"/>
        <w:rPr>
          <w:rFonts w:hint="default" w:ascii="宋体" w:hAnsi="宋体" w:eastAsia="宋体" w:cs="宋体"/>
          <w:b w:val="0"/>
          <w:bCs w:val="0"/>
          <w:color w:val="auto"/>
          <w:sz w:val="28"/>
          <w:szCs w:val="28"/>
          <w:highlight w:val="none"/>
          <w:lang w:val="en-US" w:eastAsia="zh-CN"/>
        </w:rPr>
      </w:pPr>
      <w:bookmarkStart w:id="754" w:name="_Toc287620804"/>
      <w:bookmarkStart w:id="755" w:name="_Toc430530520"/>
      <w:bookmarkStart w:id="756" w:name="_Toc7680"/>
      <w:r>
        <w:rPr>
          <w:rFonts w:hint="eastAsia" w:ascii="宋体" w:hAnsi="宋体" w:cs="宋体"/>
          <w:b w:val="0"/>
          <w:bCs w:val="0"/>
          <w:color w:val="auto"/>
          <w:sz w:val="28"/>
          <w:szCs w:val="28"/>
          <w:highlight w:val="none"/>
          <w:lang w:val="en-US" w:eastAsia="zh-CN"/>
        </w:rPr>
        <w:t>详见附件。</w:t>
      </w:r>
    </w:p>
    <w:p w14:paraId="1319FEF2">
      <w:pPr>
        <w:adjustRightInd w:val="0"/>
        <w:snapToGrid w:val="0"/>
        <w:spacing w:before="0" w:after="0" w:line="360" w:lineRule="auto"/>
        <w:rPr>
          <w:rFonts w:hint="eastAsia" w:ascii="宋体" w:hAnsi="宋体" w:eastAsia="宋体" w:cs="宋体"/>
          <w:b/>
          <w:bCs/>
          <w:color w:val="auto"/>
          <w:sz w:val="21"/>
          <w:szCs w:val="21"/>
          <w:highlight w:val="none"/>
          <w:lang w:val="en-US" w:eastAsia="zh-CN"/>
        </w:rPr>
      </w:pPr>
      <w:bookmarkStart w:id="757" w:name="_Toc14810"/>
      <w:bookmarkStart w:id="758" w:name="_Toc10365"/>
      <w:bookmarkStart w:id="759" w:name="_Toc32242"/>
      <w:bookmarkStart w:id="760" w:name="_Toc32322"/>
      <w:bookmarkStart w:id="761" w:name="_Toc1168"/>
      <w:r>
        <w:rPr>
          <w:rFonts w:hint="eastAsia" w:ascii="宋体" w:hAnsi="宋体" w:eastAsia="宋体" w:cs="宋体"/>
          <w:b/>
          <w:bCs/>
          <w:color w:val="auto"/>
          <w:sz w:val="21"/>
          <w:szCs w:val="21"/>
          <w:highlight w:val="none"/>
          <w:lang w:val="en-US" w:eastAsia="zh-CN"/>
        </w:rPr>
        <w:br w:type="page"/>
      </w:r>
    </w:p>
    <w:bookmarkEnd w:id="754"/>
    <w:bookmarkEnd w:id="755"/>
    <w:bookmarkEnd w:id="756"/>
    <w:bookmarkEnd w:id="757"/>
    <w:bookmarkEnd w:id="758"/>
    <w:bookmarkEnd w:id="759"/>
    <w:bookmarkEnd w:id="760"/>
    <w:bookmarkEnd w:id="761"/>
    <w:p w14:paraId="1E7FE222">
      <w:pPr>
        <w:spacing w:before="0" w:after="0" w:line="360" w:lineRule="auto"/>
        <w:jc w:val="both"/>
        <w:rPr>
          <w:rFonts w:hint="eastAsia" w:ascii="宋体" w:hAnsi="宋体" w:eastAsia="宋体" w:cs="宋体"/>
          <w:color w:val="auto"/>
          <w:sz w:val="52"/>
          <w:szCs w:val="52"/>
          <w:highlight w:val="none"/>
        </w:rPr>
      </w:pPr>
      <w:bookmarkStart w:id="762" w:name="_Toc12631"/>
      <w:bookmarkStart w:id="763" w:name="_Toc8850"/>
    </w:p>
    <w:p w14:paraId="23F6BCDC">
      <w:pPr>
        <w:pStyle w:val="3"/>
        <w:spacing w:before="0" w:after="0" w:line="360" w:lineRule="auto"/>
        <w:jc w:val="center"/>
        <w:rPr>
          <w:rFonts w:hint="eastAsia" w:ascii="宋体" w:hAnsi="宋体" w:eastAsia="宋体" w:cs="宋体"/>
          <w:color w:val="auto"/>
          <w:sz w:val="52"/>
          <w:szCs w:val="52"/>
          <w:highlight w:val="none"/>
        </w:rPr>
      </w:pPr>
      <w:bookmarkStart w:id="764" w:name="_Toc7586"/>
      <w:r>
        <w:rPr>
          <w:rFonts w:hint="eastAsia" w:ascii="宋体" w:hAnsi="宋体" w:eastAsia="宋体" w:cs="宋体"/>
          <w:color w:val="auto"/>
          <w:sz w:val="52"/>
          <w:szCs w:val="52"/>
          <w:highlight w:val="none"/>
        </w:rPr>
        <w:t>第 三 卷</w:t>
      </w:r>
      <w:bookmarkEnd w:id="762"/>
      <w:bookmarkEnd w:id="763"/>
      <w:bookmarkEnd w:id="764"/>
      <w:bookmarkStart w:id="765" w:name="_Toc509218847"/>
      <w:bookmarkStart w:id="766" w:name="_Toc536621880"/>
      <w:bookmarkStart w:id="767" w:name="_Toc13211206"/>
      <w:bookmarkStart w:id="768" w:name="_Toc536797121"/>
      <w:bookmarkStart w:id="769" w:name="_Toc13211764"/>
      <w:bookmarkStart w:id="770" w:name="_Toc536796986"/>
      <w:bookmarkStart w:id="771" w:name="_Toc536797255"/>
      <w:bookmarkStart w:id="772" w:name="_Toc536619968"/>
      <w:bookmarkStart w:id="773" w:name="_Toc534185826"/>
      <w:bookmarkStart w:id="774" w:name="_Toc536620100"/>
      <w:bookmarkStart w:id="775" w:name="_Toc536796850"/>
      <w:bookmarkStart w:id="776" w:name="_Toc13210772"/>
      <w:bookmarkStart w:id="777" w:name="_Toc536797390"/>
      <w:bookmarkStart w:id="778" w:name="_Toc536628344"/>
    </w:p>
    <w:bookmarkEnd w:id="765"/>
    <w:p w14:paraId="5A20B1A0">
      <w:pPr>
        <w:rPr>
          <w:rFonts w:hint="eastAsia" w:ascii="宋体" w:hAnsi="宋体" w:eastAsia="宋体" w:cs="宋体"/>
          <w:color w:val="auto"/>
          <w:highlight w:val="none"/>
        </w:rPr>
      </w:pPr>
      <w:r>
        <w:rPr>
          <w:rFonts w:hint="eastAsia" w:ascii="宋体" w:hAnsi="宋体" w:eastAsia="宋体" w:cs="宋体"/>
          <w:color w:val="auto"/>
          <w:highlight w:val="none"/>
        </w:rPr>
        <w:br w:type="page"/>
      </w:r>
      <w:bookmarkEnd w:id="766"/>
      <w:bookmarkEnd w:id="767"/>
      <w:bookmarkEnd w:id="768"/>
      <w:bookmarkEnd w:id="769"/>
      <w:bookmarkEnd w:id="770"/>
      <w:bookmarkEnd w:id="771"/>
      <w:bookmarkEnd w:id="772"/>
      <w:bookmarkEnd w:id="773"/>
      <w:bookmarkEnd w:id="774"/>
      <w:bookmarkEnd w:id="775"/>
      <w:bookmarkEnd w:id="776"/>
      <w:bookmarkEnd w:id="777"/>
      <w:bookmarkEnd w:id="778"/>
    </w:p>
    <w:p w14:paraId="7355C0A4">
      <w:pPr>
        <w:pStyle w:val="3"/>
        <w:spacing w:line="360" w:lineRule="auto"/>
        <w:jc w:val="center"/>
        <w:rPr>
          <w:rFonts w:hint="eastAsia" w:ascii="宋体" w:hAnsi="宋体" w:eastAsia="宋体" w:cs="宋体"/>
          <w:color w:val="auto"/>
          <w:highlight w:val="none"/>
        </w:rPr>
      </w:pPr>
      <w:bookmarkStart w:id="779" w:name="招标文件07章技术标准和要求"/>
      <w:bookmarkEnd w:id="779"/>
      <w:bookmarkStart w:id="780" w:name="_Toc30854"/>
      <w:bookmarkStart w:id="781" w:name="_Toc9553"/>
      <w:bookmarkStart w:id="782" w:name="_Toc14585"/>
      <w:bookmarkStart w:id="783" w:name="_Toc287620812"/>
      <w:bookmarkStart w:id="784" w:name="_Toc509218852"/>
      <w:bookmarkStart w:id="785" w:name="_Toc430530528"/>
      <w:bookmarkStart w:id="786" w:name="_Toc287607865"/>
      <w:bookmarkStart w:id="787" w:name="_Toc534185829"/>
      <w:r>
        <w:rPr>
          <w:rFonts w:hint="eastAsia" w:ascii="宋体" w:hAnsi="宋体" w:eastAsia="宋体" w:cs="宋体"/>
          <w:color w:val="auto"/>
          <w:highlight w:val="none"/>
        </w:rPr>
        <w:t>第六章  投标文件格式</w:t>
      </w:r>
      <w:bookmarkEnd w:id="780"/>
      <w:bookmarkEnd w:id="781"/>
      <w:bookmarkEnd w:id="782"/>
      <w:bookmarkEnd w:id="783"/>
      <w:bookmarkEnd w:id="784"/>
      <w:bookmarkEnd w:id="785"/>
      <w:bookmarkEnd w:id="786"/>
      <w:bookmarkEnd w:id="787"/>
    </w:p>
    <w:p w14:paraId="1E8610E3">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2E653EC">
      <w:pP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14:paraId="1B3CAAB9">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1432B3EB">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6AF12508">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2EB6841C">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1810CEB2">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2D2251CD">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投 标 文 件</w:t>
      </w:r>
    </w:p>
    <w:p w14:paraId="57B8B2D4">
      <w:pPr>
        <w:autoSpaceDE w:val="0"/>
        <w:autoSpaceDN w:val="0"/>
        <w:adjustRightInd w:val="0"/>
        <w:snapToGrid w:val="0"/>
        <w:spacing w:line="360" w:lineRule="auto"/>
        <w:jc w:val="left"/>
        <w:rPr>
          <w:rFonts w:hint="eastAsia" w:ascii="宋体" w:hAnsi="宋体" w:eastAsia="宋体" w:cs="宋体"/>
          <w:color w:val="auto"/>
          <w:kern w:val="0"/>
          <w:sz w:val="16"/>
          <w:szCs w:val="16"/>
          <w:highlight w:val="none"/>
        </w:rPr>
      </w:pPr>
    </w:p>
    <w:p w14:paraId="45EB9FAE">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77AA7483">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7D5B1759">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7C97FA9">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79140EAF">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1D0034CF">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5A36C789">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101DD5A8">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0C3EE54D">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7E30E49D">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593D0EF8">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20DEE516">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rPr>
        <w:t>投标人</w:t>
      </w:r>
      <w:r>
        <w:rPr>
          <w:rFonts w:hint="eastAsia" w:ascii="宋体" w:hAnsi="宋体" w:eastAsia="宋体" w:cs="宋体"/>
          <w:color w:val="auto"/>
          <w:spacing w:val="1"/>
          <w:w w:val="99"/>
          <w:kern w:val="0"/>
          <w:sz w:val="28"/>
          <w:szCs w:val="28"/>
          <w:highlight w:val="none"/>
        </w:rPr>
        <w:t>：</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（盖单位法人章）</w:t>
      </w:r>
    </w:p>
    <w:p w14:paraId="425C3F9B">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w w:val="99"/>
          <w:kern w:val="0"/>
          <w:sz w:val="28"/>
          <w:szCs w:val="28"/>
          <w:highlight w:val="none"/>
        </w:rPr>
        <w:t>法定代表人或其委托代理人：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（签名或盖章）</w:t>
      </w:r>
    </w:p>
    <w:p w14:paraId="0B002BD9">
      <w:pPr>
        <w:jc w:val="center"/>
        <w:rPr>
          <w:rFonts w:hint="eastAsia" w:ascii="宋体" w:hAnsi="宋体" w:eastAsia="宋体" w:cs="宋体"/>
          <w:color w:val="auto"/>
          <w:highlight w:val="none"/>
        </w:rPr>
      </w:pP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p>
    <w:p w14:paraId="2559CA96">
      <w:pPr>
        <w:spacing w:line="360" w:lineRule="auto"/>
        <w:rPr>
          <w:rFonts w:hint="eastAsia" w:ascii="宋体" w:hAnsi="宋体" w:eastAsia="宋体" w:cs="宋体"/>
          <w:color w:val="auto"/>
          <w:sz w:val="32"/>
          <w:szCs w:val="32"/>
          <w:highlight w:val="none"/>
        </w:rPr>
      </w:pPr>
    </w:p>
    <w:p w14:paraId="0945CA21">
      <w:pP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Cs w:val="20"/>
          <w:highlight w:val="none"/>
        </w:rPr>
        <w:br w:type="page"/>
      </w:r>
      <w:bookmarkStart w:id="788" w:name="_Toc224103493"/>
      <w:r>
        <w:rPr>
          <w:rFonts w:hint="eastAsia" w:ascii="宋体" w:hAnsi="宋体" w:eastAsia="宋体" w:cs="宋体"/>
          <w:color w:val="auto"/>
          <w:sz w:val="36"/>
          <w:szCs w:val="36"/>
          <w:highlight w:val="none"/>
        </w:rPr>
        <w:t>目  录</w:t>
      </w:r>
      <w:bookmarkEnd w:id="788"/>
    </w:p>
    <w:p w14:paraId="0AD6CC1D">
      <w:pPr>
        <w:spacing w:line="360" w:lineRule="auto"/>
        <w:jc w:val="center"/>
        <w:rPr>
          <w:rFonts w:hint="eastAsia" w:ascii="宋体" w:hAnsi="宋体" w:eastAsia="宋体" w:cs="宋体"/>
          <w:color w:val="auto"/>
          <w:szCs w:val="20"/>
          <w:highlight w:val="none"/>
        </w:rPr>
      </w:pPr>
    </w:p>
    <w:p w14:paraId="05CA43DE">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一、投标函部分</w:t>
      </w:r>
    </w:p>
    <w:p w14:paraId="759D5A1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（一）投标函</w:t>
      </w:r>
    </w:p>
    <w:p w14:paraId="63FB373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分项报价表</w:t>
      </w:r>
    </w:p>
    <w:p w14:paraId="71034F41">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）法定代表人身份证明或授权委托书</w:t>
      </w:r>
    </w:p>
    <w:p w14:paraId="67610A5D">
      <w:pPr>
        <w:autoSpaceDE w:val="0"/>
        <w:autoSpaceDN w:val="0"/>
        <w:adjustRightInd w:val="0"/>
        <w:snapToGrid w:val="0"/>
        <w:spacing w:line="360" w:lineRule="auto"/>
        <w:ind w:firstLine="420"/>
        <w:rPr>
          <w:rFonts w:hint="default" w:ascii="宋体" w:hAnsi="宋体" w:eastAsia="宋体" w:cs="宋体"/>
          <w:b/>
          <w:color w:val="auto"/>
          <w:highlight w:val="none"/>
          <w:lang w:val="en-US" w:eastAsia="zh-CN"/>
        </w:rPr>
      </w:pPr>
      <w:r>
        <w:rPr>
          <w:rFonts w:hint="eastAsia" w:ascii="宋体" w:hAnsi="宋体" w:eastAsia="宋体" w:cs="宋体"/>
          <w:b/>
          <w:color w:val="auto"/>
          <w:highlight w:val="none"/>
        </w:rPr>
        <w:t>二、资格审查部分</w:t>
      </w:r>
      <w:r>
        <w:rPr>
          <w:rFonts w:hint="eastAsia" w:ascii="宋体" w:hAnsi="宋体" w:eastAsia="宋体" w:cs="宋体"/>
          <w:b/>
          <w:color w:val="auto"/>
          <w:highlight w:val="none"/>
          <w:lang w:val="en-US" w:eastAsia="zh-CN"/>
        </w:rPr>
        <w:t>(含商务部分)</w:t>
      </w:r>
    </w:p>
    <w:p w14:paraId="2185576A">
      <w:pPr>
        <w:autoSpaceDE w:val="0"/>
        <w:autoSpaceDN w:val="0"/>
        <w:adjustRightInd w:val="0"/>
        <w:snapToGrid w:val="0"/>
        <w:spacing w:line="360" w:lineRule="auto"/>
        <w:ind w:firstLine="420"/>
        <w:rPr>
          <w:rFonts w:hint="eastAsia" w:ascii="宋体" w:hAnsi="宋体" w:eastAsia="宋体" w:cs="宋体"/>
          <w:snapToGrid w:val="0"/>
          <w:color w:val="auto"/>
          <w:highlight w:val="none"/>
          <w:lang w:eastAsia="zh-CN"/>
        </w:rPr>
      </w:pPr>
      <w:r>
        <w:rPr>
          <w:rFonts w:hint="eastAsia" w:ascii="宋体" w:hAnsi="宋体" w:eastAsia="宋体" w:cs="宋体"/>
          <w:snapToGrid w:val="0"/>
          <w:color w:val="auto"/>
          <w:highlight w:val="none"/>
        </w:rPr>
        <w:t>（</w:t>
      </w:r>
      <w:r>
        <w:rPr>
          <w:rFonts w:hint="eastAsia" w:ascii="宋体" w:hAnsi="宋体" w:eastAsia="宋体" w:cs="宋体"/>
          <w:snapToGrid w:val="0"/>
          <w:color w:val="auto"/>
          <w:highlight w:val="none"/>
          <w:lang w:val="en-US" w:eastAsia="zh-CN"/>
        </w:rPr>
        <w:t>一</w:t>
      </w:r>
      <w:r>
        <w:rPr>
          <w:rFonts w:hint="eastAsia" w:ascii="宋体" w:hAnsi="宋体" w:eastAsia="宋体" w:cs="宋体"/>
          <w:snapToGrid w:val="0"/>
          <w:color w:val="auto"/>
          <w:highlight w:val="none"/>
        </w:rPr>
        <w:t>）法定代表人身份证明或授权委托书</w:t>
      </w:r>
    </w:p>
    <w:p w14:paraId="389BE749">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二）</w:t>
      </w:r>
      <w:r>
        <w:rPr>
          <w:rFonts w:hint="eastAsia" w:ascii="宋体" w:hAnsi="宋体" w:eastAsia="宋体" w:cs="宋体"/>
          <w:snapToGrid w:val="0"/>
          <w:color w:val="auto"/>
          <w:highlight w:val="none"/>
        </w:rPr>
        <w:t>投标人基本情况表</w:t>
      </w:r>
    </w:p>
    <w:p w14:paraId="55E72CA6">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4EF39B98">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val="en-US" w:eastAsia="zh-CN"/>
        </w:rPr>
        <w:t>四</w:t>
      </w:r>
      <w:r>
        <w:rPr>
          <w:rFonts w:hint="eastAsia" w:ascii="宋体" w:hAnsi="宋体" w:eastAsia="宋体" w:cs="宋体"/>
          <w:snapToGrid w:val="0"/>
          <w:color w:val="auto"/>
          <w:highlight w:val="none"/>
        </w:rPr>
        <w:t>）类似项目情况表</w:t>
      </w:r>
    </w:p>
    <w:p w14:paraId="11A9130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0A41BA56">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2BBE48A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（七）其他资料</w:t>
      </w:r>
    </w:p>
    <w:p w14:paraId="49AB892E">
      <w:pPr>
        <w:autoSpaceDE w:val="0"/>
        <w:autoSpaceDN w:val="0"/>
        <w:adjustRightInd w:val="0"/>
        <w:snapToGrid w:val="0"/>
        <w:spacing w:line="360" w:lineRule="auto"/>
        <w:ind w:firstLine="420"/>
        <w:rPr>
          <w:rFonts w:hint="eastAsia" w:ascii="宋体" w:hAnsi="宋体" w:eastAsia="宋体" w:cs="宋体"/>
          <w:b/>
          <w:color w:val="auto"/>
          <w:highlight w:val="none"/>
          <w:lang w:eastAsia="zh-CN"/>
        </w:rPr>
      </w:pPr>
      <w:r>
        <w:rPr>
          <w:rFonts w:hint="eastAsia" w:ascii="宋体" w:hAnsi="宋体" w:cs="宋体"/>
          <w:b/>
          <w:color w:val="auto"/>
          <w:highlight w:val="none"/>
          <w:lang w:eastAsia="zh-CN"/>
        </w:rPr>
        <w:t>三、技术部分</w:t>
      </w:r>
    </w:p>
    <w:p w14:paraId="20E2E9D2">
      <w:pPr>
        <w:spacing w:line="360" w:lineRule="auto"/>
        <w:ind w:firstLine="420" w:firstLineChars="200"/>
        <w:rPr>
          <w:rFonts w:hint="eastAsia" w:ascii="宋体" w:hAnsi="宋体" w:eastAsia="宋体" w:cs="宋体"/>
          <w:color w:val="auto"/>
          <w:highlight w:val="none"/>
        </w:rPr>
      </w:pPr>
    </w:p>
    <w:p w14:paraId="521C844F">
      <w:pPr>
        <w:autoSpaceDE w:val="0"/>
        <w:autoSpaceDN w:val="0"/>
        <w:adjustRightInd w:val="0"/>
        <w:spacing w:line="276" w:lineRule="auto"/>
        <w:ind w:right="-23"/>
        <w:jc w:val="left"/>
        <w:rPr>
          <w:rFonts w:hint="eastAsia" w:ascii="宋体" w:hAnsi="宋体" w:eastAsia="宋体" w:cs="宋体"/>
          <w:color w:val="auto"/>
          <w:kern w:val="0"/>
          <w:szCs w:val="21"/>
          <w:highlight w:val="none"/>
          <w:u w:val="single"/>
        </w:rPr>
      </w:pPr>
      <w:r>
        <w:rPr>
          <w:rFonts w:hint="eastAsia" w:ascii="宋体" w:hAnsi="宋体" w:eastAsia="宋体" w:cs="宋体"/>
          <w:b/>
          <w:color w:val="auto"/>
          <w:kern w:val="0"/>
          <w:sz w:val="24"/>
          <w:highlight w:val="none"/>
        </w:rPr>
        <w:br w:type="page"/>
      </w:r>
      <w:bookmarkStart w:id="789" w:name="_Toc430530529"/>
      <w:bookmarkStart w:id="790" w:name="_Toc277082642"/>
      <w:bookmarkStart w:id="791" w:name="_Toc287620813"/>
      <w:bookmarkStart w:id="792" w:name="_Toc224103494"/>
      <w:bookmarkStart w:id="793" w:name="_Toc287607866"/>
    </w:p>
    <w:p w14:paraId="25CF9213">
      <w:pPr>
        <w:pStyle w:val="4"/>
        <w:jc w:val="center"/>
        <w:rPr>
          <w:rFonts w:hint="eastAsia" w:ascii="宋体" w:hAnsi="宋体" w:eastAsia="宋体" w:cs="宋体"/>
          <w:color w:val="auto"/>
          <w:kern w:val="0"/>
          <w:sz w:val="44"/>
          <w:szCs w:val="44"/>
          <w:highlight w:val="none"/>
        </w:rPr>
      </w:pPr>
      <w:bookmarkStart w:id="794" w:name="_Toc8173"/>
      <w:bookmarkStart w:id="795" w:name="_Toc19940"/>
      <w:bookmarkStart w:id="796" w:name="_Toc28833"/>
      <w:r>
        <w:rPr>
          <w:rFonts w:hint="eastAsia" w:ascii="宋体" w:hAnsi="宋体" w:eastAsia="宋体" w:cs="宋体"/>
          <w:b w:val="0"/>
          <w:bCs w:val="0"/>
          <w:color w:val="auto"/>
          <w:sz w:val="44"/>
          <w:szCs w:val="44"/>
          <w:highlight w:val="none"/>
        </w:rPr>
        <w:t>一、投标函部分</w:t>
      </w:r>
      <w:bookmarkEnd w:id="789"/>
      <w:bookmarkEnd w:id="790"/>
      <w:bookmarkEnd w:id="791"/>
      <w:bookmarkEnd w:id="792"/>
      <w:bookmarkEnd w:id="793"/>
      <w:bookmarkEnd w:id="794"/>
      <w:bookmarkEnd w:id="795"/>
      <w:bookmarkEnd w:id="796"/>
    </w:p>
    <w:p w14:paraId="229D5834">
      <w:pPr>
        <w:autoSpaceDE/>
        <w:autoSpaceDN/>
        <w:adjustRightInd/>
        <w:snapToGrid/>
        <w:spacing w:line="240" w:lineRule="auto"/>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490CCEEB">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111E702D">
      <w:pPr>
        <w:autoSpaceDE w:val="0"/>
        <w:autoSpaceDN w:val="0"/>
        <w:adjustRightInd w:val="0"/>
        <w:snapToGrid w:val="0"/>
        <w:spacing w:line="360" w:lineRule="auto"/>
        <w:jc w:val="left"/>
        <w:rPr>
          <w:rFonts w:hint="eastAsia" w:ascii="宋体" w:hAnsi="宋体" w:eastAsia="宋体" w:cs="宋体"/>
          <w:color w:val="auto"/>
          <w:kern w:val="0"/>
          <w:sz w:val="24"/>
          <w:szCs w:val="21"/>
          <w:highlight w:val="none"/>
        </w:rPr>
      </w:pPr>
    </w:p>
    <w:p w14:paraId="26403AF6">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（一）投标函</w:t>
      </w:r>
    </w:p>
    <w:p w14:paraId="58B70208">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w:t>
      </w:r>
      <w:r>
        <w:rPr>
          <w:rFonts w:hint="eastAsia" w:ascii="宋体" w:hAnsi="宋体" w:eastAsia="宋体" w:cs="宋体"/>
          <w:color w:val="auto"/>
          <w:kern w:val="0"/>
          <w:sz w:val="21"/>
          <w:szCs w:val="21"/>
          <w:highlight w:val="none"/>
          <w:lang w:val="en-US" w:eastAsia="zh-CN"/>
        </w:rPr>
        <w:t>分项报价表</w:t>
      </w:r>
    </w:p>
    <w:p w14:paraId="396BB61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（三）法定代表人身份证明或授权委托书</w:t>
      </w:r>
    </w:p>
    <w:p w14:paraId="05C050E7">
      <w:pPr>
        <w:pStyle w:val="5"/>
        <w:spacing w:before="0" w:after="0" w:line="240" w:lineRule="auto"/>
        <w:jc w:val="center"/>
        <w:rPr>
          <w:rFonts w:hint="eastAsia" w:ascii="宋体" w:hAnsi="宋体" w:eastAsia="宋体" w:cs="宋体"/>
          <w:b w:val="0"/>
          <w:color w:val="auto"/>
          <w:highlight w:val="none"/>
        </w:rPr>
      </w:pPr>
      <w:bookmarkStart w:id="797" w:name="_Toc277082643"/>
      <w:bookmarkStart w:id="798" w:name="_Toc287607867"/>
      <w:bookmarkStart w:id="799" w:name="_Toc430530530"/>
      <w:bookmarkStart w:id="800" w:name="_Toc224103495"/>
      <w:bookmarkStart w:id="801" w:name="_Toc534185831"/>
      <w:bookmarkStart w:id="802" w:name="_Toc509218854"/>
      <w:bookmarkStart w:id="803" w:name="_Toc287620814"/>
      <w:r>
        <w:rPr>
          <w:rFonts w:hint="eastAsia" w:ascii="宋体" w:hAnsi="宋体" w:eastAsia="宋体" w:cs="宋体"/>
          <w:color w:val="auto"/>
          <w:highlight w:val="none"/>
        </w:rPr>
        <w:br w:type="page"/>
      </w:r>
      <w:bookmarkStart w:id="804" w:name="_Toc28851"/>
      <w:bookmarkStart w:id="805" w:name="_Toc23478"/>
      <w:bookmarkStart w:id="806" w:name="_Toc29411"/>
      <w:r>
        <w:rPr>
          <w:rFonts w:hint="eastAsia" w:ascii="宋体" w:hAnsi="宋体" w:eastAsia="宋体" w:cs="宋体"/>
          <w:b w:val="0"/>
          <w:bCs w:val="0"/>
          <w:color w:val="auto"/>
          <w:highlight w:val="none"/>
        </w:rPr>
        <w:t>（一）投标函</w:t>
      </w:r>
      <w:bookmarkEnd w:id="797"/>
      <w:bookmarkEnd w:id="798"/>
      <w:bookmarkEnd w:id="799"/>
      <w:bookmarkEnd w:id="800"/>
      <w:bookmarkEnd w:id="801"/>
      <w:bookmarkEnd w:id="802"/>
      <w:bookmarkEnd w:id="803"/>
      <w:bookmarkEnd w:id="804"/>
      <w:bookmarkEnd w:id="805"/>
      <w:bookmarkEnd w:id="806"/>
    </w:p>
    <w:p w14:paraId="0F746B4C">
      <w:pPr>
        <w:tabs>
          <w:tab w:val="left" w:pos="2640"/>
        </w:tabs>
        <w:autoSpaceDE w:val="0"/>
        <w:autoSpaceDN w:val="0"/>
        <w:adjustRightInd w:val="0"/>
        <w:spacing w:line="400" w:lineRule="exact"/>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u w:val="single"/>
          <w:lang w:val="en-US" w:eastAsia="zh-CN"/>
        </w:rPr>
        <w:t>（招标人名称）</w:t>
      </w:r>
      <w:r>
        <w:rPr>
          <w:rFonts w:hint="eastAsia" w:ascii="宋体" w:hAnsi="宋体" w:eastAsia="宋体" w:cs="宋体"/>
          <w:snapToGrid w:val="0"/>
          <w:color w:val="auto"/>
          <w:kern w:val="0"/>
          <w:szCs w:val="21"/>
          <w:highlight w:val="none"/>
        </w:rPr>
        <w:t>：</w:t>
      </w:r>
    </w:p>
    <w:p w14:paraId="5F4DE68B">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 我方已仔细研究了</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none"/>
        </w:rPr>
        <w:t>（</w:t>
      </w:r>
      <w:r>
        <w:rPr>
          <w:rFonts w:hint="eastAsia" w:ascii="宋体" w:hAnsi="宋体" w:eastAsia="宋体" w:cs="宋体"/>
          <w:snapToGrid w:val="0"/>
          <w:color w:val="auto"/>
          <w:kern w:val="0"/>
          <w:szCs w:val="21"/>
          <w:highlight w:val="none"/>
        </w:rPr>
        <w:t>项目名称）招标文件的全部内容，愿意按照招标文件中的一切要求，提供完成本项目招标范围的所有工作</w:t>
      </w:r>
      <w:r>
        <w:rPr>
          <w:rFonts w:hint="eastAsia" w:ascii="宋体" w:hAnsi="宋体" w:eastAsia="宋体" w:cs="宋体"/>
          <w:snapToGrid w:val="0"/>
          <w:color w:val="auto"/>
          <w:kern w:val="0"/>
          <w:szCs w:val="21"/>
          <w:highlight w:val="none"/>
          <w:lang w:val="en-US" w:eastAsia="zh-CN"/>
        </w:rPr>
        <w:t>，</w:t>
      </w:r>
      <w:r>
        <w:rPr>
          <w:rFonts w:hint="eastAsia" w:ascii="宋体" w:hAnsi="宋体" w:eastAsia="宋体" w:cs="宋体"/>
          <w:snapToGrid w:val="0"/>
          <w:color w:val="auto"/>
          <w:kern w:val="0"/>
          <w:szCs w:val="21"/>
          <w:highlight w:val="none"/>
        </w:rPr>
        <w:t>愿意以</w:t>
      </w:r>
      <w:r>
        <w:rPr>
          <w:rFonts w:hint="eastAsia" w:ascii="宋体" w:hAnsi="宋体" w:eastAsia="宋体" w:cs="宋体"/>
          <w:snapToGrid w:val="0"/>
          <w:color w:val="auto"/>
          <w:kern w:val="0"/>
          <w:szCs w:val="21"/>
          <w:highlight w:val="none"/>
          <w:lang w:val="en-US" w:eastAsia="zh-CN"/>
        </w:rPr>
        <w:t>下列方式进行报价</w:t>
      </w:r>
      <w:r>
        <w:rPr>
          <w:rFonts w:hint="eastAsia" w:ascii="宋体" w:hAnsi="宋体" w:eastAsia="宋体" w:cs="宋体"/>
          <w:snapToGrid w:val="0"/>
          <w:color w:val="auto"/>
          <w:kern w:val="0"/>
          <w:szCs w:val="21"/>
          <w:highlight w:val="none"/>
          <w:lang w:eastAsia="zh-CN"/>
        </w:rPr>
        <w:t>：</w:t>
      </w:r>
    </w:p>
    <w:p w14:paraId="0ECDEC95">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none"/>
        </w:rPr>
        <w:t>人民币（大写）</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r>
        <w:rPr>
          <w:rFonts w:hint="eastAsia" w:ascii="宋体" w:hAnsi="宋体" w:eastAsia="宋体" w:cs="宋体"/>
          <w:color w:val="auto"/>
          <w:spacing w:val="-1"/>
          <w:w w:val="100"/>
          <w:highlight w:val="none"/>
        </w:rPr>
        <w:t>为</w:t>
      </w:r>
      <w:r>
        <w:rPr>
          <w:rFonts w:hint="eastAsia" w:ascii="宋体" w:hAnsi="宋体" w:eastAsia="宋体" w:cs="宋体"/>
          <w:color w:val="auto"/>
          <w:w w:val="100"/>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spacing w:val="-36"/>
          <w:w w:val="100"/>
          <w:sz w:val="28"/>
          <w:highlight w:val="none"/>
          <w:u w:val="single"/>
          <w:lang w:val="en-US" w:eastAsia="zh-CN"/>
        </w:rPr>
        <w:t xml:space="preserve">   </w:t>
      </w:r>
      <w:r>
        <w:rPr>
          <w:rFonts w:hint="eastAsia" w:ascii="宋体" w:hAnsi="宋体" w:cs="宋体"/>
          <w:color w:val="auto"/>
          <w:spacing w:val="-36"/>
          <w:w w:val="100"/>
          <w:sz w:val="28"/>
          <w:highlight w:val="none"/>
          <w:u w:val="none"/>
          <w:lang w:val="en-US" w:eastAsia="zh-CN"/>
        </w:rPr>
        <w:t>。</w:t>
      </w:r>
    </w:p>
    <w:p w14:paraId="67F31AF8">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lang w:eastAsia="zh-CN"/>
        </w:rPr>
        <w:t>项目经理</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委托代理人为：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期</w:t>
      </w:r>
      <w:r>
        <w:rPr>
          <w:rFonts w:hint="eastAsia" w:ascii="宋体" w:hAnsi="宋体" w:eastAsia="宋体" w:cs="宋体"/>
          <w:snapToGrid w:val="0"/>
          <w:color w:val="auto"/>
          <w:kern w:val="0"/>
          <w:szCs w:val="21"/>
          <w:highlight w:val="none"/>
          <w:u w:val="single"/>
        </w:rPr>
        <w:t>符合招标文件的要求</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质量标准</w:t>
      </w:r>
      <w:r>
        <w:rPr>
          <w:rFonts w:hint="eastAsia" w:ascii="宋体" w:hAnsi="宋体" w:eastAsia="宋体" w:cs="宋体"/>
          <w:snapToGrid w:val="0"/>
          <w:color w:val="auto"/>
          <w:kern w:val="0"/>
          <w:szCs w:val="21"/>
          <w:highlight w:val="none"/>
          <w:u w:val="single"/>
        </w:rPr>
        <w:t>符合招标文件的要求</w:t>
      </w:r>
      <w:r>
        <w:rPr>
          <w:rFonts w:hint="eastAsia" w:ascii="宋体" w:hAnsi="宋体" w:cs="宋体"/>
          <w:snapToGrid w:val="0"/>
          <w:color w:val="auto"/>
          <w:kern w:val="0"/>
          <w:szCs w:val="21"/>
          <w:highlight w:val="none"/>
          <w:u w:val="none"/>
          <w:lang w:eastAsia="zh-CN"/>
        </w:rPr>
        <w:t>，</w:t>
      </w:r>
      <w:r>
        <w:rPr>
          <w:rFonts w:hint="eastAsia" w:ascii="宋体" w:hAnsi="宋体" w:eastAsia="宋体" w:cs="宋体"/>
          <w:snapToGrid w:val="0"/>
          <w:color w:val="auto"/>
          <w:kern w:val="0"/>
          <w:szCs w:val="21"/>
          <w:highlight w:val="none"/>
        </w:rPr>
        <w:t>按合同约定</w:t>
      </w:r>
      <w:r>
        <w:rPr>
          <w:rFonts w:hint="eastAsia" w:ascii="宋体" w:hAnsi="宋体" w:eastAsia="宋体" w:cs="宋体"/>
          <w:snapToGrid w:val="0"/>
          <w:color w:val="auto"/>
          <w:kern w:val="0"/>
          <w:szCs w:val="21"/>
          <w:highlight w:val="none"/>
          <w:lang w:val="en-US" w:eastAsia="zh-CN"/>
        </w:rPr>
        <w:t>履行义务</w:t>
      </w:r>
      <w:r>
        <w:rPr>
          <w:rFonts w:hint="eastAsia" w:ascii="宋体" w:hAnsi="宋体" w:eastAsia="宋体" w:cs="宋体"/>
          <w:snapToGrid w:val="0"/>
          <w:color w:val="auto"/>
          <w:kern w:val="0"/>
          <w:szCs w:val="21"/>
          <w:highlight w:val="none"/>
        </w:rPr>
        <w:t>。</w:t>
      </w:r>
    </w:p>
    <w:p w14:paraId="68210BF5">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r>
        <w:rPr>
          <w:rFonts w:hint="eastAsia" w:ascii="宋体" w:hAnsi="宋体" w:eastAsia="宋体" w:cs="宋体"/>
          <w:color w:val="auto"/>
          <w:highlight w:val="none"/>
        </w:rPr>
        <w:t>我方响应招标文件的全部要求。</w:t>
      </w:r>
    </w:p>
    <w:p w14:paraId="2AD66F1A">
      <w:pPr>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 xml:space="preserve">3. </w:t>
      </w:r>
      <w:r>
        <w:rPr>
          <w:rFonts w:hint="eastAsia" w:ascii="宋体" w:hAnsi="宋体" w:eastAsia="宋体" w:cs="宋体"/>
          <w:snapToGrid w:val="0"/>
          <w:color w:val="auto"/>
          <w:kern w:val="0"/>
          <w:szCs w:val="21"/>
          <w:highlight w:val="none"/>
        </w:rPr>
        <w:t>我方承诺响应招标文件规定的投标有效期，在投标有效期内不修改、撤销投标文件。</w:t>
      </w:r>
    </w:p>
    <w:p w14:paraId="2717BA76">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随同本投标函提交投标保证金一份，金额为人民币（大写）</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）。投标保证金有效期与投标有效期一致，在此期间，若我方违反招投标有关法律、法规及本招标文件的相关规定，投标保证金的受益人为招标人。</w:t>
      </w:r>
    </w:p>
    <w:p w14:paraId="55F9784E">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如我方中标，我方承诺：</w:t>
      </w:r>
    </w:p>
    <w:p w14:paraId="4AB0EF14">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（1）在收到中标通知书后，在中标通知书规定的期限内与你方签订合同；</w:t>
      </w:r>
    </w:p>
    <w:p w14:paraId="15BB308D">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（2）在签订合同时不向你方提出附加条件；</w:t>
      </w:r>
    </w:p>
    <w:p w14:paraId="0E6B388D">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（3）按照招标文件要求提交履约保证金；</w:t>
      </w:r>
    </w:p>
    <w:p w14:paraId="3364AA0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（4）在合同约定的期限内完成合同规定的全部义务。</w:t>
      </w:r>
    </w:p>
    <w:p w14:paraId="54D0D32D">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我方</w:t>
      </w:r>
      <w:r>
        <w:rPr>
          <w:rFonts w:hint="eastAsia" w:ascii="宋体" w:hAnsi="宋体" w:eastAsia="宋体" w:cs="宋体"/>
          <w:snapToGrid w:val="0"/>
          <w:color w:val="auto"/>
          <w:spacing w:val="-2"/>
          <w:kern w:val="0"/>
          <w:szCs w:val="21"/>
          <w:highlight w:val="none"/>
        </w:rPr>
        <w:t>在此声明，所递交的投标文件及有关资料内容完整、真实和准确，且不存在第二章“投标人</w:t>
      </w:r>
      <w:r>
        <w:rPr>
          <w:rFonts w:hint="eastAsia" w:ascii="宋体" w:hAnsi="宋体" w:eastAsia="宋体" w:cs="宋体"/>
          <w:snapToGrid w:val="0"/>
          <w:color w:val="auto"/>
          <w:kern w:val="0"/>
          <w:szCs w:val="21"/>
          <w:highlight w:val="none"/>
        </w:rPr>
        <w:t>须知”第 1.4.3 项规定的任何一种情形。同时我方承诺接受招标文件及附件、澄清及修改通知中所有的内容。</w:t>
      </w:r>
    </w:p>
    <w:p w14:paraId="26E70707">
      <w:pPr>
        <w:tabs>
          <w:tab w:val="left" w:pos="5985"/>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（其他补充说明）      </w:t>
      </w:r>
      <w:r>
        <w:rPr>
          <w:rFonts w:hint="eastAsia" w:ascii="宋体" w:hAnsi="宋体" w:eastAsia="宋体" w:cs="宋体"/>
          <w:snapToGrid w:val="0"/>
          <w:color w:val="auto"/>
          <w:kern w:val="0"/>
          <w:szCs w:val="21"/>
          <w:highlight w:val="none"/>
        </w:rPr>
        <w:t>。</w:t>
      </w:r>
    </w:p>
    <w:p w14:paraId="20345D20">
      <w:pPr>
        <w:pStyle w:val="2"/>
        <w:rPr>
          <w:rFonts w:hint="eastAsia" w:ascii="宋体" w:hAnsi="宋体" w:eastAsia="宋体" w:cs="宋体"/>
          <w:color w:val="auto"/>
          <w:highlight w:val="none"/>
        </w:rPr>
      </w:pPr>
    </w:p>
    <w:p w14:paraId="4E81C337">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2B3AD8D6">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（签名或盖章）</w:t>
      </w:r>
    </w:p>
    <w:p w14:paraId="7B90C6BD">
      <w:pP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p>
    <w:p w14:paraId="238B53C4">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网    址：</w:t>
      </w:r>
      <w:r>
        <w:rPr>
          <w:rFonts w:hint="eastAsia" w:ascii="宋体" w:hAnsi="宋体" w:eastAsia="宋体" w:cs="宋体"/>
          <w:snapToGrid w:val="0"/>
          <w:color w:val="auto"/>
          <w:kern w:val="0"/>
          <w:szCs w:val="21"/>
          <w:highlight w:val="none"/>
          <w:u w:val="single"/>
        </w:rPr>
        <w:t xml:space="preserve">                                                                            </w:t>
      </w:r>
    </w:p>
    <w:p w14:paraId="1F7D1DAE">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单位电话（座机）：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委托代理人电话（手机）：</w:t>
      </w:r>
      <w:r>
        <w:rPr>
          <w:rFonts w:hint="eastAsia" w:ascii="宋体" w:hAnsi="宋体" w:eastAsia="宋体" w:cs="宋体"/>
          <w:snapToGrid w:val="0"/>
          <w:color w:val="auto"/>
          <w:kern w:val="0"/>
          <w:szCs w:val="21"/>
          <w:highlight w:val="none"/>
          <w:u w:val="single"/>
        </w:rPr>
        <w:t xml:space="preserve">                      </w:t>
      </w:r>
    </w:p>
    <w:p w14:paraId="77A8D5C9">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p>
    <w:p w14:paraId="53B516B4">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邮政编码：</w:t>
      </w:r>
      <w:r>
        <w:rPr>
          <w:rFonts w:hint="eastAsia" w:ascii="宋体" w:hAnsi="宋体" w:eastAsia="宋体" w:cs="宋体"/>
          <w:snapToGrid w:val="0"/>
          <w:color w:val="auto"/>
          <w:kern w:val="0"/>
          <w:szCs w:val="21"/>
          <w:highlight w:val="none"/>
          <w:u w:val="single"/>
        </w:rPr>
        <w:t xml:space="preserve">                                                                            </w:t>
      </w:r>
    </w:p>
    <w:p w14:paraId="0DF476E2">
      <w:pPr>
        <w:tabs>
          <w:tab w:val="left" w:pos="8300"/>
        </w:tabs>
        <w:autoSpaceDE w:val="0"/>
        <w:autoSpaceDN w:val="0"/>
        <w:adjustRightInd w:val="0"/>
        <w:spacing w:line="400" w:lineRule="exact"/>
        <w:ind w:firstLine="400" w:firstLineChars="200"/>
        <w:rPr>
          <w:rFonts w:hint="eastAsia" w:ascii="宋体" w:hAnsi="宋体" w:eastAsia="宋体" w:cs="宋体"/>
          <w:snapToGrid w:val="0"/>
          <w:color w:val="auto"/>
          <w:kern w:val="0"/>
          <w:sz w:val="20"/>
          <w:szCs w:val="20"/>
          <w:highlight w:val="none"/>
        </w:rPr>
      </w:pPr>
    </w:p>
    <w:p w14:paraId="1D0D1257">
      <w:pP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833F492">
      <w:pPr>
        <w:pStyle w:val="5"/>
        <w:spacing w:before="0" w:after="0" w:line="240" w:lineRule="auto"/>
        <w:jc w:val="center"/>
        <w:rPr>
          <w:rFonts w:hint="eastAsia" w:ascii="宋体" w:hAnsi="宋体" w:eastAsia="宋体" w:cs="宋体"/>
          <w:b w:val="0"/>
          <w:bCs w:val="0"/>
          <w:color w:val="auto"/>
          <w:sz w:val="32"/>
          <w:szCs w:val="20"/>
          <w:highlight w:val="none"/>
          <w:lang w:eastAsia="zh-CN"/>
        </w:rPr>
      </w:pPr>
      <w:bookmarkStart w:id="807" w:name="_Toc224103496"/>
      <w:bookmarkStart w:id="808" w:name="_Toc287620815"/>
      <w:bookmarkStart w:id="809" w:name="_Toc277082644"/>
      <w:bookmarkStart w:id="810" w:name="_Toc430530531"/>
      <w:bookmarkStart w:id="811" w:name="_Toc287607868"/>
      <w:r>
        <w:rPr>
          <w:rFonts w:hint="eastAsia" w:ascii="宋体" w:hAnsi="宋体" w:eastAsia="宋体" w:cs="宋体"/>
          <w:color w:val="auto"/>
          <w:sz w:val="28"/>
          <w:highlight w:val="none"/>
        </w:rPr>
        <w:br w:type="page"/>
      </w:r>
      <w:bookmarkStart w:id="812" w:name="_Toc509218855"/>
      <w:bookmarkStart w:id="813" w:name="_Toc534185832"/>
      <w:bookmarkStart w:id="814" w:name="_Toc7255"/>
      <w:bookmarkStart w:id="815" w:name="_Toc25365"/>
      <w:bookmarkStart w:id="816" w:name="_Toc7137"/>
      <w:r>
        <w:rPr>
          <w:rFonts w:hint="eastAsia" w:ascii="宋体" w:hAnsi="宋体" w:eastAsia="宋体" w:cs="宋体"/>
          <w:b w:val="0"/>
          <w:bCs w:val="0"/>
          <w:color w:val="auto"/>
          <w:highlight w:val="none"/>
        </w:rPr>
        <w:t>（二）</w:t>
      </w:r>
      <w:bookmarkEnd w:id="807"/>
      <w:bookmarkEnd w:id="808"/>
      <w:bookmarkEnd w:id="809"/>
      <w:bookmarkEnd w:id="810"/>
      <w:bookmarkEnd w:id="811"/>
      <w:bookmarkEnd w:id="812"/>
      <w:bookmarkEnd w:id="813"/>
      <w:r>
        <w:rPr>
          <w:rFonts w:hint="eastAsia" w:ascii="宋体" w:hAnsi="宋体" w:eastAsia="宋体" w:cs="宋体"/>
          <w:b w:val="0"/>
          <w:bCs w:val="0"/>
          <w:color w:val="auto"/>
          <w:sz w:val="32"/>
          <w:szCs w:val="20"/>
          <w:highlight w:val="none"/>
          <w:lang w:eastAsia="zh-CN"/>
        </w:rPr>
        <w:t>分项报价表</w:t>
      </w:r>
      <w:bookmarkEnd w:id="814"/>
      <w:bookmarkEnd w:id="815"/>
      <w:bookmarkEnd w:id="816"/>
    </w:p>
    <w:p w14:paraId="6C4A91E5">
      <w:pPr>
        <w:rPr>
          <w:rFonts w:hint="eastAsia" w:ascii="宋体" w:hAnsi="宋体" w:eastAsia="宋体" w:cs="宋体"/>
          <w:color w:val="auto"/>
          <w:highlight w:val="none"/>
        </w:rPr>
      </w:pPr>
    </w:p>
    <w:p w14:paraId="675B7362">
      <w:pPr>
        <w:pStyle w:val="146"/>
        <w:numPr>
          <w:ilvl w:val="0"/>
          <w:numId w:val="0"/>
        </w:numPr>
        <w:tabs>
          <w:tab w:val="left" w:pos="805"/>
        </w:tabs>
        <w:adjustRightInd w:val="0"/>
        <w:snapToGrid w:val="0"/>
        <w:spacing w:before="0" w:after="0" w:line="360" w:lineRule="auto"/>
        <w:ind w:left="0" w:leftChars="0" w:right="0" w:rightChars="0" w:firstLine="0"/>
        <w:jc w:val="left"/>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lang w:val="en-US" w:eastAsia="zh-CN"/>
        </w:rPr>
        <w:t xml:space="preserve">1. </w:t>
      </w:r>
      <w:r>
        <w:rPr>
          <w:rFonts w:hint="eastAsia" w:ascii="宋体" w:hAnsi="宋体" w:eastAsia="宋体" w:cs="宋体"/>
          <w:color w:val="auto"/>
          <w:spacing w:val="-3"/>
          <w:sz w:val="21"/>
          <w:szCs w:val="21"/>
          <w:highlight w:val="none"/>
        </w:rPr>
        <w:t>分项报价表说明</w:t>
      </w:r>
    </w:p>
    <w:p w14:paraId="57A1264A">
      <w:pPr>
        <w:pStyle w:val="146"/>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1）</w:t>
      </w:r>
      <w:r>
        <w:rPr>
          <w:rFonts w:hint="eastAsia"/>
          <w:color w:val="auto"/>
          <w:spacing w:val="-3"/>
          <w:szCs w:val="21"/>
          <w:highlight w:val="none"/>
        </w:rPr>
        <w:t>在后期合同执行过程中，如因国家税务政策调整，当增值税税率提高，本合同含税总价不变；当增值税税率降低，本合同不含税总价不变，并相应减少增值税金额。</w:t>
      </w:r>
    </w:p>
    <w:p w14:paraId="0633D7DD">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val="en-US" w:eastAsia="zh-CN"/>
        </w:rPr>
        <w:t>（2）</w:t>
      </w:r>
      <w:r>
        <w:rPr>
          <w:rFonts w:hint="eastAsia"/>
          <w:color w:val="auto"/>
          <w:spacing w:val="-3"/>
          <w:szCs w:val="21"/>
          <w:highlight w:val="none"/>
        </w:rPr>
        <w:t>投标人填报的投标总报价包括但不限于本项目详细设计，建设期现货软件的购置，定制软件开发，软件系统免费升级、业务流程编制及嵌入，软件部署测试，安全系统的建设，标准规范的编制，系统集成，试运行，操作培训，验收、质保期内的维保等所需一切费用，税金。若投标人有漏项报价，视为已包含在投标总报价中。</w:t>
      </w:r>
    </w:p>
    <w:p w14:paraId="51719259">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color w:val="auto"/>
          <w:spacing w:val="-3"/>
          <w:szCs w:val="21"/>
          <w:highlight w:val="none"/>
          <w:lang w:eastAsia="zh-CN"/>
        </w:rPr>
        <w:t>（</w:t>
      </w:r>
      <w:r>
        <w:rPr>
          <w:rFonts w:hint="eastAsia"/>
          <w:color w:val="auto"/>
          <w:spacing w:val="-3"/>
          <w:szCs w:val="21"/>
          <w:highlight w:val="none"/>
          <w:lang w:val="en-US" w:eastAsia="zh-CN"/>
        </w:rPr>
        <w:t>3</w:t>
      </w:r>
      <w:r>
        <w:rPr>
          <w:rFonts w:hint="eastAsia"/>
          <w:color w:val="auto"/>
          <w:spacing w:val="-3"/>
          <w:szCs w:val="21"/>
          <w:highlight w:val="none"/>
          <w:lang w:eastAsia="zh-CN"/>
        </w:rPr>
        <w:t>）</w:t>
      </w:r>
      <w:r>
        <w:rPr>
          <w:rFonts w:hint="eastAsia"/>
          <w:color w:val="auto"/>
          <w:spacing w:val="-3"/>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p w14:paraId="3869A6B3">
      <w:pPr>
        <w:spacing w:line="360" w:lineRule="auto"/>
        <w:rPr>
          <w:rFonts w:hint="eastAsia" w:ascii="宋体" w:hAnsi="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 xml:space="preserve">2. </w:t>
      </w:r>
      <w:r>
        <w:rPr>
          <w:rFonts w:hint="eastAsia" w:ascii="宋体" w:hAnsi="宋体" w:eastAsia="宋体" w:cs="宋体"/>
          <w:color w:val="auto"/>
          <w:spacing w:val="-3"/>
          <w:sz w:val="21"/>
          <w:szCs w:val="21"/>
          <w:highlight w:val="none"/>
        </w:rPr>
        <w:t>分项报价表</w:t>
      </w:r>
      <w:r>
        <w:rPr>
          <w:rFonts w:hint="eastAsia" w:ascii="宋体" w:hAnsi="宋体" w:cs="宋体"/>
          <w:color w:val="auto"/>
          <w:spacing w:val="-3"/>
          <w:sz w:val="21"/>
          <w:szCs w:val="21"/>
          <w:highlight w:val="none"/>
          <w:lang w:eastAsia="zh-CN"/>
        </w:rPr>
        <w:t>如下：</w:t>
      </w:r>
    </w:p>
    <w:p w14:paraId="3F2E13B9">
      <w:pPr>
        <w:widowControl w:val="0"/>
        <w:spacing w:after="120"/>
        <w:jc w:val="both"/>
        <w:rPr>
          <w:rFonts w:hint="eastAsia" w:ascii="宋体" w:hAnsi="宋体" w:eastAsia="宋体" w:cs="宋体"/>
          <w:color w:val="auto"/>
          <w:spacing w:val="-3"/>
          <w:kern w:val="2"/>
          <w:sz w:val="21"/>
          <w:szCs w:val="21"/>
          <w:highlight w:val="none"/>
          <w:lang w:val="en-US" w:eastAsia="zh-CN" w:bidi="ar-SA"/>
        </w:rPr>
      </w:pPr>
      <w:r>
        <w:rPr>
          <w:rFonts w:hint="eastAsia" w:ascii="宋体" w:hAnsi="宋体" w:eastAsia="宋体" w:cs="宋体"/>
          <w:color w:val="auto"/>
          <w:spacing w:val="-3"/>
          <w:kern w:val="2"/>
          <w:sz w:val="21"/>
          <w:szCs w:val="21"/>
          <w:highlight w:val="none"/>
          <w:lang w:val="en-US" w:eastAsia="zh-CN" w:bidi="ar-SA"/>
        </w:rPr>
        <w:t>（详见附件）</w:t>
      </w:r>
    </w:p>
    <w:p w14:paraId="7C7639E1">
      <w:pPr>
        <w:rPr>
          <w:rFonts w:hint="eastAsia" w:ascii="Times New Roman" w:hAnsi="Times New Roman" w:cs="Times New Roman"/>
          <w:color w:val="auto"/>
          <w:highlight w:val="none"/>
          <w:lang w:eastAsia="zh-CN"/>
        </w:rPr>
      </w:pPr>
      <w:r>
        <w:rPr>
          <w:rFonts w:hint="eastAsia" w:ascii="宋体" w:hAnsi="宋体" w:cs="宋体"/>
          <w:color w:val="auto"/>
          <w:spacing w:val="-3"/>
          <w:sz w:val="21"/>
          <w:szCs w:val="21"/>
          <w:highlight w:val="none"/>
          <w:lang w:eastAsia="zh-CN"/>
        </w:rPr>
        <w:t>……</w:t>
      </w:r>
    </w:p>
    <w:p w14:paraId="4F29B18A">
      <w:pPr>
        <w:pStyle w:val="2"/>
        <w:rPr>
          <w:rFonts w:hint="eastAsia" w:ascii="宋体" w:hAnsi="宋体" w:cs="宋体"/>
          <w:color w:val="auto"/>
          <w:spacing w:val="-3"/>
          <w:sz w:val="21"/>
          <w:szCs w:val="21"/>
          <w:highlight w:val="none"/>
          <w:lang w:eastAsia="zh-CN"/>
        </w:rPr>
      </w:pPr>
    </w:p>
    <w:p w14:paraId="0AB84BE5">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color w:val="auto"/>
          <w:kern w:val="0"/>
          <w:szCs w:val="21"/>
          <w:highlight w:val="none"/>
        </w:rPr>
      </w:pPr>
      <w:bookmarkStart w:id="817" w:name="_Hlk66701018"/>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163EA615">
      <w:pPr>
        <w:tabs>
          <w:tab w:val="left" w:pos="7140"/>
          <w:tab w:val="left" w:pos="7560"/>
          <w:tab w:val="left" w:pos="8300"/>
        </w:tabs>
        <w:autoSpaceDE w:val="0"/>
        <w:autoSpaceDN w:val="0"/>
        <w:adjustRightInd w:val="0"/>
        <w:spacing w:line="360" w:lineRule="auto"/>
        <w:ind w:right="210" w:firstLine="2835" w:firstLineChars="13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（签名或盖章） </w:t>
      </w:r>
    </w:p>
    <w:p w14:paraId="403C57F8">
      <w:pPr>
        <w:tabs>
          <w:tab w:val="left" w:pos="631"/>
          <w:tab w:val="left" w:pos="1471"/>
          <w:tab w:val="left" w:pos="2311"/>
        </w:tabs>
        <w:autoSpaceDE w:val="0"/>
        <w:autoSpaceDN w:val="0"/>
        <w:spacing w:before="37"/>
        <w:ind w:right="597"/>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w:t>
      </w:r>
    </w:p>
    <w:bookmarkEnd w:id="817"/>
    <w:p w14:paraId="141DB01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A05C74A">
      <w:pPr>
        <w:pStyle w:val="5"/>
        <w:spacing w:before="0" w:after="0" w:line="240" w:lineRule="auto"/>
        <w:jc w:val="center"/>
        <w:rPr>
          <w:rFonts w:hint="eastAsia" w:ascii="宋体" w:hAnsi="宋体" w:eastAsia="宋体" w:cs="宋体"/>
          <w:snapToGrid w:val="0"/>
          <w:color w:val="auto"/>
          <w:kern w:val="0"/>
          <w:szCs w:val="21"/>
          <w:highlight w:val="none"/>
        </w:rPr>
      </w:pPr>
      <w:bookmarkStart w:id="818" w:name="_Toc287620816"/>
      <w:bookmarkStart w:id="819" w:name="_Toc430530532"/>
      <w:bookmarkStart w:id="820" w:name="_Toc23046"/>
      <w:bookmarkStart w:id="821" w:name="_Toc224103497"/>
      <w:bookmarkStart w:id="822" w:name="_Toc10880"/>
      <w:bookmarkStart w:id="823" w:name="_Toc5533"/>
      <w:bookmarkStart w:id="824" w:name="_Toc287607869"/>
      <w:bookmarkStart w:id="825" w:name="_Toc277082645"/>
      <w:r>
        <w:rPr>
          <w:rFonts w:hint="eastAsia" w:ascii="宋体" w:hAnsi="宋体" w:eastAsia="宋体" w:cs="宋体"/>
          <w:b w:val="0"/>
          <w:bCs w:val="0"/>
          <w:color w:val="auto"/>
          <w:highlight w:val="none"/>
        </w:rPr>
        <w:t>（三）</w:t>
      </w:r>
      <w:r>
        <w:rPr>
          <w:rFonts w:hint="eastAsia" w:ascii="宋体" w:hAnsi="宋体" w:eastAsia="宋体" w:cs="宋体"/>
          <w:b w:val="0"/>
          <w:bCs w:val="0"/>
          <w:color w:val="auto"/>
          <w:sz w:val="30"/>
          <w:szCs w:val="30"/>
          <w:highlight w:val="none"/>
        </w:rPr>
        <w:t>法定代表人身份证明或授权委托书</w:t>
      </w:r>
      <w:bookmarkEnd w:id="818"/>
      <w:bookmarkEnd w:id="819"/>
      <w:bookmarkEnd w:id="820"/>
      <w:bookmarkEnd w:id="821"/>
      <w:bookmarkEnd w:id="822"/>
      <w:bookmarkEnd w:id="823"/>
      <w:bookmarkEnd w:id="824"/>
      <w:bookmarkEnd w:id="825"/>
    </w:p>
    <w:p w14:paraId="26BD439D">
      <w:pPr>
        <w:spacing w:line="480" w:lineRule="auto"/>
        <w:jc w:val="center"/>
        <w:rPr>
          <w:rFonts w:hint="eastAsia" w:ascii="宋体" w:hAnsi="宋体" w:eastAsia="宋体" w:cs="宋体"/>
          <w:color w:val="auto"/>
          <w:sz w:val="28"/>
          <w:highlight w:val="none"/>
        </w:rPr>
      </w:pPr>
    </w:p>
    <w:p w14:paraId="44C72F29">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66C8A101">
      <w:pPr>
        <w:spacing w:line="480" w:lineRule="auto"/>
        <w:jc w:val="center"/>
        <w:rPr>
          <w:rFonts w:hint="eastAsia" w:ascii="宋体" w:hAnsi="宋体" w:eastAsia="宋体" w:cs="宋体"/>
          <w:color w:val="auto"/>
          <w:highlight w:val="none"/>
        </w:rPr>
      </w:pPr>
    </w:p>
    <w:p w14:paraId="05480307">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48FE49A6">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40E91EC2">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76E05A18">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44493BC8">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215D16A4">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218A6027">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40C487E9">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附：法定代表人身份证扫描件（双面）</w:t>
      </w:r>
    </w:p>
    <w:p w14:paraId="76D1C45F">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0C7887E2">
      <w:pPr>
        <w:pStyle w:val="2"/>
        <w:spacing w:after="0" w:line="360" w:lineRule="auto"/>
        <w:rPr>
          <w:rFonts w:hint="eastAsia" w:ascii="宋体" w:hAnsi="宋体" w:eastAsia="宋体" w:cs="宋体"/>
          <w:color w:val="auto"/>
          <w:szCs w:val="21"/>
          <w:highlight w:val="none"/>
        </w:rPr>
      </w:pPr>
    </w:p>
    <w:p w14:paraId="2BF77575">
      <w:pPr>
        <w:pStyle w:val="2"/>
        <w:spacing w:after="0" w:line="360" w:lineRule="auto"/>
        <w:rPr>
          <w:rFonts w:hint="eastAsia" w:ascii="宋体" w:hAnsi="宋体" w:eastAsia="宋体" w:cs="宋体"/>
          <w:color w:val="auto"/>
          <w:szCs w:val="21"/>
          <w:highlight w:val="none"/>
        </w:rPr>
      </w:pPr>
    </w:p>
    <w:p w14:paraId="5B4EBBBC">
      <w:pPr>
        <w:pStyle w:val="2"/>
        <w:spacing w:after="0" w:line="360" w:lineRule="auto"/>
        <w:rPr>
          <w:rFonts w:hint="eastAsia" w:ascii="宋体" w:hAnsi="宋体" w:eastAsia="宋体" w:cs="宋体"/>
          <w:color w:val="auto"/>
          <w:szCs w:val="21"/>
          <w:highlight w:val="none"/>
        </w:rPr>
      </w:pPr>
    </w:p>
    <w:p w14:paraId="3556B7A5">
      <w:pPr>
        <w:tabs>
          <w:tab w:val="left" w:pos="5460"/>
        </w:tabs>
        <w:autoSpaceDE w:val="0"/>
        <w:autoSpaceDN w:val="0"/>
        <w:adjustRightInd w:val="0"/>
        <w:snapToGrid w:val="0"/>
        <w:spacing w:line="480" w:lineRule="auto"/>
        <w:ind w:firstLine="21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03E7E870">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1402213B">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0C576F33">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1D025C01">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0D736C4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14:paraId="009C78F5">
      <w:pPr>
        <w:spacing w:line="360" w:lineRule="auto"/>
        <w:ind w:firstLine="420" w:firstLineChars="200"/>
        <w:rPr>
          <w:rFonts w:hint="eastAsia" w:ascii="宋体" w:hAnsi="宋体" w:eastAsia="宋体" w:cs="宋体"/>
          <w:color w:val="auto"/>
          <w:highlight w:val="none"/>
        </w:rPr>
      </w:pPr>
    </w:p>
    <w:p w14:paraId="1755B310">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highlight w:val="none"/>
        </w:rPr>
        <w:br w:type="page"/>
      </w:r>
      <w:r>
        <w:rPr>
          <w:rFonts w:hint="eastAsia" w:ascii="宋体" w:hAnsi="宋体" w:eastAsia="宋体" w:cs="宋体"/>
          <w:snapToGrid w:val="0"/>
          <w:color w:val="auto"/>
          <w:kern w:val="0"/>
          <w:sz w:val="32"/>
          <w:szCs w:val="32"/>
          <w:highlight w:val="none"/>
        </w:rPr>
        <w:t>授权委托书</w:t>
      </w:r>
    </w:p>
    <w:p w14:paraId="6793EC81">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65CF82C1">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w:t>
      </w:r>
      <w:r>
        <w:rPr>
          <w:rFonts w:hint="eastAsia" w:ascii="宋体" w:hAnsi="宋体" w:cs="宋体"/>
          <w:color w:val="auto"/>
          <w:kern w:val="0"/>
          <w:szCs w:val="21"/>
          <w:highlight w:val="none"/>
          <w:lang w:eastAsia="zh-CN"/>
        </w:rPr>
        <w:t>代表</w:t>
      </w:r>
      <w:r>
        <w:rPr>
          <w:rFonts w:hint="eastAsia" w:ascii="宋体" w:hAnsi="宋体" w:eastAsia="宋体" w:cs="宋体"/>
          <w:color w:val="auto"/>
          <w:kern w:val="0"/>
          <w:szCs w:val="21"/>
          <w:highlight w:val="none"/>
        </w:rPr>
        <w:t>我方签署、澄清、说明、补正、递交、撤回、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52A0958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49800916">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4186416C">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6CFC4F04">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30B55831">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1D3D8063">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7A5FAD33">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p>
    <w:p w14:paraId="2CA46362">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55897364">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7C0F4525">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0EE6ECD7">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附：法定代表人和委托代理人身份证扫描件（双面）</w:t>
      </w:r>
    </w:p>
    <w:p w14:paraId="66A74608">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43B1F5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1983BB3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1EC1BCB6">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41C6651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F120965">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A1E1FBF">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1DBBD730">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1275205E">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6C1622D9">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4C62811F">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26C7622B">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451AF2A">
      <w:pPr>
        <w:autoSpaceDE/>
        <w:autoSpaceDN/>
        <w:adjustRightInd/>
        <w:snapToGrid/>
        <w:spacing w:line="240" w:lineRule="auto"/>
        <w:ind w:firstLine="0" w:firstLineChars="0"/>
        <w:jc w:val="left"/>
        <w:rPr>
          <w:rFonts w:hint="eastAsia" w:ascii="宋体" w:hAnsi="宋体" w:eastAsia="宋体" w:cs="宋体"/>
          <w:color w:val="auto"/>
          <w:sz w:val="36"/>
          <w:szCs w:val="36"/>
          <w:highlight w:val="none"/>
        </w:rPr>
      </w:pPr>
      <w:r>
        <w:rPr>
          <w:rFonts w:hint="eastAsia" w:ascii="宋体" w:hAnsi="宋体" w:eastAsia="宋体" w:cs="宋体"/>
          <w:color w:val="auto"/>
          <w:kern w:val="0"/>
          <w:sz w:val="24"/>
          <w:highlight w:val="none"/>
        </w:rPr>
        <w:t xml:space="preserve"> </w:t>
      </w:r>
    </w:p>
    <w:p w14:paraId="262AD9E7">
      <w:pPr>
        <w:pStyle w:val="4"/>
        <w:spacing w:line="360" w:lineRule="auto"/>
        <w:ind w:firstLine="1320" w:firstLineChars="300"/>
        <w:rPr>
          <w:rFonts w:hint="eastAsia" w:ascii="宋体" w:hAnsi="宋体" w:eastAsia="宋体" w:cs="宋体"/>
          <w:b/>
          <w:color w:val="auto"/>
          <w:kern w:val="0"/>
          <w:sz w:val="28"/>
          <w:szCs w:val="28"/>
          <w:highlight w:val="none"/>
          <w:lang w:eastAsia="zh-CN"/>
        </w:rPr>
      </w:pPr>
      <w:bookmarkStart w:id="826" w:name="_Toc287620829"/>
      <w:bookmarkStart w:id="827" w:name="_Toc224103510"/>
      <w:bookmarkStart w:id="828" w:name="_Toc277082656"/>
      <w:bookmarkStart w:id="829" w:name="_Toc287607882"/>
      <w:bookmarkStart w:id="830" w:name="_Toc430530545"/>
      <w:bookmarkStart w:id="831" w:name="_Toc8287"/>
      <w:bookmarkStart w:id="832" w:name="_Toc21530"/>
      <w:bookmarkStart w:id="833" w:name="_Toc21172"/>
      <w:r>
        <w:rPr>
          <w:rFonts w:hint="eastAsia" w:ascii="宋体" w:hAnsi="宋体" w:eastAsia="宋体" w:cs="宋体"/>
          <w:b w:val="0"/>
          <w:bCs w:val="0"/>
          <w:color w:val="auto"/>
          <w:sz w:val="44"/>
          <w:szCs w:val="44"/>
          <w:highlight w:val="none"/>
          <w:lang w:val="en-US" w:eastAsia="zh-CN"/>
        </w:rPr>
        <w:t>二</w:t>
      </w:r>
      <w:r>
        <w:rPr>
          <w:rFonts w:hint="eastAsia" w:ascii="宋体" w:hAnsi="宋体" w:eastAsia="宋体" w:cs="宋体"/>
          <w:b w:val="0"/>
          <w:bCs w:val="0"/>
          <w:color w:val="auto"/>
          <w:sz w:val="44"/>
          <w:szCs w:val="44"/>
          <w:highlight w:val="none"/>
        </w:rPr>
        <w:t>、</w:t>
      </w:r>
      <w:bookmarkEnd w:id="826"/>
      <w:bookmarkEnd w:id="827"/>
      <w:bookmarkEnd w:id="828"/>
      <w:bookmarkEnd w:id="829"/>
      <w:bookmarkEnd w:id="830"/>
      <w:r>
        <w:rPr>
          <w:rFonts w:hint="eastAsia" w:ascii="宋体" w:hAnsi="宋体" w:eastAsia="宋体" w:cs="宋体"/>
          <w:b w:val="0"/>
          <w:bCs w:val="0"/>
          <w:color w:val="auto"/>
          <w:sz w:val="44"/>
          <w:szCs w:val="44"/>
          <w:highlight w:val="none"/>
        </w:rPr>
        <w:t>资格审查部分</w:t>
      </w:r>
      <w:bookmarkEnd w:id="831"/>
      <w:r>
        <w:rPr>
          <w:rFonts w:hint="eastAsia" w:ascii="宋体" w:hAnsi="宋体" w:cs="宋体"/>
          <w:b w:val="0"/>
          <w:bCs w:val="0"/>
          <w:color w:val="auto"/>
          <w:sz w:val="44"/>
          <w:szCs w:val="44"/>
          <w:highlight w:val="none"/>
          <w:lang w:eastAsia="zh-CN"/>
        </w:rPr>
        <w:t>（含商务部分）</w:t>
      </w:r>
      <w:bookmarkEnd w:id="832"/>
      <w:bookmarkEnd w:id="833"/>
    </w:p>
    <w:p w14:paraId="5DAE88A4">
      <w:pPr>
        <w:autoSpaceDE/>
        <w:autoSpaceDN/>
        <w:adjustRightInd/>
        <w:snapToGrid/>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4AC6B93C">
      <w:pPr>
        <w:autoSpaceDE w:val="0"/>
        <w:autoSpaceDN w:val="0"/>
        <w:adjustRightInd w:val="0"/>
        <w:snapToGrid w:val="0"/>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6A84A49D">
      <w:pPr>
        <w:spacing w:line="360" w:lineRule="auto"/>
        <w:jc w:val="center"/>
        <w:rPr>
          <w:rFonts w:hint="eastAsia" w:ascii="宋体" w:hAnsi="宋体" w:eastAsia="宋体" w:cs="宋体"/>
          <w:b/>
          <w:color w:val="auto"/>
          <w:kern w:val="0"/>
          <w:sz w:val="32"/>
          <w:szCs w:val="32"/>
          <w:highlight w:val="none"/>
        </w:rPr>
      </w:pPr>
    </w:p>
    <w:p w14:paraId="5F90D1E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（一）法定代表人身份证明或授权委托书</w:t>
      </w:r>
    </w:p>
    <w:p w14:paraId="41E276F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（二）投标人基本情况表</w:t>
      </w:r>
    </w:p>
    <w:p w14:paraId="3631865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2CDC650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（四）类似项目情况表</w:t>
      </w:r>
    </w:p>
    <w:p w14:paraId="41F8537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368E7D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3E42B4B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color w:val="auto"/>
          <w:kern w:val="0"/>
          <w:sz w:val="32"/>
          <w:szCs w:val="32"/>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eastAsia="zh-CN"/>
        </w:rPr>
        <w:t>七</w:t>
      </w:r>
      <w:r>
        <w:rPr>
          <w:rFonts w:hint="eastAsia" w:ascii="宋体" w:hAnsi="宋体" w:eastAsia="宋体" w:cs="宋体"/>
          <w:snapToGrid w:val="0"/>
          <w:color w:val="auto"/>
          <w:highlight w:val="none"/>
        </w:rPr>
        <w:t>）其他资料</w:t>
      </w:r>
    </w:p>
    <w:p w14:paraId="4CD54FAB">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宋体" w:hAnsi="宋体" w:eastAsia="宋体" w:cs="宋体"/>
          <w:b/>
          <w:color w:val="auto"/>
          <w:kern w:val="0"/>
          <w:sz w:val="32"/>
          <w:szCs w:val="32"/>
          <w:highlight w:val="none"/>
        </w:rPr>
      </w:pPr>
    </w:p>
    <w:p w14:paraId="5112FF4D">
      <w:pPr>
        <w:pStyle w:val="5"/>
        <w:spacing w:before="0" w:after="0" w:line="240" w:lineRule="auto"/>
        <w:jc w:val="center"/>
        <w:rPr>
          <w:rFonts w:hint="eastAsia" w:ascii="宋体" w:hAnsi="宋体" w:eastAsia="宋体" w:cs="宋体"/>
          <w:color w:val="auto"/>
          <w:sz w:val="30"/>
          <w:szCs w:val="30"/>
          <w:highlight w:val="none"/>
        </w:rPr>
      </w:pPr>
      <w:r>
        <w:rPr>
          <w:rFonts w:hint="eastAsia" w:ascii="宋体" w:hAnsi="宋体" w:eastAsia="宋体" w:cs="宋体"/>
          <w:color w:val="auto"/>
          <w:highlight w:val="none"/>
        </w:rPr>
        <w:br w:type="page"/>
      </w:r>
      <w:bookmarkStart w:id="834" w:name="_Toc552"/>
      <w:bookmarkStart w:id="835" w:name="_Toc430530546"/>
      <w:bookmarkStart w:id="836" w:name="_Toc287607883"/>
      <w:bookmarkStart w:id="837" w:name="_Toc1305"/>
      <w:bookmarkStart w:id="838" w:name="_Toc277082657"/>
      <w:bookmarkStart w:id="839" w:name="_Toc224103511"/>
      <w:bookmarkStart w:id="840" w:name="_Toc12505"/>
      <w:bookmarkStart w:id="841" w:name="_Toc287620830"/>
      <w:r>
        <w:rPr>
          <w:rFonts w:hint="eastAsia" w:ascii="宋体" w:hAnsi="宋体" w:eastAsia="宋体" w:cs="宋体"/>
          <w:b w:val="0"/>
          <w:bCs w:val="0"/>
          <w:color w:val="auto"/>
          <w:sz w:val="30"/>
          <w:szCs w:val="30"/>
          <w:highlight w:val="none"/>
        </w:rPr>
        <w:t>（一）法定代表人身份证明或授权委托书</w:t>
      </w:r>
      <w:bookmarkEnd w:id="834"/>
      <w:bookmarkEnd w:id="835"/>
      <w:bookmarkEnd w:id="836"/>
      <w:bookmarkEnd w:id="837"/>
      <w:bookmarkEnd w:id="838"/>
      <w:bookmarkEnd w:id="839"/>
      <w:bookmarkEnd w:id="840"/>
      <w:bookmarkEnd w:id="841"/>
    </w:p>
    <w:p w14:paraId="0B0F7469">
      <w:pPr>
        <w:spacing w:line="480" w:lineRule="auto"/>
        <w:jc w:val="center"/>
        <w:rPr>
          <w:rFonts w:hint="eastAsia" w:ascii="宋体" w:hAnsi="宋体" w:eastAsia="宋体" w:cs="宋体"/>
          <w:color w:val="auto"/>
          <w:sz w:val="28"/>
          <w:highlight w:val="none"/>
        </w:rPr>
      </w:pPr>
    </w:p>
    <w:p w14:paraId="3DC60485">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7EED6E7A">
      <w:pPr>
        <w:spacing w:line="480" w:lineRule="auto"/>
        <w:jc w:val="center"/>
        <w:rPr>
          <w:rFonts w:hint="eastAsia" w:ascii="宋体" w:hAnsi="宋体" w:eastAsia="宋体" w:cs="宋体"/>
          <w:color w:val="auto"/>
          <w:highlight w:val="none"/>
        </w:rPr>
      </w:pPr>
    </w:p>
    <w:p w14:paraId="7A85E00B">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348F5CFB">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48008871">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50B09629">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3F682ABB">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363863BC">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35B97EF4">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38A773FC">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附：法定代表人身份证扫描件（双面）</w:t>
      </w:r>
    </w:p>
    <w:p w14:paraId="5D597DC9">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7B60F6FE">
      <w:pPr>
        <w:pStyle w:val="2"/>
        <w:spacing w:after="0" w:line="360" w:lineRule="auto"/>
        <w:rPr>
          <w:rFonts w:hint="eastAsia" w:ascii="宋体" w:hAnsi="宋体" w:eastAsia="宋体" w:cs="宋体"/>
          <w:color w:val="auto"/>
          <w:szCs w:val="21"/>
          <w:highlight w:val="none"/>
        </w:rPr>
      </w:pPr>
    </w:p>
    <w:p w14:paraId="057B13FD">
      <w:pPr>
        <w:pStyle w:val="2"/>
        <w:spacing w:after="0" w:line="360" w:lineRule="auto"/>
        <w:rPr>
          <w:rFonts w:hint="eastAsia" w:ascii="宋体" w:hAnsi="宋体" w:eastAsia="宋体" w:cs="宋体"/>
          <w:color w:val="auto"/>
          <w:szCs w:val="21"/>
          <w:highlight w:val="none"/>
        </w:rPr>
      </w:pPr>
    </w:p>
    <w:p w14:paraId="4C2942B7">
      <w:pPr>
        <w:pStyle w:val="2"/>
        <w:spacing w:after="0" w:line="360" w:lineRule="auto"/>
        <w:rPr>
          <w:rFonts w:hint="eastAsia" w:ascii="宋体" w:hAnsi="宋体" w:eastAsia="宋体" w:cs="宋体"/>
          <w:color w:val="auto"/>
          <w:szCs w:val="21"/>
          <w:highlight w:val="none"/>
        </w:rPr>
      </w:pPr>
    </w:p>
    <w:p w14:paraId="04C02839">
      <w:pPr>
        <w:pStyle w:val="2"/>
        <w:spacing w:after="0" w:line="360" w:lineRule="auto"/>
        <w:rPr>
          <w:rFonts w:hint="eastAsia" w:ascii="宋体" w:hAnsi="宋体" w:eastAsia="宋体" w:cs="宋体"/>
          <w:color w:val="auto"/>
          <w:szCs w:val="21"/>
          <w:highlight w:val="none"/>
        </w:rPr>
      </w:pPr>
    </w:p>
    <w:p w14:paraId="1BA7B459">
      <w:pPr>
        <w:autoSpaceDE w:val="0"/>
        <w:autoSpaceDN w:val="0"/>
        <w:adjustRightInd w:val="0"/>
        <w:snapToGrid w:val="0"/>
        <w:spacing w:line="480" w:lineRule="auto"/>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408AF299">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77FE1497">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08158440">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6BDDD373">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3CA21462">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r>
        <w:rPr>
          <w:rFonts w:hint="eastAsia" w:ascii="宋体" w:hAnsi="宋体" w:eastAsia="宋体" w:cs="宋体"/>
          <w:color w:val="auto"/>
          <w:kern w:val="0"/>
          <w:szCs w:val="21"/>
          <w:highlight w:val="none"/>
        </w:rPr>
        <w:t>。</w:t>
      </w:r>
    </w:p>
    <w:p w14:paraId="7A4960F0">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p>
    <w:p w14:paraId="6AC82262">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b/>
          <w:color w:val="auto"/>
          <w:kern w:val="0"/>
          <w:sz w:val="28"/>
          <w:szCs w:val="28"/>
          <w:highlight w:val="none"/>
        </w:rPr>
        <w:br w:type="page"/>
      </w:r>
      <w:r>
        <w:rPr>
          <w:rFonts w:hint="eastAsia" w:ascii="宋体" w:hAnsi="宋体" w:eastAsia="宋体" w:cs="宋体"/>
          <w:snapToGrid w:val="0"/>
          <w:color w:val="auto"/>
          <w:kern w:val="0"/>
          <w:sz w:val="32"/>
          <w:szCs w:val="32"/>
          <w:highlight w:val="none"/>
        </w:rPr>
        <w:t>授权委托书</w:t>
      </w:r>
    </w:p>
    <w:p w14:paraId="5EB4EAA2">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0240D75E">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w:t>
      </w:r>
      <w:r>
        <w:rPr>
          <w:rFonts w:hint="eastAsia" w:ascii="宋体" w:hAnsi="宋体" w:cs="宋体"/>
          <w:color w:val="auto"/>
          <w:kern w:val="0"/>
          <w:szCs w:val="21"/>
          <w:highlight w:val="none"/>
          <w:lang w:eastAsia="zh-CN"/>
        </w:rPr>
        <w:t>代表</w:t>
      </w:r>
      <w:r>
        <w:rPr>
          <w:rFonts w:hint="eastAsia" w:ascii="宋体" w:hAnsi="宋体" w:eastAsia="宋体" w:cs="宋体"/>
          <w:color w:val="auto"/>
          <w:kern w:val="0"/>
          <w:szCs w:val="21"/>
          <w:highlight w:val="none"/>
        </w:rPr>
        <w:t>我方签署、澄清、说明、补正、递交、撤回、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07CEA723">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9E50D3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68A34629">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4EC9B438">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3C803682">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60752EDD">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7BA8C2BE">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r>
        <w:rPr>
          <w:rFonts w:hint="eastAsia" w:ascii="宋体" w:hAnsi="宋体" w:eastAsia="宋体" w:cs="宋体"/>
          <w:color w:val="auto"/>
          <w:spacing w:val="-1"/>
          <w:kern w:val="0"/>
          <w:szCs w:val="21"/>
          <w:highlight w:val="none"/>
        </w:rPr>
        <w:t>）</w:t>
      </w:r>
    </w:p>
    <w:p w14:paraId="4E3FADEA">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4B245D49">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19AD223C">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79FD506C">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附：法定代表人和委托代理人身份证扫描件（双面）</w:t>
      </w:r>
    </w:p>
    <w:p w14:paraId="2AE661F0">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26C0D18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28A7C62">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7A6C92E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4AFC619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5A8998D4">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0B40CA4D">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77DD2A60">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6B67F40B">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72F6B83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49529708">
      <w:pPr>
        <w:autoSpaceDE w:val="0"/>
        <w:autoSpaceDN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FC8B291">
      <w:pPr>
        <w:rPr>
          <w:rFonts w:hint="eastAsia" w:ascii="宋体" w:hAnsi="宋体" w:eastAsia="宋体" w:cs="宋体"/>
          <w:color w:val="auto"/>
          <w:highlight w:val="none"/>
        </w:rPr>
      </w:pPr>
      <w:bookmarkStart w:id="842" w:name="_Toc287620831"/>
      <w:bookmarkStart w:id="843" w:name="_Toc430530547"/>
      <w:bookmarkStart w:id="844" w:name="_Toc277082658"/>
      <w:bookmarkStart w:id="845" w:name="_Toc224103512"/>
      <w:bookmarkStart w:id="846" w:name="_Toc287607884"/>
    </w:p>
    <w:bookmarkEnd w:id="842"/>
    <w:bookmarkEnd w:id="843"/>
    <w:bookmarkEnd w:id="844"/>
    <w:bookmarkEnd w:id="845"/>
    <w:bookmarkEnd w:id="846"/>
    <w:p w14:paraId="10C1CB6A">
      <w:pPr>
        <w:pStyle w:val="5"/>
        <w:spacing w:before="0" w:after="0" w:line="240" w:lineRule="auto"/>
        <w:jc w:val="center"/>
        <w:rPr>
          <w:rFonts w:hint="eastAsia" w:ascii="宋体" w:hAnsi="宋体" w:eastAsia="宋体" w:cs="宋体"/>
          <w:b w:val="0"/>
          <w:bCs w:val="0"/>
          <w:color w:val="auto"/>
          <w:highlight w:val="none"/>
        </w:rPr>
      </w:pPr>
      <w:bookmarkStart w:id="847" w:name="_Toc15784"/>
      <w:bookmarkStart w:id="848" w:name="_Toc30603"/>
      <w:bookmarkStart w:id="849" w:name="_Toc7713"/>
      <w:bookmarkStart w:id="850" w:name="_Toc287607887"/>
      <w:bookmarkStart w:id="851" w:name="_Toc277082659"/>
      <w:r>
        <w:rPr>
          <w:rFonts w:hint="eastAsia" w:ascii="宋体" w:hAnsi="宋体" w:eastAsia="宋体" w:cs="宋体"/>
          <w:b w:val="0"/>
          <w:bCs w:val="0"/>
          <w:color w:val="auto"/>
          <w:highlight w:val="none"/>
        </w:rPr>
        <w:t>（</w:t>
      </w:r>
      <w:r>
        <w:rPr>
          <w:rFonts w:hint="eastAsia" w:ascii="宋体" w:hAnsi="宋体" w:cs="宋体"/>
          <w:b w:val="0"/>
          <w:bCs w:val="0"/>
          <w:color w:val="auto"/>
          <w:highlight w:val="none"/>
          <w:lang w:val="en-US" w:eastAsia="zh-CN"/>
        </w:rPr>
        <w:t>二</w:t>
      </w:r>
      <w:r>
        <w:rPr>
          <w:rFonts w:hint="eastAsia" w:ascii="宋体" w:hAnsi="宋体" w:eastAsia="宋体" w:cs="宋体"/>
          <w:b w:val="0"/>
          <w:bCs w:val="0"/>
          <w:color w:val="auto"/>
          <w:highlight w:val="none"/>
        </w:rPr>
        <w:t>）投标人基本情况表</w:t>
      </w:r>
      <w:bookmarkEnd w:id="847"/>
      <w:bookmarkEnd w:id="848"/>
      <w:bookmarkEnd w:id="849"/>
    </w:p>
    <w:p w14:paraId="1BA1519B">
      <w:pPr>
        <w:rPr>
          <w:rFonts w:hint="eastAsia" w:ascii="宋体" w:hAnsi="宋体" w:eastAsia="宋体" w:cs="宋体"/>
          <w:color w:val="auto"/>
          <w:highlight w:val="none"/>
        </w:rPr>
      </w:pPr>
    </w:p>
    <w:p w14:paraId="4A0EE070">
      <w:pPr>
        <w:pStyle w:val="2"/>
        <w:rPr>
          <w:rFonts w:hint="eastAsia" w:ascii="宋体" w:hAnsi="宋体" w:eastAsia="宋体" w:cs="宋体"/>
          <w:color w:val="auto"/>
          <w:highlight w:val="none"/>
        </w:rPr>
      </w:pPr>
    </w:p>
    <w:tbl>
      <w:tblPr>
        <w:tblStyle w:val="332"/>
        <w:tblW w:w="931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43"/>
        <w:gridCol w:w="1001"/>
        <w:gridCol w:w="2560"/>
        <w:gridCol w:w="1205"/>
        <w:gridCol w:w="2410"/>
      </w:tblGrid>
      <w:tr w14:paraId="7EB0F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3FEDCBB0">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投标人名称</w:t>
            </w:r>
          </w:p>
        </w:tc>
        <w:tc>
          <w:tcPr>
            <w:tcW w:w="7176" w:type="dxa"/>
            <w:gridSpan w:val="4"/>
            <w:vAlign w:val="top"/>
          </w:tcPr>
          <w:p w14:paraId="6FD0992C">
            <w:pPr>
              <w:pStyle w:val="320"/>
              <w:autoSpaceDE w:val="0"/>
              <w:autoSpaceDN w:val="0"/>
              <w:rPr>
                <w:rFonts w:hint="eastAsia" w:ascii="宋体" w:hAnsi="宋体" w:eastAsia="宋体" w:cs="宋体"/>
                <w:color w:val="auto"/>
                <w:kern w:val="0"/>
                <w:sz w:val="20"/>
                <w:szCs w:val="22"/>
                <w:highlight w:val="none"/>
                <w:lang w:eastAsia="en-US"/>
              </w:rPr>
            </w:pPr>
          </w:p>
        </w:tc>
      </w:tr>
      <w:tr w14:paraId="1C8AF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72B1EE42">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注册资金</w:t>
            </w:r>
          </w:p>
        </w:tc>
        <w:tc>
          <w:tcPr>
            <w:tcW w:w="3561" w:type="dxa"/>
            <w:gridSpan w:val="2"/>
            <w:vAlign w:val="top"/>
          </w:tcPr>
          <w:p w14:paraId="73ECEEA1">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265FA870">
            <w:pPr>
              <w:pStyle w:val="320"/>
              <w:autoSpaceDE w:val="0"/>
              <w:autoSpaceDN w:val="0"/>
              <w:spacing w:before="107"/>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成立时间</w:t>
            </w:r>
          </w:p>
        </w:tc>
        <w:tc>
          <w:tcPr>
            <w:tcW w:w="2410" w:type="dxa"/>
            <w:vAlign w:val="top"/>
          </w:tcPr>
          <w:p w14:paraId="5B67E9DC">
            <w:pPr>
              <w:pStyle w:val="320"/>
              <w:autoSpaceDE w:val="0"/>
              <w:autoSpaceDN w:val="0"/>
              <w:rPr>
                <w:rFonts w:hint="eastAsia" w:ascii="宋体" w:hAnsi="宋体" w:eastAsia="宋体" w:cs="宋体"/>
                <w:color w:val="auto"/>
                <w:kern w:val="0"/>
                <w:sz w:val="20"/>
                <w:szCs w:val="22"/>
                <w:highlight w:val="none"/>
                <w:lang w:eastAsia="en-US"/>
              </w:rPr>
            </w:pPr>
          </w:p>
        </w:tc>
      </w:tr>
      <w:tr w14:paraId="1E58E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04FFAB5F">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注册地址</w:t>
            </w:r>
          </w:p>
        </w:tc>
        <w:tc>
          <w:tcPr>
            <w:tcW w:w="7176" w:type="dxa"/>
            <w:gridSpan w:val="4"/>
            <w:vAlign w:val="top"/>
          </w:tcPr>
          <w:p w14:paraId="1DD13EC1">
            <w:pPr>
              <w:pStyle w:val="320"/>
              <w:autoSpaceDE w:val="0"/>
              <w:autoSpaceDN w:val="0"/>
              <w:rPr>
                <w:rFonts w:hint="eastAsia" w:ascii="宋体" w:hAnsi="宋体" w:eastAsia="宋体" w:cs="宋体"/>
                <w:color w:val="auto"/>
                <w:kern w:val="0"/>
                <w:sz w:val="20"/>
                <w:szCs w:val="22"/>
                <w:highlight w:val="none"/>
                <w:lang w:eastAsia="en-US"/>
              </w:rPr>
            </w:pPr>
          </w:p>
        </w:tc>
      </w:tr>
      <w:tr w14:paraId="48A06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tcBorders>
              <w:top w:val="nil"/>
            </w:tcBorders>
            <w:vAlign w:val="top"/>
          </w:tcPr>
          <w:p w14:paraId="5A6FA6A5">
            <w:pPr>
              <w:pStyle w:val="320"/>
              <w:autoSpaceDE w:val="0"/>
              <w:autoSpaceDN w:val="0"/>
              <w:spacing w:before="108"/>
              <w:ind w:left="123" w:leftChars="0" w:right="111" w:rightChars="0"/>
              <w:jc w:val="center"/>
              <w:rPr>
                <w:rFonts w:hint="eastAsia" w:ascii="宋体" w:hAnsi="宋体" w:eastAsia="宋体" w:cs="宋体"/>
                <w:color w:val="auto"/>
                <w:kern w:val="0"/>
                <w:sz w:val="2"/>
                <w:szCs w:val="2"/>
                <w:highlight w:val="none"/>
                <w:lang w:eastAsia="en-US"/>
              </w:rPr>
            </w:pPr>
            <w:r>
              <w:rPr>
                <w:rFonts w:hint="eastAsia" w:ascii="宋体" w:hAnsi="宋体" w:eastAsia="宋体" w:cs="宋体"/>
                <w:color w:val="auto"/>
                <w:sz w:val="21"/>
                <w:highlight w:val="none"/>
              </w:rPr>
              <w:t>邮政编码</w:t>
            </w:r>
          </w:p>
        </w:tc>
        <w:tc>
          <w:tcPr>
            <w:tcW w:w="3561" w:type="dxa"/>
            <w:gridSpan w:val="2"/>
            <w:vAlign w:val="top"/>
          </w:tcPr>
          <w:p w14:paraId="64C2D30B">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730C6301">
            <w:pPr>
              <w:pStyle w:val="320"/>
              <w:autoSpaceDE w:val="0"/>
              <w:autoSpaceDN w:val="0"/>
              <w:spacing w:before="108"/>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员工总数</w:t>
            </w:r>
          </w:p>
        </w:tc>
        <w:tc>
          <w:tcPr>
            <w:tcW w:w="2410" w:type="dxa"/>
            <w:vAlign w:val="top"/>
          </w:tcPr>
          <w:p w14:paraId="410DF48C">
            <w:pPr>
              <w:pStyle w:val="320"/>
              <w:autoSpaceDE w:val="0"/>
              <w:autoSpaceDN w:val="0"/>
              <w:rPr>
                <w:rFonts w:hint="eastAsia" w:ascii="宋体" w:hAnsi="宋体" w:eastAsia="宋体" w:cs="宋体"/>
                <w:color w:val="auto"/>
                <w:kern w:val="0"/>
                <w:sz w:val="20"/>
                <w:szCs w:val="22"/>
                <w:highlight w:val="none"/>
                <w:lang w:eastAsia="en-US"/>
              </w:rPr>
            </w:pPr>
          </w:p>
        </w:tc>
      </w:tr>
      <w:tr w14:paraId="17863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Merge w:val="restart"/>
            <w:vAlign w:val="top"/>
          </w:tcPr>
          <w:p w14:paraId="62C2BF27">
            <w:pPr>
              <w:pStyle w:val="320"/>
              <w:autoSpaceDE w:val="0"/>
              <w:autoSpaceDN w:val="0"/>
              <w:spacing w:before="5"/>
              <w:rPr>
                <w:rFonts w:hint="eastAsia" w:ascii="宋体" w:hAnsi="宋体" w:eastAsia="宋体" w:cs="宋体"/>
                <w:color w:val="auto"/>
                <w:sz w:val="25"/>
                <w:highlight w:val="none"/>
              </w:rPr>
            </w:pPr>
          </w:p>
          <w:p w14:paraId="310D7508">
            <w:pPr>
              <w:pStyle w:val="320"/>
              <w:autoSpaceDE w:val="0"/>
              <w:autoSpaceDN w:val="0"/>
              <w:ind w:left="666"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联系方式</w:t>
            </w:r>
          </w:p>
        </w:tc>
        <w:tc>
          <w:tcPr>
            <w:tcW w:w="1001" w:type="dxa"/>
            <w:vAlign w:val="top"/>
          </w:tcPr>
          <w:p w14:paraId="24F1E6A5">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联系人</w:t>
            </w:r>
          </w:p>
        </w:tc>
        <w:tc>
          <w:tcPr>
            <w:tcW w:w="2560" w:type="dxa"/>
            <w:vAlign w:val="top"/>
          </w:tcPr>
          <w:p w14:paraId="3AFCC20B">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03164819">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电话</w:t>
            </w:r>
          </w:p>
        </w:tc>
        <w:tc>
          <w:tcPr>
            <w:tcW w:w="2410" w:type="dxa"/>
            <w:vAlign w:val="top"/>
          </w:tcPr>
          <w:p w14:paraId="46281A41">
            <w:pPr>
              <w:pStyle w:val="320"/>
              <w:autoSpaceDE w:val="0"/>
              <w:autoSpaceDN w:val="0"/>
              <w:rPr>
                <w:rFonts w:hint="eastAsia" w:ascii="宋体" w:hAnsi="宋体" w:eastAsia="宋体" w:cs="宋体"/>
                <w:color w:val="auto"/>
                <w:kern w:val="0"/>
                <w:sz w:val="20"/>
                <w:szCs w:val="22"/>
                <w:highlight w:val="none"/>
                <w:lang w:eastAsia="en-US"/>
              </w:rPr>
            </w:pPr>
          </w:p>
        </w:tc>
      </w:tr>
      <w:tr w14:paraId="142AD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Merge w:val="continue"/>
            <w:vAlign w:val="top"/>
          </w:tcPr>
          <w:p w14:paraId="4C0E00DB">
            <w:pPr>
              <w:autoSpaceDE w:val="0"/>
              <w:autoSpaceDN w:val="0"/>
              <w:rPr>
                <w:rFonts w:hint="eastAsia" w:ascii="宋体" w:hAnsi="宋体" w:eastAsia="宋体" w:cs="宋体"/>
                <w:color w:val="auto"/>
                <w:kern w:val="0"/>
                <w:szCs w:val="22"/>
                <w:highlight w:val="none"/>
                <w:lang w:eastAsia="en-US"/>
              </w:rPr>
            </w:pPr>
          </w:p>
        </w:tc>
        <w:tc>
          <w:tcPr>
            <w:tcW w:w="1001" w:type="dxa"/>
            <w:vAlign w:val="top"/>
          </w:tcPr>
          <w:p w14:paraId="7A0C9603">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网址</w:t>
            </w:r>
          </w:p>
        </w:tc>
        <w:tc>
          <w:tcPr>
            <w:tcW w:w="2560" w:type="dxa"/>
            <w:vAlign w:val="top"/>
          </w:tcPr>
          <w:p w14:paraId="710B8465">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557D646D">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传真</w:t>
            </w:r>
          </w:p>
        </w:tc>
        <w:tc>
          <w:tcPr>
            <w:tcW w:w="2410" w:type="dxa"/>
            <w:vAlign w:val="top"/>
          </w:tcPr>
          <w:p w14:paraId="4F2976B7">
            <w:pPr>
              <w:pStyle w:val="320"/>
              <w:autoSpaceDE w:val="0"/>
              <w:autoSpaceDN w:val="0"/>
              <w:rPr>
                <w:rFonts w:hint="eastAsia" w:ascii="宋体" w:hAnsi="宋体" w:eastAsia="宋体" w:cs="宋体"/>
                <w:color w:val="auto"/>
                <w:kern w:val="0"/>
                <w:sz w:val="20"/>
                <w:szCs w:val="22"/>
                <w:highlight w:val="none"/>
                <w:lang w:eastAsia="en-US"/>
              </w:rPr>
            </w:pPr>
          </w:p>
        </w:tc>
      </w:tr>
      <w:tr w14:paraId="34551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021EF876">
            <w:pPr>
              <w:pStyle w:val="320"/>
              <w:autoSpaceDE w:val="0"/>
              <w:autoSpaceDN w:val="0"/>
              <w:spacing w:before="107"/>
              <w:ind w:left="123" w:right="111"/>
              <w:jc w:val="center"/>
              <w:rPr>
                <w:rFonts w:hint="eastAsia" w:ascii="宋体" w:hAnsi="宋体" w:eastAsia="宋体" w:cs="宋体"/>
                <w:color w:val="auto"/>
                <w:sz w:val="21"/>
                <w:highlight w:val="none"/>
              </w:rPr>
            </w:pPr>
            <w:r>
              <w:rPr>
                <w:rFonts w:hint="eastAsia" w:ascii="宋体" w:hAnsi="宋体" w:eastAsia="宋体" w:cs="宋体"/>
                <w:color w:val="auto"/>
                <w:sz w:val="21"/>
                <w:highlight w:val="none"/>
              </w:rPr>
              <w:t>法定代表人</w:t>
            </w:r>
          </w:p>
          <w:p w14:paraId="79A11C5F">
            <w:pPr>
              <w:pStyle w:val="320"/>
              <w:autoSpaceDE w:val="0"/>
              <w:autoSpaceDN w:val="0"/>
              <w:spacing w:before="166"/>
              <w:ind w:left="18"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（单位负责人）</w:t>
            </w:r>
          </w:p>
        </w:tc>
        <w:tc>
          <w:tcPr>
            <w:tcW w:w="1001" w:type="dxa"/>
            <w:vAlign w:val="top"/>
          </w:tcPr>
          <w:p w14:paraId="11EB1905">
            <w:pPr>
              <w:pStyle w:val="320"/>
              <w:autoSpaceDE w:val="0"/>
              <w:autoSpaceDN w:val="0"/>
              <w:rPr>
                <w:rFonts w:hint="eastAsia" w:ascii="宋体" w:hAnsi="宋体" w:eastAsia="宋体" w:cs="宋体"/>
                <w:color w:val="auto"/>
                <w:sz w:val="25"/>
                <w:highlight w:val="none"/>
              </w:rPr>
            </w:pPr>
          </w:p>
          <w:p w14:paraId="7648D4F4">
            <w:pPr>
              <w:pStyle w:val="320"/>
              <w:autoSpaceDE w:val="0"/>
              <w:autoSpaceDN w:val="0"/>
              <w:spacing w:before="1"/>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姓名</w:t>
            </w:r>
          </w:p>
        </w:tc>
        <w:tc>
          <w:tcPr>
            <w:tcW w:w="2560" w:type="dxa"/>
            <w:vAlign w:val="top"/>
          </w:tcPr>
          <w:p w14:paraId="0FA724BC">
            <w:pPr>
              <w:pStyle w:val="320"/>
              <w:autoSpaceDE w:val="0"/>
              <w:autoSpaceDN w:val="0"/>
              <w:rPr>
                <w:rFonts w:hint="eastAsia" w:ascii="宋体" w:hAnsi="宋体" w:eastAsia="宋体" w:cs="宋体"/>
                <w:color w:val="auto"/>
                <w:highlight w:val="none"/>
              </w:rPr>
            </w:pPr>
          </w:p>
        </w:tc>
        <w:tc>
          <w:tcPr>
            <w:tcW w:w="1205" w:type="dxa"/>
            <w:vAlign w:val="top"/>
          </w:tcPr>
          <w:p w14:paraId="14017C31">
            <w:pPr>
              <w:pStyle w:val="320"/>
              <w:autoSpaceDE w:val="0"/>
              <w:autoSpaceDN w:val="0"/>
              <w:rPr>
                <w:rFonts w:hint="eastAsia" w:ascii="宋体" w:hAnsi="宋体" w:eastAsia="宋体" w:cs="宋体"/>
                <w:color w:val="auto"/>
                <w:sz w:val="25"/>
                <w:highlight w:val="none"/>
              </w:rPr>
            </w:pPr>
          </w:p>
          <w:p w14:paraId="6443C9A1">
            <w:pPr>
              <w:pStyle w:val="320"/>
              <w:autoSpaceDE w:val="0"/>
              <w:autoSpaceDN w:val="0"/>
              <w:spacing w:before="1"/>
              <w:ind w:left="129" w:leftChars="0" w:right="112" w:rightChars="0"/>
              <w:jc w:val="center"/>
              <w:rPr>
                <w:rFonts w:hint="eastAsia" w:ascii="宋体" w:hAnsi="宋体" w:eastAsia="宋体" w:cs="宋体"/>
                <w:color w:val="auto"/>
                <w:highlight w:val="none"/>
              </w:rPr>
            </w:pPr>
            <w:r>
              <w:rPr>
                <w:rFonts w:hint="eastAsia" w:ascii="宋体" w:hAnsi="宋体" w:eastAsia="宋体" w:cs="宋体"/>
                <w:color w:val="auto"/>
                <w:sz w:val="21"/>
                <w:highlight w:val="none"/>
              </w:rPr>
              <w:t>电话</w:t>
            </w:r>
          </w:p>
        </w:tc>
        <w:tc>
          <w:tcPr>
            <w:tcW w:w="2410" w:type="dxa"/>
            <w:vAlign w:val="top"/>
          </w:tcPr>
          <w:p w14:paraId="42873B00">
            <w:pPr>
              <w:pStyle w:val="320"/>
              <w:autoSpaceDE w:val="0"/>
              <w:autoSpaceDN w:val="0"/>
              <w:rPr>
                <w:rFonts w:hint="eastAsia" w:ascii="宋体" w:hAnsi="宋体" w:eastAsia="宋体" w:cs="宋体"/>
                <w:color w:val="auto"/>
                <w:highlight w:val="none"/>
              </w:rPr>
            </w:pPr>
          </w:p>
        </w:tc>
      </w:tr>
      <w:tr w14:paraId="54F11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2143" w:type="dxa"/>
            <w:vAlign w:val="top"/>
          </w:tcPr>
          <w:p w14:paraId="67864891">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投标人须知要求投标</w:t>
            </w:r>
          </w:p>
          <w:p w14:paraId="1676D72E">
            <w:pPr>
              <w:pStyle w:val="320"/>
              <w:autoSpaceDE w:val="0"/>
              <w:autoSpaceDN w:val="0"/>
              <w:spacing w:before="1" w:line="440" w:lineRule="atLeast"/>
              <w:ind w:left="875" w:leftChars="0" w:right="126" w:rightChars="0" w:hanging="735" w:firstLine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人需具有的各类资质证书</w:t>
            </w:r>
          </w:p>
        </w:tc>
        <w:tc>
          <w:tcPr>
            <w:tcW w:w="7176" w:type="dxa"/>
            <w:gridSpan w:val="4"/>
            <w:vAlign w:val="top"/>
          </w:tcPr>
          <w:p w14:paraId="217B9E24">
            <w:pPr>
              <w:pStyle w:val="320"/>
              <w:autoSpaceDE w:val="0"/>
              <w:autoSpaceDN w:val="0"/>
              <w:rPr>
                <w:rFonts w:hint="eastAsia" w:ascii="宋体" w:hAnsi="宋体" w:eastAsia="宋体" w:cs="宋体"/>
                <w:color w:val="auto"/>
                <w:sz w:val="20"/>
                <w:highlight w:val="none"/>
              </w:rPr>
            </w:pPr>
          </w:p>
          <w:p w14:paraId="6A98B783">
            <w:pPr>
              <w:pStyle w:val="320"/>
              <w:autoSpaceDE w:val="0"/>
              <w:autoSpaceDN w:val="0"/>
              <w:spacing w:before="12"/>
              <w:rPr>
                <w:rFonts w:hint="eastAsia" w:ascii="宋体" w:hAnsi="宋体" w:eastAsia="宋体" w:cs="宋体"/>
                <w:color w:val="auto"/>
                <w:sz w:val="21"/>
                <w:highlight w:val="none"/>
              </w:rPr>
            </w:pPr>
          </w:p>
          <w:p w14:paraId="6AA45D4E">
            <w:pPr>
              <w:pStyle w:val="320"/>
              <w:tabs>
                <w:tab w:val="left" w:pos="2314"/>
                <w:tab w:val="left" w:pos="4414"/>
              </w:tabs>
              <w:autoSpaceDE w:val="0"/>
              <w:autoSpaceDN w:val="0"/>
              <w:ind w:left="211"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类型：</w:t>
            </w:r>
            <w:r>
              <w:rPr>
                <w:rFonts w:hint="eastAsia" w:ascii="宋体" w:hAnsi="宋体" w:eastAsia="宋体" w:cs="宋体"/>
                <w:color w:val="auto"/>
                <w:sz w:val="21"/>
                <w:highlight w:val="none"/>
              </w:rPr>
              <w:tab/>
            </w:r>
            <w:r>
              <w:rPr>
                <w:rFonts w:hint="eastAsia" w:ascii="宋体" w:hAnsi="宋体" w:eastAsia="宋体" w:cs="宋体"/>
                <w:color w:val="auto"/>
                <w:spacing w:val="-3"/>
                <w:sz w:val="21"/>
                <w:highlight w:val="none"/>
              </w:rPr>
              <w:t>等</w:t>
            </w:r>
            <w:r>
              <w:rPr>
                <w:rFonts w:hint="eastAsia" w:ascii="宋体" w:hAnsi="宋体" w:eastAsia="宋体" w:cs="宋体"/>
                <w:color w:val="auto"/>
                <w:sz w:val="21"/>
                <w:highlight w:val="none"/>
              </w:rPr>
              <w:t>级：</w:t>
            </w:r>
            <w:r>
              <w:rPr>
                <w:rFonts w:hint="eastAsia" w:ascii="宋体" w:hAnsi="宋体" w:eastAsia="宋体" w:cs="宋体"/>
                <w:color w:val="auto"/>
                <w:sz w:val="21"/>
                <w:highlight w:val="none"/>
              </w:rPr>
              <w:tab/>
            </w:r>
            <w:r>
              <w:rPr>
                <w:rFonts w:hint="eastAsia" w:ascii="宋体" w:hAnsi="宋体" w:eastAsia="宋体" w:cs="宋体"/>
                <w:color w:val="auto"/>
                <w:sz w:val="21"/>
                <w:highlight w:val="none"/>
              </w:rPr>
              <w:t>证</w:t>
            </w:r>
            <w:r>
              <w:rPr>
                <w:rFonts w:hint="eastAsia" w:ascii="宋体" w:hAnsi="宋体" w:eastAsia="宋体" w:cs="宋体"/>
                <w:color w:val="auto"/>
                <w:spacing w:val="-3"/>
                <w:sz w:val="21"/>
                <w:highlight w:val="none"/>
              </w:rPr>
              <w:t>书</w:t>
            </w:r>
            <w:r>
              <w:rPr>
                <w:rFonts w:hint="eastAsia" w:ascii="宋体" w:hAnsi="宋体" w:eastAsia="宋体" w:cs="宋体"/>
                <w:color w:val="auto"/>
                <w:sz w:val="21"/>
                <w:highlight w:val="none"/>
              </w:rPr>
              <w:t>号：</w:t>
            </w:r>
          </w:p>
        </w:tc>
      </w:tr>
      <w:tr w14:paraId="413CF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vAlign w:val="top"/>
          </w:tcPr>
          <w:p w14:paraId="05BC4473">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基本账户开户银行</w:t>
            </w:r>
          </w:p>
        </w:tc>
        <w:tc>
          <w:tcPr>
            <w:tcW w:w="7176" w:type="dxa"/>
            <w:gridSpan w:val="4"/>
            <w:vAlign w:val="top"/>
          </w:tcPr>
          <w:p w14:paraId="51DD7713">
            <w:pPr>
              <w:pStyle w:val="320"/>
              <w:autoSpaceDE w:val="0"/>
              <w:autoSpaceDN w:val="0"/>
              <w:rPr>
                <w:rFonts w:hint="eastAsia" w:ascii="宋体" w:hAnsi="宋体" w:eastAsia="宋体" w:cs="宋体"/>
                <w:color w:val="auto"/>
                <w:kern w:val="0"/>
                <w:szCs w:val="22"/>
                <w:highlight w:val="none"/>
                <w:lang w:eastAsia="en-US"/>
              </w:rPr>
            </w:pPr>
          </w:p>
        </w:tc>
      </w:tr>
      <w:tr w14:paraId="02CDE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4AA09595">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基本账户银行账号</w:t>
            </w:r>
          </w:p>
        </w:tc>
        <w:tc>
          <w:tcPr>
            <w:tcW w:w="7176" w:type="dxa"/>
            <w:gridSpan w:val="4"/>
            <w:vAlign w:val="top"/>
          </w:tcPr>
          <w:p w14:paraId="1E289F24">
            <w:pPr>
              <w:pStyle w:val="320"/>
              <w:autoSpaceDE w:val="0"/>
              <w:autoSpaceDN w:val="0"/>
              <w:rPr>
                <w:rFonts w:hint="eastAsia" w:ascii="宋体" w:hAnsi="宋体" w:eastAsia="宋体" w:cs="宋体"/>
                <w:color w:val="auto"/>
                <w:kern w:val="0"/>
                <w:sz w:val="20"/>
                <w:szCs w:val="22"/>
                <w:highlight w:val="none"/>
                <w:lang w:eastAsia="en-US"/>
              </w:rPr>
            </w:pPr>
          </w:p>
        </w:tc>
      </w:tr>
      <w:tr w14:paraId="0EF76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3B1B79E4">
            <w:pPr>
              <w:pStyle w:val="320"/>
              <w:autoSpaceDE w:val="0"/>
              <w:autoSpaceDN w:val="0"/>
              <w:spacing w:before="107"/>
              <w:ind w:left="121"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近三年营业额</w:t>
            </w:r>
          </w:p>
        </w:tc>
        <w:tc>
          <w:tcPr>
            <w:tcW w:w="7176" w:type="dxa"/>
            <w:gridSpan w:val="4"/>
            <w:vAlign w:val="top"/>
          </w:tcPr>
          <w:p w14:paraId="111D38E3">
            <w:pPr>
              <w:pStyle w:val="320"/>
              <w:autoSpaceDE w:val="0"/>
              <w:autoSpaceDN w:val="0"/>
              <w:rPr>
                <w:rFonts w:hint="eastAsia" w:ascii="宋体" w:hAnsi="宋体" w:eastAsia="宋体" w:cs="宋体"/>
                <w:color w:val="auto"/>
                <w:kern w:val="0"/>
                <w:sz w:val="20"/>
                <w:szCs w:val="22"/>
                <w:highlight w:val="none"/>
                <w:lang w:eastAsia="en-US"/>
              </w:rPr>
            </w:pPr>
          </w:p>
        </w:tc>
      </w:tr>
      <w:tr w14:paraId="1414A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50CF150B">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投标人关联企业情况</w:t>
            </w:r>
          </w:p>
          <w:p w14:paraId="7422AA8A">
            <w:pPr>
              <w:pStyle w:val="320"/>
              <w:autoSpaceDE w:val="0"/>
              <w:autoSpaceDN w:val="0"/>
              <w:spacing w:before="164" w:line="384" w:lineRule="auto"/>
              <w:ind w:left="141" w:right="126" w:hanging="5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（包括但不限于与投标人法定代表人（单位负责人）为同一人或者存在控股、管理</w:t>
            </w:r>
          </w:p>
          <w:p w14:paraId="35DD6F87">
            <w:pPr>
              <w:pStyle w:val="320"/>
              <w:autoSpaceDE w:val="0"/>
              <w:autoSpaceDN w:val="0"/>
              <w:spacing w:before="40"/>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关系的不同单位）</w:t>
            </w:r>
          </w:p>
        </w:tc>
        <w:tc>
          <w:tcPr>
            <w:tcW w:w="7176" w:type="dxa"/>
            <w:gridSpan w:val="4"/>
            <w:vAlign w:val="top"/>
          </w:tcPr>
          <w:p w14:paraId="5C4FFCE6">
            <w:pPr>
              <w:pStyle w:val="320"/>
              <w:autoSpaceDE w:val="0"/>
              <w:autoSpaceDN w:val="0"/>
              <w:rPr>
                <w:rFonts w:hint="eastAsia" w:ascii="宋体" w:hAnsi="宋体" w:eastAsia="宋体" w:cs="宋体"/>
                <w:color w:val="auto"/>
                <w:kern w:val="0"/>
                <w:sz w:val="20"/>
                <w:szCs w:val="22"/>
                <w:highlight w:val="none"/>
                <w:lang w:eastAsia="en-US"/>
              </w:rPr>
            </w:pPr>
          </w:p>
        </w:tc>
      </w:tr>
      <w:tr w14:paraId="252B0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31689CC3">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w:t>
            </w:r>
            <w:r>
              <w:rPr>
                <w:rFonts w:hint="eastAsia" w:ascii="宋体" w:hAnsi="宋体" w:eastAsia="宋体" w:cs="宋体"/>
                <w:color w:val="auto"/>
                <w:sz w:val="21"/>
                <w:highlight w:val="none"/>
                <w:lang w:val="en-US" w:eastAsia="zh-CN"/>
              </w:rPr>
              <w:t>货物</w:t>
            </w:r>
            <w:r>
              <w:rPr>
                <w:rFonts w:hint="eastAsia" w:ascii="宋体" w:hAnsi="宋体" w:eastAsia="宋体" w:cs="宋体"/>
                <w:color w:val="auto"/>
                <w:sz w:val="21"/>
                <w:highlight w:val="none"/>
              </w:rPr>
              <w:t>制造商名称</w:t>
            </w:r>
          </w:p>
        </w:tc>
        <w:tc>
          <w:tcPr>
            <w:tcW w:w="7176" w:type="dxa"/>
            <w:gridSpan w:val="4"/>
            <w:vAlign w:val="top"/>
          </w:tcPr>
          <w:p w14:paraId="6A4BE957">
            <w:pPr>
              <w:pStyle w:val="320"/>
              <w:autoSpaceDE w:val="0"/>
              <w:autoSpaceDN w:val="0"/>
              <w:rPr>
                <w:rFonts w:hint="eastAsia" w:ascii="宋体" w:hAnsi="宋体" w:eastAsia="宋体" w:cs="宋体"/>
                <w:color w:val="auto"/>
                <w:kern w:val="0"/>
                <w:sz w:val="20"/>
                <w:szCs w:val="22"/>
                <w:highlight w:val="none"/>
                <w:lang w:eastAsia="en-US"/>
              </w:rPr>
            </w:pPr>
          </w:p>
        </w:tc>
      </w:tr>
      <w:tr w14:paraId="3C2F3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1FE07CC6">
            <w:pPr>
              <w:pStyle w:val="320"/>
              <w:autoSpaceDE w:val="0"/>
              <w:autoSpaceDN w:val="0"/>
              <w:spacing w:before="109" w:line="384" w:lineRule="auto"/>
              <w:ind w:left="141" w:right="126" w:firstLine="208"/>
              <w:rPr>
                <w:rFonts w:hint="eastAsia" w:ascii="宋体" w:hAnsi="宋体" w:eastAsia="宋体" w:cs="宋体"/>
                <w:color w:val="auto"/>
                <w:sz w:val="21"/>
                <w:highlight w:val="none"/>
              </w:rPr>
            </w:pPr>
            <w:r>
              <w:rPr>
                <w:rFonts w:hint="eastAsia" w:ascii="宋体" w:hAnsi="宋体" w:eastAsia="宋体" w:cs="宋体"/>
                <w:color w:val="auto"/>
                <w:spacing w:val="-2"/>
                <w:sz w:val="21"/>
                <w:highlight w:val="none"/>
              </w:rPr>
              <w:t xml:space="preserve">投标人须知要求 </w:t>
            </w:r>
            <w:r>
              <w:rPr>
                <w:rFonts w:hint="eastAsia" w:ascii="宋体" w:hAnsi="宋体" w:eastAsia="宋体" w:cs="宋体"/>
                <w:color w:val="auto"/>
                <w:spacing w:val="-3"/>
                <w:sz w:val="21"/>
                <w:highlight w:val="none"/>
              </w:rPr>
              <w:t>投标</w:t>
            </w:r>
            <w:r>
              <w:rPr>
                <w:rFonts w:hint="eastAsia" w:ascii="宋体" w:hAnsi="宋体" w:eastAsia="宋体" w:cs="宋体"/>
                <w:color w:val="auto"/>
                <w:spacing w:val="-3"/>
                <w:sz w:val="21"/>
                <w:highlight w:val="none"/>
                <w:lang w:val="en-US" w:eastAsia="zh-CN"/>
              </w:rPr>
              <w:t>货物</w:t>
            </w:r>
            <w:r>
              <w:rPr>
                <w:rFonts w:hint="eastAsia" w:ascii="宋体" w:hAnsi="宋体" w:eastAsia="宋体" w:cs="宋体"/>
                <w:color w:val="auto"/>
                <w:spacing w:val="-3"/>
                <w:sz w:val="21"/>
                <w:highlight w:val="none"/>
              </w:rPr>
              <w:t>制造商需具</w:t>
            </w:r>
          </w:p>
          <w:p w14:paraId="462901C0">
            <w:pPr>
              <w:pStyle w:val="320"/>
              <w:autoSpaceDE w:val="0"/>
              <w:autoSpaceDN w:val="0"/>
              <w:spacing w:before="38"/>
              <w:ind w:left="455"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有的资质证书</w:t>
            </w:r>
          </w:p>
        </w:tc>
        <w:tc>
          <w:tcPr>
            <w:tcW w:w="7176" w:type="dxa"/>
            <w:gridSpan w:val="4"/>
            <w:vAlign w:val="top"/>
          </w:tcPr>
          <w:p w14:paraId="5AEB2C92">
            <w:pPr>
              <w:pStyle w:val="320"/>
              <w:autoSpaceDE w:val="0"/>
              <w:autoSpaceDN w:val="0"/>
              <w:rPr>
                <w:rFonts w:hint="eastAsia" w:ascii="宋体" w:hAnsi="宋体" w:eastAsia="宋体" w:cs="宋体"/>
                <w:color w:val="auto"/>
                <w:kern w:val="0"/>
                <w:sz w:val="20"/>
                <w:szCs w:val="22"/>
                <w:highlight w:val="none"/>
                <w:lang w:eastAsia="en-US"/>
              </w:rPr>
            </w:pPr>
          </w:p>
        </w:tc>
      </w:tr>
      <w:tr w14:paraId="6C028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2143" w:type="dxa"/>
            <w:vAlign w:val="top"/>
          </w:tcPr>
          <w:p w14:paraId="5187EB24">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备注</w:t>
            </w:r>
          </w:p>
        </w:tc>
        <w:tc>
          <w:tcPr>
            <w:tcW w:w="7176" w:type="dxa"/>
            <w:gridSpan w:val="4"/>
            <w:vAlign w:val="top"/>
          </w:tcPr>
          <w:p w14:paraId="66DDFF79">
            <w:pPr>
              <w:pStyle w:val="320"/>
              <w:autoSpaceDE w:val="0"/>
              <w:autoSpaceDN w:val="0"/>
              <w:rPr>
                <w:rFonts w:hint="eastAsia" w:ascii="宋体" w:hAnsi="宋体" w:eastAsia="宋体" w:cs="宋体"/>
                <w:color w:val="auto"/>
                <w:kern w:val="0"/>
                <w:sz w:val="20"/>
                <w:szCs w:val="22"/>
                <w:highlight w:val="none"/>
                <w:lang w:eastAsia="en-US"/>
              </w:rPr>
            </w:pPr>
          </w:p>
        </w:tc>
      </w:tr>
    </w:tbl>
    <w:p w14:paraId="06802966">
      <w:pPr>
        <w:numPr>
          <w:ilvl w:val="0"/>
          <w:numId w:val="0"/>
        </w:numPr>
        <w:rPr>
          <w:rFonts w:hint="eastAsia"/>
          <w:color w:val="auto"/>
          <w:highlight w:val="none"/>
        </w:rPr>
      </w:pPr>
      <w:r>
        <w:rPr>
          <w:rFonts w:hint="eastAsia" w:ascii="宋体" w:hAnsi="宋体" w:eastAsia="宋体" w:cs="宋体"/>
          <w:color w:val="auto"/>
          <w:szCs w:val="21"/>
          <w:highlight w:val="none"/>
        </w:rPr>
        <w:br w:type="page"/>
      </w:r>
      <w:bookmarkEnd w:id="850"/>
      <w:bookmarkEnd w:id="851"/>
      <w:bookmarkStart w:id="852" w:name="_Toc13476"/>
    </w:p>
    <w:p w14:paraId="5E086DCC">
      <w:pPr>
        <w:numPr>
          <w:ilvl w:val="0"/>
          <w:numId w:val="0"/>
        </w:numPr>
        <w:rPr>
          <w:rFonts w:hint="eastAsia"/>
          <w:color w:val="auto"/>
          <w:highlight w:val="none"/>
        </w:rPr>
      </w:pPr>
    </w:p>
    <w:p w14:paraId="63AA515E">
      <w:pPr>
        <w:numPr>
          <w:ilvl w:val="0"/>
          <w:numId w:val="0"/>
        </w:numPr>
        <w:rPr>
          <w:rFonts w:hint="eastAsia"/>
          <w:color w:val="auto"/>
          <w:highlight w:val="none"/>
        </w:rPr>
      </w:pPr>
    </w:p>
    <w:bookmarkEnd w:id="852"/>
    <w:p w14:paraId="172F2A4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outlineLvl w:val="2"/>
        <w:rPr>
          <w:rFonts w:hint="eastAsia" w:ascii="宋体" w:hAnsi="宋体" w:eastAsia="宋体" w:cs="宋体"/>
          <w:b w:val="0"/>
          <w:bCs w:val="0"/>
          <w:color w:val="auto"/>
          <w:kern w:val="2"/>
          <w:sz w:val="32"/>
          <w:szCs w:val="32"/>
          <w:highlight w:val="none"/>
          <w:lang w:val="en-US" w:eastAsia="zh-CN" w:bidi="ar-SA"/>
        </w:rPr>
      </w:pPr>
      <w:bookmarkStart w:id="853" w:name="_Toc28334"/>
      <w:bookmarkStart w:id="854" w:name="_Toc287620834"/>
      <w:bookmarkStart w:id="855" w:name="_Toc430530550"/>
      <w:bookmarkStart w:id="856" w:name="_Toc509218864"/>
      <w:bookmarkStart w:id="857" w:name="_Toc277082660"/>
      <w:bookmarkStart w:id="858" w:name="_Toc534185841"/>
      <w:bookmarkStart w:id="859" w:name="_Toc287607888"/>
      <w:bookmarkStart w:id="860" w:name="_Toc224103515"/>
      <w:r>
        <w:rPr>
          <w:rFonts w:hint="eastAsia" w:ascii="宋体" w:hAnsi="宋体" w:eastAsia="宋体" w:cs="宋体"/>
          <w:b w:val="0"/>
          <w:bCs w:val="0"/>
          <w:color w:val="auto"/>
          <w:kern w:val="2"/>
          <w:sz w:val="32"/>
          <w:szCs w:val="32"/>
          <w:highlight w:val="none"/>
          <w:lang w:val="en-US" w:eastAsia="zh-CN" w:bidi="ar-SA"/>
        </w:rPr>
        <w:t>（</w:t>
      </w:r>
      <w:r>
        <w:rPr>
          <w:rFonts w:hint="eastAsia" w:ascii="宋体" w:hAnsi="宋体" w:cs="宋体"/>
          <w:b w:val="0"/>
          <w:bCs w:val="0"/>
          <w:color w:val="auto"/>
          <w:kern w:val="2"/>
          <w:sz w:val="32"/>
          <w:szCs w:val="32"/>
          <w:highlight w:val="none"/>
          <w:lang w:val="en-US" w:eastAsia="zh-CN" w:bidi="ar-SA"/>
        </w:rPr>
        <w:t>三</w:t>
      </w:r>
      <w:r>
        <w:rPr>
          <w:rFonts w:hint="eastAsia" w:ascii="宋体" w:hAnsi="宋体" w:eastAsia="宋体" w:cs="宋体"/>
          <w:b w:val="0"/>
          <w:bCs w:val="0"/>
          <w:color w:val="auto"/>
          <w:kern w:val="2"/>
          <w:sz w:val="32"/>
          <w:szCs w:val="32"/>
          <w:highlight w:val="none"/>
          <w:lang w:val="en-US" w:eastAsia="zh-CN" w:bidi="ar-SA"/>
        </w:rPr>
        <w:t>）项目经理简历表</w:t>
      </w:r>
      <w:bookmarkEnd w:id="853"/>
    </w:p>
    <w:tbl>
      <w:tblPr>
        <w:tblStyle w:val="47"/>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438EF8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08E4CA51">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90" w:type="dxa"/>
            <w:gridSpan w:val="2"/>
            <w:vAlign w:val="center"/>
          </w:tcPr>
          <w:p w14:paraId="1FD52FF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6C0F702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年龄</w:t>
            </w:r>
          </w:p>
        </w:tc>
        <w:tc>
          <w:tcPr>
            <w:tcW w:w="1175" w:type="dxa"/>
            <w:vAlign w:val="center"/>
          </w:tcPr>
          <w:p w14:paraId="6D15DA6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65EDE10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学历</w:t>
            </w:r>
          </w:p>
        </w:tc>
        <w:tc>
          <w:tcPr>
            <w:tcW w:w="1957" w:type="dxa"/>
            <w:vAlign w:val="center"/>
          </w:tcPr>
          <w:p w14:paraId="1055B84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DF144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93D5096">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1190" w:type="dxa"/>
            <w:gridSpan w:val="2"/>
            <w:vAlign w:val="center"/>
          </w:tcPr>
          <w:p w14:paraId="5B8DFEF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1214A93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175" w:type="dxa"/>
            <w:vAlign w:val="center"/>
          </w:tcPr>
          <w:p w14:paraId="223C204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64BD67C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拟在本合同任职</w:t>
            </w:r>
          </w:p>
        </w:tc>
        <w:tc>
          <w:tcPr>
            <w:tcW w:w="1957" w:type="dxa"/>
            <w:vAlign w:val="center"/>
          </w:tcPr>
          <w:p w14:paraId="7F92A5D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FE084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C59590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毕业学校</w:t>
            </w:r>
          </w:p>
        </w:tc>
        <w:tc>
          <w:tcPr>
            <w:tcW w:w="7688" w:type="dxa"/>
            <w:gridSpan w:val="8"/>
            <w:vAlign w:val="center"/>
          </w:tcPr>
          <w:p w14:paraId="79D918CD">
            <w:pPr>
              <w:keepNext w:val="0"/>
              <w:keepLines w:val="0"/>
              <w:suppressLineNumbers w:val="0"/>
              <w:tabs>
                <w:tab w:val="left" w:pos="2820"/>
                <w:tab w:val="left" w:pos="408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w:t>
            </w:r>
            <w:r>
              <w:rPr>
                <w:rFonts w:hint="eastAsia" w:ascii="宋体" w:hAnsi="宋体" w:eastAsia="宋体" w:cs="宋体"/>
                <w:color w:val="auto"/>
                <w:spacing w:val="-1"/>
                <w:kern w:val="0"/>
                <w:szCs w:val="21"/>
                <w:highlight w:val="none"/>
              </w:rPr>
              <w:t>毕</w:t>
            </w:r>
            <w:r>
              <w:rPr>
                <w:rFonts w:hint="eastAsia" w:ascii="宋体" w:hAnsi="宋体" w:eastAsia="宋体" w:cs="宋体"/>
                <w:color w:val="auto"/>
                <w:kern w:val="0"/>
                <w:szCs w:val="21"/>
                <w:highlight w:val="none"/>
              </w:rPr>
              <w:t>业于</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学校</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专业</w:t>
            </w:r>
          </w:p>
        </w:tc>
      </w:tr>
      <w:tr w14:paraId="7928BE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vAlign w:val="center"/>
          </w:tcPr>
          <w:p w14:paraId="603E84A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主要工作经历</w:t>
            </w:r>
          </w:p>
        </w:tc>
      </w:tr>
      <w:tr w14:paraId="66E9A0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22CCDB0">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时间</w:t>
            </w:r>
          </w:p>
        </w:tc>
        <w:tc>
          <w:tcPr>
            <w:tcW w:w="3768" w:type="dxa"/>
            <w:gridSpan w:val="4"/>
            <w:vAlign w:val="center"/>
          </w:tcPr>
          <w:p w14:paraId="5F6B6DC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参加过的类似项目</w:t>
            </w:r>
          </w:p>
        </w:tc>
        <w:tc>
          <w:tcPr>
            <w:tcW w:w="1388" w:type="dxa"/>
            <w:vAlign w:val="center"/>
          </w:tcPr>
          <w:p w14:paraId="2201FE4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担任职务</w:t>
            </w:r>
          </w:p>
        </w:tc>
        <w:tc>
          <w:tcPr>
            <w:tcW w:w="2135" w:type="dxa"/>
            <w:gridSpan w:val="2"/>
            <w:vAlign w:val="center"/>
          </w:tcPr>
          <w:p w14:paraId="63F4FE3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发包人及联系电话</w:t>
            </w:r>
          </w:p>
        </w:tc>
      </w:tr>
      <w:tr w14:paraId="4D97B2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724000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DF6B21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0D1FADE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EF230D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4D99D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163553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D377A8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FAAD4D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1996B66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09CC8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2AA395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5E4A1F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0EA8699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B2B0D6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0D4DA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07D401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887C16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1B35FD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8ECA0C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00D93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B9C2E3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EBEDD7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912622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771DDA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26B92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7103B7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25CB25D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2770B9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A89E27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B6ACA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CEF5D5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F65BA8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25DB21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BF9454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5C988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4DE939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84F61D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EAD0C5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279FE26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D12C1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0CC071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11B7EE9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30DCA45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6CE6DB7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AE956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4C5B7D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07FDA1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1C0B42F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211BF1A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C7F38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A565C9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1E84546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3A64D10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67E2453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B632F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B7FF4E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D9ABFB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502B53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AD748B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A6AF6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85CEF3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BA10A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B2AE1F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51B8FAD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133C291A">
      <w:pPr>
        <w:spacing w:line="360" w:lineRule="auto"/>
        <w:rPr>
          <w:rFonts w:hint="eastAsia" w:ascii="宋体" w:hAnsi="宋体" w:eastAsia="宋体" w:cs="宋体"/>
          <w:color w:val="auto"/>
          <w:highlight w:val="none"/>
        </w:rPr>
      </w:pPr>
    </w:p>
    <w:p w14:paraId="7FA6FDC3">
      <w:pPr>
        <w:keepNext/>
        <w:keepLines/>
        <w:widowControl w:val="0"/>
        <w:spacing w:before="0" w:beforeLines="0" w:after="260" w:afterLines="0" w:line="24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61" w:name="_Toc10172"/>
      <w:bookmarkStart w:id="862" w:name="_Toc19228"/>
      <w:bookmarkStart w:id="863" w:name="_Toc2827"/>
      <w:bookmarkStart w:id="864" w:name="_Toc287620835"/>
      <w:bookmarkStart w:id="865" w:name="_Toc27983330"/>
      <w:bookmarkStart w:id="866" w:name="_Toc430530551"/>
      <w:bookmarkStart w:id="867" w:name="_Toc287607889"/>
      <w:bookmarkStart w:id="868" w:name="_Toc534185842"/>
      <w:bookmarkStart w:id="869" w:name="_Toc277082661"/>
      <w:bookmarkStart w:id="870" w:name="_Toc224103516"/>
      <w:bookmarkStart w:id="871" w:name="_Toc15349"/>
      <w:bookmarkStart w:id="872" w:name="_Toc509218865"/>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四</w:t>
      </w:r>
      <w:r>
        <w:rPr>
          <w:rFonts w:hint="eastAsia" w:ascii="宋体" w:hAnsi="宋体" w:eastAsia="宋体" w:cs="宋体"/>
          <w:b w:val="0"/>
          <w:bCs/>
          <w:color w:val="auto"/>
          <w:kern w:val="2"/>
          <w:sz w:val="32"/>
          <w:szCs w:val="32"/>
          <w:highlight w:val="none"/>
          <w:lang w:val="en-US" w:eastAsia="zh-CN" w:bidi="ar-SA"/>
        </w:rPr>
        <w:t>）类似项目情况表</w:t>
      </w:r>
      <w:bookmarkEnd w:id="861"/>
      <w:bookmarkEnd w:id="862"/>
      <w:bookmarkEnd w:id="863"/>
      <w:bookmarkEnd w:id="864"/>
      <w:bookmarkEnd w:id="865"/>
      <w:bookmarkEnd w:id="866"/>
      <w:bookmarkEnd w:id="867"/>
      <w:bookmarkEnd w:id="868"/>
      <w:bookmarkEnd w:id="869"/>
      <w:bookmarkEnd w:id="870"/>
      <w:bookmarkEnd w:id="871"/>
      <w:bookmarkEnd w:id="872"/>
    </w:p>
    <w:tbl>
      <w:tblPr>
        <w:tblStyle w:val="47"/>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2E7860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7FD5160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项目名称</w:t>
            </w:r>
          </w:p>
        </w:tc>
        <w:tc>
          <w:tcPr>
            <w:tcW w:w="8027" w:type="dxa"/>
            <w:vAlign w:val="center"/>
          </w:tcPr>
          <w:p w14:paraId="05D3BEA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45CD9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3FAFAAB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项目所在地</w:t>
            </w:r>
          </w:p>
        </w:tc>
        <w:tc>
          <w:tcPr>
            <w:tcW w:w="8027" w:type="dxa"/>
            <w:vAlign w:val="center"/>
          </w:tcPr>
          <w:p w14:paraId="5C9090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A3EB2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78FA0A8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发包人名称</w:t>
            </w:r>
          </w:p>
        </w:tc>
        <w:tc>
          <w:tcPr>
            <w:tcW w:w="8027" w:type="dxa"/>
            <w:vAlign w:val="center"/>
          </w:tcPr>
          <w:p w14:paraId="6E79D9B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E98B8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12496D6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发包人地址</w:t>
            </w:r>
          </w:p>
        </w:tc>
        <w:tc>
          <w:tcPr>
            <w:tcW w:w="8027" w:type="dxa"/>
            <w:vAlign w:val="center"/>
          </w:tcPr>
          <w:p w14:paraId="609F9F2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AF8BE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064910C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发包人电话</w:t>
            </w:r>
          </w:p>
        </w:tc>
        <w:tc>
          <w:tcPr>
            <w:tcW w:w="8027" w:type="dxa"/>
            <w:vAlign w:val="center"/>
          </w:tcPr>
          <w:p w14:paraId="74F8175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2724F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2F2957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合同价格</w:t>
            </w:r>
          </w:p>
        </w:tc>
        <w:tc>
          <w:tcPr>
            <w:tcW w:w="8027" w:type="dxa"/>
            <w:vAlign w:val="center"/>
          </w:tcPr>
          <w:p w14:paraId="20AFE17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5E682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3DAF85D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开工日期</w:t>
            </w:r>
          </w:p>
        </w:tc>
        <w:tc>
          <w:tcPr>
            <w:tcW w:w="8027" w:type="dxa"/>
            <w:vAlign w:val="center"/>
          </w:tcPr>
          <w:p w14:paraId="1573405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ED97D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6489F0C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完工</w:t>
            </w:r>
            <w:r>
              <w:rPr>
                <w:rFonts w:hint="eastAsia" w:ascii="宋体" w:hAnsi="宋体" w:eastAsia="宋体" w:cs="宋体"/>
                <w:color w:val="auto"/>
                <w:kern w:val="0"/>
                <w:szCs w:val="21"/>
                <w:highlight w:val="none"/>
              </w:rPr>
              <w:t>日期</w:t>
            </w:r>
          </w:p>
        </w:tc>
        <w:tc>
          <w:tcPr>
            <w:tcW w:w="8027" w:type="dxa"/>
            <w:vAlign w:val="center"/>
          </w:tcPr>
          <w:p w14:paraId="1D91379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614F2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0796B72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承担的工作</w:t>
            </w:r>
          </w:p>
        </w:tc>
        <w:tc>
          <w:tcPr>
            <w:tcW w:w="8027" w:type="dxa"/>
            <w:vAlign w:val="center"/>
          </w:tcPr>
          <w:p w14:paraId="5EF0F4B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3AE4E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5C83BF5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工程质量</w:t>
            </w:r>
          </w:p>
        </w:tc>
        <w:tc>
          <w:tcPr>
            <w:tcW w:w="8027" w:type="dxa"/>
            <w:vAlign w:val="center"/>
          </w:tcPr>
          <w:p w14:paraId="5015310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B0332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23BB7CA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8027" w:type="dxa"/>
            <w:vAlign w:val="center"/>
          </w:tcPr>
          <w:p w14:paraId="2F05C89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61A33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0CEED33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项目</w:t>
            </w:r>
            <w:r>
              <w:rPr>
                <w:rFonts w:hint="eastAsia" w:ascii="宋体" w:hAnsi="宋体" w:eastAsia="宋体" w:cs="宋体"/>
                <w:color w:val="auto"/>
                <w:kern w:val="0"/>
                <w:szCs w:val="21"/>
                <w:highlight w:val="none"/>
                <w:lang w:eastAsia="zh-CN"/>
              </w:rPr>
              <w:t>技术负责人</w:t>
            </w:r>
          </w:p>
        </w:tc>
        <w:tc>
          <w:tcPr>
            <w:tcW w:w="8027" w:type="dxa"/>
            <w:vAlign w:val="center"/>
          </w:tcPr>
          <w:p w14:paraId="6AF5C91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51536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6FA70EE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项目描述</w:t>
            </w:r>
          </w:p>
        </w:tc>
        <w:tc>
          <w:tcPr>
            <w:tcW w:w="8027" w:type="dxa"/>
            <w:vAlign w:val="center"/>
          </w:tcPr>
          <w:p w14:paraId="5612985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50EA2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1B5B29D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c>
          <w:tcPr>
            <w:tcW w:w="8027" w:type="dxa"/>
            <w:vAlign w:val="center"/>
          </w:tcPr>
          <w:p w14:paraId="3600B81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7959736E">
      <w:pPr>
        <w:rPr>
          <w:rFonts w:hint="eastAsia" w:ascii="宋体" w:hAnsi="宋体" w:eastAsia="宋体" w:cs="宋体"/>
          <w:b w:val="0"/>
          <w:color w:val="auto"/>
          <w:highlight w:val="none"/>
        </w:rPr>
      </w:pPr>
      <w:bookmarkStart w:id="873" w:name="_Toc27983331"/>
      <w:bookmarkStart w:id="874" w:name="_Toc461"/>
      <w:bookmarkStart w:id="875" w:name="_Toc19829"/>
      <w:r>
        <w:rPr>
          <w:rFonts w:hint="eastAsia" w:ascii="宋体" w:hAnsi="宋体" w:eastAsia="宋体" w:cs="宋体"/>
          <w:b w:val="0"/>
          <w:color w:val="auto"/>
          <w:highlight w:val="none"/>
        </w:rPr>
        <w:br w:type="page"/>
      </w:r>
    </w:p>
    <w:p w14:paraId="25A3A1D6">
      <w:pPr>
        <w:keepNext w:val="0"/>
        <w:keepLines w:val="0"/>
        <w:pageBreakBefore w:val="0"/>
        <w:widowControl w:val="0"/>
        <w:kinsoku/>
        <w:wordWrap/>
        <w:overflowPunct/>
        <w:topLinePunct/>
        <w:autoSpaceDE/>
        <w:autoSpaceDN/>
        <w:bidi w:val="0"/>
        <w:adjustRightInd/>
        <w:snapToGrid/>
        <w:spacing w:line="440" w:lineRule="exact"/>
        <w:jc w:val="center"/>
        <w:textAlignment w:val="auto"/>
        <w:outlineLvl w:val="2"/>
        <w:rPr>
          <w:rFonts w:hint="eastAsia" w:ascii="宋体" w:hAnsi="宋体" w:cs="宋体"/>
          <w:color w:val="auto"/>
          <w:sz w:val="28"/>
          <w:szCs w:val="20"/>
          <w:highlight w:val="none"/>
        </w:rPr>
      </w:pPr>
      <w:bookmarkStart w:id="876" w:name="_Toc492300954"/>
      <w:bookmarkStart w:id="877" w:name="_Toc20933"/>
      <w:bookmarkStart w:id="878" w:name="_Toc29808"/>
      <w:bookmarkStart w:id="879" w:name="_Toc482188667"/>
      <w:bookmarkStart w:id="880" w:name="_Toc10518"/>
      <w:bookmarkStart w:id="881" w:name="_Toc7016"/>
      <w:r>
        <w:rPr>
          <w:rFonts w:hint="eastAsia" w:ascii="宋体" w:hAnsi="宋体" w:cs="宋体"/>
          <w:color w:val="auto"/>
          <w:sz w:val="28"/>
          <w:szCs w:val="20"/>
          <w:highlight w:val="none"/>
        </w:rPr>
        <w:t>（</w:t>
      </w:r>
      <w:r>
        <w:rPr>
          <w:rFonts w:hint="eastAsia" w:ascii="宋体" w:hAnsi="宋体" w:cs="宋体"/>
          <w:color w:val="auto"/>
          <w:sz w:val="28"/>
          <w:szCs w:val="20"/>
          <w:highlight w:val="none"/>
          <w:lang w:eastAsia="zh-CN"/>
        </w:rPr>
        <w:t>五</w:t>
      </w:r>
      <w:r>
        <w:rPr>
          <w:rFonts w:hint="eastAsia" w:ascii="宋体" w:hAnsi="宋体" w:cs="宋体"/>
          <w:color w:val="auto"/>
          <w:sz w:val="28"/>
          <w:szCs w:val="20"/>
          <w:highlight w:val="none"/>
        </w:rPr>
        <w:t>）拟委任的其他参与项目人员汇总表</w:t>
      </w:r>
      <w:bookmarkEnd w:id="876"/>
      <w:bookmarkEnd w:id="877"/>
      <w:bookmarkEnd w:id="878"/>
      <w:bookmarkEnd w:id="879"/>
      <w:bookmarkEnd w:id="880"/>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275"/>
        <w:gridCol w:w="992"/>
        <w:gridCol w:w="603"/>
        <w:gridCol w:w="488"/>
        <w:gridCol w:w="1134"/>
        <w:gridCol w:w="709"/>
        <w:gridCol w:w="871"/>
        <w:gridCol w:w="1134"/>
      </w:tblGrid>
      <w:tr w14:paraId="65BA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14:paraId="001B030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序号</w:t>
            </w:r>
          </w:p>
        </w:tc>
        <w:tc>
          <w:tcPr>
            <w:tcW w:w="1275" w:type="dxa"/>
            <w:vMerge w:val="restart"/>
            <w:vAlign w:val="center"/>
          </w:tcPr>
          <w:p w14:paraId="3713E66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本项目任职</w:t>
            </w:r>
          </w:p>
        </w:tc>
        <w:tc>
          <w:tcPr>
            <w:tcW w:w="992" w:type="dxa"/>
            <w:vMerge w:val="restart"/>
            <w:vAlign w:val="center"/>
          </w:tcPr>
          <w:p w14:paraId="74B57A3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姓名</w:t>
            </w:r>
          </w:p>
        </w:tc>
        <w:tc>
          <w:tcPr>
            <w:tcW w:w="603" w:type="dxa"/>
            <w:vMerge w:val="restart"/>
            <w:vAlign w:val="center"/>
          </w:tcPr>
          <w:p w14:paraId="6F7DC4A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职称</w:t>
            </w:r>
          </w:p>
        </w:tc>
        <w:tc>
          <w:tcPr>
            <w:tcW w:w="488" w:type="dxa"/>
            <w:vMerge w:val="restart"/>
            <w:vAlign w:val="center"/>
          </w:tcPr>
          <w:p w14:paraId="7E7A211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专业</w:t>
            </w:r>
          </w:p>
        </w:tc>
        <w:tc>
          <w:tcPr>
            <w:tcW w:w="2714" w:type="dxa"/>
            <w:gridSpan w:val="3"/>
            <w:vAlign w:val="center"/>
          </w:tcPr>
          <w:p w14:paraId="264FBB5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执业或职业资格证明</w:t>
            </w:r>
          </w:p>
        </w:tc>
        <w:tc>
          <w:tcPr>
            <w:tcW w:w="1134" w:type="dxa"/>
            <w:vAlign w:val="center"/>
          </w:tcPr>
          <w:p w14:paraId="430DB75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备注</w:t>
            </w:r>
          </w:p>
        </w:tc>
      </w:tr>
      <w:tr w14:paraId="6895A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14:paraId="0CA208CF">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1275" w:type="dxa"/>
            <w:vMerge w:val="continue"/>
            <w:vAlign w:val="top"/>
          </w:tcPr>
          <w:p w14:paraId="1A77E842">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992" w:type="dxa"/>
            <w:vMerge w:val="continue"/>
            <w:vAlign w:val="center"/>
          </w:tcPr>
          <w:p w14:paraId="1AA5DE8F">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603" w:type="dxa"/>
            <w:vMerge w:val="continue"/>
            <w:vAlign w:val="center"/>
          </w:tcPr>
          <w:p w14:paraId="7D9E6A49">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488" w:type="dxa"/>
            <w:vMerge w:val="continue"/>
            <w:vAlign w:val="center"/>
          </w:tcPr>
          <w:p w14:paraId="6D54C02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center"/>
          </w:tcPr>
          <w:p w14:paraId="586B36F6">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证书名称</w:t>
            </w:r>
          </w:p>
        </w:tc>
        <w:tc>
          <w:tcPr>
            <w:tcW w:w="709" w:type="dxa"/>
            <w:vAlign w:val="center"/>
          </w:tcPr>
          <w:p w14:paraId="41C2603E">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级别</w:t>
            </w:r>
          </w:p>
        </w:tc>
        <w:tc>
          <w:tcPr>
            <w:tcW w:w="871" w:type="dxa"/>
            <w:vAlign w:val="center"/>
          </w:tcPr>
          <w:p w14:paraId="716193DB">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证号</w:t>
            </w:r>
          </w:p>
        </w:tc>
        <w:tc>
          <w:tcPr>
            <w:tcW w:w="1134" w:type="dxa"/>
            <w:vAlign w:val="center"/>
          </w:tcPr>
          <w:p w14:paraId="705C2B5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CAA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14:paraId="059B68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center"/>
          </w:tcPr>
          <w:p w14:paraId="31522D0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center"/>
          </w:tcPr>
          <w:p w14:paraId="25EE9A5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center"/>
          </w:tcPr>
          <w:p w14:paraId="7627ED9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center"/>
          </w:tcPr>
          <w:p w14:paraId="070CA43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center"/>
          </w:tcPr>
          <w:p w14:paraId="143E41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center"/>
          </w:tcPr>
          <w:p w14:paraId="12CAFC2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center"/>
          </w:tcPr>
          <w:p w14:paraId="7AD4B2D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center"/>
          </w:tcPr>
          <w:p w14:paraId="11F02E6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B4F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1E24097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5B20157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5982029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446D24F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7B73B01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0A19ED0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4B8A3C0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409E46B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572B807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778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6B38D29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6ADA191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3714F2E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293099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7A60BCB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48A3C15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625500A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6907C14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5F28BC9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592E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7D9EF5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5690EB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4C2A806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32583A6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58A5BBE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196FA49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4008207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7B14D6C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41FAC84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2266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098F9C9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6C3101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7FFE0B5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111D1AD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05EBC3C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69D17C1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39262D5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0689617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6BC1238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14F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1D128AA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10CED73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1FDDA4F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114E270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78B209C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3F7548B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619BC06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08B0C5F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12411BF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BF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22A79E3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2AFC7F2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1E0F72A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28FE8A6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2D346FB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2B8FACA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0F0D49F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52E34F2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620AB74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8F8F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39508BD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6B4B021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4B7074D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49238B6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721BAA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222DC29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6F1A6EB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01876D6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340E347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869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0054510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2F7F15E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5A107D6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4EE6AF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20CE2FC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213597C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71FBBDC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1DBF6A3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60FF3BD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4049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3DB2CFA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4F9DA25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62D655C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77D946C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1CEA011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0FBEE8B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292C6B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3F86A0C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6C6A3A6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29EB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181D78F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0CBE49E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215D217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7971456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358BD14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45DC9B0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2D5B47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090646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58970E1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759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7C6B9D1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27DC7D6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71AA343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11269F1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0FF5551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691AD7A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181F6D1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7019C4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508E42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53D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4C780D2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129CE65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119C4AB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4EFF3E0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08607F6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44DDA5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3EAC2E2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0D52447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443BD41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31A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576A004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6E3BF84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5759DCC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3B16EDA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0B82581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0813077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799F613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2FC95F3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4AECC27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DAB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632EC4C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4C22CD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6D78C9E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5A9EA46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772B5E9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7E6DFCA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7D9B454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25A3919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7745F33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0CFB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6B31C2C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3FE92EF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24D6C05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34B10B5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6A4909D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661A6F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5508257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7304D69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36FD6BE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158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5301DA3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485A51F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14C98BD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2645E5A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1F1E049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484249E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197308B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7F45CE1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4618931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3C9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73D4A1E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5CE2CAC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1FA0B38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603033F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2F24316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364B9CD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78DD2AD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703B0C0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2F5EBA4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F91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3782DE2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4FB86E5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4BA8A78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2E7354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20C2391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050AB0C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4026A64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08BBE46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3D0E0E2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623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1511587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001A974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1CB3448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5C4D8C8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263963E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75A898E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71A1F92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2926597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27711F4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93C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top"/>
          </w:tcPr>
          <w:p w14:paraId="248A24E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vAlign w:val="top"/>
          </w:tcPr>
          <w:p w14:paraId="330CB99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vAlign w:val="top"/>
          </w:tcPr>
          <w:p w14:paraId="7BAECC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vAlign w:val="top"/>
          </w:tcPr>
          <w:p w14:paraId="10C9652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vAlign w:val="top"/>
          </w:tcPr>
          <w:p w14:paraId="03C1AF4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3B31F36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vAlign w:val="top"/>
          </w:tcPr>
          <w:p w14:paraId="4EE50BC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vAlign w:val="top"/>
          </w:tcPr>
          <w:p w14:paraId="6190C17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vAlign w:val="top"/>
          </w:tcPr>
          <w:p w14:paraId="1771E0F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bl>
    <w:p w14:paraId="4C324B4A">
      <w:pPr>
        <w:keepNext w:val="0"/>
        <w:keepLines w:val="0"/>
        <w:widowControl/>
        <w:spacing w:before="0" w:beforeLines="-2147483648" w:after="0" w:afterLines="-2147483648" w:line="240" w:lineRule="auto"/>
        <w:jc w:val="left"/>
        <w:outlineLvl w:val="9"/>
        <w:rPr>
          <w:rFonts w:hint="eastAsia" w:ascii="宋体" w:hAnsi="宋体" w:eastAsia="宋体" w:cs="宋体"/>
          <w:b w:val="0"/>
          <w:bCs/>
          <w:color w:val="auto"/>
          <w:kern w:val="2"/>
          <w:sz w:val="32"/>
          <w:szCs w:val="32"/>
          <w:highlight w:val="none"/>
          <w:lang w:val="en-US" w:eastAsia="zh-CN" w:bidi="ar-SA"/>
        </w:rPr>
      </w:pPr>
      <w:r>
        <w:rPr>
          <w:rFonts w:hint="eastAsia" w:ascii="宋体" w:hAnsi="宋体" w:eastAsia="宋体" w:cs="宋体"/>
          <w:b w:val="0"/>
          <w:bCs/>
          <w:color w:val="auto"/>
          <w:kern w:val="2"/>
          <w:sz w:val="32"/>
          <w:szCs w:val="32"/>
          <w:highlight w:val="none"/>
          <w:lang w:val="en-US" w:eastAsia="zh-CN" w:bidi="ar-SA"/>
        </w:rPr>
        <w:br w:type="page"/>
      </w:r>
    </w:p>
    <w:p w14:paraId="4AA44F63">
      <w:pPr>
        <w:keepNext/>
        <w:keepLines/>
        <w:widowControl w:val="0"/>
        <w:spacing w:before="0" w:beforeLines="0" w:after="260" w:afterLines="0" w:line="36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82" w:name="_Toc24071"/>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六</w:t>
      </w:r>
      <w:r>
        <w:rPr>
          <w:rFonts w:hint="eastAsia" w:ascii="宋体" w:hAnsi="宋体" w:eastAsia="宋体" w:cs="宋体"/>
          <w:b w:val="0"/>
          <w:bCs/>
          <w:color w:val="auto"/>
          <w:kern w:val="2"/>
          <w:sz w:val="32"/>
          <w:szCs w:val="32"/>
          <w:highlight w:val="none"/>
          <w:lang w:val="en-US" w:eastAsia="zh-CN" w:bidi="ar-SA"/>
        </w:rPr>
        <w:t>）</w:t>
      </w:r>
      <w:bookmarkEnd w:id="873"/>
      <w:r>
        <w:rPr>
          <w:rFonts w:hint="eastAsia" w:ascii="宋体" w:hAnsi="宋体" w:eastAsia="宋体" w:cs="宋体"/>
          <w:b w:val="0"/>
          <w:bCs/>
          <w:color w:val="auto"/>
          <w:kern w:val="2"/>
          <w:sz w:val="32"/>
          <w:szCs w:val="32"/>
          <w:highlight w:val="none"/>
          <w:lang w:val="en-US" w:eastAsia="zh-CN" w:bidi="ar-SA"/>
        </w:rPr>
        <w:t>承诺</w:t>
      </w:r>
      <w:bookmarkEnd w:id="874"/>
      <w:bookmarkEnd w:id="875"/>
      <w:bookmarkEnd w:id="881"/>
      <w:bookmarkEnd w:id="882"/>
    </w:p>
    <w:p w14:paraId="4A82827B">
      <w:pPr>
        <w:keepNext w:val="0"/>
        <w:keepLines w:val="0"/>
        <w:pageBreakBefore w:val="0"/>
        <w:widowControl w:val="0"/>
        <w:kinsoku/>
        <w:wordWrap/>
        <w:overflowPunct/>
        <w:topLinePunct w:val="0"/>
        <w:bidi w:val="0"/>
        <w:adjustRightInd w:val="0"/>
        <w:snapToGrid w:val="0"/>
        <w:spacing w:afterLines="0" w:line="360" w:lineRule="auto"/>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        （招标人名称）</w:t>
      </w:r>
      <w:r>
        <w:rPr>
          <w:rFonts w:hint="eastAsia" w:ascii="宋体" w:hAnsi="宋体" w:eastAsia="宋体" w:cs="宋体"/>
          <w:color w:val="auto"/>
          <w:szCs w:val="21"/>
          <w:highlight w:val="none"/>
        </w:rPr>
        <w:t>：</w:t>
      </w:r>
    </w:p>
    <w:p w14:paraId="4BC18496">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 xml:space="preserve">        （投标人名称）</w:t>
      </w:r>
      <w:r>
        <w:rPr>
          <w:rFonts w:hint="eastAsia" w:ascii="宋体" w:hAnsi="宋体" w:eastAsia="宋体" w:cs="宋体"/>
          <w:color w:val="auto"/>
          <w:szCs w:val="21"/>
          <w:highlight w:val="none"/>
        </w:rPr>
        <w:t>参加了贵单位</w:t>
      </w:r>
      <w:r>
        <w:rPr>
          <w:rFonts w:hint="eastAsia" w:ascii="宋体" w:hAnsi="宋体" w:cs="宋体"/>
          <w:color w:val="auto"/>
          <w:szCs w:val="21"/>
          <w:highlight w:val="none"/>
          <w:u w:val="single"/>
          <w:lang w:eastAsia="zh-CN"/>
        </w:rPr>
        <w:t>渝湘复线巴水段监控系统软件升级改造二次开发服务（第二次）</w:t>
      </w:r>
      <w:r>
        <w:rPr>
          <w:rFonts w:hint="eastAsia" w:ascii="宋体" w:hAnsi="宋体" w:eastAsia="宋体" w:cs="宋体"/>
          <w:color w:val="auto"/>
          <w:szCs w:val="21"/>
          <w:highlight w:val="none"/>
        </w:rPr>
        <w:t>的投标，自愿作出以下承诺：</w:t>
      </w:r>
    </w:p>
    <w:p w14:paraId="5FB9C3AE">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1、投标截止日投标资格情况不存在下列情形之一：</w:t>
      </w:r>
    </w:p>
    <w:p w14:paraId="3B84BEE9">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10563FFC">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14:paraId="0BBD4ECE">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（3）被列入《重庆市工程建设领域招标投标信用管理暂行办法》规定的重庆市工程建设领域招标投标失信惩戒对象名单（以下称黑名单）且在记分有效期内；</w:t>
      </w:r>
    </w:p>
    <w:p w14:paraId="2B47D416">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（4）被国家、重庆市（含市或任意区县）有关行政部门处以暂停投标资格行政处罚或暂停在渝承揽新业务，且在暂停期限内。</w:t>
      </w:r>
    </w:p>
    <w:p w14:paraId="40D0CDC2">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（5）被国家企业信用信息公示系统（http://www.gsxt.gov.cn/）中列入严重违法失信企业名单（黑名单）信息。</w:t>
      </w:r>
    </w:p>
    <w:p w14:paraId="25E08755">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（6）被“信用中国”网站（http://www.creditchina.gov.cn/）列入失信惩戒执行人名单。</w:t>
      </w:r>
    </w:p>
    <w:p w14:paraId="362C8E6D">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投标文件中的所有内容真实有效，不存在弄虚作假情形。贵单位有权对我公司提供的资料进行核实，若发现弄虚作假，按相关规定取消我公司中标资格，并按相关法律法规报招标投标监督部门，投标保证金以现金形式交纳的不予退还，以保函形式交纳的由保函开立人支付保函担保的与投标保证金等额的款项，</w:t>
      </w:r>
    </w:p>
    <w:p w14:paraId="0F308125">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3、我公司</w:t>
      </w:r>
      <w:r>
        <w:rPr>
          <w:rFonts w:hint="eastAsia" w:ascii="宋体" w:hAnsi="宋体" w:eastAsia="宋体" w:cs="宋体"/>
          <w:color w:val="auto"/>
          <w:szCs w:val="21"/>
          <w:highlight w:val="none"/>
        </w:rPr>
        <w:t>不存在第二章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投标人须知第 1.4.3 项规定的任何一种情形</w:t>
      </w:r>
      <w:r>
        <w:rPr>
          <w:rFonts w:hint="eastAsia" w:ascii="宋体" w:hAnsi="宋体" w:eastAsia="宋体" w:cs="宋体"/>
          <w:color w:val="auto"/>
          <w:szCs w:val="21"/>
          <w:highlight w:val="none"/>
          <w:lang w:eastAsia="zh-CN"/>
        </w:rPr>
        <w:t>。</w:t>
      </w:r>
    </w:p>
    <w:p w14:paraId="44D23B13">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4、我公司的投标文件符合第二章 投标人须知第 1.3.1 项的规定。</w:t>
      </w:r>
    </w:p>
    <w:p w14:paraId="34E7BA34">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、我公司的投标文件符合第四章 合同条款及格式规定，投标文件中没有</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不能接受的条件。</w:t>
      </w:r>
    </w:p>
    <w:p w14:paraId="4CF56B5D">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、我公司的投标文件符合第</w:t>
      </w:r>
      <w:r>
        <w:rPr>
          <w:rFonts w:hint="eastAsia" w:ascii="宋体" w:hAnsi="宋体" w:eastAsia="宋体" w:cs="宋体"/>
          <w:color w:val="auto"/>
          <w:szCs w:val="21"/>
          <w:highlight w:val="none"/>
          <w:lang w:eastAsia="zh-CN"/>
        </w:rPr>
        <w:t>五</w:t>
      </w:r>
      <w:r>
        <w:rPr>
          <w:rFonts w:hint="eastAsia" w:ascii="宋体" w:hAnsi="宋体" w:eastAsia="宋体" w:cs="宋体"/>
          <w:color w:val="auto"/>
          <w:szCs w:val="21"/>
          <w:highlight w:val="none"/>
        </w:rPr>
        <w:t xml:space="preserve">章 </w:t>
      </w:r>
      <w:r>
        <w:rPr>
          <w:rFonts w:hint="eastAsia" w:ascii="宋体" w:hAnsi="宋体" w:eastAsia="宋体" w:cs="宋体"/>
          <w:color w:val="auto"/>
          <w:szCs w:val="21"/>
          <w:highlight w:val="none"/>
          <w:lang w:eastAsia="zh-CN"/>
        </w:rPr>
        <w:t>项目需求的技术性能指标要求</w:t>
      </w:r>
      <w:r>
        <w:rPr>
          <w:rFonts w:hint="eastAsia" w:ascii="宋体" w:hAnsi="宋体" w:eastAsia="宋体" w:cs="宋体"/>
          <w:color w:val="auto"/>
          <w:szCs w:val="21"/>
          <w:highlight w:val="none"/>
        </w:rPr>
        <w:t>。</w:t>
      </w:r>
    </w:p>
    <w:p w14:paraId="74775165">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p>
    <w:p w14:paraId="6F503679">
      <w:pPr>
        <w:keepNext w:val="0"/>
        <w:keepLines w:val="0"/>
        <w:pageBreakBefore w:val="0"/>
        <w:widowControl w:val="0"/>
        <w:tabs>
          <w:tab w:val="left" w:pos="4200"/>
          <w:tab w:val="left" w:pos="462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1813D5EA">
      <w:pPr>
        <w:keepNext w:val="0"/>
        <w:keepLines w:val="0"/>
        <w:pageBreakBefore w:val="0"/>
        <w:widowControl w:val="0"/>
        <w:tabs>
          <w:tab w:val="left" w:pos="630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或盖章）</w:t>
      </w:r>
    </w:p>
    <w:p w14:paraId="4772E070">
      <w:pPr>
        <w:keepNext w:val="0"/>
        <w:keepLines w:val="0"/>
        <w:pageBreakBefore w:val="0"/>
        <w:widowControl w:val="0"/>
        <w:kinsoku/>
        <w:wordWrap/>
        <w:overflowPunct/>
        <w:topLinePunct w:val="0"/>
        <w:bidi w:val="0"/>
        <w:adjustRightInd w:val="0"/>
        <w:snapToGrid w:val="0"/>
        <w:spacing w:afterLines="0" w:line="360" w:lineRule="auto"/>
        <w:ind w:firstLine="420" w:firstLineChars="200"/>
        <w:jc w:val="right"/>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AB5A7F1">
      <w:pPr>
        <w:adjustRightInd w:val="0"/>
        <w:snapToGrid w:val="0"/>
        <w:spacing w:afterLines="0" w:line="360" w:lineRule="auto"/>
        <w:rPr>
          <w:rFonts w:hint="eastAsia" w:ascii="宋体" w:hAnsi="宋体" w:eastAsia="宋体" w:cs="宋体"/>
          <w:color w:val="auto"/>
          <w:highlight w:val="none"/>
        </w:rPr>
      </w:pPr>
    </w:p>
    <w:p w14:paraId="2BE469C4">
      <w:pPr>
        <w:rPr>
          <w:rFonts w:hint="eastAsia" w:ascii="宋体" w:hAnsi="宋体" w:eastAsia="宋体" w:cs="宋体"/>
          <w:color w:val="auto"/>
          <w:highlight w:val="none"/>
        </w:rPr>
      </w:pPr>
    </w:p>
    <w:bookmarkEnd w:id="854"/>
    <w:bookmarkEnd w:id="855"/>
    <w:bookmarkEnd w:id="856"/>
    <w:bookmarkEnd w:id="857"/>
    <w:bookmarkEnd w:id="858"/>
    <w:bookmarkEnd w:id="859"/>
    <w:bookmarkEnd w:id="860"/>
    <w:p w14:paraId="1D9AC495">
      <w:pPr>
        <w:rPr>
          <w:rFonts w:hint="eastAsia" w:ascii="宋体" w:hAnsi="宋体" w:eastAsia="宋体" w:cs="宋体"/>
          <w:color w:val="auto"/>
          <w:highlight w:val="none"/>
        </w:rPr>
      </w:pPr>
    </w:p>
    <w:p w14:paraId="19277195">
      <w:pPr>
        <w:rPr>
          <w:rFonts w:hint="eastAsia" w:ascii="宋体" w:hAnsi="宋体" w:eastAsia="宋体" w:cs="宋体"/>
          <w:b w:val="0"/>
          <w:color w:val="auto"/>
          <w:highlight w:val="none"/>
        </w:rPr>
      </w:pPr>
      <w:bookmarkStart w:id="883" w:name="_Toc7870"/>
      <w:bookmarkStart w:id="884" w:name="_Toc2010"/>
      <w:r>
        <w:rPr>
          <w:rFonts w:hint="eastAsia" w:ascii="宋体" w:hAnsi="宋体" w:eastAsia="宋体" w:cs="宋体"/>
          <w:b w:val="0"/>
          <w:color w:val="auto"/>
          <w:highlight w:val="none"/>
        </w:rPr>
        <w:br w:type="page"/>
      </w:r>
    </w:p>
    <w:p w14:paraId="71E664F6">
      <w:pPr>
        <w:pStyle w:val="5"/>
        <w:spacing w:before="0" w:line="360" w:lineRule="auto"/>
        <w:jc w:val="center"/>
        <w:rPr>
          <w:rFonts w:hint="eastAsia" w:ascii="宋体" w:hAnsi="宋体" w:eastAsia="宋体" w:cs="宋体"/>
          <w:color w:val="auto"/>
          <w:highlight w:val="none"/>
        </w:rPr>
      </w:pPr>
      <w:bookmarkStart w:id="885" w:name="_Toc6317"/>
      <w:r>
        <w:rPr>
          <w:rFonts w:hint="eastAsia" w:ascii="宋体" w:hAnsi="宋体" w:eastAsia="宋体" w:cs="宋体"/>
          <w:b w:val="0"/>
          <w:color w:val="auto"/>
          <w:highlight w:val="none"/>
        </w:rPr>
        <w:t>（</w:t>
      </w:r>
      <w:r>
        <w:rPr>
          <w:rFonts w:hint="eastAsia" w:ascii="宋体" w:hAnsi="宋体" w:cs="宋体"/>
          <w:b w:val="0"/>
          <w:color w:val="auto"/>
          <w:highlight w:val="none"/>
          <w:lang w:val="en-US" w:eastAsia="zh-CN"/>
        </w:rPr>
        <w:t>七</w:t>
      </w:r>
      <w:r>
        <w:rPr>
          <w:rFonts w:hint="eastAsia" w:ascii="宋体" w:hAnsi="宋体" w:eastAsia="宋体" w:cs="宋体"/>
          <w:b w:val="0"/>
          <w:color w:val="auto"/>
          <w:highlight w:val="none"/>
        </w:rPr>
        <w:t>）其他资料</w:t>
      </w:r>
      <w:bookmarkEnd w:id="883"/>
      <w:bookmarkEnd w:id="884"/>
      <w:bookmarkEnd w:id="885"/>
    </w:p>
    <w:bookmarkEnd w:id="736"/>
    <w:bookmarkEnd w:id="737"/>
    <w:bookmarkEnd w:id="738"/>
    <w:p w14:paraId="288E9BE9">
      <w:pPr>
        <w:pStyle w:val="2"/>
        <w:rPr>
          <w:rFonts w:hint="eastAsia" w:ascii="宋体" w:hAnsi="宋体" w:cs="宋体"/>
          <w:color w:val="auto"/>
          <w:szCs w:val="21"/>
          <w:highlight w:val="none"/>
          <w:lang w:val="en-US" w:eastAsia="zh-CN"/>
        </w:rPr>
      </w:pPr>
    </w:p>
    <w:p w14:paraId="243C0192">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投标保证金</w:t>
      </w:r>
    </w:p>
    <w:p w14:paraId="79AD5190">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[以转账支票或电汇形式交纳投标保证金的提供以下资料]</w:t>
      </w:r>
    </w:p>
    <w:p w14:paraId="093D138D">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（1）企业基本账户开户证明文件。</w:t>
      </w:r>
    </w:p>
    <w:p w14:paraId="228249C3">
      <w:pPr>
        <w:spacing w:line="240" w:lineRule="auto"/>
        <w:ind w:firstLine="0" w:firstLineChars="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br w:type="page"/>
      </w:r>
    </w:p>
    <w:p w14:paraId="78C193B6">
      <w:pPr>
        <w:spacing w:line="360" w:lineRule="auto"/>
        <w:ind w:firstLine="360" w:firstLineChars="20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t>[以纸质投标保函形式交纳投标保证金的提供以下资料]</w:t>
      </w:r>
    </w:p>
    <w:p w14:paraId="1A3FC54A">
      <w:pPr>
        <w:spacing w:line="360" w:lineRule="auto"/>
        <w:ind w:firstLine="360" w:firstLineChars="200"/>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（1）纸质投标保函</w:t>
      </w:r>
      <w:r>
        <w:rPr>
          <w:rFonts w:hint="eastAsia" w:ascii="宋体" w:hAnsi="宋体" w:eastAsia="宋体" w:cs="宋体"/>
          <w:color w:val="auto"/>
          <w:sz w:val="18"/>
          <w:szCs w:val="18"/>
          <w:highlight w:val="none"/>
          <w:lang w:eastAsia="zh-CN"/>
        </w:rPr>
        <w:t>（如有）</w:t>
      </w:r>
    </w:p>
    <w:p w14:paraId="0EC2FB13">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559B1327">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4971ACA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06A1258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E2E9379">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47134ED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E36D3E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34EEB93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2BB48F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u w:val="single"/>
        </w:rPr>
      </w:pPr>
    </w:p>
    <w:p w14:paraId="3A9064A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14:paraId="55316C7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14:paraId="3947274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14:paraId="351D79E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14:paraId="0CAE0F3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14:paraId="1E5709F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14:paraId="44264FF6">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（3）投标人在与贵方签订合同前，未在规定的时间内提交符合招标文件要求的履约担保；</w:t>
      </w:r>
    </w:p>
    <w:p w14:paraId="35371986">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14:paraId="12F3463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14:paraId="052A51C5">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3570766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6BED44B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26E4BE7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14:paraId="71FB4D6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14:paraId="3B80D98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14:paraId="3AD1565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14:paraId="100782B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14:paraId="08A60DF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14:paraId="00A7DCB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841985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6F3E5C0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7B7D0D1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14:paraId="3A3D963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68B07196">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14:paraId="6E13821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14:paraId="2DAB316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14:paraId="417A551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671BBB6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4BF0B16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5F7202D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05053709">
      <w:pPr>
        <w:keepNext w:val="0"/>
        <w:keepLines w:val="0"/>
        <w:widowControl w:val="0"/>
        <w:suppressLineNumbers w:val="0"/>
        <w:spacing w:after="120" w:afterAutospacing="0"/>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开立时间：    年    月    日</w:t>
      </w:r>
    </w:p>
    <w:p w14:paraId="225F58E2">
      <w:pPr>
        <w:spacing w:line="240" w:lineRule="auto"/>
        <w:ind w:firstLine="0" w:firstLineChars="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br w:type="page"/>
      </w:r>
    </w:p>
    <w:p w14:paraId="41F80D01">
      <w:pPr>
        <w:spacing w:line="360" w:lineRule="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2</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第三章评标办法商务部分要求提供的资料</w:t>
      </w:r>
    </w:p>
    <w:p w14:paraId="6C271328">
      <w:pPr>
        <w:rPr>
          <w:rFonts w:hint="eastAsia" w:ascii="宋体" w:hAnsi="宋体" w:cs="宋体"/>
          <w:color w:val="auto"/>
          <w:highlight w:val="none"/>
          <w:lang w:val="en-US" w:eastAsia="zh-CN"/>
        </w:rPr>
      </w:pPr>
      <w:r>
        <w:rPr>
          <w:rFonts w:hint="eastAsia" w:ascii="宋体" w:hAnsi="宋体" w:cs="宋体"/>
          <w:color w:val="auto"/>
          <w:highlight w:val="none"/>
          <w:lang w:val="en-US" w:eastAsia="zh-CN"/>
        </w:rPr>
        <w:br w:type="page"/>
      </w:r>
    </w:p>
    <w:p w14:paraId="6AAB7D5F">
      <w:pPr>
        <w:spacing w:line="360" w:lineRule="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3.需要</w:t>
      </w:r>
      <w:r>
        <w:rPr>
          <w:rFonts w:hint="eastAsia" w:ascii="宋体" w:hAnsi="宋体" w:eastAsia="宋体" w:cs="宋体"/>
          <w:color w:val="auto"/>
          <w:highlight w:val="none"/>
          <w:lang w:val="en-US" w:eastAsia="zh-CN"/>
        </w:rPr>
        <w:t>提供的</w:t>
      </w:r>
      <w:r>
        <w:rPr>
          <w:rFonts w:hint="eastAsia" w:ascii="宋体" w:hAnsi="宋体" w:cs="宋体"/>
          <w:color w:val="auto"/>
          <w:highlight w:val="none"/>
          <w:lang w:val="en-US" w:eastAsia="zh-CN"/>
        </w:rPr>
        <w:t>其他</w:t>
      </w:r>
      <w:r>
        <w:rPr>
          <w:rFonts w:hint="eastAsia" w:ascii="宋体" w:hAnsi="宋体" w:eastAsia="宋体" w:cs="宋体"/>
          <w:color w:val="auto"/>
          <w:highlight w:val="none"/>
          <w:lang w:val="en-US" w:eastAsia="zh-CN"/>
        </w:rPr>
        <w:t>资料</w:t>
      </w:r>
    </w:p>
    <w:p w14:paraId="5CAB484A">
      <w:pPr>
        <w:rPr>
          <w:rFonts w:hint="eastAsia"/>
          <w:color w:val="auto"/>
          <w:highlight w:val="none"/>
          <w:lang w:val="en-US" w:eastAsia="zh-CN"/>
        </w:rPr>
      </w:pPr>
    </w:p>
    <w:p w14:paraId="58649A4B">
      <w:pPr>
        <w:rPr>
          <w:rFonts w:hint="default"/>
          <w:color w:val="auto"/>
          <w:highlight w:val="none"/>
          <w:lang w:val="en-US" w:eastAsia="zh-CN"/>
        </w:rPr>
      </w:pPr>
    </w:p>
    <w:p w14:paraId="6E22672F">
      <w:pPr>
        <w:keepNext w:val="0"/>
        <w:keepLines w:val="0"/>
        <w:widowControl/>
        <w:spacing w:before="0" w:beforeLines="-2147483648" w:after="0" w:afterLines="-2147483648" w:line="240" w:lineRule="auto"/>
        <w:jc w:val="left"/>
        <w:outlineLvl w:val="9"/>
        <w:rPr>
          <w:rFonts w:hint="eastAsia"/>
          <w:color w:val="auto"/>
          <w:highlight w:val="none"/>
          <w:lang w:val="en-US" w:eastAsia="zh-CN"/>
        </w:rPr>
      </w:pPr>
      <w:bookmarkStart w:id="886" w:name="_Toc14100"/>
      <w:r>
        <w:rPr>
          <w:rFonts w:hint="eastAsia"/>
          <w:color w:val="auto"/>
          <w:highlight w:val="none"/>
          <w:lang w:val="en-US" w:eastAsia="zh-CN"/>
        </w:rPr>
        <w:br w:type="page"/>
      </w:r>
    </w:p>
    <w:p w14:paraId="49FCD4D8">
      <w:pPr>
        <w:keepNext/>
        <w:keepLines/>
        <w:widowControl w:val="0"/>
        <w:spacing w:before="260" w:beforeLines="0" w:after="260" w:afterLines="0" w:line="360" w:lineRule="auto"/>
        <w:jc w:val="center"/>
        <w:outlineLvl w:val="0"/>
        <w:rPr>
          <w:rFonts w:hint="eastAsia" w:ascii="宋体" w:hAnsi="宋体" w:eastAsia="宋体" w:cs="宋体"/>
          <w:b w:val="0"/>
          <w:bCs w:val="0"/>
          <w:color w:val="auto"/>
          <w:kern w:val="0"/>
          <w:sz w:val="44"/>
          <w:szCs w:val="44"/>
          <w:highlight w:val="none"/>
          <w:lang w:val="en-US" w:eastAsia="zh-CN" w:bidi="ar-SA"/>
        </w:rPr>
      </w:pPr>
      <w:bookmarkStart w:id="887" w:name="_Toc2107"/>
      <w:r>
        <w:rPr>
          <w:rFonts w:hint="eastAsia" w:ascii="宋体" w:hAnsi="宋体" w:eastAsia="宋体" w:cs="宋体"/>
          <w:b/>
          <w:bCs/>
          <w:color w:val="auto"/>
          <w:kern w:val="0"/>
          <w:sz w:val="44"/>
          <w:szCs w:val="44"/>
          <w:highlight w:val="none"/>
          <w:lang w:val="en-US" w:eastAsia="zh-CN" w:bidi="ar-SA"/>
        </w:rPr>
        <w:t>三、</w:t>
      </w:r>
      <w:r>
        <w:rPr>
          <w:rFonts w:hint="eastAsia" w:ascii="宋体" w:hAnsi="宋体" w:eastAsia="宋体" w:cs="宋体"/>
          <w:b w:val="0"/>
          <w:bCs w:val="0"/>
          <w:color w:val="auto"/>
          <w:kern w:val="0"/>
          <w:sz w:val="44"/>
          <w:szCs w:val="44"/>
          <w:highlight w:val="none"/>
          <w:lang w:val="en-US" w:eastAsia="zh-CN" w:bidi="ar-SA"/>
        </w:rPr>
        <w:t>技术部分</w:t>
      </w:r>
      <w:bookmarkEnd w:id="886"/>
      <w:bookmarkEnd w:id="887"/>
    </w:p>
    <w:p w14:paraId="2B8D319E">
      <w:pPr>
        <w:jc w:val="center"/>
        <w:rPr>
          <w:rFonts w:hint="eastAsia" w:ascii="宋体" w:hAnsi="宋体" w:eastAsia="宋体" w:cs="宋体"/>
          <w:i/>
          <w:iCs/>
          <w:color w:val="auto"/>
          <w:highlight w:val="none"/>
        </w:rPr>
      </w:pPr>
      <w:bookmarkStart w:id="888" w:name="_Toc509218856"/>
      <w:bookmarkStart w:id="889" w:name="_Toc536628352"/>
      <w:bookmarkStart w:id="890" w:name="_Toc430530537"/>
      <w:bookmarkStart w:id="891" w:name="_Toc534185833"/>
    </w:p>
    <w:bookmarkEnd w:id="888"/>
    <w:bookmarkEnd w:id="889"/>
    <w:bookmarkEnd w:id="890"/>
    <w:bookmarkEnd w:id="891"/>
    <w:p w14:paraId="55C443B0">
      <w:pPr>
        <w:jc w:val="center"/>
        <w:rPr>
          <w:rFonts w:hint="eastAsia" w:ascii="宋体" w:hAnsi="宋体" w:eastAsia="宋体" w:cs="宋体"/>
          <w:color w:val="auto"/>
          <w:highlight w:val="none"/>
        </w:rPr>
      </w:pPr>
    </w:p>
    <w:p w14:paraId="565CDF8A">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6A75270F">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sz w:val="44"/>
          <w:szCs w:val="44"/>
          <w:highlight w:val="none"/>
        </w:rPr>
        <w:br w:type="page"/>
      </w:r>
      <w:r>
        <w:rPr>
          <w:rFonts w:hint="eastAsia" w:ascii="宋体" w:hAnsi="宋体" w:eastAsia="宋体" w:cs="宋体"/>
          <w:color w:val="auto"/>
          <w:kern w:val="0"/>
          <w:sz w:val="36"/>
          <w:szCs w:val="36"/>
          <w:highlight w:val="none"/>
        </w:rPr>
        <w:t>（一）技术方案</w:t>
      </w:r>
    </w:p>
    <w:p w14:paraId="6A413C33">
      <w:pPr>
        <w:autoSpaceDE w:val="0"/>
        <w:autoSpaceDN w:val="0"/>
        <w:adjustRightInd w:val="0"/>
        <w:snapToGrid w:val="0"/>
        <w:spacing w:line="360" w:lineRule="auto"/>
        <w:jc w:val="both"/>
        <w:rPr>
          <w:rFonts w:hint="eastAsia" w:ascii="宋体" w:hAnsi="宋体" w:eastAsia="宋体" w:cs="宋体"/>
          <w:color w:val="auto"/>
          <w:kern w:val="0"/>
          <w:sz w:val="36"/>
          <w:szCs w:val="36"/>
          <w:highlight w:val="none"/>
        </w:rPr>
      </w:pPr>
    </w:p>
    <w:p w14:paraId="67F34CBA">
      <w:pPr>
        <w:autoSpaceDE w:val="0"/>
        <w:autoSpaceDN w:val="0"/>
        <w:adjustRightInd w:val="0"/>
        <w:snapToGrid w:val="0"/>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[投标人应根据招标文件的要求编制技术方案]</w:t>
      </w:r>
    </w:p>
    <w:p w14:paraId="30F8D3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投标人应按以下要点（如有）编制技术方案（文字宜精炼、内容具有针对性）：</w:t>
      </w:r>
    </w:p>
    <w:p w14:paraId="18E6EF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w:t>
      </w:r>
      <w:r>
        <w:rPr>
          <w:rFonts w:hint="eastAsia" w:ascii="宋体" w:hAnsi="宋体" w:cs="宋体"/>
          <w:color w:val="auto"/>
          <w:kern w:val="0"/>
          <w:szCs w:val="21"/>
          <w:highlight w:val="none"/>
        </w:rPr>
        <w:t>项目整体理解</w:t>
      </w:r>
    </w:p>
    <w:p w14:paraId="21DC2D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2"/>
          <w:sz w:val="21"/>
          <w:szCs w:val="21"/>
          <w:highlight w:val="none"/>
          <w:lang w:val="en-US" w:eastAsia="zh-CN" w:bidi="ar"/>
        </w:rPr>
        <w:t>系统建设方案</w:t>
      </w:r>
    </w:p>
    <w:p w14:paraId="13F510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2"/>
          <w:sz w:val="21"/>
          <w:szCs w:val="21"/>
          <w:highlight w:val="none"/>
          <w:lang w:val="en-US" w:eastAsia="zh-CN" w:bidi="ar"/>
        </w:rPr>
        <w:t>项目实施方案</w:t>
      </w:r>
    </w:p>
    <w:p w14:paraId="15580CC2">
      <w:pPr>
        <w:rPr>
          <w:color w:val="auto"/>
          <w:highlight w:val="none"/>
        </w:rPr>
      </w:pPr>
    </w:p>
    <w:p w14:paraId="73C11BF1">
      <w:pPr>
        <w:rPr>
          <w:color w:val="auto"/>
          <w:highlight w:val="none"/>
        </w:rPr>
      </w:pPr>
    </w:p>
    <w:p w14:paraId="0A291CBB">
      <w:pPr>
        <w:jc w:val="center"/>
        <w:rPr>
          <w:rFonts w:hint="eastAsia" w:ascii="宋体" w:hAnsi="宋体" w:eastAsia="宋体" w:cs="宋体"/>
          <w:i/>
          <w:iCs/>
          <w:color w:val="auto"/>
          <w:highlight w:val="none"/>
        </w:rPr>
      </w:pPr>
    </w:p>
    <w:p w14:paraId="7E4833A5">
      <w:pPr>
        <w:jc w:val="center"/>
        <w:rPr>
          <w:rFonts w:hint="eastAsia" w:ascii="宋体" w:hAnsi="宋体" w:eastAsia="宋体" w:cs="宋体"/>
          <w:color w:val="auto"/>
          <w:highlight w:val="none"/>
        </w:rPr>
      </w:pPr>
    </w:p>
    <w:p w14:paraId="55B1A115">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663A240E">
      <w:pPr>
        <w:rPr>
          <w:rFonts w:hint="default"/>
          <w:color w:val="auto"/>
          <w:highlight w:val="none"/>
          <w:lang w:val="en-US" w:eastAsia="zh-CN"/>
        </w:rPr>
      </w:pPr>
    </w:p>
    <w:sectPr>
      <w:pgSz w:w="11905" w:h="16838"/>
      <w:pgMar w:top="1304" w:right="1134" w:bottom="1304" w:left="1304"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方正书宋简体">
    <w:altName w:val="宋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script"/>
    <w:pitch w:val="default"/>
    <w:sig w:usb0="00000000" w:usb1="00000000" w:usb2="00000000" w:usb3="00000000" w:csb0="00040000" w:csb1="00000000"/>
  </w:font>
  <w:font w:name="ˎ̥">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Verdana">
    <w:panose1 w:val="020B0604030504040204"/>
    <w:charset w:val="00"/>
    <w:family w:val="auto"/>
    <w:pitch w:val="default"/>
    <w:sig w:usb0="A00006FF" w:usb1="4000205B" w:usb2="00000010" w:usb3="00000000" w:csb0="2000019F" w:csb1="00000000"/>
  </w:font>
  <w:font w:name="方正仿宋简体">
    <w:altName w:val="方正仿宋_GBK"/>
    <w:panose1 w:val="00000000000000000000"/>
    <w:charset w:val="86"/>
    <w:family w:val="auto"/>
    <w:pitch w:val="default"/>
    <w:sig w:usb0="00000000" w:usb1="00000000" w:usb2="00000012"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544EA">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- 4 -</w:t>
    </w:r>
    <w:r>
      <w:fldChar w:fldCharType="end"/>
    </w:r>
  </w:p>
  <w:p w14:paraId="76BC4A44">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28ADA">
    <w:pPr>
      <w:pStyle w:val="29"/>
      <w:jc w:val="center"/>
    </w:pPr>
    <w:r>
      <w:t xml:space="preserve">- </w:t>
    </w:r>
    <w:r>
      <w:fldChar w:fldCharType="begin"/>
    </w:r>
    <w:r>
      <w:instrText xml:space="preserve"> PAGE </w:instrText>
    </w:r>
    <w:r>
      <w:fldChar w:fldCharType="separate"/>
    </w:r>
    <w:r>
      <w:t>24</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65D25">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264</w:t>
    </w:r>
    <w:r>
      <w:fldChar w:fldCharType="end"/>
    </w:r>
  </w:p>
  <w:p w14:paraId="6C3ADE20">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921B0">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E77BA6">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FE77BA6">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2A7A7">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638C5">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039F78"/>
    <w:multiLevelType w:val="singleLevel"/>
    <w:tmpl w:val="6E039F78"/>
    <w:lvl w:ilvl="0" w:tentative="0">
      <w:start w:val="5"/>
      <w:numFmt w:val="chineseCounting"/>
      <w:suff w:val="space"/>
      <w:lvlText w:val="第%1章"/>
      <w:lvlJc w:val="left"/>
      <w:rPr>
        <w:rFonts w:hint="eastAsia"/>
      </w:rPr>
    </w:lvl>
  </w:abstractNum>
  <w:abstractNum w:abstractNumId="1">
    <w:nsid w:val="7A114180"/>
    <w:multiLevelType w:val="singleLevel"/>
    <w:tmpl w:val="7A114180"/>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C7472"/>
    <w:rsid w:val="0ACB5FD3"/>
    <w:rsid w:val="4EA257B0"/>
    <w:rsid w:val="6E3A186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0" w:semiHidden="0" w:name="HTML Preformatted"/>
    <w:lsdException w:uiPriority="99" w:name="HTML Sample"/>
    <w:lsdException w:uiPriority="99" w:name="HTML Typewriter"/>
    <w:lsdException w:qFormat="1" w:uiPriority="99"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4"/>
    <w:link w:val="6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65"/>
    <w:qFormat/>
    <w:uiPriority w:val="0"/>
    <w:pPr>
      <w:keepNext/>
      <w:keepLines/>
      <w:adjustRightInd w:val="0"/>
      <w:snapToGrid w:val="0"/>
      <w:spacing w:before="0" w:after="0" w:line="360" w:lineRule="auto"/>
      <w:outlineLvl w:val="2"/>
    </w:pPr>
    <w:rPr>
      <w:rFonts w:ascii="Times New Roman" w:hAnsi="Times New Roman" w:eastAsia="宋体"/>
      <w:b/>
      <w:bCs/>
      <w:sz w:val="32"/>
      <w:szCs w:val="32"/>
    </w:rPr>
  </w:style>
  <w:style w:type="paragraph" w:styleId="6">
    <w:name w:val="heading 4"/>
    <w:basedOn w:val="1"/>
    <w:next w:val="1"/>
    <w:link w:val="66"/>
    <w:qFormat/>
    <w:uiPriority w:val="0"/>
    <w:pPr>
      <w:widowControl/>
      <w:adjustRightInd w:val="0"/>
      <w:snapToGrid w:val="0"/>
      <w:spacing w:before="0" w:beforeAutospacing="0" w:after="0" w:afterAutospacing="0" w:line="360" w:lineRule="auto"/>
      <w:jc w:val="left"/>
      <w:outlineLvl w:val="3"/>
    </w:pPr>
    <w:rPr>
      <w:rFonts w:ascii="宋体" w:hAnsi="宋体" w:eastAsia="宋体" w:cs="宋体"/>
      <w:b/>
      <w:bCs/>
      <w:kern w:val="0"/>
      <w:sz w:val="24"/>
    </w:rPr>
  </w:style>
  <w:style w:type="paragraph" w:styleId="7">
    <w:name w:val="heading 5"/>
    <w:basedOn w:val="1"/>
    <w:next w:val="1"/>
    <w:link w:val="67"/>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8"/>
    <w:qFormat/>
    <w:uiPriority w:val="0"/>
    <w:pPr>
      <w:keepNext/>
      <w:keepLines/>
      <w:ind w:firstLine="200" w:firstLineChars="200"/>
      <w:outlineLvl w:val="5"/>
    </w:pPr>
    <w:rPr>
      <w:rFonts w:hAnsi="Arial"/>
    </w:rPr>
  </w:style>
  <w:style w:type="paragraph" w:styleId="10">
    <w:name w:val="heading 7"/>
    <w:basedOn w:val="1"/>
    <w:next w:val="1"/>
    <w:link w:val="69"/>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70"/>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7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9">
    <w:name w:val="Default Paragraph Font"/>
    <w:unhideWhenUsed/>
    <w:qFormat/>
    <w:uiPriority w:val="1"/>
  </w:style>
  <w:style w:type="table" w:default="1" w:styleId="4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72"/>
    <w:qFormat/>
    <w:uiPriority w:val="0"/>
    <w:pPr>
      <w:spacing w:after="120"/>
    </w:pPr>
  </w:style>
  <w:style w:type="paragraph" w:styleId="9">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3"/>
    <w:qFormat/>
    <w:uiPriority w:val="0"/>
    <w:pPr>
      <w:shd w:val="clear" w:color="auto" w:fill="000080"/>
    </w:pPr>
  </w:style>
  <w:style w:type="paragraph" w:styleId="16">
    <w:name w:val="annotation text"/>
    <w:basedOn w:val="1"/>
    <w:link w:val="74"/>
    <w:qFormat/>
    <w:uiPriority w:val="0"/>
    <w:pPr>
      <w:jc w:val="left"/>
    </w:pPr>
  </w:style>
  <w:style w:type="paragraph" w:styleId="17">
    <w:name w:val="Body Text 3"/>
    <w:basedOn w:val="1"/>
    <w:link w:val="75"/>
    <w:qFormat/>
    <w:uiPriority w:val="0"/>
    <w:pPr>
      <w:spacing w:after="120"/>
    </w:pPr>
    <w:rPr>
      <w:sz w:val="16"/>
      <w:szCs w:val="16"/>
    </w:rPr>
  </w:style>
  <w:style w:type="paragraph" w:styleId="18">
    <w:name w:val="Body Text Indent"/>
    <w:basedOn w:val="1"/>
    <w:next w:val="1"/>
    <w:link w:val="76"/>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7"/>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8"/>
    <w:qFormat/>
    <w:uiPriority w:val="99"/>
    <w:pPr>
      <w:ind w:left="100" w:leftChars="2500"/>
    </w:pPr>
  </w:style>
  <w:style w:type="paragraph" w:styleId="26">
    <w:name w:val="Body Text Indent 2"/>
    <w:basedOn w:val="1"/>
    <w:link w:val="79"/>
    <w:qFormat/>
    <w:uiPriority w:val="0"/>
    <w:pPr>
      <w:widowControl/>
      <w:spacing w:line="480" w:lineRule="auto"/>
      <w:ind w:firstLine="560"/>
      <w:jc w:val="left"/>
    </w:pPr>
    <w:rPr>
      <w:kern w:val="0"/>
      <w:sz w:val="28"/>
    </w:rPr>
  </w:style>
  <w:style w:type="paragraph" w:styleId="27">
    <w:name w:val="endnote text"/>
    <w:basedOn w:val="1"/>
    <w:link w:val="80"/>
    <w:qFormat/>
    <w:uiPriority w:val="0"/>
    <w:pPr>
      <w:widowControl/>
      <w:snapToGrid w:val="0"/>
      <w:jc w:val="left"/>
    </w:pPr>
    <w:rPr>
      <w:rFonts w:ascii="Arial" w:hAnsi="Arial" w:cs="Arial"/>
      <w:kern w:val="0"/>
      <w:sz w:val="20"/>
      <w:lang w:eastAsia="en-US"/>
    </w:rPr>
  </w:style>
  <w:style w:type="paragraph" w:styleId="28">
    <w:name w:val="Balloon Text"/>
    <w:basedOn w:val="1"/>
    <w:link w:val="81"/>
    <w:qFormat/>
    <w:uiPriority w:val="99"/>
    <w:rPr>
      <w:sz w:val="18"/>
      <w:szCs w:val="18"/>
    </w:rPr>
  </w:style>
  <w:style w:type="paragraph" w:styleId="29">
    <w:name w:val="footer"/>
    <w:basedOn w:val="1"/>
    <w:link w:val="82"/>
    <w:qFormat/>
    <w:uiPriority w:val="99"/>
    <w:pPr>
      <w:tabs>
        <w:tab w:val="center" w:pos="4153"/>
        <w:tab w:val="right" w:pos="8306"/>
      </w:tabs>
      <w:snapToGrid w:val="0"/>
      <w:jc w:val="left"/>
    </w:pPr>
    <w:rPr>
      <w:sz w:val="18"/>
      <w:szCs w:val="18"/>
    </w:rPr>
  </w:style>
  <w:style w:type="paragraph" w:styleId="30">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84"/>
    <w:qFormat/>
    <w:uiPriority w:val="0"/>
    <w:pPr>
      <w:widowControl/>
      <w:jc w:val="center"/>
    </w:pPr>
    <w:rPr>
      <w:kern w:val="0"/>
      <w:sz w:val="20"/>
      <w:u w:val="single"/>
      <w:lang w:eastAsia="en-US"/>
    </w:rPr>
  </w:style>
  <w:style w:type="paragraph" w:styleId="34">
    <w:name w:val="footnote text"/>
    <w:basedOn w:val="1"/>
    <w:link w:val="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86"/>
    <w:qFormat/>
    <w:uiPriority w:val="0"/>
    <w:pPr>
      <w:spacing w:line="360" w:lineRule="auto"/>
      <w:ind w:firstLine="280" w:firstLineChars="100"/>
    </w:pPr>
    <w:rPr>
      <w:rFonts w:ascii="宋体" w:hAnsi="宋体"/>
      <w:sz w:val="28"/>
      <w:szCs w:val="28"/>
    </w:rPr>
  </w:style>
  <w:style w:type="paragraph" w:styleId="37">
    <w:name w:val="toc 2"/>
    <w:basedOn w:val="1"/>
    <w:next w:val="1"/>
    <w:qFormat/>
    <w:uiPriority w:val="39"/>
    <w:pPr>
      <w:keepNext w:val="0"/>
      <w:keepLines w:val="0"/>
      <w:spacing w:before="0" w:after="0" w:line="240" w:lineRule="auto"/>
      <w:ind w:left="210"/>
      <w:jc w:val="left"/>
      <w:outlineLvl w:val="9"/>
    </w:pPr>
    <w:rPr>
      <w:rFonts w:ascii="Times New Roman" w:hAnsi="Times New Roman"/>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7"/>
    <w:qFormat/>
    <w:uiPriority w:val="0"/>
    <w:rPr>
      <w:i/>
      <w:iCs/>
      <w:sz w:val="26"/>
    </w:rPr>
  </w:style>
  <w:style w:type="paragraph" w:styleId="40">
    <w:name w:val="HTML Preformatted"/>
    <w:basedOn w:val="1"/>
    <w:link w:val="8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next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9"/>
    <w:qFormat/>
    <w:uiPriority w:val="0"/>
    <w:pPr>
      <w:widowControl/>
      <w:jc w:val="center"/>
    </w:pPr>
    <w:rPr>
      <w:kern w:val="0"/>
      <w:sz w:val="20"/>
      <w:u w:val="single"/>
      <w:lang w:eastAsia="en-US"/>
    </w:rPr>
  </w:style>
  <w:style w:type="paragraph" w:styleId="44">
    <w:name w:val="annotation subject"/>
    <w:basedOn w:val="16"/>
    <w:next w:val="16"/>
    <w:link w:val="90"/>
    <w:qFormat/>
    <w:uiPriority w:val="99"/>
    <w:rPr>
      <w:b/>
      <w:bCs/>
    </w:rPr>
  </w:style>
  <w:style w:type="paragraph" w:styleId="45">
    <w:name w:val="Body Text First Indent"/>
    <w:basedOn w:val="2"/>
    <w:qFormat/>
    <w:uiPriority w:val="0"/>
    <w:pPr>
      <w:ind w:firstLine="420" w:firstLineChars="100"/>
    </w:pPr>
    <w:rPr>
      <w:rFonts w:ascii="Calibri" w:hAnsi="Calibri" w:eastAsia="方正仿宋_GBK" w:cs="Times New Roman"/>
      <w:sz w:val="32"/>
      <w:szCs w:val="20"/>
    </w:rPr>
  </w:style>
  <w:style w:type="paragraph" w:styleId="46">
    <w:name w:val="Body Text First Indent 2"/>
    <w:basedOn w:val="18"/>
    <w:next w:val="1"/>
    <w:qFormat/>
    <w:uiPriority w:val="0"/>
    <w:pPr>
      <w:spacing w:after="120"/>
      <w:ind w:left="420" w:leftChars="200" w:firstLine="420"/>
    </w:pPr>
    <w:rPr>
      <w:szCs w:val="20"/>
    </w:rPr>
  </w:style>
  <w:style w:type="table" w:styleId="48">
    <w:name w:val="Table Grid"/>
    <w:basedOn w:val="4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0">
    <w:name w:val="Strong"/>
    <w:qFormat/>
    <w:uiPriority w:val="0"/>
    <w:rPr>
      <w:b/>
      <w:bCs/>
    </w:rPr>
  </w:style>
  <w:style w:type="character" w:styleId="51">
    <w:name w:val="endnote reference"/>
    <w:qFormat/>
    <w:uiPriority w:val="0"/>
    <w:rPr>
      <w:vertAlign w:val="superscript"/>
    </w:rPr>
  </w:style>
  <w:style w:type="character" w:styleId="52">
    <w:name w:val="page number"/>
    <w:basedOn w:val="49"/>
    <w:qFormat/>
    <w:uiPriority w:val="0"/>
  </w:style>
  <w:style w:type="character" w:styleId="53">
    <w:name w:val="FollowedHyperlink"/>
    <w:qFormat/>
    <w:uiPriority w:val="99"/>
    <w:rPr>
      <w:color w:val="800080"/>
      <w:u w:val="single"/>
    </w:rPr>
  </w:style>
  <w:style w:type="character" w:styleId="54">
    <w:name w:val="Emphasis"/>
    <w:qFormat/>
    <w:uiPriority w:val="20"/>
    <w:rPr>
      <w:i/>
      <w:iCs/>
    </w:rPr>
  </w:style>
  <w:style w:type="character" w:styleId="55">
    <w:name w:val="HTML Definition"/>
    <w:basedOn w:val="49"/>
    <w:unhideWhenUsed/>
    <w:qFormat/>
    <w:uiPriority w:val="99"/>
  </w:style>
  <w:style w:type="character" w:styleId="56">
    <w:name w:val="HTML Variable"/>
    <w:basedOn w:val="49"/>
    <w:unhideWhenUsed/>
    <w:qFormat/>
    <w:uiPriority w:val="99"/>
  </w:style>
  <w:style w:type="character" w:styleId="57">
    <w:name w:val="Hyperlink"/>
    <w:basedOn w:val="49"/>
    <w:qFormat/>
    <w:uiPriority w:val="99"/>
    <w:rPr>
      <w:color w:val="0000FF"/>
      <w:u w:val="single"/>
    </w:rPr>
  </w:style>
  <w:style w:type="character" w:styleId="58">
    <w:name w:val="HTML Code"/>
    <w:basedOn w:val="49"/>
    <w:unhideWhenUsed/>
    <w:qFormat/>
    <w:uiPriority w:val="99"/>
    <w:rPr>
      <w:rFonts w:ascii="Courier New" w:hAnsi="Courier New"/>
      <w:sz w:val="20"/>
    </w:rPr>
  </w:style>
  <w:style w:type="character" w:styleId="59">
    <w:name w:val="annotation reference"/>
    <w:qFormat/>
    <w:uiPriority w:val="0"/>
    <w:rPr>
      <w:sz w:val="21"/>
      <w:szCs w:val="21"/>
    </w:rPr>
  </w:style>
  <w:style w:type="character" w:styleId="60">
    <w:name w:val="HTML Cite"/>
    <w:basedOn w:val="49"/>
    <w:unhideWhenUsed/>
    <w:qFormat/>
    <w:uiPriority w:val="99"/>
  </w:style>
  <w:style w:type="character" w:styleId="61">
    <w:name w:val="footnote reference"/>
    <w:qFormat/>
    <w:uiPriority w:val="0"/>
    <w:rPr>
      <w:vertAlign w:val="superscript"/>
    </w:rPr>
  </w:style>
  <w:style w:type="character" w:customStyle="1" w:styleId="62">
    <w:name w:val="标题 2 Char"/>
    <w:qFormat/>
    <w:uiPriority w:val="0"/>
    <w:rPr>
      <w:rFonts w:ascii="仿宋_GB2312" w:hAnsi="Calibri" w:eastAsia="仿宋_GB2312" w:cs="Times New Roman"/>
      <w:b/>
      <w:spacing w:val="1"/>
      <w:w w:val="99"/>
      <w:kern w:val="0"/>
      <w:sz w:val="28"/>
      <w:szCs w:val="32"/>
    </w:rPr>
  </w:style>
  <w:style w:type="character" w:customStyle="1" w:styleId="63">
    <w:name w:val="标题 1 Char2"/>
    <w:basedOn w:val="49"/>
    <w:link w:val="3"/>
    <w:qFormat/>
    <w:uiPriority w:val="9"/>
    <w:rPr>
      <w:rFonts w:ascii="Times New Roman" w:hAnsi="Times New Roman" w:eastAsia="宋体" w:cs="Times New Roman"/>
      <w:b/>
      <w:bCs/>
      <w:kern w:val="44"/>
      <w:sz w:val="44"/>
      <w:szCs w:val="44"/>
    </w:rPr>
  </w:style>
  <w:style w:type="character" w:customStyle="1" w:styleId="64">
    <w:name w:val="标题 2 Char2"/>
    <w:basedOn w:val="49"/>
    <w:link w:val="4"/>
    <w:qFormat/>
    <w:uiPriority w:val="9"/>
    <w:rPr>
      <w:rFonts w:ascii="Cambria" w:hAnsi="Cambria" w:eastAsia="宋体" w:cs="Times New Roman"/>
      <w:b/>
      <w:bCs/>
      <w:sz w:val="32"/>
      <w:szCs w:val="32"/>
    </w:rPr>
  </w:style>
  <w:style w:type="character" w:customStyle="1" w:styleId="65">
    <w:name w:val="标题 3 Char2"/>
    <w:basedOn w:val="49"/>
    <w:link w:val="5"/>
    <w:qFormat/>
    <w:uiPriority w:val="0"/>
    <w:rPr>
      <w:rFonts w:ascii="Times New Roman" w:hAnsi="Times New Roman" w:eastAsia="宋体" w:cs="Times New Roman"/>
      <w:b/>
      <w:bCs/>
      <w:sz w:val="32"/>
      <w:szCs w:val="32"/>
    </w:rPr>
  </w:style>
  <w:style w:type="character" w:customStyle="1" w:styleId="66">
    <w:name w:val="标题 4 Char2"/>
    <w:basedOn w:val="49"/>
    <w:link w:val="6"/>
    <w:qFormat/>
    <w:uiPriority w:val="0"/>
    <w:rPr>
      <w:rFonts w:ascii="宋体" w:hAnsi="宋体" w:eastAsia="宋体" w:cs="宋体"/>
      <w:b/>
      <w:bCs/>
      <w:kern w:val="0"/>
      <w:sz w:val="24"/>
      <w:szCs w:val="24"/>
    </w:rPr>
  </w:style>
  <w:style w:type="character" w:customStyle="1" w:styleId="67">
    <w:name w:val="标题 5 Char2"/>
    <w:basedOn w:val="49"/>
    <w:link w:val="7"/>
    <w:qFormat/>
    <w:uiPriority w:val="0"/>
    <w:rPr>
      <w:rFonts w:ascii="宋体" w:hAnsi="宋体" w:eastAsia="宋体" w:cs="宋体"/>
      <w:b/>
      <w:bCs/>
      <w:kern w:val="0"/>
      <w:sz w:val="20"/>
      <w:szCs w:val="20"/>
    </w:rPr>
  </w:style>
  <w:style w:type="character" w:customStyle="1" w:styleId="68">
    <w:name w:val="标题 6 Char2"/>
    <w:basedOn w:val="49"/>
    <w:link w:val="8"/>
    <w:qFormat/>
    <w:uiPriority w:val="0"/>
    <w:rPr>
      <w:rFonts w:ascii="Times New Roman" w:hAnsi="Arial" w:eastAsia="仿宋_GB2312" w:cs="Times New Roman"/>
      <w:kern w:val="0"/>
      <w:sz w:val="30"/>
      <w:szCs w:val="20"/>
    </w:rPr>
  </w:style>
  <w:style w:type="character" w:customStyle="1" w:styleId="69">
    <w:name w:val="标题 7 Char2"/>
    <w:basedOn w:val="49"/>
    <w:link w:val="10"/>
    <w:qFormat/>
    <w:uiPriority w:val="0"/>
    <w:rPr>
      <w:rFonts w:ascii="Times New Roman" w:hAnsi="Times New Roman" w:eastAsia="仿宋_GB2312" w:cs="Times New Roman"/>
      <w:kern w:val="0"/>
      <w:sz w:val="30"/>
      <w:szCs w:val="20"/>
    </w:rPr>
  </w:style>
  <w:style w:type="character" w:customStyle="1" w:styleId="70">
    <w:name w:val="标题 8 Char2"/>
    <w:basedOn w:val="49"/>
    <w:link w:val="11"/>
    <w:qFormat/>
    <w:uiPriority w:val="0"/>
    <w:rPr>
      <w:rFonts w:ascii="Times New Roman" w:hAnsi="Arial" w:eastAsia="仿宋_GB2312" w:cs="Times New Roman"/>
      <w:kern w:val="0"/>
      <w:sz w:val="30"/>
      <w:szCs w:val="20"/>
    </w:rPr>
  </w:style>
  <w:style w:type="character" w:customStyle="1" w:styleId="71">
    <w:name w:val="标题 9 Char2"/>
    <w:basedOn w:val="49"/>
    <w:link w:val="12"/>
    <w:qFormat/>
    <w:uiPriority w:val="0"/>
    <w:rPr>
      <w:rFonts w:ascii="Times New Roman" w:hAnsi="Times New Roman" w:eastAsia="仿宋_GB2312" w:cs="Times New Roman"/>
      <w:kern w:val="0"/>
      <w:sz w:val="30"/>
      <w:szCs w:val="20"/>
    </w:rPr>
  </w:style>
  <w:style w:type="character" w:customStyle="1" w:styleId="72">
    <w:name w:val="正文文本 Char4"/>
    <w:basedOn w:val="49"/>
    <w:link w:val="2"/>
    <w:qFormat/>
    <w:uiPriority w:val="0"/>
    <w:rPr>
      <w:rFonts w:ascii="Times New Roman" w:hAnsi="Times New Roman" w:eastAsia="宋体" w:cs="Times New Roman"/>
      <w:szCs w:val="24"/>
    </w:rPr>
  </w:style>
  <w:style w:type="character" w:customStyle="1" w:styleId="73">
    <w:name w:val="文档结构图 Char4"/>
    <w:basedOn w:val="49"/>
    <w:link w:val="15"/>
    <w:qFormat/>
    <w:uiPriority w:val="0"/>
    <w:rPr>
      <w:rFonts w:ascii="Times New Roman" w:hAnsi="Times New Roman" w:eastAsia="宋体" w:cs="Times New Roman"/>
      <w:szCs w:val="24"/>
      <w:shd w:val="clear" w:color="auto" w:fill="000080"/>
    </w:rPr>
  </w:style>
  <w:style w:type="character" w:customStyle="1" w:styleId="74">
    <w:name w:val="批注文字 Char3"/>
    <w:basedOn w:val="49"/>
    <w:link w:val="16"/>
    <w:qFormat/>
    <w:uiPriority w:val="0"/>
    <w:rPr>
      <w:rFonts w:ascii="Times New Roman" w:hAnsi="Times New Roman" w:eastAsia="宋体" w:cs="Times New Roman"/>
      <w:szCs w:val="24"/>
    </w:rPr>
  </w:style>
  <w:style w:type="character" w:customStyle="1" w:styleId="75">
    <w:name w:val="正文文本 3 Char3"/>
    <w:basedOn w:val="49"/>
    <w:link w:val="17"/>
    <w:qFormat/>
    <w:uiPriority w:val="0"/>
    <w:rPr>
      <w:rFonts w:ascii="Times New Roman" w:hAnsi="Times New Roman" w:eastAsia="宋体" w:cs="Times New Roman"/>
      <w:sz w:val="16"/>
      <w:szCs w:val="16"/>
    </w:rPr>
  </w:style>
  <w:style w:type="character" w:customStyle="1" w:styleId="76">
    <w:name w:val="正文文本缩进 Char3"/>
    <w:basedOn w:val="49"/>
    <w:link w:val="18"/>
    <w:qFormat/>
    <w:uiPriority w:val="0"/>
    <w:rPr>
      <w:rFonts w:ascii="Times New Roman" w:hAnsi="Times New Roman" w:eastAsia="宋体" w:cs="Times New Roman"/>
      <w:szCs w:val="24"/>
    </w:rPr>
  </w:style>
  <w:style w:type="character" w:customStyle="1" w:styleId="77">
    <w:name w:val="纯文本 Char3"/>
    <w:basedOn w:val="49"/>
    <w:link w:val="23"/>
    <w:qFormat/>
    <w:uiPriority w:val="0"/>
    <w:rPr>
      <w:rFonts w:ascii="宋体" w:hAnsi="Courier New" w:eastAsia="宋体" w:cs="Courier New"/>
      <w:szCs w:val="21"/>
    </w:rPr>
  </w:style>
  <w:style w:type="character" w:customStyle="1" w:styleId="78">
    <w:name w:val="日期 Char4"/>
    <w:basedOn w:val="49"/>
    <w:link w:val="25"/>
    <w:qFormat/>
    <w:uiPriority w:val="99"/>
    <w:rPr>
      <w:rFonts w:ascii="Times New Roman" w:hAnsi="Times New Roman" w:eastAsia="宋体" w:cs="Times New Roman"/>
      <w:szCs w:val="24"/>
    </w:rPr>
  </w:style>
  <w:style w:type="character" w:customStyle="1" w:styleId="79">
    <w:name w:val="正文文本缩进 2 Char3"/>
    <w:basedOn w:val="49"/>
    <w:link w:val="26"/>
    <w:qFormat/>
    <w:uiPriority w:val="0"/>
    <w:rPr>
      <w:rFonts w:ascii="Times New Roman" w:hAnsi="Times New Roman" w:eastAsia="宋体" w:cs="Times New Roman"/>
      <w:kern w:val="0"/>
      <w:sz w:val="28"/>
      <w:szCs w:val="24"/>
    </w:rPr>
  </w:style>
  <w:style w:type="character" w:customStyle="1" w:styleId="80">
    <w:name w:val="尾注文本 Char3"/>
    <w:basedOn w:val="49"/>
    <w:link w:val="27"/>
    <w:qFormat/>
    <w:uiPriority w:val="0"/>
    <w:rPr>
      <w:rFonts w:ascii="Arial" w:hAnsi="Arial" w:eastAsia="宋体" w:cs="Arial"/>
      <w:kern w:val="0"/>
      <w:sz w:val="20"/>
      <w:szCs w:val="24"/>
      <w:lang w:eastAsia="en-US"/>
    </w:rPr>
  </w:style>
  <w:style w:type="character" w:customStyle="1" w:styleId="81">
    <w:name w:val="批注框文本 Char4"/>
    <w:basedOn w:val="49"/>
    <w:link w:val="28"/>
    <w:qFormat/>
    <w:uiPriority w:val="99"/>
    <w:rPr>
      <w:rFonts w:ascii="Times New Roman" w:hAnsi="Times New Roman" w:eastAsia="宋体" w:cs="Times New Roman"/>
      <w:sz w:val="18"/>
      <w:szCs w:val="18"/>
    </w:rPr>
  </w:style>
  <w:style w:type="character" w:customStyle="1" w:styleId="82">
    <w:name w:val="页脚 Char2"/>
    <w:basedOn w:val="49"/>
    <w:link w:val="29"/>
    <w:qFormat/>
    <w:uiPriority w:val="99"/>
    <w:rPr>
      <w:rFonts w:ascii="Times New Roman" w:hAnsi="Times New Roman" w:eastAsia="宋体" w:cs="Times New Roman"/>
      <w:sz w:val="18"/>
      <w:szCs w:val="18"/>
    </w:rPr>
  </w:style>
  <w:style w:type="character" w:customStyle="1" w:styleId="83">
    <w:name w:val="页眉 Char2"/>
    <w:basedOn w:val="49"/>
    <w:link w:val="30"/>
    <w:qFormat/>
    <w:uiPriority w:val="99"/>
    <w:rPr>
      <w:rFonts w:ascii="Times New Roman" w:hAnsi="Times New Roman" w:eastAsia="宋体" w:cs="Times New Roman"/>
      <w:sz w:val="18"/>
      <w:szCs w:val="18"/>
    </w:rPr>
  </w:style>
  <w:style w:type="character" w:customStyle="1" w:styleId="84">
    <w:name w:val="副标题 Char3"/>
    <w:basedOn w:val="49"/>
    <w:link w:val="33"/>
    <w:qFormat/>
    <w:uiPriority w:val="0"/>
    <w:rPr>
      <w:rFonts w:ascii="Times New Roman" w:hAnsi="Times New Roman" w:eastAsia="宋体" w:cs="Times New Roman"/>
      <w:kern w:val="0"/>
      <w:sz w:val="20"/>
      <w:szCs w:val="24"/>
      <w:u w:val="single"/>
      <w:lang w:eastAsia="en-US"/>
    </w:rPr>
  </w:style>
  <w:style w:type="character" w:customStyle="1" w:styleId="85">
    <w:name w:val="脚注文本 Char3"/>
    <w:basedOn w:val="49"/>
    <w:link w:val="34"/>
    <w:qFormat/>
    <w:uiPriority w:val="0"/>
    <w:rPr>
      <w:rFonts w:ascii="Arial" w:hAnsi="Arial" w:eastAsia="宋体" w:cs="Arial"/>
      <w:kern w:val="0"/>
      <w:sz w:val="18"/>
      <w:szCs w:val="18"/>
      <w:lang w:eastAsia="en-US"/>
    </w:rPr>
  </w:style>
  <w:style w:type="character" w:customStyle="1" w:styleId="86">
    <w:name w:val="正文文本缩进 3 Char3"/>
    <w:basedOn w:val="49"/>
    <w:link w:val="36"/>
    <w:qFormat/>
    <w:uiPriority w:val="0"/>
    <w:rPr>
      <w:rFonts w:ascii="宋体" w:hAnsi="宋体" w:eastAsia="宋体" w:cs="Times New Roman"/>
      <w:sz w:val="28"/>
      <w:szCs w:val="28"/>
    </w:rPr>
  </w:style>
  <w:style w:type="character" w:customStyle="1" w:styleId="87">
    <w:name w:val="正文文本 2 Char"/>
    <w:basedOn w:val="49"/>
    <w:link w:val="39"/>
    <w:qFormat/>
    <w:uiPriority w:val="0"/>
    <w:rPr>
      <w:rFonts w:ascii="Times New Roman" w:hAnsi="Times New Roman" w:eastAsia="宋体" w:cs="Times New Roman"/>
      <w:i/>
      <w:iCs/>
      <w:sz w:val="26"/>
      <w:szCs w:val="24"/>
    </w:rPr>
  </w:style>
  <w:style w:type="character" w:customStyle="1" w:styleId="88">
    <w:name w:val="HTML 预设格式 Char3"/>
    <w:basedOn w:val="49"/>
    <w:link w:val="40"/>
    <w:qFormat/>
    <w:uiPriority w:val="0"/>
    <w:rPr>
      <w:rFonts w:ascii="宋体" w:hAnsi="宋体" w:eastAsia="宋体" w:cs="宋体"/>
      <w:color w:val="000000"/>
      <w:kern w:val="0"/>
      <w:sz w:val="24"/>
      <w:szCs w:val="24"/>
    </w:rPr>
  </w:style>
  <w:style w:type="character" w:customStyle="1" w:styleId="89">
    <w:name w:val="标题 Char3"/>
    <w:basedOn w:val="49"/>
    <w:link w:val="43"/>
    <w:qFormat/>
    <w:uiPriority w:val="0"/>
    <w:rPr>
      <w:rFonts w:ascii="Times New Roman" w:hAnsi="Times New Roman" w:eastAsia="宋体" w:cs="Times New Roman"/>
      <w:kern w:val="0"/>
      <w:sz w:val="20"/>
      <w:szCs w:val="24"/>
      <w:u w:val="single"/>
      <w:lang w:eastAsia="en-US"/>
    </w:rPr>
  </w:style>
  <w:style w:type="character" w:customStyle="1" w:styleId="90">
    <w:name w:val="批注主题 Char4"/>
    <w:basedOn w:val="74"/>
    <w:link w:val="44"/>
    <w:qFormat/>
    <w:uiPriority w:val="99"/>
    <w:rPr>
      <w:rFonts w:ascii="Times New Roman" w:hAnsi="Times New Roman" w:eastAsia="宋体" w:cs="Times New Roman"/>
      <w:b/>
      <w:bCs/>
      <w:szCs w:val="24"/>
    </w:rPr>
  </w:style>
  <w:style w:type="paragraph" w:customStyle="1" w:styleId="91">
    <w:name w:val="列出段落1"/>
    <w:basedOn w:val="1"/>
    <w:qFormat/>
    <w:uiPriority w:val="99"/>
    <w:pPr>
      <w:ind w:firstLine="420" w:firstLineChars="200"/>
    </w:pPr>
    <w:rPr>
      <w:sz w:val="28"/>
      <w:szCs w:val="28"/>
    </w:rPr>
  </w:style>
  <w:style w:type="paragraph" w:customStyle="1" w:styleId="92">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3">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4">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95">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96">
    <w:name w:val="1 Char"/>
    <w:basedOn w:val="1"/>
    <w:qFormat/>
    <w:uiPriority w:val="0"/>
    <w:pPr>
      <w:widowControl/>
      <w:spacing w:after="160" w:line="240" w:lineRule="exact"/>
      <w:jc w:val="left"/>
    </w:pPr>
    <w:rPr>
      <w:rFonts w:ascii="Calibri" w:hAnsi="Calibri"/>
      <w:szCs w:val="20"/>
    </w:rPr>
  </w:style>
  <w:style w:type="paragraph" w:customStyle="1" w:styleId="97">
    <w:name w:val="列表段落1"/>
    <w:basedOn w:val="98"/>
    <w:qFormat/>
    <w:uiPriority w:val="34"/>
    <w:pPr>
      <w:ind w:firstLine="420" w:firstLineChars="200"/>
    </w:pPr>
    <w:rPr>
      <w:rFonts w:ascii="Calibri" w:hAnsi="Calibri"/>
    </w:rPr>
  </w:style>
  <w:style w:type="paragraph" w:customStyle="1" w:styleId="98">
    <w:name w:val="五级条标题"/>
    <w:basedOn w:val="99"/>
    <w:next w:val="99"/>
    <w:qFormat/>
    <w:uiPriority w:val="0"/>
    <w:pPr>
      <w:outlineLvl w:val="6"/>
    </w:pPr>
  </w:style>
  <w:style w:type="paragraph" w:customStyle="1" w:styleId="99">
    <w:name w:val="章标题"/>
    <w:next w:val="100"/>
    <w:qFormat/>
    <w:uiPriority w:val="0"/>
    <w:pPr>
      <w:jc w:val="both"/>
      <w:outlineLvl w:val="1"/>
    </w:pPr>
    <w:rPr>
      <w:rFonts w:ascii="黑体" w:hAnsi="黑体" w:eastAsia="黑体" w:cs="Times New Roman"/>
      <w:kern w:val="1"/>
      <w:sz w:val="21"/>
      <w:lang w:val="en-US" w:eastAsia="zh-CN" w:bidi="ar-SA"/>
    </w:rPr>
  </w:style>
  <w:style w:type="paragraph" w:customStyle="1" w:styleId="100">
    <w:name w:val="目次、标准名称标题"/>
    <w:basedOn w:val="101"/>
    <w:next w:val="10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01">
    <w:name w:val="投标正文"/>
    <w:basedOn w:val="102"/>
    <w:qFormat/>
    <w:uiPriority w:val="0"/>
    <w:pPr>
      <w:spacing w:line="360" w:lineRule="auto"/>
    </w:pPr>
    <w:rPr>
      <w:spacing w:val="15"/>
      <w:sz w:val="32"/>
      <w:szCs w:val="32"/>
    </w:rPr>
  </w:style>
  <w:style w:type="paragraph" w:customStyle="1" w:styleId="102">
    <w:name w:val="四级条标题"/>
    <w:basedOn w:val="103"/>
    <w:next w:val="103"/>
    <w:qFormat/>
    <w:uiPriority w:val="0"/>
    <w:pPr>
      <w:outlineLvl w:val="5"/>
    </w:pPr>
  </w:style>
  <w:style w:type="paragraph" w:customStyle="1" w:styleId="103">
    <w:name w:val="三级条标题"/>
    <w:basedOn w:val="104"/>
    <w:next w:val="104"/>
    <w:qFormat/>
    <w:uiPriority w:val="0"/>
    <w:pPr>
      <w:outlineLvl w:val="4"/>
    </w:pPr>
  </w:style>
  <w:style w:type="paragraph" w:customStyle="1" w:styleId="104">
    <w:name w:val="二级条标题"/>
    <w:basedOn w:val="105"/>
    <w:next w:val="105"/>
    <w:qFormat/>
    <w:uiPriority w:val="0"/>
    <w:pPr>
      <w:outlineLvl w:val="3"/>
    </w:pPr>
  </w:style>
  <w:style w:type="paragraph" w:customStyle="1" w:styleId="105">
    <w:name w:val="一级条标题"/>
    <w:next w:val="9"/>
    <w:qFormat/>
    <w:uiPriority w:val="0"/>
    <w:pPr>
      <w:outlineLvl w:val="2"/>
    </w:pPr>
    <w:rPr>
      <w:rFonts w:ascii="黑体" w:hAnsi="黑体" w:eastAsia="黑体" w:cs="Times New Roman"/>
      <w:kern w:val="1"/>
      <w:sz w:val="21"/>
      <w:szCs w:val="21"/>
      <w:lang w:val="en-US" w:eastAsia="zh-CN" w:bidi="ar-SA"/>
    </w:rPr>
  </w:style>
  <w:style w:type="paragraph" w:customStyle="1" w:styleId="106">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07">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10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109">
    <w:name w:val="TOC 标题2"/>
    <w:basedOn w:val="3"/>
    <w:next w:val="1"/>
    <w:unhideWhenUsed/>
    <w:qFormat/>
    <w:uiPriority w:val="0"/>
    <w:pPr>
      <w:outlineLvl w:val="9"/>
    </w:pPr>
    <w:rPr>
      <w:rFonts w:ascii="Calibri" w:hAnsi="Calibri"/>
    </w:rPr>
  </w:style>
  <w:style w:type="paragraph" w:customStyle="1" w:styleId="110">
    <w:name w:val="样式1"/>
    <w:basedOn w:val="1"/>
    <w:next w:val="6"/>
    <w:qFormat/>
    <w:uiPriority w:val="0"/>
    <w:pPr>
      <w:spacing w:line="360" w:lineRule="auto"/>
      <w:ind w:firstLine="420" w:firstLineChars="200"/>
    </w:pPr>
    <w:rPr>
      <w:rFonts w:ascii="宋体" w:hAnsi="宋体"/>
      <w:szCs w:val="21"/>
    </w:rPr>
  </w:style>
  <w:style w:type="paragraph" w:customStyle="1" w:styleId="111">
    <w:name w:val="列出段落111"/>
    <w:basedOn w:val="1"/>
    <w:qFormat/>
    <w:uiPriority w:val="0"/>
    <w:pPr>
      <w:ind w:firstLine="420" w:firstLineChars="200"/>
    </w:pPr>
    <w:rPr>
      <w:sz w:val="28"/>
      <w:szCs w:val="28"/>
    </w:rPr>
  </w:style>
  <w:style w:type="paragraph" w:customStyle="1" w:styleId="112">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13">
    <w:name w:val="pa-27"/>
    <w:basedOn w:val="1"/>
    <w:qFormat/>
    <w:uiPriority w:val="0"/>
    <w:pPr>
      <w:widowControl/>
      <w:spacing w:line="360" w:lineRule="atLeast"/>
      <w:ind w:firstLine="420"/>
    </w:pPr>
    <w:rPr>
      <w:rFonts w:ascii="宋体" w:hAnsi="宋体" w:cs="宋体"/>
      <w:kern w:val="0"/>
      <w:sz w:val="24"/>
    </w:rPr>
  </w:style>
  <w:style w:type="paragraph" w:customStyle="1" w:styleId="11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16">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17">
    <w:name w:val="Char Char Char Char"/>
    <w:basedOn w:val="15"/>
    <w:qFormat/>
    <w:uiPriority w:val="0"/>
    <w:pPr>
      <w:spacing w:line="360" w:lineRule="auto"/>
      <w:ind w:firstLine="200" w:firstLineChars="200"/>
    </w:pPr>
    <w:rPr>
      <w:rFonts w:ascii="Tahoma" w:hAnsi="Tahoma"/>
      <w:sz w:val="24"/>
    </w:rPr>
  </w:style>
  <w:style w:type="paragraph" w:customStyle="1" w:styleId="118">
    <w:name w:val="表格内容"/>
    <w:basedOn w:val="1"/>
    <w:qFormat/>
    <w:uiPriority w:val="0"/>
    <w:pPr>
      <w:suppressLineNumbers/>
      <w:suppressAutoHyphens/>
    </w:pPr>
  </w:style>
  <w:style w:type="paragraph" w:customStyle="1" w:styleId="11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2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22">
    <w:name w:val="明显引用1"/>
    <w:basedOn w:val="1"/>
    <w:next w:val="1"/>
    <w:link w:val="123"/>
    <w:qFormat/>
    <w:uiPriority w:val="0"/>
    <w:pPr>
      <w:pBdr>
        <w:bottom w:val="single" w:color="4F81BD" w:sz="4" w:space="4"/>
      </w:pBdr>
      <w:spacing w:before="200" w:after="280"/>
      <w:ind w:left="936" w:right="936"/>
    </w:pPr>
    <w:rPr>
      <w:b/>
      <w:bCs/>
      <w:i/>
      <w:iCs/>
      <w:color w:val="4F81BD"/>
      <w:szCs w:val="22"/>
    </w:rPr>
  </w:style>
  <w:style w:type="character" w:customStyle="1" w:styleId="123">
    <w:name w:val="明显引用 Char4"/>
    <w:basedOn w:val="49"/>
    <w:link w:val="122"/>
    <w:qFormat/>
    <w:uiPriority w:val="0"/>
    <w:rPr>
      <w:rFonts w:ascii="Times New Roman" w:hAnsi="Times New Roman" w:eastAsia="宋体" w:cs="Times New Roman"/>
      <w:b/>
      <w:bCs/>
      <w:i/>
      <w:iCs/>
      <w:color w:val="4F81BD"/>
    </w:rPr>
  </w:style>
  <w:style w:type="paragraph" w:customStyle="1" w:styleId="124">
    <w:name w:val="表体"/>
    <w:basedOn w:val="1"/>
    <w:next w:val="1"/>
    <w:qFormat/>
    <w:uiPriority w:val="0"/>
    <w:pPr>
      <w:spacing w:line="0" w:lineRule="atLeast"/>
    </w:pPr>
    <w:rPr>
      <w:rFonts w:ascii="Calibri" w:hAnsi="Calibri"/>
      <w:b/>
      <w:snapToGrid w:val="0"/>
      <w:szCs w:val="20"/>
    </w:rPr>
  </w:style>
  <w:style w:type="paragraph" w:customStyle="1" w:styleId="12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26">
    <w:name w:val="pa-34"/>
    <w:basedOn w:val="1"/>
    <w:qFormat/>
    <w:uiPriority w:val="0"/>
    <w:pPr>
      <w:widowControl/>
      <w:spacing w:line="360" w:lineRule="atLeast"/>
      <w:ind w:firstLine="420"/>
      <w:jc w:val="left"/>
    </w:pPr>
    <w:rPr>
      <w:rFonts w:ascii="宋体" w:hAnsi="宋体" w:cs="宋体"/>
      <w:kern w:val="0"/>
      <w:sz w:val="24"/>
    </w:rPr>
  </w:style>
  <w:style w:type="paragraph" w:customStyle="1" w:styleId="127">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29">
    <w:name w:val="p16"/>
    <w:basedOn w:val="1"/>
    <w:qFormat/>
    <w:uiPriority w:val="0"/>
    <w:pPr>
      <w:widowControl/>
    </w:pPr>
    <w:rPr>
      <w:rFonts w:ascii="Calibri" w:hAnsi="Calibri" w:cs="宋体"/>
      <w:kern w:val="0"/>
      <w:szCs w:val="21"/>
    </w:rPr>
  </w:style>
  <w:style w:type="paragraph" w:customStyle="1" w:styleId="13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3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3">
    <w:name w:val="标题4"/>
    <w:basedOn w:val="4"/>
    <w:next w:val="20"/>
    <w:link w:val="298"/>
    <w:qFormat/>
    <w:uiPriority w:val="0"/>
    <w:pPr>
      <w:spacing w:line="413" w:lineRule="auto"/>
    </w:pPr>
    <w:rPr>
      <w:rFonts w:ascii="Arial" w:hAnsi="Arial"/>
      <w:kern w:val="0"/>
      <w:sz w:val="24"/>
    </w:rPr>
  </w:style>
  <w:style w:type="paragraph" w:customStyle="1" w:styleId="134">
    <w:name w:val="Char Char"/>
    <w:basedOn w:val="1"/>
    <w:qFormat/>
    <w:uiPriority w:val="0"/>
    <w:pPr>
      <w:widowControl/>
      <w:jc w:val="left"/>
    </w:pPr>
    <w:rPr>
      <w:rFonts w:ascii="Verdana" w:hAnsi="Verdana" w:eastAsia="Times New Roman"/>
      <w:kern w:val="0"/>
      <w:sz w:val="16"/>
      <w:szCs w:val="20"/>
      <w:lang w:eastAsia="en-US"/>
    </w:rPr>
  </w:style>
  <w:style w:type="paragraph" w:customStyle="1" w:styleId="13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7">
    <w:name w:val="WW-表格内容"/>
    <w:basedOn w:val="1"/>
    <w:qFormat/>
    <w:uiPriority w:val="0"/>
    <w:pPr>
      <w:suppressLineNumbers/>
      <w:suppressAutoHyphens/>
    </w:pPr>
  </w:style>
  <w:style w:type="paragraph" w:customStyle="1" w:styleId="138">
    <w:name w:val="Char"/>
    <w:basedOn w:val="1"/>
    <w:qFormat/>
    <w:uiPriority w:val="0"/>
  </w:style>
  <w:style w:type="paragraph" w:customStyle="1" w:styleId="139">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40">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41">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4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43">
    <w:name w:val="Char9 Char Char Char Char Char Char"/>
    <w:basedOn w:val="15"/>
    <w:qFormat/>
    <w:uiPriority w:val="0"/>
    <w:pPr>
      <w:spacing w:line="360" w:lineRule="auto"/>
      <w:ind w:firstLine="200" w:firstLineChars="200"/>
    </w:pPr>
    <w:rPr>
      <w:rFonts w:ascii="Tahoma" w:hAnsi="Tahoma"/>
      <w:sz w:val="24"/>
    </w:rPr>
  </w:style>
  <w:style w:type="paragraph" w:customStyle="1" w:styleId="14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45">
    <w:name w:val="Default"/>
    <w:next w:val="146"/>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46">
    <w:name w:val="List Paragraph"/>
    <w:basedOn w:val="98"/>
    <w:qFormat/>
    <w:uiPriority w:val="1"/>
    <w:pPr>
      <w:ind w:left="100" w:firstLine="420"/>
    </w:pPr>
    <w:rPr>
      <w:rFonts w:ascii="宋体" w:hAnsi="宋体" w:eastAsia="宋体" w:cs="宋体"/>
    </w:rPr>
  </w:style>
  <w:style w:type="paragraph" w:customStyle="1" w:styleId="147">
    <w:name w:val="p15"/>
    <w:basedOn w:val="1"/>
    <w:qFormat/>
    <w:uiPriority w:val="0"/>
    <w:pPr>
      <w:widowControl/>
      <w:spacing w:after="120"/>
    </w:pPr>
    <w:rPr>
      <w:kern w:val="0"/>
      <w:szCs w:val="21"/>
    </w:rPr>
  </w:style>
  <w:style w:type="paragraph" w:customStyle="1" w:styleId="148">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49">
    <w:name w:val="正  文"/>
    <w:basedOn w:val="1"/>
    <w:qFormat/>
    <w:uiPriority w:val="0"/>
    <w:pPr>
      <w:spacing w:line="360" w:lineRule="auto"/>
      <w:ind w:firstLine="200" w:firstLineChars="200"/>
    </w:pPr>
    <w:rPr>
      <w:rFonts w:ascii="宋体" w:hAnsi="Calibri"/>
      <w:sz w:val="24"/>
    </w:rPr>
  </w:style>
  <w:style w:type="paragraph" w:customStyle="1" w:styleId="150">
    <w:name w:val="列出段落11"/>
    <w:basedOn w:val="1"/>
    <w:qFormat/>
    <w:uiPriority w:val="0"/>
    <w:pPr>
      <w:ind w:firstLine="420" w:firstLineChars="200"/>
    </w:pPr>
    <w:rPr>
      <w:sz w:val="28"/>
      <w:szCs w:val="28"/>
    </w:rPr>
  </w:style>
  <w:style w:type="paragraph" w:customStyle="1" w:styleId="15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53">
    <w:name w:val="_Style 96"/>
    <w:semiHidden/>
    <w:qFormat/>
    <w:uiPriority w:val="99"/>
    <w:rPr>
      <w:rFonts w:ascii="Calibri" w:hAnsi="Calibri" w:eastAsia="宋体" w:cs="Times New Roman"/>
      <w:kern w:val="2"/>
      <w:sz w:val="21"/>
      <w:szCs w:val="24"/>
      <w:lang w:val="en-US" w:eastAsia="zh-CN" w:bidi="ar-SA"/>
    </w:rPr>
  </w:style>
  <w:style w:type="paragraph" w:customStyle="1" w:styleId="154">
    <w:name w:val="表格文字"/>
    <w:basedOn w:val="1"/>
    <w:qFormat/>
    <w:uiPriority w:val="0"/>
    <w:pPr>
      <w:adjustRightInd w:val="0"/>
      <w:spacing w:line="420" w:lineRule="atLeast"/>
      <w:jc w:val="left"/>
      <w:textAlignment w:val="baseline"/>
    </w:pPr>
    <w:rPr>
      <w:kern w:val="0"/>
      <w:szCs w:val="20"/>
    </w:rPr>
  </w:style>
  <w:style w:type="paragraph" w:customStyle="1" w:styleId="155">
    <w:name w:val="表格"/>
    <w:basedOn w:val="1"/>
    <w:qFormat/>
    <w:uiPriority w:val="0"/>
    <w:pPr>
      <w:jc w:val="center"/>
      <w:textAlignment w:val="center"/>
    </w:pPr>
    <w:rPr>
      <w:rFonts w:ascii="华文细黑" w:hAnsi="华文细黑"/>
      <w:kern w:val="0"/>
      <w:szCs w:val="20"/>
    </w:rPr>
  </w:style>
  <w:style w:type="paragraph" w:customStyle="1" w:styleId="156">
    <w:name w:val="Char1"/>
    <w:basedOn w:val="1"/>
    <w:qFormat/>
    <w:uiPriority w:val="0"/>
  </w:style>
  <w:style w:type="paragraph" w:customStyle="1" w:styleId="157">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8">
    <w:name w:val="引用2"/>
    <w:basedOn w:val="1"/>
    <w:next w:val="1"/>
    <w:link w:val="260"/>
    <w:qFormat/>
    <w:uiPriority w:val="0"/>
    <w:rPr>
      <w:i/>
      <w:iCs/>
      <w:color w:val="000000"/>
    </w:rPr>
  </w:style>
  <w:style w:type="paragraph" w:customStyle="1" w:styleId="159">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60">
    <w:name w:val="引用1"/>
    <w:basedOn w:val="1"/>
    <w:next w:val="1"/>
    <w:link w:val="161"/>
    <w:qFormat/>
    <w:uiPriority w:val="0"/>
    <w:rPr>
      <w:i/>
      <w:iCs/>
      <w:color w:val="000000"/>
      <w:szCs w:val="22"/>
    </w:rPr>
  </w:style>
  <w:style w:type="character" w:customStyle="1" w:styleId="161">
    <w:name w:val="引用 Char4"/>
    <w:basedOn w:val="49"/>
    <w:link w:val="160"/>
    <w:qFormat/>
    <w:uiPriority w:val="0"/>
    <w:rPr>
      <w:rFonts w:ascii="Times New Roman" w:hAnsi="Times New Roman" w:eastAsia="宋体" w:cs="Times New Roman"/>
      <w:i/>
      <w:iCs/>
      <w:color w:val="000000"/>
    </w:rPr>
  </w:style>
  <w:style w:type="paragraph" w:customStyle="1" w:styleId="162">
    <w:name w:val="修订1"/>
    <w:qFormat/>
    <w:uiPriority w:val="99"/>
    <w:rPr>
      <w:rFonts w:ascii="Times New Roman" w:hAnsi="Times New Roman" w:eastAsia="宋体" w:cs="Times New Roman"/>
      <w:kern w:val="2"/>
      <w:sz w:val="21"/>
      <w:szCs w:val="24"/>
      <w:lang w:val="en-US" w:eastAsia="zh-CN" w:bidi="ar-SA"/>
    </w:rPr>
  </w:style>
  <w:style w:type="paragraph" w:customStyle="1" w:styleId="163">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64">
    <w:name w:val="Char2"/>
    <w:basedOn w:val="1"/>
    <w:qFormat/>
    <w:uiPriority w:val="0"/>
    <w:rPr>
      <w:rFonts w:ascii="Calibri" w:hAnsi="Calibri"/>
    </w:rPr>
  </w:style>
  <w:style w:type="paragraph" w:customStyle="1" w:styleId="165">
    <w:name w:val="标题5"/>
    <w:basedOn w:val="5"/>
    <w:link w:val="297"/>
    <w:qFormat/>
    <w:uiPriority w:val="0"/>
    <w:pPr>
      <w:spacing w:line="413" w:lineRule="auto"/>
    </w:pPr>
    <w:rPr>
      <w:rFonts w:ascii="Arial" w:hAnsi="Arial"/>
      <w:kern w:val="0"/>
      <w:sz w:val="24"/>
    </w:rPr>
  </w:style>
  <w:style w:type="paragraph" w:customStyle="1" w:styleId="166">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7">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8">
    <w:name w:val="表格标题"/>
    <w:basedOn w:val="118"/>
    <w:qFormat/>
    <w:uiPriority w:val="0"/>
  </w:style>
  <w:style w:type="paragraph" w:customStyle="1" w:styleId="169">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70">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71">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3">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4">
    <w:name w:val="WW-表格标题"/>
    <w:basedOn w:val="137"/>
    <w:qFormat/>
    <w:uiPriority w:val="0"/>
  </w:style>
  <w:style w:type="paragraph" w:customStyle="1" w:styleId="175">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76">
    <w:name w:val="明显引用12"/>
    <w:basedOn w:val="1"/>
    <w:next w:val="1"/>
    <w:link w:val="266"/>
    <w:qFormat/>
    <w:uiPriority w:val="30"/>
    <w:pPr>
      <w:pBdr>
        <w:bottom w:val="single" w:color="4F81BD" w:sz="4" w:space="4"/>
      </w:pBdr>
      <w:spacing w:before="200" w:after="280"/>
      <w:ind w:left="936" w:right="936"/>
    </w:pPr>
    <w:rPr>
      <w:b/>
      <w:bCs/>
      <w:i/>
      <w:iCs/>
      <w:color w:val="4F81BD"/>
      <w:szCs w:val="20"/>
    </w:rPr>
  </w:style>
  <w:style w:type="paragraph" w:customStyle="1" w:styleId="177">
    <w:name w:val="标准样式1"/>
    <w:basedOn w:val="1"/>
    <w:qFormat/>
    <w:uiPriority w:val="0"/>
    <w:pPr>
      <w:spacing w:line="600" w:lineRule="exact"/>
      <w:ind w:firstLine="567"/>
    </w:pPr>
    <w:rPr>
      <w:rFonts w:ascii="Calibri" w:hAnsi="Calibri"/>
      <w:sz w:val="28"/>
    </w:rPr>
  </w:style>
  <w:style w:type="paragraph" w:customStyle="1" w:styleId="178">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79">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80">
    <w:name w:val="引用11"/>
    <w:basedOn w:val="1"/>
    <w:next w:val="1"/>
    <w:link w:val="279"/>
    <w:qFormat/>
    <w:uiPriority w:val="29"/>
    <w:rPr>
      <w:i/>
      <w:iCs/>
      <w:color w:val="000000"/>
      <w:szCs w:val="20"/>
    </w:rPr>
  </w:style>
  <w:style w:type="paragraph" w:customStyle="1" w:styleId="181">
    <w:name w:val="_Style 87"/>
    <w:basedOn w:val="1"/>
    <w:qFormat/>
    <w:uiPriority w:val="99"/>
    <w:pPr>
      <w:ind w:firstLine="420" w:firstLineChars="200"/>
    </w:pPr>
    <w:rPr>
      <w:rFonts w:ascii="Calibri" w:hAnsi="Calibri"/>
      <w:sz w:val="28"/>
      <w:szCs w:val="28"/>
    </w:rPr>
  </w:style>
  <w:style w:type="paragraph" w:customStyle="1" w:styleId="182">
    <w:name w:val="自定样式1"/>
    <w:basedOn w:val="1"/>
    <w:qFormat/>
    <w:uiPriority w:val="0"/>
    <w:pPr>
      <w:suppressAutoHyphens/>
      <w:jc w:val="center"/>
    </w:pPr>
    <w:rPr>
      <w:rFonts w:ascii="宋体" w:hAnsi="宋体"/>
      <w:color w:val="000000"/>
      <w:sz w:val="18"/>
    </w:rPr>
  </w:style>
  <w:style w:type="paragraph" w:customStyle="1" w:styleId="18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4">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85">
    <w:name w:val="未处理的提及1"/>
    <w:unhideWhenUsed/>
    <w:qFormat/>
    <w:uiPriority w:val="99"/>
    <w:rPr>
      <w:color w:val="808080"/>
      <w:shd w:val="clear" w:color="auto" w:fill="E6E6E6"/>
    </w:rPr>
  </w:style>
  <w:style w:type="character" w:customStyle="1" w:styleId="186">
    <w:name w:val="正文文本 3 Char"/>
    <w:qFormat/>
    <w:uiPriority w:val="0"/>
    <w:rPr>
      <w:kern w:val="2"/>
      <w:sz w:val="16"/>
      <w:szCs w:val="16"/>
    </w:rPr>
  </w:style>
  <w:style w:type="character" w:customStyle="1" w:styleId="187">
    <w:name w:val="正文文本缩进 Char2"/>
    <w:semiHidden/>
    <w:qFormat/>
    <w:uiPriority w:val="99"/>
    <w:rPr>
      <w:rFonts w:ascii="Calibri" w:hAnsi="Calibri" w:eastAsia="宋体" w:cs="Times New Roman"/>
      <w:szCs w:val="24"/>
    </w:rPr>
  </w:style>
  <w:style w:type="character" w:customStyle="1" w:styleId="188">
    <w:name w:val="标题 3 Char"/>
    <w:qFormat/>
    <w:uiPriority w:val="0"/>
    <w:rPr>
      <w:rFonts w:ascii="仿宋_GB2312" w:hAnsi="Calibri" w:eastAsia="仿宋_GB2312" w:cs="Times New Roman"/>
      <w:b/>
      <w:kern w:val="0"/>
      <w:sz w:val="24"/>
      <w:szCs w:val="28"/>
    </w:rPr>
  </w:style>
  <w:style w:type="character" w:customStyle="1" w:styleId="189">
    <w:name w:val="批注框文本 Char2"/>
    <w:qFormat/>
    <w:uiPriority w:val="99"/>
    <w:rPr>
      <w:kern w:val="2"/>
      <w:sz w:val="18"/>
      <w:szCs w:val="18"/>
    </w:rPr>
  </w:style>
  <w:style w:type="character" w:customStyle="1" w:styleId="190">
    <w:name w:val="textcontents"/>
    <w:qFormat/>
    <w:uiPriority w:val="0"/>
    <w:rPr>
      <w:rFonts w:cs="Times New Roman"/>
    </w:rPr>
  </w:style>
  <w:style w:type="character" w:customStyle="1" w:styleId="191">
    <w:name w:val="ht1"/>
    <w:qFormat/>
    <w:uiPriority w:val="0"/>
    <w:rPr>
      <w:rFonts w:ascii="黑体" w:eastAsia="黑体"/>
      <w:b/>
      <w:bCs/>
    </w:rPr>
  </w:style>
  <w:style w:type="character" w:customStyle="1" w:styleId="192">
    <w:name w:val="标题 Char"/>
    <w:qFormat/>
    <w:uiPriority w:val="0"/>
    <w:rPr>
      <w:rFonts w:ascii="Cambria" w:hAnsi="Cambria" w:eastAsia="宋体" w:cs="Times New Roman"/>
      <w:b/>
      <w:bCs/>
      <w:kern w:val="2"/>
      <w:sz w:val="32"/>
      <w:szCs w:val="32"/>
    </w:rPr>
  </w:style>
  <w:style w:type="character" w:customStyle="1" w:styleId="193">
    <w:name w:val="14t1"/>
    <w:qFormat/>
    <w:uiPriority w:val="0"/>
    <w:rPr>
      <w:rFonts w:hint="eastAsia" w:ascii="宋体" w:hAnsi="宋体" w:eastAsia="宋体"/>
      <w:sz w:val="11"/>
      <w:szCs w:val="11"/>
    </w:rPr>
  </w:style>
  <w:style w:type="character" w:customStyle="1" w:styleId="194">
    <w:name w:val="Char Char36"/>
    <w:qFormat/>
    <w:uiPriority w:val="0"/>
    <w:rPr>
      <w:rFonts w:ascii="仿宋_GB2312" w:eastAsia="仿宋_GB2312" w:cs="MingLiU"/>
      <w:b/>
      <w:sz w:val="24"/>
      <w:szCs w:val="28"/>
    </w:rPr>
  </w:style>
  <w:style w:type="character" w:customStyle="1" w:styleId="195">
    <w:name w:val="文档结构图 Char"/>
    <w:qFormat/>
    <w:uiPriority w:val="0"/>
    <w:rPr>
      <w:rFonts w:ascii="宋体"/>
      <w:kern w:val="2"/>
      <w:sz w:val="18"/>
      <w:szCs w:val="18"/>
    </w:rPr>
  </w:style>
  <w:style w:type="character" w:customStyle="1" w:styleId="196">
    <w:name w:val="普通文字 Char Char2"/>
    <w:qFormat/>
    <w:uiPriority w:val="0"/>
    <w:rPr>
      <w:rFonts w:ascii="宋体" w:hAnsi="Courier New"/>
      <w:kern w:val="2"/>
      <w:sz w:val="28"/>
      <w:szCs w:val="28"/>
    </w:rPr>
  </w:style>
  <w:style w:type="character" w:customStyle="1" w:styleId="197">
    <w:name w:val="HTML 预设格式 Char"/>
    <w:qFormat/>
    <w:uiPriority w:val="0"/>
    <w:rPr>
      <w:rFonts w:ascii="宋体" w:hAnsi="宋体" w:eastAsia="宋体" w:cs="宋体"/>
      <w:color w:val="000000"/>
      <w:sz w:val="24"/>
      <w:szCs w:val="24"/>
    </w:rPr>
  </w:style>
  <w:style w:type="character" w:customStyle="1" w:styleId="198">
    <w:name w:val="纯文本 Char"/>
    <w:qFormat/>
    <w:uiPriority w:val="0"/>
    <w:rPr>
      <w:rFonts w:ascii="宋体" w:hAnsi="Courier New"/>
      <w:sz w:val="28"/>
      <w:szCs w:val="28"/>
    </w:rPr>
  </w:style>
  <w:style w:type="character" w:customStyle="1" w:styleId="199">
    <w:name w:val="批注框文本 Char"/>
    <w:qFormat/>
    <w:uiPriority w:val="0"/>
    <w:rPr>
      <w:sz w:val="18"/>
      <w:szCs w:val="18"/>
    </w:rPr>
  </w:style>
  <w:style w:type="character" w:customStyle="1" w:styleId="200">
    <w:name w:val="页脚 Char"/>
    <w:qFormat/>
    <w:uiPriority w:val="0"/>
    <w:rPr>
      <w:sz w:val="18"/>
      <w:szCs w:val="18"/>
    </w:rPr>
  </w:style>
  <w:style w:type="character" w:customStyle="1" w:styleId="201">
    <w:name w:val="正文文本缩进 3 Char"/>
    <w:qFormat/>
    <w:uiPriority w:val="0"/>
    <w:rPr>
      <w:kern w:val="2"/>
      <w:sz w:val="16"/>
      <w:szCs w:val="16"/>
    </w:rPr>
  </w:style>
  <w:style w:type="character" w:customStyle="1" w:styleId="202">
    <w:name w:val="标题 8 Char"/>
    <w:qFormat/>
    <w:uiPriority w:val="0"/>
    <w:rPr>
      <w:rFonts w:ascii="Arial" w:hAnsi="Arial" w:eastAsia="黑体" w:cs="Times New Roman"/>
      <w:sz w:val="24"/>
      <w:szCs w:val="24"/>
    </w:rPr>
  </w:style>
  <w:style w:type="character" w:customStyle="1" w:styleId="203">
    <w:name w:val="正文文本缩进 2 Char1"/>
    <w:qFormat/>
    <w:uiPriority w:val="0"/>
    <w:rPr>
      <w:sz w:val="28"/>
      <w:szCs w:val="24"/>
    </w:rPr>
  </w:style>
  <w:style w:type="character" w:customStyle="1" w:styleId="204">
    <w:name w:val="标题 5 Char1"/>
    <w:qFormat/>
    <w:uiPriority w:val="0"/>
    <w:rPr>
      <w:rFonts w:ascii="宋体" w:hAnsi="宋体" w:eastAsia="宋体" w:cs="宋体"/>
      <w:b/>
      <w:bCs/>
      <w:sz w:val="20"/>
      <w:szCs w:val="20"/>
    </w:rPr>
  </w:style>
  <w:style w:type="character" w:customStyle="1" w:styleId="205">
    <w:name w:val="批注文字 Char"/>
    <w:qFormat/>
    <w:uiPriority w:val="0"/>
    <w:rPr>
      <w:rFonts w:ascii="Times New Roman" w:hAnsi="Times New Roman" w:eastAsia="宋体" w:cs="Times New Roman"/>
      <w:kern w:val="2"/>
      <w:sz w:val="21"/>
      <w:szCs w:val="24"/>
    </w:rPr>
  </w:style>
  <w:style w:type="character" w:customStyle="1" w:styleId="206">
    <w:name w:val="style121"/>
    <w:qFormat/>
    <w:uiPriority w:val="0"/>
    <w:rPr>
      <w:rFonts w:hint="eastAsia" w:ascii="宋体" w:hAnsi="宋体" w:eastAsia="宋体"/>
      <w:sz w:val="18"/>
      <w:szCs w:val="18"/>
    </w:rPr>
  </w:style>
  <w:style w:type="character" w:customStyle="1" w:styleId="207">
    <w:name w:val="Section Char"/>
    <w:qFormat/>
    <w:uiPriority w:val="0"/>
    <w:rPr>
      <w:rFonts w:ascii="仿宋_GB2312" w:eastAsia="仿宋_GB2312" w:cs="MingLiU"/>
      <w:b/>
      <w:sz w:val="24"/>
      <w:szCs w:val="28"/>
      <w:lang w:val="en-US" w:eastAsia="zh-CN" w:bidi="ar-SA"/>
    </w:rPr>
  </w:style>
  <w:style w:type="character" w:customStyle="1" w:styleId="208">
    <w:name w:val="正文文本 3 Char1"/>
    <w:qFormat/>
    <w:uiPriority w:val="0"/>
    <w:rPr>
      <w:kern w:val="2"/>
      <w:sz w:val="16"/>
      <w:szCs w:val="16"/>
    </w:rPr>
  </w:style>
  <w:style w:type="character" w:customStyle="1" w:styleId="209">
    <w:name w:val="文档结构图 Char1"/>
    <w:qFormat/>
    <w:uiPriority w:val="0"/>
    <w:rPr>
      <w:rFonts w:ascii="宋体"/>
      <w:kern w:val="2"/>
      <w:sz w:val="18"/>
      <w:szCs w:val="18"/>
    </w:rPr>
  </w:style>
  <w:style w:type="character" w:customStyle="1" w:styleId="210">
    <w:name w:val="标题 9 Char"/>
    <w:qFormat/>
    <w:uiPriority w:val="0"/>
    <w:rPr>
      <w:rFonts w:ascii="Arial" w:hAnsi="Arial" w:eastAsia="黑体" w:cs="Times New Roman"/>
      <w:szCs w:val="21"/>
    </w:rPr>
  </w:style>
  <w:style w:type="character" w:customStyle="1" w:styleId="211">
    <w:name w:val="页眉 Char1"/>
    <w:semiHidden/>
    <w:qFormat/>
    <w:uiPriority w:val="99"/>
    <w:rPr>
      <w:kern w:val="2"/>
      <w:sz w:val="18"/>
      <w:szCs w:val="18"/>
    </w:rPr>
  </w:style>
  <w:style w:type="character" w:customStyle="1" w:styleId="212">
    <w:name w:val="Char Char35"/>
    <w:qFormat/>
    <w:uiPriority w:val="0"/>
    <w:rPr>
      <w:rFonts w:ascii="仿宋_GB2312" w:eastAsia="仿宋_GB2312" w:cs="MingLiU"/>
      <w:b/>
      <w:sz w:val="24"/>
      <w:szCs w:val="28"/>
    </w:rPr>
  </w:style>
  <w:style w:type="character" w:customStyle="1" w:styleId="213">
    <w:name w:val="日期 Char2"/>
    <w:qFormat/>
    <w:uiPriority w:val="99"/>
    <w:rPr>
      <w:kern w:val="2"/>
      <w:sz w:val="21"/>
      <w:szCs w:val="24"/>
    </w:rPr>
  </w:style>
  <w:style w:type="character" w:customStyle="1" w:styleId="214">
    <w:name w:val="Char Char22"/>
    <w:qFormat/>
    <w:uiPriority w:val="0"/>
    <w:rPr>
      <w:b/>
      <w:bCs/>
      <w:kern w:val="2"/>
      <w:sz w:val="32"/>
      <w:szCs w:val="32"/>
    </w:rPr>
  </w:style>
  <w:style w:type="character" w:customStyle="1" w:styleId="215">
    <w:name w:val="正文文本缩进 2 Char2"/>
    <w:semiHidden/>
    <w:qFormat/>
    <w:uiPriority w:val="99"/>
    <w:rPr>
      <w:rFonts w:ascii="Calibri" w:hAnsi="Calibri" w:eastAsia="宋体" w:cs="Times New Roman"/>
      <w:szCs w:val="24"/>
    </w:rPr>
  </w:style>
  <w:style w:type="character" w:customStyle="1" w:styleId="216">
    <w:name w:val="明显强调1"/>
    <w:qFormat/>
    <w:uiPriority w:val="0"/>
    <w:rPr>
      <w:b/>
      <w:bCs/>
      <w:i/>
      <w:iCs/>
      <w:color w:val="4F81BD"/>
    </w:rPr>
  </w:style>
  <w:style w:type="character" w:customStyle="1" w:styleId="217">
    <w:name w:val="Char Char14"/>
    <w:qFormat/>
    <w:uiPriority w:val="0"/>
    <w:rPr>
      <w:kern w:val="2"/>
      <w:sz w:val="18"/>
      <w:szCs w:val="18"/>
    </w:rPr>
  </w:style>
  <w:style w:type="character" w:customStyle="1" w:styleId="218">
    <w:name w:val="s3"/>
    <w:qFormat/>
    <w:uiPriority w:val="0"/>
  </w:style>
  <w:style w:type="character" w:customStyle="1" w:styleId="219">
    <w:name w:val="标题 1 Char"/>
    <w:qFormat/>
    <w:uiPriority w:val="0"/>
    <w:rPr>
      <w:rFonts w:ascii="Times New Roman" w:hAnsi="Times New Roman" w:eastAsia="宋体" w:cs="Times New Roman"/>
      <w:b/>
      <w:bCs/>
      <w:kern w:val="44"/>
      <w:sz w:val="44"/>
      <w:szCs w:val="44"/>
    </w:rPr>
  </w:style>
  <w:style w:type="character" w:customStyle="1" w:styleId="220">
    <w:name w:val="日期 Char3"/>
    <w:semiHidden/>
    <w:qFormat/>
    <w:uiPriority w:val="99"/>
    <w:rPr>
      <w:rFonts w:ascii="Calibri" w:hAnsi="Calibri" w:eastAsia="宋体" w:cs="Times New Roman"/>
      <w:szCs w:val="24"/>
    </w:rPr>
  </w:style>
  <w:style w:type="character" w:customStyle="1" w:styleId="221">
    <w:name w:val="title11"/>
    <w:qFormat/>
    <w:uiPriority w:val="0"/>
    <w:rPr>
      <w:b/>
      <w:bCs/>
      <w:color w:val="FFFFFF"/>
      <w:sz w:val="11"/>
      <w:szCs w:val="11"/>
    </w:rPr>
  </w:style>
  <w:style w:type="character" w:customStyle="1" w:styleId="222">
    <w:name w:val="明显引用 Char2"/>
    <w:qFormat/>
    <w:uiPriority w:val="99"/>
    <w:rPr>
      <w:b/>
      <w:bCs/>
      <w:i/>
      <w:iCs/>
      <w:color w:val="4F81BD"/>
      <w:kern w:val="2"/>
      <w:sz w:val="21"/>
      <w:szCs w:val="24"/>
    </w:rPr>
  </w:style>
  <w:style w:type="character" w:customStyle="1" w:styleId="223">
    <w:name w:val="批注框文本 Char3"/>
    <w:semiHidden/>
    <w:qFormat/>
    <w:uiPriority w:val="99"/>
    <w:rPr>
      <w:rFonts w:ascii="Calibri" w:hAnsi="Calibri" w:eastAsia="宋体" w:cs="Times New Roman"/>
      <w:sz w:val="18"/>
      <w:szCs w:val="18"/>
    </w:rPr>
  </w:style>
  <w:style w:type="character" w:customStyle="1" w:styleId="224">
    <w:name w:val="Char Char33"/>
    <w:qFormat/>
    <w:uiPriority w:val="0"/>
    <w:rPr>
      <w:rFonts w:ascii="仿宋_GB2312" w:eastAsia="仿宋_GB2312" w:cs="MingLiU"/>
      <w:b/>
      <w:sz w:val="24"/>
      <w:szCs w:val="28"/>
    </w:rPr>
  </w:style>
  <w:style w:type="character" w:customStyle="1" w:styleId="225">
    <w:name w:val="l1"/>
    <w:basedOn w:val="49"/>
    <w:qFormat/>
    <w:uiPriority w:val="0"/>
  </w:style>
  <w:style w:type="character" w:customStyle="1" w:styleId="226">
    <w:name w:val="手改 Char Char"/>
    <w:qFormat/>
    <w:uiPriority w:val="0"/>
    <w:rPr>
      <w:kern w:val="2"/>
      <w:sz w:val="21"/>
      <w:szCs w:val="24"/>
    </w:rPr>
  </w:style>
  <w:style w:type="character" w:customStyle="1" w:styleId="227">
    <w:name w:val="style21"/>
    <w:qFormat/>
    <w:uiPriority w:val="0"/>
    <w:rPr>
      <w:b/>
      <w:bCs/>
      <w:sz w:val="28"/>
      <w:szCs w:val="28"/>
    </w:rPr>
  </w:style>
  <w:style w:type="character" w:customStyle="1" w:styleId="228">
    <w:name w:val="Char Char24"/>
    <w:qFormat/>
    <w:uiPriority w:val="0"/>
    <w:rPr>
      <w:b/>
      <w:bCs/>
      <w:kern w:val="44"/>
      <w:sz w:val="44"/>
      <w:szCs w:val="44"/>
    </w:rPr>
  </w:style>
  <w:style w:type="character" w:customStyle="1" w:styleId="229">
    <w:name w:val="纯文本 Char1"/>
    <w:qFormat/>
    <w:uiPriority w:val="0"/>
    <w:rPr>
      <w:rFonts w:ascii="宋体" w:hAnsi="Courier New" w:cs="Courier New"/>
      <w:kern w:val="2"/>
      <w:sz w:val="21"/>
      <w:szCs w:val="21"/>
    </w:rPr>
  </w:style>
  <w:style w:type="character" w:customStyle="1" w:styleId="230">
    <w:name w:val="尾注文本 Char"/>
    <w:qFormat/>
    <w:uiPriority w:val="0"/>
    <w:rPr>
      <w:kern w:val="2"/>
      <w:sz w:val="21"/>
      <w:szCs w:val="24"/>
    </w:rPr>
  </w:style>
  <w:style w:type="character" w:customStyle="1" w:styleId="231">
    <w:name w:val="日期 Char1"/>
    <w:qFormat/>
    <w:uiPriority w:val="0"/>
    <w:rPr>
      <w:kern w:val="2"/>
      <w:sz w:val="21"/>
      <w:szCs w:val="22"/>
    </w:rPr>
  </w:style>
  <w:style w:type="character" w:customStyle="1" w:styleId="232">
    <w:name w:val="正文文本 Char1"/>
    <w:qFormat/>
    <w:uiPriority w:val="0"/>
    <w:rPr>
      <w:kern w:val="2"/>
      <w:sz w:val="21"/>
      <w:szCs w:val="22"/>
    </w:rPr>
  </w:style>
  <w:style w:type="character" w:customStyle="1" w:styleId="233">
    <w:name w:val="标题 9 Char1"/>
    <w:qFormat/>
    <w:uiPriority w:val="0"/>
    <w:rPr>
      <w:rFonts w:ascii="Times New Roman" w:hAnsi="Times New Roman" w:eastAsia="仿宋_GB2312" w:cs="Times New Roman"/>
      <w:sz w:val="30"/>
      <w:szCs w:val="20"/>
    </w:rPr>
  </w:style>
  <w:style w:type="character" w:customStyle="1" w:styleId="234">
    <w:name w:val="脚注文本 Char1"/>
    <w:qFormat/>
    <w:uiPriority w:val="0"/>
    <w:rPr>
      <w:rFonts w:ascii="Arial" w:hAnsi="Arial" w:cs="Arial"/>
      <w:sz w:val="18"/>
      <w:szCs w:val="18"/>
      <w:lang w:eastAsia="en-US"/>
    </w:rPr>
  </w:style>
  <w:style w:type="character" w:customStyle="1" w:styleId="235">
    <w:name w:val="正文文本缩进 Char"/>
    <w:qFormat/>
    <w:uiPriority w:val="0"/>
    <w:rPr>
      <w:rFonts w:ascii="黑体" w:hAnsi="宋体" w:eastAsia="黑体"/>
      <w:color w:val="000000"/>
      <w:sz w:val="28"/>
      <w:szCs w:val="32"/>
    </w:rPr>
  </w:style>
  <w:style w:type="character" w:customStyle="1" w:styleId="236">
    <w:name w:val="HTML 预设格式 Char1"/>
    <w:qFormat/>
    <w:uiPriority w:val="0"/>
    <w:rPr>
      <w:rFonts w:ascii="宋体" w:hAnsi="宋体" w:cs="宋体"/>
      <w:color w:val="000000"/>
      <w:sz w:val="24"/>
      <w:szCs w:val="24"/>
    </w:rPr>
  </w:style>
  <w:style w:type="character" w:customStyle="1" w:styleId="237">
    <w:name w:val="引用 Char3"/>
    <w:qFormat/>
    <w:uiPriority w:val="29"/>
    <w:rPr>
      <w:rFonts w:ascii="Calibri" w:hAnsi="Calibri" w:eastAsia="宋体" w:cs="Times New Roman"/>
      <w:i/>
      <w:iCs/>
      <w:color w:val="000000"/>
      <w:szCs w:val="24"/>
    </w:rPr>
  </w:style>
  <w:style w:type="character" w:customStyle="1" w:styleId="238">
    <w:name w:val="标题 7 Char1"/>
    <w:qFormat/>
    <w:uiPriority w:val="0"/>
    <w:rPr>
      <w:rFonts w:ascii="Times New Roman" w:hAnsi="Times New Roman" w:eastAsia="仿宋_GB2312" w:cs="Times New Roman"/>
      <w:sz w:val="30"/>
      <w:szCs w:val="20"/>
    </w:rPr>
  </w:style>
  <w:style w:type="character" w:customStyle="1" w:styleId="239">
    <w:name w:val="普通文字 Char Char1"/>
    <w:qFormat/>
    <w:uiPriority w:val="0"/>
    <w:rPr>
      <w:rFonts w:ascii="宋体" w:hAnsi="Courier New"/>
      <w:kern w:val="2"/>
      <w:sz w:val="28"/>
      <w:szCs w:val="28"/>
    </w:rPr>
  </w:style>
  <w:style w:type="character" w:customStyle="1" w:styleId="240">
    <w:name w:val="明显参考1"/>
    <w:qFormat/>
    <w:uiPriority w:val="0"/>
    <w:rPr>
      <w:b/>
      <w:bCs/>
      <w:smallCaps/>
      <w:color w:val="C0504D"/>
      <w:spacing w:val="5"/>
      <w:u w:val="single"/>
    </w:rPr>
  </w:style>
  <w:style w:type="character" w:customStyle="1" w:styleId="241">
    <w:name w:val="正文文本缩进 Char1"/>
    <w:qFormat/>
    <w:uiPriority w:val="0"/>
    <w:rPr>
      <w:kern w:val="2"/>
      <w:sz w:val="21"/>
      <w:szCs w:val="24"/>
    </w:rPr>
  </w:style>
  <w:style w:type="character" w:customStyle="1" w:styleId="242">
    <w:name w:val="页眉 Char"/>
    <w:qFormat/>
    <w:uiPriority w:val="0"/>
    <w:rPr>
      <w:sz w:val="18"/>
      <w:szCs w:val="18"/>
    </w:rPr>
  </w:style>
  <w:style w:type="character" w:customStyle="1" w:styleId="243">
    <w:name w:val="style31"/>
    <w:qFormat/>
    <w:uiPriority w:val="0"/>
    <w:rPr>
      <w:sz w:val="10"/>
      <w:szCs w:val="10"/>
    </w:rPr>
  </w:style>
  <w:style w:type="character" w:customStyle="1" w:styleId="244">
    <w:name w:val="日期 Char"/>
    <w:qFormat/>
    <w:uiPriority w:val="0"/>
    <w:rPr>
      <w:rFonts w:eastAsia="宋体"/>
      <w:szCs w:val="24"/>
    </w:rPr>
  </w:style>
  <w:style w:type="character" w:customStyle="1" w:styleId="245">
    <w:name w:val="标题 1 Char1"/>
    <w:qFormat/>
    <w:uiPriority w:val="0"/>
    <w:rPr>
      <w:rFonts w:ascii="Times New Roman" w:hAnsi="Times New Roman" w:eastAsia="宋体" w:cs="Times New Roman"/>
      <w:b/>
      <w:bCs/>
      <w:kern w:val="44"/>
      <w:sz w:val="44"/>
      <w:szCs w:val="44"/>
    </w:rPr>
  </w:style>
  <w:style w:type="character" w:customStyle="1" w:styleId="246">
    <w:name w:val="main_tdbg_7601"/>
    <w:qFormat/>
    <w:uiPriority w:val="0"/>
    <w:rPr>
      <w:sz w:val="14"/>
      <w:szCs w:val="14"/>
    </w:rPr>
  </w:style>
  <w:style w:type="character" w:customStyle="1" w:styleId="247">
    <w:name w:val="尾注文本 Char1"/>
    <w:qFormat/>
    <w:uiPriority w:val="0"/>
    <w:rPr>
      <w:rFonts w:ascii="Arial" w:hAnsi="Arial" w:cs="Arial"/>
      <w:szCs w:val="24"/>
      <w:lang w:eastAsia="en-US"/>
    </w:rPr>
  </w:style>
  <w:style w:type="character" w:customStyle="1" w:styleId="248">
    <w:name w:val="副标题 Char2"/>
    <w:qFormat/>
    <w:uiPriority w:val="11"/>
    <w:rPr>
      <w:rFonts w:ascii="Cambria" w:hAnsi="Cambria" w:eastAsia="宋体" w:cs="Times New Roman"/>
      <w:b/>
      <w:bCs/>
      <w:kern w:val="28"/>
      <w:sz w:val="32"/>
      <w:szCs w:val="32"/>
    </w:rPr>
  </w:style>
  <w:style w:type="character" w:customStyle="1" w:styleId="249">
    <w:name w:val="正文文本缩进 3 Char2"/>
    <w:semiHidden/>
    <w:qFormat/>
    <w:uiPriority w:val="99"/>
    <w:rPr>
      <w:rFonts w:ascii="Calibri" w:hAnsi="Calibri" w:eastAsia="宋体" w:cs="Times New Roman"/>
      <w:sz w:val="16"/>
      <w:szCs w:val="16"/>
    </w:rPr>
  </w:style>
  <w:style w:type="character" w:customStyle="1" w:styleId="250">
    <w:name w:val="Char Char34"/>
    <w:qFormat/>
    <w:uiPriority w:val="0"/>
    <w:rPr>
      <w:rFonts w:ascii="仿宋_GB2312" w:eastAsia="仿宋_GB2312" w:cs="MingLiU"/>
      <w:b/>
      <w:spacing w:val="1"/>
      <w:w w:val="99"/>
      <w:sz w:val="28"/>
      <w:szCs w:val="32"/>
    </w:rPr>
  </w:style>
  <w:style w:type="character" w:customStyle="1" w:styleId="251">
    <w:name w:val="docpro"/>
    <w:basedOn w:val="49"/>
    <w:qFormat/>
    <w:uiPriority w:val="0"/>
  </w:style>
  <w:style w:type="character" w:customStyle="1" w:styleId="252">
    <w:name w:val="ITTHEADER1 Char"/>
    <w:qFormat/>
    <w:uiPriority w:val="0"/>
    <w:rPr>
      <w:rFonts w:eastAsia="黑体"/>
      <w:kern w:val="2"/>
      <w:sz w:val="44"/>
      <w:szCs w:val="44"/>
      <w:lang w:val="en-US" w:eastAsia="zh-CN" w:bidi="ar-SA"/>
    </w:rPr>
  </w:style>
  <w:style w:type="character" w:customStyle="1" w:styleId="253">
    <w:name w:val="副标题 Char"/>
    <w:qFormat/>
    <w:uiPriority w:val="0"/>
    <w:rPr>
      <w:rFonts w:ascii="Cambria" w:hAnsi="Cambria" w:eastAsia="宋体" w:cs="Times New Roman"/>
      <w:b/>
      <w:bCs/>
      <w:kern w:val="28"/>
      <w:sz w:val="32"/>
      <w:szCs w:val="32"/>
    </w:rPr>
  </w:style>
  <w:style w:type="character" w:customStyle="1" w:styleId="254">
    <w:name w:val="标题 Char2"/>
    <w:qFormat/>
    <w:uiPriority w:val="10"/>
    <w:rPr>
      <w:rFonts w:ascii="Cambria" w:hAnsi="Cambria" w:eastAsia="宋体" w:cs="Times New Roman"/>
      <w:b/>
      <w:bCs/>
      <w:sz w:val="32"/>
      <w:szCs w:val="32"/>
    </w:rPr>
  </w:style>
  <w:style w:type="character" w:customStyle="1" w:styleId="255">
    <w:name w:val="正文文本 Char2"/>
    <w:qFormat/>
    <w:uiPriority w:val="99"/>
    <w:rPr>
      <w:kern w:val="2"/>
      <w:sz w:val="21"/>
      <w:szCs w:val="24"/>
    </w:rPr>
  </w:style>
  <w:style w:type="character" w:customStyle="1" w:styleId="256">
    <w:name w:val="0d1471"/>
    <w:qFormat/>
    <w:uiPriority w:val="0"/>
    <w:rPr>
      <w:color w:val="000000"/>
      <w:sz w:val="11"/>
      <w:szCs w:val="11"/>
      <w:u w:val="none"/>
    </w:rPr>
  </w:style>
  <w:style w:type="character" w:customStyle="1" w:styleId="257">
    <w:name w:val="批注主题 Char"/>
    <w:qFormat/>
    <w:uiPriority w:val="0"/>
    <w:rPr>
      <w:rFonts w:ascii="宋体" w:hAnsi="宋体" w:eastAsia="宋体"/>
      <w:kern w:val="2"/>
      <w:sz w:val="24"/>
      <w:szCs w:val="28"/>
      <w:lang w:val="en-US" w:eastAsia="zh-CN" w:bidi="ar-SA"/>
    </w:rPr>
  </w:style>
  <w:style w:type="character" w:customStyle="1" w:styleId="258">
    <w:name w:val="正文文本 2 Char1"/>
    <w:semiHidden/>
    <w:qFormat/>
    <w:uiPriority w:val="99"/>
    <w:rPr>
      <w:rFonts w:ascii="Calibri" w:hAnsi="Calibri" w:eastAsia="宋体" w:cs="Times New Roman"/>
      <w:szCs w:val="24"/>
    </w:rPr>
  </w:style>
  <w:style w:type="character" w:customStyle="1" w:styleId="259">
    <w:name w:val="批注框文本 Char1"/>
    <w:qFormat/>
    <w:uiPriority w:val="0"/>
    <w:rPr>
      <w:kern w:val="2"/>
      <w:sz w:val="18"/>
      <w:szCs w:val="18"/>
    </w:rPr>
  </w:style>
  <w:style w:type="character" w:customStyle="1" w:styleId="260">
    <w:name w:val="引用 Char"/>
    <w:link w:val="158"/>
    <w:qFormat/>
    <w:uiPriority w:val="0"/>
    <w:rPr>
      <w:rFonts w:ascii="Times New Roman" w:hAnsi="Times New Roman" w:eastAsia="宋体" w:cs="Times New Roman"/>
      <w:i/>
      <w:iCs/>
      <w:color w:val="000000"/>
      <w:szCs w:val="24"/>
    </w:rPr>
  </w:style>
  <w:style w:type="character" w:customStyle="1" w:styleId="261">
    <w:name w:val="font161"/>
    <w:qFormat/>
    <w:uiPriority w:val="0"/>
    <w:rPr>
      <w:b/>
      <w:bCs/>
      <w:sz w:val="32"/>
      <w:szCs w:val="32"/>
    </w:rPr>
  </w:style>
  <w:style w:type="character" w:customStyle="1" w:styleId="262">
    <w:name w:val="Char Char32"/>
    <w:qFormat/>
    <w:uiPriority w:val="0"/>
    <w:rPr>
      <w:rFonts w:ascii="仿宋_GB2312" w:eastAsia="仿宋_GB2312" w:cs="MingLiU"/>
      <w:b/>
      <w:spacing w:val="1"/>
      <w:w w:val="99"/>
      <w:sz w:val="28"/>
      <w:szCs w:val="32"/>
    </w:rPr>
  </w:style>
  <w:style w:type="character" w:customStyle="1" w:styleId="263">
    <w:name w:val="标题 2 Char1"/>
    <w:qFormat/>
    <w:uiPriority w:val="0"/>
    <w:rPr>
      <w:rFonts w:ascii="Cambria" w:hAnsi="Cambria" w:eastAsia="宋体" w:cs="Times New Roman"/>
      <w:b/>
      <w:bCs/>
      <w:kern w:val="2"/>
      <w:sz w:val="32"/>
      <w:szCs w:val="32"/>
    </w:rPr>
  </w:style>
  <w:style w:type="character" w:customStyle="1" w:styleId="264">
    <w:name w:val="ss16"/>
    <w:qFormat/>
    <w:uiPriority w:val="0"/>
    <w:rPr>
      <w:rFonts w:hint="eastAsia" w:ascii="宋体" w:hAnsi="宋体" w:eastAsia="宋体"/>
      <w:color w:val="000000"/>
      <w:sz w:val="9"/>
      <w:szCs w:val="9"/>
    </w:rPr>
  </w:style>
  <w:style w:type="character" w:customStyle="1" w:styleId="265">
    <w:name w:val="批注主题 Char3"/>
    <w:semiHidden/>
    <w:qFormat/>
    <w:uiPriority w:val="99"/>
    <w:rPr>
      <w:rFonts w:ascii="Calibri" w:hAnsi="Calibri" w:eastAsia="宋体" w:cs="Times New Roman"/>
      <w:b/>
      <w:bCs/>
      <w:szCs w:val="24"/>
    </w:rPr>
  </w:style>
  <w:style w:type="character" w:customStyle="1" w:styleId="266">
    <w:name w:val="明显引用 Char1"/>
    <w:link w:val="176"/>
    <w:qFormat/>
    <w:uiPriority w:val="30"/>
    <w:rPr>
      <w:rFonts w:ascii="Times New Roman" w:hAnsi="Times New Roman" w:eastAsia="宋体" w:cs="Times New Roman"/>
      <w:b/>
      <w:bCs/>
      <w:i/>
      <w:iCs/>
      <w:color w:val="4F81BD"/>
      <w:szCs w:val="20"/>
    </w:rPr>
  </w:style>
  <w:style w:type="character" w:customStyle="1" w:styleId="267">
    <w:name w:val="HTML 预设格式 Char2"/>
    <w:semiHidden/>
    <w:qFormat/>
    <w:uiPriority w:val="99"/>
    <w:rPr>
      <w:rFonts w:ascii="Courier New" w:hAnsi="Courier New" w:eastAsia="宋体" w:cs="Courier New"/>
      <w:sz w:val="20"/>
      <w:szCs w:val="20"/>
    </w:rPr>
  </w:style>
  <w:style w:type="character" w:customStyle="1" w:styleId="268">
    <w:name w:val="Char Char17"/>
    <w:qFormat/>
    <w:uiPriority w:val="0"/>
    <w:rPr>
      <w:kern w:val="2"/>
      <w:sz w:val="26"/>
      <w:szCs w:val="24"/>
    </w:rPr>
  </w:style>
  <w:style w:type="character" w:customStyle="1" w:styleId="269">
    <w:name w:val="标题 3 Char1"/>
    <w:qFormat/>
    <w:uiPriority w:val="0"/>
    <w:rPr>
      <w:rFonts w:ascii="Times New Roman" w:hAnsi="Times New Roman" w:eastAsia="宋体" w:cs="Times New Roman"/>
      <w:b/>
      <w:bCs/>
      <w:kern w:val="2"/>
      <w:sz w:val="32"/>
      <w:szCs w:val="32"/>
    </w:rPr>
  </w:style>
  <w:style w:type="character" w:customStyle="1" w:styleId="270">
    <w:name w:val="标题 5 Char"/>
    <w:qFormat/>
    <w:uiPriority w:val="0"/>
    <w:rPr>
      <w:rFonts w:ascii="Calibri" w:hAnsi="Calibri" w:eastAsia="宋体" w:cs="Times New Roman"/>
      <w:b/>
      <w:bCs/>
      <w:sz w:val="28"/>
      <w:szCs w:val="28"/>
    </w:rPr>
  </w:style>
  <w:style w:type="character" w:customStyle="1" w:styleId="271">
    <w:name w:val="页脚 Char1"/>
    <w:semiHidden/>
    <w:qFormat/>
    <w:uiPriority w:val="99"/>
    <w:rPr>
      <w:kern w:val="2"/>
      <w:sz w:val="18"/>
      <w:szCs w:val="18"/>
    </w:rPr>
  </w:style>
  <w:style w:type="character" w:customStyle="1" w:styleId="272">
    <w:name w:val="unnamed1"/>
    <w:basedOn w:val="49"/>
    <w:qFormat/>
    <w:uiPriority w:val="0"/>
  </w:style>
  <w:style w:type="character" w:customStyle="1" w:styleId="273">
    <w:name w:val="Char Char9"/>
    <w:qFormat/>
    <w:locked/>
    <w:uiPriority w:val="0"/>
    <w:rPr>
      <w:rFonts w:ascii="仿宋_GB2312" w:eastAsia="仿宋_GB2312" w:cs="MingLiU"/>
      <w:b/>
      <w:sz w:val="24"/>
      <w:szCs w:val="28"/>
      <w:lang w:val="en-US" w:eastAsia="zh-CN" w:bidi="ar-SA"/>
    </w:rPr>
  </w:style>
  <w:style w:type="character" w:customStyle="1" w:styleId="274">
    <w:name w:val="批注主题 Char1"/>
    <w:qFormat/>
    <w:uiPriority w:val="0"/>
    <w:rPr>
      <w:b/>
      <w:bCs/>
      <w:kern w:val="2"/>
      <w:sz w:val="21"/>
      <w:szCs w:val="22"/>
    </w:rPr>
  </w:style>
  <w:style w:type="character" w:customStyle="1" w:styleId="275">
    <w:name w:val="纯文本 Char2"/>
    <w:semiHidden/>
    <w:qFormat/>
    <w:uiPriority w:val="99"/>
    <w:rPr>
      <w:rFonts w:ascii="宋体" w:hAnsi="Courier New" w:eastAsia="宋体" w:cs="Courier New"/>
      <w:szCs w:val="21"/>
    </w:rPr>
  </w:style>
  <w:style w:type="character" w:customStyle="1" w:styleId="276">
    <w:name w:val="intel3"/>
    <w:basedOn w:val="49"/>
    <w:qFormat/>
    <w:uiPriority w:val="0"/>
  </w:style>
  <w:style w:type="character" w:customStyle="1" w:styleId="277">
    <w:name w:val="subhead1"/>
    <w:qFormat/>
    <w:uiPriority w:val="0"/>
    <w:rPr>
      <w:rFonts w:hint="default" w:ascii="Tahoma" w:hAnsi="Tahoma" w:cs="Tahoma"/>
      <w:color w:val="000000"/>
      <w:sz w:val="18"/>
      <w:szCs w:val="18"/>
      <w:u w:val="none"/>
      <w:shd w:val="clear" w:color="auto" w:fill="FFFFFF"/>
    </w:rPr>
  </w:style>
  <w:style w:type="character" w:customStyle="1" w:styleId="278">
    <w:name w:val="脚注文本 Char"/>
    <w:qFormat/>
    <w:uiPriority w:val="0"/>
    <w:rPr>
      <w:rFonts w:ascii="Arial" w:hAnsi="Arial" w:eastAsia="宋体" w:cs="Arial"/>
      <w:sz w:val="18"/>
      <w:szCs w:val="18"/>
      <w:lang w:eastAsia="en-US"/>
    </w:rPr>
  </w:style>
  <w:style w:type="character" w:customStyle="1" w:styleId="279">
    <w:name w:val="引用 Char1"/>
    <w:link w:val="180"/>
    <w:qFormat/>
    <w:uiPriority w:val="29"/>
    <w:rPr>
      <w:rFonts w:ascii="Times New Roman" w:hAnsi="Times New Roman" w:eastAsia="宋体" w:cs="Times New Roman"/>
      <w:i/>
      <w:iCs/>
      <w:color w:val="000000"/>
      <w:szCs w:val="20"/>
    </w:rPr>
  </w:style>
  <w:style w:type="character" w:customStyle="1" w:styleId="280">
    <w:name w:val="正文文本缩进 2 Char"/>
    <w:qFormat/>
    <w:uiPriority w:val="0"/>
    <w:rPr>
      <w:kern w:val="2"/>
      <w:sz w:val="21"/>
      <w:szCs w:val="24"/>
    </w:rPr>
  </w:style>
  <w:style w:type="character" w:customStyle="1" w:styleId="281">
    <w:name w:val="脚注文本 Char2"/>
    <w:semiHidden/>
    <w:qFormat/>
    <w:uiPriority w:val="99"/>
    <w:rPr>
      <w:rFonts w:ascii="Calibri" w:hAnsi="Calibri" w:eastAsia="宋体" w:cs="Times New Roman"/>
      <w:sz w:val="18"/>
      <w:szCs w:val="18"/>
    </w:rPr>
  </w:style>
  <w:style w:type="character" w:customStyle="1" w:styleId="282">
    <w:name w:val="ca-141"/>
    <w:qFormat/>
    <w:uiPriority w:val="0"/>
    <w:rPr>
      <w:rFonts w:hint="eastAsia" w:ascii="仿宋_GB2312" w:eastAsia="仿宋_GB2312"/>
      <w:sz w:val="21"/>
      <w:szCs w:val="21"/>
    </w:rPr>
  </w:style>
  <w:style w:type="character" w:customStyle="1" w:styleId="283">
    <w:name w:val="标题 Char1"/>
    <w:qFormat/>
    <w:uiPriority w:val="10"/>
    <w:rPr>
      <w:szCs w:val="24"/>
      <w:u w:val="single"/>
      <w:lang w:eastAsia="en-US"/>
    </w:rPr>
  </w:style>
  <w:style w:type="character" w:customStyle="1" w:styleId="284">
    <w:name w:val="style161"/>
    <w:qFormat/>
    <w:uiPriority w:val="0"/>
    <w:rPr>
      <w:b/>
      <w:bCs/>
      <w:color w:val="333333"/>
    </w:rPr>
  </w:style>
  <w:style w:type="character" w:customStyle="1" w:styleId="285">
    <w:name w:val="Char Char11"/>
    <w:qFormat/>
    <w:locked/>
    <w:uiPriority w:val="0"/>
    <w:rPr>
      <w:rFonts w:eastAsia="黑体"/>
      <w:kern w:val="2"/>
      <w:sz w:val="44"/>
      <w:szCs w:val="44"/>
      <w:lang w:val="en-US" w:eastAsia="zh-CN" w:bidi="ar-SA"/>
    </w:rPr>
  </w:style>
  <w:style w:type="character" w:customStyle="1" w:styleId="286">
    <w:name w:val="标题 7 Char"/>
    <w:qFormat/>
    <w:uiPriority w:val="0"/>
    <w:rPr>
      <w:rFonts w:ascii="Calibri" w:hAnsi="Calibri" w:eastAsia="宋体" w:cs="Times New Roman"/>
      <w:b/>
      <w:bCs/>
      <w:sz w:val="24"/>
      <w:szCs w:val="24"/>
    </w:rPr>
  </w:style>
  <w:style w:type="character" w:customStyle="1" w:styleId="287">
    <w:name w:val="批注文字 Char1"/>
    <w:qFormat/>
    <w:uiPriority w:val="99"/>
    <w:rPr>
      <w:rFonts w:ascii="Times New Roman" w:hAnsi="Times New Roman" w:eastAsia="宋体" w:cs="Times New Roman"/>
      <w:szCs w:val="24"/>
    </w:rPr>
  </w:style>
  <w:style w:type="character" w:customStyle="1" w:styleId="288">
    <w:name w:val="明显引用 Char"/>
    <w:qFormat/>
    <w:uiPriority w:val="0"/>
    <w:rPr>
      <w:rFonts w:ascii="Times New Roman" w:hAnsi="Times New Roman" w:eastAsia="宋体" w:cs="Times New Roman"/>
      <w:b/>
      <w:bCs/>
      <w:i/>
      <w:iCs/>
      <w:color w:val="4F81BD"/>
      <w:kern w:val="2"/>
      <w:sz w:val="21"/>
      <w:szCs w:val="24"/>
    </w:rPr>
  </w:style>
  <w:style w:type="character" w:customStyle="1" w:styleId="289">
    <w:name w:val="正文文本缩进 3 Char1"/>
    <w:qFormat/>
    <w:uiPriority w:val="0"/>
    <w:rPr>
      <w:rFonts w:ascii="宋体" w:hAnsi="宋体"/>
      <w:kern w:val="2"/>
      <w:sz w:val="28"/>
      <w:szCs w:val="28"/>
    </w:rPr>
  </w:style>
  <w:style w:type="character" w:customStyle="1" w:styleId="290">
    <w:name w:val="正文文本 Char"/>
    <w:qFormat/>
    <w:uiPriority w:val="0"/>
    <w:rPr>
      <w:sz w:val="26"/>
      <w:szCs w:val="24"/>
    </w:rPr>
  </w:style>
  <w:style w:type="character" w:customStyle="1" w:styleId="291">
    <w:name w:val="Char Char12"/>
    <w:qFormat/>
    <w:uiPriority w:val="0"/>
    <w:rPr>
      <w:rFonts w:eastAsia="黑体"/>
      <w:kern w:val="2"/>
      <w:sz w:val="44"/>
      <w:szCs w:val="44"/>
      <w:lang w:val="en-US" w:eastAsia="zh-CN" w:bidi="ar-SA"/>
    </w:rPr>
  </w:style>
  <w:style w:type="character" w:customStyle="1" w:styleId="292">
    <w:name w:val="标题 4 Char"/>
    <w:qFormat/>
    <w:uiPriority w:val="0"/>
    <w:rPr>
      <w:rFonts w:ascii="仿宋_GB2312" w:hAnsi="Calibri" w:eastAsia="仿宋_GB2312" w:cs="Times New Roman"/>
      <w:b/>
      <w:kern w:val="0"/>
      <w:sz w:val="24"/>
      <w:szCs w:val="28"/>
    </w:rPr>
  </w:style>
  <w:style w:type="character" w:customStyle="1" w:styleId="293">
    <w:name w:val="明显引用 Char3"/>
    <w:qFormat/>
    <w:uiPriority w:val="30"/>
    <w:rPr>
      <w:rFonts w:ascii="Calibri" w:hAnsi="Calibri" w:eastAsia="宋体" w:cs="Times New Roman"/>
      <w:b/>
      <w:bCs/>
      <w:i/>
      <w:iCs/>
      <w:color w:val="4F81BD"/>
      <w:szCs w:val="24"/>
    </w:rPr>
  </w:style>
  <w:style w:type="character" w:customStyle="1" w:styleId="294">
    <w:name w:val="引用 Char2"/>
    <w:qFormat/>
    <w:uiPriority w:val="99"/>
    <w:rPr>
      <w:i/>
      <w:iCs/>
      <w:color w:val="000000"/>
      <w:kern w:val="2"/>
      <w:sz w:val="21"/>
      <w:szCs w:val="24"/>
    </w:rPr>
  </w:style>
  <w:style w:type="character" w:customStyle="1" w:styleId="295">
    <w:name w:val="不明显强调1"/>
    <w:qFormat/>
    <w:uiPriority w:val="0"/>
    <w:rPr>
      <w:i/>
      <w:iCs/>
      <w:color w:val="808080"/>
    </w:rPr>
  </w:style>
  <w:style w:type="character" w:customStyle="1" w:styleId="296">
    <w:name w:val="color_red1"/>
    <w:qFormat/>
    <w:uiPriority w:val="0"/>
    <w:rPr>
      <w:color w:val="FA0004"/>
    </w:rPr>
  </w:style>
  <w:style w:type="character" w:customStyle="1" w:styleId="297">
    <w:name w:val="标题5 Char Char"/>
    <w:link w:val="165"/>
    <w:qFormat/>
    <w:uiPriority w:val="0"/>
    <w:rPr>
      <w:rFonts w:ascii="Arial" w:hAnsi="Arial" w:eastAsia="宋体" w:cs="Times New Roman"/>
      <w:b/>
      <w:bCs/>
      <w:kern w:val="0"/>
      <w:sz w:val="24"/>
      <w:szCs w:val="32"/>
    </w:rPr>
  </w:style>
  <w:style w:type="character" w:customStyle="1" w:styleId="298">
    <w:name w:val="标题4 Char Char"/>
    <w:link w:val="133"/>
    <w:qFormat/>
    <w:uiPriority w:val="0"/>
    <w:rPr>
      <w:rFonts w:ascii="Arial" w:hAnsi="Arial" w:eastAsia="宋体" w:cs="Times New Roman"/>
      <w:b/>
      <w:bCs/>
      <w:kern w:val="0"/>
      <w:sz w:val="24"/>
      <w:szCs w:val="32"/>
    </w:rPr>
  </w:style>
  <w:style w:type="character" w:customStyle="1" w:styleId="299">
    <w:name w:val="Char Char13"/>
    <w:qFormat/>
    <w:uiPriority w:val="0"/>
    <w:rPr>
      <w:kern w:val="2"/>
      <w:sz w:val="18"/>
      <w:szCs w:val="18"/>
    </w:rPr>
  </w:style>
  <w:style w:type="character" w:customStyle="1" w:styleId="300">
    <w:name w:val="文档结构图 Char2"/>
    <w:qFormat/>
    <w:uiPriority w:val="99"/>
    <w:rPr>
      <w:kern w:val="2"/>
      <w:sz w:val="21"/>
      <w:szCs w:val="24"/>
      <w:shd w:val="clear" w:color="auto" w:fill="000080"/>
    </w:rPr>
  </w:style>
  <w:style w:type="character" w:customStyle="1" w:styleId="301">
    <w:name w:val="批注文字 Char2"/>
    <w:qFormat/>
    <w:uiPriority w:val="0"/>
    <w:rPr>
      <w:rFonts w:ascii="Calibri" w:hAnsi="Calibri" w:eastAsia="宋体" w:cs="Times New Roman"/>
      <w:szCs w:val="24"/>
    </w:rPr>
  </w:style>
  <w:style w:type="character" w:customStyle="1" w:styleId="302">
    <w:name w:val="标题 8 Char1"/>
    <w:qFormat/>
    <w:uiPriority w:val="0"/>
    <w:rPr>
      <w:rFonts w:ascii="Times New Roman" w:hAnsi="Arial" w:eastAsia="仿宋_GB2312" w:cs="Times New Roman"/>
      <w:sz w:val="30"/>
      <w:szCs w:val="20"/>
    </w:rPr>
  </w:style>
  <w:style w:type="character" w:customStyle="1" w:styleId="303">
    <w:name w:val="Char Char21"/>
    <w:qFormat/>
    <w:uiPriority w:val="0"/>
    <w:rPr>
      <w:rFonts w:ascii="宋体" w:hAnsi="宋体" w:cs="宋体"/>
      <w:b/>
      <w:bCs/>
      <w:sz w:val="24"/>
      <w:szCs w:val="24"/>
    </w:rPr>
  </w:style>
  <w:style w:type="character" w:customStyle="1" w:styleId="304">
    <w:name w:val="标题 6 Char1"/>
    <w:qFormat/>
    <w:uiPriority w:val="0"/>
    <w:rPr>
      <w:rFonts w:ascii="Times New Roman" w:hAnsi="Arial" w:eastAsia="仿宋_GB2312" w:cs="Times New Roman"/>
      <w:sz w:val="30"/>
      <w:szCs w:val="20"/>
    </w:rPr>
  </w:style>
  <w:style w:type="character" w:customStyle="1" w:styleId="305">
    <w:name w:val="副标题 Char1"/>
    <w:qFormat/>
    <w:uiPriority w:val="0"/>
    <w:rPr>
      <w:szCs w:val="24"/>
      <w:u w:val="single"/>
      <w:lang w:eastAsia="en-US"/>
    </w:rPr>
  </w:style>
  <w:style w:type="character" w:customStyle="1" w:styleId="306">
    <w:name w:val="正文文本 Char3"/>
    <w:semiHidden/>
    <w:qFormat/>
    <w:uiPriority w:val="99"/>
    <w:rPr>
      <w:rFonts w:ascii="Calibri" w:hAnsi="Calibri" w:eastAsia="宋体" w:cs="Times New Roman"/>
      <w:szCs w:val="24"/>
    </w:rPr>
  </w:style>
  <w:style w:type="character" w:customStyle="1" w:styleId="307">
    <w:name w:val="标题 4 Char1"/>
    <w:qFormat/>
    <w:uiPriority w:val="0"/>
    <w:rPr>
      <w:rFonts w:ascii="宋体" w:hAnsi="宋体" w:eastAsia="宋体" w:cs="宋体"/>
      <w:b/>
      <w:bCs/>
      <w:sz w:val="24"/>
      <w:szCs w:val="24"/>
    </w:rPr>
  </w:style>
  <w:style w:type="character" w:customStyle="1" w:styleId="308">
    <w:name w:val="文档结构图 Char3"/>
    <w:semiHidden/>
    <w:qFormat/>
    <w:uiPriority w:val="99"/>
    <w:rPr>
      <w:rFonts w:ascii="宋体" w:hAnsi="Calibri" w:eastAsia="宋体" w:cs="Times New Roman"/>
      <w:sz w:val="18"/>
      <w:szCs w:val="18"/>
    </w:rPr>
  </w:style>
  <w:style w:type="character" w:customStyle="1" w:styleId="309">
    <w:name w:val="正文文本 3 Char2"/>
    <w:semiHidden/>
    <w:qFormat/>
    <w:uiPriority w:val="99"/>
    <w:rPr>
      <w:rFonts w:ascii="Calibri" w:hAnsi="Calibri" w:eastAsia="宋体" w:cs="Times New Roman"/>
      <w:sz w:val="16"/>
      <w:szCs w:val="16"/>
    </w:rPr>
  </w:style>
  <w:style w:type="character" w:customStyle="1" w:styleId="310">
    <w:name w:val="Char Char23"/>
    <w:qFormat/>
    <w:uiPriority w:val="0"/>
    <w:rPr>
      <w:rFonts w:ascii="Cambria" w:hAnsi="Cambria" w:eastAsia="宋体" w:cs="Times New Roman"/>
      <w:b/>
      <w:bCs/>
      <w:kern w:val="2"/>
      <w:sz w:val="32"/>
      <w:szCs w:val="32"/>
    </w:rPr>
  </w:style>
  <w:style w:type="character" w:customStyle="1" w:styleId="311">
    <w:name w:val="尾注文本 Char2"/>
    <w:semiHidden/>
    <w:qFormat/>
    <w:uiPriority w:val="99"/>
    <w:rPr>
      <w:rFonts w:ascii="Calibri" w:hAnsi="Calibri" w:eastAsia="宋体" w:cs="Times New Roman"/>
      <w:szCs w:val="24"/>
    </w:rPr>
  </w:style>
  <w:style w:type="character" w:customStyle="1" w:styleId="312">
    <w:name w:val="书籍标题1"/>
    <w:qFormat/>
    <w:uiPriority w:val="0"/>
    <w:rPr>
      <w:b/>
      <w:bCs/>
      <w:smallCaps/>
      <w:spacing w:val="5"/>
    </w:rPr>
  </w:style>
  <w:style w:type="character" w:customStyle="1" w:styleId="313">
    <w:name w:val="ITTHEADER2 Char"/>
    <w:qFormat/>
    <w:uiPriority w:val="0"/>
    <w:rPr>
      <w:rFonts w:ascii="仿宋_GB2312" w:eastAsia="仿宋_GB2312" w:cs="MingLiU"/>
      <w:b/>
      <w:spacing w:val="1"/>
      <w:w w:val="99"/>
      <w:sz w:val="28"/>
      <w:szCs w:val="32"/>
      <w:lang w:val="en-US" w:eastAsia="zh-CN" w:bidi="ar-SA"/>
    </w:rPr>
  </w:style>
  <w:style w:type="character" w:customStyle="1" w:styleId="314">
    <w:name w:val="批注文字 Char Char"/>
    <w:qFormat/>
    <w:uiPriority w:val="0"/>
    <w:rPr>
      <w:rFonts w:ascii="宋体" w:hAnsi="Times New Roman" w:eastAsia="宋体" w:cs="Times New Roman"/>
      <w:sz w:val="28"/>
      <w:szCs w:val="20"/>
    </w:rPr>
  </w:style>
  <w:style w:type="character" w:customStyle="1" w:styleId="315">
    <w:name w:val="批注主题 Char2"/>
    <w:qFormat/>
    <w:uiPriority w:val="99"/>
    <w:rPr>
      <w:b/>
      <w:bCs/>
      <w:kern w:val="2"/>
      <w:sz w:val="21"/>
      <w:szCs w:val="24"/>
    </w:rPr>
  </w:style>
  <w:style w:type="character" w:customStyle="1" w:styleId="316">
    <w:name w:val="normaltext1"/>
    <w:qFormat/>
    <w:uiPriority w:val="0"/>
    <w:rPr>
      <w:rFonts w:hint="default" w:ascii="ˎ̥" w:hAnsi="ˎ̥"/>
      <w:sz w:val="9"/>
      <w:szCs w:val="9"/>
    </w:rPr>
  </w:style>
  <w:style w:type="character" w:customStyle="1" w:styleId="317">
    <w:name w:val="不明显参考1"/>
    <w:qFormat/>
    <w:uiPriority w:val="0"/>
    <w:rPr>
      <w:smallCaps/>
      <w:color w:val="C0504D"/>
      <w:u w:val="single"/>
    </w:rPr>
  </w:style>
  <w:style w:type="character" w:customStyle="1" w:styleId="318">
    <w:name w:val="标题 6 Char"/>
    <w:qFormat/>
    <w:uiPriority w:val="0"/>
    <w:rPr>
      <w:rFonts w:ascii="Arial" w:hAnsi="Arial" w:eastAsia="黑体" w:cs="Times New Roman"/>
      <w:b/>
      <w:bCs/>
      <w:sz w:val="24"/>
      <w:szCs w:val="24"/>
    </w:rPr>
  </w:style>
  <w:style w:type="character" w:customStyle="1" w:styleId="319">
    <w:name w:val="未处理的提及2"/>
    <w:basedOn w:val="49"/>
    <w:unhideWhenUsed/>
    <w:qFormat/>
    <w:uiPriority w:val="99"/>
    <w:rPr>
      <w:color w:val="605E5C"/>
      <w:shd w:val="clear" w:color="auto" w:fill="E1DFDD"/>
    </w:rPr>
  </w:style>
  <w:style w:type="paragraph" w:customStyle="1" w:styleId="320">
    <w:name w:val="Table Paragraph"/>
    <w:basedOn w:val="1"/>
    <w:qFormat/>
    <w:uiPriority w:val="1"/>
    <w:rPr>
      <w:rFonts w:ascii="宋体" w:hAnsi="宋体" w:cs="宋体"/>
    </w:rPr>
  </w:style>
  <w:style w:type="table" w:customStyle="1" w:styleId="321">
    <w:name w:val="网格型1"/>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2">
    <w:name w:val="占位符文本1"/>
    <w:basedOn w:val="49"/>
    <w:semiHidden/>
    <w:qFormat/>
    <w:uiPriority w:val="99"/>
    <w:rPr>
      <w:color w:val="808080"/>
    </w:rPr>
  </w:style>
  <w:style w:type="character" w:customStyle="1" w:styleId="323">
    <w:name w:val="datetime"/>
    <w:basedOn w:val="49"/>
    <w:qFormat/>
    <w:uiPriority w:val="0"/>
    <w:rPr>
      <w:color w:val="808080"/>
      <w:sz w:val="21"/>
      <w:szCs w:val="21"/>
    </w:rPr>
  </w:style>
  <w:style w:type="character" w:customStyle="1" w:styleId="324">
    <w:name w:val="datetime1"/>
    <w:basedOn w:val="49"/>
    <w:qFormat/>
    <w:uiPriority w:val="0"/>
  </w:style>
  <w:style w:type="character" w:customStyle="1" w:styleId="325">
    <w:name w:val="datetime2"/>
    <w:basedOn w:val="49"/>
    <w:qFormat/>
    <w:uiPriority w:val="0"/>
  </w:style>
  <w:style w:type="character" w:customStyle="1" w:styleId="326">
    <w:name w:val="datetime3"/>
    <w:basedOn w:val="49"/>
    <w:qFormat/>
    <w:uiPriority w:val="0"/>
  </w:style>
  <w:style w:type="character" w:customStyle="1" w:styleId="327">
    <w:name w:val="datetime4"/>
    <w:basedOn w:val="49"/>
    <w:qFormat/>
    <w:uiPriority w:val="0"/>
    <w:rPr>
      <w:color w:val="808080"/>
      <w:sz w:val="21"/>
      <w:szCs w:val="21"/>
    </w:rPr>
  </w:style>
  <w:style w:type="character" w:customStyle="1" w:styleId="328">
    <w:name w:val="cldh_img"/>
    <w:basedOn w:val="49"/>
    <w:qFormat/>
    <w:uiPriority w:val="0"/>
  </w:style>
  <w:style w:type="character" w:customStyle="1" w:styleId="329">
    <w:name w:val="cldh_img1"/>
    <w:basedOn w:val="49"/>
    <w:qFormat/>
    <w:uiPriority w:val="0"/>
  </w:style>
  <w:style w:type="character" w:customStyle="1" w:styleId="330">
    <w:name w:val="cldh_img2"/>
    <w:basedOn w:val="49"/>
    <w:qFormat/>
    <w:uiPriority w:val="0"/>
  </w:style>
  <w:style w:type="table" w:customStyle="1" w:styleId="331">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2">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3">
    <w:name w:val="Table Normal2"/>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34">
    <w:name w:val="未处理的提及3"/>
    <w:basedOn w:val="49"/>
    <w:unhideWhenUsed/>
    <w:qFormat/>
    <w:uiPriority w:val="99"/>
    <w:rPr>
      <w:color w:val="605E5C"/>
      <w:shd w:val="clear" w:color="auto" w:fill="E1DFDD"/>
    </w:rPr>
  </w:style>
  <w:style w:type="paragraph" w:customStyle="1" w:styleId="33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36">
    <w:name w:val="未处理的提及4"/>
    <w:basedOn w:val="49"/>
    <w:unhideWhenUsed/>
    <w:qFormat/>
    <w:uiPriority w:val="99"/>
    <w:rPr>
      <w:color w:val="605E5C"/>
      <w:shd w:val="clear" w:color="auto" w:fill="E1DFDD"/>
    </w:rPr>
  </w:style>
  <w:style w:type="paragraph" w:customStyle="1" w:styleId="33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38">
    <w:name w:val="页脚1"/>
    <w:qFormat/>
    <w:uiPriority w:val="0"/>
    <w:pPr>
      <w:widowControl w:val="0"/>
      <w:tabs>
        <w:tab w:val="center" w:pos="4153"/>
        <w:tab w:val="right" w:pos="8306"/>
      </w:tabs>
    </w:pPr>
    <w:rPr>
      <w:rFonts w:hint="eastAsia" w:ascii="Arial Unicode MS" w:hAnsi="Arial Unicode MS" w:eastAsia="Times New Roman" w:cs="Arial Unicode MS"/>
      <w:color w:val="000000"/>
      <w:kern w:val="2"/>
      <w:sz w:val="18"/>
      <w:szCs w:val="18"/>
      <w:lang w:val="en-US" w:eastAsia="en-US" w:bidi="ar-SA"/>
    </w:rPr>
  </w:style>
  <w:style w:type="character" w:customStyle="1" w:styleId="339">
    <w:name w:val="font51"/>
    <w:basedOn w:val="49"/>
    <w:qFormat/>
    <w:uiPriority w:val="0"/>
    <w:rPr>
      <w:rFonts w:hint="eastAsia" w:ascii="宋体" w:hAnsi="宋体" w:eastAsia="宋体" w:cs="宋体"/>
      <w:color w:val="000000"/>
      <w:sz w:val="18"/>
      <w:szCs w:val="18"/>
      <w:u w:val="none"/>
    </w:rPr>
  </w:style>
  <w:style w:type="character" w:customStyle="1" w:styleId="340">
    <w:name w:val="font61"/>
    <w:basedOn w:val="49"/>
    <w:qFormat/>
    <w:uiPriority w:val="0"/>
    <w:rPr>
      <w:rFonts w:hint="eastAsia" w:ascii="宋体" w:hAnsi="宋体" w:eastAsia="宋体" w:cs="宋体"/>
      <w:color w:val="000000"/>
      <w:sz w:val="22"/>
      <w:szCs w:val="22"/>
      <w:u w:val="none"/>
    </w:rPr>
  </w:style>
  <w:style w:type="character" w:customStyle="1" w:styleId="341">
    <w:name w:val="font71"/>
    <w:basedOn w:val="49"/>
    <w:qFormat/>
    <w:uiPriority w:val="0"/>
    <w:rPr>
      <w:rFonts w:hint="eastAsia" w:ascii="宋体" w:hAnsi="宋体" w:eastAsia="宋体" w:cs="宋体"/>
      <w:b/>
      <w:bCs/>
      <w:color w:val="000000"/>
      <w:sz w:val="18"/>
      <w:szCs w:val="18"/>
      <w:u w:val="none"/>
    </w:rPr>
  </w:style>
  <w:style w:type="character" w:customStyle="1" w:styleId="342">
    <w:name w:val="font151"/>
    <w:basedOn w:val="49"/>
    <w:qFormat/>
    <w:uiPriority w:val="0"/>
    <w:rPr>
      <w:rFonts w:hint="eastAsia" w:ascii="宋体" w:hAnsi="宋体" w:eastAsia="宋体" w:cs="宋体"/>
      <w:b/>
      <w:bCs/>
      <w:color w:val="FF0000"/>
      <w:sz w:val="18"/>
      <w:szCs w:val="18"/>
      <w:u w:val="none"/>
    </w:rPr>
  </w:style>
  <w:style w:type="character" w:customStyle="1" w:styleId="343">
    <w:name w:val="font31"/>
    <w:basedOn w:val="49"/>
    <w:qFormat/>
    <w:uiPriority w:val="0"/>
    <w:rPr>
      <w:rFonts w:hint="eastAsia" w:ascii="宋体" w:hAnsi="宋体" w:eastAsia="宋体" w:cs="宋体"/>
      <w:color w:val="000000"/>
      <w:sz w:val="18"/>
      <w:szCs w:val="18"/>
      <w:u w:val="none"/>
    </w:rPr>
  </w:style>
  <w:style w:type="character" w:customStyle="1" w:styleId="344">
    <w:name w:val="font112"/>
    <w:basedOn w:val="49"/>
    <w:qFormat/>
    <w:uiPriority w:val="0"/>
    <w:rPr>
      <w:rFonts w:hint="eastAsia" w:ascii="宋体" w:hAnsi="宋体" w:eastAsia="宋体" w:cs="宋体"/>
      <w:color w:val="FF0000"/>
      <w:sz w:val="18"/>
      <w:szCs w:val="18"/>
      <w:u w:val="none"/>
    </w:rPr>
  </w:style>
  <w:style w:type="character" w:customStyle="1" w:styleId="345">
    <w:name w:val="font111"/>
    <w:basedOn w:val="49"/>
    <w:qFormat/>
    <w:uiPriority w:val="0"/>
    <w:rPr>
      <w:rFonts w:hint="eastAsia" w:ascii="宋体" w:hAnsi="宋体" w:eastAsia="宋体" w:cs="宋体"/>
      <w:color w:val="FF0000"/>
      <w:sz w:val="18"/>
      <w:szCs w:val="18"/>
      <w:u w:val="none"/>
    </w:rPr>
  </w:style>
  <w:style w:type="character" w:customStyle="1" w:styleId="346">
    <w:name w:val="font121"/>
    <w:basedOn w:val="49"/>
    <w:qFormat/>
    <w:uiPriority w:val="0"/>
    <w:rPr>
      <w:rFonts w:hint="eastAsia" w:ascii="宋体" w:hAnsi="宋体" w:eastAsia="宋体" w:cs="宋体"/>
      <w:b/>
      <w:bCs/>
      <w:color w:val="FF0000"/>
      <w:sz w:val="18"/>
      <w:szCs w:val="18"/>
      <w:u w:val="none"/>
    </w:rPr>
  </w:style>
  <w:style w:type="character" w:customStyle="1" w:styleId="347">
    <w:name w:val="font11"/>
    <w:basedOn w:val="49"/>
    <w:qFormat/>
    <w:uiPriority w:val="0"/>
    <w:rPr>
      <w:rFonts w:hint="eastAsia" w:ascii="宋体" w:hAnsi="宋体" w:eastAsia="宋体" w:cs="宋体"/>
      <w:color w:val="000000"/>
      <w:sz w:val="20"/>
      <w:szCs w:val="20"/>
      <w:u w:val="none"/>
    </w:rPr>
  </w:style>
  <w:style w:type="paragraph" w:customStyle="1" w:styleId="348">
    <w:name w:val="msonormal at_0"/>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49">
    <w:name w:val="at_1"/>
    <w:basedOn w:val="49"/>
    <w:qFormat/>
    <w:uiPriority w:val="0"/>
  </w:style>
  <w:style w:type="paragraph" w:customStyle="1" w:styleId="350">
    <w:name w:val="msonormal at_3"/>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51">
    <w:name w:val="font01"/>
    <w:basedOn w:val="49"/>
    <w:qFormat/>
    <w:uiPriority w:val="0"/>
    <w:rPr>
      <w:rFonts w:hint="eastAsia" w:ascii="宋体" w:hAnsi="宋体" w:eastAsia="宋体" w:cs="宋体"/>
      <w:color w:val="000000"/>
      <w:sz w:val="22"/>
      <w:szCs w:val="22"/>
      <w:u w:val="none"/>
    </w:rPr>
  </w:style>
  <w:style w:type="character" w:customStyle="1" w:styleId="352">
    <w:name w:val="font91"/>
    <w:basedOn w:val="49"/>
    <w:qFormat/>
    <w:uiPriority w:val="0"/>
    <w:rPr>
      <w:rFonts w:ascii="等线" w:hAnsi="等线" w:eastAsia="等线" w:cs="等线"/>
      <w:color w:val="000000"/>
      <w:sz w:val="22"/>
      <w:szCs w:val="22"/>
      <w:u w:val="none"/>
    </w:rPr>
  </w:style>
  <w:style w:type="character" w:customStyle="1" w:styleId="353">
    <w:name w:val="16"/>
    <w:basedOn w:val="49"/>
    <w:qFormat/>
    <w:uiPriority w:val="0"/>
    <w:rPr>
      <w:rFonts w:hint="eastAsia" w:ascii="等线" w:hAnsi="等线" w:eastAsia="等线" w:cs="等线"/>
      <w:color w:val="000000"/>
      <w:sz w:val="22"/>
      <w:szCs w:val="22"/>
    </w:rPr>
  </w:style>
  <w:style w:type="character" w:customStyle="1" w:styleId="354">
    <w:name w:val="15"/>
    <w:basedOn w:val="49"/>
    <w:qFormat/>
    <w:uiPriority w:val="0"/>
    <w:rPr>
      <w:rFonts w:hint="eastAsia" w:ascii="宋体" w:hAnsi="宋体" w:eastAsia="宋体" w:cs="宋体"/>
      <w:color w:val="000000"/>
      <w:sz w:val="22"/>
      <w:szCs w:val="22"/>
    </w:rPr>
  </w:style>
  <w:style w:type="character" w:customStyle="1" w:styleId="355">
    <w:name w:val="10"/>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98</Pages>
  <Words>11864</Words>
  <Characters>13001</Characters>
  <Lines>1</Lines>
  <Paragraphs>1</Paragraphs>
  <TotalTime>12</TotalTime>
  <ScaleCrop>false</ScaleCrop>
  <LinksUpToDate>false</LinksUpToDate>
  <CharactersWithSpaces>13560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2021-07-01T09:05:00Z</dcterms:created>
  <dc:creator>he hang</dc:creator>
  <cp:lastModifiedBy>1</cp:lastModifiedBy>
  <cp:lastPrinted>2024-03-06T08:52:00Z</cp:lastPrinted>
  <dcterms:modified xsi:type="dcterms:W3CDTF">2025-12-15T09:25:22Z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965A74BE87D842FD9C7C9ED6814037D7_13</vt:lpwstr>
  </property>
  <property fmtid="{D5CDD505-2E9C-101B-9397-08002B2CF9AE}" pid="4" name="KSOTemplateDocerSaveRecord">
    <vt:lpwstr>eyJoZGlkIjoiOTc0MTA5YTdiN2Q4YWFlNzI3NGI0NzMwNjM1N2MxNDgiLCJ1c2VySWQiOiIzMzA1MzQxNjEifQ==</vt:lpwstr>
  </property>
</Properties>
</file>