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宋体"/>
          <w:b/>
          <w:sz w:val="32"/>
        </w:rPr>
      </w:pPr>
    </w:p>
    <w:p>
      <w:pPr>
        <w:tabs>
          <w:tab w:val="left" w:pos="1695"/>
          <w:tab w:val="left" w:pos="3370"/>
          <w:tab w:val="left" w:pos="5555"/>
        </w:tabs>
        <w:autoSpaceDE w:val="0"/>
        <w:autoSpaceDN w:val="0"/>
        <w:adjustRightInd w:val="0"/>
        <w:snapToGrid w:val="0"/>
        <w:spacing w:line="360" w:lineRule="auto"/>
        <w:ind w:left="1593" w:hanging="1574" w:hangingChars="496"/>
        <w:rPr>
          <w:rFonts w:hint="eastAsia" w:ascii="宋体" w:hAnsi="宋体" w:eastAsia="宋体" w:cs="宋体"/>
          <w:b/>
          <w:bCs/>
          <w:w w:val="99"/>
          <w:kern w:val="0"/>
          <w:sz w:val="32"/>
          <w:szCs w:val="32"/>
          <w:lang w:eastAsia="zh-CN"/>
        </w:rPr>
      </w:pPr>
      <w:bookmarkStart w:id="0" w:name="_Hlk478327804"/>
      <w:r>
        <w:rPr>
          <w:rFonts w:hint="eastAsia" w:ascii="宋体" w:hAnsi="宋体" w:cs="宋体"/>
          <w:b/>
          <w:w w:val="99"/>
          <w:kern w:val="0"/>
          <w:sz w:val="32"/>
          <w:szCs w:val="32"/>
        </w:rPr>
        <w:t>项目名称：</w:t>
      </w:r>
      <w:bookmarkStart w:id="1" w:name="OLE_LINK1"/>
      <w:r>
        <w:rPr>
          <w:rFonts w:hint="eastAsia" w:cs="宋体"/>
          <w:b/>
          <w:sz w:val="32"/>
          <w:szCs w:val="32"/>
        </w:rPr>
        <w:t>重庆公路养护工程</w:t>
      </w:r>
      <w:r>
        <w:rPr>
          <w:rFonts w:hint="eastAsia" w:cs="宋体"/>
          <w:b/>
          <w:sz w:val="32"/>
          <w:szCs w:val="32"/>
          <w:lang w:eastAsia="zh-CN"/>
        </w:rPr>
        <w:t>（</w:t>
      </w:r>
      <w:r>
        <w:rPr>
          <w:rFonts w:hint="eastAsia" w:cs="宋体"/>
          <w:b/>
          <w:sz w:val="32"/>
          <w:szCs w:val="32"/>
          <w:lang w:val="en-US" w:eastAsia="zh-CN"/>
        </w:rPr>
        <w:t>集团</w:t>
      </w:r>
      <w:r>
        <w:rPr>
          <w:rFonts w:hint="eastAsia" w:cs="宋体"/>
          <w:b/>
          <w:sz w:val="32"/>
          <w:szCs w:val="32"/>
          <w:lang w:eastAsia="zh-CN"/>
        </w:rPr>
        <w:t>）</w:t>
      </w:r>
      <w:r>
        <w:rPr>
          <w:rFonts w:hint="eastAsia" w:cs="宋体"/>
          <w:b/>
          <w:sz w:val="32"/>
          <w:szCs w:val="32"/>
        </w:rPr>
        <w:t>有限公司西山坪拌和站合作经营</w:t>
      </w:r>
      <w:bookmarkEnd w:id="1"/>
      <w:r>
        <w:rPr>
          <w:rFonts w:hint="eastAsia" w:cs="宋体"/>
          <w:b/>
          <w:sz w:val="32"/>
          <w:szCs w:val="32"/>
          <w:lang w:eastAsia="zh-CN"/>
        </w:rPr>
        <w:t>（</w:t>
      </w:r>
      <w:r>
        <w:rPr>
          <w:rFonts w:hint="eastAsia" w:cs="宋体"/>
          <w:b/>
          <w:sz w:val="32"/>
          <w:szCs w:val="32"/>
          <w:lang w:val="en-US" w:eastAsia="zh-CN"/>
        </w:rPr>
        <w:t>第二次</w:t>
      </w:r>
      <w:r>
        <w:rPr>
          <w:rFonts w:hint="eastAsia" w:cs="宋体"/>
          <w:b/>
          <w:sz w:val="32"/>
          <w:szCs w:val="32"/>
          <w:lang w:eastAsia="zh-CN"/>
        </w:rPr>
        <w:t>）</w:t>
      </w:r>
    </w:p>
    <w:p>
      <w:pPr>
        <w:tabs>
          <w:tab w:val="left" w:pos="1695"/>
          <w:tab w:val="left" w:pos="3370"/>
          <w:tab w:val="left" w:pos="5555"/>
        </w:tabs>
        <w:autoSpaceDE w:val="0"/>
        <w:autoSpaceDN w:val="0"/>
        <w:adjustRightInd w:val="0"/>
        <w:snapToGrid w:val="0"/>
        <w:spacing w:line="360" w:lineRule="auto"/>
        <w:ind w:left="1593" w:hanging="1574" w:hangingChars="496"/>
        <w:rPr>
          <w:rFonts w:ascii="宋体" w:hAnsi="宋体" w:cs="宋体"/>
          <w:color w:val="FF0000"/>
          <w:kern w:val="0"/>
          <w:sz w:val="32"/>
          <w:szCs w:val="32"/>
        </w:rPr>
      </w:pPr>
      <w:r>
        <w:rPr>
          <w:rFonts w:hint="eastAsia" w:ascii="宋体" w:hAnsi="宋体" w:cs="宋体"/>
          <w:b/>
          <w:w w:val="99"/>
          <w:kern w:val="0"/>
          <w:sz w:val="32"/>
          <w:szCs w:val="32"/>
        </w:rPr>
        <w:t>项目编号</w:t>
      </w:r>
      <w:r>
        <w:rPr>
          <w:rFonts w:hint="eastAsia" w:ascii="Times New Roman" w:hAnsi="Times New Roman" w:cs="宋体"/>
          <w:b/>
          <w:w w:val="100"/>
          <w:kern w:val="2"/>
          <w:sz w:val="32"/>
          <w:szCs w:val="32"/>
        </w:rPr>
        <w:t>：</w:t>
      </w:r>
      <w:r>
        <w:rPr>
          <w:rFonts w:hint="eastAsia" w:ascii="Times New Roman" w:hAnsi="Times New Roman" w:eastAsia="宋体" w:cs="宋体"/>
          <w:b/>
          <w:i w:val="0"/>
          <w:iCs w:val="0"/>
          <w:caps w:val="0"/>
          <w:spacing w:val="0"/>
          <w:sz w:val="32"/>
          <w:szCs w:val="32"/>
          <w:shd w:val="clear"/>
        </w:rPr>
        <w:t>FG2400780849A</w:t>
      </w:r>
    </w:p>
    <w:p>
      <w:pPr>
        <w:tabs>
          <w:tab w:val="left" w:pos="1695"/>
          <w:tab w:val="left" w:pos="3370"/>
          <w:tab w:val="left" w:pos="5555"/>
        </w:tabs>
        <w:autoSpaceDE w:val="0"/>
        <w:autoSpaceDN w:val="0"/>
        <w:adjustRightInd w:val="0"/>
        <w:snapToGrid w:val="0"/>
        <w:spacing w:line="360" w:lineRule="auto"/>
        <w:rPr>
          <w:rFonts w:ascii="宋体" w:hAnsi="宋体" w:cs="宋体"/>
          <w:b/>
          <w:w w:val="99"/>
          <w:kern w:val="0"/>
          <w:szCs w:val="21"/>
        </w:rPr>
      </w:pPr>
    </w:p>
    <w:p>
      <w:pPr>
        <w:tabs>
          <w:tab w:val="left" w:pos="1695"/>
          <w:tab w:val="left" w:pos="3370"/>
          <w:tab w:val="left" w:pos="5555"/>
        </w:tabs>
        <w:autoSpaceDE w:val="0"/>
        <w:autoSpaceDN w:val="0"/>
        <w:adjustRightInd w:val="0"/>
        <w:snapToGrid w:val="0"/>
        <w:spacing w:line="360" w:lineRule="auto"/>
        <w:rPr>
          <w:rFonts w:ascii="宋体" w:hAnsi="宋体" w:cs="宋体"/>
          <w:b/>
          <w:w w:val="99"/>
          <w:kern w:val="0"/>
          <w:szCs w:val="21"/>
        </w:rPr>
      </w:pPr>
    </w:p>
    <w:p>
      <w:pPr>
        <w:autoSpaceDE w:val="0"/>
        <w:autoSpaceDN w:val="0"/>
        <w:adjustRightInd w:val="0"/>
        <w:snapToGrid w:val="0"/>
        <w:spacing w:line="360" w:lineRule="auto"/>
        <w:jc w:val="center"/>
        <w:rPr>
          <w:rFonts w:ascii="宋体" w:hAnsi="宋体" w:cs="宋体"/>
          <w:b/>
          <w:kern w:val="0"/>
          <w:sz w:val="84"/>
          <w:szCs w:val="84"/>
        </w:rPr>
      </w:pPr>
    </w:p>
    <w:p>
      <w:pPr>
        <w:autoSpaceDE w:val="0"/>
        <w:autoSpaceDN w:val="0"/>
        <w:adjustRightInd w:val="0"/>
        <w:snapToGrid w:val="0"/>
        <w:spacing w:line="360" w:lineRule="auto"/>
        <w:jc w:val="center"/>
        <w:rPr>
          <w:rFonts w:ascii="宋体" w:hAnsi="宋体" w:cs="宋体"/>
          <w:b/>
          <w:kern w:val="0"/>
          <w:sz w:val="84"/>
          <w:szCs w:val="84"/>
        </w:rPr>
      </w:pPr>
      <w:r>
        <w:rPr>
          <w:rFonts w:hint="eastAsia" w:ascii="宋体" w:hAnsi="宋体" w:cs="宋体"/>
          <w:b/>
          <w:kern w:val="0"/>
          <w:sz w:val="84"/>
          <w:szCs w:val="84"/>
        </w:rPr>
        <w:t>招 标 文 件</w:t>
      </w:r>
    </w:p>
    <w:p>
      <w:pPr>
        <w:autoSpaceDE w:val="0"/>
        <w:autoSpaceDN w:val="0"/>
        <w:adjustRightInd w:val="0"/>
        <w:snapToGrid w:val="0"/>
        <w:spacing w:line="360" w:lineRule="auto"/>
        <w:jc w:val="left"/>
        <w:rPr>
          <w:rFonts w:ascii="宋体" w:hAnsi="宋体" w:cs="宋体"/>
          <w:b/>
          <w:kern w:val="0"/>
          <w:szCs w:val="21"/>
        </w:rPr>
      </w:pPr>
    </w:p>
    <w:p>
      <w:pPr>
        <w:autoSpaceDE w:val="0"/>
        <w:autoSpaceDN w:val="0"/>
        <w:adjustRightInd w:val="0"/>
        <w:snapToGrid w:val="0"/>
        <w:spacing w:line="360" w:lineRule="auto"/>
        <w:jc w:val="left"/>
        <w:rPr>
          <w:rFonts w:ascii="宋体" w:hAnsi="宋体" w:cs="宋体"/>
          <w:kern w:val="0"/>
          <w:szCs w:val="21"/>
        </w:rPr>
      </w:pPr>
    </w:p>
    <w:p>
      <w:pPr>
        <w:autoSpaceDE w:val="0"/>
        <w:autoSpaceDN w:val="0"/>
        <w:adjustRightInd w:val="0"/>
        <w:snapToGrid w:val="0"/>
        <w:spacing w:line="360" w:lineRule="auto"/>
        <w:jc w:val="left"/>
        <w:rPr>
          <w:rFonts w:ascii="宋体" w:hAnsi="宋体" w:cs="宋体"/>
          <w:kern w:val="0"/>
          <w:szCs w:val="21"/>
        </w:rPr>
      </w:pPr>
    </w:p>
    <w:p>
      <w:pPr>
        <w:autoSpaceDE w:val="0"/>
        <w:autoSpaceDN w:val="0"/>
        <w:adjustRightInd w:val="0"/>
        <w:snapToGrid w:val="0"/>
        <w:spacing w:line="360" w:lineRule="auto"/>
        <w:jc w:val="left"/>
        <w:rPr>
          <w:rFonts w:ascii="宋体" w:hAnsi="宋体" w:cs="宋体"/>
          <w:kern w:val="0"/>
          <w:szCs w:val="21"/>
        </w:rPr>
      </w:pPr>
      <w:r>
        <w:rPr>
          <w:rFonts w:hint="eastAsia" w:ascii="宋体" w:hAnsi="宋体" w:cs="宋体"/>
          <w:kern w:val="0"/>
          <w:szCs w:val="21"/>
        </w:rPr>
        <w:t xml:space="preserve">                                  </w:t>
      </w:r>
      <w:r>
        <w:rPr>
          <w:b/>
          <w:sz w:val="32"/>
          <w:szCs w:val="32"/>
        </w:rPr>
        <w:drawing>
          <wp:inline distT="0" distB="0" distL="114300" distR="114300">
            <wp:extent cx="1757680" cy="1068705"/>
            <wp:effectExtent l="0" t="0" r="13970" b="17145"/>
            <wp:docPr id="3" name="图片 1" descr="QQ图片20180605105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QQ图片20180605105049"/>
                    <pic:cNvPicPr>
                      <a:picLocks noChangeAspect="1"/>
                    </pic:cNvPicPr>
                  </pic:nvPicPr>
                  <pic:blipFill>
                    <a:blip r:embed="rId16"/>
                    <a:stretch>
                      <a:fillRect/>
                    </a:stretch>
                  </pic:blipFill>
                  <pic:spPr>
                    <a:xfrm>
                      <a:off x="0" y="0"/>
                      <a:ext cx="1757680" cy="1068705"/>
                    </a:xfrm>
                    <a:prstGeom prst="rect">
                      <a:avLst/>
                    </a:prstGeom>
                    <a:noFill/>
                    <a:ln>
                      <a:noFill/>
                    </a:ln>
                  </pic:spPr>
                </pic:pic>
              </a:graphicData>
            </a:graphic>
          </wp:inline>
        </w:drawing>
      </w:r>
      <w:r>
        <w:rPr>
          <w:rFonts w:hint="eastAsia" w:ascii="宋体" w:hAnsi="宋体" w:cs="宋体"/>
          <w:kern w:val="0"/>
          <w:szCs w:val="21"/>
        </w:rPr>
        <w:t xml:space="preserve"> </w:t>
      </w:r>
    </w:p>
    <w:p>
      <w:pPr>
        <w:autoSpaceDE w:val="0"/>
        <w:autoSpaceDN w:val="0"/>
        <w:adjustRightInd w:val="0"/>
        <w:snapToGrid w:val="0"/>
        <w:spacing w:line="360" w:lineRule="auto"/>
        <w:jc w:val="left"/>
        <w:rPr>
          <w:rFonts w:ascii="宋体" w:hAnsi="宋体" w:cs="宋体"/>
          <w:kern w:val="0"/>
          <w:szCs w:val="21"/>
        </w:rPr>
      </w:pPr>
    </w:p>
    <w:p>
      <w:pPr>
        <w:autoSpaceDE w:val="0"/>
        <w:autoSpaceDN w:val="0"/>
        <w:adjustRightInd w:val="0"/>
        <w:snapToGrid w:val="0"/>
        <w:spacing w:line="360" w:lineRule="auto"/>
        <w:jc w:val="left"/>
        <w:rPr>
          <w:rFonts w:ascii="宋体" w:hAnsi="宋体" w:cs="宋体"/>
          <w:kern w:val="0"/>
          <w:szCs w:val="21"/>
        </w:rPr>
      </w:pPr>
    </w:p>
    <w:p>
      <w:pPr>
        <w:autoSpaceDE w:val="0"/>
        <w:autoSpaceDN w:val="0"/>
        <w:adjustRightInd w:val="0"/>
        <w:snapToGrid w:val="0"/>
        <w:spacing w:line="360" w:lineRule="auto"/>
        <w:jc w:val="left"/>
        <w:rPr>
          <w:rFonts w:ascii="宋体" w:hAnsi="宋体" w:cs="宋体"/>
          <w:kern w:val="0"/>
          <w:szCs w:val="21"/>
        </w:rPr>
      </w:pPr>
    </w:p>
    <w:p>
      <w:pPr>
        <w:autoSpaceDE w:val="0"/>
        <w:autoSpaceDN w:val="0"/>
        <w:adjustRightInd w:val="0"/>
        <w:snapToGrid w:val="0"/>
        <w:spacing w:line="360" w:lineRule="auto"/>
        <w:jc w:val="left"/>
        <w:rPr>
          <w:rFonts w:ascii="宋体" w:hAnsi="宋体" w:cs="宋体"/>
          <w:kern w:val="0"/>
          <w:szCs w:val="21"/>
        </w:rPr>
      </w:pPr>
    </w:p>
    <w:p>
      <w:pPr>
        <w:autoSpaceDE w:val="0"/>
        <w:autoSpaceDN w:val="0"/>
        <w:adjustRightInd w:val="0"/>
        <w:snapToGrid w:val="0"/>
        <w:spacing w:line="360" w:lineRule="auto"/>
        <w:jc w:val="left"/>
        <w:rPr>
          <w:rFonts w:ascii="宋体" w:hAnsi="宋体" w:cs="宋体"/>
          <w:kern w:val="0"/>
          <w:szCs w:val="21"/>
        </w:rPr>
      </w:pPr>
    </w:p>
    <w:p>
      <w:pPr>
        <w:tabs>
          <w:tab w:val="left" w:pos="1695"/>
          <w:tab w:val="left" w:pos="3370"/>
          <w:tab w:val="left" w:pos="5555"/>
        </w:tabs>
        <w:autoSpaceDE w:val="0"/>
        <w:autoSpaceDN w:val="0"/>
        <w:adjustRightInd w:val="0"/>
        <w:snapToGrid w:val="0"/>
        <w:spacing w:line="360" w:lineRule="auto"/>
        <w:ind w:firstLine="841" w:firstLineChars="265"/>
        <w:rPr>
          <w:rFonts w:ascii="宋体" w:hAnsi="宋体" w:cs="宋体"/>
          <w:b/>
          <w:w w:val="99"/>
          <w:kern w:val="0"/>
          <w:sz w:val="32"/>
          <w:szCs w:val="32"/>
        </w:rPr>
      </w:pPr>
      <w:r>
        <w:rPr>
          <w:rFonts w:hint="eastAsia" w:ascii="宋体" w:hAnsi="宋体" w:cs="宋体"/>
          <w:b/>
          <w:w w:val="99"/>
          <w:kern w:val="0"/>
          <w:sz w:val="32"/>
          <w:szCs w:val="32"/>
        </w:rPr>
        <w:t>招   标   人：</w:t>
      </w:r>
      <w:r>
        <w:rPr>
          <w:rFonts w:hint="eastAsia" w:ascii="宋体" w:hAnsi="宋体" w:cs="宋体"/>
          <w:b/>
          <w:kern w:val="0"/>
          <w:sz w:val="32"/>
          <w:szCs w:val="32"/>
          <w:u w:val="single"/>
          <w:lang w:val="zh-CN"/>
        </w:rPr>
        <w:t>重庆</w:t>
      </w:r>
      <w:r>
        <w:rPr>
          <w:rFonts w:hint="eastAsia" w:ascii="宋体" w:hAnsi="宋体" w:cs="宋体"/>
          <w:b/>
          <w:kern w:val="0"/>
          <w:sz w:val="32"/>
          <w:szCs w:val="32"/>
          <w:u w:val="single"/>
        </w:rPr>
        <w:t>公路养护工程</w:t>
      </w:r>
      <w:r>
        <w:rPr>
          <w:rFonts w:hint="eastAsia" w:ascii="宋体" w:hAnsi="宋体" w:cs="宋体"/>
          <w:b/>
          <w:kern w:val="0"/>
          <w:sz w:val="32"/>
          <w:szCs w:val="32"/>
          <w:u w:val="single"/>
          <w:lang w:eastAsia="zh-CN"/>
        </w:rPr>
        <w:t>（</w:t>
      </w:r>
      <w:r>
        <w:rPr>
          <w:rFonts w:hint="eastAsia" w:ascii="宋体" w:hAnsi="宋体" w:cs="宋体"/>
          <w:b/>
          <w:kern w:val="0"/>
          <w:sz w:val="32"/>
          <w:szCs w:val="32"/>
          <w:u w:val="single"/>
          <w:lang w:val="en-US" w:eastAsia="zh-CN"/>
        </w:rPr>
        <w:t>集团</w:t>
      </w:r>
      <w:r>
        <w:rPr>
          <w:rFonts w:hint="eastAsia" w:ascii="宋体" w:hAnsi="宋体" w:cs="宋体"/>
          <w:b/>
          <w:kern w:val="0"/>
          <w:sz w:val="32"/>
          <w:szCs w:val="32"/>
          <w:u w:val="single"/>
          <w:lang w:eastAsia="zh-CN"/>
        </w:rPr>
        <w:t>）</w:t>
      </w:r>
      <w:r>
        <w:rPr>
          <w:rFonts w:hint="eastAsia" w:ascii="宋体" w:hAnsi="宋体" w:cs="宋体"/>
          <w:b/>
          <w:kern w:val="0"/>
          <w:sz w:val="32"/>
          <w:szCs w:val="32"/>
          <w:u w:val="single"/>
        </w:rPr>
        <w:t>有限公司</w:t>
      </w:r>
      <w:r>
        <w:rPr>
          <w:rFonts w:hint="eastAsia" w:ascii="宋体" w:hAnsi="宋体" w:cs="宋体"/>
          <w:b/>
          <w:w w:val="99"/>
          <w:kern w:val="0"/>
          <w:sz w:val="32"/>
          <w:szCs w:val="32"/>
        </w:rPr>
        <w:t>（盖章）</w:t>
      </w:r>
    </w:p>
    <w:p>
      <w:pPr>
        <w:tabs>
          <w:tab w:val="left" w:pos="1695"/>
          <w:tab w:val="left" w:pos="3370"/>
          <w:tab w:val="left" w:pos="5555"/>
        </w:tabs>
        <w:autoSpaceDE w:val="0"/>
        <w:autoSpaceDN w:val="0"/>
        <w:adjustRightInd w:val="0"/>
        <w:snapToGrid w:val="0"/>
        <w:spacing w:line="360" w:lineRule="auto"/>
        <w:ind w:firstLine="841" w:firstLineChars="265"/>
        <w:rPr>
          <w:rFonts w:ascii="宋体" w:hAnsi="宋体" w:cs="宋体"/>
          <w:b/>
          <w:w w:val="99"/>
          <w:kern w:val="0"/>
          <w:sz w:val="32"/>
          <w:szCs w:val="32"/>
        </w:rPr>
      </w:pPr>
      <w:r>
        <w:rPr>
          <w:rFonts w:hint="eastAsia" w:ascii="宋体" w:hAnsi="宋体" w:cs="宋体"/>
          <w:b/>
          <w:w w:val="99"/>
          <w:kern w:val="0"/>
          <w:sz w:val="32"/>
          <w:szCs w:val="32"/>
        </w:rPr>
        <w:t>招标代理机构：</w:t>
      </w:r>
      <w:r>
        <w:rPr>
          <w:rFonts w:hint="eastAsia" w:ascii="宋体" w:hAnsi="宋体" w:cs="宋体"/>
          <w:b/>
          <w:w w:val="99"/>
          <w:kern w:val="0"/>
          <w:sz w:val="32"/>
          <w:szCs w:val="32"/>
          <w:lang w:eastAsia="zh-CN"/>
        </w:rPr>
        <w:t>重庆市投资咨询有限公司</w:t>
      </w:r>
      <w:r>
        <w:rPr>
          <w:rFonts w:hint="eastAsia" w:ascii="宋体" w:hAnsi="宋体" w:cs="宋体"/>
          <w:b/>
          <w:w w:val="99"/>
          <w:kern w:val="0"/>
          <w:sz w:val="32"/>
          <w:szCs w:val="32"/>
        </w:rPr>
        <w:t>（盖章）</w:t>
      </w:r>
    </w:p>
    <w:p>
      <w:pPr>
        <w:tabs>
          <w:tab w:val="left" w:pos="1695"/>
          <w:tab w:val="left" w:pos="3370"/>
          <w:tab w:val="left" w:pos="5555"/>
        </w:tabs>
        <w:autoSpaceDE w:val="0"/>
        <w:autoSpaceDN w:val="0"/>
        <w:adjustRightInd w:val="0"/>
        <w:snapToGrid w:val="0"/>
        <w:spacing w:line="360" w:lineRule="auto"/>
        <w:rPr>
          <w:rFonts w:ascii="宋体" w:hAnsi="宋体" w:cs="宋体"/>
          <w:b/>
          <w:w w:val="99"/>
          <w:kern w:val="0"/>
          <w:sz w:val="32"/>
          <w:szCs w:val="32"/>
        </w:rPr>
      </w:pPr>
    </w:p>
    <w:p>
      <w:pPr>
        <w:tabs>
          <w:tab w:val="left" w:pos="1695"/>
          <w:tab w:val="left" w:pos="3370"/>
          <w:tab w:val="left" w:pos="5555"/>
        </w:tabs>
        <w:autoSpaceDE w:val="0"/>
        <w:autoSpaceDN w:val="0"/>
        <w:adjustRightInd w:val="0"/>
        <w:snapToGrid w:val="0"/>
        <w:spacing w:line="360" w:lineRule="auto"/>
        <w:jc w:val="center"/>
        <w:rPr>
          <w:rFonts w:ascii="宋体" w:hAnsi="宋体" w:cs="宋体"/>
          <w:b/>
          <w:sz w:val="32"/>
          <w:szCs w:val="32"/>
        </w:rPr>
      </w:pPr>
      <w:r>
        <w:rPr>
          <w:rFonts w:hint="eastAsia" w:ascii="宋体" w:hAnsi="宋体" w:cs="宋体"/>
          <w:b/>
          <w:sz w:val="32"/>
          <w:szCs w:val="32"/>
        </w:rPr>
        <w:t>202</w:t>
      </w:r>
      <w:r>
        <w:rPr>
          <w:rFonts w:hint="eastAsia" w:ascii="宋体" w:hAnsi="宋体" w:cs="宋体"/>
          <w:b/>
          <w:sz w:val="32"/>
          <w:szCs w:val="32"/>
          <w:lang w:val="en-US" w:eastAsia="zh-CN"/>
        </w:rPr>
        <w:t>5</w:t>
      </w:r>
      <w:r>
        <w:rPr>
          <w:rFonts w:hint="eastAsia" w:ascii="宋体" w:hAnsi="宋体" w:cs="宋体"/>
          <w:b/>
          <w:sz w:val="32"/>
          <w:szCs w:val="32"/>
        </w:rPr>
        <w:t>年</w:t>
      </w:r>
      <w:r>
        <w:rPr>
          <w:rFonts w:hint="eastAsia" w:ascii="宋体" w:hAnsi="宋体" w:cs="宋体"/>
          <w:b/>
          <w:sz w:val="32"/>
          <w:szCs w:val="32"/>
          <w:lang w:val="en-US" w:eastAsia="zh-CN"/>
        </w:rPr>
        <w:t>3</w:t>
      </w:r>
      <w:r>
        <w:rPr>
          <w:rFonts w:hint="eastAsia" w:ascii="宋体" w:hAnsi="宋体" w:cs="宋体"/>
          <w:b/>
          <w:sz w:val="32"/>
          <w:szCs w:val="32"/>
        </w:rPr>
        <w:t>月</w:t>
      </w:r>
      <w:bookmarkEnd w:id="0"/>
    </w:p>
    <w:p>
      <w:pPr>
        <w:autoSpaceDE w:val="0"/>
        <w:autoSpaceDN w:val="0"/>
        <w:adjustRightInd w:val="0"/>
        <w:snapToGrid w:val="0"/>
        <w:spacing w:line="360" w:lineRule="auto"/>
        <w:rPr>
          <w:rFonts w:ascii="宋体" w:hAnsi="宋体" w:cs="宋体"/>
          <w:b/>
          <w:sz w:val="32"/>
          <w:szCs w:val="32"/>
        </w:rPr>
        <w:sectPr>
          <w:footerReference r:id="rId5" w:type="first"/>
          <w:headerReference r:id="rId3" w:type="default"/>
          <w:footerReference r:id="rId4" w:type="even"/>
          <w:pgSz w:w="11907" w:h="16839"/>
          <w:pgMar w:top="1134" w:right="1134" w:bottom="1134" w:left="1134" w:header="720" w:footer="720" w:gutter="0"/>
          <w:pgNumType w:start="1"/>
          <w:cols w:space="720" w:num="1"/>
          <w:docGrid w:linePitch="286" w:charSpace="0"/>
        </w:sectPr>
      </w:pPr>
    </w:p>
    <w:p>
      <w:pPr>
        <w:jc w:val="center"/>
        <w:rPr>
          <w:rFonts w:ascii="宋体" w:hAnsi="宋体" w:cs="宋体"/>
          <w:b/>
          <w:sz w:val="32"/>
          <w:szCs w:val="32"/>
        </w:rPr>
      </w:pPr>
      <w:r>
        <w:rPr>
          <w:rFonts w:hint="eastAsia" w:ascii="宋体" w:hAnsi="宋体" w:cs="宋体"/>
          <w:b/>
          <w:sz w:val="32"/>
          <w:szCs w:val="32"/>
        </w:rPr>
        <w:t>目      录</w:t>
      </w:r>
    </w:p>
    <w:p>
      <w:pPr>
        <w:spacing w:line="330" w:lineRule="exact"/>
        <w:jc w:val="center"/>
        <w:rPr>
          <w:rFonts w:ascii="宋体" w:hAnsi="宋体" w:cs="宋体"/>
          <w:b/>
          <w:sz w:val="32"/>
          <w:szCs w:val="32"/>
        </w:rPr>
      </w:pPr>
    </w:p>
    <w:p>
      <w:pPr>
        <w:pStyle w:val="11"/>
        <w:tabs>
          <w:tab w:val="right" w:leader="dot" w:pos="9639"/>
        </w:tabs>
      </w:pPr>
      <w:r>
        <w:rPr>
          <w:rFonts w:hint="eastAsia" w:ascii="宋体" w:hAnsi="宋体" w:cs="宋体"/>
          <w:b w:val="0"/>
          <w:sz w:val="32"/>
          <w:szCs w:val="32"/>
        </w:rPr>
        <w:fldChar w:fldCharType="begin"/>
      </w:r>
      <w:r>
        <w:rPr>
          <w:rFonts w:hint="eastAsia" w:ascii="宋体" w:hAnsi="宋体" w:cs="宋体"/>
          <w:b w:val="0"/>
          <w:sz w:val="32"/>
          <w:szCs w:val="32"/>
        </w:rPr>
        <w:instrText xml:space="preserve">TOC \o "1-1" \h \u </w:instrText>
      </w:r>
      <w:r>
        <w:rPr>
          <w:rFonts w:hint="eastAsia" w:ascii="宋体" w:hAnsi="宋体" w:cs="宋体"/>
          <w:b w:val="0"/>
          <w:sz w:val="32"/>
          <w:szCs w:val="32"/>
        </w:rPr>
        <w:fldChar w:fldCharType="separate"/>
      </w:r>
      <w:r>
        <w:fldChar w:fldCharType="begin"/>
      </w:r>
      <w:r>
        <w:instrText xml:space="preserve"> HYPERLINK \l "_Toc14729" </w:instrText>
      </w:r>
      <w:r>
        <w:fldChar w:fldCharType="separate"/>
      </w:r>
      <w:r>
        <w:rPr>
          <w:rFonts w:hint="eastAsia" w:ascii="宋体" w:hAnsi="宋体" w:cs="宋体"/>
          <w:kern w:val="0"/>
        </w:rPr>
        <w:t>第一章  招标公告</w:t>
      </w:r>
      <w:r>
        <w:tab/>
      </w:r>
      <w:r>
        <w:fldChar w:fldCharType="begin"/>
      </w:r>
      <w:r>
        <w:instrText xml:space="preserve"> PAGEREF _Toc14729 \h </w:instrText>
      </w:r>
      <w:r>
        <w:fldChar w:fldCharType="separate"/>
      </w:r>
      <w:r>
        <w:t>1</w:t>
      </w:r>
      <w:r>
        <w:fldChar w:fldCharType="end"/>
      </w:r>
      <w:r>
        <w:fldChar w:fldCharType="end"/>
      </w:r>
    </w:p>
    <w:p>
      <w:pPr>
        <w:pStyle w:val="11"/>
        <w:tabs>
          <w:tab w:val="right" w:leader="dot" w:pos="9639"/>
        </w:tabs>
      </w:pPr>
      <w:r>
        <w:fldChar w:fldCharType="begin"/>
      </w:r>
      <w:r>
        <w:instrText xml:space="preserve"> HYPERLINK \l "_Toc4485" </w:instrText>
      </w:r>
      <w:r>
        <w:fldChar w:fldCharType="separate"/>
      </w:r>
      <w:r>
        <w:rPr>
          <w:rFonts w:hint="eastAsia" w:ascii="宋体" w:hAnsi="宋体" w:cs="宋体"/>
          <w:kern w:val="0"/>
        </w:rPr>
        <w:t>第二章  投标人须知</w:t>
      </w:r>
      <w:r>
        <w:tab/>
      </w:r>
      <w:r>
        <w:fldChar w:fldCharType="begin"/>
      </w:r>
      <w:r>
        <w:instrText xml:space="preserve"> PAGEREF _Toc4485 \h </w:instrText>
      </w:r>
      <w:r>
        <w:fldChar w:fldCharType="separate"/>
      </w:r>
      <w:r>
        <w:t>4</w:t>
      </w:r>
      <w:r>
        <w:fldChar w:fldCharType="end"/>
      </w:r>
      <w:r>
        <w:fldChar w:fldCharType="end"/>
      </w:r>
    </w:p>
    <w:p>
      <w:pPr>
        <w:pStyle w:val="11"/>
        <w:tabs>
          <w:tab w:val="right" w:leader="dot" w:pos="9639"/>
        </w:tabs>
      </w:pPr>
      <w:r>
        <w:fldChar w:fldCharType="begin"/>
      </w:r>
      <w:r>
        <w:instrText xml:space="preserve"> HYPERLINK \l "_Toc31622" </w:instrText>
      </w:r>
      <w:r>
        <w:fldChar w:fldCharType="separate"/>
      </w:r>
      <w:r>
        <w:rPr>
          <w:rFonts w:hint="eastAsia" w:ascii="宋体" w:hAnsi="宋体" w:cs="宋体"/>
          <w:snapToGrid w:val="0"/>
          <w:kern w:val="0"/>
          <w:szCs w:val="44"/>
        </w:rPr>
        <w:t>第三章  评标办法（综合</w:t>
      </w:r>
      <w:r>
        <w:rPr>
          <w:rFonts w:hint="eastAsia" w:ascii="宋体" w:hAnsi="宋体" w:cs="宋体"/>
          <w:snapToGrid w:val="0"/>
          <w:kern w:val="0"/>
          <w:szCs w:val="44"/>
          <w:lang w:val="en-US" w:eastAsia="zh-CN"/>
        </w:rPr>
        <w:t>评估</w:t>
      </w:r>
      <w:r>
        <w:rPr>
          <w:rFonts w:hint="eastAsia" w:ascii="宋体" w:hAnsi="宋体" w:cs="宋体"/>
          <w:snapToGrid w:val="0"/>
          <w:kern w:val="0"/>
          <w:szCs w:val="44"/>
        </w:rPr>
        <w:t>法）</w:t>
      </w:r>
      <w:r>
        <w:tab/>
      </w:r>
      <w:r>
        <w:fldChar w:fldCharType="begin"/>
      </w:r>
      <w:r>
        <w:instrText xml:space="preserve"> PAGEREF _Toc31622 \h </w:instrText>
      </w:r>
      <w:r>
        <w:fldChar w:fldCharType="separate"/>
      </w:r>
      <w:r>
        <w:t>31</w:t>
      </w:r>
      <w:r>
        <w:fldChar w:fldCharType="end"/>
      </w:r>
      <w:r>
        <w:fldChar w:fldCharType="end"/>
      </w:r>
    </w:p>
    <w:p>
      <w:pPr>
        <w:pStyle w:val="11"/>
        <w:tabs>
          <w:tab w:val="right" w:leader="dot" w:pos="9639"/>
        </w:tabs>
      </w:pPr>
      <w:r>
        <w:fldChar w:fldCharType="begin"/>
      </w:r>
      <w:r>
        <w:instrText xml:space="preserve"> HYPERLINK \l "_Toc3466" </w:instrText>
      </w:r>
      <w:r>
        <w:fldChar w:fldCharType="separate"/>
      </w:r>
      <w:r>
        <w:rPr>
          <w:rFonts w:hint="eastAsia" w:ascii="宋体" w:hAnsi="宋体" w:cs="宋体"/>
          <w:kern w:val="0"/>
        </w:rPr>
        <w:t>第四章  合同条款及格式</w:t>
      </w:r>
      <w:r>
        <w:tab/>
      </w:r>
      <w:r>
        <w:fldChar w:fldCharType="begin"/>
      </w:r>
      <w:r>
        <w:instrText xml:space="preserve"> PAGEREF _Toc3466 \h </w:instrText>
      </w:r>
      <w:r>
        <w:fldChar w:fldCharType="separate"/>
      </w:r>
      <w:r>
        <w:t>36</w:t>
      </w:r>
      <w:r>
        <w:fldChar w:fldCharType="end"/>
      </w:r>
      <w:r>
        <w:fldChar w:fldCharType="end"/>
      </w:r>
    </w:p>
    <w:p>
      <w:pPr>
        <w:pStyle w:val="11"/>
        <w:tabs>
          <w:tab w:val="right" w:leader="dot" w:pos="9639"/>
        </w:tabs>
      </w:pPr>
      <w:r>
        <w:fldChar w:fldCharType="begin"/>
      </w:r>
      <w:r>
        <w:instrText xml:space="preserve"> HYPERLINK \l "_Toc32177" </w:instrText>
      </w:r>
      <w:r>
        <w:fldChar w:fldCharType="separate"/>
      </w:r>
      <w:r>
        <w:rPr>
          <w:rFonts w:hint="eastAsia" w:ascii="宋体" w:hAnsi="宋体" w:cs="宋体"/>
          <w:kern w:val="0"/>
        </w:rPr>
        <w:t>第五章  投标文件格式</w:t>
      </w:r>
      <w:r>
        <w:tab/>
      </w:r>
      <w:r>
        <w:fldChar w:fldCharType="begin"/>
      </w:r>
      <w:r>
        <w:instrText xml:space="preserve"> PAGEREF _Toc32177 \h </w:instrText>
      </w:r>
      <w:r>
        <w:fldChar w:fldCharType="separate"/>
      </w:r>
      <w:r>
        <w:t>62</w:t>
      </w:r>
      <w:r>
        <w:fldChar w:fldCharType="end"/>
      </w:r>
      <w:r>
        <w:fldChar w:fldCharType="end"/>
      </w:r>
    </w:p>
    <w:p>
      <w:pPr>
        <w:spacing w:line="360" w:lineRule="auto"/>
        <w:jc w:val="right"/>
        <w:rPr>
          <w:rFonts w:ascii="宋体" w:hAnsi="宋体" w:cs="宋体"/>
          <w:b/>
          <w:sz w:val="32"/>
          <w:szCs w:val="32"/>
        </w:rPr>
      </w:pPr>
      <w:r>
        <w:rPr>
          <w:rFonts w:hint="eastAsia" w:ascii="宋体" w:hAnsi="宋体" w:cs="宋体"/>
          <w:szCs w:val="32"/>
        </w:rPr>
        <w:fldChar w:fldCharType="end"/>
      </w:r>
    </w:p>
    <w:p>
      <w:pPr>
        <w:rPr>
          <w:rFonts w:ascii="宋体" w:hAnsi="宋体" w:cs="宋体"/>
        </w:rPr>
      </w:pPr>
    </w:p>
    <w:p>
      <w:pPr>
        <w:pStyle w:val="3"/>
        <w:numPr>
          <w:ilvl w:val="0"/>
          <w:numId w:val="0"/>
        </w:numPr>
        <w:rPr>
          <w:rFonts w:ascii="宋体" w:hAnsi="宋体" w:eastAsia="宋体" w:cs="宋体"/>
          <w:b/>
          <w:kern w:val="0"/>
        </w:rPr>
        <w:sectPr>
          <w:footerReference r:id="rId6" w:type="default"/>
          <w:pgSz w:w="11907" w:h="16839"/>
          <w:pgMar w:top="1134" w:right="1134" w:bottom="1134" w:left="1134" w:header="720" w:footer="720" w:gutter="0"/>
          <w:pgNumType w:start="1"/>
          <w:cols w:space="720" w:num="1"/>
          <w:docGrid w:linePitch="286" w:charSpace="0"/>
        </w:sectPr>
      </w:pPr>
    </w:p>
    <w:p>
      <w:pPr>
        <w:pStyle w:val="3"/>
        <w:numPr>
          <w:ilvl w:val="0"/>
          <w:numId w:val="0"/>
        </w:numPr>
        <w:snapToGrid/>
        <w:rPr>
          <w:rFonts w:ascii="宋体" w:hAnsi="宋体" w:eastAsia="宋体" w:cs="宋体"/>
          <w:b/>
          <w:kern w:val="0"/>
          <w:sz w:val="40"/>
        </w:rPr>
      </w:pPr>
      <w:bookmarkStart w:id="2" w:name="_Toc21443"/>
      <w:bookmarkStart w:id="3" w:name="_Toc1210"/>
      <w:bookmarkStart w:id="4" w:name="_Toc14729"/>
      <w:r>
        <w:rPr>
          <w:rFonts w:hint="eastAsia" w:ascii="宋体" w:hAnsi="宋体" w:eastAsia="宋体" w:cs="宋体"/>
          <w:b/>
          <w:kern w:val="0"/>
          <w:sz w:val="40"/>
        </w:rPr>
        <w:t>第一章  招标公告</w:t>
      </w:r>
      <w:bookmarkEnd w:id="2"/>
      <w:bookmarkEnd w:id="3"/>
      <w:bookmarkEnd w:id="4"/>
    </w:p>
    <w:p>
      <w:pPr>
        <w:widowControl/>
        <w:spacing w:line="360" w:lineRule="auto"/>
        <w:jc w:val="center"/>
        <w:rPr>
          <w:rFonts w:hint="eastAsia" w:ascii="宋体" w:hAnsi="宋体" w:eastAsia="宋体" w:cs="宋体"/>
          <w:b/>
          <w:bCs/>
          <w:kern w:val="44"/>
          <w:sz w:val="28"/>
          <w:szCs w:val="28"/>
          <w:lang w:eastAsia="zh-CN"/>
        </w:rPr>
      </w:pPr>
      <w:bookmarkStart w:id="5" w:name="OLE_LINK4"/>
      <w:bookmarkStart w:id="6" w:name="_Toc245460573"/>
      <w:r>
        <w:rPr>
          <w:rFonts w:hint="eastAsia" w:ascii="宋体" w:hAnsi="宋体" w:cs="宋体"/>
          <w:b/>
          <w:bCs/>
          <w:kern w:val="44"/>
          <w:sz w:val="28"/>
          <w:szCs w:val="28"/>
        </w:rPr>
        <w:t>重庆公路养护工程</w:t>
      </w:r>
      <w:r>
        <w:rPr>
          <w:rFonts w:hint="eastAsia" w:ascii="宋体" w:hAnsi="宋体" w:cs="宋体"/>
          <w:b/>
          <w:bCs/>
          <w:kern w:val="44"/>
          <w:sz w:val="28"/>
          <w:szCs w:val="28"/>
          <w:lang w:eastAsia="zh-CN"/>
        </w:rPr>
        <w:t>（</w:t>
      </w:r>
      <w:r>
        <w:rPr>
          <w:rFonts w:hint="eastAsia" w:ascii="宋体" w:hAnsi="宋体" w:cs="宋体"/>
          <w:b/>
          <w:bCs/>
          <w:kern w:val="44"/>
          <w:sz w:val="28"/>
          <w:szCs w:val="28"/>
          <w:lang w:val="en-US" w:eastAsia="zh-CN"/>
        </w:rPr>
        <w:t>集团</w:t>
      </w:r>
      <w:r>
        <w:rPr>
          <w:rFonts w:hint="eastAsia" w:ascii="宋体" w:hAnsi="宋体" w:cs="宋体"/>
          <w:b/>
          <w:bCs/>
          <w:kern w:val="44"/>
          <w:sz w:val="28"/>
          <w:szCs w:val="28"/>
          <w:lang w:eastAsia="zh-CN"/>
        </w:rPr>
        <w:t>）</w:t>
      </w:r>
      <w:r>
        <w:rPr>
          <w:rFonts w:hint="eastAsia" w:ascii="宋体" w:hAnsi="宋体" w:cs="宋体"/>
          <w:b/>
          <w:bCs/>
          <w:kern w:val="44"/>
          <w:sz w:val="28"/>
          <w:szCs w:val="28"/>
        </w:rPr>
        <w:t>有限公司西山坪拌和站合作经营</w:t>
      </w:r>
      <w:r>
        <w:rPr>
          <w:rFonts w:hint="eastAsia" w:ascii="宋体" w:hAnsi="宋体" w:cs="宋体"/>
          <w:b/>
          <w:bCs/>
          <w:kern w:val="44"/>
          <w:sz w:val="28"/>
          <w:szCs w:val="28"/>
          <w:lang w:eastAsia="zh-CN"/>
        </w:rPr>
        <w:t>（</w:t>
      </w:r>
      <w:r>
        <w:rPr>
          <w:rFonts w:hint="eastAsia" w:ascii="宋体" w:hAnsi="宋体" w:cs="宋体"/>
          <w:b/>
          <w:bCs/>
          <w:kern w:val="44"/>
          <w:sz w:val="28"/>
          <w:szCs w:val="28"/>
          <w:lang w:val="en-US" w:eastAsia="zh-CN"/>
        </w:rPr>
        <w:t>第二次</w:t>
      </w:r>
      <w:r>
        <w:rPr>
          <w:rFonts w:hint="eastAsia" w:ascii="宋体" w:hAnsi="宋体" w:cs="宋体"/>
          <w:b/>
          <w:bCs/>
          <w:kern w:val="44"/>
          <w:sz w:val="28"/>
          <w:szCs w:val="28"/>
          <w:lang w:eastAsia="zh-CN"/>
        </w:rPr>
        <w:t>）</w:t>
      </w:r>
    </w:p>
    <w:bookmarkEnd w:id="5"/>
    <w:p>
      <w:pPr>
        <w:widowControl/>
        <w:spacing w:line="360" w:lineRule="auto"/>
        <w:jc w:val="center"/>
        <w:rPr>
          <w:rFonts w:ascii="宋体" w:hAnsi="宋体" w:cs="宋体"/>
          <w:b/>
          <w:bCs/>
          <w:kern w:val="44"/>
          <w:sz w:val="28"/>
          <w:szCs w:val="28"/>
        </w:rPr>
      </w:pPr>
      <w:r>
        <w:rPr>
          <w:rFonts w:hint="eastAsia" w:ascii="宋体" w:hAnsi="宋体" w:cs="宋体"/>
          <w:b/>
          <w:bCs/>
          <w:kern w:val="44"/>
          <w:sz w:val="28"/>
          <w:szCs w:val="28"/>
        </w:rPr>
        <w:t>招标公告</w:t>
      </w:r>
    </w:p>
    <w:bookmarkEnd w:id="6"/>
    <w:p>
      <w:pPr>
        <w:pStyle w:val="4"/>
        <w:snapToGrid/>
        <w:rPr>
          <w:rFonts w:ascii="宋体" w:hAnsi="宋体" w:eastAsia="宋体" w:cs="宋体"/>
          <w:snapToGrid w:val="0"/>
          <w:sz w:val="21"/>
          <w:szCs w:val="21"/>
        </w:rPr>
      </w:pPr>
      <w:bookmarkStart w:id="7" w:name="_Toc376552248"/>
      <w:bookmarkStart w:id="8" w:name="_Toc29496"/>
      <w:bookmarkStart w:id="9" w:name="_Toc321926658"/>
      <w:bookmarkStart w:id="10" w:name="_Toc388625755"/>
      <w:r>
        <w:rPr>
          <w:rFonts w:hint="eastAsia" w:ascii="宋体" w:hAnsi="宋体" w:eastAsia="宋体" w:cs="宋体"/>
          <w:snapToGrid w:val="0"/>
          <w:sz w:val="21"/>
          <w:szCs w:val="21"/>
        </w:rPr>
        <w:t>1.招标条件</w:t>
      </w:r>
      <w:bookmarkEnd w:id="7"/>
      <w:bookmarkEnd w:id="8"/>
      <w:bookmarkEnd w:id="9"/>
      <w:bookmarkEnd w:id="10"/>
    </w:p>
    <w:p>
      <w:pPr>
        <w:spacing w:line="400" w:lineRule="exact"/>
        <w:ind w:firstLine="420" w:firstLineChars="200"/>
        <w:rPr>
          <w:rFonts w:ascii="宋体" w:hAnsi="宋体" w:cs="宋体"/>
          <w:snapToGrid w:val="0"/>
          <w:kern w:val="0"/>
          <w:szCs w:val="21"/>
        </w:rPr>
      </w:pPr>
      <w:bookmarkStart w:id="11" w:name="_Toc232836819"/>
      <w:bookmarkStart w:id="12" w:name="_Toc234910008"/>
      <w:bookmarkStart w:id="13" w:name="_Toc234909640"/>
      <w:r>
        <w:rPr>
          <w:rFonts w:hint="eastAsia" w:ascii="宋体" w:hAnsi="宋体" w:cs="宋体"/>
        </w:rPr>
        <w:t>本招标项目</w:t>
      </w:r>
      <w:r>
        <w:rPr>
          <w:rFonts w:hint="eastAsia" w:ascii="宋体" w:hAnsi="宋体" w:cs="宋体"/>
          <w:b/>
          <w:bCs/>
          <w:u w:val="single"/>
          <w:lang w:eastAsia="zh-CN"/>
        </w:rPr>
        <w:t>重庆公路养护工程（集团）有限公司</w:t>
      </w:r>
      <w:r>
        <w:rPr>
          <w:rFonts w:hint="eastAsia" w:ascii="宋体" w:hAnsi="宋体" w:cs="宋体"/>
          <w:b/>
          <w:bCs/>
          <w:u w:val="single"/>
        </w:rPr>
        <w:t>西山坪拌和站合作经营</w:t>
      </w:r>
      <w:r>
        <w:rPr>
          <w:rFonts w:hint="eastAsia" w:ascii="宋体" w:hAnsi="宋体" w:cs="宋体"/>
          <w:b/>
          <w:bCs/>
          <w:u w:val="single"/>
          <w:lang w:eastAsia="zh-CN"/>
        </w:rPr>
        <w:t>（</w:t>
      </w:r>
      <w:r>
        <w:rPr>
          <w:rFonts w:hint="eastAsia" w:ascii="宋体" w:hAnsi="宋体" w:cs="宋体"/>
          <w:b/>
          <w:bCs/>
          <w:u w:val="single"/>
          <w:lang w:val="en-US" w:eastAsia="zh-CN"/>
        </w:rPr>
        <w:t>第二次</w:t>
      </w:r>
      <w:r>
        <w:rPr>
          <w:rFonts w:hint="eastAsia" w:ascii="宋体" w:hAnsi="宋体" w:cs="宋体"/>
          <w:b/>
          <w:bCs/>
          <w:u w:val="single"/>
          <w:lang w:eastAsia="zh-CN"/>
        </w:rPr>
        <w:t>）</w:t>
      </w:r>
      <w:r>
        <w:rPr>
          <w:rFonts w:hint="eastAsia" w:ascii="宋体" w:hAnsi="宋体" w:cs="宋体"/>
        </w:rPr>
        <w:t>招标，该项目准备组织实施，招标人为</w:t>
      </w:r>
      <w:r>
        <w:rPr>
          <w:rFonts w:hint="eastAsia" w:ascii="宋体" w:hAnsi="宋体" w:cs="宋体"/>
          <w:u w:val="single"/>
          <w:lang w:eastAsia="zh-CN"/>
        </w:rPr>
        <w:t>重庆公路养护工程（集团）有限公司</w:t>
      </w:r>
      <w:r>
        <w:rPr>
          <w:rFonts w:hint="eastAsia" w:ascii="宋体" w:hAnsi="宋体" w:cs="宋体"/>
        </w:rPr>
        <w:t>，项目已具备招标条件，采用资格后审。现委托</w:t>
      </w:r>
      <w:r>
        <w:rPr>
          <w:rFonts w:hint="eastAsia" w:ascii="宋体" w:hAnsi="宋体" w:cs="宋体"/>
          <w:lang w:eastAsia="zh-CN"/>
        </w:rPr>
        <w:t>重庆市投资咨询有限公司</w:t>
      </w:r>
      <w:r>
        <w:rPr>
          <w:rFonts w:hint="eastAsia" w:ascii="宋体" w:hAnsi="宋体" w:cs="宋体"/>
        </w:rPr>
        <w:t>作为本项目招标代理对该项目进行公开招标。</w:t>
      </w:r>
    </w:p>
    <w:bookmarkEnd w:id="11"/>
    <w:bookmarkEnd w:id="12"/>
    <w:bookmarkEnd w:id="13"/>
    <w:p>
      <w:pPr>
        <w:pStyle w:val="4"/>
        <w:tabs>
          <w:tab w:val="left" w:pos="6396"/>
        </w:tabs>
        <w:snapToGrid/>
        <w:rPr>
          <w:rFonts w:hint="eastAsia" w:ascii="宋体" w:hAnsi="宋体" w:eastAsia="宋体" w:cs="宋体"/>
          <w:snapToGrid w:val="0"/>
          <w:sz w:val="21"/>
          <w:szCs w:val="21"/>
          <w:lang w:eastAsia="zh-CN"/>
        </w:rPr>
      </w:pPr>
      <w:bookmarkStart w:id="14" w:name="_Toc200359428"/>
      <w:bookmarkStart w:id="15" w:name="_Toc200359239"/>
      <w:bookmarkStart w:id="16" w:name="_Toc287607729"/>
      <w:bookmarkStart w:id="17" w:name="_Toc277082537"/>
      <w:bookmarkStart w:id="18" w:name="_Toc287620668"/>
      <w:bookmarkStart w:id="19" w:name="_Toc3050"/>
      <w:bookmarkStart w:id="20" w:name="_Toc224103300"/>
      <w:bookmarkStart w:id="21" w:name="_Toc365751393"/>
      <w:r>
        <w:rPr>
          <w:rFonts w:hint="eastAsia" w:ascii="宋体" w:hAnsi="宋体" w:eastAsia="宋体" w:cs="宋体"/>
          <w:snapToGrid w:val="0"/>
          <w:sz w:val="21"/>
          <w:szCs w:val="21"/>
        </w:rPr>
        <w:t>2. 项目概况与招标范围</w:t>
      </w:r>
      <w:bookmarkEnd w:id="14"/>
      <w:bookmarkEnd w:id="15"/>
      <w:bookmarkEnd w:id="16"/>
      <w:bookmarkEnd w:id="17"/>
      <w:bookmarkEnd w:id="18"/>
      <w:bookmarkEnd w:id="19"/>
      <w:bookmarkEnd w:id="20"/>
      <w:bookmarkEnd w:id="21"/>
      <w:r>
        <w:rPr>
          <w:rFonts w:hint="eastAsia" w:ascii="宋体" w:hAnsi="宋体" w:eastAsia="宋体" w:cs="宋体"/>
          <w:snapToGrid w:val="0"/>
          <w:sz w:val="21"/>
          <w:szCs w:val="21"/>
          <w:lang w:eastAsia="zh-CN"/>
        </w:rPr>
        <w:tab/>
      </w:r>
    </w:p>
    <w:p>
      <w:pPr>
        <w:wordWrap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2.1 项目地点：</w:t>
      </w:r>
      <w:bookmarkStart w:id="22" w:name="OLE_LINK2"/>
      <w:r>
        <w:rPr>
          <w:rFonts w:hint="eastAsia" w:ascii="宋体" w:hAnsi="宋体" w:cs="宋体"/>
          <w:snapToGrid w:val="0"/>
          <w:kern w:val="0"/>
          <w:szCs w:val="21"/>
        </w:rPr>
        <w:t>重庆市北碚区东阳镇胜利村机房社</w:t>
      </w:r>
      <w:bookmarkEnd w:id="22"/>
      <w:r>
        <w:rPr>
          <w:rFonts w:hint="eastAsia" w:ascii="宋体" w:hAnsi="宋体" w:cs="宋体"/>
          <w:snapToGrid w:val="0"/>
          <w:kern w:val="0"/>
          <w:szCs w:val="21"/>
        </w:rPr>
        <w:t>。</w:t>
      </w:r>
    </w:p>
    <w:p>
      <w:pPr>
        <w:wordWrap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2.2 项目情况：</w:t>
      </w:r>
      <w:bookmarkStart w:id="23" w:name="OLE_LINK6"/>
      <w:r>
        <w:rPr>
          <w:rFonts w:hint="eastAsia" w:ascii="宋体" w:hAnsi="宋体" w:cs="宋体"/>
          <w:snapToGrid w:val="0"/>
          <w:kern w:val="0"/>
          <w:szCs w:val="21"/>
        </w:rPr>
        <w:t>西山坪拌和站位于渝合高速公路进城方向西山坪隧道出口100 米处右侧，占地约33189.9㎡，2010年建成并投入生产，产能约200吨/小时。内设西筑J4000型间歇式沥青混合料拌和站、木质素纤维输送机、电子秤称重系统、配电房、料仓、房屋等全套沥青混合料生产设施设备</w:t>
      </w:r>
      <w:bookmarkEnd w:id="23"/>
      <w:r>
        <w:rPr>
          <w:rFonts w:hint="eastAsia" w:ascii="宋体" w:hAnsi="宋体" w:cs="宋体"/>
          <w:b/>
          <w:bCs/>
          <w:snapToGrid w:val="0"/>
          <w:kern w:val="0"/>
          <w:szCs w:val="21"/>
        </w:rPr>
        <w:t>（西山坪拌和站原合作单位暂未退场，部分原材料仍然堆放在现场，双方的结算手续正在办理中，场地设备存在不能按期交付使用的风险，投标人综合考虑现状，并不得以此为由向招标人提出索赔）</w:t>
      </w:r>
      <w:r>
        <w:rPr>
          <w:rFonts w:hint="eastAsia" w:ascii="宋体" w:hAnsi="宋体" w:cs="宋体"/>
          <w:snapToGrid w:val="0"/>
          <w:kern w:val="0"/>
          <w:szCs w:val="21"/>
        </w:rPr>
        <w:t>，详见下表：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1"/>
        <w:gridCol w:w="2220"/>
        <w:gridCol w:w="2115"/>
        <w:gridCol w:w="1050"/>
        <w:gridCol w:w="990"/>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731" w:type="dxa"/>
            <w:vAlign w:val="center"/>
          </w:tcPr>
          <w:p>
            <w:pPr>
              <w:spacing w:line="480" w:lineRule="atLeast"/>
              <w:jc w:val="center"/>
              <w:rPr>
                <w:rFonts w:ascii="宋体"/>
                <w:b/>
                <w:bCs/>
                <w:sz w:val="24"/>
              </w:rPr>
            </w:pPr>
            <w:r>
              <w:rPr>
                <w:rFonts w:hint="eastAsia" w:ascii="宋体"/>
                <w:b/>
                <w:bCs/>
                <w:sz w:val="24"/>
              </w:rPr>
              <w:t>序号</w:t>
            </w:r>
          </w:p>
        </w:tc>
        <w:tc>
          <w:tcPr>
            <w:tcW w:w="2220" w:type="dxa"/>
            <w:vAlign w:val="center"/>
          </w:tcPr>
          <w:p>
            <w:pPr>
              <w:spacing w:line="480" w:lineRule="atLeast"/>
              <w:jc w:val="center"/>
              <w:rPr>
                <w:rFonts w:ascii="宋体"/>
                <w:b/>
                <w:bCs/>
                <w:sz w:val="24"/>
              </w:rPr>
            </w:pPr>
            <w:r>
              <w:rPr>
                <w:rFonts w:hint="eastAsia" w:ascii="宋体"/>
                <w:b/>
                <w:bCs/>
                <w:sz w:val="24"/>
              </w:rPr>
              <w:t>设备名称</w:t>
            </w:r>
          </w:p>
        </w:tc>
        <w:tc>
          <w:tcPr>
            <w:tcW w:w="2115" w:type="dxa"/>
            <w:vAlign w:val="center"/>
          </w:tcPr>
          <w:p>
            <w:pPr>
              <w:spacing w:line="480" w:lineRule="atLeast"/>
              <w:jc w:val="center"/>
              <w:rPr>
                <w:rFonts w:ascii="宋体"/>
                <w:b/>
                <w:bCs/>
                <w:sz w:val="24"/>
              </w:rPr>
            </w:pPr>
            <w:r>
              <w:rPr>
                <w:rFonts w:hint="eastAsia" w:ascii="宋体"/>
                <w:b/>
                <w:bCs/>
                <w:sz w:val="24"/>
              </w:rPr>
              <w:t>品牌型号</w:t>
            </w:r>
          </w:p>
        </w:tc>
        <w:tc>
          <w:tcPr>
            <w:tcW w:w="1050" w:type="dxa"/>
            <w:vAlign w:val="center"/>
          </w:tcPr>
          <w:p>
            <w:pPr>
              <w:spacing w:line="480" w:lineRule="atLeast"/>
              <w:jc w:val="center"/>
              <w:rPr>
                <w:rFonts w:ascii="宋体"/>
                <w:b/>
                <w:bCs/>
                <w:sz w:val="24"/>
              </w:rPr>
            </w:pPr>
            <w:r>
              <w:rPr>
                <w:rFonts w:hint="eastAsia" w:ascii="宋体"/>
                <w:b/>
                <w:bCs/>
                <w:sz w:val="24"/>
              </w:rPr>
              <w:t>单位</w:t>
            </w:r>
          </w:p>
        </w:tc>
        <w:tc>
          <w:tcPr>
            <w:tcW w:w="990" w:type="dxa"/>
            <w:vAlign w:val="center"/>
          </w:tcPr>
          <w:p>
            <w:pPr>
              <w:spacing w:line="480" w:lineRule="atLeast"/>
              <w:jc w:val="center"/>
              <w:rPr>
                <w:rFonts w:ascii="宋体"/>
                <w:b/>
                <w:bCs/>
                <w:sz w:val="24"/>
              </w:rPr>
            </w:pPr>
            <w:r>
              <w:rPr>
                <w:rFonts w:hint="eastAsia" w:ascii="宋体"/>
                <w:b/>
                <w:bCs/>
                <w:sz w:val="24"/>
              </w:rPr>
              <w:t>数量</w:t>
            </w:r>
          </w:p>
        </w:tc>
        <w:tc>
          <w:tcPr>
            <w:tcW w:w="1750" w:type="dxa"/>
            <w:vAlign w:val="center"/>
          </w:tcPr>
          <w:p>
            <w:pPr>
              <w:spacing w:line="480" w:lineRule="atLeast"/>
              <w:jc w:val="center"/>
              <w:rPr>
                <w:rFonts w:ascii="宋体"/>
                <w:b/>
                <w:bCs/>
                <w:sz w:val="24"/>
              </w:rPr>
            </w:pPr>
            <w:r>
              <w:rPr>
                <w:rFonts w:hint="eastAsia" w:ascii="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1</w:t>
            </w:r>
          </w:p>
        </w:tc>
        <w:tc>
          <w:tcPr>
            <w:tcW w:w="2220"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沥青混合料拌和设备</w:t>
            </w:r>
          </w:p>
        </w:tc>
        <w:tc>
          <w:tcPr>
            <w:tcW w:w="2115"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西筑 J4000型</w:t>
            </w:r>
          </w:p>
        </w:tc>
        <w:tc>
          <w:tcPr>
            <w:tcW w:w="1050"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套</w:t>
            </w:r>
          </w:p>
        </w:tc>
        <w:tc>
          <w:tcPr>
            <w:tcW w:w="990"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1</w:t>
            </w:r>
          </w:p>
        </w:tc>
        <w:tc>
          <w:tcPr>
            <w:tcW w:w="1750" w:type="dxa"/>
            <w:vAlign w:val="center"/>
          </w:tcPr>
          <w:p>
            <w:pPr>
              <w:wordWrap w:val="0"/>
              <w:spacing w:line="360" w:lineRule="auto"/>
              <w:jc w:val="left"/>
              <w:rPr>
                <w:rFonts w:ascii="宋体" w:hAnsi="宋体" w:cs="宋体"/>
                <w:snapToGrid w:val="0"/>
                <w:kern w:val="0"/>
                <w:sz w:val="18"/>
                <w:szCs w:val="18"/>
              </w:rPr>
            </w:pPr>
            <w:r>
              <w:rPr>
                <w:rFonts w:hint="eastAsia" w:ascii="宋体" w:hAnsi="宋体" w:cs="宋体"/>
                <w:snapToGrid w:val="0"/>
                <w:kern w:val="0"/>
                <w:sz w:val="18"/>
                <w:szCs w:val="18"/>
              </w:rPr>
              <w:t>配备3个沥青罐、3个油罐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2</w:t>
            </w:r>
          </w:p>
        </w:tc>
        <w:tc>
          <w:tcPr>
            <w:tcW w:w="2220"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厂拌热再生设备</w:t>
            </w:r>
          </w:p>
        </w:tc>
        <w:tc>
          <w:tcPr>
            <w:tcW w:w="2115"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西筑 HRS150型</w:t>
            </w:r>
          </w:p>
        </w:tc>
        <w:tc>
          <w:tcPr>
            <w:tcW w:w="1050"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套</w:t>
            </w:r>
          </w:p>
        </w:tc>
        <w:tc>
          <w:tcPr>
            <w:tcW w:w="990"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1</w:t>
            </w:r>
          </w:p>
        </w:tc>
        <w:tc>
          <w:tcPr>
            <w:tcW w:w="1750" w:type="dxa"/>
            <w:vAlign w:val="center"/>
          </w:tcPr>
          <w:p>
            <w:pPr>
              <w:wordWrap w:val="0"/>
              <w:spacing w:line="360" w:lineRule="auto"/>
              <w:jc w:val="left"/>
              <w:rPr>
                <w:rFonts w:ascii="宋体" w:hAnsi="宋体"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3</w:t>
            </w:r>
          </w:p>
        </w:tc>
        <w:tc>
          <w:tcPr>
            <w:tcW w:w="2220"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木质素纤维输送机</w:t>
            </w:r>
          </w:p>
        </w:tc>
        <w:tc>
          <w:tcPr>
            <w:tcW w:w="2115"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垦特莱</w:t>
            </w:r>
          </w:p>
        </w:tc>
        <w:tc>
          <w:tcPr>
            <w:tcW w:w="1050"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台</w:t>
            </w:r>
          </w:p>
        </w:tc>
        <w:tc>
          <w:tcPr>
            <w:tcW w:w="990"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1</w:t>
            </w:r>
          </w:p>
        </w:tc>
        <w:tc>
          <w:tcPr>
            <w:tcW w:w="1750" w:type="dxa"/>
            <w:vAlign w:val="center"/>
          </w:tcPr>
          <w:p>
            <w:pPr>
              <w:wordWrap w:val="0"/>
              <w:spacing w:line="360" w:lineRule="auto"/>
              <w:ind w:firstLine="360" w:firstLineChars="200"/>
              <w:jc w:val="center"/>
              <w:rPr>
                <w:rFonts w:ascii="宋体" w:hAnsi="宋体"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4</w:t>
            </w:r>
          </w:p>
        </w:tc>
        <w:tc>
          <w:tcPr>
            <w:tcW w:w="2220"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电子秤称重系统</w:t>
            </w:r>
          </w:p>
        </w:tc>
        <w:tc>
          <w:tcPr>
            <w:tcW w:w="2115"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100吨</w:t>
            </w:r>
          </w:p>
        </w:tc>
        <w:tc>
          <w:tcPr>
            <w:tcW w:w="1050"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台</w:t>
            </w:r>
          </w:p>
        </w:tc>
        <w:tc>
          <w:tcPr>
            <w:tcW w:w="990"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1</w:t>
            </w:r>
          </w:p>
        </w:tc>
        <w:tc>
          <w:tcPr>
            <w:tcW w:w="1750" w:type="dxa"/>
            <w:vAlign w:val="center"/>
          </w:tcPr>
          <w:p>
            <w:pPr>
              <w:wordWrap w:val="0"/>
              <w:spacing w:line="360" w:lineRule="auto"/>
              <w:ind w:firstLine="360" w:firstLineChars="200"/>
              <w:jc w:val="center"/>
              <w:rPr>
                <w:rFonts w:ascii="宋体" w:hAnsi="宋体"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5</w:t>
            </w:r>
          </w:p>
        </w:tc>
        <w:tc>
          <w:tcPr>
            <w:tcW w:w="2220"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配电房</w:t>
            </w:r>
          </w:p>
        </w:tc>
        <w:tc>
          <w:tcPr>
            <w:tcW w:w="2115"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630kVA×2</w:t>
            </w:r>
          </w:p>
        </w:tc>
        <w:tc>
          <w:tcPr>
            <w:tcW w:w="1050"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套</w:t>
            </w:r>
          </w:p>
        </w:tc>
        <w:tc>
          <w:tcPr>
            <w:tcW w:w="990"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1</w:t>
            </w:r>
          </w:p>
        </w:tc>
        <w:tc>
          <w:tcPr>
            <w:tcW w:w="1750" w:type="dxa"/>
            <w:vAlign w:val="center"/>
          </w:tcPr>
          <w:p>
            <w:pPr>
              <w:wordWrap w:val="0"/>
              <w:spacing w:line="360" w:lineRule="auto"/>
              <w:ind w:firstLine="360" w:firstLineChars="200"/>
              <w:jc w:val="center"/>
              <w:rPr>
                <w:rFonts w:ascii="宋体" w:hAnsi="宋体"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6</w:t>
            </w:r>
          </w:p>
        </w:tc>
        <w:tc>
          <w:tcPr>
            <w:tcW w:w="2220"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石料仓</w:t>
            </w:r>
          </w:p>
        </w:tc>
        <w:tc>
          <w:tcPr>
            <w:tcW w:w="2115" w:type="dxa"/>
            <w:vAlign w:val="center"/>
          </w:tcPr>
          <w:p>
            <w:pPr>
              <w:wordWrap w:val="0"/>
              <w:spacing w:line="360" w:lineRule="auto"/>
              <w:ind w:firstLine="420" w:firstLineChars="200"/>
              <w:jc w:val="center"/>
              <w:rPr>
                <w:rFonts w:ascii="宋体" w:hAnsi="宋体" w:cs="宋体"/>
                <w:snapToGrid w:val="0"/>
                <w:kern w:val="0"/>
                <w:szCs w:val="21"/>
              </w:rPr>
            </w:pPr>
          </w:p>
        </w:tc>
        <w:tc>
          <w:tcPr>
            <w:tcW w:w="1050"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个</w:t>
            </w:r>
          </w:p>
        </w:tc>
        <w:tc>
          <w:tcPr>
            <w:tcW w:w="990"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12</w:t>
            </w:r>
          </w:p>
        </w:tc>
        <w:tc>
          <w:tcPr>
            <w:tcW w:w="1750" w:type="dxa"/>
            <w:vAlign w:val="center"/>
          </w:tcPr>
          <w:p>
            <w:pPr>
              <w:wordWrap w:val="0"/>
              <w:spacing w:line="360" w:lineRule="auto"/>
              <w:ind w:firstLine="360" w:firstLineChars="200"/>
              <w:jc w:val="center"/>
              <w:rPr>
                <w:rFonts w:ascii="宋体" w:hAnsi="宋体"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7</w:t>
            </w:r>
          </w:p>
        </w:tc>
        <w:tc>
          <w:tcPr>
            <w:tcW w:w="2220"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生活房屋</w:t>
            </w:r>
          </w:p>
        </w:tc>
        <w:tc>
          <w:tcPr>
            <w:tcW w:w="2115" w:type="dxa"/>
            <w:vAlign w:val="center"/>
          </w:tcPr>
          <w:p>
            <w:pPr>
              <w:wordWrap w:val="0"/>
              <w:spacing w:line="360" w:lineRule="auto"/>
              <w:ind w:firstLine="420" w:firstLineChars="200"/>
              <w:jc w:val="center"/>
              <w:rPr>
                <w:rFonts w:ascii="宋体" w:hAnsi="宋体" w:cs="宋体"/>
                <w:snapToGrid w:val="0"/>
                <w:kern w:val="0"/>
                <w:szCs w:val="21"/>
              </w:rPr>
            </w:pPr>
          </w:p>
        </w:tc>
        <w:tc>
          <w:tcPr>
            <w:tcW w:w="1050"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间</w:t>
            </w:r>
          </w:p>
        </w:tc>
        <w:tc>
          <w:tcPr>
            <w:tcW w:w="990"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25</w:t>
            </w:r>
          </w:p>
        </w:tc>
        <w:tc>
          <w:tcPr>
            <w:tcW w:w="1750" w:type="dxa"/>
            <w:vAlign w:val="center"/>
          </w:tcPr>
          <w:p>
            <w:pPr>
              <w:wordWrap w:val="0"/>
              <w:spacing w:line="360" w:lineRule="auto"/>
              <w:rPr>
                <w:rFonts w:ascii="宋体" w:hAnsi="宋体" w:cs="宋体"/>
                <w:strike/>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8</w:t>
            </w:r>
          </w:p>
        </w:tc>
        <w:tc>
          <w:tcPr>
            <w:tcW w:w="2220"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办公房屋</w:t>
            </w:r>
          </w:p>
        </w:tc>
        <w:tc>
          <w:tcPr>
            <w:tcW w:w="2115" w:type="dxa"/>
            <w:vAlign w:val="center"/>
          </w:tcPr>
          <w:p>
            <w:pPr>
              <w:wordWrap w:val="0"/>
              <w:spacing w:line="360" w:lineRule="auto"/>
              <w:ind w:firstLine="420" w:firstLineChars="200"/>
              <w:jc w:val="center"/>
              <w:rPr>
                <w:rFonts w:ascii="宋体" w:hAnsi="宋体" w:cs="宋体"/>
                <w:snapToGrid w:val="0"/>
                <w:kern w:val="0"/>
                <w:szCs w:val="21"/>
              </w:rPr>
            </w:pPr>
          </w:p>
        </w:tc>
        <w:tc>
          <w:tcPr>
            <w:tcW w:w="1050"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间</w:t>
            </w:r>
          </w:p>
        </w:tc>
        <w:tc>
          <w:tcPr>
            <w:tcW w:w="990"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3</w:t>
            </w:r>
          </w:p>
        </w:tc>
        <w:tc>
          <w:tcPr>
            <w:tcW w:w="1750" w:type="dxa"/>
            <w:vAlign w:val="center"/>
          </w:tcPr>
          <w:p>
            <w:pPr>
              <w:wordWrap w:val="0"/>
              <w:spacing w:line="360" w:lineRule="auto"/>
              <w:rPr>
                <w:rFonts w:ascii="宋体" w:hAnsi="宋体" w:cs="宋体"/>
                <w:strike/>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9</w:t>
            </w:r>
          </w:p>
        </w:tc>
        <w:tc>
          <w:tcPr>
            <w:tcW w:w="2220"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库房</w:t>
            </w:r>
          </w:p>
        </w:tc>
        <w:tc>
          <w:tcPr>
            <w:tcW w:w="2115" w:type="dxa"/>
            <w:vAlign w:val="center"/>
          </w:tcPr>
          <w:p>
            <w:pPr>
              <w:wordWrap w:val="0"/>
              <w:spacing w:line="360" w:lineRule="auto"/>
              <w:ind w:firstLine="420" w:firstLineChars="200"/>
              <w:jc w:val="center"/>
              <w:rPr>
                <w:rFonts w:ascii="宋体" w:hAnsi="宋体" w:cs="宋体"/>
                <w:snapToGrid w:val="0"/>
                <w:kern w:val="0"/>
                <w:szCs w:val="21"/>
              </w:rPr>
            </w:pPr>
          </w:p>
        </w:tc>
        <w:tc>
          <w:tcPr>
            <w:tcW w:w="1050"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间</w:t>
            </w:r>
          </w:p>
        </w:tc>
        <w:tc>
          <w:tcPr>
            <w:tcW w:w="990"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3</w:t>
            </w:r>
          </w:p>
        </w:tc>
        <w:tc>
          <w:tcPr>
            <w:tcW w:w="1750" w:type="dxa"/>
            <w:vAlign w:val="center"/>
          </w:tcPr>
          <w:p>
            <w:pPr>
              <w:wordWrap w:val="0"/>
              <w:spacing w:line="360" w:lineRule="auto"/>
              <w:ind w:firstLine="360" w:firstLineChars="200"/>
              <w:jc w:val="center"/>
              <w:rPr>
                <w:rFonts w:ascii="宋体" w:hAnsi="宋体" w:cs="宋体"/>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1"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10</w:t>
            </w:r>
          </w:p>
        </w:tc>
        <w:tc>
          <w:tcPr>
            <w:tcW w:w="2220"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场地</w:t>
            </w:r>
          </w:p>
        </w:tc>
        <w:tc>
          <w:tcPr>
            <w:tcW w:w="2115" w:type="dxa"/>
            <w:vAlign w:val="center"/>
          </w:tcPr>
          <w:p>
            <w:pPr>
              <w:wordWrap w:val="0"/>
              <w:spacing w:line="360" w:lineRule="auto"/>
              <w:ind w:firstLine="420" w:firstLineChars="200"/>
              <w:jc w:val="center"/>
              <w:rPr>
                <w:rFonts w:ascii="宋体" w:hAnsi="宋体" w:cs="宋体"/>
                <w:snapToGrid w:val="0"/>
                <w:kern w:val="0"/>
                <w:szCs w:val="21"/>
              </w:rPr>
            </w:pPr>
          </w:p>
        </w:tc>
        <w:tc>
          <w:tcPr>
            <w:tcW w:w="1050"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平方</w:t>
            </w:r>
          </w:p>
        </w:tc>
        <w:tc>
          <w:tcPr>
            <w:tcW w:w="990" w:type="dxa"/>
            <w:vAlign w:val="center"/>
          </w:tcPr>
          <w:p>
            <w:pPr>
              <w:wordWrap w:val="0"/>
              <w:spacing w:line="360" w:lineRule="auto"/>
              <w:jc w:val="center"/>
              <w:rPr>
                <w:rFonts w:ascii="宋体" w:hAnsi="宋体" w:cs="宋体"/>
                <w:snapToGrid w:val="0"/>
                <w:kern w:val="0"/>
                <w:szCs w:val="21"/>
              </w:rPr>
            </w:pPr>
            <w:r>
              <w:rPr>
                <w:rFonts w:hint="eastAsia" w:ascii="宋体" w:hAnsi="宋体" w:cs="宋体"/>
                <w:snapToGrid w:val="0"/>
                <w:kern w:val="0"/>
                <w:szCs w:val="21"/>
              </w:rPr>
              <w:t>33189.9</w:t>
            </w:r>
          </w:p>
        </w:tc>
        <w:tc>
          <w:tcPr>
            <w:tcW w:w="1750" w:type="dxa"/>
            <w:vAlign w:val="center"/>
          </w:tcPr>
          <w:p>
            <w:pPr>
              <w:wordWrap w:val="0"/>
              <w:spacing w:line="360" w:lineRule="auto"/>
              <w:ind w:firstLine="360" w:firstLineChars="200"/>
              <w:jc w:val="center"/>
              <w:rPr>
                <w:rFonts w:ascii="宋体" w:hAnsi="宋体" w:cs="宋体"/>
                <w:snapToGrid w:val="0"/>
                <w:kern w:val="0"/>
                <w:sz w:val="18"/>
                <w:szCs w:val="18"/>
              </w:rPr>
            </w:pPr>
          </w:p>
        </w:tc>
      </w:tr>
    </w:tbl>
    <w:p>
      <w:pPr>
        <w:spacing w:line="360" w:lineRule="auto"/>
        <w:ind w:firstLine="422" w:firstLineChars="200"/>
        <w:jc w:val="center"/>
        <w:rPr>
          <w:rFonts w:ascii="宋体" w:hAnsi="宋体" w:cs="宋体"/>
          <w:snapToGrid w:val="0"/>
          <w:kern w:val="0"/>
          <w:szCs w:val="21"/>
        </w:rPr>
      </w:pPr>
      <w:r>
        <w:rPr>
          <w:rFonts w:hint="eastAsia" w:ascii="宋体" w:hAnsi="宋体" w:cs="宋体"/>
          <w:b/>
          <w:bCs/>
          <w:snapToGrid w:val="0"/>
          <w:kern w:val="0"/>
          <w:szCs w:val="21"/>
        </w:rPr>
        <w:t>表1：场地设施设备清单</w:t>
      </w:r>
    </w:p>
    <w:p>
      <w:pPr>
        <w:spacing w:line="360" w:lineRule="auto"/>
        <w:ind w:firstLine="420" w:firstLineChars="200"/>
        <w:rPr>
          <w:rFonts w:hint="eastAsia" w:ascii="宋体" w:hAnsi="宋体" w:eastAsia="宋体" w:cs="宋体"/>
          <w:snapToGrid w:val="0"/>
          <w:color w:val="auto"/>
          <w:kern w:val="0"/>
          <w:szCs w:val="21"/>
          <w:highlight w:val="none"/>
          <w:u w:val="single"/>
        </w:rPr>
      </w:pPr>
      <w:r>
        <w:rPr>
          <w:rFonts w:hint="eastAsia" w:ascii="宋体" w:hAnsi="宋体" w:cs="宋体"/>
          <w:snapToGrid w:val="0"/>
          <w:kern w:val="0"/>
          <w:szCs w:val="21"/>
        </w:rPr>
        <w:t xml:space="preserve">2.3 </w:t>
      </w:r>
      <w:r>
        <w:rPr>
          <w:rFonts w:hint="eastAsia" w:ascii="宋体" w:hAnsi="宋体" w:eastAsia="宋体" w:cs="宋体"/>
          <w:snapToGrid w:val="0"/>
          <w:color w:val="auto"/>
          <w:kern w:val="0"/>
          <w:szCs w:val="21"/>
          <w:highlight w:val="none"/>
        </w:rPr>
        <w:t>本次招标项目估算金额：</w:t>
      </w:r>
      <w:r>
        <w:rPr>
          <w:rFonts w:hint="eastAsia" w:ascii="宋体" w:hAnsi="宋体" w:cs="宋体"/>
          <w:snapToGrid w:val="0"/>
          <w:color w:val="auto"/>
          <w:kern w:val="0"/>
          <w:szCs w:val="21"/>
          <w:highlight w:val="none"/>
          <w:u w:val="single"/>
          <w:lang w:val="en-US" w:eastAsia="zh-CN"/>
        </w:rPr>
        <w:t>459万元</w:t>
      </w:r>
      <w:r>
        <w:rPr>
          <w:rFonts w:hint="eastAsia" w:ascii="宋体" w:hAnsi="宋体" w:eastAsia="宋体" w:cs="宋体"/>
          <w:snapToGrid w:val="0"/>
          <w:color w:val="auto"/>
          <w:kern w:val="0"/>
          <w:szCs w:val="21"/>
          <w:highlight w:val="none"/>
          <w:u w:val="single"/>
        </w:rPr>
        <w:t xml:space="preserve"> </w:t>
      </w:r>
    </w:p>
    <w:p>
      <w:pPr>
        <w:spacing w:line="360" w:lineRule="auto"/>
        <w:ind w:firstLine="420" w:firstLineChars="200"/>
        <w:rPr>
          <w:rFonts w:ascii="宋体" w:hAnsi="宋体" w:cs="宋体"/>
          <w:snapToGrid w:val="0"/>
          <w:kern w:val="0"/>
          <w:szCs w:val="21"/>
        </w:rPr>
      </w:pPr>
      <w:r>
        <w:rPr>
          <w:rFonts w:hint="eastAsia" w:ascii="宋体" w:hAnsi="宋体" w:eastAsia="宋体" w:cs="宋体"/>
          <w:snapToGrid w:val="0"/>
          <w:color w:val="auto"/>
          <w:kern w:val="0"/>
          <w:szCs w:val="21"/>
          <w:highlight w:val="none"/>
          <w:u w:val="none"/>
          <w:lang w:val="en-US" w:eastAsia="zh-CN"/>
        </w:rPr>
        <w:t>2.4</w:t>
      </w:r>
      <w:r>
        <w:rPr>
          <w:rFonts w:hint="eastAsia" w:ascii="宋体" w:hAnsi="宋体" w:cs="宋体"/>
          <w:snapToGrid w:val="0"/>
          <w:kern w:val="0"/>
          <w:szCs w:val="21"/>
        </w:rPr>
        <w:t>招标范围：</w:t>
      </w:r>
    </w:p>
    <w:p>
      <w:pPr>
        <w:wordWrap w:val="0"/>
        <w:spacing w:line="360" w:lineRule="auto"/>
        <w:ind w:firstLine="420" w:firstLineChars="200"/>
      </w:pPr>
      <w:bookmarkStart w:id="24" w:name="OLE_LINK5"/>
      <w:r>
        <w:rPr>
          <w:rFonts w:hint="eastAsia" w:ascii="宋体" w:hAnsi="宋体" w:cs="宋体"/>
          <w:szCs w:val="21"/>
        </w:rPr>
        <w:t>招标人提供位于重庆市北碚区东阳镇胜利村机房社（渝合高速公路进城方向西山坪隧道出口100 米处右侧）的场地、沥青混合料拌和站及相关配套生产设施，由投标人自行经营，经营所需的相关手续由投标人自行办理，对外协调由投标人自行负责，生产所需人员由投标人自行组织，生产一切费用由投标人自行承担。</w:t>
      </w:r>
    </w:p>
    <w:bookmarkEnd w:id="24"/>
    <w:p>
      <w:pPr>
        <w:wordWrap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2.</w:t>
      </w:r>
      <w:r>
        <w:rPr>
          <w:rFonts w:hint="eastAsia" w:ascii="宋体" w:hAnsi="宋体" w:cs="宋体"/>
          <w:snapToGrid w:val="0"/>
          <w:kern w:val="0"/>
          <w:szCs w:val="21"/>
          <w:lang w:val="en-US" w:eastAsia="zh-CN"/>
        </w:rPr>
        <w:t>5</w:t>
      </w:r>
      <w:r>
        <w:rPr>
          <w:rFonts w:hint="eastAsia" w:ascii="宋体" w:hAnsi="宋体" w:cs="宋体"/>
          <w:snapToGrid w:val="0"/>
          <w:kern w:val="0"/>
          <w:szCs w:val="21"/>
        </w:rPr>
        <w:t>合作经营期限：5年</w:t>
      </w:r>
      <w:r>
        <w:rPr>
          <w:rFonts w:hint="eastAsia" w:ascii="宋体" w:hAnsi="宋体" w:cs="宋体"/>
          <w:snapToGrid w:val="0"/>
          <w:kern w:val="0"/>
          <w:szCs w:val="21"/>
          <w:lang w:eastAsia="zh-CN"/>
        </w:rPr>
        <w:t>（</w:t>
      </w:r>
      <w:r>
        <w:rPr>
          <w:rFonts w:hint="eastAsia" w:ascii="宋体" w:hAnsi="宋体" w:cs="宋体"/>
          <w:sz w:val="21"/>
          <w:szCs w:val="21"/>
          <w:lang w:val="en-US" w:eastAsia="zh-CN"/>
        </w:rPr>
        <w:t>自西山坪拌和站具备交付条件，招标人书面通知中标人进场之日起五年</w:t>
      </w:r>
      <w:r>
        <w:rPr>
          <w:rFonts w:hint="eastAsia" w:ascii="宋体" w:hAnsi="宋体" w:cs="宋体"/>
          <w:snapToGrid w:val="0"/>
          <w:kern w:val="0"/>
          <w:szCs w:val="21"/>
          <w:lang w:eastAsia="zh-CN"/>
        </w:rPr>
        <w:t>）。</w:t>
      </w:r>
    </w:p>
    <w:p>
      <w:pPr>
        <w:tabs>
          <w:tab w:val="left" w:pos="3840"/>
          <w:tab w:val="left" w:pos="5300"/>
        </w:tabs>
        <w:autoSpaceDE w:val="0"/>
        <w:autoSpaceDN w:val="0"/>
        <w:adjustRightInd w:val="0"/>
        <w:snapToGrid w:val="0"/>
        <w:spacing w:line="460" w:lineRule="exact"/>
        <w:ind w:firstLine="420" w:firstLineChars="200"/>
        <w:jc w:val="left"/>
        <w:rPr>
          <w:rFonts w:hAnsi="宋体"/>
          <w:snapToGrid w:val="0"/>
          <w:kern w:val="0"/>
          <w:szCs w:val="21"/>
        </w:rPr>
      </w:pPr>
      <w:bookmarkStart w:id="25" w:name="_Toc200359240"/>
      <w:bookmarkStart w:id="26" w:name="_Toc277082538"/>
      <w:bookmarkStart w:id="27" w:name="_Toc224103301"/>
      <w:bookmarkStart w:id="28" w:name="_Toc365751394"/>
      <w:bookmarkStart w:id="29" w:name="_Toc287620669"/>
      <w:bookmarkStart w:id="30" w:name="_Toc287607730"/>
      <w:bookmarkStart w:id="31" w:name="_Toc200359429"/>
      <w:r>
        <w:rPr>
          <w:rFonts w:hint="eastAsia" w:ascii="宋体" w:hAnsi="宋体" w:cs="宋体"/>
          <w:snapToGrid w:val="0"/>
          <w:kern w:val="0"/>
          <w:szCs w:val="21"/>
        </w:rPr>
        <w:t>2.</w:t>
      </w:r>
      <w:r>
        <w:rPr>
          <w:rFonts w:hint="eastAsia" w:ascii="宋体" w:hAnsi="宋体" w:cs="宋体"/>
          <w:snapToGrid w:val="0"/>
          <w:kern w:val="0"/>
          <w:szCs w:val="21"/>
          <w:lang w:val="en-US" w:eastAsia="zh-CN"/>
        </w:rPr>
        <w:t>6</w:t>
      </w:r>
      <w:r>
        <w:rPr>
          <w:rFonts w:hint="eastAsia" w:hAnsi="宋体"/>
          <w:snapToGrid w:val="0"/>
          <w:kern w:val="0"/>
          <w:szCs w:val="21"/>
        </w:rPr>
        <w:t xml:space="preserve"> 合作内容：双方本着互惠、互利、自愿、平等的原则，进行西山坪拌和站合作经营内容包括：</w:t>
      </w:r>
    </w:p>
    <w:p>
      <w:pPr>
        <w:tabs>
          <w:tab w:val="left" w:pos="3840"/>
          <w:tab w:val="left" w:pos="5300"/>
        </w:tabs>
        <w:autoSpaceDE w:val="0"/>
        <w:autoSpaceDN w:val="0"/>
        <w:adjustRightInd w:val="0"/>
        <w:snapToGrid w:val="0"/>
        <w:spacing w:line="460" w:lineRule="exact"/>
        <w:ind w:firstLine="420" w:firstLineChars="200"/>
        <w:jc w:val="left"/>
        <w:rPr>
          <w:rFonts w:hAnsi="宋体"/>
          <w:snapToGrid w:val="0"/>
          <w:kern w:val="0"/>
          <w:szCs w:val="21"/>
        </w:rPr>
      </w:pPr>
      <w:r>
        <w:rPr>
          <w:rFonts w:hint="eastAsia" w:hAnsi="宋体"/>
          <w:snapToGrid w:val="0"/>
          <w:kern w:val="0"/>
          <w:szCs w:val="21"/>
        </w:rPr>
        <w:t>（1）招标人提供西山坪拌和站4000型沥青混合料拌和设备和厂拌热再生设备、地磅秤、场地、料仓、房屋及配套设施（详见2.2表1“场地设施设备清单”），生产所需人员及设备由投标人自行组织。</w:t>
      </w:r>
    </w:p>
    <w:p>
      <w:pPr>
        <w:tabs>
          <w:tab w:val="left" w:pos="3840"/>
          <w:tab w:val="left" w:pos="5300"/>
        </w:tabs>
        <w:autoSpaceDE w:val="0"/>
        <w:autoSpaceDN w:val="0"/>
        <w:adjustRightInd w:val="0"/>
        <w:snapToGrid w:val="0"/>
        <w:spacing w:line="460" w:lineRule="exact"/>
        <w:ind w:firstLine="420" w:firstLineChars="200"/>
        <w:jc w:val="left"/>
        <w:rPr>
          <w:rFonts w:hAnsi="宋体"/>
          <w:snapToGrid w:val="0"/>
          <w:kern w:val="0"/>
          <w:szCs w:val="21"/>
        </w:rPr>
      </w:pPr>
      <w:r>
        <w:rPr>
          <w:rFonts w:hint="eastAsia" w:hAnsi="宋体"/>
          <w:snapToGrid w:val="0"/>
          <w:kern w:val="0"/>
          <w:szCs w:val="21"/>
        </w:rPr>
        <w:t>（2）在合作期间，若招标人因施工需要并综合考虑施工成本，决定在西山坪拌和站生产沥青混合料，则投标人需承诺以固定加工单价为招标人加工沥青混合料。同时，招标人享有优先使用西山坪拌和站进行生产的权利，投标人应无条件积极配合招标人的生产。</w:t>
      </w:r>
    </w:p>
    <w:p>
      <w:pPr>
        <w:pStyle w:val="4"/>
        <w:snapToGrid/>
        <w:ind w:firstLine="420" w:firstLineChars="200"/>
        <w:rPr>
          <w:rFonts w:ascii="宋体" w:hAnsi="宋体" w:eastAsia="宋体" w:cs="宋体"/>
          <w:snapToGrid w:val="0"/>
          <w:sz w:val="21"/>
          <w:szCs w:val="21"/>
        </w:rPr>
      </w:pPr>
      <w:r>
        <w:rPr>
          <w:rFonts w:hint="eastAsia" w:ascii="宋体" w:hAnsi="宋体" w:eastAsia="宋体" w:cs="宋体"/>
          <w:snapToGrid w:val="0"/>
          <w:sz w:val="21"/>
          <w:szCs w:val="21"/>
        </w:rPr>
        <w:t>3. 投标人</w:t>
      </w:r>
      <w:bookmarkStart w:id="32" w:name="OLE_LINK8"/>
      <w:r>
        <w:rPr>
          <w:rFonts w:hint="eastAsia" w:ascii="宋体" w:hAnsi="宋体" w:eastAsia="宋体" w:cs="宋体"/>
          <w:snapToGrid w:val="0"/>
          <w:sz w:val="21"/>
          <w:szCs w:val="21"/>
        </w:rPr>
        <w:t>资格</w:t>
      </w:r>
      <w:bookmarkEnd w:id="32"/>
      <w:r>
        <w:rPr>
          <w:rFonts w:hint="eastAsia" w:ascii="宋体" w:hAnsi="宋体" w:eastAsia="宋体" w:cs="宋体"/>
          <w:snapToGrid w:val="0"/>
          <w:sz w:val="21"/>
          <w:szCs w:val="21"/>
        </w:rPr>
        <w:t>要求</w:t>
      </w:r>
      <w:bookmarkEnd w:id="25"/>
      <w:bookmarkEnd w:id="26"/>
      <w:bookmarkEnd w:id="27"/>
      <w:bookmarkEnd w:id="28"/>
      <w:bookmarkEnd w:id="29"/>
      <w:bookmarkEnd w:id="30"/>
      <w:bookmarkEnd w:id="31"/>
    </w:p>
    <w:p>
      <w:pPr>
        <w:spacing w:line="360" w:lineRule="auto"/>
        <w:ind w:firstLine="420" w:firstLineChars="200"/>
        <w:rPr>
          <w:rFonts w:ascii="宋体" w:hAnsi="宋体" w:cs="宋体"/>
          <w:snapToGrid w:val="0"/>
          <w:kern w:val="0"/>
          <w:szCs w:val="21"/>
        </w:rPr>
      </w:pPr>
      <w:bookmarkStart w:id="33" w:name="_Toc365751395"/>
      <w:r>
        <w:rPr>
          <w:rFonts w:hint="eastAsia" w:ascii="宋体" w:hAnsi="宋体" w:cs="宋体"/>
          <w:snapToGrid w:val="0"/>
          <w:kern w:val="0"/>
          <w:szCs w:val="21"/>
        </w:rPr>
        <w:t>3.1本次招标要求投标人须满足以下资质和业绩要求：</w:t>
      </w:r>
    </w:p>
    <w:p>
      <w:pPr>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3.1.1资质要求：</w:t>
      </w:r>
    </w:p>
    <w:p>
      <w:pPr>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具有独立法人资格，具有有效的营业执照。</w:t>
      </w:r>
    </w:p>
    <w:p>
      <w:pPr>
        <w:spacing w:line="360" w:lineRule="auto"/>
        <w:ind w:firstLine="420" w:firstLineChars="200"/>
        <w:rPr>
          <w:bCs/>
        </w:rPr>
      </w:pPr>
      <w:r>
        <w:rPr>
          <w:rFonts w:hint="eastAsia" w:ascii="宋体" w:hAnsi="宋体" w:cs="宋体"/>
          <w:kern w:val="0"/>
        </w:rPr>
        <w:t>3.2业绩要求：</w:t>
      </w:r>
    </w:p>
    <w:p>
      <w:pPr>
        <w:spacing w:line="360" w:lineRule="auto"/>
        <w:ind w:firstLine="420" w:firstLineChars="200"/>
        <w:rPr>
          <w:rFonts w:ascii="宋体" w:hAnsi="宋体" w:cs="宋体"/>
          <w:bCs/>
        </w:rPr>
      </w:pPr>
      <w:r>
        <w:rPr>
          <w:rFonts w:hint="eastAsia" w:ascii="宋体" w:hAnsi="宋体" w:cs="宋体"/>
          <w:bCs/>
        </w:rPr>
        <w:t>投标人202</w:t>
      </w:r>
      <w:r>
        <w:rPr>
          <w:rFonts w:hint="eastAsia" w:ascii="宋体" w:hAnsi="宋体" w:cs="宋体"/>
          <w:bCs/>
          <w:lang w:val="en-US" w:eastAsia="zh-CN"/>
        </w:rPr>
        <w:t>1</w:t>
      </w:r>
      <w:r>
        <w:rPr>
          <w:rFonts w:hint="eastAsia" w:ascii="宋体" w:hAnsi="宋体" w:cs="宋体"/>
          <w:bCs/>
        </w:rPr>
        <w:t>年1月1日至202</w:t>
      </w:r>
      <w:r>
        <w:rPr>
          <w:rFonts w:hint="eastAsia" w:ascii="宋体" w:hAnsi="宋体" w:cs="宋体"/>
          <w:bCs/>
          <w:lang w:val="en-US" w:eastAsia="zh-CN"/>
        </w:rPr>
        <w:t>3</w:t>
      </w:r>
      <w:r>
        <w:rPr>
          <w:rFonts w:hint="eastAsia" w:ascii="宋体" w:hAnsi="宋体" w:cs="宋体"/>
          <w:bCs/>
        </w:rPr>
        <w:t>年12月31日</w:t>
      </w:r>
      <w:r>
        <w:rPr>
          <w:rFonts w:hint="eastAsia" w:ascii="宋体" w:hAnsi="宋体" w:cs="宋体"/>
          <w:bCs/>
          <w:u w:val="single"/>
        </w:rPr>
        <w:t>（以合同签订时间为准）</w:t>
      </w:r>
      <w:r>
        <w:rPr>
          <w:rFonts w:hint="eastAsia" w:ascii="宋体" w:hAnsi="宋体" w:cs="宋体"/>
          <w:bCs/>
        </w:rPr>
        <w:t>，累积加工或销售沥青混合料数量不低于</w:t>
      </w:r>
      <w:r>
        <w:rPr>
          <w:rFonts w:hint="eastAsia" w:ascii="宋体" w:hAnsi="宋体" w:cs="宋体"/>
          <w:bCs/>
          <w:lang w:val="en-US" w:eastAsia="zh-CN"/>
        </w:rPr>
        <w:t>10</w:t>
      </w:r>
      <w:r>
        <w:rPr>
          <w:rFonts w:hint="eastAsia" w:ascii="宋体" w:hAnsi="宋体" w:cs="宋体"/>
          <w:bCs/>
        </w:rPr>
        <w:t>万吨，并提供相关合同协议书复印件及相对应的销售发票复印件。</w:t>
      </w:r>
    </w:p>
    <w:p>
      <w:pPr>
        <w:spacing w:line="360" w:lineRule="auto"/>
        <w:ind w:firstLine="420" w:firstLineChars="200"/>
        <w:rPr>
          <w:rFonts w:ascii="宋体" w:hAnsi="宋体" w:cs="宋体"/>
          <w:kern w:val="0"/>
        </w:rPr>
      </w:pPr>
      <w:r>
        <w:rPr>
          <w:rFonts w:hint="eastAsia" w:ascii="宋体" w:hAnsi="宋体" w:cs="宋体"/>
          <w:kern w:val="0"/>
        </w:rPr>
        <w:t>3.3本次招标不接受联合体投标。</w:t>
      </w:r>
    </w:p>
    <w:p>
      <w:pPr>
        <w:spacing w:line="360" w:lineRule="auto"/>
        <w:ind w:firstLine="420" w:firstLineChars="200"/>
        <w:rPr>
          <w:rFonts w:ascii="宋体" w:hAnsi="宋体" w:cs="宋体"/>
          <w:kern w:val="0"/>
        </w:rPr>
      </w:pPr>
      <w:r>
        <w:rPr>
          <w:rFonts w:hint="eastAsia" w:ascii="宋体" w:hAnsi="宋体" w:cs="宋体"/>
          <w:kern w:val="0"/>
        </w:rPr>
        <w:t>3.4</w:t>
      </w:r>
      <w:r>
        <w:rPr>
          <w:rFonts w:hint="eastAsia"/>
          <w:color w:val="000000"/>
          <w:szCs w:val="22"/>
        </w:rPr>
        <w:t>与招标人存在利害关系可能影响招标公正性的法人、其他组织或者个人，不得参加投标；单位负责人为同一人或者存在控股、管理关系的不同单位，不得同时参加投标，否则相关投标均无效。</w:t>
      </w:r>
    </w:p>
    <w:bookmarkEnd w:id="33"/>
    <w:p>
      <w:pPr>
        <w:pStyle w:val="4"/>
        <w:snapToGrid/>
        <w:rPr>
          <w:rFonts w:hint="eastAsia" w:ascii="宋体" w:hAnsi="宋体" w:eastAsia="宋体" w:cs="宋体"/>
          <w:snapToGrid w:val="0"/>
          <w:sz w:val="21"/>
          <w:szCs w:val="21"/>
        </w:rPr>
      </w:pPr>
      <w:bookmarkStart w:id="34" w:name="_Toc224103302"/>
      <w:bookmarkStart w:id="35" w:name="_Toc200359241"/>
      <w:bookmarkStart w:id="36" w:name="_Toc16021"/>
      <w:bookmarkStart w:id="37" w:name="_Toc287607731"/>
      <w:bookmarkStart w:id="38" w:name="_Toc287620670"/>
      <w:bookmarkStart w:id="39" w:name="_Toc200359430"/>
      <w:bookmarkStart w:id="40" w:name="_Toc277082539"/>
      <w:bookmarkStart w:id="41" w:name="_Toc365751396"/>
      <w:bookmarkStart w:id="42" w:name="_Toc245460572"/>
      <w:bookmarkStart w:id="43" w:name="_Toc365751398"/>
      <w:bookmarkStart w:id="44" w:name="_Toc200359432"/>
      <w:bookmarkStart w:id="45" w:name="_Toc200359243"/>
      <w:bookmarkStart w:id="46" w:name="_Toc287620673"/>
      <w:bookmarkStart w:id="47" w:name="_Toc224103305"/>
      <w:bookmarkStart w:id="48" w:name="_Toc287607734"/>
      <w:bookmarkStart w:id="49" w:name="_Toc277082542"/>
      <w:r>
        <w:rPr>
          <w:rFonts w:hint="eastAsia" w:ascii="宋体" w:hAnsi="宋体" w:eastAsia="宋体" w:cs="宋体"/>
          <w:snapToGrid w:val="0"/>
          <w:sz w:val="21"/>
          <w:szCs w:val="21"/>
        </w:rPr>
        <w:t>4. 招标文件的获取</w:t>
      </w:r>
      <w:bookmarkEnd w:id="34"/>
      <w:bookmarkEnd w:id="35"/>
      <w:bookmarkEnd w:id="36"/>
      <w:bookmarkEnd w:id="37"/>
      <w:bookmarkEnd w:id="38"/>
      <w:bookmarkEnd w:id="39"/>
      <w:bookmarkEnd w:id="40"/>
      <w:bookmarkEnd w:id="41"/>
    </w:p>
    <w:p>
      <w:pPr>
        <w:pStyle w:val="4"/>
        <w:snapToGrid/>
        <w:rPr>
          <w:rFonts w:hint="eastAsia" w:ascii="Times New Roman" w:hAnsi="Times New Roman" w:eastAsia="宋体" w:cs="Times New Roman"/>
          <w:b w:val="0"/>
          <w:snapToGrid/>
          <w:color w:val="000000"/>
          <w:spacing w:val="0"/>
          <w:w w:val="100"/>
          <w:kern w:val="2"/>
          <w:sz w:val="21"/>
          <w:szCs w:val="22"/>
        </w:rPr>
      </w:pPr>
      <w:bookmarkStart w:id="50" w:name="_Toc200359431"/>
      <w:bookmarkStart w:id="51" w:name="_Toc245460571"/>
      <w:bookmarkStart w:id="52" w:name="_Toc200359242"/>
      <w:bookmarkStart w:id="53" w:name="_Toc365751397"/>
      <w:bookmarkStart w:id="54" w:name="_Toc502752407"/>
      <w:bookmarkStart w:id="55" w:name="_Toc19072"/>
      <w:r>
        <w:rPr>
          <w:rFonts w:hint="eastAsia" w:ascii="Times New Roman" w:hAnsi="Times New Roman" w:eastAsia="宋体" w:cs="Times New Roman"/>
          <w:b w:val="0"/>
          <w:snapToGrid/>
          <w:color w:val="000000"/>
          <w:spacing w:val="0"/>
          <w:w w:val="100"/>
          <w:kern w:val="2"/>
          <w:sz w:val="21"/>
          <w:szCs w:val="22"/>
        </w:rPr>
        <w:t>4.1凡有意参加投标者，请于202</w:t>
      </w:r>
      <w:r>
        <w:rPr>
          <w:rFonts w:hint="eastAsia" w:ascii="Times New Roman" w:eastAsia="宋体" w:cs="Times New Roman"/>
          <w:b w:val="0"/>
          <w:snapToGrid/>
          <w:color w:val="000000"/>
          <w:spacing w:val="0"/>
          <w:w w:val="100"/>
          <w:kern w:val="2"/>
          <w:sz w:val="21"/>
          <w:szCs w:val="22"/>
          <w:lang w:val="en-US" w:eastAsia="zh-CN"/>
        </w:rPr>
        <w:t>5</w:t>
      </w:r>
      <w:r>
        <w:rPr>
          <w:rFonts w:hint="eastAsia" w:ascii="Times New Roman" w:hAnsi="Times New Roman" w:eastAsia="宋体" w:cs="Times New Roman"/>
          <w:b w:val="0"/>
          <w:snapToGrid/>
          <w:color w:val="000000"/>
          <w:spacing w:val="0"/>
          <w:w w:val="100"/>
          <w:kern w:val="2"/>
          <w:sz w:val="21"/>
          <w:szCs w:val="22"/>
        </w:rPr>
        <w:t>年</w:t>
      </w:r>
      <w:r>
        <w:rPr>
          <w:rFonts w:hint="eastAsia" w:ascii="Times New Roman" w:eastAsia="宋体" w:cs="Times New Roman"/>
          <w:b w:val="0"/>
          <w:snapToGrid/>
          <w:color w:val="000000"/>
          <w:spacing w:val="0"/>
          <w:w w:val="100"/>
          <w:kern w:val="2"/>
          <w:sz w:val="21"/>
          <w:szCs w:val="22"/>
          <w:lang w:val="en-US" w:eastAsia="zh-CN"/>
        </w:rPr>
        <w:t>3</w:t>
      </w:r>
      <w:r>
        <w:rPr>
          <w:rFonts w:hint="eastAsia" w:ascii="Times New Roman" w:hAnsi="Times New Roman" w:eastAsia="宋体" w:cs="Times New Roman"/>
          <w:b w:val="0"/>
          <w:snapToGrid/>
          <w:color w:val="000000"/>
          <w:spacing w:val="0"/>
          <w:w w:val="100"/>
          <w:kern w:val="2"/>
          <w:sz w:val="21"/>
          <w:szCs w:val="22"/>
        </w:rPr>
        <w:t>月</w:t>
      </w:r>
      <w:r>
        <w:rPr>
          <w:rFonts w:hint="eastAsia" w:ascii="Times New Roman" w:hAnsi="Times New Roman" w:eastAsia="宋体" w:cs="Times New Roman"/>
          <w:b w:val="0"/>
          <w:snapToGrid/>
          <w:color w:val="000000"/>
          <w:spacing w:val="0"/>
          <w:w w:val="100"/>
          <w:kern w:val="2"/>
          <w:sz w:val="21"/>
          <w:szCs w:val="22"/>
          <w:lang w:val="en-US" w:eastAsia="zh-CN"/>
        </w:rPr>
        <w:t xml:space="preserve"> </w:t>
      </w:r>
      <w:r>
        <w:rPr>
          <w:rFonts w:hint="eastAsia" w:ascii="Times New Roman" w:eastAsia="宋体" w:cs="Times New Roman"/>
          <w:b w:val="0"/>
          <w:snapToGrid/>
          <w:color w:val="000000"/>
          <w:spacing w:val="0"/>
          <w:w w:val="100"/>
          <w:kern w:val="2"/>
          <w:sz w:val="21"/>
          <w:szCs w:val="22"/>
          <w:lang w:val="en-US" w:eastAsia="zh-CN"/>
        </w:rPr>
        <w:t>19</w:t>
      </w:r>
      <w:r>
        <w:rPr>
          <w:rFonts w:hint="eastAsia" w:ascii="Times New Roman" w:hAnsi="Times New Roman" w:eastAsia="宋体" w:cs="Times New Roman"/>
          <w:b w:val="0"/>
          <w:snapToGrid/>
          <w:color w:val="000000"/>
          <w:spacing w:val="0"/>
          <w:w w:val="100"/>
          <w:kern w:val="2"/>
          <w:sz w:val="21"/>
          <w:szCs w:val="22"/>
          <w:lang w:val="en-US" w:eastAsia="zh-CN"/>
        </w:rPr>
        <w:t xml:space="preserve"> </w:t>
      </w:r>
      <w:r>
        <w:rPr>
          <w:rFonts w:hint="eastAsia" w:ascii="Times New Roman" w:hAnsi="Times New Roman" w:eastAsia="宋体" w:cs="Times New Roman"/>
          <w:b w:val="0"/>
          <w:snapToGrid/>
          <w:color w:val="000000"/>
          <w:spacing w:val="0"/>
          <w:w w:val="100"/>
          <w:kern w:val="2"/>
          <w:sz w:val="21"/>
          <w:szCs w:val="22"/>
        </w:rPr>
        <w:t xml:space="preserve">日（北京时间，下同）起在重庆市公共资源交易网（www.cqggzy.com）下载招标文件、澄清、修改、补充通知、最高限价通知等全部内容。不管下载与否都视为潜在投标人全部知晓有关招投标过程和全部内容。 </w:t>
      </w:r>
    </w:p>
    <w:p>
      <w:pPr>
        <w:pStyle w:val="4"/>
        <w:snapToGrid/>
        <w:rPr>
          <w:rFonts w:hint="eastAsia" w:ascii="Times New Roman" w:hAnsi="Times New Roman" w:eastAsia="宋体" w:cs="Times New Roman"/>
          <w:b w:val="0"/>
          <w:snapToGrid/>
          <w:color w:val="000000"/>
          <w:spacing w:val="0"/>
          <w:w w:val="100"/>
          <w:kern w:val="2"/>
          <w:sz w:val="21"/>
          <w:szCs w:val="22"/>
        </w:rPr>
      </w:pPr>
      <w:r>
        <w:rPr>
          <w:rFonts w:hint="eastAsia" w:ascii="Times New Roman" w:hAnsi="Times New Roman" w:eastAsia="宋体" w:cs="Times New Roman"/>
          <w:b w:val="0"/>
          <w:snapToGrid/>
          <w:color w:val="000000"/>
          <w:spacing w:val="0"/>
          <w:w w:val="100"/>
          <w:kern w:val="2"/>
          <w:sz w:val="21"/>
          <w:szCs w:val="22"/>
        </w:rPr>
        <w:t>4.2投标人可在重庆市公共资源交易网（www.cqggzy.com）本项目招标公告网页下方“我要提问”栏提出疑问，提问时间从本公告发布至202</w:t>
      </w:r>
      <w:r>
        <w:rPr>
          <w:rFonts w:hint="eastAsia" w:ascii="Times New Roman" w:eastAsia="宋体" w:cs="Times New Roman"/>
          <w:b w:val="0"/>
          <w:snapToGrid/>
          <w:color w:val="000000"/>
          <w:spacing w:val="0"/>
          <w:w w:val="100"/>
          <w:kern w:val="2"/>
          <w:sz w:val="21"/>
          <w:szCs w:val="22"/>
          <w:lang w:val="en-US" w:eastAsia="zh-CN"/>
        </w:rPr>
        <w:t>5</w:t>
      </w:r>
      <w:r>
        <w:rPr>
          <w:rFonts w:hint="eastAsia" w:ascii="Times New Roman" w:hAnsi="Times New Roman" w:eastAsia="宋体" w:cs="Times New Roman"/>
          <w:b w:val="0"/>
          <w:snapToGrid/>
          <w:color w:val="000000"/>
          <w:spacing w:val="0"/>
          <w:w w:val="100"/>
          <w:kern w:val="2"/>
          <w:sz w:val="21"/>
          <w:szCs w:val="22"/>
        </w:rPr>
        <w:t>年</w:t>
      </w:r>
      <w:r>
        <w:rPr>
          <w:rFonts w:hint="eastAsia" w:ascii="Times New Roman" w:eastAsia="宋体" w:cs="Times New Roman"/>
          <w:b w:val="0"/>
          <w:snapToGrid/>
          <w:color w:val="000000"/>
          <w:spacing w:val="0"/>
          <w:w w:val="100"/>
          <w:kern w:val="2"/>
          <w:sz w:val="21"/>
          <w:szCs w:val="22"/>
          <w:lang w:val="en-US" w:eastAsia="zh-CN"/>
        </w:rPr>
        <w:t>3</w:t>
      </w:r>
      <w:r>
        <w:rPr>
          <w:rFonts w:hint="eastAsia" w:ascii="Times New Roman" w:hAnsi="Times New Roman" w:eastAsia="宋体" w:cs="Times New Roman"/>
          <w:b w:val="0"/>
          <w:snapToGrid/>
          <w:color w:val="000000"/>
          <w:spacing w:val="0"/>
          <w:w w:val="100"/>
          <w:kern w:val="2"/>
          <w:sz w:val="21"/>
          <w:szCs w:val="22"/>
        </w:rPr>
        <w:t>月</w:t>
      </w:r>
      <w:r>
        <w:rPr>
          <w:rFonts w:hint="eastAsia" w:ascii="Times New Roman" w:eastAsia="宋体" w:cs="Times New Roman"/>
          <w:b w:val="0"/>
          <w:snapToGrid/>
          <w:color w:val="000000"/>
          <w:spacing w:val="0"/>
          <w:w w:val="100"/>
          <w:kern w:val="2"/>
          <w:sz w:val="21"/>
          <w:szCs w:val="22"/>
          <w:lang w:val="en-US" w:eastAsia="zh-CN"/>
        </w:rPr>
        <w:t>23</w:t>
      </w:r>
      <w:r>
        <w:rPr>
          <w:rFonts w:hint="eastAsia" w:ascii="Times New Roman" w:hAnsi="Times New Roman" w:eastAsia="宋体" w:cs="Times New Roman"/>
          <w:b w:val="0"/>
          <w:snapToGrid/>
          <w:color w:val="000000"/>
          <w:spacing w:val="0"/>
          <w:w w:val="100"/>
          <w:kern w:val="2"/>
          <w:sz w:val="21"/>
          <w:szCs w:val="22"/>
          <w:lang w:val="en-US" w:eastAsia="zh-CN"/>
        </w:rPr>
        <w:t xml:space="preserve"> </w:t>
      </w:r>
      <w:r>
        <w:rPr>
          <w:rFonts w:hint="eastAsia" w:ascii="Times New Roman" w:hAnsi="Times New Roman" w:eastAsia="宋体" w:cs="Times New Roman"/>
          <w:b w:val="0"/>
          <w:snapToGrid/>
          <w:color w:val="000000"/>
          <w:spacing w:val="0"/>
          <w:w w:val="100"/>
          <w:kern w:val="2"/>
          <w:sz w:val="21"/>
          <w:szCs w:val="22"/>
        </w:rPr>
        <w:t xml:space="preserve">日10 时 </w:t>
      </w:r>
      <w:r>
        <w:rPr>
          <w:rFonts w:hint="eastAsia" w:ascii="Times New Roman" w:hAnsi="Times New Roman" w:eastAsia="宋体" w:cs="Times New Roman"/>
          <w:b w:val="0"/>
          <w:snapToGrid/>
          <w:color w:val="000000"/>
          <w:spacing w:val="0"/>
          <w:w w:val="100"/>
          <w:kern w:val="2"/>
          <w:sz w:val="21"/>
          <w:szCs w:val="22"/>
          <w:lang w:val="en-US" w:eastAsia="zh-CN"/>
        </w:rPr>
        <w:t>00</w:t>
      </w:r>
      <w:r>
        <w:rPr>
          <w:rFonts w:hint="eastAsia" w:ascii="Times New Roman" w:hAnsi="Times New Roman" w:eastAsia="宋体" w:cs="Times New Roman"/>
          <w:b w:val="0"/>
          <w:snapToGrid/>
          <w:color w:val="000000"/>
          <w:spacing w:val="0"/>
          <w:w w:val="100"/>
          <w:kern w:val="2"/>
          <w:sz w:val="21"/>
          <w:szCs w:val="22"/>
        </w:rPr>
        <w:t xml:space="preserve"> 分（北京时间）前。</w:t>
      </w:r>
    </w:p>
    <w:p>
      <w:pPr>
        <w:pStyle w:val="4"/>
        <w:snapToGrid/>
        <w:rPr>
          <w:rFonts w:hint="eastAsia" w:ascii="Times New Roman" w:hAnsi="Times New Roman" w:eastAsia="宋体" w:cs="Times New Roman"/>
          <w:b w:val="0"/>
          <w:snapToGrid/>
          <w:color w:val="000000"/>
          <w:spacing w:val="0"/>
          <w:w w:val="100"/>
          <w:kern w:val="2"/>
          <w:sz w:val="21"/>
          <w:szCs w:val="22"/>
        </w:rPr>
      </w:pPr>
      <w:r>
        <w:rPr>
          <w:rFonts w:hint="eastAsia" w:ascii="Times New Roman" w:hAnsi="Times New Roman" w:eastAsia="宋体" w:cs="Times New Roman"/>
          <w:b w:val="0"/>
          <w:snapToGrid/>
          <w:color w:val="000000"/>
          <w:spacing w:val="0"/>
          <w:w w:val="100"/>
          <w:kern w:val="2"/>
          <w:sz w:val="21"/>
          <w:szCs w:val="22"/>
        </w:rPr>
        <w:t>4.3招标人应于202</w:t>
      </w:r>
      <w:r>
        <w:rPr>
          <w:rFonts w:hint="eastAsia" w:ascii="Times New Roman" w:eastAsia="宋体" w:cs="Times New Roman"/>
          <w:b w:val="0"/>
          <w:snapToGrid/>
          <w:color w:val="000000"/>
          <w:spacing w:val="0"/>
          <w:w w:val="100"/>
          <w:kern w:val="2"/>
          <w:sz w:val="21"/>
          <w:szCs w:val="22"/>
          <w:lang w:val="en-US" w:eastAsia="zh-CN"/>
        </w:rPr>
        <w:t>5</w:t>
      </w:r>
      <w:r>
        <w:rPr>
          <w:rFonts w:hint="eastAsia" w:ascii="Times New Roman" w:hAnsi="Times New Roman" w:eastAsia="宋体" w:cs="Times New Roman"/>
          <w:b w:val="0"/>
          <w:snapToGrid/>
          <w:color w:val="000000"/>
          <w:spacing w:val="0"/>
          <w:w w:val="100"/>
          <w:kern w:val="2"/>
          <w:sz w:val="21"/>
          <w:szCs w:val="22"/>
        </w:rPr>
        <w:t>年</w:t>
      </w:r>
      <w:r>
        <w:rPr>
          <w:rFonts w:hint="eastAsia" w:ascii="Times New Roman" w:eastAsia="宋体" w:cs="Times New Roman"/>
          <w:b w:val="0"/>
          <w:snapToGrid/>
          <w:color w:val="000000"/>
          <w:spacing w:val="0"/>
          <w:w w:val="100"/>
          <w:kern w:val="2"/>
          <w:sz w:val="21"/>
          <w:szCs w:val="22"/>
          <w:lang w:val="en-US" w:eastAsia="zh-CN"/>
        </w:rPr>
        <w:t>3</w:t>
      </w:r>
      <w:r>
        <w:rPr>
          <w:rFonts w:hint="eastAsia" w:ascii="Times New Roman" w:hAnsi="Times New Roman" w:eastAsia="宋体" w:cs="Times New Roman"/>
          <w:b w:val="0"/>
          <w:snapToGrid/>
          <w:color w:val="000000"/>
          <w:spacing w:val="0"/>
          <w:w w:val="100"/>
          <w:kern w:val="2"/>
          <w:sz w:val="21"/>
          <w:szCs w:val="22"/>
        </w:rPr>
        <w:t>月</w:t>
      </w:r>
      <w:r>
        <w:rPr>
          <w:rFonts w:hint="eastAsia" w:ascii="Times New Roman" w:eastAsia="宋体" w:cs="Times New Roman"/>
          <w:b w:val="0"/>
          <w:snapToGrid/>
          <w:color w:val="000000"/>
          <w:spacing w:val="0"/>
          <w:w w:val="100"/>
          <w:kern w:val="2"/>
          <w:sz w:val="21"/>
          <w:szCs w:val="22"/>
          <w:lang w:val="en-US" w:eastAsia="zh-CN"/>
        </w:rPr>
        <w:t>25</w:t>
      </w:r>
      <w:r>
        <w:rPr>
          <w:rFonts w:hint="eastAsia" w:ascii="Times New Roman" w:hAnsi="Times New Roman" w:eastAsia="宋体" w:cs="Times New Roman"/>
          <w:b w:val="0"/>
          <w:snapToGrid/>
          <w:color w:val="000000"/>
          <w:spacing w:val="0"/>
          <w:w w:val="100"/>
          <w:kern w:val="2"/>
          <w:sz w:val="21"/>
          <w:szCs w:val="22"/>
        </w:rPr>
        <w:t>日17时00分（北京时间）前在重庆市公共资源交易网（www.cqggzy.com）发布澄清。</w:t>
      </w:r>
    </w:p>
    <w:bookmarkEnd w:id="50"/>
    <w:bookmarkEnd w:id="51"/>
    <w:bookmarkEnd w:id="52"/>
    <w:bookmarkEnd w:id="53"/>
    <w:p>
      <w:pPr>
        <w:pStyle w:val="4"/>
        <w:snapToGrid/>
        <w:rPr>
          <w:rFonts w:hint="eastAsia" w:ascii="宋体" w:hAnsi="宋体" w:eastAsia="宋体" w:cs="宋体"/>
          <w:snapToGrid w:val="0"/>
          <w:sz w:val="21"/>
          <w:szCs w:val="21"/>
        </w:rPr>
      </w:pPr>
      <w:r>
        <w:rPr>
          <w:rFonts w:hint="eastAsia" w:ascii="宋体" w:hAnsi="宋体" w:eastAsia="宋体" w:cs="宋体"/>
          <w:snapToGrid w:val="0"/>
          <w:sz w:val="21"/>
          <w:szCs w:val="21"/>
        </w:rPr>
        <w:t>5. 投标截止和开标时间及地点</w:t>
      </w:r>
      <w:bookmarkEnd w:id="54"/>
      <w:bookmarkEnd w:id="55"/>
    </w:p>
    <w:p>
      <w:pPr>
        <w:pStyle w:val="4"/>
        <w:snapToGrid/>
        <w:rPr>
          <w:rFonts w:hint="eastAsia" w:ascii="Times New Roman" w:hAnsi="Times New Roman" w:eastAsia="宋体" w:cs="Times New Roman"/>
          <w:b w:val="0"/>
          <w:snapToGrid/>
          <w:color w:val="000000"/>
          <w:spacing w:val="0"/>
          <w:w w:val="100"/>
          <w:kern w:val="2"/>
          <w:sz w:val="21"/>
          <w:szCs w:val="22"/>
        </w:rPr>
      </w:pPr>
      <w:r>
        <w:rPr>
          <w:rFonts w:hint="eastAsia" w:ascii="Times New Roman" w:hAnsi="Times New Roman" w:eastAsia="宋体" w:cs="Times New Roman"/>
          <w:b w:val="0"/>
          <w:snapToGrid/>
          <w:color w:val="000000"/>
          <w:spacing w:val="0"/>
          <w:w w:val="100"/>
          <w:kern w:val="2"/>
          <w:sz w:val="21"/>
          <w:szCs w:val="22"/>
        </w:rPr>
        <w:t>5.1投标文件递交的截止时间（投标截止时间，下同）为202</w:t>
      </w:r>
      <w:r>
        <w:rPr>
          <w:rFonts w:hint="eastAsia" w:ascii="Times New Roman" w:eastAsia="宋体" w:cs="Times New Roman"/>
          <w:b w:val="0"/>
          <w:snapToGrid/>
          <w:color w:val="000000"/>
          <w:spacing w:val="0"/>
          <w:w w:val="100"/>
          <w:kern w:val="2"/>
          <w:sz w:val="21"/>
          <w:szCs w:val="22"/>
          <w:lang w:val="en-US" w:eastAsia="zh-CN"/>
        </w:rPr>
        <w:t>5</w:t>
      </w:r>
      <w:r>
        <w:rPr>
          <w:rFonts w:hint="eastAsia" w:ascii="Times New Roman" w:hAnsi="Times New Roman" w:eastAsia="宋体" w:cs="Times New Roman"/>
          <w:b w:val="0"/>
          <w:snapToGrid/>
          <w:color w:val="000000"/>
          <w:spacing w:val="0"/>
          <w:w w:val="100"/>
          <w:kern w:val="2"/>
          <w:sz w:val="21"/>
          <w:szCs w:val="22"/>
        </w:rPr>
        <w:t>年</w:t>
      </w:r>
      <w:r>
        <w:rPr>
          <w:rFonts w:hint="eastAsia" w:ascii="Times New Roman" w:eastAsia="宋体" w:cs="Times New Roman"/>
          <w:b w:val="0"/>
          <w:snapToGrid/>
          <w:color w:val="000000"/>
          <w:spacing w:val="0"/>
          <w:w w:val="100"/>
          <w:kern w:val="2"/>
          <w:sz w:val="21"/>
          <w:szCs w:val="22"/>
          <w:lang w:val="en-US" w:eastAsia="zh-CN"/>
        </w:rPr>
        <w:t>4</w:t>
      </w:r>
      <w:r>
        <w:rPr>
          <w:rFonts w:hint="eastAsia" w:ascii="Times New Roman" w:hAnsi="Times New Roman" w:eastAsia="宋体" w:cs="Times New Roman"/>
          <w:b w:val="0"/>
          <w:snapToGrid/>
          <w:color w:val="000000"/>
          <w:spacing w:val="0"/>
          <w:w w:val="100"/>
          <w:kern w:val="2"/>
          <w:sz w:val="21"/>
          <w:szCs w:val="22"/>
        </w:rPr>
        <w:t>月</w:t>
      </w:r>
      <w:r>
        <w:rPr>
          <w:rFonts w:hint="eastAsia" w:ascii="Times New Roman" w:eastAsia="宋体" w:cs="Times New Roman"/>
          <w:b w:val="0"/>
          <w:snapToGrid/>
          <w:color w:val="000000"/>
          <w:spacing w:val="0"/>
          <w:w w:val="100"/>
          <w:kern w:val="2"/>
          <w:sz w:val="21"/>
          <w:szCs w:val="22"/>
          <w:lang w:val="en-US" w:eastAsia="zh-CN"/>
        </w:rPr>
        <w:t>9</w:t>
      </w:r>
      <w:r>
        <w:rPr>
          <w:rFonts w:hint="eastAsia" w:ascii="Times New Roman" w:hAnsi="Times New Roman" w:eastAsia="宋体" w:cs="Times New Roman"/>
          <w:b w:val="0"/>
          <w:snapToGrid/>
          <w:color w:val="000000"/>
          <w:spacing w:val="0"/>
          <w:w w:val="100"/>
          <w:kern w:val="2"/>
          <w:sz w:val="21"/>
          <w:szCs w:val="22"/>
        </w:rPr>
        <w:t>日10时30分，地点为重庆市公共资源交易中心开标室（具体请登录重庆市公共资源交易网（www.cqggzy.com）查询或递交文件当日见交易中心大厅电子显示屏）。</w:t>
      </w:r>
    </w:p>
    <w:p>
      <w:pPr>
        <w:pStyle w:val="4"/>
        <w:snapToGrid/>
        <w:rPr>
          <w:rFonts w:hint="eastAsia" w:ascii="Times New Roman" w:hAnsi="Times New Roman" w:eastAsia="宋体" w:cs="Times New Roman"/>
          <w:b w:val="0"/>
          <w:snapToGrid/>
          <w:color w:val="000000"/>
          <w:spacing w:val="0"/>
          <w:w w:val="100"/>
          <w:kern w:val="2"/>
          <w:sz w:val="21"/>
          <w:szCs w:val="22"/>
        </w:rPr>
      </w:pPr>
      <w:r>
        <w:rPr>
          <w:rFonts w:hint="eastAsia" w:ascii="Times New Roman" w:hAnsi="Times New Roman" w:eastAsia="宋体" w:cs="Times New Roman"/>
          <w:b w:val="0"/>
          <w:snapToGrid/>
          <w:color w:val="000000"/>
          <w:spacing w:val="0"/>
          <w:w w:val="100"/>
          <w:kern w:val="2"/>
          <w:sz w:val="21"/>
          <w:szCs w:val="22"/>
        </w:rPr>
        <w:t>5.2逾期送达的或者未送达指定地点的投标文件，招标人不予受理。</w:t>
      </w:r>
    </w:p>
    <w:p>
      <w:pPr>
        <w:pStyle w:val="4"/>
        <w:snapToGrid/>
        <w:rPr>
          <w:rFonts w:ascii="宋体" w:hAnsi="宋体" w:eastAsia="宋体" w:cs="宋体"/>
          <w:snapToGrid w:val="0"/>
          <w:sz w:val="21"/>
          <w:szCs w:val="21"/>
        </w:rPr>
      </w:pPr>
      <w:r>
        <w:rPr>
          <w:rFonts w:hint="eastAsia" w:ascii="宋体" w:hAnsi="宋体" w:eastAsia="宋体" w:cs="宋体"/>
          <w:snapToGrid w:val="0"/>
          <w:sz w:val="21"/>
          <w:szCs w:val="21"/>
        </w:rPr>
        <w:t>6. 发布公告的媒介</w:t>
      </w:r>
      <w:bookmarkEnd w:id="42"/>
      <w:bookmarkEnd w:id="43"/>
      <w:bookmarkEnd w:id="44"/>
      <w:bookmarkEnd w:id="45"/>
    </w:p>
    <w:p>
      <w:pPr>
        <w:widowControl/>
        <w:wordWrap w:val="0"/>
        <w:spacing w:line="400" w:lineRule="exact"/>
        <w:ind w:firstLine="420" w:firstLineChars="200"/>
        <w:rPr>
          <w:rFonts w:ascii="宋体" w:hAnsi="宋体" w:cs="宋体"/>
          <w:szCs w:val="21"/>
        </w:rPr>
      </w:pPr>
      <w:bookmarkStart w:id="56" w:name="_Toc11366"/>
      <w:bookmarkStart w:id="57" w:name="_Toc365751399"/>
      <w:r>
        <w:rPr>
          <w:rFonts w:hint="eastAsia" w:ascii="宋体" w:hAnsi="宋体"/>
          <w:szCs w:val="21"/>
        </w:rPr>
        <w:t>本次招标公告同时在重庆市公共资源交易网（www.cqggzy.com）、重庆高速公路集团有限公司官网（www.cegc.com.cn）上发布。</w:t>
      </w:r>
    </w:p>
    <w:p>
      <w:pPr>
        <w:pStyle w:val="4"/>
        <w:snapToGrid/>
        <w:rPr>
          <w:rFonts w:ascii="宋体" w:hAnsi="宋体" w:eastAsia="宋体" w:cs="宋体"/>
          <w:snapToGrid w:val="0"/>
          <w:sz w:val="21"/>
          <w:szCs w:val="21"/>
        </w:rPr>
      </w:pPr>
      <w:r>
        <w:rPr>
          <w:rFonts w:hint="eastAsia" w:ascii="宋体" w:hAnsi="宋体" w:eastAsia="宋体" w:cs="宋体"/>
          <w:snapToGrid w:val="0"/>
          <w:sz w:val="21"/>
          <w:szCs w:val="21"/>
        </w:rPr>
        <w:t>7. 联系方式</w:t>
      </w:r>
      <w:bookmarkEnd w:id="56"/>
      <w:bookmarkEnd w:id="57"/>
    </w:p>
    <w:p>
      <w:pPr>
        <w:widowControl/>
        <w:spacing w:line="420" w:lineRule="exact"/>
        <w:ind w:firstLine="420"/>
        <w:jc w:val="left"/>
        <w:rPr>
          <w:rFonts w:hint="eastAsia" w:ascii="宋体" w:hAnsi="宋体" w:eastAsia="宋体"/>
          <w:color w:val="auto"/>
          <w:szCs w:val="21"/>
          <w:highlight w:val="none"/>
          <w:lang w:eastAsia="zh-CN"/>
        </w:rPr>
      </w:pPr>
      <w:r>
        <w:rPr>
          <w:rFonts w:hint="eastAsia" w:ascii="宋体" w:hAnsi="宋体"/>
          <w:color w:val="auto"/>
          <w:szCs w:val="21"/>
          <w:highlight w:val="none"/>
        </w:rPr>
        <w:t>招标人：</w:t>
      </w:r>
      <w:bookmarkStart w:id="58" w:name="OLE_LINK3"/>
      <w:r>
        <w:rPr>
          <w:rFonts w:hint="eastAsia" w:ascii="宋体" w:hAnsi="宋体"/>
          <w:color w:val="auto"/>
          <w:szCs w:val="21"/>
          <w:highlight w:val="none"/>
          <w:lang w:eastAsia="zh-CN"/>
        </w:rPr>
        <w:t>重庆公路养护工程（集团）有限公司</w:t>
      </w:r>
    </w:p>
    <w:bookmarkEnd w:id="58"/>
    <w:p>
      <w:pPr>
        <w:widowControl/>
        <w:spacing w:line="420" w:lineRule="exact"/>
        <w:ind w:firstLine="420"/>
        <w:jc w:val="left"/>
        <w:rPr>
          <w:rFonts w:ascii="宋体" w:hAnsi="宋体"/>
          <w:color w:val="auto"/>
          <w:szCs w:val="21"/>
          <w:highlight w:val="none"/>
        </w:rPr>
      </w:pPr>
      <w:r>
        <w:rPr>
          <w:rFonts w:hint="eastAsia" w:ascii="宋体" w:hAnsi="宋体"/>
          <w:color w:val="auto"/>
          <w:szCs w:val="21"/>
          <w:highlight w:val="none"/>
        </w:rPr>
        <w:t>地  址：重庆市沙坪坝区梨高路4号</w:t>
      </w:r>
    </w:p>
    <w:p>
      <w:pPr>
        <w:widowControl/>
        <w:spacing w:line="420" w:lineRule="exact"/>
        <w:ind w:firstLine="420"/>
        <w:jc w:val="left"/>
        <w:rPr>
          <w:rFonts w:ascii="宋体" w:hAnsi="宋体"/>
          <w:color w:val="auto"/>
          <w:szCs w:val="21"/>
          <w:highlight w:val="none"/>
        </w:rPr>
      </w:pPr>
      <w:r>
        <w:rPr>
          <w:rFonts w:hint="eastAsia" w:ascii="宋体" w:hAnsi="宋体"/>
          <w:color w:val="auto"/>
          <w:szCs w:val="21"/>
          <w:highlight w:val="none"/>
        </w:rPr>
        <w:t>联系人：</w:t>
      </w:r>
      <w:r>
        <w:rPr>
          <w:rFonts w:hint="eastAsia" w:ascii="宋体" w:hAnsi="宋体"/>
          <w:color w:val="auto"/>
          <w:szCs w:val="21"/>
          <w:highlight w:val="none"/>
          <w:lang w:val="en-US" w:eastAsia="zh-CN"/>
        </w:rPr>
        <w:t>梅老师</w:t>
      </w:r>
      <w:r>
        <w:rPr>
          <w:rFonts w:ascii="宋体" w:hAnsi="宋体"/>
          <w:color w:val="auto"/>
          <w:szCs w:val="21"/>
          <w:highlight w:val="none"/>
        </w:rPr>
        <w:t xml:space="preserve">   </w:t>
      </w:r>
    </w:p>
    <w:p>
      <w:pPr>
        <w:widowControl/>
        <w:spacing w:line="420" w:lineRule="exact"/>
        <w:ind w:firstLine="42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电话：</w:t>
      </w:r>
      <w:r>
        <w:rPr>
          <w:rFonts w:hint="eastAsia" w:ascii="宋体" w:hAnsi="宋体"/>
          <w:color w:val="auto"/>
          <w:szCs w:val="21"/>
          <w:highlight w:val="none"/>
          <w:lang w:val="en-US" w:eastAsia="zh-CN"/>
        </w:rPr>
        <w:t>13271833000</w:t>
      </w:r>
    </w:p>
    <w:p>
      <w:pPr>
        <w:widowControl/>
        <w:spacing w:line="420" w:lineRule="exact"/>
        <w:ind w:firstLine="420"/>
        <w:jc w:val="left"/>
        <w:rPr>
          <w:rFonts w:ascii="宋体" w:hAnsi="宋体"/>
          <w:color w:val="auto"/>
          <w:szCs w:val="21"/>
          <w:highlight w:val="none"/>
        </w:rPr>
      </w:pPr>
      <w:r>
        <w:rPr>
          <w:rFonts w:hint="eastAsia" w:ascii="宋体" w:hAnsi="宋体"/>
          <w:color w:val="auto"/>
          <w:szCs w:val="21"/>
          <w:highlight w:val="none"/>
        </w:rPr>
        <w:t>招标代理机构：重庆市投资咨询有限公司</w:t>
      </w:r>
    </w:p>
    <w:p>
      <w:pPr>
        <w:widowControl/>
        <w:spacing w:line="420" w:lineRule="exact"/>
        <w:ind w:firstLine="420"/>
        <w:jc w:val="left"/>
        <w:rPr>
          <w:rFonts w:hint="default" w:ascii="宋体" w:hAnsi="宋体" w:eastAsia="宋体"/>
          <w:color w:val="auto"/>
          <w:szCs w:val="21"/>
          <w:highlight w:val="none"/>
          <w:lang w:val="en-US" w:eastAsia="zh-CN"/>
        </w:rPr>
      </w:pPr>
      <w:r>
        <w:rPr>
          <w:rFonts w:hint="eastAsia" w:ascii="宋体" w:hAnsi="宋体"/>
          <w:color w:val="auto"/>
          <w:szCs w:val="21"/>
          <w:highlight w:val="none"/>
        </w:rPr>
        <w:t>地址：重庆市江北区五简路2号重咨大厦A栋</w:t>
      </w:r>
      <w:r>
        <w:rPr>
          <w:rFonts w:hint="eastAsia" w:ascii="宋体" w:hAnsi="宋体"/>
          <w:color w:val="auto"/>
          <w:szCs w:val="21"/>
          <w:highlight w:val="none"/>
          <w:lang w:val="en-US" w:eastAsia="zh-CN"/>
        </w:rPr>
        <w:t>706</w:t>
      </w:r>
    </w:p>
    <w:p>
      <w:pPr>
        <w:widowControl/>
        <w:spacing w:line="420" w:lineRule="exact"/>
        <w:ind w:firstLine="420"/>
        <w:jc w:val="left"/>
        <w:rPr>
          <w:rFonts w:ascii="宋体" w:hAnsi="宋体"/>
          <w:color w:val="auto"/>
          <w:szCs w:val="21"/>
          <w:highlight w:val="none"/>
        </w:rPr>
      </w:pPr>
      <w:r>
        <w:rPr>
          <w:rFonts w:hint="eastAsia" w:ascii="宋体" w:hAnsi="宋体"/>
          <w:color w:val="auto"/>
          <w:szCs w:val="21"/>
          <w:highlight w:val="none"/>
        </w:rPr>
        <w:t>联系人：张老师</w:t>
      </w:r>
    </w:p>
    <w:p>
      <w:pPr>
        <w:widowControl/>
        <w:tabs>
          <w:tab w:val="left" w:pos="7404"/>
        </w:tabs>
        <w:spacing w:line="420" w:lineRule="exact"/>
        <w:ind w:firstLine="420"/>
        <w:jc w:val="left"/>
        <w:rPr>
          <w:rFonts w:hint="eastAsia" w:ascii="宋体" w:hAnsi="宋体" w:eastAsia="宋体"/>
          <w:color w:val="auto"/>
          <w:szCs w:val="21"/>
          <w:highlight w:val="none"/>
          <w:lang w:eastAsia="zh-CN"/>
        </w:rPr>
      </w:pPr>
      <w:r>
        <w:rPr>
          <w:rFonts w:hint="eastAsia" w:ascii="宋体" w:hAnsi="宋体"/>
          <w:color w:val="auto"/>
          <w:szCs w:val="21"/>
          <w:highlight w:val="none"/>
        </w:rPr>
        <w:t>电话：023-67790068</w:t>
      </w:r>
      <w:r>
        <w:rPr>
          <w:rFonts w:hint="eastAsia" w:ascii="宋体" w:hAnsi="宋体"/>
          <w:color w:val="auto"/>
          <w:szCs w:val="21"/>
          <w:highlight w:val="none"/>
          <w:lang w:eastAsia="zh-CN"/>
        </w:rPr>
        <w:tab/>
      </w:r>
      <w:bookmarkStart w:id="233" w:name="_GoBack"/>
      <w:bookmarkEnd w:id="233"/>
    </w:p>
    <w:p>
      <w:pPr>
        <w:spacing w:line="360" w:lineRule="auto"/>
        <w:ind w:firstLine="420" w:firstLineChars="200"/>
        <w:rPr>
          <w:rFonts w:ascii="宋体" w:hAnsi="宋体" w:cs="宋体"/>
          <w:snapToGrid w:val="0"/>
        </w:rPr>
      </w:pPr>
    </w:p>
    <w:p>
      <w:pPr>
        <w:tabs>
          <w:tab w:val="left" w:pos="5140"/>
          <w:tab w:val="left" w:pos="8520"/>
        </w:tabs>
        <w:autoSpaceDE w:val="0"/>
        <w:autoSpaceDN w:val="0"/>
        <w:adjustRightInd w:val="0"/>
        <w:spacing w:line="360" w:lineRule="auto"/>
        <w:jc w:val="left"/>
        <w:rPr>
          <w:rFonts w:ascii="宋体" w:hAnsi="宋体" w:cs="宋体"/>
          <w:szCs w:val="21"/>
        </w:rPr>
      </w:pPr>
    </w:p>
    <w:bookmarkEnd w:id="46"/>
    <w:bookmarkEnd w:id="47"/>
    <w:bookmarkEnd w:id="48"/>
    <w:bookmarkEnd w:id="49"/>
    <w:p>
      <w:pPr>
        <w:spacing w:line="360" w:lineRule="auto"/>
        <w:rPr>
          <w:rFonts w:ascii="宋体" w:hAnsi="宋体" w:cs="宋体"/>
          <w:szCs w:val="21"/>
        </w:rPr>
      </w:pPr>
    </w:p>
    <w:p>
      <w:pPr>
        <w:pStyle w:val="3"/>
        <w:numPr>
          <w:ilvl w:val="0"/>
          <w:numId w:val="0"/>
        </w:numPr>
        <w:rPr>
          <w:rFonts w:ascii="宋体" w:hAnsi="宋体" w:eastAsia="宋体" w:cs="宋体"/>
          <w:b/>
          <w:kern w:val="0"/>
          <w:sz w:val="40"/>
        </w:rPr>
      </w:pPr>
      <w:r>
        <w:rPr>
          <w:rFonts w:hint="eastAsia" w:ascii="宋体" w:hAnsi="宋体" w:eastAsia="宋体" w:cs="宋体"/>
          <w:b/>
          <w:kern w:val="0"/>
        </w:rPr>
        <w:br w:type="page"/>
      </w:r>
      <w:bookmarkStart w:id="59" w:name="_Toc4485"/>
      <w:bookmarkStart w:id="60" w:name="_Toc22828"/>
      <w:bookmarkStart w:id="61" w:name="_Toc24943"/>
      <w:r>
        <w:rPr>
          <w:rFonts w:hint="eastAsia" w:ascii="宋体" w:hAnsi="宋体" w:eastAsia="宋体" w:cs="宋体"/>
          <w:b/>
          <w:kern w:val="0"/>
          <w:sz w:val="40"/>
        </w:rPr>
        <w:t xml:space="preserve">第二章   </w:t>
      </w:r>
      <w:bookmarkStart w:id="62" w:name="_Toc248058224"/>
      <w:r>
        <w:rPr>
          <w:rFonts w:hint="eastAsia" w:ascii="宋体" w:hAnsi="宋体" w:eastAsia="宋体" w:cs="宋体"/>
          <w:b/>
          <w:kern w:val="0"/>
          <w:sz w:val="40"/>
        </w:rPr>
        <w:t>投标人须知</w:t>
      </w:r>
      <w:bookmarkEnd w:id="59"/>
      <w:bookmarkEnd w:id="60"/>
      <w:bookmarkEnd w:id="61"/>
      <w:bookmarkEnd w:id="62"/>
    </w:p>
    <w:p>
      <w:pPr>
        <w:spacing w:line="400" w:lineRule="exact"/>
        <w:jc w:val="left"/>
        <w:rPr>
          <w:rFonts w:ascii="宋体" w:hAnsi="宋体"/>
          <w:b/>
          <w:sz w:val="32"/>
          <w:szCs w:val="32"/>
        </w:rPr>
      </w:pPr>
      <w:bookmarkStart w:id="63" w:name="_Toc144974496"/>
      <w:bookmarkStart w:id="64" w:name="_Toc179632545"/>
      <w:bookmarkStart w:id="65" w:name="_Toc247085688"/>
      <w:bookmarkStart w:id="66" w:name="_Toc246996174"/>
      <w:bookmarkStart w:id="67" w:name="_Toc505952850"/>
      <w:bookmarkStart w:id="68" w:name="_Toc152045528"/>
      <w:bookmarkStart w:id="69" w:name="_Toc152042304"/>
      <w:bookmarkStart w:id="70" w:name="_Toc246996917"/>
      <w:r>
        <w:rPr>
          <w:rFonts w:hint="eastAsia" w:ascii="宋体" w:hAnsi="宋体"/>
          <w:b/>
          <w:sz w:val="32"/>
          <w:szCs w:val="32"/>
        </w:rPr>
        <w:t>投标人须知前附表</w:t>
      </w:r>
      <w:bookmarkEnd w:id="63"/>
      <w:bookmarkEnd w:id="64"/>
      <w:bookmarkEnd w:id="65"/>
      <w:bookmarkEnd w:id="66"/>
      <w:bookmarkEnd w:id="67"/>
      <w:bookmarkEnd w:id="68"/>
      <w:bookmarkEnd w:id="69"/>
      <w:bookmarkEnd w:id="70"/>
    </w:p>
    <w:p>
      <w:pPr>
        <w:ind w:firstLine="420" w:firstLineChars="200"/>
        <w:jc w:val="left"/>
        <w:rPr>
          <w:rFonts w:ascii="宋体" w:hAnsi="宋体"/>
          <w:bCs/>
        </w:rPr>
      </w:pPr>
      <w:r>
        <w:rPr>
          <w:rFonts w:hint="eastAsia" w:ascii="宋体" w:hAnsi="宋体"/>
          <w:bCs/>
        </w:rPr>
        <w:t>投标人须知前附表与正文不一致的地方以投标人须知前附表为准（附表附录为投标人须知前附表的组成部分）。</w:t>
      </w:r>
    </w:p>
    <w:tbl>
      <w:tblPr>
        <w:tblStyle w:val="17"/>
        <w:tblW w:w="98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2221"/>
        <w:gridCol w:w="6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13" w:type="dxa"/>
            <w:vAlign w:val="center"/>
          </w:tcPr>
          <w:p>
            <w:pPr>
              <w:spacing w:line="360" w:lineRule="exact"/>
              <w:jc w:val="center"/>
              <w:rPr>
                <w:rFonts w:ascii="宋体" w:hAnsi="宋体" w:cs="宋体"/>
                <w:b/>
                <w:kern w:val="0"/>
                <w:szCs w:val="21"/>
                <w:highlight w:val="none"/>
              </w:rPr>
            </w:pPr>
            <w:r>
              <w:rPr>
                <w:rFonts w:hint="eastAsia" w:ascii="宋体" w:hAnsi="宋体" w:cs="宋体"/>
                <w:b/>
                <w:kern w:val="0"/>
                <w:szCs w:val="21"/>
                <w:highlight w:val="none"/>
              </w:rPr>
              <w:t>条款号</w:t>
            </w:r>
          </w:p>
        </w:tc>
        <w:tc>
          <w:tcPr>
            <w:tcW w:w="2221" w:type="dxa"/>
            <w:vAlign w:val="center"/>
          </w:tcPr>
          <w:p>
            <w:pPr>
              <w:spacing w:line="360" w:lineRule="exact"/>
              <w:jc w:val="center"/>
              <w:rPr>
                <w:rFonts w:ascii="宋体" w:hAnsi="宋体" w:cs="宋体"/>
                <w:b/>
                <w:kern w:val="0"/>
                <w:szCs w:val="21"/>
                <w:highlight w:val="none"/>
              </w:rPr>
            </w:pPr>
            <w:r>
              <w:rPr>
                <w:rFonts w:hint="eastAsia" w:ascii="宋体" w:hAnsi="宋体" w:cs="宋体"/>
                <w:b/>
                <w:kern w:val="0"/>
                <w:szCs w:val="21"/>
                <w:highlight w:val="none"/>
              </w:rPr>
              <w:t>条款名称</w:t>
            </w:r>
          </w:p>
        </w:tc>
        <w:tc>
          <w:tcPr>
            <w:tcW w:w="6634" w:type="dxa"/>
            <w:vAlign w:val="center"/>
          </w:tcPr>
          <w:p>
            <w:pPr>
              <w:spacing w:line="360" w:lineRule="exact"/>
              <w:jc w:val="center"/>
              <w:rPr>
                <w:rFonts w:ascii="宋体" w:hAnsi="宋体" w:cs="宋体"/>
                <w:b/>
                <w:kern w:val="0"/>
                <w:szCs w:val="21"/>
                <w:highlight w:val="none"/>
              </w:rPr>
            </w:pPr>
            <w:r>
              <w:rPr>
                <w:rFonts w:hint="eastAsia" w:ascii="宋体" w:hAnsi="宋体" w:cs="宋体"/>
                <w:b/>
                <w:kern w:val="0"/>
                <w:szCs w:val="21"/>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1.1.2</w:t>
            </w:r>
          </w:p>
        </w:tc>
        <w:tc>
          <w:tcPr>
            <w:tcW w:w="2221"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招标人</w:t>
            </w:r>
          </w:p>
        </w:tc>
        <w:tc>
          <w:tcPr>
            <w:tcW w:w="6634" w:type="dxa"/>
            <w:vAlign w:val="center"/>
          </w:tcPr>
          <w:p>
            <w:pPr>
              <w:topLinePunct/>
              <w:spacing w:line="360" w:lineRule="exact"/>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招标人：</w:t>
            </w:r>
            <w:r>
              <w:rPr>
                <w:rFonts w:hint="eastAsia" w:ascii="宋体" w:hAnsi="宋体" w:cs="宋体"/>
                <w:color w:val="auto"/>
                <w:szCs w:val="21"/>
                <w:highlight w:val="none"/>
                <w:lang w:eastAsia="zh-CN"/>
              </w:rPr>
              <w:t>重庆公路养护工程（集团）有限公司</w:t>
            </w:r>
          </w:p>
          <w:p>
            <w:pPr>
              <w:topLinePunct/>
              <w:spacing w:line="360" w:lineRule="exact"/>
              <w:jc w:val="left"/>
              <w:rPr>
                <w:rFonts w:ascii="宋体" w:hAnsi="宋体" w:cs="宋体"/>
                <w:color w:val="auto"/>
                <w:szCs w:val="21"/>
                <w:highlight w:val="none"/>
              </w:rPr>
            </w:pPr>
            <w:r>
              <w:rPr>
                <w:rFonts w:hint="eastAsia" w:ascii="宋体" w:hAnsi="宋体" w:cs="宋体"/>
                <w:color w:val="auto"/>
                <w:szCs w:val="21"/>
                <w:highlight w:val="none"/>
              </w:rPr>
              <w:t>地  址：重庆市沙坪坝区晒光坪70号附1号</w:t>
            </w:r>
          </w:p>
          <w:p>
            <w:pPr>
              <w:topLinePunct/>
              <w:spacing w:line="360" w:lineRule="exact"/>
              <w:jc w:val="left"/>
              <w:rPr>
                <w:rFonts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lang w:val="en-US" w:eastAsia="zh-CN"/>
              </w:rPr>
              <w:t>谭老师</w:t>
            </w:r>
            <w:r>
              <w:rPr>
                <w:rFonts w:hint="eastAsia" w:ascii="宋体" w:hAnsi="宋体" w:cs="宋体"/>
                <w:color w:val="auto"/>
                <w:szCs w:val="21"/>
                <w:highlight w:val="none"/>
              </w:rPr>
              <w:t xml:space="preserve">    </w:t>
            </w:r>
          </w:p>
          <w:p>
            <w:pPr>
              <w:topLinePunct/>
              <w:spacing w:line="360" w:lineRule="exact"/>
              <w:jc w:val="left"/>
              <w:rPr>
                <w:rFonts w:ascii="宋体" w:hAnsi="宋体" w:cs="宋体"/>
                <w:color w:val="auto"/>
                <w:szCs w:val="21"/>
                <w:highlight w:val="none"/>
              </w:rPr>
            </w:pPr>
            <w:r>
              <w:rPr>
                <w:rFonts w:hint="eastAsia" w:ascii="宋体" w:hAnsi="宋体" w:cs="宋体"/>
                <w:color w:val="auto"/>
                <w:szCs w:val="21"/>
                <w:highlight w:val="none"/>
              </w:rPr>
              <w:t>电话：023-88563373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1.1.3</w:t>
            </w:r>
          </w:p>
        </w:tc>
        <w:tc>
          <w:tcPr>
            <w:tcW w:w="2221" w:type="dxa"/>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招标代理机构</w:t>
            </w:r>
          </w:p>
        </w:tc>
        <w:tc>
          <w:tcPr>
            <w:tcW w:w="6634" w:type="dxa"/>
            <w:vAlign w:val="center"/>
          </w:tcPr>
          <w:p>
            <w:pPr>
              <w:topLinePunct/>
              <w:spacing w:line="360" w:lineRule="exact"/>
              <w:jc w:val="left"/>
              <w:rPr>
                <w:rFonts w:hint="eastAsia" w:ascii="宋体" w:hAnsi="宋体" w:cs="宋体"/>
                <w:color w:val="auto"/>
                <w:szCs w:val="21"/>
                <w:highlight w:val="none"/>
              </w:rPr>
            </w:pPr>
            <w:r>
              <w:rPr>
                <w:rFonts w:hint="eastAsia" w:ascii="宋体" w:hAnsi="宋体" w:cs="宋体"/>
                <w:color w:val="auto"/>
                <w:szCs w:val="21"/>
                <w:highlight w:val="none"/>
              </w:rPr>
              <w:t>招标代理机构：重庆市投资咨询有限公司</w:t>
            </w:r>
          </w:p>
          <w:p>
            <w:pPr>
              <w:topLinePunct/>
              <w:spacing w:line="360" w:lineRule="exact"/>
              <w:jc w:val="lef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地址：重庆市江北区五简路2号重咨大厦A栋</w:t>
            </w:r>
            <w:r>
              <w:rPr>
                <w:rFonts w:hint="eastAsia" w:ascii="宋体" w:hAnsi="宋体" w:cs="宋体"/>
                <w:color w:val="auto"/>
                <w:szCs w:val="21"/>
                <w:highlight w:val="none"/>
                <w:lang w:val="en-US" w:eastAsia="zh-CN"/>
              </w:rPr>
              <w:t>706</w:t>
            </w:r>
          </w:p>
          <w:p>
            <w:pPr>
              <w:topLinePunct/>
              <w:spacing w:line="360" w:lineRule="exact"/>
              <w:jc w:val="left"/>
              <w:rPr>
                <w:rFonts w:ascii="宋体" w:hAnsi="宋体" w:cs="宋体"/>
                <w:color w:val="auto"/>
                <w:szCs w:val="21"/>
                <w:highlight w:val="none"/>
              </w:rPr>
            </w:pPr>
            <w:r>
              <w:rPr>
                <w:rFonts w:hint="eastAsia" w:ascii="宋体" w:hAnsi="宋体" w:cs="宋体"/>
                <w:color w:val="auto"/>
                <w:szCs w:val="21"/>
                <w:highlight w:val="none"/>
              </w:rPr>
              <w:t>联系人：张老师</w:t>
            </w:r>
          </w:p>
          <w:p>
            <w:pPr>
              <w:topLinePunct/>
              <w:spacing w:line="360" w:lineRule="exact"/>
              <w:jc w:val="left"/>
              <w:rPr>
                <w:rFonts w:ascii="宋体" w:hAnsi="宋体" w:cs="宋体"/>
                <w:color w:val="auto"/>
                <w:szCs w:val="21"/>
                <w:highlight w:val="none"/>
              </w:rPr>
            </w:pPr>
            <w:r>
              <w:rPr>
                <w:rFonts w:hint="eastAsia" w:ascii="宋体" w:hAnsi="宋体" w:cs="宋体"/>
                <w:color w:val="auto"/>
                <w:szCs w:val="21"/>
                <w:highlight w:val="none"/>
              </w:rPr>
              <w:t>电话：023-67790068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1.1.4</w:t>
            </w:r>
          </w:p>
        </w:tc>
        <w:tc>
          <w:tcPr>
            <w:tcW w:w="2221"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6634" w:type="dxa"/>
            <w:vAlign w:val="center"/>
          </w:tcPr>
          <w:p>
            <w:pPr>
              <w:spacing w:line="360" w:lineRule="exact"/>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eastAsia="zh-CN"/>
              </w:rPr>
              <w:t>重庆公路养护工程（集团）有限公司</w:t>
            </w:r>
            <w:r>
              <w:rPr>
                <w:rFonts w:hint="eastAsia" w:ascii="宋体" w:hAnsi="宋体" w:cs="宋体"/>
                <w:color w:val="auto"/>
                <w:szCs w:val="21"/>
                <w:highlight w:val="none"/>
              </w:rPr>
              <w:t>西山坪拌和站合作经营</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第二次</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1.1.5</w:t>
            </w:r>
          </w:p>
        </w:tc>
        <w:tc>
          <w:tcPr>
            <w:tcW w:w="2221"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项目地点</w:t>
            </w:r>
          </w:p>
        </w:tc>
        <w:tc>
          <w:tcPr>
            <w:tcW w:w="6634" w:type="dxa"/>
            <w:vAlign w:val="center"/>
          </w:tcPr>
          <w:p>
            <w:pPr>
              <w:widowControl/>
              <w:spacing w:line="360" w:lineRule="exact"/>
              <w:jc w:val="left"/>
              <w:rPr>
                <w:rFonts w:ascii="宋体" w:hAnsi="宋体" w:cs="宋体"/>
                <w:color w:val="auto"/>
                <w:szCs w:val="21"/>
                <w:highlight w:val="none"/>
              </w:rPr>
            </w:pPr>
            <w:r>
              <w:rPr>
                <w:rFonts w:hint="eastAsia" w:ascii="宋体" w:hAnsi="宋体" w:cs="宋体"/>
                <w:snapToGrid w:val="0"/>
                <w:color w:val="auto"/>
                <w:kern w:val="0"/>
                <w:szCs w:val="21"/>
                <w:highlight w:val="none"/>
              </w:rPr>
              <w:t>重庆市北碚区东阳镇胜利村机房社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1.2.1</w:t>
            </w:r>
          </w:p>
        </w:tc>
        <w:tc>
          <w:tcPr>
            <w:tcW w:w="2221"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资金来源</w:t>
            </w:r>
          </w:p>
        </w:tc>
        <w:tc>
          <w:tcPr>
            <w:tcW w:w="6634" w:type="dxa"/>
            <w:vAlign w:val="center"/>
          </w:tcPr>
          <w:p>
            <w:pPr>
              <w:spacing w:line="360" w:lineRule="exact"/>
              <w:rPr>
                <w:rFonts w:ascii="宋体" w:hAnsi="宋体" w:cs="宋体"/>
                <w:color w:val="auto"/>
                <w:szCs w:val="21"/>
                <w:highlight w:val="none"/>
              </w:rPr>
            </w:pPr>
            <w:r>
              <w:rPr>
                <w:rFonts w:hint="eastAsia" w:ascii="宋体" w:hAnsi="宋体" w:cs="宋体"/>
                <w:color w:val="auto"/>
                <w:szCs w:val="21"/>
                <w:highlight w:val="none"/>
              </w:rPr>
              <w:t>业主自筹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1.2.2</w:t>
            </w:r>
          </w:p>
        </w:tc>
        <w:tc>
          <w:tcPr>
            <w:tcW w:w="2221" w:type="dxa"/>
            <w:vAlign w:val="center"/>
          </w:tcPr>
          <w:p>
            <w:pPr>
              <w:spacing w:line="36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出资比例</w:t>
            </w:r>
          </w:p>
        </w:tc>
        <w:tc>
          <w:tcPr>
            <w:tcW w:w="6634" w:type="dxa"/>
            <w:vAlign w:val="center"/>
          </w:tcPr>
          <w:p>
            <w:pPr>
              <w:autoSpaceDE w:val="0"/>
              <w:autoSpaceDN w:val="0"/>
              <w:spacing w:line="360" w:lineRule="exact"/>
              <w:jc w:val="left"/>
              <w:rPr>
                <w:rFonts w:ascii="宋体" w:hAnsi="宋体" w:cs="宋体"/>
                <w:color w:val="auto"/>
                <w:szCs w:val="21"/>
                <w:highlight w:val="none"/>
              </w:rPr>
            </w:pPr>
            <w:r>
              <w:rPr>
                <w:rFonts w:hint="eastAsia" w:ascii="宋体" w:hAnsi="宋体" w:cs="宋体"/>
                <w:snapToGrid w:val="0"/>
                <w:color w:val="auto"/>
                <w:kern w:val="0"/>
                <w:szCs w:val="21"/>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1.2.3</w:t>
            </w:r>
          </w:p>
        </w:tc>
        <w:tc>
          <w:tcPr>
            <w:tcW w:w="2221"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资金落实情况</w:t>
            </w:r>
          </w:p>
        </w:tc>
        <w:tc>
          <w:tcPr>
            <w:tcW w:w="6634" w:type="dxa"/>
            <w:vAlign w:val="center"/>
          </w:tcPr>
          <w:p>
            <w:pPr>
              <w:autoSpaceDE w:val="0"/>
              <w:autoSpaceDN w:val="0"/>
              <w:spacing w:line="360" w:lineRule="exact"/>
              <w:jc w:val="left"/>
              <w:rPr>
                <w:rFonts w:ascii="宋体" w:hAnsi="宋体" w:cs="宋体"/>
                <w:szCs w:val="21"/>
                <w:highlight w:val="none"/>
              </w:rPr>
            </w:pPr>
            <w:r>
              <w:rPr>
                <w:rFonts w:hint="eastAsia" w:ascii="宋体" w:hAnsi="宋体" w:cs="宋体"/>
                <w:szCs w:val="21"/>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1.3.1</w:t>
            </w:r>
          </w:p>
        </w:tc>
        <w:tc>
          <w:tcPr>
            <w:tcW w:w="2221"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招标范围</w:t>
            </w:r>
          </w:p>
        </w:tc>
        <w:tc>
          <w:tcPr>
            <w:tcW w:w="6634"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1.3.2</w:t>
            </w:r>
          </w:p>
        </w:tc>
        <w:tc>
          <w:tcPr>
            <w:tcW w:w="2221" w:type="dxa"/>
            <w:vAlign w:val="center"/>
          </w:tcPr>
          <w:p>
            <w:pPr>
              <w:spacing w:line="360" w:lineRule="exact"/>
              <w:jc w:val="center"/>
              <w:rPr>
                <w:rFonts w:ascii="宋体" w:hAnsi="宋体" w:cs="宋体"/>
                <w:szCs w:val="21"/>
                <w:highlight w:val="none"/>
              </w:rPr>
            </w:pPr>
            <w:r>
              <w:rPr>
                <w:rFonts w:hint="eastAsia" w:ascii="宋体" w:hAnsi="宋体" w:cs="宋体"/>
                <w:kern w:val="0"/>
                <w:szCs w:val="21"/>
                <w:highlight w:val="none"/>
              </w:rPr>
              <w:t>工期要求</w:t>
            </w:r>
          </w:p>
        </w:tc>
        <w:tc>
          <w:tcPr>
            <w:tcW w:w="6634" w:type="dxa"/>
            <w:vAlign w:val="center"/>
          </w:tcPr>
          <w:p>
            <w:pPr>
              <w:tabs>
                <w:tab w:val="left" w:pos="3000"/>
                <w:tab w:val="left" w:pos="3280"/>
                <w:tab w:val="left" w:pos="6120"/>
                <w:tab w:val="left" w:pos="7540"/>
                <w:tab w:val="left" w:pos="8320"/>
              </w:tabs>
              <w:autoSpaceDE w:val="0"/>
              <w:autoSpaceDN w:val="0"/>
              <w:spacing w:line="360" w:lineRule="exact"/>
              <w:jc w:val="left"/>
              <w:rPr>
                <w:rFonts w:ascii="宋体" w:hAnsi="宋体" w:cs="宋体"/>
                <w:kern w:val="10"/>
                <w:szCs w:val="21"/>
                <w:highlight w:val="none"/>
              </w:rPr>
            </w:pPr>
            <w:r>
              <w:rPr>
                <w:rFonts w:hint="eastAsia" w:ascii="宋体" w:hAnsi="宋体" w:cs="宋体"/>
                <w:szCs w:val="21"/>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1.3.3</w:t>
            </w:r>
          </w:p>
        </w:tc>
        <w:tc>
          <w:tcPr>
            <w:tcW w:w="2221" w:type="dxa"/>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质量要求</w:t>
            </w:r>
          </w:p>
        </w:tc>
        <w:tc>
          <w:tcPr>
            <w:tcW w:w="6634" w:type="dxa"/>
          </w:tcPr>
          <w:p>
            <w:pPr>
              <w:spacing w:line="360" w:lineRule="exact"/>
              <w:jc w:val="left"/>
              <w:rPr>
                <w:rFonts w:ascii="宋体" w:hAnsi="宋体" w:cs="宋体"/>
                <w:kern w:val="0"/>
                <w:szCs w:val="21"/>
                <w:highlight w:val="none"/>
              </w:rPr>
            </w:pPr>
            <w:r>
              <w:rPr>
                <w:rFonts w:hint="eastAsia" w:ascii="宋体" w:hAnsi="宋体" w:cs="宋体"/>
                <w:kern w:val="0"/>
                <w:szCs w:val="21"/>
                <w:highlight w:val="none"/>
              </w:rPr>
              <w:t>满足国家和行业现行有关施工质量验收规范要求，并达到合格要求。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1.3.4</w:t>
            </w:r>
          </w:p>
        </w:tc>
        <w:tc>
          <w:tcPr>
            <w:tcW w:w="2221" w:type="dxa"/>
            <w:vAlign w:val="center"/>
          </w:tcPr>
          <w:p>
            <w:pPr>
              <w:spacing w:line="360" w:lineRule="exact"/>
              <w:jc w:val="center"/>
              <w:rPr>
                <w:rFonts w:ascii="宋体" w:hAnsi="宋体" w:cs="宋体"/>
                <w:kern w:val="0"/>
                <w:szCs w:val="21"/>
                <w:highlight w:val="none"/>
              </w:rPr>
            </w:pPr>
            <w:r>
              <w:rPr>
                <w:rFonts w:hint="eastAsia" w:ascii="宋体" w:hAnsi="宋体" w:cs="宋体"/>
                <w:szCs w:val="21"/>
                <w:highlight w:val="none"/>
              </w:rPr>
              <w:t>安全目标</w:t>
            </w:r>
          </w:p>
        </w:tc>
        <w:tc>
          <w:tcPr>
            <w:tcW w:w="6634" w:type="dxa"/>
            <w:vAlign w:val="center"/>
          </w:tcPr>
          <w:p>
            <w:pPr>
              <w:spacing w:line="360" w:lineRule="exact"/>
              <w:rPr>
                <w:rFonts w:ascii="宋体" w:hAnsi="宋体" w:cs="宋体"/>
                <w:kern w:val="0"/>
                <w:szCs w:val="21"/>
                <w:highlight w:val="none"/>
              </w:rPr>
            </w:pPr>
            <w:r>
              <w:rPr>
                <w:rFonts w:hint="eastAsia" w:ascii="宋体" w:hAnsi="宋体" w:cs="宋体"/>
                <w:szCs w:val="21"/>
                <w:highlight w:val="none"/>
              </w:rPr>
              <w:t>落实“安全第一、预防为主、综合治理”的方针，无安全责任事故的发生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1.4.1</w:t>
            </w:r>
          </w:p>
        </w:tc>
        <w:tc>
          <w:tcPr>
            <w:tcW w:w="2221"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投标人资质条件</w:t>
            </w:r>
          </w:p>
        </w:tc>
        <w:tc>
          <w:tcPr>
            <w:tcW w:w="6634" w:type="dxa"/>
            <w:vAlign w:val="center"/>
          </w:tcPr>
          <w:p>
            <w:pPr>
              <w:spacing w:line="360" w:lineRule="auto"/>
              <w:ind w:firstLine="420" w:firstLineChars="200"/>
              <w:rPr>
                <w:rFonts w:ascii="宋体" w:hAnsi="宋体" w:cs="宋体"/>
                <w:color w:val="000000"/>
                <w:szCs w:val="20"/>
                <w:highlight w:val="none"/>
              </w:rPr>
            </w:pPr>
            <w:r>
              <w:rPr>
                <w:rFonts w:hint="eastAsia" w:ascii="宋体" w:hAnsi="宋体" w:cs="宋体"/>
                <w:color w:val="000000"/>
                <w:szCs w:val="20"/>
                <w:highlight w:val="none"/>
              </w:rPr>
              <w:t>本次招标实行资格后审，投标人应具备以下资格条件：</w:t>
            </w:r>
          </w:p>
          <w:p>
            <w:pPr>
              <w:spacing w:line="360" w:lineRule="auto"/>
              <w:ind w:firstLine="420" w:firstLineChars="200"/>
              <w:rPr>
                <w:rFonts w:ascii="宋体" w:hAnsi="宋体" w:cs="宋体"/>
                <w:color w:val="000000"/>
                <w:szCs w:val="20"/>
                <w:highlight w:val="none"/>
              </w:rPr>
            </w:pPr>
            <w:r>
              <w:rPr>
                <w:rFonts w:hint="eastAsia" w:ascii="宋体" w:hAnsi="宋体" w:cs="宋体"/>
                <w:color w:val="000000"/>
                <w:szCs w:val="20"/>
                <w:highlight w:val="none"/>
              </w:rPr>
              <w:t>1、资</w:t>
            </w:r>
            <w:r>
              <w:rPr>
                <w:rFonts w:hint="eastAsia" w:ascii="宋体" w:hAnsi="宋体" w:cs="宋体"/>
                <w:color w:val="000000"/>
                <w:szCs w:val="20"/>
                <w:highlight w:val="none"/>
                <w:lang w:eastAsia="zh-CN"/>
              </w:rPr>
              <w:t>格</w:t>
            </w:r>
            <w:r>
              <w:rPr>
                <w:rFonts w:hint="eastAsia" w:ascii="宋体" w:hAnsi="宋体" w:cs="宋体"/>
                <w:color w:val="000000"/>
                <w:szCs w:val="20"/>
                <w:highlight w:val="none"/>
              </w:rPr>
              <w:t>要求：</w:t>
            </w:r>
          </w:p>
          <w:p>
            <w:pPr>
              <w:spacing w:line="360" w:lineRule="auto"/>
              <w:ind w:firstLine="420" w:firstLineChars="200"/>
              <w:rPr>
                <w:rFonts w:ascii="宋体" w:hAnsi="宋体" w:cs="宋体"/>
                <w:snapToGrid w:val="0"/>
                <w:kern w:val="0"/>
                <w:szCs w:val="21"/>
                <w:highlight w:val="none"/>
              </w:rPr>
            </w:pPr>
            <w:r>
              <w:rPr>
                <w:rFonts w:hint="eastAsia" w:ascii="宋体" w:hAnsi="宋体" w:cs="宋体"/>
                <w:snapToGrid w:val="0"/>
                <w:kern w:val="0"/>
                <w:szCs w:val="21"/>
                <w:highlight w:val="none"/>
              </w:rPr>
              <w:t>具有独立法人资格，具有有效的营业执照。</w:t>
            </w:r>
          </w:p>
          <w:p>
            <w:pPr>
              <w:spacing w:line="360" w:lineRule="auto"/>
              <w:ind w:firstLine="420" w:firstLineChars="200"/>
              <w:rPr>
                <w:color w:val="000000"/>
                <w:szCs w:val="22"/>
                <w:highlight w:val="none"/>
              </w:rPr>
            </w:pPr>
            <w:r>
              <w:rPr>
                <w:rFonts w:hint="eastAsia" w:ascii="宋体" w:hAnsi="宋体" w:cs="宋体"/>
                <w:color w:val="000000"/>
                <w:szCs w:val="20"/>
                <w:highlight w:val="none"/>
              </w:rPr>
              <w:t>提供：投标人须在投标文件资格审查部分提供有效的营业执照，提供证书复印件并加盖投标人公章。</w:t>
            </w:r>
          </w:p>
          <w:p>
            <w:pPr>
              <w:spacing w:line="360" w:lineRule="auto"/>
              <w:ind w:firstLine="420" w:firstLineChars="200"/>
              <w:rPr>
                <w:rFonts w:ascii="宋体" w:hAnsi="宋体" w:cs="宋体"/>
                <w:color w:val="000000"/>
                <w:szCs w:val="20"/>
                <w:highlight w:val="none"/>
              </w:rPr>
            </w:pPr>
            <w:r>
              <w:rPr>
                <w:rFonts w:hint="eastAsia" w:ascii="宋体" w:hAnsi="宋体" w:cs="宋体"/>
                <w:color w:val="000000"/>
                <w:szCs w:val="20"/>
                <w:highlight w:val="none"/>
              </w:rPr>
              <w:t>2、业绩要求：</w:t>
            </w:r>
          </w:p>
          <w:p>
            <w:pPr>
              <w:spacing w:line="360" w:lineRule="auto"/>
              <w:ind w:firstLine="420" w:firstLineChars="200"/>
              <w:rPr>
                <w:rFonts w:ascii="宋体" w:hAnsi="宋体" w:cs="宋体"/>
                <w:bCs/>
                <w:highlight w:val="none"/>
              </w:rPr>
            </w:pPr>
            <w:r>
              <w:rPr>
                <w:rFonts w:hint="eastAsia" w:ascii="宋体" w:hAnsi="宋体" w:cs="宋体"/>
                <w:bCs/>
                <w:highlight w:val="none"/>
              </w:rPr>
              <w:t>投标人202</w:t>
            </w:r>
            <w:r>
              <w:rPr>
                <w:rFonts w:hint="eastAsia" w:ascii="宋体" w:hAnsi="宋体" w:cs="宋体"/>
                <w:bCs/>
                <w:highlight w:val="none"/>
                <w:lang w:val="en-US" w:eastAsia="zh-CN"/>
              </w:rPr>
              <w:t>1</w:t>
            </w:r>
            <w:r>
              <w:rPr>
                <w:rFonts w:hint="eastAsia" w:ascii="宋体" w:hAnsi="宋体" w:cs="宋体"/>
                <w:bCs/>
                <w:highlight w:val="none"/>
              </w:rPr>
              <w:t>年1月1日至202</w:t>
            </w:r>
            <w:r>
              <w:rPr>
                <w:rFonts w:hint="eastAsia" w:ascii="宋体" w:hAnsi="宋体" w:cs="宋体"/>
                <w:bCs/>
                <w:highlight w:val="none"/>
                <w:lang w:val="en-US" w:eastAsia="zh-CN"/>
              </w:rPr>
              <w:t>3</w:t>
            </w:r>
            <w:r>
              <w:rPr>
                <w:rFonts w:hint="eastAsia" w:ascii="宋体" w:hAnsi="宋体" w:cs="宋体"/>
                <w:bCs/>
                <w:highlight w:val="none"/>
              </w:rPr>
              <w:t>年12月31日</w:t>
            </w:r>
            <w:r>
              <w:rPr>
                <w:rFonts w:hint="eastAsia" w:ascii="宋体" w:hAnsi="宋体" w:cs="宋体"/>
                <w:bCs/>
                <w:highlight w:val="none"/>
                <w:u w:val="single"/>
              </w:rPr>
              <w:t>（以合同签订时间为准）</w:t>
            </w:r>
            <w:r>
              <w:rPr>
                <w:rFonts w:hint="eastAsia" w:ascii="宋体" w:hAnsi="宋体" w:cs="宋体"/>
                <w:bCs/>
                <w:highlight w:val="none"/>
              </w:rPr>
              <w:t>，累积加工或销售沥青混合料数量不低于</w:t>
            </w:r>
            <w:r>
              <w:rPr>
                <w:rFonts w:hint="eastAsia" w:ascii="宋体" w:hAnsi="宋体" w:cs="宋体"/>
                <w:bCs/>
                <w:highlight w:val="none"/>
                <w:lang w:val="en-US" w:eastAsia="zh-CN"/>
              </w:rPr>
              <w:t>10</w:t>
            </w:r>
            <w:r>
              <w:rPr>
                <w:rFonts w:hint="eastAsia" w:ascii="宋体" w:hAnsi="宋体" w:cs="宋体"/>
                <w:bCs/>
                <w:highlight w:val="none"/>
              </w:rPr>
              <w:t>万吨。</w:t>
            </w:r>
          </w:p>
          <w:p>
            <w:pPr>
              <w:autoSpaceDE w:val="0"/>
              <w:autoSpaceDN w:val="0"/>
              <w:adjustRightInd w:val="0"/>
              <w:snapToGrid w:val="0"/>
              <w:spacing w:line="360" w:lineRule="auto"/>
              <w:ind w:firstLine="420" w:firstLineChars="200"/>
              <w:rPr>
                <w:rFonts w:ascii="宋体" w:hAnsi="宋体" w:cs="宋体"/>
                <w:color w:val="000000"/>
                <w:szCs w:val="20"/>
                <w:highlight w:val="none"/>
              </w:rPr>
            </w:pPr>
            <w:r>
              <w:rPr>
                <w:rFonts w:hint="eastAsia" w:ascii="宋体" w:hAnsi="宋体" w:cs="宋体"/>
                <w:color w:val="000000"/>
                <w:szCs w:val="20"/>
                <w:highlight w:val="none"/>
              </w:rPr>
              <w:t>提供：①业绩证明材料要求：合同协议书</w:t>
            </w:r>
            <w:r>
              <w:rPr>
                <w:rFonts w:hint="eastAsia" w:ascii="宋体" w:hAnsi="宋体" w:cs="宋体"/>
                <w:bCs/>
                <w:highlight w:val="none"/>
              </w:rPr>
              <w:t>复印件</w:t>
            </w:r>
            <w:r>
              <w:rPr>
                <w:rFonts w:hint="eastAsia" w:ascii="宋体" w:hAnsi="宋体" w:cs="宋体"/>
                <w:color w:val="000000"/>
                <w:szCs w:val="20"/>
                <w:highlight w:val="none"/>
              </w:rPr>
              <w:t>及相对应的销售发票复印件，无须再提供其他业绩证明材料；若合同协议书、发票复印件不能完全反映业绩信息的，则补充提供业主证明。</w:t>
            </w:r>
          </w:p>
          <w:p>
            <w:pPr>
              <w:autoSpaceDE w:val="0"/>
              <w:autoSpaceDN w:val="0"/>
              <w:adjustRightInd w:val="0"/>
              <w:snapToGrid w:val="0"/>
              <w:spacing w:line="360" w:lineRule="auto"/>
              <w:ind w:firstLine="420" w:firstLineChars="200"/>
              <w:rPr>
                <w:rFonts w:ascii="宋体" w:hAnsi="宋体" w:cs="宋体"/>
                <w:color w:val="000000"/>
                <w:szCs w:val="20"/>
                <w:highlight w:val="none"/>
              </w:rPr>
            </w:pPr>
            <w:r>
              <w:rPr>
                <w:rFonts w:hint="eastAsia" w:ascii="宋体" w:hAnsi="宋体" w:cs="宋体"/>
                <w:color w:val="000000"/>
                <w:szCs w:val="20"/>
                <w:highlight w:val="none"/>
              </w:rPr>
              <w:t>3、信誉要求：</w:t>
            </w:r>
          </w:p>
          <w:p>
            <w:pPr>
              <w:spacing w:line="360" w:lineRule="auto"/>
              <w:ind w:firstLine="420" w:firstLineChars="200"/>
              <w:rPr>
                <w:rFonts w:ascii="宋体" w:hAnsi="宋体" w:cs="宋体"/>
                <w:color w:val="000000"/>
                <w:szCs w:val="20"/>
                <w:highlight w:val="none"/>
              </w:rPr>
            </w:pPr>
            <w:r>
              <w:rPr>
                <w:rFonts w:hint="eastAsia" w:ascii="宋体" w:hAnsi="宋体" w:cs="宋体"/>
                <w:color w:val="000000"/>
                <w:szCs w:val="20"/>
                <w:highlight w:val="none"/>
              </w:rPr>
              <w:t>投标人自行承诺不得存在下列情形之一：</w:t>
            </w:r>
          </w:p>
          <w:p>
            <w:pPr>
              <w:tabs>
                <w:tab w:val="left" w:pos="480"/>
              </w:tabs>
              <w:adjustRightInd w:val="0"/>
              <w:spacing w:line="360" w:lineRule="exact"/>
              <w:ind w:firstLine="420" w:firstLineChars="200"/>
              <w:rPr>
                <w:highlight w:val="none"/>
              </w:rPr>
            </w:pPr>
            <w:r>
              <w:rPr>
                <w:rFonts w:hint="eastAsia"/>
                <w:highlight w:val="none"/>
              </w:rPr>
              <w:t>（1）被人民法院列入失信被执行人名单且在被执行期内；</w:t>
            </w:r>
          </w:p>
          <w:p>
            <w:pPr>
              <w:tabs>
                <w:tab w:val="left" w:pos="480"/>
              </w:tabs>
              <w:adjustRightInd w:val="0"/>
              <w:spacing w:line="360" w:lineRule="exact"/>
              <w:ind w:firstLine="420" w:firstLineChars="200"/>
              <w:rPr>
                <w:highlight w:val="none"/>
              </w:rPr>
            </w:pPr>
            <w:r>
              <w:rPr>
                <w:rFonts w:hint="eastAsia"/>
                <w:highlight w:val="none"/>
              </w:rPr>
              <w:t>（2）被责令停业，暂扣或吊销执照，或吊销资质证书；</w:t>
            </w:r>
          </w:p>
          <w:p>
            <w:pPr>
              <w:tabs>
                <w:tab w:val="left" w:pos="480"/>
              </w:tabs>
              <w:adjustRightInd w:val="0"/>
              <w:spacing w:line="360" w:lineRule="exact"/>
              <w:ind w:firstLine="420" w:firstLineChars="200"/>
              <w:rPr>
                <w:highlight w:val="none"/>
              </w:rPr>
            </w:pPr>
            <w:r>
              <w:rPr>
                <w:rFonts w:hint="eastAsia"/>
                <w:highlight w:val="none"/>
              </w:rPr>
              <w:t>（3）进入清算程序，或被宣告破产，或其他丧失履约能力的情形；</w:t>
            </w:r>
          </w:p>
          <w:p>
            <w:pPr>
              <w:tabs>
                <w:tab w:val="left" w:pos="480"/>
              </w:tabs>
              <w:adjustRightInd w:val="0"/>
              <w:spacing w:line="360" w:lineRule="exact"/>
              <w:ind w:firstLine="420" w:firstLineChars="200"/>
              <w:rPr>
                <w:highlight w:val="none"/>
              </w:rPr>
            </w:pPr>
            <w:r>
              <w:rPr>
                <w:rFonts w:hint="eastAsia"/>
                <w:highlight w:val="none"/>
              </w:rPr>
              <w:t>（4）被国家、重庆市（含市或任意区县）有关行政部门处以暂停投标资格行政处罚，且在处罚期限内；</w:t>
            </w:r>
          </w:p>
          <w:p>
            <w:pPr>
              <w:tabs>
                <w:tab w:val="left" w:pos="480"/>
              </w:tabs>
              <w:adjustRightInd w:val="0"/>
              <w:spacing w:line="360" w:lineRule="exact"/>
              <w:ind w:firstLine="420" w:firstLineChars="200"/>
              <w:rPr>
                <w:highlight w:val="none"/>
              </w:rPr>
            </w:pPr>
            <w:r>
              <w:rPr>
                <w:rFonts w:hint="eastAsia"/>
                <w:highlight w:val="none"/>
              </w:rPr>
              <w:t>（5）法律法规或投标人须知前附表规定的其他情形。</w:t>
            </w:r>
          </w:p>
          <w:p>
            <w:pPr>
              <w:spacing w:line="400" w:lineRule="exact"/>
              <w:ind w:firstLine="420" w:firstLineChars="200"/>
              <w:rPr>
                <w:highlight w:val="none"/>
              </w:rPr>
            </w:pPr>
            <w:r>
              <w:rPr>
                <w:rFonts w:hint="eastAsia"/>
                <w:highlight w:val="none"/>
              </w:rPr>
              <w:t>注</w:t>
            </w:r>
            <w:r>
              <w:rPr>
                <w:highlight w:val="none"/>
              </w:rPr>
              <w:t>：</w:t>
            </w:r>
            <w:r>
              <w:rPr>
                <w:rFonts w:hint="eastAsia"/>
                <w:highlight w:val="none"/>
              </w:rPr>
              <w:t>投标人须在投标文件资格审查部分提供承诺（格式见第五章投标文件格式）。</w:t>
            </w:r>
          </w:p>
          <w:p>
            <w:pPr>
              <w:autoSpaceDE w:val="0"/>
              <w:autoSpaceDN w:val="0"/>
              <w:adjustRightInd w:val="0"/>
              <w:snapToGrid w:val="0"/>
              <w:spacing w:line="360" w:lineRule="auto"/>
              <w:ind w:firstLine="420" w:firstLineChars="200"/>
              <w:rPr>
                <w:rFonts w:ascii="宋体" w:hAnsi="宋体" w:cs="宋体"/>
                <w:color w:val="000000"/>
                <w:szCs w:val="20"/>
                <w:highlight w:val="none"/>
              </w:rPr>
            </w:pPr>
            <w:r>
              <w:rPr>
                <w:rFonts w:ascii="宋体" w:hAnsi="宋体" w:cs="宋体"/>
                <w:b w:val="0"/>
                <w:color w:val="000000"/>
                <w:szCs w:val="20"/>
                <w:highlight w:val="none"/>
              </w:rPr>
              <w:t>4.其他要求</w:t>
            </w:r>
          </w:p>
          <w:p>
            <w:pPr>
              <w:autoSpaceDE w:val="0"/>
              <w:autoSpaceDN w:val="0"/>
              <w:adjustRightInd w:val="0"/>
              <w:snapToGrid w:val="0"/>
              <w:spacing w:line="360" w:lineRule="auto"/>
              <w:ind w:firstLine="420" w:firstLineChars="200"/>
              <w:rPr>
                <w:rFonts w:ascii="宋体" w:hAnsi="宋体" w:cs="宋体"/>
                <w:color w:val="000000"/>
                <w:szCs w:val="20"/>
                <w:highlight w:val="none"/>
              </w:rPr>
            </w:pPr>
            <w:r>
              <w:rPr>
                <w:rFonts w:hint="eastAsia" w:ascii="宋体" w:hAnsi="宋体" w:cs="宋体"/>
                <w:color w:val="000000"/>
                <w:szCs w:val="20"/>
                <w:highlight w:val="none"/>
              </w:rPr>
              <w:t>（1）委托代理人</w:t>
            </w:r>
          </w:p>
          <w:p>
            <w:pPr>
              <w:autoSpaceDE w:val="0"/>
              <w:autoSpaceDN w:val="0"/>
              <w:adjustRightInd w:val="0"/>
              <w:snapToGrid w:val="0"/>
              <w:spacing w:line="360" w:lineRule="auto"/>
              <w:ind w:firstLine="420" w:firstLineChars="200"/>
              <w:rPr>
                <w:rFonts w:ascii="宋体" w:hAnsi="宋体" w:cs="宋体"/>
                <w:color w:val="000000"/>
                <w:szCs w:val="20"/>
                <w:highlight w:val="none"/>
              </w:rPr>
            </w:pPr>
            <w:r>
              <w:rPr>
                <w:rFonts w:hint="eastAsia" w:ascii="宋体" w:hAnsi="宋体" w:cs="宋体"/>
                <w:color w:val="000000"/>
                <w:szCs w:val="20"/>
                <w:highlight w:val="none"/>
              </w:rPr>
              <w:t>根据授权委托书的授权范围，委托代理人可以以投标人的名义签署、澄清、说明、补正、递交、撤回、修改本项目投标文件、签订合同和处理有关事宜，其法律后果由投标人承担。</w:t>
            </w:r>
          </w:p>
          <w:p>
            <w:pPr>
              <w:autoSpaceDE w:val="0"/>
              <w:autoSpaceDN w:val="0"/>
              <w:adjustRightInd w:val="0"/>
              <w:snapToGrid w:val="0"/>
              <w:spacing w:line="360" w:lineRule="auto"/>
              <w:ind w:firstLine="420" w:firstLineChars="200"/>
              <w:rPr>
                <w:rFonts w:ascii="宋体" w:hAnsi="宋体" w:cs="宋体"/>
                <w:color w:val="000000"/>
                <w:szCs w:val="20"/>
                <w:highlight w:val="none"/>
              </w:rPr>
            </w:pPr>
            <w:r>
              <w:rPr>
                <w:rFonts w:hint="eastAsia" w:ascii="宋体" w:hAnsi="宋体" w:cs="宋体"/>
                <w:color w:val="000000"/>
                <w:szCs w:val="20"/>
                <w:highlight w:val="none"/>
              </w:rPr>
              <w:t>投标人须在投标文件资格审查部分提供该委托代理人的授权委托书、投标人为其缴纳的养老保险证明材料。</w:t>
            </w:r>
          </w:p>
          <w:p>
            <w:pPr>
              <w:autoSpaceDE w:val="0"/>
              <w:autoSpaceDN w:val="0"/>
              <w:adjustRightInd w:val="0"/>
              <w:snapToGrid w:val="0"/>
              <w:spacing w:line="360" w:lineRule="auto"/>
              <w:ind w:firstLine="420" w:firstLineChars="200"/>
              <w:rPr>
                <w:rFonts w:ascii="宋体" w:hAnsi="宋体" w:cs="宋体"/>
                <w:color w:val="000000"/>
                <w:szCs w:val="20"/>
                <w:highlight w:val="none"/>
              </w:rPr>
            </w:pPr>
            <w:r>
              <w:rPr>
                <w:rFonts w:hint="eastAsia" w:ascii="宋体" w:hAnsi="宋体" w:cs="宋体"/>
                <w:color w:val="000000"/>
                <w:szCs w:val="20"/>
                <w:highlight w:val="none"/>
              </w:rPr>
              <w:t>（2）投标文件中的所有内容真实有效，不存在弄虚作假情形。</w:t>
            </w:r>
          </w:p>
          <w:p>
            <w:pPr>
              <w:autoSpaceDE w:val="0"/>
              <w:autoSpaceDN w:val="0"/>
              <w:adjustRightInd w:val="0"/>
              <w:snapToGrid w:val="0"/>
              <w:spacing w:line="360" w:lineRule="auto"/>
              <w:ind w:firstLine="420" w:firstLineChars="200"/>
              <w:rPr>
                <w:rFonts w:ascii="宋体" w:hAnsi="宋体" w:cs="宋体"/>
                <w:color w:val="000000"/>
                <w:szCs w:val="20"/>
                <w:highlight w:val="none"/>
              </w:rPr>
            </w:pPr>
            <w:r>
              <w:rPr>
                <w:rFonts w:hint="eastAsia" w:ascii="宋体" w:hAnsi="宋体" w:cs="宋体"/>
                <w:color w:val="000000"/>
                <w:szCs w:val="20"/>
                <w:highlight w:val="none"/>
              </w:rPr>
              <w:t>投标人须在投标文件资格审查部分提供承诺（格式见第五章投标文件格式）。</w:t>
            </w:r>
          </w:p>
          <w:p>
            <w:pPr>
              <w:autoSpaceDE w:val="0"/>
              <w:autoSpaceDN w:val="0"/>
              <w:adjustRightInd w:val="0"/>
              <w:snapToGrid w:val="0"/>
              <w:spacing w:line="360" w:lineRule="auto"/>
              <w:ind w:firstLine="420" w:firstLineChars="200"/>
              <w:rPr>
                <w:rFonts w:ascii="宋体" w:hAnsi="宋体" w:cs="宋体"/>
                <w:color w:val="000000"/>
                <w:szCs w:val="20"/>
                <w:highlight w:val="none"/>
              </w:rPr>
            </w:pPr>
            <w:r>
              <w:rPr>
                <w:rFonts w:hint="eastAsia" w:ascii="宋体" w:hAnsi="宋体" w:cs="宋体"/>
                <w:color w:val="000000"/>
                <w:szCs w:val="20"/>
                <w:highlight w:val="none"/>
              </w:rPr>
              <w:t>特别说明：</w:t>
            </w:r>
          </w:p>
          <w:p>
            <w:pPr>
              <w:spacing w:line="360" w:lineRule="exact"/>
              <w:rPr>
                <w:rFonts w:ascii="宋体" w:hAnsi="宋体" w:cs="宋体"/>
                <w:kern w:val="1"/>
                <w:szCs w:val="21"/>
                <w:highlight w:val="none"/>
              </w:rPr>
            </w:pPr>
            <w:r>
              <w:rPr>
                <w:rFonts w:hint="eastAsia" w:ascii="宋体" w:hAnsi="宋体" w:cs="宋体"/>
                <w:kern w:val="1"/>
                <w:szCs w:val="21"/>
                <w:highlight w:val="none"/>
              </w:rPr>
              <w:t>特别说明：</w:t>
            </w:r>
          </w:p>
          <w:p>
            <w:pPr>
              <w:spacing w:line="360" w:lineRule="exact"/>
              <w:rPr>
                <w:rFonts w:ascii="宋体" w:hAnsi="宋体" w:cs="宋体"/>
                <w:kern w:val="1"/>
                <w:szCs w:val="21"/>
                <w:highlight w:val="none"/>
              </w:rPr>
            </w:pPr>
            <w:r>
              <w:rPr>
                <w:rFonts w:hint="eastAsia" w:ascii="宋体" w:hAnsi="宋体" w:cs="宋体"/>
                <w:kern w:val="1"/>
                <w:szCs w:val="21"/>
                <w:highlight w:val="none"/>
              </w:rPr>
              <w:t>（1）上述要求须提交的相关证明材料复印件须清晰可辨，且均应加盖投标单位法人章并装入投标文件资格审查部分。上述要求，有一条不满足则投标文件由评标委员会作否决投标处理。</w:t>
            </w:r>
          </w:p>
          <w:p>
            <w:pPr>
              <w:spacing w:line="360" w:lineRule="exact"/>
              <w:rPr>
                <w:rFonts w:ascii="宋体" w:hAnsi="宋体" w:cs="宋体"/>
                <w:kern w:val="1"/>
                <w:szCs w:val="21"/>
                <w:highlight w:val="none"/>
              </w:rPr>
            </w:pPr>
            <w:r>
              <w:rPr>
                <w:rFonts w:hint="eastAsia" w:ascii="宋体" w:hAnsi="宋体" w:cs="宋体"/>
                <w:kern w:val="1"/>
                <w:szCs w:val="21"/>
                <w:highlight w:val="none"/>
              </w:rPr>
              <w:t>（2）招标人在合同签订前均有权对投标人提供的资料进行核实，若发现弄虚作假，按相关规定取消其中标资格，投标保证金不予退还，并按相关法律法规报监督部门，投标人承担因此造成的相关责任并赔偿相应损失。</w:t>
            </w:r>
          </w:p>
          <w:p>
            <w:pPr>
              <w:spacing w:line="360" w:lineRule="exact"/>
              <w:rPr>
                <w:rFonts w:ascii="宋体" w:hAnsi="宋体" w:cs="宋体"/>
                <w:kern w:val="1"/>
                <w:szCs w:val="21"/>
                <w:highlight w:val="none"/>
              </w:rPr>
            </w:pPr>
            <w:r>
              <w:rPr>
                <w:rFonts w:hint="eastAsia" w:ascii="宋体" w:hAnsi="宋体" w:cs="宋体"/>
                <w:kern w:val="1"/>
                <w:szCs w:val="21"/>
                <w:highlight w:val="none"/>
              </w:rPr>
              <w:t>（3）本招标文件中所要求的人员养老保险证明要求如下：</w:t>
            </w:r>
          </w:p>
          <w:p>
            <w:pPr>
              <w:spacing w:line="360" w:lineRule="exact"/>
              <w:rPr>
                <w:rFonts w:ascii="宋体" w:hAnsi="宋体" w:cs="宋体"/>
                <w:kern w:val="1"/>
                <w:szCs w:val="21"/>
                <w:highlight w:val="none"/>
              </w:rPr>
            </w:pPr>
            <w:r>
              <w:rPr>
                <w:rFonts w:hint="eastAsia" w:ascii="宋体" w:hAnsi="宋体" w:cs="宋体"/>
                <w:kern w:val="1"/>
                <w:szCs w:val="21"/>
                <w:highlight w:val="none"/>
              </w:rPr>
              <w:t>①企业提供养老保险证明，事业单位提供养老保险证明或行政主管部门在编证明。</w:t>
            </w:r>
          </w:p>
          <w:p>
            <w:pPr>
              <w:spacing w:line="360" w:lineRule="exact"/>
              <w:rPr>
                <w:rFonts w:ascii="宋体" w:hAnsi="宋体" w:cs="宋体"/>
                <w:szCs w:val="21"/>
                <w:highlight w:val="none"/>
              </w:rPr>
            </w:pPr>
            <w:r>
              <w:rPr>
                <w:rFonts w:hint="eastAsia" w:ascii="宋体" w:hAnsi="宋体" w:cs="宋体"/>
                <w:kern w:val="1"/>
                <w:szCs w:val="21"/>
                <w:highlight w:val="none"/>
              </w:rPr>
              <w:t>②委托代理人的连续养老保险证明期限须包含</w:t>
            </w:r>
            <w:r>
              <w:rPr>
                <w:rFonts w:ascii="宋体" w:hAnsi="宋体" w:cs="宋体"/>
                <w:kern w:val="1"/>
                <w:szCs w:val="21"/>
                <w:highlight w:val="none"/>
              </w:rPr>
              <w:t>2024</w:t>
            </w:r>
            <w:r>
              <w:rPr>
                <w:rFonts w:hint="eastAsia" w:ascii="宋体" w:hAnsi="宋体" w:cs="宋体"/>
                <w:kern w:val="1"/>
                <w:szCs w:val="21"/>
                <w:highlight w:val="none"/>
              </w:rPr>
              <w:t>年</w:t>
            </w:r>
            <w:r>
              <w:rPr>
                <w:rFonts w:hint="eastAsia" w:ascii="宋体" w:hAnsi="宋体" w:cs="宋体"/>
                <w:kern w:val="1"/>
                <w:szCs w:val="21"/>
                <w:highlight w:val="none"/>
                <w:lang w:val="en-US" w:eastAsia="zh-CN"/>
              </w:rPr>
              <w:t>8</w:t>
            </w:r>
            <w:r>
              <w:rPr>
                <w:rFonts w:hint="eastAsia" w:ascii="宋体" w:hAnsi="宋体" w:cs="宋体"/>
                <w:kern w:val="1"/>
                <w:szCs w:val="21"/>
                <w:highlight w:val="none"/>
              </w:rPr>
              <w:t>月至</w:t>
            </w:r>
            <w:r>
              <w:rPr>
                <w:rFonts w:ascii="宋体" w:hAnsi="宋体" w:cs="宋体"/>
                <w:kern w:val="1"/>
                <w:szCs w:val="21"/>
                <w:highlight w:val="none"/>
              </w:rPr>
              <w:t>202</w:t>
            </w:r>
            <w:r>
              <w:rPr>
                <w:rFonts w:hint="eastAsia" w:ascii="宋体" w:hAnsi="宋体" w:cs="宋体"/>
                <w:kern w:val="1"/>
                <w:szCs w:val="21"/>
                <w:highlight w:val="none"/>
                <w:lang w:val="en-US" w:eastAsia="zh-CN"/>
              </w:rPr>
              <w:t>4</w:t>
            </w:r>
            <w:r>
              <w:rPr>
                <w:rFonts w:ascii="宋体" w:hAnsi="宋体" w:cs="宋体"/>
                <w:kern w:val="1"/>
                <w:szCs w:val="21"/>
                <w:highlight w:val="none"/>
              </w:rPr>
              <w:t>年</w:t>
            </w:r>
            <w:r>
              <w:rPr>
                <w:rFonts w:hint="eastAsia" w:ascii="宋体" w:hAnsi="宋体" w:cs="宋体"/>
                <w:kern w:val="1"/>
                <w:szCs w:val="21"/>
                <w:highlight w:val="none"/>
                <w:lang w:val="en-US" w:eastAsia="zh-CN"/>
              </w:rPr>
              <w:t>1</w:t>
            </w:r>
            <w:r>
              <w:rPr>
                <w:rFonts w:hint="eastAsia" w:ascii="宋体" w:hAnsi="宋体" w:cs="宋体"/>
                <w:kern w:val="1"/>
                <w:szCs w:val="21"/>
                <w:highlight w:val="none"/>
              </w:rPr>
              <w:t>月。提供的养老保险参保证明须体现上述人员的姓名、身份证号（或社保号）、单位名称、参保时间（或起始参保时间），并带有社保部门公章或社保部门的有效电子印章。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1.4.2</w:t>
            </w:r>
          </w:p>
        </w:tc>
        <w:tc>
          <w:tcPr>
            <w:tcW w:w="2221"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是否接受联合体投标</w:t>
            </w:r>
          </w:p>
        </w:tc>
        <w:tc>
          <w:tcPr>
            <w:tcW w:w="6634" w:type="dxa"/>
            <w:vAlign w:val="center"/>
          </w:tcPr>
          <w:p>
            <w:pPr>
              <w:spacing w:line="360" w:lineRule="exact"/>
              <w:jc w:val="left"/>
              <w:rPr>
                <w:rFonts w:ascii="宋体" w:hAnsi="宋体" w:cs="宋体"/>
                <w:szCs w:val="21"/>
                <w:highlight w:val="none"/>
              </w:rPr>
            </w:pPr>
            <w:r>
              <w:rPr>
                <w:rFonts w:hint="eastAsia" w:ascii="宋体" w:hAnsi="宋体" w:cs="宋体"/>
                <w:kern w:val="0"/>
                <w:szCs w:val="21"/>
                <w:highlight w:val="none"/>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1.9.1</w:t>
            </w:r>
          </w:p>
        </w:tc>
        <w:tc>
          <w:tcPr>
            <w:tcW w:w="2221"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踏勘现场</w:t>
            </w:r>
          </w:p>
        </w:tc>
        <w:tc>
          <w:tcPr>
            <w:tcW w:w="6634" w:type="dxa"/>
            <w:vAlign w:val="center"/>
          </w:tcPr>
          <w:p>
            <w:pPr>
              <w:spacing w:line="360" w:lineRule="exact"/>
              <w:jc w:val="left"/>
              <w:rPr>
                <w:rFonts w:ascii="宋体" w:hAnsi="宋体" w:cs="宋体"/>
                <w:szCs w:val="21"/>
                <w:highlight w:val="none"/>
              </w:rPr>
            </w:pPr>
            <w:r>
              <w:rPr>
                <w:rFonts w:hint="eastAsia" w:ascii="宋体" w:hAnsi="宋体" w:cs="宋体"/>
                <w:kern w:val="0"/>
                <w:szCs w:val="21"/>
                <w:highlight w:val="none"/>
              </w:rPr>
              <w:t>不组织，由各投标人根据需要自行完成现场踏勘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1.10.1</w:t>
            </w:r>
          </w:p>
        </w:tc>
        <w:tc>
          <w:tcPr>
            <w:tcW w:w="2221"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投标预备会</w:t>
            </w:r>
          </w:p>
        </w:tc>
        <w:tc>
          <w:tcPr>
            <w:tcW w:w="6634" w:type="dxa"/>
            <w:vAlign w:val="center"/>
          </w:tcPr>
          <w:p>
            <w:pPr>
              <w:spacing w:line="360" w:lineRule="exact"/>
              <w:jc w:val="left"/>
              <w:rPr>
                <w:rFonts w:ascii="宋体" w:hAnsi="宋体" w:cs="宋体"/>
                <w:kern w:val="0"/>
                <w:szCs w:val="21"/>
                <w:highlight w:val="none"/>
              </w:rPr>
            </w:pPr>
            <w:r>
              <w:rPr>
                <w:rFonts w:hint="eastAsia" w:ascii="宋体" w:hAnsi="宋体" w:cs="宋体"/>
                <w:kern w:val="0"/>
                <w:szCs w:val="21"/>
                <w:highlight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1.11</w:t>
            </w:r>
          </w:p>
        </w:tc>
        <w:tc>
          <w:tcPr>
            <w:tcW w:w="2221"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分包</w:t>
            </w:r>
          </w:p>
        </w:tc>
        <w:tc>
          <w:tcPr>
            <w:tcW w:w="6634" w:type="dxa"/>
            <w:vAlign w:val="center"/>
          </w:tcPr>
          <w:p>
            <w:pPr>
              <w:spacing w:line="360" w:lineRule="exact"/>
              <w:jc w:val="left"/>
              <w:rPr>
                <w:rFonts w:ascii="宋体" w:hAnsi="宋体" w:cs="宋体"/>
                <w:kern w:val="0"/>
                <w:szCs w:val="21"/>
                <w:highlight w:val="none"/>
              </w:rPr>
            </w:pPr>
            <w:r>
              <w:rPr>
                <w:rFonts w:hint="eastAsia" w:ascii="宋体" w:hAnsi="宋体" w:cs="宋体"/>
                <w:kern w:val="0"/>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2.1</w:t>
            </w:r>
          </w:p>
        </w:tc>
        <w:tc>
          <w:tcPr>
            <w:tcW w:w="2221"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构成招标文件</w:t>
            </w:r>
          </w:p>
          <w:p>
            <w:pPr>
              <w:spacing w:line="360" w:lineRule="exact"/>
              <w:jc w:val="center"/>
              <w:rPr>
                <w:rFonts w:ascii="宋体" w:hAnsi="宋体" w:cs="宋体"/>
                <w:kern w:val="0"/>
                <w:szCs w:val="21"/>
                <w:highlight w:val="none"/>
              </w:rPr>
            </w:pPr>
            <w:r>
              <w:rPr>
                <w:rFonts w:hint="eastAsia" w:ascii="宋体" w:hAnsi="宋体" w:cs="宋体"/>
                <w:kern w:val="0"/>
                <w:szCs w:val="21"/>
                <w:highlight w:val="none"/>
              </w:rPr>
              <w:t>的其他材料</w:t>
            </w:r>
          </w:p>
        </w:tc>
        <w:tc>
          <w:tcPr>
            <w:tcW w:w="6634" w:type="dxa"/>
            <w:vAlign w:val="center"/>
          </w:tcPr>
          <w:p>
            <w:pPr>
              <w:spacing w:line="360" w:lineRule="exact"/>
              <w:jc w:val="left"/>
              <w:rPr>
                <w:rFonts w:ascii="宋体" w:hAnsi="宋体" w:cs="宋体"/>
                <w:szCs w:val="21"/>
                <w:highlight w:val="none"/>
              </w:rPr>
            </w:pPr>
            <w:r>
              <w:rPr>
                <w:rFonts w:hint="eastAsia" w:ascii="宋体" w:hAnsi="宋体" w:cs="宋体"/>
                <w:spacing w:val="-4"/>
                <w:szCs w:val="21"/>
                <w:highlight w:val="none"/>
              </w:rPr>
              <w:t>招标人所发布的补遗书、澄清通知函、澄清函</w:t>
            </w:r>
            <w:r>
              <w:rPr>
                <w:rFonts w:hint="eastAsia" w:ascii="宋体" w:hAnsi="宋体" w:cs="宋体"/>
                <w:szCs w:val="21"/>
                <w:highlight w:val="none"/>
              </w:rPr>
              <w:t>等。（如有）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jc w:val="center"/>
        </w:trPr>
        <w:tc>
          <w:tcPr>
            <w:tcW w:w="1013"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2.2.1</w:t>
            </w:r>
          </w:p>
        </w:tc>
        <w:tc>
          <w:tcPr>
            <w:tcW w:w="2221" w:type="dxa"/>
            <w:vAlign w:val="center"/>
          </w:tcPr>
          <w:p>
            <w:pPr>
              <w:spacing w:line="360" w:lineRule="exact"/>
              <w:jc w:val="center"/>
              <w:rPr>
                <w:rFonts w:ascii="宋体" w:hAnsi="宋体" w:cs="宋体"/>
                <w:kern w:val="0"/>
                <w:szCs w:val="21"/>
                <w:highlight w:val="none"/>
              </w:rPr>
            </w:pPr>
            <w:r>
              <w:rPr>
                <w:rFonts w:hint="eastAsia" w:ascii="宋体" w:hAnsi="宋体" w:cs="宋体"/>
                <w:szCs w:val="21"/>
                <w:highlight w:val="none"/>
              </w:rPr>
              <w:t>投标人提出问题的截止时间</w:t>
            </w:r>
          </w:p>
        </w:tc>
        <w:tc>
          <w:tcPr>
            <w:tcW w:w="6634" w:type="dxa"/>
            <w:vAlign w:val="center"/>
          </w:tcPr>
          <w:p>
            <w:pPr>
              <w:spacing w:line="360" w:lineRule="exact"/>
              <w:rPr>
                <w:rFonts w:ascii="宋体" w:hAnsi="宋体" w:cs="宋体"/>
                <w:kern w:val="0"/>
                <w:szCs w:val="21"/>
                <w:highlight w:val="none"/>
              </w:rPr>
            </w:pPr>
            <w:r>
              <w:rPr>
                <w:rFonts w:hint="eastAsia" w:ascii="宋体" w:hAnsi="宋体" w:cs="宋体"/>
                <w:kern w:val="0"/>
                <w:highlight w:val="none"/>
              </w:rPr>
              <w:t>投标人应仔细阅读招标文件及附件的所有内容，如有文字表述不清，图纸尺寸标注不明以及存在错、漏、缺、概念模糊和有可能出现歧义或理解上的偏差的内容等应在招标公告规定的时间前在本项目招标公告网页下方“我要提问”栏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360" w:lineRule="exact"/>
              <w:jc w:val="center"/>
              <w:rPr>
                <w:rFonts w:ascii="宋体" w:hAnsi="宋体" w:cs="宋体"/>
                <w:color w:val="FF0000"/>
                <w:szCs w:val="21"/>
                <w:highlight w:val="none"/>
              </w:rPr>
            </w:pPr>
            <w:r>
              <w:rPr>
                <w:rFonts w:hint="eastAsia" w:ascii="宋体" w:hAnsi="宋体" w:cs="宋体"/>
                <w:color w:val="FF0000"/>
                <w:szCs w:val="21"/>
                <w:highlight w:val="none"/>
              </w:rPr>
              <w:t>2.2.2</w:t>
            </w:r>
          </w:p>
          <w:p>
            <w:pPr>
              <w:spacing w:line="360" w:lineRule="exact"/>
              <w:jc w:val="center"/>
              <w:rPr>
                <w:rFonts w:ascii="宋体" w:hAnsi="宋体" w:cs="宋体"/>
                <w:kern w:val="0"/>
                <w:szCs w:val="21"/>
                <w:highlight w:val="none"/>
              </w:rPr>
            </w:pPr>
            <w:r>
              <w:rPr>
                <w:rFonts w:hint="eastAsia" w:ascii="宋体" w:hAnsi="宋体" w:cs="宋体"/>
                <w:color w:val="FF0000"/>
                <w:szCs w:val="21"/>
                <w:highlight w:val="none"/>
              </w:rPr>
              <w:t>2.3.1</w:t>
            </w:r>
          </w:p>
        </w:tc>
        <w:tc>
          <w:tcPr>
            <w:tcW w:w="2221" w:type="dxa"/>
            <w:vAlign w:val="center"/>
          </w:tcPr>
          <w:p>
            <w:pPr>
              <w:spacing w:line="360" w:lineRule="exact"/>
              <w:jc w:val="center"/>
              <w:rPr>
                <w:rFonts w:ascii="宋体" w:hAnsi="宋体" w:cs="宋体"/>
                <w:kern w:val="0"/>
                <w:szCs w:val="21"/>
                <w:highlight w:val="none"/>
              </w:rPr>
            </w:pPr>
            <w:r>
              <w:rPr>
                <w:rFonts w:hint="eastAsia" w:ascii="宋体" w:hAnsi="宋体" w:cs="宋体"/>
                <w:szCs w:val="21"/>
                <w:highlight w:val="none"/>
              </w:rPr>
              <w:t>招标人书面澄清或修改的时间及形式</w:t>
            </w:r>
          </w:p>
        </w:tc>
        <w:tc>
          <w:tcPr>
            <w:tcW w:w="6634" w:type="dxa"/>
            <w:vAlign w:val="center"/>
          </w:tcPr>
          <w:p>
            <w:pPr>
              <w:wordWrap w:val="0"/>
              <w:spacing w:line="400" w:lineRule="exact"/>
              <w:rPr>
                <w:rFonts w:ascii="宋体" w:hAnsi="宋体" w:cs="宋体"/>
                <w:highlight w:val="none"/>
              </w:rPr>
            </w:pPr>
            <w:r>
              <w:rPr>
                <w:rFonts w:hint="eastAsia" w:ascii="宋体" w:hAnsi="宋体" w:cs="宋体"/>
                <w:highlight w:val="none"/>
              </w:rPr>
              <w:t>招标人应在招标公告规定的时间前，在重庆市公共资源交易网（www.cqggzy.com）发布澄清。</w:t>
            </w:r>
          </w:p>
          <w:p>
            <w:pPr>
              <w:spacing w:line="440" w:lineRule="exact"/>
              <w:rPr>
                <w:rFonts w:ascii="宋体" w:hAnsi="宋体" w:cs="宋体"/>
                <w:kern w:val="0"/>
                <w:szCs w:val="21"/>
                <w:highlight w:val="none"/>
              </w:rPr>
            </w:pPr>
            <w:r>
              <w:rPr>
                <w:rFonts w:hint="eastAsia" w:ascii="宋体" w:hAnsi="宋体" w:cs="宋体"/>
                <w:highlight w:val="none"/>
              </w:rPr>
              <w:t>详见招标公告规定的投标截止时间。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360" w:lineRule="exact"/>
              <w:jc w:val="center"/>
              <w:rPr>
                <w:rFonts w:ascii="宋体" w:hAnsi="宋体" w:cs="宋体"/>
                <w:color w:val="FF0000"/>
                <w:szCs w:val="21"/>
                <w:highlight w:val="none"/>
              </w:rPr>
            </w:pPr>
            <w:r>
              <w:rPr>
                <w:rFonts w:hint="eastAsia" w:ascii="宋体" w:hAnsi="宋体" w:cs="宋体"/>
                <w:color w:val="FF0000"/>
                <w:szCs w:val="21"/>
                <w:highlight w:val="none"/>
              </w:rPr>
              <w:t>2.2.3</w:t>
            </w:r>
          </w:p>
          <w:p>
            <w:pPr>
              <w:spacing w:line="360" w:lineRule="exact"/>
              <w:jc w:val="center"/>
              <w:rPr>
                <w:rFonts w:ascii="宋体" w:hAnsi="宋体" w:cs="宋体"/>
                <w:color w:val="FF0000"/>
                <w:kern w:val="0"/>
                <w:szCs w:val="21"/>
                <w:highlight w:val="none"/>
              </w:rPr>
            </w:pPr>
            <w:r>
              <w:rPr>
                <w:rFonts w:hint="eastAsia" w:ascii="宋体" w:hAnsi="宋体" w:cs="宋体"/>
                <w:color w:val="FF0000"/>
                <w:szCs w:val="21"/>
                <w:highlight w:val="none"/>
              </w:rPr>
              <w:t>2.3.2</w:t>
            </w:r>
          </w:p>
        </w:tc>
        <w:tc>
          <w:tcPr>
            <w:tcW w:w="2221"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投标人确认收到招标文件澄清或修改的时间</w:t>
            </w:r>
          </w:p>
        </w:tc>
        <w:tc>
          <w:tcPr>
            <w:tcW w:w="6634" w:type="dxa"/>
            <w:vAlign w:val="center"/>
          </w:tcPr>
          <w:p>
            <w:pPr>
              <w:spacing w:line="360" w:lineRule="exact"/>
              <w:rPr>
                <w:rFonts w:ascii="宋体" w:hAnsi="宋体" w:cs="宋体"/>
                <w:szCs w:val="21"/>
                <w:highlight w:val="none"/>
              </w:rPr>
            </w:pPr>
            <w:r>
              <w:rPr>
                <w:rFonts w:hint="eastAsia" w:ascii="宋体" w:hAnsi="宋体" w:cs="宋体"/>
                <w:szCs w:val="21"/>
                <w:highlight w:val="none"/>
              </w:rPr>
              <w:t>不确认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360" w:lineRule="exact"/>
              <w:jc w:val="center"/>
              <w:rPr>
                <w:rFonts w:ascii="宋体" w:hAnsi="宋体" w:cs="宋体"/>
                <w:color w:val="FF0000"/>
                <w:kern w:val="0"/>
                <w:szCs w:val="21"/>
                <w:highlight w:val="none"/>
              </w:rPr>
            </w:pPr>
            <w:bookmarkStart w:id="71" w:name="_Hlt227984024"/>
            <w:bookmarkEnd w:id="71"/>
            <w:r>
              <w:rPr>
                <w:rFonts w:hint="eastAsia" w:ascii="宋体" w:hAnsi="宋体" w:cs="宋体"/>
                <w:color w:val="FF0000"/>
                <w:kern w:val="0"/>
                <w:szCs w:val="21"/>
                <w:highlight w:val="none"/>
              </w:rPr>
              <w:t>3.1.1</w:t>
            </w:r>
          </w:p>
        </w:tc>
        <w:tc>
          <w:tcPr>
            <w:tcW w:w="2221"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投标文件应包括的内容</w:t>
            </w:r>
          </w:p>
        </w:tc>
        <w:tc>
          <w:tcPr>
            <w:tcW w:w="6634" w:type="dxa"/>
            <w:vAlign w:val="center"/>
          </w:tcPr>
          <w:p>
            <w:pPr>
              <w:spacing w:line="360" w:lineRule="exact"/>
              <w:jc w:val="center"/>
              <w:rPr>
                <w:rFonts w:ascii="宋体" w:hAnsi="宋体" w:cs="宋体"/>
                <w:bCs/>
                <w:kern w:val="0"/>
                <w:szCs w:val="21"/>
                <w:highlight w:val="none"/>
              </w:rPr>
            </w:pPr>
            <w:r>
              <w:rPr>
                <w:rFonts w:hint="eastAsia" w:ascii="宋体" w:hAnsi="宋体" w:cs="宋体"/>
                <w:bCs/>
                <w:szCs w:val="21"/>
                <w:highlight w:val="none"/>
              </w:rPr>
              <w:t>投标人书面澄清或补正（如有），但不得改变投标文件实质。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3.2</w:t>
            </w:r>
          </w:p>
        </w:tc>
        <w:tc>
          <w:tcPr>
            <w:tcW w:w="2221"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投标报价</w:t>
            </w:r>
          </w:p>
        </w:tc>
        <w:tc>
          <w:tcPr>
            <w:tcW w:w="6634" w:type="dxa"/>
          </w:tcPr>
          <w:p>
            <w:pPr>
              <w:numPr>
                <w:ilvl w:val="0"/>
                <w:numId w:val="2"/>
              </w:numPr>
              <w:spacing w:line="420" w:lineRule="exact"/>
              <w:ind w:firstLine="420" w:firstLineChars="200"/>
              <w:rPr>
                <w:rFonts w:ascii="宋体" w:hAnsi="宋体" w:cs="宋体"/>
                <w:szCs w:val="21"/>
                <w:highlight w:val="none"/>
              </w:rPr>
            </w:pPr>
            <w:r>
              <w:rPr>
                <w:rFonts w:hint="eastAsia" w:ascii="宋体" w:hAnsi="宋体" w:cs="宋体"/>
                <w:szCs w:val="21"/>
                <w:highlight w:val="none"/>
              </w:rPr>
              <w:t>本招标项目报价</w:t>
            </w:r>
          </w:p>
          <w:p>
            <w:pPr>
              <w:numPr>
                <w:ilvl w:val="0"/>
                <w:numId w:val="3"/>
              </w:numPr>
              <w:spacing w:line="420" w:lineRule="exact"/>
              <w:ind w:firstLine="420" w:firstLineChars="200"/>
              <w:rPr>
                <w:rFonts w:ascii="宋体" w:hAnsi="宋体" w:cs="宋体"/>
                <w:szCs w:val="21"/>
                <w:highlight w:val="none"/>
              </w:rPr>
            </w:pPr>
            <w:r>
              <w:rPr>
                <w:rFonts w:hint="eastAsia" w:ascii="宋体" w:hAnsi="宋体" w:cs="宋体"/>
                <w:szCs w:val="21"/>
                <w:highlight w:val="none"/>
              </w:rPr>
              <w:t>投标人投标价为投标人中标后在合作期内，投标人生产沥青混合料，招标人向投标人收取设备及附属设施使用费，投标人投标价低于招标人设定的最低投标</w:t>
            </w:r>
            <w:r>
              <w:rPr>
                <w:rFonts w:hint="eastAsia" w:ascii="宋体" w:hAnsi="宋体" w:cs="宋体"/>
                <w:szCs w:val="21"/>
                <w:highlight w:val="none"/>
                <w:lang w:val="en-US" w:eastAsia="zh-CN"/>
              </w:rPr>
              <w:t>报</w:t>
            </w:r>
            <w:r>
              <w:rPr>
                <w:rFonts w:hint="eastAsia" w:ascii="宋体" w:hAnsi="宋体" w:cs="宋体"/>
                <w:szCs w:val="21"/>
                <w:highlight w:val="none"/>
              </w:rPr>
              <w:t>价（</w:t>
            </w:r>
            <w:r>
              <w:rPr>
                <w:rFonts w:ascii="宋体" w:hAnsi="宋体" w:cs="宋体"/>
                <w:szCs w:val="21"/>
                <w:highlight w:val="none"/>
              </w:rPr>
              <w:t>30.6</w:t>
            </w:r>
            <w:r>
              <w:rPr>
                <w:rFonts w:hint="eastAsia" w:ascii="宋体" w:hAnsi="宋体" w:cs="宋体"/>
                <w:szCs w:val="21"/>
                <w:highlight w:val="none"/>
              </w:rPr>
              <w:t>元</w:t>
            </w:r>
            <w:r>
              <w:rPr>
                <w:rFonts w:ascii="宋体" w:hAnsi="宋体" w:cs="宋体"/>
                <w:szCs w:val="21"/>
                <w:highlight w:val="none"/>
              </w:rPr>
              <w:t>/</w:t>
            </w:r>
            <w:r>
              <w:rPr>
                <w:rFonts w:hint="eastAsia" w:ascii="宋体" w:hAnsi="宋体" w:cs="宋体"/>
                <w:szCs w:val="21"/>
                <w:highlight w:val="none"/>
              </w:rPr>
              <w:t>吨）的其投标无效，等于或高于招标人设定的最低投标</w:t>
            </w:r>
            <w:r>
              <w:rPr>
                <w:rFonts w:hint="eastAsia" w:ascii="宋体" w:hAnsi="宋体" w:cs="宋体"/>
                <w:szCs w:val="21"/>
                <w:highlight w:val="none"/>
                <w:lang w:val="en-US" w:eastAsia="zh-CN"/>
              </w:rPr>
              <w:t>报</w:t>
            </w:r>
            <w:r>
              <w:rPr>
                <w:rFonts w:hint="eastAsia" w:ascii="宋体" w:hAnsi="宋体" w:cs="宋体"/>
                <w:szCs w:val="21"/>
                <w:highlight w:val="none"/>
              </w:rPr>
              <w:t>价的作为有效报价</w:t>
            </w:r>
            <w:r>
              <w:rPr>
                <w:rFonts w:hint="eastAsia" w:ascii="宋体" w:hAnsi="宋体" w:cs="宋体"/>
                <w:szCs w:val="21"/>
                <w:highlight w:val="none"/>
                <w:lang w:eastAsia="zh-CN"/>
              </w:rPr>
              <w:t>。</w:t>
            </w:r>
          </w:p>
          <w:p>
            <w:pPr>
              <w:numPr>
                <w:ilvl w:val="-1"/>
                <w:numId w:val="0"/>
              </w:numPr>
              <w:spacing w:line="42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投标人在合同执行期间，</w:t>
            </w:r>
            <w:r>
              <w:rPr>
                <w:rFonts w:hint="eastAsia" w:ascii="宋体" w:hAnsi="宋体" w:cs="宋体"/>
                <w:szCs w:val="21"/>
                <w:highlight w:val="none"/>
              </w:rPr>
              <w:t>若合同年产量大于30000吨，超出部分产量按照中标单价元/吨*5%计算设备及附属设施使用费</w:t>
            </w:r>
            <w:r>
              <w:rPr>
                <w:rFonts w:hint="eastAsia" w:ascii="宋体" w:hAnsi="宋体" w:cs="宋体"/>
                <w:szCs w:val="21"/>
                <w:highlight w:val="none"/>
                <w:lang w:eastAsia="zh-CN"/>
              </w:rPr>
              <w:t>；</w:t>
            </w:r>
            <w:r>
              <w:rPr>
                <w:rFonts w:hint="eastAsia" w:ascii="宋体" w:hAnsi="宋体" w:cs="宋体"/>
                <w:szCs w:val="21"/>
                <w:highlight w:val="none"/>
              </w:rPr>
              <w:t>若年产量最终小于等于30000吨的，乙方仍按照30000吨*</w:t>
            </w:r>
            <w:r>
              <w:rPr>
                <w:rFonts w:hint="eastAsia" w:ascii="宋体" w:hAnsi="宋体" w:cs="宋体"/>
                <w:szCs w:val="21"/>
                <w:highlight w:val="none"/>
                <w:lang w:val="en-US" w:eastAsia="zh-CN"/>
              </w:rPr>
              <w:t>中标单价</w:t>
            </w:r>
            <w:r>
              <w:rPr>
                <w:rFonts w:hint="eastAsia" w:ascii="宋体" w:hAnsi="宋体" w:cs="宋体"/>
                <w:szCs w:val="21"/>
                <w:highlight w:val="none"/>
              </w:rPr>
              <w:t>元/吨计算当年度设备及附属设施使用费</w:t>
            </w:r>
            <w:r>
              <w:rPr>
                <w:rFonts w:hint="eastAsia" w:ascii="宋体" w:hAnsi="宋体" w:cs="宋体"/>
                <w:szCs w:val="21"/>
                <w:highlight w:val="none"/>
                <w:lang w:eastAsia="zh-CN"/>
              </w:rPr>
              <w:t>；</w:t>
            </w:r>
            <w:r>
              <w:rPr>
                <w:rFonts w:hint="eastAsia" w:ascii="宋体" w:hAnsi="宋体" w:cs="宋体"/>
                <w:szCs w:val="21"/>
                <w:highlight w:val="none"/>
              </w:rPr>
              <w:t>合同期限届满一年后，以上一合同年度设备及附属设施使用费单价为基础，每满一合同年单价递增5%。</w:t>
            </w:r>
          </w:p>
          <w:p>
            <w:pPr>
              <w:spacing w:line="420" w:lineRule="exact"/>
              <w:ind w:firstLine="420" w:firstLineChars="200"/>
              <w:rPr>
                <w:rFonts w:ascii="宋体" w:hAnsi="宋体" w:cs="宋体"/>
                <w:szCs w:val="21"/>
                <w:highlight w:val="none"/>
              </w:rPr>
            </w:pPr>
            <w:r>
              <w:rPr>
                <w:rFonts w:hint="eastAsia" w:ascii="宋体" w:hAnsi="宋体" w:cs="宋体"/>
                <w:szCs w:val="21"/>
                <w:highlight w:val="none"/>
              </w:rPr>
              <w:t>2、合作期内，招标人</w:t>
            </w:r>
            <w:r>
              <w:rPr>
                <w:rFonts w:hint="eastAsia" w:ascii="宋体" w:hAnsi="宋体" w:cs="宋体"/>
                <w:szCs w:val="21"/>
                <w:highlight w:val="none"/>
                <w:lang w:val="en-US" w:eastAsia="zh-CN"/>
              </w:rPr>
              <w:t>在西山坪拌和站</w:t>
            </w:r>
            <w:r>
              <w:rPr>
                <w:rFonts w:hint="eastAsia" w:ascii="宋体" w:hAnsi="宋体" w:cs="宋体"/>
                <w:szCs w:val="21"/>
                <w:highlight w:val="none"/>
              </w:rPr>
              <w:t>生产沥青混合料，</w:t>
            </w:r>
            <w:r>
              <w:rPr>
                <w:rFonts w:hint="eastAsia" w:ascii="宋体" w:hAnsi="宋体" w:cs="宋体"/>
                <w:szCs w:val="21"/>
                <w:highlight w:val="none"/>
                <w:lang w:val="en-US" w:eastAsia="zh-CN"/>
              </w:rPr>
              <w:t>投标</w:t>
            </w:r>
            <w:r>
              <w:rPr>
                <w:rFonts w:hint="eastAsia" w:ascii="宋体" w:hAnsi="宋体" w:cs="宋体"/>
                <w:szCs w:val="21"/>
                <w:highlight w:val="none"/>
              </w:rPr>
              <w:t>人向</w:t>
            </w:r>
            <w:r>
              <w:rPr>
                <w:rFonts w:hint="eastAsia" w:ascii="宋体" w:hAnsi="宋体" w:cs="宋体"/>
                <w:szCs w:val="21"/>
                <w:highlight w:val="none"/>
                <w:lang w:val="en-US" w:eastAsia="zh-CN"/>
              </w:rPr>
              <w:t>招标</w:t>
            </w:r>
            <w:r>
              <w:rPr>
                <w:rFonts w:hint="eastAsia" w:ascii="宋体" w:hAnsi="宋体" w:cs="宋体"/>
                <w:szCs w:val="21"/>
                <w:highlight w:val="none"/>
              </w:rPr>
              <w:t>人</w:t>
            </w:r>
            <w:r>
              <w:rPr>
                <w:rFonts w:hint="eastAsia" w:ascii="宋体" w:hAnsi="宋体" w:cs="宋体"/>
                <w:szCs w:val="21"/>
                <w:highlight w:val="none"/>
                <w:lang w:val="en-US" w:eastAsia="zh-CN"/>
              </w:rPr>
              <w:t>收取</w:t>
            </w:r>
            <w:r>
              <w:rPr>
                <w:rFonts w:hint="eastAsia" w:ascii="宋体" w:hAnsi="宋体" w:cs="宋体"/>
                <w:szCs w:val="21"/>
                <w:highlight w:val="none"/>
              </w:rPr>
              <w:t>的加工费</w:t>
            </w:r>
            <w:r>
              <w:rPr>
                <w:rFonts w:hint="eastAsia" w:ascii="宋体" w:hAnsi="宋体" w:cs="宋体"/>
                <w:szCs w:val="21"/>
                <w:highlight w:val="none"/>
                <w:lang w:val="en-US" w:eastAsia="zh-CN"/>
              </w:rPr>
              <w:t>不得高于市场单价</w:t>
            </w:r>
            <w:r>
              <w:rPr>
                <w:rFonts w:hint="eastAsia" w:ascii="宋体" w:hAnsi="宋体" w:cs="宋体"/>
                <w:szCs w:val="21"/>
                <w:highlight w:val="none"/>
              </w:rPr>
              <w:t>。</w:t>
            </w:r>
          </w:p>
          <w:p>
            <w:pPr>
              <w:spacing w:line="420" w:lineRule="exact"/>
              <w:ind w:firstLine="420" w:firstLineChars="200"/>
              <w:rPr>
                <w:rFonts w:ascii="宋体" w:hAnsi="宋体" w:cs="宋体"/>
                <w:kern w:val="0"/>
                <w:szCs w:val="21"/>
                <w:highlight w:val="none"/>
              </w:rPr>
            </w:pPr>
            <w:r>
              <w:rPr>
                <w:rFonts w:hint="eastAsia" w:ascii="宋体" w:hAnsi="宋体" w:cs="宋体"/>
                <w:szCs w:val="21"/>
                <w:highlight w:val="none"/>
              </w:rPr>
              <w:t>二、由投标人为西山坪拌和站进行必要的环保建设和改造、加装环保设施等，</w:t>
            </w:r>
            <w:r>
              <w:rPr>
                <w:rFonts w:hint="eastAsia"/>
                <w:highlight w:val="none"/>
              </w:rPr>
              <w:t>为招标人代办并取得行业主管部门颁发的排污许可证</w:t>
            </w:r>
            <w:r>
              <w:rPr>
                <w:rFonts w:hint="eastAsia" w:ascii="宋体" w:hAnsi="宋体" w:cs="宋体"/>
                <w:szCs w:val="21"/>
                <w:highlight w:val="none"/>
              </w:rPr>
              <w:t>，由投标人自行承担费用。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tcBorders>
              <w:bottom w:val="single" w:color="auto" w:sz="4" w:space="0"/>
            </w:tcBorders>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3.2.3</w:t>
            </w:r>
          </w:p>
        </w:tc>
        <w:tc>
          <w:tcPr>
            <w:tcW w:w="2221" w:type="dxa"/>
            <w:tcBorders>
              <w:bottom w:val="single" w:color="auto" w:sz="4" w:space="0"/>
            </w:tcBorders>
            <w:vAlign w:val="center"/>
          </w:tcPr>
          <w:p>
            <w:pPr>
              <w:spacing w:line="400" w:lineRule="exact"/>
              <w:jc w:val="center"/>
              <w:rPr>
                <w:rFonts w:ascii="宋体" w:hAnsi="宋体" w:cs="宋体"/>
                <w:kern w:val="0"/>
                <w:szCs w:val="21"/>
                <w:highlight w:val="none"/>
              </w:rPr>
            </w:pPr>
            <w:r>
              <w:rPr>
                <w:kern w:val="0"/>
                <w:highlight w:val="none"/>
              </w:rPr>
              <w:t>投标报价的其他要求</w:t>
            </w:r>
          </w:p>
        </w:tc>
        <w:tc>
          <w:tcPr>
            <w:tcW w:w="6634" w:type="dxa"/>
            <w:tcBorders>
              <w:bottom w:val="single" w:color="auto" w:sz="4" w:space="0"/>
            </w:tcBorders>
            <w:vAlign w:val="center"/>
          </w:tcPr>
          <w:p>
            <w:pPr>
              <w:spacing w:line="400" w:lineRule="atLeast"/>
              <w:ind w:firstLine="420" w:firstLineChars="200"/>
              <w:jc w:val="left"/>
              <w:rPr>
                <w:highlight w:val="none"/>
              </w:rPr>
            </w:pPr>
            <w:r>
              <w:rPr>
                <w:rFonts w:hint="eastAsia" w:ascii="宋体" w:hAnsi="宋体" w:cs="宋体"/>
                <w:szCs w:val="21"/>
                <w:highlight w:val="none"/>
              </w:rPr>
              <w:t>本项目设备及附属设施使用费增值税税金按一般计税法计取（13%）。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3.3.1</w:t>
            </w:r>
          </w:p>
        </w:tc>
        <w:tc>
          <w:tcPr>
            <w:tcW w:w="2221"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投标有效期</w:t>
            </w:r>
          </w:p>
        </w:tc>
        <w:tc>
          <w:tcPr>
            <w:tcW w:w="6634" w:type="dxa"/>
            <w:vAlign w:val="center"/>
          </w:tcPr>
          <w:p>
            <w:pPr>
              <w:spacing w:line="360" w:lineRule="exact"/>
              <w:jc w:val="left"/>
              <w:rPr>
                <w:rFonts w:ascii="宋体" w:hAnsi="宋体" w:cs="宋体"/>
                <w:szCs w:val="21"/>
                <w:highlight w:val="none"/>
              </w:rPr>
            </w:pPr>
            <w:r>
              <w:rPr>
                <w:rFonts w:ascii="宋体" w:hAnsi="宋体"/>
                <w:szCs w:val="21"/>
                <w:highlight w:val="none"/>
              </w:rPr>
              <w:t>自投标人递交投标文件截止之日起</w:t>
            </w:r>
            <w:r>
              <w:rPr>
                <w:rFonts w:ascii="宋体" w:hAnsi="宋体"/>
                <w:szCs w:val="21"/>
                <w:highlight w:val="none"/>
                <w:u w:val="single"/>
              </w:rPr>
              <w:t>90</w:t>
            </w:r>
            <w:r>
              <w:rPr>
                <w:rFonts w:ascii="宋体" w:hAnsi="宋体"/>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013"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3.4.1</w:t>
            </w:r>
          </w:p>
        </w:tc>
        <w:tc>
          <w:tcPr>
            <w:tcW w:w="2221"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投标</w:t>
            </w:r>
            <w:r>
              <w:rPr>
                <w:rFonts w:hint="eastAsia" w:ascii="宋体" w:hAnsi="宋体" w:cs="宋体"/>
                <w:szCs w:val="21"/>
                <w:highlight w:val="none"/>
              </w:rPr>
              <w:t>保证金</w:t>
            </w:r>
          </w:p>
        </w:tc>
        <w:tc>
          <w:tcPr>
            <w:tcW w:w="6634" w:type="dxa"/>
            <w:vAlign w:val="center"/>
          </w:tcPr>
          <w:p>
            <w:pPr>
              <w:spacing w:line="300" w:lineRule="exact"/>
              <w:ind w:firstLine="420" w:firstLineChars="200"/>
              <w:rPr>
                <w:rFonts w:ascii="宋体" w:hAnsi="宋体" w:cs="宋体"/>
                <w:highlight w:val="none"/>
              </w:rPr>
            </w:pPr>
            <w:r>
              <w:rPr>
                <w:rFonts w:hint="eastAsia" w:ascii="宋体" w:hAnsi="宋体" w:cs="宋体"/>
                <w:highlight w:val="none"/>
              </w:rPr>
              <w:t>投标保证金的交纳方式：投标人可选择以下两种方式之一。</w:t>
            </w:r>
          </w:p>
          <w:p>
            <w:pPr>
              <w:spacing w:line="300" w:lineRule="exact"/>
              <w:ind w:firstLine="420" w:firstLineChars="200"/>
              <w:rPr>
                <w:rFonts w:ascii="宋体" w:hAnsi="宋体" w:cs="宋体"/>
                <w:highlight w:val="none"/>
              </w:rPr>
            </w:pPr>
            <w:r>
              <w:rPr>
                <w:rFonts w:hint="eastAsia" w:ascii="宋体" w:hAnsi="宋体" w:cs="宋体"/>
                <w:highlight w:val="none"/>
              </w:rPr>
              <w:t>方式一</w:t>
            </w:r>
          </w:p>
          <w:p>
            <w:pPr>
              <w:spacing w:line="300" w:lineRule="exact"/>
              <w:ind w:firstLine="420" w:firstLineChars="200"/>
              <w:rPr>
                <w:rFonts w:ascii="宋体" w:hAnsi="宋体" w:cs="宋体"/>
                <w:highlight w:val="none"/>
              </w:rPr>
            </w:pPr>
            <w:r>
              <w:rPr>
                <w:rFonts w:ascii="宋体" w:hAnsi="宋体" w:cs="宋体"/>
                <w:highlight w:val="none"/>
              </w:rPr>
              <w:t>一、</w:t>
            </w:r>
            <w:r>
              <w:rPr>
                <w:rFonts w:hint="eastAsia" w:ascii="宋体" w:hAnsi="宋体" w:cs="宋体"/>
                <w:highlight w:val="none"/>
              </w:rPr>
              <w:t>以电子投标保函形式交纳投标保证金</w:t>
            </w:r>
          </w:p>
          <w:p>
            <w:pPr>
              <w:spacing w:line="300" w:lineRule="exact"/>
              <w:ind w:firstLine="420" w:firstLineChars="200"/>
              <w:rPr>
                <w:rFonts w:ascii="宋体" w:hAnsi="宋体" w:cs="宋体"/>
                <w:highlight w:val="none"/>
              </w:rPr>
            </w:pPr>
            <w:r>
              <w:rPr>
                <w:rFonts w:hint="eastAsia" w:ascii="宋体" w:hAnsi="宋体" w:cs="宋体"/>
                <w:highlight w:val="none"/>
              </w:rPr>
              <w:t>1.电子投标保函交纳形式及要求：投标人在投标截止时间前通过重庆市公共资源交易金融服务平台电子投标保函系统向金融机构申请开具电子投标保函，电子投标保函应至少体现如下内容：①担保项目必须为本项目；②受益人必须为本项目招标人；③保函担保金额必须满足本项目要求；④保函生效时间必须在投标截止时间前，有效期限必须至少包含整个投标有效期；⑤保函须不可撤销且见索即付。</w:t>
            </w:r>
          </w:p>
          <w:p>
            <w:pPr>
              <w:spacing w:line="300" w:lineRule="exact"/>
              <w:ind w:firstLine="420" w:firstLineChars="200"/>
              <w:rPr>
                <w:rFonts w:ascii="宋体" w:hAnsi="宋体" w:cs="宋体"/>
                <w:highlight w:val="none"/>
              </w:rPr>
            </w:pPr>
            <w:r>
              <w:rPr>
                <w:rFonts w:hint="eastAsia" w:ascii="宋体" w:hAnsi="宋体" w:cs="宋体"/>
                <w:highlight w:val="none"/>
              </w:rPr>
              <w:t>若投标截止时间延期，则电子投标保函提交的截止时间和投标截止时间应当保持一致。</w:t>
            </w:r>
          </w:p>
          <w:p>
            <w:pPr>
              <w:spacing w:line="300" w:lineRule="exact"/>
              <w:ind w:firstLine="420" w:firstLineChars="200"/>
              <w:rPr>
                <w:rFonts w:ascii="宋体" w:hAnsi="宋体" w:cs="宋体"/>
                <w:highlight w:val="none"/>
              </w:rPr>
            </w:pPr>
            <w:r>
              <w:rPr>
                <w:rFonts w:hint="eastAsia" w:ascii="宋体" w:hAnsi="宋体" w:cs="宋体"/>
                <w:highlight w:val="none"/>
              </w:rPr>
              <w:t>不满足上述要求的电子</w:t>
            </w:r>
            <w:r>
              <w:rPr>
                <w:rFonts w:ascii="宋体" w:hAnsi="宋体" w:cs="宋体"/>
                <w:highlight w:val="none"/>
              </w:rPr>
              <w:t>投标保函无效。</w:t>
            </w:r>
          </w:p>
          <w:p>
            <w:pPr>
              <w:spacing w:line="300" w:lineRule="exact"/>
              <w:ind w:firstLine="420" w:firstLineChars="200"/>
              <w:rPr>
                <w:rFonts w:ascii="宋体" w:hAnsi="宋体" w:cs="宋体"/>
                <w:highlight w:val="none"/>
              </w:rPr>
            </w:pPr>
            <w:r>
              <w:rPr>
                <w:rFonts w:ascii="宋体" w:hAnsi="宋体" w:cs="宋体"/>
                <w:highlight w:val="none"/>
              </w:rPr>
              <w:t>2</w:t>
            </w:r>
            <w:r>
              <w:rPr>
                <w:rFonts w:hint="eastAsia" w:ascii="宋体" w:hAnsi="宋体" w:cs="宋体"/>
                <w:highlight w:val="none"/>
              </w:rPr>
              <w:t>.以电子投标保函形式担保的</w:t>
            </w:r>
            <w:r>
              <w:rPr>
                <w:rFonts w:ascii="宋体" w:hAnsi="宋体" w:cs="宋体"/>
                <w:highlight w:val="none"/>
              </w:rPr>
              <w:t>投标保证金的金额：</w:t>
            </w:r>
            <w:r>
              <w:rPr>
                <w:rFonts w:ascii="宋体" w:hAnsi="宋体" w:cs="宋体"/>
                <w:highlight w:val="none"/>
                <w:u w:val="single"/>
              </w:rPr>
              <w:t>5</w:t>
            </w:r>
            <w:r>
              <w:rPr>
                <w:rFonts w:ascii="宋体" w:hAnsi="宋体" w:cs="宋体"/>
                <w:highlight w:val="none"/>
              </w:rPr>
              <w:t>万元整（人民币）</w:t>
            </w:r>
            <w:r>
              <w:rPr>
                <w:rFonts w:hint="eastAsia" w:ascii="宋体" w:hAnsi="宋体" w:cs="宋体"/>
                <w:highlight w:val="none"/>
              </w:rPr>
              <w:t>。</w:t>
            </w:r>
          </w:p>
          <w:p>
            <w:pPr>
              <w:ind w:firstLine="420" w:firstLineChars="200"/>
              <w:rPr>
                <w:rFonts w:ascii="宋体" w:hAnsi="宋体" w:cs="宋体"/>
                <w:highlight w:val="none"/>
              </w:rPr>
            </w:pPr>
            <w:r>
              <w:rPr>
                <w:rFonts w:hint="eastAsia" w:ascii="宋体" w:hAnsi="宋体" w:cs="宋体"/>
                <w:highlight w:val="none"/>
              </w:rPr>
              <w:t>3.电子投标保函</w:t>
            </w:r>
          </w:p>
          <w:p>
            <w:pPr>
              <w:spacing w:line="300" w:lineRule="exact"/>
              <w:ind w:firstLine="420" w:firstLineChars="200"/>
              <w:rPr>
                <w:rFonts w:ascii="宋体" w:hAnsi="宋体" w:cs="宋体"/>
                <w:highlight w:val="none"/>
              </w:rPr>
            </w:pPr>
            <w:r>
              <w:rPr>
                <w:rFonts w:hint="eastAsia" w:ascii="宋体" w:hAnsi="宋体" w:cs="宋体"/>
                <w:highlight w:val="none"/>
              </w:rPr>
              <w:t>以重庆市公共资源交易中心开标现场展示的电子投标保函交纳情况为准，投标人在投标时无须再提供电子投标保函的相关资料。</w:t>
            </w:r>
          </w:p>
          <w:p>
            <w:pPr>
              <w:spacing w:line="300" w:lineRule="exact"/>
              <w:ind w:firstLine="420" w:firstLineChars="200"/>
              <w:rPr>
                <w:rFonts w:ascii="宋体" w:hAnsi="宋体" w:cs="宋体"/>
                <w:highlight w:val="none"/>
              </w:rPr>
            </w:pPr>
            <w:r>
              <w:rPr>
                <w:rFonts w:hint="eastAsia" w:ascii="宋体" w:hAnsi="宋体" w:cs="宋体"/>
                <w:highlight w:val="none"/>
              </w:rPr>
              <w:t>二、电子投标保函的注销</w:t>
            </w:r>
          </w:p>
          <w:p>
            <w:pPr>
              <w:spacing w:line="300" w:lineRule="exact"/>
              <w:ind w:firstLine="420" w:firstLineChars="200"/>
              <w:rPr>
                <w:rFonts w:ascii="宋体" w:hAnsi="宋体" w:cs="宋体"/>
                <w:highlight w:val="none"/>
              </w:rPr>
            </w:pPr>
            <w:r>
              <w:rPr>
                <w:rFonts w:hint="eastAsia" w:ascii="宋体" w:hAnsi="宋体" w:cs="宋体"/>
                <w:highlight w:val="none"/>
              </w:rPr>
              <w:t>招标人应当在法定时间内确定中标人。招标人应当在中标通知书发出后2个工作日内将中标通知书和电子投标保函退还通知抄告重庆市公共资源交易中心，重庆市公共资源交易中心在收到电子投标保函退还通知后2个工作日内，将保函注销信息推送给重庆市公共资源交易金融服务平台，由保函出具机构注销除中标人和中标候选人以外的投标人电子投标保函。</w:t>
            </w:r>
          </w:p>
          <w:p>
            <w:pPr>
              <w:spacing w:line="300" w:lineRule="exact"/>
              <w:ind w:firstLine="420" w:firstLineChars="200"/>
              <w:rPr>
                <w:rFonts w:ascii="宋体" w:hAnsi="宋体" w:cs="宋体"/>
                <w:highlight w:val="none"/>
              </w:rPr>
            </w:pPr>
            <w:r>
              <w:rPr>
                <w:rFonts w:hint="eastAsia" w:ascii="宋体" w:hAnsi="宋体" w:cs="宋体"/>
                <w:highlight w:val="none"/>
              </w:rPr>
              <w:t>招标人应当在法定时间内和中标人签订合同。招标人应当在合同生效后2个工作日内将签订的合同和电子投标保函退还通知抄告重庆市公共资源交易中心，重庆市公共资源交易中心在收到电子投标保函退还通知后2个工作日内，将保函注销信息推送给重庆市公共资源交易金融服务平台，由保函出具机构注销中标人和中标候选人的电子投标保函。</w:t>
            </w:r>
          </w:p>
          <w:p>
            <w:pPr>
              <w:spacing w:line="300" w:lineRule="exact"/>
              <w:ind w:firstLine="420" w:firstLineChars="200"/>
              <w:rPr>
                <w:rFonts w:ascii="宋体" w:hAnsi="宋体" w:cs="宋体"/>
                <w:highlight w:val="none"/>
              </w:rPr>
            </w:pPr>
          </w:p>
          <w:p>
            <w:pPr>
              <w:spacing w:line="300" w:lineRule="exact"/>
              <w:ind w:firstLine="420" w:firstLineChars="200"/>
              <w:rPr>
                <w:rFonts w:ascii="宋体" w:hAnsi="宋体" w:cs="宋体"/>
                <w:highlight w:val="none"/>
              </w:rPr>
            </w:pPr>
            <w:r>
              <w:rPr>
                <w:rFonts w:hint="eastAsia" w:ascii="宋体" w:hAnsi="宋体" w:cs="宋体"/>
                <w:highlight w:val="none"/>
              </w:rPr>
              <w:t>方式二</w:t>
            </w:r>
          </w:p>
          <w:p>
            <w:pPr>
              <w:spacing w:line="300" w:lineRule="exact"/>
              <w:ind w:firstLine="420" w:firstLineChars="200"/>
              <w:rPr>
                <w:rFonts w:ascii="宋体" w:hAnsi="宋体" w:cs="宋体"/>
                <w:highlight w:val="none"/>
              </w:rPr>
            </w:pPr>
            <w:r>
              <w:rPr>
                <w:rFonts w:hint="eastAsia" w:ascii="宋体" w:hAnsi="宋体" w:cs="宋体"/>
                <w:highlight w:val="none"/>
              </w:rPr>
              <w:t>一、以转账支票或电汇形式交纳投标保证金</w:t>
            </w:r>
          </w:p>
          <w:p>
            <w:pPr>
              <w:spacing w:line="300" w:lineRule="exact"/>
              <w:ind w:firstLine="420" w:firstLineChars="200"/>
              <w:rPr>
                <w:rFonts w:ascii="宋体" w:hAnsi="宋体" w:cs="宋体"/>
                <w:highlight w:val="none"/>
              </w:rPr>
            </w:pPr>
            <w:r>
              <w:rPr>
                <w:rFonts w:hint="eastAsia" w:ascii="宋体" w:hAnsi="宋体" w:cs="宋体"/>
                <w:highlight w:val="none"/>
              </w:rPr>
              <w:t>1、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不满足上述要求的投标保证金无效。</w:t>
            </w:r>
          </w:p>
          <w:p>
            <w:pPr>
              <w:spacing w:line="300" w:lineRule="exact"/>
              <w:ind w:firstLine="420" w:firstLineChars="200"/>
              <w:rPr>
                <w:rFonts w:ascii="宋体" w:hAnsi="宋体" w:cs="宋体"/>
                <w:highlight w:val="none"/>
              </w:rPr>
            </w:pPr>
            <w:r>
              <w:rPr>
                <w:rFonts w:hint="eastAsia" w:ascii="宋体" w:hAnsi="宋体" w:cs="宋体"/>
                <w:highlight w:val="none"/>
              </w:rPr>
              <w:t>投标人自行考虑汇入时间风险，如同城汇入、异地汇入、跨行汇入的时间要求。</w:t>
            </w:r>
          </w:p>
          <w:p>
            <w:pPr>
              <w:spacing w:line="300" w:lineRule="exact"/>
              <w:ind w:firstLine="420" w:firstLineChars="200"/>
              <w:rPr>
                <w:rFonts w:ascii="宋体" w:hAnsi="宋体" w:cs="宋体"/>
                <w:highlight w:val="none"/>
              </w:rPr>
            </w:pPr>
            <w:r>
              <w:rPr>
                <w:rFonts w:hint="eastAsia" w:ascii="宋体" w:hAnsi="宋体" w:cs="宋体"/>
                <w:highlight w:val="none"/>
              </w:rPr>
              <w:t>2、以转账支票或电汇形式提交投标保证金的金额：</w:t>
            </w:r>
            <w:r>
              <w:rPr>
                <w:rFonts w:ascii="宋体" w:hAnsi="宋体" w:cs="宋体"/>
                <w:highlight w:val="none"/>
                <w:u w:val="single"/>
              </w:rPr>
              <w:t>5</w:t>
            </w:r>
            <w:r>
              <w:rPr>
                <w:rFonts w:ascii="宋体" w:hAnsi="宋体" w:cs="宋体"/>
                <w:highlight w:val="none"/>
              </w:rPr>
              <w:t>万元整（人民币）</w:t>
            </w:r>
            <w:r>
              <w:rPr>
                <w:rFonts w:hint="eastAsia" w:ascii="宋体" w:hAnsi="宋体" w:cs="宋体"/>
                <w:highlight w:val="none"/>
              </w:rPr>
              <w:t>。</w:t>
            </w:r>
          </w:p>
          <w:p>
            <w:pPr>
              <w:spacing w:line="300" w:lineRule="exact"/>
              <w:ind w:firstLine="420" w:firstLineChars="200"/>
              <w:rPr>
                <w:rFonts w:ascii="宋体" w:hAnsi="宋体" w:cs="宋体"/>
                <w:highlight w:val="none"/>
              </w:rPr>
            </w:pPr>
            <w:r>
              <w:rPr>
                <w:rFonts w:hint="eastAsia" w:ascii="宋体" w:hAnsi="宋体" w:cs="宋体"/>
                <w:highlight w:val="none"/>
              </w:rPr>
              <w:t>3、投标保证金账户及账号（任选其一）：</w:t>
            </w:r>
          </w:p>
          <w:p>
            <w:pPr>
              <w:spacing w:line="300" w:lineRule="exact"/>
              <w:ind w:firstLine="420" w:firstLineChars="200"/>
              <w:rPr>
                <w:rFonts w:ascii="宋体" w:hAnsi="宋体" w:cs="宋体"/>
                <w:highlight w:val="none"/>
              </w:rPr>
            </w:pPr>
            <w:r>
              <w:rPr>
                <w:rFonts w:hint="eastAsia" w:ascii="宋体" w:hAnsi="宋体" w:cs="宋体"/>
                <w:highlight w:val="none"/>
              </w:rPr>
              <w:t>详见重庆市公共资源交易网（www.cqggzy.com）对应本项目招标公告信息栏中的保证金信息。</w:t>
            </w:r>
          </w:p>
          <w:p>
            <w:pPr>
              <w:spacing w:line="300" w:lineRule="exact"/>
              <w:ind w:firstLine="420" w:firstLineChars="200"/>
              <w:rPr>
                <w:rFonts w:ascii="宋体" w:hAnsi="宋体" w:cs="宋体"/>
                <w:highlight w:val="none"/>
              </w:rPr>
            </w:pPr>
            <w:r>
              <w:rPr>
                <w:rFonts w:hint="eastAsia" w:ascii="宋体" w:hAnsi="宋体" w:cs="宋体"/>
                <w:highlight w:val="none"/>
              </w:rPr>
              <w:t>投标保证金以重庆市公共资源交易中心开标现场展示的保证金交纳情况为准。投标人须在投标文件“保证金”中提供企业基本账户开户证明文件。</w:t>
            </w:r>
          </w:p>
          <w:p>
            <w:pPr>
              <w:spacing w:line="300" w:lineRule="exact"/>
              <w:ind w:firstLine="420" w:firstLineChars="200"/>
              <w:rPr>
                <w:rFonts w:ascii="宋体" w:hAnsi="宋体" w:cs="宋体"/>
                <w:highlight w:val="none"/>
              </w:rPr>
            </w:pPr>
            <w:r>
              <w:rPr>
                <w:rFonts w:hint="eastAsia" w:ascii="宋体" w:hAnsi="宋体" w:cs="宋体"/>
                <w:highlight w:val="none"/>
              </w:rPr>
              <w:t>4、投标人必须在付款凭证备注栏中注明是“</w:t>
            </w:r>
            <w:r>
              <w:rPr>
                <w:rFonts w:hint="eastAsia" w:ascii="宋体" w:hAnsi="宋体" w:cs="宋体"/>
                <w:highlight w:val="none"/>
                <w:u w:val="single"/>
                <w:lang w:eastAsia="zh-CN"/>
              </w:rPr>
              <w:t>重庆公路养护工程（集团）有限公司</w:t>
            </w:r>
            <w:r>
              <w:rPr>
                <w:rFonts w:hint="eastAsia" w:ascii="宋体" w:hAnsi="宋体" w:cs="宋体"/>
                <w:highlight w:val="none"/>
                <w:u w:val="single"/>
              </w:rPr>
              <w:t>西山坪拌和站合作经营</w:t>
            </w:r>
            <w:r>
              <w:rPr>
                <w:rFonts w:hint="eastAsia" w:ascii="宋体" w:hAnsi="宋体" w:cs="宋体"/>
                <w:highlight w:val="none"/>
                <w:u w:val="single"/>
                <w:lang w:eastAsia="zh-CN"/>
              </w:rPr>
              <w:t>（</w:t>
            </w:r>
            <w:r>
              <w:rPr>
                <w:rFonts w:hint="eastAsia" w:ascii="宋体" w:hAnsi="宋体" w:cs="宋体"/>
                <w:highlight w:val="none"/>
                <w:u w:val="single"/>
                <w:lang w:val="en-US" w:eastAsia="zh-CN"/>
              </w:rPr>
              <w:t>第二次</w:t>
            </w:r>
            <w:r>
              <w:rPr>
                <w:rFonts w:hint="eastAsia" w:ascii="宋体" w:hAnsi="宋体" w:cs="宋体"/>
                <w:highlight w:val="none"/>
                <w:u w:val="single"/>
                <w:lang w:eastAsia="zh-CN"/>
              </w:rPr>
              <w:t>）</w:t>
            </w:r>
            <w:r>
              <w:rPr>
                <w:rFonts w:hint="eastAsia" w:ascii="宋体" w:hAnsi="宋体" w:cs="宋体"/>
                <w:highlight w:val="none"/>
              </w:rPr>
              <w:t>项目投标保证金”。项目名称可简写为“</w:t>
            </w:r>
            <w:r>
              <w:rPr>
                <w:rFonts w:hint="eastAsia" w:ascii="宋体" w:hAnsi="宋体" w:cs="宋体"/>
                <w:highlight w:val="none"/>
                <w:u w:val="single"/>
              </w:rPr>
              <w:t>西山坪拌和站合作经营</w:t>
            </w:r>
            <w:r>
              <w:rPr>
                <w:rFonts w:hint="eastAsia" w:ascii="宋体" w:hAnsi="宋体" w:cs="宋体"/>
                <w:highlight w:val="none"/>
                <w:u w:val="single"/>
                <w:lang w:eastAsia="zh-CN"/>
              </w:rPr>
              <w:t>（</w:t>
            </w:r>
            <w:r>
              <w:rPr>
                <w:rFonts w:hint="eastAsia" w:ascii="宋体" w:hAnsi="宋体" w:cs="宋体"/>
                <w:highlight w:val="none"/>
                <w:u w:val="single"/>
                <w:lang w:val="en-US" w:eastAsia="zh-CN"/>
              </w:rPr>
              <w:t>第二次</w:t>
            </w:r>
            <w:r>
              <w:rPr>
                <w:rFonts w:hint="eastAsia" w:ascii="宋体" w:hAnsi="宋体" w:cs="宋体"/>
                <w:highlight w:val="none"/>
                <w:u w:val="single"/>
                <w:lang w:eastAsia="zh-CN"/>
              </w:rPr>
              <w:t>）</w:t>
            </w:r>
            <w:r>
              <w:rPr>
                <w:rFonts w:hint="eastAsia" w:ascii="宋体" w:hAnsi="宋体" w:cs="宋体"/>
                <w:highlight w:val="none"/>
              </w:rPr>
              <w:t>”。</w:t>
            </w:r>
          </w:p>
          <w:p>
            <w:pPr>
              <w:spacing w:line="300" w:lineRule="exact"/>
              <w:ind w:firstLine="420" w:firstLineChars="200"/>
              <w:rPr>
                <w:rFonts w:ascii="宋体" w:hAnsi="宋体" w:cs="宋体"/>
                <w:highlight w:val="none"/>
              </w:rPr>
            </w:pPr>
            <w:r>
              <w:rPr>
                <w:rFonts w:hint="eastAsia" w:ascii="宋体" w:hAnsi="宋体" w:cs="宋体"/>
                <w:highlight w:val="none"/>
              </w:rPr>
              <w:t>5、投标保证金有效期与投标有效期一致。</w:t>
            </w:r>
          </w:p>
          <w:p>
            <w:pPr>
              <w:spacing w:line="300" w:lineRule="exact"/>
              <w:ind w:firstLine="420" w:firstLineChars="200"/>
              <w:rPr>
                <w:rFonts w:ascii="宋体" w:hAnsi="宋体" w:cs="宋体"/>
                <w:highlight w:val="none"/>
              </w:rPr>
            </w:pPr>
            <w:r>
              <w:rPr>
                <w:rFonts w:hint="eastAsia" w:ascii="宋体" w:hAnsi="宋体" w:cs="宋体"/>
                <w:highlight w:val="none"/>
              </w:rPr>
              <w:t>6、根据重庆市公共资源交易中心《关于开展公共资源交易市场主体信息登记工作的公告》的要求，投标人在开标前需在重庆市公共资源交易网（www.cqggzy.com）办理市场主体信息登记手续。因故未能提前办理市场主体信息登记或更新的，评标过程中由评标委员会根据投标人在投标文件中提供的企业基本账户开户证明文件核实其投标保证金是否由基本账户转入，未从基本账户转入的，由评标委员会作否决投标处理。</w:t>
            </w:r>
          </w:p>
          <w:p>
            <w:pPr>
              <w:spacing w:line="300" w:lineRule="exact"/>
              <w:ind w:firstLine="420" w:firstLineChars="200"/>
              <w:rPr>
                <w:rFonts w:ascii="宋体" w:hAnsi="宋体" w:cs="宋体"/>
                <w:highlight w:val="none"/>
              </w:rPr>
            </w:pPr>
            <w:r>
              <w:rPr>
                <w:rFonts w:hint="eastAsia" w:ascii="宋体" w:hAnsi="宋体" w:cs="宋体"/>
                <w:highlight w:val="none"/>
              </w:rPr>
              <w:t>二、投标保证金的退还</w:t>
            </w:r>
          </w:p>
          <w:p>
            <w:pPr>
              <w:spacing w:line="300" w:lineRule="exact"/>
              <w:ind w:firstLine="420" w:firstLineChars="200"/>
              <w:rPr>
                <w:rFonts w:ascii="宋体" w:hAnsi="宋体" w:cs="宋体"/>
                <w:highlight w:val="none"/>
              </w:rPr>
            </w:pPr>
            <w:r>
              <w:rPr>
                <w:rFonts w:hint="eastAsia" w:ascii="宋体" w:hAnsi="宋体" w:cs="宋体"/>
                <w:highlight w:val="none"/>
              </w:rPr>
              <w:t>招标人应当在法定时间内确定中标人。招标人应当在中标通知书发出后2个工作日内将中标通知书和保证金退还通知抄告重庆市公共资源交易中心，重庆市公共资源交易中心在收到保证金退还通知后2个工作日内，向除中标人和中标候选人以外的投标人，退还投标保证金及银行同期活期存款利息。</w:t>
            </w:r>
          </w:p>
          <w:p>
            <w:pPr>
              <w:spacing w:line="300" w:lineRule="exact"/>
              <w:ind w:firstLine="420" w:firstLineChars="200"/>
              <w:rPr>
                <w:rFonts w:ascii="宋体" w:hAnsi="宋体" w:cs="宋体"/>
                <w:highlight w:val="none"/>
              </w:rPr>
            </w:pPr>
            <w:r>
              <w:rPr>
                <w:rFonts w:hint="eastAsia" w:ascii="宋体" w:hAnsi="宋体" w:cs="宋体"/>
                <w:highlight w:val="none"/>
              </w:rPr>
              <w:t>招标人应当在法定时间内和中标人签订合同。招标人应当在合同生效后2个工作日内将签订的合同和保证金退还通知抄告重庆市公共资源交易中心，重庆市公共资源交易中心在收到保证金退还通知后2个工作日内，向中标人和中标候选人退还投标保证金及银行同期活期存款利息。</w:t>
            </w:r>
          </w:p>
          <w:p>
            <w:pPr>
              <w:spacing w:line="380" w:lineRule="exact"/>
              <w:rPr>
                <w:rFonts w:ascii="宋体" w:hAnsi="宋体"/>
                <w:szCs w:val="21"/>
                <w:highlight w:val="none"/>
              </w:rPr>
            </w:pPr>
            <w:r>
              <w:rPr>
                <w:rFonts w:hint="eastAsia" w:ascii="宋体" w:hAnsi="宋体" w:cs="宋体"/>
                <w:highlight w:val="none"/>
              </w:rPr>
              <w:t>投标保证金专用账户由重庆市公共资源交易中心制定，关于保证金相关情况的问题请咨询重庆市公共资源交易中心，联系电话023-63626436。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013" w:type="dxa"/>
            <w:vAlign w:val="center"/>
          </w:tcPr>
          <w:p>
            <w:pPr>
              <w:spacing w:line="440" w:lineRule="exact"/>
              <w:jc w:val="center"/>
              <w:rPr>
                <w:rFonts w:ascii="宋体" w:hAnsi="宋体"/>
                <w:szCs w:val="21"/>
                <w:highlight w:val="none"/>
              </w:rPr>
            </w:pPr>
            <w:r>
              <w:rPr>
                <w:rFonts w:hint="eastAsia" w:ascii="宋体" w:hAnsi="宋体"/>
                <w:szCs w:val="21"/>
                <w:highlight w:val="none"/>
              </w:rPr>
              <w:t>3.4.3</w:t>
            </w:r>
          </w:p>
        </w:tc>
        <w:tc>
          <w:tcPr>
            <w:tcW w:w="2221" w:type="dxa"/>
            <w:vAlign w:val="center"/>
          </w:tcPr>
          <w:p>
            <w:pPr>
              <w:spacing w:line="440" w:lineRule="exact"/>
              <w:jc w:val="center"/>
              <w:rPr>
                <w:rFonts w:ascii="宋体" w:hAnsi="宋体"/>
                <w:szCs w:val="21"/>
                <w:highlight w:val="none"/>
              </w:rPr>
            </w:pPr>
            <w:r>
              <w:rPr>
                <w:rFonts w:hint="eastAsia" w:ascii="宋体" w:hAnsi="宋体" w:cs="MingLiU"/>
                <w:kern w:val="0"/>
                <w:szCs w:val="21"/>
                <w:highlight w:val="none"/>
              </w:rPr>
              <w:t>投标保证金的退还</w:t>
            </w:r>
          </w:p>
        </w:tc>
        <w:tc>
          <w:tcPr>
            <w:tcW w:w="6634" w:type="dxa"/>
            <w:vAlign w:val="center"/>
          </w:tcPr>
          <w:p>
            <w:pPr>
              <w:spacing w:line="360" w:lineRule="atLeast"/>
              <w:rPr>
                <w:rFonts w:ascii="宋体" w:hAnsi="宋体" w:cs="宋体"/>
                <w:kern w:val="0"/>
                <w:szCs w:val="21"/>
                <w:highlight w:val="none"/>
              </w:rPr>
            </w:pPr>
            <w:r>
              <w:rPr>
                <w:rFonts w:hint="eastAsia" w:ascii="宋体" w:hAnsi="宋体" w:cs="宋体"/>
                <w:kern w:val="0"/>
                <w:szCs w:val="21"/>
                <w:highlight w:val="none"/>
              </w:rPr>
              <w:t>根据重庆市有关规定退还。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 w:hRule="atLeast"/>
          <w:jc w:val="center"/>
        </w:trPr>
        <w:tc>
          <w:tcPr>
            <w:tcW w:w="1013" w:type="dxa"/>
            <w:vAlign w:val="center"/>
          </w:tcPr>
          <w:p>
            <w:pPr>
              <w:spacing w:line="440" w:lineRule="exact"/>
              <w:jc w:val="center"/>
              <w:rPr>
                <w:rFonts w:ascii="宋体" w:hAnsi="宋体"/>
                <w:szCs w:val="21"/>
                <w:highlight w:val="none"/>
              </w:rPr>
            </w:pPr>
            <w:r>
              <w:rPr>
                <w:rFonts w:hint="eastAsia" w:ascii="宋体" w:hAnsi="宋体"/>
                <w:szCs w:val="21"/>
                <w:highlight w:val="none"/>
              </w:rPr>
              <w:t>3.4.4</w:t>
            </w:r>
            <w:r>
              <w:rPr>
                <w:rFonts w:hint="eastAsia" w:ascii="宋体" w:hAnsi="宋体" w:cs="宋体"/>
                <w:highlight w:val="none"/>
              </w:rPr>
              <w:t>（3）</w:t>
            </w:r>
          </w:p>
        </w:tc>
        <w:tc>
          <w:tcPr>
            <w:tcW w:w="2221" w:type="dxa"/>
            <w:vAlign w:val="center"/>
          </w:tcPr>
          <w:p>
            <w:pPr>
              <w:spacing w:line="400" w:lineRule="exact"/>
              <w:jc w:val="center"/>
              <w:rPr>
                <w:rFonts w:ascii="宋体" w:hAnsi="宋体" w:cs="MingLiU"/>
                <w:kern w:val="0"/>
                <w:szCs w:val="21"/>
                <w:highlight w:val="none"/>
              </w:rPr>
            </w:pPr>
            <w:r>
              <w:rPr>
                <w:rFonts w:hint="eastAsia" w:ascii="宋体" w:hAnsi="宋体" w:cs="宋体"/>
                <w:highlight w:val="none"/>
              </w:rPr>
              <w:t>其他可以不予退还投标保证金的情形</w:t>
            </w:r>
          </w:p>
        </w:tc>
        <w:tc>
          <w:tcPr>
            <w:tcW w:w="6634" w:type="dxa"/>
            <w:vAlign w:val="center"/>
          </w:tcPr>
          <w:p>
            <w:pPr>
              <w:spacing w:line="400" w:lineRule="exact"/>
              <w:rPr>
                <w:rFonts w:ascii="宋体" w:hAnsi="宋体" w:cs="宋体"/>
                <w:kern w:val="0"/>
                <w:szCs w:val="21"/>
                <w:highlight w:val="none"/>
              </w:rPr>
            </w:pPr>
            <w:r>
              <w:rPr>
                <w:rFonts w:hint="eastAsia" w:ascii="宋体" w:hAnsi="宋体" w:cs="宋体"/>
                <w:kern w:val="0"/>
                <w:szCs w:val="21"/>
                <w:highlight w:val="none"/>
              </w:rPr>
              <w:t>（1）投标人在规定的投标有效期内撤销或修改投标文件；</w:t>
            </w:r>
          </w:p>
          <w:p>
            <w:pPr>
              <w:spacing w:line="400" w:lineRule="exact"/>
              <w:rPr>
                <w:rFonts w:ascii="宋体" w:hAnsi="宋体" w:cs="宋体"/>
                <w:kern w:val="0"/>
                <w:szCs w:val="21"/>
                <w:highlight w:val="none"/>
              </w:rPr>
            </w:pPr>
            <w:r>
              <w:rPr>
                <w:rFonts w:hint="eastAsia" w:ascii="宋体" w:hAnsi="宋体" w:cs="宋体"/>
                <w:kern w:val="0"/>
                <w:szCs w:val="21"/>
                <w:highlight w:val="none"/>
              </w:rPr>
              <w:t>（2）中标人在收到中标通知书后，无正当理由不与招标人订立合同，在签订合同时向招标人提出附加条件，或者不按照招标文件要求提交履约保证金；</w:t>
            </w:r>
          </w:p>
          <w:p>
            <w:pPr>
              <w:spacing w:line="400" w:lineRule="exact"/>
              <w:rPr>
                <w:rFonts w:ascii="宋体" w:hAnsi="宋体" w:cs="宋体"/>
                <w:kern w:val="0"/>
                <w:szCs w:val="21"/>
                <w:highlight w:val="none"/>
              </w:rPr>
            </w:pPr>
            <w:r>
              <w:rPr>
                <w:rFonts w:hint="eastAsia" w:ascii="宋体" w:hAnsi="宋体" w:cs="宋体"/>
                <w:kern w:val="0"/>
                <w:szCs w:val="21"/>
                <w:highlight w:val="none"/>
              </w:rPr>
              <w:t>（3）法律法规规定的其他情形。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3.6</w:t>
            </w:r>
          </w:p>
        </w:tc>
        <w:tc>
          <w:tcPr>
            <w:tcW w:w="2221"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是否允许递交备选投标方案</w:t>
            </w:r>
          </w:p>
        </w:tc>
        <w:tc>
          <w:tcPr>
            <w:tcW w:w="6634"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3.7.3</w:t>
            </w:r>
          </w:p>
        </w:tc>
        <w:tc>
          <w:tcPr>
            <w:tcW w:w="2221"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签字或盖章要求</w:t>
            </w:r>
          </w:p>
        </w:tc>
        <w:tc>
          <w:tcPr>
            <w:tcW w:w="6634"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修改为：</w:t>
            </w:r>
          </w:p>
          <w:p>
            <w:pPr>
              <w:spacing w:line="360" w:lineRule="exact"/>
              <w:ind w:firstLine="420" w:firstLineChars="200"/>
              <w:rPr>
                <w:rFonts w:ascii="宋体" w:hAnsi="宋体" w:cs="宋体"/>
                <w:snapToGrid w:val="0"/>
                <w:kern w:val="0"/>
                <w:szCs w:val="21"/>
                <w:highlight w:val="none"/>
              </w:rPr>
            </w:pPr>
            <w:r>
              <w:rPr>
                <w:rFonts w:hint="eastAsia" w:ascii="宋体" w:hAnsi="宋体"/>
                <w:szCs w:val="21"/>
                <w:highlight w:val="none"/>
              </w:rPr>
              <w:t>投标文件中的投标函、承诺书（函）应由投标人的法定代表人或其委托代理人签署姓名，其余可不签。投标文件需逐页加盖投标单位鲜公章（本页正文内容已加盖投标单位鲜公章可不再加盖投标单位鲜公章）。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3.7.4</w:t>
            </w:r>
          </w:p>
        </w:tc>
        <w:tc>
          <w:tcPr>
            <w:tcW w:w="2221"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投标文件份数要求</w:t>
            </w:r>
          </w:p>
        </w:tc>
        <w:tc>
          <w:tcPr>
            <w:tcW w:w="6634" w:type="dxa"/>
          </w:tcPr>
          <w:p>
            <w:pPr>
              <w:autoSpaceDE w:val="0"/>
              <w:autoSpaceDN w:val="0"/>
              <w:spacing w:line="420" w:lineRule="exact"/>
              <w:jc w:val="left"/>
              <w:rPr>
                <w:rFonts w:ascii="宋体" w:hAnsi="宋体" w:cs="宋体"/>
                <w:highlight w:val="none"/>
              </w:rPr>
            </w:pPr>
            <w:r>
              <w:rPr>
                <w:rFonts w:hint="eastAsia" w:ascii="宋体" w:hAnsi="宋体" w:cs="宋体"/>
                <w:highlight w:val="none"/>
              </w:rPr>
              <w:t>该款正文不采用，投标人按以下要求提供：</w:t>
            </w:r>
          </w:p>
          <w:p>
            <w:pPr>
              <w:autoSpaceDE w:val="0"/>
              <w:autoSpaceDN w:val="0"/>
              <w:adjustRightInd w:val="0"/>
              <w:spacing w:line="420" w:lineRule="exact"/>
              <w:ind w:firstLine="420" w:firstLineChars="200"/>
              <w:jc w:val="left"/>
              <w:rPr>
                <w:rFonts w:ascii="宋体" w:hAnsi="宋体" w:cs="宋体"/>
                <w:highlight w:val="none"/>
              </w:rPr>
            </w:pPr>
            <w:r>
              <w:rPr>
                <w:rFonts w:hint="eastAsia" w:ascii="宋体" w:hAnsi="宋体" w:cs="宋体"/>
                <w:highlight w:val="none"/>
              </w:rPr>
              <w:t>投标文件正本1份、副本1份，电子版形式2份（U盘）。正本和副本的封面上应清楚地标记“正本”或“副本”的字样，副本可为正本的复印件。当副本和正本不一致时，以正本为准。</w:t>
            </w:r>
          </w:p>
          <w:p>
            <w:pPr>
              <w:autoSpaceDE w:val="0"/>
              <w:autoSpaceDN w:val="0"/>
              <w:adjustRightInd w:val="0"/>
              <w:spacing w:line="380" w:lineRule="exact"/>
              <w:ind w:firstLine="420" w:firstLineChars="200"/>
              <w:jc w:val="left"/>
              <w:rPr>
                <w:highlight w:val="none"/>
              </w:rPr>
            </w:pPr>
            <w:r>
              <w:rPr>
                <w:rFonts w:hint="eastAsia" w:ascii="宋体" w:hAnsi="宋体" w:cs="宋体"/>
                <w:highlight w:val="none"/>
              </w:rPr>
              <w:t>电子版形式（U盘）中的部分：应包含投标文件的所有内容。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1013"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3.7.5</w:t>
            </w:r>
          </w:p>
        </w:tc>
        <w:tc>
          <w:tcPr>
            <w:tcW w:w="2221" w:type="dxa"/>
            <w:vAlign w:val="center"/>
          </w:tcPr>
          <w:p>
            <w:pPr>
              <w:spacing w:line="360" w:lineRule="exact"/>
              <w:jc w:val="center"/>
              <w:rPr>
                <w:rFonts w:ascii="宋体" w:hAnsi="宋体" w:cs="宋体"/>
                <w:szCs w:val="21"/>
                <w:highlight w:val="none"/>
              </w:rPr>
            </w:pPr>
            <w:r>
              <w:rPr>
                <w:rFonts w:hint="eastAsia" w:ascii="宋体" w:hAnsi="宋体" w:cs="宋体"/>
                <w:highlight w:val="none"/>
              </w:rPr>
              <w:t>投标文件装订要求</w:t>
            </w:r>
          </w:p>
        </w:tc>
        <w:tc>
          <w:tcPr>
            <w:tcW w:w="6634" w:type="dxa"/>
            <w:vAlign w:val="center"/>
          </w:tcPr>
          <w:p>
            <w:pPr>
              <w:spacing w:line="420" w:lineRule="exact"/>
              <w:rPr>
                <w:rFonts w:ascii="宋体" w:hAnsi="宋体" w:cs="宋体"/>
                <w:highlight w:val="none"/>
              </w:rPr>
            </w:pPr>
            <w:r>
              <w:rPr>
                <w:rFonts w:hint="eastAsia" w:ascii="宋体" w:hAnsi="宋体" w:cs="宋体"/>
                <w:highlight w:val="none"/>
              </w:rPr>
              <w:t>分册装订要求：</w:t>
            </w:r>
          </w:p>
          <w:p>
            <w:pPr>
              <w:spacing w:line="400" w:lineRule="exact"/>
              <w:ind w:firstLine="420" w:firstLineChars="200"/>
              <w:rPr>
                <w:szCs w:val="21"/>
                <w:highlight w:val="none"/>
              </w:rPr>
            </w:pPr>
            <w:r>
              <w:rPr>
                <w:rFonts w:hint="eastAsia" w:ascii="宋体" w:hAnsi="宋体" w:cs="宋体"/>
                <w:highlight w:val="none"/>
              </w:rPr>
              <w:t>投标文件的正本与副本应分别装订成册，统一采用胶装装订。否则，</w:t>
            </w:r>
            <w:r>
              <w:rPr>
                <w:rFonts w:hint="eastAsia" w:ascii="宋体" w:hAnsi="宋体" w:cs="宋体"/>
                <w:kern w:val="0"/>
                <w:szCs w:val="21"/>
                <w:highlight w:val="none"/>
              </w:rPr>
              <w:t>若每套投标文件较多，也可分多册标识、装订。</w:t>
            </w:r>
            <w:r>
              <w:rPr>
                <w:rFonts w:hint="eastAsia" w:ascii="宋体" w:hAnsi="宋体" w:cs="宋体"/>
                <w:highlight w:val="none"/>
              </w:rPr>
              <w:t>招标人对由于投标文件装订松散而造成的丢失或其他后果不承担任何责任。投标文件应编制目录，并且从目录开始逐页标注连续页码。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4.1.2</w:t>
            </w:r>
          </w:p>
        </w:tc>
        <w:tc>
          <w:tcPr>
            <w:tcW w:w="2221"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封套上应载明的信息</w:t>
            </w:r>
          </w:p>
        </w:tc>
        <w:tc>
          <w:tcPr>
            <w:tcW w:w="6634" w:type="dxa"/>
            <w:vAlign w:val="center"/>
          </w:tcPr>
          <w:p>
            <w:pPr>
              <w:spacing w:line="400" w:lineRule="exact"/>
              <w:rPr>
                <w:b/>
                <w:kern w:val="0"/>
                <w:highlight w:val="none"/>
              </w:rPr>
            </w:pPr>
            <w:r>
              <w:rPr>
                <w:b/>
                <w:kern w:val="0"/>
                <w:highlight w:val="none"/>
              </w:rPr>
              <w:t>封套应载明以下内容：</w:t>
            </w:r>
          </w:p>
          <w:p>
            <w:pPr>
              <w:spacing w:line="400" w:lineRule="exact"/>
              <w:rPr>
                <w:highlight w:val="none"/>
              </w:rPr>
            </w:pPr>
            <w:r>
              <w:rPr>
                <w:highlight w:val="none"/>
              </w:rPr>
              <w:t xml:space="preserve">投标人名称：                       </w:t>
            </w:r>
          </w:p>
          <w:p>
            <w:pPr>
              <w:spacing w:line="400" w:lineRule="exact"/>
              <w:rPr>
                <w:highlight w:val="none"/>
              </w:rPr>
            </w:pPr>
            <w:r>
              <w:rPr>
                <w:highlight w:val="none"/>
              </w:rPr>
              <w:t xml:space="preserve">招标人名称： </w:t>
            </w:r>
          </w:p>
          <w:p>
            <w:pPr>
              <w:spacing w:line="400" w:lineRule="exact"/>
              <w:rPr>
                <w:highlight w:val="none"/>
              </w:rPr>
            </w:pPr>
            <w:r>
              <w:rPr>
                <w:highlight w:val="none"/>
              </w:rPr>
              <w:t xml:space="preserve">招标人地址：       </w:t>
            </w:r>
          </w:p>
          <w:p>
            <w:pPr>
              <w:spacing w:line="400" w:lineRule="exact"/>
              <w:rPr>
                <w:highlight w:val="none"/>
              </w:rPr>
            </w:pPr>
            <w:r>
              <w:rPr>
                <w:highlight w:val="none"/>
                <w:u w:val="single"/>
              </w:rPr>
              <w:t xml:space="preserve">            </w:t>
            </w:r>
            <w:r>
              <w:rPr>
                <w:highlight w:val="none"/>
              </w:rPr>
              <w:t>（项目名称）</w:t>
            </w:r>
            <w:r>
              <w:rPr>
                <w:highlight w:val="none"/>
                <w:u w:val="single"/>
              </w:rPr>
              <w:t xml:space="preserve"> </w:t>
            </w:r>
            <w:r>
              <w:rPr>
                <w:rFonts w:hint="eastAsia"/>
                <w:highlight w:val="none"/>
                <w:u w:val="single"/>
              </w:rPr>
              <w:t>（合同包名称）</w:t>
            </w:r>
            <w:r>
              <w:rPr>
                <w:highlight w:val="none"/>
                <w:u w:val="single"/>
              </w:rPr>
              <w:t xml:space="preserve">   </w:t>
            </w:r>
            <w:r>
              <w:rPr>
                <w:highlight w:val="none"/>
              </w:rPr>
              <w:t>投标文件；</w:t>
            </w:r>
          </w:p>
          <w:p>
            <w:pPr>
              <w:spacing w:line="400" w:lineRule="exact"/>
              <w:rPr>
                <w:highlight w:val="none"/>
              </w:rPr>
            </w:pPr>
            <w:r>
              <w:rPr>
                <w:highlight w:val="none"/>
              </w:rPr>
              <w:t>在</w:t>
            </w:r>
            <w:r>
              <w:rPr>
                <w:highlight w:val="none"/>
                <w:u w:val="single"/>
              </w:rPr>
              <w:t xml:space="preserve">     </w:t>
            </w:r>
            <w:r>
              <w:rPr>
                <w:highlight w:val="none"/>
              </w:rPr>
              <w:t>年</w:t>
            </w:r>
            <w:r>
              <w:rPr>
                <w:highlight w:val="none"/>
                <w:u w:val="single"/>
              </w:rPr>
              <w:t xml:space="preserve">    </w:t>
            </w:r>
            <w:r>
              <w:rPr>
                <w:highlight w:val="none"/>
              </w:rPr>
              <w:t>月</w:t>
            </w:r>
            <w:r>
              <w:rPr>
                <w:highlight w:val="none"/>
                <w:u w:val="single"/>
              </w:rPr>
              <w:t xml:space="preserve">    </w:t>
            </w:r>
            <w:r>
              <w:rPr>
                <w:highlight w:val="none"/>
              </w:rPr>
              <w:t>日</w:t>
            </w:r>
            <w:r>
              <w:rPr>
                <w:highlight w:val="none"/>
                <w:u w:val="single"/>
              </w:rPr>
              <w:t xml:space="preserve">    </w:t>
            </w:r>
            <w:r>
              <w:rPr>
                <w:highlight w:val="none"/>
              </w:rPr>
              <w:t>时</w:t>
            </w:r>
            <w:r>
              <w:rPr>
                <w:highlight w:val="none"/>
                <w:u w:val="single"/>
              </w:rPr>
              <w:t xml:space="preserve">    </w:t>
            </w:r>
            <w:r>
              <w:rPr>
                <w:highlight w:val="none"/>
              </w:rPr>
              <w:t>分（即开标时间）前不得开封</w:t>
            </w:r>
          </w:p>
          <w:p>
            <w:pPr>
              <w:spacing w:line="360" w:lineRule="exact"/>
              <w:rPr>
                <w:rFonts w:ascii="宋体" w:hAnsi="宋体" w:cs="宋体"/>
                <w:szCs w:val="21"/>
                <w:highlight w:val="none"/>
              </w:rPr>
            </w:pPr>
            <w:r>
              <w:rPr>
                <w:rFonts w:hint="eastAsia"/>
                <w:b/>
                <w:highlight w:val="none"/>
              </w:rPr>
              <w:t>注：不符合上述要求规定的，招标人有权拒收投标文件。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4.2.2</w:t>
            </w:r>
          </w:p>
        </w:tc>
        <w:tc>
          <w:tcPr>
            <w:tcW w:w="2221"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递交投标文件地点和截止时间</w:t>
            </w:r>
          </w:p>
        </w:tc>
        <w:tc>
          <w:tcPr>
            <w:tcW w:w="6634" w:type="dxa"/>
            <w:vAlign w:val="center"/>
          </w:tcPr>
          <w:p>
            <w:pPr>
              <w:spacing w:line="420" w:lineRule="exact"/>
              <w:rPr>
                <w:rFonts w:ascii="宋体" w:hAnsi="宋体" w:cs="宋体"/>
                <w:highlight w:val="none"/>
              </w:rPr>
            </w:pPr>
            <w:r>
              <w:rPr>
                <w:rFonts w:hint="eastAsia" w:ascii="宋体" w:hAnsi="宋体" w:cs="宋体"/>
                <w:highlight w:val="none"/>
              </w:rPr>
              <w:t>重庆市公共资源交易中心开标区（具体请登陆重庆市公共资源交易网（www.cqggzy.com）查询或递交文件当日见交易中心大厅电子显示屏）。</w:t>
            </w:r>
          </w:p>
          <w:p>
            <w:pPr>
              <w:spacing w:line="360" w:lineRule="exact"/>
              <w:rPr>
                <w:szCs w:val="21"/>
                <w:highlight w:val="none"/>
              </w:rPr>
            </w:pPr>
            <w:r>
              <w:rPr>
                <w:rFonts w:hint="eastAsia" w:ascii="宋体" w:hAnsi="宋体" w:cs="宋体"/>
                <w:highlight w:val="none"/>
              </w:rPr>
              <w:t>招标人或代理机构提前30分钟接收投标文件。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4.2.3</w:t>
            </w:r>
          </w:p>
        </w:tc>
        <w:tc>
          <w:tcPr>
            <w:tcW w:w="2221"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是否退还投标文件</w:t>
            </w:r>
          </w:p>
        </w:tc>
        <w:tc>
          <w:tcPr>
            <w:tcW w:w="6634" w:type="dxa"/>
            <w:vAlign w:val="center"/>
          </w:tcPr>
          <w:p>
            <w:pPr>
              <w:spacing w:line="360" w:lineRule="exact"/>
              <w:jc w:val="left"/>
              <w:rPr>
                <w:rFonts w:ascii="宋体" w:hAnsi="宋体" w:cs="宋体"/>
                <w:kern w:val="0"/>
                <w:szCs w:val="21"/>
                <w:highlight w:val="none"/>
              </w:rPr>
            </w:pPr>
            <w:r>
              <w:rPr>
                <w:rFonts w:hint="eastAsia" w:ascii="宋体" w:hAnsi="宋体" w:cs="宋体"/>
                <w:kern w:val="0"/>
                <w:szCs w:val="21"/>
                <w:highlight w:val="none"/>
              </w:rPr>
              <w:t>否。除以下情况外：投标人不足3家，现场退还其投标文件并由投标人签字确认。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5.1</w:t>
            </w:r>
          </w:p>
        </w:tc>
        <w:tc>
          <w:tcPr>
            <w:tcW w:w="2221"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开标时间和地点</w:t>
            </w:r>
          </w:p>
        </w:tc>
        <w:tc>
          <w:tcPr>
            <w:tcW w:w="6634" w:type="dxa"/>
            <w:vAlign w:val="center"/>
          </w:tcPr>
          <w:p>
            <w:pPr>
              <w:spacing w:line="340" w:lineRule="exact"/>
              <w:rPr>
                <w:rFonts w:ascii="宋体" w:hAnsi="宋体" w:cs="宋体"/>
                <w:highlight w:val="none"/>
              </w:rPr>
            </w:pPr>
            <w:r>
              <w:rPr>
                <w:rFonts w:hint="eastAsia" w:ascii="宋体" w:hAnsi="宋体" w:cs="宋体"/>
                <w:highlight w:val="none"/>
              </w:rPr>
              <w:t>开标时间：同投标截止时间</w:t>
            </w:r>
          </w:p>
          <w:p>
            <w:pPr>
              <w:spacing w:line="360" w:lineRule="exact"/>
              <w:jc w:val="left"/>
              <w:rPr>
                <w:rFonts w:ascii="宋体" w:hAnsi="宋体" w:cs="宋体"/>
                <w:szCs w:val="21"/>
                <w:highlight w:val="none"/>
              </w:rPr>
            </w:pPr>
            <w:r>
              <w:rPr>
                <w:rFonts w:hint="eastAsia" w:ascii="宋体" w:hAnsi="宋体" w:cs="宋体"/>
                <w:highlight w:val="none"/>
              </w:rPr>
              <w:t>开标地点：重庆市公共资源交易中心开标室（具体请登陆重庆市公共资源交易网（www.cqggzy.com）查询或递交文件当日见交易中心大厅电子显示屏）。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360" w:lineRule="exact"/>
              <w:jc w:val="center"/>
              <w:rPr>
                <w:rFonts w:ascii="宋体" w:hAnsi="宋体" w:cs="宋体"/>
                <w:szCs w:val="21"/>
                <w:highlight w:val="none"/>
              </w:rPr>
            </w:pPr>
            <w:r>
              <w:rPr>
                <w:rFonts w:hint="eastAsia" w:ascii="宋体" w:hAnsi="宋体" w:cs="宋体"/>
                <w:kern w:val="0"/>
                <w:szCs w:val="21"/>
                <w:highlight w:val="none"/>
              </w:rPr>
              <w:t>5.2</w:t>
            </w:r>
          </w:p>
        </w:tc>
        <w:tc>
          <w:tcPr>
            <w:tcW w:w="2221"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开标程序</w:t>
            </w:r>
          </w:p>
        </w:tc>
        <w:tc>
          <w:tcPr>
            <w:tcW w:w="66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主持人按下列程序进行开标：</w:t>
            </w:r>
          </w:p>
          <w:p>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1. 宣布开标纪律。</w:t>
            </w:r>
          </w:p>
          <w:p>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2. 宣布开标人、唱标人、记录人、监标人等有关人员姓名。</w:t>
            </w:r>
          </w:p>
          <w:p>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3. 公布在投标截止时间前递交投标文件的投标人名称。</w:t>
            </w: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4. 投标文件的密封检查：投标人可对自己的投标文件封装情况进行检查，以确认其投标文件密封完好。</w:t>
            </w: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5. 汇总投标保证金交纳情况</w:t>
            </w:r>
          </w:p>
          <w:p>
            <w:pPr>
              <w:autoSpaceDE w:val="0"/>
              <w:autoSpaceDN w:val="0"/>
              <w:adjustRightInd w:val="0"/>
              <w:snapToGrid w:val="0"/>
              <w:spacing w:line="400" w:lineRule="exact"/>
              <w:ind w:firstLine="420" w:firstLineChars="200"/>
              <w:rPr>
                <w:rFonts w:ascii="宋体" w:hAnsi="宋体"/>
                <w:szCs w:val="21"/>
                <w:highlight w:val="none"/>
              </w:rPr>
            </w:pPr>
            <w:r>
              <w:rPr>
                <w:rFonts w:hint="eastAsia" w:ascii="宋体" w:hAnsi="宋体"/>
                <w:szCs w:val="21"/>
                <w:highlight w:val="none"/>
              </w:rPr>
              <w:t>5.1 展示以电子投标保函方式递交投标保证金的保证金交纳情况，应至少包含投标人名称、金额、投标保函提交时间、保函有效期及是否具有不可撤销且见索即付属性等。电子投标保函应在投标截止时间前提交至指定系统，异常情况在开标记录表“异常情况”栏中记录并交由评标委员会评审。</w:t>
            </w: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5.2 展示以电子转账方式递交投标保证金的保证金交纳情况，应至少包含投标人名称、金额、投标保证金打入指定账户的时间等，异常情况在开标记录表“备注”栏中记录并交由评标委员会评审。保证金来款账户非基本账户的，交由评标委员会作否决投标处理。</w:t>
            </w: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5.</w:t>
            </w:r>
            <w:r>
              <w:rPr>
                <w:rFonts w:hint="eastAsia" w:ascii="宋体" w:hAnsi="宋体"/>
                <w:szCs w:val="21"/>
                <w:highlight w:val="none"/>
                <w:lang w:val="en-US" w:eastAsia="zh-CN"/>
              </w:rPr>
              <w:t>3</w:t>
            </w:r>
            <w:r>
              <w:rPr>
                <w:rFonts w:hint="eastAsia" w:ascii="宋体" w:hAnsi="宋体"/>
                <w:szCs w:val="21"/>
                <w:highlight w:val="none"/>
              </w:rPr>
              <w:t xml:space="preserve"> 打印所有投标人的投标保证金交纳情况，并由招标人代表、监标人、记录人签名确认。</w:t>
            </w: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6. 公布最高限价。</w:t>
            </w: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7.  开启投标文件顺序：随机开启；</w:t>
            </w: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8.投标人对开标有异议的，应当场提出，由招标人或代理机构当场答复，并记录到开标记录表中。异议处理完毕后，汇总开标情况，打印开标记录表。</w:t>
            </w:r>
          </w:p>
          <w:p>
            <w:pPr>
              <w:snapToGrid w:val="0"/>
              <w:spacing w:line="400" w:lineRule="exact"/>
              <w:ind w:firstLine="420" w:firstLineChars="200"/>
              <w:rPr>
                <w:rFonts w:ascii="宋体" w:hAnsi="宋体"/>
                <w:szCs w:val="21"/>
                <w:highlight w:val="none"/>
              </w:rPr>
            </w:pPr>
            <w:r>
              <w:rPr>
                <w:rFonts w:hint="eastAsia" w:ascii="宋体" w:hAnsi="宋体"/>
                <w:szCs w:val="21"/>
                <w:highlight w:val="none"/>
              </w:rPr>
              <w:t>9.投标人代表、招标人代表、监标人、记录人等有关人员在开标记录上签名确认。因其他原因未能签名的，视为默认开标结果。</w:t>
            </w:r>
          </w:p>
          <w:p>
            <w:pPr>
              <w:spacing w:line="400" w:lineRule="exact"/>
              <w:ind w:firstLine="420" w:firstLineChars="200"/>
              <w:rPr>
                <w:rFonts w:ascii="宋体" w:hAnsi="宋体" w:cs="宋体"/>
                <w:szCs w:val="21"/>
                <w:highlight w:val="none"/>
              </w:rPr>
            </w:pPr>
            <w:r>
              <w:rPr>
                <w:rFonts w:hint="eastAsia" w:ascii="宋体" w:hAnsi="宋体"/>
                <w:szCs w:val="21"/>
                <w:highlight w:val="none"/>
              </w:rPr>
              <w:t>10.开标结束。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6.1.1</w:t>
            </w:r>
          </w:p>
        </w:tc>
        <w:tc>
          <w:tcPr>
            <w:tcW w:w="2221"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评标委员会</w:t>
            </w:r>
          </w:p>
          <w:p>
            <w:pPr>
              <w:spacing w:line="360" w:lineRule="exact"/>
              <w:jc w:val="center"/>
              <w:rPr>
                <w:rFonts w:ascii="宋体" w:hAnsi="宋体" w:cs="宋体"/>
                <w:kern w:val="0"/>
                <w:szCs w:val="21"/>
                <w:highlight w:val="none"/>
              </w:rPr>
            </w:pPr>
            <w:r>
              <w:rPr>
                <w:rFonts w:hint="eastAsia" w:ascii="宋体" w:hAnsi="宋体" w:cs="宋体"/>
                <w:kern w:val="0"/>
                <w:szCs w:val="21"/>
                <w:highlight w:val="none"/>
              </w:rPr>
              <w:t>的组建</w:t>
            </w:r>
          </w:p>
        </w:tc>
        <w:tc>
          <w:tcPr>
            <w:tcW w:w="6634" w:type="dxa"/>
            <w:vAlign w:val="center"/>
          </w:tcPr>
          <w:p>
            <w:pPr>
              <w:spacing w:line="360" w:lineRule="exact"/>
              <w:jc w:val="left"/>
              <w:rPr>
                <w:rFonts w:ascii="宋体" w:hAnsi="宋体" w:cs="宋体"/>
                <w:szCs w:val="21"/>
                <w:highlight w:val="none"/>
              </w:rPr>
            </w:pPr>
            <w:r>
              <w:rPr>
                <w:rFonts w:ascii="宋体" w:hAnsi="宋体" w:cs="宋体"/>
                <w:spacing w:val="-2"/>
                <w:highlight w:val="none"/>
              </w:rPr>
              <w:t>由招标人按法律法规及相关规定依法组建评标委员会。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dxa"/>
            <w:vAlign w:val="center"/>
          </w:tcPr>
          <w:p>
            <w:pPr>
              <w:spacing w:line="400" w:lineRule="exact"/>
              <w:jc w:val="center"/>
              <w:rPr>
                <w:rFonts w:ascii="宋体" w:hAnsi="宋体"/>
                <w:szCs w:val="21"/>
                <w:highlight w:val="none"/>
              </w:rPr>
            </w:pPr>
            <w:r>
              <w:rPr>
                <w:rFonts w:ascii="宋体" w:hAnsi="宋体"/>
                <w:szCs w:val="21"/>
                <w:highlight w:val="none"/>
              </w:rPr>
              <w:t>6.3.2</w:t>
            </w:r>
          </w:p>
        </w:tc>
        <w:tc>
          <w:tcPr>
            <w:tcW w:w="2221" w:type="dxa"/>
            <w:vAlign w:val="center"/>
          </w:tcPr>
          <w:p>
            <w:pPr>
              <w:spacing w:line="400" w:lineRule="exact"/>
              <w:jc w:val="center"/>
              <w:rPr>
                <w:rFonts w:ascii="宋体" w:hAnsi="宋体"/>
                <w:szCs w:val="21"/>
                <w:highlight w:val="none"/>
              </w:rPr>
            </w:pPr>
            <w:r>
              <w:rPr>
                <w:rFonts w:ascii="宋体" w:hAnsi="宋体"/>
                <w:szCs w:val="21"/>
                <w:highlight w:val="none"/>
              </w:rPr>
              <w:t>评标委员会推荐中标候选人的人数</w:t>
            </w:r>
          </w:p>
        </w:tc>
        <w:tc>
          <w:tcPr>
            <w:tcW w:w="6634" w:type="dxa"/>
            <w:vAlign w:val="center"/>
          </w:tcPr>
          <w:p>
            <w:pPr>
              <w:spacing w:line="400" w:lineRule="exact"/>
              <w:rPr>
                <w:rFonts w:ascii="宋体" w:hAnsi="宋体"/>
                <w:szCs w:val="21"/>
                <w:highlight w:val="none"/>
              </w:rPr>
            </w:pPr>
            <w:r>
              <w:rPr>
                <w:rFonts w:ascii="宋体" w:hAnsi="宋体"/>
                <w:szCs w:val="21"/>
                <w:highlight w:val="none"/>
              </w:rPr>
              <w:t>推荐的中标候选人数：3名，不足3名则按相应家数推荐中标候选人。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dxa"/>
            <w:vAlign w:val="center"/>
          </w:tcPr>
          <w:p>
            <w:pPr>
              <w:spacing w:line="400" w:lineRule="exact"/>
              <w:jc w:val="center"/>
              <w:rPr>
                <w:rFonts w:ascii="宋体" w:hAnsi="宋体"/>
                <w:szCs w:val="21"/>
                <w:highlight w:val="none"/>
              </w:rPr>
            </w:pPr>
            <w:r>
              <w:rPr>
                <w:rFonts w:ascii="宋体" w:hAnsi="宋体"/>
                <w:szCs w:val="21"/>
                <w:highlight w:val="none"/>
              </w:rPr>
              <w:t>7.1</w:t>
            </w:r>
          </w:p>
        </w:tc>
        <w:tc>
          <w:tcPr>
            <w:tcW w:w="2221" w:type="dxa"/>
            <w:vAlign w:val="center"/>
          </w:tcPr>
          <w:p>
            <w:pPr>
              <w:spacing w:line="400" w:lineRule="exact"/>
              <w:jc w:val="center"/>
              <w:rPr>
                <w:rFonts w:ascii="宋体" w:hAnsi="宋体"/>
                <w:szCs w:val="21"/>
                <w:highlight w:val="none"/>
              </w:rPr>
            </w:pPr>
            <w:r>
              <w:rPr>
                <w:rFonts w:ascii="宋体" w:hAnsi="宋体"/>
                <w:szCs w:val="21"/>
                <w:highlight w:val="none"/>
              </w:rPr>
              <w:t>中标候选人公示</w:t>
            </w:r>
          </w:p>
        </w:tc>
        <w:tc>
          <w:tcPr>
            <w:tcW w:w="6634" w:type="dxa"/>
            <w:vAlign w:val="center"/>
          </w:tcPr>
          <w:p>
            <w:pPr>
              <w:spacing w:before="138" w:line="356" w:lineRule="auto"/>
              <w:ind w:left="111" w:right="88" w:firstLine="422"/>
              <w:rPr>
                <w:rFonts w:ascii="宋体" w:hAnsi="宋体" w:cs="宋体"/>
                <w:spacing w:val="-2"/>
                <w:highlight w:val="none"/>
              </w:rPr>
            </w:pPr>
            <w:r>
              <w:rPr>
                <w:rFonts w:hint="eastAsia" w:ascii="宋体" w:hAnsi="宋体" w:cs="宋体"/>
                <w:spacing w:val="-2"/>
                <w:highlight w:val="none"/>
              </w:rPr>
              <w:t>招标人在收到评标报告后3日内将评标结果：</w:t>
            </w:r>
          </w:p>
          <w:p>
            <w:pPr>
              <w:spacing w:line="380" w:lineRule="exact"/>
              <w:rPr>
                <w:rFonts w:ascii="宋体" w:hAnsi="宋体"/>
                <w:szCs w:val="21"/>
                <w:highlight w:val="none"/>
              </w:rPr>
            </w:pPr>
            <w:r>
              <w:rPr>
                <w:rFonts w:hint="eastAsia" w:ascii="宋体" w:hAnsi="宋体" w:cs="宋体"/>
                <w:spacing w:val="-2"/>
                <w:highlight w:val="none"/>
              </w:rPr>
              <w:t>在重庆市公共资源交易网、重庆高速集团官网上进行公示，公示期为3个工作日。为深化信息公开，接受社会监督，本项目将按照《招标公告和公示信息发布管理办法》（国家发改委令第10号）的要求，公示内容包括中标候选人名称、排序、投标报价；否决投标情况及理由；提出异议、投诉的渠道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3" w:type="dxa"/>
            <w:vAlign w:val="center"/>
          </w:tcPr>
          <w:p>
            <w:pPr>
              <w:spacing w:line="440" w:lineRule="exact"/>
              <w:jc w:val="center"/>
              <w:rPr>
                <w:rFonts w:ascii="宋体" w:hAnsi="宋体"/>
                <w:szCs w:val="21"/>
                <w:highlight w:val="none"/>
              </w:rPr>
            </w:pPr>
            <w:r>
              <w:rPr>
                <w:rFonts w:hint="eastAsia" w:ascii="宋体" w:hAnsi="宋体"/>
                <w:szCs w:val="21"/>
                <w:highlight w:val="none"/>
              </w:rPr>
              <w:t>7.4</w:t>
            </w:r>
          </w:p>
        </w:tc>
        <w:tc>
          <w:tcPr>
            <w:tcW w:w="2221" w:type="dxa"/>
            <w:vAlign w:val="center"/>
          </w:tcPr>
          <w:p>
            <w:pPr>
              <w:spacing w:line="400" w:lineRule="exact"/>
              <w:jc w:val="center"/>
              <w:rPr>
                <w:rFonts w:ascii="宋体" w:hAnsi="宋体"/>
                <w:szCs w:val="21"/>
                <w:highlight w:val="none"/>
              </w:rPr>
            </w:pPr>
            <w:r>
              <w:rPr>
                <w:rFonts w:ascii="宋体" w:hAnsi="宋体"/>
                <w:szCs w:val="21"/>
                <w:highlight w:val="none"/>
              </w:rPr>
              <w:t>是否授权评标委员会确定中标人</w:t>
            </w:r>
          </w:p>
        </w:tc>
        <w:tc>
          <w:tcPr>
            <w:tcW w:w="6634" w:type="dxa"/>
            <w:vAlign w:val="center"/>
          </w:tcPr>
          <w:p>
            <w:pPr>
              <w:spacing w:line="400" w:lineRule="exact"/>
              <w:rPr>
                <w:rFonts w:ascii="宋体" w:hAnsi="宋体"/>
                <w:szCs w:val="21"/>
                <w:highlight w:val="none"/>
              </w:rPr>
            </w:pPr>
            <w:r>
              <w:rPr>
                <w:rFonts w:ascii="宋体" w:hAnsi="宋体" w:cs="宋体"/>
                <w:spacing w:val="-2"/>
                <w:highlight w:val="none"/>
              </w:rPr>
              <w:t>否，推荐经评审综合得分由高到低排名前三名为中标候选人。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7.5</w:t>
            </w:r>
          </w:p>
        </w:tc>
        <w:tc>
          <w:tcPr>
            <w:tcW w:w="2221" w:type="dxa"/>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中标通知</w:t>
            </w:r>
          </w:p>
        </w:tc>
        <w:tc>
          <w:tcPr>
            <w:tcW w:w="6634" w:type="dxa"/>
            <w:vAlign w:val="center"/>
          </w:tcPr>
          <w:p>
            <w:pPr>
              <w:spacing w:line="360" w:lineRule="exact"/>
              <w:jc w:val="left"/>
              <w:rPr>
                <w:rFonts w:ascii="宋体" w:hAnsi="宋体" w:cs="宋体"/>
                <w:szCs w:val="21"/>
                <w:highlight w:val="none"/>
              </w:rPr>
            </w:pPr>
            <w:r>
              <w:rPr>
                <w:rFonts w:hint="eastAsia" w:ascii="宋体" w:hAnsi="宋体" w:cs="宋体"/>
                <w:szCs w:val="21"/>
                <w:highlight w:val="none"/>
              </w:rPr>
              <w:t>招标人以书面形式向中标人发出中标通知书。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013"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7.7.1</w:t>
            </w:r>
          </w:p>
        </w:tc>
        <w:tc>
          <w:tcPr>
            <w:tcW w:w="2221" w:type="dxa"/>
            <w:vAlign w:val="center"/>
          </w:tcPr>
          <w:p>
            <w:pPr>
              <w:spacing w:line="360" w:lineRule="exact"/>
              <w:jc w:val="center"/>
              <w:rPr>
                <w:rFonts w:ascii="宋体" w:hAnsi="宋体" w:cs="宋体"/>
                <w:kern w:val="0"/>
                <w:szCs w:val="21"/>
                <w:highlight w:val="none"/>
              </w:rPr>
            </w:pPr>
            <w:r>
              <w:rPr>
                <w:rFonts w:hint="eastAsia" w:ascii="宋体" w:hAnsi="宋体" w:cs="宋体"/>
                <w:kern w:val="0"/>
                <w:szCs w:val="21"/>
                <w:highlight w:val="none"/>
              </w:rPr>
              <w:t>履约担保金保证金</w:t>
            </w:r>
          </w:p>
        </w:tc>
        <w:tc>
          <w:tcPr>
            <w:tcW w:w="6634" w:type="dxa"/>
          </w:tcPr>
          <w:p>
            <w:pPr>
              <w:spacing w:line="360" w:lineRule="exact"/>
              <w:rPr>
                <w:rFonts w:ascii="宋体" w:hAnsi="宋体" w:cs="宋体"/>
                <w:kern w:val="0"/>
                <w:szCs w:val="21"/>
                <w:highlight w:val="none"/>
              </w:rPr>
            </w:pPr>
            <w:r>
              <w:rPr>
                <w:rFonts w:hint="eastAsia" w:ascii="宋体" w:hAnsi="宋体" w:cs="宋体"/>
                <w:kern w:val="0"/>
                <w:szCs w:val="21"/>
                <w:highlight w:val="none"/>
              </w:rPr>
              <w:t>1、中标人是否提供履约担保：提供。</w:t>
            </w:r>
          </w:p>
          <w:p>
            <w:pPr>
              <w:spacing w:line="360" w:lineRule="exact"/>
              <w:rPr>
                <w:rFonts w:ascii="宋体" w:hAnsi="宋体" w:cs="宋体"/>
                <w:kern w:val="0"/>
                <w:szCs w:val="21"/>
                <w:highlight w:val="none"/>
              </w:rPr>
            </w:pPr>
            <w:r>
              <w:rPr>
                <w:rFonts w:hint="eastAsia" w:ascii="宋体" w:hAnsi="宋体" w:cs="宋体"/>
                <w:kern w:val="0"/>
                <w:szCs w:val="21"/>
                <w:highlight w:val="none"/>
              </w:rPr>
              <w:t>2、中标人提供履约担保的形式、金额及期限：</w:t>
            </w:r>
          </w:p>
          <w:p>
            <w:pPr>
              <w:spacing w:line="360" w:lineRule="exact"/>
              <w:rPr>
                <w:rFonts w:ascii="宋体" w:hAnsi="宋体" w:cs="宋体"/>
                <w:kern w:val="0"/>
                <w:szCs w:val="21"/>
                <w:highlight w:val="none"/>
              </w:rPr>
            </w:pPr>
            <w:r>
              <w:rPr>
                <w:rFonts w:hint="eastAsia" w:ascii="宋体" w:hAnsi="宋体" w:cs="宋体"/>
                <w:kern w:val="0"/>
                <w:szCs w:val="21"/>
                <w:highlight w:val="none"/>
              </w:rPr>
              <w:t>（1）履约担保的形式：现金或履约保函或现金+履约保函的组合，履约保函包括银行保函、保证保险和担保保函，其示范文本详见第四章合同条款及格式附件。中标人提交的履约保函应严格执行其示范文本，不得对示范文本中的实质性内容进行修改。</w:t>
            </w:r>
          </w:p>
          <w:p>
            <w:pPr>
              <w:spacing w:line="360" w:lineRule="exact"/>
              <w:rPr>
                <w:rFonts w:ascii="宋体" w:hAnsi="宋体" w:cs="宋体"/>
                <w:kern w:val="0"/>
                <w:szCs w:val="21"/>
                <w:highlight w:val="none"/>
              </w:rPr>
            </w:pPr>
            <w:r>
              <w:rPr>
                <w:rFonts w:hint="eastAsia" w:ascii="宋体" w:hAnsi="宋体" w:cs="宋体"/>
                <w:kern w:val="0"/>
                <w:szCs w:val="21"/>
                <w:highlight w:val="none"/>
              </w:rPr>
              <w:t>（2）具体要求：履约保函的开立人应当是具有相应资格的银行、保险机构、融资担保公司，其信用资质、履约能力、担保能力、赔付流程、安全保密等应符合履约保函业务条件。履约保函应合法合规，符合招投标行政监督部门、行业主管部门和金融监管部门的相关规定，满足招标文件约定要求。中标人应选择在渝依法设立总部或者设有分支机构的金融机构开具履约保函（包括纸质保函或电子保函）。履约保函为纸质保函的，纸质保函应注明在重庆市辖区范围内的核验地址和核验方式，并确保该纸质保函能在开立人在渝的总部或者分支机构进行核验。中标人对所提交的履约保函的真实性、合法性、有效性负责。</w:t>
            </w:r>
          </w:p>
          <w:p>
            <w:pPr>
              <w:spacing w:line="360" w:lineRule="exact"/>
              <w:rPr>
                <w:rFonts w:ascii="宋体" w:hAnsi="宋体" w:cs="宋体"/>
                <w:kern w:val="0"/>
                <w:szCs w:val="21"/>
                <w:highlight w:val="none"/>
              </w:rPr>
            </w:pPr>
            <w:r>
              <w:rPr>
                <w:rFonts w:hint="eastAsia" w:ascii="宋体" w:hAnsi="宋体" w:cs="宋体"/>
                <w:kern w:val="0"/>
                <w:szCs w:val="21"/>
                <w:highlight w:val="none"/>
              </w:rPr>
              <w:t>（3）履约担保的金额：30万元整。</w:t>
            </w:r>
          </w:p>
          <w:p>
            <w:pPr>
              <w:spacing w:line="360" w:lineRule="exact"/>
              <w:rPr>
                <w:rFonts w:ascii="宋体" w:hAnsi="宋体" w:cs="宋体"/>
                <w:kern w:val="0"/>
                <w:szCs w:val="21"/>
                <w:highlight w:val="none"/>
              </w:rPr>
            </w:pPr>
            <w:r>
              <w:rPr>
                <w:rFonts w:hint="eastAsia" w:ascii="宋体" w:hAnsi="宋体" w:cs="宋体"/>
                <w:kern w:val="0"/>
                <w:szCs w:val="21"/>
                <w:highlight w:val="none"/>
              </w:rPr>
              <w:t>（4）履约担保的提交时间：见合同条款。</w:t>
            </w:r>
          </w:p>
          <w:p>
            <w:pPr>
              <w:spacing w:line="360" w:lineRule="exact"/>
              <w:rPr>
                <w:rFonts w:ascii="宋体" w:hAnsi="宋体" w:cs="宋体"/>
                <w:kern w:val="0"/>
                <w:szCs w:val="21"/>
                <w:highlight w:val="none"/>
              </w:rPr>
            </w:pPr>
            <w:r>
              <w:rPr>
                <w:rFonts w:hint="eastAsia" w:ascii="宋体" w:hAnsi="宋体" w:cs="宋体"/>
                <w:kern w:val="0"/>
                <w:szCs w:val="21"/>
                <w:highlight w:val="none"/>
              </w:rPr>
              <w:t>（5）履约担保的期限：见合同条款。</w:t>
            </w:r>
          </w:p>
          <w:p>
            <w:pPr>
              <w:spacing w:line="360" w:lineRule="exact"/>
              <w:rPr>
                <w:rFonts w:ascii="宋体" w:hAnsi="宋体" w:cs="宋体"/>
                <w:kern w:val="0"/>
                <w:szCs w:val="21"/>
                <w:highlight w:val="none"/>
              </w:rPr>
            </w:pPr>
            <w:r>
              <w:rPr>
                <w:rFonts w:hint="eastAsia" w:ascii="宋体" w:hAnsi="宋体" w:cs="宋体"/>
                <w:kern w:val="0"/>
                <w:szCs w:val="21"/>
                <w:highlight w:val="none"/>
              </w:rPr>
              <w:t>（6）履约担保的退还时间：见合同条款。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jc w:val="center"/>
        </w:trPr>
        <w:tc>
          <w:tcPr>
            <w:tcW w:w="1013" w:type="dxa"/>
            <w:vAlign w:val="center"/>
          </w:tcPr>
          <w:p>
            <w:pPr>
              <w:pStyle w:val="27"/>
              <w:adjustRightInd/>
              <w:spacing w:line="360" w:lineRule="exact"/>
              <w:jc w:val="center"/>
              <w:rPr>
                <w:rFonts w:hAnsi="宋体"/>
                <w:color w:val="auto"/>
                <w:kern w:val="2"/>
                <w:sz w:val="21"/>
                <w:szCs w:val="21"/>
                <w:highlight w:val="none"/>
              </w:rPr>
            </w:pPr>
            <w:r>
              <w:rPr>
                <w:rFonts w:hint="eastAsia" w:hAnsi="宋体"/>
                <w:color w:val="auto"/>
                <w:kern w:val="2"/>
                <w:sz w:val="21"/>
                <w:szCs w:val="21"/>
                <w:highlight w:val="none"/>
              </w:rPr>
              <w:t>8.5.1</w:t>
            </w:r>
          </w:p>
        </w:tc>
        <w:tc>
          <w:tcPr>
            <w:tcW w:w="2221" w:type="dxa"/>
            <w:vAlign w:val="center"/>
          </w:tcPr>
          <w:p>
            <w:pPr>
              <w:spacing w:line="400" w:lineRule="exact"/>
              <w:jc w:val="center"/>
              <w:rPr>
                <w:rFonts w:ascii="宋体" w:hAnsi="宋体"/>
                <w:szCs w:val="21"/>
                <w:highlight w:val="none"/>
              </w:rPr>
            </w:pPr>
            <w:r>
              <w:rPr>
                <w:rFonts w:ascii="宋体" w:hAnsi="宋体"/>
                <w:szCs w:val="21"/>
                <w:highlight w:val="none"/>
              </w:rPr>
              <w:t>监督</w:t>
            </w:r>
            <w:r>
              <w:rPr>
                <w:rFonts w:hint="eastAsia" w:ascii="宋体" w:hAnsi="宋体"/>
                <w:szCs w:val="21"/>
                <w:highlight w:val="none"/>
              </w:rPr>
              <w:t>部门</w:t>
            </w:r>
          </w:p>
        </w:tc>
        <w:tc>
          <w:tcPr>
            <w:tcW w:w="6634" w:type="dxa"/>
            <w:vAlign w:val="center"/>
          </w:tcPr>
          <w:p>
            <w:pPr>
              <w:spacing w:before="138" w:line="356" w:lineRule="auto"/>
              <w:ind w:left="111" w:right="88" w:firstLine="422"/>
              <w:rPr>
                <w:rFonts w:hint="eastAsia" w:ascii="宋体" w:hAnsi="宋体" w:eastAsia="宋体"/>
                <w:szCs w:val="21"/>
                <w:highlight w:val="none"/>
                <w:lang w:eastAsia="zh-CN"/>
              </w:rPr>
            </w:pPr>
            <w:r>
              <w:rPr>
                <w:rFonts w:hint="eastAsia" w:ascii="宋体" w:hAnsi="宋体"/>
                <w:szCs w:val="21"/>
                <w:highlight w:val="none"/>
              </w:rPr>
              <w:t>异议受理单位：</w:t>
            </w:r>
            <w:r>
              <w:rPr>
                <w:rFonts w:hint="eastAsia" w:ascii="宋体" w:hAnsi="宋体"/>
                <w:szCs w:val="21"/>
                <w:highlight w:val="none"/>
                <w:lang w:eastAsia="zh-CN"/>
              </w:rPr>
              <w:t>重庆公路养护工程（集团）有限公司</w:t>
            </w:r>
          </w:p>
          <w:p>
            <w:pPr>
              <w:spacing w:before="138" w:line="356" w:lineRule="auto"/>
              <w:ind w:left="111" w:right="88" w:firstLine="422"/>
              <w:rPr>
                <w:rFonts w:ascii="宋体" w:hAnsi="宋体"/>
                <w:szCs w:val="21"/>
                <w:highlight w:val="none"/>
              </w:rPr>
            </w:pPr>
            <w:r>
              <w:rPr>
                <w:rFonts w:hint="eastAsia" w:ascii="宋体" w:hAnsi="宋体"/>
                <w:szCs w:val="21"/>
                <w:highlight w:val="none"/>
              </w:rPr>
              <w:t>电  话：023-88563373</w:t>
            </w:r>
          </w:p>
          <w:p>
            <w:pPr>
              <w:spacing w:before="138" w:line="356" w:lineRule="auto"/>
              <w:ind w:left="111" w:right="88" w:firstLine="422"/>
              <w:rPr>
                <w:rFonts w:ascii="宋体" w:hAnsi="宋体"/>
                <w:szCs w:val="21"/>
                <w:highlight w:val="none"/>
              </w:rPr>
            </w:pPr>
            <w:r>
              <w:rPr>
                <w:rFonts w:hint="eastAsia" w:ascii="宋体" w:hAnsi="宋体"/>
                <w:szCs w:val="21"/>
                <w:highlight w:val="none"/>
              </w:rPr>
              <w:t>投诉受理部门：</w:t>
            </w:r>
            <w:r>
              <w:rPr>
                <w:rFonts w:hint="eastAsia" w:ascii="宋体" w:hAnsi="宋体"/>
                <w:szCs w:val="21"/>
                <w:highlight w:val="none"/>
                <w:lang w:eastAsia="zh-CN"/>
              </w:rPr>
              <w:t>重庆公路养护工程（集团）有限公司</w:t>
            </w:r>
            <w:r>
              <w:rPr>
                <w:rFonts w:hint="eastAsia" w:ascii="宋体" w:hAnsi="宋体"/>
                <w:szCs w:val="21"/>
                <w:highlight w:val="none"/>
              </w:rPr>
              <w:t xml:space="preserve">   </w:t>
            </w:r>
          </w:p>
          <w:p>
            <w:pPr>
              <w:spacing w:before="138" w:line="356" w:lineRule="auto"/>
              <w:ind w:left="111" w:right="88" w:firstLine="422"/>
              <w:rPr>
                <w:rFonts w:hAnsi="宋体"/>
                <w:szCs w:val="21"/>
                <w:highlight w:val="none"/>
              </w:rPr>
            </w:pPr>
            <w:r>
              <w:rPr>
                <w:rFonts w:hint="eastAsia" w:ascii="宋体" w:hAnsi="宋体"/>
                <w:szCs w:val="21"/>
                <w:highlight w:val="none"/>
              </w:rPr>
              <w:t xml:space="preserve">联系电话：023-89187977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Align w:val="center"/>
          </w:tcPr>
          <w:p>
            <w:pPr>
              <w:pStyle w:val="27"/>
              <w:adjustRightInd/>
              <w:spacing w:line="360" w:lineRule="exact"/>
              <w:jc w:val="center"/>
              <w:rPr>
                <w:rFonts w:hAnsi="宋体"/>
                <w:color w:val="auto"/>
                <w:kern w:val="2"/>
                <w:sz w:val="21"/>
                <w:szCs w:val="21"/>
                <w:highlight w:val="none"/>
              </w:rPr>
            </w:pPr>
            <w:r>
              <w:rPr>
                <w:rFonts w:hint="eastAsia" w:hAnsi="宋体"/>
                <w:color w:val="auto"/>
                <w:kern w:val="2"/>
                <w:sz w:val="21"/>
                <w:szCs w:val="21"/>
                <w:highlight w:val="none"/>
              </w:rPr>
              <w:t>9</w:t>
            </w:r>
          </w:p>
        </w:tc>
        <w:tc>
          <w:tcPr>
            <w:tcW w:w="2221" w:type="dxa"/>
            <w:vAlign w:val="center"/>
          </w:tcPr>
          <w:p>
            <w:pPr>
              <w:pStyle w:val="27"/>
              <w:adjustRightInd/>
              <w:spacing w:line="360" w:lineRule="exact"/>
              <w:jc w:val="center"/>
              <w:rPr>
                <w:rFonts w:hAnsi="宋体"/>
                <w:color w:val="auto"/>
                <w:kern w:val="2"/>
                <w:sz w:val="21"/>
                <w:szCs w:val="21"/>
                <w:highlight w:val="none"/>
              </w:rPr>
            </w:pPr>
            <w:r>
              <w:rPr>
                <w:rFonts w:hint="eastAsia" w:hAnsi="宋体"/>
                <w:color w:val="auto"/>
                <w:kern w:val="2"/>
                <w:sz w:val="21"/>
                <w:szCs w:val="21"/>
                <w:highlight w:val="none"/>
              </w:rPr>
              <w:t>是否采用电子招标投标</w:t>
            </w:r>
          </w:p>
        </w:tc>
        <w:tc>
          <w:tcPr>
            <w:tcW w:w="6634" w:type="dxa"/>
          </w:tcPr>
          <w:p>
            <w:pPr>
              <w:pStyle w:val="27"/>
              <w:adjustRightInd/>
              <w:spacing w:line="360" w:lineRule="exact"/>
              <w:rPr>
                <w:rFonts w:hAnsi="宋体"/>
                <w:color w:val="auto"/>
                <w:kern w:val="2"/>
                <w:sz w:val="21"/>
                <w:szCs w:val="21"/>
                <w:highlight w:val="none"/>
              </w:rPr>
            </w:pPr>
            <w:r>
              <w:rPr>
                <w:rFonts w:hint="eastAsia" w:hAnsi="宋体"/>
                <w:color w:val="auto"/>
                <w:kern w:val="2"/>
                <w:sz w:val="21"/>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68" w:type="dxa"/>
            <w:gridSpan w:val="3"/>
            <w:vAlign w:val="center"/>
          </w:tcPr>
          <w:p>
            <w:pPr>
              <w:spacing w:line="360" w:lineRule="exact"/>
              <w:jc w:val="center"/>
              <w:rPr>
                <w:rFonts w:ascii="宋体" w:hAnsi="宋体" w:cs="宋体"/>
                <w:b/>
                <w:szCs w:val="21"/>
                <w:highlight w:val="none"/>
              </w:rPr>
            </w:pPr>
            <w:r>
              <w:rPr>
                <w:rFonts w:hint="eastAsia" w:ascii="宋体" w:hAnsi="宋体" w:cs="宋体"/>
                <w:b/>
                <w:szCs w:val="21"/>
                <w:highlight w:val="none"/>
              </w:rPr>
              <w:t>需补充的其它内容</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cs="宋体"/>
                <w:szCs w:val="21"/>
                <w:highlight w:val="none"/>
              </w:rPr>
            </w:pPr>
            <w:r>
              <w:rPr>
                <w:rFonts w:hint="eastAsia" w:ascii="宋体" w:hAnsi="宋体" w:cs="宋体"/>
                <w:szCs w:val="21"/>
                <w:highlight w:val="none"/>
              </w:rPr>
              <w:t>10.1</w:t>
            </w:r>
          </w:p>
        </w:tc>
        <w:tc>
          <w:tcPr>
            <w:tcW w:w="2221"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left"/>
              <w:rPr>
                <w:highlight w:val="none"/>
              </w:rPr>
            </w:pPr>
            <w:r>
              <w:rPr>
                <w:rFonts w:hint="eastAsia" w:ascii="宋体" w:hAnsi="宋体" w:cs="宋体"/>
                <w:szCs w:val="21"/>
                <w:highlight w:val="none"/>
              </w:rPr>
              <w:t>澄清修改的其他说明</w:t>
            </w:r>
          </w:p>
        </w:tc>
        <w:tc>
          <w:tcPr>
            <w:tcW w:w="6634" w:type="dxa"/>
            <w:tcBorders>
              <w:top w:val="single" w:color="auto" w:sz="4" w:space="0"/>
              <w:left w:val="single" w:color="auto" w:sz="4" w:space="0"/>
              <w:bottom w:val="single" w:color="auto" w:sz="4" w:space="0"/>
              <w:right w:val="single" w:color="auto" w:sz="4" w:space="0"/>
            </w:tcBorders>
            <w:vAlign w:val="center"/>
          </w:tcPr>
          <w:p>
            <w:pPr>
              <w:spacing w:line="380" w:lineRule="exact"/>
              <w:rPr>
                <w:szCs w:val="21"/>
                <w:highlight w:val="none"/>
              </w:rPr>
            </w:pPr>
            <w:r>
              <w:rPr>
                <w:rFonts w:hint="eastAsia" w:ascii="宋体" w:hAnsi="宋体" w:cs="宋体"/>
                <w:szCs w:val="21"/>
                <w:highlight w:val="none"/>
              </w:rPr>
              <w:t>澄清修改文件解释顺序：对招标文件两次以上的澄清、修改如有不一致之处，以日期在后的澄清或补遗为准。</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10.2</w:t>
            </w:r>
          </w:p>
        </w:tc>
        <w:tc>
          <w:tcPr>
            <w:tcW w:w="222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highlight w:val="none"/>
              </w:rPr>
            </w:pPr>
            <w:r>
              <w:rPr>
                <w:rFonts w:hint="eastAsia" w:ascii="宋体" w:hAnsi="宋体" w:cs="宋体"/>
                <w:kern w:val="0"/>
                <w:szCs w:val="21"/>
                <w:highlight w:val="none"/>
              </w:rPr>
              <w:t>异议、投诉处理</w:t>
            </w:r>
          </w:p>
        </w:tc>
        <w:tc>
          <w:tcPr>
            <w:tcW w:w="66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420" w:firstLineChars="200"/>
              <w:rPr>
                <w:rFonts w:ascii="宋体" w:hAnsi="宋体"/>
                <w:kern w:val="0"/>
                <w:szCs w:val="21"/>
                <w:highlight w:val="none"/>
              </w:rPr>
            </w:pPr>
            <w:r>
              <w:rPr>
                <w:rFonts w:ascii="宋体" w:hAnsi="宋体"/>
                <w:kern w:val="0"/>
                <w:szCs w:val="21"/>
                <w:highlight w:val="none"/>
              </w:rPr>
              <w:t>1.</w:t>
            </w:r>
            <w:r>
              <w:rPr>
                <w:rFonts w:hint="eastAsia" w:ascii="宋体" w:hAnsi="宋体"/>
                <w:kern w:val="0"/>
                <w:szCs w:val="21"/>
                <w:highlight w:val="none"/>
              </w:rPr>
              <w:t xml:space="preserve"> </w:t>
            </w:r>
            <w:r>
              <w:rPr>
                <w:rFonts w:ascii="宋体" w:hAnsi="宋体"/>
                <w:kern w:val="0"/>
                <w:szCs w:val="21"/>
                <w:highlight w:val="none"/>
              </w:rPr>
              <w:t>投标人或者其他利害关系人就本项目的招标文件</w:t>
            </w:r>
            <w:r>
              <w:rPr>
                <w:rFonts w:hint="eastAsia" w:ascii="宋体" w:hAnsi="宋体"/>
                <w:kern w:val="0"/>
                <w:szCs w:val="21"/>
                <w:highlight w:val="none"/>
              </w:rPr>
              <w:t>（含澄清修改）、开标情况、</w:t>
            </w:r>
            <w:r>
              <w:rPr>
                <w:rFonts w:ascii="宋体" w:hAnsi="宋体"/>
                <w:kern w:val="0"/>
                <w:szCs w:val="21"/>
                <w:highlight w:val="none"/>
              </w:rPr>
              <w:t>评标结果等事项提出异议或投诉</w:t>
            </w:r>
            <w:r>
              <w:rPr>
                <w:rFonts w:hint="eastAsia" w:ascii="宋体" w:hAnsi="宋体"/>
                <w:kern w:val="0"/>
                <w:szCs w:val="21"/>
                <w:highlight w:val="none"/>
              </w:rPr>
              <w:t>的</w:t>
            </w:r>
            <w:r>
              <w:rPr>
                <w:rFonts w:ascii="宋体" w:hAnsi="宋体"/>
                <w:kern w:val="0"/>
                <w:szCs w:val="21"/>
                <w:highlight w:val="none"/>
              </w:rPr>
              <w:t>，应当先向招标人提出异议；招标人应当在规定时间内答复；对招标人的答复不满意，可向行政监督部门投诉。</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提出异议或投诉时应当包括下列内容：</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（1）异议人或投诉人的名称、地址及有效联系方式；</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（2）被异议人或被投诉人的名称、地址及有效联系方式；</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（3）异议或投诉事项的基本事实；</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（4）请求及主张；</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（5）涉及事项的证据、证明材料。</w:t>
            </w:r>
          </w:p>
          <w:p>
            <w:pPr>
              <w:widowControl/>
              <w:spacing w:line="400" w:lineRule="exact"/>
              <w:ind w:firstLine="420" w:firstLineChars="200"/>
              <w:rPr>
                <w:rFonts w:ascii="宋体" w:hAnsi="宋体"/>
                <w:kern w:val="0"/>
                <w:szCs w:val="21"/>
                <w:highlight w:val="none"/>
              </w:rPr>
            </w:pPr>
            <w:r>
              <w:rPr>
                <w:rFonts w:hint="eastAsia" w:ascii="宋体" w:hAnsi="宋体"/>
                <w:kern w:val="0"/>
                <w:szCs w:val="21"/>
                <w:highlight w:val="none"/>
              </w:rPr>
              <w:t>异议人或投诉人是法人的，异议书或投诉书必须由其法定代表人或者委托代理人签名并加盖单位公章；异议人或投诉人是其他组织或者自然人的，异议书或投诉书必须由其主要负责人签名或者异议人（或投诉人）本人签名，并附有效身份证明。如有关材料是外文，应当同时提供中文译本。</w:t>
            </w:r>
          </w:p>
          <w:p>
            <w:pPr>
              <w:widowControl/>
              <w:spacing w:line="400" w:lineRule="exact"/>
              <w:ind w:firstLine="420" w:firstLineChars="200"/>
              <w:rPr>
                <w:rFonts w:ascii="宋体" w:hAnsi="宋体"/>
                <w:kern w:val="0"/>
                <w:szCs w:val="21"/>
                <w:highlight w:val="none"/>
              </w:rPr>
            </w:pPr>
            <w:r>
              <w:rPr>
                <w:rFonts w:ascii="宋体" w:hAnsi="宋体"/>
                <w:kern w:val="0"/>
                <w:szCs w:val="21"/>
                <w:highlight w:val="none"/>
              </w:rPr>
              <w:t>2.</w:t>
            </w:r>
            <w:r>
              <w:rPr>
                <w:rFonts w:hint="eastAsia" w:ascii="宋体" w:hAnsi="宋体"/>
                <w:kern w:val="0"/>
                <w:szCs w:val="21"/>
                <w:highlight w:val="none"/>
              </w:rPr>
              <w:t xml:space="preserve"> </w:t>
            </w:r>
            <w:r>
              <w:rPr>
                <w:rFonts w:ascii="宋体" w:hAnsi="宋体"/>
                <w:kern w:val="0"/>
                <w:szCs w:val="21"/>
                <w:highlight w:val="none"/>
              </w:rPr>
              <w:t>行政监督部门依照《</w:t>
            </w:r>
            <w:r>
              <w:rPr>
                <w:rFonts w:hint="eastAsia" w:ascii="宋体" w:hAnsi="宋体"/>
                <w:kern w:val="0"/>
                <w:szCs w:val="21"/>
                <w:highlight w:val="none"/>
              </w:rPr>
              <w:t>中华人民共和国</w:t>
            </w:r>
            <w:r>
              <w:rPr>
                <w:rFonts w:ascii="宋体" w:hAnsi="宋体"/>
                <w:kern w:val="0"/>
                <w:szCs w:val="21"/>
                <w:highlight w:val="none"/>
              </w:rPr>
              <w:t>招标投标法</w:t>
            </w:r>
            <w:r>
              <w:rPr>
                <w:rFonts w:hint="eastAsia" w:ascii="宋体" w:hAnsi="宋体"/>
                <w:kern w:val="0"/>
                <w:szCs w:val="21"/>
                <w:highlight w:val="none"/>
              </w:rPr>
              <w:t>》《中华人民共和国</w:t>
            </w:r>
            <w:r>
              <w:rPr>
                <w:rFonts w:ascii="宋体" w:hAnsi="宋体"/>
                <w:kern w:val="0"/>
                <w:szCs w:val="21"/>
                <w:highlight w:val="none"/>
              </w:rPr>
              <w:t>招标投标法实施条例</w:t>
            </w:r>
            <w:r>
              <w:rPr>
                <w:rFonts w:hint="eastAsia" w:ascii="宋体" w:hAnsi="宋体"/>
                <w:kern w:val="0"/>
                <w:szCs w:val="21"/>
                <w:highlight w:val="none"/>
              </w:rPr>
              <w:t>》《</w:t>
            </w:r>
            <w:r>
              <w:rPr>
                <w:rFonts w:ascii="宋体" w:hAnsi="宋体"/>
                <w:kern w:val="0"/>
                <w:szCs w:val="21"/>
                <w:highlight w:val="none"/>
              </w:rPr>
              <w:t>重庆市招标投标条例</w:t>
            </w:r>
            <w:r>
              <w:rPr>
                <w:rFonts w:hint="eastAsia" w:ascii="宋体" w:hAnsi="宋体"/>
                <w:kern w:val="0"/>
                <w:szCs w:val="21"/>
                <w:highlight w:val="none"/>
              </w:rPr>
              <w:t>》《</w:t>
            </w:r>
            <w:r>
              <w:rPr>
                <w:rFonts w:ascii="宋体" w:hAnsi="宋体"/>
                <w:kern w:val="0"/>
                <w:szCs w:val="21"/>
                <w:highlight w:val="none"/>
              </w:rPr>
              <w:t>工程建设项目招标投标活动投诉处理办法》（七部委令第11号（根据九部门2013年第23号令修正））、</w:t>
            </w:r>
            <w:r>
              <w:rPr>
                <w:rFonts w:hint="eastAsia" w:ascii="宋体" w:hAnsi="宋体" w:cs="宋体"/>
                <w:kern w:val="0"/>
                <w:szCs w:val="21"/>
                <w:highlight w:val="none"/>
              </w:rPr>
              <w:t>《关于印发〈重庆市招标投标活动投诉处理实施细则（修订）〉的通知》（渝公管发〔2021〕54号）</w:t>
            </w:r>
            <w:r>
              <w:rPr>
                <w:rFonts w:ascii="宋体" w:hAnsi="宋体"/>
                <w:kern w:val="0"/>
                <w:szCs w:val="21"/>
                <w:highlight w:val="none"/>
              </w:rPr>
              <w:t>等法律法规文件处理投诉。</w:t>
            </w:r>
          </w:p>
          <w:p>
            <w:pPr>
              <w:widowControl/>
              <w:spacing w:line="320" w:lineRule="exact"/>
              <w:ind w:firstLine="420" w:firstLineChars="200"/>
              <w:rPr>
                <w:rFonts w:hint="eastAsia" w:ascii="宋体" w:hAnsi="宋体" w:eastAsia="宋体" w:cs="宋体"/>
                <w:kern w:val="0"/>
                <w:szCs w:val="21"/>
                <w:highlight w:val="none"/>
                <w:lang w:eastAsia="zh-CN"/>
              </w:rPr>
            </w:pPr>
            <w:r>
              <w:rPr>
                <w:rFonts w:hint="eastAsia" w:ascii="宋体" w:hAnsi="宋体" w:cs="宋体"/>
                <w:kern w:val="0"/>
                <w:szCs w:val="21"/>
                <w:highlight w:val="none"/>
              </w:rPr>
              <w:t>3.</w:t>
            </w:r>
            <w:r>
              <w:rPr>
                <w:rFonts w:hint="eastAsia" w:ascii="宋体" w:hAnsi="宋体" w:cs="宋体"/>
                <w:kern w:val="0"/>
                <w:highlight w:val="none"/>
              </w:rPr>
              <w:t xml:space="preserve"> </w:t>
            </w:r>
            <w:r>
              <w:rPr>
                <w:rFonts w:hint="eastAsia" w:ascii="宋体" w:hAnsi="宋体" w:cs="宋体"/>
                <w:kern w:val="0"/>
                <w:szCs w:val="21"/>
                <w:highlight w:val="none"/>
              </w:rPr>
              <w:t>异议受理单位：</w:t>
            </w:r>
            <w:r>
              <w:rPr>
                <w:rFonts w:hint="eastAsia" w:ascii="宋体" w:hAnsi="宋体" w:cs="宋体"/>
                <w:kern w:val="0"/>
                <w:szCs w:val="21"/>
                <w:highlight w:val="none"/>
                <w:lang w:eastAsia="zh-CN"/>
              </w:rPr>
              <w:t>重庆公路养护工程（集团）有限公司</w:t>
            </w:r>
          </w:p>
          <w:p>
            <w:pPr>
              <w:widowControl/>
              <w:spacing w:line="320" w:lineRule="exact"/>
              <w:ind w:firstLine="420" w:firstLineChars="200"/>
              <w:rPr>
                <w:rFonts w:ascii="宋体" w:hAnsi="宋体" w:cs="宋体"/>
                <w:kern w:val="0"/>
                <w:szCs w:val="21"/>
                <w:highlight w:val="none"/>
              </w:rPr>
            </w:pPr>
            <w:r>
              <w:rPr>
                <w:rFonts w:hint="eastAsia" w:ascii="宋体" w:hAnsi="宋体" w:cs="宋体"/>
                <w:kern w:val="0"/>
                <w:szCs w:val="21"/>
                <w:highlight w:val="none"/>
              </w:rPr>
              <w:t>电  话：023-88563373</w:t>
            </w:r>
          </w:p>
          <w:p>
            <w:pPr>
              <w:widowControl/>
              <w:spacing w:line="320" w:lineRule="exact"/>
              <w:ind w:firstLine="420" w:firstLineChars="200"/>
              <w:rPr>
                <w:rFonts w:ascii="宋体" w:hAnsi="宋体" w:cs="宋体"/>
                <w:kern w:val="0"/>
                <w:szCs w:val="21"/>
                <w:highlight w:val="none"/>
              </w:rPr>
            </w:pPr>
            <w:r>
              <w:rPr>
                <w:rFonts w:hint="eastAsia" w:ascii="宋体" w:hAnsi="宋体" w:cs="宋体"/>
                <w:kern w:val="0"/>
                <w:szCs w:val="21"/>
                <w:highlight w:val="none"/>
              </w:rPr>
              <w:t>投诉受理部门：</w:t>
            </w:r>
            <w:r>
              <w:rPr>
                <w:rFonts w:hint="eastAsia" w:ascii="宋体" w:hAnsi="宋体" w:cs="宋体"/>
                <w:kern w:val="0"/>
                <w:szCs w:val="21"/>
                <w:highlight w:val="none"/>
                <w:lang w:eastAsia="zh-CN"/>
              </w:rPr>
              <w:t>重庆公路养护工程（集团）有限公司</w:t>
            </w:r>
            <w:r>
              <w:rPr>
                <w:rFonts w:hint="eastAsia" w:ascii="宋体" w:hAnsi="宋体" w:cs="宋体"/>
                <w:kern w:val="0"/>
                <w:szCs w:val="21"/>
                <w:highlight w:val="none"/>
              </w:rPr>
              <w:t xml:space="preserve">   </w:t>
            </w:r>
          </w:p>
          <w:p>
            <w:pPr>
              <w:widowControl/>
              <w:spacing w:line="320" w:lineRule="exact"/>
              <w:ind w:firstLine="420" w:firstLineChars="200"/>
              <w:rPr>
                <w:highlight w:val="none"/>
              </w:rPr>
            </w:pPr>
            <w:r>
              <w:rPr>
                <w:rFonts w:hint="eastAsia" w:ascii="宋体" w:hAnsi="宋体" w:cs="宋体"/>
                <w:kern w:val="0"/>
                <w:szCs w:val="21"/>
                <w:highlight w:val="none"/>
              </w:rPr>
              <w:t>联系电话：</w:t>
            </w:r>
            <w:r>
              <w:rPr>
                <w:rFonts w:ascii="宋体" w:hAnsi="宋体" w:cs="宋体"/>
                <w:kern w:val="0"/>
                <w:szCs w:val="21"/>
                <w:highlight w:val="none"/>
              </w:rPr>
              <w:t>023-89187977</w:t>
            </w:r>
            <w:r>
              <w:rPr>
                <w:rFonts w:hint="eastAsia" w:ascii="宋体" w:hAnsi="宋体" w:cs="宋体"/>
                <w:kern w:val="0"/>
                <w:szCs w:val="21"/>
                <w:highlight w:val="none"/>
              </w:rPr>
              <w:t xml:space="preserve">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szCs w:val="21"/>
                <w:highlight w:val="none"/>
              </w:rPr>
            </w:pPr>
            <w:r>
              <w:rPr>
                <w:rFonts w:hint="eastAsia" w:ascii="宋体" w:hAnsi="宋体" w:cs="宋体"/>
                <w:szCs w:val="21"/>
                <w:highlight w:val="none"/>
              </w:rPr>
              <w:t>10.3</w:t>
            </w:r>
          </w:p>
        </w:tc>
        <w:tc>
          <w:tcPr>
            <w:tcW w:w="2221"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highlight w:val="none"/>
              </w:rPr>
            </w:pPr>
            <w:r>
              <w:rPr>
                <w:rFonts w:hint="eastAsia" w:ascii="宋体" w:hAnsi="宋体" w:cs="宋体"/>
                <w:kern w:val="0"/>
                <w:szCs w:val="21"/>
                <w:highlight w:val="none"/>
              </w:rPr>
              <w:t>重新招标和不再招标</w:t>
            </w:r>
          </w:p>
        </w:tc>
        <w:tc>
          <w:tcPr>
            <w:tcW w:w="663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400" w:lineRule="exact"/>
              <w:rPr>
                <w:highlight w:val="none"/>
              </w:rPr>
            </w:pPr>
            <w:r>
              <w:rPr>
                <w:rFonts w:hint="eastAsia" w:ascii="宋体" w:hAnsi="宋体" w:cs="宋体"/>
                <w:snapToGrid w:val="0"/>
                <w:kern w:val="0"/>
                <w:szCs w:val="21"/>
                <w:highlight w:val="none"/>
              </w:rPr>
              <w:t>有下列情形之一的，招标人将重新招标：</w:t>
            </w:r>
          </w:p>
          <w:p>
            <w:pPr>
              <w:autoSpaceDE w:val="0"/>
              <w:autoSpaceDN w:val="0"/>
              <w:adjustRightInd w:val="0"/>
              <w:snapToGrid w:val="0"/>
              <w:spacing w:line="400" w:lineRule="exact"/>
              <w:rPr>
                <w:highlight w:val="none"/>
              </w:rPr>
            </w:pPr>
            <w:r>
              <w:rPr>
                <w:rFonts w:hint="eastAsia" w:ascii="宋体" w:hAnsi="宋体" w:cs="宋体"/>
                <w:snapToGrid w:val="0"/>
                <w:kern w:val="0"/>
                <w:szCs w:val="21"/>
                <w:highlight w:val="none"/>
              </w:rPr>
              <w:t>（1）投标截止时间止，投标人少于3个的；</w:t>
            </w:r>
          </w:p>
          <w:p>
            <w:pPr>
              <w:autoSpaceDE w:val="0"/>
              <w:autoSpaceDN w:val="0"/>
              <w:adjustRightInd w:val="0"/>
              <w:snapToGrid w:val="0"/>
              <w:spacing w:line="400" w:lineRule="exact"/>
              <w:rPr>
                <w:highlight w:val="none"/>
              </w:rPr>
            </w:pPr>
            <w:r>
              <w:rPr>
                <w:rFonts w:hint="eastAsia" w:ascii="宋体" w:hAnsi="宋体" w:cs="宋体"/>
                <w:snapToGrid w:val="0"/>
                <w:kern w:val="0"/>
                <w:szCs w:val="21"/>
                <w:highlight w:val="none"/>
              </w:rPr>
              <w:t>（2）经评标委员会评审后否决所有投标的；</w:t>
            </w:r>
          </w:p>
          <w:p>
            <w:pPr>
              <w:autoSpaceDE w:val="0"/>
              <w:autoSpaceDN w:val="0"/>
              <w:adjustRightInd w:val="0"/>
              <w:snapToGrid w:val="0"/>
              <w:spacing w:line="400" w:lineRule="exact"/>
              <w:rPr>
                <w:highlight w:val="none"/>
              </w:rPr>
            </w:pPr>
            <w:r>
              <w:rPr>
                <w:rFonts w:hint="eastAsia" w:ascii="宋体" w:hAnsi="宋体" w:cs="宋体"/>
                <w:snapToGrid w:val="0"/>
                <w:kern w:val="0"/>
                <w:szCs w:val="21"/>
                <w:highlight w:val="none"/>
              </w:rPr>
              <w:t>（3）法律规定的其他情形。</w:t>
            </w:r>
          </w:p>
          <w:p>
            <w:pPr>
              <w:autoSpaceDE w:val="0"/>
              <w:autoSpaceDN w:val="0"/>
              <w:adjustRightInd w:val="0"/>
              <w:snapToGrid w:val="0"/>
              <w:spacing w:line="400" w:lineRule="exact"/>
              <w:rPr>
                <w:highlight w:val="none"/>
              </w:rPr>
            </w:pPr>
            <w:r>
              <w:rPr>
                <w:rFonts w:hint="eastAsia" w:ascii="宋体" w:hAnsi="宋体" w:cs="宋体"/>
                <w:snapToGrid w:val="0"/>
                <w:kern w:val="0"/>
                <w:szCs w:val="21"/>
                <w:highlight w:val="none"/>
              </w:rPr>
              <w:t>排名第一的中标候选人放弃中标、因不可抗力不能履行合同、不按照招标文件要求提交履约保证金，或者被查实存在影响中标结果的违法行为等情形，不符合中标条件的，招标人可以重新招标。</w:t>
            </w:r>
          </w:p>
          <w:p>
            <w:pPr>
              <w:autoSpaceDE w:val="0"/>
              <w:autoSpaceDN w:val="0"/>
              <w:adjustRightInd w:val="0"/>
              <w:snapToGrid w:val="0"/>
              <w:spacing w:line="400" w:lineRule="exact"/>
              <w:rPr>
                <w:highlight w:val="none"/>
              </w:rPr>
            </w:pPr>
            <w:r>
              <w:rPr>
                <w:rFonts w:hint="eastAsia" w:ascii="宋体" w:hAnsi="宋体" w:cs="宋体"/>
                <w:snapToGrid w:val="0"/>
                <w:kern w:val="0"/>
                <w:szCs w:val="21"/>
                <w:highlight w:val="none"/>
              </w:rPr>
              <w:t>不再招标：</w:t>
            </w:r>
          </w:p>
          <w:p>
            <w:pPr>
              <w:autoSpaceDE w:val="0"/>
              <w:autoSpaceDN w:val="0"/>
              <w:adjustRightInd w:val="0"/>
              <w:snapToGrid w:val="0"/>
              <w:spacing w:line="400" w:lineRule="exact"/>
              <w:rPr>
                <w:highlight w:val="none"/>
              </w:rPr>
            </w:pPr>
            <w:r>
              <w:rPr>
                <w:rFonts w:hint="eastAsia" w:ascii="宋体" w:hAnsi="宋体" w:cs="宋体"/>
                <w:snapToGrid w:val="0"/>
                <w:kern w:val="0"/>
                <w:szCs w:val="21"/>
                <w:highlight w:val="none"/>
              </w:rPr>
              <w:t>重新招标后投标人仍然少于三个的，按照招标投标法律法规规定的程序开标和评标。重新招标经评审有有效投标人，应当依法确定中标候选人；无有效投标人的，可以不再进行招标，但是按照国家有关规定需要履行审批、核准、备案手续的依法必须进行招标的项目，应当报原项目投资主管部门审批、核准、备案。</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jc w:val="center"/>
        </w:trPr>
        <w:tc>
          <w:tcPr>
            <w:tcW w:w="101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10.4</w:t>
            </w:r>
          </w:p>
        </w:tc>
        <w:tc>
          <w:tcPr>
            <w:tcW w:w="8855" w:type="dxa"/>
            <w:gridSpan w:val="2"/>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cs="宋体"/>
                <w:color w:val="auto"/>
                <w:szCs w:val="21"/>
                <w:highlight w:val="none"/>
              </w:rPr>
            </w:pPr>
            <w:r>
              <w:rPr>
                <w:rFonts w:hint="eastAsia" w:ascii="宋体" w:hAnsi="宋体" w:cs="宋体"/>
                <w:color w:val="auto"/>
                <w:szCs w:val="21"/>
                <w:highlight w:val="none"/>
              </w:rPr>
              <w:t>1</w:t>
            </w:r>
            <w:r>
              <w:rPr>
                <w:rFonts w:ascii="宋体" w:hAnsi="宋体" w:cs="宋体"/>
                <w:color w:val="auto"/>
                <w:szCs w:val="21"/>
                <w:highlight w:val="none"/>
              </w:rPr>
              <w:t>.本次招标代理服务费包干费为：</w:t>
            </w:r>
            <w:r>
              <w:rPr>
                <w:rFonts w:hint="eastAsia" w:ascii="宋体" w:hAnsi="宋体" w:cs="宋体"/>
                <w:color w:val="auto"/>
                <w:szCs w:val="21"/>
                <w:highlight w:val="none"/>
                <w:u w:val="single"/>
                <w:lang w:val="en-US" w:eastAsia="zh-CN"/>
              </w:rPr>
              <w:t>4</w:t>
            </w:r>
            <w:r>
              <w:rPr>
                <w:rFonts w:hint="eastAsia" w:ascii="宋体" w:hAnsi="宋体" w:cs="宋体"/>
                <w:color w:val="auto"/>
                <w:szCs w:val="21"/>
                <w:highlight w:val="none"/>
              </w:rPr>
              <w:t>万元，此费用由中标人在领取中标通知书时以现金或转账方式向招标代理机构一次性足额缴纳的代理服务费。</w:t>
            </w:r>
          </w:p>
          <w:p>
            <w:pPr>
              <w:spacing w:line="400" w:lineRule="exact"/>
              <w:rPr>
                <w:rFonts w:hint="eastAsia" w:ascii="宋体" w:hAnsi="宋体" w:cs="宋体"/>
                <w:color w:val="auto"/>
                <w:szCs w:val="21"/>
                <w:highlight w:val="none"/>
                <w:lang w:eastAsia="zh-CN"/>
              </w:rPr>
            </w:pPr>
            <w:r>
              <w:rPr>
                <w:rFonts w:hint="eastAsia" w:ascii="宋体" w:hAnsi="宋体" w:cs="宋体"/>
                <w:color w:val="auto"/>
                <w:szCs w:val="21"/>
                <w:highlight w:val="none"/>
              </w:rPr>
              <w:t>2.本次招标入场交易服务费依据（渝发改收费[2023]115号）文件的标准计取，以</w:t>
            </w:r>
            <w:r>
              <w:rPr>
                <w:rFonts w:hint="eastAsia" w:ascii="宋体" w:hAnsi="宋体" w:cs="宋体"/>
                <w:color w:val="auto"/>
                <w:szCs w:val="21"/>
                <w:highlight w:val="none"/>
                <w:lang w:val="en-US" w:eastAsia="zh-CN"/>
              </w:rPr>
              <w:t>预估金额</w:t>
            </w:r>
            <w:r>
              <w:rPr>
                <w:rFonts w:hint="eastAsia" w:ascii="宋体" w:hAnsi="宋体" w:cs="宋体"/>
                <w:color w:val="auto"/>
                <w:szCs w:val="21"/>
                <w:highlight w:val="none"/>
                <w:u w:val="single"/>
                <w:lang w:val="en-US" w:eastAsia="zh-CN"/>
              </w:rPr>
              <w:t>459</w:t>
            </w:r>
            <w:r>
              <w:rPr>
                <w:rFonts w:hint="eastAsia" w:ascii="宋体" w:hAnsi="宋体" w:cs="宋体"/>
                <w:color w:val="auto"/>
                <w:szCs w:val="21"/>
                <w:highlight w:val="none"/>
                <w:lang w:val="en-US" w:eastAsia="zh-CN"/>
              </w:rPr>
              <w:t>万元</w:t>
            </w:r>
            <w:r>
              <w:rPr>
                <w:rFonts w:hint="eastAsia" w:ascii="宋体" w:hAnsi="宋体" w:cs="宋体"/>
                <w:color w:val="auto"/>
                <w:szCs w:val="21"/>
                <w:highlight w:val="none"/>
              </w:rPr>
              <w:t>作为收费基数。由合同中标人全额向重庆联合产权交易所集团股份有限公司支付。预估金额仅作计费参考，</w:t>
            </w:r>
            <w:r>
              <w:rPr>
                <w:rFonts w:hint="eastAsia" w:ascii="宋体" w:hAnsi="宋体" w:cs="宋体"/>
                <w:color w:val="auto"/>
                <w:szCs w:val="21"/>
                <w:highlight w:val="none"/>
                <w:lang w:eastAsia="zh-CN"/>
              </w:rPr>
              <w:t>不作为结算金额。</w:t>
            </w:r>
          </w:p>
          <w:p>
            <w:pPr>
              <w:spacing w:line="400" w:lineRule="exact"/>
              <w:rPr>
                <w:color w:val="auto"/>
                <w:highlight w:val="none"/>
              </w:rPr>
            </w:pPr>
            <w:r>
              <w:rPr>
                <w:rFonts w:hint="eastAsia" w:ascii="宋体" w:hAnsi="宋体" w:cs="宋体"/>
                <w:color w:val="auto"/>
                <w:szCs w:val="21"/>
                <w:highlight w:val="none"/>
              </w:rPr>
              <w:t>3.投标人在投标报价中，应充分考虑以上两部分费用，招标人视各投标人的投标报价中已包含此部分费用。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jc w:val="center"/>
        </w:trPr>
        <w:tc>
          <w:tcPr>
            <w:tcW w:w="1013" w:type="dxa"/>
            <w:tcBorders>
              <w:top w:val="single" w:color="auto" w:sz="4" w:space="0"/>
              <w:left w:val="single" w:color="auto" w:sz="4" w:space="0"/>
              <w:bottom w:val="single" w:color="auto" w:sz="4" w:space="0"/>
              <w:right w:val="single" w:color="auto" w:sz="4" w:space="0"/>
            </w:tcBorders>
            <w:vAlign w:val="center"/>
          </w:tcPr>
          <w:p>
            <w:pPr>
              <w:pStyle w:val="27"/>
              <w:adjustRightInd/>
              <w:spacing w:line="360" w:lineRule="exact"/>
              <w:jc w:val="center"/>
              <w:rPr>
                <w:rFonts w:hAnsi="宋体"/>
                <w:color w:val="auto"/>
                <w:kern w:val="2"/>
                <w:sz w:val="21"/>
                <w:szCs w:val="21"/>
                <w:highlight w:val="none"/>
              </w:rPr>
            </w:pPr>
            <w:r>
              <w:rPr>
                <w:rFonts w:hint="eastAsia" w:hAnsi="宋体"/>
                <w:color w:val="auto"/>
                <w:kern w:val="2"/>
                <w:sz w:val="21"/>
                <w:szCs w:val="21"/>
                <w:highlight w:val="none"/>
              </w:rPr>
              <w:t>10.5</w:t>
            </w:r>
          </w:p>
        </w:tc>
        <w:tc>
          <w:tcPr>
            <w:tcW w:w="222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szCs w:val="21"/>
                <w:highlight w:val="none"/>
              </w:rPr>
            </w:pPr>
            <w:r>
              <w:rPr>
                <w:kern w:val="0"/>
                <w:highlight w:val="none"/>
              </w:rPr>
              <w:t>特别说明</w:t>
            </w:r>
          </w:p>
        </w:tc>
        <w:tc>
          <w:tcPr>
            <w:tcW w:w="6634" w:type="dxa"/>
            <w:tcBorders>
              <w:top w:val="single" w:color="auto" w:sz="4" w:space="0"/>
              <w:left w:val="single" w:color="auto" w:sz="4" w:space="0"/>
              <w:bottom w:val="single" w:color="auto" w:sz="4" w:space="0"/>
              <w:right w:val="single" w:color="auto" w:sz="4" w:space="0"/>
            </w:tcBorders>
            <w:vAlign w:val="center"/>
          </w:tcPr>
          <w:p>
            <w:pPr>
              <w:spacing w:line="400" w:lineRule="exact"/>
              <w:rPr>
                <w:kern w:val="0"/>
                <w:highlight w:val="none"/>
              </w:rPr>
            </w:pPr>
            <w:r>
              <w:rPr>
                <w:kern w:val="0"/>
                <w:highlight w:val="none"/>
              </w:rPr>
              <w:t>1.本工程依据《中华人民共和国招标投标法</w:t>
            </w:r>
            <w:r>
              <w:rPr>
                <w:rFonts w:hint="eastAsia"/>
                <w:kern w:val="0"/>
                <w:highlight w:val="none"/>
              </w:rPr>
              <w:t>》《</w:t>
            </w:r>
            <w:r>
              <w:rPr>
                <w:kern w:val="0"/>
                <w:highlight w:val="none"/>
              </w:rPr>
              <w:t>重庆市招标投标条例</w:t>
            </w:r>
            <w:r>
              <w:rPr>
                <w:rFonts w:hint="eastAsia"/>
                <w:kern w:val="0"/>
                <w:highlight w:val="none"/>
              </w:rPr>
              <w:t>》《</w:t>
            </w:r>
            <w:r>
              <w:rPr>
                <w:kern w:val="0"/>
                <w:highlight w:val="none"/>
              </w:rPr>
              <w:t>中华人民共和国招标投标法实施条例》等有关招投标的规定进行招标，不符合规定的投标要求或不符合招标文件规定的实质性条件的，评标委员会可认定为无效投标。</w:t>
            </w:r>
          </w:p>
          <w:p>
            <w:pPr>
              <w:spacing w:line="400" w:lineRule="exact"/>
              <w:rPr>
                <w:rFonts w:ascii="宋体" w:hAnsi="宋体" w:cs="宋体"/>
                <w:szCs w:val="21"/>
                <w:highlight w:val="none"/>
              </w:rPr>
            </w:pPr>
            <w:r>
              <w:rPr>
                <w:kern w:val="0"/>
                <w:highlight w:val="none"/>
              </w:rPr>
              <w:t>2.投标人提供的所有资料复印件应清晰、可辨，招标人将进一步核查投标人在投标文件中的提供的资料，若在评标期间有投标人投诉并经查实或评标委员会发现投标人提供了虚假资料，招标人将对投标人的投标文件作无</w:t>
            </w:r>
            <w:r>
              <w:rPr>
                <w:rFonts w:hint="eastAsia"/>
                <w:kern w:val="0"/>
                <w:highlight w:val="none"/>
              </w:rPr>
              <w:t>效投</w:t>
            </w:r>
            <w:r>
              <w:rPr>
                <w:kern w:val="0"/>
                <w:highlight w:val="none"/>
              </w:rPr>
              <w:t>标处理，并没收其投标保证金；若在评标结果公示期间或合同谈判过程中有投标人投诉或经招标人核查并经查实发现作为中标候选人的投标人提供了虚假资料，招标人将取消其中标资格并没收其投标保证金。</w:t>
            </w:r>
          </w:p>
        </w:tc>
      </w:tr>
    </w:tbl>
    <w:p>
      <w:pPr>
        <w:spacing w:line="400" w:lineRule="exact"/>
        <w:ind w:firstLine="562" w:firstLineChars="200"/>
        <w:jc w:val="center"/>
        <w:rPr>
          <w:rFonts w:ascii="宋体" w:hAnsi="宋体" w:cs="宋体"/>
          <w:b/>
          <w:sz w:val="28"/>
          <w:szCs w:val="21"/>
        </w:rPr>
        <w:sectPr>
          <w:footerReference r:id="rId7" w:type="default"/>
          <w:pgSz w:w="11906" w:h="16838"/>
          <w:pgMar w:top="1418" w:right="1134" w:bottom="1418" w:left="1134" w:header="851" w:footer="992" w:gutter="0"/>
          <w:pgNumType w:start="1"/>
          <w:cols w:space="720" w:num="1"/>
          <w:docGrid w:type="lines" w:linePitch="312" w:charSpace="0"/>
        </w:sectPr>
      </w:pPr>
      <w:bookmarkStart w:id="72" w:name="_Toc444770933"/>
      <w:bookmarkStart w:id="73" w:name="_Toc144974497"/>
      <w:bookmarkStart w:id="74" w:name="_Toc152042305"/>
      <w:bookmarkStart w:id="75" w:name="_Toc179632546"/>
      <w:bookmarkStart w:id="76" w:name="_Toc152045529"/>
      <w:bookmarkStart w:id="77" w:name="_Toc246996175"/>
      <w:bookmarkStart w:id="78" w:name="_Toc247085689"/>
      <w:bookmarkStart w:id="79" w:name="_Toc246996918"/>
    </w:p>
    <w:bookmarkEnd w:id="72"/>
    <w:bookmarkEnd w:id="73"/>
    <w:bookmarkEnd w:id="74"/>
    <w:bookmarkEnd w:id="75"/>
    <w:bookmarkEnd w:id="76"/>
    <w:bookmarkEnd w:id="77"/>
    <w:bookmarkEnd w:id="78"/>
    <w:bookmarkEnd w:id="79"/>
    <w:p>
      <w:pPr>
        <w:pStyle w:val="5"/>
      </w:pPr>
      <w:bookmarkStart w:id="80" w:name="_Toc248058286"/>
    </w:p>
    <w:p>
      <w:pPr>
        <w:spacing w:line="360" w:lineRule="exact"/>
        <w:rPr>
          <w:rFonts w:ascii="宋体" w:hAnsi="宋体" w:cs="宋体"/>
          <w:b/>
          <w:szCs w:val="21"/>
        </w:rPr>
      </w:pP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1.总则</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1.1项目概况</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1.1.1根据《中华人民共和国招标投标法》等有关法律、法规和规章的规定，本招标项目已具备招标条件，现对本标项目进行招标。</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1.1.2本招标项目招标人：见投标人须知前附表。</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1.1.3本标段招标代理机构：见投标人须知前附表。</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1.1.4本招标项目名称：见投标人须知前附表。</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1.1.5本标段服务地点：见投标人须知前附表。</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1.2资金来源和落实情况</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1.2.1本招标项目的资金来源：见投标人须知前附表。</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1.2.2本招标项目的出资比例：见投标人须知前附表。</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1.2.3本招标项目的资金落实情况：见投标人须知前附表。</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1.3招标内容、交货期和质量要求</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1.3.1本次招标内容：见投标人须知前附表。</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1.3.2服务期：见投标人须知前附表。</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1.3.3质量要求：见投标人须知前附表。</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1.4投标人资格要求</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1.4.1投标人应具备承担本标段的资质条件、能力和信誉。</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(1)资质条件、营业执照：见投标人须知前附表；</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(2)财务要求：见投标人须知前附表；</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(3)业绩要求：见投标人须知前附表；</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(4)投标截止日投标资格情况要求：见投标人须知前附表；</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(5)其他要求：见投标人须知前附表。</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1.4.3投标人不得存在下列情形之一：</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(1)为招标人不具有独立法人资格的附属机构(单位)；</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(2)与招标人存在利害关系且可能影响招标公正性；</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(3)与本标段的其他投标人同为一个单位负责人；</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(4)与本标段的其他投标人存在控股、管理关系；</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(5)为本标段前期准备提供设计或咨询服务的法人或其任何附属机构(单位)；</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(6)为本标段的监理人；</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(7)为本标段的代建人；</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(8)为本标段的招标代理机构；</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(9)与本标段的监理人或代建人或招标代理机构同为一个法定代表人；</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(10)与本标段的监理人或代建人或招标代理机构存在控股或参股关系；</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(11)法律法规或投标人须知前附表规定的其他情形。</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1.5费用承担</w:t>
      </w:r>
    </w:p>
    <w:p>
      <w:pPr>
        <w:pStyle w:val="2"/>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投标人准备和参加投标活动发生的费用自理。</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1.6保密</w:t>
      </w:r>
    </w:p>
    <w:p>
      <w:pPr>
        <w:pStyle w:val="2"/>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参与招标投标活动的各方应对招标文件和投标文件中的商业和技术等秘密保密，违者应对由此造成的后果承担法律责任。</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1.7语言文字</w:t>
      </w:r>
    </w:p>
    <w:p>
      <w:pPr>
        <w:pStyle w:val="2"/>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除专用术语外，与招标投标有关的语言均使用中文。必要时专用术语应附有中文注释。</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1.8计量单位</w:t>
      </w:r>
    </w:p>
    <w:p>
      <w:pPr>
        <w:pStyle w:val="2"/>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所有计量均采用中华人民共和国法定计量单位。</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1.9踏勘现场</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1.9.1投标人须知前附表规定组织踏勘现场的，招标人按投标人须知前附表规定的时间、地点组织投标人踏勘项目现场。</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1.9.2投标人踏勘现场发生的费用自理。</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1.9.3除招标人的原因外，投标人自行负责在踏勘现场中所发生的人员伤亡和财产损失。</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1.9.4招标人在踏勘现场中介绍的工程场地和相关的周边环境情况，供投标人在编制投标文件时参考，招标人不对投标人据此做出的判断和决策负责。</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1.10投标预备会</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1.10.1投标人须知前附表规定召开投标预备会的，招标人按投标人须知前附表规定的时间和地点召开投标预备会，澄清投标人提出的问题。</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1.10.2投标人应在投标人须知前附表2.2.4规定的时间前，以书面形式将提出的问题送达招标人，以便招标人澄清。</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1.10.3招标人在投标人须知前附表规定的时间内，将对投标人所提的问题进行澄清。该澄清内容为招标文件的组成部分。</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1.11分包</w:t>
      </w:r>
    </w:p>
    <w:p>
      <w:pPr>
        <w:pStyle w:val="2"/>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不允许。</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1.12偏离</w:t>
      </w:r>
    </w:p>
    <w:p>
      <w:pPr>
        <w:pStyle w:val="2"/>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投标人须知前附表允许投标文件偏离招标文件某些要求的，偏离应当符合招标文件规定的偏离范围和幅度。</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2.招标文件</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2.1招标文件的组成</w:t>
      </w:r>
    </w:p>
    <w:p>
      <w:pPr>
        <w:pStyle w:val="2"/>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本招标文件包括：</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(1)招标公告；</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(2)投标人须知；</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(3)评标办法；</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(4)合同条款及格式；</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(5)技术标准和要求；</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(6)投标文件格式；根据本章第1.10款、第2.2款和第2.3款对招标文件所作的澄清、修改，构成招标文件的组成部分。</w:t>
      </w:r>
      <w:r>
        <w:rPr>
          <w:rFonts w:hint="eastAsia" w:ascii="宋体" w:hAnsi="宋体" w:cs="宋体"/>
          <w:sz w:val="21"/>
          <w:szCs w:val="21"/>
        </w:rPr>
        <w:t>当招标文件、招标文件的澄清或修改等在同一内容的表述上不一致时，以最后发出的书面文件为准。当对招标文件的理解有争议的，应当作出不利于招标人的解释，但违背国家利益、社会公共利益的除外。</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2.2招标文件的澄清</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2.2.1投标人应仔细阅读和检查招标文件的全部内容。如发现缺页或附件不全，应及时向招标人提出，以便补齐。如有疑问，应在投标人须知前附表规定的时间前在重庆市公共资源交易网(www.cqggzy.com)</w:t>
      </w:r>
      <w:r>
        <w:rPr>
          <w:rFonts w:hint="eastAsia" w:ascii="宋体" w:hAnsi="宋体" w:cs="宋体"/>
          <w:sz w:val="21"/>
          <w:szCs w:val="21"/>
        </w:rPr>
        <w:fldChar w:fldCharType="begin"/>
      </w:r>
      <w:r>
        <w:rPr>
          <w:rFonts w:ascii="宋体" w:hAnsi="宋体" w:cs="宋体"/>
          <w:sz w:val="21"/>
          <w:szCs w:val="21"/>
        </w:rPr>
        <w:instrText xml:space="preserve"> HYPERLINK "http://www.cpcb.com.cn/Front.aspx/Zydy" </w:instrText>
      </w:r>
      <w:r>
        <w:rPr>
          <w:rFonts w:hint="eastAsia" w:ascii="宋体" w:hAnsi="宋体" w:cs="宋体"/>
          <w:sz w:val="21"/>
          <w:szCs w:val="21"/>
        </w:rPr>
        <w:fldChar w:fldCharType="separate"/>
      </w:r>
      <w:r>
        <w:rPr>
          <w:rFonts w:hint="eastAsia" w:ascii="宋体" w:hAnsi="宋体" w:cs="宋体"/>
          <w:sz w:val="21"/>
          <w:szCs w:val="21"/>
        </w:rPr>
        <w:t>投标人提问区或</w:t>
      </w:r>
      <w:r>
        <w:rPr>
          <w:rFonts w:hint="eastAsia" w:ascii="宋体" w:hAnsi="宋体" w:cs="宋体"/>
          <w:sz w:val="21"/>
          <w:szCs w:val="21"/>
        </w:rPr>
        <w:fldChar w:fldCharType="end"/>
      </w:r>
      <w:r>
        <w:rPr>
          <w:rFonts w:hint="eastAsia" w:ascii="宋体" w:hAnsi="宋体" w:cs="宋体"/>
          <w:sz w:val="21"/>
          <w:szCs w:val="21"/>
        </w:rPr>
        <w:t>者相应法定网站提问，要求招标人对招标文件予以澄清。</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2.2.2招标文件的澄清将在投标人须知前附表规定的投标截止时间15天前在相应法定网站发布，但不指明澄清问题的来源。如果澄清发出的时间距投标截止时间不足15天，相应延长投标截止时间。</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2.2.3招标人对招标文件的修改内容可能影响投标文件编制的，须在投标截止时间15</w:t>
      </w:r>
      <w:r>
        <w:rPr>
          <w:rFonts w:hint="eastAsia" w:ascii="宋体" w:hAnsi="宋体" w:cs="宋体"/>
          <w:sz w:val="21"/>
          <w:szCs w:val="21"/>
        </w:rPr>
        <w:t>日前发布，发布时间至投标截止时间不足</w:t>
      </w:r>
      <w:r>
        <w:rPr>
          <w:rFonts w:ascii="宋体" w:hAnsi="宋体" w:cs="宋体"/>
          <w:sz w:val="21"/>
          <w:szCs w:val="21"/>
        </w:rPr>
        <w:t>15日的，须相应延后投标截止时间。</w:t>
      </w:r>
    </w:p>
    <w:p>
      <w:pPr>
        <w:pStyle w:val="2"/>
        <w:adjustRightInd w:val="0"/>
        <w:snapToGrid w:val="0"/>
        <w:spacing w:line="360" w:lineRule="auto"/>
        <w:ind w:firstLine="420" w:firstLineChars="200"/>
        <w:rPr>
          <w:rFonts w:hint="eastAsia" w:ascii="宋体" w:hAnsi="宋体" w:eastAsia="宋体" w:cs="宋体"/>
          <w:sz w:val="21"/>
          <w:szCs w:val="21"/>
          <w:lang w:eastAsia="zh-CN"/>
        </w:rPr>
      </w:pPr>
      <w:r>
        <w:rPr>
          <w:rFonts w:ascii="宋体" w:hAnsi="宋体" w:cs="宋体"/>
          <w:sz w:val="21"/>
          <w:szCs w:val="21"/>
        </w:rPr>
        <w:t>2.2.4投标人对招标文件和澄清修改仍有异议的，可于投标截止时间10日前，通过重</w:t>
      </w:r>
      <w:r>
        <w:rPr>
          <w:rFonts w:hint="eastAsia" w:ascii="宋体" w:hAnsi="宋体" w:cs="宋体"/>
          <w:sz w:val="21"/>
          <w:szCs w:val="21"/>
        </w:rPr>
        <w:t>庆市电子招投标系统提出。招标人应将答复以修改的形式在相应法定网站发布。修改内容可能影响投标文件编制的，须在投标截止时间</w:t>
      </w:r>
      <w:r>
        <w:rPr>
          <w:rFonts w:ascii="宋体" w:hAnsi="宋体" w:cs="宋体"/>
          <w:sz w:val="21"/>
          <w:szCs w:val="21"/>
        </w:rPr>
        <w:t>15日前发布，发布时间至投标截止时间不足15日的，须相应延后投标截止时间</w:t>
      </w:r>
      <w:r>
        <w:rPr>
          <w:rFonts w:hint="eastAsia" w:ascii="宋体" w:hAnsi="宋体" w:cs="宋体"/>
          <w:sz w:val="21"/>
          <w:szCs w:val="21"/>
          <w:lang w:eastAsia="zh-CN"/>
        </w:rPr>
        <w:t>。</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2.3招标文件的修改</w:t>
      </w:r>
    </w:p>
    <w:p>
      <w:pPr>
        <w:pStyle w:val="2"/>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按照本章</w:t>
      </w:r>
      <w:r>
        <w:rPr>
          <w:rFonts w:ascii="宋体" w:hAnsi="宋体" w:cs="宋体"/>
          <w:sz w:val="21"/>
          <w:szCs w:val="21"/>
        </w:rPr>
        <w:t>2.2招标文件的澄清相关内容及方式执行。</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3.投标文件</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3.1投标文件的组成</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3.1.1投标文件应包括下列内容：</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(1)投标函部分；</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(2)资格审查部分；</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(3)商务部分</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(4)技术部分；</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3.2投标报价</w:t>
      </w:r>
    </w:p>
    <w:p>
      <w:pPr>
        <w:pStyle w:val="2"/>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见投标人须知前附表。</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3.3投标有效期</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3.3.1在投标人须知前附表规定的投标有效期内，投标人不得要求撤销或修改其投标文件。</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3.3.2出现特殊情况需要延长投标有效期的，招标人以书面形式通知所有投标人延长投标有效期。投标人同意延长的，应相应延长其投标保函的有效期，但不得要求或被允许修改或撤销其投标文件；投标人拒绝延长的，其投标失效，但投标人有权收回其投标保函。(适用于投标保证金采用投标保函形式的)</w:t>
      </w:r>
      <w:r>
        <w:rPr>
          <w:rFonts w:hint="eastAsia" w:ascii="宋体" w:hAnsi="宋体" w:cs="宋体"/>
          <w:sz w:val="21"/>
          <w:szCs w:val="21"/>
        </w:rPr>
        <w:t>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r>
        <w:rPr>
          <w:rFonts w:ascii="宋体" w:hAnsi="宋体" w:cs="宋体"/>
          <w:sz w:val="21"/>
          <w:szCs w:val="21"/>
        </w:rPr>
        <w:t>(适用于投标保证金采用银行转账形式的)</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3.4投标保证金</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3.4.1投标人在递交投标文件的同时，应按投标人须知前附表规定的金额、担保形式和第</w:t>
      </w:r>
      <w:r>
        <w:rPr>
          <w:rFonts w:hint="eastAsia" w:ascii="宋体" w:hAnsi="宋体" w:cs="宋体"/>
          <w:sz w:val="21"/>
          <w:szCs w:val="21"/>
          <w:lang w:eastAsia="zh-CN"/>
        </w:rPr>
        <w:t>五</w:t>
      </w:r>
      <w:r>
        <w:rPr>
          <w:rFonts w:ascii="宋体" w:hAnsi="宋体" w:cs="宋体"/>
          <w:sz w:val="21"/>
          <w:szCs w:val="21"/>
        </w:rPr>
        <w:t>章“投标文件格式”规定的投标保证金缴纳形式递交投标保证金，并作为其投标文件的组成部分。联合体投标的，其投标保证金由牵头人递交，并应符合投标人须知前附表的规定。</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3.4.2投标人不按本章第3.4.1项要求提交投标保证金的，其投标文件作否决投标处理。</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3.4.3投标保证金的利息计算原则：见投标人须知前附表。</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3.4.4有下列情形之一的，投标保证金将不予退还：</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(1)投标人在规定的投标有效期内撤销或修改其投标文件；</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(2)中标人在收到中标通知书后，无正当理由拒签合同协议书或未按招标文件规定提交履约担保；</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(3)违反本章9.2条对投标人的纪律要求的；</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(4)法律法规和本招标文件规定的其他情形。</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3.4.5(1)投标保证金为无条件担保；</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(2)投标保证金的受益人为招标人。</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3.5资格审查资料</w:t>
      </w:r>
    </w:p>
    <w:p>
      <w:pPr>
        <w:pStyle w:val="2"/>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见投标人须知前附表</w:t>
      </w:r>
      <w:r>
        <w:rPr>
          <w:rFonts w:ascii="宋体" w:hAnsi="宋体" w:cs="宋体"/>
          <w:sz w:val="21"/>
          <w:szCs w:val="21"/>
        </w:rPr>
        <w:t>1.4.1款。</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3.6备选投标方案</w:t>
      </w:r>
    </w:p>
    <w:p>
      <w:pPr>
        <w:pStyle w:val="2"/>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见投标人须知前附表。</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3.7投标文件的编制</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3.7.1投标文件应按第</w:t>
      </w:r>
      <w:r>
        <w:rPr>
          <w:rFonts w:hint="eastAsia" w:ascii="宋体" w:hAnsi="宋体" w:cs="宋体"/>
          <w:sz w:val="21"/>
          <w:szCs w:val="21"/>
          <w:lang w:eastAsia="zh-CN"/>
        </w:rPr>
        <w:t>五</w:t>
      </w:r>
      <w:r>
        <w:rPr>
          <w:rFonts w:ascii="宋体" w:hAnsi="宋体" w:cs="宋体"/>
          <w:sz w:val="21"/>
          <w:szCs w:val="21"/>
        </w:rPr>
        <w:t>章“投标文件格式”进行编写，如有必要，可以增加附页，作为投标文件的组成部分。其中，投标函附录在满足招标文件实质性要求的基础上，可以提出比招标文件要求更有利于招标人的承诺。</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3.7.2投标文件应对招标文件有关工期、投标有效期、质量要求、安全目标、技术标准和要求、招标范围等实质性内容作出响应。</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3.7.3投标文件的签名盖章要求：按本章投标人须知前附表第3.7.3项执行。</w:t>
      </w:r>
    </w:p>
    <w:p>
      <w:pPr>
        <w:pStyle w:val="2"/>
        <w:adjustRightInd w:val="0"/>
        <w:snapToGrid w:val="0"/>
        <w:spacing w:line="360" w:lineRule="auto"/>
        <w:ind w:firstLine="420" w:firstLineChars="200"/>
        <w:rPr>
          <w:rFonts w:hint="eastAsia" w:ascii="宋体" w:hAnsi="宋体" w:cs="宋体"/>
          <w:sz w:val="21"/>
          <w:szCs w:val="21"/>
          <w:lang w:val="en-US" w:eastAsia="zh-CN"/>
        </w:rPr>
      </w:pPr>
      <w:r>
        <w:rPr>
          <w:rFonts w:ascii="宋体" w:hAnsi="宋体" w:cs="宋体"/>
          <w:sz w:val="21"/>
          <w:szCs w:val="21"/>
        </w:rPr>
        <w:t>3.7.4投标文件份数：</w:t>
      </w:r>
      <w:r>
        <w:rPr>
          <w:rFonts w:hint="eastAsia" w:ascii="宋体" w:hAnsi="宋体" w:cs="宋体"/>
          <w:sz w:val="21"/>
          <w:szCs w:val="21"/>
          <w:lang w:val="en-US" w:eastAsia="zh-CN"/>
        </w:rPr>
        <w:t>正本一份，副本两份。</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3.7.5投标文件应按规定格式排版，并编制目录，具体编制要求见投标人须知前附表规定。</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4.投标</w:t>
      </w:r>
    </w:p>
    <w:p>
      <w:pPr>
        <w:pStyle w:val="2"/>
        <w:adjustRightInd w:val="0"/>
        <w:snapToGrid w:val="0"/>
        <w:spacing w:line="360" w:lineRule="auto"/>
        <w:ind w:firstLine="420" w:firstLineChars="200"/>
        <w:rPr>
          <w:rFonts w:hint="eastAsia" w:ascii="宋体" w:hAnsi="宋体" w:cs="宋体"/>
          <w:sz w:val="21"/>
          <w:szCs w:val="21"/>
        </w:rPr>
      </w:pPr>
      <w:bookmarkStart w:id="81" w:name="_Toc277082580"/>
      <w:bookmarkStart w:id="82" w:name="_Toc287607774"/>
      <w:bookmarkStart w:id="83" w:name="_Toc509218738"/>
      <w:bookmarkStart w:id="84" w:name="_Toc224103345"/>
      <w:bookmarkStart w:id="85" w:name="_Toc287620713"/>
      <w:bookmarkStart w:id="86" w:name="_Toc430530463"/>
      <w:bookmarkStart w:id="87" w:name="_Toc200513154"/>
      <w:bookmarkStart w:id="88" w:name="_Toc12416"/>
      <w:r>
        <w:rPr>
          <w:rFonts w:hint="eastAsia" w:ascii="宋体" w:hAnsi="宋体" w:cs="宋体"/>
          <w:sz w:val="21"/>
          <w:szCs w:val="21"/>
        </w:rPr>
        <w:t>4.1  投标文件的密封和标记</w:t>
      </w:r>
      <w:bookmarkEnd w:id="81"/>
      <w:bookmarkEnd w:id="82"/>
      <w:bookmarkEnd w:id="83"/>
      <w:bookmarkEnd w:id="84"/>
      <w:bookmarkEnd w:id="85"/>
      <w:bookmarkEnd w:id="86"/>
      <w:bookmarkEnd w:id="87"/>
      <w:bookmarkEnd w:id="88"/>
    </w:p>
    <w:p>
      <w:pPr>
        <w:pStyle w:val="2"/>
        <w:adjustRightInd w:val="0"/>
        <w:snapToGrid w:val="0"/>
        <w:spacing w:line="360" w:lineRule="auto"/>
        <w:ind w:firstLine="420" w:firstLineChars="200"/>
        <w:rPr>
          <w:rFonts w:hint="eastAsia" w:ascii="宋体" w:hAnsi="宋体" w:cs="宋体"/>
          <w:sz w:val="21"/>
          <w:szCs w:val="21"/>
        </w:rPr>
      </w:pPr>
      <w:bookmarkStart w:id="89" w:name="_Toc200513155"/>
      <w:r>
        <w:rPr>
          <w:rFonts w:hint="eastAsia" w:ascii="宋体" w:hAnsi="宋体" w:cs="宋体"/>
          <w:sz w:val="21"/>
          <w:szCs w:val="21"/>
        </w:rPr>
        <w:t>4.1.1  投标文件的密封：见投标人须知前附表。</w:t>
      </w:r>
    </w:p>
    <w:p>
      <w:pPr>
        <w:pStyle w:val="2"/>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4.1.2  投标文件封套上应载明的信息：见投标人须知前附表。</w:t>
      </w:r>
    </w:p>
    <w:p>
      <w:pPr>
        <w:pStyle w:val="2"/>
        <w:adjustRightInd w:val="0"/>
        <w:snapToGrid w:val="0"/>
        <w:spacing w:line="360" w:lineRule="auto"/>
        <w:ind w:firstLine="420" w:firstLineChars="200"/>
        <w:rPr>
          <w:rFonts w:hint="eastAsia" w:ascii="宋体" w:hAnsi="宋体" w:cs="宋体"/>
          <w:sz w:val="21"/>
          <w:szCs w:val="21"/>
        </w:rPr>
      </w:pPr>
      <w:bookmarkStart w:id="90" w:name="_Toc287607775"/>
      <w:bookmarkStart w:id="91" w:name="_Toc509218739"/>
      <w:bookmarkStart w:id="92" w:name="_Toc7418"/>
      <w:bookmarkStart w:id="93" w:name="_Toc430530464"/>
      <w:bookmarkStart w:id="94" w:name="_Toc224103346"/>
      <w:bookmarkStart w:id="95" w:name="_Toc287620714"/>
      <w:bookmarkStart w:id="96" w:name="_Toc277082581"/>
      <w:r>
        <w:rPr>
          <w:rFonts w:hint="eastAsia" w:ascii="宋体" w:hAnsi="宋体" w:cs="宋体"/>
          <w:sz w:val="21"/>
          <w:szCs w:val="21"/>
        </w:rPr>
        <w:t>4.2  投标文件的递交</w:t>
      </w:r>
      <w:bookmarkEnd w:id="89"/>
      <w:bookmarkEnd w:id="90"/>
      <w:bookmarkEnd w:id="91"/>
      <w:bookmarkEnd w:id="92"/>
      <w:bookmarkEnd w:id="93"/>
      <w:bookmarkEnd w:id="94"/>
      <w:bookmarkEnd w:id="95"/>
      <w:bookmarkEnd w:id="96"/>
    </w:p>
    <w:p>
      <w:pPr>
        <w:pStyle w:val="2"/>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4.2.1  投标人应在投标人须知前附表第4.2.1项规定的投标截止时间前递交投标文件。</w:t>
      </w:r>
    </w:p>
    <w:p>
      <w:pPr>
        <w:pStyle w:val="2"/>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4.2.2  投标人递交投标文件的地点：见投标人须知前附表。</w:t>
      </w:r>
    </w:p>
    <w:p>
      <w:pPr>
        <w:pStyle w:val="2"/>
        <w:adjustRightInd w:val="0"/>
        <w:snapToGrid w:val="0"/>
        <w:spacing w:line="360" w:lineRule="auto"/>
        <w:ind w:firstLine="420" w:firstLineChars="200"/>
        <w:rPr>
          <w:rFonts w:hint="eastAsia" w:ascii="宋体" w:hAnsi="宋体" w:cs="宋体"/>
          <w:sz w:val="21"/>
          <w:szCs w:val="21"/>
        </w:rPr>
      </w:pPr>
      <w:r>
        <w:rPr>
          <w:rFonts w:hint="eastAsia" w:ascii="宋体" w:hAnsi="宋体" w:cs="宋体"/>
          <w:sz w:val="21"/>
          <w:szCs w:val="21"/>
        </w:rPr>
        <w:t>4.2.3  除投标人须知前附表另有规定外，投标人所递交的投标文件不予退还。</w:t>
      </w:r>
    </w:p>
    <w:p>
      <w:pPr>
        <w:pStyle w:val="2"/>
        <w:adjustRightInd w:val="0"/>
        <w:snapToGrid w:val="0"/>
        <w:spacing w:line="360" w:lineRule="auto"/>
        <w:ind w:firstLine="420" w:firstLineChars="200"/>
        <w:rPr>
          <w:rFonts w:hint="eastAsia" w:ascii="宋体" w:hAnsi="宋体" w:eastAsia="宋体" w:cs="宋体"/>
          <w:sz w:val="21"/>
          <w:szCs w:val="21"/>
          <w:lang w:eastAsia="zh-CN"/>
        </w:rPr>
      </w:pPr>
      <w:bookmarkStart w:id="97" w:name="_Toc9937"/>
      <w:bookmarkStart w:id="98" w:name="_Toc224103347"/>
      <w:bookmarkStart w:id="99" w:name="_Toc200513156"/>
      <w:bookmarkStart w:id="100" w:name="_Toc277082582"/>
      <w:bookmarkStart w:id="101" w:name="_Toc287607776"/>
      <w:bookmarkStart w:id="102" w:name="_Toc287620715"/>
      <w:bookmarkStart w:id="103" w:name="_Toc509218740"/>
      <w:bookmarkStart w:id="104" w:name="_Toc430530465"/>
      <w:r>
        <w:rPr>
          <w:rFonts w:hint="eastAsia" w:ascii="宋体" w:hAnsi="宋体" w:cs="宋体"/>
          <w:sz w:val="21"/>
          <w:szCs w:val="21"/>
        </w:rPr>
        <w:t>4.3  投标文件的修改与撤回</w:t>
      </w:r>
      <w:bookmarkEnd w:id="97"/>
      <w:bookmarkEnd w:id="98"/>
      <w:bookmarkEnd w:id="99"/>
      <w:bookmarkEnd w:id="100"/>
      <w:bookmarkEnd w:id="101"/>
      <w:bookmarkEnd w:id="102"/>
      <w:bookmarkEnd w:id="103"/>
      <w:bookmarkEnd w:id="104"/>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5.开标</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5.1开标时间和地点</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5.1.1招标人在本章第4.2.1项规定的投标截止时间(开标时间)和投标人须知前附表规定的地点对收到的投标文件公开开标，并邀请所有投标人的法定代表人或其委托代理人准时参加。</w:t>
      </w:r>
    </w:p>
    <w:p>
      <w:pPr>
        <w:pStyle w:val="2"/>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投标人若未派法定代表人或委托代理人出席开标活动，视为该投标人默认开标结果。</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5.1.2投标人在投标人须知前附表第5.1.2项规定的解密时间内在线或到开标现场完成投标文件解密工作。</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5.2开标程序</w:t>
      </w:r>
    </w:p>
    <w:p>
      <w:pPr>
        <w:pStyle w:val="2"/>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详见投标人须知前附表</w:t>
      </w:r>
      <w:r>
        <w:rPr>
          <w:rFonts w:ascii="宋体" w:hAnsi="宋体" w:cs="宋体"/>
          <w:sz w:val="21"/>
          <w:szCs w:val="21"/>
        </w:rPr>
        <w:t>5.2开标程序。</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6.评标</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6.1评标委员会</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6.1.1评标由招标人依据法律法规和相关规范性文件组建的评标委员会负责。</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6.1.2评标委员会成员有下列情形之一的，应当回避：</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(1)为负责招标项目监督管理的交通运输主管部门的工作人员，或招标项目的主管部</w:t>
      </w:r>
      <w:r>
        <w:rPr>
          <w:rFonts w:hint="eastAsia" w:ascii="宋体" w:hAnsi="宋体" w:cs="宋体"/>
          <w:sz w:val="21"/>
          <w:szCs w:val="21"/>
        </w:rPr>
        <w:t>门的工作人员，或对该项目有监督职责的行政监督部门的工作人员；</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(2)招标人或招标代理机构主要负责人的近亲属，或与投标人法定代表人或其委托代理人有近亲属关系；</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(3)为投标人的工作人员或退休人员；</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(4)与投标人有其他利害关系，可能影响评标活动公正性；</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(5)在与招标投标有关的活动中有过违法违规行为、曾受过行政处罚或刑事处罚；</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(6)招标人及其子公司、招标人的上级主管部门或者控股公司、招标代理机构的工作</w:t>
      </w:r>
    </w:p>
    <w:p>
      <w:pPr>
        <w:pStyle w:val="2"/>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人员或者退休人员；</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(7)近3年在招标人、投标人或招标代理机构工作过的人员。</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6.1.3评标过程中，评标委员会成员有回避事由、擅离职守或者因健康等原因不能继续评标的，应当及时更换。被更换的评标委员会成员作出的评审结论无效，由更换后的评标委员会成员重新进行评审。</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6.2评标原则</w:t>
      </w:r>
    </w:p>
    <w:p>
      <w:pPr>
        <w:pStyle w:val="2"/>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评标活动遵循公平、公正、科学和择优的原则。</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6.3评标</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6.3.1评标委员会按照第三章“评标办法”规定的方法、评审因素、标准和程序对投标</w:t>
      </w:r>
    </w:p>
    <w:p>
      <w:pPr>
        <w:pStyle w:val="2"/>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文件进行评审。第三章“评标办法”没有规定的方法、评审因素和标准，不得作为评标依据。</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6.3.2评标完成后，评标委员会应向招标人提交书面评标报告和中标候选人名单。评标委员会推荐中标候选人的人数见投标人须知前附表。</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7.合同授予</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7.1中标候选人公示</w:t>
      </w:r>
    </w:p>
    <w:p>
      <w:pPr>
        <w:pStyle w:val="2"/>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招标人在收到评标报告之日起</w:t>
      </w:r>
      <w:r>
        <w:rPr>
          <w:rFonts w:ascii="宋体" w:hAnsi="宋体" w:cs="宋体"/>
          <w:sz w:val="21"/>
          <w:szCs w:val="21"/>
        </w:rPr>
        <w:t>3日内，按照投标人须知前附表规定的公示媒介和期限公示中标候选人，公示期不得少于3日，公示内容包括：</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(1)中标候选人排序、名称、投标报价，对工程质量要求、安全目标和工期的响应情况；</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(2)中标候选人在投标文件中承诺的项目经理和项目总工姓名、个人业绩、相关证书名称和编号；</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(3)中标候选人在投标文件中填报的项目业绩；</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(4)被否决投标的投标人名称、否决依据和原因；</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(5)提出异议的渠道和方式；</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(6)投标人须知前附表规定公示的其他内容。</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7.2评标结果异议</w:t>
      </w:r>
    </w:p>
    <w:p>
      <w:pPr>
        <w:pStyle w:val="2"/>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投标人或其他利害关系人对依法必须进行招标的项目的评标结果有异议的，应在中标候选人公示期间提出。招标人将在收到异议之日起</w:t>
      </w:r>
      <w:r>
        <w:rPr>
          <w:rFonts w:ascii="宋体" w:hAnsi="宋体" w:cs="宋体"/>
          <w:sz w:val="21"/>
          <w:szCs w:val="21"/>
        </w:rPr>
        <w:t>3日内作出答复；作出答复前，将暂停招标投标活动。</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7.3中标候选人履约能力审查</w:t>
      </w:r>
    </w:p>
    <w:p>
      <w:pPr>
        <w:pStyle w:val="2"/>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中标候选人的经营、财务状况发生较大变化或存在违法行为，招标人认为可能影响其履约能力的，将在发出中标通知书前提请原评标委员会按照招标文件规定的标准和方法进行审查确认。</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7.4定标</w:t>
      </w:r>
    </w:p>
    <w:p>
      <w:pPr>
        <w:pStyle w:val="2"/>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按照投标人须知前附表的规定，招标人或招标人授权的评标委员会依法确定中标人。</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7.5中标通知</w:t>
      </w:r>
    </w:p>
    <w:p>
      <w:pPr>
        <w:pStyle w:val="2"/>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在本章第</w:t>
      </w:r>
      <w:r>
        <w:rPr>
          <w:rFonts w:ascii="宋体" w:hAnsi="宋体" w:cs="宋体"/>
          <w:sz w:val="21"/>
          <w:szCs w:val="21"/>
        </w:rPr>
        <w:t>3.3款规定的投标有效期内，招标人以投标人须知前附表规定的形式向中标人发出中标通知书，同时将中标结果通知未中标的投标人。</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7.6中标结果公告</w:t>
      </w:r>
    </w:p>
    <w:p>
      <w:pPr>
        <w:pStyle w:val="2"/>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招标人在确定中标人之日起</w:t>
      </w:r>
      <w:r>
        <w:rPr>
          <w:rFonts w:ascii="宋体" w:hAnsi="宋体" w:cs="宋体"/>
          <w:sz w:val="21"/>
          <w:szCs w:val="21"/>
        </w:rPr>
        <w:t>3日内，按照投标人须知前附表规定的公告媒介和期限公告中标结果，公告期不得少于3日。公告内容包括中标人名称、中标价。</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7.7履约保证金</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7.7.1在签订合同前，中标人应按投标人须知前附表规定的形式、金额和招标文件第四章“合同条款及格式”规定的或事先经过招标人书面认可的履约保证金格式向招标人提交履约保证金。除投标人须知前附表另有规定外，履约保证金为签约合同价的10%。联合体中标的，其履约保证金以联合体各方或联合体中牵头人的名义提交。采用银行保函时，应由符合投标人须知前附表规定级别的银行开具，所需的费用由中标人承担，中标人应保证银行保函有效。</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7.7.2中标人不能按本章第7.7.1项要求提交履约保证金的，视为放弃中标，其投标保证金不予退还，给招标人造成的损失超过投标保证金数额的，中标人还应对超过部分予以赔偿。</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7.8签订合同</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7.8.1招标人和中标人应在中标通知书发出之日起30日内，根据招标文件和中标人的投标文件订立书面合同。中标人放弃中标项目，无正当理由拒签合同，在签订合同时向招标人提出附加条件或者更改合同实质性内容，或不按照招标文件要求提交履约保证金的，招标人取消其中标资格，其投标保证金不予退还；给招标人造成的损失超过投标保证金数额的，中标人还应对超过部分予以赔偿。</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7.8.2发出中标通知书后，招标人无正当理由拒签合同，或在签订合同时向中标人提出附加条件的，招标人向中标人退还投标保证金；给中标人造成损失的，还应赔偿损失。</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7.8.3签约合同价的确定原则如下：</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(1)按照评标办法规定对投标报价进行修正后，若修正后的最终投标报价小于开标时的投标函大写金额报价，则签订合同时以修正后的最终投标报价为准；</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(2)按照评标办法规定对投标报价进行修正后，若修正后的最终投标报价大于开标时的投标函大写金额报价，则签订合同时以开标时的投标函大写金额报价为准，同时按比例修正相应子目的单价或合价。</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7.8.4联合体中标的，联合体各方应共同与招标人签订合同，就中标项目向招标人承担连带责任。</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7.8.5招标人和中标人在签订合同协议书的同时，须按照本招标文件规定的格式和要求签订廉政合同及安全生产合同，明确双方在廉政建设和安全生产方面的权利和义务以及应承担的违约责任。</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8.纪律和监督</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8.1对招标人的纪律要求</w:t>
      </w:r>
    </w:p>
    <w:p>
      <w:pPr>
        <w:pStyle w:val="2"/>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招标人不得泄露招标投标活动中应保密的情况和资料，不得与投标人串通损害国家利益、社会公共利益或他人合法权益。</w:t>
      </w:r>
    </w:p>
    <w:p>
      <w:pPr>
        <w:pStyle w:val="2"/>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有下列情形之一的，属于招标人与投标人串通投标：</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招标人在开标前开启投标文件并将有关信息泄露给其他投标人；(2)招标人直接或者间接向投标人泄露标底、评标委员会成员等信息；(3)招标人明示或者暗示投标人压低或者抬高投标报价；(4)招标人授意投标人撤换、修改投标文件；(5)招标人明示或者暗示投标人为特定投标人中标提供方便；(6)招标人与投标人为谋求特定投标人中标而采取的其他串通行为。</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8.2对投标人的纪律要求</w:t>
      </w:r>
    </w:p>
    <w:p>
      <w:pPr>
        <w:pStyle w:val="2"/>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投标人不得相互串通投标或与招标人串通投标，不得向招标人或评标委员会成员行贿谋取中标，不得以他人名义投标或以其他方式弄虚作假骗取中标；投标人不得以任何方式干扰、影响评标工作。</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8.2.1有下列情形之一的，属于投标人相互串通投标：(1)投标人之间协商投标报价等投标文件的实质性内容；(2)投标人之间约定中标人；(3)投标人之间约定部分投标人放弃投标或者中标；(4)属于同一集团、协会、商会等组织成员的投标人按照该组织要求协同投标；(5)投标人之间为谋取中标或者排斥特定投标人而采取的其他联合行动。8.2.2有下列情形之一的，视为投标人相互串通投标：(1)不同投标人的投标文件由同一单位或者个人编制；(2)不同投标人委托同一单位或者个人办理投标事宜；(3)不同投标人的投标文件载明的项目管理成员为同一人；(4)不同投标人的投标文件异常一致或者投标报价呈规律性差异；</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(5)不同投标人的投标文件相互混装；</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(6)不同投标人的投标保证金从同一单位或者个人的账户转出；</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(7)不同投标人的电子投标文件MAC地址相同。</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8.2.3使用通过受让或者租借等方式获取的资格、资质证书投标的，属于以他人名义投标。</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8.2.4投标人有下列情形之一的，属于以其他方式弄虚作假的行为：</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(1)使用伪造、变造的许可证件；</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(2)提供虚假的财务状况或者业绩；</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(3)提供虚假的项目负责人或者主要技术人员简历、劳动关系证明；</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(4)提供虚假的信用状况；</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(5)其他弄虚作假的行为。</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8.3对评标委员会成员的纪律要求</w:t>
      </w:r>
    </w:p>
    <w:p>
      <w:pPr>
        <w:pStyle w:val="2"/>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评标委员会成员不得收受他人的财物或其他好处，不得向他人透露对投标文件的评审和比较、中标候选人的推荐情况以及评标有关的其他情况。在评标活动中，评标委员会成员应客观、公正地履行职责，遵守职业道德，不得擅离职守，影响评标程序正常进行，不得使用第三章“评标办法”没有规定的评审因素和标准进行评标。不得对招标文件中《否决投标情况一览表》以外的内容予以否决投标，否则对评标委员会成员按《重庆市综合评标专家库和评标专家管理暂行办法》进行处理。</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8.4对与评标活动有关的工作人员的纪律要求</w:t>
      </w:r>
    </w:p>
    <w:p>
      <w:pPr>
        <w:pStyle w:val="2"/>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与评标活动有关的工作人员不得收受他人的财物或其他好处，不得向他人透露对投标文件的评审和比较、中标候选人的推荐情况以及评标有关的其他情况。在评标活动中，与评标活动有关的工作人员不得擅离职守，影响评标程序正常进行。</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8.5投诉</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8.5.1投标人或其他利害关系人认为招标投标活动不符合法律、行政法规规定的，可以自知道或应当知道之日起10日内向有关行政监督部门投诉。投诉应有明确的请求和必要的证明材料。监督部门的联系方式见投标人须知前附表。</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8.5.2投标人或其他利害关系人对招标文件、开标和评标结果提出投诉的，应先向招标人提出异议。异议答复期间不计算在第8.5.1项规定的期限内。</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9.是否采用电子招标投标</w:t>
      </w:r>
    </w:p>
    <w:p>
      <w:pPr>
        <w:pStyle w:val="2"/>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本招标项目是否采用电子招标投标方式：见投标人须知前附表。</w:t>
      </w:r>
    </w:p>
    <w:p>
      <w:pPr>
        <w:pStyle w:val="2"/>
        <w:adjustRightInd w:val="0"/>
        <w:snapToGrid w:val="0"/>
        <w:spacing w:line="360" w:lineRule="auto"/>
        <w:ind w:firstLine="420" w:firstLineChars="200"/>
        <w:rPr>
          <w:rFonts w:ascii="宋体" w:hAnsi="宋体" w:cs="宋体"/>
          <w:sz w:val="21"/>
          <w:szCs w:val="21"/>
        </w:rPr>
      </w:pPr>
      <w:r>
        <w:rPr>
          <w:rFonts w:ascii="宋体" w:hAnsi="宋体" w:cs="宋体"/>
          <w:sz w:val="21"/>
          <w:szCs w:val="21"/>
        </w:rPr>
        <w:t>10.需要补充的其他内容</w:t>
      </w:r>
    </w:p>
    <w:p>
      <w:pPr>
        <w:pStyle w:val="2"/>
        <w:adjustRightInd w:val="0"/>
        <w:snapToGrid w:val="0"/>
        <w:spacing w:line="360" w:lineRule="auto"/>
        <w:ind w:firstLine="420" w:firstLineChars="200"/>
        <w:rPr>
          <w:rFonts w:ascii="宋体" w:hAnsi="宋体" w:cs="宋体"/>
          <w:sz w:val="21"/>
          <w:szCs w:val="21"/>
        </w:rPr>
      </w:pPr>
      <w:r>
        <w:rPr>
          <w:rFonts w:hint="eastAsia" w:ascii="宋体" w:hAnsi="宋体" w:cs="宋体"/>
          <w:sz w:val="21"/>
          <w:szCs w:val="21"/>
        </w:rPr>
        <w:t>需要补充的其他内容：见投标人须知前附表。</w:t>
      </w:r>
    </w:p>
    <w:p>
      <w:pPr>
        <w:rPr>
          <w:rFonts w:ascii="宋体" w:hAnsi="宋体" w:cs="宋体"/>
          <w:szCs w:val="21"/>
        </w:rPr>
      </w:pPr>
      <w:r>
        <w:rPr>
          <w:rFonts w:hint="eastAsia" w:ascii="宋体" w:hAnsi="宋体" w:cs="宋体"/>
          <w:szCs w:val="21"/>
        </w:rPr>
        <w:br w:type="page"/>
      </w:r>
    </w:p>
    <w:p>
      <w:pPr>
        <w:pStyle w:val="4"/>
        <w:rPr>
          <w:rFonts w:ascii="宋体" w:hAnsi="宋体" w:eastAsia="宋体" w:cs="宋体"/>
        </w:rPr>
      </w:pPr>
      <w:bookmarkStart w:id="105" w:name="_Toc507681410"/>
      <w:bookmarkStart w:id="106" w:name="_Toc152045581"/>
      <w:bookmarkStart w:id="107" w:name="_Toc144974548"/>
      <w:bookmarkStart w:id="108" w:name="_Toc504639074"/>
      <w:bookmarkStart w:id="109" w:name="_Toc482198534"/>
      <w:bookmarkStart w:id="110" w:name="_Toc247085739"/>
      <w:bookmarkStart w:id="111" w:name="_Toc507681559"/>
      <w:bookmarkStart w:id="112" w:name="_Toc152042358"/>
      <w:bookmarkStart w:id="113" w:name="_Toc179632599"/>
      <w:r>
        <w:rPr>
          <w:rFonts w:hint="eastAsia" w:ascii="宋体" w:hAnsi="宋体" w:eastAsia="宋体" w:cs="宋体"/>
        </w:rPr>
        <w:t>附件一：开标记录表</w:t>
      </w:r>
      <w:bookmarkEnd w:id="105"/>
      <w:bookmarkEnd w:id="106"/>
      <w:bookmarkEnd w:id="107"/>
      <w:bookmarkEnd w:id="108"/>
      <w:bookmarkEnd w:id="109"/>
      <w:bookmarkEnd w:id="110"/>
      <w:bookmarkEnd w:id="111"/>
      <w:bookmarkEnd w:id="112"/>
      <w:bookmarkEnd w:id="113"/>
    </w:p>
    <w:p>
      <w:pPr>
        <w:spacing w:line="400" w:lineRule="exact"/>
        <w:jc w:val="center"/>
        <w:rPr>
          <w:sz w:val="28"/>
          <w:szCs w:val="28"/>
        </w:rPr>
      </w:pPr>
      <w:r>
        <w:rPr>
          <w:sz w:val="28"/>
          <w:szCs w:val="28"/>
          <w:u w:val="single"/>
        </w:rPr>
        <w:t>（项目名称）</w:t>
      </w:r>
      <w:r>
        <w:rPr>
          <w:sz w:val="28"/>
          <w:szCs w:val="28"/>
        </w:rPr>
        <w:t>开标记录表</w:t>
      </w:r>
    </w:p>
    <w:p>
      <w:pPr>
        <w:spacing w:line="500" w:lineRule="exact"/>
        <w:ind w:firstLine="3465" w:firstLineChars="1650"/>
      </w:pPr>
      <w:r>
        <w:t>开标时间：</w:t>
      </w:r>
      <w:r>
        <w:rPr>
          <w:sz w:val="28"/>
          <w:szCs w:val="28"/>
          <w:u w:val="single"/>
        </w:rPr>
        <w:t xml:space="preserve">    </w:t>
      </w:r>
      <w:r>
        <w:t>年</w:t>
      </w:r>
      <w:r>
        <w:rPr>
          <w:sz w:val="28"/>
          <w:szCs w:val="28"/>
          <w:u w:val="single"/>
        </w:rPr>
        <w:t xml:space="preserve">    </w:t>
      </w:r>
      <w:r>
        <w:t>月</w:t>
      </w:r>
      <w:r>
        <w:rPr>
          <w:sz w:val="28"/>
          <w:szCs w:val="28"/>
          <w:u w:val="single"/>
        </w:rPr>
        <w:t xml:space="preserve">    </w:t>
      </w:r>
      <w:r>
        <w:t>日</w:t>
      </w:r>
      <w:r>
        <w:rPr>
          <w:sz w:val="28"/>
          <w:szCs w:val="28"/>
          <w:u w:val="single"/>
        </w:rPr>
        <w:t xml:space="preserve">    </w:t>
      </w:r>
      <w:r>
        <w:t>时</w:t>
      </w:r>
      <w:r>
        <w:rPr>
          <w:sz w:val="28"/>
          <w:szCs w:val="28"/>
          <w:u w:val="single"/>
        </w:rPr>
        <w:t xml:space="preserve">    </w:t>
      </w:r>
      <w:r>
        <w:t>分</w:t>
      </w:r>
    </w:p>
    <w:tbl>
      <w:tblPr>
        <w:tblStyle w:val="17"/>
        <w:tblW w:w="0" w:type="auto"/>
        <w:jc w:val="center"/>
        <w:tblLayout w:type="fixed"/>
        <w:tblCellMar>
          <w:top w:w="0" w:type="dxa"/>
          <w:left w:w="108" w:type="dxa"/>
          <w:bottom w:w="0" w:type="dxa"/>
          <w:right w:w="108" w:type="dxa"/>
        </w:tblCellMar>
      </w:tblPr>
      <w:tblGrid>
        <w:gridCol w:w="853"/>
        <w:gridCol w:w="982"/>
        <w:gridCol w:w="875"/>
        <w:gridCol w:w="1003"/>
        <w:gridCol w:w="1509"/>
        <w:gridCol w:w="980"/>
        <w:gridCol w:w="2218"/>
      </w:tblGrid>
      <w:tr>
        <w:tblPrEx>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pPr>
            <w:r>
              <w:t>序号</w:t>
            </w:r>
          </w:p>
        </w:tc>
        <w:tc>
          <w:tcPr>
            <w:tcW w:w="98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pPr>
            <w:r>
              <w:t>投标</w:t>
            </w:r>
            <w:r>
              <w:rPr>
                <w:rFonts w:hint="eastAsia"/>
              </w:rPr>
              <w:t>单位</w:t>
            </w:r>
          </w:p>
        </w:tc>
        <w:tc>
          <w:tcPr>
            <w:tcW w:w="87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pPr>
            <w:r>
              <w:t>密封情况</w:t>
            </w:r>
          </w:p>
        </w:tc>
        <w:tc>
          <w:tcPr>
            <w:tcW w:w="1003"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pPr>
            <w:r>
              <w:t>投标保证金</w:t>
            </w:r>
          </w:p>
        </w:tc>
        <w:tc>
          <w:tcPr>
            <w:tcW w:w="150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pPr>
            <w:r>
              <w:t>投标报价</w:t>
            </w:r>
          </w:p>
        </w:tc>
        <w:tc>
          <w:tcPr>
            <w:tcW w:w="98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pPr>
            <w:r>
              <w:t>备注</w:t>
            </w:r>
          </w:p>
        </w:tc>
        <w:tc>
          <w:tcPr>
            <w:tcW w:w="2218"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pPr>
            <w:r>
              <w:t>投标人代表签名</w:t>
            </w:r>
          </w:p>
        </w:tc>
      </w:tr>
      <w:tr>
        <w:tblPrEx>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982"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875"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1003"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1509"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980"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2218" w:type="dxa"/>
            <w:tcBorders>
              <w:top w:val="single" w:color="auto" w:sz="4" w:space="0"/>
              <w:left w:val="single" w:color="auto" w:sz="4" w:space="0"/>
              <w:bottom w:val="single" w:color="auto" w:sz="4" w:space="0"/>
              <w:right w:val="single" w:color="auto" w:sz="4" w:space="0"/>
            </w:tcBorders>
          </w:tcPr>
          <w:p>
            <w:pPr>
              <w:spacing w:line="500" w:lineRule="exact"/>
              <w:jc w:val="left"/>
            </w:pPr>
          </w:p>
        </w:tc>
      </w:tr>
      <w:tr>
        <w:tblPrEx>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982"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875"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1003"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1509"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980"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2218" w:type="dxa"/>
            <w:tcBorders>
              <w:top w:val="single" w:color="auto" w:sz="4" w:space="0"/>
              <w:left w:val="single" w:color="auto" w:sz="4" w:space="0"/>
              <w:bottom w:val="single" w:color="auto" w:sz="4" w:space="0"/>
              <w:right w:val="single" w:color="auto" w:sz="4" w:space="0"/>
            </w:tcBorders>
          </w:tcPr>
          <w:p>
            <w:pPr>
              <w:spacing w:line="500" w:lineRule="exact"/>
              <w:jc w:val="left"/>
            </w:pPr>
          </w:p>
        </w:tc>
      </w:tr>
      <w:tr>
        <w:tblPrEx>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982"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875"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1003"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1509"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980"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2218" w:type="dxa"/>
            <w:tcBorders>
              <w:top w:val="single" w:color="auto" w:sz="4" w:space="0"/>
              <w:left w:val="single" w:color="auto" w:sz="4" w:space="0"/>
              <w:bottom w:val="single" w:color="auto" w:sz="4" w:space="0"/>
              <w:right w:val="single" w:color="auto" w:sz="4" w:space="0"/>
            </w:tcBorders>
          </w:tcPr>
          <w:p>
            <w:pPr>
              <w:spacing w:line="500" w:lineRule="exact"/>
              <w:jc w:val="left"/>
            </w:pPr>
          </w:p>
        </w:tc>
      </w:tr>
      <w:tr>
        <w:tblPrEx>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982"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875"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1003"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1509"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980"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2218" w:type="dxa"/>
            <w:tcBorders>
              <w:top w:val="single" w:color="auto" w:sz="4" w:space="0"/>
              <w:left w:val="single" w:color="auto" w:sz="4" w:space="0"/>
              <w:bottom w:val="single" w:color="auto" w:sz="4" w:space="0"/>
              <w:right w:val="single" w:color="auto" w:sz="4" w:space="0"/>
            </w:tcBorders>
          </w:tcPr>
          <w:p>
            <w:pPr>
              <w:spacing w:line="500" w:lineRule="exact"/>
              <w:jc w:val="left"/>
            </w:pPr>
          </w:p>
        </w:tc>
      </w:tr>
      <w:tr>
        <w:tblPrEx>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982"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875"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1003"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1509"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980"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2218" w:type="dxa"/>
            <w:tcBorders>
              <w:top w:val="single" w:color="auto" w:sz="4" w:space="0"/>
              <w:left w:val="single" w:color="auto" w:sz="4" w:space="0"/>
              <w:bottom w:val="single" w:color="auto" w:sz="4" w:space="0"/>
              <w:right w:val="single" w:color="auto" w:sz="4" w:space="0"/>
            </w:tcBorders>
          </w:tcPr>
          <w:p>
            <w:pPr>
              <w:spacing w:line="500" w:lineRule="exact"/>
              <w:jc w:val="left"/>
            </w:pPr>
          </w:p>
        </w:tc>
      </w:tr>
      <w:tr>
        <w:tblPrEx>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982"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875"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1003"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1509"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980"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2218" w:type="dxa"/>
            <w:tcBorders>
              <w:top w:val="single" w:color="auto" w:sz="4" w:space="0"/>
              <w:left w:val="single" w:color="auto" w:sz="4" w:space="0"/>
              <w:bottom w:val="single" w:color="auto" w:sz="4" w:space="0"/>
              <w:right w:val="single" w:color="auto" w:sz="4" w:space="0"/>
            </w:tcBorders>
          </w:tcPr>
          <w:p>
            <w:pPr>
              <w:spacing w:line="500" w:lineRule="exact"/>
              <w:jc w:val="left"/>
            </w:pPr>
          </w:p>
        </w:tc>
      </w:tr>
      <w:tr>
        <w:tblPrEx>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982"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875"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1003"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1509"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980"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2218" w:type="dxa"/>
            <w:tcBorders>
              <w:top w:val="single" w:color="auto" w:sz="4" w:space="0"/>
              <w:left w:val="single" w:color="auto" w:sz="4" w:space="0"/>
              <w:bottom w:val="single" w:color="auto" w:sz="4" w:space="0"/>
              <w:right w:val="single" w:color="auto" w:sz="4" w:space="0"/>
            </w:tcBorders>
          </w:tcPr>
          <w:p>
            <w:pPr>
              <w:spacing w:line="500" w:lineRule="exact"/>
              <w:jc w:val="left"/>
            </w:pPr>
          </w:p>
        </w:tc>
      </w:tr>
      <w:tr>
        <w:trPr>
          <w:jc w:val="center"/>
        </w:trPr>
        <w:tc>
          <w:tcPr>
            <w:tcW w:w="853"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982"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875"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1003"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1509"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980"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2218" w:type="dxa"/>
            <w:tcBorders>
              <w:top w:val="single" w:color="auto" w:sz="4" w:space="0"/>
              <w:left w:val="single" w:color="auto" w:sz="4" w:space="0"/>
              <w:bottom w:val="single" w:color="auto" w:sz="4" w:space="0"/>
              <w:right w:val="single" w:color="auto" w:sz="4" w:space="0"/>
            </w:tcBorders>
          </w:tcPr>
          <w:p>
            <w:pPr>
              <w:spacing w:line="500" w:lineRule="exact"/>
              <w:jc w:val="left"/>
            </w:pPr>
          </w:p>
        </w:tc>
      </w:tr>
      <w:tr>
        <w:tblPrEx>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982"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875"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1003"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1509"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980"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2218" w:type="dxa"/>
            <w:tcBorders>
              <w:top w:val="single" w:color="auto" w:sz="4" w:space="0"/>
              <w:left w:val="single" w:color="auto" w:sz="4" w:space="0"/>
              <w:bottom w:val="single" w:color="auto" w:sz="4" w:space="0"/>
              <w:right w:val="single" w:color="auto" w:sz="4" w:space="0"/>
            </w:tcBorders>
          </w:tcPr>
          <w:p>
            <w:pPr>
              <w:spacing w:line="500" w:lineRule="exact"/>
              <w:jc w:val="left"/>
            </w:pPr>
          </w:p>
        </w:tc>
      </w:tr>
      <w:tr>
        <w:tblPrEx>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982"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875"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1003"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1509"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980"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2218" w:type="dxa"/>
            <w:tcBorders>
              <w:top w:val="single" w:color="auto" w:sz="4" w:space="0"/>
              <w:left w:val="single" w:color="auto" w:sz="4" w:space="0"/>
              <w:bottom w:val="single" w:color="auto" w:sz="4" w:space="0"/>
              <w:right w:val="single" w:color="auto" w:sz="4" w:space="0"/>
            </w:tcBorders>
          </w:tcPr>
          <w:p>
            <w:pPr>
              <w:spacing w:line="500" w:lineRule="exact"/>
              <w:jc w:val="left"/>
            </w:pPr>
          </w:p>
        </w:tc>
      </w:tr>
      <w:tr>
        <w:tblPrEx>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982"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875"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1003"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1509"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980"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2218" w:type="dxa"/>
            <w:tcBorders>
              <w:top w:val="single" w:color="auto" w:sz="4" w:space="0"/>
              <w:left w:val="single" w:color="auto" w:sz="4" w:space="0"/>
              <w:bottom w:val="single" w:color="auto" w:sz="4" w:space="0"/>
              <w:right w:val="single" w:color="auto" w:sz="4" w:space="0"/>
            </w:tcBorders>
          </w:tcPr>
          <w:p>
            <w:pPr>
              <w:spacing w:line="500" w:lineRule="exact"/>
              <w:jc w:val="left"/>
            </w:pPr>
          </w:p>
        </w:tc>
      </w:tr>
      <w:tr>
        <w:tblPrEx>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982"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875"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1003"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1509"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980"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2218" w:type="dxa"/>
            <w:tcBorders>
              <w:top w:val="single" w:color="auto" w:sz="4" w:space="0"/>
              <w:left w:val="single" w:color="auto" w:sz="4" w:space="0"/>
              <w:bottom w:val="single" w:color="auto" w:sz="4" w:space="0"/>
              <w:right w:val="single" w:color="auto" w:sz="4" w:space="0"/>
            </w:tcBorders>
          </w:tcPr>
          <w:p>
            <w:pPr>
              <w:spacing w:line="500" w:lineRule="exact"/>
              <w:jc w:val="left"/>
            </w:pPr>
          </w:p>
        </w:tc>
      </w:tr>
      <w:tr>
        <w:tblPrEx>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982"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875"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1003"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1509"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980"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2218" w:type="dxa"/>
            <w:tcBorders>
              <w:top w:val="single" w:color="auto" w:sz="4" w:space="0"/>
              <w:left w:val="single" w:color="auto" w:sz="4" w:space="0"/>
              <w:bottom w:val="single" w:color="auto" w:sz="4" w:space="0"/>
              <w:right w:val="single" w:color="auto" w:sz="4" w:space="0"/>
            </w:tcBorders>
          </w:tcPr>
          <w:p>
            <w:pPr>
              <w:spacing w:line="500" w:lineRule="exact"/>
              <w:jc w:val="left"/>
            </w:pPr>
          </w:p>
        </w:tc>
      </w:tr>
      <w:tr>
        <w:tblPrEx>
          <w:tblCellMar>
            <w:top w:w="0" w:type="dxa"/>
            <w:left w:w="108" w:type="dxa"/>
            <w:bottom w:w="0" w:type="dxa"/>
            <w:right w:w="108" w:type="dxa"/>
          </w:tblCellMar>
        </w:tblPrEx>
        <w:trPr>
          <w:jc w:val="center"/>
        </w:trPr>
        <w:tc>
          <w:tcPr>
            <w:tcW w:w="853"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982"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875"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1003"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1509"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980" w:type="dxa"/>
            <w:tcBorders>
              <w:top w:val="single" w:color="auto" w:sz="4" w:space="0"/>
              <w:left w:val="single" w:color="auto" w:sz="4" w:space="0"/>
              <w:bottom w:val="single" w:color="auto" w:sz="4" w:space="0"/>
              <w:right w:val="single" w:color="auto" w:sz="4" w:space="0"/>
            </w:tcBorders>
          </w:tcPr>
          <w:p>
            <w:pPr>
              <w:spacing w:line="500" w:lineRule="exact"/>
              <w:jc w:val="left"/>
            </w:pPr>
          </w:p>
        </w:tc>
        <w:tc>
          <w:tcPr>
            <w:tcW w:w="2218" w:type="dxa"/>
            <w:tcBorders>
              <w:top w:val="single" w:color="auto" w:sz="4" w:space="0"/>
              <w:left w:val="single" w:color="auto" w:sz="4" w:space="0"/>
              <w:bottom w:val="single" w:color="auto" w:sz="4" w:space="0"/>
              <w:right w:val="single" w:color="auto" w:sz="4" w:space="0"/>
            </w:tcBorders>
          </w:tcPr>
          <w:p>
            <w:pPr>
              <w:spacing w:line="500" w:lineRule="exact"/>
              <w:jc w:val="left"/>
            </w:pPr>
          </w:p>
        </w:tc>
      </w:tr>
      <w:tr>
        <w:tblPrEx>
          <w:tblCellMar>
            <w:top w:w="0" w:type="dxa"/>
            <w:left w:w="108" w:type="dxa"/>
            <w:bottom w:w="0" w:type="dxa"/>
            <w:right w:w="108" w:type="dxa"/>
          </w:tblCellMar>
        </w:tblPrEx>
        <w:trPr>
          <w:jc w:val="center"/>
        </w:trPr>
        <w:tc>
          <w:tcPr>
            <w:tcW w:w="3713" w:type="dxa"/>
            <w:gridSpan w:val="4"/>
            <w:tcBorders>
              <w:top w:val="single" w:color="auto" w:sz="4" w:space="0"/>
              <w:left w:val="single" w:color="auto" w:sz="4" w:space="0"/>
              <w:bottom w:val="single" w:color="auto" w:sz="4" w:space="0"/>
              <w:right w:val="single" w:color="auto" w:sz="4" w:space="0"/>
            </w:tcBorders>
          </w:tcPr>
          <w:p>
            <w:pPr>
              <w:spacing w:line="500" w:lineRule="exact"/>
              <w:jc w:val="left"/>
            </w:pPr>
            <w:r>
              <w:t>最高投标总限价（元）</w:t>
            </w:r>
          </w:p>
        </w:tc>
        <w:tc>
          <w:tcPr>
            <w:tcW w:w="4707" w:type="dxa"/>
            <w:gridSpan w:val="3"/>
            <w:tcBorders>
              <w:top w:val="single" w:color="auto" w:sz="4" w:space="0"/>
              <w:left w:val="single" w:color="auto" w:sz="4" w:space="0"/>
              <w:bottom w:val="single" w:color="auto" w:sz="4" w:space="0"/>
              <w:right w:val="single" w:color="auto" w:sz="4" w:space="0"/>
            </w:tcBorders>
          </w:tcPr>
          <w:p>
            <w:pPr>
              <w:spacing w:line="500" w:lineRule="exact"/>
              <w:jc w:val="left"/>
            </w:pPr>
          </w:p>
        </w:tc>
      </w:tr>
    </w:tbl>
    <w:p>
      <w:pPr>
        <w:spacing w:line="440" w:lineRule="exact"/>
      </w:pPr>
    </w:p>
    <w:p>
      <w:pPr>
        <w:spacing w:line="440" w:lineRule="exact"/>
        <w:rPr>
          <w:u w:val="single"/>
        </w:rPr>
      </w:pPr>
      <w:r>
        <w:t>招标人代表：</w:t>
      </w:r>
      <w:r>
        <w:rPr>
          <w:u w:val="single"/>
        </w:rPr>
        <w:t xml:space="preserve">                   </w:t>
      </w:r>
      <w:r>
        <w:t xml:space="preserve"> 记录人：</w:t>
      </w:r>
      <w:r>
        <w:rPr>
          <w:u w:val="single"/>
        </w:rPr>
        <w:t xml:space="preserve">                   </w:t>
      </w:r>
      <w:r>
        <w:t xml:space="preserve"> 监督：</w:t>
      </w:r>
      <w:r>
        <w:rPr>
          <w:u w:val="single"/>
        </w:rPr>
        <w:t xml:space="preserve">                </w:t>
      </w:r>
    </w:p>
    <w:p>
      <w:pPr>
        <w:spacing w:line="440" w:lineRule="exact"/>
      </w:pPr>
      <w:r>
        <w:t xml:space="preserve">                                            </w:t>
      </w:r>
      <w:r>
        <w:rPr>
          <w:u w:val="single"/>
        </w:rPr>
        <w:t xml:space="preserve">      </w:t>
      </w:r>
      <w:r>
        <w:t>年</w:t>
      </w:r>
      <w:r>
        <w:rPr>
          <w:u w:val="single"/>
        </w:rPr>
        <w:t xml:space="preserve">      </w:t>
      </w:r>
      <w:r>
        <w:t xml:space="preserve">月 </w:t>
      </w:r>
      <w:r>
        <w:rPr>
          <w:u w:val="single"/>
        </w:rPr>
        <w:t xml:space="preserve">      </w:t>
      </w:r>
      <w:r>
        <w:t>日</w:t>
      </w:r>
    </w:p>
    <w:p>
      <w:pPr>
        <w:spacing w:line="440" w:lineRule="exact"/>
        <w:rPr>
          <w:rFonts w:ascii="宋体" w:hAnsi="宋体" w:cs="宋体"/>
        </w:rPr>
      </w:pPr>
    </w:p>
    <w:p>
      <w:pPr>
        <w:spacing w:line="440" w:lineRule="exact"/>
        <w:rPr>
          <w:rFonts w:ascii="宋体" w:hAnsi="宋体" w:cs="宋体"/>
          <w:b/>
          <w:spacing w:val="1"/>
          <w:w w:val="99"/>
          <w:kern w:val="0"/>
          <w:sz w:val="28"/>
          <w:szCs w:val="32"/>
        </w:rPr>
      </w:pPr>
      <w:r>
        <w:rPr>
          <w:rFonts w:hint="eastAsia" w:ascii="宋体" w:hAnsi="宋体" w:cs="宋体"/>
          <w:szCs w:val="21"/>
        </w:rPr>
        <w:br w:type="page"/>
      </w:r>
      <w:bookmarkStart w:id="114" w:name="_Toc507681411"/>
      <w:bookmarkStart w:id="115" w:name="_Toc152042359"/>
      <w:bookmarkStart w:id="116" w:name="_Toc152045582"/>
      <w:bookmarkStart w:id="117" w:name="_Toc504639075"/>
      <w:bookmarkStart w:id="118" w:name="_Toc246996968"/>
      <w:bookmarkStart w:id="119" w:name="_Toc247085740"/>
      <w:bookmarkStart w:id="120" w:name="_Toc507681560"/>
      <w:bookmarkStart w:id="121" w:name="_Toc246996225"/>
      <w:bookmarkStart w:id="122" w:name="_Toc179632600"/>
      <w:bookmarkStart w:id="123" w:name="_Toc144974549"/>
      <w:r>
        <w:rPr>
          <w:rFonts w:hint="eastAsia" w:ascii="宋体" w:hAnsi="宋体" w:cs="宋体"/>
          <w:b/>
          <w:spacing w:val="1"/>
          <w:w w:val="99"/>
          <w:kern w:val="0"/>
          <w:sz w:val="28"/>
          <w:szCs w:val="32"/>
        </w:rPr>
        <w:t>附件二：问题澄清通知</w:t>
      </w:r>
      <w:bookmarkEnd w:id="114"/>
      <w:bookmarkEnd w:id="115"/>
      <w:bookmarkEnd w:id="116"/>
      <w:bookmarkEnd w:id="117"/>
      <w:bookmarkEnd w:id="118"/>
      <w:bookmarkEnd w:id="119"/>
      <w:bookmarkEnd w:id="120"/>
      <w:bookmarkEnd w:id="121"/>
      <w:bookmarkEnd w:id="122"/>
      <w:bookmarkEnd w:id="123"/>
    </w:p>
    <w:p>
      <w:pPr>
        <w:spacing w:line="440" w:lineRule="exact"/>
        <w:jc w:val="center"/>
        <w:rPr>
          <w:rFonts w:ascii="宋体" w:hAnsi="宋体" w:cs="宋体"/>
          <w:szCs w:val="21"/>
        </w:rPr>
      </w:pPr>
    </w:p>
    <w:p>
      <w:pPr>
        <w:spacing w:line="440" w:lineRule="exact"/>
        <w:jc w:val="center"/>
        <w:rPr>
          <w:rFonts w:ascii="宋体" w:hAnsi="宋体" w:cs="宋体"/>
          <w:b/>
          <w:bCs/>
          <w:sz w:val="28"/>
          <w:szCs w:val="28"/>
        </w:rPr>
      </w:pPr>
      <w:r>
        <w:rPr>
          <w:rFonts w:hint="eastAsia" w:ascii="宋体" w:hAnsi="宋体" w:cs="宋体"/>
          <w:b/>
          <w:bCs/>
          <w:sz w:val="28"/>
          <w:szCs w:val="28"/>
        </w:rPr>
        <w:t>问题澄清通知</w:t>
      </w:r>
    </w:p>
    <w:p>
      <w:pPr>
        <w:spacing w:line="360" w:lineRule="auto"/>
        <w:rPr>
          <w:rFonts w:ascii="宋体" w:hAnsi="宋体" w:cs="宋体"/>
          <w:szCs w:val="21"/>
        </w:rPr>
      </w:pPr>
      <w:r>
        <w:rPr>
          <w:rFonts w:hint="eastAsia" w:ascii="宋体" w:hAnsi="宋体" w:cs="宋体"/>
          <w:szCs w:val="21"/>
        </w:rPr>
        <w:t xml:space="preserve">                                编号：</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（投标人名称）：</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招标的评标委员会，对你方的投标文件进行了仔细的审查，现需你方对下列问题以书面形式予以澄清：</w:t>
      </w:r>
    </w:p>
    <w:p>
      <w:pPr>
        <w:spacing w:line="360" w:lineRule="auto"/>
        <w:jc w:val="center"/>
        <w:rPr>
          <w:rFonts w:ascii="宋体" w:hAnsi="宋体" w:cs="宋体"/>
          <w:b/>
          <w:szCs w:val="21"/>
        </w:rPr>
      </w:pPr>
      <w:r>
        <w:rPr>
          <w:rFonts w:hint="eastAsia" w:ascii="宋体" w:hAnsi="宋体" w:cs="宋体"/>
          <w:szCs w:val="21"/>
        </w:rPr>
        <w:t>　　</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    1.</w:t>
      </w:r>
    </w:p>
    <w:p>
      <w:pPr>
        <w:spacing w:line="360" w:lineRule="auto"/>
        <w:rPr>
          <w:rFonts w:ascii="宋体" w:hAnsi="宋体" w:cs="宋体"/>
          <w:szCs w:val="21"/>
        </w:rPr>
      </w:pPr>
      <w:r>
        <w:rPr>
          <w:rFonts w:hint="eastAsia" w:ascii="宋体" w:hAnsi="宋体" w:cs="宋体"/>
          <w:szCs w:val="21"/>
        </w:rPr>
        <w:t xml:space="preserve">    2.</w:t>
      </w:r>
    </w:p>
    <w:p>
      <w:pPr>
        <w:spacing w:line="360" w:lineRule="auto"/>
        <w:rPr>
          <w:rFonts w:ascii="宋体" w:hAnsi="宋体" w:cs="宋体"/>
          <w:szCs w:val="21"/>
        </w:rPr>
      </w:pPr>
      <w:r>
        <w:rPr>
          <w:rFonts w:hint="eastAsia" w:ascii="宋体" w:hAnsi="宋体" w:cs="宋体"/>
          <w:szCs w:val="21"/>
        </w:rPr>
        <w:t xml:space="preserve">     ……   </w:t>
      </w:r>
    </w:p>
    <w:p>
      <w:pPr>
        <w:spacing w:line="360" w:lineRule="auto"/>
        <w:rPr>
          <w:rFonts w:ascii="宋体" w:hAnsi="宋体" w:cs="宋体"/>
          <w:szCs w:val="21"/>
        </w:rPr>
      </w:pPr>
      <w:r>
        <w:rPr>
          <w:rFonts w:hint="eastAsia" w:ascii="宋体" w:hAnsi="宋体" w:cs="宋体"/>
          <w:szCs w:val="21"/>
        </w:rPr>
        <w:t>　　　</w:t>
      </w:r>
    </w:p>
    <w:p>
      <w:pPr>
        <w:spacing w:line="360" w:lineRule="auto"/>
        <w:rPr>
          <w:rFonts w:ascii="宋体" w:hAnsi="宋体" w:cs="宋体"/>
          <w:szCs w:val="21"/>
        </w:rPr>
      </w:pPr>
      <w:r>
        <w:rPr>
          <w:rFonts w:hint="eastAsia" w:ascii="宋体" w:hAnsi="宋体" w:cs="宋体"/>
          <w:szCs w:val="21"/>
        </w:rPr>
        <w:t>　　请将上述问题的澄清于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时前递交至</w:t>
      </w:r>
      <w:r>
        <w:rPr>
          <w:rFonts w:hint="eastAsia" w:ascii="宋体" w:hAnsi="宋体" w:cs="宋体"/>
          <w:szCs w:val="21"/>
          <w:u w:val="single"/>
        </w:rPr>
        <w:t xml:space="preserve">                             （详细地址）        </w:t>
      </w:r>
      <w:r>
        <w:rPr>
          <w:rFonts w:hint="eastAsia" w:ascii="宋体" w:hAnsi="宋体" w:cs="宋体"/>
          <w:szCs w:val="21"/>
        </w:rPr>
        <w:t>或传真至</w:t>
      </w:r>
      <w:r>
        <w:rPr>
          <w:rFonts w:hint="eastAsia" w:ascii="宋体" w:hAnsi="宋体" w:cs="宋体"/>
          <w:szCs w:val="21"/>
          <w:u w:val="single"/>
        </w:rPr>
        <w:t xml:space="preserve">      （传真号码）   </w:t>
      </w:r>
      <w:r>
        <w:rPr>
          <w:rFonts w:hint="eastAsia" w:ascii="宋体" w:hAnsi="宋体" w:cs="宋体"/>
          <w:szCs w:val="21"/>
        </w:rPr>
        <w:t>。采用传真方式的，应在</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r>
        <w:rPr>
          <w:rFonts w:hint="eastAsia" w:ascii="宋体" w:hAnsi="宋体" w:cs="宋体"/>
          <w:szCs w:val="21"/>
          <w:u w:val="single"/>
        </w:rPr>
        <w:t xml:space="preserve">        </w:t>
      </w:r>
      <w:r>
        <w:rPr>
          <w:rFonts w:hint="eastAsia" w:ascii="宋体" w:hAnsi="宋体" w:cs="宋体"/>
          <w:szCs w:val="21"/>
        </w:rPr>
        <w:t>时前将原件递交至</w:t>
      </w:r>
    </w:p>
    <w:p>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（详细地址）。</w:t>
      </w:r>
    </w:p>
    <w:p>
      <w:pPr>
        <w:spacing w:line="360" w:lineRule="auto"/>
        <w:rPr>
          <w:rFonts w:ascii="宋体" w:hAnsi="宋体" w:cs="宋体"/>
          <w:szCs w:val="21"/>
        </w:rPr>
      </w:pPr>
    </w:p>
    <w:p>
      <w:pPr>
        <w:spacing w:line="360" w:lineRule="auto"/>
        <w:rPr>
          <w:rFonts w:ascii="宋体" w:hAnsi="宋体" w:cs="宋体"/>
          <w:szCs w:val="21"/>
        </w:rPr>
      </w:pPr>
    </w:p>
    <w:p>
      <w:pPr>
        <w:wordWrap w:val="0"/>
        <w:spacing w:line="360" w:lineRule="auto"/>
        <w:jc w:val="right"/>
        <w:rPr>
          <w:rFonts w:ascii="宋体" w:hAnsi="宋体" w:cs="宋体"/>
          <w:szCs w:val="21"/>
        </w:rPr>
      </w:pPr>
      <w:r>
        <w:rPr>
          <w:rFonts w:hint="eastAsia" w:ascii="宋体" w:hAnsi="宋体" w:cs="宋体"/>
          <w:szCs w:val="21"/>
        </w:rPr>
        <w:t xml:space="preserve">                              招标人：</w:t>
      </w:r>
      <w:r>
        <w:rPr>
          <w:rFonts w:hint="eastAsia" w:ascii="宋体" w:hAnsi="宋体" w:cs="宋体"/>
          <w:szCs w:val="21"/>
          <w:u w:val="single"/>
        </w:rPr>
        <w:t xml:space="preserve">                             </w:t>
      </w:r>
      <w:r>
        <w:rPr>
          <w:rFonts w:hint="eastAsia" w:ascii="宋体" w:hAnsi="宋体" w:cs="宋体"/>
          <w:szCs w:val="21"/>
        </w:rPr>
        <w:t>（签字或盖章）</w:t>
      </w:r>
    </w:p>
    <w:p>
      <w:pPr>
        <w:spacing w:line="360" w:lineRule="auto"/>
        <w:rPr>
          <w:rFonts w:ascii="宋体" w:hAnsi="宋体" w:cs="宋体"/>
          <w:szCs w:val="21"/>
        </w:rPr>
      </w:pPr>
      <w:r>
        <w:rPr>
          <w:rFonts w:hint="eastAsia" w:ascii="宋体" w:hAnsi="宋体" w:cs="宋体"/>
          <w:szCs w:val="21"/>
        </w:rPr>
        <w:t xml:space="preserve">                                          </w:t>
      </w:r>
    </w:p>
    <w:p>
      <w:pPr>
        <w:spacing w:line="360" w:lineRule="auto"/>
        <w:ind w:firstLine="3045" w:firstLineChars="1450"/>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 xml:space="preserve">月 </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rPr>
          <w:rFonts w:ascii="宋体" w:hAnsi="宋体" w:eastAsia="宋体" w:cs="宋体"/>
        </w:rPr>
      </w:pPr>
      <w:bookmarkStart w:id="124" w:name="_Toc152042360"/>
      <w:bookmarkStart w:id="125" w:name="_Toc144974550"/>
      <w:bookmarkStart w:id="126" w:name="_Toc246996969"/>
      <w:bookmarkStart w:id="127" w:name="_Toc507681561"/>
      <w:bookmarkStart w:id="128" w:name="_Toc152045583"/>
      <w:bookmarkStart w:id="129" w:name="_Toc179632601"/>
      <w:bookmarkStart w:id="130" w:name="_Toc246996226"/>
      <w:bookmarkStart w:id="131" w:name="_Toc247085741"/>
      <w:bookmarkStart w:id="132" w:name="_Toc507681412"/>
      <w:bookmarkStart w:id="133" w:name="_Toc504639076"/>
      <w:r>
        <w:rPr>
          <w:rFonts w:hint="eastAsia" w:ascii="宋体" w:hAnsi="宋体" w:eastAsia="宋体" w:cs="宋体"/>
        </w:rPr>
        <w:t>附件三：问题的澄清</w:t>
      </w:r>
      <w:bookmarkEnd w:id="124"/>
      <w:bookmarkEnd w:id="125"/>
      <w:bookmarkEnd w:id="126"/>
      <w:bookmarkEnd w:id="127"/>
      <w:bookmarkEnd w:id="128"/>
      <w:bookmarkEnd w:id="129"/>
      <w:bookmarkEnd w:id="130"/>
      <w:bookmarkEnd w:id="131"/>
      <w:bookmarkEnd w:id="132"/>
      <w:bookmarkEnd w:id="133"/>
    </w:p>
    <w:p>
      <w:pPr>
        <w:spacing w:line="400" w:lineRule="exact"/>
        <w:jc w:val="center"/>
        <w:rPr>
          <w:rFonts w:ascii="宋体" w:hAnsi="宋体" w:cs="宋体"/>
          <w:sz w:val="28"/>
          <w:szCs w:val="28"/>
        </w:rPr>
      </w:pPr>
    </w:p>
    <w:p>
      <w:pPr>
        <w:spacing w:line="360" w:lineRule="auto"/>
        <w:jc w:val="center"/>
        <w:rPr>
          <w:rFonts w:ascii="宋体" w:hAnsi="宋体" w:cs="宋体"/>
          <w:b/>
          <w:bCs/>
          <w:sz w:val="28"/>
          <w:szCs w:val="28"/>
        </w:rPr>
      </w:pPr>
      <w:r>
        <w:rPr>
          <w:rFonts w:hint="eastAsia" w:ascii="宋体" w:hAnsi="宋体" w:cs="宋体"/>
          <w:b/>
          <w:bCs/>
          <w:sz w:val="28"/>
          <w:szCs w:val="28"/>
        </w:rPr>
        <w:t>问题的澄清</w:t>
      </w:r>
    </w:p>
    <w:p>
      <w:pPr>
        <w:spacing w:line="360" w:lineRule="auto"/>
        <w:ind w:firstLine="3465" w:firstLineChars="1650"/>
        <w:rPr>
          <w:rFonts w:ascii="宋体" w:hAnsi="宋体" w:cs="宋体"/>
        </w:rPr>
      </w:pPr>
      <w:r>
        <w:rPr>
          <w:rFonts w:hint="eastAsia" w:ascii="宋体" w:hAnsi="宋体" w:cs="宋体"/>
        </w:rPr>
        <w:t xml:space="preserve">编号： </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项目名称）招标评标委员会：</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问题澄清通知（编号：</w:t>
      </w:r>
      <w:r>
        <w:rPr>
          <w:rFonts w:hint="eastAsia" w:ascii="宋体" w:hAnsi="宋体" w:cs="宋体"/>
          <w:szCs w:val="21"/>
          <w:u w:val="single"/>
        </w:rPr>
        <w:t xml:space="preserve">        </w:t>
      </w:r>
      <w:r>
        <w:rPr>
          <w:rFonts w:hint="eastAsia" w:ascii="宋体" w:hAnsi="宋体" w:cs="宋体"/>
          <w:szCs w:val="21"/>
        </w:rPr>
        <w:t>）已收悉，现澄清如下：</w:t>
      </w:r>
    </w:p>
    <w:p>
      <w:pPr>
        <w:spacing w:line="360" w:lineRule="auto"/>
        <w:rPr>
          <w:rFonts w:ascii="宋体" w:hAnsi="宋体" w:cs="宋体"/>
          <w:szCs w:val="21"/>
        </w:rPr>
      </w:pPr>
      <w:r>
        <w:rPr>
          <w:rFonts w:hint="eastAsia" w:ascii="宋体" w:hAnsi="宋体" w:cs="宋体"/>
          <w:szCs w:val="21"/>
        </w:rPr>
        <w:t>　     1.</w:t>
      </w:r>
    </w:p>
    <w:p>
      <w:pPr>
        <w:spacing w:line="360" w:lineRule="auto"/>
        <w:rPr>
          <w:rFonts w:ascii="宋体" w:hAnsi="宋体" w:cs="宋体"/>
          <w:szCs w:val="21"/>
        </w:rPr>
      </w:pPr>
      <w:r>
        <w:rPr>
          <w:rFonts w:hint="eastAsia" w:ascii="宋体" w:hAnsi="宋体" w:cs="宋体"/>
          <w:szCs w:val="21"/>
        </w:rPr>
        <w:t>　     2.</w:t>
      </w:r>
    </w:p>
    <w:p>
      <w:pPr>
        <w:spacing w:line="360" w:lineRule="auto"/>
        <w:rPr>
          <w:rFonts w:ascii="宋体" w:hAnsi="宋体" w:cs="宋体"/>
          <w:szCs w:val="21"/>
        </w:rPr>
      </w:pP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　    .....</w:t>
      </w:r>
    </w:p>
    <w:p>
      <w:pPr>
        <w:spacing w:line="360" w:lineRule="auto"/>
        <w:rPr>
          <w:rFonts w:ascii="宋体" w:hAnsi="宋体" w:cs="宋体"/>
          <w:szCs w:val="21"/>
        </w:rPr>
      </w:pP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 xml:space="preserve">　 </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投标人：</w:t>
      </w:r>
      <w:r>
        <w:rPr>
          <w:rFonts w:hint="eastAsia" w:ascii="宋体" w:hAnsi="宋体" w:cs="宋体"/>
          <w:szCs w:val="21"/>
          <w:u w:val="single"/>
        </w:rPr>
        <w:t xml:space="preserve">                        </w:t>
      </w:r>
      <w:r>
        <w:rPr>
          <w:rFonts w:hint="eastAsia" w:ascii="宋体" w:hAnsi="宋体" w:cs="宋体"/>
          <w:szCs w:val="21"/>
        </w:rPr>
        <w:t>（盖单位章）</w:t>
      </w:r>
    </w:p>
    <w:p>
      <w:pPr>
        <w:spacing w:line="360" w:lineRule="auto"/>
        <w:rPr>
          <w:rFonts w:ascii="宋体" w:hAnsi="宋体" w:cs="宋体"/>
          <w:szCs w:val="21"/>
        </w:rPr>
      </w:pPr>
      <w:r>
        <w:rPr>
          <w:rFonts w:hint="eastAsia" w:ascii="宋体" w:hAnsi="宋体" w:cs="宋体"/>
          <w:szCs w:val="21"/>
        </w:rPr>
        <w:t>　　　　　　　　　　　　　　　</w:t>
      </w:r>
    </w:p>
    <w:p>
      <w:pPr>
        <w:spacing w:line="360" w:lineRule="auto"/>
        <w:rPr>
          <w:rFonts w:ascii="宋体" w:hAnsi="宋体" w:cs="宋体"/>
          <w:szCs w:val="21"/>
        </w:rPr>
      </w:pPr>
      <w:r>
        <w:rPr>
          <w:rFonts w:hint="eastAsia" w:ascii="宋体" w:hAnsi="宋体" w:cs="宋体"/>
          <w:szCs w:val="21"/>
        </w:rPr>
        <w:t>　　　　　　　　　　　　　　　法定代表人或其委托代理人：</w:t>
      </w:r>
      <w:r>
        <w:rPr>
          <w:rFonts w:hint="eastAsia" w:ascii="宋体" w:hAnsi="宋体" w:cs="宋体"/>
          <w:szCs w:val="21"/>
          <w:u w:val="single"/>
        </w:rPr>
        <w:t xml:space="preserve">          </w:t>
      </w:r>
      <w:r>
        <w:rPr>
          <w:rFonts w:hint="eastAsia" w:ascii="宋体" w:hAnsi="宋体" w:cs="宋体"/>
          <w:szCs w:val="21"/>
        </w:rPr>
        <w:t>（签字）</w:t>
      </w:r>
    </w:p>
    <w:p>
      <w:pPr>
        <w:spacing w:line="360" w:lineRule="auto"/>
        <w:rPr>
          <w:rFonts w:ascii="宋体" w:hAnsi="宋体" w:cs="宋体"/>
          <w:szCs w:val="21"/>
        </w:rPr>
      </w:pPr>
      <w:r>
        <w:rPr>
          <w:rFonts w:hint="eastAsia" w:ascii="宋体" w:hAnsi="宋体" w:cs="宋体"/>
          <w:szCs w:val="21"/>
        </w:rPr>
        <w:t>　　　　　　　　　　　　　　　</w:t>
      </w: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rPr>
          <w:rFonts w:ascii="宋体" w:hAnsi="宋体" w:eastAsia="宋体" w:cs="宋体"/>
        </w:rPr>
      </w:pPr>
      <w:bookmarkStart w:id="134" w:name="_Toc144974551"/>
      <w:bookmarkStart w:id="135" w:name="_Toc507681413"/>
      <w:bookmarkStart w:id="136" w:name="_Toc179632602"/>
      <w:bookmarkStart w:id="137" w:name="_Toc246996970"/>
      <w:bookmarkStart w:id="138" w:name="_Toc246996227"/>
      <w:bookmarkStart w:id="139" w:name="_Toc152042361"/>
      <w:bookmarkStart w:id="140" w:name="_Toc507681562"/>
      <w:bookmarkStart w:id="141" w:name="_Toc152045584"/>
      <w:bookmarkStart w:id="142" w:name="_Toc247085742"/>
      <w:bookmarkStart w:id="143" w:name="_Toc504639077"/>
      <w:r>
        <w:rPr>
          <w:rFonts w:hint="eastAsia" w:ascii="宋体" w:hAnsi="宋体" w:eastAsia="宋体" w:cs="宋体"/>
        </w:rPr>
        <w:t>附件四：中标通知书</w:t>
      </w:r>
      <w:bookmarkEnd w:id="134"/>
      <w:bookmarkEnd w:id="135"/>
      <w:bookmarkEnd w:id="136"/>
      <w:bookmarkEnd w:id="137"/>
      <w:bookmarkEnd w:id="138"/>
      <w:bookmarkEnd w:id="139"/>
      <w:bookmarkEnd w:id="140"/>
      <w:bookmarkEnd w:id="141"/>
      <w:bookmarkEnd w:id="142"/>
      <w:bookmarkEnd w:id="143"/>
    </w:p>
    <w:p>
      <w:pPr>
        <w:spacing w:line="400" w:lineRule="exact"/>
        <w:rPr>
          <w:rFonts w:ascii="宋体" w:hAnsi="宋体" w:cs="宋体"/>
        </w:rPr>
      </w:pPr>
    </w:p>
    <w:p>
      <w:pPr>
        <w:spacing w:line="360" w:lineRule="auto"/>
        <w:jc w:val="center"/>
        <w:rPr>
          <w:rFonts w:ascii="宋体" w:hAnsi="宋体" w:cs="宋体"/>
          <w:b/>
          <w:bCs/>
          <w:sz w:val="28"/>
          <w:szCs w:val="28"/>
        </w:rPr>
      </w:pPr>
      <w:r>
        <w:rPr>
          <w:rFonts w:hint="eastAsia" w:ascii="宋体" w:hAnsi="宋体" w:cs="宋体"/>
          <w:b/>
          <w:bCs/>
          <w:sz w:val="28"/>
          <w:szCs w:val="28"/>
        </w:rPr>
        <w:t>中标通知书</w:t>
      </w:r>
    </w:p>
    <w:p>
      <w:pPr>
        <w:spacing w:line="360" w:lineRule="auto"/>
        <w:rPr>
          <w:rFonts w:ascii="宋体" w:hAnsi="宋体" w:cs="宋体"/>
        </w:rPr>
      </w:pPr>
      <w:r>
        <w:rPr>
          <w:rFonts w:hint="eastAsia" w:ascii="宋体" w:hAnsi="宋体" w:cs="宋体"/>
        </w:rPr>
        <w:t xml:space="preserve">                              </w:t>
      </w:r>
    </w:p>
    <w:p>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（中标人名称）：</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你方于</w:t>
      </w:r>
      <w:r>
        <w:rPr>
          <w:rFonts w:hint="eastAsia" w:ascii="宋体" w:hAnsi="宋体" w:cs="宋体"/>
          <w:szCs w:val="21"/>
          <w:u w:val="single"/>
        </w:rPr>
        <w:t xml:space="preserve">                   </w:t>
      </w:r>
      <w:r>
        <w:rPr>
          <w:rFonts w:hint="eastAsia" w:ascii="宋体" w:hAnsi="宋体" w:cs="宋体"/>
          <w:szCs w:val="21"/>
        </w:rPr>
        <w:t>（投标日期）所递交的</w:t>
      </w:r>
      <w:r>
        <w:rPr>
          <w:rFonts w:hint="eastAsia" w:ascii="宋体" w:hAnsi="宋体" w:cs="宋体"/>
          <w:szCs w:val="21"/>
          <w:u w:val="single"/>
        </w:rPr>
        <w:t xml:space="preserve">                   </w:t>
      </w:r>
      <w:r>
        <w:rPr>
          <w:rFonts w:hint="eastAsia" w:ascii="宋体" w:hAnsi="宋体" w:cs="宋体"/>
          <w:szCs w:val="21"/>
        </w:rPr>
        <w:t>（项目名称）投标文件已被我方接受，被确定为中标人。</w:t>
      </w:r>
    </w:p>
    <w:p>
      <w:pPr>
        <w:spacing w:line="360" w:lineRule="auto"/>
        <w:rPr>
          <w:rFonts w:ascii="宋体" w:hAnsi="宋体" w:cs="宋体"/>
          <w:szCs w:val="21"/>
        </w:rPr>
      </w:pPr>
      <w:r>
        <w:rPr>
          <w:rFonts w:hint="eastAsia" w:ascii="宋体" w:hAnsi="宋体" w:cs="宋体"/>
          <w:szCs w:val="21"/>
        </w:rPr>
        <w:t>　　中标价：</w:t>
      </w:r>
      <w:r>
        <w:rPr>
          <w:rFonts w:hint="eastAsia" w:ascii="宋体" w:hAnsi="宋体" w:cs="宋体"/>
          <w:szCs w:val="21"/>
          <w:u w:val="single"/>
        </w:rPr>
        <w:t xml:space="preserve">                   </w:t>
      </w:r>
      <w:r>
        <w:rPr>
          <w:rFonts w:hint="eastAsia" w:ascii="宋体" w:hAnsi="宋体" w:cs="宋体"/>
          <w:szCs w:val="21"/>
        </w:rPr>
        <w:t>元。</w:t>
      </w:r>
    </w:p>
    <w:p>
      <w:pPr>
        <w:spacing w:line="360" w:lineRule="auto"/>
        <w:rPr>
          <w:rFonts w:ascii="宋体" w:hAnsi="宋体" w:cs="宋体"/>
          <w:szCs w:val="21"/>
        </w:rPr>
      </w:pPr>
      <w:r>
        <w:rPr>
          <w:rFonts w:hint="eastAsia" w:ascii="宋体" w:hAnsi="宋体" w:cs="宋体"/>
          <w:szCs w:val="21"/>
        </w:rPr>
        <w:t>　　工期：</w:t>
      </w:r>
      <w:r>
        <w:rPr>
          <w:rFonts w:hint="eastAsia" w:ascii="宋体" w:hAnsi="宋体" w:cs="宋体"/>
          <w:szCs w:val="21"/>
          <w:u w:val="single"/>
        </w:rPr>
        <w:t xml:space="preserve">          </w:t>
      </w:r>
      <w:r>
        <w:rPr>
          <w:rFonts w:hint="eastAsia" w:ascii="宋体" w:hAnsi="宋体" w:cs="宋体"/>
          <w:szCs w:val="21"/>
        </w:rPr>
        <w:t>日历天。</w:t>
      </w:r>
    </w:p>
    <w:p>
      <w:pPr>
        <w:spacing w:line="360" w:lineRule="auto"/>
        <w:rPr>
          <w:rFonts w:ascii="宋体" w:hAnsi="宋体" w:cs="宋体"/>
          <w:szCs w:val="21"/>
        </w:rPr>
      </w:pPr>
      <w:r>
        <w:rPr>
          <w:rFonts w:hint="eastAsia" w:ascii="宋体" w:hAnsi="宋体" w:cs="宋体"/>
          <w:szCs w:val="21"/>
        </w:rPr>
        <w:t>　  工程质量：符合</w:t>
      </w:r>
      <w:r>
        <w:rPr>
          <w:rFonts w:hint="eastAsia" w:ascii="宋体" w:hAnsi="宋体" w:cs="宋体"/>
          <w:szCs w:val="21"/>
          <w:u w:val="single"/>
        </w:rPr>
        <w:t xml:space="preserve">                      </w:t>
      </w:r>
      <w:r>
        <w:rPr>
          <w:rFonts w:hint="eastAsia" w:ascii="宋体" w:hAnsi="宋体" w:cs="宋体"/>
          <w:szCs w:val="21"/>
        </w:rPr>
        <w:t>标准。</w:t>
      </w:r>
    </w:p>
    <w:p>
      <w:pPr>
        <w:spacing w:line="360" w:lineRule="auto"/>
        <w:rPr>
          <w:rFonts w:ascii="宋体" w:hAnsi="宋体" w:cs="宋体"/>
          <w:szCs w:val="21"/>
        </w:rPr>
      </w:pPr>
      <w:r>
        <w:rPr>
          <w:rFonts w:hint="eastAsia" w:ascii="宋体" w:hAnsi="宋体" w:cs="宋体"/>
          <w:szCs w:val="21"/>
        </w:rPr>
        <w:t>　　项目经理：</w:t>
      </w:r>
      <w:r>
        <w:rPr>
          <w:rFonts w:hint="eastAsia" w:ascii="宋体" w:hAnsi="宋体" w:cs="宋体"/>
          <w:szCs w:val="21"/>
          <w:u w:val="single"/>
        </w:rPr>
        <w:t xml:space="preserve">              </w:t>
      </w:r>
      <w:r>
        <w:rPr>
          <w:rFonts w:hint="eastAsia" w:ascii="宋体" w:hAnsi="宋体" w:cs="宋体"/>
          <w:szCs w:val="21"/>
        </w:rPr>
        <w:t>（姓名）。</w:t>
      </w:r>
    </w:p>
    <w:p>
      <w:pPr>
        <w:spacing w:line="360" w:lineRule="auto"/>
        <w:ind w:firstLine="420"/>
        <w:rPr>
          <w:rFonts w:ascii="宋体" w:hAnsi="宋体" w:cs="宋体"/>
          <w:szCs w:val="21"/>
        </w:rPr>
      </w:pPr>
      <w:r>
        <w:rPr>
          <w:rFonts w:hint="eastAsia" w:ascii="宋体" w:hAnsi="宋体" w:cs="宋体"/>
          <w:szCs w:val="21"/>
        </w:rPr>
        <w:t>请你方在接到本通知书后的</w:t>
      </w:r>
      <w:r>
        <w:rPr>
          <w:rFonts w:hint="eastAsia" w:ascii="宋体" w:hAnsi="宋体" w:cs="宋体"/>
          <w:szCs w:val="21"/>
          <w:u w:val="single"/>
        </w:rPr>
        <w:t xml:space="preserve">       </w:t>
      </w:r>
      <w:r>
        <w:rPr>
          <w:rFonts w:hint="eastAsia" w:ascii="宋体" w:hAnsi="宋体" w:cs="宋体"/>
          <w:szCs w:val="21"/>
        </w:rPr>
        <w:t>日内到</w:t>
      </w:r>
      <w:r>
        <w:rPr>
          <w:rFonts w:hint="eastAsia" w:ascii="宋体" w:hAnsi="宋体" w:cs="宋体"/>
          <w:szCs w:val="21"/>
          <w:u w:val="single"/>
        </w:rPr>
        <w:t xml:space="preserve">                      </w:t>
      </w:r>
      <w:r>
        <w:rPr>
          <w:rFonts w:hint="eastAsia" w:ascii="宋体" w:hAnsi="宋体" w:cs="宋体"/>
          <w:szCs w:val="21"/>
        </w:rPr>
        <w:t>（指定地点）与我方签订承包合同，在此之前按招标文件第二章“投标人须知”第7.7款规定向我方提交履约担保。</w:t>
      </w:r>
    </w:p>
    <w:p>
      <w:pPr>
        <w:spacing w:line="360" w:lineRule="auto"/>
        <w:ind w:firstLine="420"/>
        <w:rPr>
          <w:rFonts w:ascii="宋体" w:hAnsi="宋体" w:cs="宋体"/>
          <w:szCs w:val="21"/>
        </w:rPr>
      </w:pPr>
      <w:r>
        <w:rPr>
          <w:rFonts w:hint="eastAsia" w:ascii="宋体" w:hAnsi="宋体" w:cs="宋体"/>
          <w:szCs w:val="21"/>
        </w:rPr>
        <w:t>随附的澄清、说明、补正事项纪要，是本中标通知书的组成部分。</w:t>
      </w:r>
    </w:p>
    <w:p>
      <w:pPr>
        <w:spacing w:line="360" w:lineRule="auto"/>
        <w:rPr>
          <w:rFonts w:ascii="宋体" w:hAnsi="宋体" w:cs="宋体"/>
          <w:szCs w:val="21"/>
        </w:rPr>
      </w:pPr>
      <w:r>
        <w:rPr>
          <w:rFonts w:hint="eastAsia" w:ascii="宋体" w:hAnsi="宋体" w:cs="宋体"/>
          <w:szCs w:val="21"/>
        </w:rPr>
        <w:t>　　特此通知。</w:t>
      </w:r>
    </w:p>
    <w:p>
      <w:pPr>
        <w:spacing w:line="360" w:lineRule="auto"/>
        <w:ind w:firstLine="420" w:firstLineChars="200"/>
        <w:rPr>
          <w:rFonts w:ascii="宋体" w:hAnsi="宋体" w:cs="宋体"/>
          <w:szCs w:val="21"/>
        </w:rPr>
      </w:pPr>
      <w:r>
        <w:rPr>
          <w:rFonts w:hint="eastAsia" w:ascii="宋体" w:hAnsi="宋体" w:cs="宋体"/>
          <w:szCs w:val="21"/>
        </w:rPr>
        <w:t>附：澄清、说明、补正事项纪要</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ind w:firstLine="3150" w:firstLineChars="1500"/>
        <w:rPr>
          <w:rFonts w:ascii="宋体" w:hAnsi="宋体" w:cs="宋体"/>
          <w:szCs w:val="21"/>
        </w:rPr>
      </w:pPr>
      <w:r>
        <w:rPr>
          <w:rFonts w:hint="eastAsia" w:ascii="宋体" w:hAnsi="宋体" w:cs="宋体"/>
          <w:szCs w:val="21"/>
        </w:rPr>
        <w:t>招标人：</w:t>
      </w:r>
      <w:r>
        <w:rPr>
          <w:rFonts w:hint="eastAsia" w:ascii="宋体" w:hAnsi="宋体" w:cs="宋体"/>
          <w:szCs w:val="21"/>
          <w:u w:val="single"/>
        </w:rPr>
        <w:t xml:space="preserve">              </w:t>
      </w:r>
      <w:r>
        <w:rPr>
          <w:rFonts w:hint="eastAsia" w:ascii="宋体" w:hAnsi="宋体" w:cs="宋体"/>
          <w:szCs w:val="21"/>
        </w:rPr>
        <w:t>（盖单位章）</w:t>
      </w:r>
    </w:p>
    <w:p>
      <w:pPr>
        <w:spacing w:line="360" w:lineRule="auto"/>
        <w:ind w:firstLine="3150" w:firstLineChars="1500"/>
        <w:rPr>
          <w:rFonts w:ascii="宋体" w:hAnsi="宋体" w:cs="宋体"/>
          <w:szCs w:val="21"/>
        </w:rPr>
      </w:pPr>
      <w:r>
        <w:rPr>
          <w:rFonts w:hint="eastAsia" w:ascii="宋体" w:hAnsi="宋体" w:cs="宋体"/>
          <w:szCs w:val="21"/>
        </w:rPr>
        <w:t>法定代表人：</w:t>
      </w:r>
      <w:r>
        <w:rPr>
          <w:rFonts w:hint="eastAsia" w:ascii="宋体" w:hAnsi="宋体" w:cs="宋体"/>
          <w:szCs w:val="21"/>
          <w:u w:val="single"/>
        </w:rPr>
        <w:t xml:space="preserve">            </w:t>
      </w:r>
      <w:r>
        <w:rPr>
          <w:rFonts w:hint="eastAsia" w:ascii="宋体" w:hAnsi="宋体" w:cs="宋体"/>
          <w:szCs w:val="21"/>
        </w:rPr>
        <w:t>（签字）</w:t>
      </w:r>
    </w:p>
    <w:p>
      <w:pPr>
        <w:spacing w:line="360" w:lineRule="auto"/>
        <w:ind w:firstLine="3150" w:firstLineChars="1500"/>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rPr>
          <w:rFonts w:ascii="宋体" w:hAnsi="宋体" w:eastAsia="宋体" w:cs="宋体"/>
        </w:rPr>
      </w:pPr>
      <w:bookmarkStart w:id="144" w:name="_Toc504639078"/>
      <w:bookmarkStart w:id="145" w:name="_Toc152042362"/>
      <w:bookmarkStart w:id="146" w:name="_Toc507681563"/>
      <w:bookmarkStart w:id="147" w:name="_Toc247085743"/>
      <w:bookmarkStart w:id="148" w:name="_Toc246996971"/>
      <w:bookmarkStart w:id="149" w:name="_Toc507681414"/>
      <w:bookmarkStart w:id="150" w:name="_Toc179632603"/>
      <w:bookmarkStart w:id="151" w:name="_Toc246996228"/>
      <w:bookmarkStart w:id="152" w:name="_Toc144974552"/>
      <w:bookmarkStart w:id="153" w:name="_Toc152045585"/>
      <w:r>
        <w:rPr>
          <w:rFonts w:hint="eastAsia" w:ascii="宋体" w:hAnsi="宋体" w:eastAsia="宋体" w:cs="宋体"/>
        </w:rPr>
        <w:t>附件五：中标结果通知书</w:t>
      </w:r>
      <w:bookmarkEnd w:id="144"/>
      <w:bookmarkEnd w:id="145"/>
      <w:bookmarkEnd w:id="146"/>
      <w:bookmarkEnd w:id="147"/>
      <w:bookmarkEnd w:id="148"/>
      <w:bookmarkEnd w:id="149"/>
      <w:bookmarkEnd w:id="150"/>
      <w:bookmarkEnd w:id="151"/>
      <w:bookmarkEnd w:id="152"/>
      <w:bookmarkEnd w:id="153"/>
    </w:p>
    <w:p>
      <w:pPr>
        <w:spacing w:line="400" w:lineRule="exact"/>
        <w:rPr>
          <w:rFonts w:ascii="宋体" w:hAnsi="宋体" w:cs="宋体"/>
        </w:rPr>
      </w:pPr>
    </w:p>
    <w:p>
      <w:pPr>
        <w:spacing w:line="400" w:lineRule="exact"/>
        <w:jc w:val="center"/>
        <w:rPr>
          <w:rFonts w:ascii="宋体" w:hAnsi="宋体" w:cs="宋体"/>
          <w:b/>
          <w:bCs/>
          <w:sz w:val="28"/>
          <w:szCs w:val="28"/>
        </w:rPr>
      </w:pPr>
      <w:r>
        <w:rPr>
          <w:rFonts w:hint="eastAsia" w:ascii="宋体" w:hAnsi="宋体" w:cs="宋体"/>
          <w:b/>
          <w:bCs/>
          <w:sz w:val="28"/>
          <w:szCs w:val="28"/>
        </w:rPr>
        <w:t>中标结果通知书</w:t>
      </w:r>
    </w:p>
    <w:p>
      <w:pPr>
        <w:spacing w:line="400" w:lineRule="exact"/>
        <w:rPr>
          <w:rFonts w:ascii="宋体" w:hAnsi="宋体" w:cs="宋体"/>
        </w:rPr>
      </w:pPr>
    </w:p>
    <w:p>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（未中标人名称）：</w:t>
      </w:r>
    </w:p>
    <w:p>
      <w:pPr>
        <w:spacing w:line="360" w:lineRule="auto"/>
        <w:rPr>
          <w:rFonts w:ascii="宋体" w:hAnsi="宋体" w:cs="宋体"/>
          <w:szCs w:val="21"/>
        </w:rPr>
      </w:pPr>
      <w:r>
        <w:rPr>
          <w:rFonts w:hint="eastAsia" w:ascii="宋体" w:hAnsi="宋体" w:cs="宋体"/>
          <w:szCs w:val="21"/>
        </w:rPr>
        <w:t xml:space="preserve">    </w:t>
      </w:r>
    </w:p>
    <w:p>
      <w:pPr>
        <w:spacing w:line="360" w:lineRule="auto"/>
        <w:rPr>
          <w:rFonts w:ascii="宋体" w:hAnsi="宋体" w:cs="宋体"/>
          <w:szCs w:val="21"/>
        </w:rPr>
      </w:pPr>
      <w:r>
        <w:rPr>
          <w:rFonts w:hint="eastAsia" w:ascii="宋体" w:hAnsi="宋体" w:cs="宋体"/>
          <w:szCs w:val="21"/>
        </w:rPr>
        <w:t>　　我方已接受</w:t>
      </w:r>
      <w:r>
        <w:rPr>
          <w:rFonts w:hint="eastAsia" w:ascii="宋体" w:hAnsi="宋体" w:cs="宋体"/>
          <w:szCs w:val="21"/>
          <w:u w:val="single"/>
        </w:rPr>
        <w:t xml:space="preserve">                  </w:t>
      </w:r>
      <w:r>
        <w:rPr>
          <w:rFonts w:hint="eastAsia" w:ascii="宋体" w:hAnsi="宋体" w:cs="宋体"/>
          <w:szCs w:val="21"/>
        </w:rPr>
        <w:t>（中标人名称）于</w:t>
      </w:r>
      <w:r>
        <w:rPr>
          <w:rFonts w:hint="eastAsia" w:ascii="宋体" w:hAnsi="宋体" w:cs="宋体"/>
          <w:szCs w:val="21"/>
          <w:u w:val="single"/>
        </w:rPr>
        <w:t xml:space="preserve">                  </w:t>
      </w:r>
      <w:r>
        <w:rPr>
          <w:rFonts w:hint="eastAsia" w:ascii="宋体" w:hAnsi="宋体" w:cs="宋体"/>
          <w:szCs w:val="21"/>
        </w:rPr>
        <w:t>（投标日期）所递交的</w:t>
      </w:r>
      <w:r>
        <w:rPr>
          <w:rFonts w:hint="eastAsia" w:ascii="宋体" w:hAnsi="宋体" w:cs="宋体"/>
          <w:szCs w:val="21"/>
          <w:u w:val="single"/>
        </w:rPr>
        <w:t xml:space="preserve">            </w:t>
      </w:r>
      <w:r>
        <w:rPr>
          <w:rFonts w:hint="eastAsia" w:ascii="宋体" w:hAnsi="宋体" w:cs="宋体"/>
          <w:szCs w:val="21"/>
        </w:rPr>
        <w:t>（项目名称）投标文件，确定</w:t>
      </w:r>
      <w:r>
        <w:rPr>
          <w:rFonts w:hint="eastAsia" w:ascii="宋体" w:hAnsi="宋体" w:cs="宋体"/>
          <w:szCs w:val="21"/>
          <w:u w:val="single"/>
        </w:rPr>
        <w:t xml:space="preserve">            </w:t>
      </w:r>
      <w:r>
        <w:rPr>
          <w:rFonts w:hint="eastAsia" w:ascii="宋体" w:hAnsi="宋体" w:cs="宋体"/>
          <w:szCs w:val="21"/>
        </w:rPr>
        <w:t>（中标人名称）为中标人。</w:t>
      </w:r>
    </w:p>
    <w:p>
      <w:pPr>
        <w:spacing w:line="360" w:lineRule="auto"/>
        <w:rPr>
          <w:rFonts w:ascii="宋体" w:hAnsi="宋体" w:cs="宋体"/>
          <w:szCs w:val="21"/>
        </w:rPr>
      </w:pPr>
      <w:r>
        <w:rPr>
          <w:rFonts w:hint="eastAsia" w:ascii="宋体" w:hAnsi="宋体" w:cs="宋体"/>
          <w:szCs w:val="21"/>
        </w:rPr>
        <w:t>　　</w:t>
      </w:r>
    </w:p>
    <w:p>
      <w:pPr>
        <w:spacing w:line="360" w:lineRule="auto"/>
        <w:rPr>
          <w:rFonts w:ascii="宋体" w:hAnsi="宋体" w:cs="宋体"/>
          <w:szCs w:val="21"/>
        </w:rPr>
      </w:pPr>
      <w:r>
        <w:rPr>
          <w:rFonts w:hint="eastAsia" w:ascii="宋体" w:hAnsi="宋体" w:cs="宋体"/>
          <w:szCs w:val="21"/>
        </w:rPr>
        <w:t>　　感谢你单位对我们工作的大力支持！</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                                招标人：</w:t>
      </w:r>
      <w:r>
        <w:rPr>
          <w:rFonts w:hint="eastAsia" w:ascii="宋体" w:hAnsi="宋体" w:cs="宋体"/>
          <w:szCs w:val="21"/>
          <w:u w:val="single"/>
        </w:rPr>
        <w:t xml:space="preserve">                </w:t>
      </w:r>
      <w:r>
        <w:rPr>
          <w:rFonts w:hint="eastAsia" w:ascii="宋体" w:hAnsi="宋体" w:cs="宋体"/>
          <w:szCs w:val="21"/>
        </w:rPr>
        <w:t>（盖单位章）</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                                法定代表人：</w:t>
      </w:r>
      <w:r>
        <w:rPr>
          <w:rFonts w:hint="eastAsia" w:ascii="宋体" w:hAnsi="宋体" w:cs="宋体"/>
          <w:szCs w:val="21"/>
          <w:u w:val="single"/>
        </w:rPr>
        <w:t xml:space="preserve">                </w:t>
      </w:r>
      <w:r>
        <w:rPr>
          <w:rFonts w:hint="eastAsia" w:ascii="宋体" w:hAnsi="宋体" w:cs="宋体"/>
          <w:szCs w:val="21"/>
        </w:rPr>
        <w:t>（签字）</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spacing w:line="400" w:lineRule="exact"/>
        <w:rPr>
          <w:rFonts w:ascii="宋体" w:hAnsi="宋体" w:cs="宋体"/>
        </w:rPr>
      </w:pPr>
    </w:p>
    <w:p>
      <w:pPr>
        <w:pStyle w:val="4"/>
        <w:rPr>
          <w:rFonts w:ascii="宋体" w:hAnsi="宋体" w:eastAsia="宋体" w:cs="宋体"/>
        </w:rPr>
      </w:pPr>
      <w:bookmarkStart w:id="154" w:name="_Toc507681564"/>
      <w:bookmarkStart w:id="155" w:name="_Toc152045586"/>
      <w:bookmarkStart w:id="156" w:name="_Toc246996972"/>
      <w:bookmarkStart w:id="157" w:name="_Toc246996229"/>
      <w:bookmarkStart w:id="158" w:name="_Toc247085744"/>
      <w:bookmarkStart w:id="159" w:name="_Toc152042363"/>
      <w:bookmarkStart w:id="160" w:name="_Toc179632604"/>
      <w:bookmarkStart w:id="161" w:name="_Toc504639079"/>
      <w:bookmarkStart w:id="162" w:name="_Toc144974553"/>
      <w:bookmarkStart w:id="163" w:name="_Toc507681415"/>
      <w:r>
        <w:rPr>
          <w:rFonts w:hint="eastAsia" w:ascii="宋体" w:hAnsi="宋体" w:eastAsia="宋体" w:cs="宋体"/>
        </w:rPr>
        <w:t>附件六：确认通知</w:t>
      </w:r>
      <w:bookmarkEnd w:id="154"/>
      <w:bookmarkEnd w:id="155"/>
      <w:bookmarkEnd w:id="156"/>
      <w:bookmarkEnd w:id="157"/>
      <w:bookmarkEnd w:id="158"/>
      <w:bookmarkEnd w:id="159"/>
      <w:bookmarkEnd w:id="160"/>
      <w:bookmarkEnd w:id="161"/>
      <w:bookmarkEnd w:id="162"/>
      <w:bookmarkEnd w:id="163"/>
    </w:p>
    <w:p>
      <w:pPr>
        <w:spacing w:line="400" w:lineRule="exact"/>
        <w:rPr>
          <w:rFonts w:ascii="宋体" w:hAnsi="宋体" w:cs="宋体"/>
        </w:rPr>
      </w:pPr>
    </w:p>
    <w:p>
      <w:pPr>
        <w:spacing w:line="400" w:lineRule="exact"/>
        <w:jc w:val="center"/>
        <w:rPr>
          <w:rFonts w:ascii="宋体" w:hAnsi="宋体" w:cs="宋体"/>
          <w:b/>
          <w:bCs/>
          <w:sz w:val="28"/>
          <w:szCs w:val="28"/>
        </w:rPr>
      </w:pPr>
      <w:r>
        <w:rPr>
          <w:rFonts w:hint="eastAsia" w:ascii="宋体" w:hAnsi="宋体" w:cs="宋体"/>
          <w:b/>
          <w:bCs/>
          <w:sz w:val="28"/>
          <w:szCs w:val="28"/>
        </w:rPr>
        <w:t>确认通知</w:t>
      </w:r>
    </w:p>
    <w:p>
      <w:pPr>
        <w:spacing w:line="360" w:lineRule="auto"/>
        <w:rPr>
          <w:rFonts w:ascii="宋体" w:hAnsi="宋体" w:cs="宋体"/>
        </w:rPr>
      </w:pPr>
    </w:p>
    <w:p>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（招标人名称）：</w:t>
      </w:r>
    </w:p>
    <w:p>
      <w:pPr>
        <w:spacing w:line="360" w:lineRule="auto"/>
        <w:rPr>
          <w:rFonts w:ascii="宋体" w:hAnsi="宋体" w:cs="宋体"/>
          <w:szCs w:val="21"/>
        </w:rPr>
      </w:pPr>
      <w:r>
        <w:rPr>
          <w:rFonts w:hint="eastAsia" w:ascii="宋体" w:hAnsi="宋体" w:cs="宋体"/>
          <w:szCs w:val="21"/>
        </w:rPr>
        <w:t>　　</w:t>
      </w:r>
    </w:p>
    <w:p>
      <w:pPr>
        <w:spacing w:line="360" w:lineRule="auto"/>
        <w:ind w:firstLine="420" w:firstLineChars="200"/>
        <w:rPr>
          <w:rFonts w:ascii="宋体" w:hAnsi="宋体" w:cs="宋体"/>
          <w:szCs w:val="21"/>
          <w:u w:val="single"/>
        </w:rPr>
      </w:pPr>
      <w:r>
        <w:rPr>
          <w:rFonts w:hint="eastAsia" w:ascii="宋体" w:hAnsi="宋体" w:cs="宋体"/>
          <w:szCs w:val="21"/>
        </w:rPr>
        <w:t>你方于</w:t>
      </w:r>
      <w:r>
        <w:rPr>
          <w:rFonts w:hint="eastAsia" w:ascii="宋体" w:hAnsi="宋体" w:cs="宋体"/>
          <w:szCs w:val="21"/>
          <w:u w:val="single"/>
        </w:rPr>
        <w:t xml:space="preserve">      </w:t>
      </w:r>
      <w:r>
        <w:rPr>
          <w:rFonts w:hint="eastAsia" w:ascii="宋体" w:hAnsi="宋体" w:cs="宋体"/>
          <w:szCs w:val="21"/>
        </w:rPr>
        <w:t xml:space="preserve">年 </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日发出的</w:t>
      </w:r>
      <w:r>
        <w:rPr>
          <w:rFonts w:hint="eastAsia" w:ascii="宋体" w:hAnsi="宋体" w:cs="宋体"/>
          <w:szCs w:val="21"/>
          <w:u w:val="single"/>
        </w:rPr>
        <w:t xml:space="preserve">              </w:t>
      </w:r>
      <w:r>
        <w:rPr>
          <w:rFonts w:hint="eastAsia" w:ascii="宋体" w:hAnsi="宋体" w:cs="宋体"/>
          <w:szCs w:val="21"/>
        </w:rPr>
        <w:t>（项目名称）关于</w:t>
      </w:r>
      <w:r>
        <w:rPr>
          <w:rFonts w:hint="eastAsia" w:ascii="宋体" w:hAnsi="宋体" w:cs="宋体"/>
          <w:szCs w:val="21"/>
          <w:u w:val="single"/>
        </w:rPr>
        <w:t xml:space="preserve">       </w:t>
      </w:r>
    </w:p>
    <w:p>
      <w:pPr>
        <w:spacing w:line="360" w:lineRule="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的通知，我方已于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日收到。</w:t>
      </w: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特此确认。</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 xml:space="preserve">                              投标人：</w:t>
      </w:r>
      <w:r>
        <w:rPr>
          <w:rFonts w:hint="eastAsia" w:ascii="宋体" w:hAnsi="宋体" w:cs="宋体"/>
          <w:szCs w:val="21"/>
          <w:u w:val="single"/>
        </w:rPr>
        <w:t xml:space="preserve">             </w:t>
      </w:r>
      <w:r>
        <w:rPr>
          <w:rFonts w:hint="eastAsia" w:ascii="宋体" w:hAnsi="宋体" w:cs="宋体"/>
          <w:szCs w:val="21"/>
        </w:rPr>
        <w:t xml:space="preserve"> （盖单位章）</w:t>
      </w:r>
    </w:p>
    <w:p>
      <w:pPr>
        <w:spacing w:line="360" w:lineRule="auto"/>
        <w:rPr>
          <w:rFonts w:ascii="宋体" w:hAnsi="宋体" w:cs="宋体"/>
          <w:szCs w:val="21"/>
        </w:rPr>
      </w:pPr>
    </w:p>
    <w:p>
      <w:pPr>
        <w:spacing w:line="360" w:lineRule="auto"/>
        <w:ind w:firstLine="210" w:firstLineChars="100"/>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spacing w:line="360" w:lineRule="auto"/>
        <w:ind w:firstLine="210" w:firstLineChars="100"/>
        <w:rPr>
          <w:rFonts w:ascii="宋体" w:hAnsi="宋体" w:cs="宋体"/>
          <w:szCs w:val="21"/>
        </w:rPr>
      </w:pPr>
    </w:p>
    <w:p>
      <w:pPr>
        <w:spacing w:line="360" w:lineRule="auto"/>
        <w:ind w:firstLine="210" w:firstLineChars="100"/>
        <w:rPr>
          <w:rFonts w:ascii="宋体" w:hAnsi="宋体" w:cs="宋体"/>
          <w:szCs w:val="21"/>
        </w:rPr>
      </w:pPr>
    </w:p>
    <w:p>
      <w:pPr>
        <w:spacing w:line="440" w:lineRule="exact"/>
        <w:ind w:firstLine="210" w:firstLineChars="100"/>
        <w:rPr>
          <w:rFonts w:ascii="宋体" w:hAnsi="宋体" w:cs="宋体"/>
          <w:szCs w:val="21"/>
        </w:rPr>
      </w:pPr>
    </w:p>
    <w:p>
      <w:pPr>
        <w:spacing w:line="440" w:lineRule="exact"/>
        <w:ind w:firstLine="210" w:firstLineChars="100"/>
        <w:rPr>
          <w:rFonts w:ascii="宋体" w:hAnsi="宋体" w:cs="宋体"/>
          <w:szCs w:val="21"/>
        </w:rPr>
      </w:pPr>
    </w:p>
    <w:p>
      <w:pPr>
        <w:spacing w:line="440" w:lineRule="exact"/>
        <w:ind w:firstLine="210" w:firstLineChars="100"/>
        <w:rPr>
          <w:rFonts w:ascii="宋体" w:hAnsi="宋体" w:cs="宋体"/>
          <w:szCs w:val="21"/>
        </w:rPr>
      </w:pPr>
    </w:p>
    <w:p>
      <w:pPr>
        <w:spacing w:line="440" w:lineRule="exact"/>
        <w:ind w:firstLine="210" w:firstLineChars="100"/>
        <w:rPr>
          <w:rFonts w:ascii="宋体" w:hAnsi="宋体" w:cs="宋体"/>
          <w:szCs w:val="21"/>
        </w:rPr>
      </w:pPr>
    </w:p>
    <w:p>
      <w:pPr>
        <w:spacing w:line="440" w:lineRule="exact"/>
        <w:ind w:firstLine="210" w:firstLineChars="100"/>
        <w:rPr>
          <w:rFonts w:ascii="宋体" w:hAnsi="宋体" w:cs="宋体"/>
          <w:szCs w:val="21"/>
        </w:rPr>
      </w:pPr>
    </w:p>
    <w:p>
      <w:pPr>
        <w:spacing w:line="440" w:lineRule="exact"/>
        <w:ind w:firstLine="210" w:firstLineChars="100"/>
        <w:rPr>
          <w:rFonts w:ascii="宋体" w:hAnsi="宋体" w:cs="宋体"/>
          <w:szCs w:val="21"/>
        </w:rPr>
      </w:pPr>
    </w:p>
    <w:p>
      <w:pPr>
        <w:spacing w:line="440" w:lineRule="exact"/>
        <w:ind w:firstLine="210" w:firstLineChars="100"/>
        <w:rPr>
          <w:rFonts w:ascii="宋体" w:hAnsi="宋体" w:cs="宋体"/>
          <w:szCs w:val="21"/>
        </w:rPr>
      </w:pPr>
    </w:p>
    <w:p>
      <w:pPr>
        <w:spacing w:line="440" w:lineRule="exact"/>
        <w:ind w:firstLine="210" w:firstLineChars="100"/>
        <w:rPr>
          <w:rFonts w:ascii="宋体" w:hAnsi="宋体" w:cs="宋体"/>
          <w:szCs w:val="21"/>
        </w:rPr>
        <w:sectPr>
          <w:footerReference r:id="rId10" w:type="first"/>
          <w:headerReference r:id="rId8" w:type="default"/>
          <w:footerReference r:id="rId9" w:type="default"/>
          <w:pgSz w:w="11906" w:h="16838"/>
          <w:pgMar w:top="1418" w:right="1247" w:bottom="1418" w:left="1588" w:header="851" w:footer="992" w:gutter="0"/>
          <w:cols w:space="720" w:num="1"/>
          <w:titlePg/>
          <w:docGrid w:linePitch="312" w:charSpace="0"/>
        </w:sectPr>
      </w:pPr>
    </w:p>
    <w:p>
      <w:pPr>
        <w:jc w:val="center"/>
        <w:outlineLvl w:val="0"/>
        <w:rPr>
          <w:rFonts w:ascii="宋体" w:hAnsi="宋体" w:cs="宋体"/>
          <w:b/>
          <w:bCs/>
          <w:snapToGrid w:val="0"/>
          <w:kern w:val="0"/>
          <w:sz w:val="44"/>
          <w:szCs w:val="44"/>
        </w:rPr>
      </w:pPr>
      <w:bookmarkStart w:id="164" w:name="_Toc263326724"/>
      <w:bookmarkStart w:id="165" w:name="_Toc256581160"/>
      <w:bookmarkStart w:id="166" w:name="_Toc443861063"/>
      <w:bookmarkStart w:id="167" w:name="_Toc21686"/>
      <w:bookmarkStart w:id="168" w:name="_Toc31622"/>
      <w:bookmarkStart w:id="169" w:name="_Toc13680"/>
      <w:bookmarkStart w:id="170" w:name="_Toc29133"/>
      <w:bookmarkStart w:id="171" w:name="_Toc29729"/>
      <w:r>
        <w:rPr>
          <w:rFonts w:hint="eastAsia" w:ascii="宋体" w:hAnsi="宋体" w:cs="宋体"/>
          <w:b/>
          <w:bCs/>
          <w:snapToGrid w:val="0"/>
          <w:kern w:val="0"/>
          <w:sz w:val="44"/>
          <w:szCs w:val="44"/>
        </w:rPr>
        <w:t>第三章  评标办法</w:t>
      </w:r>
      <w:bookmarkEnd w:id="164"/>
      <w:bookmarkEnd w:id="165"/>
      <w:bookmarkEnd w:id="166"/>
      <w:bookmarkStart w:id="172" w:name="_Toc241059760"/>
      <w:bookmarkStart w:id="173" w:name="_Toc263326725"/>
      <w:bookmarkStart w:id="174" w:name="_Toc263151112"/>
      <w:bookmarkStart w:id="175" w:name="_Toc256581161"/>
      <w:r>
        <w:rPr>
          <w:rFonts w:hint="eastAsia" w:ascii="宋体" w:hAnsi="宋体" w:cs="宋体"/>
          <w:b/>
          <w:bCs/>
          <w:snapToGrid w:val="0"/>
          <w:kern w:val="0"/>
          <w:sz w:val="44"/>
          <w:szCs w:val="44"/>
        </w:rPr>
        <w:t>（综合评</w:t>
      </w:r>
      <w:r>
        <w:rPr>
          <w:rFonts w:hint="eastAsia" w:ascii="宋体" w:hAnsi="宋体" w:cs="宋体"/>
          <w:b/>
          <w:bCs/>
          <w:snapToGrid w:val="0"/>
          <w:kern w:val="0"/>
          <w:sz w:val="44"/>
          <w:szCs w:val="44"/>
          <w:lang w:val="en-US" w:eastAsia="zh-CN"/>
        </w:rPr>
        <w:t>估</w:t>
      </w:r>
      <w:r>
        <w:rPr>
          <w:rFonts w:hint="eastAsia" w:ascii="宋体" w:hAnsi="宋体" w:cs="宋体"/>
          <w:b/>
          <w:bCs/>
          <w:snapToGrid w:val="0"/>
          <w:kern w:val="0"/>
          <w:sz w:val="44"/>
          <w:szCs w:val="44"/>
        </w:rPr>
        <w:t>法）</w:t>
      </w:r>
      <w:bookmarkEnd w:id="167"/>
      <w:bookmarkEnd w:id="168"/>
      <w:bookmarkEnd w:id="169"/>
      <w:bookmarkEnd w:id="170"/>
      <w:bookmarkEnd w:id="172"/>
      <w:bookmarkEnd w:id="173"/>
      <w:bookmarkEnd w:id="174"/>
      <w:bookmarkEnd w:id="175"/>
    </w:p>
    <w:p>
      <w:pPr>
        <w:spacing w:line="360" w:lineRule="auto"/>
        <w:rPr>
          <w:rFonts w:ascii="宋体" w:hAnsi="宋体" w:cs="宋体"/>
          <w:b/>
          <w:bCs/>
          <w:sz w:val="24"/>
        </w:rPr>
      </w:pPr>
    </w:p>
    <w:p>
      <w:pPr>
        <w:spacing w:line="360" w:lineRule="exact"/>
        <w:rPr>
          <w:rFonts w:ascii="宋体" w:hAnsi="宋体" w:cs="宋体"/>
          <w:b/>
          <w:bCs/>
          <w:sz w:val="24"/>
        </w:rPr>
      </w:pPr>
      <w:r>
        <w:rPr>
          <w:rFonts w:hint="eastAsia" w:ascii="宋体" w:hAnsi="宋体" w:cs="宋体"/>
          <w:b/>
          <w:bCs/>
          <w:sz w:val="24"/>
        </w:rPr>
        <w:t>评标办法前附表</w:t>
      </w:r>
    </w:p>
    <w:p>
      <w:pPr>
        <w:spacing w:line="360" w:lineRule="exact"/>
        <w:rPr>
          <w:rFonts w:ascii="宋体" w:hAnsi="宋体"/>
          <w:b/>
          <w:sz w:val="22"/>
        </w:rPr>
      </w:pPr>
      <w:r>
        <w:rPr>
          <w:rFonts w:ascii="宋体" w:hAnsi="宋体"/>
          <w:b/>
          <w:sz w:val="22"/>
        </w:rPr>
        <w:t>评标办法前附表与正文不一致的地方以评标办法前附表为准</w:t>
      </w:r>
      <w:r>
        <w:rPr>
          <w:rFonts w:hint="eastAsia" w:ascii="宋体" w:hAnsi="宋体"/>
          <w:b/>
          <w:sz w:val="22"/>
        </w:rPr>
        <w:t>。</w:t>
      </w:r>
    </w:p>
    <w:p>
      <w:pPr>
        <w:pStyle w:val="12"/>
        <w:spacing w:line="360" w:lineRule="exact"/>
        <w:jc w:val="left"/>
        <w:rPr>
          <w:rFonts w:ascii="宋体" w:hAnsi="宋体"/>
          <w:lang w:eastAsia="zh-CN"/>
        </w:rPr>
      </w:pPr>
      <w:r>
        <w:rPr>
          <w:rFonts w:hint="eastAsia"/>
          <w:b/>
          <w:sz w:val="21"/>
          <w:szCs w:val="32"/>
          <w:u w:val="none"/>
          <w:lang w:eastAsia="zh-CN"/>
        </w:rPr>
        <w:t>所有否决投标情形在此表集中，未在此表集中的其他内容均不得作为重大偏差或作为否决投标的依据。</w:t>
      </w:r>
    </w:p>
    <w:tbl>
      <w:tblPr>
        <w:tblStyle w:val="17"/>
        <w:tblW w:w="91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124"/>
        <w:gridCol w:w="1487"/>
        <w:gridCol w:w="56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blHeader/>
          <w:jc w:val="center"/>
        </w:trPr>
        <w:tc>
          <w:tcPr>
            <w:tcW w:w="2024" w:type="dxa"/>
            <w:gridSpan w:val="2"/>
            <w:tcBorders>
              <w:top w:val="single" w:color="auto" w:sz="4" w:space="0"/>
              <w:bottom w:val="single" w:color="auto" w:sz="4" w:space="0"/>
              <w:right w:val="single" w:color="auto" w:sz="4" w:space="0"/>
            </w:tcBorders>
            <w:vAlign w:val="center"/>
          </w:tcPr>
          <w:p>
            <w:pPr>
              <w:spacing w:line="360" w:lineRule="exact"/>
              <w:jc w:val="center"/>
              <w:rPr>
                <w:rFonts w:ascii="宋体" w:hAnsi="宋体" w:cs="宋体"/>
                <w:b/>
              </w:rPr>
            </w:pPr>
            <w:r>
              <w:rPr>
                <w:rFonts w:hint="eastAsia" w:ascii="宋体" w:hAnsi="宋体" w:cs="宋体"/>
                <w:b/>
              </w:rPr>
              <w:t>条款号</w:t>
            </w:r>
          </w:p>
        </w:tc>
        <w:tc>
          <w:tcPr>
            <w:tcW w:w="14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b/>
              </w:rPr>
            </w:pPr>
            <w:r>
              <w:rPr>
                <w:rFonts w:hint="eastAsia" w:ascii="宋体" w:hAnsi="宋体" w:cs="宋体"/>
                <w:b/>
              </w:rPr>
              <w:t>评审因素</w:t>
            </w:r>
          </w:p>
        </w:tc>
        <w:tc>
          <w:tcPr>
            <w:tcW w:w="5634" w:type="dxa"/>
            <w:tcBorders>
              <w:top w:val="single" w:color="auto" w:sz="4" w:space="0"/>
              <w:left w:val="single" w:color="auto" w:sz="4" w:space="0"/>
              <w:bottom w:val="single" w:color="auto" w:sz="4" w:space="0"/>
            </w:tcBorders>
            <w:vAlign w:val="center"/>
          </w:tcPr>
          <w:p>
            <w:pPr>
              <w:spacing w:line="360" w:lineRule="exact"/>
              <w:jc w:val="center"/>
              <w:rPr>
                <w:rFonts w:ascii="宋体" w:hAnsi="宋体" w:cs="宋体"/>
                <w:b/>
              </w:rPr>
            </w:pPr>
            <w:r>
              <w:rPr>
                <w:rFonts w:hint="eastAsia" w:ascii="宋体" w:hAnsi="宋体" w:cs="宋体"/>
                <w:b/>
              </w:rPr>
              <w:t>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6" w:hRule="atLeast"/>
          <w:jc w:val="center"/>
        </w:trPr>
        <w:tc>
          <w:tcPr>
            <w:tcW w:w="900" w:type="dxa"/>
            <w:tcBorders>
              <w:top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1</w:t>
            </w:r>
          </w:p>
        </w:tc>
        <w:tc>
          <w:tcPr>
            <w:tcW w:w="1124" w:type="dxa"/>
            <w:tcBorders>
              <w:top w:val="single" w:color="auto" w:sz="4" w:space="0"/>
              <w:left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评标方法</w:t>
            </w:r>
          </w:p>
        </w:tc>
        <w:tc>
          <w:tcPr>
            <w:tcW w:w="14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中标候选人排序方法</w:t>
            </w:r>
          </w:p>
        </w:tc>
        <w:tc>
          <w:tcPr>
            <w:tcW w:w="5634" w:type="dxa"/>
            <w:tcBorders>
              <w:top w:val="single" w:color="auto" w:sz="4" w:space="0"/>
              <w:left w:val="single" w:color="auto" w:sz="4" w:space="0"/>
              <w:bottom w:val="single" w:color="auto" w:sz="4" w:space="0"/>
            </w:tcBorders>
          </w:tcPr>
          <w:p>
            <w:pPr>
              <w:spacing w:line="360" w:lineRule="exact"/>
              <w:ind w:firstLine="436" w:firstLineChars="200"/>
            </w:pPr>
            <w:r>
              <w:rPr>
                <w:rFonts w:hint="eastAsia" w:ascii="宋体" w:hAnsi="宋体"/>
                <w:color w:val="auto"/>
                <w:spacing w:val="4"/>
                <w:kern w:val="0"/>
                <w:szCs w:val="21"/>
              </w:rPr>
              <w:t>本项目评标采用综合评标法，其中报价比值占90分，技术比值占10分，评标委员会按照评标办法对通过初步评审、详细评审合格的投标人中按</w:t>
            </w:r>
            <w:r>
              <w:rPr>
                <w:rFonts w:hint="eastAsia" w:ascii="宋体" w:hAnsi="宋体" w:cs="宋体"/>
                <w:color w:val="auto"/>
                <w:szCs w:val="21"/>
              </w:rPr>
              <w:t>得分</w:t>
            </w:r>
            <w:r>
              <w:rPr>
                <w:rFonts w:hint="eastAsia" w:ascii="宋体" w:hAnsi="宋体"/>
                <w:color w:val="auto"/>
                <w:spacing w:val="4"/>
                <w:kern w:val="0"/>
                <w:szCs w:val="21"/>
              </w:rPr>
              <w:t>由高到低推荐中标候选人。</w:t>
            </w:r>
            <w:r>
              <w:rPr>
                <w:rFonts w:ascii="宋体" w:hAnsi="宋体"/>
                <w:color w:val="auto"/>
                <w:kern w:val="0"/>
                <w:szCs w:val="21"/>
              </w:rPr>
              <w:t>综合评</w:t>
            </w:r>
            <w:r>
              <w:rPr>
                <w:rFonts w:ascii="宋体" w:hAnsi="宋体"/>
                <w:kern w:val="0"/>
                <w:szCs w:val="21"/>
              </w:rPr>
              <w:t>分相等时</w:t>
            </w:r>
            <w:r>
              <w:rPr>
                <w:rFonts w:ascii="宋体" w:hAnsi="宋体"/>
                <w:spacing w:val="-31"/>
                <w:kern w:val="0"/>
                <w:szCs w:val="21"/>
              </w:rPr>
              <w:t>，</w:t>
            </w:r>
            <w:r>
              <w:rPr>
                <w:rFonts w:ascii="宋体" w:hAnsi="宋体"/>
                <w:kern w:val="0"/>
                <w:szCs w:val="21"/>
              </w:rPr>
              <w:t>以投标报价</w:t>
            </w:r>
            <w:r>
              <w:rPr>
                <w:rFonts w:hint="eastAsia" w:ascii="宋体" w:hAnsi="宋体"/>
                <w:kern w:val="0"/>
                <w:szCs w:val="21"/>
              </w:rPr>
              <w:t>高</w:t>
            </w:r>
            <w:r>
              <w:rPr>
                <w:rFonts w:ascii="宋体" w:hAnsi="宋体"/>
                <w:kern w:val="0"/>
                <w:szCs w:val="21"/>
              </w:rPr>
              <w:t>的优先；投标报价相等的</w:t>
            </w:r>
            <w:r>
              <w:rPr>
                <w:rFonts w:ascii="宋体" w:hAnsi="宋体" w:cs="宋体"/>
                <w:spacing w:val="-8"/>
                <w:u w:val="single"/>
              </w:rPr>
              <w:t>，由评</w:t>
            </w:r>
            <w:r>
              <w:rPr>
                <w:rFonts w:ascii="宋体" w:hAnsi="宋体" w:cs="宋体"/>
                <w:spacing w:val="-1"/>
                <w:u w:val="single"/>
              </w:rPr>
              <w:t>标委员会投票确定</w:t>
            </w:r>
            <w:r>
              <w:rPr>
                <w:rFonts w:ascii="宋体" w:hAnsi="宋体" w:cs="宋体"/>
                <w:spacing w:val="-1"/>
              </w:rPr>
              <w:t>原则排</w:t>
            </w:r>
            <w:r>
              <w:rPr>
                <w:rFonts w:ascii="宋体" w:hAnsi="宋体" w:cs="宋体"/>
              </w:rPr>
              <w:t>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2.1.1</w:t>
            </w:r>
          </w:p>
        </w:tc>
        <w:tc>
          <w:tcPr>
            <w:tcW w:w="1124" w:type="dxa"/>
            <w:vMerge w:val="restart"/>
            <w:tcBorders>
              <w:top w:val="single" w:color="auto" w:sz="4" w:space="0"/>
              <w:left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形式评审标准</w:t>
            </w:r>
          </w:p>
        </w:tc>
        <w:tc>
          <w:tcPr>
            <w:tcW w:w="14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投标人名称</w:t>
            </w:r>
          </w:p>
        </w:tc>
        <w:tc>
          <w:tcPr>
            <w:tcW w:w="5634" w:type="dxa"/>
            <w:tcBorders>
              <w:top w:val="single" w:color="auto" w:sz="4" w:space="0"/>
              <w:left w:val="single" w:color="auto" w:sz="4" w:space="0"/>
              <w:bottom w:val="single" w:color="auto" w:sz="4" w:space="0"/>
            </w:tcBorders>
            <w:vAlign w:val="center"/>
          </w:tcPr>
          <w:p>
            <w:pPr>
              <w:spacing w:line="360" w:lineRule="exact"/>
              <w:rPr>
                <w:rFonts w:ascii="宋体" w:hAnsi="宋体" w:cs="宋体"/>
              </w:rPr>
            </w:pPr>
            <w:r>
              <w:rPr>
                <w:rFonts w:hint="eastAsia" w:ascii="宋体" w:hAnsi="宋体" w:cs="宋体"/>
              </w:rPr>
              <w:t>与营业执照一致。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360" w:lineRule="exact"/>
              <w:jc w:val="center"/>
              <w:rPr>
                <w:rFonts w:ascii="宋体" w:hAnsi="宋体" w:cs="宋体"/>
              </w:rPr>
            </w:pPr>
          </w:p>
        </w:tc>
        <w:tc>
          <w:tcPr>
            <w:tcW w:w="1124" w:type="dxa"/>
            <w:vMerge w:val="continue"/>
            <w:tcBorders>
              <w:top w:val="single" w:color="auto" w:sz="4" w:space="0"/>
              <w:left w:val="single" w:color="auto" w:sz="4" w:space="0"/>
              <w:right w:val="single" w:color="auto" w:sz="4" w:space="0"/>
            </w:tcBorders>
            <w:vAlign w:val="center"/>
          </w:tcPr>
          <w:p>
            <w:pPr>
              <w:spacing w:line="360" w:lineRule="exact"/>
              <w:jc w:val="center"/>
              <w:rPr>
                <w:rFonts w:ascii="宋体" w:hAnsi="宋体" w:cs="宋体"/>
              </w:rPr>
            </w:pPr>
          </w:p>
        </w:tc>
        <w:tc>
          <w:tcPr>
            <w:tcW w:w="14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投标函签字盖章</w:t>
            </w:r>
          </w:p>
        </w:tc>
        <w:tc>
          <w:tcPr>
            <w:tcW w:w="5634" w:type="dxa"/>
            <w:tcBorders>
              <w:top w:val="single" w:color="auto" w:sz="4" w:space="0"/>
              <w:left w:val="single" w:color="auto" w:sz="4" w:space="0"/>
              <w:bottom w:val="single" w:color="auto" w:sz="4" w:space="0"/>
            </w:tcBorders>
            <w:vAlign w:val="center"/>
          </w:tcPr>
          <w:p>
            <w:pPr>
              <w:spacing w:line="360" w:lineRule="exact"/>
              <w:rPr>
                <w:rFonts w:ascii="宋体" w:hAnsi="宋体" w:cs="宋体"/>
              </w:rPr>
            </w:pPr>
            <w:r>
              <w:rPr>
                <w:rFonts w:hint="eastAsia" w:ascii="宋体" w:hAnsi="宋体" w:cs="宋体"/>
                <w:lang w:val="en-US" w:eastAsia="zh-CN"/>
              </w:rPr>
              <w:t>由</w:t>
            </w:r>
            <w:r>
              <w:rPr>
                <w:rFonts w:hint="eastAsia" w:ascii="宋体" w:hAnsi="宋体" w:cs="宋体"/>
              </w:rPr>
              <w:t>法定代表人（单位负责人）或其委托代理人签字或加盖单位章。由法定代表人（单位负责人） 签字的，应附法定代表人（单位负责人）身份证明，由代理人签字的，应附法定代表人身份证明及授权委托书，身份证明或授权委托书应符合第五章“投标文件格式”的规定。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right w:val="single" w:color="auto" w:sz="4" w:space="0"/>
            </w:tcBorders>
            <w:vAlign w:val="center"/>
          </w:tcPr>
          <w:p>
            <w:pPr>
              <w:spacing w:line="360" w:lineRule="exact"/>
              <w:jc w:val="center"/>
              <w:rPr>
                <w:rFonts w:ascii="宋体" w:hAnsi="宋体" w:cs="宋体"/>
              </w:rPr>
            </w:pPr>
          </w:p>
        </w:tc>
        <w:tc>
          <w:tcPr>
            <w:tcW w:w="1124" w:type="dxa"/>
            <w:vMerge w:val="continue"/>
            <w:tcBorders>
              <w:top w:val="single" w:color="auto" w:sz="4" w:space="0"/>
              <w:left w:val="single" w:color="auto" w:sz="4" w:space="0"/>
              <w:right w:val="single" w:color="auto" w:sz="4" w:space="0"/>
            </w:tcBorders>
            <w:vAlign w:val="center"/>
          </w:tcPr>
          <w:p>
            <w:pPr>
              <w:spacing w:line="360" w:lineRule="exact"/>
              <w:jc w:val="center"/>
              <w:rPr>
                <w:rFonts w:ascii="宋体" w:hAnsi="宋体" w:cs="宋体"/>
              </w:rPr>
            </w:pPr>
          </w:p>
        </w:tc>
        <w:tc>
          <w:tcPr>
            <w:tcW w:w="14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投标文件格式</w:t>
            </w:r>
          </w:p>
        </w:tc>
        <w:tc>
          <w:tcPr>
            <w:tcW w:w="5634" w:type="dxa"/>
            <w:tcBorders>
              <w:top w:val="single" w:color="auto" w:sz="4" w:space="0"/>
              <w:left w:val="single" w:color="auto" w:sz="4" w:space="0"/>
              <w:bottom w:val="single" w:color="auto" w:sz="4" w:space="0"/>
            </w:tcBorders>
            <w:vAlign w:val="center"/>
          </w:tcPr>
          <w:p>
            <w:pPr>
              <w:spacing w:line="360" w:lineRule="exact"/>
              <w:rPr>
                <w:rFonts w:ascii="宋体" w:hAnsi="宋体" w:cs="宋体"/>
              </w:rPr>
            </w:pPr>
            <w:r>
              <w:rPr>
                <w:rFonts w:ascii="宋体" w:hAnsi="宋体" w:cs="宋体"/>
                <w:kern w:val="0"/>
              </w:rPr>
              <w:t>符合第</w:t>
            </w:r>
            <w:r>
              <w:rPr>
                <w:rFonts w:hint="eastAsia" w:ascii="宋体" w:hAnsi="宋体" w:cs="宋体"/>
                <w:kern w:val="0"/>
              </w:rPr>
              <w:t>五</w:t>
            </w:r>
            <w:r>
              <w:rPr>
                <w:rFonts w:ascii="宋体" w:hAnsi="宋体" w:cs="宋体"/>
                <w:kern w:val="0"/>
              </w:rPr>
              <w:t>章“投标文件格式”的规定</w:t>
            </w:r>
            <w:r>
              <w:rPr>
                <w:rFonts w:hint="eastAsia" w:ascii="宋体" w:hAnsi="宋体" w:cs="宋体"/>
                <w:kern w:val="0"/>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900" w:type="dxa"/>
            <w:vMerge w:val="continue"/>
            <w:tcBorders>
              <w:right w:val="single" w:color="auto" w:sz="4" w:space="0"/>
            </w:tcBorders>
            <w:vAlign w:val="center"/>
          </w:tcPr>
          <w:p>
            <w:pPr>
              <w:spacing w:line="360" w:lineRule="exact"/>
              <w:jc w:val="center"/>
              <w:rPr>
                <w:rFonts w:ascii="宋体" w:hAnsi="宋体" w:cs="宋体"/>
              </w:rPr>
            </w:pPr>
          </w:p>
        </w:tc>
        <w:tc>
          <w:tcPr>
            <w:tcW w:w="1124" w:type="dxa"/>
            <w:vMerge w:val="continue"/>
            <w:tcBorders>
              <w:left w:val="single" w:color="auto" w:sz="4" w:space="0"/>
              <w:right w:val="single" w:color="auto" w:sz="4" w:space="0"/>
            </w:tcBorders>
            <w:vAlign w:val="center"/>
          </w:tcPr>
          <w:p>
            <w:pPr>
              <w:spacing w:line="360" w:lineRule="exact"/>
              <w:jc w:val="center"/>
              <w:rPr>
                <w:rFonts w:ascii="宋体" w:hAnsi="宋体" w:cs="宋体"/>
              </w:rPr>
            </w:pPr>
          </w:p>
        </w:tc>
        <w:tc>
          <w:tcPr>
            <w:tcW w:w="1487" w:type="dxa"/>
            <w:tcBorders>
              <w:top w:val="single" w:color="auto" w:sz="4" w:space="0"/>
              <w:left w:val="single" w:color="auto" w:sz="4" w:space="0"/>
              <w:right w:val="single" w:color="auto" w:sz="4" w:space="0"/>
            </w:tcBorders>
            <w:vAlign w:val="center"/>
          </w:tcPr>
          <w:p>
            <w:pPr>
              <w:spacing w:line="360" w:lineRule="exact"/>
              <w:jc w:val="center"/>
              <w:rPr>
                <w:rFonts w:ascii="宋体" w:hAnsi="宋体" w:cs="宋体"/>
              </w:rPr>
            </w:pPr>
            <w:r>
              <w:rPr>
                <w:rFonts w:ascii="宋体" w:hAnsi="宋体" w:cs="宋体"/>
                <w:spacing w:val="-1"/>
              </w:rPr>
              <w:t>报价唯一</w:t>
            </w:r>
          </w:p>
        </w:tc>
        <w:tc>
          <w:tcPr>
            <w:tcW w:w="5634" w:type="dxa"/>
            <w:tcBorders>
              <w:top w:val="single" w:color="auto" w:sz="4" w:space="0"/>
              <w:left w:val="single" w:color="auto" w:sz="4" w:space="0"/>
              <w:bottom w:val="single" w:color="auto" w:sz="4" w:space="0"/>
            </w:tcBorders>
            <w:vAlign w:val="center"/>
          </w:tcPr>
          <w:p>
            <w:pPr>
              <w:spacing w:line="360" w:lineRule="exact"/>
              <w:rPr>
                <w:rFonts w:ascii="宋体" w:hAnsi="宋体" w:cs="宋体"/>
              </w:rPr>
            </w:pPr>
            <w:r>
              <w:rPr>
                <w:rFonts w:hint="eastAsia" w:ascii="宋体" w:hAnsi="宋体" w:cs="宋体"/>
              </w:rPr>
              <w:t>只能有一个有效报价，在招标文件没有规定的情况下，不得提交选择性报价；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360" w:lineRule="exact"/>
              <w:jc w:val="center"/>
              <w:rPr>
                <w:rFonts w:ascii="宋体" w:hAnsi="宋体" w:cs="宋体"/>
              </w:rPr>
            </w:pPr>
          </w:p>
        </w:tc>
        <w:tc>
          <w:tcPr>
            <w:tcW w:w="1124" w:type="dxa"/>
            <w:vMerge w:val="continue"/>
            <w:tcBorders>
              <w:left w:val="single" w:color="auto" w:sz="4" w:space="0"/>
              <w:right w:val="single" w:color="auto" w:sz="4" w:space="0"/>
            </w:tcBorders>
            <w:vAlign w:val="center"/>
          </w:tcPr>
          <w:p>
            <w:pPr>
              <w:spacing w:line="360" w:lineRule="exact"/>
              <w:jc w:val="center"/>
              <w:rPr>
                <w:rFonts w:ascii="宋体" w:hAnsi="宋体" w:cs="宋体"/>
              </w:rPr>
            </w:pPr>
          </w:p>
        </w:tc>
        <w:tc>
          <w:tcPr>
            <w:tcW w:w="1487" w:type="dxa"/>
            <w:tcBorders>
              <w:top w:val="single" w:color="auto" w:sz="4" w:space="0"/>
              <w:left w:val="single" w:color="auto" w:sz="4" w:space="0"/>
              <w:bottom w:val="single" w:color="auto" w:sz="4" w:space="0"/>
              <w:right w:val="single" w:color="auto" w:sz="4" w:space="0"/>
            </w:tcBorders>
          </w:tcPr>
          <w:p>
            <w:pPr>
              <w:spacing w:line="360" w:lineRule="exact"/>
              <w:jc w:val="center"/>
              <w:rPr>
                <w:rFonts w:ascii="宋体" w:hAnsi="宋体" w:cs="宋体"/>
              </w:rPr>
            </w:pPr>
            <w:r>
              <w:rPr>
                <w:rFonts w:hint="eastAsia" w:ascii="宋体" w:hAnsi="宋体" w:cs="宋体"/>
                <w:kern w:val="0"/>
                <w:lang w:eastAsia="en-US"/>
              </w:rPr>
              <w:t>投标文件的签署</w:t>
            </w:r>
          </w:p>
        </w:tc>
        <w:tc>
          <w:tcPr>
            <w:tcW w:w="5634" w:type="dxa"/>
            <w:tcBorders>
              <w:top w:val="single" w:color="auto" w:sz="4" w:space="0"/>
              <w:left w:val="single" w:color="auto" w:sz="4" w:space="0"/>
              <w:bottom w:val="single" w:color="auto" w:sz="4" w:space="0"/>
            </w:tcBorders>
            <w:vAlign w:val="center"/>
          </w:tcPr>
          <w:p>
            <w:pPr>
              <w:spacing w:line="360" w:lineRule="exact"/>
              <w:rPr>
                <w:rFonts w:ascii="宋体" w:hAnsi="宋体" w:cs="宋体"/>
              </w:rPr>
            </w:pPr>
            <w:r>
              <w:rPr>
                <w:rFonts w:hint="eastAsia" w:ascii="宋体" w:hAnsi="宋体" w:cs="宋体"/>
                <w:kern w:val="0"/>
              </w:rPr>
              <w:t>投标文件上</w:t>
            </w:r>
            <w:r>
              <w:rPr>
                <w:rFonts w:ascii="宋体" w:hAnsi="宋体" w:cs="宋体"/>
                <w:kern w:val="0"/>
              </w:rPr>
              <w:t>有法定代表人（单位负责人）或其委托代理人</w:t>
            </w:r>
            <w:r>
              <w:rPr>
                <w:rFonts w:hint="eastAsia" w:ascii="宋体" w:hAnsi="宋体" w:cs="宋体"/>
                <w:kern w:val="0"/>
              </w:rPr>
              <w:t>的签字、盖章齐全。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7" w:hRule="atLeast"/>
          <w:jc w:val="center"/>
        </w:trPr>
        <w:tc>
          <w:tcPr>
            <w:tcW w:w="900" w:type="dxa"/>
            <w:vMerge w:val="continue"/>
            <w:tcBorders>
              <w:right w:val="single" w:color="auto" w:sz="4" w:space="0"/>
            </w:tcBorders>
            <w:vAlign w:val="center"/>
          </w:tcPr>
          <w:p>
            <w:pPr>
              <w:spacing w:line="360" w:lineRule="exact"/>
              <w:jc w:val="center"/>
              <w:rPr>
                <w:rFonts w:ascii="宋体" w:hAnsi="宋体" w:cs="宋体"/>
              </w:rPr>
            </w:pPr>
          </w:p>
        </w:tc>
        <w:tc>
          <w:tcPr>
            <w:tcW w:w="1124" w:type="dxa"/>
            <w:vMerge w:val="continue"/>
            <w:tcBorders>
              <w:left w:val="single" w:color="auto" w:sz="4" w:space="0"/>
              <w:right w:val="single" w:color="auto" w:sz="4" w:space="0"/>
            </w:tcBorders>
            <w:vAlign w:val="center"/>
          </w:tcPr>
          <w:p>
            <w:pPr>
              <w:spacing w:line="360" w:lineRule="exact"/>
              <w:jc w:val="center"/>
              <w:rPr>
                <w:rFonts w:ascii="宋体" w:hAnsi="宋体" w:cs="宋体"/>
              </w:rPr>
            </w:pPr>
          </w:p>
        </w:tc>
        <w:tc>
          <w:tcPr>
            <w:tcW w:w="1487" w:type="dxa"/>
            <w:tcBorders>
              <w:top w:val="single" w:color="auto" w:sz="4" w:space="0"/>
              <w:left w:val="single" w:color="auto" w:sz="4" w:space="0"/>
              <w:right w:val="single" w:color="auto" w:sz="4" w:space="0"/>
            </w:tcBorders>
          </w:tcPr>
          <w:p>
            <w:pPr>
              <w:spacing w:before="0" w:line="360" w:lineRule="exact"/>
              <w:ind w:left="0"/>
              <w:rPr>
                <w:rFonts w:ascii="宋体" w:hAnsi="宋体" w:cs="宋体"/>
              </w:rPr>
            </w:pPr>
            <w:r>
              <w:rPr>
                <w:rFonts w:ascii="宋体" w:hAnsi="宋体" w:cs="宋体"/>
                <w:spacing w:val="0"/>
              </w:rPr>
              <w:t>委托代理人</w:t>
            </w:r>
          </w:p>
        </w:tc>
        <w:tc>
          <w:tcPr>
            <w:tcW w:w="5634" w:type="dxa"/>
            <w:tcBorders>
              <w:top w:val="single" w:color="auto" w:sz="4" w:space="0"/>
              <w:left w:val="single" w:color="auto" w:sz="4" w:space="0"/>
            </w:tcBorders>
          </w:tcPr>
          <w:p>
            <w:pPr>
              <w:spacing w:line="360" w:lineRule="exact"/>
              <w:rPr>
                <w:rFonts w:ascii="宋体" w:hAnsi="宋体" w:cs="宋体"/>
              </w:rPr>
            </w:pPr>
            <w:r>
              <w:rPr>
                <w:rFonts w:ascii="宋体" w:hAnsi="宋体" w:cs="宋体"/>
                <w:spacing w:val="0"/>
                <w:position w:val="0"/>
              </w:rPr>
              <w:t>投标人法定代表人的委托代理人有法定代表人签署的</w:t>
            </w:r>
            <w:r>
              <w:rPr>
                <w:rFonts w:hint="eastAsia" w:ascii="宋体" w:hAnsi="宋体" w:cs="宋体"/>
                <w:spacing w:val="0"/>
                <w:position w:val="0"/>
              </w:rPr>
              <w:t>授权委托书和投标人为其缴纳的养老保险。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70" w:hRule="atLeast"/>
          <w:jc w:val="center"/>
        </w:trPr>
        <w:tc>
          <w:tcPr>
            <w:tcW w:w="900" w:type="dxa"/>
            <w:vMerge w:val="continue"/>
            <w:tcBorders>
              <w:right w:val="single" w:color="auto" w:sz="4" w:space="0"/>
            </w:tcBorders>
            <w:vAlign w:val="center"/>
          </w:tcPr>
          <w:p>
            <w:pPr>
              <w:spacing w:line="360" w:lineRule="exact"/>
              <w:jc w:val="center"/>
              <w:rPr>
                <w:rFonts w:ascii="宋体" w:hAnsi="宋体" w:cs="宋体"/>
              </w:rPr>
            </w:pPr>
          </w:p>
        </w:tc>
        <w:tc>
          <w:tcPr>
            <w:tcW w:w="1124" w:type="dxa"/>
            <w:vMerge w:val="continue"/>
            <w:tcBorders>
              <w:left w:val="single" w:color="auto" w:sz="4" w:space="0"/>
              <w:right w:val="single" w:color="auto" w:sz="4" w:space="0"/>
            </w:tcBorders>
            <w:vAlign w:val="center"/>
          </w:tcPr>
          <w:p>
            <w:pPr>
              <w:spacing w:line="360" w:lineRule="exact"/>
              <w:jc w:val="center"/>
              <w:rPr>
                <w:rFonts w:ascii="宋体" w:hAnsi="宋体" w:cs="宋体"/>
              </w:rPr>
            </w:pPr>
          </w:p>
        </w:tc>
        <w:tc>
          <w:tcPr>
            <w:tcW w:w="1487" w:type="dxa"/>
            <w:tcBorders>
              <w:top w:val="single" w:color="auto" w:sz="4" w:space="0"/>
              <w:left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其它材料</w:t>
            </w:r>
          </w:p>
        </w:tc>
        <w:tc>
          <w:tcPr>
            <w:tcW w:w="5634" w:type="dxa"/>
            <w:tcBorders>
              <w:top w:val="single" w:color="auto" w:sz="4" w:space="0"/>
              <w:left w:val="single" w:color="auto" w:sz="4" w:space="0"/>
            </w:tcBorders>
            <w:vAlign w:val="center"/>
          </w:tcPr>
          <w:p>
            <w:pPr>
              <w:spacing w:line="360" w:lineRule="exact"/>
              <w:rPr>
                <w:rFonts w:ascii="宋体" w:hAnsi="宋体" w:cs="宋体"/>
              </w:rPr>
            </w:pPr>
            <w:r>
              <w:rPr>
                <w:rFonts w:hint="eastAsia" w:ascii="宋体" w:hAnsi="宋体" w:cs="宋体"/>
              </w:rPr>
              <w:t>与招标人存在利害关系可能影响招标公正性的法人、其他组织或者个人，不得参加投标；单位负责人为同一人或者存在控股、管理关系的不同单位，不得同时参加投标，否则相关投标均无效。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2.1.2</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资格评审标准</w:t>
            </w:r>
          </w:p>
        </w:tc>
        <w:tc>
          <w:tcPr>
            <w:tcW w:w="14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营业执照</w:t>
            </w:r>
          </w:p>
        </w:tc>
        <w:tc>
          <w:tcPr>
            <w:tcW w:w="5634" w:type="dxa"/>
            <w:tcBorders>
              <w:top w:val="single" w:color="auto" w:sz="4" w:space="0"/>
              <w:left w:val="single" w:color="auto" w:sz="4" w:space="0"/>
              <w:bottom w:val="single" w:color="auto" w:sz="4" w:space="0"/>
            </w:tcBorders>
            <w:vAlign w:val="center"/>
          </w:tcPr>
          <w:p>
            <w:pPr>
              <w:spacing w:line="360" w:lineRule="exact"/>
              <w:rPr>
                <w:rFonts w:ascii="宋体" w:hAnsi="宋体" w:cs="宋体"/>
              </w:rPr>
            </w:pPr>
            <w:r>
              <w:rPr>
                <w:rFonts w:ascii="宋体" w:hAnsi="宋体" w:cs="宋体"/>
                <w:spacing w:val="-8"/>
              </w:rPr>
              <w:t>符合第二</w:t>
            </w:r>
            <w:r>
              <w:rPr>
                <w:rFonts w:ascii="宋体" w:hAnsi="宋体" w:cs="宋体"/>
                <w:spacing w:val="-7"/>
              </w:rPr>
              <w:t>章</w:t>
            </w:r>
            <w:r>
              <w:rPr>
                <w:rFonts w:ascii="宋体" w:hAnsi="宋体" w:cs="宋体"/>
                <w:spacing w:val="-4"/>
              </w:rPr>
              <w:t>“投标人须知”第 1.4.1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360" w:lineRule="exact"/>
              <w:jc w:val="center"/>
              <w:rPr>
                <w:rFonts w:ascii="宋体" w:hAnsi="宋体" w:cs="宋体"/>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p>
        </w:tc>
        <w:tc>
          <w:tcPr>
            <w:tcW w:w="14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eastAsia="宋体" w:cs="宋体"/>
                <w:snapToGrid w:val="0"/>
                <w:sz w:val="21"/>
                <w:szCs w:val="21"/>
              </w:rPr>
              <w:t>资格</w:t>
            </w:r>
            <w:r>
              <w:rPr>
                <w:rFonts w:hint="eastAsia" w:ascii="宋体" w:hAnsi="宋体" w:cs="宋体"/>
              </w:rPr>
              <w:t>要求</w:t>
            </w:r>
          </w:p>
        </w:tc>
        <w:tc>
          <w:tcPr>
            <w:tcW w:w="5634" w:type="dxa"/>
            <w:tcBorders>
              <w:top w:val="single" w:color="auto" w:sz="4" w:space="0"/>
              <w:left w:val="single" w:color="auto" w:sz="4" w:space="0"/>
              <w:bottom w:val="single" w:color="auto" w:sz="4" w:space="0"/>
            </w:tcBorders>
            <w:vAlign w:val="center"/>
          </w:tcPr>
          <w:p>
            <w:pPr>
              <w:spacing w:line="360" w:lineRule="exact"/>
              <w:rPr>
                <w:rFonts w:ascii="宋体" w:hAnsi="宋体" w:cs="宋体"/>
              </w:rPr>
            </w:pPr>
            <w:r>
              <w:rPr>
                <w:rFonts w:ascii="宋体" w:hAnsi="宋体" w:cs="宋体"/>
                <w:spacing w:val="-8"/>
              </w:rPr>
              <w:t>符合第二</w:t>
            </w:r>
            <w:r>
              <w:rPr>
                <w:rFonts w:ascii="宋体" w:hAnsi="宋体" w:cs="宋体"/>
                <w:spacing w:val="-7"/>
              </w:rPr>
              <w:t>章</w:t>
            </w:r>
            <w:r>
              <w:rPr>
                <w:rFonts w:ascii="宋体" w:hAnsi="宋体" w:cs="宋体"/>
                <w:spacing w:val="-4"/>
              </w:rPr>
              <w:t>“投标人须知”第 1.4.1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360" w:lineRule="exact"/>
              <w:jc w:val="center"/>
              <w:rPr>
                <w:rFonts w:ascii="宋体" w:hAnsi="宋体" w:cs="宋体"/>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p>
        </w:tc>
        <w:tc>
          <w:tcPr>
            <w:tcW w:w="14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业绩要求</w:t>
            </w:r>
          </w:p>
        </w:tc>
        <w:tc>
          <w:tcPr>
            <w:tcW w:w="5634" w:type="dxa"/>
            <w:tcBorders>
              <w:top w:val="single" w:color="auto" w:sz="4" w:space="0"/>
              <w:left w:val="single" w:color="auto" w:sz="4" w:space="0"/>
              <w:bottom w:val="single" w:color="auto" w:sz="4" w:space="0"/>
            </w:tcBorders>
          </w:tcPr>
          <w:p>
            <w:pPr>
              <w:spacing w:line="360" w:lineRule="exact"/>
              <w:rPr>
                <w:rFonts w:ascii="宋体" w:hAnsi="宋体" w:cs="宋体"/>
              </w:rPr>
            </w:pPr>
            <w:r>
              <w:rPr>
                <w:rFonts w:ascii="宋体" w:hAnsi="宋体" w:cs="宋体"/>
                <w:spacing w:val="-8"/>
              </w:rPr>
              <w:t>符合第二</w:t>
            </w:r>
            <w:r>
              <w:rPr>
                <w:rFonts w:ascii="宋体" w:hAnsi="宋体" w:cs="宋体"/>
                <w:spacing w:val="-7"/>
              </w:rPr>
              <w:t>章</w:t>
            </w:r>
            <w:r>
              <w:rPr>
                <w:rFonts w:ascii="宋体" w:hAnsi="宋体" w:cs="宋体"/>
                <w:spacing w:val="-4"/>
              </w:rPr>
              <w:t>“投标人须知”第 1.4.1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360" w:lineRule="exact"/>
              <w:jc w:val="center"/>
              <w:rPr>
                <w:rFonts w:ascii="宋体" w:hAnsi="宋体" w:cs="宋体"/>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p>
        </w:tc>
        <w:tc>
          <w:tcPr>
            <w:tcW w:w="14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信誉要求</w:t>
            </w:r>
          </w:p>
        </w:tc>
        <w:tc>
          <w:tcPr>
            <w:tcW w:w="5634" w:type="dxa"/>
            <w:tcBorders>
              <w:top w:val="single" w:color="auto" w:sz="4" w:space="0"/>
              <w:left w:val="single" w:color="auto" w:sz="4" w:space="0"/>
              <w:bottom w:val="single" w:color="auto" w:sz="4" w:space="0"/>
            </w:tcBorders>
            <w:vAlign w:val="center"/>
          </w:tcPr>
          <w:p>
            <w:pPr>
              <w:spacing w:line="360" w:lineRule="exact"/>
              <w:rPr>
                <w:rFonts w:ascii="宋体" w:hAnsi="宋体" w:cs="宋体"/>
              </w:rPr>
            </w:pPr>
            <w:r>
              <w:rPr>
                <w:rFonts w:ascii="宋体" w:hAnsi="宋体" w:cs="宋体"/>
                <w:spacing w:val="-8"/>
              </w:rPr>
              <w:t>符合第二</w:t>
            </w:r>
            <w:r>
              <w:rPr>
                <w:rFonts w:ascii="宋体" w:hAnsi="宋体" w:cs="宋体"/>
                <w:spacing w:val="-7"/>
              </w:rPr>
              <w:t>章</w:t>
            </w:r>
            <w:r>
              <w:rPr>
                <w:rFonts w:ascii="宋体" w:hAnsi="宋体" w:cs="宋体"/>
                <w:spacing w:val="-4"/>
              </w:rPr>
              <w:t>“投标人须知”第 1.4.1 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360" w:lineRule="exact"/>
              <w:jc w:val="center"/>
              <w:rPr>
                <w:rFonts w:ascii="宋体" w:hAnsi="宋体" w:cs="宋体"/>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p>
        </w:tc>
        <w:tc>
          <w:tcPr>
            <w:tcW w:w="1487" w:type="dxa"/>
            <w:tcBorders>
              <w:top w:val="single" w:color="auto" w:sz="4" w:space="0"/>
              <w:left w:val="single" w:color="auto" w:sz="4" w:space="0"/>
              <w:bottom w:val="single" w:color="auto" w:sz="4" w:space="0"/>
              <w:right w:val="single" w:color="auto" w:sz="4" w:space="0"/>
            </w:tcBorders>
          </w:tcPr>
          <w:p>
            <w:pPr>
              <w:spacing w:before="140" w:line="220" w:lineRule="auto"/>
              <w:ind w:left="0" w:firstLine="206" w:firstLineChars="100"/>
              <w:rPr>
                <w:rFonts w:ascii="宋体" w:hAnsi="宋体" w:cs="宋体"/>
              </w:rPr>
            </w:pPr>
            <w:r>
              <w:rPr>
                <w:rFonts w:ascii="宋体" w:hAnsi="宋体" w:cs="宋体"/>
                <w:spacing w:val="-2"/>
              </w:rPr>
              <w:t>其他</w:t>
            </w:r>
            <w:r>
              <w:rPr>
                <w:rFonts w:ascii="宋体" w:hAnsi="宋体" w:cs="宋体"/>
                <w:spacing w:val="-1"/>
              </w:rPr>
              <w:t>要求</w:t>
            </w:r>
          </w:p>
        </w:tc>
        <w:tc>
          <w:tcPr>
            <w:tcW w:w="5634" w:type="dxa"/>
            <w:tcBorders>
              <w:top w:val="single" w:color="auto" w:sz="4" w:space="0"/>
              <w:left w:val="single" w:color="auto" w:sz="4" w:space="0"/>
              <w:bottom w:val="single" w:color="auto" w:sz="4" w:space="0"/>
            </w:tcBorders>
          </w:tcPr>
          <w:p>
            <w:pPr>
              <w:spacing w:before="139" w:line="219" w:lineRule="auto"/>
              <w:ind w:left="0"/>
              <w:rPr>
                <w:rFonts w:ascii="宋体" w:hAnsi="宋体" w:cs="宋体"/>
              </w:rPr>
            </w:pPr>
            <w:r>
              <w:rPr>
                <w:rFonts w:ascii="宋体" w:hAnsi="宋体" w:cs="宋体"/>
                <w:spacing w:val="-4"/>
              </w:rPr>
              <w:t>符合第二章“投标人须知”第 1.4.1 项规</w:t>
            </w:r>
            <w:r>
              <w:rPr>
                <w:rFonts w:ascii="宋体" w:hAnsi="宋体" w:cs="宋体"/>
                <w:spacing w:val="-3"/>
              </w:rPr>
              <w:t>定</w:t>
            </w:r>
            <w:r>
              <w:rPr>
                <w:rFonts w:hint="eastAsia" w:ascii="宋体" w:hAnsi="宋体" w:cs="宋体"/>
                <w:spacing w:val="-3"/>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0"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360" w:lineRule="exact"/>
              <w:jc w:val="center"/>
              <w:rPr>
                <w:rFonts w:ascii="宋体" w:hAnsi="宋体" w:cs="宋体"/>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p>
        </w:tc>
        <w:tc>
          <w:tcPr>
            <w:tcW w:w="1487" w:type="dxa"/>
            <w:tcBorders>
              <w:top w:val="single" w:color="auto" w:sz="4" w:space="0"/>
              <w:left w:val="single" w:color="auto" w:sz="4" w:space="0"/>
              <w:right w:val="single" w:color="auto" w:sz="4" w:space="0"/>
            </w:tcBorders>
            <w:vAlign w:val="center"/>
          </w:tcPr>
          <w:p>
            <w:pPr>
              <w:spacing w:line="360" w:lineRule="exact"/>
              <w:rPr>
                <w:rFonts w:ascii="宋体" w:hAnsi="宋体" w:cs="宋体"/>
              </w:rPr>
            </w:pPr>
            <w:r>
              <w:rPr>
                <w:rFonts w:hint="eastAsia" w:ascii="宋体" w:hAnsi="宋体" w:cs="宋体"/>
              </w:rPr>
              <w:t>不存在禁止投标的情形</w:t>
            </w:r>
          </w:p>
        </w:tc>
        <w:tc>
          <w:tcPr>
            <w:tcW w:w="5634" w:type="dxa"/>
            <w:tcBorders>
              <w:top w:val="single" w:color="auto" w:sz="4" w:space="0"/>
              <w:left w:val="single" w:color="auto" w:sz="4" w:space="0"/>
            </w:tcBorders>
            <w:vAlign w:val="center"/>
          </w:tcPr>
          <w:p>
            <w:pPr>
              <w:spacing w:line="360" w:lineRule="exact"/>
              <w:rPr>
                <w:rFonts w:ascii="宋体" w:hAnsi="宋体" w:cs="宋体"/>
              </w:rPr>
            </w:pPr>
            <w:r>
              <w:rPr>
                <w:rFonts w:hint="eastAsia" w:ascii="宋体" w:hAnsi="宋体" w:cs="宋体"/>
              </w:rPr>
              <w:t>不存在第二章“投标人须知”第1.4.3项规定的任何一种情形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restart"/>
            <w:tcBorders>
              <w:top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2.1.3</w:t>
            </w:r>
          </w:p>
        </w:tc>
        <w:tc>
          <w:tcPr>
            <w:tcW w:w="1124"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响应性评审标准</w:t>
            </w:r>
          </w:p>
        </w:tc>
        <w:tc>
          <w:tcPr>
            <w:tcW w:w="14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投标内容</w:t>
            </w:r>
          </w:p>
        </w:tc>
        <w:tc>
          <w:tcPr>
            <w:tcW w:w="5634" w:type="dxa"/>
            <w:tcBorders>
              <w:top w:val="single" w:color="auto" w:sz="4" w:space="0"/>
              <w:left w:val="single" w:color="auto" w:sz="4" w:space="0"/>
              <w:bottom w:val="single" w:color="auto" w:sz="4" w:space="0"/>
            </w:tcBorders>
            <w:vAlign w:val="center"/>
          </w:tcPr>
          <w:p>
            <w:pPr>
              <w:spacing w:line="360" w:lineRule="exact"/>
              <w:rPr>
                <w:rFonts w:ascii="宋体" w:hAnsi="宋体" w:cs="宋体"/>
              </w:rPr>
            </w:pPr>
            <w:r>
              <w:rPr>
                <w:rFonts w:hint="eastAsia" w:ascii="宋体" w:hAnsi="宋体" w:cs="宋体"/>
              </w:rPr>
              <w:t>符合第二章“投标人须知”第1.3.1项规定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right w:val="single" w:color="auto" w:sz="4" w:space="0"/>
            </w:tcBorders>
            <w:vAlign w:val="center"/>
          </w:tcPr>
          <w:p>
            <w:pPr>
              <w:spacing w:line="360" w:lineRule="exact"/>
              <w:jc w:val="center"/>
              <w:rPr>
                <w:rFonts w:ascii="宋体" w:hAnsi="宋体" w:cs="宋体"/>
              </w:rPr>
            </w:pPr>
          </w:p>
        </w:tc>
        <w:tc>
          <w:tcPr>
            <w:tcW w:w="1124" w:type="dxa"/>
            <w:vMerge w:val="continue"/>
            <w:tcBorders>
              <w:left w:val="single" w:color="auto" w:sz="4" w:space="0"/>
              <w:right w:val="single" w:color="auto" w:sz="4" w:space="0"/>
            </w:tcBorders>
            <w:vAlign w:val="center"/>
          </w:tcPr>
          <w:p>
            <w:pPr>
              <w:spacing w:line="360" w:lineRule="exact"/>
              <w:jc w:val="center"/>
              <w:rPr>
                <w:rFonts w:ascii="宋体" w:hAnsi="宋体" w:cs="宋体"/>
              </w:rPr>
            </w:pPr>
          </w:p>
        </w:tc>
        <w:tc>
          <w:tcPr>
            <w:tcW w:w="14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投标报价</w:t>
            </w:r>
          </w:p>
        </w:tc>
        <w:tc>
          <w:tcPr>
            <w:tcW w:w="5634" w:type="dxa"/>
            <w:tcBorders>
              <w:top w:val="single" w:color="auto" w:sz="4" w:space="0"/>
              <w:left w:val="single" w:color="auto" w:sz="4" w:space="0"/>
              <w:bottom w:val="single" w:color="auto" w:sz="4" w:space="0"/>
            </w:tcBorders>
            <w:vAlign w:val="center"/>
          </w:tcPr>
          <w:p>
            <w:pPr>
              <w:spacing w:line="360" w:lineRule="exact"/>
              <w:rPr>
                <w:rFonts w:ascii="宋体" w:hAnsi="宋体" w:cs="宋体"/>
              </w:rPr>
            </w:pPr>
            <w:r>
              <w:rPr>
                <w:rFonts w:ascii="宋体" w:hAnsi="宋体" w:cs="宋体"/>
                <w:szCs w:val="21"/>
              </w:rPr>
              <w:t>填写了</w:t>
            </w:r>
            <w:r>
              <w:rPr>
                <w:rFonts w:hint="eastAsia" w:ascii="宋体" w:hAnsi="宋体" w:cs="宋体"/>
                <w:szCs w:val="21"/>
              </w:rPr>
              <w:t>有</w:t>
            </w:r>
            <w:r>
              <w:rPr>
                <w:rFonts w:ascii="宋体" w:hAnsi="宋体" w:cs="宋体"/>
                <w:szCs w:val="21"/>
              </w:rPr>
              <w:t>效的</w:t>
            </w:r>
            <w:r>
              <w:rPr>
                <w:rFonts w:hint="eastAsia" w:ascii="宋体" w:hAnsi="宋体" w:cs="宋体"/>
                <w:szCs w:val="21"/>
              </w:rPr>
              <w:t>报价，</w:t>
            </w:r>
            <w:r>
              <w:rPr>
                <w:rFonts w:ascii="宋体" w:hAnsi="宋体" w:cs="宋体"/>
                <w:szCs w:val="21"/>
              </w:rPr>
              <w:t>且</w:t>
            </w:r>
            <w:r>
              <w:rPr>
                <w:rFonts w:hint="eastAsia" w:ascii="宋体" w:hAnsi="宋体" w:cs="宋体"/>
                <w:szCs w:val="21"/>
              </w:rPr>
              <w:t>报价</w:t>
            </w:r>
            <w:r>
              <w:rPr>
                <w:rFonts w:ascii="宋体" w:hAnsi="宋体" w:cs="宋体"/>
                <w:szCs w:val="21"/>
              </w:rPr>
              <w:t>唯一</w:t>
            </w:r>
            <w:r>
              <w:rPr>
                <w:rFonts w:hint="eastAsia" w:ascii="宋体" w:hAnsi="宋体" w:cs="宋体"/>
                <w:szCs w:val="21"/>
              </w:rPr>
              <w:t>，投标报价不得低于招标人公布的最低限价。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360" w:lineRule="exact"/>
              <w:jc w:val="center"/>
              <w:rPr>
                <w:rFonts w:ascii="宋体" w:hAnsi="宋体" w:cs="宋体"/>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p>
        </w:tc>
        <w:tc>
          <w:tcPr>
            <w:tcW w:w="14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snapToGrid w:val="0"/>
                <w:kern w:val="0"/>
                <w:szCs w:val="21"/>
              </w:rPr>
              <w:t>合作经营期限</w:t>
            </w:r>
          </w:p>
        </w:tc>
        <w:tc>
          <w:tcPr>
            <w:tcW w:w="5634" w:type="dxa"/>
            <w:tcBorders>
              <w:top w:val="single" w:color="auto" w:sz="4" w:space="0"/>
              <w:left w:val="single" w:color="auto" w:sz="4" w:space="0"/>
              <w:bottom w:val="single" w:color="auto" w:sz="4" w:space="0"/>
            </w:tcBorders>
            <w:vAlign w:val="center"/>
          </w:tcPr>
          <w:p>
            <w:pPr>
              <w:spacing w:line="360" w:lineRule="exact"/>
              <w:rPr>
                <w:rFonts w:ascii="宋体" w:hAnsi="宋体" w:cs="宋体"/>
              </w:rPr>
            </w:pPr>
            <w:r>
              <w:rPr>
                <w:rFonts w:hint="eastAsia" w:ascii="宋体" w:hAnsi="宋体" w:cs="宋体"/>
              </w:rPr>
              <w:t>符合第二章“投标人须知”第1.3.2项规定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360" w:lineRule="exact"/>
              <w:jc w:val="center"/>
              <w:rPr>
                <w:rFonts w:ascii="宋体" w:hAnsi="宋体" w:cs="宋体"/>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p>
        </w:tc>
        <w:tc>
          <w:tcPr>
            <w:tcW w:w="14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项目地点</w:t>
            </w:r>
          </w:p>
        </w:tc>
        <w:tc>
          <w:tcPr>
            <w:tcW w:w="5634" w:type="dxa"/>
            <w:tcBorders>
              <w:top w:val="single" w:color="auto" w:sz="4" w:space="0"/>
              <w:left w:val="single" w:color="auto" w:sz="4" w:space="0"/>
              <w:bottom w:val="single" w:color="auto" w:sz="4" w:space="0"/>
            </w:tcBorders>
            <w:vAlign w:val="center"/>
          </w:tcPr>
          <w:p>
            <w:pPr>
              <w:spacing w:line="360" w:lineRule="exact"/>
              <w:rPr>
                <w:rFonts w:ascii="宋体" w:hAnsi="宋体" w:cs="宋体"/>
              </w:rPr>
            </w:pPr>
            <w:r>
              <w:rPr>
                <w:rFonts w:hint="eastAsia" w:ascii="宋体" w:hAnsi="宋体" w:cs="宋体"/>
              </w:rPr>
              <w:t>符合第二章“投标人须知”第1.1.5项规定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360" w:lineRule="exact"/>
              <w:jc w:val="center"/>
              <w:rPr>
                <w:rFonts w:ascii="宋体" w:hAnsi="宋体" w:cs="宋体"/>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p>
        </w:tc>
        <w:tc>
          <w:tcPr>
            <w:tcW w:w="14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质量标准</w:t>
            </w:r>
          </w:p>
        </w:tc>
        <w:tc>
          <w:tcPr>
            <w:tcW w:w="5634" w:type="dxa"/>
            <w:tcBorders>
              <w:top w:val="single" w:color="auto" w:sz="4" w:space="0"/>
              <w:left w:val="single" w:color="auto" w:sz="4" w:space="0"/>
              <w:bottom w:val="single" w:color="auto" w:sz="4" w:space="0"/>
            </w:tcBorders>
            <w:vAlign w:val="center"/>
          </w:tcPr>
          <w:p>
            <w:pPr>
              <w:spacing w:line="360" w:lineRule="exact"/>
              <w:rPr>
                <w:rFonts w:ascii="宋体" w:hAnsi="宋体" w:cs="宋体"/>
              </w:rPr>
            </w:pPr>
            <w:r>
              <w:rPr>
                <w:rFonts w:hint="eastAsia" w:ascii="宋体" w:hAnsi="宋体" w:cs="宋体"/>
              </w:rPr>
              <w:t>符合第二章“投标人须知”第1.3.3项规定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360" w:lineRule="exact"/>
              <w:jc w:val="center"/>
              <w:rPr>
                <w:rFonts w:ascii="宋体" w:hAnsi="宋体" w:cs="宋体"/>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p>
        </w:tc>
        <w:tc>
          <w:tcPr>
            <w:tcW w:w="14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投标有效期</w:t>
            </w:r>
          </w:p>
        </w:tc>
        <w:tc>
          <w:tcPr>
            <w:tcW w:w="5634" w:type="dxa"/>
            <w:tcBorders>
              <w:top w:val="single" w:color="auto" w:sz="4" w:space="0"/>
              <w:left w:val="single" w:color="auto" w:sz="4" w:space="0"/>
              <w:bottom w:val="single" w:color="auto" w:sz="4" w:space="0"/>
            </w:tcBorders>
          </w:tcPr>
          <w:p>
            <w:pPr>
              <w:spacing w:line="360" w:lineRule="exact"/>
              <w:rPr>
                <w:rFonts w:ascii="宋体" w:hAnsi="宋体" w:cs="宋体"/>
              </w:rPr>
            </w:pPr>
            <w:r>
              <w:rPr>
                <w:rFonts w:hint="eastAsia" w:ascii="宋体" w:hAnsi="宋体" w:cs="宋体"/>
              </w:rPr>
              <w:t>符合第二章“投标人须知”第3.3.1项规定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vMerge w:val="continue"/>
            <w:tcBorders>
              <w:top w:val="single" w:color="auto" w:sz="4" w:space="0"/>
              <w:bottom w:val="single" w:color="auto" w:sz="4" w:space="0"/>
              <w:right w:val="single" w:color="auto" w:sz="4" w:space="0"/>
            </w:tcBorders>
            <w:vAlign w:val="center"/>
          </w:tcPr>
          <w:p>
            <w:pPr>
              <w:spacing w:line="360" w:lineRule="exact"/>
              <w:jc w:val="center"/>
              <w:rPr>
                <w:rFonts w:ascii="宋体" w:hAnsi="宋体" w:cs="宋体"/>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p>
        </w:tc>
        <w:tc>
          <w:tcPr>
            <w:tcW w:w="1487"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投标保证金</w:t>
            </w:r>
          </w:p>
        </w:tc>
        <w:tc>
          <w:tcPr>
            <w:tcW w:w="5634" w:type="dxa"/>
            <w:tcBorders>
              <w:top w:val="single" w:color="auto" w:sz="4" w:space="0"/>
              <w:left w:val="single" w:color="auto" w:sz="4" w:space="0"/>
              <w:bottom w:val="single" w:color="auto" w:sz="4" w:space="0"/>
            </w:tcBorders>
          </w:tcPr>
          <w:p>
            <w:pPr>
              <w:spacing w:line="360" w:lineRule="exact"/>
              <w:rPr>
                <w:rFonts w:ascii="宋体" w:hAnsi="宋体" w:cs="宋体"/>
              </w:rPr>
            </w:pPr>
            <w:r>
              <w:rPr>
                <w:rFonts w:hint="eastAsia" w:ascii="宋体" w:hAnsi="宋体" w:cs="宋体"/>
              </w:rPr>
              <w:t>符合第二章“投标人须知”第3.4.1项规定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55" w:hRule="atLeast"/>
          <w:jc w:val="center"/>
        </w:trPr>
        <w:tc>
          <w:tcPr>
            <w:tcW w:w="900" w:type="dxa"/>
            <w:vMerge w:val="continue"/>
            <w:tcBorders>
              <w:top w:val="single" w:color="auto" w:sz="4" w:space="0"/>
              <w:bottom w:val="single" w:color="auto" w:sz="4" w:space="0"/>
              <w:right w:val="single" w:color="auto" w:sz="4" w:space="0"/>
            </w:tcBorders>
            <w:vAlign w:val="center"/>
          </w:tcPr>
          <w:p>
            <w:pPr>
              <w:spacing w:line="360" w:lineRule="exact"/>
              <w:jc w:val="center"/>
              <w:rPr>
                <w:rFonts w:ascii="宋体" w:hAnsi="宋体" w:cs="宋体"/>
              </w:rPr>
            </w:pPr>
          </w:p>
        </w:tc>
        <w:tc>
          <w:tcPr>
            <w:tcW w:w="112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宋体" w:hAnsi="宋体" w:cs="宋体"/>
              </w:rPr>
            </w:pPr>
          </w:p>
        </w:tc>
        <w:tc>
          <w:tcPr>
            <w:tcW w:w="1487" w:type="dxa"/>
            <w:tcBorders>
              <w:top w:val="single" w:color="auto" w:sz="4" w:space="0"/>
              <w:left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权利义务</w:t>
            </w:r>
          </w:p>
        </w:tc>
        <w:tc>
          <w:tcPr>
            <w:tcW w:w="5634" w:type="dxa"/>
            <w:tcBorders>
              <w:top w:val="single" w:color="auto" w:sz="4" w:space="0"/>
              <w:left w:val="single" w:color="auto" w:sz="4" w:space="0"/>
              <w:bottom w:val="single" w:color="auto" w:sz="4" w:space="0"/>
            </w:tcBorders>
          </w:tcPr>
          <w:p>
            <w:pPr>
              <w:spacing w:line="360" w:lineRule="exact"/>
              <w:rPr>
                <w:rFonts w:ascii="宋体" w:hAnsi="宋体" w:cs="宋体"/>
              </w:rPr>
            </w:pPr>
            <w:r>
              <w:rPr>
                <w:rFonts w:hint="eastAsia" w:ascii="宋体" w:hAnsi="宋体" w:cs="宋体"/>
              </w:rPr>
              <w:t>符合第二章“投标人须知”第1.11.1项规定和第四章“合同条款及格式”中的实质性要求和条件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2024" w:type="dxa"/>
            <w:gridSpan w:val="2"/>
            <w:tcBorders>
              <w:top w:val="single" w:color="auto" w:sz="4" w:space="0"/>
              <w:bottom w:val="single" w:color="auto" w:sz="4" w:space="0"/>
              <w:right w:val="single" w:color="auto" w:sz="4" w:space="0"/>
            </w:tcBorders>
            <w:vAlign w:val="center"/>
          </w:tcPr>
          <w:p>
            <w:pPr>
              <w:spacing w:line="360" w:lineRule="exact"/>
              <w:jc w:val="center"/>
              <w:rPr>
                <w:rFonts w:ascii="宋体" w:hAnsi="宋体" w:cs="宋体"/>
              </w:rPr>
            </w:pPr>
            <w:r>
              <w:rPr>
                <w:rFonts w:hint="eastAsia" w:ascii="宋体" w:hAnsi="宋体" w:cs="宋体"/>
              </w:rPr>
              <w:t>2.2.1</w:t>
            </w:r>
          </w:p>
        </w:tc>
        <w:tc>
          <w:tcPr>
            <w:tcW w:w="1487" w:type="dxa"/>
            <w:tcBorders>
              <w:top w:val="single" w:color="auto" w:sz="4" w:space="0"/>
              <w:left w:val="single" w:color="auto" w:sz="4" w:space="0"/>
              <w:bottom w:val="single" w:color="auto" w:sz="4" w:space="0"/>
            </w:tcBorders>
            <w:vAlign w:val="center"/>
          </w:tcPr>
          <w:p>
            <w:pPr>
              <w:spacing w:line="360" w:lineRule="exact"/>
              <w:jc w:val="center"/>
              <w:rPr>
                <w:rFonts w:ascii="宋体" w:hAnsi="宋体"/>
                <w:kern w:val="0"/>
              </w:rPr>
            </w:pPr>
            <w:r>
              <w:rPr>
                <w:rFonts w:ascii="宋体" w:hAnsi="宋体"/>
                <w:kern w:val="0"/>
              </w:rPr>
              <w:t>分值构成</w:t>
            </w:r>
          </w:p>
          <w:p>
            <w:pPr>
              <w:spacing w:line="360" w:lineRule="exact"/>
              <w:jc w:val="center"/>
              <w:rPr>
                <w:rFonts w:ascii="宋体" w:hAnsi="宋体" w:cs="宋体"/>
              </w:rPr>
            </w:pPr>
            <w:r>
              <w:rPr>
                <w:rFonts w:ascii="宋体" w:hAnsi="宋体"/>
                <w:kern w:val="0"/>
              </w:rPr>
              <w:t xml:space="preserve"> （总分1</w:t>
            </w:r>
            <w:r>
              <w:rPr>
                <w:rFonts w:hint="eastAsia" w:ascii="宋体" w:hAnsi="宋体"/>
                <w:kern w:val="0"/>
              </w:rPr>
              <w:t>00</w:t>
            </w:r>
            <w:r>
              <w:rPr>
                <w:rFonts w:ascii="宋体" w:hAnsi="宋体"/>
                <w:kern w:val="0"/>
              </w:rPr>
              <w:t>分）</w:t>
            </w:r>
          </w:p>
        </w:tc>
        <w:tc>
          <w:tcPr>
            <w:tcW w:w="5634" w:type="dxa"/>
            <w:tcBorders>
              <w:top w:val="single" w:color="auto" w:sz="4" w:space="0"/>
              <w:left w:val="single" w:color="auto" w:sz="4" w:space="0"/>
              <w:bottom w:val="single" w:color="auto" w:sz="4" w:space="0"/>
            </w:tcBorders>
          </w:tcPr>
          <w:p>
            <w:pPr>
              <w:snapToGrid w:val="0"/>
              <w:spacing w:line="400" w:lineRule="exact"/>
            </w:pPr>
            <w:r>
              <w:rPr>
                <w:rFonts w:hint="eastAsia"/>
              </w:rPr>
              <w:t>1.技术部分  10  分；</w:t>
            </w:r>
          </w:p>
          <w:p>
            <w:pPr>
              <w:spacing w:line="360" w:lineRule="exact"/>
              <w:rPr>
                <w:rFonts w:ascii="宋体" w:hAnsi="宋体" w:cs="宋体"/>
              </w:rPr>
            </w:pPr>
            <w:r>
              <w:rPr>
                <w:rFonts w:hint="eastAsia"/>
              </w:rPr>
              <w:t>2</w:t>
            </w:r>
            <w:r>
              <w:t>.</w:t>
            </w:r>
            <w:r>
              <w:rPr>
                <w:rFonts w:hint="eastAsia"/>
              </w:rPr>
              <w:t>投标报价</w:t>
            </w:r>
            <w:r>
              <w:t>　</w:t>
            </w:r>
            <w:r>
              <w:rPr>
                <w:rFonts w:hint="eastAsia"/>
              </w:rPr>
              <w:t xml:space="preserve">90  </w:t>
            </w:r>
            <w:r>
              <w:t>分</w:t>
            </w:r>
            <w:r>
              <w:rPr>
                <w:rFonts w:hint="eastAsia"/>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jc w:val="center"/>
        </w:trPr>
        <w:tc>
          <w:tcPr>
            <w:tcW w:w="900" w:type="dxa"/>
            <w:tcBorders>
              <w:top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ascii="宋体" w:hAnsi="宋体"/>
              </w:rPr>
              <w:t>3</w:t>
            </w:r>
          </w:p>
        </w:tc>
        <w:tc>
          <w:tcPr>
            <w:tcW w:w="112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rPr>
            </w:pPr>
            <w:r>
              <w:rPr>
                <w:rFonts w:ascii="宋体" w:hAnsi="宋体"/>
              </w:rPr>
              <w:t>评标程序</w:t>
            </w:r>
          </w:p>
        </w:tc>
        <w:tc>
          <w:tcPr>
            <w:tcW w:w="7121" w:type="dxa"/>
            <w:gridSpan w:val="2"/>
            <w:tcBorders>
              <w:top w:val="single" w:color="auto" w:sz="4" w:space="0"/>
              <w:left w:val="single" w:color="auto" w:sz="4" w:space="0"/>
              <w:bottom w:val="single" w:color="auto" w:sz="4" w:space="0"/>
            </w:tcBorders>
          </w:tcPr>
          <w:p>
            <w:pPr>
              <w:spacing w:line="400" w:lineRule="exact"/>
              <w:ind w:firstLine="420" w:firstLineChars="200"/>
              <w:rPr>
                <w:rFonts w:ascii="宋体" w:hAnsi="宋体"/>
                <w:szCs w:val="21"/>
              </w:rPr>
            </w:pPr>
            <w:r>
              <w:rPr>
                <w:rFonts w:hint="eastAsia" w:ascii="宋体" w:hAnsi="宋体"/>
                <w:szCs w:val="21"/>
              </w:rPr>
              <w:t>1.按本章评标办法第</w:t>
            </w:r>
            <w:r>
              <w:rPr>
                <w:rFonts w:hint="eastAsia" w:ascii="宋体" w:hAnsi="宋体"/>
                <w:szCs w:val="21"/>
                <w:lang w:val="en-US" w:eastAsia="zh-CN"/>
              </w:rPr>
              <w:t>2</w:t>
            </w:r>
            <w:r>
              <w:rPr>
                <w:rFonts w:hint="eastAsia" w:ascii="宋体" w:hAnsi="宋体"/>
                <w:szCs w:val="21"/>
              </w:rPr>
              <w:t>.1款进行初步评审。未通过初步评审或评标委员会认定为无效的投标文件的不再进行后续评审。</w:t>
            </w:r>
          </w:p>
          <w:p>
            <w:pPr>
              <w:spacing w:line="400" w:lineRule="exact"/>
              <w:ind w:firstLine="420" w:firstLineChars="200"/>
            </w:pPr>
            <w:r>
              <w:rPr>
                <w:rFonts w:hint="eastAsia" w:ascii="宋体" w:hAnsi="宋体"/>
                <w:szCs w:val="21"/>
              </w:rPr>
              <w:t>2.</w:t>
            </w:r>
            <w:r>
              <w:rPr>
                <w:rFonts w:hint="eastAsia"/>
              </w:rPr>
              <w:t>本次招标为第二次招标，如果投标人仍然少于三个，按照招标投标法律法规规定的程序开标和评标，确定中标人。经评审无合格投标人，则招标失败。</w:t>
            </w:r>
          </w:p>
          <w:p>
            <w:pPr>
              <w:spacing w:line="400" w:lineRule="exact"/>
              <w:ind w:firstLine="420" w:firstLineChars="200"/>
              <w:rPr>
                <w:rFonts w:ascii="宋体" w:hAnsi="宋体"/>
                <w:szCs w:val="21"/>
              </w:rPr>
            </w:pPr>
            <w:r>
              <w:rPr>
                <w:rFonts w:hint="eastAsia" w:ascii="宋体" w:hAnsi="宋体"/>
                <w:szCs w:val="21"/>
              </w:rPr>
              <w:t>3.对初步评审合格的投标人按本附表第3.2.1（1）项目规定的评分方法对技术部分和第3.2.1（2）对投标报价进行评分。</w:t>
            </w:r>
          </w:p>
          <w:p>
            <w:pPr>
              <w:spacing w:line="400" w:lineRule="exact"/>
              <w:ind w:firstLine="420" w:firstLineChars="200"/>
              <w:rPr>
                <w:rFonts w:ascii="宋体" w:hAnsi="宋体" w:cs="宋体"/>
              </w:rPr>
            </w:pPr>
            <w:r>
              <w:rPr>
                <w:rFonts w:hint="eastAsia" w:ascii="宋体" w:hAnsi="宋体"/>
                <w:szCs w:val="21"/>
              </w:rPr>
              <w:t>4.对技术部分、投标报价得分进行汇总，确定得分由高至低前三名投标人为中标候选人。</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921" w:hRule="atLeast"/>
          <w:jc w:val="center"/>
        </w:trPr>
        <w:tc>
          <w:tcPr>
            <w:tcW w:w="900" w:type="dxa"/>
            <w:vAlign w:val="center"/>
          </w:tcPr>
          <w:p>
            <w:pPr>
              <w:spacing w:line="400" w:lineRule="exact"/>
              <w:jc w:val="center"/>
              <w:rPr>
                <w:rFonts w:ascii="宋体" w:hAnsi="宋体"/>
              </w:rPr>
            </w:pPr>
            <w:r>
              <w:rPr>
                <w:rFonts w:hint="eastAsia" w:ascii="宋体" w:hAnsi="宋体"/>
              </w:rPr>
              <w:t>3.2.1（1）</w:t>
            </w:r>
          </w:p>
        </w:tc>
        <w:tc>
          <w:tcPr>
            <w:tcW w:w="1124" w:type="dxa"/>
            <w:vAlign w:val="center"/>
          </w:tcPr>
          <w:p>
            <w:pPr>
              <w:spacing w:line="400" w:lineRule="exact"/>
              <w:jc w:val="center"/>
              <w:rPr>
                <w:rFonts w:ascii="宋体" w:hAnsi="宋体"/>
              </w:rPr>
            </w:pPr>
            <w:r>
              <w:rPr>
                <w:rFonts w:hint="eastAsia" w:ascii="宋体" w:hAnsi="宋体"/>
              </w:rPr>
              <w:t>技术部分得分（A）</w:t>
            </w:r>
          </w:p>
        </w:tc>
        <w:tc>
          <w:tcPr>
            <w:tcW w:w="1487" w:type="dxa"/>
            <w:tcBorders>
              <w:top w:val="single" w:color="auto" w:sz="4" w:space="0"/>
            </w:tcBorders>
            <w:vAlign w:val="center"/>
          </w:tcPr>
          <w:p>
            <w:pPr>
              <w:spacing w:line="400" w:lineRule="exact"/>
              <w:jc w:val="center"/>
              <w:rPr>
                <w:rFonts w:ascii="宋体" w:hAnsi="宋体" w:cs="宋体"/>
                <w:szCs w:val="21"/>
              </w:rPr>
            </w:pPr>
            <w:r>
              <w:rPr>
                <w:rFonts w:hint="eastAsia" w:ascii="宋体" w:hAnsi="宋体" w:cs="宋体"/>
                <w:szCs w:val="21"/>
              </w:rPr>
              <w:t>技术部分</w:t>
            </w:r>
          </w:p>
          <w:p>
            <w:pPr>
              <w:spacing w:line="400" w:lineRule="exact"/>
              <w:jc w:val="center"/>
              <w:rPr>
                <w:rFonts w:ascii="宋体" w:hAnsi="宋体"/>
              </w:rPr>
            </w:pPr>
            <w:r>
              <w:rPr>
                <w:rFonts w:hint="eastAsia" w:ascii="宋体" w:hAnsi="宋体" w:cs="宋体"/>
                <w:szCs w:val="21"/>
              </w:rPr>
              <w:t>（10分）</w:t>
            </w:r>
          </w:p>
        </w:tc>
        <w:tc>
          <w:tcPr>
            <w:tcW w:w="5634" w:type="dxa"/>
            <w:vAlign w:val="center"/>
          </w:tcPr>
          <w:p>
            <w:pPr>
              <w:spacing w:line="400" w:lineRule="exact"/>
              <w:ind w:firstLine="420" w:firstLineChars="200"/>
            </w:pPr>
            <w:r>
              <w:rPr>
                <w:rFonts w:hint="eastAsia"/>
              </w:rPr>
              <w:t>1、提供西山坪拌和站经营方案：</w:t>
            </w:r>
          </w:p>
          <w:p>
            <w:pPr>
              <w:spacing w:line="400" w:lineRule="exact"/>
              <w:ind w:firstLine="420" w:firstLineChars="200"/>
            </w:pPr>
            <w:r>
              <w:rPr>
                <w:rFonts w:hint="eastAsia"/>
              </w:rPr>
              <w:t>①西山坪拌和站经营方案格式和内容自拟，</w:t>
            </w:r>
            <w:r>
              <w:rPr>
                <w:rFonts w:hint="eastAsia"/>
                <w:lang w:val="en-US" w:eastAsia="zh-CN"/>
              </w:rPr>
              <w:t>编制优秀得5分、编制优良得3分、其他得1分</w:t>
            </w:r>
            <w:r>
              <w:rPr>
                <w:rFonts w:hint="eastAsia"/>
              </w:rPr>
              <w:t>。</w:t>
            </w:r>
          </w:p>
          <w:p>
            <w:pPr>
              <w:spacing w:line="400" w:lineRule="exact"/>
              <w:ind w:firstLine="420" w:firstLineChars="200"/>
            </w:pPr>
            <w:r>
              <w:rPr>
                <w:rFonts w:hint="eastAsia"/>
              </w:rPr>
              <w:t>②经营方案中若承诺改造升级现有厂拌热再生设备或购置安装新的厂拌热再生设备配套生产再生沥青混合料，并提供具体的改造升级或购置安装实施方案。</w:t>
            </w:r>
          </w:p>
          <w:p>
            <w:pPr>
              <w:pStyle w:val="16"/>
              <w:ind w:firstLine="420"/>
            </w:pPr>
            <w:r>
              <w:rPr>
                <w:rFonts w:hint="eastAsia"/>
              </w:rPr>
              <w:t>提供改造升级方案或购置安装方案纳入合同内容，其中改造升级厂拌热再生设备得1分，购置安装厂拌热再生设备得2分，最高满分2分。</w:t>
            </w:r>
          </w:p>
          <w:p>
            <w:pPr>
              <w:pStyle w:val="16"/>
              <w:ind w:firstLine="420"/>
            </w:pPr>
            <w:r>
              <w:rPr>
                <w:rFonts w:hint="eastAsia"/>
              </w:rPr>
              <w:t>③经营方案中若承诺对现有燃料（包括但不限于管道天然气、燃烧器）进行技术改造，降低生产能耗与生产成本，并提供具体的燃料（包括但不限于管道天然气、燃烧器）技术改造方案。</w:t>
            </w:r>
          </w:p>
          <w:p>
            <w:pPr>
              <w:ind w:firstLine="420" w:firstLineChars="200"/>
            </w:pPr>
            <w:r>
              <w:rPr>
                <w:rFonts w:hint="eastAsia"/>
              </w:rPr>
              <w:t>提供燃料技术改造方案纳入合同内容，得3分。</w:t>
            </w:r>
          </w:p>
          <w:p>
            <w:pPr>
              <w:ind w:firstLine="420" w:firstLineChars="200"/>
            </w:pPr>
          </w:p>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921" w:hRule="atLeast"/>
          <w:jc w:val="center"/>
        </w:trPr>
        <w:tc>
          <w:tcPr>
            <w:tcW w:w="2024" w:type="dxa"/>
            <w:gridSpan w:val="2"/>
            <w:vAlign w:val="center"/>
          </w:tcPr>
          <w:p>
            <w:pPr>
              <w:spacing w:line="400" w:lineRule="exact"/>
              <w:jc w:val="center"/>
              <w:rPr>
                <w:rFonts w:hint="default" w:ascii="宋体" w:hAnsi="宋体" w:eastAsia="宋体"/>
                <w:lang w:val="en-US" w:eastAsia="zh-CN"/>
              </w:rPr>
            </w:pPr>
            <w:r>
              <w:rPr>
                <w:rFonts w:hint="eastAsia" w:ascii="宋体" w:hAnsi="宋体"/>
                <w:lang w:val="en-US" w:eastAsia="zh-CN"/>
              </w:rPr>
              <w:t>3.2.1（1）</w:t>
            </w:r>
          </w:p>
        </w:tc>
        <w:tc>
          <w:tcPr>
            <w:tcW w:w="1487" w:type="dxa"/>
            <w:tcBorders>
              <w:top w:val="single" w:color="auto" w:sz="4" w:space="0"/>
            </w:tcBorders>
            <w:vAlign w:val="center"/>
          </w:tcPr>
          <w:p>
            <w:pPr>
              <w:spacing w:line="400" w:lineRule="exact"/>
              <w:jc w:val="center"/>
              <w:rPr>
                <w:rFonts w:hint="eastAsia" w:ascii="宋体" w:hAnsi="宋体" w:cs="宋体"/>
                <w:szCs w:val="21"/>
              </w:rPr>
            </w:pPr>
            <w:r>
              <w:rPr>
                <w:rFonts w:hint="eastAsia" w:ascii="宋体" w:hAnsi="宋体"/>
                <w:color w:val="auto"/>
                <w:highlight w:val="none"/>
              </w:rPr>
              <w:t>技术部分</w:t>
            </w:r>
            <w:r>
              <w:rPr>
                <w:rFonts w:ascii="宋体" w:hAnsi="宋体"/>
                <w:color w:val="auto"/>
                <w:kern w:val="0"/>
                <w:highlight w:val="none"/>
              </w:rPr>
              <w:t>得分</w:t>
            </w:r>
          </w:p>
        </w:tc>
        <w:tc>
          <w:tcPr>
            <w:tcW w:w="5634" w:type="dxa"/>
            <w:vAlign w:val="center"/>
          </w:tcPr>
          <w:p>
            <w:pPr>
              <w:autoSpaceDE w:val="0"/>
              <w:autoSpaceDN w:val="0"/>
              <w:adjustRightInd w:val="0"/>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评标委员会按第</w:t>
            </w:r>
            <w:r>
              <w:rPr>
                <w:rFonts w:hint="eastAsia" w:ascii="宋体" w:hAnsi="宋体"/>
                <w:color w:val="auto"/>
                <w:szCs w:val="21"/>
                <w:highlight w:val="none"/>
                <w:lang w:val="en-US" w:eastAsia="zh-CN"/>
              </w:rPr>
              <w:t>3.2.1</w:t>
            </w:r>
            <w:r>
              <w:rPr>
                <w:rFonts w:ascii="宋体" w:hAnsi="宋体"/>
                <w:color w:val="auto"/>
                <w:szCs w:val="21"/>
                <w:highlight w:val="none"/>
              </w:rPr>
              <w:t>（1）</w:t>
            </w:r>
            <w:r>
              <w:rPr>
                <w:rFonts w:hint="eastAsia" w:ascii="宋体" w:hAnsi="宋体"/>
                <w:color w:val="auto"/>
                <w:szCs w:val="21"/>
                <w:highlight w:val="none"/>
              </w:rPr>
              <w:t>目</w:t>
            </w:r>
            <w:r>
              <w:rPr>
                <w:rFonts w:ascii="宋体" w:hAnsi="宋体"/>
                <w:color w:val="auto"/>
                <w:szCs w:val="21"/>
                <w:highlight w:val="none"/>
              </w:rPr>
              <w:t>各评审因素设定的分值评分。</w:t>
            </w:r>
          </w:p>
          <w:p>
            <w:pPr>
              <w:spacing w:line="400" w:lineRule="exact"/>
              <w:ind w:firstLine="420" w:firstLineChars="200"/>
              <w:rPr>
                <w:rFonts w:ascii="宋体" w:hAnsi="宋体"/>
                <w:snapToGrid w:val="0"/>
                <w:color w:val="auto"/>
                <w:kern w:val="0"/>
                <w:szCs w:val="21"/>
                <w:highlight w:val="none"/>
              </w:rPr>
            </w:pPr>
            <w:r>
              <w:rPr>
                <w:rFonts w:ascii="宋体" w:hAnsi="宋体"/>
                <w:snapToGrid w:val="0"/>
                <w:color w:val="auto"/>
                <w:kern w:val="0"/>
                <w:szCs w:val="21"/>
                <w:highlight w:val="none"/>
              </w:rPr>
              <w:t>评标委员会成员为5人及以上时，所有评委</w:t>
            </w:r>
            <w:r>
              <w:rPr>
                <w:rFonts w:hint="eastAsia" w:ascii="宋体" w:hAnsi="宋体"/>
                <w:snapToGrid w:val="0"/>
                <w:color w:val="auto"/>
                <w:kern w:val="0"/>
                <w:szCs w:val="21"/>
                <w:highlight w:val="none"/>
              </w:rPr>
              <w:t>评分</w:t>
            </w:r>
            <w:r>
              <w:rPr>
                <w:rFonts w:ascii="宋体" w:hAnsi="宋体"/>
                <w:snapToGrid w:val="0"/>
                <w:color w:val="auto"/>
                <w:kern w:val="0"/>
                <w:szCs w:val="21"/>
                <w:highlight w:val="none"/>
              </w:rPr>
              <w:t>取算术平均值为该投标人技术</w:t>
            </w:r>
            <w:r>
              <w:rPr>
                <w:rFonts w:hint="eastAsia" w:ascii="宋体" w:hAnsi="宋体"/>
                <w:snapToGrid w:val="0"/>
                <w:color w:val="auto"/>
                <w:kern w:val="0"/>
                <w:szCs w:val="21"/>
                <w:highlight w:val="none"/>
                <w:lang w:val="en-US" w:eastAsia="zh-CN"/>
              </w:rPr>
              <w:t>部分</w:t>
            </w:r>
            <w:r>
              <w:rPr>
                <w:rFonts w:ascii="宋体" w:hAnsi="宋体"/>
                <w:snapToGrid w:val="0"/>
                <w:color w:val="auto"/>
                <w:kern w:val="0"/>
                <w:szCs w:val="21"/>
                <w:highlight w:val="none"/>
              </w:rPr>
              <w:t>得分。</w:t>
            </w:r>
          </w:p>
          <w:p>
            <w:pPr>
              <w:spacing w:line="360" w:lineRule="auto"/>
              <w:ind w:firstLine="420" w:firstLineChars="200"/>
              <w:jc w:val="left"/>
            </w:pPr>
            <w:r>
              <w:rPr>
                <w:rFonts w:hint="eastAsia" w:ascii="宋体" w:hAnsi="宋体"/>
                <w:color w:val="auto"/>
                <w:kern w:val="0"/>
                <w:szCs w:val="21"/>
                <w:highlight w:val="none"/>
              </w:rPr>
              <w:t>技术</w:t>
            </w:r>
            <w:r>
              <w:rPr>
                <w:rFonts w:hint="eastAsia" w:ascii="宋体" w:hAnsi="宋体"/>
                <w:color w:val="auto"/>
                <w:kern w:val="0"/>
                <w:szCs w:val="21"/>
                <w:highlight w:val="none"/>
                <w:lang w:val="en-US" w:eastAsia="zh-CN"/>
              </w:rPr>
              <w:t>部分</w:t>
            </w:r>
            <w:r>
              <w:rPr>
                <w:rFonts w:hint="eastAsia" w:ascii="宋体" w:hAnsi="宋体"/>
                <w:color w:val="auto"/>
                <w:kern w:val="0"/>
                <w:szCs w:val="21"/>
                <w:highlight w:val="none"/>
              </w:rPr>
              <w:t>得分的最终结果</w:t>
            </w:r>
            <w:r>
              <w:rPr>
                <w:rFonts w:ascii="宋体" w:hAnsi="宋体"/>
                <w:color w:val="auto"/>
                <w:kern w:val="0"/>
                <w:szCs w:val="21"/>
                <w:highlight w:val="none"/>
              </w:rPr>
              <w:t>取小数点后两位，</w:t>
            </w:r>
            <w:r>
              <w:rPr>
                <w:rFonts w:hint="eastAsia" w:ascii="宋体" w:hAnsi="宋体"/>
                <w:color w:val="auto"/>
                <w:kern w:val="0"/>
                <w:szCs w:val="21"/>
                <w:highlight w:val="none"/>
              </w:rPr>
              <w:t>小数点后</w:t>
            </w:r>
            <w:r>
              <w:rPr>
                <w:rFonts w:ascii="宋体" w:hAnsi="宋体"/>
                <w:color w:val="auto"/>
                <w:kern w:val="0"/>
                <w:szCs w:val="21"/>
                <w:highlight w:val="none"/>
              </w:rPr>
              <w:t>第三位四舍五入。</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35" w:hRule="atLeast"/>
          <w:jc w:val="center"/>
        </w:trPr>
        <w:tc>
          <w:tcPr>
            <w:tcW w:w="900" w:type="dxa"/>
            <w:vAlign w:val="center"/>
          </w:tcPr>
          <w:p>
            <w:pPr>
              <w:spacing w:line="400" w:lineRule="exact"/>
              <w:jc w:val="center"/>
              <w:rPr>
                <w:rFonts w:ascii="宋体" w:hAnsi="宋体"/>
              </w:rPr>
            </w:pPr>
            <w:r>
              <w:rPr>
                <w:rFonts w:ascii="宋体" w:hAnsi="宋体"/>
              </w:rPr>
              <w:t>3.2.1（</w:t>
            </w:r>
            <w:r>
              <w:rPr>
                <w:rFonts w:hint="eastAsia" w:ascii="宋体" w:hAnsi="宋体"/>
              </w:rPr>
              <w:t>2</w:t>
            </w:r>
            <w:r>
              <w:rPr>
                <w:rFonts w:ascii="宋体" w:hAnsi="宋体"/>
              </w:rPr>
              <w:t>）</w:t>
            </w:r>
          </w:p>
        </w:tc>
        <w:tc>
          <w:tcPr>
            <w:tcW w:w="1124" w:type="dxa"/>
            <w:vAlign w:val="center"/>
          </w:tcPr>
          <w:p>
            <w:pPr>
              <w:spacing w:line="400" w:lineRule="exact"/>
              <w:rPr>
                <w:rFonts w:ascii="宋体" w:hAnsi="宋体"/>
              </w:rPr>
            </w:pPr>
            <w:r>
              <w:rPr>
                <w:rFonts w:ascii="宋体" w:hAnsi="宋体"/>
              </w:rPr>
              <w:t>投标报价</w:t>
            </w:r>
            <w:r>
              <w:rPr>
                <w:rFonts w:ascii="宋体" w:hAnsi="宋体"/>
                <w:kern w:val="0"/>
              </w:rPr>
              <w:t>得分</w:t>
            </w:r>
            <w:r>
              <w:rPr>
                <w:rFonts w:ascii="宋体" w:hAnsi="宋体"/>
                <w:spacing w:val="-8"/>
              </w:rPr>
              <w:t>（</w:t>
            </w:r>
            <w:r>
              <w:rPr>
                <w:rFonts w:hint="eastAsia" w:ascii="宋体" w:hAnsi="宋体"/>
                <w:spacing w:val="-8"/>
              </w:rPr>
              <w:t>B</w:t>
            </w:r>
            <w:r>
              <w:rPr>
                <w:rFonts w:ascii="宋体" w:hAnsi="宋体"/>
                <w:spacing w:val="-8"/>
              </w:rPr>
              <w:t>）</w:t>
            </w:r>
          </w:p>
        </w:tc>
        <w:tc>
          <w:tcPr>
            <w:tcW w:w="1487" w:type="dxa"/>
            <w:tcBorders>
              <w:top w:val="single" w:color="auto" w:sz="4" w:space="0"/>
            </w:tcBorders>
            <w:vAlign w:val="center"/>
          </w:tcPr>
          <w:p>
            <w:pPr>
              <w:spacing w:line="400" w:lineRule="exact"/>
              <w:jc w:val="center"/>
              <w:rPr>
                <w:rFonts w:ascii="宋体" w:hAnsi="宋体"/>
              </w:rPr>
            </w:pPr>
            <w:r>
              <w:rPr>
                <w:rFonts w:ascii="宋体" w:hAnsi="宋体"/>
              </w:rPr>
              <w:t>投标报价</w:t>
            </w:r>
            <w:r>
              <w:rPr>
                <w:rFonts w:hint="eastAsia" w:ascii="宋体" w:hAnsi="宋体"/>
              </w:rPr>
              <w:t>（90分）</w:t>
            </w:r>
          </w:p>
        </w:tc>
        <w:tc>
          <w:tcPr>
            <w:tcW w:w="5634" w:type="dxa"/>
            <w:vAlign w:val="center"/>
          </w:tcPr>
          <w:p>
            <w:pPr>
              <w:spacing w:line="400" w:lineRule="exact"/>
              <w:ind w:firstLine="420" w:firstLineChars="200"/>
            </w:pPr>
            <w:r>
              <w:rPr>
                <w:rFonts w:hint="eastAsia" w:ascii="宋体" w:hAnsi="宋体"/>
                <w:kern w:val="0"/>
                <w:szCs w:val="21"/>
                <w:highlight w:val="none"/>
              </w:rPr>
              <w:t>以投标人有效报价中的最高价作为基准价，所有投标人的得分为：投标人报价÷基准价×90分。（最终结果</w:t>
            </w:r>
            <w:r>
              <w:rPr>
                <w:rFonts w:ascii="宋体" w:hAnsi="宋体"/>
                <w:kern w:val="0"/>
                <w:szCs w:val="21"/>
                <w:highlight w:val="none"/>
              </w:rPr>
              <w:t>取小数点后两位，第三位四舍五入。</w:t>
            </w:r>
            <w:r>
              <w:rPr>
                <w:rFonts w:hint="eastAsia" w:ascii="宋体" w:hAnsi="宋体"/>
                <w:kern w:val="0"/>
                <w:szCs w:val="21"/>
                <w:highlight w:val="none"/>
              </w:rPr>
              <w:t>）</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2024" w:type="dxa"/>
            <w:gridSpan w:val="2"/>
            <w:vAlign w:val="center"/>
          </w:tcPr>
          <w:p>
            <w:pPr>
              <w:spacing w:line="400" w:lineRule="exact"/>
              <w:ind w:firstLine="18" w:firstLineChars="9"/>
              <w:jc w:val="center"/>
              <w:rPr>
                <w:rFonts w:ascii="宋体" w:hAnsi="宋体"/>
                <w:szCs w:val="21"/>
              </w:rPr>
            </w:pPr>
            <w:r>
              <w:rPr>
                <w:rFonts w:ascii="宋体" w:hAnsi="宋体"/>
                <w:szCs w:val="21"/>
              </w:rPr>
              <w:t>3.2.3</w:t>
            </w:r>
          </w:p>
        </w:tc>
        <w:tc>
          <w:tcPr>
            <w:tcW w:w="1487" w:type="dxa"/>
            <w:vAlign w:val="center"/>
          </w:tcPr>
          <w:p>
            <w:pPr>
              <w:spacing w:line="400" w:lineRule="exact"/>
              <w:ind w:firstLine="18" w:firstLineChars="9"/>
              <w:jc w:val="center"/>
              <w:rPr>
                <w:rFonts w:ascii="宋体" w:hAnsi="宋体"/>
                <w:szCs w:val="21"/>
              </w:rPr>
            </w:pPr>
            <w:r>
              <w:rPr>
                <w:rFonts w:ascii="宋体" w:hAnsi="宋体"/>
                <w:szCs w:val="21"/>
              </w:rPr>
              <w:t>投标人得分</w:t>
            </w:r>
          </w:p>
        </w:tc>
        <w:tc>
          <w:tcPr>
            <w:tcW w:w="5634" w:type="dxa"/>
            <w:vAlign w:val="center"/>
          </w:tcPr>
          <w:p>
            <w:pPr>
              <w:spacing w:line="400" w:lineRule="exact"/>
              <w:jc w:val="center"/>
              <w:rPr>
                <w:rFonts w:ascii="宋体" w:hAnsi="宋体"/>
                <w:szCs w:val="21"/>
                <w:u w:val="single"/>
              </w:rPr>
            </w:pPr>
            <w:r>
              <w:rPr>
                <w:rFonts w:ascii="宋体" w:hAnsi="宋体"/>
                <w:szCs w:val="21"/>
                <w:u w:val="single"/>
              </w:rPr>
              <w:t>投标人得分=A+B</w:t>
            </w:r>
          </w:p>
        </w:tc>
      </w:tr>
      <w:tr>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900" w:type="dxa"/>
            <w:vAlign w:val="center"/>
          </w:tcPr>
          <w:p>
            <w:pPr>
              <w:spacing w:line="360" w:lineRule="exact"/>
              <w:jc w:val="center"/>
              <w:rPr>
                <w:rFonts w:ascii="宋体" w:hAnsi="宋体"/>
                <w:szCs w:val="21"/>
              </w:rPr>
            </w:pPr>
            <w:r>
              <w:rPr>
                <w:rFonts w:hint="eastAsia" w:ascii="宋体" w:hAnsi="宋体" w:cs="宋体"/>
              </w:rPr>
              <w:t>3.4.1</w:t>
            </w:r>
          </w:p>
        </w:tc>
        <w:tc>
          <w:tcPr>
            <w:tcW w:w="1124" w:type="dxa"/>
            <w:vAlign w:val="center"/>
          </w:tcPr>
          <w:p>
            <w:pPr>
              <w:spacing w:line="360" w:lineRule="exact"/>
              <w:jc w:val="center"/>
              <w:rPr>
                <w:rFonts w:ascii="宋体" w:hAnsi="宋体" w:cs="宋体"/>
              </w:rPr>
            </w:pPr>
            <w:r>
              <w:rPr>
                <w:rFonts w:hint="eastAsia" w:ascii="宋体" w:hAnsi="宋体" w:cs="宋体"/>
              </w:rPr>
              <w:t>评标结果</w:t>
            </w:r>
          </w:p>
        </w:tc>
        <w:tc>
          <w:tcPr>
            <w:tcW w:w="7121" w:type="dxa"/>
            <w:gridSpan w:val="2"/>
            <w:vAlign w:val="center"/>
          </w:tcPr>
          <w:p>
            <w:pPr>
              <w:spacing w:line="360" w:lineRule="exact"/>
              <w:jc w:val="left"/>
              <w:rPr>
                <w:rFonts w:ascii="宋体" w:hAnsi="宋体"/>
                <w:szCs w:val="21"/>
                <w:u w:val="single"/>
              </w:rPr>
            </w:pPr>
            <w:r>
              <w:rPr>
                <w:rFonts w:hint="eastAsia" w:ascii="宋体" w:hAnsi="宋体" w:cs="宋体"/>
              </w:rPr>
              <w:t>本项目评标采用</w:t>
            </w:r>
            <w:r>
              <w:rPr>
                <w:rFonts w:hint="eastAsia" w:ascii="宋体" w:hAnsi="宋体"/>
                <w:spacing w:val="4"/>
                <w:kern w:val="0"/>
                <w:szCs w:val="21"/>
              </w:rPr>
              <w:t>综合评</w:t>
            </w:r>
            <w:r>
              <w:rPr>
                <w:rFonts w:hint="eastAsia" w:ascii="宋体" w:hAnsi="宋体"/>
                <w:spacing w:val="4"/>
                <w:kern w:val="0"/>
                <w:szCs w:val="21"/>
                <w:lang w:val="en-US" w:eastAsia="zh-CN"/>
              </w:rPr>
              <w:t>估</w:t>
            </w:r>
            <w:r>
              <w:rPr>
                <w:rFonts w:hint="eastAsia" w:ascii="宋体" w:hAnsi="宋体"/>
                <w:spacing w:val="4"/>
                <w:kern w:val="0"/>
                <w:szCs w:val="21"/>
              </w:rPr>
              <w:t>法</w:t>
            </w:r>
            <w:r>
              <w:rPr>
                <w:rFonts w:hint="eastAsia" w:ascii="宋体" w:hAnsi="宋体" w:cs="宋体"/>
              </w:rPr>
              <w:t>，对通过初步评审、详细评审的投标人按照总得分从高到低的先后顺序，推荐3名中标候选人，不足3名则按相应家数推荐中标候选人。</w:t>
            </w:r>
          </w:p>
        </w:tc>
      </w:tr>
    </w:tbl>
    <w:p>
      <w:pPr>
        <w:rPr>
          <w:rFonts w:ascii="宋体" w:hAnsi="宋体" w:cs="宋体"/>
          <w:kern w:val="1"/>
          <w:sz w:val="24"/>
        </w:rPr>
      </w:pPr>
    </w:p>
    <w:p>
      <w:pPr>
        <w:pStyle w:val="3"/>
        <w:rPr>
          <w:rFonts w:ascii="宋体" w:hAnsi="宋体" w:cs="宋体"/>
          <w:sz w:val="24"/>
          <w:szCs w:val="24"/>
        </w:rPr>
        <w:sectPr>
          <w:headerReference r:id="rId11" w:type="default"/>
          <w:footerReference r:id="rId12" w:type="default"/>
          <w:pgSz w:w="11906" w:h="16838"/>
          <w:pgMar w:top="1474" w:right="1304" w:bottom="1247" w:left="1418" w:header="851" w:footer="992" w:gutter="0"/>
          <w:cols w:space="720" w:num="1"/>
        </w:sectPr>
      </w:pPr>
      <w:bookmarkStart w:id="176" w:name="_Toc152042387"/>
      <w:bookmarkEnd w:id="176"/>
      <w:bookmarkStart w:id="177" w:name="_Toc144974577"/>
      <w:bookmarkEnd w:id="177"/>
      <w:bookmarkStart w:id="178" w:name="_Toc277082627"/>
      <w:bookmarkEnd w:id="178"/>
      <w:bookmarkStart w:id="179" w:name="_Toc230410480"/>
      <w:bookmarkEnd w:id="179"/>
      <w:bookmarkStart w:id="180" w:name="_Toc152045609"/>
      <w:bookmarkEnd w:id="180"/>
      <w:bookmarkStart w:id="181" w:name="_Toc27079"/>
      <w:bookmarkStart w:id="182" w:name="_Toc11105"/>
      <w:bookmarkStart w:id="183" w:name="_Toc6150"/>
      <w:bookmarkStart w:id="184" w:name="_Toc12623"/>
      <w:bookmarkStart w:id="185" w:name="_Toc456626327"/>
      <w:bookmarkStart w:id="186" w:name="_Toc28995"/>
    </w:p>
    <w:p>
      <w:pPr>
        <w:pStyle w:val="2"/>
        <w:adjustRightInd w:val="0"/>
        <w:snapToGrid w:val="0"/>
        <w:spacing w:before="69" w:line="360" w:lineRule="auto"/>
        <w:ind w:left="39" w:firstLine="420" w:firstLineChars="200"/>
        <w:outlineLvl w:val="2"/>
        <w:rPr>
          <w:rFonts w:asciiTheme="minorEastAsia" w:hAnsiTheme="minorEastAsia" w:eastAsiaTheme="minorEastAsia" w:cstheme="minorEastAsia"/>
          <w:sz w:val="21"/>
          <w:szCs w:val="21"/>
        </w:rPr>
      </w:pPr>
      <w:bookmarkStart w:id="187" w:name="_Toc9635"/>
      <w:bookmarkStart w:id="188" w:name="_Toc2216"/>
      <w:bookmarkStart w:id="189" w:name="_Toc12228"/>
      <w:bookmarkStart w:id="190" w:name="_Toc8216"/>
      <w:bookmarkStart w:id="191" w:name="_Toc348"/>
      <w:r>
        <w:rPr>
          <w:rFonts w:asciiTheme="minorEastAsia" w:hAnsiTheme="minorEastAsia" w:eastAsiaTheme="minorEastAsia" w:cstheme="minorEastAsia"/>
          <w:sz w:val="21"/>
          <w:szCs w:val="21"/>
        </w:rPr>
        <w:t>1.评标方法</w:t>
      </w:r>
    </w:p>
    <w:p>
      <w:pPr>
        <w:pStyle w:val="2"/>
        <w:adjustRightInd w:val="0"/>
        <w:snapToGrid w:val="0"/>
        <w:spacing w:before="153" w:line="360" w:lineRule="auto"/>
        <w:ind w:left="23"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本次评标采用综合评估法。评标委员会对满足招标文件实质性要求的投标文件，按照本章第2.2款规定的评分标准进行打分，并按得分由高到低顺序推荐中标候选人，或根据招标人授权直接确定中标人。综合评分相等时，评标委员会应按照评标办法前附表规定的优先次序推荐中标候选人。</w:t>
      </w:r>
    </w:p>
    <w:p>
      <w:pPr>
        <w:pStyle w:val="2"/>
        <w:adjustRightInd w:val="0"/>
        <w:snapToGrid w:val="0"/>
        <w:spacing w:line="360" w:lineRule="auto"/>
        <w:ind w:left="26" w:firstLine="420" w:firstLineChars="200"/>
        <w:outlineLvl w:val="2"/>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2.评审标准</w:t>
      </w:r>
    </w:p>
    <w:p>
      <w:pPr>
        <w:pStyle w:val="2"/>
        <w:adjustRightInd w:val="0"/>
        <w:snapToGrid w:val="0"/>
        <w:spacing w:before="153" w:line="360" w:lineRule="auto"/>
        <w:ind w:left="26" w:firstLine="420" w:firstLineChars="200"/>
        <w:outlineLvl w:val="3"/>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2.1初步评审标准</w:t>
      </w:r>
    </w:p>
    <w:p>
      <w:pPr>
        <w:pStyle w:val="2"/>
        <w:adjustRightInd w:val="0"/>
        <w:snapToGrid w:val="0"/>
        <w:spacing w:before="155" w:line="360" w:lineRule="auto"/>
        <w:ind w:left="447"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2.1.1资格评审标准：见评标办法前附表。</w:t>
      </w:r>
    </w:p>
    <w:p>
      <w:pPr>
        <w:pStyle w:val="2"/>
        <w:adjustRightInd w:val="0"/>
        <w:snapToGrid w:val="0"/>
        <w:spacing w:before="156" w:line="360" w:lineRule="auto"/>
        <w:ind w:left="447"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2.1.2形式评审标准：见评标办法前附表。</w:t>
      </w:r>
    </w:p>
    <w:p>
      <w:pPr>
        <w:pStyle w:val="2"/>
        <w:adjustRightInd w:val="0"/>
        <w:snapToGrid w:val="0"/>
        <w:spacing w:before="172" w:line="360" w:lineRule="auto"/>
        <w:ind w:left="447"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2.1.3响应性评审标准：见评标办法前附表。</w:t>
      </w:r>
    </w:p>
    <w:p>
      <w:pPr>
        <w:pStyle w:val="2"/>
        <w:adjustRightInd w:val="0"/>
        <w:snapToGrid w:val="0"/>
        <w:spacing w:before="155" w:line="360" w:lineRule="auto"/>
        <w:ind w:left="26" w:firstLine="420" w:firstLineChars="200"/>
        <w:outlineLvl w:val="3"/>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2.2分值构成与评分标准</w:t>
      </w:r>
    </w:p>
    <w:p>
      <w:pPr>
        <w:pStyle w:val="2"/>
        <w:adjustRightInd w:val="0"/>
        <w:snapToGrid w:val="0"/>
        <w:spacing w:before="155" w:line="360" w:lineRule="auto"/>
        <w:ind w:left="447"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2.2.1分值构成</w:t>
      </w:r>
    </w:p>
    <w:p>
      <w:pPr>
        <w:pStyle w:val="2"/>
        <w:adjustRightInd w:val="0"/>
        <w:snapToGrid w:val="0"/>
        <w:spacing w:before="156" w:line="360" w:lineRule="auto"/>
        <w:ind w:left="450"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(1)技术部分：见评标办法前附表；</w:t>
      </w:r>
    </w:p>
    <w:p>
      <w:pPr>
        <w:pStyle w:val="2"/>
        <w:adjustRightInd w:val="0"/>
        <w:snapToGrid w:val="0"/>
        <w:spacing w:before="157" w:line="360" w:lineRule="auto"/>
        <w:ind w:left="450"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(2)报价部分：见评标办法前附表。</w:t>
      </w:r>
    </w:p>
    <w:p>
      <w:pPr>
        <w:pStyle w:val="2"/>
        <w:adjustRightInd w:val="0"/>
        <w:snapToGrid w:val="0"/>
        <w:spacing w:before="157" w:line="360" w:lineRule="auto"/>
        <w:ind w:left="447"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2.2.2评标基准价计算</w:t>
      </w:r>
    </w:p>
    <w:p>
      <w:pPr>
        <w:pStyle w:val="2"/>
        <w:adjustRightInd w:val="0"/>
        <w:snapToGrid w:val="0"/>
        <w:spacing w:before="158" w:line="360" w:lineRule="auto"/>
        <w:ind w:left="443"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评标基准价计算方法：见评标办法前附表。</w:t>
      </w:r>
    </w:p>
    <w:p>
      <w:pPr>
        <w:pStyle w:val="2"/>
        <w:adjustRightInd w:val="0"/>
        <w:snapToGrid w:val="0"/>
        <w:spacing w:line="360" w:lineRule="auto"/>
        <w:ind w:left="447"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2.2.3投标报价的偏差率计算</w:t>
      </w:r>
    </w:p>
    <w:p>
      <w:pPr>
        <w:pStyle w:val="2"/>
        <w:adjustRightInd w:val="0"/>
        <w:snapToGrid w:val="0"/>
        <w:spacing w:before="157" w:line="360" w:lineRule="auto"/>
        <w:ind w:left="447"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投标报价的偏差率计算公式：见评标办法前附表。</w:t>
      </w:r>
    </w:p>
    <w:p>
      <w:pPr>
        <w:pStyle w:val="2"/>
        <w:adjustRightInd w:val="0"/>
        <w:snapToGrid w:val="0"/>
        <w:spacing w:before="158" w:line="360" w:lineRule="auto"/>
        <w:ind w:left="447"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2.2.4评分标准</w:t>
      </w:r>
    </w:p>
    <w:p>
      <w:pPr>
        <w:pStyle w:val="2"/>
        <w:adjustRightInd w:val="0"/>
        <w:snapToGrid w:val="0"/>
        <w:spacing w:before="155" w:line="360" w:lineRule="auto"/>
        <w:ind w:left="450"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(1)技术部分评分标准：见评标办法前附表；</w:t>
      </w:r>
    </w:p>
    <w:p>
      <w:pPr>
        <w:pStyle w:val="2"/>
        <w:adjustRightInd w:val="0"/>
        <w:snapToGrid w:val="0"/>
        <w:spacing w:before="157" w:line="360" w:lineRule="auto"/>
        <w:ind w:left="450"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(2)投标报价评分标准：见评标办法前附表。</w:t>
      </w:r>
    </w:p>
    <w:p>
      <w:pPr>
        <w:pStyle w:val="2"/>
        <w:adjustRightInd w:val="0"/>
        <w:snapToGrid w:val="0"/>
        <w:spacing w:before="158" w:line="360" w:lineRule="auto"/>
        <w:ind w:left="28" w:firstLine="420" w:firstLineChars="200"/>
        <w:outlineLvl w:val="2"/>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3.评标程序</w:t>
      </w:r>
    </w:p>
    <w:p>
      <w:pPr>
        <w:pStyle w:val="2"/>
        <w:adjustRightInd w:val="0"/>
        <w:snapToGrid w:val="0"/>
        <w:spacing w:before="289" w:line="360" w:lineRule="auto"/>
        <w:ind w:left="448"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3.1初步评审</w:t>
      </w:r>
    </w:p>
    <w:p>
      <w:pPr>
        <w:pStyle w:val="2"/>
        <w:adjustRightInd w:val="0"/>
        <w:snapToGrid w:val="0"/>
        <w:spacing w:before="170" w:line="360" w:lineRule="auto"/>
        <w:ind w:left="25" w:right="35"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3.1.1评标委员会依据本章第2.1款规定的标准对投标文件进行初步评审。有一项不符合评审标准的，其投标文件作否决投标处理。</w:t>
      </w:r>
    </w:p>
    <w:p>
      <w:pPr>
        <w:pStyle w:val="2"/>
        <w:adjustRightInd w:val="0"/>
        <w:snapToGrid w:val="0"/>
        <w:spacing w:before="1" w:line="360" w:lineRule="auto"/>
        <w:ind w:left="448"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3.1.2投标人有以下情形之一的，其投标文件作否决投标处理：</w:t>
      </w:r>
    </w:p>
    <w:p>
      <w:pPr>
        <w:pStyle w:val="2"/>
        <w:adjustRightInd w:val="0"/>
        <w:snapToGrid w:val="0"/>
        <w:spacing w:before="170" w:line="360" w:lineRule="auto"/>
        <w:ind w:left="450"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(1)第二章“投标人须知”第1.4.3项和1.4.4规定的任何一种情形的；</w:t>
      </w:r>
    </w:p>
    <w:p>
      <w:pPr>
        <w:pStyle w:val="2"/>
        <w:adjustRightInd w:val="0"/>
        <w:snapToGrid w:val="0"/>
        <w:spacing w:before="171" w:line="360" w:lineRule="auto"/>
        <w:ind w:left="450"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(2)串通投标或弄虚作假或有其他违法行为的；</w:t>
      </w:r>
    </w:p>
    <w:p>
      <w:pPr>
        <w:pStyle w:val="2"/>
        <w:adjustRightInd w:val="0"/>
        <w:snapToGrid w:val="0"/>
        <w:spacing w:before="171" w:line="360" w:lineRule="auto"/>
        <w:ind w:left="450"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(3)不按评标委员会要求澄清、说明或补正的。</w:t>
      </w:r>
    </w:p>
    <w:p>
      <w:pPr>
        <w:pStyle w:val="2"/>
        <w:adjustRightInd w:val="0"/>
        <w:snapToGrid w:val="0"/>
        <w:spacing w:before="68" w:line="360" w:lineRule="auto"/>
        <w:ind w:left="25" w:right="66"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(4)本招标文件约定的其他情形。3.1.3投标报价有算术错误的，评标委员会按以下原则对投标报价进行修正，修正的价格经投标人书面确认后具有约束力。投标人不接受修正价格的，其投标文件作否决投标处理。</w:t>
      </w:r>
    </w:p>
    <w:p>
      <w:pPr>
        <w:pStyle w:val="2"/>
        <w:adjustRightInd w:val="0"/>
        <w:snapToGrid w:val="0"/>
        <w:spacing w:line="360" w:lineRule="auto"/>
        <w:ind w:left="450"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(1)投标文件中的大写金额与小写金额不一致的，以大写金额为准；</w:t>
      </w:r>
    </w:p>
    <w:p>
      <w:pPr>
        <w:pStyle w:val="2"/>
        <w:adjustRightInd w:val="0"/>
        <w:snapToGrid w:val="0"/>
        <w:spacing w:before="170" w:line="360" w:lineRule="auto"/>
        <w:ind w:left="450"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(2)总价金额与依据单价计算出的结果不一致的，由评标委员会作否决投标处理。</w:t>
      </w:r>
    </w:p>
    <w:p>
      <w:pPr>
        <w:pStyle w:val="2"/>
        <w:adjustRightInd w:val="0"/>
        <w:snapToGrid w:val="0"/>
        <w:spacing w:before="173" w:line="360" w:lineRule="auto"/>
        <w:ind w:left="448"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3.2详细评审</w:t>
      </w:r>
    </w:p>
    <w:p>
      <w:pPr>
        <w:pStyle w:val="2"/>
        <w:adjustRightInd w:val="0"/>
        <w:snapToGrid w:val="0"/>
        <w:spacing w:before="169" w:line="360" w:lineRule="auto"/>
        <w:ind w:left="448"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3.2.1评标委员会按本章第2.2款规定的量化因素和分值进行打分，并计算出各投标人的商务和技术得分。</w:t>
      </w:r>
    </w:p>
    <w:p>
      <w:pPr>
        <w:pStyle w:val="2"/>
        <w:adjustRightInd w:val="0"/>
        <w:snapToGrid w:val="0"/>
        <w:spacing w:before="35" w:line="360" w:lineRule="auto"/>
        <w:ind w:left="450"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(1)按本章第2.2.4项(1)目规定的评审因素和分值对技术部分计算出得分A；</w:t>
      </w:r>
    </w:p>
    <w:p>
      <w:pPr>
        <w:pStyle w:val="2"/>
        <w:adjustRightInd w:val="0"/>
        <w:snapToGrid w:val="0"/>
        <w:spacing w:before="157" w:line="360" w:lineRule="auto"/>
        <w:ind w:left="450"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(2)按本章第2.2.4项(</w:t>
      </w:r>
      <w:r>
        <w:rPr>
          <w:rFonts w:hint="eastAsia" w:asciiTheme="minorEastAsia" w:hAnsiTheme="minorEastAsia" w:eastAsiaTheme="minorEastAsia" w:cstheme="minorEastAsia"/>
          <w:sz w:val="21"/>
          <w:szCs w:val="21"/>
        </w:rPr>
        <w:t>2</w:t>
      </w:r>
      <w:r>
        <w:rPr>
          <w:rFonts w:asciiTheme="minorEastAsia" w:hAnsiTheme="minorEastAsia" w:eastAsiaTheme="minorEastAsia" w:cstheme="minorEastAsia"/>
          <w:sz w:val="21"/>
          <w:szCs w:val="21"/>
        </w:rPr>
        <w:t>)目规定的评审因素和分值对投标报价部分计算出得分</w:t>
      </w:r>
      <w:r>
        <w:rPr>
          <w:rFonts w:hint="eastAsia" w:asciiTheme="minorEastAsia" w:hAnsiTheme="minorEastAsia" w:eastAsiaTheme="minorEastAsia" w:cstheme="minorEastAsia"/>
          <w:sz w:val="21"/>
          <w:szCs w:val="21"/>
        </w:rPr>
        <w:t>B</w:t>
      </w:r>
      <w:r>
        <w:rPr>
          <w:rFonts w:asciiTheme="minorEastAsia" w:hAnsiTheme="minorEastAsia" w:eastAsiaTheme="minorEastAsia" w:cstheme="minorEastAsia"/>
          <w:sz w:val="21"/>
          <w:szCs w:val="21"/>
        </w:rPr>
        <w:t>。</w:t>
      </w:r>
    </w:p>
    <w:p>
      <w:pPr>
        <w:pStyle w:val="2"/>
        <w:adjustRightInd w:val="0"/>
        <w:snapToGrid w:val="0"/>
        <w:spacing w:before="173" w:line="360" w:lineRule="auto"/>
        <w:ind w:left="25" w:right="70"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3.2.2投标人的技术、报价得分分值计算保留小数点后两位，小数点后第三位“四舍五入”。</w:t>
      </w:r>
    </w:p>
    <w:p>
      <w:pPr>
        <w:pStyle w:val="2"/>
        <w:adjustRightInd w:val="0"/>
        <w:snapToGrid w:val="0"/>
        <w:spacing w:before="1" w:line="360" w:lineRule="auto"/>
        <w:ind w:left="448"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3.2.3投标人的得分=A+B。</w:t>
      </w:r>
    </w:p>
    <w:p>
      <w:pPr>
        <w:pStyle w:val="2"/>
        <w:adjustRightInd w:val="0"/>
        <w:snapToGrid w:val="0"/>
        <w:spacing w:before="155" w:line="360" w:lineRule="auto"/>
        <w:ind w:left="448"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3.3串通投标与虚假投标</w:t>
      </w:r>
    </w:p>
    <w:p>
      <w:pPr>
        <w:pStyle w:val="2"/>
        <w:adjustRightInd w:val="0"/>
        <w:snapToGrid w:val="0"/>
        <w:spacing w:before="172" w:line="360" w:lineRule="auto"/>
        <w:ind w:left="448"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3.3.1评标委员会应对在评标过程中发现的投标人与投标人之间、投标人与招标人之间存在的串通投标的情形进行评审和认定。投标人存在串通投标、弄虚作假、行贿等违法行为的，评标委员会应否决其投标。</w:t>
      </w:r>
    </w:p>
    <w:p>
      <w:pPr>
        <w:pStyle w:val="2"/>
        <w:adjustRightInd w:val="0"/>
        <w:snapToGrid w:val="0"/>
        <w:spacing w:line="360" w:lineRule="auto"/>
        <w:ind w:left="450"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(1)有下列情形之一的，属于投标人相互串通投标：</w:t>
      </w:r>
    </w:p>
    <w:p>
      <w:pPr>
        <w:pStyle w:val="2"/>
        <w:adjustRightInd w:val="0"/>
        <w:snapToGrid w:val="0"/>
        <w:spacing w:before="1" w:line="360" w:lineRule="auto"/>
        <w:ind w:left="445"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a.投标人之间协商投标报价等投标文件的实质性内容；</w:t>
      </w:r>
    </w:p>
    <w:p>
      <w:pPr>
        <w:pStyle w:val="2"/>
        <w:adjustRightInd w:val="0"/>
        <w:snapToGrid w:val="0"/>
        <w:spacing w:before="132" w:line="360" w:lineRule="auto"/>
        <w:ind w:left="441"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b.投标人之间约定中标人；</w:t>
      </w:r>
    </w:p>
    <w:p>
      <w:pPr>
        <w:pStyle w:val="2"/>
        <w:adjustRightInd w:val="0"/>
        <w:snapToGrid w:val="0"/>
        <w:spacing w:before="132" w:line="360" w:lineRule="auto"/>
        <w:ind w:left="448"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c.投标人之间约定部分投标人放弃投标或中标；</w:t>
      </w:r>
    </w:p>
    <w:p>
      <w:pPr>
        <w:pStyle w:val="2"/>
        <w:adjustRightInd w:val="0"/>
        <w:snapToGrid w:val="0"/>
        <w:spacing w:before="132" w:line="360" w:lineRule="auto"/>
        <w:ind w:left="448" w:right="867"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d.属于同一集团、协会、商会等组织成员的投标人按照该组织要求协同投标；e.投标人之间为谋取中标或排斥特定投标人而采取的其他联合行动。</w:t>
      </w:r>
    </w:p>
    <w:p>
      <w:pPr>
        <w:pStyle w:val="2"/>
        <w:adjustRightInd w:val="0"/>
        <w:snapToGrid w:val="0"/>
        <w:spacing w:line="360" w:lineRule="auto"/>
        <w:ind w:left="450"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(2)有下列情形之一的，视为投标人相互串通投标：</w:t>
      </w:r>
    </w:p>
    <w:p>
      <w:pPr>
        <w:pStyle w:val="2"/>
        <w:adjustRightInd w:val="0"/>
        <w:snapToGrid w:val="0"/>
        <w:spacing w:before="1" w:line="360" w:lineRule="auto"/>
        <w:ind w:left="445"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a.不同投标人的投标文件由同一单位或个人编制；</w:t>
      </w:r>
    </w:p>
    <w:p>
      <w:pPr>
        <w:pStyle w:val="2"/>
        <w:adjustRightInd w:val="0"/>
        <w:snapToGrid w:val="0"/>
        <w:spacing w:before="133" w:line="360" w:lineRule="auto"/>
        <w:ind w:left="441"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b.不同投标人委托同一单位或个人办理投标事宜；</w:t>
      </w:r>
    </w:p>
    <w:p>
      <w:pPr>
        <w:pStyle w:val="2"/>
        <w:adjustRightInd w:val="0"/>
        <w:snapToGrid w:val="0"/>
        <w:spacing w:before="131" w:line="360" w:lineRule="auto"/>
        <w:ind w:left="448"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c.不同投标人的投标文件载明的项目管理成员为同一人；</w:t>
      </w:r>
    </w:p>
    <w:p>
      <w:pPr>
        <w:pStyle w:val="2"/>
        <w:adjustRightInd w:val="0"/>
        <w:snapToGrid w:val="0"/>
        <w:spacing w:before="148" w:line="360" w:lineRule="auto"/>
        <w:ind w:left="448"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d.不同投标人的投标文件异常一致或投标报价呈规律性差异；</w:t>
      </w:r>
    </w:p>
    <w:p>
      <w:pPr>
        <w:pStyle w:val="2"/>
        <w:adjustRightInd w:val="0"/>
        <w:snapToGrid w:val="0"/>
        <w:spacing w:before="1" w:line="360" w:lineRule="auto"/>
        <w:ind w:left="449"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e.不同投标人的投标文件相互混装；</w:t>
      </w:r>
    </w:p>
    <w:p>
      <w:pPr>
        <w:pStyle w:val="2"/>
        <w:adjustRightInd w:val="0"/>
        <w:snapToGrid w:val="0"/>
        <w:spacing w:before="133" w:line="360" w:lineRule="auto"/>
        <w:ind w:left="448"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f.不同投标人的投标保证金从同一单位或个人的账户转出。</w:t>
      </w:r>
    </w:p>
    <w:p>
      <w:pPr>
        <w:pStyle w:val="2"/>
        <w:adjustRightInd w:val="0"/>
        <w:snapToGrid w:val="0"/>
        <w:spacing w:line="360" w:lineRule="auto"/>
        <w:ind w:left="450"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(3)有下列情形之一的，属于招标人与投标人串通投标：</w:t>
      </w:r>
    </w:p>
    <w:p>
      <w:pPr>
        <w:pStyle w:val="2"/>
        <w:adjustRightInd w:val="0"/>
        <w:snapToGrid w:val="0"/>
        <w:spacing w:before="170" w:line="360" w:lineRule="auto"/>
        <w:ind w:left="445"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a.招标人在开标前开启投标文件并将有关信息泄露给其他投标人</w:t>
      </w:r>
      <w:r>
        <w:rPr>
          <w:rFonts w:hint="eastAsia" w:asciiTheme="minorEastAsia" w:hAnsiTheme="minorEastAsia" w:eastAsiaTheme="minorEastAsia" w:cstheme="minorEastAsia"/>
          <w:sz w:val="21"/>
          <w:szCs w:val="21"/>
          <w:lang w:eastAsia="zh-CN"/>
        </w:rPr>
        <w:t>；</w:t>
      </w:r>
    </w:p>
    <w:p>
      <w:pPr>
        <w:pStyle w:val="2"/>
        <w:adjustRightInd w:val="0"/>
        <w:snapToGrid w:val="0"/>
        <w:spacing w:before="69" w:line="360" w:lineRule="auto"/>
        <w:ind w:left="448"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b.招标人直接或间接向投标人泄露标底、评标委员会成员等信息；</w:t>
      </w:r>
    </w:p>
    <w:p>
      <w:pPr>
        <w:pStyle w:val="2"/>
        <w:adjustRightInd w:val="0"/>
        <w:snapToGrid w:val="0"/>
        <w:spacing w:before="69" w:line="360" w:lineRule="auto"/>
        <w:ind w:left="448"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c.招标人明示或暗示投标人压低或抬高投标报价；</w:t>
      </w:r>
    </w:p>
    <w:p>
      <w:pPr>
        <w:pStyle w:val="2"/>
        <w:adjustRightInd w:val="0"/>
        <w:snapToGrid w:val="0"/>
        <w:spacing w:line="360" w:lineRule="auto"/>
        <w:ind w:left="448"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d.招标人授意投标人撤换、修改投标文件；</w:t>
      </w:r>
    </w:p>
    <w:p>
      <w:pPr>
        <w:pStyle w:val="2"/>
        <w:adjustRightInd w:val="0"/>
        <w:snapToGrid w:val="0"/>
        <w:spacing w:before="131" w:line="360" w:lineRule="auto"/>
        <w:ind w:left="449"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e.招标人明示或暗示投标人为特定投标人中标提供方便；</w:t>
      </w:r>
    </w:p>
    <w:p>
      <w:pPr>
        <w:pStyle w:val="2"/>
        <w:adjustRightInd w:val="0"/>
        <w:snapToGrid w:val="0"/>
        <w:spacing w:before="147" w:line="360" w:lineRule="auto"/>
        <w:ind w:left="448"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f.招标人与投标人为谋求特定投标人中标而采取的其他串通行为。</w:t>
      </w:r>
    </w:p>
    <w:p>
      <w:pPr>
        <w:pStyle w:val="2"/>
        <w:adjustRightInd w:val="0"/>
        <w:snapToGrid w:val="0"/>
        <w:spacing w:before="131" w:line="360" w:lineRule="auto"/>
        <w:ind w:left="450"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(4)投标人有下列情形之一的，属于弄虚作假的行为：</w:t>
      </w:r>
    </w:p>
    <w:p>
      <w:pPr>
        <w:pStyle w:val="2"/>
        <w:adjustRightInd w:val="0"/>
        <w:snapToGrid w:val="0"/>
        <w:spacing w:line="360" w:lineRule="auto"/>
        <w:ind w:left="445"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a.使用通过受让或租借等方式获取的资格、资质证书投标；</w:t>
      </w:r>
    </w:p>
    <w:p>
      <w:pPr>
        <w:pStyle w:val="2"/>
        <w:adjustRightInd w:val="0"/>
        <w:snapToGrid w:val="0"/>
        <w:spacing w:before="133" w:line="360" w:lineRule="auto"/>
        <w:ind w:left="441"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b.使用伪造、变造的许可证件；</w:t>
      </w:r>
    </w:p>
    <w:p>
      <w:pPr>
        <w:pStyle w:val="2"/>
        <w:adjustRightInd w:val="0"/>
        <w:snapToGrid w:val="0"/>
        <w:spacing w:before="147" w:line="360" w:lineRule="auto"/>
        <w:ind w:left="448"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c.提供虚假的业绩；</w:t>
      </w:r>
    </w:p>
    <w:p>
      <w:pPr>
        <w:pStyle w:val="2"/>
        <w:adjustRightInd w:val="0"/>
        <w:snapToGrid w:val="0"/>
        <w:spacing w:before="133" w:line="360" w:lineRule="auto"/>
        <w:ind w:left="448"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d.提供虚假的项目经理人等人员简历、劳动关系证明；</w:t>
      </w:r>
    </w:p>
    <w:p>
      <w:pPr>
        <w:pStyle w:val="2"/>
        <w:adjustRightInd w:val="0"/>
        <w:snapToGrid w:val="0"/>
        <w:spacing w:before="131" w:line="360" w:lineRule="auto"/>
        <w:ind w:left="449"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e.提供虚假的信用状况；</w:t>
      </w:r>
    </w:p>
    <w:p>
      <w:pPr>
        <w:pStyle w:val="2"/>
        <w:adjustRightInd w:val="0"/>
        <w:snapToGrid w:val="0"/>
        <w:spacing w:line="360" w:lineRule="auto"/>
        <w:ind w:left="448"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f.其他弄虚作假的行为。</w:t>
      </w:r>
    </w:p>
    <w:p>
      <w:pPr>
        <w:pStyle w:val="2"/>
        <w:adjustRightInd w:val="0"/>
        <w:snapToGrid w:val="0"/>
        <w:spacing w:before="146" w:line="360" w:lineRule="auto"/>
        <w:ind w:left="28" w:firstLine="420" w:firstLineChars="200"/>
        <w:outlineLvl w:val="3"/>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3.4投标文件的澄清和说明</w:t>
      </w:r>
    </w:p>
    <w:p>
      <w:pPr>
        <w:pStyle w:val="2"/>
        <w:adjustRightInd w:val="0"/>
        <w:snapToGrid w:val="0"/>
        <w:spacing w:before="155" w:line="360" w:lineRule="auto"/>
        <w:ind w:left="26"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3.4.1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pStyle w:val="2"/>
        <w:adjustRightInd w:val="0"/>
        <w:snapToGrid w:val="0"/>
        <w:spacing w:line="360" w:lineRule="auto"/>
        <w:ind w:left="41" w:right="68"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3.4.2澄清和说明不得超出投标文件的范围或改变投标文件的实质性内容(算术性错误的修正除外)。投标人的书面澄清、说明属于投标文件的组成部分。</w:t>
      </w:r>
    </w:p>
    <w:p>
      <w:pPr>
        <w:pStyle w:val="2"/>
        <w:adjustRightInd w:val="0"/>
        <w:snapToGrid w:val="0"/>
        <w:spacing w:before="1" w:line="360" w:lineRule="auto"/>
        <w:ind w:left="25" w:right="59"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3.4.3评标委员会不得暗示或诱导投标人作出澄清、说明，对投标人提交的澄清、说明有疑问的，可以要求投标人进一步澄清或说明，直至满足评标委员会的要求。</w:t>
      </w:r>
    </w:p>
    <w:p>
      <w:pPr>
        <w:pStyle w:val="2"/>
        <w:adjustRightInd w:val="0"/>
        <w:snapToGrid w:val="0"/>
        <w:spacing w:line="360" w:lineRule="auto"/>
        <w:ind w:left="23" w:right="57"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3.4.4凡超出招标文件规定的或给委托人带来未曾要求的利益的变化、偏差或其他因素在评标时不予考虑。</w:t>
      </w:r>
    </w:p>
    <w:p>
      <w:pPr>
        <w:pStyle w:val="2"/>
        <w:adjustRightInd w:val="0"/>
        <w:snapToGrid w:val="0"/>
        <w:spacing w:line="360" w:lineRule="auto"/>
        <w:ind w:left="28" w:firstLine="420" w:firstLineChars="200"/>
        <w:outlineLvl w:val="3"/>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3.5评标结果</w:t>
      </w:r>
    </w:p>
    <w:p>
      <w:pPr>
        <w:pStyle w:val="2"/>
        <w:adjustRightInd w:val="0"/>
        <w:snapToGrid w:val="0"/>
        <w:spacing w:before="155" w:line="360" w:lineRule="auto"/>
        <w:ind w:left="29" w:right="61"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3.5.1除第二章“投标人须知”前附表授权直接确定中标人外，评标委员会按照得分由高到低的顺序推荐中标候选人，并标明排序。</w:t>
      </w:r>
    </w:p>
    <w:p>
      <w:pPr>
        <w:pStyle w:val="2"/>
        <w:adjustRightInd w:val="0"/>
        <w:snapToGrid w:val="0"/>
        <w:spacing w:line="360" w:lineRule="auto"/>
        <w:ind w:firstLine="420" w:firstLineChars="200"/>
        <w:rPr>
          <w:rFonts w:asciiTheme="minorEastAsia" w:hAnsiTheme="minorEastAsia" w:eastAsiaTheme="minorEastAsia" w:cstheme="minorEastAsia"/>
          <w:sz w:val="21"/>
          <w:szCs w:val="21"/>
        </w:rPr>
      </w:pPr>
      <w:r>
        <w:rPr>
          <w:rFonts w:asciiTheme="minorEastAsia" w:hAnsiTheme="minorEastAsia" w:eastAsiaTheme="minorEastAsia" w:cstheme="minorEastAsia"/>
          <w:sz w:val="21"/>
          <w:szCs w:val="21"/>
        </w:rPr>
        <w:t>3.5.2评标委员会完成评标后，应向招标人提交书面评标报告。</w:t>
      </w:r>
    </w:p>
    <w:p>
      <w:pPr>
        <w:rPr>
          <w:rFonts w:asciiTheme="minorEastAsia" w:hAnsiTheme="minorEastAsia" w:eastAsiaTheme="minorEastAsia" w:cstheme="minorEastAsia"/>
          <w:szCs w:val="21"/>
        </w:rPr>
      </w:pPr>
      <w:r>
        <w:rPr>
          <w:rFonts w:asciiTheme="minorEastAsia" w:hAnsiTheme="minorEastAsia" w:eastAsiaTheme="minorEastAsia" w:cstheme="minorEastAsia"/>
          <w:szCs w:val="21"/>
        </w:rPr>
        <w:br w:type="page"/>
      </w:r>
    </w:p>
    <w:bookmarkEnd w:id="181"/>
    <w:bookmarkEnd w:id="182"/>
    <w:bookmarkEnd w:id="183"/>
    <w:bookmarkEnd w:id="184"/>
    <w:bookmarkEnd w:id="185"/>
    <w:bookmarkEnd w:id="186"/>
    <w:bookmarkEnd w:id="187"/>
    <w:bookmarkEnd w:id="188"/>
    <w:bookmarkEnd w:id="189"/>
    <w:bookmarkEnd w:id="190"/>
    <w:bookmarkEnd w:id="191"/>
    <w:p>
      <w:pPr>
        <w:pStyle w:val="3"/>
        <w:numPr>
          <w:ilvl w:val="0"/>
          <w:numId w:val="0"/>
        </w:numPr>
        <w:snapToGrid/>
        <w:rPr>
          <w:rFonts w:ascii="宋体" w:hAnsi="宋体" w:eastAsia="宋体" w:cs="宋体"/>
          <w:b/>
          <w:kern w:val="0"/>
          <w:sz w:val="40"/>
        </w:rPr>
      </w:pPr>
      <w:bookmarkStart w:id="192" w:name="_Toc3466"/>
      <w:bookmarkStart w:id="193" w:name="_Toc7447"/>
      <w:r>
        <w:rPr>
          <w:rFonts w:hint="eastAsia" w:ascii="宋体" w:hAnsi="宋体" w:eastAsia="宋体" w:cs="宋体"/>
          <w:b/>
          <w:kern w:val="0"/>
          <w:sz w:val="40"/>
        </w:rPr>
        <w:t>第四章 合同条款及格式</w:t>
      </w:r>
      <w:bookmarkEnd w:id="171"/>
      <w:bookmarkEnd w:id="192"/>
      <w:bookmarkEnd w:id="193"/>
    </w:p>
    <w:bookmarkEnd w:id="80"/>
    <w:p>
      <w:pPr>
        <w:jc w:val="center"/>
        <w:rPr>
          <w:b/>
          <w:bCs/>
          <w:sz w:val="44"/>
          <w:szCs w:val="44"/>
        </w:rPr>
        <w:sectPr>
          <w:headerReference r:id="rId13" w:type="default"/>
          <w:footerReference r:id="rId14" w:type="default"/>
          <w:pgSz w:w="12240" w:h="15840"/>
          <w:pgMar w:top="1440" w:right="1800" w:bottom="1440" w:left="1800" w:header="720" w:footer="720" w:gutter="0"/>
          <w:cols w:space="720" w:num="1"/>
        </w:sectPr>
      </w:pPr>
    </w:p>
    <w:p>
      <w:pPr>
        <w:contextualSpacing/>
        <w:jc w:val="center"/>
        <w:rPr>
          <w:rStyle w:val="20"/>
          <w:rFonts w:ascii="华文中宋" w:hAnsi="华文中宋" w:eastAsia="华文中宋"/>
          <w:b/>
          <w:bCs/>
          <w:sz w:val="44"/>
          <w:szCs w:val="44"/>
        </w:rPr>
      </w:pPr>
      <w:r>
        <w:rPr>
          <w:rStyle w:val="20"/>
          <w:rFonts w:hint="eastAsia" w:ascii="华文中宋" w:hAnsi="华文中宋" w:eastAsia="华文中宋"/>
          <w:b/>
          <w:bCs/>
          <w:sz w:val="44"/>
          <w:szCs w:val="44"/>
        </w:rPr>
        <w:t>重庆公路养护工程（集团）有限公司</w:t>
      </w:r>
    </w:p>
    <w:p>
      <w:pPr>
        <w:contextualSpacing/>
        <w:jc w:val="center"/>
        <w:rPr>
          <w:rStyle w:val="20"/>
          <w:rFonts w:ascii="华文中宋" w:hAnsi="华文中宋" w:eastAsia="华文中宋"/>
          <w:b/>
          <w:bCs/>
          <w:sz w:val="44"/>
          <w:szCs w:val="44"/>
        </w:rPr>
      </w:pPr>
      <w:r>
        <w:rPr>
          <w:rStyle w:val="20"/>
          <w:rFonts w:hint="eastAsia" w:ascii="华文中宋" w:hAnsi="华文中宋" w:eastAsia="华文中宋"/>
          <w:b/>
          <w:bCs/>
          <w:sz w:val="44"/>
          <w:szCs w:val="44"/>
        </w:rPr>
        <w:t>西山坪拌和站合作经营协议</w:t>
      </w:r>
    </w:p>
    <w:p>
      <w:pPr>
        <w:spacing w:line="480" w:lineRule="atLeast"/>
        <w:ind w:firstLine="0" w:firstLineChars="0"/>
        <w:rPr>
          <w:rFonts w:hint="eastAsia" w:ascii="宋体" w:hAnsi="Times New Roman" w:eastAsia="宋体"/>
          <w:sz w:val="24"/>
          <w:szCs w:val="24"/>
        </w:rPr>
      </w:pPr>
      <w:r>
        <w:rPr>
          <w:rFonts w:hint="eastAsia" w:ascii="宋体" w:hAnsi="Times New Roman" w:eastAsia="宋体"/>
          <w:sz w:val="24"/>
          <w:szCs w:val="24"/>
        </w:rPr>
        <w:t>甲方：</w:t>
      </w:r>
    </w:p>
    <w:p>
      <w:pPr>
        <w:spacing w:line="480" w:lineRule="atLeast"/>
        <w:ind w:firstLine="0" w:firstLineChars="0"/>
        <w:rPr>
          <w:rFonts w:hint="eastAsia" w:ascii="宋体" w:hAnsi="Times New Roman" w:eastAsia="宋体"/>
          <w:sz w:val="24"/>
          <w:szCs w:val="24"/>
        </w:rPr>
      </w:pPr>
      <w:r>
        <w:rPr>
          <w:rFonts w:hint="eastAsia" w:ascii="宋体" w:hAnsi="Times New Roman" w:eastAsia="宋体"/>
          <w:sz w:val="24"/>
          <w:szCs w:val="24"/>
        </w:rPr>
        <w:t>乙方：</w:t>
      </w:r>
    </w:p>
    <w:p>
      <w:pPr>
        <w:spacing w:line="480" w:lineRule="atLeast"/>
        <w:ind w:firstLine="480" w:firstLineChars="200"/>
        <w:rPr>
          <w:rFonts w:hint="eastAsia" w:ascii="宋体" w:hAnsi="Times New Roman" w:eastAsia="宋体"/>
          <w:sz w:val="24"/>
          <w:szCs w:val="24"/>
        </w:rPr>
      </w:pPr>
      <w:r>
        <w:rPr>
          <w:rFonts w:hint="eastAsia" w:ascii="宋体" w:hAnsi="Times New Roman" w:eastAsia="宋体"/>
          <w:sz w:val="24"/>
          <w:szCs w:val="24"/>
        </w:rPr>
        <w:t>鉴于：</w:t>
      </w:r>
    </w:p>
    <w:p>
      <w:pPr>
        <w:spacing w:line="480" w:lineRule="atLeast"/>
        <w:ind w:firstLine="480" w:firstLineChars="200"/>
        <w:rPr>
          <w:rFonts w:hint="eastAsia" w:ascii="宋体" w:hAnsi="Times New Roman" w:eastAsia="宋体"/>
          <w:sz w:val="24"/>
          <w:szCs w:val="24"/>
        </w:rPr>
      </w:pPr>
      <w:r>
        <w:rPr>
          <w:rFonts w:hint="eastAsia" w:ascii="宋体" w:hAnsi="Times New Roman" w:eastAsia="宋体"/>
          <w:sz w:val="24"/>
          <w:szCs w:val="24"/>
        </w:rPr>
        <w:t xml:space="preserve">甲方为提高北碚区西山坪沥青混合料拌和站（以下简称：西山坪拌和站）经济效益同时控制西山坪拌和站生产成本，从而提升西山坪拌和站市场竞争力，现甲方同意与乙方共同合作经营西山坪拌和站。  </w:t>
      </w:r>
    </w:p>
    <w:p>
      <w:pPr>
        <w:spacing w:line="480" w:lineRule="atLeast"/>
        <w:ind w:firstLine="480" w:firstLineChars="200"/>
        <w:rPr>
          <w:rFonts w:hint="eastAsia" w:ascii="宋体" w:hAnsi="Times New Roman" w:eastAsia="宋体"/>
          <w:sz w:val="24"/>
          <w:szCs w:val="24"/>
        </w:rPr>
      </w:pPr>
      <w:r>
        <w:rPr>
          <w:rFonts w:hint="eastAsia" w:ascii="宋体" w:hAnsi="Times New Roman" w:eastAsia="宋体"/>
          <w:sz w:val="24"/>
          <w:szCs w:val="24"/>
        </w:rPr>
        <w:t>为了明确双方的责任、权利、义务，依照《民法典》及其他有关法律、行政法规，双方在遵循平等、自愿、公平和诚实守信的原则基础上，经协商一致，商定如下条款，共同遵守执行。</w:t>
      </w:r>
    </w:p>
    <w:p>
      <w:pPr>
        <w:spacing w:line="480" w:lineRule="atLeast"/>
        <w:ind w:firstLine="482" w:firstLineChars="200"/>
        <w:rPr>
          <w:rFonts w:hint="eastAsia" w:ascii="宋体" w:hAnsi="Times New Roman" w:eastAsia="宋体"/>
          <w:b w:val="0"/>
          <w:bCs w:val="0"/>
          <w:sz w:val="24"/>
          <w:szCs w:val="24"/>
        </w:rPr>
      </w:pPr>
      <w:r>
        <w:rPr>
          <w:rFonts w:hint="eastAsia" w:ascii="宋体"/>
          <w:b/>
          <w:bCs/>
          <w:sz w:val="24"/>
          <w:szCs w:val="24"/>
          <w:lang w:val="en-US" w:eastAsia="zh-CN"/>
        </w:rPr>
        <w:t>一、</w:t>
      </w:r>
      <w:r>
        <w:rPr>
          <w:rFonts w:hint="eastAsia" w:ascii="宋体" w:hAnsi="Times New Roman" w:eastAsia="宋体"/>
          <w:b/>
          <w:bCs/>
          <w:sz w:val="24"/>
          <w:szCs w:val="24"/>
        </w:rPr>
        <w:t>合作内容</w:t>
      </w:r>
    </w:p>
    <w:p>
      <w:pPr>
        <w:spacing w:line="480" w:lineRule="atLeast"/>
        <w:ind w:firstLine="480" w:firstLineChars="200"/>
        <w:rPr>
          <w:rFonts w:hint="eastAsia" w:ascii="宋体" w:hAnsi="Times New Roman" w:eastAsia="宋体"/>
          <w:sz w:val="24"/>
          <w:szCs w:val="24"/>
        </w:rPr>
      </w:pPr>
      <w:r>
        <w:rPr>
          <w:rFonts w:hint="eastAsia" w:ascii="宋体" w:hAnsi="Times New Roman" w:eastAsia="宋体"/>
          <w:sz w:val="24"/>
          <w:szCs w:val="24"/>
        </w:rPr>
        <w:t xml:space="preserve">1、现双方协商一致同意，合同期限内由甲方提供西山坪拌和站场地、沥青混合料及附属设施、乙方提供专业生产人员、办理资质手续等共同经营西山坪拌和站，乙方按照协议约定向甲方支付设施设备使用费并负责对外协调，生产一切费用由乙方自行承担。 </w:t>
      </w:r>
    </w:p>
    <w:p>
      <w:pPr>
        <w:spacing w:line="480" w:lineRule="atLeast"/>
        <w:ind w:firstLine="480" w:firstLineChars="200"/>
        <w:rPr>
          <w:rFonts w:hint="eastAsia" w:ascii="宋体" w:hAnsi="Times New Roman" w:eastAsia="宋体"/>
          <w:sz w:val="24"/>
          <w:szCs w:val="24"/>
        </w:rPr>
      </w:pPr>
      <w:r>
        <w:rPr>
          <w:rFonts w:hint="eastAsia" w:ascii="宋体" w:hAnsi="Times New Roman" w:eastAsia="宋体"/>
          <w:sz w:val="24"/>
          <w:szCs w:val="24"/>
        </w:rPr>
        <w:t>2、双方同意，合作期限内，甲方有权对乙方共营水平采用年度考核制，合作满一年后甲方在每一合同年度第1个月对乙方就上一年度进行年度考核评价，若考核不合格（即考评分数小于60分）的，甲方有权终止协议。（考评表详见附件1）。</w:t>
      </w:r>
    </w:p>
    <w:p>
      <w:pPr>
        <w:spacing w:line="480" w:lineRule="atLeast"/>
        <w:ind w:firstLine="480" w:firstLineChars="200"/>
        <w:rPr>
          <w:rFonts w:hint="eastAsia" w:ascii="宋体" w:hAnsi="Times New Roman" w:eastAsia="宋体"/>
          <w:sz w:val="24"/>
          <w:szCs w:val="24"/>
        </w:rPr>
      </w:pPr>
      <w:r>
        <w:rPr>
          <w:rFonts w:hint="eastAsia" w:ascii="宋体" w:hAnsi="Times New Roman" w:eastAsia="宋体"/>
          <w:sz w:val="24"/>
          <w:szCs w:val="24"/>
        </w:rPr>
        <w:t>3、在合作期间，若甲方因施工需要决定在西山坪拌和站生产沥青混合料，则乙方承诺以不高于市场价格的加工单价为甲方进行沥青混合料生产加工。同时，甲方享有优先使用西山坪拌和站进行生产的权利，乙方应无条件积极配合甲方的生产。</w:t>
      </w:r>
    </w:p>
    <w:p>
      <w:pPr>
        <w:spacing w:line="480" w:lineRule="atLeast"/>
        <w:ind w:firstLine="482" w:firstLineChars="200"/>
        <w:rPr>
          <w:rFonts w:hint="eastAsia" w:ascii="宋体" w:hAnsi="Times New Roman" w:eastAsia="宋体"/>
          <w:b/>
          <w:bCs/>
          <w:sz w:val="24"/>
          <w:szCs w:val="24"/>
        </w:rPr>
      </w:pPr>
      <w:r>
        <w:rPr>
          <w:rFonts w:hint="eastAsia" w:ascii="宋体"/>
          <w:b/>
          <w:bCs/>
          <w:sz w:val="24"/>
          <w:szCs w:val="24"/>
          <w:lang w:val="en-US" w:eastAsia="zh-CN"/>
        </w:rPr>
        <w:t>二、</w:t>
      </w:r>
      <w:r>
        <w:rPr>
          <w:rFonts w:hint="eastAsia" w:ascii="宋体" w:hAnsi="Times New Roman" w:eastAsia="宋体"/>
          <w:b/>
          <w:bCs/>
          <w:sz w:val="24"/>
          <w:szCs w:val="24"/>
        </w:rPr>
        <w:t>合作期限</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1、合作期限为五年，</w:t>
      </w:r>
      <w:r>
        <w:rPr>
          <w:rFonts w:hint="eastAsia" w:ascii="宋体" w:hAnsi="Times New Roman" w:eastAsia="宋体"/>
          <w:b/>
          <w:bCs/>
          <w:sz w:val="24"/>
          <w:szCs w:val="24"/>
        </w:rPr>
        <w:t>自甲方书面通知乙方进场之日起计算</w:t>
      </w:r>
      <w:r>
        <w:rPr>
          <w:rFonts w:hint="eastAsia" w:ascii="宋体" w:hAnsi="Times New Roman" w:eastAsia="宋体"/>
          <w:sz w:val="24"/>
          <w:szCs w:val="24"/>
        </w:rPr>
        <w:t>。</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2、合作期限届满之日起</w:t>
      </w:r>
      <w:r>
        <w:rPr>
          <w:rFonts w:hint="eastAsia" w:ascii="宋体"/>
          <w:sz w:val="24"/>
        </w:rPr>
        <w:t>或合同解除、终止之日起</w:t>
      </w:r>
      <w:r>
        <w:rPr>
          <w:rFonts w:hint="eastAsia" w:ascii="宋体" w:hAnsi="Times New Roman" w:eastAsia="宋体"/>
          <w:sz w:val="24"/>
          <w:szCs w:val="24"/>
        </w:rPr>
        <w:t>三十日历天内乙方应腾退、清场并完成与甲方搬离场地移交。</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3、乙方进场时，甲方向乙方交付完毕【</w:t>
      </w:r>
      <w:r>
        <w:rPr>
          <w:rFonts w:hint="eastAsia" w:ascii="宋体"/>
          <w:sz w:val="24"/>
          <w:szCs w:val="24"/>
          <w:lang w:val="en-US" w:eastAsia="zh-CN"/>
        </w:rPr>
        <w:t>甲乙双方签认交付通知书</w:t>
      </w:r>
      <w:r>
        <w:rPr>
          <w:rFonts w:hint="eastAsia" w:ascii="宋体" w:hAnsi="Times New Roman" w:eastAsia="宋体"/>
          <w:sz w:val="24"/>
          <w:szCs w:val="24"/>
        </w:rPr>
        <w:t>】后视为乙方已正式进场。</w:t>
      </w:r>
    </w:p>
    <w:p>
      <w:pPr>
        <w:spacing w:line="480" w:lineRule="atLeast"/>
        <w:ind w:firstLine="482" w:firstLineChars="200"/>
        <w:rPr>
          <w:rFonts w:hint="eastAsia" w:ascii="宋体" w:hAnsi="Times New Roman" w:eastAsia="宋体"/>
          <w:b/>
          <w:bCs/>
          <w:sz w:val="24"/>
          <w:szCs w:val="24"/>
        </w:rPr>
      </w:pPr>
      <w:r>
        <w:rPr>
          <w:rFonts w:hint="eastAsia" w:ascii="宋体"/>
          <w:b/>
          <w:bCs/>
          <w:sz w:val="24"/>
          <w:szCs w:val="24"/>
          <w:lang w:val="en-US" w:eastAsia="zh-CN"/>
        </w:rPr>
        <w:t>三、</w:t>
      </w:r>
      <w:r>
        <w:rPr>
          <w:rFonts w:hint="eastAsia" w:ascii="宋体" w:hAnsi="Times New Roman" w:eastAsia="宋体"/>
          <w:b/>
          <w:bCs/>
          <w:sz w:val="24"/>
          <w:szCs w:val="24"/>
        </w:rPr>
        <w:t>西山坪拌和站基本信息</w:t>
      </w:r>
    </w:p>
    <w:p>
      <w:pPr>
        <w:spacing w:line="480" w:lineRule="atLeast"/>
        <w:ind w:firstLine="480" w:firstLineChars="200"/>
        <w:rPr>
          <w:rFonts w:hint="eastAsia" w:ascii="宋体" w:hAnsi="Times New Roman" w:eastAsia="宋体"/>
          <w:sz w:val="24"/>
          <w:szCs w:val="24"/>
        </w:rPr>
      </w:pPr>
      <w:r>
        <w:rPr>
          <w:rFonts w:hint="eastAsia" w:ascii="宋体" w:hAnsi="Times New Roman" w:eastAsia="宋体"/>
          <w:sz w:val="24"/>
          <w:szCs w:val="24"/>
        </w:rPr>
        <w:t>1、拌和站名称：北碚西山坪沥青混合料拌和站。</w:t>
      </w:r>
    </w:p>
    <w:p>
      <w:pPr>
        <w:spacing w:line="480" w:lineRule="atLeast"/>
        <w:ind w:firstLine="480" w:firstLineChars="200"/>
        <w:rPr>
          <w:rFonts w:hint="eastAsia" w:ascii="宋体" w:hAnsi="Times New Roman" w:eastAsia="宋体"/>
          <w:sz w:val="24"/>
          <w:szCs w:val="24"/>
        </w:rPr>
      </w:pPr>
      <w:r>
        <w:rPr>
          <w:rFonts w:hint="eastAsia" w:ascii="宋体" w:hAnsi="Times New Roman" w:eastAsia="宋体"/>
          <w:sz w:val="24"/>
          <w:szCs w:val="24"/>
        </w:rPr>
        <w:t>2、拌和站位置：重庆市北碚区东阳镇胜利村机房社（渝合高速公路进城方向西山坪隧道出口100 米处右侧）。</w:t>
      </w:r>
    </w:p>
    <w:p>
      <w:pPr>
        <w:spacing w:line="480" w:lineRule="atLeast"/>
        <w:ind w:firstLine="480" w:firstLineChars="200"/>
        <w:rPr>
          <w:rFonts w:hint="eastAsia" w:ascii="宋体" w:hAnsi="Times New Roman" w:eastAsia="宋体"/>
          <w:sz w:val="24"/>
          <w:szCs w:val="24"/>
        </w:rPr>
      </w:pPr>
      <w:r>
        <w:rPr>
          <w:rFonts w:hint="eastAsia" w:ascii="宋体" w:hAnsi="Times New Roman" w:eastAsia="宋体"/>
          <w:sz w:val="24"/>
          <w:szCs w:val="24"/>
        </w:rPr>
        <w:t>3、拌和站设施清单：</w:t>
      </w:r>
    </w:p>
    <w:tbl>
      <w:tblPr>
        <w:tblStyle w:val="18"/>
        <w:tblW w:w="89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359"/>
        <w:gridCol w:w="1797"/>
        <w:gridCol w:w="1012"/>
        <w:gridCol w:w="956"/>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714" w:type="dxa"/>
            <w:vAlign w:val="center"/>
          </w:tcPr>
          <w:p>
            <w:pPr>
              <w:spacing w:line="480" w:lineRule="atLeast"/>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序号</w:t>
            </w:r>
          </w:p>
        </w:tc>
        <w:tc>
          <w:tcPr>
            <w:tcW w:w="2359" w:type="dxa"/>
            <w:vAlign w:val="center"/>
          </w:tcPr>
          <w:p>
            <w:pPr>
              <w:spacing w:line="480" w:lineRule="atLeast"/>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设备名称</w:t>
            </w:r>
          </w:p>
        </w:tc>
        <w:tc>
          <w:tcPr>
            <w:tcW w:w="1797" w:type="dxa"/>
            <w:vAlign w:val="center"/>
          </w:tcPr>
          <w:p>
            <w:pPr>
              <w:spacing w:line="480" w:lineRule="atLeast"/>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品牌型号</w:t>
            </w:r>
          </w:p>
        </w:tc>
        <w:tc>
          <w:tcPr>
            <w:tcW w:w="1012" w:type="dxa"/>
            <w:vAlign w:val="center"/>
          </w:tcPr>
          <w:p>
            <w:pPr>
              <w:spacing w:line="480" w:lineRule="atLeast"/>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单位</w:t>
            </w:r>
          </w:p>
        </w:tc>
        <w:tc>
          <w:tcPr>
            <w:tcW w:w="956" w:type="dxa"/>
            <w:vAlign w:val="center"/>
          </w:tcPr>
          <w:p>
            <w:pPr>
              <w:spacing w:line="480" w:lineRule="atLeast"/>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数量</w:t>
            </w:r>
          </w:p>
        </w:tc>
        <w:tc>
          <w:tcPr>
            <w:tcW w:w="2101" w:type="dxa"/>
            <w:vAlign w:val="center"/>
          </w:tcPr>
          <w:p>
            <w:pPr>
              <w:spacing w:line="480" w:lineRule="atLeast"/>
              <w:jc w:val="center"/>
              <w:rPr>
                <w:rFonts w:hint="eastAsia" w:asciiTheme="minorEastAsia" w:hAnsiTheme="minorEastAsia" w:eastAsiaTheme="minorEastAsia" w:cstheme="minorEastAsia"/>
                <w:b/>
                <w:bCs/>
                <w:kern w:val="0"/>
                <w:sz w:val="24"/>
              </w:rPr>
            </w:pPr>
            <w:r>
              <w:rPr>
                <w:rFonts w:hint="eastAsia" w:asciiTheme="minorEastAsia" w:hAnsiTheme="minorEastAsia" w:eastAsiaTheme="minorEastAsia" w:cstheme="minorEastAsia"/>
                <w:b/>
                <w:bCs/>
                <w:kern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14" w:type="dxa"/>
            <w:vAlign w:val="center"/>
          </w:tcPr>
          <w:p>
            <w:pPr>
              <w:spacing w:line="48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w:t>
            </w:r>
          </w:p>
        </w:tc>
        <w:tc>
          <w:tcPr>
            <w:tcW w:w="2359"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沥青混合料拌和设备</w:t>
            </w:r>
          </w:p>
        </w:tc>
        <w:tc>
          <w:tcPr>
            <w:tcW w:w="1797"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西筑 J4000型</w:t>
            </w:r>
          </w:p>
        </w:tc>
        <w:tc>
          <w:tcPr>
            <w:tcW w:w="1012"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套</w:t>
            </w:r>
          </w:p>
        </w:tc>
        <w:tc>
          <w:tcPr>
            <w:tcW w:w="956"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1</w:t>
            </w:r>
          </w:p>
        </w:tc>
        <w:tc>
          <w:tcPr>
            <w:tcW w:w="2101" w:type="dxa"/>
            <w:vAlign w:val="center"/>
          </w:tcPr>
          <w:p>
            <w:pPr>
              <w:spacing w:line="40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配备3个沥青罐、3个油罐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14" w:type="dxa"/>
            <w:vAlign w:val="center"/>
          </w:tcPr>
          <w:p>
            <w:pPr>
              <w:wordWrap w:val="0"/>
              <w:spacing w:line="360" w:lineRule="auto"/>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snapToGrid w:val="0"/>
                <w:kern w:val="0"/>
                <w:sz w:val="24"/>
              </w:rPr>
              <w:t>2</w:t>
            </w:r>
          </w:p>
        </w:tc>
        <w:tc>
          <w:tcPr>
            <w:tcW w:w="2359" w:type="dxa"/>
            <w:vAlign w:val="center"/>
          </w:tcPr>
          <w:p>
            <w:pPr>
              <w:wordWrap w:val="0"/>
              <w:spacing w:line="360" w:lineRule="auto"/>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snapToGrid w:val="0"/>
                <w:kern w:val="0"/>
                <w:sz w:val="20"/>
                <w:szCs w:val="21"/>
              </w:rPr>
              <w:t>厂拌热再生设备</w:t>
            </w:r>
          </w:p>
        </w:tc>
        <w:tc>
          <w:tcPr>
            <w:tcW w:w="1797" w:type="dxa"/>
            <w:vAlign w:val="center"/>
          </w:tcPr>
          <w:p>
            <w:pPr>
              <w:wordWrap w:val="0"/>
              <w:spacing w:line="360" w:lineRule="auto"/>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snapToGrid w:val="0"/>
                <w:kern w:val="0"/>
                <w:sz w:val="20"/>
                <w:szCs w:val="21"/>
              </w:rPr>
              <w:t>西筑 HRS150型</w:t>
            </w:r>
          </w:p>
        </w:tc>
        <w:tc>
          <w:tcPr>
            <w:tcW w:w="1012" w:type="dxa"/>
            <w:vAlign w:val="center"/>
          </w:tcPr>
          <w:p>
            <w:pPr>
              <w:wordWrap w:val="0"/>
              <w:spacing w:line="360" w:lineRule="auto"/>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snapToGrid w:val="0"/>
                <w:kern w:val="0"/>
                <w:sz w:val="20"/>
                <w:szCs w:val="21"/>
              </w:rPr>
              <w:t>套</w:t>
            </w:r>
          </w:p>
        </w:tc>
        <w:tc>
          <w:tcPr>
            <w:tcW w:w="956" w:type="dxa"/>
            <w:vAlign w:val="center"/>
          </w:tcPr>
          <w:p>
            <w:pPr>
              <w:wordWrap w:val="0"/>
              <w:spacing w:line="360" w:lineRule="auto"/>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snapToGrid w:val="0"/>
                <w:kern w:val="0"/>
                <w:sz w:val="20"/>
                <w:szCs w:val="21"/>
              </w:rPr>
              <w:t>1</w:t>
            </w:r>
          </w:p>
        </w:tc>
        <w:tc>
          <w:tcPr>
            <w:tcW w:w="2101" w:type="dxa"/>
            <w:vAlign w:val="center"/>
          </w:tcPr>
          <w:p>
            <w:pPr>
              <w:wordWrap w:val="0"/>
              <w:spacing w:line="360" w:lineRule="auto"/>
              <w:jc w:val="left"/>
              <w:rPr>
                <w:rFonts w:hint="eastAsia" w:asciiTheme="minorEastAsia" w:hAnsiTheme="minorEastAsia" w:eastAsia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spacing w:line="48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3</w:t>
            </w:r>
          </w:p>
        </w:tc>
        <w:tc>
          <w:tcPr>
            <w:tcW w:w="2359"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木质素纤维输送机</w:t>
            </w:r>
          </w:p>
        </w:tc>
        <w:tc>
          <w:tcPr>
            <w:tcW w:w="1797"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垦特莱</w:t>
            </w:r>
          </w:p>
        </w:tc>
        <w:tc>
          <w:tcPr>
            <w:tcW w:w="1012"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台</w:t>
            </w:r>
          </w:p>
        </w:tc>
        <w:tc>
          <w:tcPr>
            <w:tcW w:w="956"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1</w:t>
            </w:r>
          </w:p>
        </w:tc>
        <w:tc>
          <w:tcPr>
            <w:tcW w:w="2101" w:type="dxa"/>
            <w:vAlign w:val="center"/>
          </w:tcPr>
          <w:p>
            <w:pPr>
              <w:spacing w:line="480" w:lineRule="atLeast"/>
              <w:jc w:val="center"/>
              <w:rPr>
                <w:rFonts w:hint="eastAsia" w:asciiTheme="minorEastAsia" w:hAnsiTheme="minorEastAsia" w:eastAsia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spacing w:line="48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4</w:t>
            </w:r>
          </w:p>
        </w:tc>
        <w:tc>
          <w:tcPr>
            <w:tcW w:w="2359"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电子秤称重系统</w:t>
            </w:r>
          </w:p>
        </w:tc>
        <w:tc>
          <w:tcPr>
            <w:tcW w:w="1797"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100吨</w:t>
            </w:r>
          </w:p>
        </w:tc>
        <w:tc>
          <w:tcPr>
            <w:tcW w:w="1012"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台</w:t>
            </w:r>
          </w:p>
        </w:tc>
        <w:tc>
          <w:tcPr>
            <w:tcW w:w="956"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1</w:t>
            </w:r>
          </w:p>
        </w:tc>
        <w:tc>
          <w:tcPr>
            <w:tcW w:w="2101" w:type="dxa"/>
            <w:vAlign w:val="center"/>
          </w:tcPr>
          <w:p>
            <w:pPr>
              <w:spacing w:line="480" w:lineRule="atLeast"/>
              <w:jc w:val="center"/>
              <w:rPr>
                <w:rFonts w:hint="eastAsia" w:asciiTheme="minorEastAsia" w:hAnsiTheme="minorEastAsia" w:eastAsia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spacing w:line="48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5</w:t>
            </w:r>
          </w:p>
        </w:tc>
        <w:tc>
          <w:tcPr>
            <w:tcW w:w="2359"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配电房</w:t>
            </w:r>
          </w:p>
        </w:tc>
        <w:tc>
          <w:tcPr>
            <w:tcW w:w="1797"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630kVA×2</w:t>
            </w:r>
          </w:p>
        </w:tc>
        <w:tc>
          <w:tcPr>
            <w:tcW w:w="1012"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套</w:t>
            </w:r>
          </w:p>
        </w:tc>
        <w:tc>
          <w:tcPr>
            <w:tcW w:w="956"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1</w:t>
            </w:r>
          </w:p>
        </w:tc>
        <w:tc>
          <w:tcPr>
            <w:tcW w:w="2101" w:type="dxa"/>
            <w:vAlign w:val="center"/>
          </w:tcPr>
          <w:p>
            <w:pPr>
              <w:spacing w:line="480" w:lineRule="atLeast"/>
              <w:jc w:val="center"/>
              <w:rPr>
                <w:rFonts w:hint="eastAsia" w:asciiTheme="minorEastAsia" w:hAnsiTheme="minorEastAsia" w:eastAsia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spacing w:line="48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6</w:t>
            </w:r>
          </w:p>
        </w:tc>
        <w:tc>
          <w:tcPr>
            <w:tcW w:w="2359"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石料仓</w:t>
            </w:r>
          </w:p>
        </w:tc>
        <w:tc>
          <w:tcPr>
            <w:tcW w:w="1797"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w:t>
            </w:r>
          </w:p>
        </w:tc>
        <w:tc>
          <w:tcPr>
            <w:tcW w:w="1012"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个</w:t>
            </w:r>
          </w:p>
        </w:tc>
        <w:tc>
          <w:tcPr>
            <w:tcW w:w="956"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12</w:t>
            </w:r>
          </w:p>
        </w:tc>
        <w:tc>
          <w:tcPr>
            <w:tcW w:w="2101" w:type="dxa"/>
            <w:vAlign w:val="center"/>
          </w:tcPr>
          <w:p>
            <w:pPr>
              <w:spacing w:line="480" w:lineRule="atLeast"/>
              <w:jc w:val="center"/>
              <w:rPr>
                <w:rFonts w:hint="eastAsia" w:asciiTheme="minorEastAsia" w:hAnsiTheme="minorEastAsia" w:eastAsia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spacing w:line="48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7</w:t>
            </w:r>
          </w:p>
        </w:tc>
        <w:tc>
          <w:tcPr>
            <w:tcW w:w="2359"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生活房屋</w:t>
            </w:r>
          </w:p>
        </w:tc>
        <w:tc>
          <w:tcPr>
            <w:tcW w:w="1797"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w:t>
            </w:r>
          </w:p>
        </w:tc>
        <w:tc>
          <w:tcPr>
            <w:tcW w:w="1012"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间</w:t>
            </w:r>
          </w:p>
        </w:tc>
        <w:tc>
          <w:tcPr>
            <w:tcW w:w="956"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25</w:t>
            </w:r>
          </w:p>
        </w:tc>
        <w:tc>
          <w:tcPr>
            <w:tcW w:w="2101" w:type="dxa"/>
            <w:vAlign w:val="center"/>
          </w:tcPr>
          <w:p>
            <w:pPr>
              <w:wordWrap w:val="0"/>
              <w:spacing w:line="360" w:lineRule="auto"/>
              <w:rPr>
                <w:rFonts w:hint="eastAsia" w:asciiTheme="minorEastAsia" w:hAnsiTheme="minorEastAsia" w:eastAsiaTheme="minorEastAsia" w:cstheme="minorEastAsia"/>
                <w:strike/>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spacing w:line="48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8</w:t>
            </w:r>
          </w:p>
        </w:tc>
        <w:tc>
          <w:tcPr>
            <w:tcW w:w="2359"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办公房屋</w:t>
            </w:r>
          </w:p>
        </w:tc>
        <w:tc>
          <w:tcPr>
            <w:tcW w:w="1797"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w:t>
            </w:r>
          </w:p>
        </w:tc>
        <w:tc>
          <w:tcPr>
            <w:tcW w:w="1012"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间</w:t>
            </w:r>
          </w:p>
        </w:tc>
        <w:tc>
          <w:tcPr>
            <w:tcW w:w="956"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3</w:t>
            </w:r>
          </w:p>
        </w:tc>
        <w:tc>
          <w:tcPr>
            <w:tcW w:w="2101" w:type="dxa"/>
            <w:vAlign w:val="center"/>
          </w:tcPr>
          <w:p>
            <w:pPr>
              <w:wordWrap w:val="0"/>
              <w:spacing w:line="360" w:lineRule="auto"/>
              <w:rPr>
                <w:rFonts w:hint="eastAsia" w:asciiTheme="minorEastAsia" w:hAnsiTheme="minorEastAsia" w:eastAsiaTheme="minorEastAsia" w:cstheme="minorEastAsia"/>
                <w:strike/>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spacing w:line="48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9</w:t>
            </w:r>
          </w:p>
        </w:tc>
        <w:tc>
          <w:tcPr>
            <w:tcW w:w="2359"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库房</w:t>
            </w:r>
          </w:p>
        </w:tc>
        <w:tc>
          <w:tcPr>
            <w:tcW w:w="1797"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w:t>
            </w:r>
          </w:p>
        </w:tc>
        <w:tc>
          <w:tcPr>
            <w:tcW w:w="1012"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间</w:t>
            </w:r>
          </w:p>
        </w:tc>
        <w:tc>
          <w:tcPr>
            <w:tcW w:w="956"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3</w:t>
            </w:r>
          </w:p>
        </w:tc>
        <w:tc>
          <w:tcPr>
            <w:tcW w:w="2101" w:type="dxa"/>
            <w:vAlign w:val="center"/>
          </w:tcPr>
          <w:p>
            <w:pPr>
              <w:spacing w:line="480" w:lineRule="atLeast"/>
              <w:jc w:val="center"/>
              <w:rPr>
                <w:rFonts w:hint="eastAsia" w:asciiTheme="minorEastAsia" w:hAnsiTheme="minorEastAsia" w:eastAsiaTheme="minorEastAsia" w:cs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4" w:type="dxa"/>
            <w:vAlign w:val="center"/>
          </w:tcPr>
          <w:p>
            <w:pPr>
              <w:spacing w:line="480" w:lineRule="atLeast"/>
              <w:jc w:val="center"/>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10</w:t>
            </w:r>
          </w:p>
        </w:tc>
        <w:tc>
          <w:tcPr>
            <w:tcW w:w="2359"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场地</w:t>
            </w:r>
          </w:p>
        </w:tc>
        <w:tc>
          <w:tcPr>
            <w:tcW w:w="1797"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w:t>
            </w:r>
          </w:p>
        </w:tc>
        <w:tc>
          <w:tcPr>
            <w:tcW w:w="1012"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平方米</w:t>
            </w:r>
          </w:p>
        </w:tc>
        <w:tc>
          <w:tcPr>
            <w:tcW w:w="956" w:type="dxa"/>
            <w:vAlign w:val="center"/>
          </w:tcPr>
          <w:p>
            <w:pPr>
              <w:spacing w:line="480" w:lineRule="atLeast"/>
              <w:jc w:val="center"/>
              <w:rPr>
                <w:rFonts w:hint="eastAsia" w:asciiTheme="minorEastAsia" w:hAnsiTheme="minorEastAsia" w:eastAsiaTheme="minorEastAsia" w:cstheme="minorEastAsia"/>
                <w:kern w:val="0"/>
                <w:sz w:val="20"/>
                <w:szCs w:val="21"/>
              </w:rPr>
            </w:pPr>
            <w:r>
              <w:rPr>
                <w:rFonts w:hint="eastAsia" w:asciiTheme="minorEastAsia" w:hAnsiTheme="minorEastAsia" w:eastAsiaTheme="minorEastAsia" w:cstheme="minorEastAsia"/>
                <w:kern w:val="0"/>
                <w:sz w:val="20"/>
                <w:szCs w:val="21"/>
              </w:rPr>
              <w:t>33189.9</w:t>
            </w:r>
          </w:p>
        </w:tc>
        <w:tc>
          <w:tcPr>
            <w:tcW w:w="2101" w:type="dxa"/>
            <w:vAlign w:val="center"/>
          </w:tcPr>
          <w:p>
            <w:pPr>
              <w:spacing w:line="480" w:lineRule="atLeast"/>
              <w:jc w:val="center"/>
              <w:rPr>
                <w:rFonts w:hint="eastAsia" w:asciiTheme="minorEastAsia" w:hAnsiTheme="minorEastAsia" w:eastAsiaTheme="minorEastAsia" w:cstheme="minorEastAsia"/>
                <w:kern w:val="0"/>
                <w:sz w:val="24"/>
              </w:rPr>
            </w:pPr>
          </w:p>
        </w:tc>
      </w:tr>
    </w:tbl>
    <w:p>
      <w:pPr>
        <w:spacing w:line="480" w:lineRule="atLeast"/>
        <w:ind w:firstLine="482" w:firstLineChars="200"/>
        <w:rPr>
          <w:rFonts w:hint="eastAsia" w:ascii="宋体" w:hAnsi="Times New Roman" w:eastAsia="宋体"/>
          <w:b/>
          <w:bCs/>
          <w:sz w:val="24"/>
          <w:szCs w:val="24"/>
        </w:rPr>
      </w:pPr>
      <w:r>
        <w:rPr>
          <w:rFonts w:hint="eastAsia" w:ascii="宋体"/>
          <w:b/>
          <w:bCs/>
          <w:sz w:val="24"/>
          <w:szCs w:val="24"/>
          <w:lang w:val="en-US" w:eastAsia="zh-CN"/>
        </w:rPr>
        <w:t>四、</w:t>
      </w:r>
      <w:r>
        <w:rPr>
          <w:rFonts w:hint="eastAsia" w:ascii="宋体" w:hAnsi="Times New Roman" w:eastAsia="宋体"/>
          <w:b/>
          <w:bCs/>
          <w:sz w:val="24"/>
          <w:szCs w:val="24"/>
        </w:rPr>
        <w:t>许可证办理</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1、双方确认，乙方应在合同签订之日起18个月内办理环评报告、环评批复及相关环保手续并取得行业主管部门颁发的</w:t>
      </w:r>
      <w:r>
        <w:rPr>
          <w:rFonts w:hint="eastAsia" w:ascii="宋体" w:hAnsi="Times New Roman" w:eastAsia="宋体"/>
          <w:b/>
          <w:bCs/>
          <w:sz w:val="24"/>
          <w:szCs w:val="24"/>
          <w:u w:val="none"/>
        </w:rPr>
        <w:t>排污单位名称为甲方的排污许可证</w:t>
      </w:r>
      <w:r>
        <w:rPr>
          <w:rFonts w:hint="eastAsia" w:ascii="宋体" w:hAnsi="Times New Roman" w:eastAsia="宋体"/>
          <w:sz w:val="24"/>
          <w:szCs w:val="24"/>
        </w:rPr>
        <w:t>，在取得排污许可证一年内开展环评验收并取得相应证书，所发生的全部费用由乙方承担；乙方若未在本条约定的期限内未按上述约定取得对应的排污许可证，除甲方书面同意外，则视为乙方无法继续共同经营，甲方有权解除本协议并全额没收履约保证金，并要求乙方立即向甲方交还场地。</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2、排污许可证办理期间西山坪拌和站的日常生产经营由乙方负责，若因未办理环保手续造成行业主管部门的处罚以及甲方的相关损失、罚款等均由乙方全部负责，在履约保证金内扣除，若造成的损失、罚款超过履约保证金数额的，乙方还应当对超出部分予以赔偿。</w:t>
      </w:r>
    </w:p>
    <w:p>
      <w:pPr>
        <w:spacing w:line="480" w:lineRule="atLeast"/>
        <w:ind w:firstLine="480"/>
        <w:rPr>
          <w:rFonts w:hint="eastAsia" w:ascii="宋体"/>
          <w:b w:val="0"/>
          <w:bCs w:val="0"/>
          <w:sz w:val="24"/>
          <w:szCs w:val="24"/>
          <w:lang w:val="en-US" w:eastAsia="zh-CN"/>
        </w:rPr>
      </w:pPr>
      <w:r>
        <w:rPr>
          <w:rFonts w:hint="eastAsia" w:ascii="宋体"/>
          <w:b w:val="0"/>
          <w:bCs w:val="0"/>
          <w:sz w:val="24"/>
          <w:szCs w:val="24"/>
          <w:lang w:val="en-US" w:eastAsia="zh-CN"/>
        </w:rPr>
        <w:t>3、排污许可证有效期届满前乙方应向相关行政部门申请，确保本合同期限内西山坪拌和站均具有有效、持续、不间断的排污许可，确保西山坪拌和站可合法合规进行生产。</w:t>
      </w:r>
    </w:p>
    <w:p>
      <w:pPr>
        <w:spacing w:line="480" w:lineRule="atLeast"/>
        <w:ind w:firstLine="480"/>
        <w:rPr>
          <w:rFonts w:hint="eastAsia" w:ascii="宋体" w:hAnsi="Times New Roman" w:eastAsia="宋体"/>
          <w:b/>
          <w:bCs/>
          <w:sz w:val="24"/>
          <w:szCs w:val="24"/>
        </w:rPr>
      </w:pPr>
      <w:r>
        <w:rPr>
          <w:rFonts w:hint="eastAsia" w:ascii="宋体"/>
          <w:b/>
          <w:bCs/>
          <w:sz w:val="24"/>
          <w:szCs w:val="24"/>
          <w:lang w:val="en-US" w:eastAsia="zh-CN"/>
        </w:rPr>
        <w:t>五、</w:t>
      </w:r>
      <w:r>
        <w:rPr>
          <w:rFonts w:hint="eastAsia" w:ascii="宋体" w:hAnsi="Times New Roman" w:eastAsia="宋体"/>
          <w:b/>
          <w:bCs/>
          <w:sz w:val="24"/>
          <w:szCs w:val="24"/>
        </w:rPr>
        <w:t>费用及支付</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（一）费用计算</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1、双方确认，根据西山坪拌和站每年度所生产的沥青混合料（含厂拌再生沥青混合料）的产量分阶段、累计计算乙方应支付的设备及附属设施使用费，具体为：</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（1）年产量小于等于30000吨的部分，按照单价【】元/吨计算设备及附属设施使用费；</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（2）年产量大于30000吨的部分，超出部分产量按照单价【】元/吨*5%计算设备及附属设施使用费。</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（3）若年产量最终小于等于30000吨的，乙方仍按照30000吨*单价【】元/吨计算当年度设备及附属设施使用费。</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年产量的计算期限为</w:t>
      </w:r>
      <w:r>
        <w:rPr>
          <w:rFonts w:hint="eastAsia" w:ascii="宋体" w:hAnsi="Times New Roman" w:eastAsia="宋体"/>
          <w:b/>
          <w:bCs/>
          <w:sz w:val="24"/>
          <w:szCs w:val="24"/>
        </w:rPr>
        <w:t>自甲方书面通知乙方进场之日起</w:t>
      </w:r>
      <w:r>
        <w:rPr>
          <w:rFonts w:hint="eastAsia" w:ascii="宋体" w:hAnsi="Times New Roman" w:eastAsia="宋体"/>
          <w:sz w:val="24"/>
          <w:szCs w:val="24"/>
        </w:rPr>
        <w:t>365日为一年度，以此类推。</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2、双方同意，合</w:t>
      </w:r>
      <w:r>
        <w:rPr>
          <w:rFonts w:hint="default" w:ascii="宋体" w:hAnsi="Times New Roman" w:eastAsia="宋体"/>
          <w:sz w:val="24"/>
          <w:szCs w:val="24"/>
          <w:lang w:val="en-US"/>
        </w:rPr>
        <w:t>同</w:t>
      </w:r>
      <w:r>
        <w:rPr>
          <w:rFonts w:hint="eastAsia" w:ascii="宋体" w:hAnsi="Times New Roman" w:eastAsia="宋体"/>
          <w:sz w:val="24"/>
          <w:szCs w:val="24"/>
        </w:rPr>
        <w:t>期限届满一年后，以上一合</w:t>
      </w:r>
      <w:r>
        <w:rPr>
          <w:rFonts w:hint="default" w:ascii="宋体" w:hAnsi="Times New Roman" w:eastAsia="宋体"/>
          <w:sz w:val="24"/>
          <w:szCs w:val="24"/>
          <w:lang w:val="en-US"/>
        </w:rPr>
        <w:t>同</w:t>
      </w:r>
      <w:r>
        <w:rPr>
          <w:rFonts w:hint="eastAsia" w:ascii="宋体" w:hAnsi="Times New Roman" w:eastAsia="宋体"/>
          <w:sz w:val="24"/>
          <w:szCs w:val="24"/>
        </w:rPr>
        <w:t>年度设备及附属设施使用费单价为基础，每满一合</w:t>
      </w:r>
      <w:r>
        <w:rPr>
          <w:rFonts w:hint="default" w:ascii="宋体" w:hAnsi="Times New Roman" w:eastAsia="宋体"/>
          <w:sz w:val="24"/>
          <w:szCs w:val="24"/>
          <w:lang w:val="en-US"/>
        </w:rPr>
        <w:t>同</w:t>
      </w:r>
      <w:r>
        <w:rPr>
          <w:rFonts w:hint="eastAsia" w:ascii="宋体" w:hAnsi="Times New Roman" w:eastAsia="宋体"/>
          <w:sz w:val="24"/>
          <w:szCs w:val="24"/>
        </w:rPr>
        <w:t>年单价递增5%。</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3、甲方因施工需要决定在西山坪拌和站生产沥青混合料不计入上述计算数量内。</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4、设备及附属设施使用费结算依据为经甲乙双方现场负责人签字确认的《沥青混合料生产签认单》。</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甲方现场负责人：</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乙方现场负责人：</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（二）费用支付</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1、双方同意设备及附属设施使用费按季度支付，具体为每一合同年度前三个季度乙方在每季度的第一个月5日前向甲方支付25万元的设备及附属设施使用费，合同年度最后一日为年终盘点结算日期，结算本合同年度费用。</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2、甲方向乙方提供符合乙方要求的结算资料及增值税专用发票，乙方自结算资料及发票送达之日起二十个工作日内以银行转账方式支付给甲方。若甲方迟延提供发票和相关结算资料的，乙方的付款期限相应顺延。</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3、因水电气费由乙方承担，但水、电账户为甲方所有，每月所产生的水、电费由甲方垫付缴纳，乙方按月向甲方办理支付；甲方向乙方开具缴纳水、电费不含税金额加对应税率的增值税专用发票，乙方自结算资料及发票送达之日起二十个工作日内以银行转账方式支付给甲方。若甲方迟延提供发票和相关结算资料的，乙方的付款期限相应顺延。</w:t>
      </w:r>
    </w:p>
    <w:p>
      <w:pPr>
        <w:spacing w:line="480" w:lineRule="atLeast"/>
        <w:ind w:firstLine="480"/>
        <w:rPr>
          <w:rFonts w:hint="eastAsia" w:ascii="宋体" w:hAnsi="Times New Roman" w:eastAsia="宋体"/>
          <w:b/>
          <w:bCs/>
          <w:sz w:val="24"/>
          <w:szCs w:val="24"/>
        </w:rPr>
      </w:pPr>
      <w:r>
        <w:rPr>
          <w:rFonts w:hint="eastAsia" w:ascii="宋体"/>
          <w:b/>
          <w:bCs/>
          <w:sz w:val="24"/>
          <w:szCs w:val="24"/>
          <w:lang w:val="en-US" w:eastAsia="zh-CN"/>
        </w:rPr>
        <w:t>六、</w:t>
      </w:r>
      <w:r>
        <w:rPr>
          <w:rFonts w:hint="eastAsia" w:ascii="宋体" w:hAnsi="Times New Roman" w:eastAsia="宋体"/>
          <w:b/>
          <w:bCs/>
          <w:sz w:val="24"/>
          <w:szCs w:val="24"/>
        </w:rPr>
        <w:t>履约保证金</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1、乙方向甲方缴纳履约保证金30万元（大写：叁拾万元整）。合同签订前乙方采用银行转账方式缴纳履约保证金，经甲方确认后签订合同。</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2、履约保证金在合同期限届满后，乙方无任何违约或赔偿的情况下退还，不计利息。</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3、合同期间，如果乙方发生违约行为，甲方将按照约定要求乙方承担违约责任，违约金和损失金额在履约保证金内扣除；如果发生意外事故，产生赔付事项，甲方有权在其保证金内扣除乙方应承担部分金额用以支付赔付；若乙方给甲方造成的损失超过履约保证金数额的，乙方还应当对超过部分予以赔偿。合同期间，如果乙方无正当理由单方面退出、解除或终止合同，甲方将不予退还其履约保证金。保证金被扣除的，乙方应当在扣除后两日内予以补足，否则按照每日应补足金额的1%向甲方支付迟延违约金。</w:t>
      </w:r>
    </w:p>
    <w:p>
      <w:pPr>
        <w:spacing w:line="480" w:lineRule="atLeast"/>
        <w:ind w:firstLine="480"/>
        <w:rPr>
          <w:rFonts w:hint="eastAsia" w:ascii="宋体" w:hAnsi="Times New Roman" w:eastAsia="宋体"/>
          <w:b/>
          <w:bCs/>
          <w:sz w:val="24"/>
          <w:szCs w:val="24"/>
        </w:rPr>
      </w:pPr>
      <w:r>
        <w:rPr>
          <w:rFonts w:hint="eastAsia" w:ascii="宋体"/>
          <w:b/>
          <w:bCs/>
          <w:sz w:val="24"/>
          <w:szCs w:val="24"/>
          <w:lang w:val="en-US" w:eastAsia="zh-CN"/>
        </w:rPr>
        <w:t>七、</w:t>
      </w:r>
      <w:r>
        <w:rPr>
          <w:rFonts w:hint="eastAsia" w:ascii="宋体" w:hAnsi="Times New Roman" w:eastAsia="宋体"/>
          <w:b/>
          <w:bCs/>
          <w:sz w:val="24"/>
          <w:szCs w:val="24"/>
        </w:rPr>
        <w:t>发票开具</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1、设备及附属设施使用费发票由甲方开具增值税专用发票（抵扣税率13%）给乙方，发票单位名称为本合同甲乙双方全称。因甲方开具的发票不规范、不合法或涉嫌虚开发票引起税务问题的，甲方需依法向乙方重新开具发票，并向乙方承担赔偿责任，包括但不限于税款、滞纳金、罚款及相关损失等。</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2、甲方应按照乙方要求，及时向乙方开具可以抵扣税款的增值税专用发票。因开具发票不及时给乙方造成无法及时认证、抵扣发票等情形的，需向乙方承担赔偿责任，包括但不限于税款、滞纳金、罚款及相关损失等。</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3、本合同内容经双方同意变更的，如果涉及到合同价款等增值税专用发票记载项目发生变化的，需要作废、重开、补开、红字开具增值税专用发票的，甲乙双方需履行各自的协助义务。</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4、合同生效后，因合同双方纳税人身份、纳税方式或因相关法律法规变动导致的增值税税率的变化，应遵循相关税收政策的要求，对增值税税额进行调整。</w:t>
      </w:r>
    </w:p>
    <w:p>
      <w:pPr>
        <w:spacing w:line="480" w:lineRule="atLeast"/>
        <w:ind w:firstLine="480"/>
        <w:rPr>
          <w:rFonts w:hint="eastAsia" w:ascii="宋体" w:hAnsi="Times New Roman" w:eastAsia="宋体"/>
          <w:b w:val="0"/>
          <w:bCs w:val="0"/>
          <w:sz w:val="24"/>
          <w:szCs w:val="24"/>
        </w:rPr>
      </w:pPr>
      <w:r>
        <w:rPr>
          <w:rFonts w:hint="eastAsia" w:ascii="宋体"/>
          <w:b/>
          <w:bCs/>
          <w:sz w:val="24"/>
          <w:szCs w:val="24"/>
          <w:lang w:val="en-US" w:eastAsia="zh-CN"/>
        </w:rPr>
        <w:t>八、</w:t>
      </w:r>
      <w:r>
        <w:rPr>
          <w:rFonts w:hint="eastAsia" w:ascii="宋体" w:hAnsi="Times New Roman" w:eastAsia="宋体"/>
          <w:b/>
          <w:bCs/>
          <w:sz w:val="24"/>
          <w:szCs w:val="24"/>
        </w:rPr>
        <w:t>产量及计量</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1、年度产量计量：以双方共同签字确认的西山坪拌和站过磅（甲方监督）沥青混合料为准，完工后按双方签字确认的磅单进行计量。</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2、材料损耗：本条仅适用于甲方需要在西山坪</w:t>
      </w:r>
      <w:r>
        <w:rPr>
          <w:rFonts w:hint="eastAsia" w:ascii="宋体"/>
          <w:sz w:val="24"/>
          <w:szCs w:val="24"/>
          <w:lang w:eastAsia="zh-CN"/>
        </w:rPr>
        <w:t>拌和站</w:t>
      </w:r>
      <w:r>
        <w:rPr>
          <w:rFonts w:hint="eastAsia" w:ascii="宋体" w:hAnsi="Times New Roman" w:eastAsia="宋体"/>
          <w:sz w:val="24"/>
          <w:szCs w:val="24"/>
        </w:rPr>
        <w:t>加工的情形，除此之外由乙方自行承担加工的各类石材及成本等。</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1）乙方加工的沥青混合料中由甲方提供的各类石材（各档石灰岩碎石、玄武岩碎石），以甲方提供的生产配合比为依据进行计算并视不高于2%（含各类石材中1%含水率）的损耗为正常损耗，由乙方负责承担超出2%损耗的各类石材（各档石灰岩碎石、玄武岩碎石）的相关材料费（以甲方运到西山坪拌和站的实际合同单价×超出部分数量），超出的相关材料费用由甲方在结算金额中直接扣回。</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2）乙方加工的沥青混合料中由甲方提供的沥青、木质素纤维按甲方提供的生产配合比为依据进行计算，由乙方负责承担超出部分的相关沥青费用（以甲方运到西山坪拌和站的实际合同单价×超出部分数量），超出部分的沥青费用由甲方在结算金额中直接扣回。</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（3）沥青混合料加工量以甲乙双方签认的沥青混合料产量为准。</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5、沥青混合料产量的确认以地磅称量并经甲乙双方现场负责人签认的过磅数量为准，地磅计量系统要经过正规计量部门的标定或检验。</w:t>
      </w:r>
    </w:p>
    <w:p>
      <w:pPr>
        <w:spacing w:line="480" w:lineRule="atLeast"/>
        <w:ind w:firstLine="480"/>
        <w:rPr>
          <w:rFonts w:hint="eastAsia" w:ascii="宋体" w:hAnsi="Times New Roman" w:eastAsia="宋体"/>
          <w:b/>
          <w:bCs/>
          <w:sz w:val="24"/>
          <w:szCs w:val="24"/>
        </w:rPr>
      </w:pPr>
      <w:r>
        <w:rPr>
          <w:rFonts w:hint="eastAsia" w:ascii="宋体"/>
          <w:b/>
          <w:bCs/>
          <w:sz w:val="24"/>
          <w:szCs w:val="24"/>
          <w:lang w:val="en-US" w:eastAsia="zh-CN"/>
        </w:rPr>
        <w:t>九、</w:t>
      </w:r>
      <w:r>
        <w:rPr>
          <w:rFonts w:hint="eastAsia" w:ascii="宋体" w:hAnsi="Times New Roman" w:eastAsia="宋体"/>
          <w:b/>
          <w:bCs/>
          <w:sz w:val="24"/>
          <w:szCs w:val="24"/>
        </w:rPr>
        <w:t>质量要求</w:t>
      </w:r>
    </w:p>
    <w:p>
      <w:pPr>
        <w:spacing w:line="480" w:lineRule="atLeast"/>
        <w:ind w:firstLine="480"/>
        <w:rPr>
          <w:rFonts w:hint="eastAsia" w:ascii="宋体" w:hAnsi="Times New Roman" w:eastAsia="宋体"/>
          <w:sz w:val="24"/>
          <w:szCs w:val="24"/>
          <w:lang w:eastAsia="zh-CN"/>
        </w:rPr>
      </w:pPr>
      <w:r>
        <w:rPr>
          <w:rFonts w:hint="eastAsia" w:ascii="宋体" w:hAnsi="Times New Roman" w:eastAsia="宋体"/>
          <w:sz w:val="24"/>
          <w:szCs w:val="24"/>
        </w:rPr>
        <w:t>本条仅适用于甲方需要在西山坪</w:t>
      </w:r>
      <w:r>
        <w:rPr>
          <w:rFonts w:hint="eastAsia" w:ascii="宋体"/>
          <w:sz w:val="24"/>
          <w:szCs w:val="24"/>
          <w:lang w:eastAsia="zh-CN"/>
        </w:rPr>
        <w:t>拌和站</w:t>
      </w:r>
      <w:r>
        <w:rPr>
          <w:rFonts w:hint="eastAsia" w:ascii="宋体" w:hAnsi="Times New Roman" w:eastAsia="宋体"/>
          <w:sz w:val="24"/>
          <w:szCs w:val="24"/>
        </w:rPr>
        <w:t>加工的情形</w:t>
      </w:r>
      <w:r>
        <w:rPr>
          <w:rFonts w:hint="eastAsia" w:ascii="宋体"/>
          <w:sz w:val="24"/>
          <w:szCs w:val="24"/>
          <w:lang w:eastAsia="zh-CN"/>
        </w:rPr>
        <w:t>。</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1、 乙方对整个沥青混合料的生产质量负责，成品质量检验应满足最新《公路沥青路面施工技术规范》（JTG F40-2004）、《公路工程沥青及沥青混合料试验规程》（JTG E20-2011）及相关设计文件等要求。</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2、乙方加工生产的沥青混合料严禁使用回收矿粉，否则视为不合格材料。</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3、乙方加工生产的沥青混合料出厂温度等必须经甲方现场代表签字认可，否则视为不合格材料。</w:t>
      </w:r>
    </w:p>
    <w:p>
      <w:pPr>
        <w:spacing w:line="480" w:lineRule="atLeast"/>
        <w:ind w:firstLine="480"/>
        <w:rPr>
          <w:rFonts w:hint="eastAsia" w:ascii="宋体" w:hAnsi="Times New Roman" w:eastAsia="宋体"/>
          <w:b/>
          <w:bCs/>
          <w:sz w:val="24"/>
          <w:szCs w:val="24"/>
        </w:rPr>
      </w:pPr>
      <w:r>
        <w:rPr>
          <w:rFonts w:hint="eastAsia" w:ascii="宋体"/>
          <w:b/>
          <w:bCs/>
          <w:sz w:val="24"/>
          <w:szCs w:val="24"/>
          <w:lang w:val="en-US" w:eastAsia="zh-CN"/>
        </w:rPr>
        <w:t>十、</w:t>
      </w:r>
      <w:r>
        <w:rPr>
          <w:rFonts w:hint="eastAsia" w:ascii="宋体" w:hAnsi="Times New Roman" w:eastAsia="宋体"/>
          <w:b/>
          <w:bCs/>
          <w:sz w:val="24"/>
          <w:szCs w:val="24"/>
        </w:rPr>
        <w:t>甲方特别要求</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1、甲方因自身需求确定需要在西山坪拌和站加工的，以短信通知、书面通知的方式通知乙方加工，乙方在接到甲方通知之日起一日内完成设备整备工作，保证按时加工。乙方应提供加工单据（机打磅单），每批次产品加工后，甲方组织相关人员进行现场初步验收，材料初步验收合格后甲方确认收货；生产期间，双方共同随机取样封存样品，施工过程检验、交工验收等环节，若材料验收不合格，双方将随机取样样品送双方认可的有资质的质检单位检测；若检测合格，检测费由甲方支付；检测不合格，则一切费用及损失由乙方承担。</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2、乙方应按甲方沥青混合料生产进度要求按时完成生产任务。如确因乙方其他工程项目施工需要，乙方应于实施前一个月与甲方协商，协调生产作业时间，并优先保障甲方所需的沥青混合料生产。</w:t>
      </w:r>
    </w:p>
    <w:p>
      <w:pPr>
        <w:spacing w:line="480" w:lineRule="atLeast"/>
        <w:ind w:firstLine="480"/>
        <w:rPr>
          <w:rFonts w:hint="eastAsia" w:ascii="宋体" w:hAnsi="Times New Roman" w:eastAsia="宋体"/>
          <w:b/>
          <w:bCs/>
          <w:sz w:val="24"/>
          <w:szCs w:val="24"/>
        </w:rPr>
      </w:pPr>
      <w:r>
        <w:rPr>
          <w:rFonts w:hint="eastAsia" w:ascii="宋体"/>
          <w:b/>
          <w:bCs/>
          <w:sz w:val="24"/>
          <w:szCs w:val="24"/>
          <w:lang w:val="en-US" w:eastAsia="zh-CN"/>
        </w:rPr>
        <w:t>十一、</w:t>
      </w:r>
      <w:r>
        <w:rPr>
          <w:rFonts w:hint="eastAsia" w:ascii="宋体" w:hAnsi="Times New Roman" w:eastAsia="宋体"/>
          <w:b/>
          <w:bCs/>
          <w:sz w:val="24"/>
          <w:szCs w:val="24"/>
        </w:rPr>
        <w:t>风险提示</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1、自本协议签订之日起【</w:t>
      </w:r>
      <w:r>
        <w:rPr>
          <w:rFonts w:hint="eastAsia" w:ascii="宋体" w:hAnsi="Times New Roman" w:eastAsia="宋体"/>
          <w:sz w:val="24"/>
          <w:szCs w:val="24"/>
          <w:lang w:val="en-US" w:eastAsia="zh-CN"/>
        </w:rPr>
        <w:t>6</w:t>
      </w:r>
      <w:r>
        <w:rPr>
          <w:rFonts w:hint="eastAsia" w:ascii="宋体" w:hAnsi="Times New Roman" w:eastAsia="宋体"/>
          <w:sz w:val="24"/>
          <w:szCs w:val="24"/>
        </w:rPr>
        <w:t>】个月内，由甲方负责与上一家单位完成清退事宜，完成清退之日甲方通知乙方进场；若上一家单位无法在本条载明的期限内完成清退的，双方均有权解除合同，</w:t>
      </w:r>
      <w:r>
        <w:rPr>
          <w:rFonts w:hint="eastAsia" w:ascii="宋体"/>
          <w:sz w:val="24"/>
        </w:rPr>
        <w:t>解除合同的情形下，</w:t>
      </w:r>
      <w:r>
        <w:rPr>
          <w:rFonts w:hint="eastAsia" w:ascii="宋体" w:hAnsi="Times New Roman" w:eastAsia="宋体"/>
          <w:sz w:val="24"/>
          <w:szCs w:val="24"/>
        </w:rPr>
        <w:t>甲方全额无息退还乙方履约保证金</w:t>
      </w:r>
      <w:r>
        <w:rPr>
          <w:rFonts w:hint="eastAsia" w:ascii="宋体" w:hAnsi="Times New Roman" w:eastAsia="宋体"/>
          <w:sz w:val="24"/>
          <w:szCs w:val="24"/>
          <w:lang w:val="en-US" w:eastAsia="zh-CN"/>
        </w:rPr>
        <w:t>及本合同在招标期间发生的招标代理服务费</w:t>
      </w:r>
      <w:r>
        <w:rPr>
          <w:rFonts w:hint="eastAsia" w:ascii="宋体" w:hAnsi="Times New Roman" w:eastAsia="宋体"/>
          <w:sz w:val="24"/>
          <w:szCs w:val="24"/>
        </w:rPr>
        <w:t>，此种情形下不视为甲方违约。</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完成清退是指，甲方与上一家单位就场地内属于其的设施设备、原材料等处理方案达成一致意见。</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2、若乙方选择甲</w:t>
      </w:r>
      <w:r>
        <w:rPr>
          <w:rFonts w:hint="eastAsia" w:ascii="宋体"/>
          <w:sz w:val="24"/>
          <w:szCs w:val="24"/>
          <w:lang w:eastAsia="zh-CN"/>
        </w:rPr>
        <w:t>方在</w:t>
      </w:r>
      <w:r>
        <w:rPr>
          <w:rFonts w:hint="eastAsia" w:ascii="宋体" w:hAnsi="Times New Roman" w:eastAsia="宋体"/>
          <w:sz w:val="24"/>
          <w:szCs w:val="24"/>
        </w:rPr>
        <w:t>清退过程中进场的，则视为乙方</w:t>
      </w:r>
      <w:r>
        <w:rPr>
          <w:rFonts w:hint="eastAsia" w:ascii="宋体"/>
          <w:sz w:val="24"/>
          <w:szCs w:val="24"/>
          <w:lang w:val="en-US" w:eastAsia="zh-CN"/>
        </w:rPr>
        <w:t>已</w:t>
      </w:r>
      <w:r>
        <w:rPr>
          <w:rFonts w:hint="eastAsia" w:ascii="宋体" w:hAnsi="Times New Roman" w:eastAsia="宋体"/>
          <w:sz w:val="24"/>
          <w:szCs w:val="24"/>
        </w:rPr>
        <w:t>全面考虑经营风险，愿意承担上一家单位出现包括但不限于阻止乙方进入场地内、对西山坪拌和站出现阻工、围堵等影响或实质影响西山坪拌和站正常经营的行为的经营风险，乙方不得再以甲方未在约定期限内完成清退要求解除合同</w:t>
      </w:r>
      <w:r>
        <w:rPr>
          <w:rFonts w:hint="eastAsia" w:ascii="宋体"/>
          <w:sz w:val="24"/>
        </w:rPr>
        <w:t>，乙方应按照合同继续履行</w:t>
      </w:r>
      <w:r>
        <w:rPr>
          <w:rFonts w:hint="eastAsia" w:ascii="宋体" w:hAnsi="Times New Roman" w:eastAsia="宋体"/>
          <w:sz w:val="24"/>
          <w:szCs w:val="24"/>
        </w:rPr>
        <w:t>。</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进场是指，乙方在西山坪</w:t>
      </w:r>
      <w:r>
        <w:rPr>
          <w:rFonts w:hint="eastAsia" w:ascii="宋体"/>
          <w:sz w:val="24"/>
          <w:szCs w:val="24"/>
          <w:lang w:eastAsia="zh-CN"/>
        </w:rPr>
        <w:t>拌和站</w:t>
      </w:r>
      <w:r>
        <w:rPr>
          <w:rFonts w:hint="eastAsia" w:ascii="宋体" w:hAnsi="Times New Roman" w:eastAsia="宋体"/>
          <w:sz w:val="24"/>
          <w:szCs w:val="24"/>
        </w:rPr>
        <w:t>进行生产经营活动包括但不限于</w:t>
      </w:r>
      <w:r>
        <w:rPr>
          <w:rFonts w:hint="eastAsia" w:ascii="宋体" w:hAnsi="Times New Roman" w:eastAsia="宋体"/>
          <w:sz w:val="24"/>
          <w:szCs w:val="24"/>
          <w:lang w:val="en-US" w:eastAsia="zh-CN"/>
        </w:rPr>
        <w:t>人员材料入场、设备维保、沥青混合料生产</w:t>
      </w:r>
      <w:r>
        <w:rPr>
          <w:rFonts w:hint="eastAsia" w:ascii="宋体" w:hAnsi="Times New Roman" w:eastAsia="宋体"/>
          <w:sz w:val="24"/>
          <w:szCs w:val="24"/>
        </w:rPr>
        <w:t>。</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3、合作期限内，西山坪拌和站经营期限可会根据国家政策变更进行调整，包括但不限于因政策原因行政部门不再允许西山坪拌和站继续经营、取消排污许可或限制经营时间致剩余经营时间少于本协议合作期限等的，双方同意解除合同，根据实际情况结算费用、退还履约保证金（若剩余），该情形不视为甲方的违约行为，甲方不承担任何违约责任。乙方在西山坪拌和站增加的可拆除设施设备、原材料等，由乙方自行拆除、腾退；不可拆除的设施设备、材料等，甲方不再另行补偿或支付费用。</w:t>
      </w:r>
    </w:p>
    <w:p>
      <w:pPr>
        <w:spacing w:line="480" w:lineRule="atLeast"/>
        <w:ind w:firstLine="480"/>
        <w:rPr>
          <w:rFonts w:hint="eastAsia" w:ascii="宋体" w:hAnsi="Times New Roman" w:eastAsia="宋体"/>
          <w:b/>
          <w:bCs/>
          <w:sz w:val="24"/>
          <w:szCs w:val="24"/>
        </w:rPr>
      </w:pPr>
      <w:r>
        <w:rPr>
          <w:rFonts w:hint="eastAsia" w:ascii="宋体"/>
          <w:b/>
          <w:bCs/>
          <w:sz w:val="24"/>
          <w:szCs w:val="24"/>
          <w:lang w:val="en-US" w:eastAsia="zh-CN"/>
        </w:rPr>
        <w:t>十二、</w:t>
      </w:r>
      <w:r>
        <w:rPr>
          <w:rFonts w:hint="eastAsia" w:ascii="宋体" w:hAnsi="Times New Roman" w:eastAsia="宋体"/>
          <w:b/>
          <w:bCs/>
          <w:sz w:val="24"/>
          <w:szCs w:val="24"/>
        </w:rPr>
        <w:t>双方权利义务</w:t>
      </w:r>
    </w:p>
    <w:p>
      <w:pPr>
        <w:spacing w:line="480" w:lineRule="atLeast"/>
        <w:ind w:firstLine="480"/>
        <w:rPr>
          <w:rFonts w:hint="eastAsia" w:ascii="宋体" w:hAnsi="Times New Roman" w:eastAsia="宋体"/>
          <w:b/>
          <w:bCs/>
          <w:sz w:val="24"/>
          <w:szCs w:val="24"/>
        </w:rPr>
      </w:pPr>
      <w:r>
        <w:rPr>
          <w:rFonts w:hint="eastAsia" w:ascii="宋体" w:hAnsi="Times New Roman" w:eastAsia="宋体"/>
          <w:b/>
          <w:bCs/>
          <w:sz w:val="24"/>
          <w:szCs w:val="24"/>
        </w:rPr>
        <w:t>（一）甲方权利义务</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1、甲方负责甲方需在西山坪</w:t>
      </w:r>
      <w:r>
        <w:rPr>
          <w:rFonts w:hint="eastAsia" w:ascii="宋体"/>
          <w:sz w:val="24"/>
          <w:szCs w:val="24"/>
          <w:lang w:eastAsia="zh-CN"/>
        </w:rPr>
        <w:t>拌和站</w:t>
      </w:r>
      <w:r>
        <w:rPr>
          <w:rFonts w:hint="eastAsia" w:ascii="宋体" w:hAnsi="Times New Roman" w:eastAsia="宋体"/>
          <w:sz w:val="24"/>
          <w:szCs w:val="24"/>
        </w:rPr>
        <w:t>生产、加工所需的原材料（包括石料、沥青、矿粉、外加剂（包括木质素纤维、抗剥落剂、改性剂）。</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2、在合作期间，因甲方施工需要，甲方享有优先使用西山坪拌和站进行生产的权利，乙方应无条件积极配合甲方的生产。若因西山坪拌和站未能正常开展生产经营工作或乙方不配合甲方的生产，影响甲方沥青混合料加工生产的，甲方因此委托第三方加工生产沥青混合料产生的加工费与本合同约定加工费之间的差额、运费等所有费用由乙方承担。</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3、甲方对乙方日常经营管理、安全管理进行监管并有权提出整改意见。</w:t>
      </w:r>
    </w:p>
    <w:p>
      <w:pPr>
        <w:spacing w:line="480" w:lineRule="atLeast"/>
        <w:ind w:firstLine="480"/>
        <w:rPr>
          <w:rFonts w:hint="eastAsia" w:ascii="宋体" w:hAnsi="Times New Roman" w:eastAsia="宋体"/>
          <w:b w:val="0"/>
          <w:bCs w:val="0"/>
          <w:sz w:val="24"/>
          <w:szCs w:val="24"/>
        </w:rPr>
      </w:pPr>
      <w:r>
        <w:rPr>
          <w:rFonts w:hint="eastAsia" w:ascii="宋体" w:hAnsi="Times New Roman" w:eastAsia="宋体"/>
          <w:sz w:val="24"/>
          <w:szCs w:val="24"/>
        </w:rPr>
        <w:t>4、乙方进场时，甲方组织双方确认西山坪拌和站库存材料并签认《西山坪拌和站盘存确认单》，后续甲方提供的材料到场后，由双方代表共同签收。甲方按要求定期组织双方对甲方库存材料进行盘存，核算材料消耗情况。</w:t>
      </w:r>
    </w:p>
    <w:p>
      <w:pPr>
        <w:spacing w:line="480" w:lineRule="atLeast"/>
        <w:ind w:firstLine="480"/>
        <w:rPr>
          <w:rFonts w:hint="eastAsia" w:ascii="宋体" w:hAnsi="Times New Roman" w:eastAsia="宋体"/>
          <w:b/>
          <w:bCs/>
          <w:sz w:val="24"/>
          <w:szCs w:val="24"/>
        </w:rPr>
      </w:pPr>
      <w:r>
        <w:rPr>
          <w:rFonts w:hint="eastAsia" w:ascii="宋体" w:hAnsi="Times New Roman" w:eastAsia="宋体"/>
          <w:b/>
          <w:bCs/>
          <w:sz w:val="24"/>
          <w:szCs w:val="24"/>
        </w:rPr>
        <w:t>（二）乙方权利义务</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1、乙方在协议期间应做好稳定社会环境、安抚（安置） 临近居民的工作，保障西山坪拌和站生产经营工作正常开展。</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2、若乙方对现有燃料（包括但不限于管道天然气、燃烧器）进行技术改造，降低生产能耗与生产成本，所发生的全部费用由乙方承担。乙方应制定改造方案，经甲方同意后按有关规定实施，所有改造项目各项指标必须达到国家和地方规定的标准，乙方应在本协议到期后30日历天内无条件拆除运走改造或购置的设备，恢复燃料改造前西山坪拌和站原貌。甲方亦有权向乙方回购改造或购置的设备，通过委托第三方资产评估公司对所改造或购置的设备的剩余价值进行评估，评估报告中的评估价值作为回购的燃料改造设备的回购价格。</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3、若乙方改造升级现有厂拌热再生设备或购置新的厂拌热再生设备配套生产再生沥青混合料，降低生产成本，所发生的全部费用由乙方承担。乙方应制定改造方案，经甲方同意后按有关规定实施，所改造或购置的厂拌热再生设备各项指标必须达到国家和地方规定的标准，乙方需在本协议到期后30日历天内无条件拆除运走改造或购置的设备，恢复厂拌热再生设备改造或安装前西山坪拌和站原貌。</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4、乙方负责乙方配备的生产人员工资及相关保险，以及提供甲乙双方生产所需的水电气费（包括但不限于基本电费、固定电费等产生的费用）、生产设备用燃料和乙方生产所需的原材料（包括石料、沥青、矿粉、外加剂等材料）。</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5、乙方负责西山坪拌和站场地内材料转运、所需各种沥青混合料的生产，为甲方提供的沥青混合料严格按甲方提供的生产配合比进行生产，质量由乙方负责。</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6、乙方应保证西山坪拌和站生产区域及与高速公路连接匝道的现场安全，设备操作应严格遵守操作规程和相应法规。协议期间因乙方失误、错误等原因造成的沥青混合料质量不合格、机械事故、安全事故等一切财产损失、人身伤害，及乙方给第三者造成的人身及财产伤（损）害，均由乙方承担责任和费用，甲方不承担任何责任与费用。</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7、乙方负责对西山坪拌和站各类机械设备进行必要的维保，对磅秤进行定期校对，对锅炉进行定期检验，对污染物进行定期检测，保证机械设备完好，所发生的全部费用由乙方承担。甲方不定期组织人员对设备维修、检测情况进行检查，对检查过程中发现的问题以书面形式下达限期整改通知书，乙方应在限定时间内完成整改，若乙方在限定时间内未完成整改，甲方有权自行进行维修、检测，发生的维修、检测费用由甲方垫付，乙方全额承担或在履约保证金内扣除。</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8、在施工场地涉及危险区域或有害因素等环境问题需要安全防护、环境保护措施实施及上级主管部门提出的增设环境保护措施时，乙方应提出安全、环境防护措施方案，经甲方同意后实施，所发生的全部费用由乙方承担。若因乙方安全、环保整治不及时造成的相关损失、罚款，均由乙方全额承担。</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9、乙方负责甲方临时生产监督人员的食宿，费用由乙方承担。</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10、乙方应按照双方确定的生产加工项目进行经营，不得擅自增加或变相增加经营项目，一经发现甲方有权要求乙方进行整改，对乙方计收违约金</w:t>
      </w:r>
      <w:r>
        <w:rPr>
          <w:rFonts w:hint="eastAsia" w:ascii="宋体"/>
          <w:sz w:val="24"/>
          <w:szCs w:val="24"/>
          <w:lang w:val="en-US" w:eastAsia="zh-CN"/>
        </w:rPr>
        <w:t>10万</w:t>
      </w:r>
      <w:r>
        <w:rPr>
          <w:rFonts w:hint="eastAsia" w:ascii="宋体" w:hAnsi="Times New Roman" w:eastAsia="宋体"/>
          <w:sz w:val="24"/>
          <w:szCs w:val="24"/>
        </w:rPr>
        <w:t>元，并有权随时终止本协议。</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11、未经甲方同意，乙方不得擅自使用甲方现场原材料。乙方应配合甲方做好甲方供应材料的储存、保管、盘点、清算工作。</w:t>
      </w:r>
    </w:p>
    <w:p>
      <w:pPr>
        <w:spacing w:line="480" w:lineRule="atLeast"/>
        <w:ind w:firstLine="480"/>
        <w:rPr>
          <w:rFonts w:hint="eastAsia" w:ascii="宋体" w:hAnsi="Times New Roman" w:eastAsia="宋体"/>
          <w:b w:val="0"/>
          <w:bCs w:val="0"/>
          <w:sz w:val="24"/>
          <w:szCs w:val="24"/>
        </w:rPr>
      </w:pPr>
      <w:r>
        <w:rPr>
          <w:rFonts w:hint="eastAsia" w:ascii="宋体" w:hAnsi="Times New Roman" w:eastAsia="宋体"/>
          <w:sz w:val="24"/>
          <w:szCs w:val="24"/>
        </w:rPr>
        <w:t>12、本项目为合作经营项目，乙方不得以甲方单次加工沥青混合料产量小、生产频繁等原因收取甲方额外的材料升温费、沥青升温费等费用。</w:t>
      </w:r>
    </w:p>
    <w:p>
      <w:pPr>
        <w:spacing w:line="480" w:lineRule="atLeast"/>
        <w:ind w:firstLine="480"/>
        <w:rPr>
          <w:rFonts w:hint="eastAsia" w:ascii="宋体" w:hAnsi="Times New Roman" w:eastAsia="宋体"/>
          <w:b/>
          <w:bCs/>
          <w:sz w:val="24"/>
          <w:szCs w:val="24"/>
        </w:rPr>
      </w:pPr>
      <w:r>
        <w:rPr>
          <w:rFonts w:hint="eastAsia" w:ascii="宋体"/>
          <w:b/>
          <w:bCs/>
          <w:sz w:val="24"/>
          <w:szCs w:val="24"/>
          <w:lang w:val="en-US" w:eastAsia="zh-CN"/>
        </w:rPr>
        <w:t>十三、</w:t>
      </w:r>
      <w:r>
        <w:rPr>
          <w:rFonts w:hint="eastAsia" w:ascii="宋体" w:hAnsi="Times New Roman" w:eastAsia="宋体"/>
          <w:b/>
          <w:bCs/>
          <w:sz w:val="24"/>
          <w:szCs w:val="24"/>
        </w:rPr>
        <w:t>安全生产与文明施工</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1、甲乙双方必须贯彻执行国家、地方和行业主管部门颁布实施的有关安全生产的法律法规及各项规定，认真履行各自的安全生产职责，严格按有关的安全规范和要求组织施工。并签订《安全生产合同》，见附件。</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2、乙方是本项目安全生产的责任主体，履行安全生产及管理职责，并承担相应的责任、义务和经济损失。乙方应保证甲方不因该项目的合作而承担任何因人身伤亡或财产损失所发生的一切责任，保证甲方不承担任何属于乙方及其施工人员引起之诉讼、控告、索赔责任及可能发生的相关费用。若因乙方人员的安全事故纠纷而导致甲方被任何第三方主张权利的，甲方有权向乙方全额追偿，并有权要求乙方赔偿甲方因此而遭受的全部损失。</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3、乙方必须对所属生产人员进行安全教育，认真执行安全技术规范、严格遵守安全制度、落实安全措施、确保施工安全，并随时接受甲方安全检查人员的监督检查。由于乙方违章作业或安全措施不力等原因造成伤亡事故的责任和因此而发生的费用，由乙方承担。</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4、甲方有权对乙方人员进行安全培训及安全生产指导，并对其安全生产管理进行监督、检查以及按甲方有关规定进行处理。</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5、乙方应定期或不定期组织安全检查，对检查发现的安全隐患，及时整改。甲方对安全检查过程中发现的安全隐患，可口头通知或下达整改书，乙方应在限定时间内整改，因整改不及时或延误，由此造成的安全事故，由乙方承担一切责任和经济损失。</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6、乙方施工作业人员和设备在拌和站生产区域应服从甲方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7、事故处置</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西山坪拌和站合作经营期间，如发生职业健康安全、环境污染等事故时，乙方应立即通知甲方，同时接受甲方和当地政府有关部门的调查处理。乙方承担由此发生的一切费用，包括承担事故损失和当地政府有关部门对此作出的责任追究及处罚。</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（1）乙方作为日常安全生产责任主体，施工现场发生的安全事故，均由乙方负责承担和处置。</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（2）乙方发生安全事故，应按事故报告有关规定立即上报有关部门并通知甲方项目代表，同时按照相关规定及要求处置。</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（3）乙方发生安全事故，若事故实际造成的经济损失超过雇主责任险理赔金额，超过部分由乙方自行承担。</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（4）双方对事故责任有争议时，应按政府有关职能部门的认定执行。</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乙方应教育其施工及管理人员遵纪守法，服从西山坪拌和站各种管理规定，共同维护拌和站的社会治安，做好施工工地和生活区的治安保卫工作。</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8、乙方必须遵守甲方有关文明施工的管理制度。乙方应保持自己生活区及生产区内的环境卫生，并做好环境保护工作。每日应及时清理生产区和生活住地的垃圾，保障环境卫生干净、整洁。</w:t>
      </w:r>
    </w:p>
    <w:p>
      <w:pPr>
        <w:spacing w:line="480" w:lineRule="atLeast"/>
        <w:ind w:firstLine="480"/>
        <w:rPr>
          <w:rFonts w:hint="eastAsia" w:ascii="宋体" w:hAnsi="Times New Roman" w:eastAsia="宋体"/>
          <w:b w:val="0"/>
          <w:bCs w:val="0"/>
          <w:sz w:val="24"/>
          <w:szCs w:val="24"/>
        </w:rPr>
      </w:pPr>
      <w:r>
        <w:rPr>
          <w:rFonts w:hint="eastAsia" w:ascii="宋体" w:hAnsi="Times New Roman" w:eastAsia="宋体"/>
          <w:sz w:val="24"/>
          <w:szCs w:val="24"/>
        </w:rPr>
        <w:t>9、非甲方原因导致乙方遭受到财产和人员（包括乙方雇员、乙方施工范围内其他人员）生命、健康损失的，由乙方自行承担。如果因此给甲方或第三方造成损失，由乙方负责赔偿。由第三者造成乙方的生命财产损失的由第三者负责；由不可抗力造成乙方的生命财产损失的由乙方从保险公司的赔偿中补偿，甲方给予协助，不能补偿的由乙方自行承担。</w:t>
      </w:r>
    </w:p>
    <w:p>
      <w:pPr>
        <w:spacing w:line="480" w:lineRule="atLeast"/>
        <w:ind w:firstLine="480"/>
        <w:rPr>
          <w:rFonts w:hint="eastAsia" w:ascii="宋体" w:hAnsi="Times New Roman" w:eastAsia="宋体"/>
          <w:b w:val="0"/>
          <w:bCs w:val="0"/>
          <w:sz w:val="24"/>
          <w:szCs w:val="24"/>
        </w:rPr>
      </w:pPr>
      <w:r>
        <w:rPr>
          <w:rFonts w:hint="eastAsia" w:ascii="宋体"/>
          <w:b w:val="0"/>
          <w:bCs w:val="0"/>
          <w:sz w:val="24"/>
          <w:szCs w:val="24"/>
          <w:lang w:val="en-US" w:eastAsia="zh-CN"/>
        </w:rPr>
        <w:t>十四、</w:t>
      </w:r>
      <w:r>
        <w:rPr>
          <w:rFonts w:hint="eastAsia" w:ascii="宋体" w:hAnsi="Times New Roman" w:eastAsia="宋体"/>
          <w:b w:val="0"/>
          <w:bCs w:val="0"/>
          <w:sz w:val="24"/>
          <w:szCs w:val="24"/>
        </w:rPr>
        <w:t>违约责任</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（一）甲方违约</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1、当发生下列情况时，甲方承担违约责任：</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甲方不履行合同义务或不按合同约定履行义务的其他情况。</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（二）乙方违约</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1、乙方经甲方通知之日起</w:t>
      </w:r>
      <w:r>
        <w:rPr>
          <w:rFonts w:hint="eastAsia" w:ascii="宋体"/>
          <w:sz w:val="24"/>
          <w:szCs w:val="24"/>
          <w:lang w:val="en-US" w:eastAsia="zh-CN"/>
        </w:rPr>
        <w:t>7</w:t>
      </w:r>
      <w:r>
        <w:rPr>
          <w:rFonts w:hint="eastAsia" w:ascii="宋体" w:hAnsi="Times New Roman" w:eastAsia="宋体"/>
          <w:sz w:val="24"/>
          <w:szCs w:val="24"/>
        </w:rPr>
        <w:t>日内应进场并办理进场手续，若乙方逾期进场超过</w:t>
      </w:r>
      <w:r>
        <w:rPr>
          <w:rFonts w:hint="eastAsia" w:ascii="宋体"/>
          <w:sz w:val="24"/>
          <w:szCs w:val="24"/>
          <w:lang w:val="en-US" w:eastAsia="zh-CN"/>
        </w:rPr>
        <w:t>15</w:t>
      </w:r>
      <w:r>
        <w:rPr>
          <w:rFonts w:hint="eastAsia" w:ascii="宋体" w:hAnsi="Times New Roman" w:eastAsia="宋体"/>
          <w:sz w:val="24"/>
          <w:szCs w:val="24"/>
        </w:rPr>
        <w:t>日以上的，甲方有权单方解除合同并不予退还乙方履约保证金且要求乙方支付违约金</w:t>
      </w:r>
      <w:r>
        <w:rPr>
          <w:rFonts w:hint="eastAsia" w:ascii="宋体"/>
          <w:sz w:val="24"/>
          <w:szCs w:val="24"/>
          <w:lang w:val="en-US" w:eastAsia="zh-CN"/>
        </w:rPr>
        <w:t>10万</w:t>
      </w:r>
      <w:r>
        <w:rPr>
          <w:rFonts w:hint="eastAsia" w:ascii="宋体" w:hAnsi="Times New Roman" w:eastAsia="宋体"/>
          <w:sz w:val="24"/>
          <w:szCs w:val="24"/>
        </w:rPr>
        <w:t>元，因履行合同产生的费用由乙方自行承担。</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2、乙方未按合同约定足额支付合同款项的，每逾期一日按照应付费用的千分之一向甲方支付违约金；逾期15日及以上的，甲方有权随时解除本协议，要求乙方支付相当于应付费用30%的违约金，违约金不足以弥补甲方损失的，乙方应继续补足赔偿。</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3、合作经营期间所发生的全部安全事故（甲供材料导致的安全事故除外）所导致的后果责任均由乙方自行承担。如因此而导致第三方向甲方主张权利的，乙方应负责解决，并承担该等权利主张可能导致的全部后果责任以及由此给甲方造成的全部损失。</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4、本协议履行过程中，乙方未按约履行本协议任何约定义务的，甲方有权要求乙方限期整改，乙方拒绝整改或经整改后仍不符合本协议约定或甲方要求的，甲方有权随时解除本协议，要求乙方支付30万元的违约金，违约金不足以弥补甲方损失的，乙方应继续补足赔偿。</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5、乙方不履行合同义务或不按合同约定履行义务的其他情况，具体为：</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（1）人员违约</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 xml:space="preserve">①若乙方在共营过程中不服从管理、违章操作等造成的一切损失由乙方全部承担；未按要求安排人员作业或自备设备无法满足拌和站生产要求，乙方应按照要求增加设备或人员以满足拌和站生产的要求； </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②乙方特种作业人员（包括低压电工作业、锅炉司炉作业等）无技术技能资格证，乙方将承担2000元/人</w:t>
      </w:r>
      <w:r>
        <w:rPr>
          <w:rFonts w:hint="eastAsia" w:ascii="宋体" w:hAnsi="Times New Roman" w:eastAsia="宋体" w:cs="Times New Roman"/>
          <w:sz w:val="24"/>
          <w:szCs w:val="24"/>
        </w:rPr>
        <w:t>•次的违约责任。</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③甲方提出需要乙方增加相应生产人员及生产设备时，乙方2日内不按甲方要求增加相应作业人员及施工机械设备的，乙方将承担5000元/日的违约责任。</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（2）质量违约</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乙方必须保证为甲方生产的沥青混合料质量，若因生产原因导致的一切损失皆由乙方负责。若出现生产质量事故的，除承担损失赔偿责任外，按50000元/次的标准向甲方支付违约金，出现二次及以上事故的，甲方可随时终止或解除本合同，要求乙方赔偿甲方全部损失。</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（3）供货违约</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乙方在收到甲方加工任务后，未能及时供应沥青的，甲方有权向其他拌和站采购同类沥青混合料，由此产生的差价由乙方承担，因迟延供货给甲方造成损失的，甲方有权向乙方进行追偿；乙方迟延供货两次以上的，甲方有权单方面解除本合同，并要求乙方向甲方支付50000元的违约金。</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（4）安全环保违约</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乙方应严格遵守国家和政府、行业主管部门颁布实施的有关安全生产的法律法规及各项规定，若有违反，视为违约，乙方将无条件接受甲方按本合同的相关约定主张违约责任。</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一方违约后，另一方要求违约方继续履行合同时，违约方承担上述违约责任后仍应继续履行合同。</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 xml:space="preserve">①现场标志标牌、安全防护设施摆放不规范，每次处罚 500 元； </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 xml:space="preserve">②作业人员未按要求着工作装、佩戴反光背心、安全头盔，每次处罚 500 元；使用质量不合格防护用品，每次处罚 1000 元； </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 xml:space="preserve">③协作（分包）单位施工现场协作车辆停放不规范，每次处罚 500 元； </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 xml:space="preserve">④协作（分包）单位施工人员违反安全操作规程，每人次处罚 500 元； </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 xml:space="preserve">⑤特种作业人员未持证上岗，每人次处罚 500 元； </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⑥高空作业无操作平台，无安全防护网，无上下人梯，必要时作业面下方未设置安全区域，每项处罚 1000 元；高空作业人员未佩戴安全带、安全帽，每人次处罚 1000 元；</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 xml:space="preserve">⑦协作（分包）单位施工现场作业人员穿拖鞋、赤膊、酒后上岗等，每人次处罚 500 元； </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 xml:space="preserve">⑧电焊作业人员不按规定佩戴防护用品，每次处罚500 元； </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 xml:space="preserve">⑨氧气、乙炔瓶使用、放置不符合安全规定，每处处罚 1000 元； </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 xml:space="preserve">⑩协作（分包）单位施工现场材料、弃料堆放不规范，每次处罚 500 元； </w:t>
      </w:r>
    </w:p>
    <w:p>
      <w:pPr>
        <w:spacing w:line="480" w:lineRule="atLeast"/>
        <w:ind w:firstLine="480"/>
        <w:rPr>
          <w:rFonts w:hint="eastAsia" w:ascii="宋体" w:hAnsi="Times New Roman" w:eastAsia="宋体"/>
          <w:sz w:val="24"/>
          <w:szCs w:val="24"/>
        </w:rPr>
      </w:pPr>
      <w:r>
        <w:rPr>
          <w:rFonts w:hint="eastAsia" w:ascii="宋体" w:hAnsi="Times New Roman" w:eastAsia="宋体" w:cs="Times New Roman"/>
          <w:sz w:val="24"/>
          <w:szCs w:val="24"/>
        </w:rPr>
        <w:t>⑪协作（分包）单位施工现场临时用电未按“一机、一箱、一闸、一漏”三级配电二级保护设置，每处处罚</w:t>
      </w:r>
      <w:r>
        <w:rPr>
          <w:rFonts w:hint="eastAsia" w:ascii="宋体" w:hAnsi="Times New Roman" w:eastAsia="宋体"/>
          <w:sz w:val="24"/>
          <w:szCs w:val="24"/>
        </w:rPr>
        <w:t xml:space="preserve"> 1000元； </w:t>
      </w:r>
    </w:p>
    <w:p>
      <w:pPr>
        <w:spacing w:line="480" w:lineRule="atLeast"/>
        <w:ind w:firstLine="480"/>
        <w:rPr>
          <w:rFonts w:hint="eastAsia" w:ascii="宋体" w:hAnsi="Times New Roman" w:eastAsia="宋体"/>
          <w:sz w:val="24"/>
          <w:szCs w:val="24"/>
        </w:rPr>
      </w:pPr>
      <w:r>
        <w:rPr>
          <w:rFonts w:hint="eastAsia" w:ascii="宋体" w:hAnsi="Times New Roman" w:eastAsia="宋体" w:cs="Times New Roman"/>
          <w:sz w:val="24"/>
          <w:szCs w:val="24"/>
        </w:rPr>
        <w:t>⑫协作（分包）单位施工人员工前安全教育不到位或无相关资料，每项处罚</w:t>
      </w:r>
      <w:r>
        <w:rPr>
          <w:rFonts w:hint="eastAsia" w:ascii="宋体" w:hAnsi="Times New Roman" w:eastAsia="宋体"/>
          <w:sz w:val="24"/>
          <w:szCs w:val="24"/>
        </w:rPr>
        <w:t xml:space="preserve"> 500 元； </w:t>
      </w:r>
    </w:p>
    <w:p>
      <w:pPr>
        <w:spacing w:line="480" w:lineRule="atLeast"/>
        <w:ind w:firstLine="480"/>
        <w:rPr>
          <w:rFonts w:hint="eastAsia" w:ascii="宋体" w:hAnsi="Times New Roman" w:eastAsia="宋体"/>
          <w:sz w:val="24"/>
          <w:szCs w:val="24"/>
        </w:rPr>
      </w:pPr>
      <w:r>
        <w:rPr>
          <w:rFonts w:hint="eastAsia" w:ascii="宋体" w:hAnsi="Times New Roman" w:eastAsia="宋体" w:cs="Times New Roman"/>
          <w:sz w:val="24"/>
          <w:szCs w:val="24"/>
        </w:rPr>
        <w:t>⑬协作（分包）单位每月安全资料不齐全，每项处罚</w:t>
      </w:r>
      <w:r>
        <w:rPr>
          <w:rFonts w:hint="eastAsia" w:ascii="宋体" w:hAnsi="Times New Roman" w:eastAsia="宋体"/>
          <w:sz w:val="24"/>
          <w:szCs w:val="24"/>
        </w:rPr>
        <w:t xml:space="preserve"> 500 元； </w:t>
      </w:r>
    </w:p>
    <w:p>
      <w:pPr>
        <w:spacing w:line="480" w:lineRule="atLeast"/>
        <w:ind w:firstLine="480"/>
        <w:rPr>
          <w:rFonts w:hint="eastAsia" w:ascii="宋体" w:hAnsi="Times New Roman" w:eastAsia="宋体"/>
          <w:sz w:val="24"/>
          <w:szCs w:val="24"/>
        </w:rPr>
      </w:pPr>
      <w:r>
        <w:rPr>
          <w:rFonts w:hint="eastAsia" w:ascii="宋体" w:hAnsi="Times New Roman" w:eastAsia="宋体" w:cs="Times New Roman"/>
          <w:sz w:val="24"/>
          <w:szCs w:val="24"/>
        </w:rPr>
        <w:t>⑭协作（分包）单位办公区域消防器材配置不齐全或摆放不规范，每次处罚</w:t>
      </w:r>
      <w:r>
        <w:rPr>
          <w:rFonts w:hint="eastAsia" w:ascii="宋体" w:hAnsi="Times New Roman" w:eastAsia="宋体"/>
          <w:sz w:val="24"/>
          <w:szCs w:val="24"/>
        </w:rPr>
        <w:t xml:space="preserve"> 500 元； </w:t>
      </w:r>
    </w:p>
    <w:p>
      <w:pPr>
        <w:spacing w:line="480" w:lineRule="atLeast"/>
        <w:ind w:firstLine="480"/>
        <w:rPr>
          <w:rFonts w:hint="eastAsia" w:ascii="宋体" w:hAnsi="Times New Roman" w:eastAsia="宋体"/>
          <w:sz w:val="24"/>
          <w:szCs w:val="24"/>
        </w:rPr>
      </w:pPr>
      <w:r>
        <w:rPr>
          <w:rFonts w:hint="eastAsia" w:ascii="宋体" w:hAnsi="Times New Roman" w:eastAsia="宋体" w:cs="Times New Roman"/>
          <w:sz w:val="24"/>
          <w:szCs w:val="24"/>
        </w:rPr>
        <w:t>⑮协作（分包）单位办公区域违规使用电器、乱搭电力线路，每次处罚</w:t>
      </w:r>
      <w:r>
        <w:rPr>
          <w:rFonts w:hint="eastAsia" w:ascii="宋体" w:hAnsi="Times New Roman" w:eastAsia="宋体"/>
          <w:sz w:val="24"/>
          <w:szCs w:val="24"/>
        </w:rPr>
        <w:t xml:space="preserve"> 500 元； </w:t>
      </w:r>
    </w:p>
    <w:p>
      <w:pPr>
        <w:spacing w:line="480" w:lineRule="atLeast"/>
        <w:ind w:firstLine="480"/>
        <w:rPr>
          <w:rFonts w:hint="eastAsia" w:ascii="宋体" w:hAnsi="Times New Roman" w:eastAsia="宋体"/>
          <w:sz w:val="24"/>
          <w:szCs w:val="24"/>
        </w:rPr>
      </w:pPr>
      <w:r>
        <w:rPr>
          <w:rFonts w:hint="eastAsia" w:ascii="宋体" w:hAnsi="Times New Roman" w:eastAsia="宋体" w:cs="Times New Roman"/>
          <w:sz w:val="24"/>
          <w:szCs w:val="24"/>
        </w:rPr>
        <w:t>⑯协作（分包）单位办公生活区域不按规定存放可燃气体，每次处罚</w:t>
      </w:r>
      <w:r>
        <w:rPr>
          <w:rFonts w:hint="eastAsia" w:ascii="宋体" w:hAnsi="Times New Roman" w:eastAsia="宋体"/>
          <w:sz w:val="24"/>
          <w:szCs w:val="24"/>
        </w:rPr>
        <w:t xml:space="preserve"> 500 元； </w:t>
      </w:r>
    </w:p>
    <w:p>
      <w:pPr>
        <w:spacing w:line="480" w:lineRule="atLeast"/>
        <w:ind w:firstLine="480"/>
        <w:rPr>
          <w:rFonts w:hint="eastAsia" w:ascii="宋体" w:hAnsi="Times New Roman" w:eastAsia="宋体"/>
          <w:sz w:val="24"/>
          <w:szCs w:val="24"/>
        </w:rPr>
      </w:pPr>
      <w:r>
        <w:rPr>
          <w:rFonts w:hint="eastAsia" w:ascii="宋体" w:hAnsi="Times New Roman" w:eastAsia="宋体" w:cs="Times New Roman"/>
          <w:sz w:val="24"/>
          <w:szCs w:val="24"/>
        </w:rPr>
        <w:t>⑰协作（分包）单位未按规定时限落实安全隐患整改，每次处罚</w:t>
      </w:r>
      <w:r>
        <w:rPr>
          <w:rFonts w:hint="eastAsia" w:ascii="宋体" w:hAnsi="Times New Roman" w:eastAsia="宋体"/>
          <w:sz w:val="24"/>
          <w:szCs w:val="24"/>
        </w:rPr>
        <w:t xml:space="preserve"> 1000 元；未及时回复整改情况，每次处罚 500元。 </w:t>
      </w:r>
    </w:p>
    <w:p>
      <w:pPr>
        <w:spacing w:line="480" w:lineRule="atLeast"/>
        <w:ind w:firstLine="480"/>
        <w:rPr>
          <w:rFonts w:hint="eastAsia" w:ascii="宋体" w:hAnsi="Times New Roman" w:eastAsia="宋体"/>
          <w:sz w:val="24"/>
          <w:szCs w:val="24"/>
        </w:rPr>
      </w:pPr>
      <w:r>
        <w:rPr>
          <w:rFonts w:hint="eastAsia" w:ascii="宋体" w:hAnsi="Times New Roman" w:eastAsia="宋体" w:cs="Times New Roman"/>
          <w:sz w:val="24"/>
          <w:szCs w:val="24"/>
        </w:rPr>
        <w:t>⑱上级部门检查中指出存在的安全问题或提出批评，按上级部门处罚金额翻倍进行处罚，每次处罚最低</w:t>
      </w:r>
      <w:r>
        <w:rPr>
          <w:rFonts w:hint="eastAsia" w:ascii="宋体" w:hAnsi="Times New Roman" w:eastAsia="宋体"/>
          <w:sz w:val="24"/>
          <w:szCs w:val="24"/>
        </w:rPr>
        <w:t xml:space="preserve"> 2000 元。 </w:t>
      </w:r>
    </w:p>
    <w:p>
      <w:pPr>
        <w:spacing w:line="480" w:lineRule="atLeast"/>
        <w:ind w:firstLine="480"/>
        <w:rPr>
          <w:rFonts w:hint="eastAsia" w:ascii="宋体" w:hAnsi="Times New Roman" w:eastAsia="宋体"/>
          <w:sz w:val="24"/>
          <w:szCs w:val="24"/>
        </w:rPr>
      </w:pPr>
      <w:r>
        <w:rPr>
          <w:rFonts w:hint="eastAsia" w:ascii="宋体" w:hAnsi="Times New Roman" w:eastAsia="宋体" w:cs="Times New Roman"/>
          <w:sz w:val="24"/>
          <w:szCs w:val="24"/>
        </w:rPr>
        <w:t>⑲因协作（分包）单位未落实安全管理承担责任的事故，除承担相应赔付外养护集团将依</w:t>
      </w:r>
      <w:r>
        <w:rPr>
          <w:rFonts w:hint="eastAsia" w:ascii="宋体" w:hAnsi="Times New Roman" w:eastAsia="宋体"/>
          <w:sz w:val="24"/>
          <w:szCs w:val="24"/>
        </w:rPr>
        <w:t>法追偿。</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5、合同期限届满后</w:t>
      </w:r>
      <w:r>
        <w:rPr>
          <w:rFonts w:hint="eastAsia" w:ascii="宋体"/>
          <w:sz w:val="24"/>
        </w:rPr>
        <w:t>或合同解除、终止后，</w:t>
      </w:r>
      <w:r>
        <w:rPr>
          <w:rFonts w:hint="eastAsia" w:ascii="宋体" w:hAnsi="Times New Roman" w:eastAsia="宋体"/>
          <w:sz w:val="24"/>
          <w:szCs w:val="24"/>
        </w:rPr>
        <w:t>乙方逾期腾退并与甲方办理移交的，每逾期一日，甲方有权要求乙方支付10000元/天的逾期腾退违约金并要求乙方按照本协议约定的价格支付自应腾退而未腾退至实际腾退之日期间的场地占用费和设备占用费。同时因乙方逾期腾退的，甲方有权采取不限于断电、封闭厂区等形式强制停止生产，因此产生的损失由乙方自行承担。</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6、若乙方未能在本合同有效期内就西山坪拌</w:t>
      </w:r>
      <w:r>
        <w:rPr>
          <w:rFonts w:hint="eastAsia" w:ascii="宋体"/>
          <w:sz w:val="24"/>
          <w:szCs w:val="24"/>
          <w:lang w:val="en-US" w:eastAsia="zh-CN"/>
        </w:rPr>
        <w:t>和</w:t>
      </w:r>
      <w:r>
        <w:rPr>
          <w:rFonts w:hint="eastAsia" w:ascii="宋体" w:hAnsi="Times New Roman" w:eastAsia="宋体"/>
          <w:sz w:val="24"/>
          <w:szCs w:val="24"/>
        </w:rPr>
        <w:t>站取得有效、持续、不间断的排污许可的，甲方有权选择单方解除合同并不予退还履约保证金，且要求乙方支付违约金【</w:t>
      </w:r>
      <w:r>
        <w:rPr>
          <w:rFonts w:hint="eastAsia" w:ascii="宋体"/>
          <w:sz w:val="24"/>
          <w:szCs w:val="24"/>
          <w:lang w:val="en-US" w:eastAsia="zh-CN"/>
        </w:rPr>
        <w:t>30万</w:t>
      </w:r>
      <w:r>
        <w:rPr>
          <w:rFonts w:hint="eastAsia" w:ascii="宋体" w:hAnsi="Times New Roman" w:eastAsia="宋体"/>
          <w:sz w:val="24"/>
          <w:szCs w:val="24"/>
        </w:rPr>
        <w:t>】元并要求乙方自解除之日起【</w:t>
      </w:r>
      <w:r>
        <w:rPr>
          <w:rFonts w:hint="eastAsia" w:ascii="宋体"/>
          <w:sz w:val="24"/>
          <w:szCs w:val="24"/>
          <w:lang w:val="en-US" w:eastAsia="zh-CN"/>
        </w:rPr>
        <w:t>30</w:t>
      </w:r>
      <w:r>
        <w:rPr>
          <w:rFonts w:hint="eastAsia" w:ascii="宋体" w:hAnsi="Times New Roman" w:eastAsia="宋体"/>
          <w:sz w:val="24"/>
          <w:szCs w:val="24"/>
        </w:rPr>
        <w:t>】日内交还场地。若乙方在未取得有效、持续、不间断排污许可情形下，仍要进行加工的或即使在获得排污许可情形下违规排放的，因此产生包括但不限于行政罚款、污染治理等费用由乙方自行承担，甲方有权从履约保证金</w:t>
      </w:r>
      <w:r>
        <w:rPr>
          <w:rFonts w:hint="eastAsia" w:ascii="宋体"/>
          <w:sz w:val="24"/>
          <w:szCs w:val="24"/>
          <w:lang w:eastAsia="zh-CN"/>
        </w:rPr>
        <w:t>中</w:t>
      </w:r>
      <w:r>
        <w:rPr>
          <w:rFonts w:hint="eastAsia" w:ascii="宋体" w:hAnsi="Times New Roman" w:eastAsia="宋体"/>
          <w:sz w:val="24"/>
          <w:szCs w:val="24"/>
        </w:rPr>
        <w:t>予以扣除，若不足以扣除的，乙方应自收到甲方收款通知之日起</w:t>
      </w:r>
      <w:r>
        <w:rPr>
          <w:rFonts w:hint="eastAsia" w:ascii="宋体"/>
          <w:sz w:val="24"/>
          <w:szCs w:val="24"/>
          <w:lang w:val="en-US" w:eastAsia="zh-CN"/>
        </w:rPr>
        <w:t>两</w:t>
      </w:r>
      <w:r>
        <w:rPr>
          <w:rFonts w:hint="eastAsia" w:ascii="宋体" w:hAnsi="Times New Roman" w:eastAsia="宋体"/>
          <w:sz w:val="24"/>
          <w:szCs w:val="24"/>
        </w:rPr>
        <w:t>日内予以支付并补足履约保证金。</w:t>
      </w:r>
    </w:p>
    <w:p>
      <w:pPr>
        <w:spacing w:line="480" w:lineRule="atLeast"/>
        <w:ind w:firstLine="480"/>
        <w:rPr>
          <w:rFonts w:hint="eastAsia" w:ascii="宋体" w:hAnsi="Times New Roman" w:eastAsia="宋体"/>
          <w:sz w:val="24"/>
          <w:szCs w:val="24"/>
        </w:rPr>
      </w:pPr>
      <w:r>
        <w:rPr>
          <w:rFonts w:hint="eastAsia" w:ascii="宋体"/>
          <w:sz w:val="24"/>
          <w:szCs w:val="24"/>
          <w:lang w:val="en-US" w:eastAsia="zh-CN"/>
        </w:rPr>
        <w:t>7</w:t>
      </w:r>
      <w:r>
        <w:rPr>
          <w:rFonts w:hint="eastAsia" w:ascii="宋体" w:hAnsi="Times New Roman" w:eastAsia="宋体"/>
          <w:sz w:val="24"/>
          <w:szCs w:val="24"/>
        </w:rPr>
        <w:t>、本合同约定的甲方损失包括工期延误损失、甲方向第三人承担的违约金、赔偿金、甲方预期利润、甲方为追索债权支出的律师费、诉讼费、保全费、保全担保费、交通费等全部直接和间接损失。</w:t>
      </w:r>
    </w:p>
    <w:p>
      <w:pPr>
        <w:spacing w:line="480" w:lineRule="atLeast"/>
        <w:ind w:firstLine="480"/>
        <w:rPr>
          <w:rFonts w:hint="eastAsia" w:ascii="宋体" w:hAnsi="Times New Roman" w:eastAsia="宋体"/>
          <w:sz w:val="24"/>
          <w:szCs w:val="24"/>
        </w:rPr>
      </w:pPr>
      <w:r>
        <w:rPr>
          <w:rFonts w:hint="eastAsia" w:ascii="宋体"/>
          <w:sz w:val="24"/>
          <w:szCs w:val="24"/>
          <w:lang w:val="en-US" w:eastAsia="zh-CN"/>
        </w:rPr>
        <w:t>8</w:t>
      </w:r>
      <w:r>
        <w:rPr>
          <w:rFonts w:hint="eastAsia" w:ascii="宋体" w:hAnsi="Times New Roman" w:eastAsia="宋体"/>
          <w:sz w:val="24"/>
          <w:szCs w:val="24"/>
        </w:rPr>
        <w:t>、因乙方违反合同约定而产生的违约金、费用等，甲方有权从履约保证金中直接扣除，自扣除之日起</w:t>
      </w:r>
      <w:r>
        <w:rPr>
          <w:rFonts w:hint="eastAsia" w:ascii="宋体"/>
          <w:sz w:val="24"/>
          <w:szCs w:val="24"/>
          <w:lang w:val="en-US" w:eastAsia="zh-CN"/>
        </w:rPr>
        <w:t>两</w:t>
      </w:r>
      <w:r>
        <w:rPr>
          <w:rFonts w:hint="eastAsia" w:ascii="宋体" w:hAnsi="Times New Roman" w:eastAsia="宋体"/>
          <w:sz w:val="24"/>
          <w:szCs w:val="24"/>
        </w:rPr>
        <w:t>日内乙方应补足全额履约保证金；若履约保证金不足以扣除的，乙方应自收到甲方收款通知之日起</w:t>
      </w:r>
      <w:r>
        <w:rPr>
          <w:rFonts w:hint="eastAsia" w:ascii="宋体"/>
          <w:sz w:val="24"/>
          <w:szCs w:val="24"/>
          <w:lang w:val="en-US" w:eastAsia="zh-CN"/>
        </w:rPr>
        <w:t>七</w:t>
      </w:r>
      <w:r>
        <w:rPr>
          <w:rFonts w:hint="eastAsia" w:ascii="宋体" w:hAnsi="Times New Roman" w:eastAsia="宋体"/>
          <w:sz w:val="24"/>
          <w:szCs w:val="24"/>
        </w:rPr>
        <w:t>日内予以支付。</w:t>
      </w:r>
    </w:p>
    <w:p>
      <w:pPr>
        <w:spacing w:line="480" w:lineRule="atLeast"/>
        <w:ind w:firstLine="480"/>
        <w:rPr>
          <w:rFonts w:hint="eastAsia" w:ascii="宋体" w:hAnsi="Times New Roman" w:eastAsia="宋体"/>
          <w:b/>
          <w:bCs/>
          <w:sz w:val="24"/>
          <w:szCs w:val="24"/>
        </w:rPr>
      </w:pPr>
      <w:r>
        <w:rPr>
          <w:rFonts w:hint="eastAsia" w:ascii="宋体"/>
          <w:b/>
          <w:bCs/>
          <w:sz w:val="24"/>
          <w:szCs w:val="24"/>
          <w:lang w:val="en-US" w:eastAsia="zh-CN"/>
        </w:rPr>
        <w:t>十五、</w:t>
      </w:r>
      <w:r>
        <w:rPr>
          <w:rFonts w:hint="eastAsia" w:ascii="宋体" w:hAnsi="Times New Roman" w:eastAsia="宋体"/>
          <w:b/>
          <w:bCs/>
          <w:sz w:val="24"/>
          <w:szCs w:val="24"/>
        </w:rPr>
        <w:t>不可抗力</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1、合作期间，因拌和站设备出现损坏和故障，无法继续使用或修复，达到报废条件导致拌和站无法继续经营或国家政策需搬迁、关停、撤销、终止西山坪拌和站，甲方有权终止本合作协议，因此给乙方带来的一切经济损失由乙方自行承担，且不得向甲方索赔。</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2、双方确认，合同期限内西山坪</w:t>
      </w:r>
      <w:r>
        <w:rPr>
          <w:rFonts w:hint="eastAsia" w:ascii="宋体"/>
          <w:sz w:val="24"/>
          <w:szCs w:val="24"/>
          <w:lang w:eastAsia="zh-CN"/>
        </w:rPr>
        <w:t>拌和站</w:t>
      </w:r>
      <w:r>
        <w:rPr>
          <w:rFonts w:hint="eastAsia" w:ascii="宋体" w:hAnsi="Times New Roman" w:eastAsia="宋体"/>
          <w:sz w:val="24"/>
          <w:szCs w:val="24"/>
        </w:rPr>
        <w:t>被征收、征用的，因此产生的征收、征用各类补偿费用由甲方全部享有。</w:t>
      </w:r>
    </w:p>
    <w:p>
      <w:pPr>
        <w:spacing w:line="480" w:lineRule="atLeast"/>
        <w:ind w:firstLine="480"/>
        <w:rPr>
          <w:rFonts w:hint="eastAsia" w:ascii="宋体" w:hAnsi="Times New Roman" w:eastAsia="宋体"/>
          <w:b/>
          <w:bCs/>
          <w:sz w:val="24"/>
          <w:szCs w:val="24"/>
        </w:rPr>
      </w:pPr>
      <w:r>
        <w:rPr>
          <w:rFonts w:hint="eastAsia" w:ascii="宋体"/>
          <w:b/>
          <w:bCs/>
          <w:sz w:val="24"/>
          <w:szCs w:val="24"/>
          <w:lang w:val="en-US" w:eastAsia="zh-CN"/>
        </w:rPr>
        <w:t>十六、</w:t>
      </w:r>
      <w:r>
        <w:rPr>
          <w:rFonts w:hint="eastAsia" w:ascii="宋体" w:hAnsi="Times New Roman" w:eastAsia="宋体"/>
          <w:b/>
          <w:bCs/>
          <w:sz w:val="24"/>
          <w:szCs w:val="24"/>
        </w:rPr>
        <w:t>保密条款</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1、双方应当对本协议的内容、因履行本协议或在本协议期间获得的或收到的对方相关信息、工程资料或其他文件或信息的内容保守秘密，未经信息披露方书面事先同意，不得向本协议以外的任何第三方披露。</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2、除非得到另一方的书面许可，甲乙双方均不得将本合同中的内容及在本合同执行过程中获得的对方的商业信息向任何第三方泄露。</w:t>
      </w:r>
    </w:p>
    <w:p>
      <w:pPr>
        <w:spacing w:line="480" w:lineRule="atLeast"/>
        <w:ind w:firstLine="480"/>
        <w:rPr>
          <w:rFonts w:hint="eastAsia" w:ascii="宋体" w:hAnsi="Times New Roman" w:eastAsia="宋体"/>
          <w:b w:val="0"/>
          <w:bCs w:val="0"/>
          <w:sz w:val="24"/>
          <w:szCs w:val="24"/>
        </w:rPr>
      </w:pPr>
      <w:r>
        <w:rPr>
          <w:rFonts w:hint="eastAsia" w:ascii="宋体" w:hAnsi="Times New Roman" w:eastAsia="宋体"/>
          <w:sz w:val="24"/>
          <w:szCs w:val="24"/>
        </w:rPr>
        <w:t>3、本保密义务应在本协议期满、解除或终止后仍然有效。</w:t>
      </w:r>
    </w:p>
    <w:p>
      <w:pPr>
        <w:spacing w:line="480" w:lineRule="atLeast"/>
        <w:ind w:firstLine="480"/>
        <w:rPr>
          <w:rFonts w:hint="eastAsia" w:ascii="宋体" w:hAnsi="Times New Roman" w:eastAsia="宋体"/>
          <w:b/>
          <w:bCs/>
          <w:sz w:val="24"/>
          <w:szCs w:val="24"/>
        </w:rPr>
      </w:pPr>
      <w:r>
        <w:rPr>
          <w:rFonts w:hint="eastAsia" w:ascii="宋体"/>
          <w:b/>
          <w:bCs/>
          <w:sz w:val="24"/>
          <w:szCs w:val="24"/>
          <w:lang w:val="en-US" w:eastAsia="zh-CN"/>
        </w:rPr>
        <w:t>十七、</w:t>
      </w:r>
      <w:r>
        <w:rPr>
          <w:rFonts w:hint="eastAsia" w:ascii="宋体" w:hAnsi="Times New Roman" w:eastAsia="宋体"/>
          <w:b/>
          <w:bCs/>
          <w:sz w:val="24"/>
          <w:szCs w:val="24"/>
        </w:rPr>
        <w:t>送达地址</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1、甲、乙双方确认本合同项下文书，包括因本合同履行产生的争议进入民事诉讼程序后的一审程序、二审程序和执行程序的法律文书的送达地址为：</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甲方送达地址：</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 xml:space="preserve">甲方联系人及联系电话： </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乙方送达地址：</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 xml:space="preserve">乙方联系人及联系电话： </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2、任何一方送达地址发生变更的，应当在变更后七日内以书面方式通知对方；一方送达地址发生后未按要求的时间、形式通知对方的，原送达地址仍为有效送达地址。</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3、一方或司法机关按照约定地址向对方送达法律文书的，视为有效送达；对方拒绝签收或由他人签收的，不影响送达的效力。</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4、因一方提供或者确认的送达地址不准确、送达地址变更后未及时依程序告知对方和法院、当事人或指定接收人拒绝签收等原因，导致诉讼文书未能被当事人实际接收的，邮寄送达的，以文书退回之日视为送达之日；直接送达的，送达人当场在送达回证上证明情况之日视为送达之日；发送信息的，从信息发出之日视为有效送达。</w:t>
      </w:r>
    </w:p>
    <w:p>
      <w:pPr>
        <w:spacing w:line="480" w:lineRule="atLeast"/>
        <w:ind w:firstLine="480"/>
        <w:rPr>
          <w:rFonts w:hint="eastAsia" w:ascii="宋体" w:hAnsi="Times New Roman" w:eastAsia="宋体"/>
          <w:b/>
          <w:bCs/>
          <w:sz w:val="24"/>
          <w:szCs w:val="24"/>
        </w:rPr>
      </w:pPr>
      <w:r>
        <w:rPr>
          <w:rFonts w:hint="eastAsia" w:ascii="宋体"/>
          <w:b/>
          <w:bCs/>
          <w:sz w:val="24"/>
          <w:szCs w:val="24"/>
          <w:lang w:val="en-US" w:eastAsia="zh-CN"/>
        </w:rPr>
        <w:t>十八、</w:t>
      </w:r>
      <w:r>
        <w:rPr>
          <w:rFonts w:hint="eastAsia" w:ascii="宋体" w:hAnsi="Times New Roman" w:eastAsia="宋体"/>
          <w:b/>
          <w:bCs/>
          <w:sz w:val="24"/>
          <w:szCs w:val="24"/>
        </w:rPr>
        <w:t>争议解决</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本协议项下所有争议均由双方协商解决，协商不成的，双方均可向甲方所在地法院提起诉讼解决。</w:t>
      </w:r>
    </w:p>
    <w:p>
      <w:pPr>
        <w:spacing w:line="480" w:lineRule="atLeast"/>
        <w:ind w:firstLine="480"/>
        <w:rPr>
          <w:rFonts w:hint="eastAsia" w:ascii="宋体" w:hAnsi="Times New Roman" w:eastAsia="宋体"/>
          <w:b/>
          <w:bCs/>
          <w:sz w:val="24"/>
          <w:szCs w:val="24"/>
        </w:rPr>
      </w:pPr>
      <w:r>
        <w:rPr>
          <w:rFonts w:hint="eastAsia" w:ascii="宋体"/>
          <w:b/>
          <w:bCs/>
          <w:sz w:val="24"/>
          <w:szCs w:val="24"/>
          <w:lang w:val="en-US" w:eastAsia="zh-CN"/>
        </w:rPr>
        <w:t>十九、</w:t>
      </w:r>
      <w:r>
        <w:rPr>
          <w:rFonts w:hint="eastAsia" w:ascii="宋体" w:hAnsi="Times New Roman" w:eastAsia="宋体"/>
          <w:b/>
          <w:bCs/>
          <w:sz w:val="24"/>
          <w:szCs w:val="24"/>
        </w:rPr>
        <w:t>其他条款</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1、合同订立地点：本合同签订于重庆市沙坪坝区梨高路。　</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2、本协议一式</w:t>
      </w:r>
      <w:r>
        <w:rPr>
          <w:rFonts w:hint="eastAsia" w:ascii="宋体" w:hAnsi="Times New Roman" w:eastAsia="宋体"/>
          <w:sz w:val="24"/>
          <w:szCs w:val="24"/>
          <w:u w:val="none"/>
        </w:rPr>
        <w:t>捌</w:t>
      </w:r>
      <w:r>
        <w:rPr>
          <w:rFonts w:hint="eastAsia" w:ascii="宋体" w:hAnsi="Times New Roman" w:eastAsia="宋体"/>
          <w:sz w:val="24"/>
          <w:szCs w:val="24"/>
        </w:rPr>
        <w:t>份，甲方执</w:t>
      </w:r>
      <w:r>
        <w:rPr>
          <w:rFonts w:hint="eastAsia" w:ascii="宋体" w:hAnsi="Times New Roman" w:eastAsia="宋体"/>
          <w:sz w:val="24"/>
          <w:szCs w:val="24"/>
          <w:u w:val="none"/>
        </w:rPr>
        <w:t>肆</w:t>
      </w:r>
      <w:r>
        <w:rPr>
          <w:rFonts w:hint="eastAsia" w:ascii="宋体" w:hAnsi="Times New Roman" w:eastAsia="宋体"/>
          <w:sz w:val="24"/>
          <w:szCs w:val="24"/>
        </w:rPr>
        <w:t>份，乙方执</w:t>
      </w:r>
      <w:r>
        <w:rPr>
          <w:rFonts w:hint="eastAsia" w:ascii="宋体" w:hAnsi="Times New Roman" w:eastAsia="宋体"/>
          <w:sz w:val="24"/>
          <w:szCs w:val="24"/>
          <w:u w:val="none"/>
        </w:rPr>
        <w:t>肆</w:t>
      </w:r>
      <w:r>
        <w:rPr>
          <w:rFonts w:hint="eastAsia" w:ascii="宋体" w:hAnsi="Times New Roman" w:eastAsia="宋体"/>
          <w:sz w:val="24"/>
          <w:szCs w:val="24"/>
        </w:rPr>
        <w:t>份；各文本均具有同等法律效力。由双方法定代表人或其授权代理人签署与加盖公章后生效，甲乙双方履行完合同全部义务、结算价款支付完毕后本合同即告终止。</w:t>
      </w:r>
    </w:p>
    <w:p>
      <w:pPr>
        <w:spacing w:line="480" w:lineRule="atLeast"/>
        <w:ind w:firstLine="480"/>
        <w:rPr>
          <w:rFonts w:hint="eastAsia" w:ascii="仿宋" w:hAnsi="仿宋" w:eastAsia="仿宋"/>
          <w:sz w:val="28"/>
          <w:szCs w:val="28"/>
        </w:rPr>
      </w:pP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甲方：（盖章）                       乙   方：（盖章）</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 xml:space="preserve">重庆公路养护工程（集团）有限公司                          </w:t>
      </w:r>
    </w:p>
    <w:p>
      <w:pPr>
        <w:spacing w:line="480" w:lineRule="atLeast"/>
        <w:ind w:firstLine="480"/>
        <w:rPr>
          <w:rFonts w:hint="eastAsia" w:ascii="宋体" w:hAnsi="Times New Roman" w:eastAsia="宋体"/>
          <w:sz w:val="24"/>
          <w:szCs w:val="24"/>
        </w:rPr>
      </w:pP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法定代表人                           法定代表人</w:t>
      </w: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或其授权的代理人：                   或其授权的代理人：</w:t>
      </w:r>
    </w:p>
    <w:p>
      <w:pPr>
        <w:spacing w:line="480" w:lineRule="atLeast"/>
        <w:ind w:firstLine="480"/>
        <w:rPr>
          <w:rFonts w:hint="eastAsia" w:ascii="宋体" w:hAnsi="Times New Roman" w:eastAsia="宋体"/>
          <w:sz w:val="24"/>
          <w:szCs w:val="24"/>
        </w:rPr>
      </w:pP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部门负责人：</w:t>
      </w:r>
    </w:p>
    <w:p>
      <w:pPr>
        <w:spacing w:line="480" w:lineRule="atLeast"/>
        <w:ind w:firstLine="480"/>
        <w:rPr>
          <w:rFonts w:hint="eastAsia" w:ascii="宋体" w:hAnsi="Times New Roman" w:eastAsia="宋体"/>
          <w:sz w:val="24"/>
          <w:szCs w:val="24"/>
        </w:rPr>
      </w:pP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项目经办人：                         项目经办人：</w:t>
      </w:r>
    </w:p>
    <w:p>
      <w:pPr>
        <w:spacing w:line="480" w:lineRule="atLeast"/>
        <w:ind w:firstLine="480"/>
        <w:rPr>
          <w:rFonts w:hint="eastAsia" w:ascii="宋体" w:hAnsi="Times New Roman" w:eastAsia="宋体"/>
          <w:sz w:val="24"/>
          <w:szCs w:val="24"/>
        </w:rPr>
      </w:pPr>
    </w:p>
    <w:p>
      <w:pPr>
        <w:spacing w:line="480" w:lineRule="atLeast"/>
        <w:ind w:firstLine="480"/>
        <w:rPr>
          <w:rFonts w:hint="eastAsia" w:ascii="宋体" w:hAnsi="Times New Roman" w:eastAsia="宋体"/>
          <w:sz w:val="24"/>
          <w:szCs w:val="24"/>
        </w:rPr>
      </w:pPr>
      <w:r>
        <w:rPr>
          <w:rFonts w:hint="eastAsia" w:ascii="宋体" w:hAnsi="Times New Roman" w:eastAsia="宋体"/>
          <w:sz w:val="24"/>
          <w:szCs w:val="24"/>
        </w:rPr>
        <w:t>日期：                               日期：</w:t>
      </w:r>
    </w:p>
    <w:p>
      <w:pPr>
        <w:pStyle w:val="11"/>
        <w:rPr>
          <w:rFonts w:hint="eastAsia" w:ascii="宋体" w:hAnsi="宋体" w:cs="宋体"/>
          <w:sz w:val="36"/>
          <w:szCs w:val="36"/>
        </w:rPr>
        <w:sectPr>
          <w:pgSz w:w="12240" w:h="15840"/>
          <w:pgMar w:top="1417" w:right="1361" w:bottom="1417" w:left="1361" w:header="720" w:footer="720" w:gutter="0"/>
          <w:cols w:space="0" w:num="1"/>
        </w:sectPr>
      </w:pPr>
    </w:p>
    <w:p>
      <w:pPr>
        <w:pStyle w:val="11"/>
        <w:rPr>
          <w:rFonts w:ascii="宋体" w:hAnsi="宋体" w:cs="宋体"/>
          <w:sz w:val="36"/>
          <w:szCs w:val="36"/>
        </w:rPr>
      </w:pPr>
      <w:r>
        <w:rPr>
          <w:rFonts w:hint="eastAsia" w:ascii="宋体" w:hAnsi="宋体" w:cs="宋体"/>
          <w:sz w:val="36"/>
          <w:szCs w:val="36"/>
        </w:rPr>
        <w:t>附件1</w:t>
      </w:r>
    </w:p>
    <w:p>
      <w:pPr>
        <w:jc w:val="center"/>
      </w:pPr>
      <w:r>
        <w:rPr>
          <w:rFonts w:hint="eastAsia" w:ascii="宋体" w:hAnsi="宋体" w:cs="宋体"/>
          <w:sz w:val="36"/>
          <w:szCs w:val="36"/>
        </w:rPr>
        <w:t>西山坪拌和站考评表</w:t>
      </w:r>
    </w:p>
    <w:tbl>
      <w:tblPr>
        <w:tblStyle w:val="18"/>
        <w:tblW w:w="93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9"/>
        <w:gridCol w:w="990"/>
        <w:gridCol w:w="2430"/>
        <w:gridCol w:w="2480"/>
        <w:gridCol w:w="1174"/>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209" w:type="dxa"/>
            <w:vAlign w:val="center"/>
          </w:tcPr>
          <w:p>
            <w:pPr>
              <w:jc w:val="center"/>
              <w:rPr>
                <w:szCs w:val="21"/>
              </w:rPr>
            </w:pPr>
            <w:r>
              <w:rPr>
                <w:rFonts w:hint="eastAsia"/>
                <w:szCs w:val="21"/>
              </w:rPr>
              <w:t>考评项目</w:t>
            </w:r>
          </w:p>
        </w:tc>
        <w:tc>
          <w:tcPr>
            <w:tcW w:w="990" w:type="dxa"/>
            <w:vAlign w:val="center"/>
          </w:tcPr>
          <w:p>
            <w:pPr>
              <w:jc w:val="center"/>
              <w:rPr>
                <w:szCs w:val="21"/>
              </w:rPr>
            </w:pPr>
            <w:r>
              <w:rPr>
                <w:rFonts w:hint="eastAsia"/>
                <w:szCs w:val="21"/>
              </w:rPr>
              <w:t>分值</w:t>
            </w:r>
          </w:p>
        </w:tc>
        <w:tc>
          <w:tcPr>
            <w:tcW w:w="2430" w:type="dxa"/>
            <w:vAlign w:val="center"/>
          </w:tcPr>
          <w:p>
            <w:pPr>
              <w:jc w:val="center"/>
              <w:rPr>
                <w:szCs w:val="21"/>
              </w:rPr>
            </w:pPr>
            <w:r>
              <w:rPr>
                <w:rFonts w:hint="eastAsia"/>
                <w:szCs w:val="21"/>
              </w:rPr>
              <w:t>考评指标</w:t>
            </w:r>
          </w:p>
        </w:tc>
        <w:tc>
          <w:tcPr>
            <w:tcW w:w="2480" w:type="dxa"/>
            <w:vAlign w:val="center"/>
          </w:tcPr>
          <w:p>
            <w:pPr>
              <w:jc w:val="center"/>
              <w:rPr>
                <w:szCs w:val="21"/>
              </w:rPr>
            </w:pPr>
            <w:r>
              <w:rPr>
                <w:rFonts w:hint="eastAsia"/>
                <w:szCs w:val="21"/>
              </w:rPr>
              <w:t>考核标准</w:t>
            </w:r>
          </w:p>
        </w:tc>
        <w:tc>
          <w:tcPr>
            <w:tcW w:w="1174" w:type="dxa"/>
            <w:vAlign w:val="center"/>
          </w:tcPr>
          <w:p>
            <w:pPr>
              <w:jc w:val="center"/>
              <w:rPr>
                <w:szCs w:val="21"/>
              </w:rPr>
            </w:pPr>
            <w:r>
              <w:rPr>
                <w:rFonts w:hint="eastAsia"/>
                <w:szCs w:val="21"/>
              </w:rPr>
              <w:t>考评得分</w:t>
            </w:r>
          </w:p>
        </w:tc>
        <w:tc>
          <w:tcPr>
            <w:tcW w:w="1086" w:type="dxa"/>
            <w:vAlign w:val="center"/>
          </w:tcPr>
          <w:p>
            <w:pPr>
              <w:jc w:val="center"/>
              <w:rPr>
                <w:szCs w:val="21"/>
              </w:rPr>
            </w:pPr>
            <w:r>
              <w:rPr>
                <w:rFonts w:hint="eastAsia"/>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1209" w:type="dxa"/>
            <w:vAlign w:val="center"/>
          </w:tcPr>
          <w:p>
            <w:pPr>
              <w:jc w:val="center"/>
              <w:rPr>
                <w:sz w:val="18"/>
                <w:szCs w:val="18"/>
              </w:rPr>
            </w:pPr>
            <w:r>
              <w:rPr>
                <w:rFonts w:hint="eastAsia"/>
                <w:sz w:val="18"/>
                <w:szCs w:val="18"/>
              </w:rPr>
              <w:t>否决指标</w:t>
            </w:r>
          </w:p>
        </w:tc>
        <w:tc>
          <w:tcPr>
            <w:tcW w:w="990" w:type="dxa"/>
            <w:vAlign w:val="center"/>
          </w:tcPr>
          <w:p>
            <w:pPr>
              <w:jc w:val="center"/>
              <w:rPr>
                <w:sz w:val="18"/>
                <w:szCs w:val="18"/>
              </w:rPr>
            </w:pPr>
            <w:r>
              <w:rPr>
                <w:rFonts w:hint="eastAsia"/>
                <w:sz w:val="18"/>
                <w:szCs w:val="18"/>
              </w:rPr>
              <w:t>一票否决</w:t>
            </w:r>
          </w:p>
        </w:tc>
        <w:tc>
          <w:tcPr>
            <w:tcW w:w="2430" w:type="dxa"/>
            <w:vAlign w:val="center"/>
          </w:tcPr>
          <w:p>
            <w:pPr>
              <w:jc w:val="left"/>
              <w:rPr>
                <w:sz w:val="18"/>
                <w:szCs w:val="18"/>
              </w:rPr>
            </w:pPr>
            <w:r>
              <w:rPr>
                <w:rFonts w:hint="eastAsia"/>
                <w:sz w:val="18"/>
                <w:szCs w:val="18"/>
              </w:rPr>
              <w:t>1、拌和站发生较大及以上生产安全事故</w:t>
            </w:r>
          </w:p>
          <w:p>
            <w:pPr>
              <w:jc w:val="left"/>
              <w:rPr>
                <w:sz w:val="18"/>
                <w:szCs w:val="18"/>
              </w:rPr>
            </w:pPr>
            <w:r>
              <w:rPr>
                <w:rFonts w:hint="eastAsia"/>
                <w:sz w:val="18"/>
                <w:szCs w:val="18"/>
              </w:rPr>
              <w:t>2、拌和站发生承担责任的一般生产安全事故，或发生其他具有较大不良影响的安全事件或突发事件的</w:t>
            </w:r>
          </w:p>
          <w:p>
            <w:pPr>
              <w:jc w:val="left"/>
            </w:pPr>
            <w:r>
              <w:rPr>
                <w:rFonts w:hint="eastAsia"/>
                <w:sz w:val="18"/>
                <w:szCs w:val="18"/>
              </w:rPr>
              <w:t>3、因环境污染，造成人员死亡并承担责任</w:t>
            </w:r>
          </w:p>
        </w:tc>
        <w:tc>
          <w:tcPr>
            <w:tcW w:w="2480" w:type="dxa"/>
            <w:vAlign w:val="center"/>
          </w:tcPr>
          <w:p>
            <w:pPr>
              <w:jc w:val="left"/>
              <w:rPr>
                <w:sz w:val="18"/>
                <w:szCs w:val="18"/>
              </w:rPr>
            </w:pPr>
          </w:p>
        </w:tc>
        <w:tc>
          <w:tcPr>
            <w:tcW w:w="1174" w:type="dxa"/>
          </w:tcPr>
          <w:p>
            <w:pPr>
              <w:jc w:val="left"/>
              <w:rPr>
                <w:sz w:val="18"/>
                <w:szCs w:val="18"/>
              </w:rPr>
            </w:pPr>
          </w:p>
        </w:tc>
        <w:tc>
          <w:tcPr>
            <w:tcW w:w="1086" w:type="dxa"/>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209" w:type="dxa"/>
            <w:vMerge w:val="restart"/>
            <w:vAlign w:val="center"/>
          </w:tcPr>
          <w:p>
            <w:pPr>
              <w:jc w:val="center"/>
              <w:rPr>
                <w:sz w:val="18"/>
                <w:szCs w:val="18"/>
              </w:rPr>
            </w:pPr>
            <w:r>
              <w:rPr>
                <w:rFonts w:hint="eastAsia"/>
                <w:sz w:val="18"/>
                <w:szCs w:val="18"/>
              </w:rPr>
              <w:t>安全管理</w:t>
            </w:r>
          </w:p>
        </w:tc>
        <w:tc>
          <w:tcPr>
            <w:tcW w:w="990" w:type="dxa"/>
            <w:vMerge w:val="restart"/>
            <w:vAlign w:val="center"/>
          </w:tcPr>
          <w:p>
            <w:pPr>
              <w:jc w:val="center"/>
              <w:rPr>
                <w:sz w:val="18"/>
                <w:szCs w:val="18"/>
              </w:rPr>
            </w:pPr>
            <w:r>
              <w:rPr>
                <w:rFonts w:hint="eastAsia"/>
                <w:sz w:val="18"/>
                <w:szCs w:val="18"/>
              </w:rPr>
              <w:t>45分</w:t>
            </w:r>
          </w:p>
        </w:tc>
        <w:tc>
          <w:tcPr>
            <w:tcW w:w="2430" w:type="dxa"/>
            <w:vAlign w:val="center"/>
          </w:tcPr>
          <w:p>
            <w:pPr>
              <w:spacing w:line="240" w:lineRule="auto"/>
              <w:jc w:val="left"/>
              <w:rPr>
                <w:sz w:val="18"/>
                <w:szCs w:val="18"/>
              </w:rPr>
            </w:pPr>
            <w:r>
              <w:rPr>
                <w:rFonts w:hint="eastAsia"/>
                <w:sz w:val="18"/>
                <w:szCs w:val="18"/>
              </w:rPr>
              <w:t>1、杜绝轻伤及以上的人身伤害事故</w:t>
            </w:r>
          </w:p>
        </w:tc>
        <w:tc>
          <w:tcPr>
            <w:tcW w:w="2480" w:type="dxa"/>
            <w:vAlign w:val="center"/>
          </w:tcPr>
          <w:p>
            <w:pPr>
              <w:spacing w:line="240" w:lineRule="auto"/>
              <w:jc w:val="left"/>
              <w:rPr>
                <w:sz w:val="18"/>
                <w:szCs w:val="18"/>
              </w:rPr>
            </w:pPr>
            <w:r>
              <w:rPr>
                <w:rFonts w:hint="eastAsia"/>
                <w:sz w:val="18"/>
                <w:szCs w:val="18"/>
              </w:rPr>
              <w:t>轻伤及以上事故，扣10分</w:t>
            </w:r>
          </w:p>
        </w:tc>
        <w:tc>
          <w:tcPr>
            <w:tcW w:w="1174" w:type="dxa"/>
          </w:tcPr>
          <w:p>
            <w:pPr>
              <w:spacing w:line="240" w:lineRule="auto"/>
              <w:jc w:val="left"/>
              <w:rPr>
                <w:sz w:val="18"/>
                <w:szCs w:val="18"/>
              </w:rPr>
            </w:pPr>
          </w:p>
        </w:tc>
        <w:tc>
          <w:tcPr>
            <w:tcW w:w="1086" w:type="dxa"/>
          </w:tcPr>
          <w:p>
            <w:pPr>
              <w:spacing w:line="240" w:lineRule="auto"/>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jc w:val="center"/>
        </w:trPr>
        <w:tc>
          <w:tcPr>
            <w:tcW w:w="1209" w:type="dxa"/>
            <w:vMerge w:val="continue"/>
          </w:tcPr>
          <w:p>
            <w:pPr>
              <w:rPr>
                <w:sz w:val="18"/>
                <w:szCs w:val="18"/>
              </w:rPr>
            </w:pPr>
          </w:p>
        </w:tc>
        <w:tc>
          <w:tcPr>
            <w:tcW w:w="990" w:type="dxa"/>
            <w:vMerge w:val="continue"/>
          </w:tcPr>
          <w:p>
            <w:pPr>
              <w:rPr>
                <w:sz w:val="18"/>
                <w:szCs w:val="18"/>
              </w:rPr>
            </w:pPr>
          </w:p>
        </w:tc>
        <w:tc>
          <w:tcPr>
            <w:tcW w:w="2430" w:type="dxa"/>
            <w:vAlign w:val="center"/>
          </w:tcPr>
          <w:p>
            <w:pPr>
              <w:spacing w:line="240" w:lineRule="auto"/>
              <w:jc w:val="left"/>
              <w:rPr>
                <w:sz w:val="18"/>
                <w:szCs w:val="18"/>
              </w:rPr>
            </w:pPr>
            <w:r>
              <w:rPr>
                <w:rFonts w:hint="eastAsia"/>
                <w:sz w:val="18"/>
                <w:szCs w:val="18"/>
              </w:rPr>
              <w:t>2、安全组织机构、管理制度健全，落实到位</w:t>
            </w:r>
          </w:p>
        </w:tc>
        <w:tc>
          <w:tcPr>
            <w:tcW w:w="2480" w:type="dxa"/>
            <w:vAlign w:val="center"/>
          </w:tcPr>
          <w:p>
            <w:pPr>
              <w:spacing w:line="240" w:lineRule="auto"/>
              <w:jc w:val="left"/>
              <w:rPr>
                <w:sz w:val="18"/>
                <w:szCs w:val="18"/>
              </w:rPr>
            </w:pPr>
            <w:r>
              <w:rPr>
                <w:sz w:val="18"/>
                <w:szCs w:val="18"/>
              </w:rPr>
              <w:t>无安全组织机构、无安全管理制度</w:t>
            </w:r>
            <w:r>
              <w:rPr>
                <w:rFonts w:hint="eastAsia"/>
                <w:sz w:val="18"/>
                <w:szCs w:val="18"/>
              </w:rPr>
              <w:t>，</w:t>
            </w:r>
            <w:r>
              <w:rPr>
                <w:sz w:val="18"/>
                <w:szCs w:val="18"/>
              </w:rPr>
              <w:t>每缺一项扣</w:t>
            </w:r>
            <w:r>
              <w:rPr>
                <w:rFonts w:hint="eastAsia"/>
                <w:sz w:val="18"/>
                <w:szCs w:val="18"/>
              </w:rPr>
              <w:t>5</w:t>
            </w:r>
            <w:r>
              <w:rPr>
                <w:sz w:val="18"/>
                <w:szCs w:val="18"/>
              </w:rPr>
              <w:t>分</w:t>
            </w:r>
          </w:p>
        </w:tc>
        <w:tc>
          <w:tcPr>
            <w:tcW w:w="1174" w:type="dxa"/>
          </w:tcPr>
          <w:p>
            <w:pPr>
              <w:spacing w:line="240" w:lineRule="auto"/>
              <w:jc w:val="left"/>
              <w:rPr>
                <w:sz w:val="18"/>
                <w:szCs w:val="18"/>
              </w:rPr>
            </w:pPr>
          </w:p>
        </w:tc>
        <w:tc>
          <w:tcPr>
            <w:tcW w:w="1086" w:type="dxa"/>
          </w:tcPr>
          <w:p>
            <w:pPr>
              <w:spacing w:line="240" w:lineRule="auto"/>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209" w:type="dxa"/>
            <w:vMerge w:val="continue"/>
          </w:tcPr>
          <w:p>
            <w:pPr>
              <w:rPr>
                <w:sz w:val="18"/>
                <w:szCs w:val="18"/>
              </w:rPr>
            </w:pPr>
          </w:p>
        </w:tc>
        <w:tc>
          <w:tcPr>
            <w:tcW w:w="990" w:type="dxa"/>
            <w:vMerge w:val="continue"/>
          </w:tcPr>
          <w:p>
            <w:pPr>
              <w:rPr>
                <w:sz w:val="18"/>
                <w:szCs w:val="18"/>
              </w:rPr>
            </w:pPr>
          </w:p>
        </w:tc>
        <w:tc>
          <w:tcPr>
            <w:tcW w:w="2430" w:type="dxa"/>
            <w:vAlign w:val="center"/>
          </w:tcPr>
          <w:p>
            <w:pPr>
              <w:spacing w:line="240" w:lineRule="auto"/>
              <w:jc w:val="left"/>
              <w:rPr>
                <w:sz w:val="18"/>
                <w:szCs w:val="18"/>
              </w:rPr>
            </w:pPr>
            <w:r>
              <w:rPr>
                <w:rFonts w:hint="eastAsia"/>
                <w:sz w:val="18"/>
                <w:szCs w:val="18"/>
              </w:rPr>
              <w:t>3、建立健全安全隐患应急处理预案</w:t>
            </w:r>
          </w:p>
        </w:tc>
        <w:tc>
          <w:tcPr>
            <w:tcW w:w="2480" w:type="dxa"/>
            <w:vAlign w:val="center"/>
          </w:tcPr>
          <w:p>
            <w:pPr>
              <w:spacing w:line="240" w:lineRule="auto"/>
              <w:jc w:val="left"/>
              <w:rPr>
                <w:sz w:val="18"/>
                <w:szCs w:val="18"/>
              </w:rPr>
            </w:pPr>
            <w:r>
              <w:rPr>
                <w:rFonts w:hint="eastAsia"/>
                <w:sz w:val="18"/>
                <w:szCs w:val="18"/>
              </w:rPr>
              <w:t>无安全应急处理预案，扣5分</w:t>
            </w:r>
          </w:p>
        </w:tc>
        <w:tc>
          <w:tcPr>
            <w:tcW w:w="1174" w:type="dxa"/>
          </w:tcPr>
          <w:p>
            <w:pPr>
              <w:spacing w:line="240" w:lineRule="auto"/>
              <w:jc w:val="left"/>
              <w:rPr>
                <w:sz w:val="18"/>
                <w:szCs w:val="18"/>
              </w:rPr>
            </w:pPr>
          </w:p>
        </w:tc>
        <w:tc>
          <w:tcPr>
            <w:tcW w:w="1086" w:type="dxa"/>
          </w:tcPr>
          <w:p>
            <w:pPr>
              <w:spacing w:line="240" w:lineRule="auto"/>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209" w:type="dxa"/>
            <w:vMerge w:val="continue"/>
          </w:tcPr>
          <w:p>
            <w:pPr>
              <w:rPr>
                <w:sz w:val="18"/>
                <w:szCs w:val="18"/>
              </w:rPr>
            </w:pPr>
          </w:p>
        </w:tc>
        <w:tc>
          <w:tcPr>
            <w:tcW w:w="990" w:type="dxa"/>
            <w:vMerge w:val="continue"/>
          </w:tcPr>
          <w:p>
            <w:pPr>
              <w:rPr>
                <w:sz w:val="18"/>
                <w:szCs w:val="18"/>
              </w:rPr>
            </w:pPr>
          </w:p>
        </w:tc>
        <w:tc>
          <w:tcPr>
            <w:tcW w:w="2430" w:type="dxa"/>
            <w:vAlign w:val="center"/>
          </w:tcPr>
          <w:p>
            <w:pPr>
              <w:spacing w:line="240" w:lineRule="auto"/>
              <w:jc w:val="left"/>
              <w:rPr>
                <w:sz w:val="18"/>
                <w:szCs w:val="18"/>
              </w:rPr>
            </w:pPr>
            <w:r>
              <w:rPr>
                <w:rFonts w:hint="eastAsia"/>
                <w:sz w:val="18"/>
                <w:szCs w:val="18"/>
              </w:rPr>
              <w:t>4、特种作业人员、设备建档管理</w:t>
            </w:r>
          </w:p>
        </w:tc>
        <w:tc>
          <w:tcPr>
            <w:tcW w:w="2480" w:type="dxa"/>
            <w:vAlign w:val="center"/>
          </w:tcPr>
          <w:p>
            <w:pPr>
              <w:spacing w:line="240" w:lineRule="auto"/>
              <w:jc w:val="left"/>
              <w:rPr>
                <w:sz w:val="18"/>
                <w:szCs w:val="18"/>
              </w:rPr>
            </w:pPr>
            <w:r>
              <w:rPr>
                <w:rFonts w:hint="eastAsia"/>
                <w:sz w:val="18"/>
                <w:szCs w:val="18"/>
              </w:rPr>
              <w:t>无特种作业人员、设备建档管理，每缺一项扣3分</w:t>
            </w:r>
          </w:p>
        </w:tc>
        <w:tc>
          <w:tcPr>
            <w:tcW w:w="1174" w:type="dxa"/>
          </w:tcPr>
          <w:p>
            <w:pPr>
              <w:spacing w:line="240" w:lineRule="auto"/>
              <w:jc w:val="left"/>
              <w:rPr>
                <w:sz w:val="18"/>
                <w:szCs w:val="18"/>
              </w:rPr>
            </w:pPr>
          </w:p>
        </w:tc>
        <w:tc>
          <w:tcPr>
            <w:tcW w:w="1086" w:type="dxa"/>
          </w:tcPr>
          <w:p>
            <w:pPr>
              <w:spacing w:line="240" w:lineRule="auto"/>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209" w:type="dxa"/>
            <w:vMerge w:val="continue"/>
          </w:tcPr>
          <w:p>
            <w:pPr>
              <w:rPr>
                <w:sz w:val="18"/>
                <w:szCs w:val="18"/>
              </w:rPr>
            </w:pPr>
          </w:p>
        </w:tc>
        <w:tc>
          <w:tcPr>
            <w:tcW w:w="990" w:type="dxa"/>
            <w:vMerge w:val="continue"/>
          </w:tcPr>
          <w:p>
            <w:pPr>
              <w:rPr>
                <w:sz w:val="18"/>
                <w:szCs w:val="18"/>
              </w:rPr>
            </w:pPr>
          </w:p>
        </w:tc>
        <w:tc>
          <w:tcPr>
            <w:tcW w:w="2430" w:type="dxa"/>
            <w:vAlign w:val="center"/>
          </w:tcPr>
          <w:p>
            <w:pPr>
              <w:spacing w:line="240" w:lineRule="auto"/>
              <w:jc w:val="left"/>
              <w:rPr>
                <w:sz w:val="18"/>
                <w:szCs w:val="18"/>
              </w:rPr>
            </w:pPr>
            <w:r>
              <w:rPr>
                <w:rFonts w:hint="eastAsia"/>
                <w:sz w:val="18"/>
                <w:szCs w:val="18"/>
              </w:rPr>
              <w:t>5、安全资料完整</w:t>
            </w:r>
          </w:p>
        </w:tc>
        <w:tc>
          <w:tcPr>
            <w:tcW w:w="2480" w:type="dxa"/>
            <w:vAlign w:val="center"/>
          </w:tcPr>
          <w:p>
            <w:pPr>
              <w:spacing w:line="240" w:lineRule="auto"/>
              <w:jc w:val="left"/>
              <w:rPr>
                <w:sz w:val="18"/>
                <w:szCs w:val="18"/>
              </w:rPr>
            </w:pPr>
            <w:r>
              <w:rPr>
                <w:rFonts w:hint="eastAsia"/>
                <w:sz w:val="18"/>
                <w:szCs w:val="18"/>
              </w:rPr>
              <w:t>安全资料不完整扣5分</w:t>
            </w:r>
          </w:p>
        </w:tc>
        <w:tc>
          <w:tcPr>
            <w:tcW w:w="1174" w:type="dxa"/>
          </w:tcPr>
          <w:p>
            <w:pPr>
              <w:spacing w:line="240" w:lineRule="auto"/>
              <w:jc w:val="left"/>
              <w:rPr>
                <w:sz w:val="18"/>
                <w:szCs w:val="18"/>
              </w:rPr>
            </w:pPr>
          </w:p>
        </w:tc>
        <w:tc>
          <w:tcPr>
            <w:tcW w:w="1086" w:type="dxa"/>
          </w:tcPr>
          <w:p>
            <w:pPr>
              <w:spacing w:line="240" w:lineRule="auto"/>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1209" w:type="dxa"/>
            <w:vMerge w:val="continue"/>
          </w:tcPr>
          <w:p>
            <w:pPr>
              <w:rPr>
                <w:sz w:val="18"/>
                <w:szCs w:val="18"/>
              </w:rPr>
            </w:pPr>
          </w:p>
        </w:tc>
        <w:tc>
          <w:tcPr>
            <w:tcW w:w="990" w:type="dxa"/>
            <w:vMerge w:val="continue"/>
          </w:tcPr>
          <w:p>
            <w:pPr>
              <w:rPr>
                <w:sz w:val="18"/>
                <w:szCs w:val="18"/>
              </w:rPr>
            </w:pPr>
          </w:p>
        </w:tc>
        <w:tc>
          <w:tcPr>
            <w:tcW w:w="2430" w:type="dxa"/>
            <w:vAlign w:val="center"/>
          </w:tcPr>
          <w:p>
            <w:pPr>
              <w:spacing w:line="240" w:lineRule="auto"/>
              <w:jc w:val="left"/>
              <w:rPr>
                <w:sz w:val="18"/>
                <w:szCs w:val="18"/>
              </w:rPr>
            </w:pPr>
            <w:r>
              <w:rPr>
                <w:rFonts w:hint="eastAsia"/>
                <w:sz w:val="18"/>
                <w:szCs w:val="18"/>
              </w:rPr>
              <w:t>6、现场劳动安全防护措施与安全警示设施齐全、有效</w:t>
            </w:r>
          </w:p>
        </w:tc>
        <w:tc>
          <w:tcPr>
            <w:tcW w:w="2480" w:type="dxa"/>
            <w:vAlign w:val="center"/>
          </w:tcPr>
          <w:p>
            <w:pPr>
              <w:spacing w:line="240" w:lineRule="auto"/>
              <w:jc w:val="left"/>
              <w:rPr>
                <w:sz w:val="18"/>
                <w:szCs w:val="18"/>
              </w:rPr>
            </w:pPr>
            <w:r>
              <w:rPr>
                <w:rFonts w:hint="eastAsia"/>
                <w:sz w:val="18"/>
                <w:szCs w:val="18"/>
              </w:rPr>
              <w:t>现场安全警示设施不齐全、安全防护不到位，每项扣2分</w:t>
            </w:r>
          </w:p>
        </w:tc>
        <w:tc>
          <w:tcPr>
            <w:tcW w:w="1174" w:type="dxa"/>
          </w:tcPr>
          <w:p>
            <w:pPr>
              <w:spacing w:line="240" w:lineRule="auto"/>
              <w:jc w:val="left"/>
              <w:rPr>
                <w:sz w:val="18"/>
                <w:szCs w:val="18"/>
              </w:rPr>
            </w:pPr>
          </w:p>
        </w:tc>
        <w:tc>
          <w:tcPr>
            <w:tcW w:w="1086" w:type="dxa"/>
          </w:tcPr>
          <w:p>
            <w:pPr>
              <w:spacing w:line="240" w:lineRule="auto"/>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209" w:type="dxa"/>
            <w:vMerge w:val="restart"/>
            <w:vAlign w:val="center"/>
          </w:tcPr>
          <w:p>
            <w:pPr>
              <w:jc w:val="center"/>
              <w:rPr>
                <w:sz w:val="18"/>
                <w:szCs w:val="18"/>
              </w:rPr>
            </w:pPr>
            <w:r>
              <w:rPr>
                <w:rFonts w:hint="eastAsia"/>
                <w:sz w:val="18"/>
                <w:szCs w:val="18"/>
              </w:rPr>
              <w:t>质量管控</w:t>
            </w:r>
          </w:p>
        </w:tc>
        <w:tc>
          <w:tcPr>
            <w:tcW w:w="990" w:type="dxa"/>
            <w:vMerge w:val="restart"/>
            <w:vAlign w:val="center"/>
          </w:tcPr>
          <w:p>
            <w:pPr>
              <w:jc w:val="center"/>
              <w:rPr>
                <w:sz w:val="18"/>
                <w:szCs w:val="18"/>
              </w:rPr>
            </w:pPr>
            <w:r>
              <w:rPr>
                <w:rFonts w:hint="eastAsia"/>
                <w:sz w:val="18"/>
                <w:szCs w:val="18"/>
              </w:rPr>
              <w:t>45分</w:t>
            </w:r>
          </w:p>
        </w:tc>
        <w:tc>
          <w:tcPr>
            <w:tcW w:w="2430" w:type="dxa"/>
            <w:vAlign w:val="center"/>
          </w:tcPr>
          <w:p>
            <w:pPr>
              <w:jc w:val="left"/>
              <w:rPr>
                <w:sz w:val="18"/>
                <w:szCs w:val="18"/>
              </w:rPr>
            </w:pPr>
            <w:r>
              <w:rPr>
                <w:rFonts w:hint="eastAsia"/>
                <w:sz w:val="18"/>
                <w:szCs w:val="18"/>
              </w:rPr>
              <w:t>1、杜绝质量事故</w:t>
            </w:r>
          </w:p>
        </w:tc>
        <w:tc>
          <w:tcPr>
            <w:tcW w:w="2480" w:type="dxa"/>
            <w:vAlign w:val="center"/>
          </w:tcPr>
          <w:p>
            <w:pPr>
              <w:jc w:val="left"/>
              <w:rPr>
                <w:sz w:val="18"/>
                <w:szCs w:val="18"/>
              </w:rPr>
            </w:pPr>
            <w:r>
              <w:rPr>
                <w:rFonts w:hint="eastAsia"/>
                <w:sz w:val="18"/>
                <w:szCs w:val="18"/>
              </w:rPr>
              <w:t>发生质量事故，扣20分/次</w:t>
            </w:r>
          </w:p>
        </w:tc>
        <w:tc>
          <w:tcPr>
            <w:tcW w:w="1174" w:type="dxa"/>
          </w:tcPr>
          <w:p>
            <w:pPr>
              <w:jc w:val="left"/>
              <w:rPr>
                <w:sz w:val="18"/>
                <w:szCs w:val="18"/>
              </w:rPr>
            </w:pPr>
          </w:p>
        </w:tc>
        <w:tc>
          <w:tcPr>
            <w:tcW w:w="1086" w:type="dxa"/>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6" w:hRule="atLeast"/>
          <w:jc w:val="center"/>
        </w:trPr>
        <w:tc>
          <w:tcPr>
            <w:tcW w:w="1209" w:type="dxa"/>
            <w:vMerge w:val="continue"/>
          </w:tcPr>
          <w:p>
            <w:pPr>
              <w:rPr>
                <w:sz w:val="18"/>
                <w:szCs w:val="18"/>
              </w:rPr>
            </w:pPr>
          </w:p>
        </w:tc>
        <w:tc>
          <w:tcPr>
            <w:tcW w:w="990" w:type="dxa"/>
            <w:vMerge w:val="continue"/>
          </w:tcPr>
          <w:p>
            <w:pPr>
              <w:rPr>
                <w:sz w:val="18"/>
                <w:szCs w:val="18"/>
              </w:rPr>
            </w:pPr>
          </w:p>
        </w:tc>
        <w:tc>
          <w:tcPr>
            <w:tcW w:w="2430" w:type="dxa"/>
            <w:vAlign w:val="center"/>
          </w:tcPr>
          <w:p>
            <w:pPr>
              <w:jc w:val="left"/>
              <w:rPr>
                <w:sz w:val="18"/>
                <w:szCs w:val="18"/>
              </w:rPr>
            </w:pPr>
            <w:r>
              <w:rPr>
                <w:rFonts w:hint="eastAsia"/>
                <w:sz w:val="18"/>
                <w:szCs w:val="18"/>
              </w:rPr>
              <w:t>2、拌和站机械设备的日常维修、保养和场地清洁</w:t>
            </w:r>
          </w:p>
        </w:tc>
        <w:tc>
          <w:tcPr>
            <w:tcW w:w="2480" w:type="dxa"/>
            <w:vAlign w:val="center"/>
          </w:tcPr>
          <w:p>
            <w:pPr>
              <w:jc w:val="left"/>
              <w:rPr>
                <w:sz w:val="18"/>
                <w:szCs w:val="18"/>
              </w:rPr>
            </w:pPr>
            <w:r>
              <w:rPr>
                <w:rFonts w:hint="eastAsia"/>
                <w:sz w:val="18"/>
                <w:szCs w:val="18"/>
              </w:rPr>
              <w:t>未及时对机械设备进行日常维修、保养、清洁等，扣2分/次</w:t>
            </w:r>
          </w:p>
        </w:tc>
        <w:tc>
          <w:tcPr>
            <w:tcW w:w="1174" w:type="dxa"/>
          </w:tcPr>
          <w:p>
            <w:pPr>
              <w:jc w:val="left"/>
              <w:rPr>
                <w:sz w:val="18"/>
                <w:szCs w:val="18"/>
              </w:rPr>
            </w:pPr>
          </w:p>
        </w:tc>
        <w:tc>
          <w:tcPr>
            <w:tcW w:w="1086" w:type="dxa"/>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209" w:type="dxa"/>
            <w:vMerge w:val="continue"/>
          </w:tcPr>
          <w:p>
            <w:pPr>
              <w:rPr>
                <w:sz w:val="18"/>
                <w:szCs w:val="18"/>
              </w:rPr>
            </w:pPr>
          </w:p>
        </w:tc>
        <w:tc>
          <w:tcPr>
            <w:tcW w:w="990" w:type="dxa"/>
            <w:vMerge w:val="continue"/>
          </w:tcPr>
          <w:p>
            <w:pPr>
              <w:rPr>
                <w:sz w:val="18"/>
                <w:szCs w:val="18"/>
              </w:rPr>
            </w:pPr>
          </w:p>
        </w:tc>
        <w:tc>
          <w:tcPr>
            <w:tcW w:w="2430" w:type="dxa"/>
            <w:vAlign w:val="center"/>
          </w:tcPr>
          <w:p>
            <w:pPr>
              <w:jc w:val="left"/>
              <w:rPr>
                <w:sz w:val="18"/>
                <w:szCs w:val="18"/>
              </w:rPr>
            </w:pPr>
            <w:r>
              <w:rPr>
                <w:rFonts w:hint="eastAsia"/>
                <w:sz w:val="18"/>
                <w:szCs w:val="18"/>
              </w:rPr>
              <w:t>3、按实验室给出的加工配合比进行生产</w:t>
            </w:r>
          </w:p>
        </w:tc>
        <w:tc>
          <w:tcPr>
            <w:tcW w:w="2480" w:type="dxa"/>
            <w:vAlign w:val="center"/>
          </w:tcPr>
          <w:p>
            <w:pPr>
              <w:jc w:val="left"/>
              <w:rPr>
                <w:sz w:val="18"/>
                <w:szCs w:val="18"/>
              </w:rPr>
            </w:pPr>
            <w:r>
              <w:rPr>
                <w:rFonts w:hint="eastAsia"/>
                <w:sz w:val="18"/>
                <w:szCs w:val="18"/>
              </w:rPr>
              <w:t>未按实验室给出的加工配合比进行生产，扣5分/次</w:t>
            </w:r>
          </w:p>
        </w:tc>
        <w:tc>
          <w:tcPr>
            <w:tcW w:w="1174" w:type="dxa"/>
          </w:tcPr>
          <w:p>
            <w:pPr>
              <w:jc w:val="left"/>
              <w:rPr>
                <w:sz w:val="18"/>
                <w:szCs w:val="18"/>
              </w:rPr>
            </w:pPr>
          </w:p>
        </w:tc>
        <w:tc>
          <w:tcPr>
            <w:tcW w:w="1086" w:type="dxa"/>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1209" w:type="dxa"/>
            <w:vMerge w:val="continue"/>
          </w:tcPr>
          <w:p>
            <w:pPr>
              <w:rPr>
                <w:sz w:val="18"/>
                <w:szCs w:val="18"/>
              </w:rPr>
            </w:pPr>
          </w:p>
        </w:tc>
        <w:tc>
          <w:tcPr>
            <w:tcW w:w="990" w:type="dxa"/>
            <w:vMerge w:val="continue"/>
          </w:tcPr>
          <w:p>
            <w:pPr>
              <w:rPr>
                <w:sz w:val="18"/>
                <w:szCs w:val="18"/>
              </w:rPr>
            </w:pPr>
          </w:p>
        </w:tc>
        <w:tc>
          <w:tcPr>
            <w:tcW w:w="2430" w:type="dxa"/>
            <w:vAlign w:val="center"/>
          </w:tcPr>
          <w:p>
            <w:pPr>
              <w:jc w:val="left"/>
              <w:rPr>
                <w:sz w:val="18"/>
                <w:szCs w:val="18"/>
              </w:rPr>
            </w:pPr>
            <w:r>
              <w:rPr>
                <w:rFonts w:hint="eastAsia"/>
                <w:sz w:val="18"/>
                <w:szCs w:val="18"/>
              </w:rPr>
              <w:t>4、加工任务按时、高质量完成</w:t>
            </w:r>
          </w:p>
        </w:tc>
        <w:tc>
          <w:tcPr>
            <w:tcW w:w="2480" w:type="dxa"/>
            <w:vAlign w:val="center"/>
          </w:tcPr>
          <w:p>
            <w:pPr>
              <w:jc w:val="left"/>
              <w:rPr>
                <w:sz w:val="18"/>
                <w:szCs w:val="18"/>
              </w:rPr>
            </w:pPr>
            <w:r>
              <w:rPr>
                <w:rFonts w:hint="eastAsia"/>
                <w:sz w:val="18"/>
                <w:szCs w:val="18"/>
              </w:rPr>
              <w:t>未按时生产，扣2分/次；生产质量不达标，扣5分/次</w:t>
            </w:r>
          </w:p>
        </w:tc>
        <w:tc>
          <w:tcPr>
            <w:tcW w:w="1174" w:type="dxa"/>
          </w:tcPr>
          <w:p>
            <w:pPr>
              <w:jc w:val="left"/>
              <w:rPr>
                <w:sz w:val="18"/>
                <w:szCs w:val="18"/>
              </w:rPr>
            </w:pPr>
          </w:p>
        </w:tc>
        <w:tc>
          <w:tcPr>
            <w:tcW w:w="1086" w:type="dxa"/>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209" w:type="dxa"/>
            <w:vAlign w:val="center"/>
          </w:tcPr>
          <w:p>
            <w:pPr>
              <w:jc w:val="center"/>
              <w:rPr>
                <w:sz w:val="18"/>
                <w:szCs w:val="18"/>
              </w:rPr>
            </w:pPr>
            <w:r>
              <w:rPr>
                <w:rFonts w:hint="eastAsia"/>
                <w:sz w:val="18"/>
                <w:szCs w:val="18"/>
              </w:rPr>
              <w:t>和谐发展</w:t>
            </w:r>
          </w:p>
        </w:tc>
        <w:tc>
          <w:tcPr>
            <w:tcW w:w="990" w:type="dxa"/>
            <w:vAlign w:val="center"/>
          </w:tcPr>
          <w:p>
            <w:pPr>
              <w:jc w:val="center"/>
              <w:rPr>
                <w:sz w:val="18"/>
                <w:szCs w:val="18"/>
              </w:rPr>
            </w:pPr>
            <w:r>
              <w:rPr>
                <w:rFonts w:hint="eastAsia"/>
                <w:sz w:val="18"/>
                <w:szCs w:val="18"/>
              </w:rPr>
              <w:t>10</w:t>
            </w:r>
          </w:p>
        </w:tc>
        <w:tc>
          <w:tcPr>
            <w:tcW w:w="2430" w:type="dxa"/>
            <w:vAlign w:val="center"/>
          </w:tcPr>
          <w:p>
            <w:pPr>
              <w:jc w:val="left"/>
              <w:rPr>
                <w:sz w:val="18"/>
                <w:szCs w:val="18"/>
              </w:rPr>
            </w:pPr>
            <w:r>
              <w:rPr>
                <w:rFonts w:hint="eastAsia"/>
                <w:sz w:val="18"/>
                <w:szCs w:val="18"/>
              </w:rPr>
              <w:t>配合甲方完成生产加工</w:t>
            </w:r>
          </w:p>
        </w:tc>
        <w:tc>
          <w:tcPr>
            <w:tcW w:w="2480" w:type="dxa"/>
            <w:vAlign w:val="center"/>
          </w:tcPr>
          <w:p>
            <w:pPr>
              <w:jc w:val="left"/>
              <w:rPr>
                <w:sz w:val="18"/>
                <w:szCs w:val="18"/>
              </w:rPr>
            </w:pPr>
            <w:r>
              <w:rPr>
                <w:rFonts w:hint="eastAsia"/>
                <w:sz w:val="18"/>
                <w:szCs w:val="18"/>
              </w:rPr>
              <w:t>工作不配合，推卸责任，每次扣2分</w:t>
            </w:r>
          </w:p>
        </w:tc>
        <w:tc>
          <w:tcPr>
            <w:tcW w:w="1174" w:type="dxa"/>
          </w:tcPr>
          <w:p>
            <w:pPr>
              <w:jc w:val="left"/>
              <w:rPr>
                <w:sz w:val="18"/>
                <w:szCs w:val="18"/>
              </w:rPr>
            </w:pPr>
          </w:p>
        </w:tc>
        <w:tc>
          <w:tcPr>
            <w:tcW w:w="1086" w:type="dxa"/>
          </w:tcPr>
          <w:p>
            <w:pPr>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09" w:type="dxa"/>
            <w:vAlign w:val="center"/>
          </w:tcPr>
          <w:p>
            <w:pPr>
              <w:jc w:val="center"/>
              <w:rPr>
                <w:sz w:val="18"/>
                <w:szCs w:val="18"/>
              </w:rPr>
            </w:pPr>
            <w:r>
              <w:rPr>
                <w:rFonts w:hint="eastAsia"/>
                <w:sz w:val="18"/>
                <w:szCs w:val="18"/>
              </w:rPr>
              <w:t>合计</w:t>
            </w:r>
          </w:p>
        </w:tc>
        <w:tc>
          <w:tcPr>
            <w:tcW w:w="990" w:type="dxa"/>
            <w:vAlign w:val="center"/>
          </w:tcPr>
          <w:p>
            <w:pPr>
              <w:jc w:val="center"/>
              <w:rPr>
                <w:sz w:val="18"/>
                <w:szCs w:val="18"/>
              </w:rPr>
            </w:pPr>
          </w:p>
        </w:tc>
        <w:tc>
          <w:tcPr>
            <w:tcW w:w="2430" w:type="dxa"/>
            <w:vAlign w:val="center"/>
          </w:tcPr>
          <w:p>
            <w:pPr>
              <w:jc w:val="left"/>
              <w:rPr>
                <w:sz w:val="18"/>
                <w:szCs w:val="18"/>
              </w:rPr>
            </w:pPr>
          </w:p>
        </w:tc>
        <w:tc>
          <w:tcPr>
            <w:tcW w:w="2480" w:type="dxa"/>
            <w:vAlign w:val="center"/>
          </w:tcPr>
          <w:p>
            <w:pPr>
              <w:jc w:val="left"/>
              <w:rPr>
                <w:sz w:val="18"/>
                <w:szCs w:val="18"/>
              </w:rPr>
            </w:pPr>
          </w:p>
        </w:tc>
        <w:tc>
          <w:tcPr>
            <w:tcW w:w="1174" w:type="dxa"/>
          </w:tcPr>
          <w:p>
            <w:pPr>
              <w:jc w:val="left"/>
              <w:rPr>
                <w:sz w:val="18"/>
                <w:szCs w:val="18"/>
              </w:rPr>
            </w:pPr>
          </w:p>
        </w:tc>
        <w:tc>
          <w:tcPr>
            <w:tcW w:w="1086" w:type="dxa"/>
          </w:tcPr>
          <w:p>
            <w:pPr>
              <w:jc w:val="left"/>
              <w:rPr>
                <w:sz w:val="18"/>
                <w:szCs w:val="18"/>
              </w:rPr>
            </w:pPr>
          </w:p>
        </w:tc>
      </w:tr>
    </w:tbl>
    <w:p>
      <w:pPr>
        <w:rPr>
          <w:sz w:val="18"/>
          <w:szCs w:val="18"/>
        </w:rPr>
      </w:pPr>
    </w:p>
    <w:p>
      <w:pPr>
        <w:rPr>
          <w:szCs w:val="21"/>
        </w:rPr>
      </w:pPr>
      <w:r>
        <w:rPr>
          <w:rFonts w:hint="eastAsia"/>
          <w:szCs w:val="21"/>
        </w:rPr>
        <w:t>备注：一票否决即考评得分为0分；本考评表最终得分60分以上合格。</w:t>
      </w:r>
    </w:p>
    <w:p>
      <w:pPr>
        <w:spacing w:line="480" w:lineRule="atLeast"/>
        <w:outlineLvl w:val="0"/>
        <w:rPr>
          <w:rFonts w:ascii="宋体" w:hAnsi="宋体"/>
          <w:bCs/>
          <w:sz w:val="24"/>
        </w:rPr>
      </w:pPr>
    </w:p>
    <w:p>
      <w:pPr>
        <w:spacing w:line="360" w:lineRule="auto"/>
        <w:ind w:left="2757" w:hanging="2715" w:hangingChars="845"/>
        <w:jc w:val="center"/>
        <w:rPr>
          <w:rFonts w:ascii="宋体" w:hAnsi="宋体"/>
          <w:b/>
          <w:sz w:val="32"/>
          <w:szCs w:val="36"/>
        </w:rPr>
      </w:pPr>
    </w:p>
    <w:p>
      <w:pPr>
        <w:rPr>
          <w:rFonts w:ascii="宋体" w:hAnsi="宋体"/>
          <w:sz w:val="32"/>
          <w:szCs w:val="36"/>
        </w:rPr>
      </w:pPr>
    </w:p>
    <w:p>
      <w:pPr>
        <w:rPr>
          <w:rFonts w:ascii="宋体" w:hAnsi="宋体"/>
          <w:b w:val="0"/>
          <w:sz w:val="32"/>
          <w:szCs w:val="36"/>
        </w:rPr>
      </w:pPr>
    </w:p>
    <w:p>
      <w:pPr>
        <w:tabs>
          <w:tab w:val="left" w:pos="8175"/>
        </w:tabs>
        <w:rPr>
          <w:rFonts w:ascii="宋体" w:hAnsi="宋体"/>
          <w:sz w:val="32"/>
          <w:szCs w:val="36"/>
        </w:rPr>
      </w:pPr>
      <w:r>
        <w:rPr>
          <w:rFonts w:ascii="宋体" w:hAnsi="宋体"/>
          <w:sz w:val="32"/>
          <w:szCs w:val="36"/>
        </w:rPr>
        <w:tab/>
      </w:r>
    </w:p>
    <w:p>
      <w:pPr>
        <w:rPr>
          <w:rFonts w:ascii="宋体" w:hAnsi="宋体"/>
          <w:b w:val="0"/>
          <w:sz w:val="32"/>
          <w:szCs w:val="36"/>
        </w:rPr>
      </w:pPr>
    </w:p>
    <w:p>
      <w:pPr>
        <w:spacing w:line="360" w:lineRule="auto"/>
        <w:ind w:left="2757" w:hanging="2715" w:hangingChars="845"/>
        <w:jc w:val="center"/>
        <w:rPr>
          <w:rFonts w:ascii="宋体" w:hAnsi="宋体"/>
          <w:b/>
          <w:sz w:val="32"/>
          <w:szCs w:val="36"/>
        </w:rPr>
        <w:sectPr>
          <w:pgSz w:w="12240" w:h="15840"/>
          <w:pgMar w:top="1417" w:right="1361" w:bottom="1417" w:left="1361" w:header="720" w:footer="720" w:gutter="0"/>
          <w:cols w:space="0" w:num="1"/>
        </w:sectPr>
      </w:pPr>
    </w:p>
    <w:p>
      <w:pPr>
        <w:spacing w:line="360" w:lineRule="auto"/>
        <w:ind w:left="2757" w:hanging="2715" w:hangingChars="845"/>
        <w:jc w:val="center"/>
        <w:rPr>
          <w:rFonts w:hint="eastAsia" w:ascii="宋体" w:hAnsi="宋体" w:eastAsia="宋体"/>
          <w:b/>
          <w:sz w:val="32"/>
          <w:szCs w:val="36"/>
          <w:lang w:eastAsia="zh-CN"/>
        </w:rPr>
      </w:pPr>
      <w:r>
        <w:rPr>
          <w:rFonts w:hint="eastAsia" w:ascii="宋体" w:hAnsi="宋体"/>
          <w:b/>
          <w:sz w:val="32"/>
          <w:szCs w:val="36"/>
          <w:lang w:eastAsia="zh-CN"/>
        </w:rPr>
        <w:t>重庆公路养护工程（集团）有限公司</w:t>
      </w:r>
    </w:p>
    <w:p>
      <w:pPr>
        <w:spacing w:line="360" w:lineRule="auto"/>
        <w:ind w:left="2757" w:hanging="2715" w:hangingChars="845"/>
        <w:jc w:val="center"/>
        <w:rPr>
          <w:rFonts w:ascii="宋体" w:hAnsi="宋体"/>
          <w:b/>
          <w:sz w:val="32"/>
          <w:szCs w:val="36"/>
        </w:rPr>
      </w:pPr>
      <w:r>
        <w:rPr>
          <w:rFonts w:hint="eastAsia" w:ascii="宋体" w:hAnsi="宋体"/>
          <w:b/>
          <w:sz w:val="32"/>
          <w:szCs w:val="36"/>
        </w:rPr>
        <w:t>西山坪拌和站合作经营</w:t>
      </w:r>
      <w:r>
        <w:rPr>
          <w:rFonts w:hint="eastAsia" w:ascii="宋体" w:hAnsi="宋体"/>
          <w:b/>
          <w:kern w:val="0"/>
          <w:sz w:val="32"/>
          <w:szCs w:val="36"/>
        </w:rPr>
        <w:t>之安全生产合同</w:t>
      </w:r>
    </w:p>
    <w:p>
      <w:pPr>
        <w:spacing w:line="360" w:lineRule="auto"/>
        <w:ind w:firstLine="480"/>
        <w:textAlignment w:val="baseline"/>
        <w:rPr>
          <w:sz w:val="24"/>
        </w:rPr>
      </w:pPr>
      <w:r>
        <w:rPr>
          <w:rFonts w:hint="eastAsia"/>
          <w:sz w:val="24"/>
        </w:rPr>
        <w:t>为在西山坪拌和站合作经营实施过程中创造安全、高效的施工环境，切实搞好本合作经营的安全管理工作，</w:t>
      </w:r>
      <w:r>
        <w:rPr>
          <w:rFonts w:hint="eastAsia"/>
          <w:sz w:val="24"/>
          <w:u w:val="single"/>
          <w:lang w:eastAsia="zh-CN"/>
        </w:rPr>
        <w:t>重庆公路养护工程（集团）有限公司</w:t>
      </w:r>
      <w:r>
        <w:rPr>
          <w:rFonts w:hint="eastAsia"/>
          <w:sz w:val="24"/>
        </w:rPr>
        <w:t>（以下简称甲方）与合作单位</w:t>
      </w:r>
      <w:r>
        <w:rPr>
          <w:rFonts w:hint="eastAsia"/>
          <w:color w:val="FF0000"/>
          <w:sz w:val="24"/>
          <w:u w:val="single"/>
        </w:rPr>
        <w:t xml:space="preserve">                </w:t>
      </w:r>
      <w:r>
        <w:rPr>
          <w:rFonts w:hint="eastAsia"/>
          <w:sz w:val="24"/>
        </w:rPr>
        <w:t>（以下简称乙方）特此签订如下安全生产合同：</w:t>
      </w:r>
    </w:p>
    <w:p>
      <w:pPr>
        <w:spacing w:line="360" w:lineRule="auto"/>
        <w:ind w:firstLine="480"/>
        <w:textAlignment w:val="baseline"/>
        <w:rPr>
          <w:sz w:val="24"/>
        </w:rPr>
      </w:pPr>
      <w:r>
        <w:rPr>
          <w:rFonts w:hint="eastAsia"/>
          <w:sz w:val="24"/>
        </w:rPr>
        <w:t>一、甲方职责</w:t>
      </w:r>
    </w:p>
    <w:p>
      <w:pPr>
        <w:spacing w:line="360" w:lineRule="auto"/>
        <w:ind w:firstLine="480" w:firstLineChars="200"/>
        <w:textAlignment w:val="baseline"/>
        <w:rPr>
          <w:sz w:val="24"/>
        </w:rPr>
      </w:pPr>
      <w:r>
        <w:rPr>
          <w:rFonts w:hint="eastAsia"/>
          <w:sz w:val="24"/>
        </w:rPr>
        <w:t>1、严格遵守并贯彻执行国家有关安全生产法律法规规定，认真履行安全监督管理职责。</w:t>
      </w:r>
    </w:p>
    <w:p>
      <w:pPr>
        <w:spacing w:line="360" w:lineRule="auto"/>
        <w:ind w:firstLine="480" w:firstLineChars="200"/>
        <w:textAlignment w:val="baseline"/>
        <w:rPr>
          <w:sz w:val="24"/>
        </w:rPr>
      </w:pPr>
      <w:r>
        <w:rPr>
          <w:rFonts w:hint="eastAsia"/>
          <w:sz w:val="24"/>
        </w:rPr>
        <w:t>2、按照“安全第一、预防为主、综合治理”和 “谁主管，谁负责”的原则进行安全生产管理，生产与安全工作同时计划、布置、检查、总结和评比。</w:t>
      </w:r>
    </w:p>
    <w:p>
      <w:pPr>
        <w:spacing w:line="360" w:lineRule="auto"/>
        <w:ind w:firstLine="480" w:firstLineChars="200"/>
        <w:textAlignment w:val="baseline"/>
        <w:rPr>
          <w:sz w:val="24"/>
        </w:rPr>
      </w:pPr>
      <w:r>
        <w:rPr>
          <w:rFonts w:hint="eastAsia"/>
          <w:sz w:val="24"/>
        </w:rPr>
        <w:t>3、定期召开安全生产调度会，及时传达中央及地方有关安全生产的精神，协调解决乙方安全生产过程中出现的有关问题。</w:t>
      </w:r>
    </w:p>
    <w:p>
      <w:pPr>
        <w:spacing w:line="360" w:lineRule="auto"/>
        <w:ind w:firstLine="480" w:firstLineChars="200"/>
        <w:textAlignment w:val="baseline"/>
        <w:rPr>
          <w:sz w:val="24"/>
        </w:rPr>
      </w:pPr>
      <w:r>
        <w:rPr>
          <w:rFonts w:hint="eastAsia"/>
          <w:sz w:val="24"/>
        </w:rPr>
        <w:t>4、乙方在施工前组织对乙方作业人员进行有关施工作业的安全知识教育培训和安全技术交底，甲方有权监督检查乙方对其作业人员的安全教育培训和安全技术交底工作。</w:t>
      </w:r>
    </w:p>
    <w:p>
      <w:pPr>
        <w:spacing w:line="360" w:lineRule="auto"/>
        <w:ind w:firstLine="480" w:firstLineChars="200"/>
        <w:textAlignment w:val="baseline"/>
        <w:rPr>
          <w:sz w:val="24"/>
        </w:rPr>
      </w:pPr>
      <w:r>
        <w:rPr>
          <w:rFonts w:hint="eastAsia"/>
          <w:sz w:val="24"/>
        </w:rPr>
        <w:t>5、甲方对乙方违反安全生产的各种违法违纪行为，有权予以制止并按照相关规定进行处理。</w:t>
      </w:r>
    </w:p>
    <w:p>
      <w:pPr>
        <w:spacing w:line="360" w:lineRule="auto"/>
        <w:ind w:firstLine="480" w:firstLineChars="200"/>
        <w:textAlignment w:val="baseline"/>
        <w:rPr>
          <w:sz w:val="24"/>
        </w:rPr>
      </w:pPr>
      <w:r>
        <w:rPr>
          <w:rFonts w:hint="eastAsia"/>
          <w:sz w:val="24"/>
        </w:rPr>
        <w:t>6、甲方的上述职责不代表甲方对乙方的合同履行行为做任何安全方面明示或暗示的保证，乙方仍应自行负责处理并自行承担合同履行过程中可能出现的一切安全事故责任与风险等。</w:t>
      </w:r>
    </w:p>
    <w:p>
      <w:pPr>
        <w:spacing w:line="360" w:lineRule="auto"/>
        <w:ind w:firstLine="480" w:firstLineChars="200"/>
        <w:textAlignment w:val="baseline"/>
        <w:rPr>
          <w:sz w:val="24"/>
        </w:rPr>
      </w:pPr>
    </w:p>
    <w:p>
      <w:pPr>
        <w:spacing w:line="360" w:lineRule="auto"/>
        <w:textAlignment w:val="baseline"/>
        <w:rPr>
          <w:sz w:val="24"/>
        </w:rPr>
      </w:pPr>
      <w:r>
        <w:rPr>
          <w:rFonts w:hint="eastAsia"/>
          <w:sz w:val="24"/>
        </w:rPr>
        <w:t>二、乙方职责</w:t>
      </w:r>
    </w:p>
    <w:p>
      <w:pPr>
        <w:spacing w:line="360" w:lineRule="auto"/>
        <w:ind w:firstLine="480" w:firstLineChars="200"/>
        <w:textAlignment w:val="baseline"/>
        <w:rPr>
          <w:rFonts w:ascii="宋体" w:hAnsi="宋体"/>
          <w:sz w:val="24"/>
        </w:rPr>
      </w:pPr>
      <w:r>
        <w:rPr>
          <w:rFonts w:hint="eastAsia" w:ascii="宋体" w:hAnsi="宋体"/>
          <w:sz w:val="24"/>
        </w:rPr>
        <w:t>1、严格遵守并贯彻执行国家有关安全生产的法律法规，认真履行安全管理职责。乙方作为日常生产经营方，是施工安全生产的责任主体，在施工过程中所发生的一切安全事故，由乙方承担全部责任。</w:t>
      </w:r>
    </w:p>
    <w:p>
      <w:pPr>
        <w:spacing w:line="360" w:lineRule="auto"/>
        <w:ind w:firstLine="480" w:firstLineChars="200"/>
        <w:textAlignment w:val="baseline"/>
        <w:rPr>
          <w:rFonts w:ascii="宋体" w:hAnsi="宋体"/>
          <w:sz w:val="24"/>
        </w:rPr>
      </w:pPr>
      <w:r>
        <w:rPr>
          <w:rFonts w:hint="eastAsia" w:ascii="宋体" w:hAnsi="宋体"/>
          <w:sz w:val="24"/>
        </w:rPr>
        <w:t>2、严格遵守和执行包括交通部颁发的《公路工程施工安全技术规程》(JTGF90—2015)《公路筑养路机械操作规程》《养护工程项目安全文明施工管理办法》等在内的有关规定，认真执行合同以及本合同中的有关安全要求。</w:t>
      </w:r>
    </w:p>
    <w:p>
      <w:pPr>
        <w:spacing w:line="360" w:lineRule="auto"/>
        <w:ind w:firstLine="480" w:firstLineChars="200"/>
        <w:textAlignment w:val="baseline"/>
        <w:rPr>
          <w:rFonts w:ascii="宋体" w:hAnsi="宋体"/>
          <w:sz w:val="24"/>
        </w:rPr>
      </w:pPr>
      <w:r>
        <w:rPr>
          <w:rFonts w:hint="eastAsia" w:ascii="宋体" w:hAnsi="宋体"/>
          <w:sz w:val="24"/>
        </w:rPr>
        <w:t>3、坚持“安全第一，预防为主，综合治理”方针和“谁主管、谁负责”的原则。建立健全各项安全生产管理机构和安全生产管理制度，依照国家有关规定保证安全生产费用的投入，配备专职或兼职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spacing w:line="360" w:lineRule="auto"/>
        <w:ind w:firstLine="480" w:firstLineChars="200"/>
        <w:textAlignment w:val="baseline"/>
        <w:rPr>
          <w:rFonts w:ascii="宋体" w:hAnsi="宋体"/>
          <w:sz w:val="24"/>
        </w:rPr>
      </w:pPr>
      <w:r>
        <w:rPr>
          <w:rFonts w:hint="eastAsia" w:ascii="宋体" w:hAnsi="宋体"/>
          <w:sz w:val="24"/>
        </w:rPr>
        <w:t>4、建立健全安全生产责任制。从派往拌和站实施的现场负责人到作业人员（包括临时雇请的民工和人员）的安全生产保障体系必须做到纵向到底，横向到边，一环不漏，将安全生产责任制落到每个人或岗位上，做到安全生产人人有责。现场负责人是安全生产的第一责任人，安全管理人员为直接责任人。现场设置的安全管理组织机构，应按施工人员的1％～3％配备安全人员，专门负责施工现场人员、设备、材料、治安保卫等安全管理工作，有效防止各种安全事故发生。现场安全管理机构，依职责有权按有关规定发布指令，并采取保护性措施防止安全事故的发生；同时，服从甲方的安全监督管理。</w:t>
      </w:r>
    </w:p>
    <w:p>
      <w:pPr>
        <w:spacing w:line="360" w:lineRule="auto"/>
        <w:ind w:firstLine="480" w:firstLineChars="200"/>
        <w:textAlignment w:val="baseline"/>
        <w:rPr>
          <w:rFonts w:ascii="宋体" w:hAnsi="宋体"/>
          <w:sz w:val="24"/>
        </w:rPr>
      </w:pPr>
      <w:r>
        <w:rPr>
          <w:rFonts w:hint="eastAsia" w:ascii="宋体" w:hAnsi="宋体"/>
          <w:sz w:val="24"/>
        </w:rPr>
        <w:t>5、乙方作业人员不得违章作业、冒险作业和疲劳作业，乙方应根据施工现场实际情况，采取各种合理的预防措施，防止其作业人员发生任何违法、违禁、暴力或妨碍治安的行为。</w:t>
      </w:r>
    </w:p>
    <w:p>
      <w:pPr>
        <w:spacing w:line="360" w:lineRule="auto"/>
        <w:ind w:firstLine="480" w:firstLineChars="200"/>
        <w:textAlignment w:val="baseline"/>
        <w:rPr>
          <w:rFonts w:ascii="宋体" w:hAnsi="宋体"/>
          <w:sz w:val="24"/>
        </w:rPr>
      </w:pPr>
      <w:r>
        <w:rPr>
          <w:rFonts w:hint="eastAsia" w:ascii="宋体" w:hAnsi="宋体"/>
          <w:sz w:val="24"/>
        </w:rPr>
        <w:t>6、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7、乙方参加施工的作业人员，必须接受安全技术教育及培训，熟知和遵守本岗位工种的各项安全技术操作规程，合格者方可上岗操作。特种作业人员须按国家有关规定持证上岗。乙方必须保证相关人员所持证照在合同和施工期内持续有效。施工现场如出现有关人员无证操作、证照失效等的，所发生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8、严格执行《中华人民共和国消防法》，易燃易爆的材料除应设专人专门负责管理外，还应配备足够的和有效的消防设施，并做好材料收发记录台账，避免遗失和流失。所有施工作业人员应熟悉消防设备的性能和使用方法，施工场地、住宿、办公场所等还应按规定配备足够的消防设施。乙方不得将任何种类的爆炸物给予、易货或以其他方式转让给任何其他人。</w:t>
      </w:r>
    </w:p>
    <w:p>
      <w:pPr>
        <w:spacing w:line="360" w:lineRule="auto"/>
        <w:ind w:firstLine="480" w:firstLineChars="200"/>
        <w:textAlignment w:val="baseline"/>
        <w:rPr>
          <w:rFonts w:ascii="宋体" w:hAnsi="宋体"/>
          <w:sz w:val="24"/>
        </w:rPr>
      </w:pPr>
      <w:r>
        <w:rPr>
          <w:rFonts w:hint="eastAsia" w:ascii="宋体" w:hAnsi="宋体"/>
          <w:sz w:val="24"/>
        </w:rPr>
        <w:t>9、所有施工机具设备和高空作业的设备均应定期检查，施工车辆必须符合《道路安全法》《车辆安全技术规定》等规定，并有管理人员的检查签字记录，保证其始终处于良好完备状态。不合格的机具、设备和劳动保护用品严禁使用。因违反相关规定和要求，所造成的安全事故，由乙方承担一切责任和经济损失。</w:t>
      </w:r>
    </w:p>
    <w:p>
      <w:pPr>
        <w:spacing w:line="360" w:lineRule="auto"/>
        <w:ind w:firstLine="480" w:firstLineChars="200"/>
        <w:textAlignment w:val="baseline"/>
        <w:rPr>
          <w:rFonts w:ascii="宋体" w:hAnsi="宋体"/>
          <w:sz w:val="24"/>
        </w:rPr>
      </w:pPr>
      <w:r>
        <w:rPr>
          <w:rFonts w:hint="eastAsia" w:ascii="宋体" w:hAnsi="宋体"/>
          <w:sz w:val="24"/>
        </w:rPr>
        <w:t>10、施工中采用新技术、新工艺、新设备、新材料时，必须制定相应的安全技术措施，施工现场必须具有相关的安全标志牌。</w:t>
      </w:r>
    </w:p>
    <w:p>
      <w:pPr>
        <w:spacing w:line="360" w:lineRule="auto"/>
        <w:ind w:firstLine="480" w:firstLineChars="200"/>
        <w:textAlignment w:val="baseline"/>
        <w:rPr>
          <w:rFonts w:ascii="宋体" w:hAnsi="宋体"/>
          <w:sz w:val="24"/>
        </w:rPr>
      </w:pPr>
      <w:r>
        <w:rPr>
          <w:rFonts w:hint="eastAsia" w:ascii="宋体" w:hAnsi="宋体"/>
          <w:sz w:val="24"/>
        </w:rPr>
        <w:t>11、定期或不定期组织安全检查，对检查发现的安全隐患，及时整改。对甲方安全检查过程中发现的安全隐患，乙方应立即整改；在口头通知或下达整改书后，乙方应在限定时间内整改；因整改不及时或不到位导致的安全事故，由乙方承担一切法律责任、赔偿全部经济损失。</w:t>
      </w:r>
    </w:p>
    <w:p>
      <w:pPr>
        <w:spacing w:line="360" w:lineRule="auto"/>
        <w:ind w:firstLine="480" w:firstLineChars="200"/>
        <w:textAlignment w:val="baseline"/>
        <w:rPr>
          <w:rFonts w:ascii="宋体" w:hAnsi="宋体"/>
          <w:sz w:val="24"/>
        </w:rPr>
      </w:pPr>
      <w:r>
        <w:rPr>
          <w:rFonts w:hint="eastAsia" w:ascii="宋体" w:hAnsi="宋体"/>
          <w:sz w:val="24"/>
        </w:rPr>
        <w:t>12、乙方合同单价中已包含安全责任保险费用。乙方如在工作中发生的上路作业人员伤、亡事故，或违反安全施工、野蛮操作等造成的人员伤亡和财产损失均由乙方自行承担全部法律责任和经济责任，与甲方无关。</w:t>
      </w:r>
    </w:p>
    <w:p>
      <w:pPr>
        <w:spacing w:line="360" w:lineRule="auto"/>
        <w:ind w:firstLine="480" w:firstLineChars="200"/>
        <w:textAlignment w:val="baseline"/>
        <w:rPr>
          <w:rFonts w:ascii="宋体" w:hAnsi="宋体"/>
          <w:color w:val="auto"/>
          <w:sz w:val="24"/>
        </w:rPr>
      </w:pPr>
      <w:r>
        <w:rPr>
          <w:rFonts w:hint="eastAsia" w:ascii="宋体" w:hAnsi="宋体"/>
          <w:sz w:val="24"/>
        </w:rPr>
        <w:t>13、乙方必须按照拌和站特点，组织制定生产中的生产安全事故应急救援预案。如果发生安全事故，应按照《生产安全事故报告和调查处理条例》以及其他有关规定，及时上报有关部门，并坚持“四不放</w:t>
      </w:r>
      <w:r>
        <w:rPr>
          <w:rFonts w:hint="eastAsia" w:ascii="宋体" w:hAnsi="宋体"/>
          <w:color w:val="auto"/>
          <w:sz w:val="24"/>
        </w:rPr>
        <w:t>过”的原则，严肃处理相关责任人。</w:t>
      </w:r>
    </w:p>
    <w:p>
      <w:pPr>
        <w:spacing w:line="360" w:lineRule="auto"/>
        <w:ind w:firstLine="480" w:firstLineChars="200"/>
        <w:textAlignment w:val="baseline"/>
        <w:outlineLvl w:val="0"/>
        <w:rPr>
          <w:rFonts w:ascii="宋体" w:hAnsi="宋体" w:cs="宋体"/>
          <w:b/>
          <w:color w:val="auto"/>
          <w:sz w:val="24"/>
        </w:rPr>
      </w:pPr>
      <w:r>
        <w:rPr>
          <w:rFonts w:ascii="宋体" w:hAnsi="宋体"/>
          <w:color w:val="auto"/>
          <w:sz w:val="24"/>
        </w:rPr>
        <w:t>1</w:t>
      </w:r>
      <w:r>
        <w:rPr>
          <w:rFonts w:hint="eastAsia" w:ascii="宋体" w:hAnsi="宋体"/>
          <w:color w:val="auto"/>
          <w:sz w:val="24"/>
        </w:rPr>
        <w:t>4、乙方指定项目现场安全责任人：</w:t>
      </w:r>
      <w:r>
        <w:rPr>
          <w:rFonts w:hint="eastAsia" w:ascii="宋体" w:hAnsi="宋体"/>
          <w:color w:val="auto"/>
          <w:sz w:val="24"/>
          <w:u w:val="single"/>
        </w:rPr>
        <w:t xml:space="preserve">               </w:t>
      </w:r>
      <w:r>
        <w:rPr>
          <w:rFonts w:hint="eastAsia" w:ascii="宋体" w:hAnsi="宋体"/>
          <w:color w:val="auto"/>
          <w:sz w:val="24"/>
        </w:rPr>
        <w:t>。</w:t>
      </w:r>
    </w:p>
    <w:p>
      <w:pPr>
        <w:spacing w:line="360" w:lineRule="auto"/>
        <w:ind w:firstLine="600" w:firstLineChars="250"/>
        <w:textAlignment w:val="baseline"/>
        <w:rPr>
          <w:color w:val="auto"/>
          <w:sz w:val="24"/>
        </w:rPr>
      </w:pPr>
      <w:r>
        <w:rPr>
          <w:rFonts w:hint="eastAsia"/>
          <w:color w:val="auto"/>
          <w:sz w:val="24"/>
        </w:rPr>
        <w:t>三、违约责任</w:t>
      </w:r>
    </w:p>
    <w:p>
      <w:pPr>
        <w:spacing w:line="440" w:lineRule="exact"/>
        <w:ind w:firstLine="480" w:firstLineChars="200"/>
        <w:rPr>
          <w:rFonts w:hAnsi="楷体_GB2312" w:cs="楷体_GB2312"/>
          <w:color w:val="auto"/>
          <w:kern w:val="0"/>
          <w:sz w:val="24"/>
        </w:rPr>
      </w:pPr>
      <w:r>
        <w:rPr>
          <w:rFonts w:hint="eastAsia"/>
          <w:color w:val="auto"/>
          <w:sz w:val="24"/>
        </w:rPr>
        <w:t>1、</w:t>
      </w:r>
      <w:r>
        <w:rPr>
          <w:rFonts w:hint="eastAsia" w:hAnsi="楷体_GB2312" w:cs="楷体_GB2312"/>
          <w:color w:val="auto"/>
          <w:kern w:val="0"/>
          <w:sz w:val="24"/>
        </w:rPr>
        <w:t>本合同有效期内，</w:t>
      </w:r>
      <w:r>
        <w:rPr>
          <w:rFonts w:hint="eastAsia"/>
          <w:color w:val="auto"/>
          <w:sz w:val="24"/>
        </w:rPr>
        <w:t>如乙方违约，甲方依据</w:t>
      </w:r>
      <w:r>
        <w:rPr>
          <w:rFonts w:hint="eastAsia" w:ascii="宋体" w:hAnsi="宋体" w:cs="宋体"/>
          <w:color w:val="auto"/>
          <w:sz w:val="24"/>
        </w:rPr>
        <w:t>《协作（分包）单位安全生产考核办法》及《协作（分包）单位安全生产考核标准》（附后）</w:t>
      </w:r>
      <w:r>
        <w:rPr>
          <w:rFonts w:hint="eastAsia"/>
          <w:color w:val="auto"/>
          <w:sz w:val="24"/>
        </w:rPr>
        <w:t>有关条款对乙方给予违约处罚；</w:t>
      </w:r>
      <w:r>
        <w:rPr>
          <w:rFonts w:hint="eastAsia" w:hAnsi="楷体_GB2312" w:cs="楷体_GB2312"/>
          <w:color w:val="auto"/>
          <w:kern w:val="0"/>
          <w:sz w:val="24"/>
        </w:rPr>
        <w:t>因乙方原因造成安全事故的，由乙方承担全部责任。</w:t>
      </w:r>
    </w:p>
    <w:p>
      <w:pPr>
        <w:spacing w:line="440" w:lineRule="exact"/>
        <w:ind w:firstLine="480" w:firstLineChars="200"/>
        <w:rPr>
          <w:rFonts w:hAnsi="楷体_GB2312" w:cs="楷体_GB2312"/>
          <w:color w:val="auto"/>
          <w:sz w:val="24"/>
        </w:rPr>
      </w:pPr>
      <w:r>
        <w:rPr>
          <w:rFonts w:hint="eastAsia"/>
          <w:color w:val="auto"/>
          <w:sz w:val="24"/>
        </w:rPr>
        <w:t>2、</w:t>
      </w:r>
      <w:r>
        <w:rPr>
          <w:rFonts w:hint="eastAsia" w:hAnsi="楷体_GB2312" w:cs="楷体_GB2312"/>
          <w:color w:val="auto"/>
          <w:kern w:val="0"/>
          <w:sz w:val="24"/>
        </w:rPr>
        <w:t>本合同有效期内，如因乙方或乙方工作人员过错给甲方造成损失，由乙方负责向甲方赔偿，甲方有权直接从乙方工程款中予以扣除。</w:t>
      </w:r>
    </w:p>
    <w:p>
      <w:pPr>
        <w:spacing w:line="440" w:lineRule="exact"/>
        <w:ind w:firstLine="480" w:firstLineChars="200"/>
        <w:rPr>
          <w:color w:val="auto"/>
          <w:sz w:val="24"/>
        </w:rPr>
      </w:pPr>
      <w:r>
        <w:rPr>
          <w:rFonts w:hint="eastAsia"/>
          <w:color w:val="auto"/>
          <w:sz w:val="24"/>
        </w:rPr>
        <w:t>3、如因甲方或乙方违约造成安全事故，将依法按照国家有关法律法规进行处理。</w:t>
      </w:r>
    </w:p>
    <w:p>
      <w:pPr>
        <w:widowControl/>
        <w:spacing w:line="360" w:lineRule="auto"/>
        <w:ind w:firstLine="600" w:firstLineChars="250"/>
        <w:rPr>
          <w:rFonts w:ascii="宋体" w:hAnsi="宋体"/>
          <w:b/>
          <w:color w:val="auto"/>
          <w:kern w:val="0"/>
          <w:sz w:val="24"/>
        </w:rPr>
      </w:pPr>
      <w:r>
        <w:rPr>
          <w:rFonts w:hint="eastAsia"/>
          <w:color w:val="auto"/>
          <w:sz w:val="24"/>
        </w:rPr>
        <w:t>四、本合同作为</w:t>
      </w:r>
      <w:r>
        <w:rPr>
          <w:rFonts w:hint="eastAsia"/>
          <w:b/>
          <w:color w:val="auto"/>
          <w:sz w:val="24"/>
        </w:rPr>
        <w:t>《西山坪拌和站合作经营</w:t>
      </w:r>
      <w:r>
        <w:rPr>
          <w:rFonts w:hint="eastAsia"/>
          <w:b/>
          <w:color w:val="auto"/>
          <w:sz w:val="24"/>
          <w:lang w:val="en-US" w:eastAsia="zh-CN"/>
        </w:rPr>
        <w:t>协议</w:t>
      </w:r>
      <w:r>
        <w:rPr>
          <w:rFonts w:hint="eastAsia"/>
          <w:b/>
          <w:color w:val="auto"/>
          <w:sz w:val="24"/>
        </w:rPr>
        <w:t>》</w:t>
      </w:r>
      <w:r>
        <w:rPr>
          <w:rFonts w:hint="eastAsia"/>
          <w:color w:val="auto"/>
          <w:sz w:val="24"/>
        </w:rPr>
        <w:t>的附件，与工程施工合同具有同等的法律效力。</w:t>
      </w:r>
    </w:p>
    <w:p>
      <w:pPr>
        <w:spacing w:line="360" w:lineRule="auto"/>
        <w:ind w:firstLine="600" w:firstLineChars="250"/>
        <w:textAlignment w:val="baseline"/>
        <w:rPr>
          <w:color w:val="auto"/>
          <w:sz w:val="24"/>
        </w:rPr>
      </w:pPr>
      <w:r>
        <w:rPr>
          <w:rFonts w:hint="eastAsia"/>
          <w:color w:val="auto"/>
          <w:sz w:val="24"/>
        </w:rPr>
        <w:t>五、合同签约地：重庆市沙坪坝区梨高路4号。</w:t>
      </w:r>
    </w:p>
    <w:p>
      <w:pPr>
        <w:spacing w:line="360" w:lineRule="auto"/>
        <w:ind w:firstLine="600" w:firstLineChars="250"/>
        <w:textAlignment w:val="baseline"/>
        <w:rPr>
          <w:sz w:val="24"/>
        </w:rPr>
      </w:pPr>
      <w:r>
        <w:rPr>
          <w:rFonts w:hint="eastAsia"/>
          <w:color w:val="auto"/>
          <w:sz w:val="24"/>
        </w:rPr>
        <w:t>六、本合同一式</w:t>
      </w:r>
      <w:sdt>
        <w:sdtPr>
          <w:rPr>
            <w:b/>
            <w:color w:val="auto"/>
            <w:sz w:val="24"/>
            <w:u w:val="single"/>
          </w:rPr>
          <w:id w:val="1733199236"/>
          <w:placeholder>
            <w:docPart w:val="{f7a8bbb3-0fc6-4d1c-bb7b-11f3679beda3}"/>
          </w:placeholder>
        </w:sdtPr>
        <w:sdtEndPr>
          <w:rPr>
            <w:rFonts w:hint="eastAsia"/>
            <w:b/>
            <w:color w:val="auto"/>
            <w:sz w:val="24"/>
            <w:u w:val="single"/>
          </w:rPr>
        </w:sdtEndPr>
        <w:sdtContent>
          <w:r>
            <w:rPr>
              <w:rFonts w:hint="eastAsia"/>
              <w:b/>
              <w:color w:val="auto"/>
              <w:sz w:val="24"/>
              <w:u w:val="single"/>
            </w:rPr>
            <w:t>捌</w:t>
          </w:r>
        </w:sdtContent>
      </w:sdt>
      <w:r>
        <w:rPr>
          <w:rFonts w:hint="eastAsia"/>
          <w:color w:val="auto"/>
          <w:sz w:val="24"/>
        </w:rPr>
        <w:t>份，甲方执</w:t>
      </w:r>
      <w:sdt>
        <w:sdtPr>
          <w:rPr>
            <w:rFonts w:hint="eastAsia"/>
            <w:color w:val="auto"/>
            <w:sz w:val="24"/>
          </w:rPr>
          <w:id w:val="1264187407"/>
          <w:placeholder>
            <w:docPart w:val="{f7a8bbb3-0fc6-4d1c-bb7b-11f3679beda3}"/>
          </w:placeholder>
        </w:sdtPr>
        <w:sdtEndPr>
          <w:rPr>
            <w:rFonts w:hint="eastAsia"/>
            <w:b/>
            <w:color w:val="auto"/>
            <w:sz w:val="24"/>
            <w:u w:val="single"/>
          </w:rPr>
        </w:sdtEndPr>
        <w:sdtContent>
          <w:r>
            <w:rPr>
              <w:rFonts w:hint="eastAsia"/>
              <w:b/>
              <w:color w:val="auto"/>
              <w:sz w:val="24"/>
              <w:u w:val="single"/>
            </w:rPr>
            <w:t>肆</w:t>
          </w:r>
        </w:sdtContent>
      </w:sdt>
      <w:r>
        <w:rPr>
          <w:rFonts w:hint="eastAsia"/>
          <w:color w:val="auto"/>
          <w:sz w:val="24"/>
        </w:rPr>
        <w:t>份，乙方执</w:t>
      </w:r>
      <w:sdt>
        <w:sdtPr>
          <w:rPr>
            <w:rFonts w:hint="eastAsia"/>
            <w:color w:val="auto"/>
            <w:sz w:val="24"/>
          </w:rPr>
          <w:id w:val="1188258669"/>
          <w:placeholder>
            <w:docPart w:val="{f7a8bbb3-0fc6-4d1c-bb7b-11f3679beda3}"/>
          </w:placeholder>
        </w:sdtPr>
        <w:sdtEndPr>
          <w:rPr>
            <w:rFonts w:hint="eastAsia"/>
            <w:b/>
            <w:color w:val="auto"/>
            <w:sz w:val="24"/>
            <w:u w:val="single"/>
          </w:rPr>
        </w:sdtEndPr>
        <w:sdtContent>
          <w:sdt>
            <w:sdtPr>
              <w:rPr>
                <w:rFonts w:hint="eastAsia"/>
                <w:color w:val="auto"/>
                <w:sz w:val="24"/>
              </w:rPr>
              <w:id w:val="147459806"/>
              <w:placeholder>
                <w:docPart w:val="{05a301af-be98-4f28-bf5a-be0b6517ae0a}"/>
              </w:placeholder>
            </w:sdtPr>
            <w:sdtEndPr>
              <w:rPr>
                <w:rFonts w:hint="eastAsia"/>
                <w:b/>
                <w:color w:val="auto"/>
                <w:sz w:val="24"/>
                <w:u w:val="single"/>
              </w:rPr>
            </w:sdtEndPr>
            <w:sdtContent>
              <w:r>
                <w:rPr>
                  <w:rFonts w:hint="eastAsia"/>
                  <w:b/>
                  <w:color w:val="auto"/>
                  <w:sz w:val="24"/>
                  <w:u w:val="single"/>
                </w:rPr>
                <w:t>肆</w:t>
              </w:r>
            </w:sdtContent>
          </w:sdt>
        </w:sdtContent>
      </w:sdt>
      <w:r>
        <w:rPr>
          <w:rFonts w:hint="eastAsia"/>
          <w:color w:val="auto"/>
          <w:sz w:val="24"/>
        </w:rPr>
        <w:t>份；由双方法定代表人或其授权代表签署与加盖公章后生效，全部合作经营协议终止后终止</w:t>
      </w:r>
      <w:r>
        <w:rPr>
          <w:rFonts w:hint="eastAsia"/>
          <w:sz w:val="24"/>
        </w:rPr>
        <w:t>。</w:t>
      </w:r>
    </w:p>
    <w:p>
      <w:pPr>
        <w:spacing w:line="360" w:lineRule="auto"/>
        <w:textAlignment w:val="baseline"/>
        <w:rPr>
          <w:rFonts w:hint="default" w:ascii="宋体" w:hAnsi="宋体" w:eastAsia="宋体"/>
          <w:sz w:val="24"/>
          <w:lang w:val="en-US" w:eastAsia="zh-CN"/>
        </w:rPr>
      </w:pPr>
      <w:r>
        <w:rPr>
          <w:rFonts w:hint="eastAsia" w:ascii="宋体" w:hAnsi="宋体"/>
          <w:sz w:val="24"/>
          <w:lang w:val="en-US" w:eastAsia="zh-CN"/>
        </w:rPr>
        <w:t>本页无正文，仅为《西山坪拌和站合作经营之安全生产合同》盖章页</w:t>
      </w:r>
    </w:p>
    <w:p>
      <w:pPr>
        <w:spacing w:line="360" w:lineRule="auto"/>
        <w:textAlignment w:val="baseline"/>
        <w:rPr>
          <w:rFonts w:hint="eastAsia" w:ascii="宋体" w:hAnsi="宋体"/>
          <w:sz w:val="24"/>
        </w:rPr>
      </w:pP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lang w:eastAsia="zh-CN"/>
        </w:rPr>
        <w:t>重庆公路养护工程（集团）有限公司</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szCs w:val="20"/>
        </w:rPr>
      </w:pPr>
      <w:r>
        <w:rPr>
          <w:rFonts w:hint="eastAsia" w:ascii="宋体" w:hAnsi="宋体"/>
          <w:sz w:val="24"/>
        </w:rPr>
        <w:t>或授权代表：                           或授权代表：</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textAlignment w:val="baseline"/>
        <w:rPr>
          <w:rFonts w:ascii="宋体"/>
          <w:sz w:val="24"/>
        </w:rPr>
      </w:pPr>
    </w:p>
    <w:p>
      <w:pPr>
        <w:spacing w:line="360" w:lineRule="auto"/>
        <w:textAlignment w:val="baseline"/>
        <w:rPr>
          <w:sz w:val="24"/>
        </w:rPr>
      </w:pPr>
      <w:r>
        <w:rPr>
          <w:rFonts w:hint="eastAsia" w:ascii="宋体"/>
          <w:sz w:val="24"/>
        </w:rPr>
        <w:t xml:space="preserve">日期：    年   月   日                 日期：    年    月   日   </w:t>
      </w:r>
    </w:p>
    <w:p>
      <w:pPr>
        <w:spacing w:line="360" w:lineRule="auto"/>
        <w:ind w:left="2028" w:hanging="2027" w:hangingChars="845"/>
        <w:jc w:val="center"/>
        <w:rPr>
          <w:rFonts w:hint="eastAsia" w:ascii="宋体" w:hAnsi="宋体" w:eastAsia="宋体"/>
          <w:b/>
          <w:sz w:val="32"/>
          <w:szCs w:val="36"/>
          <w:lang w:eastAsia="zh-CN"/>
        </w:rPr>
      </w:pPr>
      <w:r>
        <w:rPr>
          <w:sz w:val="24"/>
        </w:rPr>
        <w:br w:type="page"/>
      </w:r>
      <w:r>
        <w:rPr>
          <w:rFonts w:hint="eastAsia" w:ascii="宋体" w:hAnsi="宋体"/>
          <w:b/>
          <w:sz w:val="32"/>
          <w:szCs w:val="36"/>
          <w:lang w:eastAsia="zh-CN"/>
        </w:rPr>
        <w:t>重庆公路养护工程（集团）有限公司</w:t>
      </w:r>
    </w:p>
    <w:p>
      <w:pPr>
        <w:spacing w:line="420" w:lineRule="exact"/>
        <w:jc w:val="center"/>
        <w:rPr>
          <w:b/>
          <w:sz w:val="32"/>
          <w:szCs w:val="32"/>
        </w:rPr>
      </w:pPr>
      <w:r>
        <w:rPr>
          <w:rFonts w:hint="eastAsia" w:ascii="宋体" w:hAnsi="宋体"/>
          <w:b/>
          <w:sz w:val="32"/>
          <w:szCs w:val="36"/>
        </w:rPr>
        <w:t>西山坪拌和站合作经营</w:t>
      </w:r>
      <w:r>
        <w:rPr>
          <w:rFonts w:hint="eastAsia"/>
          <w:b/>
          <w:sz w:val="32"/>
          <w:szCs w:val="32"/>
        </w:rPr>
        <w:t>之廉政合同</w:t>
      </w:r>
    </w:p>
    <w:p>
      <w:pPr>
        <w:spacing w:line="420" w:lineRule="exact"/>
        <w:ind w:firstLine="480"/>
        <w:textAlignment w:val="baseline"/>
        <w:rPr>
          <w:sz w:val="24"/>
        </w:rPr>
      </w:pPr>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建设资金的安全和有效使用及投资效益，</w:t>
      </w:r>
      <w:r>
        <w:rPr>
          <w:rFonts w:hint="eastAsia"/>
          <w:sz w:val="24"/>
          <w:u w:val="single"/>
          <w:lang w:eastAsia="zh-CN"/>
        </w:rPr>
        <w:t>重庆公路养护工程（集团）有限公司</w:t>
      </w:r>
      <w:r>
        <w:rPr>
          <w:rFonts w:hint="eastAsia"/>
          <w:sz w:val="24"/>
        </w:rPr>
        <w:t>（以下称甲方）与</w:t>
      </w:r>
      <w:r>
        <w:rPr>
          <w:rFonts w:hint="eastAsia"/>
          <w:sz w:val="24"/>
          <w:u w:val="single"/>
        </w:rPr>
        <w:t xml:space="preserve">                  </w:t>
      </w:r>
      <w:r>
        <w:rPr>
          <w:rFonts w:hint="eastAsia"/>
          <w:sz w:val="24"/>
        </w:rPr>
        <w:t>（以下称乙方），特订立如下合同。</w:t>
      </w:r>
    </w:p>
    <w:p>
      <w:pPr>
        <w:spacing w:line="420" w:lineRule="exact"/>
        <w:ind w:firstLine="480"/>
        <w:textAlignment w:val="baseline"/>
        <w:rPr>
          <w:b/>
          <w:sz w:val="24"/>
        </w:rPr>
      </w:pPr>
      <w:r>
        <w:rPr>
          <w:rFonts w:hint="eastAsia"/>
          <w:b/>
          <w:sz w:val="24"/>
        </w:rPr>
        <w:t>第一条甲乙双方的权利和义务</w:t>
      </w:r>
    </w:p>
    <w:p>
      <w:pPr>
        <w:spacing w:line="420" w:lineRule="exact"/>
        <w:ind w:firstLine="360" w:firstLineChars="150"/>
        <w:rPr>
          <w:sz w:val="24"/>
        </w:rPr>
      </w:pPr>
      <w:r>
        <w:rPr>
          <w:rFonts w:hint="eastAsia"/>
          <w:sz w:val="24"/>
        </w:rPr>
        <w:t>（一）严格遵守党和国家有关法律法规及交通部的有关规定。</w:t>
      </w:r>
    </w:p>
    <w:p>
      <w:pPr>
        <w:widowControl/>
        <w:spacing w:line="420" w:lineRule="exact"/>
        <w:ind w:firstLine="360" w:firstLineChars="150"/>
        <w:jc w:val="left"/>
        <w:rPr>
          <w:sz w:val="24"/>
        </w:rPr>
      </w:pPr>
      <w:r>
        <w:rPr>
          <w:rFonts w:hint="eastAsia"/>
          <w:sz w:val="24"/>
        </w:rPr>
        <w:t>（二）严格执行</w:t>
      </w:r>
      <w:r>
        <w:rPr>
          <w:rFonts w:hint="eastAsia"/>
          <w:b/>
          <w:sz w:val="24"/>
          <w:u w:val="single"/>
        </w:rPr>
        <w:t>《</w:t>
      </w:r>
      <w:r>
        <w:rPr>
          <w:rFonts w:hint="eastAsia" w:ascii="宋体" w:hAnsi="宋体"/>
          <w:b/>
          <w:sz w:val="24"/>
          <w:u w:val="single"/>
        </w:rPr>
        <w:t>西山坪拌和站合作经营协议</w:t>
      </w:r>
      <w:r>
        <w:rPr>
          <w:rFonts w:hint="eastAsia"/>
          <w:b/>
          <w:sz w:val="24"/>
          <w:u w:val="single"/>
        </w:rPr>
        <w:t>》</w:t>
      </w:r>
      <w:r>
        <w:rPr>
          <w:rFonts w:hint="eastAsia"/>
          <w:sz w:val="24"/>
        </w:rPr>
        <w:t>的相关条款，自觉按合同办事。</w:t>
      </w:r>
    </w:p>
    <w:p>
      <w:pPr>
        <w:pStyle w:val="7"/>
        <w:spacing w:line="420" w:lineRule="exact"/>
        <w:ind w:firstLine="360" w:firstLineChars="150"/>
        <w:rPr>
          <w:rFonts w:ascii="宋体"/>
          <w:sz w:val="24"/>
        </w:rPr>
      </w:pPr>
      <w:r>
        <w:rPr>
          <w:rFonts w:ascii="宋体"/>
          <w:sz w:val="24"/>
        </w:rPr>
        <w:t>（三）双方的业务活动坚持公开、公正、诚信、透明的原则（除法律认定的商业秘密和合同文件另有规定之外），不得损害国家和集体利益，违反工程建设管理规章制度。</w:t>
      </w:r>
    </w:p>
    <w:p>
      <w:pPr>
        <w:spacing w:line="420" w:lineRule="exact"/>
        <w:ind w:firstLine="360" w:firstLineChars="150"/>
        <w:rPr>
          <w:sz w:val="24"/>
        </w:rPr>
      </w:pPr>
      <w:r>
        <w:rPr>
          <w:rFonts w:hint="eastAsia"/>
          <w:sz w:val="24"/>
        </w:rPr>
        <w:t>（四）建立健全廉政制度，开展廉政教育，设立廉政告示牌，公布举报电话，监督并认真查处违法违纪行为。</w:t>
      </w:r>
    </w:p>
    <w:p>
      <w:pPr>
        <w:spacing w:line="420" w:lineRule="exact"/>
        <w:ind w:firstLine="360" w:firstLineChars="150"/>
        <w:rPr>
          <w:sz w:val="24"/>
        </w:rPr>
      </w:pPr>
      <w:r>
        <w:rPr>
          <w:rFonts w:hint="eastAsia"/>
          <w:sz w:val="24"/>
        </w:rPr>
        <w:t>（五）发现对方在业务活动中有违反廉政规定的行为，有及时提醒对方纠正的权利和义务。</w:t>
      </w:r>
    </w:p>
    <w:p>
      <w:pPr>
        <w:spacing w:line="420" w:lineRule="exact"/>
        <w:ind w:firstLine="360" w:firstLineChars="150"/>
        <w:rPr>
          <w:sz w:val="24"/>
        </w:rPr>
      </w:pPr>
      <w:r>
        <w:rPr>
          <w:rFonts w:hint="eastAsia"/>
          <w:sz w:val="24"/>
        </w:rPr>
        <w:t>（六）发现对方严重违反本合同义务条款的行为，有向其上级有关部门举报、建议给予处理并要求告知处理结果的权利。</w:t>
      </w:r>
    </w:p>
    <w:p>
      <w:pPr>
        <w:spacing w:line="420" w:lineRule="exact"/>
        <w:rPr>
          <w:b/>
          <w:sz w:val="24"/>
        </w:rPr>
      </w:pPr>
      <w:r>
        <w:rPr>
          <w:rFonts w:hint="eastAsia"/>
          <w:b/>
          <w:sz w:val="24"/>
        </w:rPr>
        <w:t>第二条甲方的义务</w:t>
      </w:r>
    </w:p>
    <w:p>
      <w:pPr>
        <w:spacing w:line="420" w:lineRule="exact"/>
        <w:ind w:firstLine="360" w:firstLineChars="150"/>
        <w:rPr>
          <w:sz w:val="24"/>
        </w:rPr>
      </w:pPr>
      <w:r>
        <w:rPr>
          <w:rFonts w:hint="eastAsia"/>
          <w:sz w:val="24"/>
        </w:rPr>
        <w:t>（一）甲方及其工作人员不得索要或接受乙方的礼金、有价证券和贵重物品，不得在乙方报销任何应由甲方或个人支付的费用等。</w:t>
      </w:r>
    </w:p>
    <w:p>
      <w:pPr>
        <w:spacing w:line="420" w:lineRule="exact"/>
        <w:ind w:firstLine="360" w:firstLineChars="150"/>
        <w:rPr>
          <w:sz w:val="24"/>
        </w:rPr>
      </w:pPr>
      <w:r>
        <w:rPr>
          <w:rFonts w:hint="eastAsia"/>
          <w:sz w:val="24"/>
        </w:rPr>
        <w:t>（二）甲方工作人员不得参加乙方安排的超标准宴请或可能对公正执行公务有影响的其他宴请和娱乐活动。不得接受乙方提供的通讯工具、交通工具和高档办公用品等。</w:t>
      </w:r>
    </w:p>
    <w:p>
      <w:pPr>
        <w:spacing w:line="420" w:lineRule="exact"/>
        <w:ind w:firstLine="360" w:firstLineChars="150"/>
        <w:rPr>
          <w:sz w:val="24"/>
        </w:rPr>
      </w:pPr>
      <w:r>
        <w:rPr>
          <w:rFonts w:hint="eastAsia"/>
          <w:sz w:val="24"/>
        </w:rPr>
        <w:t>（三）甲方及其工作人员不得要求或者接受乙方为其住房装修、婚丧嫁娶活动、配偶子女的工作安排以及出国出境、旅游等提供方便等。</w:t>
      </w:r>
    </w:p>
    <w:p>
      <w:pPr>
        <w:spacing w:line="420" w:lineRule="exact"/>
        <w:ind w:firstLine="360" w:firstLineChars="150"/>
        <w:rPr>
          <w:sz w:val="24"/>
        </w:rPr>
      </w:pPr>
      <w:r>
        <w:rPr>
          <w:rFonts w:hint="eastAsia"/>
          <w:sz w:val="24"/>
        </w:rPr>
        <w:t>（四）甲方工作人员的配偶、子女不得从事与甲方工程有关的材料设备供应、工程分包、劳务等经济活动等。</w:t>
      </w:r>
    </w:p>
    <w:p>
      <w:pPr>
        <w:spacing w:line="420" w:lineRule="exact"/>
        <w:ind w:firstLine="360" w:firstLineChars="150"/>
        <w:rPr>
          <w:sz w:val="24"/>
        </w:rPr>
      </w:pPr>
      <w:r>
        <w:rPr>
          <w:rFonts w:hint="eastAsia"/>
          <w:sz w:val="24"/>
        </w:rPr>
        <w:t>（五）甲方及其工作人员不得以任何理由向乙方推荐分包单位，不得要求乙方购买合同规定以外的材料和设备。</w:t>
      </w:r>
    </w:p>
    <w:p>
      <w:pPr>
        <w:spacing w:line="420" w:lineRule="exact"/>
        <w:rPr>
          <w:b/>
          <w:sz w:val="24"/>
        </w:rPr>
      </w:pPr>
      <w:r>
        <w:rPr>
          <w:rFonts w:hint="eastAsia"/>
          <w:b/>
          <w:sz w:val="24"/>
        </w:rPr>
        <w:t>第三条乙方义务</w:t>
      </w:r>
    </w:p>
    <w:p>
      <w:pPr>
        <w:spacing w:line="420" w:lineRule="exact"/>
        <w:ind w:firstLine="360" w:firstLineChars="150"/>
        <w:rPr>
          <w:sz w:val="24"/>
        </w:rPr>
      </w:pPr>
      <w:r>
        <w:rPr>
          <w:rFonts w:hint="eastAsia"/>
          <w:sz w:val="24"/>
        </w:rPr>
        <w:t>（一）乙方不得以任何理由向甲方及其工作人员行贿或馈赠礼金、有价证券、贵重礼品。</w:t>
      </w:r>
    </w:p>
    <w:p>
      <w:pPr>
        <w:spacing w:line="420" w:lineRule="exact"/>
        <w:ind w:firstLine="360" w:firstLineChars="150"/>
        <w:rPr>
          <w:sz w:val="24"/>
        </w:rPr>
      </w:pPr>
      <w:r>
        <w:rPr>
          <w:rFonts w:hint="eastAsia"/>
          <w:sz w:val="24"/>
        </w:rPr>
        <w:t>（二）乙方不得以任何名义为甲方及其工作人员报销应由甲方单位或个人支付的任何费用。</w:t>
      </w:r>
    </w:p>
    <w:p>
      <w:pPr>
        <w:spacing w:line="420" w:lineRule="exact"/>
        <w:ind w:firstLine="360" w:firstLineChars="150"/>
        <w:rPr>
          <w:sz w:val="24"/>
        </w:rPr>
      </w:pPr>
      <w:r>
        <w:rPr>
          <w:rFonts w:hint="eastAsia"/>
          <w:sz w:val="24"/>
        </w:rPr>
        <w:t>（三）乙方不得以任何理由邀请甲方工作人员外出旅游或安排甲方工作人员参加超标准宴请及娱乐活动。</w:t>
      </w:r>
    </w:p>
    <w:p>
      <w:pPr>
        <w:spacing w:line="420" w:lineRule="exact"/>
        <w:ind w:firstLine="360" w:firstLineChars="150"/>
        <w:rPr>
          <w:sz w:val="24"/>
        </w:rPr>
      </w:pPr>
      <w:r>
        <w:rPr>
          <w:rFonts w:hint="eastAsia"/>
          <w:sz w:val="24"/>
        </w:rPr>
        <w:t>（四）乙方不得为甲方单位和个人购置或提供通讯工具、交通工具和高档办公用品等。</w:t>
      </w:r>
    </w:p>
    <w:p>
      <w:pPr>
        <w:spacing w:line="420" w:lineRule="exact"/>
        <w:ind w:firstLine="360" w:firstLineChars="150"/>
        <w:rPr>
          <w:sz w:val="24"/>
        </w:rPr>
      </w:pPr>
      <w:r>
        <w:rPr>
          <w:rFonts w:hint="eastAsia"/>
          <w:sz w:val="24"/>
        </w:rPr>
        <w:t>（五）乙方及其工作人员应严格按监理规程办事，不得为谋取私利向监理人员非法行贿，私下串通，损害甲方利益。同时必须对监理单位和工程监理人员履行向甲方承诺的上述其他廉政义务。</w:t>
      </w:r>
    </w:p>
    <w:p>
      <w:pPr>
        <w:spacing w:line="420" w:lineRule="exact"/>
        <w:ind w:firstLine="360" w:firstLineChars="150"/>
        <w:rPr>
          <w:sz w:val="24"/>
        </w:rPr>
      </w:pPr>
      <w:r>
        <w:rPr>
          <w:rFonts w:hint="eastAsia"/>
          <w:sz w:val="24"/>
        </w:rPr>
        <w:t>（六）乙方如果发现甲方工作人员或工程监理人员有违反廉政规定的行为，应向甲方组织或上级单位举报。甲方和工程监理部门均不得找任何借口对乙方进行报复。甲方对举报属实或严格遵守廉政合同的乙方，在同等条件下给予承接后续工程的优先邀请投标权。</w:t>
      </w:r>
    </w:p>
    <w:p>
      <w:pPr>
        <w:spacing w:line="420" w:lineRule="exact"/>
        <w:rPr>
          <w:b/>
          <w:sz w:val="24"/>
        </w:rPr>
      </w:pPr>
      <w:r>
        <w:rPr>
          <w:rFonts w:hint="eastAsia"/>
          <w:b/>
          <w:sz w:val="24"/>
        </w:rPr>
        <w:t>第四条违约责任</w:t>
      </w:r>
    </w:p>
    <w:p>
      <w:pPr>
        <w:spacing w:line="420" w:lineRule="exact"/>
        <w:ind w:firstLine="360" w:firstLineChars="150"/>
        <w:rPr>
          <w:sz w:val="24"/>
        </w:rPr>
      </w:pPr>
      <w:r>
        <w:rPr>
          <w:rFonts w:hint="eastAsia"/>
          <w:sz w:val="24"/>
        </w:rPr>
        <w:t>（一）甲方及其工作人员违反本合同第一、二条，按管理权限，依据有关规定给予党纪、政纪或组织处理；涉嫌犯罪的，移交司法机关追究刑事责任；给乙方单位造成经济损失的，应予以赔偿。</w:t>
      </w:r>
    </w:p>
    <w:p>
      <w:pPr>
        <w:spacing w:line="420" w:lineRule="exact"/>
        <w:ind w:firstLine="360" w:firstLineChars="150"/>
        <w:rPr>
          <w:sz w:val="24"/>
        </w:rPr>
      </w:pPr>
      <w:r>
        <w:rPr>
          <w:rFonts w:hint="eastAsia"/>
          <w:sz w:val="24"/>
        </w:rPr>
        <w:t>（二）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420" w:lineRule="exact"/>
        <w:rPr>
          <w:b/>
          <w:sz w:val="24"/>
        </w:rPr>
      </w:pPr>
      <w:r>
        <w:rPr>
          <w:rFonts w:hint="eastAsia"/>
          <w:b/>
          <w:sz w:val="24"/>
        </w:rPr>
        <w:t>第五条　双方约定</w:t>
      </w:r>
    </w:p>
    <w:p>
      <w:pPr>
        <w:spacing w:line="420" w:lineRule="exact"/>
        <w:ind w:firstLine="480" w:firstLineChars="200"/>
        <w:rPr>
          <w:sz w:val="24"/>
        </w:rPr>
      </w:pPr>
      <w:r>
        <w:rPr>
          <w:rFonts w:hint="eastAsia"/>
          <w:sz w:val="24"/>
        </w:rPr>
        <w:t>本合同由双方或双方上级单位的纪检监察部门负责监督执行。</w:t>
      </w:r>
    </w:p>
    <w:p>
      <w:pPr>
        <w:spacing w:line="420" w:lineRule="exact"/>
        <w:rPr>
          <w:b/>
          <w:bCs/>
          <w:sz w:val="24"/>
        </w:rPr>
      </w:pPr>
      <w:r>
        <w:rPr>
          <w:rFonts w:hint="eastAsia"/>
          <w:b/>
          <w:bCs/>
          <w:sz w:val="24"/>
        </w:rPr>
        <w:t>第六条 反商业贿赂条款</w:t>
      </w:r>
    </w:p>
    <w:p>
      <w:pPr>
        <w:spacing w:line="420" w:lineRule="exact"/>
        <w:ind w:firstLine="480" w:firstLineChars="200"/>
        <w:rPr>
          <w:sz w:val="24"/>
        </w:rPr>
      </w:pPr>
      <w:r>
        <w:rPr>
          <w:rFonts w:hint="eastAsia"/>
          <w:sz w:val="24"/>
        </w:rPr>
        <w:t>1、各方都清楚并愿意严格遵守中华人民共和国反商业贿赂的法律规定，各方都清楚任何形式的贿赂和贪渎行为都将触犯法律，并将受到法律的严惩。</w:t>
      </w:r>
    </w:p>
    <w:p>
      <w:pPr>
        <w:spacing w:line="420" w:lineRule="exact"/>
        <w:ind w:firstLine="480" w:firstLineChars="200"/>
        <w:rPr>
          <w:sz w:val="24"/>
        </w:rPr>
      </w:pPr>
      <w:r>
        <w:rPr>
          <w:rFonts w:hint="eastAsia"/>
          <w:sz w:val="24"/>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spacing w:line="420" w:lineRule="exact"/>
        <w:ind w:firstLine="480" w:firstLineChars="200"/>
        <w:rPr>
          <w:sz w:val="24"/>
        </w:rPr>
      </w:pPr>
      <w:r>
        <w:rPr>
          <w:rFonts w:hint="eastAsia"/>
          <w:sz w:val="24"/>
        </w:rPr>
        <w:t>3、各方严格禁止其经办人员的任何商业贿赂行为。各方经办人发生本条第2款所列示的任何一种行为，都是违反各方公司制度的，都将受到各方制度和国家法律的惩处。</w:t>
      </w:r>
    </w:p>
    <w:p>
      <w:pPr>
        <w:spacing w:line="420" w:lineRule="exact"/>
        <w:ind w:firstLine="480" w:firstLineChars="200"/>
        <w:rPr>
          <w:sz w:val="24"/>
        </w:rPr>
      </w:pPr>
      <w:r>
        <w:rPr>
          <w:rFonts w:hint="eastAsia"/>
          <w:sz w:val="24"/>
        </w:rPr>
        <w:t>4、各方郑重提示：各方反对各方或各方的经办人员为了本合同之目的与本合同以外的任何第各方发生本条款第（二）款所列示的任何一种行为，该等行为都是违反国家法律的行为，并将受到国家法律的惩处。</w:t>
      </w:r>
    </w:p>
    <w:p>
      <w:pPr>
        <w:spacing w:line="420" w:lineRule="exact"/>
        <w:ind w:firstLine="480" w:firstLineChars="200"/>
        <w:rPr>
          <w:sz w:val="24"/>
        </w:rPr>
      </w:pPr>
      <w:r>
        <w:rPr>
          <w:rFonts w:hint="eastAsia"/>
          <w:sz w:val="24"/>
        </w:rPr>
        <w:t>5、如因一方或一方经办人违反上述第（二）款、第（三）款、第（四）款之规定，给其他方造成损失的，应承担损害赔偿责任。</w:t>
      </w:r>
    </w:p>
    <w:p>
      <w:pPr>
        <w:spacing w:line="420" w:lineRule="exact"/>
        <w:ind w:firstLine="480" w:firstLineChars="200"/>
        <w:rPr>
          <w:sz w:val="24"/>
        </w:rPr>
      </w:pPr>
      <w:r>
        <w:rPr>
          <w:rFonts w:hint="eastAsia"/>
          <w:sz w:val="24"/>
        </w:rPr>
        <w:t>6、本条所称“其他相关人员”是指各方经办人以外的与合同有直接或间接利益关系的人员，包括但不仅限于合同经办人的亲友。  </w:t>
      </w:r>
    </w:p>
    <w:p>
      <w:pPr>
        <w:spacing w:line="420" w:lineRule="exact"/>
        <w:rPr>
          <w:sz w:val="24"/>
        </w:rPr>
      </w:pPr>
      <w:r>
        <w:rPr>
          <w:rFonts w:hint="eastAsia"/>
          <w:b/>
          <w:sz w:val="24"/>
        </w:rPr>
        <w:t>第七条</w:t>
      </w:r>
      <w:r>
        <w:rPr>
          <w:rFonts w:hint="eastAsia"/>
          <w:sz w:val="24"/>
        </w:rPr>
        <w:t>本合同作为</w:t>
      </w:r>
      <w:r>
        <w:rPr>
          <w:rFonts w:hint="eastAsia"/>
          <w:b/>
          <w:sz w:val="24"/>
          <w:u w:val="single"/>
        </w:rPr>
        <w:t>《西山坪拌和站合作经营协议》</w:t>
      </w:r>
      <w:r>
        <w:rPr>
          <w:rFonts w:hint="eastAsia"/>
          <w:sz w:val="24"/>
        </w:rPr>
        <w:t>的附件，具有同等的法律效力，经合同双方签署立即生效。</w:t>
      </w:r>
    </w:p>
    <w:p>
      <w:pPr>
        <w:spacing w:line="420" w:lineRule="exact"/>
        <w:rPr>
          <w:sz w:val="24"/>
        </w:rPr>
      </w:pPr>
      <w:r>
        <w:rPr>
          <w:rFonts w:hint="eastAsia"/>
          <w:b/>
          <w:sz w:val="24"/>
        </w:rPr>
        <w:t>第八条</w:t>
      </w:r>
      <w:r>
        <w:rPr>
          <w:rFonts w:hint="eastAsia"/>
          <w:sz w:val="24"/>
        </w:rPr>
        <w:t>本</w:t>
      </w:r>
      <w:r>
        <w:rPr>
          <w:rFonts w:hint="eastAsia"/>
          <w:color w:val="auto"/>
          <w:sz w:val="24"/>
        </w:rPr>
        <w:t>合同一式</w:t>
      </w:r>
      <w:sdt>
        <w:sdtPr>
          <w:rPr>
            <w:color w:val="auto"/>
            <w:sz w:val="24"/>
            <w:u w:val="single"/>
          </w:rPr>
          <w:id w:val="-709029473"/>
          <w:placeholder>
            <w:docPart w:val="{f7a8bbb3-0fc6-4d1c-bb7b-11f3679beda3}"/>
          </w:placeholder>
        </w:sdtPr>
        <w:sdtEndPr>
          <w:rPr>
            <w:rFonts w:hint="eastAsia"/>
            <w:b/>
            <w:color w:val="auto"/>
            <w:sz w:val="24"/>
            <w:u w:val="single"/>
          </w:rPr>
        </w:sdtEndPr>
        <w:sdtContent>
          <w:r>
            <w:rPr>
              <w:rFonts w:hint="eastAsia"/>
              <w:b/>
              <w:bCs/>
              <w:color w:val="auto"/>
              <w:sz w:val="24"/>
              <w:u w:val="single"/>
            </w:rPr>
            <w:t>捌</w:t>
          </w:r>
        </w:sdtContent>
      </w:sdt>
      <w:r>
        <w:rPr>
          <w:rFonts w:hint="eastAsia"/>
          <w:color w:val="auto"/>
          <w:sz w:val="24"/>
        </w:rPr>
        <w:t>份，甲方执</w:t>
      </w:r>
      <w:sdt>
        <w:sdtPr>
          <w:rPr>
            <w:rFonts w:hint="eastAsia"/>
            <w:b/>
            <w:color w:val="auto"/>
            <w:sz w:val="24"/>
          </w:rPr>
          <w:id w:val="-809087463"/>
          <w:placeholder>
            <w:docPart w:val="{f7a8bbb3-0fc6-4d1c-bb7b-11f3679beda3}"/>
          </w:placeholder>
        </w:sdtPr>
        <w:sdtEndPr>
          <w:rPr>
            <w:rFonts w:hint="eastAsia"/>
            <w:b/>
            <w:color w:val="auto"/>
            <w:sz w:val="24"/>
            <w:u w:val="single"/>
          </w:rPr>
        </w:sdtEndPr>
        <w:sdtContent>
          <w:r>
            <w:rPr>
              <w:rFonts w:hint="eastAsia"/>
              <w:b/>
              <w:color w:val="auto"/>
              <w:sz w:val="24"/>
              <w:u w:val="single"/>
            </w:rPr>
            <w:t>肆</w:t>
          </w:r>
        </w:sdtContent>
      </w:sdt>
      <w:r>
        <w:rPr>
          <w:rFonts w:hint="eastAsia"/>
          <w:color w:val="auto"/>
          <w:sz w:val="24"/>
        </w:rPr>
        <w:t>份，乙方执</w:t>
      </w:r>
      <w:sdt>
        <w:sdtPr>
          <w:rPr>
            <w:rFonts w:hint="eastAsia"/>
            <w:color w:val="auto"/>
            <w:sz w:val="24"/>
          </w:rPr>
          <w:id w:val="160052073"/>
          <w:placeholder>
            <w:docPart w:val="{f7a8bbb3-0fc6-4d1c-bb7b-11f3679beda3}"/>
          </w:placeholder>
        </w:sdtPr>
        <w:sdtEndPr>
          <w:rPr>
            <w:rFonts w:hint="eastAsia"/>
            <w:b/>
            <w:color w:val="auto"/>
            <w:sz w:val="24"/>
            <w:u w:val="single"/>
          </w:rPr>
        </w:sdtEndPr>
        <w:sdtContent>
          <w:sdt>
            <w:sdtPr>
              <w:rPr>
                <w:rFonts w:hint="eastAsia"/>
                <w:b/>
                <w:color w:val="auto"/>
                <w:sz w:val="24"/>
              </w:rPr>
              <w:id w:val="147461404"/>
              <w:placeholder>
                <w:docPart w:val="{2ab31517-d714-4a7b-aa81-13dca49c191e}"/>
              </w:placeholder>
            </w:sdtPr>
            <w:sdtEndPr>
              <w:rPr>
                <w:rFonts w:hint="eastAsia"/>
                <w:b/>
                <w:color w:val="auto"/>
                <w:sz w:val="24"/>
                <w:u w:val="single"/>
              </w:rPr>
            </w:sdtEndPr>
            <w:sdtContent>
              <w:r>
                <w:rPr>
                  <w:rFonts w:hint="eastAsia"/>
                  <w:b/>
                  <w:color w:val="auto"/>
                  <w:sz w:val="24"/>
                  <w:u w:val="single"/>
                </w:rPr>
                <w:t>肆</w:t>
              </w:r>
            </w:sdtContent>
          </w:sdt>
        </w:sdtContent>
      </w:sdt>
      <w:r>
        <w:rPr>
          <w:rFonts w:hint="eastAsia"/>
          <w:color w:val="auto"/>
          <w:sz w:val="24"/>
        </w:rPr>
        <w:t>份</w:t>
      </w:r>
      <w:r>
        <w:rPr>
          <w:rFonts w:hint="eastAsia" w:ascii="宋体"/>
          <w:color w:val="auto"/>
          <w:sz w:val="24"/>
        </w:rPr>
        <w:t>；</w:t>
      </w:r>
      <w:r>
        <w:rPr>
          <w:rFonts w:hint="eastAsia" w:ascii="宋体"/>
          <w:sz w:val="24"/>
        </w:rPr>
        <w:t>具有同等法律效力；自双方签字并盖章后生效，甲乙双方</w:t>
      </w:r>
      <w:r>
        <w:rPr>
          <w:rFonts w:hint="eastAsia" w:ascii="宋体" w:hAnsi="宋体"/>
          <w:sz w:val="24"/>
        </w:rPr>
        <w:t>履行合同全部义务、结算价款支付完毕后，本合同即告终止。</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lang w:eastAsia="zh-CN"/>
        </w:rPr>
        <w:t>重庆公路养护工程（集团）有限公司</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szCs w:val="20"/>
        </w:rPr>
      </w:pPr>
      <w:r>
        <w:rPr>
          <w:rFonts w:hint="eastAsia" w:ascii="宋体" w:hAnsi="宋体"/>
          <w:sz w:val="24"/>
        </w:rPr>
        <w:t>或授权代表：                           或授权代表：</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textAlignment w:val="baseline"/>
        <w:rPr>
          <w:rFonts w:ascii="宋体"/>
          <w:sz w:val="24"/>
        </w:rPr>
      </w:pPr>
    </w:p>
    <w:p>
      <w:pPr>
        <w:spacing w:line="360" w:lineRule="auto"/>
        <w:textAlignment w:val="baseline"/>
        <w:rPr>
          <w:sz w:val="24"/>
        </w:rPr>
      </w:pPr>
      <w:r>
        <w:rPr>
          <w:rFonts w:hint="eastAsia" w:ascii="宋体"/>
          <w:sz w:val="24"/>
        </w:rPr>
        <w:t xml:space="preserve">日期：    年   月   日                 日期：    年    月   日   </w:t>
      </w:r>
    </w:p>
    <w:p>
      <w:pPr>
        <w:adjustRightInd w:val="0"/>
        <w:snapToGrid w:val="0"/>
        <w:spacing w:line="480" w:lineRule="exact"/>
        <w:ind w:firstLine="2140" w:firstLineChars="888"/>
        <w:rPr>
          <w:rFonts w:ascii="仿宋_GB2312" w:hAnsi="宋体" w:eastAsia="仿宋_GB2312"/>
          <w:b/>
          <w:sz w:val="24"/>
        </w:rPr>
      </w:pPr>
    </w:p>
    <w:p>
      <w:pPr>
        <w:adjustRightInd w:val="0"/>
        <w:snapToGrid w:val="0"/>
        <w:spacing w:line="480" w:lineRule="exact"/>
        <w:ind w:firstLine="2140" w:firstLineChars="888"/>
        <w:rPr>
          <w:rFonts w:ascii="仿宋_GB2312" w:hAnsi="宋体" w:eastAsia="仿宋_GB2312"/>
          <w:b/>
          <w:sz w:val="24"/>
        </w:rPr>
      </w:pPr>
    </w:p>
    <w:p>
      <w:pPr>
        <w:adjustRightInd w:val="0"/>
        <w:snapToGrid w:val="0"/>
        <w:spacing w:line="480" w:lineRule="exact"/>
        <w:ind w:firstLine="2140" w:firstLineChars="888"/>
        <w:rPr>
          <w:rFonts w:ascii="仿宋_GB2312" w:hAnsi="宋体" w:eastAsia="仿宋_GB2312"/>
          <w:b/>
          <w:sz w:val="24"/>
        </w:rPr>
      </w:pPr>
    </w:p>
    <w:p>
      <w:pPr>
        <w:adjustRightInd w:val="0"/>
        <w:snapToGrid w:val="0"/>
        <w:spacing w:line="480" w:lineRule="exact"/>
        <w:ind w:firstLine="2140" w:firstLineChars="888"/>
        <w:rPr>
          <w:rFonts w:ascii="仿宋_GB2312" w:hAnsi="宋体" w:eastAsia="仿宋_GB2312"/>
          <w:b/>
          <w:sz w:val="24"/>
        </w:rPr>
      </w:pPr>
    </w:p>
    <w:p>
      <w:pPr>
        <w:widowControl/>
        <w:jc w:val="left"/>
        <w:rPr>
          <w:b/>
          <w:sz w:val="32"/>
          <w:szCs w:val="32"/>
          <w:lang w:bidi="ar"/>
        </w:rPr>
      </w:pPr>
      <w:r>
        <w:rPr>
          <w:rFonts w:hint="eastAsia"/>
          <w:b/>
          <w:sz w:val="32"/>
          <w:szCs w:val="32"/>
          <w:lang w:bidi="ar"/>
        </w:rPr>
        <w:br w:type="page"/>
      </w:r>
    </w:p>
    <w:p>
      <w:pPr>
        <w:adjustRightInd w:val="0"/>
        <w:snapToGrid w:val="0"/>
        <w:spacing w:line="480" w:lineRule="exact"/>
        <w:jc w:val="center"/>
        <w:rPr>
          <w:rFonts w:hint="eastAsia" w:eastAsia="宋体"/>
          <w:b/>
          <w:sz w:val="36"/>
          <w:szCs w:val="36"/>
          <w:lang w:eastAsia="zh-CN"/>
        </w:rPr>
      </w:pPr>
      <w:r>
        <w:rPr>
          <w:rFonts w:hint="eastAsia"/>
          <w:b/>
          <w:sz w:val="36"/>
          <w:szCs w:val="36"/>
          <w:lang w:eastAsia="zh-CN"/>
        </w:rPr>
        <w:t>重庆公路养护工程（集团）有限公司</w:t>
      </w:r>
    </w:p>
    <w:p>
      <w:pPr>
        <w:adjustRightInd w:val="0"/>
        <w:snapToGrid w:val="0"/>
        <w:spacing w:line="480" w:lineRule="exact"/>
        <w:jc w:val="center"/>
        <w:rPr>
          <w:b/>
          <w:sz w:val="36"/>
          <w:szCs w:val="36"/>
        </w:rPr>
      </w:pPr>
      <w:r>
        <w:rPr>
          <w:rFonts w:hint="eastAsia"/>
          <w:b/>
          <w:sz w:val="36"/>
          <w:szCs w:val="36"/>
        </w:rPr>
        <w:t>西山坪拌和站合作经营之环境保护合同</w:t>
      </w:r>
    </w:p>
    <w:p>
      <w:pPr>
        <w:spacing w:line="360" w:lineRule="auto"/>
        <w:ind w:firstLine="480" w:firstLineChars="200"/>
        <w:rPr>
          <w:rFonts w:hint="eastAsia" w:eastAsia="宋体"/>
          <w:sz w:val="24"/>
          <w:szCs w:val="22"/>
          <w:lang w:eastAsia="zh-CN"/>
        </w:rPr>
      </w:pPr>
      <w:r>
        <w:rPr>
          <w:rFonts w:hint="eastAsia"/>
          <w:sz w:val="24"/>
          <w:szCs w:val="22"/>
        </w:rPr>
        <w:t>甲方：</w:t>
      </w:r>
      <w:r>
        <w:rPr>
          <w:rFonts w:hint="eastAsia"/>
          <w:sz w:val="24"/>
          <w:szCs w:val="22"/>
          <w:lang w:eastAsia="zh-CN"/>
        </w:rPr>
        <w:t>重庆公路养护工程（集团）有限公司</w:t>
      </w:r>
    </w:p>
    <w:p>
      <w:pPr>
        <w:spacing w:line="360" w:lineRule="auto"/>
        <w:ind w:firstLine="480" w:firstLineChars="200"/>
        <w:rPr>
          <w:sz w:val="24"/>
          <w:szCs w:val="22"/>
        </w:rPr>
      </w:pPr>
      <w:r>
        <w:rPr>
          <w:rFonts w:hint="eastAsia"/>
          <w:sz w:val="24"/>
          <w:szCs w:val="22"/>
        </w:rPr>
        <w:t>乙方：</w:t>
      </w:r>
    </w:p>
    <w:p>
      <w:pPr>
        <w:spacing w:line="360" w:lineRule="auto"/>
        <w:ind w:firstLine="480" w:firstLineChars="200"/>
        <w:rPr>
          <w:sz w:val="24"/>
          <w:szCs w:val="22"/>
        </w:rPr>
      </w:pPr>
    </w:p>
    <w:p>
      <w:pPr>
        <w:spacing w:line="360" w:lineRule="auto"/>
        <w:ind w:firstLine="480" w:firstLineChars="200"/>
        <w:rPr>
          <w:sz w:val="24"/>
          <w:szCs w:val="22"/>
        </w:rPr>
      </w:pPr>
      <w:r>
        <w:rPr>
          <w:rFonts w:hint="eastAsia"/>
          <w:sz w:val="24"/>
          <w:szCs w:val="22"/>
        </w:rPr>
        <w:t>为在西山坪拌和站合作经营实施过程中创造良好的施工环境，切实搞好本项目的环境保护工作，甲乙双方本着平等、自愿、公平的原则，经协商一致，签订以下环境保护合同。</w:t>
      </w:r>
    </w:p>
    <w:p>
      <w:pPr>
        <w:spacing w:line="360" w:lineRule="auto"/>
        <w:ind w:firstLine="480" w:firstLineChars="200"/>
        <w:rPr>
          <w:sz w:val="24"/>
          <w:szCs w:val="22"/>
        </w:rPr>
      </w:pPr>
      <w:r>
        <w:rPr>
          <w:rFonts w:hint="eastAsia"/>
          <w:sz w:val="24"/>
          <w:szCs w:val="22"/>
        </w:rPr>
        <w:t>第1条  双方的义务</w:t>
      </w:r>
    </w:p>
    <w:p>
      <w:pPr>
        <w:spacing w:line="360" w:lineRule="auto"/>
        <w:ind w:firstLine="480" w:firstLineChars="200"/>
        <w:rPr>
          <w:sz w:val="24"/>
          <w:szCs w:val="22"/>
        </w:rPr>
      </w:pPr>
      <w:r>
        <w:rPr>
          <w:rFonts w:hint="eastAsia"/>
          <w:sz w:val="24"/>
          <w:szCs w:val="22"/>
        </w:rPr>
        <w:t>1.1严格遵守国家有关环境保护的法律法规和规章制度，包括但不限于《中华人民共和国环境保护法》《中华人民共和国环境影响评价法》《建设项目环境保护管理条例》《交通行业环境保护管理规定》《重庆市环境保护条例》等，认真执行工程承包合同中的有关环境保护要求。</w:t>
      </w:r>
    </w:p>
    <w:p>
      <w:pPr>
        <w:spacing w:line="360" w:lineRule="auto"/>
        <w:ind w:firstLine="480" w:firstLineChars="200"/>
        <w:rPr>
          <w:sz w:val="24"/>
          <w:szCs w:val="22"/>
        </w:rPr>
      </w:pPr>
      <w:r>
        <w:rPr>
          <w:rFonts w:hint="eastAsia"/>
          <w:sz w:val="24"/>
          <w:szCs w:val="22"/>
        </w:rPr>
        <w:t>1.2 环境保护工作坚持“预防为主、防治结合、综合治理、谁污染谁治理”的原则。</w:t>
      </w:r>
    </w:p>
    <w:p>
      <w:pPr>
        <w:spacing w:line="360" w:lineRule="auto"/>
        <w:ind w:firstLine="480" w:firstLineChars="200"/>
        <w:rPr>
          <w:sz w:val="24"/>
          <w:szCs w:val="22"/>
        </w:rPr>
      </w:pPr>
      <w:r>
        <w:rPr>
          <w:rFonts w:hint="eastAsia"/>
          <w:sz w:val="24"/>
          <w:szCs w:val="22"/>
        </w:rPr>
        <w:t>第2条  甲方的权利</w:t>
      </w:r>
    </w:p>
    <w:p>
      <w:pPr>
        <w:spacing w:line="360" w:lineRule="auto"/>
        <w:ind w:firstLine="480" w:firstLineChars="200"/>
        <w:rPr>
          <w:sz w:val="24"/>
          <w:szCs w:val="22"/>
        </w:rPr>
      </w:pPr>
      <w:r>
        <w:rPr>
          <w:rFonts w:hint="eastAsia"/>
          <w:sz w:val="24"/>
          <w:szCs w:val="22"/>
        </w:rPr>
        <w:t>2.1有权要求乙方针对拌和站生产的具体情况制定环保措施方案，并进行审查和备案。</w:t>
      </w:r>
    </w:p>
    <w:p>
      <w:pPr>
        <w:spacing w:line="360" w:lineRule="auto"/>
        <w:ind w:firstLine="480" w:firstLineChars="200"/>
        <w:rPr>
          <w:sz w:val="24"/>
          <w:szCs w:val="22"/>
        </w:rPr>
      </w:pPr>
      <w:r>
        <w:rPr>
          <w:rFonts w:hint="eastAsia"/>
          <w:sz w:val="24"/>
          <w:szCs w:val="22"/>
        </w:rPr>
        <w:t>2.2有权组织对乙方的施工现场进行环保工作检查，督促乙方及时处理发现的各种环境污染问题。</w:t>
      </w:r>
    </w:p>
    <w:p>
      <w:pPr>
        <w:spacing w:line="360" w:lineRule="auto"/>
        <w:ind w:firstLine="480" w:firstLineChars="200"/>
        <w:rPr>
          <w:sz w:val="24"/>
          <w:szCs w:val="22"/>
        </w:rPr>
      </w:pPr>
      <w:r>
        <w:rPr>
          <w:rFonts w:hint="eastAsia"/>
          <w:sz w:val="24"/>
          <w:szCs w:val="22"/>
        </w:rPr>
        <w:t>2.3发生环境污染事故后，有权根据相关法律法规和规章制度的规定组织或参与事故的调查。</w:t>
      </w:r>
    </w:p>
    <w:p>
      <w:pPr>
        <w:spacing w:line="360" w:lineRule="auto"/>
        <w:ind w:firstLine="480" w:firstLineChars="200"/>
        <w:rPr>
          <w:sz w:val="24"/>
          <w:szCs w:val="22"/>
        </w:rPr>
      </w:pPr>
      <w:r>
        <w:rPr>
          <w:rFonts w:hint="eastAsia"/>
          <w:sz w:val="24"/>
          <w:szCs w:val="22"/>
        </w:rPr>
        <w:t>第3条  乙方的义务</w:t>
      </w:r>
    </w:p>
    <w:p>
      <w:pPr>
        <w:spacing w:line="360" w:lineRule="auto"/>
        <w:ind w:firstLine="480" w:firstLineChars="200"/>
        <w:rPr>
          <w:sz w:val="24"/>
          <w:szCs w:val="22"/>
        </w:rPr>
      </w:pPr>
      <w:r>
        <w:rPr>
          <w:rFonts w:hint="eastAsia"/>
          <w:sz w:val="24"/>
          <w:szCs w:val="22"/>
        </w:rPr>
        <w:t>3.1根据拌和站生产的需要，乙方应当编制环保措施方案，并报经甲方审查和备案。</w:t>
      </w:r>
    </w:p>
    <w:p>
      <w:pPr>
        <w:spacing w:line="360" w:lineRule="auto"/>
        <w:ind w:firstLine="480" w:firstLineChars="200"/>
        <w:rPr>
          <w:sz w:val="24"/>
          <w:szCs w:val="22"/>
        </w:rPr>
      </w:pPr>
      <w:r>
        <w:rPr>
          <w:rFonts w:hint="eastAsia"/>
          <w:sz w:val="24"/>
          <w:szCs w:val="22"/>
        </w:rPr>
        <w:t>3.2加强施工过程中的扬尘与噪声管控，尤其在靠近城区、居民区等环境敏感区域施工，应高度重视并加强环境保护措施，降低施工对环境的影响。</w:t>
      </w:r>
    </w:p>
    <w:p>
      <w:pPr>
        <w:spacing w:line="360" w:lineRule="auto"/>
        <w:ind w:firstLine="480" w:firstLineChars="200"/>
        <w:rPr>
          <w:sz w:val="24"/>
          <w:szCs w:val="22"/>
        </w:rPr>
      </w:pPr>
      <w:r>
        <w:rPr>
          <w:rFonts w:hint="eastAsia"/>
          <w:sz w:val="24"/>
          <w:szCs w:val="22"/>
        </w:rPr>
        <w:t>3.3在施工过程中采取有效措施加强施工现场周边水源及土壤的环境保护，不得随意倾倒施工垃圾，杜绝施工造成环境污染。</w:t>
      </w:r>
    </w:p>
    <w:p>
      <w:pPr>
        <w:spacing w:line="360" w:lineRule="auto"/>
        <w:ind w:firstLine="480" w:firstLineChars="200"/>
        <w:rPr>
          <w:sz w:val="24"/>
          <w:szCs w:val="22"/>
        </w:rPr>
      </w:pPr>
      <w:r>
        <w:rPr>
          <w:rFonts w:hint="eastAsia"/>
          <w:sz w:val="24"/>
          <w:szCs w:val="22"/>
        </w:rPr>
        <w:t>3.4施工车辆在运输及装卸过程中，必须采取封闭措施，避免材料、渣土“抛、洒、滴、漏”影响污染环境。</w:t>
      </w:r>
    </w:p>
    <w:p>
      <w:pPr>
        <w:spacing w:line="360" w:lineRule="auto"/>
        <w:ind w:firstLine="480" w:firstLineChars="200"/>
        <w:rPr>
          <w:sz w:val="24"/>
          <w:szCs w:val="22"/>
        </w:rPr>
      </w:pPr>
      <w:r>
        <w:rPr>
          <w:rFonts w:hint="eastAsia"/>
          <w:sz w:val="24"/>
          <w:szCs w:val="22"/>
        </w:rPr>
        <w:t>3.5施工机械在路面切割等作业时，必须采取喷洒水雾等措施，防止扬尘。</w:t>
      </w:r>
    </w:p>
    <w:p>
      <w:pPr>
        <w:spacing w:line="360" w:lineRule="auto"/>
        <w:ind w:firstLine="480" w:firstLineChars="200"/>
        <w:rPr>
          <w:sz w:val="24"/>
          <w:szCs w:val="22"/>
        </w:rPr>
      </w:pPr>
      <w:r>
        <w:rPr>
          <w:rFonts w:hint="eastAsia"/>
          <w:sz w:val="24"/>
          <w:szCs w:val="22"/>
        </w:rPr>
        <w:t>3.6施工中应采取相应的降噪措施和合理的作业时间安排，尽量减少对正常工作和生活的影响。</w:t>
      </w:r>
    </w:p>
    <w:p>
      <w:pPr>
        <w:spacing w:line="360" w:lineRule="auto"/>
        <w:ind w:firstLine="480" w:firstLineChars="200"/>
        <w:rPr>
          <w:sz w:val="24"/>
          <w:szCs w:val="22"/>
        </w:rPr>
      </w:pPr>
      <w:r>
        <w:rPr>
          <w:rFonts w:hint="eastAsia"/>
          <w:sz w:val="24"/>
          <w:szCs w:val="22"/>
        </w:rPr>
        <w:t>3.7施工工地离居民区较近，对超过噪声标准作业，应采取有效的噪声污染防治措施（如：夜间禁止作业、设置临时隔音墙等），并提前告知相关监管部门。</w:t>
      </w:r>
    </w:p>
    <w:p>
      <w:pPr>
        <w:spacing w:line="360" w:lineRule="auto"/>
        <w:ind w:firstLine="480" w:firstLineChars="200"/>
        <w:rPr>
          <w:sz w:val="24"/>
          <w:szCs w:val="22"/>
        </w:rPr>
      </w:pPr>
      <w:r>
        <w:rPr>
          <w:rFonts w:hint="eastAsia"/>
          <w:sz w:val="24"/>
          <w:szCs w:val="22"/>
        </w:rPr>
        <w:t>第4条  违约责任</w:t>
      </w:r>
    </w:p>
    <w:p>
      <w:pPr>
        <w:spacing w:line="360" w:lineRule="auto"/>
        <w:ind w:firstLine="480" w:firstLineChars="200"/>
        <w:rPr>
          <w:sz w:val="24"/>
          <w:szCs w:val="22"/>
        </w:rPr>
      </w:pPr>
      <w:r>
        <w:rPr>
          <w:rFonts w:hint="eastAsia"/>
          <w:sz w:val="24"/>
          <w:szCs w:val="22"/>
        </w:rPr>
        <w:t>4.1 如因乙方原因造成环境污染事故，由乙方承担由此产生的经济赔偿责任及法律责任，并按合同约定承担合同年度加工费结算金额5%的违约金。</w:t>
      </w:r>
    </w:p>
    <w:p>
      <w:pPr>
        <w:spacing w:line="360" w:lineRule="auto"/>
        <w:ind w:firstLine="480" w:firstLineChars="200"/>
        <w:rPr>
          <w:sz w:val="24"/>
          <w:szCs w:val="22"/>
        </w:rPr>
      </w:pPr>
      <w:r>
        <w:rPr>
          <w:rFonts w:hint="eastAsia"/>
          <w:sz w:val="24"/>
          <w:szCs w:val="22"/>
        </w:rPr>
        <w:t>4.2若发生环境污染事故，事故的报告、调查和责任确定应当按照相关法律法规和规章制度的规定进行。</w:t>
      </w:r>
    </w:p>
    <w:p>
      <w:pPr>
        <w:spacing w:line="360" w:lineRule="auto"/>
        <w:ind w:firstLine="480" w:firstLineChars="200"/>
        <w:rPr>
          <w:sz w:val="24"/>
          <w:szCs w:val="22"/>
        </w:rPr>
      </w:pPr>
      <w:r>
        <w:rPr>
          <w:rFonts w:hint="eastAsia"/>
          <w:sz w:val="24"/>
          <w:szCs w:val="22"/>
        </w:rPr>
        <w:t>第5条  其它约定</w:t>
      </w:r>
    </w:p>
    <w:p>
      <w:pPr>
        <w:spacing w:line="360" w:lineRule="auto"/>
        <w:ind w:firstLine="480" w:firstLineChars="200"/>
        <w:rPr>
          <w:sz w:val="24"/>
          <w:szCs w:val="22"/>
        </w:rPr>
      </w:pPr>
      <w:r>
        <w:rPr>
          <w:rFonts w:hint="eastAsia"/>
          <w:sz w:val="24"/>
          <w:szCs w:val="22"/>
        </w:rPr>
        <w:t>5.1本合同作为《西山坪拌和站合作经营协议》的附件，具有同等的法律效力。</w:t>
      </w:r>
    </w:p>
    <w:p>
      <w:pPr>
        <w:spacing w:line="360" w:lineRule="auto"/>
        <w:ind w:firstLine="480" w:firstLineChars="200"/>
        <w:rPr>
          <w:sz w:val="24"/>
          <w:szCs w:val="22"/>
        </w:rPr>
      </w:pPr>
      <w:r>
        <w:rPr>
          <w:rFonts w:hint="eastAsia"/>
          <w:sz w:val="24"/>
          <w:szCs w:val="22"/>
        </w:rPr>
        <w:t>5.2本合同履行过程中发生的任何争议、纠纷，双方应通过友好协商方式解决；协商不成，按照工程承包合同中所约定的争议解决方式解决。</w:t>
      </w:r>
    </w:p>
    <w:p>
      <w:pPr>
        <w:spacing w:line="360" w:lineRule="auto"/>
        <w:ind w:firstLine="480" w:firstLineChars="200"/>
        <w:rPr>
          <w:sz w:val="24"/>
          <w:szCs w:val="22"/>
        </w:rPr>
      </w:pPr>
      <w:r>
        <w:rPr>
          <w:rFonts w:hint="eastAsia"/>
          <w:sz w:val="24"/>
          <w:szCs w:val="22"/>
        </w:rPr>
        <w:t>5.3本合同一式捌份，甲方执肆份，乙方执肆份。由双方法定代表人或其委托代理人签署并加盖公章后生效，全部工程完工验收后终止。</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甲方：（盖章）                          乙方：（盖章）</w:t>
      </w:r>
    </w:p>
    <w:p>
      <w:pPr>
        <w:spacing w:line="360" w:lineRule="auto"/>
        <w:textAlignment w:val="baseline"/>
        <w:rPr>
          <w:rFonts w:ascii="宋体" w:hAnsi="宋体"/>
          <w:sz w:val="24"/>
        </w:rPr>
      </w:pPr>
      <w:r>
        <w:rPr>
          <w:rFonts w:hint="eastAsia" w:ascii="宋体" w:hAnsi="宋体"/>
          <w:sz w:val="24"/>
          <w:lang w:eastAsia="zh-CN"/>
        </w:rPr>
        <w:t>重庆公路养护工程（集团）有限公司</w:t>
      </w:r>
      <w:r>
        <w:rPr>
          <w:rFonts w:hint="eastAsia" w:ascii="宋体" w:hAnsi="宋体"/>
          <w:sz w:val="24"/>
        </w:rPr>
        <w:t xml:space="preserve">       </w:t>
      </w:r>
    </w:p>
    <w:p>
      <w:pPr>
        <w:spacing w:line="360" w:lineRule="auto"/>
        <w:rPr>
          <w:rFonts w:ascii="宋体" w:hAnsi="宋体"/>
          <w:sz w:val="24"/>
        </w:rPr>
      </w:pPr>
      <w:r>
        <w:rPr>
          <w:rFonts w:hint="eastAsia" w:ascii="宋体" w:hAnsi="宋体"/>
          <w:sz w:val="24"/>
        </w:rPr>
        <w:t>法定代表人                             法定代表人</w:t>
      </w:r>
    </w:p>
    <w:p>
      <w:pPr>
        <w:spacing w:line="360" w:lineRule="auto"/>
        <w:textAlignment w:val="baseline"/>
        <w:rPr>
          <w:rFonts w:ascii="宋体" w:hAnsi="宋体"/>
          <w:sz w:val="24"/>
          <w:szCs w:val="20"/>
        </w:rPr>
      </w:pPr>
      <w:r>
        <w:rPr>
          <w:rFonts w:hint="eastAsia" w:ascii="宋体" w:hAnsi="宋体"/>
          <w:sz w:val="24"/>
        </w:rPr>
        <w:t>或授权代表：                           或授权代表：</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项目负责人：                           项目负责人：</w:t>
      </w:r>
    </w:p>
    <w:p>
      <w:pPr>
        <w:spacing w:line="360" w:lineRule="auto"/>
        <w:textAlignment w:val="baseline"/>
        <w:rPr>
          <w:rFonts w:ascii="宋体" w:hAnsi="宋体"/>
          <w:sz w:val="24"/>
        </w:rPr>
      </w:pPr>
    </w:p>
    <w:p>
      <w:pPr>
        <w:spacing w:line="360" w:lineRule="auto"/>
        <w:textAlignment w:val="baseline"/>
        <w:rPr>
          <w:rFonts w:ascii="宋体" w:hAnsi="宋体"/>
          <w:sz w:val="24"/>
        </w:rPr>
      </w:pPr>
      <w:r>
        <w:rPr>
          <w:rFonts w:hint="eastAsia" w:ascii="宋体" w:hAnsi="宋体"/>
          <w:sz w:val="24"/>
        </w:rPr>
        <w:t xml:space="preserve">经办人：                               经办人： </w:t>
      </w:r>
    </w:p>
    <w:p>
      <w:pPr>
        <w:spacing w:line="360" w:lineRule="auto"/>
        <w:textAlignment w:val="baseline"/>
        <w:rPr>
          <w:rFonts w:ascii="宋体"/>
          <w:sz w:val="24"/>
        </w:rPr>
      </w:pPr>
    </w:p>
    <w:p>
      <w:pPr>
        <w:spacing w:line="360" w:lineRule="auto"/>
        <w:textAlignment w:val="baseline"/>
        <w:rPr>
          <w:sz w:val="24"/>
        </w:rPr>
      </w:pPr>
      <w:r>
        <w:rPr>
          <w:rFonts w:hint="eastAsia" w:ascii="宋体"/>
          <w:sz w:val="24"/>
        </w:rPr>
        <w:t xml:space="preserve">日期：    年   月   日                 日期：    年    月   日   </w:t>
      </w:r>
    </w:p>
    <w:p/>
    <w:p>
      <w:pPr>
        <w:pStyle w:val="5"/>
        <w:sectPr>
          <w:pgSz w:w="12240" w:h="15840"/>
          <w:pgMar w:top="1417" w:right="1361" w:bottom="1417" w:left="1361" w:header="720" w:footer="720" w:gutter="0"/>
          <w:cols w:space="0" w:num="1"/>
        </w:sectPr>
      </w:pPr>
    </w:p>
    <w:p>
      <w:pPr>
        <w:pStyle w:val="3"/>
        <w:numPr>
          <w:ilvl w:val="0"/>
          <w:numId w:val="0"/>
        </w:numPr>
        <w:snapToGrid/>
        <w:rPr>
          <w:rFonts w:ascii="宋体" w:hAnsi="宋体" w:eastAsia="宋体" w:cs="宋体"/>
          <w:b/>
          <w:kern w:val="0"/>
          <w:sz w:val="40"/>
        </w:rPr>
      </w:pPr>
      <w:bookmarkStart w:id="194" w:name="_Toc32177"/>
      <w:bookmarkStart w:id="195" w:name="_Toc6942"/>
      <w:r>
        <w:rPr>
          <w:rFonts w:hint="eastAsia" w:ascii="宋体" w:hAnsi="宋体" w:eastAsia="宋体" w:cs="宋体"/>
          <w:b/>
          <w:kern w:val="0"/>
          <w:sz w:val="40"/>
        </w:rPr>
        <w:t xml:space="preserve">第五章 </w:t>
      </w:r>
      <w:bookmarkStart w:id="196" w:name="_Toc4928"/>
      <w:r>
        <w:rPr>
          <w:rFonts w:hint="eastAsia" w:ascii="宋体" w:hAnsi="宋体" w:eastAsia="宋体" w:cs="宋体"/>
          <w:b/>
          <w:kern w:val="0"/>
          <w:sz w:val="40"/>
        </w:rPr>
        <w:t xml:space="preserve">  投标文件格式</w:t>
      </w:r>
      <w:bookmarkEnd w:id="194"/>
      <w:bookmarkEnd w:id="195"/>
      <w:bookmarkEnd w:id="196"/>
    </w:p>
    <w:p>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pPr>
        <w:tabs>
          <w:tab w:val="left" w:pos="2580"/>
          <w:tab w:val="left" w:pos="5940"/>
        </w:tabs>
        <w:autoSpaceDE w:val="0"/>
        <w:autoSpaceDN w:val="0"/>
        <w:adjustRightInd w:val="0"/>
        <w:snapToGrid w:val="0"/>
        <w:spacing w:line="360" w:lineRule="auto"/>
        <w:jc w:val="left"/>
        <w:rPr>
          <w:rFonts w:ascii="宋体" w:hAnsi="宋体" w:cs="宋体"/>
          <w:kern w:val="0"/>
          <w:sz w:val="28"/>
          <w:szCs w:val="28"/>
          <w:u w:val="single"/>
        </w:rPr>
      </w:pPr>
    </w:p>
    <w:p>
      <w:pPr>
        <w:tabs>
          <w:tab w:val="left" w:pos="540"/>
        </w:tabs>
        <w:spacing w:line="360" w:lineRule="auto"/>
        <w:rPr>
          <w:rFonts w:ascii="宋体" w:hAnsi="宋体" w:cs="宋体"/>
          <w:sz w:val="24"/>
        </w:rPr>
      </w:pPr>
    </w:p>
    <w:p>
      <w:pPr>
        <w:tabs>
          <w:tab w:val="left" w:pos="3395"/>
          <w:tab w:val="left" w:pos="5940"/>
        </w:tabs>
        <w:autoSpaceDE w:val="0"/>
        <w:autoSpaceDN w:val="0"/>
        <w:adjustRightInd w:val="0"/>
        <w:snapToGrid w:val="0"/>
        <w:spacing w:line="360" w:lineRule="auto"/>
        <w:jc w:val="right"/>
        <w:rPr>
          <w:b/>
          <w:bCs/>
          <w:kern w:val="1"/>
        </w:rPr>
      </w:pPr>
      <w:r>
        <w:rPr>
          <w:rFonts w:hint="eastAsia" w:ascii="宋体" w:hAnsi="宋体" w:cs="宋体"/>
          <w:szCs w:val="21"/>
        </w:rPr>
        <w:br w:type="page"/>
      </w:r>
      <w:r>
        <w:rPr>
          <w:rFonts w:hint="eastAsia"/>
          <w:sz w:val="28"/>
          <w:szCs w:val="28"/>
        </w:rPr>
        <w:t xml:space="preserve"> </w:t>
      </w:r>
    </w:p>
    <w:p>
      <w:pPr>
        <w:tabs>
          <w:tab w:val="left" w:pos="3395"/>
          <w:tab w:val="left" w:pos="5940"/>
        </w:tabs>
        <w:autoSpaceDE w:val="0"/>
        <w:autoSpaceDN w:val="0"/>
        <w:adjustRightInd w:val="0"/>
        <w:snapToGrid w:val="0"/>
        <w:spacing w:line="360" w:lineRule="auto"/>
        <w:jc w:val="left"/>
        <w:rPr>
          <w:b/>
          <w:bCs/>
          <w:kern w:val="1"/>
        </w:rPr>
      </w:pPr>
    </w:p>
    <w:p>
      <w:pPr>
        <w:tabs>
          <w:tab w:val="left" w:pos="3395"/>
          <w:tab w:val="left" w:pos="5940"/>
        </w:tabs>
        <w:autoSpaceDE w:val="0"/>
        <w:autoSpaceDN w:val="0"/>
        <w:adjustRightInd w:val="0"/>
        <w:snapToGrid w:val="0"/>
        <w:spacing w:line="360" w:lineRule="auto"/>
        <w:ind w:firstLine="840" w:firstLineChars="300"/>
        <w:jc w:val="left"/>
        <w:rPr>
          <w:b/>
          <w:kern w:val="0"/>
          <w:sz w:val="28"/>
          <w:szCs w:val="28"/>
        </w:rPr>
      </w:pPr>
      <w:r>
        <w:rPr>
          <w:rFonts w:hint="eastAsia"/>
          <w:b/>
          <w:spacing w:val="1"/>
          <w:w w:val="99"/>
          <w:kern w:val="0"/>
          <w:sz w:val="28"/>
          <w:szCs w:val="28"/>
          <w:u w:val="single"/>
          <w:lang w:eastAsia="zh-CN"/>
        </w:rPr>
        <w:t>重庆公路养护工程（集团）有限公司</w:t>
      </w:r>
      <w:r>
        <w:rPr>
          <w:rFonts w:hint="eastAsia"/>
          <w:b/>
          <w:spacing w:val="1"/>
          <w:w w:val="99"/>
          <w:kern w:val="0"/>
          <w:sz w:val="28"/>
          <w:szCs w:val="28"/>
          <w:u w:val="single"/>
        </w:rPr>
        <w:t>西山坪拌和站合作经营</w:t>
      </w:r>
    </w:p>
    <w:p>
      <w:pPr>
        <w:tabs>
          <w:tab w:val="left" w:pos="3600"/>
          <w:tab w:val="left" w:pos="4480"/>
          <w:tab w:val="left" w:pos="5360"/>
        </w:tabs>
        <w:autoSpaceDE w:val="0"/>
        <w:autoSpaceDN w:val="0"/>
        <w:adjustRightInd w:val="0"/>
        <w:snapToGrid w:val="0"/>
        <w:spacing w:line="360" w:lineRule="auto"/>
        <w:jc w:val="left"/>
      </w:pPr>
      <w:r>
        <w:rPr>
          <w:kern w:val="0"/>
          <w:sz w:val="44"/>
          <w:szCs w:val="44"/>
        </w:rPr>
        <w:t xml:space="preserve">          </w:t>
      </w:r>
    </w:p>
    <w:p>
      <w:pPr>
        <w:tabs>
          <w:tab w:val="left" w:pos="3600"/>
          <w:tab w:val="left" w:pos="4480"/>
          <w:tab w:val="left" w:pos="5360"/>
        </w:tabs>
        <w:autoSpaceDE w:val="0"/>
        <w:autoSpaceDN w:val="0"/>
        <w:adjustRightInd w:val="0"/>
        <w:snapToGrid w:val="0"/>
        <w:spacing w:line="360" w:lineRule="auto"/>
        <w:jc w:val="left"/>
        <w:rPr>
          <w:kern w:val="0"/>
          <w:sz w:val="44"/>
          <w:szCs w:val="44"/>
        </w:rPr>
      </w:pPr>
    </w:p>
    <w:p>
      <w:pPr>
        <w:pStyle w:val="5"/>
      </w:pPr>
    </w:p>
    <w:p>
      <w:pPr>
        <w:spacing w:before="234" w:line="220" w:lineRule="auto"/>
        <w:ind w:left="2230"/>
        <w:outlineLvl w:val="0"/>
        <w:rPr>
          <w:rFonts w:ascii="宋体" w:hAnsi="宋体" w:cs="宋体"/>
          <w:sz w:val="72"/>
          <w:szCs w:val="72"/>
        </w:rPr>
      </w:pPr>
      <w:r>
        <w:rPr>
          <w:rFonts w:ascii="宋体" w:hAnsi="宋体" w:cs="宋体"/>
          <w:spacing w:val="-2"/>
          <w:sz w:val="72"/>
          <w:szCs w:val="72"/>
        </w:rPr>
        <w:t>投</w:t>
      </w:r>
      <w:r>
        <w:rPr>
          <w:rFonts w:ascii="宋体" w:hAnsi="宋体" w:cs="宋体"/>
          <w:spacing w:val="-1"/>
          <w:sz w:val="72"/>
          <w:szCs w:val="72"/>
        </w:rPr>
        <w:t xml:space="preserve"> 标 文 件</w:t>
      </w:r>
    </w:p>
    <w:p>
      <w:pPr>
        <w:autoSpaceDE w:val="0"/>
        <w:autoSpaceDN w:val="0"/>
        <w:adjustRightInd w:val="0"/>
        <w:snapToGrid w:val="0"/>
        <w:spacing w:line="360" w:lineRule="auto"/>
        <w:jc w:val="left"/>
        <w:rPr>
          <w:kern w:val="0"/>
          <w:sz w:val="16"/>
          <w:szCs w:val="16"/>
        </w:rPr>
      </w:pPr>
    </w:p>
    <w:p>
      <w:pPr>
        <w:autoSpaceDE w:val="0"/>
        <w:autoSpaceDN w:val="0"/>
      </w:pPr>
    </w:p>
    <w:p>
      <w:pPr>
        <w:autoSpaceDE w:val="0"/>
        <w:autoSpaceDN w:val="0"/>
        <w:jc w:val="center"/>
        <w:rPr>
          <w:b/>
          <w:sz w:val="44"/>
          <w:u w:val="single"/>
        </w:rPr>
      </w:pPr>
    </w:p>
    <w:p>
      <w:pPr>
        <w:autoSpaceDE w:val="0"/>
        <w:autoSpaceDN w:val="0"/>
        <w:jc w:val="center"/>
        <w:rPr>
          <w:b/>
          <w:sz w:val="44"/>
          <w:u w:val="single"/>
        </w:rPr>
      </w:pPr>
    </w:p>
    <w:p>
      <w:pPr>
        <w:autoSpaceDE w:val="0"/>
        <w:autoSpaceDN w:val="0"/>
        <w:adjustRightInd w:val="0"/>
        <w:snapToGrid w:val="0"/>
        <w:spacing w:line="360" w:lineRule="auto"/>
        <w:jc w:val="left"/>
        <w:rPr>
          <w:b/>
          <w:kern w:val="0"/>
          <w:sz w:val="20"/>
          <w:szCs w:val="20"/>
        </w:rPr>
      </w:pPr>
    </w:p>
    <w:p>
      <w:pPr>
        <w:autoSpaceDE w:val="0"/>
        <w:autoSpaceDN w:val="0"/>
        <w:adjustRightInd w:val="0"/>
        <w:snapToGrid w:val="0"/>
        <w:spacing w:line="360" w:lineRule="auto"/>
        <w:jc w:val="left"/>
        <w:rPr>
          <w:b/>
          <w:kern w:val="0"/>
          <w:sz w:val="20"/>
          <w:szCs w:val="20"/>
        </w:rPr>
      </w:pPr>
    </w:p>
    <w:p>
      <w:pPr>
        <w:autoSpaceDE w:val="0"/>
        <w:autoSpaceDN w:val="0"/>
        <w:adjustRightInd w:val="0"/>
        <w:snapToGrid w:val="0"/>
        <w:spacing w:line="360" w:lineRule="auto"/>
        <w:jc w:val="left"/>
        <w:rPr>
          <w:b/>
          <w:kern w:val="0"/>
          <w:sz w:val="20"/>
          <w:szCs w:val="20"/>
        </w:rPr>
      </w:pPr>
    </w:p>
    <w:p>
      <w:pPr>
        <w:autoSpaceDE w:val="0"/>
        <w:autoSpaceDN w:val="0"/>
        <w:adjustRightInd w:val="0"/>
        <w:snapToGrid w:val="0"/>
        <w:spacing w:line="360" w:lineRule="auto"/>
        <w:jc w:val="left"/>
        <w:rPr>
          <w:b/>
          <w:kern w:val="0"/>
          <w:sz w:val="20"/>
          <w:szCs w:val="20"/>
        </w:rPr>
      </w:pPr>
    </w:p>
    <w:p>
      <w:pPr>
        <w:autoSpaceDE w:val="0"/>
        <w:autoSpaceDN w:val="0"/>
        <w:adjustRightInd w:val="0"/>
        <w:snapToGrid w:val="0"/>
        <w:spacing w:line="360" w:lineRule="auto"/>
        <w:jc w:val="left"/>
        <w:rPr>
          <w:b/>
          <w:kern w:val="0"/>
          <w:sz w:val="20"/>
          <w:szCs w:val="20"/>
        </w:rPr>
      </w:pPr>
    </w:p>
    <w:p>
      <w:pPr>
        <w:autoSpaceDE w:val="0"/>
        <w:autoSpaceDN w:val="0"/>
        <w:adjustRightInd w:val="0"/>
        <w:snapToGrid w:val="0"/>
        <w:spacing w:line="360" w:lineRule="auto"/>
        <w:jc w:val="left"/>
        <w:rPr>
          <w:b/>
          <w:kern w:val="0"/>
          <w:sz w:val="20"/>
          <w:szCs w:val="20"/>
        </w:rPr>
      </w:pPr>
    </w:p>
    <w:p>
      <w:pPr>
        <w:autoSpaceDE w:val="0"/>
        <w:autoSpaceDN w:val="0"/>
        <w:adjustRightInd w:val="0"/>
        <w:snapToGrid w:val="0"/>
        <w:spacing w:line="360" w:lineRule="auto"/>
        <w:jc w:val="left"/>
        <w:rPr>
          <w:b/>
          <w:kern w:val="0"/>
          <w:sz w:val="20"/>
          <w:szCs w:val="20"/>
        </w:rPr>
      </w:pPr>
    </w:p>
    <w:p>
      <w:pPr>
        <w:autoSpaceDE w:val="0"/>
        <w:autoSpaceDN w:val="0"/>
        <w:adjustRightInd w:val="0"/>
        <w:snapToGrid w:val="0"/>
        <w:spacing w:line="360" w:lineRule="auto"/>
        <w:jc w:val="left"/>
        <w:rPr>
          <w:b/>
          <w:kern w:val="0"/>
          <w:sz w:val="20"/>
          <w:szCs w:val="20"/>
        </w:rPr>
      </w:pPr>
    </w:p>
    <w:p>
      <w:pPr>
        <w:autoSpaceDE w:val="0"/>
        <w:autoSpaceDN w:val="0"/>
        <w:adjustRightInd w:val="0"/>
        <w:snapToGrid w:val="0"/>
        <w:spacing w:line="360" w:lineRule="auto"/>
        <w:jc w:val="left"/>
        <w:rPr>
          <w:b/>
          <w:kern w:val="0"/>
          <w:sz w:val="20"/>
          <w:szCs w:val="20"/>
        </w:rPr>
      </w:pPr>
    </w:p>
    <w:p>
      <w:pPr>
        <w:autoSpaceDE w:val="0"/>
        <w:autoSpaceDN w:val="0"/>
        <w:adjustRightInd w:val="0"/>
        <w:snapToGrid w:val="0"/>
        <w:spacing w:line="360" w:lineRule="auto"/>
        <w:jc w:val="left"/>
        <w:rPr>
          <w:b/>
          <w:kern w:val="0"/>
          <w:sz w:val="20"/>
          <w:szCs w:val="20"/>
        </w:rPr>
      </w:pPr>
    </w:p>
    <w:p>
      <w:pPr>
        <w:spacing w:line="247" w:lineRule="auto"/>
      </w:pPr>
    </w:p>
    <w:p>
      <w:pPr>
        <w:spacing w:line="247" w:lineRule="auto"/>
      </w:pPr>
    </w:p>
    <w:p>
      <w:pPr>
        <w:spacing w:before="91" w:line="222" w:lineRule="auto"/>
        <w:ind w:left="554"/>
        <w:outlineLvl w:val="0"/>
        <w:rPr>
          <w:rFonts w:ascii="宋体" w:hAnsi="宋体" w:cs="宋体"/>
          <w:sz w:val="28"/>
          <w:szCs w:val="28"/>
        </w:rPr>
      </w:pPr>
      <w:r>
        <w:rPr>
          <w:rFonts w:ascii="宋体" w:hAnsi="宋体" w:cs="宋体"/>
          <w:spacing w:val="-14"/>
          <w:sz w:val="28"/>
          <w:szCs w:val="28"/>
        </w:rPr>
        <w:t>投标人：</w:t>
      </w:r>
      <w:r>
        <w:rPr>
          <w:rFonts w:ascii="宋体" w:hAnsi="宋体" w:cs="宋体"/>
          <w:spacing w:val="-8"/>
          <w:sz w:val="28"/>
          <w:szCs w:val="28"/>
          <w:u w:val="single"/>
        </w:rPr>
        <w:t xml:space="preserve"> </w:t>
      </w:r>
      <w:r>
        <w:rPr>
          <w:rFonts w:ascii="宋体" w:hAnsi="宋体" w:cs="宋体"/>
          <w:spacing w:val="-7"/>
          <w:sz w:val="28"/>
          <w:szCs w:val="28"/>
          <w:u w:val="single"/>
        </w:rPr>
        <w:t xml:space="preserve">                              </w:t>
      </w:r>
      <w:r>
        <w:rPr>
          <w:rFonts w:ascii="宋体" w:hAnsi="宋体" w:cs="宋体"/>
          <w:spacing w:val="-7"/>
          <w:sz w:val="28"/>
          <w:szCs w:val="28"/>
        </w:rPr>
        <w:t>(盖单位法人章)</w:t>
      </w:r>
    </w:p>
    <w:p>
      <w:pPr>
        <w:spacing w:line="276" w:lineRule="auto"/>
      </w:pPr>
    </w:p>
    <w:p>
      <w:pPr>
        <w:spacing w:before="91" w:line="222" w:lineRule="auto"/>
        <w:ind w:left="597"/>
        <w:outlineLvl w:val="0"/>
        <w:rPr>
          <w:rFonts w:ascii="宋体" w:hAnsi="宋体" w:cs="宋体"/>
          <w:sz w:val="28"/>
          <w:szCs w:val="28"/>
        </w:rPr>
      </w:pPr>
      <w:r>
        <w:rPr>
          <w:rFonts w:ascii="宋体" w:hAnsi="宋体" w:cs="宋体"/>
          <w:spacing w:val="-22"/>
          <w:sz w:val="28"/>
          <w:szCs w:val="28"/>
        </w:rPr>
        <w:t>法</w:t>
      </w:r>
      <w:r>
        <w:rPr>
          <w:rFonts w:ascii="宋体" w:hAnsi="宋体" w:cs="宋体"/>
          <w:spacing w:val="-18"/>
          <w:sz w:val="28"/>
          <w:szCs w:val="28"/>
        </w:rPr>
        <w:t>定</w:t>
      </w:r>
      <w:r>
        <w:rPr>
          <w:rFonts w:ascii="宋体" w:hAnsi="宋体" w:cs="宋体"/>
          <w:spacing w:val="-11"/>
          <w:sz w:val="28"/>
          <w:szCs w:val="28"/>
        </w:rPr>
        <w:t>代表人或其委托代理人：</w:t>
      </w:r>
      <w:r>
        <w:rPr>
          <w:rFonts w:ascii="宋体" w:hAnsi="宋体" w:cs="宋体"/>
          <w:spacing w:val="-11"/>
          <w:sz w:val="28"/>
          <w:szCs w:val="28"/>
          <w:u w:val="single"/>
        </w:rPr>
        <w:t xml:space="preserve">               </w:t>
      </w:r>
      <w:r>
        <w:rPr>
          <w:rFonts w:ascii="宋体" w:hAnsi="宋体" w:cs="宋体"/>
          <w:spacing w:val="-11"/>
          <w:sz w:val="28"/>
          <w:szCs w:val="28"/>
        </w:rPr>
        <w:t>(签字或盖章)</w:t>
      </w:r>
    </w:p>
    <w:p>
      <w:pPr>
        <w:spacing w:line="275" w:lineRule="auto"/>
      </w:pPr>
    </w:p>
    <w:p>
      <w:pPr>
        <w:tabs>
          <w:tab w:val="left" w:pos="3211"/>
        </w:tabs>
        <w:spacing w:before="91" w:line="223" w:lineRule="auto"/>
        <w:ind w:left="2058"/>
        <w:outlineLvl w:val="0"/>
        <w:rPr>
          <w:rFonts w:ascii="宋体" w:hAnsi="宋体" w:cs="宋体"/>
          <w:sz w:val="28"/>
          <w:szCs w:val="28"/>
        </w:rPr>
      </w:pPr>
      <w:r>
        <w:rPr>
          <w:rFonts w:ascii="宋体" w:hAnsi="宋体" w:cs="宋体"/>
          <w:sz w:val="28"/>
          <w:szCs w:val="28"/>
          <w:u w:val="single"/>
        </w:rPr>
        <w:tab/>
      </w:r>
      <w:r>
        <w:rPr>
          <w:rFonts w:ascii="宋体" w:hAnsi="宋体" w:cs="宋体"/>
          <w:spacing w:val="6"/>
          <w:sz w:val="28"/>
          <w:szCs w:val="28"/>
        </w:rPr>
        <w:t>年</w:t>
      </w:r>
      <w:r>
        <w:rPr>
          <w:rFonts w:ascii="宋体" w:hAnsi="宋体" w:cs="宋体"/>
          <w:spacing w:val="6"/>
          <w:sz w:val="28"/>
          <w:szCs w:val="28"/>
          <w:u w:val="single"/>
        </w:rPr>
        <w:t xml:space="preserve">  </w:t>
      </w:r>
      <w:r>
        <w:rPr>
          <w:rFonts w:ascii="宋体" w:hAnsi="宋体" w:cs="宋体"/>
          <w:spacing w:val="3"/>
          <w:sz w:val="28"/>
          <w:szCs w:val="28"/>
          <w:u w:val="single"/>
        </w:rPr>
        <w:t xml:space="preserve">      </w:t>
      </w:r>
      <w:r>
        <w:rPr>
          <w:rFonts w:ascii="宋体" w:hAnsi="宋体" w:cs="宋体"/>
          <w:spacing w:val="3"/>
          <w:sz w:val="28"/>
          <w:szCs w:val="28"/>
        </w:rPr>
        <w:t>月</w:t>
      </w:r>
      <w:r>
        <w:rPr>
          <w:rFonts w:ascii="宋体" w:hAnsi="宋体" w:cs="宋体"/>
          <w:spacing w:val="3"/>
          <w:sz w:val="28"/>
          <w:szCs w:val="28"/>
          <w:u w:val="single"/>
        </w:rPr>
        <w:t xml:space="preserve">        </w:t>
      </w:r>
      <w:r>
        <w:rPr>
          <w:rFonts w:ascii="宋体" w:hAnsi="宋体" w:cs="宋体"/>
          <w:spacing w:val="3"/>
          <w:sz w:val="28"/>
          <w:szCs w:val="28"/>
        </w:rPr>
        <w:t>日</w:t>
      </w:r>
    </w:p>
    <w:p>
      <w:pPr>
        <w:autoSpaceDE w:val="0"/>
        <w:autoSpaceDN w:val="0"/>
        <w:adjustRightInd w:val="0"/>
        <w:snapToGrid w:val="0"/>
        <w:spacing w:line="360" w:lineRule="auto"/>
        <w:jc w:val="center"/>
        <w:rPr>
          <w:b/>
          <w:kern w:val="0"/>
          <w:sz w:val="32"/>
          <w:szCs w:val="32"/>
        </w:rPr>
      </w:pPr>
    </w:p>
    <w:p>
      <w:pPr>
        <w:autoSpaceDE w:val="0"/>
        <w:autoSpaceDN w:val="0"/>
        <w:adjustRightInd w:val="0"/>
        <w:snapToGrid w:val="0"/>
        <w:spacing w:line="360" w:lineRule="auto"/>
        <w:jc w:val="center"/>
        <w:rPr>
          <w:b/>
          <w:kern w:val="0"/>
          <w:sz w:val="32"/>
          <w:szCs w:val="32"/>
        </w:rPr>
      </w:pPr>
    </w:p>
    <w:p>
      <w:pPr>
        <w:pStyle w:val="5"/>
        <w:rPr>
          <w:sz w:val="32"/>
          <w:szCs w:val="32"/>
        </w:rPr>
      </w:pPr>
    </w:p>
    <w:p/>
    <w:p/>
    <w:p>
      <w:pPr>
        <w:autoSpaceDE w:val="0"/>
        <w:autoSpaceDN w:val="0"/>
        <w:adjustRightInd w:val="0"/>
        <w:snapToGrid w:val="0"/>
        <w:spacing w:line="360" w:lineRule="auto"/>
        <w:jc w:val="center"/>
        <w:rPr>
          <w:b/>
          <w:kern w:val="0"/>
          <w:sz w:val="32"/>
          <w:szCs w:val="32"/>
        </w:rPr>
      </w:pPr>
    </w:p>
    <w:p>
      <w:pPr>
        <w:autoSpaceDE w:val="0"/>
        <w:autoSpaceDN w:val="0"/>
        <w:adjustRightInd w:val="0"/>
        <w:snapToGrid w:val="0"/>
        <w:spacing w:line="360" w:lineRule="auto"/>
        <w:jc w:val="center"/>
        <w:rPr>
          <w:b/>
          <w:kern w:val="0"/>
          <w:sz w:val="32"/>
          <w:szCs w:val="32"/>
        </w:rPr>
      </w:pPr>
      <w:r>
        <w:rPr>
          <w:b/>
          <w:kern w:val="0"/>
          <w:sz w:val="32"/>
          <w:szCs w:val="32"/>
        </w:rPr>
        <w:t>目     录</w:t>
      </w:r>
    </w:p>
    <w:p>
      <w:pPr>
        <w:autoSpaceDE w:val="0"/>
        <w:autoSpaceDN w:val="0"/>
        <w:adjustRightInd w:val="0"/>
        <w:snapToGrid w:val="0"/>
        <w:spacing w:line="360" w:lineRule="auto"/>
        <w:jc w:val="left"/>
        <w:rPr>
          <w:kern w:val="0"/>
          <w:sz w:val="24"/>
        </w:rPr>
      </w:pPr>
    </w:p>
    <w:p>
      <w:pPr>
        <w:autoSpaceDE w:val="0"/>
        <w:autoSpaceDN w:val="0"/>
        <w:adjustRightInd w:val="0"/>
        <w:snapToGrid w:val="0"/>
        <w:spacing w:line="360" w:lineRule="auto"/>
        <w:jc w:val="left"/>
        <w:rPr>
          <w:bCs/>
          <w:kern w:val="0"/>
          <w:sz w:val="24"/>
        </w:rPr>
      </w:pPr>
      <w:r>
        <w:rPr>
          <w:rFonts w:hint="eastAsia"/>
          <w:bCs/>
          <w:kern w:val="0"/>
          <w:sz w:val="24"/>
        </w:rPr>
        <w:t>一、</w:t>
      </w:r>
      <w:r>
        <w:rPr>
          <w:bCs/>
          <w:kern w:val="0"/>
          <w:sz w:val="24"/>
        </w:rPr>
        <w:t>投标函</w:t>
      </w:r>
    </w:p>
    <w:p>
      <w:pPr>
        <w:autoSpaceDE w:val="0"/>
        <w:autoSpaceDN w:val="0"/>
        <w:adjustRightInd w:val="0"/>
        <w:snapToGrid w:val="0"/>
        <w:spacing w:line="360" w:lineRule="auto"/>
        <w:jc w:val="left"/>
        <w:rPr>
          <w:bCs/>
          <w:kern w:val="0"/>
          <w:sz w:val="24"/>
        </w:rPr>
      </w:pPr>
      <w:r>
        <w:rPr>
          <w:rFonts w:hint="eastAsia"/>
          <w:bCs/>
          <w:kern w:val="0"/>
          <w:sz w:val="24"/>
        </w:rPr>
        <w:t>二、法定代表人身份证明或附有法定代表人身份证明的授权委托书</w:t>
      </w:r>
    </w:p>
    <w:p>
      <w:pPr>
        <w:autoSpaceDE w:val="0"/>
        <w:autoSpaceDN w:val="0"/>
        <w:adjustRightInd w:val="0"/>
        <w:snapToGrid w:val="0"/>
        <w:spacing w:line="360" w:lineRule="auto"/>
        <w:jc w:val="left"/>
        <w:rPr>
          <w:bCs/>
          <w:kern w:val="0"/>
          <w:sz w:val="24"/>
        </w:rPr>
      </w:pPr>
      <w:r>
        <w:rPr>
          <w:rFonts w:hint="eastAsia"/>
          <w:bCs/>
          <w:kern w:val="0"/>
          <w:sz w:val="24"/>
        </w:rPr>
        <w:t>三、</w:t>
      </w:r>
      <w:r>
        <w:rPr>
          <w:bCs/>
          <w:kern w:val="0"/>
          <w:sz w:val="24"/>
        </w:rPr>
        <w:t>投标保证金</w:t>
      </w:r>
    </w:p>
    <w:p>
      <w:pPr>
        <w:snapToGrid w:val="0"/>
        <w:spacing w:line="360" w:lineRule="auto"/>
      </w:pPr>
      <w:r>
        <w:rPr>
          <w:rFonts w:hint="eastAsia"/>
          <w:bCs/>
          <w:kern w:val="0"/>
          <w:sz w:val="24"/>
        </w:rPr>
        <w:t>四、</w:t>
      </w:r>
      <w:r>
        <w:rPr>
          <w:bCs/>
          <w:kern w:val="0"/>
          <w:sz w:val="24"/>
        </w:rPr>
        <w:t>资格审查</w:t>
      </w:r>
      <w:r>
        <w:rPr>
          <w:rFonts w:hint="eastAsia"/>
          <w:bCs/>
          <w:kern w:val="0"/>
          <w:sz w:val="24"/>
        </w:rPr>
        <w:t>部分</w:t>
      </w:r>
    </w:p>
    <w:p>
      <w:pPr>
        <w:autoSpaceDE w:val="0"/>
        <w:autoSpaceDN w:val="0"/>
        <w:adjustRightInd w:val="0"/>
        <w:snapToGrid w:val="0"/>
        <w:spacing w:line="360" w:lineRule="auto"/>
        <w:jc w:val="left"/>
        <w:rPr>
          <w:bCs/>
          <w:kern w:val="0"/>
          <w:sz w:val="24"/>
        </w:rPr>
      </w:pPr>
      <w:r>
        <w:rPr>
          <w:rFonts w:hint="eastAsia"/>
          <w:bCs/>
          <w:kern w:val="0"/>
          <w:sz w:val="24"/>
        </w:rPr>
        <w:t>五、技术部分</w:t>
      </w:r>
    </w:p>
    <w:p>
      <w:pPr>
        <w:autoSpaceDE w:val="0"/>
        <w:autoSpaceDN w:val="0"/>
        <w:adjustRightInd w:val="0"/>
        <w:snapToGrid w:val="0"/>
        <w:spacing w:line="360" w:lineRule="auto"/>
        <w:jc w:val="left"/>
      </w:pPr>
      <w:r>
        <w:rPr>
          <w:rFonts w:hint="eastAsia"/>
          <w:bCs/>
          <w:kern w:val="0"/>
          <w:sz w:val="24"/>
        </w:rPr>
        <w:t>六、</w:t>
      </w:r>
      <w:r>
        <w:rPr>
          <w:bCs/>
          <w:kern w:val="0"/>
          <w:sz w:val="24"/>
        </w:rPr>
        <w:t>其他资料</w:t>
      </w:r>
    </w:p>
    <w:p>
      <w:pPr>
        <w:pStyle w:val="5"/>
      </w:pPr>
    </w:p>
    <w:p>
      <w:pPr>
        <w:autoSpaceDE w:val="0"/>
        <w:autoSpaceDN w:val="0"/>
        <w:adjustRightInd w:val="0"/>
        <w:snapToGrid w:val="0"/>
        <w:spacing w:line="360" w:lineRule="auto"/>
        <w:jc w:val="left"/>
        <w:rPr>
          <w:kern w:val="0"/>
        </w:rPr>
      </w:pPr>
    </w:p>
    <w:p>
      <w:pPr>
        <w:autoSpaceDE w:val="0"/>
        <w:autoSpaceDN w:val="0"/>
        <w:adjustRightInd w:val="0"/>
        <w:snapToGrid w:val="0"/>
        <w:spacing w:line="360" w:lineRule="auto"/>
        <w:jc w:val="left"/>
        <w:rPr>
          <w:kern w:val="0"/>
        </w:rPr>
      </w:pPr>
    </w:p>
    <w:p>
      <w:pPr>
        <w:autoSpaceDE w:val="0"/>
        <w:autoSpaceDN w:val="0"/>
        <w:adjustRightInd w:val="0"/>
        <w:snapToGrid w:val="0"/>
        <w:spacing w:line="360" w:lineRule="auto"/>
        <w:jc w:val="left"/>
        <w:rPr>
          <w:kern w:val="0"/>
        </w:rPr>
      </w:pPr>
    </w:p>
    <w:p>
      <w:pPr>
        <w:autoSpaceDE w:val="0"/>
        <w:autoSpaceDN w:val="0"/>
        <w:adjustRightInd w:val="0"/>
        <w:snapToGrid w:val="0"/>
        <w:spacing w:line="360" w:lineRule="auto"/>
        <w:jc w:val="left"/>
        <w:rPr>
          <w:kern w:val="0"/>
        </w:rPr>
      </w:pPr>
    </w:p>
    <w:p>
      <w:pPr>
        <w:autoSpaceDE w:val="0"/>
        <w:autoSpaceDN w:val="0"/>
        <w:adjustRightInd w:val="0"/>
        <w:snapToGrid w:val="0"/>
        <w:spacing w:line="360" w:lineRule="auto"/>
        <w:jc w:val="left"/>
        <w:rPr>
          <w:kern w:val="0"/>
        </w:rPr>
      </w:pPr>
    </w:p>
    <w:p>
      <w:pPr>
        <w:autoSpaceDE w:val="0"/>
        <w:autoSpaceDN w:val="0"/>
        <w:adjustRightInd w:val="0"/>
        <w:snapToGrid w:val="0"/>
        <w:spacing w:line="360" w:lineRule="auto"/>
        <w:jc w:val="left"/>
        <w:rPr>
          <w:w w:val="99"/>
          <w:kern w:val="0"/>
          <w:sz w:val="28"/>
          <w:szCs w:val="28"/>
        </w:rPr>
      </w:pPr>
    </w:p>
    <w:p>
      <w:pPr>
        <w:autoSpaceDE w:val="0"/>
        <w:autoSpaceDN w:val="0"/>
        <w:adjustRightInd w:val="0"/>
        <w:snapToGrid w:val="0"/>
        <w:spacing w:line="360" w:lineRule="auto"/>
        <w:jc w:val="left"/>
        <w:rPr>
          <w:w w:val="99"/>
          <w:kern w:val="0"/>
          <w:sz w:val="28"/>
          <w:szCs w:val="28"/>
        </w:rPr>
      </w:pPr>
    </w:p>
    <w:p>
      <w:pPr>
        <w:autoSpaceDE w:val="0"/>
        <w:autoSpaceDN w:val="0"/>
        <w:adjustRightInd w:val="0"/>
        <w:snapToGrid w:val="0"/>
        <w:spacing w:line="360" w:lineRule="auto"/>
        <w:jc w:val="left"/>
        <w:rPr>
          <w:w w:val="99"/>
          <w:kern w:val="0"/>
          <w:sz w:val="28"/>
          <w:szCs w:val="28"/>
        </w:rPr>
      </w:pPr>
    </w:p>
    <w:p>
      <w:pPr>
        <w:autoSpaceDE w:val="0"/>
        <w:autoSpaceDN w:val="0"/>
        <w:adjustRightInd w:val="0"/>
        <w:snapToGrid w:val="0"/>
        <w:spacing w:line="360" w:lineRule="auto"/>
        <w:jc w:val="left"/>
        <w:rPr>
          <w:w w:val="99"/>
          <w:kern w:val="0"/>
          <w:sz w:val="28"/>
          <w:szCs w:val="28"/>
        </w:rPr>
      </w:pPr>
    </w:p>
    <w:p/>
    <w:p/>
    <w:p/>
    <w:p/>
    <w:p/>
    <w:p/>
    <w:p>
      <w:pPr>
        <w:numPr>
          <w:ilvl w:val="0"/>
          <w:numId w:val="4"/>
        </w:numPr>
        <w:jc w:val="center"/>
        <w:rPr>
          <w:b/>
          <w:bCs/>
          <w:kern w:val="1"/>
          <w:sz w:val="28"/>
          <w:szCs w:val="28"/>
        </w:rPr>
        <w:sectPr>
          <w:pgSz w:w="11906" w:h="16838"/>
          <w:pgMar w:top="1474" w:right="1304" w:bottom="1247" w:left="1418" w:header="851" w:footer="992" w:gutter="0"/>
          <w:cols w:space="720" w:num="1"/>
        </w:sectPr>
      </w:pPr>
      <w:bookmarkStart w:id="197" w:name="_Toc387305425"/>
      <w:bookmarkStart w:id="198" w:name="_Toc448925097"/>
      <w:bookmarkStart w:id="199" w:name="_Toc372794582"/>
      <w:bookmarkStart w:id="200" w:name="_Toc310321656"/>
      <w:bookmarkStart w:id="201" w:name="_Toc437868076"/>
    </w:p>
    <w:p>
      <w:pPr>
        <w:numPr>
          <w:ilvl w:val="0"/>
          <w:numId w:val="4"/>
        </w:numPr>
        <w:jc w:val="center"/>
        <w:rPr>
          <w:b/>
          <w:bCs/>
          <w:sz w:val="28"/>
          <w:szCs w:val="28"/>
        </w:rPr>
      </w:pPr>
      <w:r>
        <w:rPr>
          <w:b/>
          <w:bCs/>
          <w:sz w:val="28"/>
          <w:szCs w:val="28"/>
        </w:rPr>
        <w:t>投标函</w:t>
      </w:r>
    </w:p>
    <w:p>
      <w:pPr>
        <w:pStyle w:val="27"/>
        <w:rPr>
          <w:rFonts w:ascii="Times New Roman" w:cs="Times New Roman"/>
          <w:color w:val="auto"/>
        </w:rPr>
      </w:pPr>
    </w:p>
    <w:p>
      <w:pPr>
        <w:wordWrap w:val="0"/>
        <w:spacing w:line="400" w:lineRule="exact"/>
        <w:ind w:firstLine="420" w:firstLineChars="200"/>
        <w:rPr>
          <w:sz w:val="24"/>
        </w:rPr>
      </w:pPr>
      <w:r>
        <w:t>1．我方已仔细研究了</w:t>
      </w:r>
      <w:r>
        <w:rPr>
          <w:u w:val="single"/>
        </w:rPr>
        <w:t xml:space="preserve">  </w:t>
      </w:r>
      <w:r>
        <w:rPr>
          <w:rFonts w:hint="eastAsia"/>
          <w:u w:val="single"/>
        </w:rPr>
        <w:t>西山坪拌和站合作经营项目</w:t>
      </w:r>
      <w:r>
        <w:rPr>
          <w:u w:val="single"/>
        </w:rPr>
        <w:t xml:space="preserve">  </w:t>
      </w:r>
      <w:r>
        <w:t>招标文件的全部内容</w:t>
      </w:r>
      <w:r>
        <w:rPr>
          <w:rFonts w:hint="eastAsia"/>
        </w:rPr>
        <w:t>（含补遗及答疑或澄清文件（如有））</w:t>
      </w:r>
      <w:r>
        <w:t>，在考察工程现场后，</w:t>
      </w:r>
      <w:r>
        <w:rPr>
          <w:rFonts w:hint="eastAsia"/>
        </w:rPr>
        <w:t>承诺以不高于市场价格的加工单价为</w:t>
      </w:r>
      <w:r>
        <w:rPr>
          <w:rFonts w:hint="eastAsia"/>
          <w:lang w:val="en-US" w:eastAsia="zh-CN"/>
        </w:rPr>
        <w:t>招标人</w:t>
      </w:r>
      <w:r>
        <w:rPr>
          <w:rFonts w:hint="eastAsia" w:ascii="宋体" w:hAnsi="宋体" w:cs="宋体"/>
          <w:szCs w:val="21"/>
        </w:rPr>
        <w:t>进行沥青混合料生产加工；愿意以设备及附属设施使用费单价报价（大写）</w:t>
      </w:r>
      <w:r>
        <w:rPr>
          <w:rFonts w:hint="eastAsia" w:ascii="宋体" w:hAnsi="宋体" w:cs="宋体"/>
          <w:szCs w:val="21"/>
          <w:u w:val="single"/>
        </w:rPr>
        <w:t xml:space="preserve">     </w:t>
      </w:r>
      <w:r>
        <w:rPr>
          <w:rFonts w:hint="eastAsia" w:ascii="宋体" w:hAnsi="宋体" w:cs="宋体"/>
          <w:szCs w:val="21"/>
        </w:rPr>
        <w:t>/吨（¥</w:t>
      </w:r>
      <w:r>
        <w:rPr>
          <w:rFonts w:hint="eastAsia" w:ascii="宋体" w:hAnsi="宋体" w:cs="宋体"/>
          <w:szCs w:val="21"/>
          <w:u w:val="single"/>
        </w:rPr>
        <w:t xml:space="preserve">     </w:t>
      </w:r>
      <w:r>
        <w:rPr>
          <w:rFonts w:hint="eastAsia" w:ascii="宋体" w:hAnsi="宋体" w:cs="宋体"/>
          <w:szCs w:val="21"/>
        </w:rPr>
        <w:t>/吨）</w:t>
      </w:r>
      <w:r>
        <w:rPr>
          <w:rFonts w:hint="eastAsia" w:ascii="宋体" w:hAnsi="宋体" w:cs="Arial"/>
          <w:szCs w:val="21"/>
        </w:rPr>
        <w:t>，</w:t>
      </w:r>
      <w:r>
        <w:rPr>
          <w:rFonts w:hint="eastAsia" w:ascii="宋体" w:hAnsi="宋体" w:cs="宋体"/>
          <w:szCs w:val="21"/>
        </w:rPr>
        <w:t>作为本项目的投标报价，按合同约定实施和完成承包工程，修补工程中的任何缺陷。</w:t>
      </w:r>
    </w:p>
    <w:p>
      <w:pPr>
        <w:spacing w:line="440" w:lineRule="exact"/>
        <w:ind w:firstLine="420" w:firstLineChars="200"/>
      </w:pPr>
      <w:r>
        <w:t>2．我方承诺在招标文件规定的投标有效期内不撤销投标文件。</w:t>
      </w:r>
    </w:p>
    <w:p>
      <w:pPr>
        <w:spacing w:line="440" w:lineRule="exact"/>
        <w:ind w:firstLine="420" w:firstLineChars="200"/>
      </w:pPr>
      <w:r>
        <w:rPr>
          <w:rFonts w:hint="eastAsia"/>
        </w:rPr>
        <w:t>3</w:t>
      </w:r>
      <w:r>
        <w:t>．如我方中标，我方承诺：</w:t>
      </w:r>
    </w:p>
    <w:p>
      <w:pPr>
        <w:spacing w:line="440" w:lineRule="exact"/>
        <w:ind w:firstLine="420" w:firstLineChars="200"/>
      </w:pPr>
      <w:r>
        <w:t>（1）在收到中标通知书后，在中标通知书规定的期限内与你方签订合同；</w:t>
      </w:r>
    </w:p>
    <w:p>
      <w:pPr>
        <w:spacing w:line="440" w:lineRule="exact"/>
        <w:ind w:firstLine="420" w:firstLineChars="200"/>
      </w:pPr>
      <w:r>
        <w:t>（2）在签订合同时不向你方提出附加条件；</w:t>
      </w:r>
    </w:p>
    <w:p>
      <w:pPr>
        <w:spacing w:line="440" w:lineRule="exact"/>
        <w:ind w:firstLine="420" w:firstLineChars="200"/>
      </w:pPr>
      <w:r>
        <w:t>（3）按照招标文件要求提交履约保证金；</w:t>
      </w:r>
    </w:p>
    <w:p>
      <w:pPr>
        <w:spacing w:line="440" w:lineRule="exact"/>
        <w:ind w:firstLine="420" w:firstLineChars="200"/>
      </w:pPr>
      <w:r>
        <w:t>（4）在合同约定的期限内完成合同规定的全部义务；</w:t>
      </w:r>
    </w:p>
    <w:p>
      <w:pPr>
        <w:spacing w:line="440" w:lineRule="exact"/>
        <w:ind w:firstLine="420" w:firstLineChars="200"/>
      </w:pPr>
      <w:r>
        <w:t>5．我方在此声明，所递交的投标文件及有关资料内容完整、真实和准确，且不存在招标文件第二章“投标人须知”第 1.4.3 项和第二章“投标人须知”第 1.4.4 项规定的任何一种情形。</w:t>
      </w:r>
    </w:p>
    <w:p>
      <w:pPr>
        <w:spacing w:line="440" w:lineRule="exact"/>
        <w:ind w:firstLine="420" w:firstLineChars="200"/>
      </w:pPr>
      <w:r>
        <w:t>6．在合同协议书正式签署生效之前，本投标函连同你方的中标通知书将构成我们双方之间共同遵守的文件，对双方具有约束力。</w:t>
      </w:r>
    </w:p>
    <w:p>
      <w:pPr>
        <w:spacing w:line="440" w:lineRule="exact"/>
        <w:ind w:firstLine="420" w:firstLineChars="200"/>
      </w:pPr>
      <w:r>
        <w:t>7．</w:t>
      </w:r>
      <w:r>
        <w:rPr>
          <w:rFonts w:hint="eastAsia"/>
        </w:rPr>
        <w:t>投标有效期90天</w:t>
      </w:r>
    </w:p>
    <w:p>
      <w:pPr>
        <w:spacing w:line="440" w:lineRule="exact"/>
        <w:ind w:firstLine="420" w:firstLineChars="200"/>
      </w:pPr>
      <w:r>
        <w:rPr>
          <w:rFonts w:hint="eastAsia"/>
          <w:u w:val="single"/>
        </w:rPr>
        <w:t>8.</w:t>
      </w:r>
      <w:r>
        <w:rPr>
          <w:u w:val="single"/>
        </w:rPr>
        <w:t xml:space="preserve">                                       </w:t>
      </w:r>
      <w:r>
        <w:t>（其他补充说明）。</w:t>
      </w:r>
    </w:p>
    <w:p>
      <w:pPr>
        <w:spacing w:line="440" w:lineRule="exact"/>
        <w:ind w:firstLine="3675" w:firstLineChars="1750"/>
      </w:pPr>
      <w:r>
        <w:t>投 标 人：</w:t>
      </w:r>
      <w:r>
        <w:rPr>
          <w:u w:val="single"/>
        </w:rPr>
        <w:t xml:space="preserve">                      </w:t>
      </w:r>
    </w:p>
    <w:p>
      <w:pPr>
        <w:spacing w:line="440" w:lineRule="exact"/>
        <w:ind w:firstLine="3675" w:firstLineChars="1750"/>
      </w:pPr>
      <w:r>
        <w:t>法定代表人或其委托代理人：</w:t>
      </w:r>
      <w:r>
        <w:rPr>
          <w:u w:val="single"/>
        </w:rPr>
        <w:t xml:space="preserve">          </w:t>
      </w:r>
      <w:r>
        <w:t>（签字）</w:t>
      </w:r>
    </w:p>
    <w:p>
      <w:pPr>
        <w:spacing w:line="440" w:lineRule="exact"/>
        <w:ind w:firstLine="3675" w:firstLineChars="1750"/>
      </w:pPr>
      <w:r>
        <w:t>地址：</w:t>
      </w:r>
      <w:r>
        <w:rPr>
          <w:u w:val="single"/>
        </w:rPr>
        <w:t xml:space="preserve">                                     </w:t>
      </w:r>
    </w:p>
    <w:p>
      <w:pPr>
        <w:spacing w:line="440" w:lineRule="exact"/>
        <w:ind w:firstLine="3675" w:firstLineChars="1750"/>
      </w:pPr>
      <w:r>
        <w:t>网址：</w:t>
      </w:r>
      <w:r>
        <w:rPr>
          <w:u w:val="single"/>
        </w:rPr>
        <w:t xml:space="preserve">                                     </w:t>
      </w:r>
    </w:p>
    <w:p>
      <w:pPr>
        <w:spacing w:line="440" w:lineRule="exact"/>
        <w:ind w:firstLine="3675" w:firstLineChars="1750"/>
      </w:pPr>
      <w:r>
        <w:t>电话：</w:t>
      </w:r>
      <w:r>
        <w:rPr>
          <w:u w:val="single"/>
        </w:rPr>
        <w:t xml:space="preserve">                                     </w:t>
      </w:r>
    </w:p>
    <w:p>
      <w:pPr>
        <w:spacing w:line="440" w:lineRule="exact"/>
        <w:ind w:firstLine="3675" w:firstLineChars="1750"/>
      </w:pPr>
      <w:r>
        <w:t>传真：</w:t>
      </w:r>
      <w:r>
        <w:rPr>
          <w:u w:val="single"/>
        </w:rPr>
        <w:t xml:space="preserve">                                     </w:t>
      </w:r>
    </w:p>
    <w:p>
      <w:pPr>
        <w:spacing w:line="440" w:lineRule="exact"/>
        <w:ind w:firstLine="3675" w:firstLineChars="1750"/>
      </w:pPr>
      <w:r>
        <w:t>邮政编码：</w:t>
      </w:r>
      <w:r>
        <w:rPr>
          <w:u w:val="single"/>
        </w:rPr>
        <w:t xml:space="preserve">                                 </w:t>
      </w:r>
    </w:p>
    <w:p>
      <w:pPr>
        <w:spacing w:line="440" w:lineRule="exact"/>
        <w:ind w:firstLine="5040" w:firstLineChars="2400"/>
        <w:sectPr>
          <w:pgSz w:w="11906" w:h="16838"/>
          <w:pgMar w:top="1474" w:right="1304" w:bottom="1247" w:left="1418" w:header="851" w:footer="992" w:gutter="0"/>
          <w:cols w:space="720" w:num="1"/>
        </w:sectPr>
      </w:pPr>
      <w:r>
        <w:rPr>
          <w:u w:val="single"/>
        </w:rPr>
        <w:t xml:space="preserve">        </w:t>
      </w:r>
      <w:r>
        <w:t>年</w:t>
      </w:r>
      <w:r>
        <w:rPr>
          <w:u w:val="single"/>
        </w:rPr>
        <w:t xml:space="preserve">        </w:t>
      </w:r>
      <w:r>
        <w:t>月</w:t>
      </w:r>
      <w:r>
        <w:rPr>
          <w:u w:val="single"/>
        </w:rPr>
        <w:t xml:space="preserve">       </w:t>
      </w:r>
    </w:p>
    <w:p>
      <w:pPr>
        <w:pStyle w:val="4"/>
        <w:keepNext/>
        <w:keepLines/>
        <w:autoSpaceDE/>
        <w:autoSpaceDN/>
        <w:adjustRightInd/>
        <w:snapToGrid/>
        <w:spacing w:before="120" w:beforeLines="50" w:after="120" w:afterLines="50"/>
        <w:ind w:firstLine="964" w:firstLineChars="300"/>
        <w:jc w:val="both"/>
        <w:rPr>
          <w:rFonts w:ascii="Cambria" w:hAnsi="Cambria" w:eastAsia="宋体"/>
          <w:bCs/>
          <w:spacing w:val="0"/>
          <w:w w:val="100"/>
          <w:kern w:val="2"/>
          <w:sz w:val="32"/>
        </w:rPr>
      </w:pPr>
      <w:r>
        <w:rPr>
          <w:rFonts w:hint="eastAsia" w:ascii="Cambria" w:hAnsi="Cambria" w:eastAsia="宋体"/>
          <w:bCs/>
          <w:spacing w:val="0"/>
          <w:w w:val="100"/>
          <w:kern w:val="2"/>
          <w:sz w:val="32"/>
        </w:rPr>
        <w:t>二、法定代表人身份证明或法定代表人授权委托书</w:t>
      </w:r>
    </w:p>
    <w:p>
      <w:pPr>
        <w:jc w:val="center"/>
        <w:outlineLvl w:val="2"/>
        <w:rPr>
          <w:rFonts w:ascii="宋体" w:hAnsi="宋体" w:cs="宋体"/>
          <w:b/>
          <w:bCs/>
          <w:kern w:val="1"/>
          <w:sz w:val="28"/>
          <w:szCs w:val="28"/>
        </w:rPr>
      </w:pPr>
      <w:bookmarkStart w:id="202" w:name="_Toc18675"/>
      <w:r>
        <w:rPr>
          <w:rFonts w:hint="eastAsia" w:ascii="宋体" w:hAnsi="宋体" w:cs="宋体"/>
          <w:b/>
          <w:bCs/>
          <w:kern w:val="1"/>
          <w:sz w:val="28"/>
          <w:szCs w:val="28"/>
        </w:rPr>
        <w:t>（一）法定代表人身份证明</w:t>
      </w:r>
      <w:bookmarkEnd w:id="202"/>
    </w:p>
    <w:p>
      <w:pPr>
        <w:spacing w:line="440" w:lineRule="exact"/>
        <w:rPr>
          <w:rFonts w:ascii="宋体" w:hAnsi="宋体" w:cs="宋体"/>
          <w:kern w:val="1"/>
          <w:sz w:val="24"/>
        </w:rPr>
      </w:pPr>
    </w:p>
    <w:p>
      <w:pPr>
        <w:spacing w:line="440" w:lineRule="exact"/>
        <w:rPr>
          <w:rFonts w:ascii="宋体" w:hAnsi="宋体"/>
        </w:rPr>
      </w:pPr>
      <w:r>
        <w:rPr>
          <w:rFonts w:ascii="宋体" w:hAnsi="宋体" w:cs="Calibri"/>
          <w:szCs w:val="21"/>
        </w:rPr>
        <w:t>投标人名称：</w:t>
      </w:r>
      <w:r>
        <w:rPr>
          <w:rFonts w:ascii="宋体" w:hAnsi="宋体" w:cs="Calibri"/>
          <w:szCs w:val="21"/>
          <w:u w:val="single"/>
        </w:rPr>
        <w:t xml:space="preserve">                        </w:t>
      </w:r>
    </w:p>
    <w:p>
      <w:pPr>
        <w:spacing w:line="440" w:lineRule="exact"/>
        <w:rPr>
          <w:rFonts w:ascii="宋体" w:hAnsi="宋体"/>
        </w:rPr>
      </w:pPr>
      <w:r>
        <w:rPr>
          <w:rFonts w:ascii="宋体" w:hAnsi="宋体" w:cs="Calibri"/>
          <w:szCs w:val="21"/>
        </w:rPr>
        <w:t>姓名：</w:t>
      </w:r>
      <w:r>
        <w:rPr>
          <w:rFonts w:ascii="宋体" w:hAnsi="宋体" w:cs="Calibri"/>
          <w:szCs w:val="21"/>
          <w:u w:val="single"/>
        </w:rPr>
        <w:t xml:space="preserve">      </w:t>
      </w:r>
      <w:r>
        <w:rPr>
          <w:rFonts w:hint="eastAsia" w:ascii="宋体" w:hAnsi="宋体" w:cs="Calibri"/>
          <w:szCs w:val="21"/>
          <w:u w:val="single"/>
        </w:rPr>
        <w:t>（法定代表人签字）</w:t>
      </w:r>
      <w:r>
        <w:rPr>
          <w:rFonts w:ascii="宋体" w:hAnsi="宋体" w:cs="Calibri"/>
          <w:szCs w:val="21"/>
          <w:u w:val="single"/>
        </w:rPr>
        <w:t xml:space="preserve">   </w:t>
      </w:r>
      <w:r>
        <w:rPr>
          <w:rFonts w:ascii="宋体" w:hAnsi="宋体" w:cs="Calibri"/>
          <w:szCs w:val="21"/>
        </w:rPr>
        <w:t>性别：</w:t>
      </w:r>
      <w:bookmarkStart w:id="203" w:name="_Toc352691662"/>
      <w:bookmarkStart w:id="204" w:name="_Toc369531698"/>
      <w:bookmarkStart w:id="205" w:name="_Toc27897"/>
      <w:r>
        <w:rPr>
          <w:rFonts w:ascii="宋体" w:hAnsi="宋体" w:cs="Calibri"/>
          <w:szCs w:val="21"/>
          <w:u w:val="single"/>
        </w:rPr>
        <w:t xml:space="preserve">      </w:t>
      </w:r>
      <w:r>
        <w:rPr>
          <w:rFonts w:ascii="宋体" w:hAnsi="宋体" w:cs="Calibri"/>
          <w:szCs w:val="21"/>
        </w:rPr>
        <w:t>年</w:t>
      </w:r>
      <w:bookmarkEnd w:id="203"/>
      <w:bookmarkEnd w:id="204"/>
      <w:bookmarkEnd w:id="205"/>
      <w:r>
        <w:rPr>
          <w:rFonts w:ascii="宋体" w:hAnsi="宋体" w:cs="Calibri"/>
          <w:szCs w:val="21"/>
        </w:rPr>
        <w:t>龄</w:t>
      </w:r>
      <w:bookmarkStart w:id="206" w:name="_Toc369531699"/>
      <w:bookmarkStart w:id="207" w:name="_Toc144974858"/>
      <w:bookmarkStart w:id="208" w:name="_Toc247527829"/>
      <w:bookmarkStart w:id="209" w:name="_Toc384308377"/>
      <w:bookmarkStart w:id="210" w:name="_Toc15573"/>
      <w:bookmarkStart w:id="211" w:name="_Toc152042578"/>
      <w:bookmarkStart w:id="212" w:name="_Toc352691663"/>
      <w:bookmarkStart w:id="213" w:name="_Toc152045789"/>
      <w:bookmarkStart w:id="214" w:name="_Toc361508754"/>
      <w:bookmarkStart w:id="215" w:name="_Toc247514248"/>
      <w:bookmarkStart w:id="216" w:name="_Toc300835211"/>
      <w:r>
        <w:rPr>
          <w:rFonts w:ascii="宋体" w:hAnsi="宋体" w:cs="Calibri"/>
          <w:szCs w:val="21"/>
        </w:rPr>
        <w:t>：</w:t>
      </w:r>
      <w:bookmarkEnd w:id="206"/>
      <w:bookmarkEnd w:id="207"/>
      <w:bookmarkEnd w:id="208"/>
      <w:bookmarkEnd w:id="209"/>
      <w:bookmarkEnd w:id="210"/>
      <w:bookmarkEnd w:id="211"/>
      <w:bookmarkEnd w:id="212"/>
      <w:bookmarkEnd w:id="213"/>
      <w:bookmarkEnd w:id="214"/>
      <w:bookmarkEnd w:id="215"/>
      <w:bookmarkEnd w:id="216"/>
      <w:r>
        <w:rPr>
          <w:rFonts w:ascii="宋体" w:hAnsi="宋体" w:cs="Calibri"/>
          <w:szCs w:val="21"/>
          <w:u w:val="single"/>
        </w:rPr>
        <w:t xml:space="preserve">      </w:t>
      </w:r>
      <w:r>
        <w:rPr>
          <w:rFonts w:ascii="宋体" w:hAnsi="宋体" w:cs="Calibri"/>
          <w:szCs w:val="21"/>
        </w:rPr>
        <w:t>职务：</w:t>
      </w:r>
      <w:r>
        <w:rPr>
          <w:rFonts w:ascii="宋体" w:hAnsi="宋体" w:cs="Calibri"/>
          <w:szCs w:val="21"/>
          <w:u w:val="single"/>
        </w:rPr>
        <w:t xml:space="preserve">     </w:t>
      </w:r>
      <w:r>
        <w:rPr>
          <w:rFonts w:ascii="宋体" w:hAnsi="宋体" w:cs="Calibri"/>
          <w:szCs w:val="21"/>
        </w:rPr>
        <w:t>系</w:t>
      </w:r>
      <w:r>
        <w:rPr>
          <w:rFonts w:ascii="宋体" w:hAnsi="宋体" w:cs="Calibri"/>
          <w:szCs w:val="21"/>
          <w:u w:val="single"/>
        </w:rPr>
        <w:t xml:space="preserve">    </w:t>
      </w:r>
      <w:r>
        <w:rPr>
          <w:rFonts w:ascii="宋体" w:hAnsi="宋体" w:cs="Calibri"/>
          <w:szCs w:val="21"/>
        </w:rPr>
        <w:t>（投标人名称）的法定代表人。</w:t>
      </w:r>
    </w:p>
    <w:p>
      <w:pPr>
        <w:spacing w:line="440" w:lineRule="exact"/>
        <w:ind w:firstLine="420" w:firstLineChars="200"/>
        <w:rPr>
          <w:rFonts w:ascii="宋体" w:hAnsi="宋体"/>
        </w:rPr>
      </w:pPr>
      <w:r>
        <w:rPr>
          <w:rFonts w:ascii="宋体" w:hAnsi="宋体" w:cs="Calibri"/>
          <w:szCs w:val="21"/>
        </w:rPr>
        <w:t>特此证明。</w:t>
      </w:r>
    </w:p>
    <w:p>
      <w:pPr>
        <w:spacing w:line="440" w:lineRule="exact"/>
        <w:rPr>
          <w:rFonts w:ascii="宋体" w:hAnsi="宋体"/>
        </w:rPr>
      </w:pPr>
    </w:p>
    <w:p>
      <w:pPr>
        <w:spacing w:line="440" w:lineRule="exact"/>
        <w:rPr>
          <w:rFonts w:ascii="宋体" w:hAnsi="宋体"/>
          <w:b/>
          <w:bCs/>
        </w:rPr>
      </w:pPr>
      <w:r>
        <w:rPr>
          <w:rFonts w:ascii="宋体" w:hAnsi="宋体" w:cs="Calibri"/>
          <w:b/>
          <w:bCs/>
          <w:szCs w:val="21"/>
        </w:rPr>
        <w:t>附：法定代表人身份证复印件</w:t>
      </w:r>
      <w:r>
        <w:rPr>
          <w:rFonts w:hint="eastAsia" w:ascii="宋体" w:hAnsi="宋体" w:cs="Calibri"/>
          <w:b/>
          <w:bCs/>
          <w:szCs w:val="21"/>
        </w:rPr>
        <w:t>或扫描件</w:t>
      </w:r>
      <w:r>
        <w:rPr>
          <w:rFonts w:ascii="宋体" w:hAnsi="宋体" w:cs="Calibri"/>
          <w:b/>
          <w:bCs/>
          <w:szCs w:val="21"/>
        </w:rPr>
        <w:t>。</w:t>
      </w:r>
    </w:p>
    <w:p>
      <w:pPr>
        <w:spacing w:line="440" w:lineRule="exact"/>
        <w:rPr>
          <w:rFonts w:ascii="宋体" w:hAnsi="宋体"/>
        </w:rPr>
      </w:pPr>
    </w:p>
    <w:p>
      <w:pPr>
        <w:spacing w:line="440" w:lineRule="exact"/>
        <w:jc w:val="center"/>
        <w:rPr>
          <w:rFonts w:ascii="宋体" w:hAnsi="宋体"/>
        </w:rPr>
      </w:pPr>
      <w:r>
        <w:rPr>
          <w:rFonts w:ascii="宋体" w:hAnsi="宋体" w:cs="Calibri"/>
          <w:szCs w:val="21"/>
        </w:rPr>
        <w:t xml:space="preserve">                              投标人：</w:t>
      </w:r>
      <w:r>
        <w:rPr>
          <w:rFonts w:ascii="宋体" w:hAnsi="宋体" w:cs="Calibri"/>
          <w:u w:val="single"/>
        </w:rPr>
        <w:t xml:space="preserve">          </w:t>
      </w:r>
      <w:r>
        <w:rPr>
          <w:rFonts w:ascii="宋体" w:hAnsi="宋体" w:cs="Calibri"/>
          <w:u w:val="single"/>
        </w:rPr>
        <w:tab/>
      </w:r>
      <w:r>
        <w:rPr>
          <w:rFonts w:ascii="宋体" w:hAnsi="宋体" w:cs="Calibri"/>
          <w:szCs w:val="21"/>
        </w:rPr>
        <w:t>（</w:t>
      </w:r>
      <w:r>
        <w:rPr>
          <w:rFonts w:hint="eastAsia" w:ascii="宋体" w:hAnsi="宋体" w:cs="Calibri"/>
        </w:rPr>
        <w:t>盖单位鲜公章</w:t>
      </w:r>
      <w:r>
        <w:rPr>
          <w:rFonts w:ascii="宋体" w:hAnsi="宋体" w:cs="Calibri"/>
          <w:szCs w:val="21"/>
        </w:rPr>
        <w:t>）</w:t>
      </w:r>
    </w:p>
    <w:p>
      <w:pPr>
        <w:spacing w:line="440" w:lineRule="exact"/>
        <w:rPr>
          <w:rFonts w:ascii="宋体" w:hAnsi="宋体"/>
        </w:rPr>
      </w:pPr>
    </w:p>
    <w:p>
      <w:pPr>
        <w:spacing w:line="440" w:lineRule="exact"/>
        <w:ind w:firstLine="4620" w:firstLineChars="2200"/>
        <w:rPr>
          <w:rFonts w:ascii="宋体" w:hAnsi="宋体"/>
        </w:rPr>
      </w:pPr>
      <w:r>
        <w:rPr>
          <w:rFonts w:ascii="宋体" w:hAnsi="宋体" w:cs="Calibri"/>
          <w:szCs w:val="21"/>
          <w:u w:val="single"/>
        </w:rPr>
        <w:t xml:space="preserve">      </w:t>
      </w:r>
      <w:r>
        <w:rPr>
          <w:rFonts w:ascii="宋体" w:hAnsi="宋体" w:cs="Calibri"/>
          <w:szCs w:val="21"/>
        </w:rPr>
        <w:t>年</w:t>
      </w:r>
      <w:r>
        <w:rPr>
          <w:rFonts w:ascii="宋体" w:hAnsi="宋体" w:cs="Calibri"/>
          <w:szCs w:val="21"/>
          <w:u w:val="single"/>
        </w:rPr>
        <w:t xml:space="preserve">      </w:t>
      </w:r>
      <w:r>
        <w:rPr>
          <w:rFonts w:ascii="宋体" w:hAnsi="宋体" w:cs="Calibri"/>
          <w:szCs w:val="21"/>
        </w:rPr>
        <w:t>月</w:t>
      </w:r>
      <w:r>
        <w:rPr>
          <w:rFonts w:ascii="宋体" w:hAnsi="宋体" w:cs="Calibri"/>
          <w:szCs w:val="21"/>
          <w:u w:val="single"/>
        </w:rPr>
        <w:t xml:space="preserve">      </w:t>
      </w:r>
      <w:r>
        <w:rPr>
          <w:rFonts w:ascii="宋体" w:hAnsi="宋体" w:cs="Calibri"/>
          <w:szCs w:val="21"/>
        </w:rPr>
        <w:t>日</w:t>
      </w:r>
    </w:p>
    <w:p>
      <w:pPr>
        <w:spacing w:line="440" w:lineRule="exact"/>
        <w:rPr>
          <w:kern w:val="1"/>
        </w:rPr>
      </w:pPr>
    </w:p>
    <w:p>
      <w:pPr>
        <w:spacing w:line="440" w:lineRule="exact"/>
        <w:rPr>
          <w:kern w:val="1"/>
        </w:rPr>
      </w:pPr>
      <w:r>
        <w:rPr>
          <w:kern w:val="1"/>
        </w:rPr>
        <w:t xml:space="preserve"> </w:t>
      </w:r>
    </w:p>
    <w:p>
      <w:pPr>
        <w:spacing w:line="440" w:lineRule="exact"/>
        <w:rPr>
          <w:kern w:val="1"/>
        </w:rPr>
      </w:pPr>
    </w:p>
    <w:p>
      <w:pPr>
        <w:jc w:val="center"/>
        <w:rPr>
          <w:b/>
          <w:bCs/>
          <w:kern w:val="1"/>
          <w:sz w:val="28"/>
          <w:szCs w:val="28"/>
        </w:rPr>
        <w:sectPr>
          <w:footnotePr>
            <w:numFmt w:val="decimalEnclosedCircleChinese"/>
            <w:numRestart w:val="eachPage"/>
          </w:footnotePr>
          <w:pgSz w:w="11907" w:h="16840"/>
          <w:pgMar w:top="1701" w:right="1499" w:bottom="1418" w:left="1588" w:header="992" w:footer="992" w:gutter="0"/>
          <w:cols w:space="720" w:num="1"/>
        </w:sectPr>
      </w:pPr>
    </w:p>
    <w:p>
      <w:pPr>
        <w:pStyle w:val="4"/>
        <w:keepNext/>
        <w:keepLines/>
        <w:autoSpaceDE/>
        <w:autoSpaceDN/>
        <w:adjustRightInd/>
        <w:snapToGrid/>
        <w:spacing w:before="120" w:beforeLines="50" w:after="120" w:afterLines="50"/>
        <w:jc w:val="center"/>
        <w:rPr>
          <w:rFonts w:ascii="宋体" w:hAnsi="宋体" w:eastAsia="宋体"/>
          <w:bCs/>
          <w:spacing w:val="0"/>
          <w:w w:val="100"/>
          <w:kern w:val="2"/>
          <w:szCs w:val="28"/>
        </w:rPr>
      </w:pPr>
      <w:r>
        <w:rPr>
          <w:rFonts w:hint="eastAsia" w:ascii="宋体" w:hAnsi="宋体" w:eastAsia="宋体"/>
          <w:bCs/>
          <w:spacing w:val="0"/>
          <w:w w:val="100"/>
          <w:kern w:val="2"/>
          <w:szCs w:val="28"/>
        </w:rPr>
        <w:t>（二）法定代表人授权委托书</w:t>
      </w:r>
    </w:p>
    <w:p>
      <w:pPr>
        <w:topLinePunct/>
        <w:spacing w:line="440" w:lineRule="exact"/>
        <w:ind w:firstLine="420" w:firstLineChars="200"/>
        <w:rPr>
          <w:rFonts w:ascii="宋体" w:hAnsi="宋体"/>
        </w:rPr>
      </w:pPr>
      <w:r>
        <w:rPr>
          <w:rFonts w:ascii="宋体" w:hAnsi="宋体" w:cs="Calibri"/>
          <w:szCs w:val="21"/>
        </w:rPr>
        <w:t>本人</w:t>
      </w:r>
      <w:r>
        <w:rPr>
          <w:rFonts w:ascii="宋体" w:hAnsi="宋体" w:cs="Calibri"/>
          <w:szCs w:val="21"/>
          <w:u w:val="single"/>
        </w:rPr>
        <w:t xml:space="preserve">              </w:t>
      </w:r>
      <w:r>
        <w:rPr>
          <w:rFonts w:ascii="宋体" w:hAnsi="宋体" w:cs="Calibri"/>
          <w:szCs w:val="21"/>
        </w:rPr>
        <w:t>（姓名）系</w:t>
      </w:r>
      <w:r>
        <w:rPr>
          <w:rFonts w:ascii="宋体" w:hAnsi="宋体" w:cs="Calibri"/>
          <w:szCs w:val="21"/>
          <w:u w:val="single"/>
        </w:rPr>
        <w:t xml:space="preserve">                    </w:t>
      </w:r>
      <w:r>
        <w:rPr>
          <w:rFonts w:ascii="宋体" w:hAnsi="宋体" w:cs="Calibri"/>
          <w:szCs w:val="21"/>
        </w:rPr>
        <w:t>（投标人名称）的法定代表人，现委托</w:t>
      </w:r>
      <w:r>
        <w:rPr>
          <w:rFonts w:ascii="宋体" w:hAnsi="宋体" w:cs="Calibri"/>
          <w:szCs w:val="21"/>
          <w:u w:val="single"/>
        </w:rPr>
        <w:t xml:space="preserve">            </w:t>
      </w:r>
      <w:r>
        <w:rPr>
          <w:rFonts w:ascii="宋体" w:hAnsi="宋体" w:cs="Calibri"/>
          <w:szCs w:val="21"/>
        </w:rPr>
        <w:t>（姓名）为我方代理人。代理人根据授权，以我方名义签署、澄清确认、递交、撤回、修改材料采购招标项目投标文件、签订合同和处理有关事宜，其法律后果由我方承担。</w:t>
      </w:r>
    </w:p>
    <w:p>
      <w:pPr>
        <w:spacing w:line="440" w:lineRule="exact"/>
        <w:rPr>
          <w:rFonts w:ascii="宋体" w:hAnsi="宋体"/>
        </w:rPr>
      </w:pPr>
      <w:r>
        <w:rPr>
          <w:rFonts w:ascii="宋体" w:hAnsi="宋体" w:cs="Calibri"/>
          <w:szCs w:val="21"/>
        </w:rPr>
        <w:t>委托期限：</w:t>
      </w:r>
      <w:r>
        <w:rPr>
          <w:rFonts w:ascii="宋体" w:hAnsi="宋体" w:cs="Calibri"/>
          <w:szCs w:val="21"/>
          <w:u w:val="single"/>
        </w:rPr>
        <w:t xml:space="preserve">                       </w:t>
      </w:r>
      <w:r>
        <w:rPr>
          <w:rFonts w:ascii="宋体" w:hAnsi="宋体" w:cs="Calibri"/>
          <w:szCs w:val="21"/>
        </w:rPr>
        <w:t>。</w:t>
      </w:r>
    </w:p>
    <w:p>
      <w:pPr>
        <w:spacing w:line="440" w:lineRule="exact"/>
        <w:ind w:firstLine="420" w:firstLineChars="200"/>
        <w:rPr>
          <w:rFonts w:ascii="宋体" w:hAnsi="宋体"/>
        </w:rPr>
      </w:pPr>
      <w:r>
        <w:rPr>
          <w:rFonts w:ascii="宋体" w:hAnsi="宋体" w:cs="Calibri"/>
          <w:szCs w:val="21"/>
        </w:rPr>
        <w:t>代理人无转委托权。</w:t>
      </w:r>
    </w:p>
    <w:p>
      <w:pPr>
        <w:spacing w:line="440" w:lineRule="exact"/>
        <w:ind w:firstLine="420" w:firstLineChars="200"/>
        <w:rPr>
          <w:rFonts w:ascii="宋体" w:hAnsi="宋体"/>
        </w:rPr>
      </w:pPr>
    </w:p>
    <w:p>
      <w:pPr>
        <w:spacing w:line="440" w:lineRule="exact"/>
        <w:rPr>
          <w:rFonts w:ascii="宋体" w:hAnsi="宋体"/>
          <w:b/>
          <w:bCs/>
        </w:rPr>
      </w:pPr>
      <w:r>
        <w:rPr>
          <w:rFonts w:ascii="宋体" w:hAnsi="宋体" w:cs="Calibri"/>
          <w:b/>
          <w:bCs/>
          <w:szCs w:val="21"/>
        </w:rPr>
        <w:t>附：法定代表人身份证及委托代理人身份证复印件</w:t>
      </w:r>
      <w:r>
        <w:rPr>
          <w:rFonts w:hint="eastAsia" w:ascii="宋体" w:hAnsi="宋体" w:cs="Calibri"/>
          <w:b/>
          <w:bCs/>
          <w:szCs w:val="21"/>
        </w:rPr>
        <w:t>或扫描件。</w:t>
      </w:r>
    </w:p>
    <w:p>
      <w:pPr>
        <w:spacing w:line="440" w:lineRule="exact"/>
        <w:rPr>
          <w:rFonts w:ascii="宋体" w:hAnsi="宋体"/>
        </w:rPr>
      </w:pPr>
    </w:p>
    <w:p>
      <w:pPr>
        <w:spacing w:line="440" w:lineRule="exact"/>
        <w:ind w:firstLine="2692" w:firstLineChars="1282"/>
        <w:rPr>
          <w:rFonts w:ascii="宋体" w:hAnsi="宋体"/>
        </w:rPr>
      </w:pPr>
      <w:r>
        <w:rPr>
          <w:rFonts w:ascii="宋体" w:hAnsi="宋体" w:cs="Calibri"/>
          <w:szCs w:val="21"/>
        </w:rPr>
        <w:t>投  标  人：</w:t>
      </w:r>
      <w:r>
        <w:rPr>
          <w:rFonts w:ascii="宋体" w:hAnsi="宋体" w:cs="Calibri"/>
          <w:u w:val="single"/>
        </w:rPr>
        <w:tab/>
      </w:r>
      <w:r>
        <w:rPr>
          <w:rFonts w:ascii="宋体" w:hAnsi="宋体" w:cs="Calibri"/>
          <w:u w:val="single"/>
        </w:rPr>
        <w:tab/>
      </w:r>
      <w:r>
        <w:rPr>
          <w:rFonts w:ascii="宋体" w:hAnsi="宋体" w:cs="Calibri"/>
          <w:u w:val="single"/>
        </w:rPr>
        <w:tab/>
      </w:r>
      <w:r>
        <w:rPr>
          <w:rFonts w:ascii="宋体" w:hAnsi="宋体" w:cs="Calibri"/>
          <w:u w:val="single"/>
        </w:rPr>
        <w:t xml:space="preserve">                </w:t>
      </w:r>
      <w:r>
        <w:rPr>
          <w:rFonts w:ascii="宋体" w:hAnsi="宋体" w:cs="Calibri"/>
          <w:szCs w:val="21"/>
        </w:rPr>
        <w:t>（</w:t>
      </w:r>
      <w:r>
        <w:rPr>
          <w:rFonts w:hint="eastAsia" w:ascii="宋体" w:hAnsi="宋体" w:cs="Calibri"/>
        </w:rPr>
        <w:t>盖单位鲜公章</w:t>
      </w:r>
      <w:r>
        <w:rPr>
          <w:rFonts w:ascii="宋体" w:hAnsi="宋体" w:cs="Calibri"/>
          <w:szCs w:val="21"/>
        </w:rPr>
        <w:t>）</w:t>
      </w:r>
    </w:p>
    <w:p>
      <w:pPr>
        <w:spacing w:line="440" w:lineRule="exact"/>
        <w:ind w:firstLine="2690" w:firstLineChars="1281"/>
        <w:jc w:val="left"/>
        <w:rPr>
          <w:rFonts w:ascii="宋体" w:hAnsi="宋体"/>
        </w:rPr>
      </w:pPr>
      <w:r>
        <w:rPr>
          <w:rFonts w:ascii="宋体" w:hAnsi="宋体" w:cs="Calibri"/>
          <w:szCs w:val="21"/>
        </w:rPr>
        <w:t>法定代表人：</w:t>
      </w:r>
      <w:r>
        <w:rPr>
          <w:rFonts w:ascii="宋体" w:hAnsi="宋体" w:cs="Calibri"/>
          <w:u w:val="single"/>
        </w:rPr>
        <w:tab/>
      </w:r>
      <w:r>
        <w:rPr>
          <w:rFonts w:ascii="宋体" w:hAnsi="宋体" w:cs="Calibri"/>
          <w:u w:val="single"/>
        </w:rPr>
        <w:tab/>
      </w:r>
      <w:r>
        <w:rPr>
          <w:rFonts w:ascii="宋体" w:hAnsi="宋体" w:cs="Calibri"/>
          <w:u w:val="single"/>
        </w:rPr>
        <w:tab/>
      </w:r>
      <w:r>
        <w:rPr>
          <w:rFonts w:ascii="宋体" w:hAnsi="宋体" w:cs="Calibri"/>
          <w:u w:val="single"/>
        </w:rPr>
        <w:t xml:space="preserve">                </w:t>
      </w:r>
      <w:r>
        <w:rPr>
          <w:rFonts w:ascii="宋体" w:hAnsi="宋体" w:cs="Calibri"/>
          <w:u w:val="single"/>
        </w:rPr>
        <w:tab/>
      </w:r>
      <w:r>
        <w:rPr>
          <w:rFonts w:ascii="宋体" w:hAnsi="宋体" w:cs="Calibri"/>
          <w:szCs w:val="21"/>
        </w:rPr>
        <w:t>（签</w:t>
      </w:r>
      <w:r>
        <w:rPr>
          <w:rFonts w:hint="eastAsia" w:ascii="宋体" w:hAnsi="宋体" w:cs="Calibri"/>
          <w:szCs w:val="21"/>
        </w:rPr>
        <w:t>字或盖章</w:t>
      </w:r>
      <w:r>
        <w:rPr>
          <w:rFonts w:ascii="宋体" w:hAnsi="宋体" w:cs="Calibri"/>
          <w:szCs w:val="21"/>
        </w:rPr>
        <w:t xml:space="preserve"> ）</w:t>
      </w:r>
    </w:p>
    <w:p>
      <w:pPr>
        <w:spacing w:line="440" w:lineRule="exact"/>
        <w:ind w:firstLine="2692" w:firstLineChars="1282"/>
        <w:rPr>
          <w:rFonts w:ascii="宋体" w:hAnsi="宋体"/>
        </w:rPr>
      </w:pPr>
      <w:r>
        <w:rPr>
          <w:rFonts w:ascii="宋体" w:hAnsi="宋体" w:cs="Calibri"/>
          <w:szCs w:val="21"/>
        </w:rPr>
        <w:t>身份证号码：</w:t>
      </w:r>
      <w:r>
        <w:rPr>
          <w:rFonts w:ascii="宋体" w:hAnsi="宋体" w:cs="Calibri"/>
          <w:u w:val="single"/>
        </w:rPr>
        <w:tab/>
      </w:r>
      <w:r>
        <w:rPr>
          <w:rFonts w:ascii="宋体" w:hAnsi="宋体" w:cs="Calibri"/>
          <w:u w:val="single"/>
        </w:rPr>
        <w:tab/>
      </w:r>
      <w:r>
        <w:rPr>
          <w:rFonts w:ascii="宋体" w:hAnsi="宋体" w:cs="Calibri"/>
          <w:u w:val="single"/>
        </w:rPr>
        <w:tab/>
      </w:r>
      <w:r>
        <w:rPr>
          <w:rFonts w:ascii="宋体" w:hAnsi="宋体" w:cs="Calibri"/>
          <w:u w:val="single"/>
        </w:rPr>
        <w:t xml:space="preserve">                            </w:t>
      </w:r>
      <w:r>
        <w:rPr>
          <w:rFonts w:ascii="宋体" w:hAnsi="宋体" w:cs="Calibri"/>
          <w:u w:val="single"/>
        </w:rPr>
        <w:tab/>
      </w:r>
    </w:p>
    <w:p>
      <w:pPr>
        <w:spacing w:line="440" w:lineRule="exact"/>
        <w:ind w:firstLine="2692" w:firstLineChars="1282"/>
        <w:rPr>
          <w:rFonts w:ascii="宋体" w:hAnsi="宋体"/>
        </w:rPr>
      </w:pPr>
      <w:r>
        <w:rPr>
          <w:rFonts w:ascii="宋体" w:hAnsi="宋体" w:cs="Calibri"/>
          <w:szCs w:val="21"/>
        </w:rPr>
        <w:t>委托代理人：</w:t>
      </w:r>
      <w:r>
        <w:rPr>
          <w:rFonts w:ascii="宋体" w:hAnsi="宋体" w:cs="Calibri"/>
          <w:u w:val="single"/>
        </w:rPr>
        <w:tab/>
      </w:r>
      <w:r>
        <w:rPr>
          <w:rFonts w:ascii="宋体" w:hAnsi="宋体" w:cs="Calibri"/>
          <w:u w:val="single"/>
        </w:rPr>
        <w:tab/>
      </w:r>
      <w:r>
        <w:rPr>
          <w:rFonts w:ascii="宋体" w:hAnsi="宋体" w:cs="Calibri"/>
          <w:u w:val="single"/>
        </w:rPr>
        <w:tab/>
      </w:r>
      <w:r>
        <w:rPr>
          <w:rFonts w:ascii="宋体" w:hAnsi="宋体" w:cs="Calibri"/>
          <w:u w:val="single"/>
        </w:rPr>
        <w:t xml:space="preserve">                     </w:t>
      </w:r>
      <w:r>
        <w:rPr>
          <w:rFonts w:ascii="宋体" w:hAnsi="宋体" w:cs="Calibri"/>
          <w:u w:val="single"/>
        </w:rPr>
        <w:tab/>
      </w:r>
      <w:r>
        <w:rPr>
          <w:rFonts w:ascii="宋体" w:hAnsi="宋体" w:cs="Calibri"/>
          <w:szCs w:val="21"/>
        </w:rPr>
        <w:t>（签</w:t>
      </w:r>
      <w:r>
        <w:rPr>
          <w:rFonts w:hint="eastAsia" w:ascii="宋体" w:hAnsi="宋体" w:cs="Calibri"/>
          <w:szCs w:val="21"/>
        </w:rPr>
        <w:t>名</w:t>
      </w:r>
      <w:r>
        <w:rPr>
          <w:rFonts w:ascii="宋体" w:hAnsi="宋体" w:cs="Calibri"/>
          <w:szCs w:val="21"/>
        </w:rPr>
        <w:t>）</w:t>
      </w:r>
    </w:p>
    <w:p>
      <w:pPr>
        <w:spacing w:line="440" w:lineRule="exact"/>
        <w:ind w:firstLine="2692" w:firstLineChars="1282"/>
        <w:rPr>
          <w:rFonts w:ascii="宋体" w:hAnsi="宋体"/>
        </w:rPr>
      </w:pPr>
      <w:r>
        <w:rPr>
          <w:rFonts w:ascii="宋体" w:hAnsi="宋体" w:cs="Calibri"/>
          <w:szCs w:val="21"/>
        </w:rPr>
        <w:t>身份证号码：</w:t>
      </w:r>
      <w:r>
        <w:rPr>
          <w:rFonts w:ascii="宋体" w:hAnsi="宋体" w:cs="Calibri"/>
          <w:u w:val="single"/>
        </w:rPr>
        <w:tab/>
      </w:r>
      <w:r>
        <w:rPr>
          <w:rFonts w:ascii="宋体" w:hAnsi="宋体" w:cs="Calibri"/>
          <w:u w:val="single"/>
        </w:rPr>
        <w:tab/>
      </w:r>
      <w:r>
        <w:rPr>
          <w:rFonts w:ascii="宋体" w:hAnsi="宋体" w:cs="Calibri"/>
          <w:u w:val="single"/>
        </w:rPr>
        <w:tab/>
      </w:r>
      <w:r>
        <w:rPr>
          <w:rFonts w:ascii="宋体" w:hAnsi="宋体" w:cs="Calibri"/>
          <w:u w:val="single"/>
        </w:rPr>
        <w:t xml:space="preserve">                            </w:t>
      </w:r>
      <w:r>
        <w:rPr>
          <w:rFonts w:ascii="宋体" w:hAnsi="宋体" w:cs="Calibri"/>
          <w:u w:val="single"/>
        </w:rPr>
        <w:tab/>
      </w:r>
    </w:p>
    <w:p>
      <w:pPr>
        <w:spacing w:line="440" w:lineRule="exact"/>
        <w:ind w:firstLine="2692" w:firstLineChars="1282"/>
        <w:rPr>
          <w:rFonts w:ascii="宋体" w:hAnsi="宋体"/>
        </w:rPr>
      </w:pPr>
    </w:p>
    <w:p>
      <w:pPr>
        <w:spacing w:line="440" w:lineRule="exact"/>
        <w:ind w:firstLine="4057" w:firstLineChars="1932"/>
        <w:jc w:val="right"/>
        <w:rPr>
          <w:rFonts w:ascii="宋体" w:hAnsi="宋体"/>
        </w:rPr>
      </w:pPr>
      <w:r>
        <w:rPr>
          <w:rFonts w:ascii="宋体" w:hAnsi="宋体" w:cs="Calibri"/>
          <w:szCs w:val="21"/>
          <w:u w:val="single"/>
        </w:rPr>
        <w:t xml:space="preserve">       </w:t>
      </w:r>
      <w:r>
        <w:rPr>
          <w:rFonts w:ascii="宋体" w:hAnsi="宋体" w:cs="Calibri"/>
          <w:szCs w:val="21"/>
        </w:rPr>
        <w:t>年</w:t>
      </w:r>
      <w:r>
        <w:rPr>
          <w:rFonts w:ascii="宋体" w:hAnsi="宋体" w:cs="Calibri"/>
          <w:szCs w:val="21"/>
          <w:u w:val="single"/>
        </w:rPr>
        <w:t xml:space="preserve">       </w:t>
      </w:r>
      <w:r>
        <w:rPr>
          <w:rFonts w:ascii="宋体" w:hAnsi="宋体" w:cs="Calibri"/>
          <w:szCs w:val="21"/>
        </w:rPr>
        <w:t>月</w:t>
      </w:r>
      <w:r>
        <w:rPr>
          <w:rFonts w:ascii="宋体" w:hAnsi="宋体" w:cs="Calibri"/>
          <w:szCs w:val="21"/>
          <w:u w:val="single"/>
        </w:rPr>
        <w:t xml:space="preserve">       </w:t>
      </w:r>
      <w:r>
        <w:rPr>
          <w:rFonts w:ascii="宋体" w:hAnsi="宋体" w:cs="Calibri"/>
          <w:szCs w:val="21"/>
        </w:rPr>
        <w:t>日</w:t>
      </w:r>
    </w:p>
    <w:p>
      <w:pPr>
        <w:pStyle w:val="5"/>
        <w:jc w:val="center"/>
        <w:sectPr>
          <w:footnotePr>
            <w:numFmt w:val="decimalEnclosedCircleChinese"/>
            <w:numRestart w:val="eachPage"/>
          </w:footnotePr>
          <w:pgSz w:w="11905" w:h="16838"/>
          <w:pgMar w:top="1474" w:right="1304" w:bottom="1247" w:left="1417" w:header="850" w:footer="992" w:gutter="0"/>
          <w:cols w:space="0" w:num="1"/>
        </w:sectPr>
      </w:pPr>
      <w:bookmarkStart w:id="217" w:name="_Toc13933"/>
      <w:bookmarkStart w:id="218" w:name="_Toc57905922"/>
    </w:p>
    <w:bookmarkEnd w:id="217"/>
    <w:bookmarkEnd w:id="218"/>
    <w:p>
      <w:pPr>
        <w:pStyle w:val="27"/>
        <w:rPr>
          <w:rFonts w:ascii="Times New Roman" w:cs="Times New Roman"/>
          <w:color w:val="auto"/>
        </w:rPr>
      </w:pPr>
      <w:r>
        <w:rPr>
          <w:rFonts w:hint="eastAsia" w:ascii="Times New Roman" w:cs="Times New Roman"/>
          <w:color w:val="auto"/>
          <w:kern w:val="1"/>
        </w:rPr>
        <w:t>、</w:t>
      </w:r>
    </w:p>
    <w:p>
      <w:pPr>
        <w:pStyle w:val="27"/>
        <w:rPr>
          <w:rFonts w:ascii="Times New Roman" w:cs="Times New Roman"/>
          <w:color w:val="auto"/>
        </w:rPr>
      </w:pPr>
    </w:p>
    <w:p>
      <w:pPr>
        <w:pStyle w:val="27"/>
        <w:rPr>
          <w:rFonts w:ascii="Times New Roman" w:cs="Times New Roman"/>
          <w:color w:val="auto"/>
        </w:rPr>
      </w:pPr>
    </w:p>
    <w:p>
      <w:pPr>
        <w:pStyle w:val="27"/>
        <w:rPr>
          <w:rFonts w:ascii="Times New Roman" w:cs="Times New Roman"/>
          <w:color w:val="auto"/>
        </w:rPr>
      </w:pPr>
    </w:p>
    <w:p>
      <w:pPr>
        <w:jc w:val="center"/>
        <w:rPr>
          <w:b/>
          <w:bCs/>
          <w:sz w:val="28"/>
          <w:szCs w:val="28"/>
        </w:rPr>
      </w:pPr>
      <w:bookmarkStart w:id="219" w:name="_Toc24722"/>
      <w:r>
        <w:rPr>
          <w:rFonts w:hint="eastAsia"/>
          <w:b/>
          <w:bCs/>
          <w:sz w:val="28"/>
          <w:szCs w:val="28"/>
        </w:rPr>
        <w:t>三、</w:t>
      </w:r>
      <w:r>
        <w:rPr>
          <w:b/>
          <w:bCs/>
          <w:sz w:val="28"/>
          <w:szCs w:val="28"/>
        </w:rPr>
        <w:t>投标保证金</w:t>
      </w:r>
    </w:p>
    <w:p>
      <w:pPr>
        <w:spacing w:line="360" w:lineRule="auto"/>
        <w:ind w:firstLine="420" w:firstLineChars="200"/>
      </w:pPr>
    </w:p>
    <w:p>
      <w:pPr>
        <w:widowControl/>
        <w:snapToGrid w:val="0"/>
        <w:spacing w:line="360" w:lineRule="auto"/>
        <w:jc w:val="left"/>
        <w:rPr>
          <w:rFonts w:ascii="宋体" w:hAnsi="宋体"/>
          <w:b/>
        </w:rPr>
      </w:pPr>
      <w:r>
        <w:rPr>
          <w:rFonts w:hint="eastAsia" w:ascii="宋体" w:hAnsi="宋体"/>
          <w:b/>
          <w:lang w:bidi="ar"/>
        </w:rPr>
        <w:t>此处附上以下扫描件或复印件：</w:t>
      </w:r>
    </w:p>
    <w:p>
      <w:pPr>
        <w:spacing w:line="440" w:lineRule="exact"/>
        <w:rPr>
          <w:rFonts w:ascii="宋体" w:hAnsi="宋体"/>
          <w:b/>
          <w:lang w:bidi="ar"/>
        </w:rPr>
      </w:pPr>
      <w:r>
        <w:rPr>
          <w:rFonts w:hint="eastAsia" w:ascii="宋体" w:hAnsi="宋体"/>
          <w:b/>
          <w:lang w:bidi="ar"/>
        </w:rPr>
        <w:t>1. 投标保证金</w:t>
      </w:r>
    </w:p>
    <w:p>
      <w:pPr>
        <w:spacing w:line="440" w:lineRule="exact"/>
        <w:rPr>
          <w:rFonts w:ascii="宋体" w:hAnsi="宋体"/>
          <w:b/>
          <w:lang w:bidi="ar"/>
        </w:rPr>
      </w:pPr>
      <w:r>
        <w:rPr>
          <w:rFonts w:hint="eastAsia" w:ascii="宋体" w:hAnsi="宋体"/>
          <w:b/>
          <w:lang w:bidi="ar"/>
        </w:rPr>
        <w:t>[提示：以转账支票或电汇形式交纳投标保证金的提供以下资料]</w:t>
      </w:r>
    </w:p>
    <w:p>
      <w:pPr>
        <w:spacing w:line="440" w:lineRule="exact"/>
        <w:rPr>
          <w:rFonts w:ascii="宋体" w:hAnsi="宋体" w:cs="宋体"/>
          <w:szCs w:val="21"/>
          <w:u w:val="single"/>
        </w:rPr>
      </w:pPr>
      <w:r>
        <w:rPr>
          <w:rFonts w:hint="eastAsia" w:ascii="宋体" w:hAnsi="宋体"/>
          <w:b/>
          <w:lang w:bidi="ar"/>
        </w:rPr>
        <w:t>企业基本账户开户证明文件复印件。</w:t>
      </w:r>
    </w:p>
    <w:p>
      <w:pPr>
        <w:spacing w:line="360" w:lineRule="auto"/>
        <w:ind w:firstLine="420" w:firstLineChars="200"/>
      </w:pPr>
    </w:p>
    <w:p>
      <w:pPr>
        <w:pStyle w:val="27"/>
        <w:rPr>
          <w:rFonts w:ascii="Times New Roman" w:cs="Times New Roman"/>
          <w:color w:val="auto"/>
        </w:rPr>
      </w:pPr>
    </w:p>
    <w:p>
      <w:pPr>
        <w:pStyle w:val="27"/>
        <w:rPr>
          <w:rFonts w:ascii="Times New Roman" w:cs="Times New Roman"/>
          <w:color w:val="auto"/>
        </w:rPr>
      </w:pPr>
    </w:p>
    <w:p>
      <w:pPr>
        <w:pStyle w:val="27"/>
        <w:rPr>
          <w:rFonts w:ascii="Times New Roman" w:cs="Times New Roman"/>
          <w:color w:val="auto"/>
        </w:rPr>
      </w:pPr>
    </w:p>
    <w:p>
      <w:pPr>
        <w:pStyle w:val="27"/>
        <w:rPr>
          <w:rFonts w:ascii="Times New Roman" w:cs="Times New Roman"/>
          <w:color w:val="auto"/>
        </w:rPr>
      </w:pPr>
    </w:p>
    <w:p>
      <w:pPr>
        <w:pStyle w:val="27"/>
        <w:rPr>
          <w:rFonts w:ascii="Times New Roman" w:cs="Times New Roman"/>
          <w:color w:val="auto"/>
        </w:rPr>
      </w:pPr>
    </w:p>
    <w:p>
      <w:pPr>
        <w:pStyle w:val="27"/>
        <w:rPr>
          <w:rFonts w:ascii="Times New Roman" w:cs="Times New Roman"/>
          <w:color w:val="auto"/>
        </w:rPr>
      </w:pPr>
    </w:p>
    <w:p>
      <w:pPr>
        <w:pStyle w:val="27"/>
        <w:rPr>
          <w:rFonts w:ascii="Times New Roman" w:cs="Times New Roman"/>
          <w:color w:val="auto"/>
        </w:rPr>
      </w:pPr>
    </w:p>
    <w:p>
      <w:pPr>
        <w:pStyle w:val="27"/>
        <w:rPr>
          <w:rFonts w:ascii="Times New Roman" w:cs="Times New Roman"/>
          <w:color w:val="auto"/>
        </w:rPr>
      </w:pPr>
    </w:p>
    <w:p>
      <w:pPr>
        <w:pStyle w:val="27"/>
        <w:rPr>
          <w:rFonts w:ascii="Times New Roman" w:cs="Times New Roman"/>
          <w:color w:val="auto"/>
        </w:rPr>
      </w:pPr>
    </w:p>
    <w:p>
      <w:pPr>
        <w:pStyle w:val="27"/>
        <w:rPr>
          <w:rFonts w:ascii="Times New Roman" w:cs="Times New Roman"/>
          <w:color w:val="auto"/>
        </w:rPr>
      </w:pPr>
    </w:p>
    <w:p>
      <w:pPr>
        <w:pStyle w:val="27"/>
        <w:rPr>
          <w:rFonts w:ascii="Times New Roman" w:cs="Times New Roman"/>
          <w:color w:val="auto"/>
        </w:rPr>
      </w:pPr>
    </w:p>
    <w:p>
      <w:pPr>
        <w:pStyle w:val="27"/>
        <w:rPr>
          <w:rFonts w:ascii="Times New Roman" w:cs="Times New Roman"/>
          <w:color w:val="auto"/>
        </w:rPr>
      </w:pPr>
    </w:p>
    <w:p>
      <w:pPr>
        <w:jc w:val="center"/>
        <w:rPr>
          <w:b/>
          <w:bCs/>
          <w:sz w:val="28"/>
          <w:szCs w:val="28"/>
        </w:rPr>
        <w:sectPr>
          <w:pgSz w:w="11906" w:h="16838"/>
          <w:pgMar w:top="1474" w:right="1304" w:bottom="1247" w:left="1418" w:header="851" w:footer="992" w:gutter="0"/>
          <w:cols w:space="720" w:num="1"/>
        </w:sectPr>
      </w:pPr>
      <w:bookmarkStart w:id="220" w:name="_Toc8731"/>
      <w:bookmarkStart w:id="221" w:name="_Toc25323"/>
    </w:p>
    <w:p>
      <w:pPr>
        <w:jc w:val="center"/>
        <w:rPr>
          <w:b/>
          <w:bCs/>
          <w:sz w:val="28"/>
          <w:szCs w:val="28"/>
        </w:rPr>
      </w:pPr>
      <w:r>
        <w:rPr>
          <w:b/>
          <w:bCs/>
          <w:sz w:val="28"/>
          <w:szCs w:val="28"/>
        </w:rPr>
        <w:t>四、</w:t>
      </w:r>
      <w:bookmarkStart w:id="222" w:name="_Toc387305411"/>
      <w:bookmarkStart w:id="223" w:name="_Toc390183850"/>
      <w:bookmarkStart w:id="224" w:name="_Toc266027515"/>
      <w:r>
        <w:rPr>
          <w:b/>
          <w:bCs/>
          <w:sz w:val="28"/>
          <w:szCs w:val="28"/>
        </w:rPr>
        <w:t>资格审查资料</w:t>
      </w:r>
      <w:bookmarkEnd w:id="219"/>
      <w:bookmarkEnd w:id="220"/>
      <w:bookmarkEnd w:id="221"/>
    </w:p>
    <w:p>
      <w:pPr>
        <w:pStyle w:val="31"/>
        <w:jc w:val="center"/>
        <w:rPr>
          <w:rFonts w:ascii="Times New Roman" w:hAnsi="Times New Roman" w:cs="Times New Roman"/>
          <w:b/>
          <w:bCs/>
          <w:color w:val="auto"/>
          <w:sz w:val="28"/>
          <w:szCs w:val="28"/>
        </w:rPr>
      </w:pPr>
      <w:bookmarkStart w:id="225" w:name="_Toc2498"/>
      <w:r>
        <w:rPr>
          <w:rFonts w:ascii="Times New Roman" w:hAnsi="Times New Roman" w:cs="Times New Roman"/>
          <w:color w:val="auto"/>
          <w:sz w:val="28"/>
        </w:rPr>
        <w:t>（一）</w:t>
      </w:r>
      <w:bookmarkEnd w:id="197"/>
      <w:bookmarkEnd w:id="198"/>
      <w:bookmarkEnd w:id="199"/>
      <w:bookmarkEnd w:id="200"/>
      <w:bookmarkEnd w:id="201"/>
      <w:bookmarkEnd w:id="222"/>
      <w:bookmarkEnd w:id="223"/>
      <w:bookmarkEnd w:id="224"/>
      <w:bookmarkStart w:id="226" w:name="_Toc266027508"/>
      <w:bookmarkStart w:id="227" w:name="_Toc387305408"/>
      <w:bookmarkStart w:id="228" w:name="_Toc224103496"/>
      <w:bookmarkStart w:id="229" w:name="_Toc310321650"/>
      <w:r>
        <w:rPr>
          <w:rFonts w:ascii="Times New Roman" w:hAnsi="Times New Roman" w:cs="Times New Roman"/>
          <w:b/>
          <w:bCs/>
          <w:color w:val="auto"/>
          <w:sz w:val="28"/>
          <w:szCs w:val="28"/>
        </w:rPr>
        <w:t>投标人基本情况表</w:t>
      </w:r>
      <w:bookmarkEnd w:id="225"/>
    </w:p>
    <w:tbl>
      <w:tblPr>
        <w:tblStyle w:val="17"/>
        <w:tblW w:w="0" w:type="auto"/>
        <w:tblInd w:w="2" w:type="dxa"/>
        <w:tblLayout w:type="fixed"/>
        <w:tblCellMar>
          <w:top w:w="0" w:type="dxa"/>
          <w:left w:w="108" w:type="dxa"/>
          <w:bottom w:w="0" w:type="dxa"/>
          <w:right w:w="108" w:type="dxa"/>
        </w:tblCellMar>
      </w:tblPr>
      <w:tblGrid>
        <w:gridCol w:w="2026"/>
        <w:gridCol w:w="1245"/>
        <w:gridCol w:w="1427"/>
        <w:gridCol w:w="483"/>
        <w:gridCol w:w="803"/>
        <w:gridCol w:w="348"/>
        <w:gridCol w:w="617"/>
        <w:gridCol w:w="965"/>
        <w:gridCol w:w="1026"/>
      </w:tblGrid>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pPr>
            <w:r>
              <w:t>投标人名称</w:t>
            </w:r>
          </w:p>
        </w:tc>
        <w:tc>
          <w:tcPr>
            <w:tcW w:w="6914" w:type="dxa"/>
            <w:gridSpan w:val="8"/>
            <w:tcBorders>
              <w:top w:val="single" w:color="000000" w:sz="4" w:space="0"/>
              <w:left w:val="single" w:color="000000" w:sz="4" w:space="0"/>
              <w:bottom w:val="single" w:color="000000" w:sz="4" w:space="0"/>
              <w:right w:val="single" w:color="000000" w:sz="4" w:space="0"/>
            </w:tcBorders>
          </w:tcPr>
          <w:p>
            <w:pPr>
              <w:jc w:val="center"/>
              <w:outlineLvl w:val="2"/>
            </w:pPr>
          </w:p>
        </w:tc>
      </w:tr>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pPr>
            <w:r>
              <w:t>注册地址</w:t>
            </w:r>
          </w:p>
        </w:tc>
        <w:tc>
          <w:tcPr>
            <w:tcW w:w="3155" w:type="dxa"/>
            <w:gridSpan w:val="3"/>
            <w:tcBorders>
              <w:top w:val="single" w:color="000000" w:sz="4" w:space="0"/>
              <w:left w:val="single" w:color="000000" w:sz="4" w:space="0"/>
              <w:bottom w:val="single" w:color="000000" w:sz="4" w:space="0"/>
              <w:right w:val="single" w:color="000000" w:sz="4" w:space="0"/>
            </w:tcBorders>
          </w:tcPr>
          <w:p>
            <w:pPr>
              <w:jc w:val="center"/>
              <w:outlineLvl w:val="2"/>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center"/>
              <w:outlineLvl w:val="2"/>
            </w:pPr>
            <w:r>
              <w:t>邮政编码</w:t>
            </w:r>
          </w:p>
        </w:tc>
        <w:tc>
          <w:tcPr>
            <w:tcW w:w="2608" w:type="dxa"/>
            <w:gridSpan w:val="3"/>
            <w:tcBorders>
              <w:top w:val="single" w:color="000000" w:sz="4" w:space="0"/>
              <w:left w:val="single" w:color="000000" w:sz="4" w:space="0"/>
              <w:bottom w:val="single" w:color="000000" w:sz="4" w:space="0"/>
              <w:right w:val="single" w:color="000000" w:sz="4" w:space="0"/>
            </w:tcBorders>
            <w:vAlign w:val="center"/>
          </w:tcPr>
          <w:p>
            <w:pPr>
              <w:jc w:val="center"/>
              <w:outlineLvl w:val="2"/>
            </w:pPr>
          </w:p>
        </w:tc>
      </w:tr>
      <w:tr>
        <w:tblPrEx>
          <w:tblCellMar>
            <w:top w:w="0" w:type="dxa"/>
            <w:left w:w="108" w:type="dxa"/>
            <w:bottom w:w="0" w:type="dxa"/>
            <w:right w:w="108" w:type="dxa"/>
          </w:tblCellMar>
        </w:tblPrEx>
        <w:trPr>
          <w:trHeight w:val="553" w:hRule="atLeast"/>
        </w:trPr>
        <w:tc>
          <w:tcPr>
            <w:tcW w:w="2026" w:type="dxa"/>
            <w:vMerge w:val="restart"/>
            <w:tcBorders>
              <w:top w:val="single" w:color="000000" w:sz="4" w:space="0"/>
              <w:left w:val="single" w:color="000000" w:sz="4" w:space="0"/>
              <w:bottom w:val="single" w:color="000000" w:sz="4" w:space="0"/>
              <w:right w:val="single" w:color="000000" w:sz="4" w:space="0"/>
            </w:tcBorders>
            <w:vAlign w:val="center"/>
          </w:tcPr>
          <w:p>
            <w:pPr>
              <w:jc w:val="center"/>
              <w:outlineLvl w:val="2"/>
            </w:pPr>
            <w:r>
              <w:t>联系方式</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outlineLvl w:val="2"/>
            </w:pPr>
            <w:r>
              <w:t>联系人</w:t>
            </w:r>
          </w:p>
        </w:tc>
        <w:tc>
          <w:tcPr>
            <w:tcW w:w="1910" w:type="dxa"/>
            <w:gridSpan w:val="2"/>
            <w:tcBorders>
              <w:top w:val="single" w:color="000000" w:sz="4" w:space="0"/>
              <w:left w:val="single" w:color="000000" w:sz="4" w:space="0"/>
              <w:bottom w:val="single" w:color="000000" w:sz="4" w:space="0"/>
              <w:right w:val="single" w:color="000000" w:sz="4" w:space="0"/>
            </w:tcBorders>
          </w:tcPr>
          <w:p>
            <w:pPr>
              <w:jc w:val="center"/>
              <w:outlineLvl w:val="2"/>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center"/>
              <w:outlineLvl w:val="2"/>
            </w:pPr>
            <w:r>
              <w:t>电    话</w:t>
            </w:r>
          </w:p>
        </w:tc>
        <w:tc>
          <w:tcPr>
            <w:tcW w:w="2608" w:type="dxa"/>
            <w:gridSpan w:val="3"/>
            <w:tcBorders>
              <w:top w:val="single" w:color="000000" w:sz="4" w:space="0"/>
              <w:left w:val="single" w:color="000000" w:sz="4" w:space="0"/>
              <w:bottom w:val="single" w:color="000000" w:sz="4" w:space="0"/>
              <w:right w:val="single" w:color="000000" w:sz="4" w:space="0"/>
            </w:tcBorders>
            <w:vAlign w:val="center"/>
          </w:tcPr>
          <w:p>
            <w:pPr>
              <w:jc w:val="center"/>
              <w:outlineLvl w:val="2"/>
            </w:pPr>
          </w:p>
        </w:tc>
      </w:tr>
      <w:tr>
        <w:tblPrEx>
          <w:tblCellMar>
            <w:top w:w="0" w:type="dxa"/>
            <w:left w:w="108" w:type="dxa"/>
            <w:bottom w:w="0" w:type="dxa"/>
            <w:right w:w="108" w:type="dxa"/>
          </w:tblCellMar>
        </w:tblPrEx>
        <w:trPr>
          <w:trHeight w:val="571" w:hRule="atLeast"/>
        </w:trPr>
        <w:tc>
          <w:tcPr>
            <w:tcW w:w="2026" w:type="dxa"/>
            <w:vMerge w:val="continue"/>
            <w:tcBorders>
              <w:top w:val="single" w:color="000000" w:sz="4" w:space="0"/>
              <w:left w:val="single" w:color="000000" w:sz="4" w:space="0"/>
              <w:bottom w:val="single" w:color="000000" w:sz="4" w:space="0"/>
              <w:right w:val="single" w:color="000000" w:sz="4" w:space="0"/>
            </w:tcBorders>
            <w:vAlign w:val="center"/>
          </w:tcPr>
          <w:p>
            <w:pPr>
              <w:jc w:val="left"/>
            </w:pP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outlineLvl w:val="2"/>
            </w:pPr>
            <w:r>
              <w:t>传   真</w:t>
            </w:r>
          </w:p>
        </w:tc>
        <w:tc>
          <w:tcPr>
            <w:tcW w:w="1910" w:type="dxa"/>
            <w:gridSpan w:val="2"/>
            <w:tcBorders>
              <w:top w:val="single" w:color="000000" w:sz="4" w:space="0"/>
              <w:left w:val="single" w:color="000000" w:sz="4" w:space="0"/>
              <w:bottom w:val="single" w:color="000000" w:sz="4" w:space="0"/>
              <w:right w:val="single" w:color="000000" w:sz="4" w:space="0"/>
            </w:tcBorders>
          </w:tcPr>
          <w:p>
            <w:pPr>
              <w:jc w:val="center"/>
              <w:outlineLvl w:val="2"/>
            </w:pPr>
          </w:p>
        </w:tc>
        <w:tc>
          <w:tcPr>
            <w:tcW w:w="1151" w:type="dxa"/>
            <w:gridSpan w:val="2"/>
            <w:tcBorders>
              <w:top w:val="single" w:color="000000" w:sz="4" w:space="0"/>
              <w:left w:val="single" w:color="000000" w:sz="4" w:space="0"/>
              <w:bottom w:val="single" w:color="000000" w:sz="4" w:space="0"/>
              <w:right w:val="single" w:color="000000" w:sz="4" w:space="0"/>
            </w:tcBorders>
            <w:vAlign w:val="center"/>
          </w:tcPr>
          <w:p>
            <w:pPr>
              <w:jc w:val="center"/>
              <w:outlineLvl w:val="2"/>
            </w:pPr>
            <w:r>
              <w:t>电子邮件</w:t>
            </w:r>
          </w:p>
        </w:tc>
        <w:tc>
          <w:tcPr>
            <w:tcW w:w="2608" w:type="dxa"/>
            <w:gridSpan w:val="3"/>
            <w:tcBorders>
              <w:top w:val="single" w:color="000000" w:sz="4" w:space="0"/>
              <w:left w:val="single" w:color="000000" w:sz="4" w:space="0"/>
              <w:bottom w:val="single" w:color="000000" w:sz="4" w:space="0"/>
              <w:right w:val="single" w:color="000000" w:sz="4" w:space="0"/>
            </w:tcBorders>
            <w:vAlign w:val="center"/>
          </w:tcPr>
          <w:p>
            <w:pPr>
              <w:jc w:val="center"/>
              <w:outlineLvl w:val="2"/>
            </w:pPr>
          </w:p>
        </w:tc>
      </w:tr>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pPr>
            <w:r>
              <w:t>法定代表人</w:t>
            </w:r>
          </w:p>
        </w:tc>
        <w:tc>
          <w:tcPr>
            <w:tcW w:w="1245" w:type="dxa"/>
            <w:tcBorders>
              <w:top w:val="single" w:color="000000" w:sz="4" w:space="0"/>
              <w:left w:val="single" w:color="000000" w:sz="4" w:space="0"/>
              <w:bottom w:val="single" w:color="000000" w:sz="4" w:space="0"/>
              <w:right w:val="single" w:color="000000" w:sz="4" w:space="0"/>
            </w:tcBorders>
            <w:vAlign w:val="center"/>
          </w:tcPr>
          <w:p>
            <w:pPr>
              <w:jc w:val="center"/>
              <w:outlineLvl w:val="2"/>
            </w:pPr>
            <w:r>
              <w:t>姓   名</w:t>
            </w:r>
          </w:p>
        </w:tc>
        <w:tc>
          <w:tcPr>
            <w:tcW w:w="1427" w:type="dxa"/>
            <w:tcBorders>
              <w:top w:val="single" w:color="000000" w:sz="4" w:space="0"/>
              <w:left w:val="single" w:color="000000" w:sz="4" w:space="0"/>
              <w:bottom w:val="single" w:color="000000" w:sz="4" w:space="0"/>
              <w:right w:val="single" w:color="000000" w:sz="4" w:space="0"/>
            </w:tcBorders>
          </w:tcPr>
          <w:p>
            <w:pPr>
              <w:jc w:val="center"/>
              <w:outlineLvl w:val="2"/>
            </w:pPr>
          </w:p>
        </w:tc>
        <w:tc>
          <w:tcPr>
            <w:tcW w:w="1286" w:type="dxa"/>
            <w:gridSpan w:val="2"/>
            <w:tcBorders>
              <w:top w:val="single" w:color="000000" w:sz="4" w:space="0"/>
              <w:left w:val="single" w:color="000000" w:sz="4" w:space="0"/>
              <w:bottom w:val="single" w:color="000000" w:sz="4" w:space="0"/>
              <w:right w:val="single" w:color="000000" w:sz="4" w:space="0"/>
            </w:tcBorders>
            <w:vAlign w:val="center"/>
          </w:tcPr>
          <w:p>
            <w:pPr>
              <w:jc w:val="center"/>
              <w:outlineLvl w:val="2"/>
            </w:pPr>
            <w:r>
              <w:t>技术职称</w:t>
            </w:r>
          </w:p>
        </w:tc>
        <w:tc>
          <w:tcPr>
            <w:tcW w:w="965" w:type="dxa"/>
            <w:gridSpan w:val="2"/>
            <w:tcBorders>
              <w:top w:val="single" w:color="000000" w:sz="4" w:space="0"/>
              <w:left w:val="single" w:color="000000" w:sz="4" w:space="0"/>
              <w:bottom w:val="single" w:color="000000" w:sz="4" w:space="0"/>
              <w:right w:val="single" w:color="000000" w:sz="4" w:space="0"/>
            </w:tcBorders>
            <w:vAlign w:val="center"/>
          </w:tcPr>
          <w:p>
            <w:pPr>
              <w:jc w:val="center"/>
              <w:outlineLvl w:val="2"/>
            </w:pPr>
          </w:p>
        </w:tc>
        <w:tc>
          <w:tcPr>
            <w:tcW w:w="965" w:type="dxa"/>
            <w:tcBorders>
              <w:top w:val="single" w:color="000000" w:sz="4" w:space="0"/>
              <w:left w:val="single" w:color="000000" w:sz="4" w:space="0"/>
              <w:bottom w:val="single" w:color="000000" w:sz="4" w:space="0"/>
              <w:right w:val="single" w:color="000000" w:sz="4" w:space="0"/>
            </w:tcBorders>
            <w:vAlign w:val="center"/>
          </w:tcPr>
          <w:p>
            <w:pPr>
              <w:jc w:val="center"/>
              <w:outlineLvl w:val="2"/>
            </w:pPr>
            <w:r>
              <w:t>电话</w:t>
            </w:r>
          </w:p>
        </w:tc>
        <w:tc>
          <w:tcPr>
            <w:tcW w:w="1026" w:type="dxa"/>
            <w:tcBorders>
              <w:top w:val="single" w:color="000000" w:sz="4" w:space="0"/>
              <w:left w:val="single" w:color="000000" w:sz="4" w:space="0"/>
              <w:bottom w:val="single" w:color="000000" w:sz="4" w:space="0"/>
              <w:right w:val="single" w:color="000000" w:sz="4" w:space="0"/>
            </w:tcBorders>
          </w:tcPr>
          <w:p>
            <w:pPr>
              <w:jc w:val="center"/>
              <w:outlineLvl w:val="2"/>
            </w:pPr>
          </w:p>
        </w:tc>
      </w:tr>
      <w:tr>
        <w:tblPrEx>
          <w:tblCellMar>
            <w:top w:w="0" w:type="dxa"/>
            <w:left w:w="108" w:type="dxa"/>
            <w:bottom w:w="0" w:type="dxa"/>
            <w:right w:w="108" w:type="dxa"/>
          </w:tblCellMar>
        </w:tblPrEx>
        <w:trPr>
          <w:trHeight w:val="571"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pPr>
            <w:r>
              <w:t>营业执照号</w:t>
            </w:r>
          </w:p>
        </w:tc>
        <w:tc>
          <w:tcPr>
            <w:tcW w:w="3155" w:type="dxa"/>
            <w:gridSpan w:val="3"/>
            <w:tcBorders>
              <w:top w:val="single" w:color="000000" w:sz="4" w:space="0"/>
              <w:left w:val="single" w:color="000000" w:sz="4" w:space="0"/>
              <w:bottom w:val="single" w:color="000000" w:sz="4" w:space="0"/>
              <w:right w:val="single" w:color="000000" w:sz="4" w:space="0"/>
            </w:tcBorders>
          </w:tcPr>
          <w:p>
            <w:pPr>
              <w:jc w:val="center"/>
              <w:outlineLvl w:val="2"/>
            </w:pPr>
          </w:p>
        </w:tc>
        <w:tc>
          <w:tcPr>
            <w:tcW w:w="3759" w:type="dxa"/>
            <w:gridSpan w:val="5"/>
            <w:tcBorders>
              <w:top w:val="single" w:color="000000" w:sz="4" w:space="0"/>
              <w:left w:val="single" w:color="000000" w:sz="4" w:space="0"/>
              <w:bottom w:val="single" w:color="000000" w:sz="4" w:space="0"/>
              <w:right w:val="single" w:color="000000" w:sz="4" w:space="0"/>
            </w:tcBorders>
            <w:vAlign w:val="center"/>
          </w:tcPr>
          <w:p>
            <w:pPr>
              <w:jc w:val="center"/>
              <w:outlineLvl w:val="2"/>
            </w:pPr>
            <w:r>
              <w:t>员工总人数：</w:t>
            </w:r>
          </w:p>
        </w:tc>
      </w:tr>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pPr>
            <w:r>
              <w:t>企业资质等级</w:t>
            </w:r>
          </w:p>
        </w:tc>
        <w:tc>
          <w:tcPr>
            <w:tcW w:w="3155" w:type="dxa"/>
            <w:gridSpan w:val="3"/>
            <w:tcBorders>
              <w:top w:val="single" w:color="000000" w:sz="4" w:space="0"/>
              <w:left w:val="single" w:color="000000" w:sz="4" w:space="0"/>
              <w:bottom w:val="single" w:color="000000" w:sz="4" w:space="0"/>
              <w:right w:val="single" w:color="000000" w:sz="4" w:space="0"/>
            </w:tcBorders>
          </w:tcPr>
          <w:p>
            <w:pPr>
              <w:jc w:val="center"/>
              <w:outlineLvl w:val="2"/>
            </w:pPr>
          </w:p>
        </w:tc>
        <w:tc>
          <w:tcPr>
            <w:tcW w:w="1151" w:type="dxa"/>
            <w:gridSpan w:val="2"/>
            <w:vMerge w:val="restart"/>
            <w:tcBorders>
              <w:top w:val="single" w:color="000000" w:sz="4" w:space="0"/>
              <w:left w:val="single" w:color="000000" w:sz="4" w:space="0"/>
              <w:bottom w:val="single" w:color="000000" w:sz="4" w:space="0"/>
              <w:right w:val="single" w:color="000000" w:sz="4" w:space="0"/>
            </w:tcBorders>
            <w:vAlign w:val="center"/>
          </w:tcPr>
          <w:p>
            <w:pPr>
              <w:jc w:val="center"/>
              <w:outlineLvl w:val="2"/>
            </w:pPr>
            <w:r>
              <w:t>其中</w:t>
            </w:r>
          </w:p>
        </w:tc>
        <w:tc>
          <w:tcPr>
            <w:tcW w:w="1582" w:type="dxa"/>
            <w:gridSpan w:val="2"/>
            <w:tcBorders>
              <w:top w:val="single" w:color="000000" w:sz="4" w:space="0"/>
              <w:left w:val="single" w:color="000000" w:sz="4" w:space="0"/>
              <w:bottom w:val="single" w:color="000000" w:sz="4" w:space="0"/>
              <w:right w:val="single" w:color="000000" w:sz="4" w:space="0"/>
            </w:tcBorders>
            <w:vAlign w:val="center"/>
          </w:tcPr>
          <w:p>
            <w:pPr>
              <w:jc w:val="center"/>
              <w:outlineLvl w:val="2"/>
            </w:pPr>
            <w:r>
              <w:t>项目经理</w:t>
            </w:r>
          </w:p>
        </w:tc>
        <w:tc>
          <w:tcPr>
            <w:tcW w:w="1026" w:type="dxa"/>
            <w:tcBorders>
              <w:top w:val="single" w:color="000000" w:sz="4" w:space="0"/>
              <w:left w:val="single" w:color="000000" w:sz="4" w:space="0"/>
              <w:bottom w:val="single" w:color="000000" w:sz="4" w:space="0"/>
              <w:right w:val="single" w:color="000000" w:sz="4" w:space="0"/>
            </w:tcBorders>
          </w:tcPr>
          <w:p>
            <w:pPr>
              <w:jc w:val="center"/>
              <w:outlineLvl w:val="2"/>
            </w:pPr>
          </w:p>
        </w:tc>
      </w:tr>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pPr>
            <w:r>
              <w:t>注册资本</w:t>
            </w:r>
          </w:p>
        </w:tc>
        <w:tc>
          <w:tcPr>
            <w:tcW w:w="3155" w:type="dxa"/>
            <w:gridSpan w:val="3"/>
            <w:tcBorders>
              <w:top w:val="single" w:color="000000" w:sz="4" w:space="0"/>
              <w:left w:val="single" w:color="000000" w:sz="4" w:space="0"/>
              <w:bottom w:val="single" w:color="000000" w:sz="4" w:space="0"/>
              <w:right w:val="single" w:color="000000" w:sz="4" w:space="0"/>
            </w:tcBorders>
          </w:tcPr>
          <w:p>
            <w:pPr>
              <w:jc w:val="center"/>
              <w:outlineLvl w:val="2"/>
            </w:pPr>
          </w:p>
        </w:tc>
        <w:tc>
          <w:tcPr>
            <w:tcW w:w="115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pPr>
          </w:p>
        </w:tc>
        <w:tc>
          <w:tcPr>
            <w:tcW w:w="1582" w:type="dxa"/>
            <w:gridSpan w:val="2"/>
            <w:tcBorders>
              <w:top w:val="single" w:color="000000" w:sz="4" w:space="0"/>
              <w:left w:val="single" w:color="000000" w:sz="4" w:space="0"/>
              <w:bottom w:val="single" w:color="000000" w:sz="4" w:space="0"/>
              <w:right w:val="single" w:color="000000" w:sz="4" w:space="0"/>
            </w:tcBorders>
            <w:vAlign w:val="center"/>
          </w:tcPr>
          <w:p>
            <w:pPr>
              <w:jc w:val="center"/>
              <w:outlineLvl w:val="2"/>
            </w:pPr>
            <w:r>
              <w:t>高级职称人员</w:t>
            </w:r>
          </w:p>
        </w:tc>
        <w:tc>
          <w:tcPr>
            <w:tcW w:w="1026" w:type="dxa"/>
            <w:tcBorders>
              <w:top w:val="single" w:color="000000" w:sz="4" w:space="0"/>
              <w:left w:val="single" w:color="000000" w:sz="4" w:space="0"/>
              <w:bottom w:val="single" w:color="000000" w:sz="4" w:space="0"/>
              <w:right w:val="single" w:color="000000" w:sz="4" w:space="0"/>
            </w:tcBorders>
          </w:tcPr>
          <w:p>
            <w:pPr>
              <w:jc w:val="center"/>
              <w:outlineLvl w:val="2"/>
            </w:pPr>
          </w:p>
        </w:tc>
      </w:tr>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pPr>
            <w:r>
              <w:t>成立时间</w:t>
            </w:r>
          </w:p>
        </w:tc>
        <w:tc>
          <w:tcPr>
            <w:tcW w:w="3155" w:type="dxa"/>
            <w:gridSpan w:val="3"/>
            <w:tcBorders>
              <w:top w:val="single" w:color="000000" w:sz="4" w:space="0"/>
              <w:left w:val="single" w:color="000000" w:sz="4" w:space="0"/>
              <w:bottom w:val="single" w:color="000000" w:sz="4" w:space="0"/>
              <w:right w:val="single" w:color="000000" w:sz="4" w:space="0"/>
            </w:tcBorders>
          </w:tcPr>
          <w:p>
            <w:pPr>
              <w:jc w:val="center"/>
              <w:outlineLvl w:val="2"/>
            </w:pPr>
          </w:p>
        </w:tc>
        <w:tc>
          <w:tcPr>
            <w:tcW w:w="115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pPr>
          </w:p>
        </w:tc>
        <w:tc>
          <w:tcPr>
            <w:tcW w:w="1582" w:type="dxa"/>
            <w:gridSpan w:val="2"/>
            <w:tcBorders>
              <w:top w:val="single" w:color="000000" w:sz="4" w:space="0"/>
              <w:left w:val="single" w:color="000000" w:sz="4" w:space="0"/>
              <w:bottom w:val="single" w:color="000000" w:sz="4" w:space="0"/>
              <w:right w:val="single" w:color="000000" w:sz="4" w:space="0"/>
            </w:tcBorders>
            <w:vAlign w:val="center"/>
          </w:tcPr>
          <w:p>
            <w:pPr>
              <w:jc w:val="center"/>
              <w:outlineLvl w:val="2"/>
            </w:pPr>
            <w:r>
              <w:t>中级职称人员</w:t>
            </w:r>
          </w:p>
        </w:tc>
        <w:tc>
          <w:tcPr>
            <w:tcW w:w="1026" w:type="dxa"/>
            <w:tcBorders>
              <w:top w:val="single" w:color="000000" w:sz="4" w:space="0"/>
              <w:left w:val="single" w:color="000000" w:sz="4" w:space="0"/>
              <w:bottom w:val="single" w:color="000000" w:sz="4" w:space="0"/>
              <w:right w:val="single" w:color="000000" w:sz="4" w:space="0"/>
            </w:tcBorders>
          </w:tcPr>
          <w:p>
            <w:pPr>
              <w:jc w:val="center"/>
              <w:outlineLvl w:val="2"/>
            </w:pPr>
          </w:p>
        </w:tc>
      </w:tr>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pPr>
            <w:r>
              <w:t>基本账户开户银行</w:t>
            </w:r>
          </w:p>
        </w:tc>
        <w:tc>
          <w:tcPr>
            <w:tcW w:w="3155" w:type="dxa"/>
            <w:gridSpan w:val="3"/>
            <w:tcBorders>
              <w:top w:val="single" w:color="000000" w:sz="4" w:space="0"/>
              <w:left w:val="single" w:color="000000" w:sz="4" w:space="0"/>
              <w:bottom w:val="single" w:color="000000" w:sz="4" w:space="0"/>
              <w:right w:val="single" w:color="000000" w:sz="4" w:space="0"/>
            </w:tcBorders>
          </w:tcPr>
          <w:p>
            <w:pPr>
              <w:jc w:val="center"/>
              <w:outlineLvl w:val="2"/>
            </w:pPr>
          </w:p>
        </w:tc>
        <w:tc>
          <w:tcPr>
            <w:tcW w:w="115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pPr>
          </w:p>
        </w:tc>
        <w:tc>
          <w:tcPr>
            <w:tcW w:w="1582" w:type="dxa"/>
            <w:gridSpan w:val="2"/>
            <w:tcBorders>
              <w:top w:val="single" w:color="000000" w:sz="4" w:space="0"/>
              <w:left w:val="single" w:color="000000" w:sz="4" w:space="0"/>
              <w:bottom w:val="single" w:color="000000" w:sz="4" w:space="0"/>
              <w:right w:val="single" w:color="000000" w:sz="4" w:space="0"/>
            </w:tcBorders>
            <w:vAlign w:val="center"/>
          </w:tcPr>
          <w:p>
            <w:pPr>
              <w:jc w:val="center"/>
              <w:outlineLvl w:val="2"/>
            </w:pPr>
            <w:r>
              <w:t>初级职称人员</w:t>
            </w:r>
          </w:p>
        </w:tc>
        <w:tc>
          <w:tcPr>
            <w:tcW w:w="1026" w:type="dxa"/>
            <w:tcBorders>
              <w:top w:val="single" w:color="000000" w:sz="4" w:space="0"/>
              <w:left w:val="single" w:color="000000" w:sz="4" w:space="0"/>
              <w:bottom w:val="single" w:color="000000" w:sz="4" w:space="0"/>
              <w:right w:val="single" w:color="000000" w:sz="4" w:space="0"/>
            </w:tcBorders>
          </w:tcPr>
          <w:p>
            <w:pPr>
              <w:jc w:val="center"/>
              <w:outlineLvl w:val="2"/>
            </w:pPr>
          </w:p>
        </w:tc>
      </w:tr>
      <w:tr>
        <w:tblPrEx>
          <w:tblCellMar>
            <w:top w:w="0" w:type="dxa"/>
            <w:left w:w="108" w:type="dxa"/>
            <w:bottom w:w="0" w:type="dxa"/>
            <w:right w:w="108" w:type="dxa"/>
          </w:tblCellMar>
        </w:tblPrEx>
        <w:trPr>
          <w:trHeight w:val="553"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pPr>
            <w:r>
              <w:t>基本账户银行账号</w:t>
            </w:r>
          </w:p>
        </w:tc>
        <w:tc>
          <w:tcPr>
            <w:tcW w:w="3155" w:type="dxa"/>
            <w:gridSpan w:val="3"/>
            <w:tcBorders>
              <w:top w:val="single" w:color="000000" w:sz="4" w:space="0"/>
              <w:left w:val="single" w:color="000000" w:sz="4" w:space="0"/>
              <w:bottom w:val="single" w:color="000000" w:sz="4" w:space="0"/>
              <w:right w:val="single" w:color="000000" w:sz="4" w:space="0"/>
            </w:tcBorders>
          </w:tcPr>
          <w:p>
            <w:pPr>
              <w:jc w:val="center"/>
              <w:outlineLvl w:val="2"/>
            </w:pPr>
          </w:p>
        </w:tc>
        <w:tc>
          <w:tcPr>
            <w:tcW w:w="115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pPr>
          </w:p>
        </w:tc>
        <w:tc>
          <w:tcPr>
            <w:tcW w:w="1582" w:type="dxa"/>
            <w:gridSpan w:val="2"/>
            <w:tcBorders>
              <w:top w:val="single" w:color="000000" w:sz="4" w:space="0"/>
              <w:left w:val="single" w:color="000000" w:sz="4" w:space="0"/>
              <w:bottom w:val="single" w:color="000000" w:sz="4" w:space="0"/>
              <w:right w:val="single" w:color="000000" w:sz="4" w:space="0"/>
            </w:tcBorders>
            <w:vAlign w:val="center"/>
          </w:tcPr>
          <w:p>
            <w:pPr>
              <w:jc w:val="center"/>
              <w:outlineLvl w:val="2"/>
            </w:pPr>
            <w:r>
              <w:t>技工</w:t>
            </w:r>
          </w:p>
        </w:tc>
        <w:tc>
          <w:tcPr>
            <w:tcW w:w="1026" w:type="dxa"/>
            <w:tcBorders>
              <w:top w:val="single" w:color="000000" w:sz="4" w:space="0"/>
              <w:left w:val="single" w:color="000000" w:sz="4" w:space="0"/>
              <w:bottom w:val="single" w:color="000000" w:sz="4" w:space="0"/>
              <w:right w:val="single" w:color="000000" w:sz="4" w:space="0"/>
            </w:tcBorders>
          </w:tcPr>
          <w:p>
            <w:pPr>
              <w:jc w:val="center"/>
              <w:outlineLvl w:val="2"/>
            </w:pPr>
          </w:p>
        </w:tc>
      </w:tr>
      <w:tr>
        <w:tblPrEx>
          <w:tblCellMar>
            <w:top w:w="0" w:type="dxa"/>
            <w:left w:w="108" w:type="dxa"/>
            <w:bottom w:w="0" w:type="dxa"/>
            <w:right w:w="108" w:type="dxa"/>
          </w:tblCellMar>
        </w:tblPrEx>
        <w:trPr>
          <w:trHeight w:val="1341"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pPr>
            <w:r>
              <w:t>经营范围</w:t>
            </w:r>
          </w:p>
        </w:tc>
        <w:tc>
          <w:tcPr>
            <w:tcW w:w="6914" w:type="dxa"/>
            <w:gridSpan w:val="8"/>
            <w:tcBorders>
              <w:top w:val="single" w:color="000000" w:sz="4" w:space="0"/>
              <w:left w:val="single" w:color="000000" w:sz="4" w:space="0"/>
              <w:bottom w:val="single" w:color="000000" w:sz="4" w:space="0"/>
              <w:right w:val="single" w:color="000000" w:sz="4" w:space="0"/>
            </w:tcBorders>
          </w:tcPr>
          <w:p>
            <w:pPr>
              <w:jc w:val="center"/>
              <w:outlineLvl w:val="2"/>
            </w:pPr>
          </w:p>
        </w:tc>
      </w:tr>
      <w:tr>
        <w:tblPrEx>
          <w:tblCellMar>
            <w:top w:w="0" w:type="dxa"/>
            <w:left w:w="108" w:type="dxa"/>
            <w:bottom w:w="0" w:type="dxa"/>
            <w:right w:w="108" w:type="dxa"/>
          </w:tblCellMar>
        </w:tblPrEx>
        <w:trPr>
          <w:trHeight w:val="1656"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pPr>
            <w:r>
              <w:t>投标人关联企业情况</w:t>
            </w:r>
          </w:p>
        </w:tc>
        <w:tc>
          <w:tcPr>
            <w:tcW w:w="6914" w:type="dxa"/>
            <w:gridSpan w:val="8"/>
            <w:tcBorders>
              <w:top w:val="single" w:color="000000" w:sz="4" w:space="0"/>
              <w:left w:val="single" w:color="000000" w:sz="4" w:space="0"/>
              <w:bottom w:val="single" w:color="000000" w:sz="4" w:space="0"/>
              <w:right w:val="single" w:color="000000" w:sz="4" w:space="0"/>
            </w:tcBorders>
          </w:tcPr>
          <w:p>
            <w:pPr>
              <w:jc w:val="left"/>
              <w:outlineLvl w:val="2"/>
            </w:pPr>
          </w:p>
        </w:tc>
      </w:tr>
      <w:tr>
        <w:tblPrEx>
          <w:tblCellMar>
            <w:top w:w="0" w:type="dxa"/>
            <w:left w:w="108" w:type="dxa"/>
            <w:bottom w:w="0" w:type="dxa"/>
            <w:right w:w="108" w:type="dxa"/>
          </w:tblCellMar>
        </w:tblPrEx>
        <w:trPr>
          <w:trHeight w:val="286" w:hRule="atLeast"/>
        </w:trPr>
        <w:tc>
          <w:tcPr>
            <w:tcW w:w="2026" w:type="dxa"/>
            <w:tcBorders>
              <w:top w:val="single" w:color="000000" w:sz="4" w:space="0"/>
              <w:left w:val="single" w:color="000000" w:sz="4" w:space="0"/>
              <w:bottom w:val="single" w:color="000000" w:sz="4" w:space="0"/>
              <w:right w:val="single" w:color="000000" w:sz="4" w:space="0"/>
            </w:tcBorders>
            <w:vAlign w:val="center"/>
          </w:tcPr>
          <w:p>
            <w:pPr>
              <w:jc w:val="center"/>
              <w:outlineLvl w:val="2"/>
            </w:pPr>
            <w:r>
              <w:t>备注</w:t>
            </w:r>
          </w:p>
        </w:tc>
        <w:tc>
          <w:tcPr>
            <w:tcW w:w="6914" w:type="dxa"/>
            <w:gridSpan w:val="8"/>
            <w:tcBorders>
              <w:top w:val="single" w:color="000000" w:sz="4" w:space="0"/>
              <w:left w:val="single" w:color="000000" w:sz="4" w:space="0"/>
              <w:bottom w:val="single" w:color="000000" w:sz="4" w:space="0"/>
              <w:right w:val="single" w:color="000000" w:sz="4" w:space="0"/>
            </w:tcBorders>
          </w:tcPr>
          <w:p>
            <w:pPr>
              <w:jc w:val="center"/>
              <w:outlineLvl w:val="2"/>
            </w:pPr>
          </w:p>
        </w:tc>
      </w:tr>
    </w:tbl>
    <w:p>
      <w:pPr>
        <w:rPr>
          <w:kern w:val="1"/>
        </w:rPr>
      </w:pPr>
    </w:p>
    <w:p>
      <w:pPr>
        <w:spacing w:line="400" w:lineRule="exact"/>
        <w:rPr>
          <w:kern w:val="1"/>
        </w:rPr>
      </w:pPr>
      <w:r>
        <w:rPr>
          <w:kern w:val="1"/>
        </w:rPr>
        <w:t>注：投标人应根据招标文件第二章“投标人须知”前附表</w:t>
      </w:r>
      <w:r>
        <w:rPr>
          <w:rFonts w:hint="eastAsia"/>
          <w:kern w:val="1"/>
        </w:rPr>
        <w:t>1.4.1的要求</w:t>
      </w:r>
      <w:r>
        <w:rPr>
          <w:kern w:val="1"/>
        </w:rPr>
        <w:t>在本表后附相应材料。</w:t>
      </w:r>
    </w:p>
    <w:p>
      <w:pPr>
        <w:pStyle w:val="31"/>
        <w:ind w:firstLine="420"/>
        <w:jc w:val="center"/>
        <w:rPr>
          <w:rFonts w:ascii="Times New Roman" w:hAnsi="Times New Roman" w:cs="Times New Roman"/>
          <w:b/>
          <w:bCs/>
          <w:color w:val="auto"/>
          <w:sz w:val="28"/>
          <w:szCs w:val="28"/>
        </w:rPr>
      </w:pPr>
    </w:p>
    <w:p>
      <w:pPr>
        <w:pStyle w:val="31"/>
        <w:ind w:firstLine="420"/>
        <w:jc w:val="center"/>
        <w:rPr>
          <w:rFonts w:ascii="Times New Roman" w:hAnsi="Times New Roman" w:cs="Times New Roman"/>
          <w:b/>
          <w:bCs/>
          <w:color w:val="auto"/>
          <w:sz w:val="28"/>
          <w:szCs w:val="28"/>
        </w:rPr>
      </w:pPr>
    </w:p>
    <w:p>
      <w:pPr>
        <w:pStyle w:val="31"/>
        <w:ind w:firstLine="420"/>
        <w:jc w:val="center"/>
        <w:rPr>
          <w:rFonts w:ascii="Times New Roman" w:hAnsi="Times New Roman" w:cs="Times New Roman"/>
          <w:b/>
          <w:bCs/>
          <w:color w:val="auto"/>
          <w:sz w:val="28"/>
          <w:szCs w:val="28"/>
        </w:rPr>
      </w:pPr>
    </w:p>
    <w:p>
      <w:pPr>
        <w:pStyle w:val="31"/>
        <w:ind w:firstLine="420"/>
        <w:jc w:val="center"/>
        <w:rPr>
          <w:rFonts w:ascii="Times New Roman" w:hAnsi="Times New Roman" w:cs="Times New Roman"/>
          <w:b/>
          <w:bCs/>
          <w:color w:val="auto"/>
          <w:sz w:val="28"/>
          <w:szCs w:val="28"/>
        </w:rPr>
      </w:pPr>
    </w:p>
    <w:p>
      <w:pPr>
        <w:pStyle w:val="5"/>
        <w:jc w:val="center"/>
        <w:rPr>
          <w:rFonts w:ascii="宋体" w:hAnsi="宋体" w:eastAsia="宋体" w:cs="宋体"/>
        </w:rPr>
      </w:pPr>
      <w:bookmarkStart w:id="230" w:name="_Toc12325"/>
      <w:bookmarkStart w:id="231" w:name="_Toc26987"/>
      <w:r>
        <w:rPr>
          <w:rFonts w:hint="eastAsia" w:ascii="宋体" w:hAnsi="宋体" w:eastAsia="宋体" w:cs="宋体"/>
        </w:rPr>
        <w:t>（二）近年完成的类似项目情况表</w:t>
      </w:r>
    </w:p>
    <w:tbl>
      <w:tblPr>
        <w:tblStyle w:val="17"/>
        <w:tblpPr w:leftFromText="180" w:rightFromText="180" w:vertAnchor="text" w:horzAnchor="margin" w:tblpXSpec="center" w:tblpY="1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2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项目名称</w:t>
            </w:r>
          </w:p>
        </w:tc>
        <w:tc>
          <w:tcPr>
            <w:tcW w:w="6253"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项目所在地</w:t>
            </w:r>
          </w:p>
        </w:tc>
        <w:tc>
          <w:tcPr>
            <w:tcW w:w="6253"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发包人名称</w:t>
            </w:r>
          </w:p>
        </w:tc>
        <w:tc>
          <w:tcPr>
            <w:tcW w:w="6253"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发包人地址</w:t>
            </w:r>
          </w:p>
        </w:tc>
        <w:tc>
          <w:tcPr>
            <w:tcW w:w="6253"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发包人电话</w:t>
            </w:r>
          </w:p>
        </w:tc>
        <w:tc>
          <w:tcPr>
            <w:tcW w:w="6253"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合同金额</w:t>
            </w:r>
          </w:p>
        </w:tc>
        <w:tc>
          <w:tcPr>
            <w:tcW w:w="6253"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开工日期</w:t>
            </w:r>
          </w:p>
        </w:tc>
        <w:tc>
          <w:tcPr>
            <w:tcW w:w="6253"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rPr>
              <w:t>交工（或完工）</w:t>
            </w:r>
            <w:r>
              <w:rPr>
                <w:rFonts w:hint="eastAsia" w:ascii="宋体" w:hAnsi="宋体" w:cs="宋体"/>
                <w:szCs w:val="21"/>
              </w:rPr>
              <w:t>日期</w:t>
            </w:r>
          </w:p>
        </w:tc>
        <w:tc>
          <w:tcPr>
            <w:tcW w:w="6253"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承担的工作</w:t>
            </w:r>
          </w:p>
        </w:tc>
        <w:tc>
          <w:tcPr>
            <w:tcW w:w="6253"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工程质量</w:t>
            </w:r>
          </w:p>
        </w:tc>
        <w:tc>
          <w:tcPr>
            <w:tcW w:w="6253"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项目负责人</w:t>
            </w:r>
          </w:p>
        </w:tc>
        <w:tc>
          <w:tcPr>
            <w:tcW w:w="6253"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技术负责人</w:t>
            </w:r>
          </w:p>
        </w:tc>
        <w:tc>
          <w:tcPr>
            <w:tcW w:w="6253" w:type="dxa"/>
          </w:tcPr>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项目描述</w:t>
            </w:r>
          </w:p>
        </w:tc>
        <w:tc>
          <w:tcPr>
            <w:tcW w:w="6253" w:type="dxa"/>
          </w:tcPr>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p>
          <w:p>
            <w:pPr>
              <w:topLinePunct/>
              <w:spacing w:line="44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269" w:type="dxa"/>
            <w:vAlign w:val="center"/>
          </w:tcPr>
          <w:p>
            <w:pPr>
              <w:topLinePunct/>
              <w:spacing w:line="440" w:lineRule="exact"/>
              <w:jc w:val="center"/>
              <w:rPr>
                <w:rFonts w:ascii="宋体" w:hAnsi="宋体" w:cs="宋体"/>
                <w:szCs w:val="21"/>
              </w:rPr>
            </w:pPr>
            <w:r>
              <w:rPr>
                <w:rFonts w:hint="eastAsia" w:ascii="宋体" w:hAnsi="宋体" w:cs="宋体"/>
                <w:szCs w:val="21"/>
              </w:rPr>
              <w:t>备注</w:t>
            </w:r>
          </w:p>
        </w:tc>
        <w:tc>
          <w:tcPr>
            <w:tcW w:w="6253" w:type="dxa"/>
          </w:tcPr>
          <w:p>
            <w:pPr>
              <w:topLinePunct/>
              <w:spacing w:line="440" w:lineRule="exact"/>
              <w:rPr>
                <w:rFonts w:ascii="宋体" w:hAnsi="宋体" w:cs="宋体"/>
                <w:szCs w:val="21"/>
              </w:rPr>
            </w:pPr>
          </w:p>
        </w:tc>
      </w:tr>
    </w:tbl>
    <w:p>
      <w:pPr>
        <w:spacing w:line="400" w:lineRule="exact"/>
        <w:ind w:left="420"/>
      </w:pPr>
      <w:r>
        <w:rPr>
          <w:rFonts w:hint="eastAsia"/>
        </w:rPr>
        <w:t>注：</w:t>
      </w:r>
      <w:r>
        <w:t>投标人应根据招标文件第二章“投标人须知”前附表</w:t>
      </w:r>
      <w:r>
        <w:rPr>
          <w:rFonts w:hint="eastAsia"/>
        </w:rPr>
        <w:t>1.4.1</w:t>
      </w:r>
      <w:r>
        <w:t>的要求在本表后附相关证明材料。</w:t>
      </w:r>
    </w:p>
    <w:p>
      <w:pPr>
        <w:pStyle w:val="31"/>
        <w:jc w:val="center"/>
        <w:rPr>
          <w:rFonts w:ascii="Times New Roman" w:hAnsi="Times New Roman" w:cs="Times New Roman"/>
          <w:b/>
          <w:bCs/>
          <w:color w:val="auto"/>
          <w:sz w:val="28"/>
          <w:szCs w:val="28"/>
        </w:rPr>
      </w:pPr>
    </w:p>
    <w:p>
      <w:pPr>
        <w:pStyle w:val="31"/>
        <w:jc w:val="both"/>
        <w:rPr>
          <w:rFonts w:ascii="Times New Roman" w:hAnsi="Times New Roman" w:cs="Times New Roman"/>
          <w:b/>
          <w:bCs/>
          <w:color w:val="auto"/>
          <w:sz w:val="28"/>
          <w:szCs w:val="28"/>
        </w:rPr>
      </w:pPr>
    </w:p>
    <w:p>
      <w:pPr>
        <w:pStyle w:val="31"/>
        <w:jc w:val="both"/>
        <w:rPr>
          <w:rFonts w:ascii="Times New Roman" w:hAnsi="Times New Roman" w:cs="Times New Roman"/>
          <w:b/>
          <w:bCs/>
          <w:color w:val="auto"/>
          <w:sz w:val="28"/>
          <w:szCs w:val="28"/>
        </w:rPr>
      </w:pPr>
    </w:p>
    <w:bookmarkEnd w:id="230"/>
    <w:p>
      <w:pPr>
        <w:pStyle w:val="5"/>
        <w:jc w:val="center"/>
        <w:rPr>
          <w:rFonts w:ascii="宋体" w:hAnsi="宋体" w:cs="宋体"/>
          <w:bCs/>
          <w:sz w:val="32"/>
          <w:szCs w:val="32"/>
        </w:rPr>
      </w:pPr>
      <w:r>
        <w:rPr>
          <w:rFonts w:hint="eastAsia" w:ascii="宋体" w:hAnsi="宋体" w:eastAsia="宋体" w:cs="宋体"/>
        </w:rPr>
        <w:t>（三）承诺</w:t>
      </w:r>
    </w:p>
    <w:p>
      <w:pPr>
        <w:pStyle w:val="2"/>
      </w:pPr>
    </w:p>
    <w:p>
      <w:pPr>
        <w:spacing w:before="78" w:line="219" w:lineRule="auto"/>
        <w:ind w:left="4065"/>
      </w:pPr>
      <w:r>
        <w:rPr>
          <w:rFonts w:ascii="宋体" w:hAnsi="宋体" w:cs="宋体"/>
          <w:spacing w:val="-2"/>
          <w:sz w:val="24"/>
        </w:rPr>
        <w:t>承诺书</w:t>
      </w:r>
    </w:p>
    <w:p>
      <w:pPr>
        <w:spacing w:line="293" w:lineRule="auto"/>
      </w:pPr>
    </w:p>
    <w:p>
      <w:pPr>
        <w:tabs>
          <w:tab w:val="left" w:pos="1396"/>
        </w:tabs>
        <w:spacing w:before="68" w:line="220" w:lineRule="auto"/>
        <w:ind w:left="15"/>
        <w:rPr>
          <w:rFonts w:ascii="宋体" w:hAnsi="宋体" w:cs="宋体"/>
        </w:rPr>
      </w:pPr>
      <w:r>
        <w:rPr>
          <w:rFonts w:ascii="宋体" w:hAnsi="宋体" w:cs="宋体"/>
          <w:u w:val="single"/>
        </w:rPr>
        <w:tab/>
      </w:r>
      <w:r>
        <w:rPr>
          <w:rFonts w:ascii="宋体" w:hAnsi="宋体" w:cs="宋体"/>
          <w:spacing w:val="6"/>
        </w:rPr>
        <w:t>(招标人名称)</w:t>
      </w:r>
      <w:r>
        <w:rPr>
          <w:rFonts w:ascii="宋体" w:hAnsi="宋体" w:cs="宋体"/>
          <w:spacing w:val="4"/>
        </w:rPr>
        <w:t>：</w:t>
      </w:r>
    </w:p>
    <w:p>
      <w:pPr>
        <w:spacing w:before="229" w:line="220" w:lineRule="auto"/>
        <w:ind w:left="446"/>
        <w:rPr>
          <w:rFonts w:ascii="宋体" w:hAnsi="宋体" w:cs="宋体"/>
        </w:rPr>
      </w:pPr>
      <w:r>
        <w:rPr>
          <w:rFonts w:ascii="宋体" w:hAnsi="宋体" w:cs="宋体"/>
          <w:spacing w:val="-1"/>
        </w:rPr>
        <w:t>我公司</w:t>
      </w:r>
      <w:r>
        <w:rPr>
          <w:rFonts w:ascii="宋体" w:hAnsi="宋体" w:cs="宋体"/>
          <w:spacing w:val="-1"/>
          <w:u w:val="single"/>
        </w:rPr>
        <w:t xml:space="preserve"> (投标人名称) </w:t>
      </w:r>
      <w:r>
        <w:rPr>
          <w:rFonts w:ascii="宋体" w:hAnsi="宋体" w:cs="宋体"/>
          <w:spacing w:val="-1"/>
        </w:rPr>
        <w:t>参加了贵单位</w:t>
      </w:r>
      <w:r>
        <w:rPr>
          <w:rFonts w:ascii="宋体" w:hAnsi="宋体" w:cs="宋体"/>
          <w:spacing w:val="-1"/>
          <w:u w:val="single"/>
        </w:rPr>
        <w:t xml:space="preserve"> (招标项目名称) </w:t>
      </w:r>
      <w:r>
        <w:rPr>
          <w:rFonts w:ascii="宋体" w:hAnsi="宋体" w:cs="宋体"/>
          <w:spacing w:val="-1"/>
        </w:rPr>
        <w:t>的投标，自愿作出以下承诺：</w:t>
      </w:r>
    </w:p>
    <w:p>
      <w:pPr>
        <w:spacing w:before="215" w:line="220" w:lineRule="auto"/>
        <w:ind w:left="460"/>
        <w:rPr>
          <w:rFonts w:ascii="宋体" w:hAnsi="宋体" w:cs="宋体"/>
        </w:rPr>
      </w:pPr>
      <w:r>
        <w:rPr>
          <w:rFonts w:ascii="宋体" w:hAnsi="宋体" w:cs="宋体"/>
          <w:spacing w:val="-4"/>
        </w:rPr>
        <w:t>1、我</w:t>
      </w:r>
      <w:r>
        <w:rPr>
          <w:rFonts w:ascii="宋体" w:hAnsi="宋体" w:cs="宋体"/>
          <w:spacing w:val="-3"/>
        </w:rPr>
        <w:t>公</w:t>
      </w:r>
      <w:r>
        <w:rPr>
          <w:rFonts w:ascii="宋体" w:hAnsi="宋体" w:cs="宋体"/>
          <w:spacing w:val="-2"/>
        </w:rPr>
        <w:t>司投标截止日投标资格情况不存在下列情形之一：</w:t>
      </w:r>
    </w:p>
    <w:p>
      <w:pPr>
        <w:tabs>
          <w:tab w:val="left" w:pos="480"/>
        </w:tabs>
        <w:adjustRightInd w:val="0"/>
        <w:spacing w:line="360" w:lineRule="exact"/>
        <w:ind w:firstLine="420" w:firstLineChars="200"/>
      </w:pPr>
      <w:r>
        <w:rPr>
          <w:rFonts w:hint="eastAsia"/>
        </w:rPr>
        <w:t>（1）被人民法院列入失信被执行人名单且在被执行期内；</w:t>
      </w:r>
    </w:p>
    <w:p>
      <w:pPr>
        <w:tabs>
          <w:tab w:val="left" w:pos="480"/>
        </w:tabs>
        <w:adjustRightInd w:val="0"/>
        <w:spacing w:line="360" w:lineRule="exact"/>
        <w:ind w:firstLine="420" w:firstLineChars="200"/>
      </w:pPr>
      <w:r>
        <w:rPr>
          <w:rFonts w:hint="eastAsia"/>
        </w:rPr>
        <w:t>（2）被责令停业，暂扣或吊销执照，或吊销资质证书；</w:t>
      </w:r>
    </w:p>
    <w:p>
      <w:pPr>
        <w:tabs>
          <w:tab w:val="left" w:pos="480"/>
        </w:tabs>
        <w:adjustRightInd w:val="0"/>
        <w:spacing w:line="360" w:lineRule="exact"/>
        <w:ind w:firstLine="420" w:firstLineChars="200"/>
      </w:pPr>
      <w:r>
        <w:rPr>
          <w:rFonts w:hint="eastAsia"/>
        </w:rPr>
        <w:t>（3）进入清算程序，或被宣告破产，或其他丧失履约能力的情形；</w:t>
      </w:r>
    </w:p>
    <w:p>
      <w:pPr>
        <w:tabs>
          <w:tab w:val="left" w:pos="480"/>
        </w:tabs>
        <w:adjustRightInd w:val="0"/>
        <w:spacing w:line="360" w:lineRule="exact"/>
        <w:ind w:firstLine="420" w:firstLineChars="200"/>
      </w:pPr>
      <w:r>
        <w:rPr>
          <w:rFonts w:hint="eastAsia"/>
        </w:rPr>
        <w:t>（4）被国家、重庆市（含市或任意区县）有关行政部门处以暂停投标资格行政处罚，且在处罚期限内；</w:t>
      </w:r>
    </w:p>
    <w:p>
      <w:pPr>
        <w:tabs>
          <w:tab w:val="left" w:pos="480"/>
        </w:tabs>
        <w:adjustRightInd w:val="0"/>
        <w:spacing w:line="360" w:lineRule="exact"/>
        <w:ind w:firstLine="420" w:firstLineChars="200"/>
      </w:pPr>
      <w:r>
        <w:rPr>
          <w:rFonts w:hint="eastAsia"/>
        </w:rPr>
        <w:t>（5）法律法规或投标人须知前附表规定的其他情形。</w:t>
      </w:r>
    </w:p>
    <w:p>
      <w:pPr>
        <w:spacing w:before="139" w:line="413" w:lineRule="auto"/>
        <w:ind w:left="23" w:firstLine="423"/>
        <w:rPr>
          <w:rFonts w:ascii="宋体" w:hAnsi="宋体" w:cs="宋体"/>
        </w:rPr>
      </w:pPr>
      <w:r>
        <w:rPr>
          <w:rFonts w:ascii="宋体" w:hAnsi="宋体" w:cs="宋体"/>
          <w:spacing w:val="-1"/>
        </w:rPr>
        <w:t>2、</w:t>
      </w:r>
      <w:r>
        <w:rPr>
          <w:rFonts w:ascii="宋体" w:hAnsi="宋体" w:cs="宋体"/>
        </w:rPr>
        <w:t xml:space="preserve">我司在本资格审查部分中的相关证明材料真实有效，不存在弄虚作假情形。招标人 </w:t>
      </w:r>
      <w:r>
        <w:rPr>
          <w:rFonts w:ascii="宋体" w:hAnsi="宋体" w:cs="宋体"/>
          <w:spacing w:val="-10"/>
        </w:rPr>
        <w:t>在</w:t>
      </w:r>
      <w:r>
        <w:rPr>
          <w:rFonts w:ascii="宋体" w:hAnsi="宋体" w:cs="宋体"/>
          <w:spacing w:val="-7"/>
        </w:rPr>
        <w:t>合同签订前均有权对我司提供的资料进行核实， 若发现弄虚作假， 取消中标资格，并按相</w:t>
      </w:r>
      <w:r>
        <w:rPr>
          <w:rFonts w:ascii="宋体" w:hAnsi="宋体" w:cs="宋体"/>
        </w:rPr>
        <w:t xml:space="preserve"> </w:t>
      </w:r>
      <w:r>
        <w:rPr>
          <w:rFonts w:ascii="宋体" w:hAnsi="宋体" w:cs="宋体"/>
          <w:spacing w:val="-7"/>
        </w:rPr>
        <w:t>关法律法规报招标投标监督部门处理， 投标保证金不予退还， 我司自愿承担因此造成的相</w:t>
      </w:r>
      <w:r>
        <w:rPr>
          <w:rFonts w:ascii="宋体" w:hAnsi="宋体" w:cs="宋体"/>
          <w:spacing w:val="-2"/>
        </w:rPr>
        <w:t>关</w:t>
      </w:r>
      <w:r>
        <w:rPr>
          <w:rFonts w:ascii="宋体" w:hAnsi="宋体" w:cs="宋体"/>
        </w:rPr>
        <w:t xml:space="preserve"> </w:t>
      </w:r>
      <w:r>
        <w:rPr>
          <w:rFonts w:ascii="宋体" w:hAnsi="宋体" w:cs="宋体"/>
          <w:spacing w:val="-3"/>
        </w:rPr>
        <w:t>责任并赔偿相应损失。</w:t>
      </w:r>
    </w:p>
    <w:p>
      <w:pPr>
        <w:spacing w:before="3" w:line="408" w:lineRule="auto"/>
        <w:ind w:left="23" w:right="19" w:firstLine="425"/>
        <w:rPr>
          <w:rFonts w:ascii="宋体" w:hAnsi="宋体" w:cs="宋体"/>
        </w:rPr>
      </w:pPr>
      <w:r>
        <w:rPr>
          <w:rFonts w:ascii="宋体" w:hAnsi="宋体" w:cs="宋体"/>
        </w:rPr>
        <w:t xml:space="preserve">3、投标文件符合招标文件第四章“合同主要条款”规定，投标文件中没有招标人不能 </w:t>
      </w:r>
      <w:r>
        <w:rPr>
          <w:rFonts w:ascii="宋体" w:hAnsi="宋体" w:cs="宋体"/>
          <w:spacing w:val="-5"/>
        </w:rPr>
        <w:t>接受的条件。</w:t>
      </w:r>
    </w:p>
    <w:p>
      <w:pPr>
        <w:spacing w:before="122" w:line="220" w:lineRule="auto"/>
        <w:ind w:left="446"/>
        <w:rPr>
          <w:rFonts w:ascii="宋体" w:hAnsi="宋体" w:cs="宋体"/>
        </w:rPr>
      </w:pPr>
      <w:r>
        <w:rPr>
          <w:rFonts w:eastAsia="Times New Roman"/>
          <w:spacing w:val="-4"/>
        </w:rPr>
        <w:t xml:space="preserve">4 </w:t>
      </w:r>
      <w:r>
        <w:rPr>
          <w:rFonts w:ascii="宋体" w:hAnsi="宋体" w:cs="宋体"/>
          <w:spacing w:val="-4"/>
        </w:rPr>
        <w:t>、</w:t>
      </w:r>
      <w:r>
        <w:rPr>
          <w:rFonts w:ascii="宋体" w:hAnsi="宋体" w:cs="宋体"/>
          <w:spacing w:val="-1"/>
        </w:rPr>
        <w:t xml:space="preserve">我公司不存在第二章 投标人须知第 </w:t>
      </w:r>
      <w:r>
        <w:rPr>
          <w:rFonts w:eastAsia="Times New Roman"/>
          <w:spacing w:val="-1"/>
        </w:rPr>
        <w:t xml:space="preserve">1.4.3 </w:t>
      </w:r>
      <w:r>
        <w:rPr>
          <w:rFonts w:ascii="宋体" w:hAnsi="宋体" w:cs="宋体"/>
          <w:spacing w:val="-1"/>
        </w:rPr>
        <w:t>项规</w:t>
      </w:r>
      <w:r>
        <w:rPr>
          <w:rFonts w:ascii="宋体" w:hAnsi="宋体" w:cs="宋体"/>
        </w:rPr>
        <w:t>定的任何一种情形。</w:t>
      </w:r>
    </w:p>
    <w:p>
      <w:pPr>
        <w:spacing w:before="122" w:line="220" w:lineRule="auto"/>
        <w:ind w:left="446"/>
        <w:rPr>
          <w:rFonts w:ascii="宋体" w:hAnsi="宋体" w:cs="宋体"/>
        </w:rPr>
      </w:pPr>
    </w:p>
    <w:p>
      <w:pPr>
        <w:spacing w:before="3" w:line="408" w:lineRule="auto"/>
        <w:ind w:left="23" w:right="19" w:firstLine="425"/>
        <w:rPr>
          <w:rFonts w:ascii="宋体" w:hAnsi="宋体" w:cs="宋体"/>
        </w:rPr>
      </w:pPr>
      <w:r>
        <w:rPr>
          <w:rFonts w:hint="eastAsia" w:ascii="宋体" w:hAnsi="宋体" w:cs="宋体"/>
        </w:rPr>
        <w:t>5、</w:t>
      </w:r>
      <w:r>
        <w:rPr>
          <w:rFonts w:ascii="宋体" w:hAnsi="宋体" w:cs="宋体"/>
        </w:rPr>
        <w:t>投标有效期符合招标文件要求。</w:t>
      </w:r>
    </w:p>
    <w:p>
      <w:pPr>
        <w:spacing w:before="3" w:line="408" w:lineRule="auto"/>
        <w:ind w:left="23" w:right="19" w:firstLine="425"/>
        <w:rPr>
          <w:rFonts w:ascii="宋体" w:hAnsi="宋体" w:cs="宋体"/>
        </w:rPr>
      </w:pPr>
      <w:r>
        <w:rPr>
          <w:rFonts w:hint="eastAsia" w:ascii="宋体" w:hAnsi="宋体" w:cs="宋体"/>
        </w:rPr>
        <w:t>6、</w:t>
      </w:r>
      <w:r>
        <w:rPr>
          <w:rFonts w:ascii="宋体" w:hAnsi="宋体" w:cs="宋体"/>
        </w:rPr>
        <w:t xml:space="preserve">其他：         </w:t>
      </w:r>
    </w:p>
    <w:p>
      <w:pPr>
        <w:spacing w:before="156" w:line="406" w:lineRule="exact"/>
        <w:ind w:firstLine="4554" w:firstLineChars="2300"/>
        <w:rPr>
          <w:rFonts w:ascii="宋体" w:hAnsi="宋体" w:cs="宋体"/>
        </w:rPr>
      </w:pPr>
      <w:r>
        <w:rPr>
          <w:rFonts w:ascii="宋体" w:hAnsi="宋体" w:cs="宋体"/>
          <w:spacing w:val="-6"/>
        </w:rPr>
        <w:t>投</w:t>
      </w:r>
      <w:r>
        <w:rPr>
          <w:rFonts w:ascii="宋体" w:hAnsi="宋体" w:cs="宋体"/>
          <w:spacing w:val="-5"/>
        </w:rPr>
        <w:t>标</w:t>
      </w:r>
      <w:r>
        <w:rPr>
          <w:rFonts w:ascii="宋体" w:hAnsi="宋体" w:cs="宋体"/>
          <w:spacing w:val="-3"/>
        </w:rPr>
        <w:t>人：</w:t>
      </w:r>
      <w:r>
        <w:rPr>
          <w:rFonts w:ascii="宋体" w:hAnsi="宋体" w:cs="宋体"/>
          <w:spacing w:val="-3"/>
          <w:u w:val="single"/>
        </w:rPr>
        <w:t xml:space="preserve">                       </w:t>
      </w:r>
      <w:r>
        <w:rPr>
          <w:rFonts w:ascii="宋体" w:hAnsi="宋体" w:cs="宋体"/>
          <w:spacing w:val="-3"/>
        </w:rPr>
        <w:t>(盖单位法人章)</w:t>
      </w:r>
    </w:p>
    <w:p>
      <w:pPr>
        <w:spacing w:before="217" w:line="219" w:lineRule="auto"/>
        <w:ind w:left="25"/>
        <w:jc w:val="right"/>
        <w:rPr>
          <w:rFonts w:ascii="宋体" w:hAnsi="宋体" w:cs="宋体"/>
        </w:rPr>
      </w:pPr>
      <w:r>
        <w:rPr>
          <w:rFonts w:ascii="宋体" w:hAnsi="宋体" w:cs="宋体"/>
          <w:spacing w:val="-6"/>
        </w:rPr>
        <w:t>法定代表人：</w:t>
      </w:r>
      <w:r>
        <w:rPr>
          <w:rFonts w:ascii="宋体" w:hAnsi="宋体" w:cs="宋体"/>
          <w:spacing w:val="-5"/>
          <w:u w:val="single"/>
        </w:rPr>
        <w:t xml:space="preserve"> </w:t>
      </w:r>
      <w:r>
        <w:rPr>
          <w:rFonts w:ascii="宋体" w:hAnsi="宋体" w:cs="宋体"/>
          <w:spacing w:val="-3"/>
          <w:u w:val="single"/>
        </w:rPr>
        <w:t xml:space="preserve">                   </w:t>
      </w:r>
      <w:r>
        <w:rPr>
          <w:rFonts w:ascii="宋体" w:hAnsi="宋体" w:cs="宋体"/>
          <w:spacing w:val="-3"/>
        </w:rPr>
        <w:t>(签字或盖章)</w:t>
      </w:r>
    </w:p>
    <w:p>
      <w:pPr>
        <w:spacing w:line="275" w:lineRule="auto"/>
      </w:pPr>
    </w:p>
    <w:p>
      <w:pPr>
        <w:spacing w:line="275" w:lineRule="auto"/>
        <w:jc w:val="right"/>
      </w:pPr>
    </w:p>
    <w:p>
      <w:pPr>
        <w:tabs>
          <w:tab w:val="left" w:pos="445"/>
        </w:tabs>
        <w:spacing w:before="68" w:line="220" w:lineRule="auto"/>
        <w:ind w:left="15"/>
        <w:jc w:val="right"/>
        <w:rPr>
          <w:rFonts w:ascii="宋体" w:hAnsi="宋体" w:cs="宋体"/>
        </w:rPr>
      </w:pPr>
      <w:r>
        <w:rPr>
          <w:rFonts w:ascii="宋体" w:hAnsi="宋体" w:cs="宋体"/>
          <w:u w:val="single"/>
        </w:rPr>
        <w:tab/>
      </w:r>
      <w:r>
        <w:rPr>
          <w:rFonts w:ascii="宋体" w:hAnsi="宋体" w:cs="宋体"/>
          <w:spacing w:val="6"/>
        </w:rPr>
        <w:t>年</w:t>
      </w:r>
      <w:r>
        <w:rPr>
          <w:rFonts w:ascii="宋体" w:hAnsi="宋体" w:cs="宋体"/>
          <w:spacing w:val="4"/>
          <w:u w:val="single"/>
        </w:rPr>
        <w:t xml:space="preserve"> </w:t>
      </w:r>
      <w:r>
        <w:rPr>
          <w:rFonts w:ascii="宋体" w:hAnsi="宋体" w:cs="宋体"/>
          <w:spacing w:val="3"/>
          <w:u w:val="single"/>
        </w:rPr>
        <w:t xml:space="preserve">   </w:t>
      </w:r>
      <w:r>
        <w:rPr>
          <w:rFonts w:ascii="宋体" w:hAnsi="宋体" w:cs="宋体"/>
          <w:spacing w:val="3"/>
        </w:rPr>
        <w:t>月</w:t>
      </w:r>
      <w:r>
        <w:rPr>
          <w:rFonts w:ascii="宋体" w:hAnsi="宋体" w:cs="宋体"/>
          <w:spacing w:val="3"/>
          <w:u w:val="single"/>
        </w:rPr>
        <w:t xml:space="preserve">    </w:t>
      </w:r>
      <w:r>
        <w:rPr>
          <w:rFonts w:ascii="宋体" w:hAnsi="宋体" w:cs="宋体"/>
          <w:spacing w:val="3"/>
        </w:rPr>
        <w:t>日</w:t>
      </w: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jc w:val="center"/>
        <w:rPr>
          <w:rFonts w:ascii="宋体" w:hAnsi="宋体" w:cs="宋体"/>
          <w:b/>
          <w:bCs/>
          <w:sz w:val="32"/>
          <w:szCs w:val="32"/>
        </w:rPr>
      </w:pPr>
    </w:p>
    <w:p>
      <w:pPr>
        <w:rPr>
          <w:rFonts w:ascii="宋体" w:hAnsi="宋体" w:cs="宋体"/>
          <w:sz w:val="2"/>
          <w:szCs w:val="2"/>
        </w:rPr>
      </w:pPr>
    </w:p>
    <w:bookmarkEnd w:id="231"/>
    <w:p>
      <w:pPr>
        <w:pStyle w:val="31"/>
        <w:jc w:val="center"/>
        <w:rPr>
          <w:rFonts w:ascii="Times New Roman" w:hAnsi="Times New Roman" w:cs="Times New Roman"/>
          <w:b/>
          <w:bCs/>
          <w:color w:val="auto"/>
          <w:sz w:val="28"/>
          <w:szCs w:val="28"/>
        </w:rPr>
      </w:pPr>
      <w:bookmarkStart w:id="232" w:name="_Toc9551"/>
      <w:r>
        <w:rPr>
          <w:rFonts w:hint="eastAsia" w:ascii="Times New Roman" w:hAnsi="Times New Roman" w:cs="Times New Roman"/>
          <w:b/>
          <w:bCs/>
          <w:color w:val="auto"/>
          <w:sz w:val="28"/>
          <w:szCs w:val="28"/>
        </w:rPr>
        <w:t>五、技术部分</w:t>
      </w:r>
    </w:p>
    <w:p>
      <w:pPr>
        <w:pStyle w:val="31"/>
        <w:jc w:val="center"/>
        <w:rPr>
          <w:rFonts w:ascii="Times New Roman" w:hAnsi="Times New Roman" w:cs="Times New Roman"/>
          <w:b/>
          <w:bCs/>
          <w:color w:val="auto"/>
          <w:sz w:val="28"/>
          <w:szCs w:val="28"/>
        </w:rPr>
      </w:pPr>
    </w:p>
    <w:bookmarkEnd w:id="232"/>
    <w:p>
      <w:pPr>
        <w:pStyle w:val="27"/>
        <w:jc w:val="center"/>
        <w:rPr>
          <w:rFonts w:ascii="Times New Roman" w:cs="Times New Roman"/>
          <w:b/>
          <w:bCs/>
          <w:color w:val="auto"/>
          <w:sz w:val="28"/>
          <w:szCs w:val="28"/>
        </w:rPr>
        <w:sectPr>
          <w:pgSz w:w="11906" w:h="16838"/>
          <w:pgMar w:top="1474" w:right="1304" w:bottom="1247" w:left="1418" w:header="851" w:footer="992" w:gutter="0"/>
          <w:cols w:space="720" w:num="1"/>
        </w:sectPr>
      </w:pPr>
    </w:p>
    <w:p>
      <w:pPr>
        <w:pStyle w:val="27"/>
        <w:jc w:val="center"/>
      </w:pPr>
      <w:r>
        <w:rPr>
          <w:rFonts w:hint="eastAsia" w:ascii="Times New Roman" w:cs="Times New Roman"/>
          <w:b/>
          <w:bCs/>
          <w:color w:val="auto"/>
          <w:sz w:val="28"/>
          <w:szCs w:val="28"/>
        </w:rPr>
        <w:t>六</w:t>
      </w:r>
      <w:r>
        <w:rPr>
          <w:rFonts w:ascii="Times New Roman" w:cs="Times New Roman"/>
          <w:b/>
          <w:bCs/>
          <w:color w:val="auto"/>
          <w:sz w:val="28"/>
          <w:szCs w:val="28"/>
        </w:rPr>
        <w:t>、其他资料</w:t>
      </w:r>
      <w:bookmarkEnd w:id="226"/>
      <w:bookmarkEnd w:id="227"/>
      <w:bookmarkEnd w:id="228"/>
      <w:bookmarkEnd w:id="22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6925E566-334F-463A-BC35-74430B9AAC5A}"/>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C3161B4-85AA-47EB-85D2-07D4F7E67366}"/>
  </w:font>
  <w:font w:name="MingLiU">
    <w:panose1 w:val="02020509000000000000"/>
    <w:charset w:val="88"/>
    <w:family w:val="modern"/>
    <w:pitch w:val="default"/>
    <w:sig w:usb0="00000000" w:usb1="00000000" w:usb2="00000000" w:usb3="00000000" w:csb0="00000000" w:csb1="00000000"/>
    <w:embedRegular r:id="rId3" w:fontKey="{FBE17245-698B-43C5-A7FE-772631C1F6BF}"/>
  </w:font>
  <w:font w:name="仿宋_GB2312">
    <w:altName w:val="仿宋"/>
    <w:panose1 w:val="020B0604020202020204"/>
    <w:charset w:val="86"/>
    <w:family w:val="modern"/>
    <w:pitch w:val="default"/>
    <w:sig w:usb0="00000000" w:usb1="00000000" w:usb2="00000000" w:usb3="00000000" w:csb0="00040000" w:csb1="00000000"/>
    <w:embedRegular r:id="rId4" w:fontKey="{11958D47-FDF7-46E2-92B0-07B903E16E06}"/>
  </w:font>
  <w:font w:name="_x000B__x000C_">
    <w:altName w:val="Times New Roman"/>
    <w:panose1 w:val="020B0604020202020204"/>
    <w:charset w:val="00"/>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embedRegular r:id="rId5" w:fontKey="{6C772F91-4C03-431A-90D3-77A5F2C0C061}"/>
  </w:font>
  <w:font w:name="仿宋">
    <w:panose1 w:val="02010609060101010101"/>
    <w:charset w:val="86"/>
    <w:family w:val="auto"/>
    <w:pitch w:val="default"/>
    <w:sig w:usb0="800002BF" w:usb1="38CF7CFA" w:usb2="00000016" w:usb3="00000000" w:csb0="00040001" w:csb1="00000000"/>
    <w:embedRegular r:id="rId6" w:fontKey="{54FBCDE8-F883-4208-9707-47353D75468E}"/>
  </w:font>
  <w:font w:name="楷体_GB2312">
    <w:altName w:val="楷体"/>
    <w:panose1 w:val="020B0604020202020204"/>
    <w:charset w:val="86"/>
    <w:family w:val="modern"/>
    <w:pitch w:val="default"/>
    <w:sig w:usb0="00000000" w:usb1="00000000" w:usb2="00000000" w:usb3="00000000" w:csb0="00040000" w:csb1="00000000"/>
    <w:embedRegular r:id="rId7" w:fontKey="{30259E2D-812E-493E-BE40-D9EADF0BA531}"/>
  </w:font>
  <w:font w:name="Cambria">
    <w:panose1 w:val="02040503050406030204"/>
    <w:charset w:val="00"/>
    <w:family w:val="roman"/>
    <w:pitch w:val="default"/>
    <w:sig w:usb0="E00006FF" w:usb1="420024FF" w:usb2="02000000" w:usb3="00000000" w:csb0="2000019F" w:csb1="00000000"/>
    <w:embedRegular r:id="rId8" w:fontKey="{9356B88B-7573-472C-B114-6043E2B0EBD5}"/>
  </w:font>
  <w:font w:name="MS PGothic">
    <w:panose1 w:val="020B0600070205080204"/>
    <w:charset w:val="80"/>
    <w:family w:val="auto"/>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21"/>
      </w:rPr>
    </w:pPr>
    <w:r>
      <w:fldChar w:fldCharType="begin"/>
    </w:r>
    <w:r>
      <w:rPr>
        <w:rStyle w:val="21"/>
      </w:rPr>
      <w:instrText xml:space="preserve">PAGE  </w:instrText>
    </w:r>
    <w:r>
      <w:fldChar w:fldCharType="separate"/>
    </w:r>
    <w:r>
      <w:rPr>
        <w:rStyle w:val="21"/>
      </w:rPr>
      <w:t>4</w:t>
    </w:r>
    <w: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Fonts w:ascii="宋体" w:hAnsi="宋体"/>
      </w:rP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p7u8EBAACN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bkGhLtjwsKln4w6Qk3FcEqF0bRReQ3+vJesp79o+x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ip7u8EBAACNAwAADgAAAAAAAAABACAAAAAeAQAAZHJzL2Uyb0RvYy54bWxQSwUG&#10;AAAAAAYABgBZAQAAUQU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pPr>
                          <w:r>
                            <w:fldChar w:fldCharType="begin"/>
                          </w:r>
                          <w:r>
                            <w:instrText xml:space="preserve">PAGE   \* MERGEFORMAT</w:instrText>
                          </w:r>
                          <w:r>
                            <w:fldChar w:fldCharType="separate"/>
                          </w:r>
                          <w:r>
                            <w:rPr>
                              <w:lang w:val="zh-CN"/>
                            </w:rPr>
                            <w:t>38</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9"/>
                      <w:jc w:val="center"/>
                    </w:pPr>
                    <w:r>
                      <w:fldChar w:fldCharType="begin"/>
                    </w:r>
                    <w:r>
                      <w:instrText xml:space="preserve">PAGE   \* MERGEFORMAT</w:instrText>
                    </w:r>
                    <w:r>
                      <w:fldChar w:fldCharType="separate"/>
                    </w:r>
                    <w:r>
                      <w:rPr>
                        <w:lang w:val="zh-CN"/>
                      </w:rPr>
                      <w:t>38</w:t>
                    </w:r>
                    <w:r>
                      <w:fldChar w:fldCharType="end"/>
                    </w:r>
                  </w:p>
                </w:txbxContent>
              </v:textbox>
            </v:shape>
          </w:pict>
        </mc:Fallback>
      </mc:AlternateContent>
    </w:r>
  </w:p>
  <w:p>
    <w:pPr>
      <w:pStyle w:val="9"/>
      <w:rPr>
        <w:rFonts w:ascii="宋体" w:hAnsi="宋体"/>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pPr>
                          <w:r>
                            <w:fldChar w:fldCharType="begin"/>
                          </w:r>
                          <w:r>
                            <w:instrText xml:space="preserve">PAGE   \* MERGEFORMAT</w:instrText>
                          </w:r>
                          <w:r>
                            <w:fldChar w:fldCharType="separate"/>
                          </w:r>
                          <w:r>
                            <w:rPr>
                              <w:lang w:val="zh-CN"/>
                            </w:rP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JFlysIBAACN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NiRZcrCAQAAjQMAAA4AAAAAAAAAAQAgAAAAHgEAAGRycy9lMm9Eb2MueG1sUEsF&#10;BgAAAAAGAAYAWQEAAFIFAAAAAA==&#10;">
              <v:fill on="f" focussize="0,0"/>
              <v:stroke on="f"/>
              <v:imagedata o:title=""/>
              <o:lock v:ext="edit" aspectratio="f"/>
              <v:textbox inset="0mm,0mm,0mm,0mm" style="mso-fit-shape-to-text:t;">
                <w:txbxContent>
                  <w:p>
                    <w:pPr>
                      <w:pStyle w:val="9"/>
                      <w:jc w:val="center"/>
                    </w:pPr>
                    <w:r>
                      <w:fldChar w:fldCharType="begin"/>
                    </w:r>
                    <w:r>
                      <w:instrText xml:space="preserve">PAGE   \* MERGEFORMAT</w:instrText>
                    </w:r>
                    <w:r>
                      <w:fldChar w:fldCharType="separate"/>
                    </w:r>
                    <w:r>
                      <w:rPr>
                        <w:lang w:val="zh-CN"/>
                      </w:rPr>
                      <w:t>32</w:t>
                    </w:r>
                    <w:r>
                      <w:fldChar w:fldCharType="end"/>
                    </w:r>
                  </w:p>
                </w:txbxContent>
              </v:textbox>
            </v:shape>
          </w:pict>
        </mc:Fallback>
      </mc:AlternateContent>
    </w:r>
  </w:p>
  <w:p>
    <w:pPr>
      <w:pStyle w:val="9"/>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37</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rPr>
                        <w:rFonts w:hint="eastAsia"/>
                      </w:rPr>
                      <w:t>37</w:t>
                    </w:r>
                    <w:r>
                      <w:rPr>
                        <w:rFonts w:hint="eastAsia"/>
                      </w:rP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2787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60288;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bjY9Z0QAAAAMBAAAPAAAAAAAAAAEAIAAAACIAAABkcnMvZG93&#10;bnJldi54bWxQSwECFAAUAAAACACHTuJA0W81o84BAACXAwAADgAAAAAAAAABACAAAAAgAQAAZHJz&#10;L2Uyb0RvYy54bWxQSwUGAAAAAAYABgBZAQAAYAUAAAAA&#10;">
              <v:fill on="f" focussize="0,0"/>
              <v:stroke on="f"/>
              <v:imagedata o:title=""/>
              <o:lock v:ext="edit" aspectratio="f"/>
              <v:textbox inset="0mm,0mm,0mm,0mm" style="mso-fit-shape-to-text:t;">
                <w:txbxContent>
                  <w:p>
                    <w:r>
                      <w:t>*</w:t>
                    </w:r>
                  </w:p>
                </w:txbxContent>
              </v:textbox>
            </v:shape>
          </w:pict>
        </mc:Fallback>
      </mc:AlternateContent>
    </w:r>
    <w:r>
      <w:rPr>
        <w:rFonts w:hint="eastAsia"/>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2787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16205" cy="27876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1.95pt;width:9.15pt;mso-position-horizontal:center;mso-position-horizontal-relative:margin;mso-wrap-style:none;z-index:251659264;mso-width-relative:page;mso-height-relative:page;" filled="f" stroked="f" coordsize="21600,21600" o:gfxdata="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FuNj1nRAAAAAwEAAA8AAAAAAAAAAQAgAAAAIgAAAGRycy9kb3du&#10;cmV2LnhtbFBLAQIUABQAAAAIAIdO4kDqdt1PzQEAAJcDAAAOAAAAAAAAAAEAIAAAACABAABkcnMv&#10;ZTJvRG9jLnhtbFBLBQYAAAAABgAGAFkBAABf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43</w:t>
                    </w:r>
                    <w:r>
                      <w:rPr>
                        <w:rFonts w:hint="eastAsia"/>
                        <w:sz w:val="18"/>
                      </w:rPr>
                      <w:fldChar w:fldCharType="end"/>
                    </w:r>
                  </w:p>
                </w:txbxContent>
              </v:textbox>
            </v:shape>
          </w:pict>
        </mc:Fallback>
      </mc:AlternateContent>
    </w: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kern w:val="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kern w:val="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94B4C4"/>
    <w:multiLevelType w:val="singleLevel"/>
    <w:tmpl w:val="9994B4C4"/>
    <w:lvl w:ilvl="0" w:tentative="0">
      <w:start w:val="1"/>
      <w:numFmt w:val="chineseCounting"/>
      <w:suff w:val="nothing"/>
      <w:lvlText w:val="%1、"/>
      <w:lvlJc w:val="left"/>
      <w:rPr>
        <w:rFonts w:hint="eastAsia"/>
      </w:rPr>
    </w:lvl>
  </w:abstractNum>
  <w:abstractNum w:abstractNumId="1">
    <w:nsid w:val="BBE353D6"/>
    <w:multiLevelType w:val="singleLevel"/>
    <w:tmpl w:val="BBE353D6"/>
    <w:lvl w:ilvl="0" w:tentative="0">
      <w:start w:val="1"/>
      <w:numFmt w:val="decimal"/>
      <w:suff w:val="nothing"/>
      <w:lvlText w:val="%1、"/>
      <w:lvlJc w:val="left"/>
    </w:lvl>
  </w:abstractNum>
  <w:abstractNum w:abstractNumId="2">
    <w:nsid w:val="D15ADFF3"/>
    <w:multiLevelType w:val="singleLevel"/>
    <w:tmpl w:val="D15ADFF3"/>
    <w:lvl w:ilvl="0" w:tentative="0">
      <w:start w:val="1"/>
      <w:numFmt w:val="chineseCounting"/>
      <w:suff w:val="nothing"/>
      <w:lvlText w:val="%1、"/>
      <w:lvlJc w:val="left"/>
      <w:rPr>
        <w:rFonts w:hint="eastAsia"/>
      </w:rPr>
    </w:lvl>
  </w:abstractNum>
  <w:abstractNum w:abstractNumId="3">
    <w:nsid w:val="0000002B"/>
    <w:multiLevelType w:val="multilevel"/>
    <w:tmpl w:val="0000002B"/>
    <w:lvl w:ilvl="0" w:tentative="0">
      <w:start w:val="1"/>
      <w:numFmt w:val="japaneseCounting"/>
      <w:pStyle w:val="3"/>
      <w:lvlText w:val="第%1章"/>
      <w:lvlJc w:val="left"/>
      <w:pPr>
        <w:ind w:left="4470" w:hanging="1320"/>
      </w:pPr>
      <w:rPr>
        <w:rFonts w:hint="default" w:ascii="黑体" w:cs="MingLiU"/>
      </w:rPr>
    </w:lvl>
    <w:lvl w:ilvl="1" w:tentative="0">
      <w:start w:val="1"/>
      <w:numFmt w:val="lowerLetter"/>
      <w:lvlText w:val="%2)"/>
      <w:lvlJc w:val="left"/>
      <w:pPr>
        <w:ind w:left="1995" w:hanging="420"/>
      </w:pPr>
    </w:lvl>
    <w:lvl w:ilvl="2" w:tentative="0">
      <w:start w:val="1"/>
      <w:numFmt w:val="lowerRoman"/>
      <w:lvlText w:val="%3."/>
      <w:lvlJc w:val="right"/>
      <w:pPr>
        <w:ind w:left="2415" w:hanging="420"/>
      </w:pPr>
    </w:lvl>
    <w:lvl w:ilvl="3" w:tentative="0">
      <w:start w:val="1"/>
      <w:numFmt w:val="decimal"/>
      <w:lvlText w:val="%4."/>
      <w:lvlJc w:val="left"/>
      <w:pPr>
        <w:ind w:left="2835" w:hanging="420"/>
      </w:pPr>
    </w:lvl>
    <w:lvl w:ilvl="4" w:tentative="0">
      <w:start w:val="1"/>
      <w:numFmt w:val="lowerLetter"/>
      <w:lvlText w:val="%5)"/>
      <w:lvlJc w:val="left"/>
      <w:pPr>
        <w:ind w:left="3255" w:hanging="420"/>
      </w:pPr>
    </w:lvl>
    <w:lvl w:ilvl="5" w:tentative="0">
      <w:start w:val="1"/>
      <w:numFmt w:val="lowerRoman"/>
      <w:lvlText w:val="%6."/>
      <w:lvlJc w:val="right"/>
      <w:pPr>
        <w:ind w:left="3675" w:hanging="420"/>
      </w:pPr>
    </w:lvl>
    <w:lvl w:ilvl="6" w:tentative="0">
      <w:start w:val="1"/>
      <w:numFmt w:val="decimal"/>
      <w:lvlText w:val="%7."/>
      <w:lvlJc w:val="left"/>
      <w:pPr>
        <w:ind w:left="4095" w:hanging="420"/>
      </w:pPr>
    </w:lvl>
    <w:lvl w:ilvl="7" w:tentative="0">
      <w:start w:val="1"/>
      <w:numFmt w:val="lowerLetter"/>
      <w:lvlText w:val="%8)"/>
      <w:lvlJc w:val="left"/>
      <w:pPr>
        <w:ind w:left="4515" w:hanging="420"/>
      </w:pPr>
    </w:lvl>
    <w:lvl w:ilvl="8" w:tentative="0">
      <w:start w:val="1"/>
      <w:numFmt w:val="lowerRoman"/>
      <w:lvlText w:val="%9."/>
      <w:lvlJc w:val="right"/>
      <w:pPr>
        <w:ind w:left="4935"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iZjkyMzc0MmY2YTk0YmYxNzUxY2Y2MWMyNDRlYTUifQ=="/>
  </w:docVars>
  <w:rsids>
    <w:rsidRoot w:val="00B07836"/>
    <w:rsid w:val="001E5179"/>
    <w:rsid w:val="00230459"/>
    <w:rsid w:val="003C57EE"/>
    <w:rsid w:val="003D7B15"/>
    <w:rsid w:val="005F71FF"/>
    <w:rsid w:val="00692632"/>
    <w:rsid w:val="006F50CA"/>
    <w:rsid w:val="00845374"/>
    <w:rsid w:val="00B07836"/>
    <w:rsid w:val="00D20492"/>
    <w:rsid w:val="00EB6F54"/>
    <w:rsid w:val="00F86955"/>
    <w:rsid w:val="00FD7E26"/>
    <w:rsid w:val="01DC6254"/>
    <w:rsid w:val="03C34C82"/>
    <w:rsid w:val="03C54076"/>
    <w:rsid w:val="03C845AB"/>
    <w:rsid w:val="059734CE"/>
    <w:rsid w:val="070534C2"/>
    <w:rsid w:val="07090526"/>
    <w:rsid w:val="07B835E7"/>
    <w:rsid w:val="07CF3FE8"/>
    <w:rsid w:val="08B67C90"/>
    <w:rsid w:val="08F25E78"/>
    <w:rsid w:val="0A211E9E"/>
    <w:rsid w:val="0AC01039"/>
    <w:rsid w:val="0B23722A"/>
    <w:rsid w:val="0C2C19D0"/>
    <w:rsid w:val="0CAC674D"/>
    <w:rsid w:val="0CDC126A"/>
    <w:rsid w:val="0E400571"/>
    <w:rsid w:val="0F0A1DF9"/>
    <w:rsid w:val="0F4567E9"/>
    <w:rsid w:val="10DE4554"/>
    <w:rsid w:val="115F467E"/>
    <w:rsid w:val="120E2FD9"/>
    <w:rsid w:val="12D17F36"/>
    <w:rsid w:val="1596446E"/>
    <w:rsid w:val="172712D2"/>
    <w:rsid w:val="17411F6E"/>
    <w:rsid w:val="17B6327E"/>
    <w:rsid w:val="1A54544B"/>
    <w:rsid w:val="1A790050"/>
    <w:rsid w:val="1B1860F8"/>
    <w:rsid w:val="1B8A782B"/>
    <w:rsid w:val="1C40656F"/>
    <w:rsid w:val="1FC12A64"/>
    <w:rsid w:val="221A7181"/>
    <w:rsid w:val="22A55BD4"/>
    <w:rsid w:val="23865A9B"/>
    <w:rsid w:val="249C160D"/>
    <w:rsid w:val="256443ED"/>
    <w:rsid w:val="269750A5"/>
    <w:rsid w:val="26C8254F"/>
    <w:rsid w:val="28AD7FB0"/>
    <w:rsid w:val="2A83699C"/>
    <w:rsid w:val="2B262008"/>
    <w:rsid w:val="2CD16AEA"/>
    <w:rsid w:val="2F215909"/>
    <w:rsid w:val="2F2F3B9B"/>
    <w:rsid w:val="30281FD7"/>
    <w:rsid w:val="311B72BC"/>
    <w:rsid w:val="318A0B7D"/>
    <w:rsid w:val="321D49EC"/>
    <w:rsid w:val="32D54AD9"/>
    <w:rsid w:val="33415E50"/>
    <w:rsid w:val="335463BA"/>
    <w:rsid w:val="337C4645"/>
    <w:rsid w:val="33D24704"/>
    <w:rsid w:val="3461723F"/>
    <w:rsid w:val="348D5314"/>
    <w:rsid w:val="34B2406F"/>
    <w:rsid w:val="34DC1C60"/>
    <w:rsid w:val="354A63CA"/>
    <w:rsid w:val="35562B7E"/>
    <w:rsid w:val="377A54BF"/>
    <w:rsid w:val="399D3CD4"/>
    <w:rsid w:val="39D679C4"/>
    <w:rsid w:val="3EAB10D3"/>
    <w:rsid w:val="403E3CB9"/>
    <w:rsid w:val="407B4198"/>
    <w:rsid w:val="4139331E"/>
    <w:rsid w:val="42301BEC"/>
    <w:rsid w:val="43331783"/>
    <w:rsid w:val="46382456"/>
    <w:rsid w:val="47983BEE"/>
    <w:rsid w:val="48A10D90"/>
    <w:rsid w:val="48C46FA4"/>
    <w:rsid w:val="48CB1CBA"/>
    <w:rsid w:val="49056D9D"/>
    <w:rsid w:val="49505417"/>
    <w:rsid w:val="49D9673D"/>
    <w:rsid w:val="4A4F32C0"/>
    <w:rsid w:val="4A9A22CD"/>
    <w:rsid w:val="4C3D1251"/>
    <w:rsid w:val="4CAC7A24"/>
    <w:rsid w:val="4DB466F0"/>
    <w:rsid w:val="4DD822E0"/>
    <w:rsid w:val="4E2A0242"/>
    <w:rsid w:val="4E69413D"/>
    <w:rsid w:val="4F8B7A70"/>
    <w:rsid w:val="4FC23F93"/>
    <w:rsid w:val="50950730"/>
    <w:rsid w:val="515D6D55"/>
    <w:rsid w:val="51A258FD"/>
    <w:rsid w:val="524C5A1D"/>
    <w:rsid w:val="52B7355C"/>
    <w:rsid w:val="5379653B"/>
    <w:rsid w:val="554B2F7E"/>
    <w:rsid w:val="55FE75EE"/>
    <w:rsid w:val="560B7859"/>
    <w:rsid w:val="56821418"/>
    <w:rsid w:val="57F26079"/>
    <w:rsid w:val="58813143"/>
    <w:rsid w:val="5A32159E"/>
    <w:rsid w:val="5A570249"/>
    <w:rsid w:val="5A9600C2"/>
    <w:rsid w:val="5AF21504"/>
    <w:rsid w:val="5B9A4393"/>
    <w:rsid w:val="5BC20CF5"/>
    <w:rsid w:val="5EDA1C14"/>
    <w:rsid w:val="5EEC3DF5"/>
    <w:rsid w:val="60A056E7"/>
    <w:rsid w:val="60A6346A"/>
    <w:rsid w:val="61924D29"/>
    <w:rsid w:val="635B4E4B"/>
    <w:rsid w:val="636A2E84"/>
    <w:rsid w:val="642A2C5E"/>
    <w:rsid w:val="64344BFF"/>
    <w:rsid w:val="65F8526F"/>
    <w:rsid w:val="66271C19"/>
    <w:rsid w:val="66C12296"/>
    <w:rsid w:val="679654A5"/>
    <w:rsid w:val="69336838"/>
    <w:rsid w:val="6AB76882"/>
    <w:rsid w:val="6AFB02A4"/>
    <w:rsid w:val="6B8A00A6"/>
    <w:rsid w:val="6B9C164B"/>
    <w:rsid w:val="6BB575DE"/>
    <w:rsid w:val="6C1A14A6"/>
    <w:rsid w:val="6CA5453E"/>
    <w:rsid w:val="6CD13FCF"/>
    <w:rsid w:val="6D4915BF"/>
    <w:rsid w:val="6F2D45E9"/>
    <w:rsid w:val="70AA6F3F"/>
    <w:rsid w:val="72A143F7"/>
    <w:rsid w:val="74086CFA"/>
    <w:rsid w:val="7441727E"/>
    <w:rsid w:val="76124640"/>
    <w:rsid w:val="7792367F"/>
    <w:rsid w:val="79110F52"/>
    <w:rsid w:val="79D563DC"/>
    <w:rsid w:val="7AA823E4"/>
    <w:rsid w:val="7B145A11"/>
    <w:rsid w:val="7B16218C"/>
    <w:rsid w:val="7B1A2D8B"/>
    <w:rsid w:val="7B1E4074"/>
    <w:rsid w:val="7C725B37"/>
    <w:rsid w:val="7CD457B9"/>
    <w:rsid w:val="7FE011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99"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numPr>
        <w:ilvl w:val="0"/>
        <w:numId w:val="1"/>
      </w:numPr>
      <w:autoSpaceDE w:val="0"/>
      <w:autoSpaceDN w:val="0"/>
      <w:adjustRightInd w:val="0"/>
      <w:snapToGrid w:val="0"/>
      <w:spacing w:line="360" w:lineRule="auto"/>
      <w:jc w:val="center"/>
      <w:outlineLvl w:val="0"/>
    </w:pPr>
    <w:rPr>
      <w:rFonts w:eastAsia="黑体"/>
      <w:sz w:val="44"/>
      <w:szCs w:val="44"/>
    </w:rPr>
  </w:style>
  <w:style w:type="paragraph" w:styleId="4">
    <w:name w:val="heading 2"/>
    <w:basedOn w:val="1"/>
    <w:next w:val="1"/>
    <w:qFormat/>
    <w:uiPriority w:val="0"/>
    <w:pPr>
      <w:autoSpaceDE w:val="0"/>
      <w:autoSpaceDN w:val="0"/>
      <w:adjustRightInd w:val="0"/>
      <w:snapToGrid w:val="0"/>
      <w:spacing w:line="360" w:lineRule="auto"/>
      <w:jc w:val="left"/>
      <w:outlineLvl w:val="1"/>
    </w:pPr>
    <w:rPr>
      <w:rFonts w:ascii="仿宋_GB2312" w:eastAsia="仿宋_GB2312"/>
      <w:b/>
      <w:spacing w:val="1"/>
      <w:w w:val="99"/>
      <w:kern w:val="0"/>
      <w:sz w:val="28"/>
      <w:szCs w:val="32"/>
    </w:rPr>
  </w:style>
  <w:style w:type="paragraph" w:styleId="5">
    <w:name w:val="heading 3"/>
    <w:basedOn w:val="1"/>
    <w:next w:val="1"/>
    <w:qFormat/>
    <w:uiPriority w:val="0"/>
    <w:pPr>
      <w:autoSpaceDE w:val="0"/>
      <w:autoSpaceDN w:val="0"/>
      <w:adjustRightInd w:val="0"/>
      <w:spacing w:before="16"/>
      <w:jc w:val="left"/>
      <w:outlineLvl w:val="2"/>
    </w:pPr>
    <w:rPr>
      <w:rFonts w:ascii="仿宋_GB2312" w:eastAsia="仿宋_GB2312"/>
      <w:b/>
      <w:kern w:val="0"/>
      <w:sz w:val="24"/>
      <w:szCs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26"/>
    </w:rPr>
  </w:style>
  <w:style w:type="paragraph" w:styleId="6">
    <w:name w:val="annotation text"/>
    <w:basedOn w:val="1"/>
    <w:link w:val="34"/>
    <w:qFormat/>
    <w:uiPriority w:val="0"/>
    <w:pPr>
      <w:jc w:val="left"/>
    </w:pPr>
  </w:style>
  <w:style w:type="paragraph" w:styleId="7">
    <w:name w:val="Body Text Indent"/>
    <w:basedOn w:val="1"/>
    <w:next w:val="8"/>
    <w:qFormat/>
    <w:uiPriority w:val="0"/>
    <w:pPr>
      <w:ind w:firstLine="407" w:firstLineChars="200"/>
    </w:pPr>
  </w:style>
  <w:style w:type="paragraph" w:styleId="8">
    <w:name w:val="envelope return"/>
    <w:basedOn w:val="1"/>
    <w:qFormat/>
    <w:uiPriority w:val="99"/>
    <w:pPr>
      <w:snapToGrid w:val="0"/>
    </w:pPr>
    <w:rPr>
      <w:rFonts w:ascii="Arial" w:hAnsi="Arial" w:cs="Arial"/>
    </w:rPr>
  </w:style>
  <w:style w:type="paragraph" w:styleId="9">
    <w:name w:val="footer"/>
    <w:basedOn w:val="1"/>
    <w:qFormat/>
    <w:uiPriority w:val="99"/>
    <w:pPr>
      <w:tabs>
        <w:tab w:val="center" w:pos="4153"/>
        <w:tab w:val="right" w:pos="8306"/>
      </w:tabs>
      <w:snapToGrid w:val="0"/>
      <w:jc w:val="left"/>
    </w:pPr>
    <w:rPr>
      <w:sz w:val="18"/>
      <w:szCs w:val="18"/>
    </w:rPr>
  </w:style>
  <w:style w:type="paragraph" w:styleId="10">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120" w:after="120"/>
      <w:jc w:val="left"/>
    </w:pPr>
    <w:rPr>
      <w:rFonts w:ascii="Calibri" w:hAnsi="Calibri"/>
      <w:b/>
      <w:bCs/>
      <w:caps/>
      <w:sz w:val="20"/>
      <w:szCs w:val="20"/>
    </w:rPr>
  </w:style>
  <w:style w:type="paragraph" w:styleId="12">
    <w:name w:val="Subtitle"/>
    <w:basedOn w:val="1"/>
    <w:qFormat/>
    <w:uiPriority w:val="0"/>
    <w:pPr>
      <w:widowControl/>
      <w:jc w:val="center"/>
    </w:pPr>
    <w:rPr>
      <w:kern w:val="0"/>
      <w:sz w:val="20"/>
      <w:u w:val="single"/>
      <w:lang w:eastAsia="en-US"/>
    </w:rPr>
  </w:style>
  <w:style w:type="paragraph" w:styleId="13">
    <w:name w:val="Body Text 2"/>
    <w:basedOn w:val="1"/>
    <w:qFormat/>
    <w:uiPriority w:val="0"/>
    <w:rPr>
      <w:i/>
      <w:iCs/>
      <w:sz w:val="26"/>
    </w:rPr>
  </w:style>
  <w:style w:type="paragraph" w:styleId="14">
    <w:name w:val="Normal (Web)"/>
    <w:basedOn w:val="1"/>
    <w:qFormat/>
    <w:uiPriority w:val="0"/>
    <w:pPr>
      <w:widowControl/>
      <w:spacing w:before="100" w:beforeAutospacing="1" w:after="100" w:afterAutospacing="1"/>
      <w:jc w:val="left"/>
    </w:pPr>
    <w:rPr>
      <w:rFonts w:ascii="_x000B__x000C_" w:hAnsi="_x000B__x000C_"/>
      <w:kern w:val="0"/>
      <w:sz w:val="24"/>
    </w:rPr>
  </w:style>
  <w:style w:type="paragraph" w:styleId="15">
    <w:name w:val="annotation subject"/>
    <w:basedOn w:val="6"/>
    <w:next w:val="6"/>
    <w:link w:val="35"/>
    <w:qFormat/>
    <w:uiPriority w:val="0"/>
    <w:rPr>
      <w:b/>
      <w:bCs/>
    </w:rPr>
  </w:style>
  <w:style w:type="paragraph" w:styleId="16">
    <w:name w:val="Body Text First Indent 2"/>
    <w:basedOn w:val="7"/>
    <w:next w:val="1"/>
    <w:qFormat/>
    <w:uiPriority w:val="0"/>
  </w:style>
  <w:style w:type="table" w:styleId="18">
    <w:name w:val="Table Grid"/>
    <w:basedOn w:val="17"/>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22"/>
    <w:rPr>
      <w:b/>
      <w:bCs/>
    </w:rPr>
  </w:style>
  <w:style w:type="character" w:styleId="21">
    <w:name w:val="page number"/>
    <w:basedOn w:val="19"/>
    <w:qFormat/>
    <w:uiPriority w:val="0"/>
  </w:style>
  <w:style w:type="character" w:styleId="22">
    <w:name w:val="FollowedHyperlink"/>
    <w:basedOn w:val="19"/>
    <w:qFormat/>
    <w:uiPriority w:val="0"/>
    <w:rPr>
      <w:color w:val="333333"/>
      <w:u w:val="none"/>
    </w:rPr>
  </w:style>
  <w:style w:type="character" w:styleId="23">
    <w:name w:val="Hyperlink"/>
    <w:basedOn w:val="19"/>
    <w:qFormat/>
    <w:uiPriority w:val="0"/>
    <w:rPr>
      <w:color w:val="333333"/>
      <w:u w:val="none"/>
    </w:rPr>
  </w:style>
  <w:style w:type="character" w:styleId="24">
    <w:name w:val="annotation reference"/>
    <w:basedOn w:val="19"/>
    <w:qFormat/>
    <w:uiPriority w:val="0"/>
    <w:rPr>
      <w:sz w:val="21"/>
      <w:szCs w:val="21"/>
    </w:rPr>
  </w:style>
  <w:style w:type="paragraph" w:customStyle="1" w:styleId="25">
    <w:name w:val="BodyText"/>
    <w:basedOn w:val="1"/>
    <w:next w:val="1"/>
    <w:qFormat/>
    <w:uiPriority w:val="0"/>
    <w:pPr>
      <w:ind w:left="100" w:firstLine="540"/>
      <w:jc w:val="left"/>
      <w:textAlignment w:val="baseline"/>
    </w:pPr>
    <w:rPr>
      <w:rFonts w:ascii="宋体" w:hAnsi="宋体"/>
      <w:kern w:val="0"/>
      <w:sz w:val="28"/>
      <w:szCs w:val="28"/>
      <w:lang w:val="en-US" w:eastAsia="en-US" w:bidi="ar-SA"/>
    </w:rPr>
  </w:style>
  <w:style w:type="paragraph" w:customStyle="1" w:styleId="26">
    <w:name w:val="无间隔1"/>
    <w:qFormat/>
    <w:uiPriority w:val="1"/>
    <w:pPr>
      <w:jc w:val="both"/>
    </w:pPr>
    <w:rPr>
      <w:rFonts w:ascii="Times New Roman" w:hAnsi="Times New Roman" w:eastAsia="Times New Roman" w:cs="Times New Roman"/>
      <w:lang w:val="en-US" w:eastAsia="zh-CN" w:bidi="ar-SA"/>
    </w:rPr>
  </w:style>
  <w:style w:type="paragraph" w:customStyle="1" w:styleId="2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8">
    <w:name w:val="Normal_47"/>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29">
    <w:name w:val="Normal_51"/>
    <w:qFormat/>
    <w:uiPriority w:val="0"/>
    <w:pPr>
      <w:spacing w:before="120" w:after="240"/>
      <w:jc w:val="both"/>
    </w:pPr>
    <w:rPr>
      <w:rFonts w:ascii="Times New Roman" w:hAnsi="Times New Roman" w:eastAsia="Calibri" w:cs="Times New Roman"/>
      <w:sz w:val="22"/>
      <w:szCs w:val="22"/>
      <w:lang w:val="ru-RU" w:eastAsia="en-US" w:bidi="ar-SA"/>
    </w:rPr>
  </w:style>
  <w:style w:type="paragraph" w:customStyle="1" w:styleId="3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31">
    <w:name w:val="reader-word-layer"/>
    <w:basedOn w:val="1"/>
    <w:qFormat/>
    <w:uiPriority w:val="0"/>
    <w:pPr>
      <w:widowControl/>
      <w:spacing w:before="100" w:beforeAutospacing="1" w:after="100" w:afterAutospacing="1"/>
      <w:jc w:val="left"/>
    </w:pPr>
    <w:rPr>
      <w:rFonts w:ascii="宋体" w:hAnsi="宋体" w:cs="宋体"/>
      <w:color w:val="000000"/>
      <w:kern w:val="0"/>
      <w:sz w:val="24"/>
    </w:rPr>
  </w:style>
  <w:style w:type="table" w:customStyle="1" w:styleId="32">
    <w:name w:val="Table Normal"/>
    <w:unhideWhenUsed/>
    <w:qFormat/>
    <w:uiPriority w:val="2"/>
    <w:tblPr>
      <w:tblCellMar>
        <w:top w:w="0" w:type="dxa"/>
        <w:left w:w="0" w:type="dxa"/>
        <w:bottom w:w="0" w:type="dxa"/>
        <w:right w:w="0" w:type="dxa"/>
      </w:tblCellMar>
    </w:tblPr>
  </w:style>
  <w:style w:type="paragraph" w:customStyle="1" w:styleId="33">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34">
    <w:name w:val="批注文字 字符"/>
    <w:basedOn w:val="19"/>
    <w:link w:val="6"/>
    <w:qFormat/>
    <w:uiPriority w:val="0"/>
    <w:rPr>
      <w:rFonts w:ascii="Times New Roman" w:hAnsi="Times New Roman" w:eastAsia="宋体" w:cs="Times New Roman"/>
      <w:kern w:val="2"/>
      <w:sz w:val="21"/>
      <w:szCs w:val="24"/>
    </w:rPr>
  </w:style>
  <w:style w:type="character" w:customStyle="1" w:styleId="35">
    <w:name w:val="批注主题 字符"/>
    <w:basedOn w:val="34"/>
    <w:link w:val="15"/>
    <w:qFormat/>
    <w:uiPriority w:val="0"/>
    <w:rPr>
      <w:rFonts w:ascii="Times New Roman" w:hAnsi="Times New Roman" w:eastAsia="宋体" w:cs="Times New Roman"/>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glossaryDocument" Target="glossary/document.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7a8bbb3-0fc6-4d1c-bb7b-11f3679beda3}"/>
        <w:style w:val=""/>
        <w:category>
          <w:name w:val="常规"/>
          <w:gallery w:val="placeholder"/>
        </w:category>
        <w:types>
          <w:type w:val="bbPlcHdr"/>
        </w:types>
        <w:behaviors>
          <w:behavior w:val="content"/>
        </w:behaviors>
        <w:description w:val=""/>
        <w:guid w:val="{F7A8BBB3-0FC6-4D1C-BB7B-11F3679BEDA3}"/>
      </w:docPartPr>
      <w:docPartBody>
        <w:p>
          <w:r>
            <w:rPr>
              <w:rStyle w:val="4"/>
              <w:rFonts w:hint="eastAsia"/>
            </w:rPr>
            <w:t>单击此处输入文字。</w:t>
          </w:r>
        </w:p>
      </w:docPartBody>
    </w:docPart>
    <w:docPart>
      <w:docPartPr>
        <w:name w:val="{05a301af-be98-4f28-bf5a-be0b6517ae0a}"/>
        <w:style w:val=""/>
        <w:category>
          <w:name w:val="常规"/>
          <w:gallery w:val="placeholder"/>
        </w:category>
        <w:types>
          <w:type w:val="bbPlcHdr"/>
        </w:types>
        <w:behaviors>
          <w:behavior w:val="content"/>
        </w:behaviors>
        <w:description w:val=""/>
        <w:guid w:val="{05A301AF-BE98-4F28-BF5A-BE0B6517AE0A}"/>
      </w:docPartPr>
      <w:docPartBody>
        <w:p>
          <w:r>
            <w:rPr>
              <w:rStyle w:val="4"/>
              <w:rFonts w:hint="eastAsia"/>
            </w:rPr>
            <w:t>单击此处输入文字。</w:t>
          </w:r>
        </w:p>
      </w:docPartBody>
    </w:docPart>
    <w:docPart>
      <w:docPartPr>
        <w:name w:val="{2ab31517-d714-4a7b-aa81-13dca49c191e}"/>
        <w:style w:val=""/>
        <w:category>
          <w:name w:val="常规"/>
          <w:gallery w:val="placeholder"/>
        </w:category>
        <w:types>
          <w:type w:val="bbPlcHdr"/>
        </w:types>
        <w:behaviors>
          <w:behavior w:val="content"/>
        </w:behaviors>
        <w:description w:val=""/>
        <w:guid w:val="{2AB31517-D714-4A7B-AA81-13DCA49C191E}"/>
      </w:docPartPr>
      <w:docPartBody>
        <w:p>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characterSpacingControl w:val="doNotCompress"/>
  <w:compat>
    <w:useFELayout/>
    <w:splitPgBreakAndParaMark/>
    <w:compatSetting w:name="compatibilityMode" w:uri="http://schemas.microsoft.com/office/word" w:val="14"/>
  </w:compat>
  <w:rsids>
    <w:rsidRoot w:val="00D82233"/>
    <w:rsid w:val="002B020A"/>
    <w:rsid w:val="00692632"/>
    <w:rsid w:val="00781F81"/>
    <w:rsid w:val="0088346E"/>
    <w:rsid w:val="00D82233"/>
    <w:rsid w:val="00EB6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customStyle="1" w:styleId="4">
    <w:name w:val="占位符文本1"/>
    <w:basedOn w:val="2"/>
    <w:semiHidden/>
    <w:qFormat/>
    <w:uiPriority w:val="99"/>
    <w:rPr>
      <w:color w:val="808080"/>
    </w:rPr>
  </w:style>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18998</Words>
  <Characters>20428</Characters>
  <Lines>478</Lines>
  <Paragraphs>134</Paragraphs>
  <TotalTime>0</TotalTime>
  <ScaleCrop>false</ScaleCrop>
  <LinksUpToDate>false</LinksUpToDate>
  <CharactersWithSpaces>22106</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2024-03-08T06:52:00Z</dcterms:created>
  <dc:creator>否极泰来</dc:creator>
  <cp:lastModifiedBy>投资咨询公司</cp:lastModifiedBy>
  <cp:lastPrinted>2024-04-29T05:30:00Z</cp:lastPrinted>
  <dcterms:modified xsi:type="dcterms:W3CDTF">2025-03-19T02:16:00Z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28E61B16E3704E1CB80A03FCFC09CAED_13</vt:lpwstr>
  </property>
  <property fmtid="{D5CDD505-2E9C-101B-9397-08002B2CF9AE}" pid="4" name="KSOTemplateDocerSaveRecord">
    <vt:lpwstr>eyJoZGlkIjoiNTViZjkyMzc0MmY2YTk0YmYxNzUxY2Y2MWMyNDRlYTUiLCJ1c2VySWQiOiIxMzQ0MjMyNTI1In0=</vt:lpwstr>
  </property>
</Properties>
</file>