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w:t>
      </w:r>
      <w:r>
        <w:rPr>
          <w:rFonts w:hint="eastAsia" w:ascii="宋体" w:hAnsi="宋体" w:cs="宋体"/>
          <w:b/>
          <w:color w:val="auto"/>
          <w:sz w:val="40"/>
          <w:szCs w:val="40"/>
          <w:highlight w:val="none"/>
        </w:rPr>
        <w:t>基于高速公路应用互联网专线服务采购</w:t>
      </w:r>
    </w:p>
    <w:p>
      <w:pPr>
        <w:rPr>
          <w:rFonts w:ascii="宋体" w:hAnsi="宋体" w:cs="宋体"/>
          <w:color w:val="auto"/>
          <w:sz w:val="28"/>
          <w:szCs w:val="2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pPr>
        <w:jc w:val="center"/>
        <w:rPr>
          <w:rFonts w:ascii="宋体" w:hAnsi="宋体" w:cs="宋体"/>
          <w:b/>
          <w:color w:val="auto"/>
          <w:sz w:val="48"/>
          <w:szCs w:val="48"/>
          <w:highlight w:val="none"/>
        </w:rPr>
      </w:pPr>
    </w:p>
    <w:p>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pPr>
        <w:jc w:val="center"/>
        <w:rPr>
          <w:rFonts w:ascii="宋体" w:hAnsi="宋体" w:cs="宋体"/>
          <w:b/>
          <w:color w:val="auto"/>
          <w:sz w:val="48"/>
          <w:szCs w:val="48"/>
          <w:highlight w:val="none"/>
        </w:rPr>
      </w:pPr>
    </w:p>
    <w:p>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pPr>
        <w:spacing w:line="400" w:lineRule="exact"/>
        <w:rPr>
          <w:rFonts w:ascii="宋体" w:hAnsi="宋体" w:cs="宋体"/>
          <w:color w:val="auto"/>
          <w:highlight w:val="none"/>
        </w:rPr>
      </w:pPr>
    </w:p>
    <w:p>
      <w:pPr>
        <w:rPr>
          <w:color w:val="auto"/>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pPr>
        <w:jc w:val="center"/>
        <w:rPr>
          <w:rFonts w:hint="eastAsia" w:ascii="宋体" w:hAnsi="宋体" w:cs="宋体"/>
          <w:b/>
          <w:color w:val="auto"/>
          <w:sz w:val="32"/>
          <w:szCs w:val="32"/>
          <w:highlight w:val="none"/>
          <w:u w:val="single"/>
        </w:rPr>
      </w:pPr>
    </w:p>
    <w:p>
      <w:pPr>
        <w:jc w:val="center"/>
        <w:rPr>
          <w:rFonts w:ascii="宋体" w:hAnsi="宋体" w:cs="宋体"/>
          <w:b/>
          <w:color w:val="auto"/>
          <w:sz w:val="32"/>
          <w:szCs w:val="32"/>
          <w:highlight w:val="none"/>
        </w:rPr>
      </w:pPr>
      <w:bookmarkStart w:id="0" w:name="审批结束月份"/>
      <w:r>
        <w:rPr>
          <w:rFonts w:hint="eastAsia" w:ascii="宋体" w:hAnsi="宋体" w:cs="宋体"/>
          <w:b/>
          <w:color w:val="auto"/>
          <w:sz w:val="28"/>
          <w:szCs w:val="28"/>
          <w:highlight w:val="none"/>
        </w:rPr>
        <w:t>2025</w:t>
      </w:r>
      <w:r>
        <w:rPr>
          <w:rFonts w:hint="eastAsia" w:ascii="宋体" w:hAnsi="宋体" w:cs="宋体"/>
          <w:b/>
          <w:color w:val="auto"/>
          <w:sz w:val="28"/>
          <w:szCs w:val="28"/>
          <w:highlight w:val="none"/>
          <w:lang w:val="en-US" w:eastAsia="zh-CN"/>
        </w:rPr>
        <w:t>年</w:t>
      </w:r>
      <w:bookmarkEnd w:id="0"/>
      <w:r>
        <w:rPr>
          <w:rFonts w:hint="eastAsia" w:ascii="宋体" w:hAnsi="宋体" w:cs="宋体"/>
          <w:b/>
          <w:color w:val="auto"/>
          <w:sz w:val="28"/>
          <w:szCs w:val="28"/>
          <w:highlight w:val="none"/>
          <w:lang w:val="en-US" w:eastAsia="zh-CN"/>
        </w:rPr>
        <w:t>4月</w:t>
      </w:r>
    </w:p>
    <w:p>
      <w:pPr>
        <w:pStyle w:val="29"/>
        <w:jc w:val="center"/>
        <w:rPr>
          <w:rFonts w:ascii="宋体" w:hAnsi="宋体" w:cs="宋体"/>
          <w:color w:val="auto"/>
          <w:szCs w:val="21"/>
          <w:highlight w:val="none"/>
        </w:rPr>
      </w:pPr>
      <w:r>
        <w:rPr>
          <w:color w:val="auto"/>
          <w:highlight w:val="none"/>
        </w:rPr>
        <w:br w:type="page"/>
      </w:r>
      <w:bookmarkStart w:id="1" w:name="_Toc246996898"/>
      <w:bookmarkStart w:id="2" w:name="_Toc507428442"/>
      <w:bookmarkStart w:id="3" w:name="_Toc296602400"/>
      <w:bookmarkStart w:id="4" w:name="_Toc507319889"/>
      <w:bookmarkStart w:id="5" w:name="_Toc247085669"/>
      <w:r>
        <w:rPr>
          <w:rFonts w:hint="eastAsia" w:ascii="宋体" w:hAnsi="宋体" w:cs="宋体"/>
          <w:b w:val="0"/>
          <w:color w:val="auto"/>
          <w:sz w:val="32"/>
          <w:highlight w:val="none"/>
        </w:rPr>
        <w:t>目   录</w:t>
      </w:r>
      <w:bookmarkEnd w:id="1"/>
      <w:bookmarkEnd w:id="2"/>
      <w:bookmarkEnd w:id="3"/>
      <w:bookmarkEnd w:id="4"/>
      <w:bookmarkEnd w:id="5"/>
    </w:p>
    <w:p>
      <w:pPr>
        <w:pStyle w:val="29"/>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color w:val="auto"/>
          <w:highlight w:val="none"/>
        </w:rPr>
        <w:instrText xml:space="preserve"> HYPERLINK \l _Toc29643 </w:instrText>
      </w:r>
      <w:r>
        <w:rPr>
          <w:rFonts w:hint="eastAsia" w:ascii="宋体" w:hAnsi="宋体" w:cs="宋体"/>
          <w:bCs w:val="0"/>
          <w:caps w:val="0"/>
          <w:color w:val="auto"/>
          <w:highlight w:val="none"/>
        </w:rPr>
        <w:fldChar w:fldCharType="separate"/>
      </w:r>
      <w:r>
        <w:rPr>
          <w:rFonts w:hint="eastAsia" w:ascii="宋体" w:hAnsi="宋体" w:eastAsia="宋体" w:cs="宋体"/>
          <w:bCs/>
          <w:smallCaps w:val="0"/>
          <w:color w:val="auto"/>
          <w:kern w:val="44"/>
          <w:szCs w:val="44"/>
          <w:highlight w:val="none"/>
          <w:lang w:val="en-US" w:eastAsia="zh-CN" w:bidi="ar-SA"/>
        </w:rPr>
        <w:t>第一章 比选公告</w:t>
      </w:r>
      <w:r>
        <w:rPr>
          <w:color w:val="auto"/>
          <w:highlight w:val="none"/>
        </w:rPr>
        <w:tab/>
      </w:r>
      <w:r>
        <w:rPr>
          <w:color w:val="auto"/>
          <w:highlight w:val="none"/>
        </w:rPr>
        <w:fldChar w:fldCharType="begin"/>
      </w:r>
      <w:r>
        <w:rPr>
          <w:color w:val="auto"/>
          <w:highlight w:val="none"/>
        </w:rPr>
        <w:instrText xml:space="preserve"> PAGEREF _Toc29643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highlight w:val="none"/>
        </w:rPr>
        <w:fldChar w:fldCharType="end"/>
      </w:r>
    </w:p>
    <w:p>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_Toc27743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1. 比选条件</w:t>
      </w:r>
      <w:r>
        <w:rPr>
          <w:color w:val="auto"/>
          <w:highlight w:val="none"/>
        </w:rPr>
        <w:tab/>
      </w:r>
      <w:r>
        <w:rPr>
          <w:color w:val="auto"/>
          <w:highlight w:val="none"/>
        </w:rPr>
        <w:fldChar w:fldCharType="begin"/>
      </w:r>
      <w:r>
        <w:rPr>
          <w:color w:val="auto"/>
          <w:highlight w:val="none"/>
        </w:rPr>
        <w:instrText xml:space="preserve"> PAGEREF _Toc27743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_Toc1258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2. 项目概况与比选范围</w:t>
      </w:r>
      <w:r>
        <w:rPr>
          <w:color w:val="auto"/>
          <w:highlight w:val="none"/>
        </w:rPr>
        <w:tab/>
      </w:r>
      <w:r>
        <w:rPr>
          <w:color w:val="auto"/>
          <w:highlight w:val="none"/>
        </w:rPr>
        <w:fldChar w:fldCharType="begin"/>
      </w:r>
      <w:r>
        <w:rPr>
          <w:color w:val="auto"/>
          <w:highlight w:val="none"/>
        </w:rPr>
        <w:instrText xml:space="preserve"> PAGEREF _Toc1258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_Toc5542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3. 报价人资格要求</w:t>
      </w:r>
      <w:r>
        <w:rPr>
          <w:color w:val="auto"/>
          <w:highlight w:val="none"/>
        </w:rPr>
        <w:tab/>
      </w:r>
      <w:r>
        <w:rPr>
          <w:color w:val="auto"/>
          <w:highlight w:val="none"/>
        </w:rPr>
        <w:fldChar w:fldCharType="begin"/>
      </w:r>
      <w:r>
        <w:rPr>
          <w:color w:val="auto"/>
          <w:highlight w:val="none"/>
        </w:rPr>
        <w:instrText xml:space="preserve"> PAGEREF _Toc5542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_Toc28877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4. 评标办法</w:t>
      </w:r>
      <w:r>
        <w:rPr>
          <w:color w:val="auto"/>
          <w:highlight w:val="none"/>
        </w:rPr>
        <w:tab/>
      </w:r>
      <w:r>
        <w:rPr>
          <w:color w:val="auto"/>
          <w:highlight w:val="none"/>
        </w:rPr>
        <w:fldChar w:fldCharType="begin"/>
      </w:r>
      <w:r>
        <w:rPr>
          <w:color w:val="auto"/>
          <w:highlight w:val="none"/>
        </w:rPr>
        <w:instrText xml:space="preserve"> PAGEREF _Toc28877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_Toc8694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r>
        <w:rPr>
          <w:color w:val="auto"/>
          <w:highlight w:val="none"/>
        </w:rPr>
        <w:tab/>
      </w:r>
      <w:r>
        <w:rPr>
          <w:color w:val="auto"/>
          <w:highlight w:val="none"/>
        </w:rPr>
        <w:fldChar w:fldCharType="begin"/>
      </w:r>
      <w:r>
        <w:rPr>
          <w:color w:val="auto"/>
          <w:highlight w:val="none"/>
        </w:rPr>
        <w:instrText xml:space="preserve"> PAGEREF _Toc8694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_Toc18060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竞争性比选响应文件的递交及相关事宜</w:t>
      </w:r>
      <w:r>
        <w:rPr>
          <w:color w:val="auto"/>
          <w:highlight w:val="none"/>
        </w:rPr>
        <w:tab/>
      </w:r>
      <w:r>
        <w:rPr>
          <w:color w:val="auto"/>
          <w:highlight w:val="none"/>
        </w:rPr>
        <w:fldChar w:fldCharType="begin"/>
      </w:r>
      <w:r>
        <w:rPr>
          <w:color w:val="auto"/>
          <w:highlight w:val="none"/>
        </w:rPr>
        <w:instrText xml:space="preserve"> PAGEREF _Toc18060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_Toc28867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r>
        <w:rPr>
          <w:color w:val="auto"/>
          <w:highlight w:val="none"/>
        </w:rPr>
        <w:tab/>
      </w:r>
      <w:r>
        <w:rPr>
          <w:color w:val="auto"/>
          <w:highlight w:val="none"/>
        </w:rPr>
        <w:fldChar w:fldCharType="begin"/>
      </w:r>
      <w:r>
        <w:rPr>
          <w:color w:val="auto"/>
          <w:highlight w:val="none"/>
        </w:rPr>
        <w:instrText xml:space="preserve"> PAGEREF _Toc28867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pPr>
        <w:pStyle w:val="29"/>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_Toc10659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_Toc10659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caps/>
          <w:color w:val="auto"/>
          <w:highlight w:val="none"/>
        </w:rPr>
        <w:fldChar w:fldCharType="end"/>
      </w:r>
    </w:p>
    <w:p>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_Toc6693 </w:instrText>
      </w:r>
      <w:r>
        <w:rPr>
          <w:rFonts w:hint="eastAsia" w:ascii="宋体" w:hAnsi="宋体" w:cs="宋体"/>
          <w:bCs/>
          <w:caps/>
          <w:color w:val="auto"/>
          <w:highlight w:val="none"/>
        </w:rPr>
        <w:fldChar w:fldCharType="separate"/>
      </w:r>
      <w:r>
        <w:rPr>
          <w:rFonts w:hint="eastAsia" w:ascii="宋体" w:hAnsi="宋体" w:eastAsia="宋体" w:cs="宋体"/>
          <w:color w:val="auto"/>
          <w:szCs w:val="28"/>
          <w:highlight w:val="none"/>
        </w:rPr>
        <w:t xml:space="preserve">附录1  </w:t>
      </w:r>
      <w:r>
        <w:rPr>
          <w:rFonts w:hint="eastAsia" w:ascii="宋体" w:hAnsi="宋体" w:eastAsia="宋体" w:cs="宋体"/>
          <w:bCs w:val="0"/>
          <w:color w:val="auto"/>
          <w:szCs w:val="28"/>
          <w:highlight w:val="none"/>
        </w:rPr>
        <w:t>报价人资格要求</w:t>
      </w:r>
      <w:r>
        <w:rPr>
          <w:color w:val="auto"/>
          <w:highlight w:val="none"/>
        </w:rPr>
        <w:tab/>
      </w:r>
      <w:r>
        <w:rPr>
          <w:color w:val="auto"/>
          <w:highlight w:val="none"/>
        </w:rPr>
        <w:fldChar w:fldCharType="begin"/>
      </w:r>
      <w:r>
        <w:rPr>
          <w:color w:val="auto"/>
          <w:highlight w:val="none"/>
        </w:rPr>
        <w:instrText xml:space="preserve"> PAGEREF _Toc6693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bCs/>
          <w:caps/>
          <w:color w:val="auto"/>
          <w:highlight w:val="none"/>
        </w:rPr>
        <w:fldChar w:fldCharType="end"/>
      </w:r>
    </w:p>
    <w:p>
      <w:pPr>
        <w:pStyle w:val="29"/>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_Toc29226 </w:instrText>
      </w:r>
      <w:r>
        <w:rPr>
          <w:rFonts w:hint="eastAsia" w:ascii="宋体" w:hAnsi="宋体" w:cs="宋体"/>
          <w:bCs/>
          <w:caps/>
          <w:color w:val="auto"/>
          <w:highlight w:val="none"/>
        </w:rPr>
        <w:fldChar w:fldCharType="separate"/>
      </w:r>
      <w:r>
        <w:rPr>
          <w:rFonts w:hint="eastAsia"/>
          <w:color w:val="auto"/>
          <w:highlight w:val="none"/>
        </w:rPr>
        <w:t xml:space="preserve">第三章 </w:t>
      </w:r>
      <w:r>
        <w:rPr>
          <w:rFonts w:hint="eastAsia" w:ascii="宋体" w:hAnsi="宋体" w:cs="宋体"/>
          <w:color w:val="auto"/>
          <w:highlight w:val="none"/>
        </w:rPr>
        <w:t>评标办法（经评审的最低投标价法）</w:t>
      </w:r>
      <w:r>
        <w:rPr>
          <w:color w:val="auto"/>
          <w:highlight w:val="none"/>
        </w:rPr>
        <w:tab/>
      </w:r>
      <w:r>
        <w:rPr>
          <w:color w:val="auto"/>
          <w:highlight w:val="none"/>
        </w:rPr>
        <w:fldChar w:fldCharType="begin"/>
      </w:r>
      <w:r>
        <w:rPr>
          <w:color w:val="auto"/>
          <w:highlight w:val="none"/>
        </w:rPr>
        <w:instrText xml:space="preserve"> PAGEREF _Toc29226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bCs/>
          <w:caps/>
          <w:color w:val="auto"/>
          <w:highlight w:val="none"/>
        </w:rPr>
        <w:fldChar w:fldCharType="end"/>
      </w:r>
    </w:p>
    <w:p>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_Toc15534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1. 评标方法</w:t>
      </w:r>
      <w:r>
        <w:rPr>
          <w:color w:val="auto"/>
          <w:highlight w:val="none"/>
        </w:rPr>
        <w:tab/>
      </w:r>
      <w:r>
        <w:rPr>
          <w:color w:val="auto"/>
          <w:highlight w:val="none"/>
        </w:rPr>
        <w:fldChar w:fldCharType="begin"/>
      </w:r>
      <w:r>
        <w:rPr>
          <w:color w:val="auto"/>
          <w:highlight w:val="none"/>
        </w:rPr>
        <w:instrText xml:space="preserve"> PAGEREF _Toc15534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bCs/>
          <w:caps/>
          <w:color w:val="auto"/>
          <w:highlight w:val="none"/>
        </w:rPr>
        <w:fldChar w:fldCharType="end"/>
      </w:r>
    </w:p>
    <w:p>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_Toc14299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2. 评审标准</w:t>
      </w:r>
      <w:r>
        <w:rPr>
          <w:color w:val="auto"/>
          <w:highlight w:val="none"/>
        </w:rPr>
        <w:tab/>
      </w:r>
      <w:r>
        <w:rPr>
          <w:color w:val="auto"/>
          <w:highlight w:val="none"/>
        </w:rPr>
        <w:fldChar w:fldCharType="begin"/>
      </w:r>
      <w:r>
        <w:rPr>
          <w:color w:val="auto"/>
          <w:highlight w:val="none"/>
        </w:rPr>
        <w:instrText xml:space="preserve"> PAGEREF _Toc14299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bCs/>
          <w:caps/>
          <w:color w:val="auto"/>
          <w:highlight w:val="none"/>
        </w:rPr>
        <w:fldChar w:fldCharType="end"/>
      </w:r>
    </w:p>
    <w:p>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_Toc32470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lang w:val="en-US" w:eastAsia="zh-CN"/>
        </w:rPr>
        <w:t>3. 评标程序</w:t>
      </w:r>
      <w:r>
        <w:rPr>
          <w:color w:val="auto"/>
          <w:highlight w:val="none"/>
        </w:rPr>
        <w:tab/>
      </w:r>
      <w:r>
        <w:rPr>
          <w:color w:val="auto"/>
          <w:highlight w:val="none"/>
        </w:rPr>
        <w:fldChar w:fldCharType="begin"/>
      </w:r>
      <w:r>
        <w:rPr>
          <w:color w:val="auto"/>
          <w:highlight w:val="none"/>
        </w:rPr>
        <w:instrText xml:space="preserve"> PAGEREF _Toc32470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bCs/>
          <w:caps/>
          <w:color w:val="auto"/>
          <w:highlight w:val="none"/>
        </w:rPr>
        <w:fldChar w:fldCharType="end"/>
      </w:r>
    </w:p>
    <w:p>
      <w:pPr>
        <w:pStyle w:val="29"/>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_Toc26193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color w:val="auto"/>
          <w:highlight w:val="none"/>
        </w:rPr>
        <w:tab/>
      </w:r>
      <w:r>
        <w:rPr>
          <w:color w:val="auto"/>
          <w:highlight w:val="none"/>
        </w:rPr>
        <w:fldChar w:fldCharType="begin"/>
      </w:r>
      <w:r>
        <w:rPr>
          <w:color w:val="auto"/>
          <w:highlight w:val="none"/>
        </w:rPr>
        <w:instrText xml:space="preserve"> PAGEREF _Toc26193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bCs/>
          <w:caps/>
          <w:color w:val="auto"/>
          <w:highlight w:val="none"/>
        </w:rPr>
        <w:fldChar w:fldCharType="end"/>
      </w:r>
    </w:p>
    <w:p>
      <w:pPr>
        <w:pStyle w:val="29"/>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_Toc2248 </w:instrText>
      </w:r>
      <w:r>
        <w:rPr>
          <w:rFonts w:hint="eastAsia" w:ascii="宋体" w:hAnsi="宋体" w:cs="宋体"/>
          <w:bCs/>
          <w:caps/>
          <w:color w:val="auto"/>
          <w:highlight w:val="none"/>
        </w:rPr>
        <w:fldChar w:fldCharType="separate"/>
      </w:r>
      <w:r>
        <w:rPr>
          <w:rFonts w:hint="eastAsia" w:ascii="宋体" w:hAnsi="宋体" w:eastAsia="宋体" w:cs="宋体"/>
          <w:bCs/>
          <w:color w:val="auto"/>
          <w:kern w:val="44"/>
          <w:szCs w:val="44"/>
          <w:highlight w:val="none"/>
          <w:lang w:val="en-US" w:eastAsia="zh-CN" w:bidi="ar-SA"/>
        </w:rPr>
        <w:t>第五章  合同范本</w:t>
      </w:r>
      <w:r>
        <w:rPr>
          <w:color w:val="auto"/>
          <w:highlight w:val="none"/>
        </w:rPr>
        <w:tab/>
      </w:r>
      <w:r>
        <w:rPr>
          <w:color w:val="auto"/>
          <w:highlight w:val="none"/>
        </w:rPr>
        <w:fldChar w:fldCharType="begin"/>
      </w:r>
      <w:r>
        <w:rPr>
          <w:color w:val="auto"/>
          <w:highlight w:val="none"/>
        </w:rPr>
        <w:instrText xml:space="preserve"> PAGEREF _Toc2248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bCs/>
          <w:caps/>
          <w:color w:val="auto"/>
          <w:highlight w:val="none"/>
        </w:rPr>
        <w:fldChar w:fldCharType="end"/>
      </w:r>
    </w:p>
    <w:p>
      <w:pPr>
        <w:pStyle w:val="29"/>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_Toc11294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r>
        <w:rPr>
          <w:color w:val="auto"/>
          <w:highlight w:val="none"/>
        </w:rPr>
        <w:tab/>
      </w:r>
      <w:r>
        <w:rPr>
          <w:color w:val="auto"/>
          <w:highlight w:val="none"/>
        </w:rPr>
        <w:fldChar w:fldCharType="begin"/>
      </w:r>
      <w:r>
        <w:rPr>
          <w:color w:val="auto"/>
          <w:highlight w:val="none"/>
        </w:rPr>
        <w:instrText xml:space="preserve"> PAGEREF _Toc11294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bCs/>
          <w:caps/>
          <w:color w:val="auto"/>
          <w:highlight w:val="none"/>
        </w:rPr>
        <w:fldChar w:fldCharType="end"/>
      </w:r>
    </w:p>
    <w:p>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_Toc8599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一、 竞争比选响应声明书</w:t>
      </w:r>
      <w:r>
        <w:rPr>
          <w:color w:val="auto"/>
          <w:highlight w:val="none"/>
        </w:rPr>
        <w:tab/>
      </w:r>
      <w:r>
        <w:rPr>
          <w:color w:val="auto"/>
          <w:highlight w:val="none"/>
        </w:rPr>
        <w:fldChar w:fldCharType="begin"/>
      </w:r>
      <w:r>
        <w:rPr>
          <w:color w:val="auto"/>
          <w:highlight w:val="none"/>
        </w:rPr>
        <w:instrText xml:space="preserve"> PAGEREF _Toc8599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bCs/>
          <w:caps/>
          <w:color w:val="auto"/>
          <w:highlight w:val="none"/>
        </w:rPr>
        <w:fldChar w:fldCharType="end"/>
      </w:r>
    </w:p>
    <w:p>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_Toc25515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二、 法定代表人身份证明或法定代表人授权委托书</w:t>
      </w:r>
      <w:r>
        <w:rPr>
          <w:color w:val="auto"/>
          <w:highlight w:val="none"/>
        </w:rPr>
        <w:tab/>
      </w:r>
      <w:r>
        <w:rPr>
          <w:color w:val="auto"/>
          <w:highlight w:val="none"/>
        </w:rPr>
        <w:fldChar w:fldCharType="begin"/>
      </w:r>
      <w:r>
        <w:rPr>
          <w:color w:val="auto"/>
          <w:highlight w:val="none"/>
        </w:rPr>
        <w:instrText xml:space="preserve"> PAGEREF _Toc25515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s="宋体"/>
          <w:bCs/>
          <w:caps/>
          <w:color w:val="auto"/>
          <w:highlight w:val="none"/>
        </w:rPr>
        <w:fldChar w:fldCharType="end"/>
      </w:r>
    </w:p>
    <w:p>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_Toc13095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三、报价一览表</w:t>
      </w:r>
      <w:r>
        <w:rPr>
          <w:color w:val="auto"/>
          <w:highlight w:val="none"/>
        </w:rPr>
        <w:tab/>
      </w:r>
      <w:r>
        <w:rPr>
          <w:color w:val="auto"/>
          <w:highlight w:val="none"/>
        </w:rPr>
        <w:fldChar w:fldCharType="begin"/>
      </w:r>
      <w:r>
        <w:rPr>
          <w:color w:val="auto"/>
          <w:highlight w:val="none"/>
        </w:rPr>
        <w:instrText xml:space="preserve"> PAGEREF _Toc13095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cs="宋体"/>
          <w:bCs/>
          <w:caps/>
          <w:color w:val="auto"/>
          <w:highlight w:val="none"/>
        </w:rPr>
        <w:fldChar w:fldCharType="end"/>
      </w:r>
    </w:p>
    <w:p>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_Toc19454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_Toc19454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bCs/>
          <w:caps/>
          <w:color w:val="auto"/>
          <w:highlight w:val="none"/>
        </w:rPr>
        <w:fldChar w:fldCharType="end"/>
      </w:r>
    </w:p>
    <w:p>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_Toc21066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五、报价人承诺</w:t>
      </w:r>
      <w:r>
        <w:rPr>
          <w:color w:val="auto"/>
          <w:highlight w:val="none"/>
        </w:rPr>
        <w:tab/>
      </w:r>
      <w:r>
        <w:rPr>
          <w:color w:val="auto"/>
          <w:highlight w:val="none"/>
        </w:rPr>
        <w:fldChar w:fldCharType="begin"/>
      </w:r>
      <w:r>
        <w:rPr>
          <w:color w:val="auto"/>
          <w:highlight w:val="none"/>
        </w:rPr>
        <w:instrText xml:space="preserve"> PAGEREF _Toc21066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bCs/>
          <w:caps/>
          <w:color w:val="auto"/>
          <w:highlight w:val="none"/>
        </w:rPr>
        <w:fldChar w:fldCharType="end"/>
      </w:r>
    </w:p>
    <w:p>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_Toc22750 </w:instrText>
      </w:r>
      <w:r>
        <w:rPr>
          <w:rFonts w:hint="eastAsia" w:ascii="宋体" w:hAnsi="宋体" w:cs="宋体"/>
          <w:bCs/>
          <w:caps/>
          <w:color w:val="auto"/>
          <w:highlight w:val="none"/>
        </w:rPr>
        <w:fldChar w:fldCharType="separate"/>
      </w:r>
      <w:r>
        <w:rPr>
          <w:rFonts w:hint="eastAsia" w:ascii="宋体" w:hAnsi="宋体" w:eastAsia="宋体" w:cs="宋体"/>
          <w:bCs/>
          <w:color w:val="auto"/>
          <w:kern w:val="0"/>
          <w:szCs w:val="32"/>
          <w:highlight w:val="none"/>
          <w:lang w:val="en-US" w:eastAsia="zh-CN" w:bidi="ar-SA"/>
        </w:rPr>
        <w:t>六、报价人其他资料</w:t>
      </w:r>
      <w:r>
        <w:rPr>
          <w:color w:val="auto"/>
          <w:highlight w:val="none"/>
        </w:rPr>
        <w:tab/>
      </w:r>
      <w:r>
        <w:rPr>
          <w:color w:val="auto"/>
          <w:highlight w:val="none"/>
        </w:rPr>
        <w:fldChar w:fldCharType="begin"/>
      </w:r>
      <w:r>
        <w:rPr>
          <w:color w:val="auto"/>
          <w:highlight w:val="none"/>
        </w:rPr>
        <w:instrText xml:space="preserve"> PAGEREF _Toc22750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cs="宋体"/>
          <w:bCs/>
          <w:caps/>
          <w:color w:val="auto"/>
          <w:highlight w:val="none"/>
        </w:rPr>
        <w:fldChar w:fldCharType="end"/>
      </w:r>
    </w:p>
    <w:p>
      <w:pPr>
        <w:pStyle w:val="35"/>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6" w:name="_Toc2000404"/>
      <w:bookmarkStart w:id="7" w:name="_Toc246996900"/>
      <w:bookmarkStart w:id="8" w:name="_Toc507319890"/>
      <w:bookmarkStart w:id="9" w:name="_Toc247096243"/>
      <w:bookmarkStart w:id="10" w:name="_Toc246996157"/>
      <w:bookmarkStart w:id="11" w:name="_Toc179632527"/>
      <w:bookmarkStart w:id="12" w:name="_Toc152042287"/>
      <w:bookmarkStart w:id="13" w:name="_Toc247085671"/>
      <w:bookmarkStart w:id="14" w:name="_Toc152045511"/>
      <w:bookmarkStart w:id="15" w:name="_Toc144974479"/>
    </w:p>
    <w:p>
      <w:pPr>
        <w:pStyle w:val="35"/>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16" w:name="_Toc29643"/>
      <w:r>
        <w:rPr>
          <w:rFonts w:hint="eastAsia" w:ascii="宋体" w:hAnsi="宋体" w:eastAsia="宋体" w:cs="宋体"/>
          <w:b/>
          <w:bCs/>
          <w:smallCaps w:val="0"/>
          <w:color w:val="auto"/>
          <w:kern w:val="44"/>
          <w:sz w:val="44"/>
          <w:szCs w:val="44"/>
          <w:highlight w:val="none"/>
          <w:lang w:val="en-US" w:eastAsia="zh-CN" w:bidi="ar-SA"/>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eastAsia="宋体" w:cs="宋体"/>
          <w:b/>
          <w:bCs/>
          <w:smallCaps w:val="0"/>
          <w:color w:val="auto"/>
          <w:kern w:val="44"/>
          <w:sz w:val="44"/>
          <w:szCs w:val="44"/>
          <w:highlight w:val="none"/>
          <w:lang w:val="en-US" w:eastAsia="zh-CN" w:bidi="ar-SA"/>
        </w:rPr>
        <w:t>比选公告</w:t>
      </w:r>
      <w:bookmarkEnd w:id="16"/>
    </w:p>
    <w:p>
      <w:pPr>
        <w:spacing w:line="440" w:lineRule="exact"/>
        <w:jc w:val="center"/>
        <w:rPr>
          <w:rFonts w:ascii="宋体" w:hAnsi="宋体" w:cs="宋体"/>
          <w:b/>
          <w:color w:val="auto"/>
          <w:sz w:val="28"/>
          <w:szCs w:val="28"/>
          <w:highlight w:val="none"/>
        </w:rPr>
      </w:pPr>
      <w:bookmarkStart w:id="17" w:name="OLE_LINK3"/>
      <w:bookmarkStart w:id="18" w:name="OLE_LINK2"/>
    </w:p>
    <w:p>
      <w:pPr>
        <w:pStyle w:val="4"/>
        <w:spacing w:before="0" w:after="0" w:line="360" w:lineRule="auto"/>
        <w:rPr>
          <w:rFonts w:ascii="宋体" w:hAnsi="宋体" w:eastAsia="宋体" w:cs="宋体"/>
          <w:color w:val="auto"/>
          <w:highlight w:val="none"/>
        </w:rPr>
      </w:pPr>
      <w:bookmarkStart w:id="19" w:name="_Toc144974480"/>
      <w:bookmarkStart w:id="20" w:name="_Toc10076"/>
      <w:bookmarkStart w:id="21" w:name="_Toc246996901"/>
      <w:bookmarkStart w:id="22" w:name="_Toc27743"/>
      <w:bookmarkStart w:id="23" w:name="_Toc6549"/>
      <w:bookmarkStart w:id="24" w:name="_Toc507319891"/>
      <w:bookmarkStart w:id="25" w:name="_Toc179632528"/>
      <w:bookmarkStart w:id="26" w:name="_Toc152042288"/>
      <w:bookmarkStart w:id="27" w:name="_Toc247085672"/>
      <w:bookmarkStart w:id="28" w:name="_Toc152045512"/>
      <w:bookmarkStart w:id="29" w:name="_Toc246996158"/>
      <w:bookmarkStart w:id="30" w:name="_Toc24874"/>
      <w:bookmarkStart w:id="31" w:name="_Toc11329213"/>
      <w:r>
        <w:rPr>
          <w:rFonts w:hint="eastAsia" w:ascii="宋体" w:hAnsi="宋体" w:eastAsia="宋体" w:cs="宋体"/>
          <w:color w:val="auto"/>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val="en-US" w:eastAsia="zh-CN"/>
        </w:rPr>
        <w:t>基于高速公路应用互联网专线服务采购</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pPr>
        <w:pStyle w:val="4"/>
        <w:spacing w:before="120" w:after="0" w:line="360" w:lineRule="auto"/>
        <w:rPr>
          <w:rFonts w:ascii="宋体" w:hAnsi="宋体" w:eastAsia="宋体" w:cs="宋体"/>
          <w:color w:val="auto"/>
          <w:highlight w:val="none"/>
        </w:rPr>
      </w:pPr>
      <w:bookmarkStart w:id="32" w:name="_Toc246996159"/>
      <w:bookmarkStart w:id="33" w:name="_Toc18109"/>
      <w:bookmarkStart w:id="34" w:name="_Toc179632529"/>
      <w:bookmarkStart w:id="35" w:name="_Toc507319892"/>
      <w:bookmarkStart w:id="36" w:name="_Toc247085673"/>
      <w:bookmarkStart w:id="37" w:name="_Toc246996902"/>
      <w:bookmarkStart w:id="38" w:name="_Toc10952"/>
      <w:bookmarkStart w:id="39" w:name="_Toc152042289"/>
      <w:bookmarkStart w:id="40" w:name="_Toc144974481"/>
      <w:bookmarkStart w:id="41" w:name="_Toc1258"/>
      <w:bookmarkStart w:id="42" w:name="_Toc21343"/>
      <w:bookmarkStart w:id="43" w:name="_Toc152045513"/>
      <w:bookmarkStart w:id="44" w:name="_Toc11329214"/>
      <w:r>
        <w:rPr>
          <w:rFonts w:hint="eastAsia" w:ascii="宋体" w:hAnsi="宋体" w:eastAsia="宋体" w:cs="宋体"/>
          <w:color w:val="auto"/>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pPr>
        <w:spacing w:line="420" w:lineRule="exact"/>
        <w:ind w:firstLine="420" w:firstLineChars="200"/>
        <w:rPr>
          <w:rFonts w:hint="default" w:ascii="宋体" w:hAnsi="宋体" w:cs="宋体"/>
          <w:color w:val="auto"/>
          <w:highlight w:val="none"/>
          <w:lang w:val="en-US" w:eastAsia="zh-CN"/>
        </w:rPr>
      </w:pPr>
      <w:bookmarkStart w:id="45" w:name="_Toc265234827"/>
      <w:bookmarkStart w:id="46" w:name="_Toc382816230"/>
      <w:r>
        <w:rPr>
          <w:rFonts w:hint="eastAsia" w:ascii="宋体" w:hAnsi="宋体" w:cs="宋体"/>
          <w:color w:val="auto"/>
          <w:highlight w:val="none"/>
        </w:rPr>
        <w:t>2.</w:t>
      </w:r>
      <w:r>
        <w:rPr>
          <w:rFonts w:hint="eastAsia" w:ascii="宋体" w:hAnsi="宋体" w:cs="宋体"/>
          <w:color w:val="auto"/>
          <w:highlight w:val="none"/>
          <w:lang w:val="en-US" w:eastAsia="zh-CN"/>
        </w:rPr>
        <w:t>1服务地点：</w:t>
      </w:r>
      <w:r>
        <w:rPr>
          <w:rFonts w:hint="eastAsia" w:ascii="宋体" w:hAnsi="宋体" w:eastAsia="宋体" w:cs="宋体"/>
          <w:color w:val="auto"/>
          <w:szCs w:val="21"/>
          <w:highlight w:val="none"/>
          <w:u w:val="single"/>
          <w:lang w:val="en-US" w:eastAsia="zh-CN"/>
        </w:rPr>
        <w:t>重庆市</w:t>
      </w:r>
      <w:r>
        <w:rPr>
          <w:rFonts w:hint="eastAsia" w:ascii="宋体" w:hAnsi="宋体" w:cs="宋体"/>
          <w:color w:val="auto"/>
          <w:szCs w:val="21"/>
          <w:highlight w:val="none"/>
          <w:u w:val="none"/>
          <w:lang w:eastAsia="zh-CN"/>
        </w:rPr>
        <w:t>。</w:t>
      </w:r>
    </w:p>
    <w:p>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r>
        <w:rPr>
          <w:rFonts w:hint="eastAsia" w:ascii="宋体" w:hAnsi="宋体" w:cs="宋体"/>
          <w:color w:val="auto"/>
          <w:szCs w:val="21"/>
          <w:highlight w:val="none"/>
          <w:u w:val="single"/>
          <w:lang w:val="en-US" w:eastAsia="zh-CN"/>
        </w:rPr>
        <w:t>绕城高速作为低空经济示范路段，部署无人机站点需要良好的网络条件，现已对现场进行实施勘测，需布设运营商专线，满足无人机视频拉流、数据下载的网络环境，确保传输稳定性与高效性</w:t>
      </w:r>
      <w:r>
        <w:rPr>
          <w:rFonts w:hint="eastAsia" w:ascii="宋体" w:hAnsi="宋体" w:cs="宋体"/>
          <w:color w:val="auto"/>
          <w:szCs w:val="21"/>
          <w:highlight w:val="none"/>
          <w:u w:val="none"/>
          <w:lang w:eastAsia="zh-CN"/>
        </w:rPr>
        <w:t>。</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43.20</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为百合收费站等若干站点提供互联网专线服务</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highlight w:val="none"/>
          <w:u w:val="none"/>
          <w:lang w:eastAsia="zh-CN"/>
        </w:rPr>
        <w:t>。</w:t>
      </w:r>
    </w:p>
    <w:bookmarkEnd w:id="45"/>
    <w:bookmarkEnd w:id="46"/>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r>
        <w:rPr>
          <w:rFonts w:hint="eastAsia" w:ascii="宋体" w:hAnsi="宋体" w:cs="宋体"/>
          <w:color w:val="auto"/>
          <w:highlight w:val="none"/>
          <w:u w:val="single"/>
        </w:rPr>
        <w:t>自网络服务开通之日起</w:t>
      </w:r>
      <w:r>
        <w:rPr>
          <w:rFonts w:hint="eastAsia" w:ascii="宋体" w:hAnsi="宋体" w:cs="宋体"/>
          <w:color w:val="auto"/>
          <w:highlight w:val="none"/>
          <w:u w:val="single"/>
          <w:lang w:val="en-US" w:eastAsia="zh-CN"/>
        </w:rPr>
        <w:t>12个月</w:t>
      </w:r>
      <w:r>
        <w:rPr>
          <w:rFonts w:hint="eastAsia" w:ascii="宋体" w:hAnsi="宋体" w:cs="宋体"/>
          <w:color w:val="auto"/>
          <w:highlight w:val="none"/>
          <w:u w:val="single"/>
        </w:rPr>
        <w:t>，具体按采购人要求为准</w:t>
      </w:r>
      <w:r>
        <w:rPr>
          <w:rFonts w:hint="eastAsia" w:ascii="宋体" w:hAnsi="宋体" w:cs="宋体"/>
          <w:color w:val="auto"/>
          <w:szCs w:val="21"/>
          <w:highlight w:val="none"/>
        </w:rPr>
        <w:t>。</w:t>
      </w:r>
    </w:p>
    <w:p>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47" w:name="_Toc247085674"/>
      <w:bookmarkStart w:id="48" w:name="_Toc152045514"/>
      <w:bookmarkStart w:id="49" w:name="_Toc144974482"/>
      <w:bookmarkStart w:id="50" w:name="_Toc179632530"/>
      <w:bookmarkStart w:id="51" w:name="_Toc10171"/>
      <w:bookmarkStart w:id="52" w:name="_Toc507319893"/>
      <w:bookmarkStart w:id="53" w:name="_Toc246996903"/>
      <w:bookmarkStart w:id="54" w:name="_Toc7065"/>
      <w:bookmarkStart w:id="55" w:name="_Toc30356"/>
      <w:bookmarkStart w:id="56" w:name="_Toc246996160"/>
      <w:bookmarkStart w:id="57" w:name="_Toc152042290"/>
      <w:bookmarkStart w:id="58" w:name="_Toc11329215"/>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1 </w:t>
      </w:r>
      <w:r>
        <w:rPr>
          <w:rFonts w:hint="eastAsia" w:ascii="宋体" w:hAnsi="宋体" w:cs="宋体"/>
          <w:b w:val="0"/>
          <w:bCs w:val="0"/>
          <w:color w:val="auto"/>
          <w:kern w:val="2"/>
          <w:sz w:val="21"/>
          <w:szCs w:val="24"/>
          <w:highlight w:val="none"/>
          <w:lang w:val="en-US" w:eastAsia="zh-CN" w:bidi="ar-SA"/>
        </w:rPr>
        <w:t>个标段。</w:t>
      </w:r>
    </w:p>
    <w:p>
      <w:pPr>
        <w:pStyle w:val="4"/>
        <w:spacing w:before="120" w:after="0" w:line="360" w:lineRule="auto"/>
        <w:rPr>
          <w:rFonts w:ascii="宋体" w:hAnsi="宋体" w:eastAsia="宋体" w:cs="宋体"/>
          <w:color w:val="auto"/>
          <w:highlight w:val="none"/>
        </w:rPr>
      </w:pPr>
      <w:bookmarkStart w:id="59" w:name="_Toc5542"/>
      <w:r>
        <w:rPr>
          <w:rFonts w:hint="eastAsia" w:ascii="宋体" w:hAnsi="宋体" w:eastAsia="宋体" w:cs="宋体"/>
          <w:color w:val="auto"/>
          <w:highlight w:val="none"/>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p>
    <w:p>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bookmarkStart w:id="60" w:name="_Toc152045515"/>
      <w:bookmarkStart w:id="61" w:name="_Toc144974483"/>
      <w:bookmarkStart w:id="62" w:name="_Toc179632531"/>
      <w:bookmarkStart w:id="63" w:name="_Toc152042291"/>
      <w:bookmarkStart w:id="64" w:name="_Toc246996161"/>
      <w:bookmarkStart w:id="65" w:name="_Toc246996904"/>
      <w:bookmarkStart w:id="66" w:name="_Toc247085675"/>
      <w:r>
        <w:rPr>
          <w:rFonts w:hint="eastAsia" w:ascii="宋体" w:hAnsi="宋体" w:cs="宋体"/>
          <w:color w:val="auto"/>
          <w:sz w:val="21"/>
          <w:szCs w:val="21"/>
          <w:highlight w:val="none"/>
          <w:lang w:val="en-US" w:eastAsia="zh-CN"/>
        </w:rPr>
        <w:t>3.1 资质要求：</w:t>
      </w:r>
    </w:p>
    <w:p>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（1）报价人具有有效的营业执照，若为分公司参与，则需提供总公司授权文件；</w:t>
      </w:r>
    </w:p>
    <w:p>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（2）报价人具有有效的基础电信业务经营许可证；</w:t>
      </w:r>
    </w:p>
    <w:p>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（3）报价人具有有效的增值电信业务经营许可证；</w:t>
      </w:r>
    </w:p>
    <w:p>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（4）报价人具有有效的ISO27701隐私信息管理体系认证证书。</w:t>
      </w:r>
    </w:p>
    <w:p>
      <w:pPr>
        <w:pStyle w:val="13"/>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3.2 业绩要求：202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年1月1日至报价截止时间止(以合同签订时间为准)至少承担一个</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lang w:val="en-US" w:eastAsia="zh-CN"/>
        </w:rPr>
        <w:t>金额不低于</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万元的网络传输服务业绩。</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color w:val="auto"/>
          <w:highlight w:val="none"/>
        </w:rPr>
      </w:pPr>
      <w:bookmarkStart w:id="67" w:name="_Toc28877"/>
      <w:bookmarkStart w:id="68" w:name="_Toc14361"/>
      <w:bookmarkStart w:id="69" w:name="_Toc507319894"/>
      <w:bookmarkStart w:id="70" w:name="_Toc25619"/>
      <w:bookmarkStart w:id="71" w:name="_Toc11329216"/>
      <w:bookmarkStart w:id="72" w:name="_Toc12460"/>
      <w:r>
        <w:rPr>
          <w:rFonts w:hint="eastAsia" w:ascii="宋体" w:hAnsi="宋体" w:eastAsia="宋体" w:cs="宋体"/>
          <w:color w:val="auto"/>
          <w:highlight w:val="none"/>
        </w:rPr>
        <w:t>4. 评标办法</w:t>
      </w:r>
      <w:bookmarkEnd w:id="67"/>
    </w:p>
    <w:p>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经评审的</w:t>
      </w:r>
      <w:r>
        <w:rPr>
          <w:rFonts w:hint="eastAsia" w:ascii="宋体" w:hAnsi="宋体" w:eastAsia="宋体" w:cs="宋体"/>
          <w:b w:val="0"/>
          <w:bCs w:val="0"/>
          <w:color w:val="auto"/>
          <w:kern w:val="2"/>
          <w:sz w:val="21"/>
          <w:szCs w:val="24"/>
          <w:highlight w:val="none"/>
          <w:lang w:val="en-US" w:eastAsia="zh-CN" w:bidi="ar-SA"/>
        </w:rPr>
        <w:t>最低投标价法</w:t>
      </w:r>
    </w:p>
    <w:p>
      <w:pPr>
        <w:pStyle w:val="4"/>
        <w:spacing w:before="120" w:after="0" w:line="400" w:lineRule="exact"/>
        <w:rPr>
          <w:rFonts w:ascii="宋体" w:hAnsi="宋体" w:eastAsia="宋体" w:cs="宋体"/>
          <w:color w:val="auto"/>
          <w:highlight w:val="none"/>
        </w:rPr>
      </w:pPr>
      <w:bookmarkStart w:id="73" w:name="_Toc8694"/>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60"/>
      <w:bookmarkEnd w:id="61"/>
      <w:bookmarkEnd w:id="62"/>
      <w:bookmarkEnd w:id="63"/>
      <w:bookmarkEnd w:id="64"/>
      <w:bookmarkEnd w:id="65"/>
      <w:bookmarkEnd w:id="66"/>
      <w:bookmarkEnd w:id="68"/>
      <w:bookmarkEnd w:id="69"/>
      <w:bookmarkEnd w:id="70"/>
      <w:bookmarkEnd w:id="71"/>
      <w:bookmarkEnd w:id="72"/>
      <w:bookmarkEnd w:id="73"/>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74" w:name="_Toc507319895"/>
      <w:bookmarkStart w:id="75" w:name="_Toc152045516"/>
      <w:bookmarkStart w:id="76" w:name="_Toc11329217"/>
      <w:bookmarkStart w:id="77" w:name="_Toc152042292"/>
      <w:bookmarkStart w:id="78" w:name="_Toc144974484"/>
      <w:bookmarkStart w:id="79" w:name="_Toc246996162"/>
      <w:bookmarkStart w:id="80" w:name="_Toc179632532"/>
      <w:bookmarkStart w:id="81" w:name="_Toc246996905"/>
      <w:bookmarkStart w:id="82" w:name="_Toc247085676"/>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color w:val="auto"/>
          <w:highlight w:val="none"/>
        </w:rPr>
      </w:pPr>
      <w:bookmarkStart w:id="83" w:name="_Toc9131"/>
      <w:bookmarkStart w:id="84" w:name="_Toc18060"/>
      <w:bookmarkStart w:id="85" w:name="_Toc16686"/>
      <w:bookmarkStart w:id="86" w:name="_Toc31493"/>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74"/>
      <w:bookmarkEnd w:id="75"/>
      <w:bookmarkEnd w:id="76"/>
      <w:bookmarkEnd w:id="77"/>
      <w:bookmarkEnd w:id="78"/>
      <w:bookmarkEnd w:id="79"/>
      <w:bookmarkEnd w:id="80"/>
      <w:bookmarkEnd w:id="81"/>
      <w:bookmarkEnd w:id="82"/>
      <w:r>
        <w:rPr>
          <w:rFonts w:hint="eastAsia" w:ascii="宋体" w:hAnsi="宋体" w:eastAsia="宋体" w:cs="宋体"/>
          <w:color w:val="auto"/>
          <w:highlight w:val="none"/>
        </w:rPr>
        <w:t>及相关事宜</w:t>
      </w:r>
      <w:bookmarkEnd w:id="83"/>
      <w:bookmarkEnd w:id="84"/>
      <w:bookmarkEnd w:id="85"/>
      <w:bookmarkEnd w:id="86"/>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default" w:ascii="宋体" w:hAnsi="宋体" w:cs="宋体"/>
          <w:color w:val="auto"/>
          <w:szCs w:val="21"/>
          <w:highlight w:val="none"/>
          <w:u w:val="single"/>
          <w:woUserID w:val="1"/>
        </w:rPr>
        <w:t xml:space="preserve">21 </w:t>
      </w:r>
      <w:bookmarkStart w:id="256" w:name="_GoBack"/>
      <w:bookmarkEnd w:id="256"/>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.3投标文件递交地点：</w:t>
      </w:r>
      <w:bookmarkStart w:id="87"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87"/>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顺丰等快递公司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竞争性比选响应文件邮寄至重庆首讯科技股份有限公司（重庆市渝北区龙溪街道新南路52号东界龙湖三楼），否则采购人有权拒收，采用邮寄方式的报价人默认认可采购人的开标结果，不得由此提出任何质疑。</w:t>
      </w:r>
    </w:p>
    <w:p>
      <w:pPr>
        <w:pStyle w:val="4"/>
        <w:spacing w:before="120" w:after="0" w:line="400" w:lineRule="exact"/>
        <w:rPr>
          <w:rFonts w:ascii="宋体" w:hAnsi="宋体" w:eastAsia="宋体" w:cs="宋体"/>
          <w:color w:val="auto"/>
          <w:highlight w:val="none"/>
        </w:rPr>
      </w:pPr>
      <w:bookmarkStart w:id="88" w:name="_Toc246996907"/>
      <w:bookmarkStart w:id="89" w:name="_Toc393"/>
      <w:bookmarkStart w:id="90" w:name="_Toc18402"/>
      <w:bookmarkStart w:id="91" w:name="_Toc507319897"/>
      <w:bookmarkStart w:id="92" w:name="_Toc247085678"/>
      <w:bookmarkStart w:id="93" w:name="_Toc21615"/>
      <w:bookmarkStart w:id="94" w:name="_Toc28867"/>
      <w:bookmarkStart w:id="95" w:name="_Toc179632534"/>
      <w:bookmarkStart w:id="96" w:name="_Toc152042293"/>
      <w:bookmarkStart w:id="97" w:name="_Toc144974485"/>
      <w:bookmarkStart w:id="98" w:name="_Toc246996164"/>
      <w:bookmarkStart w:id="99" w:name="_Toc11329219"/>
      <w:bookmarkStart w:id="100" w:name="_Toc152045517"/>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88"/>
      <w:bookmarkEnd w:id="89"/>
      <w:bookmarkEnd w:id="90"/>
      <w:bookmarkEnd w:id="91"/>
      <w:bookmarkEnd w:id="92"/>
      <w:bookmarkEnd w:id="93"/>
      <w:bookmarkEnd w:id="94"/>
      <w:bookmarkEnd w:id="95"/>
      <w:bookmarkEnd w:id="96"/>
      <w:bookmarkEnd w:id="97"/>
      <w:bookmarkEnd w:id="98"/>
      <w:bookmarkEnd w:id="99"/>
      <w:bookmarkEnd w:id="100"/>
    </w:p>
    <w:tbl>
      <w:tblPr>
        <w:tblStyle w:val="42"/>
        <w:tblW w:w="9709" w:type="dxa"/>
        <w:tblInd w:w="0" w:type="dxa"/>
        <w:tblLayout w:type="fixed"/>
        <w:tblCellMar>
          <w:top w:w="0" w:type="dxa"/>
          <w:left w:w="108" w:type="dxa"/>
          <w:bottom w:w="0" w:type="dxa"/>
          <w:right w:w="108" w:type="dxa"/>
        </w:tblCellMar>
      </w:tblPr>
      <w:tblGrid>
        <w:gridCol w:w="9709"/>
      </w:tblGrid>
      <w:tr>
        <w:tblPrEx>
          <w:tblCellMar>
            <w:top w:w="0" w:type="dxa"/>
            <w:left w:w="108" w:type="dxa"/>
            <w:bottom w:w="0" w:type="dxa"/>
            <w:right w:w="108" w:type="dxa"/>
          </w:tblCellMar>
        </w:tblPrEx>
        <w:trPr>
          <w:trHeight w:val="520" w:hRule="atLeast"/>
        </w:trPr>
        <w:tc>
          <w:tcPr>
            <w:tcW w:w="9709" w:type="dxa"/>
            <w:vAlign w:val="center"/>
          </w:tcPr>
          <w:p>
            <w:pPr>
              <w:pStyle w:val="102"/>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tblPrEx>
          <w:tblCellMar>
            <w:top w:w="0" w:type="dxa"/>
            <w:left w:w="108" w:type="dxa"/>
            <w:bottom w:w="0" w:type="dxa"/>
            <w:right w:w="108" w:type="dxa"/>
          </w:tblCellMar>
        </w:tblPrEx>
        <w:trPr>
          <w:trHeight w:val="510" w:hRule="atLeast"/>
        </w:trPr>
        <w:tc>
          <w:tcPr>
            <w:tcW w:w="9709" w:type="dxa"/>
            <w:vAlign w:val="center"/>
          </w:tcPr>
          <w:p>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重庆市渝北区新南路52号东界龙湖三楼</w:t>
            </w:r>
          </w:p>
        </w:tc>
      </w:tr>
      <w:tr>
        <w:tblPrEx>
          <w:tblCellMar>
            <w:top w:w="0" w:type="dxa"/>
            <w:left w:w="108" w:type="dxa"/>
            <w:bottom w:w="0" w:type="dxa"/>
            <w:right w:w="108" w:type="dxa"/>
          </w:tblCellMar>
        </w:tblPrEx>
        <w:trPr>
          <w:trHeight w:val="520" w:hRule="atLeast"/>
        </w:trPr>
        <w:tc>
          <w:tcPr>
            <w:tcW w:w="9709" w:type="dxa"/>
            <w:vAlign w:val="center"/>
          </w:tcPr>
          <w:p>
            <w:pPr>
              <w:pageBreakBefore w:val="0"/>
              <w:kinsoku/>
              <w:wordWrap/>
              <w:overflowPunct/>
              <w:topLinePunct/>
              <w:autoSpaceDE/>
              <w:autoSpaceDN/>
              <w:bidi w:val="0"/>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技术联系人：</w:t>
            </w:r>
            <w:r>
              <w:rPr>
                <w:rFonts w:hint="eastAsia" w:ascii="宋体" w:hAnsi="宋体" w:cs="宋体"/>
                <w:color w:val="auto"/>
                <w:szCs w:val="21"/>
                <w:highlight w:val="none"/>
                <w:u w:val="single"/>
                <w:lang w:val="en-US" w:eastAsia="zh-CN"/>
              </w:rPr>
              <w:t>夏</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13883075681</w:t>
            </w:r>
          </w:p>
        </w:tc>
      </w:tr>
      <w:tr>
        <w:tblPrEx>
          <w:tblCellMar>
            <w:top w:w="0" w:type="dxa"/>
            <w:left w:w="108" w:type="dxa"/>
            <w:bottom w:w="0" w:type="dxa"/>
            <w:right w:w="108" w:type="dxa"/>
          </w:tblCellMar>
        </w:tblPrEx>
        <w:trPr>
          <w:trHeight w:val="448" w:hRule="atLeast"/>
        </w:trPr>
        <w:tc>
          <w:tcPr>
            <w:tcW w:w="9709" w:type="dxa"/>
            <w:vAlign w:val="center"/>
          </w:tcPr>
          <w:p>
            <w:pPr>
              <w:pageBreakBefore w:val="0"/>
              <w:kinsoku/>
              <w:wordWrap/>
              <w:overflowPunct/>
              <w:topLinePunct/>
              <w:autoSpaceDE/>
              <w:autoSpaceDN/>
              <w:bidi w:val="0"/>
              <w:snapToGrid/>
              <w:spacing w:line="400" w:lineRule="exact"/>
              <w:ind w:left="0" w:leftChars="0" w:firstLine="420" w:firstLineChars="200"/>
              <w:textAlignment w:val="auto"/>
              <w:rPr>
                <w:rFonts w:hint="default" w:eastAsia="宋体"/>
                <w:color w:val="auto"/>
                <w:highlight w:val="none"/>
                <w:lang w:val="en-US" w:eastAsia="zh-CN"/>
              </w:rPr>
            </w:pPr>
            <w:r>
              <w:rPr>
                <w:rFonts w:hint="eastAsia" w:ascii="宋体" w:hAnsi="宋体" w:cs="宋体"/>
                <w:color w:val="auto"/>
                <w:szCs w:val="21"/>
                <w:highlight w:val="none"/>
              </w:rPr>
              <w:t>商务联系人：</w:t>
            </w:r>
            <w:r>
              <w:rPr>
                <w:rFonts w:hint="eastAsia" w:ascii="宋体" w:hAnsi="宋体" w:cs="宋体"/>
                <w:color w:val="auto"/>
                <w:szCs w:val="21"/>
                <w:highlight w:val="none"/>
                <w:u w:val="single"/>
                <w:lang w:val="en-US" w:eastAsia="zh-CN"/>
              </w:rPr>
              <w:t>余</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lang w:val="en-US" w:eastAsia="zh-CN"/>
              </w:rPr>
              <w:t>13101153601</w:t>
            </w:r>
          </w:p>
        </w:tc>
      </w:tr>
    </w:tbl>
    <w:p>
      <w:pPr>
        <w:rPr>
          <w:color w:val="auto"/>
          <w:highlight w:val="none"/>
        </w:rPr>
      </w:pPr>
    </w:p>
    <w:p>
      <w:pPr>
        <w:pStyle w:val="29"/>
        <w:rPr>
          <w:color w:val="auto"/>
          <w:highlight w:val="none"/>
        </w:rPr>
      </w:pPr>
    </w:p>
    <w:p>
      <w:pPr>
        <w:rPr>
          <w:color w:val="auto"/>
          <w:highlight w:val="none"/>
        </w:rPr>
      </w:pPr>
    </w:p>
    <w:p>
      <w:pPr>
        <w:pStyle w:val="29"/>
        <w:rPr>
          <w:color w:val="auto"/>
          <w:highlight w:val="none"/>
        </w:rPr>
      </w:pPr>
    </w:p>
    <w:p>
      <w:pPr>
        <w:pStyle w:val="29"/>
        <w:rPr>
          <w:color w:val="auto"/>
          <w:highlight w:val="none"/>
        </w:rPr>
      </w:pPr>
    </w:p>
    <w:bookmarkEnd w:id="17"/>
    <w:bookmarkEnd w:id="18"/>
    <w:p>
      <w:pPr>
        <w:pStyle w:val="3"/>
        <w:spacing w:before="0" w:after="0" w:line="360" w:lineRule="auto"/>
        <w:jc w:val="center"/>
        <w:rPr>
          <w:rFonts w:ascii="宋体" w:hAnsi="宋体" w:cs="宋体"/>
          <w:color w:val="auto"/>
          <w:highlight w:val="none"/>
        </w:rPr>
      </w:pPr>
      <w:bookmarkStart w:id="101" w:name="_Toc247085687"/>
      <w:bookmarkStart w:id="102" w:name="_Toc152042303"/>
      <w:bookmarkStart w:id="103" w:name="_Toc144974495"/>
      <w:bookmarkStart w:id="104" w:name="_Toc2000405"/>
      <w:bookmarkStart w:id="105" w:name="_Toc246996916"/>
      <w:bookmarkStart w:id="106" w:name="_Toc507319898"/>
      <w:bookmarkStart w:id="107" w:name="_Toc179632544"/>
      <w:bookmarkStart w:id="108" w:name="_Toc246996173"/>
      <w:bookmarkStart w:id="109" w:name="_Toc152045527"/>
      <w:r>
        <w:rPr>
          <w:rFonts w:hint="eastAsia" w:ascii="宋体" w:hAnsi="宋体" w:cs="宋体"/>
          <w:color w:val="auto"/>
          <w:highlight w:val="none"/>
        </w:rPr>
        <w:br w:type="page"/>
      </w:r>
      <w:bookmarkStart w:id="110" w:name="_Toc10659"/>
      <w:r>
        <w:rPr>
          <w:rFonts w:hint="eastAsia" w:ascii="宋体" w:hAnsi="宋体" w:cs="宋体"/>
          <w:color w:val="auto"/>
          <w:highlight w:val="none"/>
        </w:rPr>
        <w:t>第二章 报价人须知</w:t>
      </w:r>
      <w:bookmarkEnd w:id="101"/>
      <w:bookmarkEnd w:id="102"/>
      <w:bookmarkEnd w:id="103"/>
      <w:bookmarkEnd w:id="104"/>
      <w:bookmarkEnd w:id="105"/>
      <w:bookmarkEnd w:id="106"/>
      <w:bookmarkEnd w:id="107"/>
      <w:bookmarkEnd w:id="108"/>
      <w:bookmarkEnd w:id="109"/>
      <w:bookmarkEnd w:id="110"/>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11" w:name="_Toc326760840"/>
            <w:r>
              <w:rPr>
                <w:rFonts w:hint="eastAsia" w:ascii="宋体" w:hAnsi="宋体" w:cs="宋体"/>
                <w:b/>
                <w:color w:val="auto"/>
                <w:kern w:val="0"/>
                <w:szCs w:val="21"/>
                <w:highlight w:val="none"/>
              </w:rPr>
              <w:t>序号</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pPr>
              <w:keepNext w:val="0"/>
              <w:keepLines w:val="0"/>
              <w:pageBreakBefore w:val="0"/>
              <w:widowControl w:val="0"/>
              <w:kinsoku/>
              <w:wordWrap/>
              <w:overflowPunct/>
              <w:bidi w:val="0"/>
              <w:spacing w:line="400" w:lineRule="exact"/>
              <w:ind w:firstLine="420"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址：重庆市渝北区新南路52号东界龙湖三楼</w:t>
            </w:r>
          </w:p>
          <w:p>
            <w:pPr>
              <w:keepNext w:val="0"/>
              <w:keepLines w:val="0"/>
              <w:pageBreakBefore w:val="0"/>
              <w:kinsoku/>
              <w:wordWrap/>
              <w:overflowPunct/>
              <w:bidi w:val="0"/>
              <w:spacing w:line="36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Cs w:val="21"/>
                <w:highlight w:val="none"/>
                <w:u w:val="single"/>
                <w:lang w:val="en-US" w:eastAsia="zh-CN"/>
              </w:rPr>
              <w:t>余</w:t>
            </w:r>
            <w:r>
              <w:rPr>
                <w:rFonts w:hint="eastAsia" w:ascii="宋体" w:hAnsi="宋体" w:cs="宋体"/>
                <w:color w:val="auto"/>
                <w:szCs w:val="21"/>
                <w:highlight w:val="none"/>
                <w:lang w:val="en-US" w:eastAsia="zh-CN"/>
              </w:rPr>
              <w:t>老师</w:t>
            </w:r>
          </w:p>
          <w:p>
            <w:pPr>
              <w:keepNext w:val="0"/>
              <w:keepLines w:val="0"/>
              <w:pageBreakBefore w:val="0"/>
              <w:kinsoku/>
              <w:wordWrap/>
              <w:overflowPunct/>
              <w:topLinePunct/>
              <w:bidi w:val="0"/>
              <w:spacing w:line="360" w:lineRule="exact"/>
              <w:ind w:firstLine="420" w:firstLineChars="200"/>
              <w:jc w:val="both"/>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Cs w:val="21"/>
                <w:highlight w:val="none"/>
                <w:u w:val="single"/>
                <w:lang w:val="en-US" w:eastAsia="zh-CN"/>
              </w:rPr>
              <w:t>13101153601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pPr>
              <w:keepNext w:val="0"/>
              <w:keepLines w:val="0"/>
              <w:pageBreakBefore w:val="0"/>
              <w:kinsoku/>
              <w:wordWrap/>
              <w:overflowPunct/>
              <w:bidi w:val="0"/>
              <w:spacing w:line="360" w:lineRule="exact"/>
              <w:ind w:firstLine="400" w:firstLineChars="200"/>
              <w:jc w:val="both"/>
              <w:textAlignment w:val="auto"/>
              <w:rPr>
                <w:rFonts w:hint="default" w:ascii="宋体" w:hAnsi="宋体" w:eastAsia="宋体" w:cs="宋体"/>
                <w:color w:val="auto"/>
                <w:szCs w:val="21"/>
                <w:highlight w:val="none"/>
                <w:lang w:val="en-US" w:eastAsia="zh-CN"/>
              </w:rPr>
            </w:pPr>
            <w:r>
              <w:rPr>
                <w:rFonts w:ascii="宋体" w:hAnsi="宋体" w:eastAsia="宋体" w:cs="宋体"/>
                <w:sz w:val="20"/>
                <w:szCs w:val="20"/>
                <w:u w:val="single"/>
              </w:rPr>
              <w:t>基于高速公路应用互联网专线服务采购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服务地点</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比选文件</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b w:val="0"/>
                <w:bCs/>
                <w:color w:val="auto"/>
                <w:sz w:val="21"/>
                <w:szCs w:val="21"/>
                <w:highlight w:val="none"/>
                <w:lang w:eastAsia="zh-CN" w:bidi="ar"/>
              </w:rPr>
              <w:t>本项目</w:t>
            </w:r>
            <w:r>
              <w:rPr>
                <w:rFonts w:hint="eastAsia" w:ascii="宋体" w:hAnsi="宋体" w:eastAsia="宋体" w:cs="宋体"/>
                <w:b w:val="0"/>
                <w:bCs/>
                <w:color w:val="auto"/>
                <w:sz w:val="21"/>
                <w:szCs w:val="21"/>
                <w:highlight w:val="none"/>
                <w:lang w:bidi="ar"/>
              </w:rPr>
              <w:t>不允许任何负偏离。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1.投标报价：</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本项目采用</w:t>
            </w:r>
            <w:r>
              <w:rPr>
                <w:rFonts w:hint="eastAsia" w:ascii="宋体" w:hAnsi="宋体" w:cs="宋体"/>
                <w:color w:val="auto"/>
                <w:szCs w:val="21"/>
                <w:highlight w:val="none"/>
                <w:u w:val="single"/>
                <w:lang w:val="en-US" w:eastAsia="zh-CN"/>
              </w:rPr>
              <w:t>综合单价</w:t>
            </w:r>
            <w:r>
              <w:rPr>
                <w:rFonts w:hint="eastAsia" w:ascii="宋体" w:hAnsi="宋体" w:cs="宋体"/>
                <w:color w:val="auto"/>
                <w:szCs w:val="21"/>
                <w:highlight w:val="none"/>
                <w:u w:val="single"/>
              </w:rPr>
              <w:t>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w:t>
            </w:r>
            <w:r>
              <w:rPr>
                <w:rFonts w:hint="eastAsia" w:ascii="宋体" w:hAnsi="宋体" w:cs="宋体"/>
                <w:color w:val="auto"/>
                <w:szCs w:val="21"/>
                <w:highlight w:val="none"/>
                <w:u w:val="single"/>
                <w:lang w:val="en-US" w:eastAsia="zh-CN"/>
              </w:rPr>
              <w:t>综合单价</w:t>
            </w:r>
            <w:r>
              <w:rPr>
                <w:rFonts w:hint="eastAsia" w:ascii="宋体" w:hAnsi="宋体" w:cs="宋体"/>
                <w:color w:val="auto"/>
                <w:szCs w:val="21"/>
                <w:highlight w:val="none"/>
                <w:u w:val="single"/>
              </w:rPr>
              <w:t>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pPr>
              <w:spacing w:line="420" w:lineRule="exact"/>
              <w:ind w:firstLine="308" w:firstLineChars="147"/>
              <w:rPr>
                <w:rFonts w:hint="eastAsia" w:ascii="宋体" w:hAnsi="宋体" w:cs="宋体"/>
                <w:color w:val="auto"/>
                <w:szCs w:val="21"/>
                <w:highlight w:val="none"/>
              </w:rPr>
            </w:pPr>
            <w:r>
              <w:rPr>
                <w:rFonts w:hint="eastAsia" w:ascii="宋体" w:hAnsi="宋体" w:cs="宋体"/>
                <w:color w:val="auto"/>
                <w:highlight w:val="none"/>
              </w:rPr>
              <w:t>2.报价原则</w:t>
            </w:r>
          </w:p>
          <w:p>
            <w:pPr>
              <w:spacing w:line="420" w:lineRule="exact"/>
              <w:ind w:firstLine="308" w:firstLineChars="147"/>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综合单价取小数点后两位，小数点后第三位四舍五入。</w:t>
            </w:r>
          </w:p>
          <w:p>
            <w:pPr>
              <w:snapToGrid w:val="0"/>
              <w:spacing w:line="420" w:lineRule="exact"/>
              <w:ind w:firstLine="420" w:firstLineChars="200"/>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pPr>
              <w:snapToGrid w:val="0"/>
              <w:spacing w:line="420" w:lineRule="exact"/>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pPr>
              <w:adjustRightInd w:val="0"/>
              <w:snapToGrid w:val="0"/>
              <w:spacing w:line="420" w:lineRule="exact"/>
              <w:ind w:firstLine="344" w:firstLineChars="164"/>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pPr>
              <w:keepNext w:val="0"/>
              <w:keepLines w:val="0"/>
              <w:pageBreakBefore w:val="0"/>
              <w:widowControl w:val="0"/>
              <w:kinsoku/>
              <w:wordWrap/>
              <w:overflowPunct/>
              <w:bidi w:val="0"/>
              <w:spacing w:line="400" w:lineRule="exact"/>
              <w:ind w:firstLine="420"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384000.00</w:t>
            </w:r>
            <w:r>
              <w:rPr>
                <w:rFonts w:hint="eastAsia" w:ascii="宋体" w:hAnsi="宋体"/>
                <w:b/>
                <w:bCs/>
                <w:color w:val="auto"/>
                <w:szCs w:val="21"/>
                <w:highlight w:val="none"/>
              </w:rPr>
              <w:t>元</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单价限价详见“报价一览表”</w:t>
            </w:r>
            <w:r>
              <w:rPr>
                <w:rFonts w:hint="eastAsia" w:ascii="宋体" w:hAnsi="宋体"/>
                <w:b/>
                <w:bCs/>
                <w:color w:val="auto"/>
                <w:szCs w:val="21"/>
                <w:highlight w:val="none"/>
              </w:rPr>
              <w:t>。</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pPr>
              <w:pStyle w:val="29"/>
              <w:keepNext w:val="0"/>
              <w:keepLines w:val="0"/>
              <w:widowControl/>
              <w:suppressLineNumbers w:val="0"/>
              <w:autoSpaceDE w:val="0"/>
              <w:autoSpaceDN w:val="0"/>
              <w:adjustRightInd w:val="0"/>
              <w:snapToGrid w:val="0"/>
              <w:spacing w:before="0" w:beforeLines="0" w:beforeAutospacing="0" w:after="0" w:afterLines="0" w:afterAutospacing="0" w:line="360" w:lineRule="exact"/>
              <w:ind w:left="0" w:right="0" w:firstLineChars="20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每次支付前需由乙方提交书面支付申请、相关证明材料以及对应增值税专用发票经甲方审核无误后，按以下节点支付，因乙方原因未按时提交相关资料，导致支付延期的，非甲方违约责任：</w:t>
            </w:r>
          </w:p>
          <w:p>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eastAsia="宋体" w:cs="宋体"/>
                <w:color w:val="auto"/>
                <w:highlight w:val="none"/>
                <w:lang w:val="en-US" w:eastAsia="zh-CN"/>
              </w:rPr>
              <w:t>网络专线开通专线后，由乙方提供一个自然年（12个月）网络专线费用的增值税专用发票，甲方在30日内完成当年宽带费用的支付。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pPr>
              <w:keepNext w:val="0"/>
              <w:keepLines w:val="0"/>
              <w:pageBreakBefore w:val="0"/>
              <w:widowControl w:val="0"/>
              <w:kinsoku/>
              <w:wordWrap/>
              <w:overflowPunct/>
              <w:topLinePunct w:val="0"/>
              <w:bidi w:val="0"/>
              <w:snapToGrid w:val="0"/>
              <w:spacing w:line="400" w:lineRule="exact"/>
              <w:ind w:firstLine="420"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是提供投标保证金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r>
              <w:rPr>
                <w:rFonts w:hint="eastAsia" w:hAnsi="宋体" w:cs="宋体"/>
                <w:color w:val="auto"/>
                <w:sz w:val="21"/>
                <w:szCs w:val="21"/>
                <w:highlight w:val="none"/>
                <w:u w:val="single"/>
                <w:lang w:val="en-US" w:eastAsia="zh-CN"/>
              </w:rPr>
              <w:t xml:space="preserve"> 2000  </w:t>
            </w:r>
            <w:r>
              <w:rPr>
                <w:rFonts w:hint="eastAsia" w:ascii="宋体" w:hAnsi="宋体" w:eastAsia="宋体" w:cs="宋体"/>
                <w:color w:val="auto"/>
                <w:sz w:val="21"/>
                <w:szCs w:val="21"/>
                <w:highlight w:val="none"/>
              </w:rPr>
              <w:t>元，由报价人从公司基本账户将投标保证金汇至以下指定账户：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r>
              <w:rPr>
                <w:rFonts w:hint="eastAsia" w:ascii="宋体" w:hAnsi="宋体" w:eastAsia="宋体" w:cs="宋体"/>
                <w:i/>
                <w:iCs/>
                <w:color w:val="auto"/>
                <w:sz w:val="21"/>
                <w:szCs w:val="21"/>
                <w:highlight w:val="none"/>
                <w:u w:val="single"/>
              </w:rPr>
              <w:t xml:space="preserve">             （项目名称）</w:t>
            </w:r>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是提供履约保证金</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r>
              <w:rPr>
                <w:rFonts w:hint="eastAsia" w:hAnsi="宋体"/>
                <w:color w:val="auto"/>
                <w:kern w:val="2"/>
                <w:sz w:val="21"/>
                <w:szCs w:val="21"/>
                <w:highlight w:val="none"/>
                <w:u w:val="single"/>
                <w:lang w:val="en-US" w:eastAsia="zh-CN"/>
              </w:rPr>
              <w:t>中标金额的5%</w:t>
            </w:r>
            <w:r>
              <w:rPr>
                <w:rFonts w:hint="eastAsia" w:hAnsi="宋体"/>
                <w:color w:val="auto"/>
                <w:kern w:val="2"/>
                <w:sz w:val="21"/>
                <w:szCs w:val="21"/>
                <w:highlight w:val="none"/>
                <w:lang w:val="en-US" w:eastAsia="zh-CN"/>
              </w:rPr>
              <w:t>。</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u w:val="single"/>
              </w:rPr>
              <w:t>（项目名称）</w:t>
            </w:r>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pPr>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pPr>
              <w:pStyle w:val="149"/>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pPr>
              <w:pStyle w:val="149"/>
              <w:keepNext w:val="0"/>
              <w:keepLines w:val="0"/>
              <w:pageBreakBefore w:val="0"/>
              <w:widowControl w:val="0"/>
              <w:kinsoku/>
              <w:wordWrap/>
              <w:overflowPunct/>
              <w:topLinePunct w:val="0"/>
              <w:bidi w:val="0"/>
              <w:spacing w:line="360" w:lineRule="exact"/>
              <w:ind w:firstLine="420"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lang w:val="en-US" w:eastAsia="zh-CN" w:bidi="ar"/>
              </w:rPr>
              <w:t>否提供低价风险担保金</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pStyle w:val="149"/>
              <w:keepNext w:val="0"/>
              <w:keepLines w:val="0"/>
              <w:pageBreakBefore w:val="0"/>
              <w:widowControl w:val="0"/>
              <w:kinsoku/>
              <w:wordWrap/>
              <w:overflowPunct/>
              <w:topLinePunct w:val="0"/>
              <w:bidi w:val="0"/>
              <w:snapToGrid/>
              <w:spacing w:line="400" w:lineRule="exact"/>
              <w:ind w:firstLine="420"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pPr>
              <w:adjustRightInd w:val="0"/>
              <w:snapToGrid w:val="0"/>
              <w:spacing w:line="420" w:lineRule="exact"/>
              <w:ind w:firstLine="436" w:firstLineChars="208"/>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pPr>
              <w:adjustRightInd w:val="0"/>
              <w:snapToGrid w:val="0"/>
              <w:spacing w:line="420" w:lineRule="exact"/>
              <w:ind w:firstLine="436" w:firstLineChars="208"/>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sz w:val="21"/>
                <w:szCs w:val="21"/>
                <w:highlight w:val="none"/>
              </w:rPr>
            </w:pPr>
            <w:r>
              <w:rPr>
                <w:rFonts w:hint="eastAsia" w:hAnsi="宋体"/>
                <w:color w:val="auto"/>
                <w:kern w:val="2"/>
                <w:sz w:val="21"/>
                <w:szCs w:val="21"/>
                <w:highlight w:val="none"/>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pStyle w:val="149"/>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pPr>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pStyle w:val="149"/>
              <w:keepNext w:val="0"/>
              <w:keepLines w:val="0"/>
              <w:pageBreakBefore w:val="0"/>
              <w:kinsoku/>
              <w:wordWrap/>
              <w:overflowPunct/>
              <w:bidi w:val="0"/>
              <w:spacing w:line="360" w:lineRule="exact"/>
              <w:jc w:val="center"/>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pPr>
              <w:keepNext w:val="0"/>
              <w:keepLines w:val="0"/>
              <w:pageBreakBefore w:val="0"/>
              <w:kinsoku/>
              <w:wordWrap w:val="0"/>
              <w:overflowPunct/>
              <w:topLinePunct w:val="0"/>
              <w:bidi w:val="0"/>
              <w:adjustRightInd w:val="0"/>
              <w:snapToGrid w:val="0"/>
              <w:spacing w:line="42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确定中标人</w:t>
            </w:r>
          </w:p>
        </w:tc>
        <w:tc>
          <w:tcPr>
            <w:tcW w:w="7104" w:type="dxa"/>
            <w:vAlign w:val="center"/>
          </w:tcPr>
          <w:p>
            <w:pPr>
              <w:keepNext w:val="0"/>
              <w:keepLines w:val="0"/>
              <w:pageBreakBefore w:val="0"/>
              <w:kinsoku/>
              <w:wordWrap w:val="0"/>
              <w:overflowPunct/>
              <w:topLinePunct w:val="0"/>
              <w:bidi w:val="0"/>
              <w:spacing w:line="420" w:lineRule="exact"/>
              <w:ind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color w:val="auto"/>
                <w:sz w:val="21"/>
                <w:szCs w:val="21"/>
                <w:highlight w:val="none"/>
              </w:rPr>
              <w:t>中标候选人公示</w:t>
            </w:r>
            <w:r>
              <w:rPr>
                <w:rFonts w:hint="eastAsia" w:ascii="宋体" w:hAnsi="宋体" w:eastAsia="宋体" w:cs="宋体"/>
                <w:b w:val="0"/>
                <w:color w:val="auto"/>
                <w:sz w:val="21"/>
                <w:szCs w:val="21"/>
                <w:highlight w:val="none"/>
              </w:rPr>
              <w:t>结束且无异议的，</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确定排名第一的中标候选人为中标人。</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不得在中标候选人之外确定中标人。</w:t>
            </w:r>
          </w:p>
          <w:p>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2.排名第一的中标候选人放弃中标、因不可抗力不能签订合同、不按照</w:t>
            </w:r>
            <w:r>
              <w:rPr>
                <w:rFonts w:hint="eastAsia" w:ascii="宋体" w:hAnsi="宋体" w:cs="宋体"/>
                <w:b w:val="0"/>
                <w:color w:val="auto"/>
                <w:sz w:val="21"/>
                <w:szCs w:val="21"/>
                <w:highlight w:val="none"/>
                <w:lang w:val="en-US" w:eastAsia="zh-CN"/>
              </w:rPr>
              <w:t>竞争性比选文件</w:t>
            </w:r>
            <w:r>
              <w:rPr>
                <w:rFonts w:hint="eastAsia" w:ascii="宋体" w:hAnsi="宋体" w:eastAsia="宋体" w:cs="宋体"/>
                <w:b w:val="0"/>
                <w:color w:val="auto"/>
                <w:sz w:val="21"/>
                <w:szCs w:val="21"/>
                <w:highlight w:val="none"/>
              </w:rPr>
              <w:t>要求提交履约保证金，或者被查实存在影响中标结果的违法行为等情形，不符合中标条件的，</w:t>
            </w:r>
            <w:r>
              <w:rPr>
                <w:rFonts w:hint="eastAsia" w:ascii="宋体" w:hAnsi="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rPr>
              <w:t>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pStyle w:val="149"/>
              <w:keepNext w:val="0"/>
              <w:keepLines w:val="0"/>
              <w:pageBreakBefore w:val="0"/>
              <w:kinsoku/>
              <w:wordWrap/>
              <w:overflowPunct/>
              <w:bidi w:val="0"/>
              <w:spacing w:line="360" w:lineRule="exact"/>
              <w:jc w:val="center"/>
              <w:textAlignment w:val="auto"/>
              <w:rPr>
                <w:rFonts w:hint="eastAsia" w:hAnsi="宋体" w:cs="宋体"/>
                <w:color w:val="auto"/>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pPr>
              <w:keepNext w:val="0"/>
              <w:keepLines w:val="0"/>
              <w:pageBreakBefore w:val="0"/>
              <w:kinsoku/>
              <w:wordWrap w:val="0"/>
              <w:overflowPunct/>
              <w:topLinePunct w:val="0"/>
              <w:bidi w:val="0"/>
              <w:adjustRightInd w:val="0"/>
              <w:snapToGrid w:val="0"/>
              <w:spacing w:line="420" w:lineRule="exact"/>
              <w:ind w:left="0" w:left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乙方违约的处理</w:t>
            </w:r>
          </w:p>
        </w:tc>
        <w:tc>
          <w:tcPr>
            <w:tcW w:w="7104" w:type="dxa"/>
            <w:vAlign w:val="center"/>
          </w:tcPr>
          <w:p>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1.乙方应在所规定的时间内完成和交付。如乙方未履行义务，应当向甲方支付违约金，违约金以及其它相关处罚的具体确定方式以及金额依照</w:t>
            </w:r>
            <w:r>
              <w:rPr>
                <w:rFonts w:hint="eastAsia" w:ascii="宋体" w:hAnsi="宋体" w:cs="宋体"/>
                <w:b w:val="0"/>
                <w:color w:val="auto"/>
                <w:sz w:val="21"/>
                <w:szCs w:val="21"/>
                <w:highlight w:val="none"/>
                <w:lang w:val="en-US" w:eastAsia="zh-CN"/>
              </w:rPr>
              <w:t>合同</w:t>
            </w:r>
            <w:r>
              <w:rPr>
                <w:rFonts w:hint="eastAsia" w:ascii="宋体" w:hAnsi="宋体" w:eastAsia="宋体" w:cs="宋体"/>
                <w:b w:val="0"/>
                <w:color w:val="auto"/>
                <w:sz w:val="21"/>
                <w:szCs w:val="21"/>
                <w:highlight w:val="none"/>
              </w:rPr>
              <w:t>附件一执行，每结算季度中产生的违约金在当期结算金额中直接扣除。</w:t>
            </w:r>
          </w:p>
          <w:p>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2.如因乙方服务人员造成甲方损失且违约金不足以弥补的，乙方还必须对造成的损失按实际情况进行赔偿（具体赔偿金额可由甲乙双方认可的第三方评估机构进行实际评估计算）。</w:t>
            </w:r>
          </w:p>
          <w:p>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3.若因甲方过错未按照规定期限付款，则每延迟20个工作日，甲方应向乙方支付欠付款项0.5%的违约金，但违约金的总数不超过合同总价的5%。</w:t>
            </w:r>
          </w:p>
          <w:p>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4.任何一方违反本合同所规定的保密义务，违约方应按约定支付违约金。如实际损失超过该违约金的，受损失一方有权要求对方赔偿超过部分。</w:t>
            </w:r>
          </w:p>
          <w:p>
            <w:pPr>
              <w:keepNext w:val="0"/>
              <w:keepLines w:val="0"/>
              <w:pageBreakBefore w:val="0"/>
              <w:kinsoku/>
              <w:wordWrap w:val="0"/>
              <w:overflowPunct/>
              <w:topLinePunct w:val="0"/>
              <w:bidi w:val="0"/>
              <w:spacing w:line="420" w:lineRule="exact"/>
              <w:ind w:left="0" w:leftChars="0" w:firstLine="420" w:firstLineChars="200"/>
              <w:textAlignment w:val="auto"/>
              <w:rPr>
                <w:rFonts w:hint="default" w:ascii="Wonder Arial" w:hAnsi="Wonder Arial" w:eastAsia="方正仿宋_GB2312" w:cs="Wonder Arial"/>
                <w:b w:val="0"/>
                <w:color w:val="auto"/>
                <w:sz w:val="21"/>
                <w:szCs w:val="21"/>
                <w:highlight w:val="none"/>
              </w:rPr>
            </w:pPr>
            <w:r>
              <w:rPr>
                <w:rFonts w:hint="eastAsia" w:ascii="宋体" w:hAnsi="宋体" w:eastAsia="宋体" w:cs="宋体"/>
                <w:b w:val="0"/>
                <w:color w:val="auto"/>
                <w:sz w:val="21"/>
                <w:szCs w:val="21"/>
                <w:highlight w:val="none"/>
              </w:rPr>
              <w:t>5.甲方有权对乙方提供的服务进行定期检查，若乙方未满足要求，每发现一次，乙方应向甲方支付2000元/次的违约金。</w:t>
            </w:r>
          </w:p>
          <w:p>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6.任何一方违反本合同所规定的其他义务，除本合同另有约定外，违约方按合同总价的5%向对方支付违约金。</w:t>
            </w:r>
          </w:p>
          <w:p>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7.按本合同赔偿的违约金应在15个工作日内付清，否则，按逾期付款处理，即每迟延一日按欠付金额的0.03%支付违约金。</w:t>
            </w:r>
          </w:p>
          <w:p>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8.以上涉及违约金或罚款的，应先扣除履约保证金，直至履约保证金扣除完后，在</w:t>
            </w:r>
            <w:r>
              <w:rPr>
                <w:rFonts w:hint="eastAsia" w:ascii="宋体" w:hAnsi="宋体" w:cs="宋体"/>
                <w:b w:val="0"/>
                <w:color w:val="auto"/>
                <w:sz w:val="21"/>
                <w:szCs w:val="21"/>
                <w:highlight w:val="none"/>
                <w:lang w:val="en-US" w:eastAsia="zh-CN"/>
              </w:rPr>
              <w:t>进度款中</w:t>
            </w:r>
            <w:r>
              <w:rPr>
                <w:rFonts w:hint="eastAsia" w:ascii="宋体" w:hAnsi="宋体" w:eastAsia="宋体" w:cs="宋体"/>
                <w:b w:val="0"/>
                <w:color w:val="auto"/>
                <w:sz w:val="21"/>
                <w:szCs w:val="21"/>
                <w:highlight w:val="none"/>
              </w:rPr>
              <w:t>扣除。</w:t>
            </w:r>
          </w:p>
          <w:p>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9.因乙方服务人员造成甲方损失，乙方除应当负责配合甲方解决之外，还应当承担由此给甲方造成的一切损失。本义务不随本合同履行期限届满而结束。</w:t>
            </w:r>
          </w:p>
          <w:p>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10.因履行合同而发生的一切安全保障责任、人身伤亡事故及造成的损失均由乙方承担。</w:t>
            </w:r>
          </w:p>
          <w:p>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11.报价人应服从采购人供应商管理，对出现进度、质量、服务及违规问题的供应商，视违规行为的具体情形、情节轻重和危害程度，根据采购人《合格供方库管理办法》给予暂停合格供应商资格资格、终止合格供应商资格、永久取消合格供应商资格（列入入诚信黑名单）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80"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olor w:val="auto"/>
                <w:kern w:val="2"/>
                <w:sz w:val="21"/>
                <w:szCs w:val="21"/>
                <w:highlight w:val="none"/>
              </w:rPr>
              <w:t>.1</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pStyle w:val="149"/>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.2</w:t>
            </w:r>
          </w:p>
        </w:tc>
        <w:tc>
          <w:tcPr>
            <w:tcW w:w="9210" w:type="dxa"/>
            <w:gridSpan w:val="2"/>
            <w:vAlign w:val="center"/>
          </w:tcPr>
          <w:p>
            <w:pPr>
              <w:pStyle w:val="149"/>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在报价时应充分考虑原料价格波动、人工费用上涨、</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人采购量波动等不确定因素的风险，该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人若中标，其报价在</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期内不得调整。</w:t>
            </w:r>
          </w:p>
          <w:p>
            <w:pPr>
              <w:pStyle w:val="149"/>
              <w:keepNext w:val="0"/>
              <w:keepLines w:val="0"/>
              <w:pageBreakBefore w:val="0"/>
              <w:kinsoku/>
              <w:wordWrap/>
              <w:overflowPunct/>
              <w:bidi w:val="0"/>
              <w:spacing w:line="36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rPr>
              <w:t>（2）若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范围有漏报、漏项的情况发生，</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人均视为</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人已充分理解</w:t>
            </w:r>
            <w:r>
              <w:rPr>
                <w:rFonts w:hint="eastAsia"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文件要求，漏报、漏项部分已包含在其投标报价之中。该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人若中标，其报价不调整。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pStyle w:val="149"/>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.3</w:t>
            </w:r>
          </w:p>
        </w:tc>
        <w:tc>
          <w:tcPr>
            <w:tcW w:w="9210" w:type="dxa"/>
            <w:gridSpan w:val="2"/>
            <w:vAlign w:val="center"/>
          </w:tcPr>
          <w:p>
            <w:pPr>
              <w:pStyle w:val="149"/>
              <w:keepNext w:val="0"/>
              <w:keepLines w:val="0"/>
              <w:pageBreakBefore w:val="0"/>
              <w:kinsoku/>
              <w:wordWrap/>
              <w:overflowPunct/>
              <w:bidi w:val="0"/>
              <w:spacing w:line="36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rPr>
              <w:t>评标委员会在</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过程中，发现</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人的报价明显低于其他报价使得其报价可能低于其个别成本的，应当要求该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人作出书面说明并提供相关证明材料。</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人不能合理说明或者不能提供相关证明材料的，</w:t>
            </w:r>
            <w:r>
              <w:rPr>
                <w:rFonts w:hint="eastAsia" w:hAnsi="宋体" w:cs="宋体"/>
                <w:color w:val="auto"/>
                <w:sz w:val="21"/>
                <w:szCs w:val="21"/>
                <w:highlight w:val="none"/>
                <w:lang w:val="en-US" w:eastAsia="zh-CN"/>
              </w:rPr>
              <w:t>应</w:t>
            </w:r>
            <w:r>
              <w:rPr>
                <w:rFonts w:hint="eastAsia" w:ascii="宋体" w:hAnsi="宋体" w:eastAsia="宋体" w:cs="宋体"/>
                <w:color w:val="auto"/>
                <w:sz w:val="21"/>
                <w:szCs w:val="21"/>
                <w:highlight w:val="none"/>
              </w:rPr>
              <w:t>认定该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人以低于成本报价竞标的，其</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应作无效</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tc>
      </w:tr>
      <w:bookmarkEnd w:id="111"/>
    </w:tbl>
    <w:p>
      <w:pPr>
        <w:rPr>
          <w:color w:val="auto"/>
          <w:highlight w:val="none"/>
        </w:rPr>
      </w:pPr>
    </w:p>
    <w:p>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12" w:name="_Hlt227984024"/>
      <w:bookmarkEnd w:id="112"/>
    </w:p>
    <w:p>
      <w:pPr>
        <w:pStyle w:val="4"/>
        <w:jc w:val="center"/>
        <w:rPr>
          <w:rFonts w:ascii="宋体" w:hAnsi="宋体" w:eastAsia="宋体" w:cs="宋体"/>
          <w:bCs w:val="0"/>
          <w:color w:val="auto"/>
          <w:sz w:val="28"/>
          <w:szCs w:val="28"/>
          <w:highlight w:val="none"/>
        </w:rPr>
      </w:pPr>
      <w:bookmarkStart w:id="113" w:name="_Toc11329222"/>
      <w:bookmarkStart w:id="114" w:name="_Toc11284"/>
      <w:bookmarkStart w:id="115" w:name="_Toc30198"/>
      <w:bookmarkStart w:id="116" w:name="_Toc17532"/>
      <w:bookmarkStart w:id="117" w:name="_Toc6693"/>
      <w:r>
        <w:rPr>
          <w:rFonts w:hint="eastAsia" w:ascii="宋体" w:hAnsi="宋体" w:eastAsia="宋体" w:cs="宋体"/>
          <w:color w:val="auto"/>
          <w:sz w:val="28"/>
          <w:szCs w:val="28"/>
          <w:highlight w:val="none"/>
        </w:rPr>
        <w:t xml:space="preserve">附录1  </w:t>
      </w:r>
      <w:bookmarkEnd w:id="113"/>
      <w:bookmarkEnd w:id="114"/>
      <w:bookmarkEnd w:id="115"/>
      <w:bookmarkEnd w:id="116"/>
      <w:bookmarkStart w:id="118" w:name="_Toc11329226"/>
      <w:bookmarkStart w:id="119" w:name="_Toc27096"/>
      <w:bookmarkStart w:id="120" w:name="_Toc12773"/>
      <w:bookmarkStart w:id="121" w:name="_Toc25591"/>
      <w:r>
        <w:rPr>
          <w:rFonts w:hint="eastAsia" w:ascii="宋体" w:hAnsi="宋体" w:eastAsia="宋体" w:cs="宋体"/>
          <w:bCs w:val="0"/>
          <w:color w:val="auto"/>
          <w:sz w:val="28"/>
          <w:szCs w:val="28"/>
          <w:highlight w:val="none"/>
        </w:rPr>
        <w:t>报价人资格要求</w:t>
      </w:r>
      <w:bookmarkEnd w:id="117"/>
      <w:bookmarkEnd w:id="118"/>
      <w:bookmarkEnd w:id="119"/>
      <w:bookmarkEnd w:id="120"/>
      <w:bookmarkEnd w:id="121"/>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bookmarkStart w:id="122" w:name="_Toc388534043"/>
            <w:bookmarkStart w:id="123" w:name="_Toc387234996"/>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（1）报价人具有有效的营业执照，若为分公司参与，则需提供总公司授权文件；</w:t>
            </w:r>
          </w:p>
          <w:p>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（2）报价人具有有效的基础电信业务经营许可证；</w:t>
            </w:r>
          </w:p>
          <w:p>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（3）报价人具有有效的增值电信业务经营许可证；</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 w:val="21"/>
                <w:szCs w:val="21"/>
                <w:highlight w:val="none"/>
                <w:lang w:val="en-US" w:eastAsia="zh-CN"/>
              </w:rPr>
              <w:t>（4）报价人具有有效的ISO27701隐私信息管理体系认证证书。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年1月1日至报价截止时间止(以合同签订时间为准)至少承担一个</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lang w:val="en-US" w:eastAsia="zh-CN"/>
              </w:rPr>
              <w:t>金额不低于</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万元的网络传输服务业绩。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w:t>
      </w:r>
      <w:r>
        <w:rPr>
          <w:rFonts w:hint="eastAsia" w:hAnsi="宋体"/>
          <w:b/>
          <w:bCs/>
          <w:color w:val="auto"/>
          <w:kern w:val="0"/>
          <w:szCs w:val="21"/>
          <w:highlight w:val="none"/>
          <w:lang w:val="en-US" w:eastAsia="zh-CN"/>
        </w:rPr>
        <w:t>及相关证书</w:t>
      </w:r>
      <w:r>
        <w:rPr>
          <w:rFonts w:hint="eastAsia" w:hAnsi="宋体"/>
          <w:b/>
          <w:bCs/>
          <w:color w:val="auto"/>
          <w:kern w:val="0"/>
          <w:szCs w:val="21"/>
          <w:highlight w:val="none"/>
        </w:rPr>
        <w:t>复印件，并加盖单位公章。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pStyle w:val="29"/>
        <w:rPr>
          <w:color w:val="auto"/>
          <w:highlight w:val="none"/>
        </w:rPr>
      </w:pPr>
    </w:p>
    <w:bookmarkEnd w:id="122"/>
    <w:bookmarkEnd w:id="123"/>
    <w:p>
      <w:pPr>
        <w:spacing w:line="440" w:lineRule="exact"/>
        <w:ind w:firstLine="210" w:firstLineChars="100"/>
        <w:rPr>
          <w:rFonts w:ascii="宋体" w:hAnsi="宋体" w:cs="宋体"/>
          <w:color w:val="auto"/>
          <w:highlight w:val="none"/>
        </w:rPr>
      </w:pPr>
    </w:p>
    <w:p>
      <w:pPr>
        <w:pStyle w:val="17"/>
        <w:rPr>
          <w:rFonts w:ascii="宋体" w:hAnsi="宋体" w:cs="宋体"/>
          <w:color w:val="auto"/>
          <w:highlight w:val="none"/>
        </w:rPr>
      </w:pPr>
    </w:p>
    <w:p>
      <w:pPr>
        <w:rPr>
          <w:rFonts w:ascii="宋体" w:hAnsi="宋体" w:cs="宋体"/>
          <w:color w:val="auto"/>
          <w:highlight w:val="none"/>
        </w:rPr>
      </w:pPr>
    </w:p>
    <w:p>
      <w:pPr>
        <w:pStyle w:val="17"/>
        <w:rPr>
          <w:rFonts w:ascii="宋体" w:hAnsi="宋体" w:cs="宋体"/>
          <w:color w:val="auto"/>
          <w:highlight w:val="none"/>
        </w:rPr>
      </w:pPr>
    </w:p>
    <w:p>
      <w:pPr>
        <w:rPr>
          <w:rFonts w:ascii="宋体" w:hAnsi="宋体" w:cs="宋体"/>
          <w:color w:val="auto"/>
          <w:highlight w:val="none"/>
        </w:rPr>
      </w:pPr>
    </w:p>
    <w:p>
      <w:pPr>
        <w:pStyle w:val="17"/>
        <w:rPr>
          <w:rFonts w:ascii="宋体" w:hAnsi="宋体" w:cs="宋体"/>
          <w:color w:val="auto"/>
          <w:highlight w:val="none"/>
        </w:rPr>
      </w:pPr>
    </w:p>
    <w:p>
      <w:pPr>
        <w:rPr>
          <w:rFonts w:ascii="宋体" w:hAnsi="宋体" w:cs="宋体"/>
          <w:color w:val="auto"/>
          <w:highlight w:val="none"/>
        </w:rPr>
      </w:pPr>
    </w:p>
    <w:p>
      <w:pPr>
        <w:pStyle w:val="17"/>
        <w:rPr>
          <w:rFonts w:ascii="宋体" w:hAnsi="宋体" w:cs="宋体"/>
          <w:color w:val="auto"/>
          <w:highlight w:val="none"/>
        </w:rPr>
      </w:pPr>
    </w:p>
    <w:p>
      <w:pPr>
        <w:rPr>
          <w:rFonts w:ascii="宋体" w:hAnsi="宋体" w:cs="宋体"/>
          <w:color w:val="auto"/>
          <w:highlight w:val="none"/>
        </w:rPr>
      </w:pPr>
    </w:p>
    <w:p>
      <w:pPr>
        <w:pStyle w:val="17"/>
        <w:rPr>
          <w:rFonts w:ascii="宋体" w:hAnsi="宋体" w:cs="宋体"/>
          <w:color w:val="auto"/>
          <w:highlight w:val="none"/>
        </w:rPr>
      </w:pPr>
    </w:p>
    <w:p>
      <w:pPr>
        <w:rPr>
          <w:rFonts w:ascii="宋体" w:hAnsi="宋体" w:cs="宋体"/>
          <w:color w:val="auto"/>
          <w:highlight w:val="none"/>
        </w:rPr>
      </w:pPr>
    </w:p>
    <w:p>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24" w:name="_Toc29226"/>
      <w:bookmarkStart w:id="125" w:name="_Toc21198"/>
      <w:r>
        <w:rPr>
          <w:rFonts w:hint="eastAsia" w:ascii="宋体" w:hAnsi="宋体" w:cs="宋体"/>
          <w:color w:val="auto"/>
          <w:highlight w:val="none"/>
        </w:rPr>
        <w:t>评标办法（经评审的最低投标价法）</w:t>
      </w:r>
      <w:bookmarkEnd w:id="124"/>
      <w:bookmarkEnd w:id="125"/>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2024"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评审因素</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0"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1</w:t>
            </w:r>
          </w:p>
        </w:tc>
        <w:tc>
          <w:tcPr>
            <w:tcW w:w="11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中标候选人排序方法</w:t>
            </w:r>
          </w:p>
        </w:tc>
        <w:tc>
          <w:tcPr>
            <w:tcW w:w="5004"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如出现报价相等时，评审小组按以下原则确定第一中标候选人：</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以最早提交报价文件的报价人为第一中标候选人</w:t>
            </w:r>
            <w:r>
              <w:rPr>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5□6□7名（若实际</w:t>
            </w:r>
            <w:r>
              <w:rPr>
                <w:rFonts w:hint="eastAsia" w:ascii="宋体" w:hAnsi="宋体"/>
                <w:color w:val="auto"/>
                <w:kern w:val="0"/>
                <w:highlight w:val="none"/>
                <w:lang w:val="en-US" w:eastAsia="zh-CN"/>
              </w:rPr>
              <w:t>报价</w:t>
            </w:r>
            <w:r>
              <w:rPr>
                <w:rFonts w:hint="eastAsia" w:ascii="宋体" w:hAnsi="宋体"/>
                <w:color w:val="auto"/>
                <w:kern w:val="0"/>
                <w:highlight w:val="none"/>
              </w:rPr>
              <w:t>人数量小于勾选数量，</w:t>
            </w:r>
            <w:r>
              <w:rPr>
                <w:rFonts w:hint="eastAsia" w:ascii="宋体" w:hAnsi="宋体"/>
                <w:color w:val="auto"/>
                <w:spacing w:val="4"/>
                <w:kern w:val="0"/>
                <w:szCs w:val="21"/>
                <w:highlight w:val="none"/>
              </w:rPr>
              <w:t>则全部纳入）进行符合性审查。符合性审查内容：形式评审、资格评审、响应性评审。符合性审查</w:t>
            </w:r>
            <w:r>
              <w:rPr>
                <w:rFonts w:hint="eastAsia" w:ascii="宋体" w:hAnsi="宋体"/>
                <w:color w:val="auto"/>
                <w:kern w:val="0"/>
                <w:highlight w:val="none"/>
              </w:rPr>
              <w:t>合格的</w:t>
            </w:r>
            <w:r>
              <w:rPr>
                <w:rFonts w:hint="eastAsia" w:ascii="宋体" w:hAnsi="宋体"/>
                <w:color w:val="auto"/>
                <w:kern w:val="0"/>
                <w:highlight w:val="none"/>
                <w:lang w:val="en-US" w:eastAsia="zh-CN"/>
              </w:rPr>
              <w:t>报价</w:t>
            </w:r>
            <w:r>
              <w:rPr>
                <w:rFonts w:hint="eastAsia" w:ascii="宋体" w:hAnsi="宋体"/>
                <w:color w:val="auto"/>
                <w:kern w:val="0"/>
                <w:highlight w:val="none"/>
              </w:rPr>
              <w:t>人中，报价最低的成为第一中标候选人，报价次低的成为第二中标候选人，依次类推。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color w:val="auto"/>
                <w:highlight w:val="none"/>
              </w:rPr>
            </w:pPr>
            <w:r>
              <w:rPr>
                <w:rFonts w:hint="eastAsia" w:ascii="宋体" w:hAnsi="宋体"/>
                <w:color w:val="auto"/>
                <w:kern w:val="0"/>
                <w:highlight w:val="none"/>
              </w:rPr>
              <w:t>符合性审查中有任何一项不符合要求，符合性审查不合格，</w:t>
            </w:r>
            <w:r>
              <w:rPr>
                <w:rFonts w:hint="eastAsia" w:ascii="宋体" w:hAnsi="宋体"/>
                <w:color w:val="auto"/>
                <w:kern w:val="0"/>
                <w:highlight w:val="none"/>
                <w:lang w:val="en-US" w:eastAsia="zh-CN"/>
              </w:rPr>
              <w:t>其</w:t>
            </w:r>
            <w:r>
              <w:rPr>
                <w:rFonts w:hint="eastAsia" w:ascii="宋体" w:hAnsi="宋体" w:cs="宋体"/>
                <w:color w:val="auto"/>
                <w:sz w:val="21"/>
                <w:szCs w:val="21"/>
                <w:highlight w:val="none"/>
                <w:lang w:eastAsia="zh-CN"/>
              </w:rPr>
              <w:t>竞争性比选响应文件</w:t>
            </w:r>
            <w:r>
              <w:rPr>
                <w:rFonts w:hint="eastAsia" w:ascii="宋体" w:hAnsi="宋体"/>
                <w:color w:val="auto"/>
                <w:kern w:val="0"/>
                <w:highlight w:val="none"/>
              </w:rPr>
              <w:t>由评标委员会作否决处理。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2</w:t>
            </w:r>
          </w:p>
        </w:tc>
        <w:tc>
          <w:tcPr>
            <w:tcW w:w="11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人名称</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asciiTheme="minorEastAsia" w:hAnsiTheme="minorEastAsia" w:eastAsiaTheme="minorEastAsia" w:cstheme="minorEastAsia"/>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函签字盖章</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有法定代表人或委托代理人签字或加盖单位公章。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竞争性</w:t>
            </w:r>
            <w:r>
              <w:rPr>
                <w:color w:val="auto"/>
                <w:highlight w:val="none"/>
              </w:rPr>
              <w:t>比选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响应文件格式</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w:t>
            </w:r>
            <w:r>
              <w:rPr>
                <w:rFonts w:hint="eastAsia"/>
                <w:color w:val="auto"/>
                <w:highlight w:val="none"/>
                <w:lang w:val="en-US" w:eastAsia="zh-CN"/>
              </w:rPr>
              <w:t>六</w:t>
            </w:r>
            <w:r>
              <w:rPr>
                <w:color w:val="auto"/>
                <w:highlight w:val="none"/>
              </w:rPr>
              <w:t>章</w:t>
            </w:r>
            <w:r>
              <w:rPr>
                <w:rFonts w:hint="eastAsia"/>
                <w:color w:val="auto"/>
                <w:highlight w:val="none"/>
                <w:lang w:eastAsia="zh-CN"/>
              </w:rPr>
              <w:t>“</w:t>
            </w:r>
            <w:r>
              <w:rPr>
                <w:rFonts w:hint="eastAsia"/>
                <w:color w:val="auto"/>
                <w:highlight w:val="none"/>
              </w:rPr>
              <w:t>竞争性</w:t>
            </w:r>
            <w:r>
              <w:rPr>
                <w:color w:val="auto"/>
                <w:highlight w:val="none"/>
              </w:rPr>
              <w:t>比选响应文件格式</w:t>
            </w:r>
            <w:r>
              <w:rPr>
                <w:rFonts w:hint="eastAsia"/>
                <w:color w:val="auto"/>
                <w:highlight w:val="none"/>
                <w:lang w:eastAsia="zh-CN"/>
              </w:rPr>
              <w:t>”</w:t>
            </w:r>
            <w:r>
              <w:rPr>
                <w:color w:val="auto"/>
                <w:highlight w:val="none"/>
              </w:rPr>
              <w:t>的要求，字迹清晰可辨。</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1.</w:t>
            </w:r>
            <w:r>
              <w:rPr>
                <w:rFonts w:hint="eastAsia"/>
                <w:color w:val="auto"/>
                <w:highlight w:val="none"/>
              </w:rPr>
              <w:t>报价</w:t>
            </w:r>
            <w:r>
              <w:rPr>
                <w:color w:val="auto"/>
                <w:highlight w:val="none"/>
              </w:rPr>
              <w:t>函的所有数据均符合</w:t>
            </w:r>
            <w:r>
              <w:rPr>
                <w:rFonts w:hint="eastAsia"/>
                <w:color w:val="auto"/>
                <w:highlight w:val="none"/>
              </w:rPr>
              <w:t>比选</w:t>
            </w:r>
            <w:r>
              <w:rPr>
                <w:color w:val="auto"/>
                <w:highlight w:val="none"/>
              </w:rPr>
              <w:t>文件的规定；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2.</w:t>
            </w:r>
            <w:r>
              <w:rPr>
                <w:rFonts w:hint="eastAsia"/>
                <w:color w:val="auto"/>
                <w:highlight w:val="none"/>
              </w:rPr>
              <w:t>竞争性</w:t>
            </w:r>
            <w:r>
              <w:rPr>
                <w:color w:val="auto"/>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报价其它要求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竞争性</w:t>
            </w:r>
            <w:r>
              <w:rPr>
                <w:color w:val="auto"/>
                <w:highlight w:val="none"/>
              </w:rPr>
              <w:t>比选响应文件报价表中的报价与</w:t>
            </w:r>
            <w:r>
              <w:rPr>
                <w:rFonts w:hint="eastAsia"/>
                <w:color w:val="auto"/>
                <w:highlight w:val="none"/>
              </w:rPr>
              <w:t>报价</w:t>
            </w:r>
            <w:r>
              <w:rPr>
                <w:color w:val="auto"/>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比选响应文件正本中法定代表人或授权代理人签署姓名齐全，符合</w:t>
            </w:r>
            <w:r>
              <w:rPr>
                <w:rFonts w:hint="eastAsia"/>
                <w:color w:val="auto"/>
                <w:highlight w:val="none"/>
              </w:rPr>
              <w:t>比选</w:t>
            </w:r>
            <w:r>
              <w:rPr>
                <w:color w:val="auto"/>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360" w:lineRule="exact"/>
              <w:jc w:val="center"/>
              <w:rPr>
                <w:color w:val="auto"/>
                <w:highlight w:val="none"/>
              </w:rPr>
            </w:pPr>
            <w:r>
              <w:rPr>
                <w:rFonts w:hint="eastAsia" w:asciiTheme="minorEastAsia" w:hAnsiTheme="minorEastAsia" w:eastAsiaTheme="minorEastAsia" w:cstheme="minorEastAsia"/>
                <w:color w:val="auto"/>
                <w:szCs w:val="21"/>
                <w:highlight w:val="none"/>
              </w:rPr>
              <w:t>其它</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color w:val="auto"/>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sz w:val="21"/>
                <w:szCs w:val="21"/>
                <w:highlight w:val="none"/>
                <w:lang w:val="en-US" w:eastAsia="zh-CN"/>
              </w:rPr>
              <w:t>资质要求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业绩要求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信誉要求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highlight w:val="none"/>
                <w:lang w:val="en-US" w:eastAsia="zh-CN"/>
              </w:rPr>
              <w:t>服务地点</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ascii="宋体" w:hAnsi="宋体" w:cs="宋体"/>
                <w:color w:val="auto"/>
                <w:highlight w:val="none"/>
              </w:rPr>
              <w:t>项目规模</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color w:val="auto"/>
                <w:highlight w:val="none"/>
                <w:lang w:val="en-US" w:eastAsia="zh-CN"/>
              </w:rPr>
              <w:t>投标内容</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highlight w:val="none"/>
              </w:rPr>
              <w:t>服务期限</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highlight w:val="none"/>
                <w:lang w:val="en-US" w:eastAsia="zh-CN"/>
              </w:rPr>
            </w:pPr>
            <w:r>
              <w:rPr>
                <w:rFonts w:hint="eastAsia" w:ascii="宋体" w:hAnsi="宋体" w:cs="宋体"/>
                <w:color w:val="auto"/>
                <w:szCs w:val="21"/>
                <w:highlight w:val="none"/>
                <w:lang w:val="en-US" w:eastAsia="zh-CN"/>
              </w:rPr>
              <w:t>服务要求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偏差</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保证金</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评标结果</w:t>
            </w:r>
          </w:p>
        </w:tc>
        <w:tc>
          <w:tcPr>
            <w:tcW w:w="7121" w:type="dxa"/>
            <w:gridSpan w:val="2"/>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color w:val="auto"/>
                <w:highlight w:val="none"/>
              </w:rPr>
            </w:pPr>
            <w:r>
              <w:rPr>
                <w:color w:val="auto"/>
                <w:highlight w:val="none"/>
              </w:rPr>
              <w:t>补充细化：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color w:val="auto"/>
                <w:highlight w:val="none"/>
              </w:rPr>
              <w:t>本项目评标采用经评审的最低投标价法，对通过初步评审、详细评审的</w:t>
            </w:r>
            <w:r>
              <w:rPr>
                <w:rFonts w:hint="eastAsia"/>
                <w:color w:val="auto"/>
                <w:highlight w:val="none"/>
              </w:rPr>
              <w:t>报价</w:t>
            </w:r>
            <w:r>
              <w:rPr>
                <w:color w:val="auto"/>
                <w:highlight w:val="none"/>
              </w:rPr>
              <w:t>人按照</w:t>
            </w:r>
            <w:r>
              <w:rPr>
                <w:rFonts w:hint="eastAsia"/>
                <w:color w:val="auto"/>
                <w:highlight w:val="none"/>
              </w:rPr>
              <w:t>报</w:t>
            </w:r>
            <w:r>
              <w:rPr>
                <w:color w:val="auto"/>
                <w:highlight w:val="none"/>
              </w:rPr>
              <w:t>价从低到高的先后顺序，推荐</w:t>
            </w:r>
            <w:r>
              <w:rPr>
                <w:rFonts w:hint="eastAsia"/>
                <w:color w:val="auto"/>
                <w:highlight w:val="none"/>
              </w:rPr>
              <w:t>2</w:t>
            </w:r>
            <w:r>
              <w:rPr>
                <w:color w:val="auto"/>
                <w:highlight w:val="none"/>
              </w:rPr>
              <w:t>名中标候选人。</w:t>
            </w:r>
          </w:p>
        </w:tc>
      </w:tr>
    </w:tbl>
    <w:p>
      <w:pPr>
        <w:rPr>
          <w:color w:val="auto"/>
          <w:highlight w:val="none"/>
        </w:rPr>
      </w:pPr>
    </w:p>
    <w:p>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rPr>
      </w:pPr>
      <w:bookmarkStart w:id="126" w:name="_Toc1506"/>
      <w:bookmarkStart w:id="127" w:name="_Toc15534"/>
      <w:r>
        <w:rPr>
          <w:rFonts w:hint="eastAsia" w:ascii="宋体" w:hAnsi="宋体" w:cs="宋体"/>
          <w:color w:val="auto"/>
          <w:sz w:val="21"/>
          <w:szCs w:val="21"/>
          <w:highlight w:val="none"/>
        </w:rPr>
        <w:t>1. 评标方法</w:t>
      </w:r>
      <w:bookmarkEnd w:id="126"/>
      <w:bookmarkEnd w:id="127"/>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中按报价由低到高推荐中标候选人，或根据采购人授权直接确定中标人。若出现</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投标报价相同的，以评标办法前附表约定的原则确定排序。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 w:val="21"/>
          <w:szCs w:val="21"/>
          <w:highlight w:val="none"/>
        </w:rPr>
      </w:pPr>
      <w:bookmarkStart w:id="128" w:name="_Toc57795919"/>
      <w:bookmarkStart w:id="129" w:name="_Toc14299"/>
      <w:bookmarkStart w:id="130" w:name="_Toc4220"/>
      <w:bookmarkStart w:id="131" w:name="_Toc33106442"/>
      <w:bookmarkStart w:id="132" w:name="_Toc2783"/>
      <w:r>
        <w:rPr>
          <w:rFonts w:hint="eastAsia" w:ascii="宋体" w:hAnsi="宋体" w:cs="宋体"/>
          <w:color w:val="auto"/>
          <w:sz w:val="21"/>
          <w:szCs w:val="21"/>
          <w:highlight w:val="none"/>
        </w:rPr>
        <w:t>2. 评审标准</w:t>
      </w:r>
      <w:bookmarkEnd w:id="128"/>
      <w:bookmarkEnd w:id="129"/>
      <w:bookmarkEnd w:id="130"/>
      <w:bookmarkEnd w:id="131"/>
      <w:bookmarkEnd w:id="132"/>
    </w:p>
    <w:p>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33" w:name="_Toc33106443"/>
      <w:bookmarkStart w:id="134" w:name="_Toc57795920"/>
      <w:r>
        <w:rPr>
          <w:rFonts w:hint="eastAsia" w:ascii="宋体" w:hAnsi="宋体" w:cs="宋体"/>
          <w:color w:val="auto"/>
          <w:sz w:val="21"/>
          <w:szCs w:val="21"/>
          <w:highlight w:val="none"/>
        </w:rPr>
        <w:t>2.1报价排序</w:t>
      </w:r>
      <w:bookmarkEnd w:id="133"/>
      <w:r>
        <w:rPr>
          <w:rFonts w:hint="eastAsia" w:ascii="宋体" w:hAnsi="宋体" w:cs="宋体"/>
          <w:color w:val="auto"/>
          <w:sz w:val="21"/>
          <w:szCs w:val="21"/>
          <w:highlight w:val="none"/>
        </w:rPr>
        <w:t>标准</w:t>
      </w:r>
      <w:bookmarkEnd w:id="134"/>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见评标办法前附表。</w:t>
      </w:r>
    </w:p>
    <w:p>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35" w:name="_Toc33106444"/>
      <w:bookmarkStart w:id="136"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35"/>
      <w:r>
        <w:rPr>
          <w:rFonts w:hint="eastAsia" w:ascii="宋体" w:hAnsi="宋体" w:cs="宋体"/>
          <w:color w:val="auto"/>
          <w:sz w:val="21"/>
          <w:szCs w:val="21"/>
          <w:highlight w:val="none"/>
        </w:rPr>
        <w:t>标准</w:t>
      </w:r>
      <w:bookmarkEnd w:id="136"/>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按评标办法前附表约定的投标单位报价排序数量进行符合性审查</w:t>
      </w:r>
      <w:r>
        <w:rPr>
          <w:rFonts w:hint="eastAsia" w:ascii="宋体" w:hAnsi="宋体"/>
          <w:color w:val="auto"/>
          <w:spacing w:val="4"/>
          <w:kern w:val="0"/>
          <w:sz w:val="21"/>
          <w:szCs w:val="21"/>
          <w:highlight w:val="none"/>
        </w:rPr>
        <w:t>。符合性审查内容：技术方案评审（如有）、资格评审、形式评审、响应性、响应声明书部分及经济部分（如有）评审</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2.2.1  形式评审标准：见评标办法前附表。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2  资格评审标准：见评标办法前附表。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3  响应性评审标准：见评标办法前附表。</w:t>
      </w:r>
      <w:bookmarkStart w:id="137" w:name="_Toc33106445"/>
      <w:bookmarkStart w:id="138" w:name="_Toc8634"/>
      <w:bookmarkStart w:id="139" w:name="_Toc57795922"/>
    </w:p>
    <w:p>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lang w:val="en-US" w:eastAsia="zh-CN"/>
        </w:rPr>
      </w:pPr>
      <w:bookmarkStart w:id="140" w:name="_Toc32470"/>
      <w:bookmarkStart w:id="141" w:name="_Toc30556"/>
      <w:r>
        <w:rPr>
          <w:rFonts w:hint="eastAsia" w:ascii="宋体" w:hAnsi="宋体" w:cs="宋体"/>
          <w:color w:val="auto"/>
          <w:sz w:val="21"/>
          <w:szCs w:val="21"/>
          <w:highlight w:val="none"/>
          <w:lang w:val="en-US" w:eastAsia="zh-CN"/>
        </w:rPr>
        <w:t>3. 评标程序</w:t>
      </w:r>
      <w:bookmarkEnd w:id="137"/>
      <w:bookmarkEnd w:id="138"/>
      <w:bookmarkEnd w:id="139"/>
      <w:bookmarkEnd w:id="140"/>
      <w:bookmarkEnd w:id="141"/>
      <w:bookmarkStart w:id="142" w:name="_Toc57795923"/>
      <w:bookmarkStart w:id="143" w:name="_Toc33106446"/>
    </w:p>
    <w:p>
      <w:pPr>
        <w:pageBreakBefore w:val="0"/>
        <w:widowControl w:val="0"/>
        <w:kinsoku/>
        <w:wordWrap/>
        <w:overflowPunct/>
        <w:topLinePunct w:val="0"/>
        <w:bidi w:val="0"/>
        <w:snapToGrid/>
        <w:spacing w:line="400" w:lineRule="exact"/>
        <w:ind w:firstLine="413" w:firstLineChars="197"/>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3.1报价排序</w:t>
      </w:r>
      <w:bookmarkEnd w:id="142"/>
      <w:bookmarkEnd w:id="143"/>
    </w:p>
    <w:p>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对报价不高于最高限价的所有</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，按照报价由低到高的顺序排序。</w:t>
      </w:r>
    </w:p>
    <w:p>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44" w:name="_Toc33106447"/>
      <w:bookmarkStart w:id="145" w:name="_Toc57795924"/>
      <w:r>
        <w:rPr>
          <w:rFonts w:hint="eastAsia" w:ascii="宋体" w:hAnsi="宋体" w:cs="宋体"/>
          <w:color w:val="auto"/>
          <w:sz w:val="21"/>
          <w:szCs w:val="21"/>
          <w:highlight w:val="none"/>
        </w:rPr>
        <w:t>3.2符合性审查</w:t>
      </w:r>
      <w:bookmarkEnd w:id="144"/>
      <w:bookmarkEnd w:id="145"/>
    </w:p>
    <w:p>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.1评标委员会依据本章第2.</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款规定的标准对</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进行符合性审查。符合性审查顺序：形式评审、资格评审、响应性评审。</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报价人</w:t>
      </w:r>
      <w:r>
        <w:rPr>
          <w:rFonts w:ascii="宋体" w:hAnsi="宋体" w:cs="宋体"/>
          <w:color w:val="auto"/>
          <w:sz w:val="21"/>
          <w:szCs w:val="21"/>
          <w:highlight w:val="none"/>
        </w:rPr>
        <w:t>有以下情形之一的，</w:t>
      </w:r>
      <w:r>
        <w:rPr>
          <w:rFonts w:hint="eastAsia" w:ascii="宋体" w:hAnsi="宋体" w:cs="宋体"/>
          <w:color w:val="auto"/>
          <w:sz w:val="21"/>
          <w:szCs w:val="21"/>
          <w:highlight w:val="none"/>
        </w:rPr>
        <w:t>其</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将被否决：</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本次投标有串通投标、弄虚作假等其他违反招投标相关法律、法规行为的；</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（2）拒绝按评标委员会要求澄清、说明或补正的。</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3.2.3 投标报价有算术错误的，评标委员会按以下原则对投标报价进行修正，修正的价格经</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书面确认后具有约束力，修正原则如下：</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中的大写金额与小写金额不一致的，以大写金额为准；</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（2）响应声明书中的总报价与已标价采购清单总报价不一致的，由评标委员会作否决投标处理。</w:t>
      </w:r>
    </w:p>
    <w:p>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46" w:name="_Toc57795925"/>
      <w:bookmarkStart w:id="147" w:name="_Toc33106448"/>
      <w:r>
        <w:rPr>
          <w:rFonts w:hint="eastAsia" w:ascii="宋体" w:hAnsi="宋体" w:cs="宋体"/>
          <w:color w:val="auto"/>
          <w:sz w:val="21"/>
          <w:szCs w:val="21"/>
          <w:highlight w:val="none"/>
        </w:rPr>
        <w:t xml:space="preserve">3.3 </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的澄清和补正</w:t>
      </w:r>
      <w:bookmarkEnd w:id="146"/>
      <w:bookmarkEnd w:id="147"/>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.1 </w:t>
      </w:r>
      <w:r>
        <w:rPr>
          <w:rFonts w:hint="eastAsia" w:ascii="宋体" w:hAnsi="宋体" w:cs="宋体"/>
          <w:color w:val="auto"/>
          <w:sz w:val="21"/>
          <w:szCs w:val="21"/>
          <w:highlight w:val="none"/>
        </w:rPr>
        <w:t>在评标过程中，评标委员会可以书面形式要求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对所提交</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中不明确的内容进行书面澄清或说明，或者对细微偏差进行补正。评标委员会不接受</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主动提出的澄清、说明或补正。</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.2 </w:t>
      </w:r>
      <w:r>
        <w:rPr>
          <w:rFonts w:hint="eastAsia" w:ascii="宋体" w:hAnsi="宋体" w:cs="宋体"/>
          <w:color w:val="auto"/>
          <w:sz w:val="21"/>
          <w:szCs w:val="21"/>
          <w:highlight w:val="none"/>
        </w:rPr>
        <w:t>澄清、说明和补正不得改变</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的实质性内容（算术性错误修正的除外）。</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的书面澄清、说明和补正属于</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的组成部分。</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.3 </w:t>
      </w:r>
      <w:r>
        <w:rPr>
          <w:rFonts w:hint="eastAsia" w:ascii="宋体" w:hAnsi="宋体" w:cs="宋体"/>
          <w:color w:val="auto"/>
          <w:sz w:val="21"/>
          <w:szCs w:val="21"/>
          <w:highlight w:val="none"/>
        </w:rPr>
        <w:t>评标委员会对</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提交的澄清、说明或补正有疑问的，可以要求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进一步澄清、说明或补正，直至满足评标委员会的要求。</w:t>
      </w:r>
    </w:p>
    <w:p>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48" w:name="_Toc484465184"/>
      <w:bookmarkStart w:id="149" w:name="_Toc479262406"/>
      <w:bookmarkStart w:id="150" w:name="_Toc57795926"/>
      <w:bookmarkStart w:id="151" w:name="_Toc33106449"/>
      <w:r>
        <w:rPr>
          <w:rFonts w:hint="eastAsia" w:ascii="宋体" w:hAnsi="宋体" w:cs="宋体"/>
          <w:color w:val="auto"/>
          <w:sz w:val="21"/>
          <w:szCs w:val="21"/>
          <w:highlight w:val="none"/>
        </w:rPr>
        <w:t>3.4 评标结果</w:t>
      </w:r>
      <w:bookmarkEnd w:id="148"/>
      <w:bookmarkEnd w:id="149"/>
      <w:bookmarkEnd w:id="150"/>
      <w:bookmarkEnd w:id="151"/>
    </w:p>
    <w:p>
      <w:pPr>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outlineLvl w:val="9"/>
        <w:rPr>
          <w:rFonts w:ascii="宋体" w:hAnsi="宋体" w:cs="宋体"/>
          <w:color w:val="auto"/>
          <w:kern w:val="0"/>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.1</w:t>
      </w:r>
      <w:r>
        <w:rPr>
          <w:rFonts w:hint="eastAsia" w:ascii="宋体" w:hAnsi="宋体" w:cs="宋体"/>
          <w:color w:val="auto"/>
          <w:sz w:val="21"/>
          <w:szCs w:val="21"/>
          <w:highlight w:val="none"/>
        </w:rPr>
        <w:t xml:space="preserve"> 除第二章“</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须知”前附表授权直接确定中标人外，评标委员会按经评审的最低投标价法推荐中标候选人。</w:t>
      </w:r>
    </w:p>
    <w:p>
      <w:pPr>
        <w:pageBreakBefore w:val="0"/>
        <w:widowControl w:val="0"/>
        <w:kinsoku/>
        <w:wordWrap/>
        <w:overflowPunct/>
        <w:topLinePunct w:val="0"/>
        <w:bidi w:val="0"/>
        <w:snapToGrid/>
        <w:spacing w:line="400" w:lineRule="exact"/>
        <w:ind w:firstLine="420" w:firstLineChars="200"/>
        <w:jc w:val="left"/>
        <w:textAlignment w:val="auto"/>
        <w:outlineLvl w:val="9"/>
        <w:rPr>
          <w:rFonts w:ascii="宋体" w:hAnsi="宋体" w:cs="宋体"/>
          <w:color w:val="auto"/>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.2</w:t>
      </w:r>
      <w:r>
        <w:rPr>
          <w:rFonts w:hint="eastAsia" w:ascii="宋体" w:hAnsi="宋体" w:cs="宋体"/>
          <w:color w:val="auto"/>
          <w:sz w:val="21"/>
          <w:szCs w:val="21"/>
          <w:highlight w:val="none"/>
        </w:rPr>
        <w:t xml:space="preserve"> 评标委员会完成评标后，应当向采购人提交书面评标报告和中标候选人名单。</w:t>
      </w:r>
    </w:p>
    <w:p>
      <w:pPr>
        <w:pageBreakBefore w:val="0"/>
        <w:widowControl w:val="0"/>
        <w:kinsoku/>
        <w:wordWrap/>
        <w:overflowPunct/>
        <w:topLinePunct w:val="0"/>
        <w:bidi w:val="0"/>
        <w:snapToGrid/>
        <w:spacing w:line="400" w:lineRule="exact"/>
        <w:ind w:firstLine="420" w:firstLineChars="200"/>
        <w:jc w:val="left"/>
        <w:textAlignment w:val="auto"/>
        <w:rPr>
          <w:rFonts w:ascii="宋体" w:hAnsi="宋体" w:cs="宋体"/>
          <w:color w:val="auto"/>
          <w:szCs w:val="21"/>
          <w:highlight w:val="none"/>
        </w:rPr>
      </w:pPr>
    </w:p>
    <w:p>
      <w:pPr>
        <w:rPr>
          <w:rStyle w:val="82"/>
          <w:color w:val="auto"/>
          <w:highlight w:val="none"/>
        </w:rPr>
      </w:pPr>
      <w:r>
        <w:rPr>
          <w:rFonts w:hint="eastAsia" w:ascii="宋体" w:hAnsi="宋体" w:cs="宋体"/>
          <w:color w:val="auto"/>
          <w:szCs w:val="21"/>
          <w:highlight w:val="none"/>
        </w:rPr>
        <w:br w:type="page"/>
      </w:r>
    </w:p>
    <w:p>
      <w:pPr>
        <w:pStyle w:val="3"/>
        <w:spacing w:before="0" w:after="0" w:line="360" w:lineRule="auto"/>
        <w:jc w:val="center"/>
        <w:rPr>
          <w:rFonts w:hint="default" w:ascii="宋体" w:hAnsi="宋体" w:eastAsia="宋体" w:cs="宋体"/>
          <w:color w:val="auto"/>
          <w:highlight w:val="none"/>
          <w:lang w:val="en-US" w:eastAsia="zh-CN"/>
        </w:rPr>
      </w:pPr>
      <w:bookmarkStart w:id="152" w:name="_Toc514858707"/>
      <w:bookmarkStart w:id="153" w:name="_Toc503951043"/>
      <w:bookmarkStart w:id="154" w:name="_Toc447827049"/>
      <w:bookmarkStart w:id="155" w:name="_Toc179632804"/>
      <w:bookmarkStart w:id="156" w:name="_Toc247085870"/>
      <w:bookmarkStart w:id="157" w:name="_Toc246996353"/>
      <w:bookmarkStart w:id="158" w:name="_Toc144974854"/>
      <w:bookmarkStart w:id="159" w:name="_Toc152045785"/>
      <w:bookmarkStart w:id="160" w:name="_Toc2000411"/>
      <w:bookmarkStart w:id="161" w:name="_Toc246997096"/>
      <w:bookmarkStart w:id="162" w:name="_Toc152042574"/>
      <w:bookmarkStart w:id="163" w:name="_Toc513633964"/>
      <w:bookmarkStart w:id="164" w:name="_Toc26193"/>
      <w:bookmarkStart w:id="165" w:name="_Toc179632806"/>
      <w:bookmarkStart w:id="166" w:name="_Toc144974855"/>
      <w:bookmarkStart w:id="167" w:name="_Toc152045786"/>
      <w:bookmarkStart w:id="168" w:name="_Toc247085872"/>
      <w:bookmarkStart w:id="169" w:name="_Toc246997097"/>
      <w:bookmarkStart w:id="170" w:name="_Toc246996354"/>
      <w:bookmarkStart w:id="171" w:name="_Toc152042575"/>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52"/>
      <w:bookmarkEnd w:id="153"/>
      <w:bookmarkEnd w:id="154"/>
      <w:bookmarkEnd w:id="155"/>
      <w:bookmarkEnd w:id="156"/>
      <w:bookmarkEnd w:id="157"/>
      <w:bookmarkEnd w:id="158"/>
      <w:bookmarkEnd w:id="159"/>
      <w:bookmarkEnd w:id="160"/>
      <w:bookmarkEnd w:id="161"/>
      <w:bookmarkEnd w:id="162"/>
      <w:bookmarkEnd w:id="163"/>
      <w:r>
        <w:rPr>
          <w:rFonts w:hint="eastAsia" w:ascii="宋体" w:hAnsi="宋体" w:cs="宋体"/>
          <w:color w:val="auto"/>
          <w:highlight w:val="none"/>
          <w:lang w:val="en-US" w:eastAsia="zh-CN"/>
        </w:rPr>
        <w:t>服务要求</w:t>
      </w:r>
      <w:bookmarkEnd w:id="164"/>
    </w:p>
    <w:bookmarkEnd w:id="165"/>
    <w:bookmarkEnd w:id="166"/>
    <w:bookmarkEnd w:id="167"/>
    <w:bookmarkEnd w:id="168"/>
    <w:bookmarkEnd w:id="169"/>
    <w:bookmarkEnd w:id="170"/>
    <w:bookmarkEnd w:id="171"/>
    <w:p>
      <w:pPr>
        <w:pStyle w:val="29"/>
        <w:keepNext w:val="0"/>
        <w:keepLines w:val="0"/>
        <w:pageBreakBefore w:val="0"/>
        <w:widowControl w:val="0"/>
        <w:kinsoku/>
        <w:wordWrap/>
        <w:overflowPunct/>
        <w:topLinePunct w:val="0"/>
        <w:autoSpaceDE/>
        <w:autoSpaceDN/>
        <w:bidi w:val="0"/>
        <w:snapToGrid/>
        <w:spacing w:before="0" w:after="0" w:line="380" w:lineRule="exact"/>
        <w:ind w:firstLine="420" w:firstLineChars="200"/>
        <w:textAlignment w:val="auto"/>
        <w:rPr>
          <w:rFonts w:hint="default" w:ascii="宋体" w:hAnsi="宋体" w:eastAsia="宋体" w:cs="宋体"/>
          <w:b w:val="0"/>
          <w:bCs w:val="0"/>
          <w:color w:val="auto"/>
          <w:sz w:val="21"/>
          <w:szCs w:val="21"/>
          <w:highlight w:val="none"/>
          <w:lang w:val="en-US" w:eastAsia="zh-CN"/>
        </w:rPr>
      </w:pPr>
      <w:bookmarkStart w:id="172" w:name="_Toc514430114"/>
      <w:bookmarkStart w:id="173" w:name="_Toc2000412"/>
      <w:bookmarkStart w:id="174" w:name="_Toc514858708"/>
      <w:bookmarkStart w:id="175" w:name="_Toc247085873"/>
      <w:bookmarkStart w:id="176" w:name="_Toc152042576"/>
      <w:bookmarkStart w:id="177" w:name="_Toc144974856"/>
      <w:bookmarkStart w:id="178" w:name="_Toc507320039"/>
      <w:bookmarkStart w:id="179" w:name="_Toc179632807"/>
      <w:bookmarkStart w:id="180" w:name="_Toc246996355"/>
      <w:bookmarkStart w:id="181" w:name="_Toc152045787"/>
      <w:bookmarkStart w:id="182" w:name="_Toc246997098"/>
      <w:r>
        <w:rPr>
          <w:rFonts w:hint="eastAsia" w:ascii="宋体" w:hAnsi="宋体" w:cs="宋体"/>
          <w:b w:val="0"/>
          <w:bCs w:val="0"/>
          <w:color w:val="auto"/>
          <w:sz w:val="21"/>
          <w:szCs w:val="21"/>
          <w:highlight w:val="none"/>
          <w:lang w:val="en-US" w:eastAsia="zh-CN"/>
        </w:rPr>
        <w:t>一、服务内容</w:t>
      </w:r>
    </w:p>
    <w:tbl>
      <w:tblPr>
        <w:tblStyle w:val="42"/>
        <w:tblW w:w="4916" w:type="pct"/>
        <w:tblInd w:w="0" w:type="dxa"/>
        <w:tblLayout w:type="autofit"/>
        <w:tblCellMar>
          <w:top w:w="0" w:type="dxa"/>
          <w:left w:w="108" w:type="dxa"/>
          <w:bottom w:w="0" w:type="dxa"/>
          <w:right w:w="108" w:type="dxa"/>
        </w:tblCellMar>
      </w:tblPr>
      <w:tblGrid>
        <w:gridCol w:w="645"/>
        <w:gridCol w:w="1836"/>
        <w:gridCol w:w="1619"/>
        <w:gridCol w:w="1391"/>
        <w:gridCol w:w="1563"/>
        <w:gridCol w:w="1319"/>
      </w:tblGrid>
      <w:tr>
        <w:tblPrEx>
          <w:tblCellMar>
            <w:top w:w="0" w:type="dxa"/>
            <w:left w:w="108" w:type="dxa"/>
            <w:bottom w:w="0" w:type="dxa"/>
            <w:right w:w="108" w:type="dxa"/>
          </w:tblCellMar>
        </w:tblPrEx>
        <w:trPr>
          <w:trHeight w:val="454"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带宽</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数量</w:t>
            </w:r>
          </w:p>
        </w:tc>
        <w:tc>
          <w:tcPr>
            <w:tcW w:w="787"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tblPrEx>
          <w:tblCellMar>
            <w:top w:w="0" w:type="dxa"/>
            <w:left w:w="108" w:type="dxa"/>
            <w:bottom w:w="0" w:type="dxa"/>
            <w:right w:w="108" w:type="dxa"/>
          </w:tblCellMar>
        </w:tblPrEx>
        <w:trPr>
          <w:trHeight w:val="454"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百合收费站</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40M</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12个月</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1条</w:t>
            </w:r>
          </w:p>
        </w:tc>
        <w:tc>
          <w:tcPr>
            <w:tcW w:w="7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按照采购人要求连接指定网络设备，并保证互联网专线的安全性和可靠性。</w:t>
            </w:r>
          </w:p>
        </w:tc>
      </w:tr>
      <w:tr>
        <w:tblPrEx>
          <w:tblCellMar>
            <w:top w:w="0" w:type="dxa"/>
            <w:left w:w="108" w:type="dxa"/>
            <w:bottom w:w="0" w:type="dxa"/>
            <w:right w:w="108" w:type="dxa"/>
          </w:tblCellMar>
        </w:tblPrEx>
        <w:trPr>
          <w:trHeight w:val="454"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珞璜西收费站</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40M</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12个月</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1条</w:t>
            </w:r>
          </w:p>
        </w:tc>
        <w:tc>
          <w:tcPr>
            <w:tcW w:w="7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454"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支坪收费站</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40M</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12个月</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1条</w:t>
            </w:r>
          </w:p>
        </w:tc>
        <w:tc>
          <w:tcPr>
            <w:tcW w:w="7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454"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西彭收费站</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40M</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12个月</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1条</w:t>
            </w:r>
          </w:p>
        </w:tc>
        <w:tc>
          <w:tcPr>
            <w:tcW w:w="7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454"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双福南收费站</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50M</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12个月</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1条</w:t>
            </w:r>
          </w:p>
        </w:tc>
        <w:tc>
          <w:tcPr>
            <w:tcW w:w="7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454"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金凤服务区</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40M</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12个月</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1条</w:t>
            </w:r>
          </w:p>
        </w:tc>
        <w:tc>
          <w:tcPr>
            <w:tcW w:w="7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454"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青木关收费站</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40M</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12个月</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1条</w:t>
            </w:r>
          </w:p>
        </w:tc>
        <w:tc>
          <w:tcPr>
            <w:tcW w:w="7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454"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凤凰收费站</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40M</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12个月</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1条</w:t>
            </w:r>
          </w:p>
        </w:tc>
        <w:tc>
          <w:tcPr>
            <w:tcW w:w="7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454"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北碚南收费站</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50M</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12个月</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1条</w:t>
            </w:r>
          </w:p>
        </w:tc>
        <w:tc>
          <w:tcPr>
            <w:tcW w:w="7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454"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复兴服务区</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50M</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12个月</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1条</w:t>
            </w:r>
          </w:p>
        </w:tc>
        <w:tc>
          <w:tcPr>
            <w:tcW w:w="7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454"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果园港收费站</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40M</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12个月</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1条</w:t>
            </w:r>
          </w:p>
        </w:tc>
        <w:tc>
          <w:tcPr>
            <w:tcW w:w="7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rPr>
            </w:pPr>
          </w:p>
        </w:tc>
      </w:tr>
    </w:tbl>
    <w:p>
      <w:pPr>
        <w:pStyle w:val="29"/>
        <w:keepNext w:val="0"/>
        <w:keepLines w:val="0"/>
        <w:pageBreakBefore w:val="0"/>
        <w:widowControl w:val="0"/>
        <w:kinsoku/>
        <w:wordWrap/>
        <w:overflowPunct/>
        <w:topLinePunct w:val="0"/>
        <w:autoSpaceDE/>
        <w:autoSpaceDN/>
        <w:bidi w:val="0"/>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备注：</w:t>
      </w:r>
      <w:r>
        <w:rPr>
          <w:rFonts w:hint="eastAsia" w:ascii="宋体" w:hAnsi="宋体" w:eastAsia="宋体" w:cs="宋体"/>
          <w:b w:val="0"/>
          <w:bCs w:val="0"/>
          <w:color w:val="auto"/>
          <w:sz w:val="21"/>
          <w:szCs w:val="21"/>
          <w:highlight w:val="none"/>
        </w:rPr>
        <w:t>1、工程量清单应与本工程竞争性比选文件、技术标准和要求等文件结合起来查阅与理解。</w:t>
      </w:r>
    </w:p>
    <w:p>
      <w:pPr>
        <w:pStyle w:val="13"/>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2、本竞争性比选报价采用综合单价报价。综合单价是指完成1条互联网专线服务，确保正常使用的含上门安装、服务开通、税金以及故障解决等一切费用。</w:t>
      </w:r>
    </w:p>
    <w:p>
      <w:pPr>
        <w:pStyle w:val="29"/>
        <w:keepNext w:val="0"/>
        <w:keepLines w:val="0"/>
        <w:pageBreakBefore w:val="0"/>
        <w:widowControl w:val="0"/>
        <w:kinsoku/>
        <w:wordWrap/>
        <w:overflowPunct/>
        <w:topLinePunct w:val="0"/>
        <w:autoSpaceDE/>
        <w:autoSpaceDN/>
        <w:bidi w:val="0"/>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3、报价人应结合施工现场实际和现在的市场情况、自身技术及管理水平、经营状况、制定的服务方案制定报价，该报价不低于报价人完成该项目的成本。</w:t>
      </w:r>
    </w:p>
    <w:p>
      <w:pPr>
        <w:pStyle w:val="29"/>
        <w:keepNext w:val="0"/>
        <w:keepLines w:val="0"/>
        <w:pageBreakBefore w:val="0"/>
        <w:widowControl w:val="0"/>
        <w:kinsoku/>
        <w:wordWrap/>
        <w:overflowPunct/>
        <w:topLinePunct w:val="0"/>
        <w:autoSpaceDE/>
        <w:autoSpaceDN/>
        <w:bidi w:val="0"/>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4、报价中的单价和合价全部以人民币（元）表示。</w:t>
      </w:r>
    </w:p>
    <w:p>
      <w:pPr>
        <w:pStyle w:val="17"/>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5、合同为单价合同，合同期间不予调价。</w:t>
      </w:r>
    </w:p>
    <w:p>
      <w:pPr>
        <w:pStyle w:val="17"/>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二、其他相关要求</w:t>
      </w:r>
    </w:p>
    <w:p>
      <w:pPr>
        <w:pStyle w:val="17"/>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1、按照采购人要求连接指定网络设备，并保证互联网专线的安全性和可靠性。</w:t>
      </w:r>
    </w:p>
    <w:p>
      <w:pPr>
        <w:pStyle w:val="17"/>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2、40M和50M互联网专线电路，上下对称带宽；</w:t>
      </w:r>
    </w:p>
    <w:p>
      <w:pPr>
        <w:pStyle w:val="17"/>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3、报价人提供专人专线7×24小时服务；</w:t>
      </w:r>
    </w:p>
    <w:p>
      <w:pPr>
        <w:pStyle w:val="17"/>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4、报价人与其他运营商的互联网资源互联互通；</w:t>
      </w:r>
    </w:p>
    <w:p>
      <w:pPr>
        <w:pStyle w:val="17"/>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5、因报价人的原因，故障造成网络中断恢复时间不超过2小时；</w:t>
      </w:r>
    </w:p>
    <w:p>
      <w:pPr>
        <w:pStyle w:val="17"/>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6、到达通信骨干节点的网络延时不超过15ms；</w:t>
      </w:r>
    </w:p>
    <w:p>
      <w:pPr>
        <w:pStyle w:val="17"/>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7、在网络非繁忙时间，访问各大门户网站时延不超过40ms；</w:t>
      </w:r>
    </w:p>
    <w:p>
      <w:pPr>
        <w:pStyle w:val="17"/>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outlineLvl w:val="0"/>
        <w:rPr>
          <w:rFonts w:hint="eastAsia" w:ascii="宋体" w:hAnsi="宋体" w:cs="宋体"/>
          <w:color w:val="auto"/>
          <w:highlight w:val="none"/>
        </w:rPr>
      </w:pPr>
      <w:r>
        <w:rPr>
          <w:rFonts w:hint="eastAsia" w:ascii="宋体" w:hAnsi="宋体" w:eastAsia="宋体" w:cs="宋体"/>
          <w:color w:val="auto"/>
          <w:sz w:val="21"/>
          <w:szCs w:val="21"/>
          <w:highlight w:val="none"/>
        </w:rPr>
        <w:t>8、通过报价人网络访问其他运营商所承载的互联网资源时延不超过70ms</w:t>
      </w:r>
      <w:r>
        <w:rPr>
          <w:rFonts w:hint="eastAsia" w:ascii="宋体" w:hAnsi="宋体" w:eastAsia="宋体" w:cs="宋体"/>
          <w:color w:val="auto"/>
          <w:sz w:val="21"/>
          <w:szCs w:val="21"/>
          <w:highlight w:val="none"/>
          <w:lang w:eastAsia="zh-CN"/>
        </w:rPr>
        <w:t>。</w:t>
      </w:r>
      <w:r>
        <w:rPr>
          <w:rFonts w:hint="eastAsia" w:ascii="宋体" w:hAnsi="宋体" w:cs="宋体"/>
          <w:color w:val="auto"/>
          <w:highlight w:val="none"/>
        </w:rPr>
        <w:br w:type="page"/>
      </w:r>
      <w:bookmarkStart w:id="183" w:name="_Toc2248"/>
    </w:p>
    <w:p>
      <w:pPr>
        <w:pStyle w:val="17"/>
        <w:keepNext w:val="0"/>
        <w:keepLines w:val="0"/>
        <w:pageBreakBefore w:val="0"/>
        <w:widowControl w:val="0"/>
        <w:kinsoku/>
        <w:wordWrap/>
        <w:overflowPunct/>
        <w:topLinePunct w:val="0"/>
        <w:autoSpaceDE/>
        <w:autoSpaceDN/>
        <w:bidi w:val="0"/>
        <w:adjustRightInd/>
        <w:snapToGrid/>
        <w:spacing w:after="0" w:line="1000" w:lineRule="exact"/>
        <w:ind w:firstLine="0" w:firstLineChars="0"/>
        <w:jc w:val="center"/>
        <w:textAlignment w:val="auto"/>
        <w:outlineLvl w:val="0"/>
        <w:rPr>
          <w:rFonts w:hAnsi="宋体" w:cs="方正小标宋_GBK"/>
          <w:b/>
          <w:color w:val="auto"/>
          <w:sz w:val="44"/>
          <w:szCs w:val="44"/>
          <w:highlight w:val="none"/>
        </w:rPr>
      </w:pPr>
      <w:r>
        <w:rPr>
          <w:rFonts w:hint="eastAsia" w:ascii="宋体" w:hAnsi="宋体" w:eastAsia="宋体" w:cs="宋体"/>
          <w:b/>
          <w:bCs/>
          <w:color w:val="auto"/>
          <w:kern w:val="44"/>
          <w:sz w:val="44"/>
          <w:szCs w:val="44"/>
          <w:highlight w:val="none"/>
          <w:lang w:val="en-US" w:eastAsia="zh-CN" w:bidi="ar-SA"/>
        </w:rPr>
        <w:t xml:space="preserve">第五章  </w:t>
      </w:r>
      <w:bookmarkEnd w:id="172"/>
      <w:bookmarkEnd w:id="173"/>
      <w:bookmarkEnd w:id="174"/>
      <w:r>
        <w:rPr>
          <w:rFonts w:hint="eastAsia" w:ascii="宋体" w:hAnsi="宋体" w:eastAsia="宋体" w:cs="宋体"/>
          <w:b/>
          <w:bCs/>
          <w:color w:val="auto"/>
          <w:kern w:val="44"/>
          <w:sz w:val="44"/>
          <w:szCs w:val="44"/>
          <w:highlight w:val="none"/>
          <w:lang w:val="en-US" w:eastAsia="zh-CN" w:bidi="ar-SA"/>
        </w:rPr>
        <w:t>合同范本</w:t>
      </w:r>
      <w:bookmarkEnd w:id="183"/>
    </w:p>
    <w:p>
      <w:pPr>
        <w:jc w:val="center"/>
        <w:rPr>
          <w:rFonts w:hint="eastAsia" w:ascii="仿宋" w:hAnsi="仿宋" w:eastAsia="仿宋" w:cs="仿宋"/>
          <w:color w:val="auto"/>
          <w:szCs w:val="21"/>
          <w:highlight w:val="none"/>
          <w:lang w:val="en-US" w:eastAsia="zh-CN"/>
        </w:rPr>
      </w:pPr>
    </w:p>
    <w:p>
      <w:pPr>
        <w:spacing w:line="540" w:lineRule="exact"/>
        <w:jc w:val="center"/>
        <w:rPr>
          <w:rFonts w:hint="eastAsia" w:ascii="黑体" w:eastAsia="黑体"/>
          <w:b/>
          <w:bCs/>
          <w:color w:val="auto"/>
          <w:sz w:val="52"/>
          <w:szCs w:val="52"/>
          <w:highlight w:val="none"/>
        </w:rPr>
      </w:pPr>
      <w:r>
        <w:rPr>
          <w:rFonts w:hint="eastAsia" w:ascii="黑体" w:eastAsia="黑体"/>
          <w:b/>
          <w:bCs/>
          <w:color w:val="auto"/>
          <w:sz w:val="52"/>
          <w:szCs w:val="52"/>
          <w:highlight w:val="none"/>
        </w:rPr>
        <w:t xml:space="preserve"> </w:t>
      </w:r>
    </w:p>
    <w:p>
      <w:pPr>
        <w:rPr>
          <w:rFonts w:hint="eastAsia" w:ascii="黑体" w:eastAsia="黑体"/>
          <w:b/>
          <w:bCs/>
          <w:color w:val="auto"/>
          <w:sz w:val="52"/>
          <w:szCs w:val="52"/>
          <w:highlight w:val="none"/>
        </w:rPr>
      </w:pPr>
      <w:r>
        <w:rPr>
          <w:rFonts w:hint="eastAsia" w:ascii="黑体" w:eastAsia="黑体"/>
          <w:b/>
          <w:bCs/>
          <w:color w:val="auto"/>
          <w:sz w:val="52"/>
          <w:szCs w:val="52"/>
          <w:highlight w:val="none"/>
        </w:rPr>
        <w:br w:type="page"/>
      </w:r>
    </w:p>
    <w:p>
      <w:pPr>
        <w:spacing w:line="540" w:lineRule="exact"/>
        <w:jc w:val="center"/>
        <w:rPr>
          <w:rFonts w:ascii="黑体" w:eastAsia="黑体"/>
          <w:b/>
          <w:bCs/>
          <w:color w:val="auto"/>
          <w:sz w:val="52"/>
          <w:szCs w:val="52"/>
          <w:highlight w:val="none"/>
        </w:rPr>
      </w:pPr>
      <w:r>
        <w:rPr>
          <w:rFonts w:hint="eastAsia" w:ascii="黑体" w:eastAsia="黑体"/>
          <w:b/>
          <w:bCs/>
          <w:color w:val="auto"/>
          <w:sz w:val="52"/>
          <w:szCs w:val="52"/>
          <w:highlight w:val="none"/>
        </w:rPr>
        <w:t>基于高速公路应用互联网专线服务</w:t>
      </w:r>
      <w:r>
        <w:rPr>
          <w:rFonts w:hint="eastAsia" w:ascii="黑体" w:eastAsia="黑体"/>
          <w:b/>
          <w:bCs/>
          <w:color w:val="auto"/>
          <w:sz w:val="52"/>
          <w:szCs w:val="52"/>
          <w:highlight w:val="none"/>
          <w:lang w:val="en-US" w:eastAsia="zh-CN"/>
        </w:rPr>
        <w:t>采购</w:t>
      </w:r>
      <w:r>
        <w:rPr>
          <w:rFonts w:hint="eastAsia" w:ascii="黑体" w:eastAsia="黑体"/>
          <w:b/>
          <w:bCs/>
          <w:color w:val="auto"/>
          <w:sz w:val="52"/>
          <w:szCs w:val="52"/>
          <w:highlight w:val="none"/>
        </w:rPr>
        <w:t>协议</w:t>
      </w:r>
    </w:p>
    <w:p>
      <w:pPr>
        <w:spacing w:line="540" w:lineRule="exact"/>
        <w:rPr>
          <w:color w:val="auto"/>
          <w:sz w:val="28"/>
          <w:szCs w:val="28"/>
          <w:highlight w:val="none"/>
        </w:rPr>
      </w:pPr>
    </w:p>
    <w:p>
      <w:pPr>
        <w:spacing w:line="540" w:lineRule="exact"/>
        <w:rPr>
          <w:color w:val="auto"/>
          <w:sz w:val="28"/>
          <w:szCs w:val="28"/>
          <w:highlight w:val="none"/>
        </w:rPr>
      </w:pPr>
    </w:p>
    <w:p>
      <w:pPr>
        <w:spacing w:line="460" w:lineRule="exact"/>
        <w:ind w:firstLine="280" w:firstLineChars="100"/>
        <w:rPr>
          <w:rFonts w:hint="eastAsia"/>
          <w:bCs/>
          <w:color w:val="auto"/>
          <w:sz w:val="28"/>
          <w:szCs w:val="28"/>
          <w:highlight w:val="none"/>
        </w:rPr>
      </w:pPr>
      <w:r>
        <w:rPr>
          <w:bCs/>
          <w:color w:val="auto"/>
          <w:sz w:val="28"/>
          <w:szCs w:val="28"/>
          <w:highlight w:val="none"/>
        </w:rPr>
        <w:t>甲方：</w:t>
      </w:r>
      <w:r>
        <w:rPr>
          <w:rFonts w:hint="eastAsia"/>
          <w:bCs/>
          <w:color w:val="auto"/>
          <w:sz w:val="28"/>
          <w:szCs w:val="28"/>
          <w:highlight w:val="none"/>
        </w:rPr>
        <w:t xml:space="preserve"> 重庆首讯科技股份有限公司</w:t>
      </w:r>
    </w:p>
    <w:p>
      <w:pPr>
        <w:spacing w:line="460" w:lineRule="exact"/>
        <w:ind w:firstLine="280" w:firstLineChars="100"/>
        <w:rPr>
          <w:rFonts w:hint="eastAsia" w:eastAsia="仿宋_GB2312"/>
          <w:bCs/>
          <w:color w:val="auto"/>
          <w:sz w:val="28"/>
          <w:szCs w:val="28"/>
          <w:highlight w:val="none"/>
          <w:lang w:val="en-US" w:eastAsia="zh-CN"/>
        </w:rPr>
      </w:pPr>
      <w:r>
        <w:rPr>
          <w:rFonts w:hint="eastAsia"/>
          <w:bCs/>
          <w:color w:val="auto"/>
          <w:sz w:val="28"/>
          <w:szCs w:val="28"/>
          <w:highlight w:val="none"/>
        </w:rPr>
        <w:t>法定代表人/负责人：</w:t>
      </w:r>
      <w:r>
        <w:rPr>
          <w:rFonts w:hint="eastAsia"/>
          <w:bCs/>
          <w:color w:val="auto"/>
          <w:sz w:val="28"/>
          <w:szCs w:val="28"/>
          <w:highlight w:val="none"/>
          <w:lang w:val="en-US" w:eastAsia="zh-CN"/>
        </w:rPr>
        <w:t>张强</w:t>
      </w:r>
    </w:p>
    <w:p>
      <w:pPr>
        <w:spacing w:line="460" w:lineRule="exact"/>
        <w:ind w:firstLine="280" w:firstLineChars="100"/>
        <w:rPr>
          <w:bCs/>
          <w:color w:val="auto"/>
          <w:sz w:val="28"/>
          <w:szCs w:val="28"/>
          <w:highlight w:val="none"/>
        </w:rPr>
      </w:pPr>
      <w:r>
        <w:rPr>
          <w:bCs/>
          <w:color w:val="auto"/>
          <w:sz w:val="28"/>
          <w:szCs w:val="28"/>
          <w:highlight w:val="none"/>
        </w:rPr>
        <w:t>地址：</w:t>
      </w:r>
    </w:p>
    <w:p>
      <w:pPr>
        <w:spacing w:line="460" w:lineRule="exact"/>
        <w:ind w:firstLine="280" w:firstLineChars="100"/>
        <w:rPr>
          <w:rFonts w:hint="eastAsia" w:eastAsia="仿宋_GB2312"/>
          <w:bCs/>
          <w:color w:val="auto"/>
          <w:sz w:val="28"/>
          <w:szCs w:val="28"/>
          <w:highlight w:val="none"/>
          <w:lang w:val="en-US" w:eastAsia="zh-CN"/>
        </w:rPr>
      </w:pPr>
      <w:r>
        <w:rPr>
          <w:bCs/>
          <w:color w:val="auto"/>
          <w:sz w:val="28"/>
          <w:szCs w:val="28"/>
          <w:highlight w:val="none"/>
        </w:rPr>
        <w:t>联系人：</w:t>
      </w:r>
    </w:p>
    <w:p>
      <w:pPr>
        <w:spacing w:line="460" w:lineRule="exact"/>
        <w:ind w:firstLine="280" w:firstLineChars="100"/>
        <w:rPr>
          <w:rFonts w:hint="default" w:eastAsia="仿宋_GB2312"/>
          <w:bCs/>
          <w:color w:val="auto"/>
          <w:sz w:val="28"/>
          <w:szCs w:val="28"/>
          <w:highlight w:val="none"/>
          <w:lang w:val="en-US" w:eastAsia="zh-CN"/>
        </w:rPr>
      </w:pPr>
      <w:r>
        <w:rPr>
          <w:bCs/>
          <w:color w:val="auto"/>
          <w:sz w:val="28"/>
          <w:szCs w:val="28"/>
          <w:highlight w:val="none"/>
        </w:rPr>
        <w:t>电话</w:t>
      </w:r>
      <w:r>
        <w:rPr>
          <w:rFonts w:hint="eastAsia"/>
          <w:bCs/>
          <w:color w:val="auto"/>
          <w:sz w:val="28"/>
          <w:szCs w:val="28"/>
          <w:highlight w:val="none"/>
          <w:lang w:eastAsia="zh-CN"/>
        </w:rPr>
        <w:t>：</w:t>
      </w:r>
    </w:p>
    <w:p>
      <w:pPr>
        <w:spacing w:line="460" w:lineRule="exact"/>
        <w:rPr>
          <w:bCs/>
          <w:color w:val="auto"/>
          <w:sz w:val="28"/>
          <w:szCs w:val="28"/>
          <w:highlight w:val="none"/>
        </w:rPr>
      </w:pPr>
    </w:p>
    <w:p>
      <w:pPr>
        <w:spacing w:line="460" w:lineRule="exact"/>
        <w:rPr>
          <w:bCs/>
          <w:color w:val="auto"/>
          <w:sz w:val="28"/>
          <w:szCs w:val="28"/>
          <w:highlight w:val="none"/>
        </w:rPr>
      </w:pPr>
    </w:p>
    <w:p>
      <w:pPr>
        <w:spacing w:line="460" w:lineRule="exact"/>
        <w:rPr>
          <w:bCs/>
          <w:color w:val="auto"/>
          <w:sz w:val="28"/>
          <w:szCs w:val="28"/>
          <w:highlight w:val="none"/>
        </w:rPr>
      </w:pPr>
    </w:p>
    <w:p>
      <w:pPr>
        <w:spacing w:line="460" w:lineRule="exact"/>
        <w:ind w:left="224" w:leftChars="88" w:hanging="39" w:hangingChars="14"/>
        <w:rPr>
          <w:rFonts w:ascii="宋体" w:hAnsi="宋体" w:eastAsia="宋体" w:cs="宋体"/>
          <w:color w:val="auto"/>
          <w:szCs w:val="21"/>
          <w:highlight w:val="none"/>
        </w:rPr>
      </w:pPr>
      <w:r>
        <w:rPr>
          <w:rFonts w:hint="eastAsia"/>
          <w:color w:val="auto"/>
          <w:sz w:val="28"/>
          <w:szCs w:val="28"/>
          <w:highlight w:val="none"/>
        </w:rPr>
        <w:t>乙方：</w:t>
      </w:r>
    </w:p>
    <w:p>
      <w:pPr>
        <w:spacing w:line="460" w:lineRule="exact"/>
        <w:ind w:firstLine="280" w:firstLineChars="100"/>
        <w:rPr>
          <w:bCs/>
          <w:color w:val="auto"/>
          <w:sz w:val="28"/>
          <w:szCs w:val="28"/>
          <w:highlight w:val="none"/>
        </w:rPr>
      </w:pPr>
      <w:r>
        <w:rPr>
          <w:rFonts w:hint="eastAsia"/>
          <w:bCs/>
          <w:color w:val="auto"/>
          <w:sz w:val="28"/>
          <w:szCs w:val="28"/>
          <w:highlight w:val="none"/>
        </w:rPr>
        <w:t>负责人：</w:t>
      </w:r>
    </w:p>
    <w:p>
      <w:pPr>
        <w:spacing w:line="460" w:lineRule="exact"/>
        <w:ind w:firstLine="280" w:firstLineChars="100"/>
        <w:rPr>
          <w:bCs/>
          <w:color w:val="auto"/>
          <w:sz w:val="28"/>
          <w:szCs w:val="28"/>
          <w:highlight w:val="none"/>
        </w:rPr>
      </w:pPr>
      <w:r>
        <w:rPr>
          <w:rFonts w:hint="eastAsia"/>
          <w:bCs/>
          <w:color w:val="auto"/>
          <w:sz w:val="28"/>
          <w:szCs w:val="28"/>
          <w:highlight w:val="none"/>
        </w:rPr>
        <w:t>地址：</w:t>
      </w:r>
    </w:p>
    <w:p>
      <w:pPr>
        <w:spacing w:line="460" w:lineRule="exact"/>
        <w:ind w:firstLine="280" w:firstLineChars="100"/>
        <w:rPr>
          <w:bCs/>
          <w:color w:val="auto"/>
          <w:sz w:val="28"/>
          <w:szCs w:val="28"/>
          <w:highlight w:val="none"/>
        </w:rPr>
      </w:pPr>
      <w:r>
        <w:rPr>
          <w:rFonts w:hint="eastAsia"/>
          <w:bCs/>
          <w:color w:val="auto"/>
          <w:sz w:val="28"/>
          <w:szCs w:val="28"/>
          <w:highlight w:val="none"/>
        </w:rPr>
        <w:t>联系人：</w:t>
      </w:r>
    </w:p>
    <w:p>
      <w:pPr>
        <w:spacing w:line="460" w:lineRule="exact"/>
        <w:ind w:firstLine="280" w:firstLineChars="100"/>
        <w:rPr>
          <w:bCs/>
          <w:color w:val="auto"/>
          <w:sz w:val="28"/>
          <w:szCs w:val="28"/>
          <w:highlight w:val="none"/>
        </w:rPr>
      </w:pPr>
      <w:r>
        <w:rPr>
          <w:rFonts w:hint="eastAsia"/>
          <w:bCs/>
          <w:color w:val="auto"/>
          <w:sz w:val="28"/>
          <w:szCs w:val="28"/>
          <w:highlight w:val="none"/>
        </w:rPr>
        <w:t>电话：</w:t>
      </w:r>
    </w:p>
    <w:p>
      <w:pPr>
        <w:spacing w:line="460" w:lineRule="exact"/>
        <w:ind w:firstLine="280" w:firstLineChars="100"/>
        <w:rPr>
          <w:color w:val="auto"/>
          <w:sz w:val="28"/>
          <w:szCs w:val="28"/>
          <w:highlight w:val="none"/>
        </w:rPr>
      </w:pPr>
      <w:r>
        <w:rPr>
          <w:rFonts w:hint="eastAsia"/>
          <w:color w:val="auto"/>
          <w:sz w:val="28"/>
          <w:szCs w:val="28"/>
          <w:highlight w:val="none"/>
        </w:rPr>
        <w:t xml:space="preserve">       </w:t>
      </w:r>
    </w:p>
    <w:p>
      <w:pPr>
        <w:spacing w:line="460" w:lineRule="exact"/>
        <w:ind w:firstLine="280" w:firstLineChars="100"/>
        <w:rPr>
          <w:color w:val="auto"/>
          <w:sz w:val="28"/>
          <w:szCs w:val="28"/>
          <w:highlight w:val="none"/>
        </w:rPr>
      </w:pPr>
    </w:p>
    <w:p>
      <w:pPr>
        <w:spacing w:line="460" w:lineRule="exact"/>
        <w:ind w:firstLine="280" w:firstLineChars="100"/>
        <w:rPr>
          <w:color w:val="auto"/>
          <w:sz w:val="28"/>
          <w:szCs w:val="28"/>
          <w:highlight w:val="none"/>
        </w:rPr>
      </w:pPr>
    </w:p>
    <w:p>
      <w:pPr>
        <w:spacing w:line="460" w:lineRule="exact"/>
        <w:ind w:firstLine="280" w:firstLineChars="100"/>
        <w:rPr>
          <w:color w:val="auto"/>
          <w:sz w:val="28"/>
          <w:szCs w:val="28"/>
          <w:highlight w:val="none"/>
        </w:rPr>
      </w:pPr>
    </w:p>
    <w:p>
      <w:pPr>
        <w:spacing w:line="460" w:lineRule="exact"/>
        <w:rPr>
          <w:bCs/>
          <w:color w:val="auto"/>
          <w:sz w:val="28"/>
          <w:szCs w:val="28"/>
          <w:highlight w:val="none"/>
        </w:rPr>
      </w:pPr>
    </w:p>
    <w:p>
      <w:pPr>
        <w:spacing w:line="460" w:lineRule="exact"/>
        <w:rPr>
          <w:bCs/>
          <w:color w:val="auto"/>
          <w:sz w:val="28"/>
          <w:szCs w:val="28"/>
          <w:highlight w:val="none"/>
        </w:rPr>
      </w:pPr>
    </w:p>
    <w:p>
      <w:pPr>
        <w:spacing w:line="460" w:lineRule="exact"/>
        <w:jc w:val="center"/>
        <w:rPr>
          <w:bCs/>
          <w:color w:val="auto"/>
          <w:sz w:val="28"/>
          <w:szCs w:val="28"/>
          <w:highlight w:val="none"/>
        </w:rPr>
      </w:pPr>
      <w:r>
        <w:rPr>
          <w:bCs/>
          <w:color w:val="auto"/>
          <w:sz w:val="28"/>
          <w:szCs w:val="28"/>
          <w:highlight w:val="none"/>
        </w:rPr>
        <w:t>签订日期：二</w:t>
      </w:r>
      <w:r>
        <w:rPr>
          <w:rFonts w:hint="eastAsia"/>
          <w:bCs/>
          <w:color w:val="auto"/>
          <w:sz w:val="28"/>
          <w:szCs w:val="28"/>
          <w:highlight w:val="none"/>
        </w:rPr>
        <w:t>○二</w:t>
      </w:r>
      <w:r>
        <w:rPr>
          <w:rFonts w:hint="eastAsia"/>
          <w:bCs/>
          <w:color w:val="auto"/>
          <w:sz w:val="28"/>
          <w:szCs w:val="28"/>
          <w:highlight w:val="none"/>
          <w:lang w:val="en-US" w:eastAsia="zh-CN"/>
        </w:rPr>
        <w:t>五</w:t>
      </w:r>
      <w:r>
        <w:rPr>
          <w:bCs/>
          <w:color w:val="auto"/>
          <w:sz w:val="28"/>
          <w:szCs w:val="28"/>
          <w:highlight w:val="none"/>
        </w:rPr>
        <w:t>年</w:t>
      </w:r>
      <w:r>
        <w:rPr>
          <w:rFonts w:hint="eastAsia"/>
          <w:bCs/>
          <w:color w:val="auto"/>
          <w:sz w:val="28"/>
          <w:szCs w:val="28"/>
          <w:highlight w:val="none"/>
        </w:rPr>
        <w:t xml:space="preserve">   </w:t>
      </w:r>
      <w:r>
        <w:rPr>
          <w:bCs/>
          <w:color w:val="auto"/>
          <w:sz w:val="28"/>
          <w:szCs w:val="28"/>
          <w:highlight w:val="none"/>
        </w:rPr>
        <w:t>月</w:t>
      </w:r>
      <w:r>
        <w:rPr>
          <w:rFonts w:hint="eastAsia"/>
          <w:bCs/>
          <w:color w:val="auto"/>
          <w:sz w:val="28"/>
          <w:szCs w:val="28"/>
          <w:highlight w:val="none"/>
        </w:rPr>
        <w:t xml:space="preserve">   </w:t>
      </w:r>
      <w:r>
        <w:rPr>
          <w:bCs/>
          <w:color w:val="auto"/>
          <w:sz w:val="28"/>
          <w:szCs w:val="28"/>
          <w:highlight w:val="none"/>
        </w:rPr>
        <w:t>日</w:t>
      </w:r>
    </w:p>
    <w:p>
      <w:pPr>
        <w:spacing w:line="460" w:lineRule="exact"/>
        <w:jc w:val="center"/>
        <w:rPr>
          <w:bCs/>
          <w:color w:val="auto"/>
          <w:sz w:val="28"/>
          <w:szCs w:val="28"/>
          <w:highlight w:val="none"/>
        </w:rPr>
      </w:pPr>
      <w:r>
        <w:rPr>
          <w:bCs/>
          <w:color w:val="auto"/>
          <w:sz w:val="28"/>
          <w:szCs w:val="28"/>
          <w:highlight w:val="none"/>
        </w:rPr>
        <w:t>签订地点：中国·重庆</w:t>
      </w:r>
    </w:p>
    <w:p>
      <w:pPr>
        <w:spacing w:line="360" w:lineRule="exact"/>
        <w:ind w:firstLine="560" w:firstLineChars="200"/>
        <w:rPr>
          <w:rFonts w:hint="eastAsia" w:ascii="仿宋" w:hAnsi="仿宋" w:eastAsia="仿宋" w:cs="仿宋"/>
          <w:color w:val="auto"/>
          <w:sz w:val="24"/>
          <w:szCs w:val="24"/>
          <w:highlight w:val="none"/>
        </w:rPr>
      </w:pPr>
      <w:r>
        <w:rPr>
          <w:rFonts w:hint="eastAsia" w:ascii="仿宋_GB2312"/>
          <w:color w:val="auto"/>
          <w:sz w:val="28"/>
          <w:szCs w:val="28"/>
          <w:highlight w:val="none"/>
        </w:rPr>
        <w:br w:type="page"/>
      </w:r>
      <w:r>
        <w:rPr>
          <w:rFonts w:hint="eastAsia" w:ascii="仿宋" w:hAnsi="仿宋" w:eastAsia="仿宋" w:cs="仿宋"/>
          <w:color w:val="auto"/>
          <w:sz w:val="24"/>
          <w:highlight w:val="none"/>
        </w:rPr>
        <w:t>依照《中华人民共和国民法典》及有关法律、法规的规定，就乙方向甲方提供</w:t>
      </w:r>
      <w:r>
        <w:rPr>
          <w:rFonts w:hint="eastAsia" w:ascii="仿宋" w:hAnsi="仿宋" w:eastAsia="仿宋" w:cs="仿宋"/>
          <w:color w:val="auto"/>
          <w:sz w:val="24"/>
          <w:highlight w:val="none"/>
          <w:u w:val="single"/>
        </w:rPr>
        <w:t>网络宽带专线服务</w:t>
      </w:r>
      <w:r>
        <w:rPr>
          <w:rFonts w:hint="eastAsia" w:ascii="仿宋" w:hAnsi="仿宋" w:eastAsia="仿宋" w:cs="仿宋"/>
          <w:color w:val="auto"/>
          <w:sz w:val="24"/>
          <w:highlight w:val="none"/>
        </w:rPr>
        <w:t>业务，甲、乙双方经友好协商，本着真诚合作、互惠互利平等自愿的原则，经协商一致达成如下条款，以资双方共同遵守。</w:t>
      </w:r>
    </w:p>
    <w:p>
      <w:pPr>
        <w:spacing w:line="360" w:lineRule="exact"/>
        <w:ind w:firstLine="480" w:firstLineChars="200"/>
        <w:rPr>
          <w:rFonts w:hint="eastAsia" w:ascii="仿宋_GB2312"/>
          <w:color w:val="auto"/>
          <w:sz w:val="28"/>
          <w:szCs w:val="28"/>
          <w:highlight w:val="none"/>
        </w:rPr>
      </w:pPr>
      <w:r>
        <w:rPr>
          <w:rFonts w:hint="eastAsia" w:ascii="仿宋" w:hAnsi="仿宋" w:eastAsia="仿宋" w:cs="仿宋"/>
          <w:b/>
          <w:color w:val="auto"/>
          <w:sz w:val="24"/>
          <w:szCs w:val="24"/>
          <w:highlight w:val="none"/>
        </w:rPr>
        <w:t>第一条</w:t>
      </w:r>
      <w:r>
        <w:rPr>
          <w:rFonts w:hint="eastAsia" w:ascii="仿宋" w:hAnsi="仿宋" w:eastAsia="仿宋" w:cs="仿宋"/>
          <w:b/>
          <w:color w:val="auto"/>
          <w:sz w:val="24"/>
          <w:highlight w:val="none"/>
        </w:rPr>
        <w:t xml:space="preserve"> 项目概况</w:t>
      </w:r>
    </w:p>
    <w:p>
      <w:pPr>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1.1服务地点：</w:t>
      </w:r>
      <w:r>
        <w:rPr>
          <w:rFonts w:hint="eastAsia" w:ascii="仿宋" w:hAnsi="仿宋" w:eastAsia="仿宋" w:cs="仿宋"/>
          <w:color w:val="auto"/>
          <w:sz w:val="24"/>
          <w:highlight w:val="none"/>
          <w:lang w:val="en-US" w:eastAsia="zh-CN"/>
        </w:rPr>
        <w:t>各个收费站</w:t>
      </w:r>
      <w:r>
        <w:rPr>
          <w:rFonts w:hint="eastAsia" w:ascii="仿宋" w:hAnsi="仿宋" w:eastAsia="仿宋" w:cs="仿宋"/>
          <w:color w:val="auto"/>
          <w:sz w:val="24"/>
          <w:highlight w:val="none"/>
        </w:rPr>
        <w:t>（具体位置以甲方通知为准）。</w:t>
      </w:r>
    </w:p>
    <w:p>
      <w:pPr>
        <w:spacing w:line="360" w:lineRule="exact"/>
        <w:ind w:firstLine="480" w:firstLineChars="200"/>
        <w:rPr>
          <w:rFonts w:hint="eastAsia" w:ascii="仿宋_GB2312"/>
          <w:color w:val="auto"/>
          <w:sz w:val="28"/>
          <w:szCs w:val="28"/>
          <w:highlight w:val="none"/>
        </w:rPr>
      </w:pPr>
      <w:r>
        <w:rPr>
          <w:rFonts w:hint="eastAsia" w:ascii="仿宋" w:hAnsi="仿宋" w:eastAsia="仿宋" w:cs="仿宋"/>
          <w:color w:val="auto"/>
          <w:sz w:val="24"/>
          <w:highlight w:val="none"/>
        </w:rPr>
        <w:t>1.2服务期限：自网络服务开通之日起</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年。</w:t>
      </w:r>
    </w:p>
    <w:p>
      <w:pPr>
        <w:spacing w:line="360" w:lineRule="exact"/>
        <w:ind w:firstLine="480"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第二条 服务内容</w:t>
      </w:r>
    </w:p>
    <w:p>
      <w:pPr>
        <w:spacing w:line="360" w:lineRule="exact"/>
        <w:ind w:firstLine="480" w:firstLineChars="200"/>
        <w:rPr>
          <w:rFonts w:hint="default" w:ascii="仿宋" w:hAnsi="仿宋" w:eastAsia="仿宋" w:cs="仿宋"/>
          <w:color w:val="auto"/>
          <w:sz w:val="24"/>
          <w:highlight w:val="none"/>
          <w:lang w:val="en-US" w:eastAsia="zh-CN"/>
        </w:rPr>
      </w:pPr>
      <w:r>
        <w:rPr>
          <w:rFonts w:ascii="仿宋" w:hAnsi="仿宋" w:eastAsia="仿宋" w:cs="仿宋"/>
          <w:color w:val="auto"/>
          <w:sz w:val="24"/>
          <w:highlight w:val="none"/>
        </w:rPr>
        <w:t>2.1甲方</w:t>
      </w:r>
      <w:r>
        <w:rPr>
          <w:rFonts w:hint="eastAsia" w:ascii="仿宋" w:hAnsi="仿宋" w:eastAsia="仿宋" w:cs="仿宋"/>
          <w:color w:val="auto"/>
          <w:sz w:val="24"/>
          <w:highlight w:val="none"/>
        </w:rPr>
        <w:t>使用乙方1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条互联网专线</w:t>
      </w:r>
      <w:r>
        <w:rPr>
          <w:rFonts w:ascii="仿宋" w:hAnsi="仿宋" w:eastAsia="仿宋" w:cs="仿宋"/>
          <w:color w:val="auto"/>
          <w:sz w:val="24"/>
          <w:highlight w:val="none"/>
        </w:rPr>
        <w:t>业务</w:t>
      </w:r>
      <w:r>
        <w:rPr>
          <w:rFonts w:hint="eastAsia" w:ascii="仿宋" w:hAnsi="仿宋" w:eastAsia="仿宋" w:cs="仿宋"/>
          <w:color w:val="auto"/>
          <w:sz w:val="24"/>
          <w:highlight w:val="none"/>
        </w:rPr>
        <w:t>用于</w:t>
      </w:r>
      <w:r>
        <w:rPr>
          <w:rFonts w:ascii="仿宋" w:hAnsi="仿宋" w:eastAsia="仿宋" w:cs="仿宋"/>
          <w:color w:val="auto"/>
          <w:sz w:val="24"/>
          <w:highlight w:val="none"/>
        </w:rPr>
        <w:t>[</w:t>
      </w:r>
      <w:r>
        <w:rPr>
          <w:rFonts w:hint="eastAsia" w:ascii="仿宋" w:hAnsi="仿宋" w:eastAsia="仿宋" w:cs="仿宋"/>
          <w:color w:val="auto"/>
          <w:sz w:val="24"/>
          <w:highlight w:val="none"/>
        </w:rPr>
        <w:t>本项目</w:t>
      </w:r>
      <w:r>
        <w:rPr>
          <w:rFonts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明细如下：</w:t>
      </w:r>
    </w:p>
    <w:tbl>
      <w:tblPr>
        <w:tblStyle w:val="43"/>
        <w:tblW w:w="0" w:type="auto"/>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3343"/>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jc w:val="center"/>
              <w:rPr>
                <w:rFonts w:hint="default" w:eastAsia="宋体"/>
                <w:color w:val="auto"/>
                <w:sz w:val="24"/>
                <w:szCs w:val="32"/>
                <w:highlight w:val="none"/>
                <w:vertAlign w:val="baseline"/>
                <w:lang w:val="en-US" w:eastAsia="zh-CN"/>
              </w:rPr>
            </w:pPr>
            <w:r>
              <w:rPr>
                <w:rFonts w:hint="eastAsia"/>
                <w:color w:val="auto"/>
                <w:sz w:val="24"/>
                <w:szCs w:val="32"/>
                <w:highlight w:val="none"/>
                <w:vertAlign w:val="baseline"/>
                <w:lang w:val="en-US" w:eastAsia="zh-CN"/>
              </w:rPr>
              <w:t>序号</w:t>
            </w:r>
          </w:p>
        </w:tc>
        <w:tc>
          <w:tcPr>
            <w:tcW w:w="3343" w:type="dxa"/>
            <w:noWrap w:val="0"/>
            <w:vAlign w:val="top"/>
          </w:tcPr>
          <w:p>
            <w:pPr>
              <w:jc w:val="center"/>
              <w:rPr>
                <w:rFonts w:hint="default" w:eastAsia="宋体"/>
                <w:color w:val="auto"/>
                <w:sz w:val="24"/>
                <w:szCs w:val="32"/>
                <w:highlight w:val="none"/>
                <w:vertAlign w:val="baseline"/>
                <w:lang w:val="en-US" w:eastAsia="zh-CN"/>
              </w:rPr>
            </w:pPr>
            <w:r>
              <w:rPr>
                <w:rFonts w:hint="eastAsia"/>
                <w:color w:val="auto"/>
                <w:sz w:val="24"/>
                <w:szCs w:val="32"/>
                <w:highlight w:val="none"/>
                <w:vertAlign w:val="baseline"/>
                <w:lang w:val="en-US" w:eastAsia="zh-CN"/>
              </w:rPr>
              <w:t>点位</w:t>
            </w:r>
          </w:p>
        </w:tc>
        <w:tc>
          <w:tcPr>
            <w:tcW w:w="3343" w:type="dxa"/>
            <w:noWrap w:val="0"/>
            <w:vAlign w:val="top"/>
          </w:tcPr>
          <w:p>
            <w:pPr>
              <w:jc w:val="center"/>
              <w:rPr>
                <w:rFonts w:hint="eastAsia" w:eastAsia="宋体"/>
                <w:color w:val="auto"/>
                <w:sz w:val="24"/>
                <w:szCs w:val="32"/>
                <w:highlight w:val="none"/>
                <w:vertAlign w:val="baseline"/>
                <w:lang w:val="en-US" w:eastAsia="zh-CN"/>
              </w:rPr>
            </w:pPr>
            <w:r>
              <w:rPr>
                <w:rFonts w:hint="eastAsia"/>
                <w:color w:val="auto"/>
                <w:sz w:val="24"/>
                <w:szCs w:val="32"/>
                <w:highlight w:val="none"/>
                <w:vertAlign w:val="baseline"/>
                <w:lang w:val="en-US" w:eastAsia="zh-CN"/>
              </w:rPr>
              <w:t>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jc w:val="center"/>
              <w:rPr>
                <w:rFonts w:hint="default" w:eastAsia="宋体"/>
                <w:color w:val="auto"/>
                <w:sz w:val="24"/>
                <w:szCs w:val="32"/>
                <w:highlight w:val="none"/>
                <w:vertAlign w:val="baseline"/>
                <w:lang w:val="en-US" w:eastAsia="zh-CN"/>
              </w:rPr>
            </w:pPr>
            <w:r>
              <w:rPr>
                <w:rFonts w:hint="eastAsia"/>
                <w:color w:val="auto"/>
                <w:sz w:val="24"/>
                <w:szCs w:val="32"/>
                <w:highlight w:val="none"/>
                <w:vertAlign w:val="baseline"/>
                <w:lang w:val="en-US" w:eastAsia="zh-CN"/>
              </w:rPr>
              <w:t>1</w:t>
            </w:r>
          </w:p>
        </w:tc>
        <w:tc>
          <w:tcPr>
            <w:tcW w:w="3343" w:type="dxa"/>
            <w:noWrap w:val="0"/>
            <w:vAlign w:val="top"/>
          </w:tcPr>
          <w:p>
            <w:pPr>
              <w:jc w:val="center"/>
              <w:rPr>
                <w:rFonts w:hint="default" w:ascii="Calibri" w:hAnsi="Calibri" w:eastAsia="宋体" w:cs="Times New Roman"/>
                <w:color w:val="auto"/>
                <w:kern w:val="2"/>
                <w:sz w:val="24"/>
                <w:szCs w:val="32"/>
                <w:highlight w:val="none"/>
                <w:vertAlign w:val="baseline"/>
                <w:lang w:val="en-US" w:eastAsia="zh-CN" w:bidi="ar-SA"/>
              </w:rPr>
            </w:pPr>
            <w:r>
              <w:rPr>
                <w:rFonts w:hint="eastAsia"/>
                <w:color w:val="auto"/>
                <w:sz w:val="24"/>
                <w:szCs w:val="32"/>
                <w:highlight w:val="none"/>
                <w:vertAlign w:val="baseline"/>
                <w:lang w:val="en-US" w:eastAsia="zh-CN"/>
              </w:rPr>
              <w:t>百合收费站</w:t>
            </w:r>
          </w:p>
        </w:tc>
        <w:tc>
          <w:tcPr>
            <w:tcW w:w="3343" w:type="dxa"/>
            <w:noWrap w:val="0"/>
            <w:vAlign w:val="top"/>
          </w:tcPr>
          <w:p>
            <w:pPr>
              <w:jc w:val="center"/>
              <w:rPr>
                <w:rFonts w:hint="default" w:eastAsia="宋体"/>
                <w:color w:val="auto"/>
                <w:sz w:val="24"/>
                <w:szCs w:val="32"/>
                <w:highlight w:val="none"/>
                <w:vertAlign w:val="baseline"/>
                <w:lang w:val="en-US" w:eastAsia="zh-CN"/>
              </w:rPr>
            </w:pPr>
            <w:r>
              <w:rPr>
                <w:rFonts w:hint="eastAsia"/>
                <w:color w:val="auto"/>
                <w:sz w:val="24"/>
                <w:szCs w:val="32"/>
                <w:highlight w:val="none"/>
                <w:vertAlign w:val="baseline"/>
                <w:lang w:val="en-US" w:eastAsia="zh-CN"/>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jc w:val="center"/>
              <w:rPr>
                <w:rFonts w:hint="default" w:eastAsia="宋体"/>
                <w:color w:val="auto"/>
                <w:sz w:val="24"/>
                <w:szCs w:val="32"/>
                <w:highlight w:val="none"/>
                <w:vertAlign w:val="baseline"/>
                <w:lang w:val="en-US" w:eastAsia="zh-CN"/>
              </w:rPr>
            </w:pPr>
            <w:r>
              <w:rPr>
                <w:rFonts w:hint="eastAsia"/>
                <w:color w:val="auto"/>
                <w:sz w:val="24"/>
                <w:szCs w:val="32"/>
                <w:highlight w:val="none"/>
                <w:vertAlign w:val="baseline"/>
                <w:lang w:val="en-US" w:eastAsia="zh-CN"/>
              </w:rPr>
              <w:t>2</w:t>
            </w:r>
          </w:p>
        </w:tc>
        <w:tc>
          <w:tcPr>
            <w:tcW w:w="3343" w:type="dxa"/>
            <w:noWrap w:val="0"/>
            <w:vAlign w:val="top"/>
          </w:tcPr>
          <w:p>
            <w:pPr>
              <w:jc w:val="center"/>
              <w:rPr>
                <w:rFonts w:hint="default" w:ascii="Calibri" w:hAnsi="Calibri" w:eastAsia="宋体" w:cs="Times New Roman"/>
                <w:color w:val="auto"/>
                <w:kern w:val="2"/>
                <w:sz w:val="24"/>
                <w:szCs w:val="32"/>
                <w:highlight w:val="none"/>
                <w:vertAlign w:val="baseline"/>
                <w:lang w:val="en-US" w:eastAsia="zh-CN" w:bidi="ar-SA"/>
              </w:rPr>
            </w:pPr>
            <w:r>
              <w:rPr>
                <w:rFonts w:hint="eastAsia"/>
                <w:color w:val="auto"/>
                <w:sz w:val="24"/>
                <w:szCs w:val="32"/>
                <w:highlight w:val="none"/>
                <w:vertAlign w:val="baseline"/>
                <w:lang w:val="en-US" w:eastAsia="zh-CN"/>
              </w:rPr>
              <w:t>珞璜西收费站</w:t>
            </w:r>
          </w:p>
        </w:tc>
        <w:tc>
          <w:tcPr>
            <w:tcW w:w="3343" w:type="dxa"/>
            <w:noWrap w:val="0"/>
            <w:vAlign w:val="top"/>
          </w:tcPr>
          <w:p>
            <w:pPr>
              <w:jc w:val="center"/>
              <w:rPr>
                <w:color w:val="auto"/>
                <w:sz w:val="24"/>
                <w:szCs w:val="32"/>
                <w:highlight w:val="none"/>
                <w:vertAlign w:val="baseline"/>
              </w:rPr>
            </w:pPr>
            <w:r>
              <w:rPr>
                <w:rFonts w:hint="eastAsia"/>
                <w:color w:val="auto"/>
                <w:sz w:val="24"/>
                <w:szCs w:val="32"/>
                <w:highlight w:val="none"/>
                <w:vertAlign w:val="baseline"/>
                <w:lang w:val="en-US" w:eastAsia="zh-CN"/>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94" w:type="dxa"/>
            <w:noWrap w:val="0"/>
            <w:vAlign w:val="top"/>
          </w:tcPr>
          <w:p>
            <w:pPr>
              <w:jc w:val="center"/>
              <w:rPr>
                <w:rFonts w:hint="default" w:eastAsia="宋体"/>
                <w:color w:val="auto"/>
                <w:sz w:val="24"/>
                <w:szCs w:val="32"/>
                <w:highlight w:val="none"/>
                <w:vertAlign w:val="baseline"/>
                <w:lang w:val="en-US" w:eastAsia="zh-CN"/>
              </w:rPr>
            </w:pPr>
            <w:r>
              <w:rPr>
                <w:rFonts w:hint="eastAsia"/>
                <w:color w:val="auto"/>
                <w:sz w:val="24"/>
                <w:szCs w:val="32"/>
                <w:highlight w:val="none"/>
                <w:vertAlign w:val="baseline"/>
                <w:lang w:val="en-US" w:eastAsia="zh-CN"/>
              </w:rPr>
              <w:t>3</w:t>
            </w:r>
          </w:p>
        </w:tc>
        <w:tc>
          <w:tcPr>
            <w:tcW w:w="3343" w:type="dxa"/>
            <w:noWrap w:val="0"/>
            <w:vAlign w:val="top"/>
          </w:tcPr>
          <w:p>
            <w:pPr>
              <w:jc w:val="center"/>
              <w:rPr>
                <w:rFonts w:hint="default" w:ascii="Calibri" w:hAnsi="Calibri" w:eastAsia="宋体" w:cs="Times New Roman"/>
                <w:color w:val="auto"/>
                <w:kern w:val="2"/>
                <w:sz w:val="24"/>
                <w:szCs w:val="32"/>
                <w:highlight w:val="none"/>
                <w:vertAlign w:val="baseline"/>
                <w:lang w:val="en-US" w:eastAsia="zh-CN" w:bidi="ar-SA"/>
              </w:rPr>
            </w:pPr>
            <w:r>
              <w:rPr>
                <w:rFonts w:hint="eastAsia"/>
                <w:color w:val="auto"/>
                <w:sz w:val="24"/>
                <w:szCs w:val="32"/>
                <w:highlight w:val="none"/>
                <w:vertAlign w:val="baseline"/>
                <w:lang w:val="en-US" w:eastAsia="zh-CN"/>
              </w:rPr>
              <w:t>支坪收费站</w:t>
            </w:r>
          </w:p>
        </w:tc>
        <w:tc>
          <w:tcPr>
            <w:tcW w:w="3343" w:type="dxa"/>
            <w:noWrap w:val="0"/>
            <w:vAlign w:val="top"/>
          </w:tcPr>
          <w:p>
            <w:pPr>
              <w:jc w:val="center"/>
              <w:rPr>
                <w:color w:val="auto"/>
                <w:sz w:val="24"/>
                <w:szCs w:val="32"/>
                <w:highlight w:val="none"/>
                <w:vertAlign w:val="baseline"/>
              </w:rPr>
            </w:pPr>
            <w:r>
              <w:rPr>
                <w:rFonts w:hint="eastAsia"/>
                <w:color w:val="auto"/>
                <w:sz w:val="24"/>
                <w:szCs w:val="32"/>
                <w:highlight w:val="none"/>
                <w:vertAlign w:val="baseline"/>
                <w:lang w:val="en-US" w:eastAsia="zh-CN"/>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jc w:val="center"/>
              <w:rPr>
                <w:rFonts w:hint="default" w:eastAsia="宋体"/>
                <w:color w:val="auto"/>
                <w:sz w:val="24"/>
                <w:szCs w:val="32"/>
                <w:highlight w:val="none"/>
                <w:vertAlign w:val="baseline"/>
                <w:lang w:val="en-US" w:eastAsia="zh-CN"/>
              </w:rPr>
            </w:pPr>
            <w:r>
              <w:rPr>
                <w:rFonts w:hint="eastAsia"/>
                <w:color w:val="auto"/>
                <w:sz w:val="24"/>
                <w:szCs w:val="32"/>
                <w:highlight w:val="none"/>
                <w:vertAlign w:val="baseline"/>
                <w:lang w:val="en-US" w:eastAsia="zh-CN"/>
              </w:rPr>
              <w:t>4</w:t>
            </w:r>
          </w:p>
        </w:tc>
        <w:tc>
          <w:tcPr>
            <w:tcW w:w="3343" w:type="dxa"/>
            <w:noWrap w:val="0"/>
            <w:vAlign w:val="top"/>
          </w:tcPr>
          <w:p>
            <w:pPr>
              <w:jc w:val="center"/>
              <w:rPr>
                <w:rFonts w:hint="default" w:ascii="Calibri" w:hAnsi="Calibri" w:eastAsia="宋体" w:cs="Times New Roman"/>
                <w:color w:val="auto"/>
                <w:kern w:val="2"/>
                <w:sz w:val="24"/>
                <w:szCs w:val="32"/>
                <w:highlight w:val="none"/>
                <w:vertAlign w:val="baseline"/>
                <w:lang w:val="en-US" w:eastAsia="zh-CN" w:bidi="ar-SA"/>
              </w:rPr>
            </w:pPr>
            <w:r>
              <w:rPr>
                <w:rFonts w:hint="eastAsia"/>
                <w:color w:val="auto"/>
                <w:sz w:val="24"/>
                <w:szCs w:val="32"/>
                <w:highlight w:val="none"/>
                <w:vertAlign w:val="baseline"/>
                <w:lang w:val="en-US" w:eastAsia="zh-CN"/>
              </w:rPr>
              <w:t>西彭收费站</w:t>
            </w:r>
          </w:p>
        </w:tc>
        <w:tc>
          <w:tcPr>
            <w:tcW w:w="3343" w:type="dxa"/>
            <w:noWrap w:val="0"/>
            <w:vAlign w:val="top"/>
          </w:tcPr>
          <w:p>
            <w:pPr>
              <w:jc w:val="center"/>
              <w:rPr>
                <w:color w:val="auto"/>
                <w:sz w:val="24"/>
                <w:szCs w:val="32"/>
                <w:highlight w:val="none"/>
                <w:vertAlign w:val="baseline"/>
              </w:rPr>
            </w:pPr>
            <w:r>
              <w:rPr>
                <w:rFonts w:hint="eastAsia"/>
                <w:color w:val="auto"/>
                <w:sz w:val="24"/>
                <w:szCs w:val="32"/>
                <w:highlight w:val="none"/>
                <w:vertAlign w:val="baseline"/>
                <w:lang w:val="en-US" w:eastAsia="zh-CN"/>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jc w:val="center"/>
              <w:rPr>
                <w:rFonts w:hint="default" w:eastAsia="宋体"/>
                <w:color w:val="auto"/>
                <w:sz w:val="24"/>
                <w:szCs w:val="32"/>
                <w:highlight w:val="none"/>
                <w:vertAlign w:val="baseline"/>
                <w:lang w:val="en-US" w:eastAsia="zh-CN"/>
              </w:rPr>
            </w:pPr>
            <w:r>
              <w:rPr>
                <w:rFonts w:hint="eastAsia"/>
                <w:color w:val="auto"/>
                <w:sz w:val="24"/>
                <w:szCs w:val="32"/>
                <w:highlight w:val="none"/>
                <w:vertAlign w:val="baseline"/>
                <w:lang w:val="en-US" w:eastAsia="zh-CN"/>
              </w:rPr>
              <w:t>5</w:t>
            </w:r>
          </w:p>
        </w:tc>
        <w:tc>
          <w:tcPr>
            <w:tcW w:w="3343" w:type="dxa"/>
            <w:noWrap w:val="0"/>
            <w:vAlign w:val="top"/>
          </w:tcPr>
          <w:p>
            <w:pPr>
              <w:jc w:val="center"/>
              <w:rPr>
                <w:rFonts w:hint="default" w:ascii="Calibri" w:hAnsi="Calibri" w:eastAsia="宋体" w:cs="Times New Roman"/>
                <w:color w:val="auto"/>
                <w:kern w:val="2"/>
                <w:sz w:val="24"/>
                <w:szCs w:val="32"/>
                <w:highlight w:val="none"/>
                <w:vertAlign w:val="baseline"/>
                <w:lang w:val="en-US" w:eastAsia="zh-CN" w:bidi="ar-SA"/>
              </w:rPr>
            </w:pPr>
            <w:r>
              <w:rPr>
                <w:rFonts w:hint="eastAsia"/>
                <w:color w:val="auto"/>
                <w:sz w:val="24"/>
                <w:szCs w:val="32"/>
                <w:highlight w:val="none"/>
                <w:vertAlign w:val="baseline"/>
                <w:lang w:val="en-US" w:eastAsia="zh-CN"/>
              </w:rPr>
              <w:t>双福南收费站</w:t>
            </w:r>
          </w:p>
        </w:tc>
        <w:tc>
          <w:tcPr>
            <w:tcW w:w="3343" w:type="dxa"/>
            <w:noWrap w:val="0"/>
            <w:vAlign w:val="top"/>
          </w:tcPr>
          <w:p>
            <w:pPr>
              <w:jc w:val="center"/>
              <w:rPr>
                <w:rFonts w:hint="default" w:eastAsia="宋体"/>
                <w:color w:val="auto"/>
                <w:sz w:val="24"/>
                <w:szCs w:val="32"/>
                <w:highlight w:val="none"/>
                <w:vertAlign w:val="baseline"/>
                <w:lang w:val="en-US" w:eastAsia="zh-CN"/>
              </w:rPr>
            </w:pPr>
            <w:r>
              <w:rPr>
                <w:rFonts w:hint="eastAsia"/>
                <w:color w:val="auto"/>
                <w:sz w:val="24"/>
                <w:szCs w:val="32"/>
                <w:highlight w:val="none"/>
                <w:vertAlign w:val="baseline"/>
                <w:lang w:val="en-US" w:eastAsia="zh-CN"/>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jc w:val="center"/>
              <w:rPr>
                <w:rFonts w:hint="default" w:eastAsia="宋体"/>
                <w:color w:val="auto"/>
                <w:sz w:val="24"/>
                <w:szCs w:val="32"/>
                <w:highlight w:val="none"/>
                <w:vertAlign w:val="baseline"/>
                <w:lang w:val="en-US" w:eastAsia="zh-CN"/>
              </w:rPr>
            </w:pPr>
            <w:r>
              <w:rPr>
                <w:rFonts w:hint="eastAsia"/>
                <w:color w:val="auto"/>
                <w:sz w:val="24"/>
                <w:szCs w:val="32"/>
                <w:highlight w:val="none"/>
                <w:vertAlign w:val="baseline"/>
                <w:lang w:val="en-US" w:eastAsia="zh-CN"/>
              </w:rPr>
              <w:t>6</w:t>
            </w:r>
          </w:p>
        </w:tc>
        <w:tc>
          <w:tcPr>
            <w:tcW w:w="3343" w:type="dxa"/>
            <w:noWrap w:val="0"/>
            <w:vAlign w:val="top"/>
          </w:tcPr>
          <w:p>
            <w:pPr>
              <w:jc w:val="center"/>
              <w:rPr>
                <w:rFonts w:hint="default" w:ascii="Calibri" w:hAnsi="Calibri" w:eastAsia="宋体" w:cs="Times New Roman"/>
                <w:color w:val="auto"/>
                <w:kern w:val="2"/>
                <w:sz w:val="24"/>
                <w:szCs w:val="32"/>
                <w:highlight w:val="none"/>
                <w:vertAlign w:val="baseline"/>
                <w:lang w:val="en-US" w:eastAsia="zh-CN" w:bidi="ar-SA"/>
              </w:rPr>
            </w:pPr>
            <w:r>
              <w:rPr>
                <w:rFonts w:hint="eastAsia"/>
                <w:color w:val="auto"/>
                <w:sz w:val="24"/>
                <w:szCs w:val="32"/>
                <w:highlight w:val="none"/>
                <w:vertAlign w:val="baseline"/>
                <w:lang w:val="en-US" w:eastAsia="zh-CN"/>
              </w:rPr>
              <w:t>金凤服务区</w:t>
            </w:r>
          </w:p>
        </w:tc>
        <w:tc>
          <w:tcPr>
            <w:tcW w:w="3343" w:type="dxa"/>
            <w:noWrap w:val="0"/>
            <w:vAlign w:val="top"/>
          </w:tcPr>
          <w:p>
            <w:pPr>
              <w:jc w:val="center"/>
              <w:rPr>
                <w:color w:val="auto"/>
                <w:sz w:val="24"/>
                <w:szCs w:val="32"/>
                <w:highlight w:val="none"/>
                <w:vertAlign w:val="baseline"/>
              </w:rPr>
            </w:pPr>
            <w:r>
              <w:rPr>
                <w:rFonts w:hint="eastAsia"/>
                <w:color w:val="auto"/>
                <w:sz w:val="24"/>
                <w:szCs w:val="32"/>
                <w:highlight w:val="none"/>
                <w:vertAlign w:val="baseline"/>
                <w:lang w:val="en-US" w:eastAsia="zh-CN"/>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jc w:val="center"/>
              <w:rPr>
                <w:rFonts w:hint="default" w:eastAsia="宋体"/>
                <w:color w:val="auto"/>
                <w:sz w:val="24"/>
                <w:szCs w:val="32"/>
                <w:highlight w:val="none"/>
                <w:vertAlign w:val="baseline"/>
                <w:lang w:val="en-US" w:eastAsia="zh-CN"/>
              </w:rPr>
            </w:pPr>
            <w:r>
              <w:rPr>
                <w:rFonts w:hint="eastAsia"/>
                <w:color w:val="auto"/>
                <w:sz w:val="24"/>
                <w:szCs w:val="32"/>
                <w:highlight w:val="none"/>
                <w:vertAlign w:val="baseline"/>
                <w:lang w:val="en-US" w:eastAsia="zh-CN"/>
              </w:rPr>
              <w:t>7</w:t>
            </w:r>
          </w:p>
        </w:tc>
        <w:tc>
          <w:tcPr>
            <w:tcW w:w="3343" w:type="dxa"/>
            <w:noWrap w:val="0"/>
            <w:vAlign w:val="top"/>
          </w:tcPr>
          <w:p>
            <w:pPr>
              <w:jc w:val="center"/>
              <w:rPr>
                <w:rFonts w:hint="default" w:ascii="Calibri" w:hAnsi="Calibri" w:eastAsia="宋体" w:cs="Times New Roman"/>
                <w:color w:val="auto"/>
                <w:kern w:val="2"/>
                <w:sz w:val="24"/>
                <w:szCs w:val="32"/>
                <w:highlight w:val="none"/>
                <w:vertAlign w:val="baseline"/>
                <w:lang w:val="en-US" w:eastAsia="zh-CN" w:bidi="ar-SA"/>
              </w:rPr>
            </w:pPr>
            <w:r>
              <w:rPr>
                <w:rFonts w:hint="eastAsia"/>
                <w:color w:val="auto"/>
                <w:sz w:val="24"/>
                <w:szCs w:val="32"/>
                <w:highlight w:val="none"/>
                <w:vertAlign w:val="baseline"/>
                <w:lang w:val="en-US" w:eastAsia="zh-CN"/>
              </w:rPr>
              <w:t>青木关收费站</w:t>
            </w:r>
          </w:p>
        </w:tc>
        <w:tc>
          <w:tcPr>
            <w:tcW w:w="3343" w:type="dxa"/>
            <w:noWrap w:val="0"/>
            <w:vAlign w:val="top"/>
          </w:tcPr>
          <w:p>
            <w:pPr>
              <w:jc w:val="center"/>
              <w:rPr>
                <w:color w:val="auto"/>
                <w:sz w:val="24"/>
                <w:szCs w:val="32"/>
                <w:highlight w:val="none"/>
                <w:vertAlign w:val="baseline"/>
              </w:rPr>
            </w:pPr>
            <w:r>
              <w:rPr>
                <w:rFonts w:hint="eastAsia"/>
                <w:color w:val="auto"/>
                <w:sz w:val="24"/>
                <w:szCs w:val="32"/>
                <w:highlight w:val="none"/>
                <w:vertAlign w:val="baseline"/>
                <w:lang w:val="en-US" w:eastAsia="zh-CN"/>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jc w:val="center"/>
              <w:rPr>
                <w:rFonts w:hint="default"/>
                <w:color w:val="auto"/>
                <w:sz w:val="24"/>
                <w:szCs w:val="32"/>
                <w:highlight w:val="none"/>
                <w:vertAlign w:val="baseline"/>
                <w:lang w:val="en-US" w:eastAsia="zh-CN"/>
              </w:rPr>
            </w:pPr>
            <w:r>
              <w:rPr>
                <w:rFonts w:hint="eastAsia"/>
                <w:color w:val="auto"/>
                <w:sz w:val="24"/>
                <w:szCs w:val="32"/>
                <w:highlight w:val="none"/>
                <w:vertAlign w:val="baseline"/>
                <w:lang w:val="en-US" w:eastAsia="zh-CN"/>
              </w:rPr>
              <w:t>8</w:t>
            </w:r>
          </w:p>
        </w:tc>
        <w:tc>
          <w:tcPr>
            <w:tcW w:w="3343" w:type="dxa"/>
            <w:noWrap w:val="0"/>
            <w:vAlign w:val="top"/>
          </w:tcPr>
          <w:p>
            <w:pPr>
              <w:jc w:val="center"/>
              <w:rPr>
                <w:rFonts w:hint="default" w:ascii="Calibri" w:hAnsi="Calibri" w:eastAsia="宋体" w:cs="Times New Roman"/>
                <w:color w:val="auto"/>
                <w:kern w:val="2"/>
                <w:sz w:val="24"/>
                <w:szCs w:val="32"/>
                <w:highlight w:val="none"/>
                <w:vertAlign w:val="baseline"/>
                <w:lang w:val="en-US" w:eastAsia="zh-CN" w:bidi="ar-SA"/>
              </w:rPr>
            </w:pPr>
            <w:r>
              <w:rPr>
                <w:rFonts w:hint="eastAsia"/>
                <w:color w:val="auto"/>
                <w:sz w:val="24"/>
                <w:szCs w:val="32"/>
                <w:highlight w:val="none"/>
                <w:vertAlign w:val="baseline"/>
                <w:lang w:val="en-US" w:eastAsia="zh-CN"/>
              </w:rPr>
              <w:t>凤凰收费站</w:t>
            </w:r>
          </w:p>
        </w:tc>
        <w:tc>
          <w:tcPr>
            <w:tcW w:w="3343" w:type="dxa"/>
            <w:noWrap w:val="0"/>
            <w:vAlign w:val="top"/>
          </w:tcPr>
          <w:p>
            <w:pPr>
              <w:jc w:val="center"/>
              <w:rPr>
                <w:color w:val="auto"/>
                <w:sz w:val="24"/>
                <w:szCs w:val="32"/>
                <w:highlight w:val="none"/>
                <w:vertAlign w:val="baseline"/>
              </w:rPr>
            </w:pPr>
            <w:r>
              <w:rPr>
                <w:rFonts w:hint="eastAsia"/>
                <w:color w:val="auto"/>
                <w:sz w:val="24"/>
                <w:szCs w:val="32"/>
                <w:highlight w:val="none"/>
                <w:vertAlign w:val="baseline"/>
                <w:lang w:val="en-US" w:eastAsia="zh-CN"/>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jc w:val="center"/>
              <w:rPr>
                <w:rFonts w:hint="default"/>
                <w:color w:val="auto"/>
                <w:sz w:val="24"/>
                <w:szCs w:val="32"/>
                <w:highlight w:val="none"/>
                <w:vertAlign w:val="baseline"/>
                <w:lang w:val="en-US" w:eastAsia="zh-CN"/>
              </w:rPr>
            </w:pPr>
            <w:r>
              <w:rPr>
                <w:rFonts w:hint="eastAsia"/>
                <w:color w:val="auto"/>
                <w:sz w:val="24"/>
                <w:szCs w:val="32"/>
                <w:highlight w:val="none"/>
                <w:vertAlign w:val="baseline"/>
                <w:lang w:val="en-US" w:eastAsia="zh-CN"/>
              </w:rPr>
              <w:t>9</w:t>
            </w:r>
          </w:p>
        </w:tc>
        <w:tc>
          <w:tcPr>
            <w:tcW w:w="3343" w:type="dxa"/>
            <w:noWrap w:val="0"/>
            <w:vAlign w:val="top"/>
          </w:tcPr>
          <w:p>
            <w:pPr>
              <w:jc w:val="center"/>
              <w:rPr>
                <w:rFonts w:hint="eastAsia" w:ascii="Calibri" w:hAnsi="Calibri" w:eastAsia="宋体" w:cs="Times New Roman"/>
                <w:color w:val="auto"/>
                <w:kern w:val="2"/>
                <w:sz w:val="24"/>
                <w:szCs w:val="32"/>
                <w:highlight w:val="none"/>
                <w:vertAlign w:val="baseline"/>
                <w:lang w:val="en-US" w:eastAsia="zh-CN" w:bidi="ar-SA"/>
              </w:rPr>
            </w:pPr>
            <w:r>
              <w:rPr>
                <w:rFonts w:hint="eastAsia"/>
                <w:color w:val="auto"/>
                <w:sz w:val="24"/>
                <w:szCs w:val="32"/>
                <w:highlight w:val="none"/>
                <w:vertAlign w:val="baseline"/>
                <w:lang w:val="en-US" w:eastAsia="zh-CN"/>
              </w:rPr>
              <w:t>北碚南收费站</w:t>
            </w:r>
          </w:p>
        </w:tc>
        <w:tc>
          <w:tcPr>
            <w:tcW w:w="3343" w:type="dxa"/>
            <w:noWrap w:val="0"/>
            <w:vAlign w:val="top"/>
          </w:tcPr>
          <w:p>
            <w:pPr>
              <w:jc w:val="center"/>
              <w:rPr>
                <w:color w:val="auto"/>
                <w:sz w:val="24"/>
                <w:szCs w:val="32"/>
                <w:highlight w:val="none"/>
                <w:vertAlign w:val="baseline"/>
              </w:rPr>
            </w:pPr>
            <w:r>
              <w:rPr>
                <w:rFonts w:hint="eastAsia"/>
                <w:color w:val="auto"/>
                <w:sz w:val="24"/>
                <w:szCs w:val="32"/>
                <w:highlight w:val="none"/>
                <w:vertAlign w:val="baseline"/>
                <w:lang w:val="en-US" w:eastAsia="zh-CN"/>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jc w:val="center"/>
              <w:rPr>
                <w:rFonts w:hint="default"/>
                <w:color w:val="auto"/>
                <w:sz w:val="24"/>
                <w:szCs w:val="32"/>
                <w:highlight w:val="none"/>
                <w:vertAlign w:val="baseline"/>
                <w:lang w:val="en-US" w:eastAsia="zh-CN"/>
              </w:rPr>
            </w:pPr>
            <w:r>
              <w:rPr>
                <w:rFonts w:hint="eastAsia"/>
                <w:color w:val="auto"/>
                <w:sz w:val="24"/>
                <w:szCs w:val="32"/>
                <w:highlight w:val="none"/>
                <w:vertAlign w:val="baseline"/>
                <w:lang w:val="en-US" w:eastAsia="zh-CN"/>
              </w:rPr>
              <w:t>10</w:t>
            </w:r>
          </w:p>
        </w:tc>
        <w:tc>
          <w:tcPr>
            <w:tcW w:w="3343" w:type="dxa"/>
            <w:noWrap w:val="0"/>
            <w:vAlign w:val="top"/>
          </w:tcPr>
          <w:p>
            <w:pPr>
              <w:jc w:val="center"/>
              <w:rPr>
                <w:rFonts w:hint="default" w:ascii="Calibri" w:hAnsi="Calibri" w:eastAsia="宋体" w:cs="Times New Roman"/>
                <w:color w:val="auto"/>
                <w:kern w:val="2"/>
                <w:sz w:val="24"/>
                <w:szCs w:val="32"/>
                <w:highlight w:val="none"/>
                <w:vertAlign w:val="baseline"/>
                <w:lang w:val="en-US" w:eastAsia="zh-CN" w:bidi="ar-SA"/>
              </w:rPr>
            </w:pPr>
            <w:r>
              <w:rPr>
                <w:rFonts w:hint="eastAsia"/>
                <w:color w:val="auto"/>
                <w:sz w:val="24"/>
                <w:szCs w:val="32"/>
                <w:highlight w:val="none"/>
                <w:vertAlign w:val="baseline"/>
                <w:lang w:val="en-US" w:eastAsia="zh-CN"/>
              </w:rPr>
              <w:t>复兴服务区</w:t>
            </w:r>
          </w:p>
        </w:tc>
        <w:tc>
          <w:tcPr>
            <w:tcW w:w="3343" w:type="dxa"/>
            <w:noWrap w:val="0"/>
            <w:vAlign w:val="top"/>
          </w:tcPr>
          <w:p>
            <w:pPr>
              <w:jc w:val="center"/>
              <w:rPr>
                <w:rFonts w:hint="default" w:eastAsia="宋体"/>
                <w:color w:val="auto"/>
                <w:sz w:val="24"/>
                <w:szCs w:val="32"/>
                <w:highlight w:val="none"/>
                <w:vertAlign w:val="baseline"/>
                <w:lang w:val="en-US" w:eastAsia="zh-CN"/>
              </w:rPr>
            </w:pPr>
            <w:r>
              <w:rPr>
                <w:rFonts w:hint="eastAsia"/>
                <w:color w:val="auto"/>
                <w:sz w:val="24"/>
                <w:szCs w:val="32"/>
                <w:highlight w:val="none"/>
                <w:vertAlign w:val="baseline"/>
                <w:lang w:val="en-US" w:eastAsia="zh-CN"/>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jc w:val="center"/>
              <w:rPr>
                <w:rFonts w:hint="default"/>
                <w:color w:val="auto"/>
                <w:sz w:val="24"/>
                <w:szCs w:val="32"/>
                <w:highlight w:val="none"/>
                <w:vertAlign w:val="baseline"/>
                <w:lang w:val="en-US" w:eastAsia="zh-CN"/>
              </w:rPr>
            </w:pPr>
            <w:r>
              <w:rPr>
                <w:rFonts w:hint="eastAsia"/>
                <w:color w:val="auto"/>
                <w:sz w:val="24"/>
                <w:szCs w:val="32"/>
                <w:highlight w:val="none"/>
                <w:vertAlign w:val="baseline"/>
                <w:lang w:val="en-US" w:eastAsia="zh-CN"/>
              </w:rPr>
              <w:t>11</w:t>
            </w:r>
          </w:p>
        </w:tc>
        <w:tc>
          <w:tcPr>
            <w:tcW w:w="3343" w:type="dxa"/>
            <w:noWrap w:val="0"/>
            <w:vAlign w:val="top"/>
          </w:tcPr>
          <w:p>
            <w:pPr>
              <w:jc w:val="center"/>
              <w:rPr>
                <w:rFonts w:hint="default" w:ascii="Calibri" w:hAnsi="Calibri" w:eastAsia="宋体" w:cs="Times New Roman"/>
                <w:color w:val="auto"/>
                <w:kern w:val="2"/>
                <w:sz w:val="24"/>
                <w:szCs w:val="32"/>
                <w:highlight w:val="none"/>
                <w:vertAlign w:val="baseline"/>
                <w:lang w:val="en-US" w:eastAsia="zh-CN" w:bidi="ar-SA"/>
              </w:rPr>
            </w:pPr>
            <w:r>
              <w:rPr>
                <w:rFonts w:hint="eastAsia"/>
                <w:color w:val="auto"/>
                <w:sz w:val="24"/>
                <w:szCs w:val="32"/>
                <w:highlight w:val="none"/>
                <w:vertAlign w:val="baseline"/>
                <w:lang w:val="en-US" w:eastAsia="zh-CN"/>
              </w:rPr>
              <w:t>果园港收费站</w:t>
            </w:r>
          </w:p>
        </w:tc>
        <w:tc>
          <w:tcPr>
            <w:tcW w:w="3343" w:type="dxa"/>
            <w:noWrap w:val="0"/>
            <w:vAlign w:val="top"/>
          </w:tcPr>
          <w:p>
            <w:pPr>
              <w:jc w:val="center"/>
              <w:rPr>
                <w:color w:val="auto"/>
                <w:sz w:val="24"/>
                <w:szCs w:val="32"/>
                <w:highlight w:val="none"/>
                <w:vertAlign w:val="baseline"/>
              </w:rPr>
            </w:pPr>
            <w:r>
              <w:rPr>
                <w:rFonts w:hint="eastAsia"/>
                <w:color w:val="auto"/>
                <w:sz w:val="24"/>
                <w:szCs w:val="32"/>
                <w:highlight w:val="none"/>
                <w:vertAlign w:val="baseline"/>
                <w:lang w:val="en-US" w:eastAsia="zh-CN"/>
              </w:rPr>
              <w:t>40M</w:t>
            </w:r>
          </w:p>
        </w:tc>
      </w:tr>
    </w:tbl>
    <w:p>
      <w:pPr>
        <w:spacing w:line="360" w:lineRule="exact"/>
        <w:rPr>
          <w:rFonts w:hint="eastAsia" w:ascii="仿宋" w:hAnsi="仿宋" w:eastAsia="仿宋"/>
          <w:color w:val="auto"/>
          <w:sz w:val="24"/>
          <w:highlight w:val="none"/>
          <w:lang w:eastAsia="zh-CN"/>
        </w:rPr>
      </w:pP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2.2甲方新的业务需求应当另行向乙方提出</w:t>
      </w:r>
      <w:r>
        <w:rPr>
          <w:rFonts w:hint="eastAsia" w:ascii="仿宋" w:hAnsi="仿宋" w:eastAsia="仿宋" w:cs="仿宋"/>
          <w:color w:val="auto"/>
          <w:sz w:val="24"/>
          <w:highlight w:val="none"/>
        </w:rPr>
        <w:t>，</w:t>
      </w:r>
      <w:r>
        <w:rPr>
          <w:rFonts w:hint="eastAsia" w:ascii="仿宋" w:hAnsi="仿宋" w:eastAsia="仿宋"/>
          <w:color w:val="auto"/>
          <w:sz w:val="24"/>
          <w:highlight w:val="none"/>
        </w:rPr>
        <w:t>以甲方提交业务需求单或双方另行签订协议（含补充协议）的方式进行确认。以甲方提交业务需求单方式确认的，</w:t>
      </w:r>
      <w:r>
        <w:rPr>
          <w:rFonts w:ascii="仿宋" w:hAnsi="仿宋" w:eastAsia="仿宋" w:cs="仿宋"/>
          <w:color w:val="auto"/>
          <w:sz w:val="24"/>
          <w:highlight w:val="none"/>
        </w:rPr>
        <w:t>在甲、乙双方就新的业务需求的费用达成一致的前提下，甲方根据本</w:t>
      </w:r>
      <w:r>
        <w:rPr>
          <w:rFonts w:hint="eastAsia" w:ascii="仿宋" w:hAnsi="仿宋" w:eastAsia="仿宋" w:cs="仿宋"/>
          <w:color w:val="auto"/>
          <w:sz w:val="24"/>
          <w:highlight w:val="none"/>
        </w:rPr>
        <w:t>合同的条款和条件，向乙方书面提交盖有甲方公章或授权部门章新的业务需求单。</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2.3</w:t>
      </w:r>
      <w:r>
        <w:rPr>
          <w:rFonts w:hint="eastAsia" w:ascii="仿宋" w:hAnsi="仿宋" w:eastAsia="仿宋" w:cs="仿宋"/>
          <w:color w:val="auto"/>
          <w:sz w:val="24"/>
          <w:highlight w:val="none"/>
        </w:rPr>
        <w:t>业务需求单为本合同的附件，受本合同的条款和条件约束。</w:t>
      </w:r>
    </w:p>
    <w:p>
      <w:pPr>
        <w:spacing w:line="360" w:lineRule="exact"/>
        <w:ind w:firstLine="480"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第三条 双方权利和义务</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3.1甲方权利和义务</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3.1.1</w:t>
      </w:r>
      <w:r>
        <w:rPr>
          <w:rFonts w:hint="eastAsia" w:ascii="仿宋" w:hAnsi="仿宋" w:eastAsia="仿宋" w:cs="仿宋"/>
          <w:color w:val="auto"/>
          <w:sz w:val="24"/>
          <w:highlight w:val="none"/>
        </w:rPr>
        <w:t>享受乙方为提供本项目的一切相关服务，包括响应性文件中载明的以及甲方要求的服务。</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3.1.2</w:t>
      </w:r>
      <w:r>
        <w:rPr>
          <w:rFonts w:hint="eastAsia" w:ascii="仿宋" w:hAnsi="仿宋" w:eastAsia="仿宋" w:cs="仿宋"/>
          <w:color w:val="auto"/>
          <w:sz w:val="24"/>
          <w:highlight w:val="none"/>
        </w:rPr>
        <w:t>在接入和使用业务过程中出现的技术性问题，由乙方提供技术支持并解决问题。</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w:t>
      </w:r>
      <w:r>
        <w:rPr>
          <w:rFonts w:hint="eastAsia" w:ascii="仿宋" w:hAnsi="仿宋" w:eastAsia="仿宋" w:cs="仿宋"/>
          <w:color w:val="auto"/>
          <w:sz w:val="24"/>
          <w:highlight w:val="none"/>
        </w:rPr>
        <w:t>3应当保证连接到其有关通信设备全部符合国家主管部门规定的质量标准和技术要求，并取得进网许可证。</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w:t>
      </w:r>
      <w:r>
        <w:rPr>
          <w:rFonts w:hint="eastAsia" w:ascii="仿宋" w:hAnsi="仿宋" w:eastAsia="仿宋" w:cs="仿宋"/>
          <w:color w:val="auto"/>
          <w:sz w:val="24"/>
          <w:highlight w:val="none"/>
        </w:rPr>
        <w:t>4依照双方达成的合同条款，向乙方缴纳本合同约定的各项费用。</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w:t>
      </w:r>
      <w:r>
        <w:rPr>
          <w:rFonts w:hint="eastAsia" w:ascii="仿宋" w:hAnsi="仿宋" w:eastAsia="仿宋" w:cs="仿宋"/>
          <w:color w:val="auto"/>
          <w:sz w:val="24"/>
          <w:highlight w:val="none"/>
        </w:rPr>
        <w:t>5向乙方提供互联网专线开通的速率、数量、技术要求、准确的终端接入地点、用途、要求开通时间、服务期、联系人、联系电话等信息。</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w:t>
      </w:r>
      <w:r>
        <w:rPr>
          <w:rFonts w:hint="eastAsia" w:ascii="仿宋" w:hAnsi="仿宋" w:eastAsia="仿宋" w:cs="仿宋"/>
          <w:color w:val="auto"/>
          <w:sz w:val="24"/>
          <w:highlight w:val="none"/>
        </w:rPr>
        <w:t>6使用乙方提供的互联网专线业务，应当遵守国家相关的法律、法规和政策规定。</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w:t>
      </w:r>
      <w:r>
        <w:rPr>
          <w:rFonts w:hint="eastAsia" w:ascii="仿宋" w:hAnsi="仿宋" w:eastAsia="仿宋" w:cs="仿宋"/>
          <w:color w:val="auto"/>
          <w:sz w:val="24"/>
          <w:highlight w:val="none"/>
        </w:rPr>
        <w:t>7配合乙方对使用互联网专线的日常维护、检测等工作，并负责其机房线路设备侧专线的维护管理。</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3.2</w:t>
      </w:r>
      <w:r>
        <w:rPr>
          <w:rFonts w:hint="eastAsia" w:ascii="仿宋" w:hAnsi="仿宋" w:eastAsia="仿宋" w:cs="仿宋"/>
          <w:color w:val="auto"/>
          <w:sz w:val="24"/>
          <w:highlight w:val="none"/>
        </w:rPr>
        <w:t>乙方权利和义务</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3.2.1</w:t>
      </w:r>
      <w:r>
        <w:rPr>
          <w:rFonts w:hint="eastAsia" w:ascii="仿宋" w:hAnsi="仿宋" w:eastAsia="仿宋" w:cs="仿宋"/>
          <w:color w:val="auto"/>
          <w:sz w:val="24"/>
          <w:highlight w:val="none"/>
        </w:rPr>
        <w:t>提供综合性服务，并为甲方提供业务咨询、组网建议等服务。</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3.2.2</w:t>
      </w:r>
      <w:r>
        <w:rPr>
          <w:rFonts w:hint="eastAsia" w:ascii="仿宋" w:hAnsi="仿宋" w:eastAsia="仿宋" w:cs="仿宋"/>
          <w:color w:val="auto"/>
          <w:sz w:val="24"/>
          <w:highlight w:val="none"/>
        </w:rPr>
        <w:t>负责进行本业务的连接、调通、测试。</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3.2.3</w:t>
      </w:r>
      <w:r>
        <w:rPr>
          <w:rFonts w:hint="eastAsia" w:ascii="仿宋" w:hAnsi="仿宋" w:eastAsia="仿宋" w:cs="仿宋"/>
          <w:color w:val="auto"/>
          <w:sz w:val="24"/>
          <w:highlight w:val="none"/>
        </w:rPr>
        <w:t>在资源具备，且甲方交付了本合同约定的费用后，根据双方协商的开通时间开通使用业务。</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3.2.4</w:t>
      </w:r>
      <w:r>
        <w:rPr>
          <w:rFonts w:hint="eastAsia" w:ascii="仿宋" w:hAnsi="仿宋" w:eastAsia="仿宋" w:cs="仿宋"/>
          <w:color w:val="auto"/>
          <w:sz w:val="24"/>
          <w:highlight w:val="none"/>
        </w:rPr>
        <w:t>由于乙方端口、设备资源暂未具备等原因而未及时开通本业务的，乙方有责任协调相关部门尽快开通本业务。</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3.2.5</w:t>
      </w:r>
      <w:r>
        <w:rPr>
          <w:rFonts w:hint="eastAsia" w:ascii="仿宋" w:hAnsi="仿宋" w:eastAsia="仿宋" w:cs="仿宋"/>
          <w:color w:val="auto"/>
          <w:sz w:val="24"/>
          <w:highlight w:val="none"/>
        </w:rPr>
        <w:t>负责处理在接入和使用业务过程中出现的技术故障，乙方和乙方当地下属机构有义务接受甲方申告并负责处理。</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3.2.6</w:t>
      </w:r>
      <w:r>
        <w:rPr>
          <w:rFonts w:hint="eastAsia" w:ascii="仿宋" w:hAnsi="仿宋" w:eastAsia="仿宋" w:cs="仿宋"/>
          <w:color w:val="auto"/>
          <w:sz w:val="24"/>
          <w:highlight w:val="none"/>
        </w:rPr>
        <w:t>对所投资的线路和设备拥有所有权。服务期内，甲方对乙方提供的线路和设备有保管责任。</w:t>
      </w:r>
    </w:p>
    <w:p>
      <w:pPr>
        <w:spacing w:line="360" w:lineRule="exact"/>
        <w:ind w:firstLine="480"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第四条 </w:t>
      </w:r>
      <w:r>
        <w:rPr>
          <w:rFonts w:ascii="仿宋" w:hAnsi="仿宋" w:eastAsia="仿宋" w:cs="仿宋"/>
          <w:b/>
          <w:color w:val="auto"/>
          <w:sz w:val="24"/>
          <w:highlight w:val="none"/>
        </w:rPr>
        <w:t>业务的开通</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4.1</w:t>
      </w:r>
      <w:r>
        <w:rPr>
          <w:rFonts w:hint="eastAsia" w:ascii="仿宋" w:hAnsi="仿宋" w:eastAsia="仿宋" w:cs="仿宋"/>
          <w:color w:val="auto"/>
          <w:sz w:val="24"/>
          <w:highlight w:val="none"/>
        </w:rPr>
        <w:t>业务开通是指甲乙双方商定的接口点外侧到乙方城域网</w:t>
      </w:r>
      <w:r>
        <w:rPr>
          <w:rFonts w:ascii="仿宋" w:hAnsi="仿宋" w:eastAsia="仿宋" w:cs="仿宋"/>
          <w:color w:val="auto"/>
          <w:sz w:val="24"/>
          <w:highlight w:val="none"/>
        </w:rPr>
        <w:t>IP接入端口间的电路全程测通。</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4.2业务开通后，</w:t>
      </w:r>
      <w:r>
        <w:rPr>
          <w:rFonts w:hint="eastAsia" w:ascii="仿宋" w:hAnsi="仿宋" w:eastAsia="仿宋" w:cs="仿宋"/>
          <w:color w:val="auto"/>
          <w:sz w:val="24"/>
          <w:highlight w:val="none"/>
        </w:rPr>
        <w:t>乙方或委托乙方下属机构向甲方提供业务竣工单。</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4.2.1</w:t>
      </w:r>
      <w:r>
        <w:rPr>
          <w:rFonts w:hint="eastAsia" w:ascii="仿宋" w:hAnsi="仿宋" w:eastAsia="仿宋" w:cs="仿宋"/>
          <w:color w:val="auto"/>
          <w:sz w:val="24"/>
          <w:highlight w:val="none"/>
        </w:rPr>
        <w:t>甲方应当在收到乙方业务竣工单后五日内验收核实，本业务确已根据本合同约定和国家有关电信业务规定开通的，甲方应当签字或盖章确认。本业务实际开通日，以乙方或乙方代表与开通地点的甲方代表签字或盖章确认的日期为准。</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4.2.2</w:t>
      </w:r>
      <w:r>
        <w:rPr>
          <w:rFonts w:hint="eastAsia" w:ascii="仿宋" w:hAnsi="仿宋" w:eastAsia="仿宋" w:cs="仿宋"/>
          <w:color w:val="auto"/>
          <w:sz w:val="24"/>
          <w:highlight w:val="none"/>
        </w:rPr>
        <w:t>若甲方在收到乙方业务竣工单后五日内未签字或盖章确认、也未书面提出异议的，视为乙方已按照本合同约定和国家有关电信业务规定开通使用业务</w:t>
      </w:r>
      <w:r>
        <w:rPr>
          <w:rFonts w:ascii="仿宋" w:hAnsi="仿宋" w:eastAsia="仿宋" w:cs="仿宋"/>
          <w:color w:val="auto"/>
          <w:sz w:val="24"/>
          <w:highlight w:val="none"/>
        </w:rPr>
        <w:t>,</w:t>
      </w:r>
      <w:r>
        <w:rPr>
          <w:rFonts w:hint="eastAsia" w:ascii="仿宋" w:hAnsi="仿宋" w:eastAsia="仿宋" w:cs="仿宋"/>
          <w:color w:val="auto"/>
          <w:sz w:val="24"/>
          <w:highlight w:val="none"/>
        </w:rPr>
        <w:t>业务竣工单载明的实际开通日期为使用业务的实际开通日。</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4.3</w:t>
      </w:r>
      <w:r>
        <w:rPr>
          <w:rFonts w:hint="eastAsia" w:ascii="仿宋" w:hAnsi="仿宋" w:eastAsia="仿宋" w:cs="仿宋"/>
          <w:color w:val="auto"/>
          <w:sz w:val="24"/>
          <w:highlight w:val="none"/>
        </w:rPr>
        <w:t>乙方自实际开通日起开始对使用业务计收月使用费。</w:t>
      </w:r>
    </w:p>
    <w:p>
      <w:pPr>
        <w:spacing w:line="360" w:lineRule="exact"/>
        <w:ind w:firstLine="480"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第五条 终止业务服务</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5.1</w:t>
      </w:r>
      <w:r>
        <w:rPr>
          <w:rFonts w:hint="eastAsia" w:ascii="仿宋" w:hAnsi="仿宋" w:eastAsia="仿宋" w:cs="仿宋"/>
          <w:color w:val="auto"/>
          <w:sz w:val="24"/>
          <w:highlight w:val="none"/>
        </w:rPr>
        <w:t>甲方在服务期限到期前终止本业务，应当至少提前三十日以书面形式通知乙方，本业务终止时间以乙方收到甲方的终止服务通知中载明的终止时间为准，但不得早于乙方收到甲方终止服务通知后的第三十日。如果甲方的终止服务通知中载明的终止时间早于上述时限，则本业务终止时间为乙方收到甲方终止服务通知后的第三十一日。</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5.2甲方</w:t>
      </w:r>
      <w:r>
        <w:rPr>
          <w:rFonts w:hint="eastAsia" w:ascii="仿宋" w:hAnsi="仿宋" w:eastAsia="仿宋" w:cs="仿宋"/>
          <w:color w:val="auto"/>
          <w:sz w:val="24"/>
          <w:highlight w:val="none"/>
        </w:rPr>
        <w:t>终止服务时应当按照本合同第</w:t>
      </w:r>
      <w:r>
        <w:rPr>
          <w:rFonts w:ascii="仿宋" w:hAnsi="仿宋" w:eastAsia="仿宋" w:cs="仿宋"/>
          <w:color w:val="auto"/>
          <w:sz w:val="24"/>
          <w:highlight w:val="none"/>
        </w:rPr>
        <w:t>6.4.2条</w:t>
      </w:r>
      <w:r>
        <w:rPr>
          <w:rFonts w:hint="eastAsia" w:ascii="仿宋" w:hAnsi="仿宋" w:eastAsia="仿宋" w:cs="仿宋"/>
          <w:color w:val="auto"/>
          <w:sz w:val="24"/>
          <w:highlight w:val="none"/>
        </w:rPr>
        <w:t>结算并付清全部费用。</w:t>
      </w:r>
    </w:p>
    <w:p>
      <w:pPr>
        <w:spacing w:line="360" w:lineRule="exact"/>
        <w:ind w:firstLine="480"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第六条 </w:t>
      </w:r>
      <w:r>
        <w:rPr>
          <w:rFonts w:ascii="仿宋" w:hAnsi="仿宋" w:eastAsia="仿宋" w:cs="仿宋"/>
          <w:b/>
          <w:color w:val="auto"/>
          <w:sz w:val="24"/>
          <w:highlight w:val="none"/>
        </w:rPr>
        <w:t>费用及支付</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.1合同双方间发生的一切费用均以人民币结算及支付。</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.2经双方协商确认，本次服务费用共计： ¥</w:t>
      </w:r>
      <w:r>
        <w:rPr>
          <w:rFonts w:hint="eastAsia" w:ascii="仿宋" w:hAnsi="仿宋" w:eastAsia="仿宋" w:cs="仿宋"/>
          <w:color w:val="auto"/>
          <w:sz w:val="24"/>
          <w:highlight w:val="none"/>
          <w:lang w:val="en-US" w:eastAsia="zh-CN"/>
        </w:rPr>
        <w:t>432000</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肆拾叁万贰仟元</w:t>
      </w:r>
      <w:r>
        <w:rPr>
          <w:rFonts w:hint="eastAsia" w:ascii="仿宋" w:hAnsi="仿宋" w:eastAsia="仿宋" w:cs="仿宋"/>
          <w:color w:val="auto"/>
          <w:sz w:val="24"/>
          <w:highlight w:val="none"/>
        </w:rPr>
        <w:t>整）。</w:t>
      </w:r>
    </w:p>
    <w:p>
      <w:pPr>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 支付方式：</w:t>
      </w:r>
    </w:p>
    <w:p>
      <w:pPr>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ascii="仿宋" w:hAnsi="仿宋" w:eastAsia="仿宋" w:cs="仿宋"/>
          <w:color w:val="auto"/>
          <w:sz w:val="24"/>
          <w:highlight w:val="none"/>
        </w:rPr>
        <w:t>.</w:t>
      </w: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本合同总金额为人民币[</w:t>
      </w:r>
      <w:r>
        <w:rPr>
          <w:rFonts w:hint="eastAsia" w:ascii="仿宋" w:hAnsi="仿宋" w:eastAsia="仿宋" w:cs="仿宋"/>
          <w:color w:val="auto"/>
          <w:sz w:val="24"/>
          <w:highlight w:val="none"/>
          <w:lang w:val="en-US" w:eastAsia="zh-CN"/>
        </w:rPr>
        <w:t>432000</w:t>
      </w:r>
      <w:r>
        <w:rPr>
          <w:rFonts w:hint="eastAsia" w:ascii="仿宋" w:hAnsi="仿宋" w:eastAsia="仿宋" w:cs="仿宋"/>
          <w:color w:val="auto"/>
          <w:sz w:val="24"/>
          <w:highlight w:val="none"/>
        </w:rPr>
        <w:t>]元，包含</w:t>
      </w:r>
      <w:r>
        <w:rPr>
          <w:rFonts w:hint="eastAsia" w:ascii="仿宋" w:hAnsi="仿宋" w:eastAsia="仿宋" w:cs="仿宋"/>
          <w:color w:val="auto"/>
          <w:sz w:val="24"/>
          <w:highlight w:val="none"/>
          <w:lang w:val="en-US" w:eastAsia="zh-CN"/>
        </w:rPr>
        <w:t>壹年</w:t>
      </w:r>
      <w:r>
        <w:rPr>
          <w:rFonts w:hint="eastAsia" w:ascii="仿宋" w:hAnsi="仿宋" w:eastAsia="仿宋" w:cs="仿宋"/>
          <w:color w:val="auto"/>
          <w:sz w:val="24"/>
          <w:highlight w:val="none"/>
        </w:rPr>
        <w:t>专线</w:t>
      </w:r>
      <w:r>
        <w:rPr>
          <w:rFonts w:hint="eastAsia" w:ascii="仿宋" w:hAnsi="仿宋" w:eastAsia="仿宋" w:cs="仿宋"/>
          <w:color w:val="auto"/>
          <w:sz w:val="24"/>
          <w:highlight w:val="none"/>
          <w:lang w:val="en-US" w:eastAsia="zh-CN"/>
        </w:rPr>
        <w:t>建设</w:t>
      </w:r>
      <w:r>
        <w:rPr>
          <w:rFonts w:hint="eastAsia" w:ascii="仿宋" w:hAnsi="仿宋" w:eastAsia="仿宋" w:cs="仿宋"/>
          <w:color w:val="auto"/>
          <w:sz w:val="24"/>
          <w:highlight w:val="none"/>
        </w:rPr>
        <w:t>使用费用；互联网专线使用费用为[</w:t>
      </w:r>
      <w:r>
        <w:rPr>
          <w:rFonts w:hint="eastAsia" w:ascii="仿宋" w:hAnsi="仿宋" w:eastAsia="仿宋" w:cs="仿宋"/>
          <w:color w:val="auto"/>
          <w:sz w:val="24"/>
          <w:highlight w:val="none"/>
          <w:lang w:val="en-US" w:eastAsia="zh-CN"/>
        </w:rPr>
        <w:t>36000</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月</w:t>
      </w:r>
      <w:r>
        <w:rPr>
          <w:rFonts w:ascii="仿宋" w:hAnsi="仿宋" w:eastAsia="仿宋" w:cs="仿宋"/>
          <w:color w:val="auto"/>
          <w:sz w:val="24"/>
          <w:highlight w:val="none"/>
        </w:rPr>
        <w:t>]</w:t>
      </w:r>
      <w:r>
        <w:rPr>
          <w:rFonts w:hint="eastAsia" w:ascii="仿宋" w:hAnsi="仿宋" w:eastAsia="仿宋" w:cs="仿宋"/>
          <w:color w:val="auto"/>
          <w:sz w:val="24"/>
          <w:highlight w:val="none"/>
        </w:rPr>
        <w:t>相关费用为含税价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按</w:t>
      </w:r>
      <w:r>
        <w:rPr>
          <w:rFonts w:hint="eastAsia" w:ascii="仿宋" w:hAnsi="仿宋" w:eastAsia="仿宋" w:cs="仿宋"/>
          <w:color w:val="auto"/>
          <w:sz w:val="24"/>
          <w:highlight w:val="none"/>
          <w:lang w:val="en-US" w:eastAsia="zh-CN"/>
        </w:rPr>
        <w:t>年</w:t>
      </w:r>
      <w:r>
        <w:rPr>
          <w:rFonts w:hint="eastAsia" w:ascii="仿宋" w:hAnsi="仿宋" w:eastAsia="仿宋" w:cs="仿宋"/>
          <w:color w:val="auto"/>
          <w:sz w:val="24"/>
          <w:highlight w:val="none"/>
        </w:rPr>
        <w:t>支付，由乙方提供</w:t>
      </w:r>
      <w:r>
        <w:rPr>
          <w:rFonts w:hint="eastAsia" w:ascii="仿宋" w:hAnsi="仿宋" w:eastAsia="仿宋" w:cs="仿宋"/>
          <w:color w:val="auto"/>
          <w:sz w:val="24"/>
          <w:highlight w:val="none"/>
          <w:lang w:val="en-US" w:eastAsia="zh-CN"/>
        </w:rPr>
        <w:t>一个自然年（12个月）</w:t>
      </w:r>
      <w:r>
        <w:rPr>
          <w:rFonts w:hint="eastAsia" w:ascii="仿宋" w:hAnsi="仿宋" w:eastAsia="仿宋" w:cs="仿宋"/>
          <w:color w:val="auto"/>
          <w:sz w:val="24"/>
          <w:highlight w:val="none"/>
        </w:rPr>
        <w:t>网络专线费用相关增值税专用发票后，由采购人在</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个工作日内完成当</w:t>
      </w:r>
      <w:r>
        <w:rPr>
          <w:rFonts w:hint="eastAsia" w:ascii="仿宋" w:hAnsi="仿宋" w:eastAsia="仿宋" w:cs="仿宋"/>
          <w:color w:val="auto"/>
          <w:sz w:val="24"/>
          <w:highlight w:val="none"/>
          <w:lang w:val="en-US" w:eastAsia="zh-CN"/>
        </w:rPr>
        <w:t>年</w:t>
      </w:r>
      <w:r>
        <w:rPr>
          <w:rFonts w:hint="eastAsia" w:ascii="仿宋" w:hAnsi="仿宋" w:eastAsia="仿宋" w:cs="仿宋"/>
          <w:color w:val="auto"/>
          <w:sz w:val="24"/>
          <w:highlight w:val="none"/>
        </w:rPr>
        <w:t>宽带费用的支付。</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lang w:val="en-US" w:eastAsia="zh-CN"/>
        </w:rPr>
        <w:t>3.2</w:t>
      </w:r>
      <w:r>
        <w:rPr>
          <w:rFonts w:ascii="仿宋" w:hAnsi="仿宋" w:eastAsia="仿宋" w:cs="仿宋"/>
          <w:color w:val="auto"/>
          <w:sz w:val="24"/>
          <w:highlight w:val="none"/>
        </w:rPr>
        <w:t>甲方使用</w:t>
      </w:r>
      <w:r>
        <w:rPr>
          <w:rFonts w:hint="eastAsia" w:ascii="仿宋" w:hAnsi="仿宋" w:eastAsia="仿宋" w:cs="仿宋"/>
          <w:color w:val="auto"/>
          <w:sz w:val="24"/>
          <w:highlight w:val="none"/>
        </w:rPr>
        <w:t>业务</w:t>
      </w:r>
      <w:r>
        <w:rPr>
          <w:rFonts w:ascii="仿宋" w:hAnsi="仿宋" w:eastAsia="仿宋" w:cs="仿宋"/>
          <w:color w:val="auto"/>
          <w:sz w:val="24"/>
          <w:highlight w:val="none"/>
        </w:rPr>
        <w:t>产生的</w:t>
      </w:r>
      <w:r>
        <w:rPr>
          <w:rFonts w:hint="eastAsia" w:ascii="仿宋" w:hAnsi="仿宋" w:eastAsia="仿宋" w:cs="仿宋"/>
          <w:color w:val="auto"/>
          <w:sz w:val="24"/>
          <w:highlight w:val="none"/>
        </w:rPr>
        <w:t>本合同费用，包含但不限于银行转账，银行承兑汇票等方式。</w:t>
      </w:r>
    </w:p>
    <w:p>
      <w:pPr>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乙方应在甲方付款前、开具等额增值税专用发票（预付款除外）给甲方，否则甲方有权不予支付相应款项，直至乙方按要求提交对应申请资料与发票，延期支付责任由乙方自行承担。</w:t>
      </w:r>
    </w:p>
    <w:p>
      <w:pPr>
        <w:spacing w:line="360" w:lineRule="exact"/>
        <w:ind w:firstLine="480"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第七条 通信和服务质量</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7.1双方承诺严格遵守《中华人民共和国电信条例</w:t>
      </w:r>
      <w:r>
        <w:rPr>
          <w:rFonts w:hint="eastAsia" w:ascii="仿宋" w:hAnsi="仿宋" w:eastAsia="仿宋" w:cs="仿宋"/>
          <w:color w:val="auto"/>
          <w:sz w:val="24"/>
          <w:highlight w:val="none"/>
        </w:rPr>
        <w:t>》等国家有关法律法规履行本合同，维护双方权益。</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7.2乙方按国家主管部门颁布的电信服务标准</w:t>
      </w:r>
      <w:r>
        <w:rPr>
          <w:rFonts w:hint="eastAsia" w:ascii="仿宋" w:hAnsi="仿宋" w:eastAsia="仿宋" w:cs="仿宋"/>
          <w:color w:val="auto"/>
          <w:sz w:val="24"/>
          <w:highlight w:val="none"/>
        </w:rPr>
        <w:t>和电路质量要求提供服务，保证使用的业务畅通。</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7.3若本合同履行期间，国家颁布新的法律法规和服务标准，则自新的法律法规和服务标准生效之日起按照新的法律法规和服务标准执行。</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7.4</w:t>
      </w:r>
      <w:r>
        <w:rPr>
          <w:rFonts w:hint="eastAsia" w:ascii="仿宋" w:hAnsi="仿宋" w:eastAsia="仿宋" w:cs="仿宋"/>
          <w:color w:val="auto"/>
          <w:sz w:val="24"/>
          <w:highlight w:val="none"/>
        </w:rPr>
        <w:t>故障申告采取“就近申告、首问负责”的原则。甲方向乙方下属机构就近申告，乙方下属机构实行“首问负责制”，向甲方提供及时的服务，负责故障的处理。</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7.5</w:t>
      </w:r>
      <w:r>
        <w:rPr>
          <w:rFonts w:hint="eastAsia" w:ascii="仿宋" w:hAnsi="仿宋" w:eastAsia="仿宋" w:cs="仿宋"/>
          <w:color w:val="auto"/>
          <w:sz w:val="24"/>
          <w:highlight w:val="none"/>
        </w:rPr>
        <w:t>由于甲方自备设备故障或甲方操作不当造成的故障，甲方自行承担责任，并赔偿乙方由此遭受的损失。</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7.6</w:t>
      </w:r>
      <w:r>
        <w:rPr>
          <w:rFonts w:hint="eastAsia" w:ascii="仿宋" w:hAnsi="仿宋" w:eastAsia="仿宋" w:cs="仿宋"/>
          <w:color w:val="auto"/>
          <w:sz w:val="24"/>
          <w:highlight w:val="none"/>
        </w:rPr>
        <w:t>因乙方施工、网络割接等原因影响本业务的正常使用的，乙方应当提前通知甲方，并且尽快消除故障、恢复业务。</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7.7</w:t>
      </w:r>
      <w:r>
        <w:rPr>
          <w:rFonts w:hint="eastAsia" w:ascii="仿宋" w:hAnsi="仿宋" w:eastAsia="仿宋" w:cs="仿宋"/>
          <w:color w:val="auto"/>
          <w:sz w:val="24"/>
          <w:highlight w:val="none"/>
        </w:rPr>
        <w:t>如乙方因国防需要、政府指令、网络维护、网络调整、网络安全等因素在网络上对服务进行更改或变动，乙方应当提前通知甲方，甲方应当予配合。</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7.8</w:t>
      </w:r>
      <w:r>
        <w:rPr>
          <w:rFonts w:hint="eastAsia" w:ascii="仿宋" w:hAnsi="仿宋" w:eastAsia="仿宋" w:cs="仿宋"/>
          <w:color w:val="auto"/>
          <w:sz w:val="24"/>
          <w:highlight w:val="none"/>
        </w:rPr>
        <w:t>双方同意建立协商制度，加强日常沟通，及时处理影响通信质量的问题。</w:t>
      </w:r>
    </w:p>
    <w:p>
      <w:pPr>
        <w:spacing w:line="360" w:lineRule="exact"/>
        <w:ind w:firstLine="480"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第八条 保密</w:t>
      </w:r>
    </w:p>
    <w:p>
      <w:pPr>
        <w:spacing w:line="360" w:lineRule="exact"/>
        <w:ind w:firstLine="480" w:firstLineChars="200"/>
        <w:rPr>
          <w:rFonts w:ascii="仿宋" w:hAnsi="仿宋" w:eastAsia="仿宋" w:cs="仿宋"/>
          <w:color w:val="auto"/>
          <w:sz w:val="24"/>
          <w:highlight w:val="none"/>
        </w:rPr>
      </w:pPr>
      <w:bookmarkStart w:id="184" w:name="_Hlk85931509"/>
      <w:bookmarkStart w:id="185" w:name="_Hlk85931215"/>
      <w:r>
        <w:rPr>
          <w:rFonts w:ascii="仿宋" w:hAnsi="仿宋" w:eastAsia="仿宋" w:cs="仿宋"/>
          <w:color w:val="auto"/>
          <w:sz w:val="24"/>
          <w:highlight w:val="none"/>
        </w:rPr>
        <w:t>8.1未经对方书面许可，任何一方不得向第三方提供或者披露因本合同的签订和履行而得知的与对方业务有关的资料和信息，法律、法规、规章或监管要求另有规定或本合同另有约定的除外。乙方向其关联公司提供或披露与甲方业务有关的资料和信息的，不受此限。</w:t>
      </w:r>
    </w:p>
    <w:p>
      <w:pPr>
        <w:spacing w:line="3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8.2本保密条款在服务期内及服务终止后二年之内持续有效。</w:t>
      </w:r>
      <w:bookmarkEnd w:id="184"/>
    </w:p>
    <w:bookmarkEnd w:id="185"/>
    <w:p>
      <w:pPr>
        <w:pStyle w:val="22"/>
        <w:spacing w:line="360" w:lineRule="exact"/>
        <w:ind w:firstLine="420"/>
        <w:rPr>
          <w:rFonts w:ascii="仿宋" w:hAnsi="仿宋" w:eastAsia="仿宋" w:cs="仿宋"/>
          <w:b/>
          <w:color w:val="auto"/>
          <w:sz w:val="24"/>
          <w:szCs w:val="24"/>
          <w:highlight w:val="none"/>
        </w:rPr>
      </w:pPr>
      <w:bookmarkStart w:id="186" w:name="_Hlk85932049"/>
      <w:r>
        <w:rPr>
          <w:rFonts w:hint="eastAsia" w:ascii="仿宋" w:hAnsi="仿宋" w:eastAsia="仿宋" w:cs="仿宋"/>
          <w:b/>
          <w:color w:val="auto"/>
          <w:sz w:val="24"/>
          <w:szCs w:val="24"/>
          <w:highlight w:val="none"/>
        </w:rPr>
        <w:t>第九条 个人信息保护和数据安全</w:t>
      </w:r>
    </w:p>
    <w:p>
      <w:pPr>
        <w:tabs>
          <w:tab w:val="left" w:pos="7980"/>
        </w:tabs>
        <w:autoSpaceDE w:val="0"/>
        <w:autoSpaceDN w:val="0"/>
        <w:adjustRightInd w:val="0"/>
        <w:spacing w:line="3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为履行本合同，甲方委托乙方处理相关数据和个人信息的，双方同意按照本条约定执行：</w:t>
      </w:r>
    </w:p>
    <w:p>
      <w:pPr>
        <w:tabs>
          <w:tab w:val="left" w:pos="7980"/>
        </w:tabs>
        <w:autoSpaceDE w:val="0"/>
        <w:autoSpaceDN w:val="0"/>
        <w:adjustRightInd w:val="0"/>
        <w:spacing w:line="36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9.1</w:t>
      </w:r>
      <w:r>
        <w:rPr>
          <w:rFonts w:hint="eastAsia" w:ascii="仿宋" w:hAnsi="仿宋" w:eastAsia="仿宋" w:cs="仿宋"/>
          <w:color w:val="auto"/>
          <w:sz w:val="24"/>
          <w:highlight w:val="none"/>
        </w:rPr>
        <w:t>个人信息种类：</w:t>
      </w:r>
      <w:r>
        <w:rPr>
          <w:rFonts w:ascii="仿宋" w:hAnsi="仿宋" w:eastAsia="仿宋" w:cs="仿宋"/>
          <w:color w:val="auto"/>
          <w:sz w:val="24"/>
          <w:highlight w:val="none"/>
        </w:rPr>
        <w:t>[</w:t>
      </w:r>
      <w:r>
        <w:rPr>
          <w:rFonts w:ascii="仿宋" w:hAnsi="仿宋" w:eastAsia="仿宋"/>
          <w:color w:val="auto"/>
          <w:sz w:val="24"/>
          <w:highlight w:val="none"/>
        </w:rPr>
        <w:t>实名制登记所需</w:t>
      </w:r>
      <w:r>
        <w:rPr>
          <w:rFonts w:hint="eastAsia" w:ascii="仿宋" w:hAnsi="仿宋" w:eastAsia="仿宋"/>
          <w:color w:val="auto"/>
          <w:sz w:val="24"/>
          <w:highlight w:val="none"/>
        </w:rPr>
        <w:t>身份信息</w:t>
      </w:r>
      <w:r>
        <w:rPr>
          <w:rFonts w:ascii="仿宋" w:hAnsi="仿宋" w:eastAsia="仿宋" w:cs="仿宋"/>
          <w:color w:val="auto"/>
          <w:sz w:val="24"/>
          <w:highlight w:val="none"/>
        </w:rPr>
        <w:t>]；处理数据和个人信息的期限为：[</w:t>
      </w:r>
      <w:r>
        <w:rPr>
          <w:rFonts w:hint="eastAsia" w:ascii="仿宋" w:hAnsi="仿宋" w:eastAsia="仿宋"/>
          <w:color w:val="auto"/>
          <w:sz w:val="24"/>
          <w:highlight w:val="none"/>
        </w:rPr>
        <w:t>在本合同有效期内且为实现本合同目的所需的最短时间</w:t>
      </w:r>
      <w:r>
        <w:rPr>
          <w:rFonts w:ascii="仿宋" w:hAnsi="仿宋" w:eastAsia="仿宋" w:cs="仿宋"/>
          <w:color w:val="auto"/>
          <w:sz w:val="24"/>
          <w:highlight w:val="none"/>
        </w:rPr>
        <w:t>];处理方式为：[</w:t>
      </w:r>
      <w:r>
        <w:rPr>
          <w:rFonts w:hint="eastAsia" w:ascii="仿宋" w:hAnsi="仿宋" w:eastAsia="仿宋"/>
          <w:color w:val="auto"/>
          <w:sz w:val="24"/>
          <w:highlight w:val="none"/>
        </w:rPr>
        <w:t>收集、存储、使用</w:t>
      </w:r>
      <w:r>
        <w:rPr>
          <w:rFonts w:ascii="仿宋" w:hAnsi="仿宋" w:eastAsia="仿宋" w:cs="仿宋"/>
          <w:color w:val="auto"/>
          <w:sz w:val="24"/>
          <w:highlight w:val="none"/>
        </w:rPr>
        <w:t>]</w:t>
      </w:r>
      <w:r>
        <w:rPr>
          <w:rFonts w:hint="eastAsia" w:ascii="仿宋" w:hAnsi="仿宋" w:eastAsia="仿宋" w:cs="仿宋"/>
          <w:color w:val="auto"/>
          <w:sz w:val="24"/>
          <w:highlight w:val="none"/>
        </w:rPr>
        <w:t>以及本合同约定的其他处理方式。</w:t>
      </w:r>
    </w:p>
    <w:p>
      <w:pPr>
        <w:tabs>
          <w:tab w:val="left" w:pos="7980"/>
        </w:tabs>
        <w:autoSpaceDE w:val="0"/>
        <w:autoSpaceDN w:val="0"/>
        <w:adjustRightInd w:val="0"/>
        <w:spacing w:line="36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9.2</w:t>
      </w:r>
      <w:r>
        <w:rPr>
          <w:rFonts w:hint="eastAsia" w:ascii="仿宋" w:hAnsi="仿宋" w:eastAsia="仿宋" w:cs="仿宋"/>
          <w:color w:val="auto"/>
          <w:sz w:val="24"/>
          <w:highlight w:val="none"/>
        </w:rPr>
        <w:t>甲方保证，其委托乙方处理个人信息已经向个人信息主体履行了法定告知义务，并取得了其同意。甲方保证，其委托乙方处理的个人信息和数据来源合法合规，不存在违反法律法规、监管要求的情况。</w:t>
      </w:r>
    </w:p>
    <w:p>
      <w:pPr>
        <w:tabs>
          <w:tab w:val="left" w:pos="7980"/>
        </w:tabs>
        <w:autoSpaceDE w:val="0"/>
        <w:autoSpaceDN w:val="0"/>
        <w:adjustRightInd w:val="0"/>
        <w:spacing w:line="36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9.3</w:t>
      </w:r>
      <w:r>
        <w:rPr>
          <w:rFonts w:hint="eastAsia" w:ascii="仿宋" w:hAnsi="仿宋" w:eastAsia="仿宋" w:cs="仿宋"/>
          <w:color w:val="auto"/>
          <w:sz w:val="24"/>
          <w:highlight w:val="none"/>
        </w:rPr>
        <w:t>双方均应当严格按照相关法律法规规定，采取措施确保个人信息处理活动符合法律、行政法规的规定，防止未经授权的访问以及个人信息和数据的泄露、篡改、丢失。</w:t>
      </w:r>
    </w:p>
    <w:p>
      <w:pPr>
        <w:tabs>
          <w:tab w:val="left" w:pos="7980"/>
        </w:tabs>
        <w:autoSpaceDE w:val="0"/>
        <w:autoSpaceDN w:val="0"/>
        <w:adjustRightInd w:val="0"/>
        <w:spacing w:line="36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9.4</w:t>
      </w:r>
      <w:r>
        <w:rPr>
          <w:rFonts w:hint="eastAsia" w:ascii="仿宋" w:hAnsi="仿宋" w:eastAsia="仿宋" w:cs="仿宋"/>
          <w:color w:val="auto"/>
          <w:sz w:val="24"/>
          <w:highlight w:val="none"/>
        </w:rPr>
        <w:t>乙方</w:t>
      </w:r>
      <w:r>
        <w:rPr>
          <w:rFonts w:ascii="仿宋" w:hAnsi="仿宋" w:eastAsia="仿宋" w:cs="仿宋"/>
          <w:color w:val="auto"/>
          <w:sz w:val="24"/>
          <w:highlight w:val="none"/>
        </w:rPr>
        <w:t>有权对</w:t>
      </w:r>
      <w:r>
        <w:rPr>
          <w:rFonts w:hint="eastAsia" w:ascii="仿宋" w:hAnsi="仿宋" w:eastAsia="仿宋" w:cs="仿宋"/>
          <w:color w:val="auto"/>
          <w:sz w:val="24"/>
          <w:highlight w:val="none"/>
        </w:rPr>
        <w:t>甲方提供的个人信息和数据来源合法合规性</w:t>
      </w:r>
      <w:r>
        <w:rPr>
          <w:rFonts w:ascii="仿宋" w:hAnsi="仿宋" w:eastAsia="仿宋" w:cs="仿宋"/>
          <w:color w:val="auto"/>
          <w:sz w:val="24"/>
          <w:highlight w:val="none"/>
        </w:rPr>
        <w:t>情况进行</w:t>
      </w:r>
      <w:r>
        <w:rPr>
          <w:rFonts w:hint="eastAsia" w:ascii="仿宋" w:hAnsi="仿宋" w:eastAsia="仿宋" w:cs="仿宋"/>
          <w:color w:val="auto"/>
          <w:sz w:val="24"/>
          <w:highlight w:val="none"/>
        </w:rPr>
        <w:t>检查</w:t>
      </w:r>
      <w:r>
        <w:rPr>
          <w:rFonts w:ascii="仿宋" w:hAnsi="仿宋" w:eastAsia="仿宋" w:cs="仿宋"/>
          <w:color w:val="auto"/>
          <w:sz w:val="24"/>
          <w:highlight w:val="none"/>
        </w:rPr>
        <w:t>。对于</w:t>
      </w:r>
      <w:r>
        <w:rPr>
          <w:rFonts w:hint="eastAsia" w:ascii="仿宋" w:hAnsi="仿宋" w:eastAsia="仿宋" w:cs="仿宋"/>
          <w:color w:val="auto"/>
          <w:sz w:val="24"/>
          <w:highlight w:val="none"/>
        </w:rPr>
        <w:t>乙方检查</w:t>
      </w:r>
      <w:r>
        <w:rPr>
          <w:rFonts w:ascii="仿宋" w:hAnsi="仿宋" w:eastAsia="仿宋" w:cs="仿宋"/>
          <w:color w:val="auto"/>
          <w:sz w:val="24"/>
          <w:highlight w:val="none"/>
        </w:rPr>
        <w:t>发现</w:t>
      </w:r>
      <w:r>
        <w:rPr>
          <w:rFonts w:hint="eastAsia" w:ascii="仿宋" w:hAnsi="仿宋" w:eastAsia="仿宋" w:cs="仿宋"/>
          <w:color w:val="auto"/>
          <w:sz w:val="24"/>
          <w:highlight w:val="none"/>
        </w:rPr>
        <w:t>甲方个人信息和数据来源</w:t>
      </w:r>
      <w:r>
        <w:rPr>
          <w:rFonts w:ascii="仿宋" w:hAnsi="仿宋" w:eastAsia="仿宋" w:cs="仿宋"/>
          <w:color w:val="auto"/>
          <w:sz w:val="24"/>
          <w:highlight w:val="none"/>
        </w:rPr>
        <w:t>违反法律法规</w:t>
      </w:r>
      <w:r>
        <w:rPr>
          <w:rFonts w:hint="eastAsia" w:ascii="仿宋" w:hAnsi="仿宋" w:eastAsia="仿宋" w:cs="仿宋"/>
          <w:color w:val="auto"/>
          <w:sz w:val="24"/>
          <w:highlight w:val="none"/>
        </w:rPr>
        <w:t>、监管要求，或者就其向乙方提供的个人信息未依法向个人履行法定告知义务、未取得个人同意，乙方</w:t>
      </w:r>
      <w:r>
        <w:rPr>
          <w:rFonts w:ascii="仿宋" w:hAnsi="仿宋" w:eastAsia="仿宋" w:cs="仿宋"/>
          <w:color w:val="auto"/>
          <w:sz w:val="24"/>
          <w:highlight w:val="none"/>
        </w:rPr>
        <w:t>有权要求</w:t>
      </w:r>
      <w:r>
        <w:rPr>
          <w:rFonts w:hint="eastAsia" w:ascii="仿宋" w:hAnsi="仿宋" w:eastAsia="仿宋" w:cs="仿宋"/>
          <w:color w:val="auto"/>
          <w:sz w:val="24"/>
          <w:highlight w:val="none"/>
        </w:rPr>
        <w:t>甲方</w:t>
      </w:r>
      <w:r>
        <w:rPr>
          <w:rFonts w:ascii="仿宋" w:hAnsi="仿宋" w:eastAsia="仿宋" w:cs="仿宋"/>
          <w:color w:val="auto"/>
          <w:sz w:val="24"/>
          <w:highlight w:val="none"/>
        </w:rPr>
        <w:t>在一定期限内整改。如果</w:t>
      </w:r>
      <w:r>
        <w:rPr>
          <w:rFonts w:hint="eastAsia" w:ascii="仿宋" w:hAnsi="仿宋" w:eastAsia="仿宋" w:cs="仿宋"/>
          <w:color w:val="auto"/>
          <w:sz w:val="24"/>
          <w:highlight w:val="none"/>
        </w:rPr>
        <w:t>甲方</w:t>
      </w:r>
      <w:r>
        <w:rPr>
          <w:rFonts w:ascii="仿宋" w:hAnsi="仿宋" w:eastAsia="仿宋" w:cs="仿宋"/>
          <w:color w:val="auto"/>
          <w:sz w:val="24"/>
          <w:highlight w:val="none"/>
        </w:rPr>
        <w:t>未按照</w:t>
      </w:r>
      <w:r>
        <w:rPr>
          <w:rFonts w:hint="eastAsia" w:ascii="仿宋" w:hAnsi="仿宋" w:eastAsia="仿宋" w:cs="仿宋"/>
          <w:color w:val="auto"/>
          <w:sz w:val="24"/>
          <w:highlight w:val="none"/>
        </w:rPr>
        <w:t>乙方</w:t>
      </w:r>
      <w:r>
        <w:rPr>
          <w:rFonts w:ascii="仿宋" w:hAnsi="仿宋" w:eastAsia="仿宋" w:cs="仿宋"/>
          <w:color w:val="auto"/>
          <w:sz w:val="24"/>
          <w:highlight w:val="none"/>
        </w:rPr>
        <w:t>要求整改或整改未达到</w:t>
      </w:r>
      <w:r>
        <w:rPr>
          <w:rFonts w:hint="eastAsia" w:ascii="仿宋" w:hAnsi="仿宋" w:eastAsia="仿宋" w:cs="仿宋"/>
          <w:color w:val="auto"/>
          <w:sz w:val="24"/>
          <w:highlight w:val="none"/>
        </w:rPr>
        <w:t>乙方</w:t>
      </w:r>
      <w:r>
        <w:rPr>
          <w:rFonts w:ascii="仿宋" w:hAnsi="仿宋" w:eastAsia="仿宋" w:cs="仿宋"/>
          <w:color w:val="auto"/>
          <w:sz w:val="24"/>
          <w:highlight w:val="none"/>
        </w:rPr>
        <w:t>的相关要求，</w:t>
      </w:r>
      <w:r>
        <w:rPr>
          <w:rFonts w:hint="eastAsia" w:ascii="仿宋" w:hAnsi="仿宋" w:eastAsia="仿宋" w:cs="仿宋"/>
          <w:color w:val="auto"/>
          <w:sz w:val="24"/>
          <w:highlight w:val="none"/>
        </w:rPr>
        <w:t>乙方有权</w:t>
      </w:r>
      <w:r>
        <w:rPr>
          <w:rFonts w:ascii="仿宋" w:hAnsi="仿宋" w:eastAsia="仿宋" w:cs="仿宋"/>
          <w:color w:val="auto"/>
          <w:sz w:val="24"/>
          <w:highlight w:val="none"/>
        </w:rPr>
        <w:t>解除合同，且不承担赔偿责任；由此给</w:t>
      </w:r>
      <w:r>
        <w:rPr>
          <w:rFonts w:hint="eastAsia" w:ascii="仿宋" w:hAnsi="仿宋" w:eastAsia="仿宋" w:cs="仿宋"/>
          <w:color w:val="auto"/>
          <w:sz w:val="24"/>
          <w:highlight w:val="none"/>
        </w:rPr>
        <w:t>乙方</w:t>
      </w:r>
      <w:r>
        <w:rPr>
          <w:rFonts w:ascii="仿宋" w:hAnsi="仿宋" w:eastAsia="仿宋" w:cs="仿宋"/>
          <w:color w:val="auto"/>
          <w:sz w:val="24"/>
          <w:highlight w:val="none"/>
        </w:rPr>
        <w:t>造成损失</w:t>
      </w:r>
      <w:r>
        <w:rPr>
          <w:rFonts w:hint="eastAsia" w:ascii="仿宋" w:hAnsi="仿宋" w:eastAsia="仿宋" w:cs="仿宋"/>
          <w:color w:val="auto"/>
          <w:sz w:val="24"/>
          <w:highlight w:val="none"/>
        </w:rPr>
        <w:t>的</w:t>
      </w:r>
      <w:r>
        <w:rPr>
          <w:rFonts w:ascii="仿宋" w:hAnsi="仿宋" w:eastAsia="仿宋" w:cs="仿宋"/>
          <w:color w:val="auto"/>
          <w:sz w:val="24"/>
          <w:highlight w:val="none"/>
        </w:rPr>
        <w:t>，</w:t>
      </w:r>
      <w:r>
        <w:rPr>
          <w:rFonts w:hint="eastAsia" w:ascii="仿宋" w:hAnsi="仿宋" w:eastAsia="仿宋" w:cs="仿宋"/>
          <w:color w:val="auto"/>
          <w:sz w:val="24"/>
          <w:highlight w:val="none"/>
        </w:rPr>
        <w:t>甲方</w:t>
      </w:r>
      <w:r>
        <w:rPr>
          <w:rFonts w:ascii="仿宋" w:hAnsi="仿宋" w:eastAsia="仿宋" w:cs="仿宋"/>
          <w:color w:val="auto"/>
          <w:sz w:val="24"/>
          <w:highlight w:val="none"/>
        </w:rPr>
        <w:t>应当全额赔偿</w:t>
      </w:r>
      <w:r>
        <w:rPr>
          <w:rFonts w:hint="eastAsia" w:ascii="仿宋" w:hAnsi="仿宋" w:eastAsia="仿宋" w:cs="仿宋"/>
          <w:color w:val="auto"/>
          <w:sz w:val="24"/>
          <w:highlight w:val="none"/>
        </w:rPr>
        <w:t>。</w:t>
      </w:r>
    </w:p>
    <w:p>
      <w:pPr>
        <w:spacing w:line="360" w:lineRule="exact"/>
        <w:ind w:firstLine="480" w:firstLineChars="200"/>
        <w:rPr>
          <w:rFonts w:ascii="仿宋" w:hAnsi="仿宋" w:eastAsia="仿宋"/>
          <w:b/>
          <w:bCs/>
          <w:color w:val="auto"/>
          <w:sz w:val="24"/>
          <w:highlight w:val="none"/>
        </w:rPr>
      </w:pPr>
      <w:r>
        <w:rPr>
          <w:rFonts w:hint="eastAsia" w:ascii="仿宋" w:hAnsi="仿宋" w:eastAsia="仿宋" w:cs="仿宋"/>
          <w:b/>
          <w:bCs/>
          <w:color w:val="auto"/>
          <w:sz w:val="24"/>
          <w:highlight w:val="none"/>
        </w:rPr>
        <w:t xml:space="preserve">第十条 </w:t>
      </w:r>
      <w:r>
        <w:rPr>
          <w:rFonts w:hint="eastAsia" w:ascii="仿宋" w:hAnsi="仿宋" w:eastAsia="仿宋"/>
          <w:b/>
          <w:color w:val="auto"/>
          <w:sz w:val="24"/>
          <w:highlight w:val="none"/>
        </w:rPr>
        <w:t>违约责任</w:t>
      </w:r>
    </w:p>
    <w:p>
      <w:pPr>
        <w:spacing w:line="3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10</w:t>
      </w:r>
      <w:bookmarkEnd w:id="186"/>
      <w:r>
        <w:rPr>
          <w:rFonts w:ascii="仿宋" w:hAnsi="仿宋" w:eastAsia="仿宋"/>
          <w:color w:val="auto"/>
          <w:sz w:val="24"/>
          <w:highlight w:val="none"/>
        </w:rPr>
        <w:t>.1甲方使用</w:t>
      </w:r>
      <w:r>
        <w:rPr>
          <w:rFonts w:hint="eastAsia" w:ascii="仿宋" w:hAnsi="仿宋" w:eastAsia="仿宋"/>
          <w:color w:val="auto"/>
          <w:sz w:val="24"/>
          <w:highlight w:val="none"/>
        </w:rPr>
        <w:t>本业务</w:t>
      </w:r>
      <w:r>
        <w:rPr>
          <w:rFonts w:ascii="仿宋" w:hAnsi="仿宋" w:eastAsia="仿宋"/>
          <w:color w:val="auto"/>
          <w:sz w:val="24"/>
          <w:highlight w:val="none"/>
        </w:rPr>
        <w:t>违反本合</w:t>
      </w:r>
      <w:r>
        <w:rPr>
          <w:rFonts w:hint="eastAsia" w:ascii="仿宋" w:hAnsi="仿宋" w:eastAsia="仿宋"/>
          <w:color w:val="auto"/>
          <w:sz w:val="24"/>
          <w:highlight w:val="none"/>
        </w:rPr>
        <w:t>同</w:t>
      </w:r>
      <w:r>
        <w:rPr>
          <w:rFonts w:ascii="仿宋" w:hAnsi="仿宋" w:eastAsia="仿宋"/>
          <w:color w:val="auto"/>
          <w:sz w:val="24"/>
          <w:highlight w:val="none"/>
        </w:rPr>
        <w:t>约</w:t>
      </w:r>
      <w:r>
        <w:rPr>
          <w:rFonts w:hint="eastAsia" w:ascii="仿宋" w:hAnsi="仿宋" w:eastAsia="仿宋"/>
          <w:color w:val="auto"/>
          <w:sz w:val="24"/>
          <w:highlight w:val="none"/>
        </w:rPr>
        <w:t>定的，包括但不限于在本合同签订时不具备开展业务所需的全部资质许可、未履行相关手续，或在服务期内丧失全部或部分资质许可的，将通信服务以转让或其他任何方式提供给第三方的，将通信服务用于本合同约定用途以外的其他用途，以及实施了任何违反国家法律法规的行为，乙方有权立即终止本合同，甲方应当支付已使用未缴纳的费用</w:t>
      </w:r>
      <w:r>
        <w:rPr>
          <w:rFonts w:ascii="仿宋" w:hAnsi="仿宋" w:eastAsia="仿宋"/>
          <w:color w:val="auto"/>
          <w:sz w:val="24"/>
          <w:highlight w:val="none"/>
        </w:rPr>
        <w:t>。</w:t>
      </w:r>
    </w:p>
    <w:p>
      <w:pPr>
        <w:spacing w:line="3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10.</w:t>
      </w:r>
      <w:r>
        <w:rPr>
          <w:rFonts w:hint="eastAsia" w:ascii="仿宋" w:hAnsi="仿宋" w:eastAsia="仿宋"/>
          <w:color w:val="auto"/>
          <w:sz w:val="24"/>
          <w:highlight w:val="none"/>
        </w:rPr>
        <w:t>2</w:t>
      </w:r>
      <w:r>
        <w:rPr>
          <w:rFonts w:ascii="仿宋" w:hAnsi="仿宋" w:eastAsia="仿宋"/>
          <w:color w:val="auto"/>
          <w:sz w:val="24"/>
          <w:highlight w:val="none"/>
        </w:rPr>
        <w:t>如甲方逾期付费，乙方有权暂停向甲方提供本服务直至终止本合同；同时，甲方还应当承担乙方因追讨欠费支出的各项费用（包括但不限于律师费、诉讼费、保全费、财产保全担保费等）。在欠费期间</w:t>
      </w:r>
      <w:r>
        <w:rPr>
          <w:rFonts w:hint="eastAsia" w:ascii="仿宋" w:hAnsi="仿宋" w:eastAsia="仿宋"/>
          <w:color w:val="auto"/>
          <w:sz w:val="24"/>
          <w:highlight w:val="none"/>
        </w:rPr>
        <w:t>乙</w:t>
      </w:r>
      <w:r>
        <w:rPr>
          <w:rFonts w:ascii="仿宋" w:hAnsi="仿宋" w:eastAsia="仿宋"/>
          <w:color w:val="auto"/>
          <w:sz w:val="24"/>
          <w:highlight w:val="none"/>
        </w:rPr>
        <w:t>方有权不向</w:t>
      </w:r>
      <w:r>
        <w:rPr>
          <w:rFonts w:hint="eastAsia" w:ascii="仿宋" w:hAnsi="仿宋" w:eastAsia="仿宋"/>
          <w:color w:val="auto"/>
          <w:sz w:val="24"/>
          <w:highlight w:val="none"/>
        </w:rPr>
        <w:t>甲</w:t>
      </w:r>
      <w:r>
        <w:rPr>
          <w:rFonts w:ascii="仿宋" w:hAnsi="仿宋" w:eastAsia="仿宋"/>
          <w:color w:val="auto"/>
          <w:sz w:val="24"/>
          <w:highlight w:val="none"/>
        </w:rPr>
        <w:t>方提供业务新装/开、续用/开、变更等服务</w:t>
      </w:r>
      <w:r>
        <w:rPr>
          <w:rFonts w:hint="eastAsia" w:ascii="仿宋" w:hAnsi="仿宋" w:eastAsia="仿宋"/>
          <w:color w:val="auto"/>
          <w:sz w:val="24"/>
          <w:highlight w:val="none"/>
        </w:rPr>
        <w:t>。</w:t>
      </w:r>
    </w:p>
    <w:p>
      <w:pPr>
        <w:spacing w:line="3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10.</w:t>
      </w:r>
      <w:r>
        <w:rPr>
          <w:rFonts w:hint="eastAsia" w:ascii="仿宋" w:hAnsi="仿宋" w:eastAsia="仿宋"/>
          <w:color w:val="auto"/>
          <w:sz w:val="24"/>
          <w:highlight w:val="none"/>
        </w:rPr>
        <w:t>3</w:t>
      </w:r>
      <w:r>
        <w:rPr>
          <w:rFonts w:ascii="仿宋" w:hAnsi="仿宋" w:eastAsia="仿宋"/>
          <w:color w:val="auto"/>
          <w:sz w:val="24"/>
          <w:highlight w:val="none"/>
        </w:rPr>
        <w:t>在满足开通条件的情况下，如因乙方原因不能在本合同规定的开通时限内开通使用本业务，则每逾期一个工作日乙方应当向甲方赔付所收取的一次性费用的百分之一作为违约金，并在首月月使用费中直接抵扣扣除，赔付金额最多不超过首月月使用费。如逾期[</w:t>
      </w:r>
      <w:r>
        <w:rPr>
          <w:rFonts w:hint="eastAsia" w:ascii="仿宋" w:hAnsi="仿宋" w:eastAsia="仿宋"/>
          <w:color w:val="auto"/>
          <w:sz w:val="24"/>
          <w:highlight w:val="none"/>
        </w:rPr>
        <w:t>30</w:t>
      </w:r>
      <w:r>
        <w:rPr>
          <w:rFonts w:ascii="仿宋" w:hAnsi="仿宋" w:eastAsia="仿宋"/>
          <w:color w:val="auto"/>
          <w:sz w:val="24"/>
          <w:highlight w:val="none"/>
        </w:rPr>
        <w:t>]日仍不能开通，则甲方有权终止本合同。</w:t>
      </w:r>
    </w:p>
    <w:p>
      <w:pPr>
        <w:spacing w:line="3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10.</w:t>
      </w:r>
      <w:r>
        <w:rPr>
          <w:rFonts w:hint="eastAsia" w:ascii="仿宋" w:hAnsi="仿宋" w:eastAsia="仿宋"/>
          <w:color w:val="auto"/>
          <w:sz w:val="24"/>
          <w:highlight w:val="none"/>
        </w:rPr>
        <w:t>4本合同履行过程中，如甲方发生以下任一情形的，乙方有权视情节严重程度采取中止或终止履行合同、解除合同等措施并不承担违约责任。如该情形导致第三方向乙方提出法律或行政程序，甲方应当负责解决。如该情形给乙方造成损失的，甲方应当全额赔偿：</w:t>
      </w:r>
    </w:p>
    <w:p>
      <w:pPr>
        <w:pStyle w:val="33"/>
        <w:spacing w:after="0" w:line="360" w:lineRule="exact"/>
        <w:ind w:left="0" w:leftChars="0" w:firstLine="480" w:firstLineChars="200"/>
        <w:rPr>
          <w:rFonts w:ascii="仿宋" w:hAnsi="仿宋" w:eastAsia="仿宋"/>
          <w:color w:val="auto"/>
          <w:sz w:val="24"/>
          <w:highlight w:val="none"/>
        </w:rPr>
      </w:pPr>
      <w:bookmarkStart w:id="187" w:name="_Hlk85931190"/>
      <w:bookmarkStart w:id="188" w:name="_Hlk85931728"/>
      <w:r>
        <w:rPr>
          <w:rFonts w:hint="eastAsia" w:ascii="仿宋" w:hAnsi="仿宋" w:eastAsia="仿宋"/>
          <w:color w:val="auto"/>
          <w:sz w:val="24"/>
          <w:highlight w:val="none"/>
        </w:rPr>
        <w:t>（</w:t>
      </w:r>
      <w:r>
        <w:rPr>
          <w:rFonts w:ascii="仿宋" w:hAnsi="仿宋" w:eastAsia="仿宋"/>
          <w:color w:val="auto"/>
          <w:sz w:val="24"/>
          <w:highlight w:val="none"/>
        </w:rPr>
        <w:t>1）</w:t>
      </w:r>
      <w:r>
        <w:rPr>
          <w:rFonts w:hint="eastAsia" w:ascii="仿宋" w:hAnsi="仿宋" w:eastAsia="仿宋"/>
          <w:color w:val="auto"/>
          <w:sz w:val="24"/>
          <w:highlight w:val="none"/>
        </w:rPr>
        <w:t>被行政机关纳入“严重违法失信”名单；</w:t>
      </w:r>
    </w:p>
    <w:p>
      <w:pPr>
        <w:pStyle w:val="33"/>
        <w:spacing w:after="0" w:line="360" w:lineRule="exact"/>
        <w:ind w:left="0" w:leftChars="0" w:firstLine="480" w:firstLineChars="200"/>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被人民法院纳入“失信被执行人”名单；</w:t>
      </w:r>
    </w:p>
    <w:p>
      <w:pPr>
        <w:pStyle w:val="33"/>
        <w:spacing w:after="0" w:line="360" w:lineRule="exact"/>
        <w:ind w:left="0" w:leftChars="0" w:firstLine="480" w:firstLineChars="200"/>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3）</w:t>
      </w:r>
      <w:r>
        <w:rPr>
          <w:rFonts w:hint="eastAsia" w:ascii="仿宋" w:hAnsi="仿宋" w:eastAsia="仿宋"/>
          <w:color w:val="auto"/>
          <w:sz w:val="24"/>
          <w:highlight w:val="none"/>
        </w:rPr>
        <w:t>被乙方（含乙方上级单位）纳入违规失信合作商名单；</w:t>
      </w:r>
    </w:p>
    <w:p>
      <w:pPr>
        <w:pStyle w:val="33"/>
        <w:spacing w:after="0" w:line="360" w:lineRule="exact"/>
        <w:ind w:left="0" w:leftChars="0" w:firstLine="480" w:firstLineChars="200"/>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4）</w:t>
      </w:r>
      <w:r>
        <w:rPr>
          <w:rFonts w:hint="eastAsia" w:ascii="仿宋" w:hAnsi="仿宋" w:eastAsia="仿宋"/>
          <w:color w:val="auto"/>
          <w:sz w:val="24"/>
          <w:highlight w:val="none"/>
        </w:rPr>
        <w:t>如存在网络和信息安全违法、违规行为的</w:t>
      </w:r>
      <w:r>
        <w:rPr>
          <w:rFonts w:hint="eastAsia" w:ascii="仿宋" w:hAnsi="仿宋" w:eastAsia="仿宋"/>
          <w:color w:val="auto"/>
          <w:sz w:val="24"/>
          <w:szCs w:val="24"/>
          <w:highlight w:val="none"/>
        </w:rPr>
        <w:t>，</w:t>
      </w:r>
      <w:r>
        <w:rPr>
          <w:rFonts w:hint="eastAsia" w:ascii="仿宋" w:hAnsi="仿宋" w:eastAsia="仿宋"/>
          <w:color w:val="auto"/>
          <w:sz w:val="24"/>
          <w:highlight w:val="none"/>
        </w:rPr>
        <w:t>包括但不限于因网络和信息安全问题承担刑事责任或受到行政处罚，被列入各级公安机关的涉通讯信息诈骗违法犯罪高危自然人或法人名单、电信业务经营不良名单、失信名单等</w:t>
      </w:r>
      <w:r>
        <w:rPr>
          <w:rFonts w:ascii="仿宋" w:hAnsi="仿宋" w:eastAsia="仿宋"/>
          <w:color w:val="auto"/>
          <w:sz w:val="24"/>
          <w:highlight w:val="none"/>
        </w:rPr>
        <w:t>;</w:t>
      </w:r>
    </w:p>
    <w:p>
      <w:pPr>
        <w:pStyle w:val="22"/>
        <w:spacing w:line="3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5）</w:t>
      </w:r>
      <w:r>
        <w:rPr>
          <w:rFonts w:hint="eastAsia" w:ascii="仿宋" w:hAnsi="仿宋" w:eastAsia="仿宋"/>
          <w:color w:val="auto"/>
          <w:sz w:val="24"/>
          <w:highlight w:val="none"/>
        </w:rPr>
        <w:t>其他相关法律法规规定或有权机关认定的违法失信情形，以及可能导致合同履行风险或侵害乙方合法权益或声誉的违规失信情形。</w:t>
      </w:r>
      <w:bookmarkEnd w:id="187"/>
    </w:p>
    <w:bookmarkEnd w:id="188"/>
    <w:p>
      <w:pPr>
        <w:spacing w:line="3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10.6</w:t>
      </w:r>
      <w:r>
        <w:rPr>
          <w:rFonts w:hint="eastAsia" w:ascii="仿宋" w:hAnsi="仿宋" w:eastAsia="仿宋"/>
          <w:color w:val="auto"/>
          <w:sz w:val="24"/>
          <w:highlight w:val="none"/>
        </w:rPr>
        <w:t>无论本合同其他条款是否有任何相反的约定，乙方在本合同项下应当承担的责任不超过乙方最近</w:t>
      </w:r>
      <w:r>
        <w:rPr>
          <w:rFonts w:ascii="仿宋" w:hAnsi="仿宋" w:eastAsia="仿宋"/>
          <w:color w:val="auto"/>
          <w:sz w:val="24"/>
          <w:highlight w:val="none"/>
        </w:rPr>
        <w:t>[</w:t>
      </w:r>
      <w:r>
        <w:rPr>
          <w:rFonts w:hint="eastAsia" w:ascii="仿宋" w:hAnsi="仿宋" w:eastAsia="仿宋"/>
          <w:color w:val="auto"/>
          <w:sz w:val="24"/>
          <w:highlight w:val="none"/>
        </w:rPr>
        <w:t>6</w:t>
      </w:r>
      <w:r>
        <w:rPr>
          <w:rFonts w:ascii="仿宋" w:hAnsi="仿宋" w:eastAsia="仿宋"/>
          <w:color w:val="auto"/>
          <w:sz w:val="24"/>
          <w:highlight w:val="none"/>
        </w:rPr>
        <w:t>]个月已经收取费用总额的[</w:t>
      </w:r>
      <w:r>
        <w:rPr>
          <w:rFonts w:hint="eastAsia" w:ascii="仿宋" w:hAnsi="仿宋" w:eastAsia="仿宋"/>
          <w:color w:val="auto"/>
          <w:sz w:val="24"/>
          <w:highlight w:val="none"/>
        </w:rPr>
        <w:t>100</w:t>
      </w:r>
      <w:r>
        <w:rPr>
          <w:rFonts w:ascii="仿宋" w:hAnsi="仿宋" w:eastAsia="仿宋"/>
          <w:color w:val="auto"/>
          <w:sz w:val="24"/>
          <w:highlight w:val="none"/>
        </w:rPr>
        <w:t>]%；乙方对因本合同项下行为而导致的甲方或用户可得利益损失、商业信誉损失以及数据丢失或损坏等其他损失不承担责任。</w:t>
      </w:r>
    </w:p>
    <w:p>
      <w:pPr>
        <w:spacing w:line="360" w:lineRule="exact"/>
        <w:ind w:firstLine="480" w:firstLineChars="200"/>
        <w:rPr>
          <w:rFonts w:ascii="仿宋" w:hAnsi="仿宋" w:eastAsia="仿宋" w:cs="仿宋"/>
          <w:b/>
          <w:color w:val="auto"/>
          <w:sz w:val="24"/>
          <w:highlight w:val="none"/>
        </w:rPr>
      </w:pPr>
      <w:r>
        <w:rPr>
          <w:rFonts w:hint="eastAsia" w:ascii="仿宋" w:hAnsi="仿宋" w:eastAsia="仿宋"/>
          <w:b/>
          <w:color w:val="auto"/>
          <w:sz w:val="24"/>
          <w:highlight w:val="none"/>
        </w:rPr>
        <w:t>第十一</w:t>
      </w:r>
      <w:r>
        <w:rPr>
          <w:rFonts w:hint="eastAsia" w:ascii="仿宋" w:hAnsi="仿宋" w:eastAsia="仿宋" w:cs="仿宋"/>
          <w:b/>
          <w:color w:val="auto"/>
          <w:sz w:val="24"/>
          <w:highlight w:val="none"/>
        </w:rPr>
        <w:t>条 法律适用和争议解决</w:t>
      </w:r>
    </w:p>
    <w:p>
      <w:pPr>
        <w:spacing w:line="360" w:lineRule="exact"/>
        <w:ind w:firstLine="480" w:firstLineChars="200"/>
        <w:rPr>
          <w:rFonts w:ascii="仿宋" w:hAnsi="仿宋" w:eastAsia="仿宋"/>
          <w:color w:val="auto"/>
          <w:sz w:val="24"/>
          <w:highlight w:val="none"/>
        </w:rPr>
      </w:pPr>
      <w:r>
        <w:rPr>
          <w:rFonts w:ascii="仿宋" w:hAnsi="仿宋" w:eastAsia="仿宋" w:cs="仿宋"/>
          <w:color w:val="auto"/>
          <w:sz w:val="24"/>
          <w:highlight w:val="none"/>
        </w:rPr>
        <w:t>11.1</w:t>
      </w:r>
      <w:r>
        <w:rPr>
          <w:rFonts w:ascii="仿宋" w:hAnsi="仿宋" w:eastAsia="仿宋"/>
          <w:color w:val="auto"/>
          <w:sz w:val="24"/>
          <w:highlight w:val="none"/>
        </w:rPr>
        <w:t>本</w:t>
      </w:r>
      <w:r>
        <w:rPr>
          <w:rFonts w:hint="eastAsia" w:ascii="仿宋" w:hAnsi="仿宋" w:eastAsia="仿宋"/>
          <w:color w:val="auto"/>
          <w:sz w:val="24"/>
          <w:highlight w:val="none"/>
        </w:rPr>
        <w:t>合同适用中华人民共和国法律。</w:t>
      </w:r>
    </w:p>
    <w:p>
      <w:pPr>
        <w:pStyle w:val="22"/>
        <w:spacing w:line="360" w:lineRule="exact"/>
        <w:ind w:firstLine="480" w:firstLineChars="200"/>
        <w:rPr>
          <w:rFonts w:ascii="仿宋" w:hAnsi="仿宋" w:eastAsia="仿宋"/>
          <w:color w:val="auto"/>
          <w:sz w:val="24"/>
          <w:szCs w:val="24"/>
          <w:highlight w:val="none"/>
        </w:rPr>
      </w:pPr>
      <w:r>
        <w:rPr>
          <w:rFonts w:ascii="仿宋" w:hAnsi="仿宋" w:eastAsia="仿宋"/>
          <w:color w:val="auto"/>
          <w:sz w:val="24"/>
          <w:highlight w:val="none"/>
        </w:rPr>
        <w:t>11.2所有因本合同引起的或与本合同有关的任何争议通过双方友好协商解决。如果双方不能通过友好协商解决争议，则任何一方均可</w:t>
      </w:r>
      <w:r>
        <w:rPr>
          <w:rFonts w:hint="eastAsia" w:ascii="仿宋" w:hAnsi="仿宋" w:eastAsia="仿宋"/>
          <w:color w:val="auto"/>
          <w:sz w:val="24"/>
          <w:szCs w:val="24"/>
          <w:highlight w:val="none"/>
        </w:rPr>
        <w:t>向甲方住所地</w:t>
      </w:r>
      <w:r>
        <w:rPr>
          <w:rFonts w:ascii="仿宋" w:hAnsi="仿宋" w:eastAsia="仿宋"/>
          <w:color w:val="auto"/>
          <w:sz w:val="24"/>
          <w:szCs w:val="24"/>
          <w:highlight w:val="none"/>
        </w:rPr>
        <w:t>有管辖权的人民法院起诉。</w:t>
      </w:r>
    </w:p>
    <w:p>
      <w:pPr>
        <w:pStyle w:val="22"/>
        <w:spacing w:line="36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11.3诉讼进行过程中，双方继续履行本合同未涉诉讼的其他部分。</w:t>
      </w:r>
    </w:p>
    <w:p>
      <w:pPr>
        <w:pStyle w:val="22"/>
        <w:spacing w:line="360" w:lineRule="exact"/>
        <w:ind w:firstLine="480" w:firstLineChars="200"/>
        <w:rPr>
          <w:rFonts w:ascii="仿宋" w:hAnsi="仿宋" w:eastAsia="仿宋" w:cs="仿宋"/>
          <w:b/>
          <w:color w:val="auto"/>
          <w:sz w:val="24"/>
          <w:highlight w:val="none"/>
        </w:rPr>
      </w:pPr>
      <w:r>
        <w:rPr>
          <w:rFonts w:hint="eastAsia" w:ascii="仿宋" w:hAnsi="仿宋" w:eastAsia="仿宋"/>
          <w:b/>
          <w:color w:val="auto"/>
          <w:sz w:val="24"/>
          <w:highlight w:val="none"/>
        </w:rPr>
        <w:t>第十二</w:t>
      </w:r>
      <w:r>
        <w:rPr>
          <w:rFonts w:hint="eastAsia" w:ascii="仿宋" w:hAnsi="仿宋" w:eastAsia="仿宋" w:cs="仿宋"/>
          <w:b/>
          <w:color w:val="auto"/>
          <w:sz w:val="24"/>
          <w:highlight w:val="none"/>
        </w:rPr>
        <w:t>条 不可抗力及免责</w:t>
      </w:r>
    </w:p>
    <w:p>
      <w:pPr>
        <w:pStyle w:val="22"/>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2.1如由于战争、骚乱、恐怖主义、灾害、国家法律法规或规章变动、网络安全、网络无法覆盖、停电、通信线路被人为破坏、黑客攻击、计算机病毒侵入或发作、突发事件等，导致甲乙双方或一方不能履行或不能完全履行本合同项下有关义务时，受影响方不承担违约责任，但应当尽快书面通知对方。在影响消除后的合理时间内，一方或双方应当继续履行合同。如因此导致合同不能或者没有必要继续履行的，本合同可由一方解除。</w:t>
      </w:r>
    </w:p>
    <w:p>
      <w:pPr>
        <w:spacing w:line="360" w:lineRule="exact"/>
        <w:ind w:firstLine="480" w:firstLineChars="200"/>
        <w:rPr>
          <w:rFonts w:ascii="仿宋" w:hAnsi="仿宋" w:eastAsia="仿宋"/>
          <w:color w:val="auto"/>
          <w:sz w:val="24"/>
          <w:highlight w:val="none"/>
        </w:rPr>
      </w:pPr>
      <w:r>
        <w:rPr>
          <w:rFonts w:ascii="仿宋" w:hAnsi="仿宋" w:eastAsia="仿宋" w:cs="仿宋"/>
          <w:color w:val="auto"/>
          <w:sz w:val="24"/>
          <w:highlight w:val="none"/>
        </w:rPr>
        <w:t>12.2如乙方根据政府管理部门要求暂停或终止提供相应服务，乙方不承担任何责任。</w:t>
      </w:r>
    </w:p>
    <w:p>
      <w:pPr>
        <w:spacing w:line="360" w:lineRule="exact"/>
        <w:ind w:firstLine="480" w:firstLineChars="200"/>
        <w:rPr>
          <w:rFonts w:ascii="仿宋" w:hAnsi="仿宋" w:eastAsia="仿宋" w:cs="仿宋"/>
          <w:b/>
          <w:color w:val="auto"/>
          <w:sz w:val="24"/>
          <w:highlight w:val="none"/>
        </w:rPr>
      </w:pPr>
      <w:r>
        <w:rPr>
          <w:rFonts w:hint="eastAsia" w:ascii="仿宋" w:hAnsi="仿宋" w:eastAsia="仿宋"/>
          <w:b/>
          <w:color w:val="auto"/>
          <w:sz w:val="24"/>
          <w:highlight w:val="none"/>
        </w:rPr>
        <w:t>第十三</w:t>
      </w:r>
      <w:r>
        <w:rPr>
          <w:rFonts w:hint="eastAsia" w:ascii="仿宋" w:hAnsi="仿宋" w:eastAsia="仿宋" w:cs="仿宋"/>
          <w:b/>
          <w:color w:val="auto"/>
          <w:sz w:val="24"/>
          <w:highlight w:val="none"/>
        </w:rPr>
        <w:t>条 服务期</w:t>
      </w:r>
    </w:p>
    <w:p>
      <w:pPr>
        <w:spacing w:line="3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13.1本</w:t>
      </w:r>
      <w:r>
        <w:rPr>
          <w:rFonts w:hint="eastAsia" w:ascii="仿宋" w:hAnsi="仿宋" w:eastAsia="仿宋"/>
          <w:color w:val="auto"/>
          <w:sz w:val="24"/>
          <w:highlight w:val="none"/>
        </w:rPr>
        <w:t>合同确定的服务期为</w:t>
      </w:r>
      <w:r>
        <w:rPr>
          <w:rFonts w:ascii="仿宋" w:hAnsi="仿宋" w:eastAsia="仿宋"/>
          <w:color w:val="auto"/>
          <w:sz w:val="24"/>
          <w:highlight w:val="none"/>
        </w:rPr>
        <w:t>[</w:t>
      </w:r>
      <w:r>
        <w:rPr>
          <w:rFonts w:hint="eastAsia" w:ascii="仿宋" w:hAnsi="仿宋" w:eastAsia="仿宋"/>
          <w:color w:val="auto"/>
          <w:sz w:val="24"/>
          <w:highlight w:val="none"/>
        </w:rPr>
        <w:t>24</w:t>
      </w:r>
      <w:r>
        <w:rPr>
          <w:rFonts w:ascii="仿宋" w:hAnsi="仿宋" w:eastAsia="仿宋"/>
          <w:color w:val="auto"/>
          <w:sz w:val="24"/>
          <w:highlight w:val="none"/>
        </w:rPr>
        <w:t>]</w:t>
      </w:r>
      <w:r>
        <w:rPr>
          <w:rFonts w:hint="eastAsia" w:ascii="仿宋" w:hAnsi="仿宋" w:eastAsia="仿宋"/>
          <w:color w:val="auto"/>
          <w:sz w:val="24"/>
          <w:highlight w:val="none"/>
        </w:rPr>
        <w:t>个月，具体详见竞争性比选文件。</w:t>
      </w:r>
    </w:p>
    <w:p>
      <w:pPr>
        <w:spacing w:line="360" w:lineRule="exact"/>
        <w:ind w:firstLine="480" w:firstLineChars="200"/>
        <w:rPr>
          <w:rFonts w:ascii="仿宋" w:hAnsi="仿宋" w:eastAsia="仿宋" w:cs="仿宋"/>
          <w:b/>
          <w:color w:val="auto"/>
          <w:sz w:val="24"/>
          <w:highlight w:val="none"/>
        </w:rPr>
      </w:pPr>
      <w:r>
        <w:rPr>
          <w:rFonts w:hint="eastAsia" w:ascii="仿宋" w:hAnsi="仿宋" w:eastAsia="仿宋"/>
          <w:b/>
          <w:color w:val="auto"/>
          <w:sz w:val="24"/>
          <w:highlight w:val="none"/>
        </w:rPr>
        <w:t>第十四</w:t>
      </w:r>
      <w:r>
        <w:rPr>
          <w:rFonts w:hint="eastAsia" w:ascii="仿宋" w:hAnsi="仿宋" w:eastAsia="仿宋" w:cs="仿宋"/>
          <w:b/>
          <w:color w:val="auto"/>
          <w:sz w:val="24"/>
          <w:highlight w:val="none"/>
        </w:rPr>
        <w:t>条 合同生效及其他</w:t>
      </w:r>
    </w:p>
    <w:p>
      <w:pPr>
        <w:spacing w:line="3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14.1本合同纸质文本一式</w:t>
      </w:r>
      <w:r>
        <w:rPr>
          <w:rFonts w:hint="eastAsia" w:ascii="仿宋" w:hAnsi="仿宋" w:eastAsia="仿宋"/>
          <w:color w:val="auto"/>
          <w:sz w:val="24"/>
          <w:highlight w:val="none"/>
        </w:rPr>
        <w:t>六</w:t>
      </w:r>
      <w:r>
        <w:rPr>
          <w:rFonts w:ascii="仿宋" w:hAnsi="仿宋" w:eastAsia="仿宋"/>
          <w:color w:val="auto"/>
          <w:sz w:val="24"/>
          <w:highlight w:val="none"/>
        </w:rPr>
        <w:t>份，甲乙双方各执</w:t>
      </w:r>
      <w:r>
        <w:rPr>
          <w:rFonts w:hint="eastAsia" w:ascii="仿宋" w:hAnsi="仿宋" w:eastAsia="仿宋"/>
          <w:color w:val="auto"/>
          <w:sz w:val="24"/>
          <w:highlight w:val="none"/>
        </w:rPr>
        <w:t>三</w:t>
      </w:r>
      <w:r>
        <w:rPr>
          <w:rFonts w:ascii="仿宋" w:hAnsi="仿宋" w:eastAsia="仿宋"/>
          <w:color w:val="auto"/>
          <w:sz w:val="24"/>
          <w:highlight w:val="none"/>
        </w:rPr>
        <w:t>份，自双方签字盖章之日起生效；若使用电子印章的，自双方盖章之日起生效。</w:t>
      </w:r>
    </w:p>
    <w:p>
      <w:pPr>
        <w:spacing w:line="3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若乙方加盖电子印章的，以加盖乙方电子印章的本合同电子文档所载内容为准。</w:t>
      </w:r>
    </w:p>
    <w:p>
      <w:pPr>
        <w:spacing w:line="3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14.2如果本合同的任何条款在任何时候变成不合法、无效或不可强制执行而不从根本上影响本合同的效力时，本合同的其他条款不受影响。</w:t>
      </w:r>
    </w:p>
    <w:p>
      <w:pPr>
        <w:spacing w:line="3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14.3除本合同另有约定外，未经甲乙双方书面确认，任何一方不得自行变更或修改本合同。</w:t>
      </w:r>
    </w:p>
    <w:p>
      <w:pPr>
        <w:spacing w:line="46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14.4</w:t>
      </w:r>
      <w:r>
        <w:rPr>
          <w:rFonts w:ascii="仿宋" w:hAnsi="仿宋" w:eastAsia="仿宋" w:cs="仿宋"/>
          <w:color w:val="auto"/>
          <w:sz w:val="24"/>
          <w:highlight w:val="none"/>
        </w:rPr>
        <w:t>甲方确认其送达地址为：__</w:t>
      </w:r>
      <w:r>
        <w:rPr>
          <w:rFonts w:ascii="仿宋" w:hAnsi="仿宋" w:eastAsia="仿宋" w:cs="仿宋"/>
          <w:color w:val="auto"/>
          <w:sz w:val="24"/>
          <w:highlight w:val="none"/>
          <w:u w:val="single"/>
        </w:rPr>
        <w:t>_</w:t>
      </w:r>
      <w:r>
        <w:rPr>
          <w:rFonts w:hint="eastAsia" w:ascii="仿宋" w:hAnsi="仿宋" w:eastAsia="仿宋" w:cs="仿宋"/>
          <w:color w:val="auto"/>
          <w:sz w:val="24"/>
          <w:highlight w:val="none"/>
          <w:u w:val="single"/>
        </w:rPr>
        <w:t>重庆首讯科技股份有限公司</w:t>
      </w:r>
      <w:r>
        <w:rPr>
          <w:rFonts w:ascii="仿宋" w:hAnsi="仿宋" w:eastAsia="仿宋" w:cs="仿宋"/>
          <w:color w:val="auto"/>
          <w:sz w:val="24"/>
          <w:highlight w:val="none"/>
        </w:rPr>
        <w:t>_，受送达人为：</w:t>
      </w:r>
      <w:r>
        <w:rPr>
          <w:rFonts w:ascii="仿宋" w:hAnsi="仿宋" w:eastAsia="仿宋" w:cs="仿宋"/>
          <w:color w:val="auto"/>
          <w:sz w:val="24"/>
          <w:highlight w:val="none"/>
          <w:u w:val="single"/>
        </w:rPr>
        <w:t>__</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highlight w:val="none"/>
        </w:rPr>
        <w:t>_，联系方式为：</w:t>
      </w:r>
      <w:r>
        <w:rPr>
          <w:rFonts w:ascii="仿宋" w:hAnsi="仿宋" w:eastAsia="仿宋" w:cs="仿宋"/>
          <w:color w:val="auto"/>
          <w:sz w:val="24"/>
          <w:highlight w:val="none"/>
          <w:u w:val="single"/>
        </w:rPr>
        <w:t>___</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highlight w:val="none"/>
        </w:rPr>
        <w:t>。</w:t>
      </w:r>
    </w:p>
    <w:p>
      <w:pPr>
        <w:spacing w:line="400" w:lineRule="exact"/>
        <w:rPr>
          <w:rFonts w:ascii="仿宋" w:hAnsi="仿宋" w:eastAsia="仿宋" w:cs="仿宋"/>
          <w:color w:val="auto"/>
          <w:sz w:val="24"/>
          <w:highlight w:val="none"/>
        </w:rPr>
      </w:pP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乙方确认其送达地址为</w:t>
      </w:r>
      <w:r>
        <w:rPr>
          <w:rFonts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highlight w:val="none"/>
        </w:rPr>
        <w:t>，受送达人为：_</w:t>
      </w:r>
      <w:r>
        <w:rPr>
          <w:rFonts w:ascii="仿宋" w:hAnsi="仿宋" w:eastAsia="仿宋" w:cs="仿宋"/>
          <w:color w:val="auto"/>
          <w:sz w:val="24"/>
          <w:highlight w:val="none"/>
          <w:u w:val="single"/>
        </w:rPr>
        <w:t>_，</w:t>
      </w:r>
      <w:r>
        <w:rPr>
          <w:rFonts w:ascii="仿宋" w:hAnsi="仿宋" w:eastAsia="仿宋" w:cs="仿宋"/>
          <w:color w:val="auto"/>
          <w:sz w:val="24"/>
          <w:highlight w:val="none"/>
        </w:rPr>
        <w:t>联系方式为：_</w:t>
      </w:r>
      <w:r>
        <w:rPr>
          <w:rFonts w:hint="eastAsia" w:ascii="仿宋" w:hAnsi="仿宋" w:eastAsia="仿宋" w:cs="仿宋"/>
          <w:color w:val="auto"/>
          <w:sz w:val="24"/>
          <w:highlight w:val="none"/>
          <w:u w:val="single"/>
          <w:lang w:val="en-US" w:eastAsia="zh-CN"/>
        </w:rPr>
        <w:t>_。</w:t>
      </w:r>
    </w:p>
    <w:p>
      <w:pPr>
        <w:spacing w:line="400" w:lineRule="exact"/>
        <w:rPr>
          <w:rFonts w:ascii="仿宋" w:hAnsi="仿宋" w:eastAsia="仿宋" w:cs="仿宋"/>
          <w:color w:val="auto"/>
          <w:sz w:val="24"/>
          <w:highlight w:val="none"/>
        </w:rPr>
      </w:pPr>
      <w:r>
        <w:rPr>
          <w:rFonts w:ascii="仿宋" w:hAnsi="仿宋" w:eastAsia="仿宋" w:cs="仿宋"/>
          <w:color w:val="auto"/>
          <w:sz w:val="24"/>
          <w:highlight w:val="none"/>
        </w:rPr>
        <w:t>（若联系地址未填写，则以身份证载明的住址或工商登记的住所地为送达地址）</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14.5</w:t>
      </w:r>
      <w:r>
        <w:rPr>
          <w:rFonts w:ascii="仿宋" w:hAnsi="仿宋" w:eastAsia="仿宋" w:cs="仿宋"/>
          <w:color w:val="auto"/>
          <w:sz w:val="24"/>
          <w:highlight w:val="none"/>
        </w:rPr>
        <w:t>以上送达地址适用范围包括但不限于各类告知书、通知书、工作联系单、协议文件、诉讼或仲裁文书，送达主体可以是合同各方、人民法院、仲裁委员会及各行政机关。</w:t>
      </w:r>
      <w:r>
        <w:rPr>
          <w:rFonts w:hint="eastAsia" w:ascii="仿宋" w:hAnsi="仿宋" w:eastAsia="仿宋" w:cs="仿宋"/>
          <w:color w:val="auto"/>
          <w:sz w:val="24"/>
          <w:highlight w:val="none"/>
        </w:rPr>
        <w:t xml:space="preserve">                         </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14.6</w:t>
      </w:r>
      <w:r>
        <w:rPr>
          <w:rFonts w:ascii="仿宋" w:hAnsi="仿宋" w:eastAsia="仿宋" w:cs="仿宋"/>
          <w:color w:val="auto"/>
          <w:sz w:val="24"/>
          <w:highlight w:val="none"/>
        </w:rPr>
        <w:t>送达主体按照上述送达地址进行送达，视为有效送达；采用邮寄送达的，以文书签收之日或退回之日视为送达之日；直接送达的，送达人当场在送达回证上记明情况之日视为送达之日。</w:t>
      </w:r>
    </w:p>
    <w:p>
      <w:pPr>
        <w:tabs>
          <w:tab w:val="left" w:pos="2880"/>
          <w:tab w:val="left" w:pos="7020"/>
        </w:tabs>
        <w:spacing w:line="40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14.7</w:t>
      </w:r>
      <w:r>
        <w:rPr>
          <w:rFonts w:ascii="仿宋" w:hAnsi="仿宋" w:eastAsia="仿宋" w:cs="仿宋"/>
          <w:color w:val="auto"/>
          <w:sz w:val="24"/>
          <w:highlight w:val="none"/>
        </w:rPr>
        <w:t>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spacing w:line="3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14.</w:t>
      </w:r>
      <w:r>
        <w:rPr>
          <w:rFonts w:hint="eastAsia" w:ascii="仿宋" w:hAnsi="仿宋" w:eastAsia="仿宋"/>
          <w:color w:val="auto"/>
          <w:sz w:val="24"/>
          <w:highlight w:val="none"/>
        </w:rPr>
        <w:t>8</w:t>
      </w:r>
      <w:r>
        <w:rPr>
          <w:rFonts w:ascii="仿宋" w:hAnsi="仿宋" w:eastAsia="仿宋"/>
          <w:color w:val="auto"/>
          <w:sz w:val="24"/>
          <w:highlight w:val="none"/>
        </w:rPr>
        <w:t>双方同意，附件为本合同不可分割的部分。若附件与合同正文有任何冲突，以合同正文为准。</w:t>
      </w:r>
    </w:p>
    <w:p>
      <w:pPr>
        <w:pStyle w:val="2"/>
        <w:rPr>
          <w:color w:val="auto"/>
          <w:highlight w:val="none"/>
        </w:rPr>
      </w:pPr>
    </w:p>
    <w:p>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附件</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w:t>
      </w:r>
      <w:bookmarkStart w:id="189" w:name="_Toc508106161"/>
      <w:r>
        <w:rPr>
          <w:rFonts w:hint="eastAsia" w:ascii="仿宋" w:hAnsi="仿宋" w:eastAsia="仿宋" w:cs="仿宋"/>
          <w:b/>
          <w:bCs/>
          <w:color w:val="auto"/>
          <w:sz w:val="24"/>
          <w:highlight w:val="none"/>
        </w:rPr>
        <w:t>技术要求</w:t>
      </w:r>
      <w:bookmarkEnd w:id="189"/>
    </w:p>
    <w:p>
      <w:pPr>
        <w:spacing w:line="400" w:lineRule="exact"/>
        <w:rPr>
          <w:color w:val="auto"/>
          <w:highlight w:val="none"/>
        </w:rPr>
      </w:pPr>
      <w:r>
        <w:rPr>
          <w:rFonts w:hint="eastAsia" w:ascii="仿宋" w:hAnsi="仿宋" w:eastAsia="仿宋" w:cs="仿宋"/>
          <w:b/>
          <w:bCs/>
          <w:color w:val="auto"/>
          <w:sz w:val="24"/>
          <w:highlight w:val="none"/>
        </w:rPr>
        <w:t>附件</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：廉政合同</w:t>
      </w:r>
    </w:p>
    <w:p>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附件</w:t>
      </w: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：其他（如有）</w:t>
      </w:r>
    </w:p>
    <w:p>
      <w:pPr>
        <w:pStyle w:val="2"/>
        <w:spacing w:before="0" w:beforeAutospacing="0" w:after="0" w:afterAutospacing="0" w:line="440" w:lineRule="exact"/>
        <w:rPr>
          <w:rFonts w:ascii="仿宋" w:hAnsi="仿宋" w:eastAsia="仿宋" w:cs="仿宋"/>
          <w:color w:val="auto"/>
          <w:kern w:val="2"/>
          <w:highlight w:val="none"/>
        </w:rPr>
      </w:pPr>
    </w:p>
    <w:p>
      <w:pPr>
        <w:pStyle w:val="2"/>
        <w:spacing w:before="0" w:beforeAutospacing="0" w:after="0" w:afterAutospacing="0" w:line="440" w:lineRule="exact"/>
        <w:rPr>
          <w:rFonts w:ascii="仿宋" w:hAnsi="仿宋" w:eastAsia="仿宋" w:cs="仿宋"/>
          <w:color w:val="auto"/>
          <w:kern w:val="2"/>
          <w:highlight w:val="none"/>
        </w:rPr>
      </w:pPr>
      <w:r>
        <w:rPr>
          <w:rFonts w:hint="eastAsia" w:ascii="仿宋" w:hAnsi="仿宋" w:eastAsia="仿宋" w:cs="仿宋"/>
          <w:color w:val="auto"/>
          <w:kern w:val="2"/>
          <w:highlight w:val="none"/>
        </w:rPr>
        <w:t>（以下无合同正文）</w:t>
      </w:r>
    </w:p>
    <w:tbl>
      <w:tblPr>
        <w:tblStyle w:val="42"/>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甲方名称：重庆首讯科技股份有限公司（章）</w:t>
            </w:r>
          </w:p>
        </w:tc>
        <w:tc>
          <w:tcPr>
            <w:tcW w:w="4583" w:type="dxa"/>
            <w:noWrap w:val="0"/>
            <w:vAlign w:val="top"/>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（章）</w:t>
            </w:r>
          </w:p>
          <w:p>
            <w:pPr>
              <w:spacing w:line="400" w:lineRule="exact"/>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单位地址：</w:t>
            </w:r>
          </w:p>
        </w:tc>
        <w:tc>
          <w:tcPr>
            <w:tcW w:w="4583" w:type="dxa"/>
            <w:noWrap w:val="0"/>
            <w:vAlign w:val="top"/>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单位地址：</w:t>
            </w:r>
          </w:p>
        </w:tc>
      </w:tr>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w:t>
            </w:r>
          </w:p>
        </w:tc>
        <w:tc>
          <w:tcPr>
            <w:tcW w:w="4583" w:type="dxa"/>
            <w:noWrap w:val="0"/>
            <w:vAlign w:val="top"/>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w:t>
            </w:r>
          </w:p>
          <w:p>
            <w:pPr>
              <w:spacing w:line="400" w:lineRule="exact"/>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经办人：</w:t>
            </w:r>
          </w:p>
        </w:tc>
        <w:tc>
          <w:tcPr>
            <w:tcW w:w="4583" w:type="dxa"/>
            <w:noWrap w:val="0"/>
            <w:vAlign w:val="top"/>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经办人：</w:t>
            </w: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公司电话：</w:t>
            </w:r>
          </w:p>
        </w:tc>
        <w:tc>
          <w:tcPr>
            <w:tcW w:w="4583" w:type="dxa"/>
            <w:noWrap w:val="0"/>
            <w:vAlign w:val="top"/>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公司电话：</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583" w:type="dxa"/>
            <w:noWrap w:val="0"/>
            <w:vAlign w:val="top"/>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银行账号： </w:t>
            </w:r>
          </w:p>
        </w:tc>
        <w:tc>
          <w:tcPr>
            <w:tcW w:w="4583" w:type="dxa"/>
            <w:noWrap w:val="0"/>
            <w:vAlign w:val="top"/>
          </w:tcPr>
          <w:p>
            <w:pPr>
              <w:spacing w:line="40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银行帐号</w:t>
            </w:r>
            <w:r>
              <w:rPr>
                <w:rFonts w:hint="eastAsia" w:ascii="仿宋" w:hAnsi="仿宋" w:eastAsia="仿宋" w:cs="仿宋"/>
                <w:color w:val="auto"/>
                <w:sz w:val="24"/>
                <w:highlight w:val="none"/>
                <w:lang w:eastAsia="zh-CN"/>
              </w:rPr>
              <w:t>：</w:t>
            </w:r>
          </w:p>
        </w:tc>
      </w:tr>
      <w:tr>
        <w:tblPrEx>
          <w:tblCellMar>
            <w:top w:w="0" w:type="dxa"/>
            <w:left w:w="108" w:type="dxa"/>
            <w:bottom w:w="0" w:type="dxa"/>
            <w:right w:w="108" w:type="dxa"/>
          </w:tblCellMar>
        </w:tblPrEx>
        <w:trPr>
          <w:trHeight w:val="527" w:hRule="atLeast"/>
        </w:trPr>
        <w:tc>
          <w:tcPr>
            <w:tcW w:w="4896" w:type="dxa"/>
            <w:noWrap w:val="0"/>
            <w:vAlign w:val="center"/>
          </w:tcPr>
          <w:p>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tc>
        <w:tc>
          <w:tcPr>
            <w:tcW w:w="4583" w:type="dxa"/>
            <w:noWrap w:val="0"/>
            <w:vAlign w:val="top"/>
          </w:tcPr>
          <w:p>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tc>
      </w:tr>
    </w:tbl>
    <w:p>
      <w:pPr>
        <w:pStyle w:val="2"/>
        <w:rPr>
          <w:color w:val="auto"/>
          <w:highlight w:val="none"/>
        </w:rPr>
      </w:pPr>
    </w:p>
    <w:p>
      <w:pPr>
        <w:rPr>
          <w:color w:val="auto"/>
          <w:highlight w:val="none"/>
        </w:rPr>
      </w:pPr>
    </w:p>
    <w:p>
      <w:pPr>
        <w:pStyle w:val="2"/>
        <w:rPr>
          <w:color w:val="auto"/>
          <w:highlight w:val="none"/>
        </w:rPr>
      </w:pPr>
    </w:p>
    <w:p>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附件</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：技术要求</w:t>
      </w:r>
    </w:p>
    <w:p>
      <w:pPr>
        <w:pStyle w:val="13"/>
        <w:adjustRightInd w:val="0"/>
        <w:spacing w:line="400" w:lineRule="exact"/>
        <w:ind w:firstLine="422"/>
        <w:rPr>
          <w:rFonts w:ascii="宋体" w:hAnsi="宋体" w:cs="宋体"/>
          <w:b/>
          <w:bCs/>
          <w:color w:val="auto"/>
          <w:szCs w:val="21"/>
          <w:highlight w:val="none"/>
        </w:rPr>
      </w:pPr>
      <w:r>
        <w:rPr>
          <w:rFonts w:hint="eastAsia" w:ascii="宋体" w:hAnsi="宋体" w:cs="宋体"/>
          <w:b/>
          <w:bCs/>
          <w:color w:val="auto"/>
          <w:szCs w:val="21"/>
          <w:highlight w:val="none"/>
        </w:rPr>
        <w:t>一、项目概况及服务内容：</w:t>
      </w:r>
    </w:p>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 服务地点：</w:t>
      </w:r>
      <w:r>
        <w:rPr>
          <w:rFonts w:hint="eastAsia" w:ascii="仿宋" w:hAnsi="仿宋" w:eastAsia="仿宋" w:cs="仿宋"/>
          <w:color w:val="auto"/>
          <w:sz w:val="24"/>
          <w:highlight w:val="none"/>
          <w:lang w:val="en-US" w:eastAsia="zh-CN"/>
        </w:rPr>
        <w:t>各个收费站</w:t>
      </w:r>
      <w:r>
        <w:rPr>
          <w:rFonts w:hint="eastAsia" w:ascii="仿宋" w:hAnsi="仿宋" w:eastAsia="仿宋" w:cs="仿宋"/>
          <w:color w:val="auto"/>
          <w:sz w:val="24"/>
          <w:highlight w:val="none"/>
        </w:rPr>
        <w:t>。</w:t>
      </w:r>
    </w:p>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 项目概况：</w:t>
      </w:r>
      <w:r>
        <w:rPr>
          <w:rFonts w:hint="eastAsia" w:ascii="仿宋" w:hAnsi="仿宋" w:eastAsia="仿宋" w:cs="仿宋"/>
          <w:color w:val="auto"/>
          <w:sz w:val="24"/>
          <w:highlight w:val="none"/>
          <w:lang w:val="en-US" w:eastAsia="zh-CN"/>
        </w:rPr>
        <w:t>重庆高速低空经济无人机项目道路巡检</w:t>
      </w:r>
      <w:r>
        <w:rPr>
          <w:rFonts w:hint="eastAsia" w:ascii="仿宋" w:hAnsi="仿宋" w:eastAsia="仿宋" w:cs="仿宋"/>
          <w:color w:val="auto"/>
          <w:sz w:val="24"/>
          <w:highlight w:val="none"/>
        </w:rPr>
        <w:t>。</w:t>
      </w:r>
    </w:p>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服务内容：</w:t>
      </w:r>
    </w:p>
    <w:tbl>
      <w:tblPr>
        <w:tblStyle w:val="42"/>
        <w:tblW w:w="4645" w:type="pct"/>
        <w:tblInd w:w="670" w:type="dxa"/>
        <w:tblLayout w:type="fixed"/>
        <w:tblCellMar>
          <w:top w:w="0" w:type="dxa"/>
          <w:left w:w="108" w:type="dxa"/>
          <w:bottom w:w="0" w:type="dxa"/>
          <w:right w:w="108" w:type="dxa"/>
        </w:tblCellMar>
      </w:tblPr>
      <w:tblGrid>
        <w:gridCol w:w="674"/>
        <w:gridCol w:w="1902"/>
        <w:gridCol w:w="779"/>
        <w:gridCol w:w="975"/>
        <w:gridCol w:w="869"/>
        <w:gridCol w:w="1314"/>
        <w:gridCol w:w="1397"/>
      </w:tblGrid>
      <w:tr>
        <w:tblPrEx>
          <w:tblCellMar>
            <w:top w:w="0" w:type="dxa"/>
            <w:left w:w="108" w:type="dxa"/>
            <w:bottom w:w="0" w:type="dxa"/>
            <w:right w:w="108" w:type="dxa"/>
          </w:tblCellMar>
        </w:tblPrEx>
        <w:trPr>
          <w:trHeight w:val="600" w:hRule="atLeast"/>
        </w:trPr>
        <w:tc>
          <w:tcPr>
            <w:tcW w:w="42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01"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专线类型</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带宽</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安装地点</w:t>
            </w:r>
          </w:p>
        </w:tc>
        <w:tc>
          <w:tcPr>
            <w:tcW w:w="882"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CellMar>
            <w:top w:w="0" w:type="dxa"/>
            <w:left w:w="108" w:type="dxa"/>
            <w:bottom w:w="0" w:type="dxa"/>
            <w:right w:w="108" w:type="dxa"/>
          </w:tblCellMar>
        </w:tblPrEx>
        <w:trPr>
          <w:trHeight w:val="1000" w:hRule="atLeast"/>
        </w:trPr>
        <w:tc>
          <w:tcPr>
            <w:tcW w:w="42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01"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rPr>
            </w:pPr>
            <w:r>
              <w:rPr>
                <w:rFonts w:hint="eastAsia" w:ascii="仿宋" w:hAnsi="仿宋" w:eastAsia="仿宋" w:cs="宋体"/>
                <w:color w:val="auto"/>
                <w:kern w:val="0"/>
                <w:sz w:val="24"/>
                <w:szCs w:val="24"/>
                <w:highlight w:val="none"/>
                <w:lang w:bidi="ar"/>
              </w:rPr>
              <w:t>互联网专线、防火墙</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专线卫士）、</w:t>
            </w:r>
            <w:r>
              <w:rPr>
                <w:rFonts w:hint="eastAsia" w:ascii="仿宋" w:hAnsi="仿宋" w:eastAsia="仿宋" w:cs="宋体"/>
                <w:color w:val="auto"/>
                <w:kern w:val="0"/>
                <w:sz w:val="24"/>
                <w:szCs w:val="24"/>
                <w:highlight w:val="none"/>
                <w:lang w:bidi="ar"/>
              </w:rPr>
              <w:t>云笔电</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M</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条</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见正文</w:t>
            </w:r>
          </w:p>
        </w:tc>
        <w:tc>
          <w:tcPr>
            <w:tcW w:w="882"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rPr>
            </w:pPr>
          </w:p>
        </w:tc>
      </w:tr>
      <w:tr>
        <w:trPr>
          <w:trHeight w:val="1000" w:hRule="atLeast"/>
        </w:trPr>
        <w:tc>
          <w:tcPr>
            <w:tcW w:w="42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201"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rPr>
            </w:pPr>
            <w:r>
              <w:rPr>
                <w:rFonts w:hint="eastAsia" w:ascii="仿宋" w:hAnsi="仿宋" w:eastAsia="仿宋" w:cs="宋体"/>
                <w:color w:val="auto"/>
                <w:kern w:val="0"/>
                <w:sz w:val="24"/>
                <w:szCs w:val="24"/>
                <w:highlight w:val="none"/>
                <w:lang w:bidi="ar"/>
              </w:rPr>
              <w:t>互联网专线、防火墙</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专线卫士）、</w:t>
            </w:r>
            <w:r>
              <w:rPr>
                <w:rFonts w:hint="eastAsia" w:ascii="仿宋" w:hAnsi="仿宋" w:eastAsia="仿宋" w:cs="宋体"/>
                <w:color w:val="auto"/>
                <w:kern w:val="0"/>
                <w:sz w:val="24"/>
                <w:szCs w:val="24"/>
                <w:highlight w:val="none"/>
                <w:lang w:bidi="ar"/>
              </w:rPr>
              <w:t>云笔电</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M</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条</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见正文</w:t>
            </w:r>
          </w:p>
        </w:tc>
        <w:tc>
          <w:tcPr>
            <w:tcW w:w="882"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color w:val="auto"/>
                <w:sz w:val="24"/>
                <w:highlight w:val="none"/>
              </w:rPr>
            </w:pPr>
          </w:p>
        </w:tc>
      </w:tr>
    </w:tbl>
    <w:p>
      <w:pPr>
        <w:spacing w:line="400" w:lineRule="exact"/>
        <w:jc w:val="left"/>
        <w:rPr>
          <w:rFonts w:hint="eastAsia" w:ascii="仿宋" w:hAnsi="仿宋" w:eastAsia="仿宋" w:cs="仿宋"/>
          <w:color w:val="auto"/>
          <w:sz w:val="24"/>
          <w:highlight w:val="none"/>
        </w:rPr>
      </w:pPr>
    </w:p>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服务期限：</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2025年1月-2025年12月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pPr>
        <w:spacing w:line="400" w:lineRule="exact"/>
        <w:jc w:val="left"/>
        <w:rPr>
          <w:rFonts w:hint="eastAsia" w:ascii="仿宋" w:hAnsi="仿宋" w:eastAsia="仿宋" w:cs="仿宋"/>
          <w:color w:val="auto"/>
          <w:sz w:val="24"/>
          <w:highlight w:val="none"/>
        </w:rPr>
      </w:pPr>
    </w:p>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二、其他相关要求</w:t>
      </w:r>
    </w:p>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1、按照采购人要求连接指定网络设备，并保证互联网专线的安全性和可靠性。</w:t>
      </w:r>
    </w:p>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0M</w:t>
      </w:r>
      <w:r>
        <w:rPr>
          <w:rFonts w:hint="eastAsia" w:ascii="仿宋" w:hAnsi="仿宋" w:eastAsia="仿宋" w:cs="仿宋"/>
          <w:color w:val="auto"/>
          <w:sz w:val="24"/>
          <w:highlight w:val="none"/>
          <w:lang w:val="en-US" w:eastAsia="zh-CN"/>
        </w:rPr>
        <w:t>和50M</w:t>
      </w:r>
      <w:r>
        <w:rPr>
          <w:rFonts w:hint="eastAsia" w:ascii="仿宋" w:hAnsi="仿宋" w:eastAsia="仿宋" w:cs="仿宋"/>
          <w:color w:val="auto"/>
          <w:sz w:val="24"/>
          <w:highlight w:val="none"/>
        </w:rPr>
        <w:t>互联网专线电路，上下对称带宽；</w:t>
      </w:r>
    </w:p>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3、报价人提供专人专线7×24小时服务；</w:t>
      </w:r>
    </w:p>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4、报价人与其他运营商的互联网资源互联互通；</w:t>
      </w:r>
    </w:p>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5、因报价人的原因，故障造成网络中断恢复时间不超过2小时；</w:t>
      </w:r>
    </w:p>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6、到达通信骨干节点的网络延时不超过15ms；</w:t>
      </w:r>
    </w:p>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7、在网络非繁忙时间，访问各大门户网站时延不超过40ms；</w:t>
      </w:r>
    </w:p>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8、通过报价人网络访问其他运营商所承载的互联网资源时延不超过70ms；</w:t>
      </w:r>
    </w:p>
    <w:p>
      <w:pPr>
        <w:spacing w:line="360" w:lineRule="exact"/>
        <w:ind w:firstLine="420" w:firstLineChars="200"/>
        <w:rPr>
          <w:rFonts w:ascii="宋体" w:hAnsi="宋体"/>
          <w:b/>
          <w:color w:val="auto"/>
          <w:kern w:val="0"/>
          <w:highlight w:val="none"/>
        </w:rPr>
      </w:pPr>
    </w:p>
    <w:p>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pPr>
        <w:spacing w:line="400" w:lineRule="exact"/>
        <w:rPr>
          <w:color w:val="auto"/>
          <w:highlight w:val="none"/>
        </w:rPr>
      </w:pPr>
      <w:r>
        <w:rPr>
          <w:rFonts w:hint="eastAsia" w:ascii="仿宋" w:hAnsi="仿宋" w:eastAsia="仿宋" w:cs="仿宋"/>
          <w:b/>
          <w:bCs/>
          <w:color w:val="auto"/>
          <w:sz w:val="24"/>
          <w:highlight w:val="none"/>
        </w:rPr>
        <w:t>附件</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：廉政合同</w:t>
      </w:r>
    </w:p>
    <w:p>
      <w:pPr>
        <w:pStyle w:val="2"/>
        <w:spacing w:line="50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廉政合同</w:t>
      </w:r>
    </w:p>
    <w:p>
      <w:pPr>
        <w:widowControl/>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甲方：重庆首讯科技股份有限公司</w:t>
      </w:r>
    </w:p>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p>
    <w:p>
      <w:pPr>
        <w:widowControl/>
        <w:tabs>
          <w:tab w:val="left" w:pos="3936"/>
        </w:tabs>
        <w:spacing w:line="400" w:lineRule="exact"/>
        <w:jc w:val="left"/>
        <w:rPr>
          <w:rFonts w:ascii="仿宋" w:hAnsi="仿宋" w:eastAsia="仿宋" w:cs="仿宋"/>
          <w:color w:val="auto"/>
          <w:sz w:val="24"/>
          <w:highlight w:val="none"/>
        </w:rPr>
      </w:pP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重庆数字交通产业集团有限公司（以下称甲方）与中国移动通信集团重庆有限公司（以下称乙方），特订立如下合同。</w:t>
      </w:r>
    </w:p>
    <w:p>
      <w:pPr>
        <w:keepNext w:val="0"/>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一、甲乙双方的权利和义务</w:t>
      </w:r>
    </w:p>
    <w:p>
      <w:pPr>
        <w:keepNext w:val="0"/>
        <w:keepLines w:val="0"/>
        <w:pageBreakBefore w:val="0"/>
        <w:widowControl/>
        <w:tabs>
          <w:tab w:val="left" w:pos="3936"/>
        </w:tabs>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（1）严格遵守党的政策规定和国家有关法律法规及交通部的有关规定。</w:t>
      </w:r>
    </w:p>
    <w:p>
      <w:pPr>
        <w:keepNext w:val="0"/>
        <w:keepLines w:val="0"/>
        <w:pageBreakBefore w:val="0"/>
        <w:widowControl/>
        <w:tabs>
          <w:tab w:val="left" w:pos="3936"/>
        </w:tabs>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（2）双方的业务活动坚持公开、公正、诚信、透明的原则（除法律认定的商业秘密和合同文件另有规定之外），不得损害国家和集体利益，违反养护工程管理规章制度。</w:t>
      </w:r>
    </w:p>
    <w:p>
      <w:pPr>
        <w:keepNext w:val="0"/>
        <w:keepLines w:val="0"/>
        <w:pageBreakBefore w:val="0"/>
        <w:widowControl/>
        <w:tabs>
          <w:tab w:val="left" w:pos="3936"/>
        </w:tabs>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（3）建立健全廉政制度，开展廉政教育，设立廉政告示牌，公布举报电话，监督并认真查处违法违纪行为。</w:t>
      </w:r>
    </w:p>
    <w:p>
      <w:pPr>
        <w:keepNext w:val="0"/>
        <w:keepLines w:val="0"/>
        <w:pageBreakBefore w:val="0"/>
        <w:widowControl/>
        <w:tabs>
          <w:tab w:val="left" w:pos="3936"/>
        </w:tabs>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（4）发现对方在业务活动中有违反廉政规定的行为，有及时提醒对方纠正的权利和义务。</w:t>
      </w:r>
    </w:p>
    <w:p>
      <w:pPr>
        <w:keepNext w:val="0"/>
        <w:keepLines w:val="0"/>
        <w:pageBreakBefore w:val="0"/>
        <w:widowControl/>
        <w:tabs>
          <w:tab w:val="left" w:pos="3936"/>
        </w:tabs>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Cs w:val="21"/>
          <w:highlight w:val="none"/>
        </w:rPr>
      </w:pPr>
      <w:r>
        <w:rPr>
          <w:rFonts w:hint="eastAsia" w:ascii="仿宋" w:hAnsi="仿宋" w:eastAsia="仿宋" w:cs="仿宋"/>
          <w:color w:val="auto"/>
          <w:sz w:val="24"/>
          <w:highlight w:val="none"/>
        </w:rPr>
        <w:t>（5）发现对方严重违反本合同义务条款的行为，有向上级有关部门举报、建议给予处理并要求告知处理结果的权利。</w:t>
      </w:r>
    </w:p>
    <w:p>
      <w:pPr>
        <w:keepNext w:val="0"/>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二、甲方的义务</w:t>
      </w:r>
    </w:p>
    <w:p>
      <w:pPr>
        <w:keepNext w:val="0"/>
        <w:keepLines w:val="0"/>
        <w:pageBreakBefore w:val="0"/>
        <w:widowControl/>
        <w:tabs>
          <w:tab w:val="left" w:pos="3936"/>
        </w:tabs>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1）甲方及其工作人员不得索要或接受乙方的礼金、有价证券和贵重物品，不得在乙方报销任何应由甲方或甲方工作人员个人支付的费用等。</w:t>
      </w:r>
    </w:p>
    <w:p>
      <w:pPr>
        <w:keepNext w:val="0"/>
        <w:keepLines w:val="0"/>
        <w:pageBreakBefore w:val="0"/>
        <w:widowControl/>
        <w:tabs>
          <w:tab w:val="left" w:pos="3936"/>
        </w:tabs>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（2）甲方工作人员不得参加乙方安排的超标准宴请和娱乐活动；不得接受乙方提供的通讯工具、交通工具和高档办公用品等。</w:t>
      </w:r>
    </w:p>
    <w:p>
      <w:pPr>
        <w:keepNext w:val="0"/>
        <w:keepLines w:val="0"/>
        <w:pageBreakBefore w:val="0"/>
        <w:widowControl/>
        <w:tabs>
          <w:tab w:val="left" w:pos="3936"/>
        </w:tabs>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（3）甲方及其工作人员不得要求或者接受乙方为其住房装修、婚丧嫁娶活动、配偶子女的工作安排以及出国出境、旅游等提供方便等。</w:t>
      </w:r>
    </w:p>
    <w:p>
      <w:pPr>
        <w:keepNext w:val="0"/>
        <w:keepLines w:val="0"/>
        <w:pageBreakBefore w:val="0"/>
        <w:widowControl/>
        <w:tabs>
          <w:tab w:val="left" w:pos="3936"/>
        </w:tabs>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（4）甲方工作人员及其配偶、子女不得从事与甲方工程有关部门的材料设备供应、工程分包、劳务等经济活动等。</w:t>
      </w:r>
    </w:p>
    <w:p>
      <w:pPr>
        <w:keepNext w:val="0"/>
        <w:keepLines w:val="0"/>
        <w:pageBreakBefore w:val="0"/>
        <w:widowControl/>
        <w:tabs>
          <w:tab w:val="left" w:pos="3936"/>
        </w:tabs>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（5）甲方及其工作人员不得以任何理由向乙方推荐分包单位或推销材料，不得要求乙方购买合同规定外的材料和设备。</w:t>
      </w:r>
    </w:p>
    <w:p>
      <w:pPr>
        <w:keepNext w:val="0"/>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三、乙方义务</w:t>
      </w:r>
    </w:p>
    <w:p>
      <w:pPr>
        <w:keepNext w:val="0"/>
        <w:keepLines w:val="0"/>
        <w:pageBreakBefore w:val="0"/>
        <w:widowControl/>
        <w:tabs>
          <w:tab w:val="left" w:pos="3936"/>
        </w:tabs>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（1）乙方不得以任何理由向甲方及其工作人员行贿或馈赠礼金、有价证券、贵重物品。</w:t>
      </w:r>
    </w:p>
    <w:p>
      <w:pPr>
        <w:keepNext w:val="0"/>
        <w:keepLines w:val="0"/>
        <w:pageBreakBefore w:val="0"/>
        <w:widowControl/>
        <w:tabs>
          <w:tab w:val="left" w:pos="3936"/>
        </w:tabs>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（2）乙方不得以任何名义为甲方及其工作人员报销应由甲方单位或个人支付的任何费用。</w:t>
      </w:r>
    </w:p>
    <w:p>
      <w:pPr>
        <w:keepNext w:val="0"/>
        <w:keepLines w:val="0"/>
        <w:pageBreakBefore w:val="0"/>
        <w:widowControl/>
        <w:tabs>
          <w:tab w:val="left" w:pos="3936"/>
        </w:tabs>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（3）乙方不得以任何理由邀请甲方工作人员外出旅游或安排甲方人员参加超标准宴请及娱乐活动。</w:t>
      </w:r>
    </w:p>
    <w:p>
      <w:pPr>
        <w:keepNext w:val="0"/>
        <w:keepLines w:val="0"/>
        <w:pageBreakBefore w:val="0"/>
        <w:widowControl/>
        <w:tabs>
          <w:tab w:val="left" w:pos="3936"/>
        </w:tabs>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（4）乙方不得为甲方单位和个人购置或提供通讯工具、交通工具和高档办公用品等。</w:t>
      </w:r>
    </w:p>
    <w:p>
      <w:pPr>
        <w:keepNext w:val="0"/>
        <w:keepLines w:val="0"/>
        <w:pageBreakBefore w:val="0"/>
        <w:widowControl/>
        <w:tabs>
          <w:tab w:val="left" w:pos="3936"/>
        </w:tabs>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（5）乙方及其工作人员应严格按监理规程办事，不得为谋取私利向监理人员非法行贿，私下串通，损坏甲方利益。同时必须对监理单位和工程监理人员履行向甲方承诺的上述其他廉政义务。</w:t>
      </w:r>
    </w:p>
    <w:p>
      <w:pPr>
        <w:keepNext w:val="0"/>
        <w:keepLines w:val="0"/>
        <w:pageBreakBefore w:val="0"/>
        <w:widowControl/>
        <w:tabs>
          <w:tab w:val="left" w:pos="3936"/>
        </w:tabs>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keepNext w:val="0"/>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四、违约责任</w:t>
      </w:r>
    </w:p>
    <w:p>
      <w:pPr>
        <w:keepNext w:val="0"/>
        <w:keepLines w:val="0"/>
        <w:pageBreakBefore w:val="0"/>
        <w:widowControl/>
        <w:tabs>
          <w:tab w:val="left" w:pos="3936"/>
        </w:tabs>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（1）甲方及其工作人员违反本合同第一、二条，按管理权限，依据有关部门规定给予党纪、政纪或组织处理；涉嫌犯罪的，移交司法机关追究刑事责任；给乙方单位造成经济损失的，应予以赔偿。</w:t>
      </w:r>
    </w:p>
    <w:p>
      <w:pPr>
        <w:keepNext w:val="0"/>
        <w:keepLines w:val="0"/>
        <w:pageBreakBefore w:val="0"/>
        <w:widowControl/>
        <w:tabs>
          <w:tab w:val="left" w:pos="3936"/>
        </w:tabs>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b/>
          <w:bCs/>
          <w:color w:val="auto"/>
          <w:sz w:val="24"/>
          <w:highlight w:val="none"/>
        </w:rPr>
        <w:t>五、双方约定</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b/>
          <w:bCs/>
          <w:color w:val="auto"/>
          <w:sz w:val="24"/>
          <w:highlight w:val="none"/>
        </w:rPr>
        <w:t>六、</w:t>
      </w:r>
      <w:r>
        <w:rPr>
          <w:rFonts w:hint="eastAsia" w:ascii="仿宋" w:hAnsi="仿宋" w:eastAsia="仿宋" w:cs="仿宋"/>
          <w:color w:val="auto"/>
          <w:sz w:val="24"/>
          <w:highlight w:val="none"/>
        </w:rPr>
        <w:t>本合同有效期为甲乙双方签署之日起至该工程项目竣工后止。</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b/>
          <w:bCs/>
          <w:color w:val="auto"/>
          <w:sz w:val="24"/>
          <w:highlight w:val="none"/>
        </w:rPr>
        <w:t>七、</w:t>
      </w:r>
      <w:r>
        <w:rPr>
          <w:rFonts w:hint="eastAsia" w:ascii="仿宋" w:hAnsi="仿宋" w:eastAsia="仿宋" w:cs="仿宋"/>
          <w:color w:val="auto"/>
          <w:sz w:val="24"/>
          <w:highlight w:val="none"/>
        </w:rPr>
        <w:t>本合同一式两份，甲、乙双方各执一份。</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甲方：重庆首讯科技股份有限公司           乙方：</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公司负责人或授权代理人：                 公司负责人或授权代理人：</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项目经理：</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项目经理：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经办人：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经办人：</w:t>
      </w:r>
    </w:p>
    <w:p>
      <w:pPr>
        <w:keepNext w:val="0"/>
        <w:keepLines w:val="0"/>
        <w:pageBreakBefore w:val="0"/>
        <w:kinsoku/>
        <w:wordWrap/>
        <w:overflowPunct/>
        <w:topLinePunct w:val="0"/>
        <w:autoSpaceDE/>
        <w:autoSpaceDN/>
        <w:bidi w:val="0"/>
        <w:adjustRightInd/>
        <w:snapToGrid/>
        <w:spacing w:line="360" w:lineRule="exact"/>
        <w:textAlignment w:val="auto"/>
        <w:rPr>
          <w:rFonts w:eastAsia="仿宋_GB2312"/>
          <w:color w:val="auto"/>
          <w:sz w:val="30"/>
          <w:szCs w:val="30"/>
          <w:highlight w:val="none"/>
        </w:rPr>
      </w:pPr>
      <w:r>
        <w:rPr>
          <w:rFonts w:hint="eastAsia" w:ascii="仿宋" w:hAnsi="仿宋" w:eastAsia="仿宋" w:cs="仿宋"/>
          <w:color w:val="auto"/>
          <w:sz w:val="24"/>
          <w:highlight w:val="none"/>
        </w:rPr>
        <w:t xml:space="preserve">日期: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日期:</w:t>
      </w:r>
    </w:p>
    <w:p>
      <w:pPr>
        <w:pStyle w:val="18"/>
        <w:spacing w:before="0" w:beforeAutospacing="0" w:after="0" w:afterAutospacing="0" w:line="500" w:lineRule="exact"/>
        <w:ind w:right="640" w:firstLine="539"/>
        <w:jc w:val="right"/>
        <w:rPr>
          <w:rFonts w:ascii="仿宋_GB2312" w:hAnsi="华文细黑" w:eastAsia="仿宋_GB2312"/>
          <w:color w:val="auto"/>
          <w:sz w:val="28"/>
          <w:szCs w:val="28"/>
          <w:highlight w:val="none"/>
        </w:rPr>
      </w:pPr>
    </w:p>
    <w:p>
      <w:pPr>
        <w:spacing w:line="500" w:lineRule="exact"/>
        <w:rPr>
          <w:color w:val="auto"/>
          <w:highlight w:val="none"/>
        </w:rPr>
      </w:pPr>
    </w:p>
    <w:p>
      <w:pPr>
        <w:jc w:val="center"/>
        <w:rPr>
          <w:rFonts w:hint="eastAsia" w:ascii="仿宋" w:hAnsi="仿宋" w:eastAsia="仿宋" w:cs="仿宋"/>
          <w:b/>
          <w:bCs/>
          <w:color w:val="auto"/>
          <w:szCs w:val="21"/>
          <w:highlight w:val="none"/>
          <w:lang w:val="en-US" w:eastAsia="zh-CN"/>
        </w:rPr>
      </w:pPr>
    </w:p>
    <w:p>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pPr>
        <w:rPr>
          <w:rFonts w:hint="eastAsia" w:ascii="Times New Roman" w:hAnsi="Times New Roman" w:eastAsia="宋体" w:cs="Times New Roman"/>
          <w:b/>
          <w:bCs/>
          <w:color w:val="auto"/>
          <w:sz w:val="21"/>
          <w:szCs w:val="15"/>
          <w:highlight w:val="none"/>
          <w:lang w:val="en-US" w:eastAsia="zh-CN"/>
        </w:rPr>
      </w:pPr>
      <w:r>
        <w:rPr>
          <w:rFonts w:hint="eastAsia"/>
          <w:b/>
          <w:bCs/>
          <w:color w:val="auto"/>
          <w:sz w:val="21"/>
          <w:szCs w:val="15"/>
          <w:highlight w:val="none"/>
        </w:rPr>
        <w:t>附件</w:t>
      </w:r>
      <w:r>
        <w:rPr>
          <w:rFonts w:hint="eastAsia"/>
          <w:b/>
          <w:bCs/>
          <w:color w:val="auto"/>
          <w:sz w:val="21"/>
          <w:szCs w:val="15"/>
          <w:highlight w:val="none"/>
          <w:lang w:val="en-US" w:eastAsia="zh-CN"/>
        </w:rPr>
        <w:t>三</w:t>
      </w:r>
      <w:r>
        <w:rPr>
          <w:rFonts w:hint="eastAsia"/>
          <w:b/>
          <w:bCs/>
          <w:color w:val="auto"/>
          <w:sz w:val="21"/>
          <w:szCs w:val="15"/>
          <w:highlight w:val="none"/>
        </w:rPr>
        <w:t>：</w:t>
      </w:r>
      <w:r>
        <w:rPr>
          <w:rFonts w:hint="eastAsia" w:ascii="Times New Roman" w:hAnsi="Times New Roman" w:cs="Times New Roman"/>
          <w:b/>
          <w:bCs/>
          <w:color w:val="auto"/>
          <w:sz w:val="21"/>
          <w:szCs w:val="15"/>
          <w:highlight w:val="none"/>
          <w:lang w:val="en-US" w:eastAsia="en-US"/>
        </w:rPr>
        <w:t>履约保函</w:t>
      </w:r>
      <w:r>
        <w:rPr>
          <w:rFonts w:hint="eastAsia" w:ascii="Times New Roman" w:hAnsi="Times New Roman" w:cs="Times New Roman"/>
          <w:b/>
          <w:bCs/>
          <w:color w:val="auto"/>
          <w:sz w:val="21"/>
          <w:szCs w:val="15"/>
          <w:highlight w:val="none"/>
          <w:lang w:val="en-US" w:eastAsia="zh-CN"/>
        </w:rPr>
        <w:t>（如有）</w:t>
      </w:r>
    </w:p>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和有关事项协商一致，根据本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，了解到申请人为本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、受益人为本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，基于申请人的请求，我方（即“开立人”）同意就申请人履行本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依据中标通知书、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w:t>
      </w:r>
      <w:r>
        <w:rPr>
          <w:rFonts w:hint="eastAsia" w:ascii="宋体" w:hAnsi="宋体" w:eastAsia="宋体" w:cs="宋体"/>
          <w:color w:val="auto"/>
          <w:kern w:val="2"/>
          <w:sz w:val="21"/>
          <w:szCs w:val="21"/>
          <w:highlight w:val="none"/>
          <w:lang w:val="en-US" w:eastAsia="zh-CN"/>
        </w:rPr>
        <w:t>申请人</w:t>
      </w:r>
      <w:r>
        <w:rPr>
          <w:rFonts w:hint="eastAsia" w:ascii="宋体" w:hAnsi="宋体" w:eastAsia="宋体" w:cs="宋体"/>
          <w:color w:val="auto"/>
          <w:kern w:val="2"/>
          <w:sz w:val="21"/>
          <w:szCs w:val="21"/>
          <w:highlight w:val="none"/>
        </w:rPr>
        <w:t>未按照基础合同的约定履行义务，应当向</w:t>
      </w:r>
      <w:r>
        <w:rPr>
          <w:rFonts w:hint="eastAsia" w:ascii="宋体" w:hAnsi="宋体" w:eastAsia="宋体" w:cs="宋体"/>
          <w:color w:val="auto"/>
          <w:kern w:val="2"/>
          <w:sz w:val="21"/>
          <w:szCs w:val="21"/>
          <w:highlight w:val="none"/>
          <w:lang w:val="en-US" w:eastAsia="zh-CN"/>
        </w:rPr>
        <w:t>受益人</w:t>
      </w:r>
      <w:r>
        <w:rPr>
          <w:rFonts w:hint="eastAsia" w:ascii="宋体" w:hAnsi="宋体" w:eastAsia="宋体" w:cs="宋体"/>
          <w:color w:val="auto"/>
          <w:kern w:val="2"/>
          <w:sz w:val="21"/>
          <w:szCs w:val="21"/>
          <w:highlight w:val="none"/>
        </w:rPr>
        <w:t>承担的违约责任和赔偿因此造成的损失、利息、律师费、诉讼费用等实现债权的费用。</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w:t>
      </w:r>
      <w:r>
        <w:rPr>
          <w:rFonts w:hint="eastAsia" w:ascii="宋体" w:hAnsi="宋体" w:eastAsia="宋体" w:cs="宋体"/>
          <w:color w:val="auto"/>
          <w:spacing w:val="0"/>
          <w:kern w:val="2"/>
          <w:sz w:val="21"/>
          <w:szCs w:val="21"/>
          <w:highlight w:val="none"/>
          <w:lang w:val="en-US" w:eastAsia="zh-CN"/>
        </w:rPr>
        <w:t>服务期限</w:t>
      </w:r>
      <w:r>
        <w:rPr>
          <w:rFonts w:hint="eastAsia" w:ascii="宋体" w:hAnsi="宋体" w:eastAsia="宋体" w:cs="宋体"/>
          <w:color w:val="auto"/>
          <w:spacing w:val="0"/>
          <w:kern w:val="2"/>
          <w:sz w:val="21"/>
          <w:szCs w:val="21"/>
          <w:highlight w:val="none"/>
          <w:lang w:eastAsia="zh-CN"/>
        </w:rPr>
        <w:t>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w:t>
      </w:r>
      <w:r>
        <w:rPr>
          <w:rFonts w:hint="eastAsia" w:ascii="宋体" w:hAnsi="宋体" w:eastAsia="宋体" w:cs="宋体"/>
          <w:color w:val="auto"/>
          <w:kern w:val="2"/>
          <w:sz w:val="21"/>
          <w:szCs w:val="21"/>
          <w:highlight w:val="none"/>
          <w:lang w:eastAsia="zh-CN"/>
        </w:rPr>
        <w:t>法定代表人（单位负责人）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法定代表人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jc w:val="right"/>
        <w:rPr>
          <w:rFonts w:hint="eastAsia" w:ascii="宋体" w:hAnsi="宋体" w:eastAsia="宋体" w:cs="宋体"/>
          <w:color w:val="auto"/>
          <w:kern w:val="2"/>
          <w:sz w:val="21"/>
          <w:szCs w:val="21"/>
          <w:highlight w:val="none"/>
        </w:rPr>
      </w:pPr>
    </w:p>
    <w:p>
      <w:pPr>
        <w:wordWrap w:val="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rPr>
          <w:rFonts w:ascii="宋体" w:hAnsi="宋体" w:cs="宋体"/>
          <w:color w:val="auto"/>
          <w:highlight w:val="none"/>
        </w:rPr>
      </w:pPr>
      <w:bookmarkStart w:id="190" w:name="_Toc513633965"/>
    </w:p>
    <w:p>
      <w:pPr>
        <w:pStyle w:val="3"/>
        <w:spacing w:before="0" w:after="0" w:line="360" w:lineRule="auto"/>
        <w:jc w:val="center"/>
        <w:rPr>
          <w:rFonts w:ascii="宋体" w:hAnsi="宋体" w:cs="宋体"/>
          <w:color w:val="auto"/>
          <w:highlight w:val="none"/>
        </w:rPr>
      </w:pPr>
      <w:bookmarkStart w:id="191" w:name="_Toc2000413"/>
      <w:bookmarkStart w:id="192" w:name="_Toc514858709"/>
      <w:bookmarkStart w:id="193" w:name="_Toc11294"/>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190"/>
      <w:bookmarkEnd w:id="191"/>
      <w:bookmarkEnd w:id="192"/>
      <w:bookmarkEnd w:id="193"/>
    </w:p>
    <w:p>
      <w:pPr>
        <w:rPr>
          <w:rFonts w:ascii="宋体" w:hAnsi="宋体" w:cs="宋体"/>
          <w:color w:val="auto"/>
          <w:highlight w:val="none"/>
        </w:rPr>
      </w:pPr>
    </w:p>
    <w:p>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p>
    <w:p>
      <w:pPr>
        <w:rPr>
          <w:rFonts w:ascii="宋体" w:hAnsi="宋体" w:cs="宋体"/>
          <w:color w:val="auto"/>
          <w:highlight w:val="none"/>
        </w:rPr>
      </w:pPr>
    </w:p>
    <w:p>
      <w:pPr>
        <w:jc w:val="center"/>
        <w:rPr>
          <w:rFonts w:ascii="宋体" w:hAnsi="宋体" w:cs="宋体"/>
          <w:color w:val="auto"/>
          <w:sz w:val="52"/>
          <w:szCs w:val="52"/>
          <w:highlight w:val="none"/>
          <w:u w:val="single"/>
        </w:rPr>
      </w:pPr>
      <w:bookmarkStart w:id="194" w:name="_Toc513646738"/>
      <w:bookmarkStart w:id="195" w:name="_Toc514858710"/>
      <w:bookmarkStart w:id="196" w:name="_Toc513633967"/>
      <w:bookmarkStart w:id="197" w:name="_Toc503971829"/>
      <w:bookmarkStart w:id="198" w:name="_Toc503951046"/>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94"/>
      <w:bookmarkEnd w:id="195"/>
      <w:bookmarkEnd w:id="196"/>
      <w:bookmarkEnd w:id="197"/>
      <w:bookmarkEnd w:id="198"/>
      <w:r>
        <w:rPr>
          <w:rFonts w:hint="eastAsia" w:ascii="宋体" w:hAnsi="宋体" w:cs="宋体"/>
          <w:color w:val="auto"/>
          <w:sz w:val="52"/>
          <w:szCs w:val="52"/>
          <w:highlight w:val="none"/>
          <w:u w:val="single"/>
        </w:rPr>
        <w:t xml:space="preserve"> </w:t>
      </w:r>
    </w:p>
    <w:p>
      <w:pPr>
        <w:rPr>
          <w:rFonts w:ascii="宋体" w:hAnsi="宋体" w:cs="宋体"/>
          <w:color w:val="auto"/>
          <w:sz w:val="20"/>
          <w:szCs w:val="20"/>
          <w:highlight w:val="none"/>
        </w:rPr>
      </w:pPr>
    </w:p>
    <w:p>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pPr>
        <w:jc w:val="center"/>
        <w:rPr>
          <w:rFonts w:ascii="宋体" w:hAnsi="宋体" w:cs="宋体"/>
          <w:b/>
          <w:color w:val="auto"/>
          <w:sz w:val="32"/>
          <w:szCs w:val="32"/>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29"/>
        <w:rPr>
          <w:color w:val="auto"/>
          <w:highlight w:val="none"/>
        </w:rPr>
      </w:pPr>
    </w:p>
    <w:p>
      <w:pPr>
        <w:rPr>
          <w:color w:val="auto"/>
          <w:highlight w:val="none"/>
        </w:rPr>
      </w:pPr>
    </w:p>
    <w:p>
      <w:pPr>
        <w:pStyle w:val="29"/>
        <w:rPr>
          <w:color w:val="auto"/>
          <w:highlight w:val="none"/>
        </w:rPr>
      </w:pPr>
    </w:p>
    <w:p>
      <w:pPr>
        <w:rPr>
          <w:color w:val="auto"/>
          <w:highlight w:val="none"/>
        </w:rPr>
      </w:pPr>
    </w:p>
    <w:p>
      <w:pPr>
        <w:pStyle w:val="29"/>
        <w:rPr>
          <w:color w:val="auto"/>
          <w:highlight w:val="none"/>
        </w:rPr>
      </w:pPr>
    </w:p>
    <w:p>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199" w:name="_Toc1368"/>
      <w:bookmarkStart w:id="200" w:name="_Toc5459"/>
      <w:bookmarkStart w:id="201" w:name="_Toc11329273"/>
      <w:bookmarkStart w:id="202" w:name="_Toc28780"/>
      <w:r>
        <w:rPr>
          <w:rFonts w:hint="eastAsia" w:ascii="宋体" w:hAnsi="宋体" w:eastAsia="宋体" w:cs="宋体"/>
          <w:color w:val="auto"/>
          <w:sz w:val="32"/>
          <w:szCs w:val="40"/>
          <w:highlight w:val="none"/>
        </w:rPr>
        <w:t>目    录</w:t>
      </w:r>
      <w:bookmarkEnd w:id="175"/>
      <w:bookmarkEnd w:id="176"/>
      <w:bookmarkEnd w:id="177"/>
      <w:bookmarkEnd w:id="178"/>
      <w:bookmarkEnd w:id="179"/>
      <w:bookmarkEnd w:id="180"/>
      <w:bookmarkEnd w:id="181"/>
      <w:bookmarkEnd w:id="182"/>
      <w:bookmarkEnd w:id="199"/>
      <w:bookmarkEnd w:id="200"/>
      <w:bookmarkEnd w:id="201"/>
      <w:bookmarkEnd w:id="202"/>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pPr>
        <w:spacing w:line="400" w:lineRule="exact"/>
        <w:rPr>
          <w:rFonts w:ascii="宋体" w:hAnsi="宋体" w:cs="宋体"/>
          <w:color w:val="auto"/>
          <w:highlight w:val="none"/>
        </w:rPr>
      </w:pPr>
      <w:r>
        <w:rPr>
          <w:rFonts w:hint="eastAsia" w:ascii="宋体" w:hAnsi="宋体" w:cs="宋体"/>
          <w:color w:val="auto"/>
          <w:highlight w:val="none"/>
        </w:rPr>
        <w:t>三、报价一览表</w:t>
      </w:r>
    </w:p>
    <w:p>
      <w:pPr>
        <w:spacing w:line="400" w:lineRule="exact"/>
        <w:rPr>
          <w:rFonts w:ascii="宋体" w:hAnsi="宋体" w:cs="宋体"/>
          <w:color w:val="auto"/>
          <w:highlight w:val="none"/>
        </w:rPr>
      </w:pPr>
      <w:r>
        <w:rPr>
          <w:rFonts w:hint="eastAsia" w:ascii="宋体" w:hAnsi="宋体" w:cs="宋体"/>
          <w:color w:val="auto"/>
          <w:highlight w:val="none"/>
        </w:rPr>
        <w:t>四、资格审查资料</w:t>
      </w:r>
    </w:p>
    <w:p>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r>
        <w:rPr>
          <w:rFonts w:ascii="宋体" w:hAnsi="宋体" w:cs="宋体"/>
          <w:color w:val="auto"/>
          <w:highlight w:val="none"/>
        </w:rPr>
        <w:br w:type="page"/>
      </w:r>
    </w:p>
    <w:p>
      <w:pPr>
        <w:pStyle w:val="4"/>
        <w:numPr>
          <w:ilvl w:val="0"/>
          <w:numId w:val="3"/>
        </w:numPr>
        <w:spacing w:before="0" w:after="0" w:line="360" w:lineRule="auto"/>
        <w:jc w:val="center"/>
        <w:rPr>
          <w:rFonts w:ascii="宋体" w:hAnsi="宋体" w:eastAsia="宋体" w:cs="宋体"/>
          <w:color w:val="auto"/>
          <w:sz w:val="28"/>
          <w:highlight w:val="none"/>
        </w:rPr>
      </w:pPr>
      <w:bookmarkStart w:id="203" w:name="_Toc25874"/>
      <w:bookmarkStart w:id="204" w:name="_Toc8599"/>
      <w:bookmarkStart w:id="205" w:name="_Toc15863"/>
      <w:bookmarkStart w:id="206" w:name="_Toc29547"/>
      <w:bookmarkStart w:id="207" w:name="_Toc513633969"/>
      <w:bookmarkStart w:id="208" w:name="_Toc447827053"/>
      <w:bookmarkStart w:id="209" w:name="_Toc503951048"/>
      <w:r>
        <w:rPr>
          <w:rFonts w:hint="eastAsia" w:ascii="宋体" w:hAnsi="宋体" w:eastAsia="宋体" w:cs="宋体"/>
          <w:color w:val="auto"/>
          <w:sz w:val="28"/>
          <w:highlight w:val="none"/>
        </w:rPr>
        <w:t>竞争比选响应声明书</w:t>
      </w:r>
      <w:bookmarkEnd w:id="203"/>
      <w:bookmarkEnd w:id="204"/>
      <w:bookmarkEnd w:id="205"/>
      <w:bookmarkEnd w:id="206"/>
    </w:p>
    <w:p>
      <w:pPr>
        <w:rPr>
          <w:color w:val="auto"/>
          <w:highlight w:val="none"/>
        </w:rPr>
      </w:pPr>
    </w:p>
    <w:p>
      <w:pPr>
        <w:tabs>
          <w:tab w:val="left" w:pos="900"/>
        </w:tabs>
        <w:spacing w:line="360" w:lineRule="auto"/>
        <w:rPr>
          <w:rFonts w:ascii="Arial" w:hAnsi="Arial" w:cs="Arial"/>
          <w:b/>
          <w:bCs/>
          <w:color w:val="auto"/>
          <w:sz w:val="24"/>
          <w:highlight w:val="none"/>
          <w:u w:val="single"/>
        </w:rPr>
      </w:pPr>
      <w:r>
        <w:rPr>
          <w:rFonts w:ascii="Arial" w:hAnsi="Arial" w:cs="Arial"/>
          <w:color w:val="auto"/>
          <w:sz w:val="24"/>
          <w:highlight w:val="none"/>
        </w:rPr>
        <w:t xml:space="preserve"> </w:t>
      </w: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bookmarkStart w:id="210" w:name="_Toc27815"/>
      <w:bookmarkStart w:id="211" w:name="_Toc491883232"/>
      <w:r>
        <w:rPr>
          <w:rFonts w:hint="eastAsia" w:asciiTheme="minorEastAsia" w:hAnsiTheme="minorEastAsia" w:eastAsiaTheme="minorEastAsia" w:cstheme="minorEastAsia"/>
          <w:color w:val="auto"/>
          <w:sz w:val="24"/>
          <w:highlight w:val="none"/>
        </w:rPr>
        <w:t>我方收到</w:t>
      </w:r>
      <w:r>
        <w:rPr>
          <w:rFonts w:hint="eastAsia" w:asciiTheme="minorEastAsia" w:hAnsiTheme="minorEastAsia" w:eastAsiaTheme="minorEastAsia" w:cstheme="minorEastAsia"/>
          <w:b/>
          <w:bCs/>
          <w:color w:val="auto"/>
          <w:sz w:val="24"/>
          <w:highlight w:val="none"/>
          <w:u w:val="single"/>
          <w:lang w:val="en-US" w:eastAsia="zh-CN"/>
        </w:rPr>
        <w:t xml:space="preserve">             （项目名称）</w:t>
      </w:r>
      <w:r>
        <w:rPr>
          <w:rFonts w:hint="eastAsia" w:asciiTheme="minorEastAsia" w:hAnsiTheme="minorEastAsia" w:eastAsiaTheme="minorEastAsia" w:cstheme="minorEastAsia"/>
          <w:color w:val="auto"/>
          <w:sz w:val="24"/>
          <w:highlight w:val="none"/>
        </w:rPr>
        <w:t>的竞争性比选文件，经详细研究，决定参加该项目的</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w:t>
      </w:r>
      <w:r>
        <w:rPr>
          <w:rFonts w:hint="eastAsia" w:asciiTheme="minorEastAsia" w:hAnsiTheme="minorEastAsia" w:eastAsiaTheme="minorEastAsia" w:cstheme="minorEastAsia"/>
          <w:b/>
          <w:bCs/>
          <w:color w:val="auto"/>
          <w:sz w:val="24"/>
          <w:highlight w:val="none"/>
          <w:u w:val="single"/>
        </w:rPr>
        <w:t xml:space="preserve">          （全名、职务）</w:t>
      </w:r>
      <w:r>
        <w:rPr>
          <w:rFonts w:hint="eastAsia" w:asciiTheme="minorEastAsia" w:hAnsiTheme="minorEastAsia" w:eastAsiaTheme="minorEastAsia" w:cstheme="minorEastAsia"/>
          <w:color w:val="auto"/>
          <w:sz w:val="24"/>
          <w:highlight w:val="none"/>
        </w:rPr>
        <w:t>经正式授权并代表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竞争性比选</w:t>
      </w:r>
      <w:r>
        <w:rPr>
          <w:rFonts w:hint="eastAsia" w:asciiTheme="minorEastAsia" w:hAnsiTheme="minorEastAsia" w:eastAsiaTheme="minorEastAsia" w:cstheme="minorEastAsia"/>
          <w:b/>
          <w:bCs/>
          <w:color w:val="auto"/>
          <w:sz w:val="24"/>
          <w:highlight w:val="none"/>
          <w:u w:val="single"/>
        </w:rPr>
        <w:t xml:space="preserve">响应单位名称） </w:t>
      </w:r>
      <w:r>
        <w:rPr>
          <w:rFonts w:hint="eastAsia" w:asciiTheme="minorEastAsia" w:hAnsiTheme="minorEastAsia" w:eastAsiaTheme="minorEastAsia" w:cstheme="minorEastAsia"/>
          <w:color w:val="auto"/>
          <w:sz w:val="24"/>
          <w:highlight w:val="none"/>
        </w:rPr>
        <w:t>提交报价文件。</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我方愿以：</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u w:val="single"/>
        </w:rPr>
        <w:t xml:space="preserve">           （大写：</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rPr>
        <w:t>的报价按照</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文件的要求，提供本次</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文件要求的</w:t>
      </w:r>
      <w:r>
        <w:rPr>
          <w:rFonts w:hint="eastAsia" w:asciiTheme="minorEastAsia" w:hAnsiTheme="minorEastAsia" w:eastAsiaTheme="minorEastAsia" w:cstheme="minorEastAsia"/>
          <w:color w:val="auto"/>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auto"/>
          <w:sz w:val="24"/>
          <w:highlight w:val="none"/>
          <w:u w:val="single"/>
        </w:rPr>
        <w:t>。</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代表宣布同意如下：</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响应单位将按</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文件规定履行合同责任和义务。</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响应单位已详细审查全部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响应单位同意提供采购人可能要求的与其</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响应或收到的任何报价。</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响应有关的一切正式往来通讯请寄：</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邮编：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传真：</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w:t>
      </w:r>
      <w:r>
        <w:rPr>
          <w:rFonts w:hint="eastAsia" w:asciiTheme="minorEastAsia" w:hAnsiTheme="minorEastAsia" w:eastAsiaTheme="minorEastAsia" w:cstheme="minorEastAsia"/>
          <w:color w:val="auto"/>
          <w:sz w:val="24"/>
          <w:highlight w:val="none"/>
          <w:lang w:eastAsia="zh-CN"/>
        </w:rPr>
        <w:t>签名或盖章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响应单位名称（加盖</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before="320" w:beforeLines="100" w:line="480" w:lineRule="auto"/>
        <w:ind w:firstLine="480" w:firstLineChars="200"/>
        <w:textAlignment w:val="auto"/>
        <w:rPr>
          <w:rFonts w:ascii="Arial" w:hAnsi="Arial" w:cs="Arial"/>
          <w:color w:val="auto"/>
          <w:sz w:val="24"/>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pStyle w:val="41"/>
        <w:rPr>
          <w:color w:val="auto"/>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numPr>
          <w:ilvl w:val="0"/>
          <w:numId w:val="3"/>
        </w:numPr>
        <w:spacing w:before="0" w:after="0" w:line="360" w:lineRule="auto"/>
        <w:jc w:val="center"/>
        <w:rPr>
          <w:rFonts w:hint="eastAsia" w:ascii="宋体" w:hAnsi="宋体" w:eastAsia="宋体" w:cs="宋体"/>
          <w:color w:val="auto"/>
          <w:sz w:val="28"/>
          <w:highlight w:val="none"/>
        </w:rPr>
      </w:pPr>
      <w:bookmarkStart w:id="212" w:name="_Toc25515"/>
      <w:r>
        <w:rPr>
          <w:rFonts w:hint="eastAsia" w:ascii="宋体" w:hAnsi="宋体" w:eastAsia="宋体" w:cs="宋体"/>
          <w:color w:val="auto"/>
          <w:sz w:val="28"/>
          <w:highlight w:val="none"/>
        </w:rPr>
        <w:t>法定代表人身份证明或法定代表人授权委托书</w:t>
      </w:r>
      <w:bookmarkEnd w:id="210"/>
      <w:bookmarkEnd w:id="212"/>
    </w:p>
    <w:bookmarkEnd w:id="211"/>
    <w:p>
      <w:pPr>
        <w:pStyle w:val="4"/>
        <w:spacing w:line="480" w:lineRule="auto"/>
        <w:jc w:val="center"/>
        <w:outlineLvl w:val="2"/>
        <w:rPr>
          <w:rFonts w:ascii="宋体" w:hAnsi="宋体" w:eastAsia="宋体" w:cs="宋体"/>
          <w:color w:val="auto"/>
          <w:sz w:val="24"/>
          <w:szCs w:val="24"/>
          <w:highlight w:val="none"/>
        </w:rPr>
      </w:pPr>
      <w:bookmarkStart w:id="213" w:name="_Toc20985"/>
      <w:bookmarkStart w:id="214" w:name="_Toc14141"/>
      <w:r>
        <w:rPr>
          <w:rFonts w:hint="eastAsia" w:ascii="宋体" w:hAnsi="宋体" w:eastAsia="宋体" w:cs="宋体"/>
          <w:color w:val="auto"/>
          <w:sz w:val="24"/>
          <w:szCs w:val="24"/>
          <w:highlight w:val="none"/>
        </w:rPr>
        <w:t>（一）法定代表人身份证明</w:t>
      </w:r>
      <w:bookmarkEnd w:id="213"/>
      <w:bookmarkEnd w:id="214"/>
    </w:p>
    <w:p>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215" w:name="_Toc369531698"/>
      <w:bookmarkStart w:id="216" w:name="_Toc27897"/>
      <w:bookmarkStart w:id="217" w:name="_Toc352691662"/>
      <w:r>
        <w:rPr>
          <w:rFonts w:ascii="宋体" w:hAnsi="宋体"/>
          <w:color w:val="auto"/>
          <w:highlight w:val="none"/>
          <w:u w:val="single"/>
        </w:rPr>
        <w:t xml:space="preserve">        </w:t>
      </w:r>
      <w:r>
        <w:rPr>
          <w:rFonts w:ascii="宋体" w:hAnsi="宋体"/>
          <w:color w:val="auto"/>
          <w:highlight w:val="none"/>
        </w:rPr>
        <w:t>年</w:t>
      </w:r>
      <w:bookmarkEnd w:id="215"/>
      <w:bookmarkEnd w:id="216"/>
      <w:bookmarkEnd w:id="217"/>
      <w:r>
        <w:rPr>
          <w:rFonts w:ascii="宋体" w:hAnsi="宋体"/>
          <w:color w:val="auto"/>
          <w:highlight w:val="none"/>
        </w:rPr>
        <w:t>龄</w:t>
      </w:r>
      <w:bookmarkStart w:id="218" w:name="_Toc384308377"/>
      <w:bookmarkStart w:id="219" w:name="_Toc361508754"/>
      <w:bookmarkStart w:id="220" w:name="_Toc247514248"/>
      <w:bookmarkStart w:id="221" w:name="_Toc144974858"/>
      <w:bookmarkStart w:id="222" w:name="_Toc352691663"/>
      <w:bookmarkStart w:id="223" w:name="_Toc152042578"/>
      <w:bookmarkStart w:id="224" w:name="_Toc15573"/>
      <w:bookmarkStart w:id="225" w:name="_Toc369531699"/>
      <w:bookmarkStart w:id="226" w:name="_Toc300835211"/>
      <w:bookmarkStart w:id="227" w:name="_Toc247527829"/>
      <w:bookmarkStart w:id="228" w:name="_Toc152045789"/>
      <w:r>
        <w:rPr>
          <w:rFonts w:ascii="宋体" w:hAnsi="宋体"/>
          <w:color w:val="auto"/>
          <w:highlight w:val="none"/>
        </w:rPr>
        <w:t>：</w:t>
      </w:r>
      <w:bookmarkEnd w:id="218"/>
      <w:bookmarkEnd w:id="219"/>
      <w:bookmarkEnd w:id="220"/>
      <w:bookmarkEnd w:id="221"/>
      <w:bookmarkEnd w:id="222"/>
      <w:bookmarkEnd w:id="223"/>
      <w:bookmarkEnd w:id="224"/>
      <w:bookmarkEnd w:id="225"/>
      <w:bookmarkEnd w:id="226"/>
      <w:bookmarkEnd w:id="227"/>
      <w:bookmarkEnd w:id="228"/>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pPr>
        <w:spacing w:line="480" w:lineRule="auto"/>
        <w:ind w:firstLine="420" w:firstLineChars="200"/>
        <w:rPr>
          <w:rFonts w:ascii="宋体" w:hAnsi="宋体"/>
          <w:color w:val="auto"/>
          <w:highlight w:val="none"/>
        </w:rPr>
      </w:pPr>
      <w:r>
        <w:rPr>
          <w:rFonts w:ascii="宋体" w:hAnsi="宋体"/>
          <w:color w:val="auto"/>
          <w:highlight w:val="none"/>
        </w:rPr>
        <w:t>特此证明。</w:t>
      </w:r>
    </w:p>
    <w:p>
      <w:pPr>
        <w:spacing w:line="480" w:lineRule="auto"/>
        <w:rPr>
          <w:rFonts w:ascii="宋体" w:hAnsi="宋体"/>
          <w:color w:val="auto"/>
          <w:highlight w:val="none"/>
        </w:rPr>
      </w:pPr>
    </w:p>
    <w:p>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XmlmRABAAALAQAADwAAAAAAAAABACAA&#10;AAAiAAAAZHJzL2Rvd25yZXYueG1sUEsBAhQAFAAAAAgAh07iQNygsNQOAgAAOAQAAA4AAAAAAAAA&#10;AQAgAAAAXwEAAGRycy9lMm9Eb2MueG1sUEsFBgAAAAAGAAYAWQEAAN8FA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pPr>
        <w:spacing w:line="480" w:lineRule="auto"/>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highlight w:val="none"/>
        </w:rPr>
      </w:pPr>
    </w:p>
    <w:p>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sz w:val="20"/>
          <w:highlight w:val="none"/>
        </w:rPr>
      </w:pPr>
    </w:p>
    <w:p>
      <w:pPr>
        <w:spacing w:line="20" w:lineRule="exact"/>
        <w:jc w:val="center"/>
        <w:rPr>
          <w:rFonts w:ascii="宋体" w:hAnsi="宋体"/>
          <w:color w:val="auto"/>
          <w:sz w:val="20"/>
          <w:highlight w:val="none"/>
        </w:rPr>
      </w:pPr>
      <w:r>
        <w:rPr>
          <w:rFonts w:ascii="宋体" w:hAnsi="宋体"/>
          <w:color w:val="auto"/>
          <w:sz w:val="20"/>
          <w:highlight w:val="none"/>
        </w:rPr>
        <w:br w:type="page"/>
      </w:r>
    </w:p>
    <w:p>
      <w:pPr>
        <w:pStyle w:val="4"/>
        <w:spacing w:line="480" w:lineRule="auto"/>
        <w:jc w:val="center"/>
        <w:outlineLvl w:val="2"/>
        <w:rPr>
          <w:rFonts w:ascii="宋体" w:hAnsi="宋体"/>
          <w:color w:val="auto"/>
          <w:sz w:val="28"/>
          <w:szCs w:val="28"/>
          <w:highlight w:val="none"/>
        </w:rPr>
      </w:pPr>
      <w:bookmarkStart w:id="229" w:name="_Toc491883233"/>
      <w:bookmarkStart w:id="230" w:name="_Toc3882"/>
      <w:bookmarkStart w:id="231" w:name="_Toc58"/>
      <w:r>
        <w:rPr>
          <w:rFonts w:hint="eastAsia" w:ascii="宋体" w:hAnsi="宋体" w:eastAsia="宋体" w:cs="宋体"/>
          <w:color w:val="auto"/>
          <w:sz w:val="24"/>
          <w:szCs w:val="24"/>
          <w:highlight w:val="none"/>
        </w:rPr>
        <w:t>（二）</w:t>
      </w:r>
      <w:bookmarkEnd w:id="229"/>
      <w:r>
        <w:rPr>
          <w:rFonts w:hint="eastAsia" w:ascii="宋体" w:hAnsi="宋体" w:eastAsia="宋体" w:cs="宋体"/>
          <w:color w:val="auto"/>
          <w:sz w:val="24"/>
          <w:szCs w:val="24"/>
          <w:highlight w:val="none"/>
        </w:rPr>
        <w:t>法定代表人授权委托书</w:t>
      </w:r>
      <w:bookmarkEnd w:id="230"/>
      <w:bookmarkEnd w:id="231"/>
    </w:p>
    <w:p>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CdPCYNAQAACAEAAA8AAAAAAAAAAQAgAAAA&#10;IgAAAGRycy9kb3ducmV2LnhtbFBLAQIUABQAAAAIAIdO4kDlO8X9DwIAADgEAAAOAAAAAAAAAAEA&#10;IAAAAFwBAABkcnMvZTJvRG9jLnhtbFBLBQYAAAAABgAGAFkBAADdBQ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p>
    <w:p>
      <w:pPr>
        <w:spacing w:line="440" w:lineRule="exact"/>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委托代理人身份证复印件</w:t>
      </w: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CEPO0OAQAACQEAAA8AAAAAAAAAAQAgAAAA&#10;IgAAAGRycy9kb3ducmV2LnhtbFBLAQIUABQAAAAIAIdO4kBm4Zl7DgIAADgEAAAOAAAAAAAAAAEA&#10;IAAAAF0BAABkcnMvZTJvRG9jLnhtbFBLBQYAAAAABgAGAFkBAADdBQAAAAA=&#10;">
                <v:fill on="t" focussize="0,0"/>
                <v:stroke color="#000000" joinstyle="miter"/>
                <v:imagedata o:title=""/>
                <o:lock v:ext="edit" aspectratio="f"/>
                <v:textbo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v:textbox>
              </v:shape>
            </w:pict>
          </mc:Fallback>
        </mc:AlternateContent>
      </w: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pPr>
        <w:pStyle w:val="29"/>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pPr>
        <w:rPr>
          <w:rFonts w:ascii="宋体" w:hAnsi="宋体" w:cs="宋体"/>
          <w:snapToGrid w:val="0"/>
          <w:color w:val="auto"/>
          <w:kern w:val="0"/>
          <w:szCs w:val="21"/>
          <w:highlight w:val="none"/>
        </w:rPr>
      </w:pPr>
    </w:p>
    <w:p>
      <w:pPr>
        <w:pStyle w:val="4"/>
        <w:spacing w:before="0" w:after="0" w:line="360" w:lineRule="auto"/>
        <w:jc w:val="center"/>
        <w:rPr>
          <w:rFonts w:ascii="宋体" w:hAnsi="宋体" w:eastAsia="宋体" w:cs="宋体"/>
          <w:color w:val="auto"/>
          <w:sz w:val="28"/>
          <w:highlight w:val="none"/>
        </w:rPr>
      </w:pPr>
      <w:bookmarkStart w:id="232" w:name="_Toc11329275"/>
      <w:bookmarkStart w:id="233" w:name="_Toc13095"/>
      <w:r>
        <w:rPr>
          <w:rFonts w:hint="eastAsia" w:ascii="宋体" w:hAnsi="宋体" w:eastAsia="宋体" w:cs="宋体"/>
          <w:color w:val="auto"/>
          <w:sz w:val="28"/>
          <w:highlight w:val="none"/>
        </w:rPr>
        <w:t>三、</w:t>
      </w:r>
      <w:bookmarkEnd w:id="207"/>
      <w:bookmarkEnd w:id="208"/>
      <w:bookmarkEnd w:id="209"/>
      <w:bookmarkEnd w:id="232"/>
      <w:r>
        <w:rPr>
          <w:rFonts w:hint="eastAsia" w:ascii="宋体" w:hAnsi="宋体" w:eastAsia="宋体" w:cs="宋体"/>
          <w:color w:val="auto"/>
          <w:sz w:val="28"/>
          <w:highlight w:val="none"/>
        </w:rPr>
        <w:t>报价一览表</w:t>
      </w:r>
      <w:bookmarkEnd w:id="233"/>
    </w:p>
    <w:p>
      <w:pPr>
        <w:ind w:left="765"/>
        <w:jc w:val="center"/>
        <w:rPr>
          <w:rFonts w:ascii="宋体" w:hAnsi="宋体" w:cs="宋体"/>
          <w:color w:val="auto"/>
          <w:szCs w:val="21"/>
          <w:highlight w:val="none"/>
        </w:rPr>
      </w:pPr>
    </w:p>
    <w:p>
      <w:pPr>
        <w:pStyle w:val="38"/>
        <w:spacing w:line="480" w:lineRule="auto"/>
        <w:jc w:val="both"/>
        <w:rPr>
          <w:rFonts w:hAnsi="宋体"/>
          <w:color w:val="auto"/>
          <w:highlight w:val="none"/>
        </w:rPr>
      </w:pPr>
      <w:r>
        <w:rPr>
          <w:rFonts w:hint="eastAsia" w:hAnsi="宋体"/>
          <w:color w:val="auto"/>
          <w:highlight w:val="none"/>
        </w:rPr>
        <w:t>重庆首讯科技股份有限公司：</w:t>
      </w:r>
    </w:p>
    <w:p>
      <w:pPr>
        <w:spacing w:line="480" w:lineRule="auto"/>
        <w:ind w:firstLine="420" w:firstLineChars="200"/>
        <w:jc w:val="left"/>
        <w:rPr>
          <w:rFonts w:ascii="宋体" w:hAnsi="宋体"/>
          <w:b/>
          <w:color w:val="auto"/>
          <w:szCs w:val="21"/>
          <w:highlight w:val="none"/>
        </w:rPr>
      </w:pPr>
      <w:bookmarkStart w:id="234" w:name="_Toc503951050"/>
      <w:bookmarkStart w:id="235" w:name="_Toc11329278"/>
      <w:bookmarkStart w:id="236" w:name="_Toc513633971"/>
      <w:bookmarkStart w:id="237" w:name="_Toc447827058"/>
      <w:bookmarkStart w:id="238" w:name="_Toc152042592"/>
      <w:bookmarkStart w:id="239" w:name="_Toc179632823"/>
      <w:bookmarkStart w:id="240" w:name="_Toc246996369"/>
      <w:bookmarkStart w:id="241" w:name="_Toc152045803"/>
      <w:bookmarkStart w:id="242" w:name="_Toc247085887"/>
      <w:bookmarkStart w:id="243" w:name="_Toc144974871"/>
      <w:bookmarkStart w:id="244" w:name="_Toc246997112"/>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singl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2"/>
        <w:tblW w:w="4998" w:type="pct"/>
        <w:tblInd w:w="0" w:type="dxa"/>
        <w:tblLayout w:type="fixed"/>
        <w:tblCellMar>
          <w:top w:w="0" w:type="dxa"/>
          <w:left w:w="108" w:type="dxa"/>
          <w:bottom w:w="0" w:type="dxa"/>
          <w:right w:w="108" w:type="dxa"/>
        </w:tblCellMar>
      </w:tblPr>
      <w:tblGrid>
        <w:gridCol w:w="794"/>
        <w:gridCol w:w="1546"/>
        <w:gridCol w:w="918"/>
        <w:gridCol w:w="1073"/>
        <w:gridCol w:w="918"/>
        <w:gridCol w:w="1054"/>
        <w:gridCol w:w="1146"/>
        <w:gridCol w:w="1070"/>
      </w:tblGrid>
      <w:tr>
        <w:tblPrEx>
          <w:tblCellMar>
            <w:top w:w="0" w:type="dxa"/>
            <w:left w:w="108" w:type="dxa"/>
            <w:bottom w:w="0" w:type="dxa"/>
            <w:right w:w="108" w:type="dxa"/>
          </w:tblCellMar>
        </w:tblPrEx>
        <w:trPr>
          <w:trHeight w:val="454" w:hRule="atLeast"/>
        </w:trPr>
        <w:tc>
          <w:tcPr>
            <w:tcW w:w="46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序号</w:t>
            </w:r>
          </w:p>
        </w:tc>
        <w:tc>
          <w:tcPr>
            <w:tcW w:w="90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服务内容</w:t>
            </w:r>
          </w:p>
        </w:tc>
        <w:tc>
          <w:tcPr>
            <w:tcW w:w="5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rPr>
              <w:t>带宽</w:t>
            </w:r>
          </w:p>
        </w:tc>
        <w:tc>
          <w:tcPr>
            <w:tcW w:w="6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服务期限</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bidi="ar"/>
              </w:rPr>
              <w:t>数量</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auto"/>
                <w:kern w:val="2"/>
                <w:sz w:val="18"/>
                <w:szCs w:val="18"/>
                <w:highlight w:val="none"/>
                <w:lang w:val="en-US" w:eastAsia="zh-CN" w:bidi="ar-SA"/>
              </w:rPr>
            </w:pPr>
            <w:r>
              <w:rPr>
                <w:rFonts w:hint="eastAsia" w:ascii="宋体" w:hAnsi="宋体" w:cs="宋体"/>
                <w:b/>
                <w:bCs/>
                <w:i w:val="0"/>
                <w:iCs w:val="0"/>
                <w:color w:val="auto"/>
                <w:kern w:val="0"/>
                <w:sz w:val="18"/>
                <w:szCs w:val="18"/>
                <w:highlight w:val="none"/>
                <w:u w:val="none"/>
                <w:lang w:val="en-US" w:eastAsia="zh-CN" w:bidi="ar"/>
              </w:rPr>
              <w:t>含</w:t>
            </w:r>
            <w:r>
              <w:rPr>
                <w:rFonts w:hint="eastAsia" w:ascii="宋体" w:hAnsi="宋体" w:eastAsia="宋体" w:cs="宋体"/>
                <w:b/>
                <w:bCs/>
                <w:i w:val="0"/>
                <w:iCs w:val="0"/>
                <w:color w:val="auto"/>
                <w:kern w:val="0"/>
                <w:sz w:val="18"/>
                <w:szCs w:val="18"/>
                <w:highlight w:val="none"/>
                <w:u w:val="none"/>
                <w:lang w:val="en-US" w:eastAsia="zh-CN" w:bidi="ar"/>
              </w:rPr>
              <w:t>税</w:t>
            </w:r>
            <w:r>
              <w:rPr>
                <w:rFonts w:hint="eastAsia" w:ascii="宋体" w:hAnsi="宋体" w:cs="宋体"/>
                <w:b/>
                <w:bCs/>
                <w:i w:val="0"/>
                <w:iCs w:val="0"/>
                <w:color w:val="auto"/>
                <w:kern w:val="0"/>
                <w:sz w:val="18"/>
                <w:szCs w:val="18"/>
                <w:highlight w:val="none"/>
                <w:u w:val="none"/>
                <w:lang w:val="en-US" w:eastAsia="zh-CN" w:bidi="ar"/>
              </w:rPr>
              <w:t>单</w:t>
            </w:r>
            <w:r>
              <w:rPr>
                <w:rFonts w:hint="eastAsia" w:ascii="宋体" w:hAnsi="宋体" w:eastAsia="宋体" w:cs="宋体"/>
                <w:b/>
                <w:bCs/>
                <w:i w:val="0"/>
                <w:iCs w:val="0"/>
                <w:color w:val="auto"/>
                <w:kern w:val="0"/>
                <w:sz w:val="18"/>
                <w:szCs w:val="18"/>
                <w:highlight w:val="none"/>
                <w:u w:val="none"/>
                <w:lang w:val="en-US" w:eastAsia="zh-CN" w:bidi="ar"/>
              </w:rPr>
              <w:t>价</w:t>
            </w:r>
            <w:r>
              <w:rPr>
                <w:rFonts w:hint="eastAsia" w:ascii="宋体" w:hAnsi="宋体" w:cs="宋体"/>
                <w:b/>
                <w:bCs/>
                <w:i w:val="0"/>
                <w:iCs w:val="0"/>
                <w:color w:val="auto"/>
                <w:kern w:val="0"/>
                <w:sz w:val="18"/>
                <w:szCs w:val="18"/>
                <w:highlight w:val="none"/>
                <w:u w:val="none"/>
                <w:lang w:val="en-US" w:eastAsia="zh-CN" w:bidi="ar"/>
              </w:rPr>
              <w:t>限价</w:t>
            </w:r>
            <w:r>
              <w:rPr>
                <w:rFonts w:hint="eastAsia" w:ascii="宋体" w:hAnsi="宋体" w:eastAsia="宋体" w:cs="宋体"/>
                <w:b/>
                <w:bCs/>
                <w:i w:val="0"/>
                <w:iCs w:val="0"/>
                <w:color w:val="auto"/>
                <w:kern w:val="0"/>
                <w:sz w:val="18"/>
                <w:szCs w:val="18"/>
                <w:highlight w:val="none"/>
                <w:u w:val="none"/>
                <w:lang w:val="en-US" w:eastAsia="zh-CN" w:bidi="ar"/>
              </w:rPr>
              <w:t>（元）</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auto"/>
                <w:kern w:val="2"/>
                <w:sz w:val="18"/>
                <w:szCs w:val="18"/>
                <w:highlight w:val="none"/>
                <w:lang w:val="en-US" w:eastAsia="zh-CN" w:bidi="ar-SA"/>
              </w:rPr>
            </w:pPr>
            <w:r>
              <w:rPr>
                <w:rFonts w:hint="eastAsia" w:ascii="宋体" w:hAnsi="宋体" w:cs="宋体"/>
                <w:b/>
                <w:bCs/>
                <w:i w:val="0"/>
                <w:iCs w:val="0"/>
                <w:color w:val="auto"/>
                <w:kern w:val="0"/>
                <w:sz w:val="18"/>
                <w:szCs w:val="18"/>
                <w:highlight w:val="none"/>
                <w:u w:val="none"/>
                <w:lang w:val="en-US" w:eastAsia="zh-CN" w:bidi="ar"/>
              </w:rPr>
              <w:t>含</w:t>
            </w:r>
            <w:r>
              <w:rPr>
                <w:rFonts w:hint="eastAsia" w:ascii="宋体" w:hAnsi="宋体" w:eastAsia="宋体" w:cs="宋体"/>
                <w:b/>
                <w:bCs/>
                <w:i w:val="0"/>
                <w:iCs w:val="0"/>
                <w:color w:val="auto"/>
                <w:kern w:val="0"/>
                <w:sz w:val="18"/>
                <w:szCs w:val="18"/>
                <w:highlight w:val="none"/>
                <w:u w:val="none"/>
                <w:lang w:val="en-US" w:eastAsia="zh-CN" w:bidi="ar"/>
              </w:rPr>
              <w:t>税</w:t>
            </w:r>
            <w:r>
              <w:rPr>
                <w:rFonts w:hint="eastAsia" w:ascii="宋体" w:hAnsi="宋体" w:cs="宋体"/>
                <w:b/>
                <w:bCs/>
                <w:i w:val="0"/>
                <w:iCs w:val="0"/>
                <w:color w:val="auto"/>
                <w:kern w:val="0"/>
                <w:sz w:val="18"/>
                <w:szCs w:val="18"/>
                <w:highlight w:val="none"/>
                <w:u w:val="none"/>
                <w:lang w:val="en-US" w:eastAsia="zh-CN" w:bidi="ar"/>
              </w:rPr>
              <w:t>单</w:t>
            </w:r>
            <w:r>
              <w:rPr>
                <w:rFonts w:hint="eastAsia" w:ascii="宋体" w:hAnsi="宋体" w:eastAsia="宋体" w:cs="宋体"/>
                <w:b/>
                <w:bCs/>
                <w:i w:val="0"/>
                <w:iCs w:val="0"/>
                <w:color w:val="auto"/>
                <w:kern w:val="0"/>
                <w:sz w:val="18"/>
                <w:szCs w:val="18"/>
                <w:highlight w:val="none"/>
                <w:u w:val="none"/>
                <w:lang w:val="en-US" w:eastAsia="zh-CN" w:bidi="ar"/>
              </w:rPr>
              <w:t>价</w:t>
            </w:r>
            <w:r>
              <w:rPr>
                <w:rFonts w:hint="eastAsia" w:ascii="宋体" w:hAnsi="宋体" w:cs="宋体"/>
                <w:b/>
                <w:bCs/>
                <w:i w:val="0"/>
                <w:iCs w:val="0"/>
                <w:color w:val="auto"/>
                <w:kern w:val="0"/>
                <w:sz w:val="18"/>
                <w:szCs w:val="18"/>
                <w:highlight w:val="none"/>
                <w:u w:val="none"/>
                <w:lang w:val="en-US" w:eastAsia="zh-CN" w:bidi="ar"/>
              </w:rPr>
              <w:t>报价</w:t>
            </w:r>
            <w:r>
              <w:rPr>
                <w:rFonts w:hint="eastAsia" w:ascii="宋体" w:hAnsi="宋体" w:eastAsia="宋体" w:cs="宋体"/>
                <w:b/>
                <w:bCs/>
                <w:i w:val="0"/>
                <w:iCs w:val="0"/>
                <w:color w:val="auto"/>
                <w:kern w:val="0"/>
                <w:sz w:val="18"/>
                <w:szCs w:val="18"/>
                <w:highlight w:val="none"/>
                <w:u w:val="none"/>
                <w:lang w:val="en-US" w:eastAsia="zh-CN" w:bidi="ar"/>
              </w:rPr>
              <w:t>（元）</w:t>
            </w:r>
          </w:p>
        </w:tc>
        <w:tc>
          <w:tcPr>
            <w:tcW w:w="62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含税合价</w:t>
            </w:r>
          </w:p>
          <w:p>
            <w:pPr>
              <w:widowControl/>
              <w:jc w:val="center"/>
              <w:textAlignment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i w:val="0"/>
                <w:iCs w:val="0"/>
                <w:color w:val="auto"/>
                <w:kern w:val="0"/>
                <w:sz w:val="18"/>
                <w:szCs w:val="18"/>
                <w:highlight w:val="none"/>
                <w:u w:val="none"/>
                <w:lang w:val="en-US" w:eastAsia="zh-CN" w:bidi="ar"/>
              </w:rPr>
              <w:t>（元）</w:t>
            </w:r>
          </w:p>
        </w:tc>
      </w:tr>
      <w:tr>
        <w:tblPrEx>
          <w:tblCellMar>
            <w:top w:w="0" w:type="dxa"/>
            <w:left w:w="108" w:type="dxa"/>
            <w:bottom w:w="0" w:type="dxa"/>
            <w:right w:w="108" w:type="dxa"/>
          </w:tblCellMar>
        </w:tblPrEx>
        <w:trPr>
          <w:trHeight w:val="454" w:hRule="atLeast"/>
        </w:trPr>
        <w:tc>
          <w:tcPr>
            <w:tcW w:w="46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8"/>
                <w:szCs w:val="18"/>
                <w:highlight w:val="none"/>
                <w:lang w:bidi="ar"/>
              </w:rPr>
              <w:t>1</w:t>
            </w:r>
          </w:p>
        </w:tc>
        <w:tc>
          <w:tcPr>
            <w:tcW w:w="9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百合收费站</w:t>
            </w: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40M</w:t>
            </w:r>
          </w:p>
        </w:tc>
        <w:tc>
          <w:tcPr>
            <w:tcW w:w="6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12个月</w:t>
            </w:r>
          </w:p>
        </w:tc>
        <w:tc>
          <w:tcPr>
            <w:tcW w:w="5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1条</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2800.00</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lang w:val="en-US" w:eastAsia="zh-CN"/>
              </w:rPr>
            </w:pP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54" w:hRule="atLeast"/>
        </w:trPr>
        <w:tc>
          <w:tcPr>
            <w:tcW w:w="46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2</w:t>
            </w:r>
          </w:p>
        </w:tc>
        <w:tc>
          <w:tcPr>
            <w:tcW w:w="9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珞璜西收费站</w:t>
            </w: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40M</w:t>
            </w:r>
          </w:p>
        </w:tc>
        <w:tc>
          <w:tcPr>
            <w:tcW w:w="6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12个月</w:t>
            </w:r>
          </w:p>
        </w:tc>
        <w:tc>
          <w:tcPr>
            <w:tcW w:w="5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1条</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2800.00</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lang w:val="en-US" w:eastAsia="zh-CN"/>
              </w:rPr>
            </w:pP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54" w:hRule="atLeast"/>
        </w:trPr>
        <w:tc>
          <w:tcPr>
            <w:tcW w:w="46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3</w:t>
            </w:r>
          </w:p>
        </w:tc>
        <w:tc>
          <w:tcPr>
            <w:tcW w:w="9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支坪收费站</w:t>
            </w: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40M</w:t>
            </w:r>
          </w:p>
        </w:tc>
        <w:tc>
          <w:tcPr>
            <w:tcW w:w="6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12个月</w:t>
            </w:r>
          </w:p>
        </w:tc>
        <w:tc>
          <w:tcPr>
            <w:tcW w:w="5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1条</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2800.00</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lang w:val="en-US" w:eastAsia="zh-CN"/>
              </w:rPr>
            </w:pP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54" w:hRule="atLeast"/>
        </w:trPr>
        <w:tc>
          <w:tcPr>
            <w:tcW w:w="46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4</w:t>
            </w:r>
          </w:p>
        </w:tc>
        <w:tc>
          <w:tcPr>
            <w:tcW w:w="9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西彭收费站</w:t>
            </w: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40M</w:t>
            </w:r>
          </w:p>
        </w:tc>
        <w:tc>
          <w:tcPr>
            <w:tcW w:w="6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12个月</w:t>
            </w:r>
          </w:p>
        </w:tc>
        <w:tc>
          <w:tcPr>
            <w:tcW w:w="5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1条</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2800.00</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lang w:val="en-US" w:eastAsia="zh-CN"/>
              </w:rPr>
            </w:pP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54" w:hRule="atLeast"/>
        </w:trPr>
        <w:tc>
          <w:tcPr>
            <w:tcW w:w="46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5</w:t>
            </w:r>
          </w:p>
        </w:tc>
        <w:tc>
          <w:tcPr>
            <w:tcW w:w="9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双福南收费站</w:t>
            </w: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50M</w:t>
            </w:r>
          </w:p>
        </w:tc>
        <w:tc>
          <w:tcPr>
            <w:tcW w:w="6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12个月</w:t>
            </w:r>
          </w:p>
        </w:tc>
        <w:tc>
          <w:tcPr>
            <w:tcW w:w="5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1条</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3200.00</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lang w:val="en-US" w:eastAsia="zh-CN"/>
              </w:rPr>
            </w:pP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54" w:hRule="atLeast"/>
        </w:trPr>
        <w:tc>
          <w:tcPr>
            <w:tcW w:w="46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6</w:t>
            </w:r>
          </w:p>
        </w:tc>
        <w:tc>
          <w:tcPr>
            <w:tcW w:w="9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金凤服务区</w:t>
            </w: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40M</w:t>
            </w:r>
          </w:p>
        </w:tc>
        <w:tc>
          <w:tcPr>
            <w:tcW w:w="6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12个月</w:t>
            </w:r>
          </w:p>
        </w:tc>
        <w:tc>
          <w:tcPr>
            <w:tcW w:w="5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1条</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2800.00</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lang w:val="en-US" w:eastAsia="zh-CN"/>
              </w:rPr>
            </w:pP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54" w:hRule="atLeast"/>
        </w:trPr>
        <w:tc>
          <w:tcPr>
            <w:tcW w:w="46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7</w:t>
            </w:r>
          </w:p>
        </w:tc>
        <w:tc>
          <w:tcPr>
            <w:tcW w:w="9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青木关收费站</w:t>
            </w: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40M</w:t>
            </w:r>
          </w:p>
        </w:tc>
        <w:tc>
          <w:tcPr>
            <w:tcW w:w="6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12个月</w:t>
            </w:r>
          </w:p>
        </w:tc>
        <w:tc>
          <w:tcPr>
            <w:tcW w:w="5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1条</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2800.00</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lang w:val="en-US" w:eastAsia="zh-CN"/>
              </w:rPr>
            </w:pP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54" w:hRule="atLeast"/>
        </w:trPr>
        <w:tc>
          <w:tcPr>
            <w:tcW w:w="46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8</w:t>
            </w:r>
          </w:p>
        </w:tc>
        <w:tc>
          <w:tcPr>
            <w:tcW w:w="9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凤凰收费站</w:t>
            </w: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40M</w:t>
            </w:r>
          </w:p>
        </w:tc>
        <w:tc>
          <w:tcPr>
            <w:tcW w:w="6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12个月</w:t>
            </w:r>
          </w:p>
        </w:tc>
        <w:tc>
          <w:tcPr>
            <w:tcW w:w="5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1条</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2800.00</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lang w:val="en-US" w:eastAsia="zh-CN"/>
              </w:rPr>
            </w:pP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54" w:hRule="atLeast"/>
        </w:trPr>
        <w:tc>
          <w:tcPr>
            <w:tcW w:w="46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9</w:t>
            </w:r>
          </w:p>
        </w:tc>
        <w:tc>
          <w:tcPr>
            <w:tcW w:w="9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北碚南收费站</w:t>
            </w: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50M</w:t>
            </w:r>
          </w:p>
        </w:tc>
        <w:tc>
          <w:tcPr>
            <w:tcW w:w="6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12个月</w:t>
            </w:r>
          </w:p>
        </w:tc>
        <w:tc>
          <w:tcPr>
            <w:tcW w:w="5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1条</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3200.00</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lang w:val="en-US" w:eastAsia="zh-CN"/>
              </w:rPr>
            </w:pP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54" w:hRule="atLeast"/>
        </w:trPr>
        <w:tc>
          <w:tcPr>
            <w:tcW w:w="46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10</w:t>
            </w:r>
          </w:p>
        </w:tc>
        <w:tc>
          <w:tcPr>
            <w:tcW w:w="9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复兴服务区</w:t>
            </w: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50M</w:t>
            </w:r>
          </w:p>
        </w:tc>
        <w:tc>
          <w:tcPr>
            <w:tcW w:w="6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12个月</w:t>
            </w:r>
          </w:p>
        </w:tc>
        <w:tc>
          <w:tcPr>
            <w:tcW w:w="5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1条</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3200.00</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lang w:val="en-US" w:eastAsia="zh-CN"/>
              </w:rPr>
            </w:pP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54" w:hRule="atLeast"/>
        </w:trPr>
        <w:tc>
          <w:tcPr>
            <w:tcW w:w="46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11</w:t>
            </w:r>
          </w:p>
        </w:tc>
        <w:tc>
          <w:tcPr>
            <w:tcW w:w="9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果园港收费站</w:t>
            </w: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baseline"/>
                <w:lang w:val="en-US" w:eastAsia="zh-CN"/>
              </w:rPr>
              <w:t>40M</w:t>
            </w:r>
          </w:p>
        </w:tc>
        <w:tc>
          <w:tcPr>
            <w:tcW w:w="6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12个月</w:t>
            </w:r>
          </w:p>
        </w:tc>
        <w:tc>
          <w:tcPr>
            <w:tcW w:w="5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1条</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2800.00</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lang w:val="en-US" w:eastAsia="zh-CN"/>
              </w:rPr>
            </w:pP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54" w:hRule="atLeast"/>
        </w:trPr>
        <w:tc>
          <w:tcPr>
            <w:tcW w:w="1912"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税率（%）</w:t>
            </w:r>
          </w:p>
        </w:tc>
        <w:tc>
          <w:tcPr>
            <w:tcW w:w="3087" w:type="pct"/>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54" w:hRule="atLeast"/>
        </w:trPr>
        <w:tc>
          <w:tcPr>
            <w:tcW w:w="1912"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含税总报价（元）</w:t>
            </w:r>
          </w:p>
        </w:tc>
        <w:tc>
          <w:tcPr>
            <w:tcW w:w="3087" w:type="pct"/>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响应声明书中的报价一致；所有价格均系用人民币表示，单位为“元”，报价最多精确到小数点后两位。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snapToGrid w:val="0"/>
          <w:color w:val="auto"/>
          <w:kern w:val="0"/>
          <w:szCs w:val="21"/>
          <w:highlight w:val="none"/>
        </w:rPr>
      </w:pPr>
      <w:r>
        <w:rPr>
          <w:rFonts w:hint="eastAsia" w:ascii="宋体" w:hAnsi="宋体"/>
          <w:b w:val="0"/>
          <w:bCs w:val="0"/>
          <w:color w:val="auto"/>
          <w:kern w:val="0"/>
          <w:szCs w:val="21"/>
          <w:highlight w:val="none"/>
          <w:lang w:val="en-US" w:eastAsia="zh-CN"/>
        </w:rPr>
        <w:t>报价</w:t>
      </w:r>
      <w:r>
        <w:rPr>
          <w:rFonts w:ascii="宋体" w:hAnsi="宋体"/>
          <w:b w:val="0"/>
          <w:bCs w:val="0"/>
          <w:color w:val="auto"/>
          <w:kern w:val="0"/>
          <w:szCs w:val="21"/>
          <w:highlight w:val="none"/>
        </w:rPr>
        <w:t>人：</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lang w:val="en-US" w:eastAsia="zh-CN"/>
        </w:rPr>
        <w:t xml:space="preserve">  </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rPr>
        <w:t xml:space="preserve"> </w:t>
      </w:r>
      <w:r>
        <w:rPr>
          <w:rFonts w:ascii="宋体" w:hAnsi="宋体"/>
          <w:b w:val="0"/>
          <w:bCs w:val="0"/>
          <w:color w:val="auto"/>
          <w:kern w:val="0"/>
          <w:szCs w:val="21"/>
          <w:highlight w:val="none"/>
        </w:rPr>
        <w:t>（</w:t>
      </w:r>
      <w:r>
        <w:rPr>
          <w:rFonts w:ascii="宋体" w:hAnsi="宋体"/>
          <w:b w:val="0"/>
          <w:bCs w:val="0"/>
          <w:color w:val="auto"/>
          <w:spacing w:val="-1"/>
          <w:kern w:val="0"/>
          <w:szCs w:val="21"/>
          <w:highlight w:val="none"/>
        </w:rPr>
        <w:t>盖单位</w:t>
      </w:r>
      <w:r>
        <w:rPr>
          <w:rFonts w:hint="eastAsia" w:ascii="宋体" w:hAnsi="宋体"/>
          <w:b w:val="0"/>
          <w:bCs w:val="0"/>
          <w:color w:val="auto"/>
          <w:spacing w:val="-1"/>
          <w:kern w:val="0"/>
          <w:szCs w:val="21"/>
          <w:highlight w:val="none"/>
        </w:rPr>
        <w:t>公</w:t>
      </w:r>
      <w:r>
        <w:rPr>
          <w:rFonts w:ascii="宋体" w:hAnsi="宋体"/>
          <w:b w:val="0"/>
          <w:bCs w:val="0"/>
          <w:color w:val="auto"/>
          <w:spacing w:val="-1"/>
          <w:kern w:val="0"/>
          <w:szCs w:val="21"/>
          <w:highlight w:val="none"/>
        </w:rPr>
        <w:t>章</w:t>
      </w:r>
      <w:r>
        <w:rPr>
          <w:rFonts w:ascii="宋体" w:hAnsi="宋体"/>
          <w:b w:val="0"/>
          <w:bCs w:val="0"/>
          <w:color w:val="auto"/>
          <w:kern w:val="0"/>
          <w:szCs w:val="21"/>
          <w:highlight w:val="none"/>
        </w:rPr>
        <w:t>）</w:t>
      </w:r>
    </w:p>
    <w:p>
      <w:pPr>
        <w:jc w:val="right"/>
        <w:rPr>
          <w:rFonts w:hint="eastAsia" w:ascii="宋体" w:hAnsi="宋体"/>
          <w:b w:val="0"/>
          <w:bCs w:val="0"/>
          <w:color w:val="auto"/>
          <w:kern w:val="0"/>
          <w:szCs w:val="21"/>
          <w:highlight w:val="none"/>
          <w:u w:val="single"/>
        </w:rPr>
      </w:pPr>
    </w:p>
    <w:p>
      <w:pPr>
        <w:jc w:val="right"/>
        <w:rPr>
          <w:rFonts w:hint="eastAsia" w:ascii="宋体" w:hAnsi="宋体"/>
          <w:b w:val="0"/>
          <w:bCs w:val="0"/>
          <w:color w:val="auto"/>
          <w:kern w:val="0"/>
          <w:szCs w:val="21"/>
          <w:highlight w:val="none"/>
        </w:rPr>
      </w:pP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年</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月</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日</w:t>
      </w:r>
    </w:p>
    <w:p>
      <w:pPr>
        <w:pStyle w:val="4"/>
        <w:spacing w:before="0" w:after="0" w:line="360" w:lineRule="auto"/>
        <w:jc w:val="center"/>
        <w:rPr>
          <w:rFonts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45" w:name="_Toc19454"/>
      <w:bookmarkStart w:id="246" w:name="_Toc11961"/>
      <w:bookmarkStart w:id="247" w:name="_Toc12910"/>
      <w:bookmarkStart w:id="248" w:name="_Toc18757"/>
      <w:r>
        <w:rPr>
          <w:rFonts w:hint="eastAsia" w:ascii="宋体" w:hAnsi="宋体" w:eastAsia="宋体" w:cs="宋体"/>
          <w:color w:val="auto"/>
          <w:sz w:val="28"/>
          <w:highlight w:val="none"/>
        </w:rPr>
        <w:t>四、资格审查资料</w:t>
      </w:r>
      <w:bookmarkEnd w:id="234"/>
      <w:bookmarkEnd w:id="235"/>
      <w:bookmarkEnd w:id="236"/>
      <w:bookmarkEnd w:id="245"/>
      <w:bookmarkEnd w:id="246"/>
      <w:bookmarkEnd w:id="247"/>
      <w:bookmarkEnd w:id="248"/>
    </w:p>
    <w:bookmarkEnd w:id="237"/>
    <w:bookmarkEnd w:id="238"/>
    <w:bookmarkEnd w:id="239"/>
    <w:bookmarkEnd w:id="240"/>
    <w:bookmarkEnd w:id="241"/>
    <w:bookmarkEnd w:id="242"/>
    <w:bookmarkEnd w:id="243"/>
    <w:bookmarkEnd w:id="244"/>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bookmarkStart w:id="249" w:name="_Toc503951058"/>
            <w:bookmarkStart w:id="250" w:name="_Toc513633974"/>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（1）报价人具有有效的营业执照，若为分公司参与，则需提供总公司授权文件；</w:t>
            </w:r>
          </w:p>
          <w:p>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（2）报价人具有有效的基础电信业务经营许可证；</w:t>
            </w:r>
          </w:p>
          <w:p>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（3）报价人具有有效的增值电信业务经营许可证；</w:t>
            </w:r>
          </w:p>
          <w:p>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（4）报价人具有有效的ISO27701隐私信息管理体系认证证书。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年1月1日至报价截止时间止(以合同签订时间为准)至少承担一个</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lang w:val="en-US" w:eastAsia="zh-CN"/>
              </w:rPr>
              <w:t>金额不低于</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万元的网络传输服务业绩。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注：1.提供营业执照复印件，并加盖</w:t>
      </w:r>
      <w:r>
        <w:rPr>
          <w:rFonts w:hint="eastAsia" w:hAnsi="宋体"/>
          <w:b/>
          <w:bCs/>
          <w:color w:val="auto"/>
          <w:sz w:val="21"/>
          <w:szCs w:val="21"/>
          <w:highlight w:val="none"/>
          <w:lang w:val="en-US" w:eastAsia="zh-CN"/>
        </w:rPr>
        <w:t>公</w:t>
      </w:r>
      <w:r>
        <w:rPr>
          <w:rFonts w:hint="eastAsia" w:hAnsi="宋体"/>
          <w:b/>
          <w:bCs/>
          <w:color w:val="auto"/>
          <w:sz w:val="21"/>
          <w:szCs w:val="21"/>
          <w:highlight w:val="none"/>
        </w:rPr>
        <w:t>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rPr>
          <w:color w:val="auto"/>
          <w:highlight w:val="none"/>
        </w:rPr>
      </w:pPr>
    </w:p>
    <w:p>
      <w:pPr>
        <w:pStyle w:val="5"/>
        <w:jc w:val="center"/>
        <w:rPr>
          <w:rFonts w:ascii="宋体" w:hAnsi="宋体" w:cs="宋体"/>
          <w:color w:val="auto"/>
          <w:sz w:val="28"/>
          <w:highlight w:val="none"/>
        </w:rPr>
      </w:pPr>
    </w:p>
    <w:p>
      <w:pPr>
        <w:rPr>
          <w:rFonts w:ascii="宋体" w:hAnsi="宋体" w:cs="宋体"/>
          <w:color w:val="auto"/>
          <w:sz w:val="28"/>
          <w:highlight w:val="none"/>
        </w:rPr>
      </w:pPr>
    </w:p>
    <w:p>
      <w:pPr>
        <w:pStyle w:val="17"/>
        <w:rPr>
          <w:rFonts w:ascii="宋体" w:hAnsi="宋体" w:cs="宋体"/>
          <w:color w:val="auto"/>
          <w:sz w:val="28"/>
          <w:highlight w:val="none"/>
        </w:rPr>
      </w:pPr>
    </w:p>
    <w:p>
      <w:pPr>
        <w:rPr>
          <w:rFonts w:ascii="宋体" w:hAnsi="宋体" w:cs="宋体"/>
          <w:color w:val="auto"/>
          <w:sz w:val="28"/>
          <w:highlight w:val="none"/>
        </w:rPr>
      </w:pPr>
    </w:p>
    <w:p>
      <w:pPr>
        <w:pStyle w:val="17"/>
        <w:rPr>
          <w:rFonts w:ascii="宋体" w:hAnsi="宋体" w:cs="宋体"/>
          <w:color w:val="auto"/>
          <w:sz w:val="28"/>
          <w:highlight w:val="none"/>
        </w:rPr>
      </w:pPr>
    </w:p>
    <w:p>
      <w:pPr>
        <w:rPr>
          <w:rFonts w:ascii="宋体" w:hAnsi="宋体" w:cs="宋体"/>
          <w:color w:val="auto"/>
          <w:sz w:val="28"/>
          <w:highlight w:val="none"/>
        </w:rPr>
      </w:pPr>
    </w:p>
    <w:p>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pPr>
        <w:pStyle w:val="4"/>
        <w:spacing w:before="0" w:after="0" w:line="360" w:lineRule="auto"/>
        <w:jc w:val="center"/>
        <w:rPr>
          <w:rFonts w:ascii="宋体" w:hAnsi="宋体" w:eastAsia="宋体" w:cs="宋体"/>
          <w:color w:val="auto"/>
          <w:sz w:val="28"/>
          <w:highlight w:val="none"/>
        </w:rPr>
      </w:pPr>
      <w:bookmarkStart w:id="251" w:name="_Toc21066"/>
      <w:r>
        <w:rPr>
          <w:rFonts w:hint="eastAsia" w:ascii="宋体" w:hAnsi="宋体" w:eastAsia="宋体" w:cs="宋体"/>
          <w:color w:val="auto"/>
          <w:sz w:val="28"/>
          <w:highlight w:val="none"/>
        </w:rPr>
        <w:t>五、报价人承诺</w:t>
      </w:r>
      <w:bookmarkEnd w:id="251"/>
    </w:p>
    <w:p>
      <w:pPr>
        <w:pStyle w:val="17"/>
        <w:rPr>
          <w:color w:val="auto"/>
          <w:highlight w:val="none"/>
        </w:rPr>
      </w:pPr>
    </w:p>
    <w:p>
      <w:pPr>
        <w:pStyle w:val="38"/>
        <w:spacing w:line="480" w:lineRule="auto"/>
        <w:jc w:val="both"/>
        <w:rPr>
          <w:rFonts w:hAnsi="宋体"/>
          <w:color w:val="auto"/>
          <w:highlight w:val="none"/>
        </w:rPr>
      </w:pPr>
      <w:r>
        <w:rPr>
          <w:rFonts w:hint="eastAsia" w:hAnsi="宋体"/>
          <w:color w:val="auto"/>
          <w:highlight w:val="none"/>
        </w:rPr>
        <w:t>致：</w:t>
      </w:r>
      <w:r>
        <w:rPr>
          <w:rFonts w:hint="eastAsia" w:hAnsi="宋体"/>
          <w:color w:val="auto"/>
          <w:highlight w:val="none"/>
          <w:u w:val="single"/>
        </w:rPr>
        <w:t>重庆首讯科技股份有限公司</w:t>
      </w:r>
    </w:p>
    <w:p>
      <w:pPr>
        <w:rPr>
          <w:color w:val="auto"/>
          <w:highlight w:val="none"/>
        </w:rPr>
      </w:pPr>
    </w:p>
    <w:p>
      <w:pPr>
        <w:tabs>
          <w:tab w:val="left" w:pos="1680"/>
          <w:tab w:val="left" w:pos="4215"/>
          <w:tab w:val="left" w:pos="4305"/>
          <w:tab w:val="left" w:pos="8000"/>
        </w:tabs>
        <w:autoSpaceDE w:val="0"/>
        <w:autoSpaceDN w:val="0"/>
        <w:adjustRightInd w:val="0"/>
        <w:snapToGrid w:val="0"/>
        <w:spacing w:line="480" w:lineRule="auto"/>
        <w:ind w:firstLine="720" w:firstLineChars="300"/>
        <w:rPr>
          <w:rFonts w:hint="eastAsia" w:ascii="宋体" w:hAnsi="宋体"/>
          <w:color w:val="auto"/>
          <w:sz w:val="24"/>
          <w:highlight w:val="none"/>
        </w:rPr>
      </w:pPr>
      <w:r>
        <w:rPr>
          <w:rFonts w:hint="eastAsia" w:ascii="宋体" w:hAnsi="宋体"/>
          <w:color w:val="auto"/>
          <w:sz w:val="24"/>
          <w:highlight w:val="none"/>
        </w:rPr>
        <w:t>在研究</w:t>
      </w:r>
      <w:r>
        <w:rPr>
          <w:rFonts w:hint="eastAsia" w:ascii="Arial" w:hAnsi="Arial" w:cs="Arial"/>
          <w:color w:val="auto"/>
          <w:sz w:val="24"/>
          <w:highlight w:val="none"/>
          <w:u w:val="single"/>
          <w:lang w:val="en-US" w:eastAsia="zh-CN"/>
        </w:rPr>
        <w:t xml:space="preserve">            （项目名称）</w:t>
      </w:r>
      <w:r>
        <w:rPr>
          <w:rFonts w:hint="eastAsia" w:ascii="Arial" w:hAnsi="Arial" w:cs="Arial"/>
          <w:color w:val="auto"/>
          <w:sz w:val="24"/>
          <w:highlight w:val="none"/>
        </w:rPr>
        <w:t>项目</w:t>
      </w:r>
      <w:r>
        <w:rPr>
          <w:rFonts w:hint="eastAsia" w:ascii="宋体" w:hAnsi="宋体"/>
          <w:color w:val="auto"/>
          <w:sz w:val="24"/>
          <w:highlight w:val="none"/>
        </w:rPr>
        <w:t>竞争比选文件后，在此郑重承诺我司满足本项目一切报价内容、报价、服务期限及质量标准等相关要求，响应比选函的一切内容，同时申明将按照自行给出的商务、技术方案组建服务团队、履行服务义务。若我司中标本项目且无法满足业主相关需求，我司愿承担由此给采购人造成的一切损失。</w:t>
      </w:r>
    </w:p>
    <w:p>
      <w:pPr>
        <w:tabs>
          <w:tab w:val="left" w:pos="1680"/>
          <w:tab w:val="left" w:pos="4215"/>
          <w:tab w:val="left" w:pos="4305"/>
          <w:tab w:val="left" w:pos="8000"/>
        </w:tabs>
        <w:autoSpaceDE w:val="0"/>
        <w:autoSpaceDN w:val="0"/>
        <w:adjustRightInd w:val="0"/>
        <w:snapToGrid w:val="0"/>
        <w:spacing w:line="480" w:lineRule="auto"/>
        <w:ind w:firstLine="480" w:firstLineChars="200"/>
        <w:rPr>
          <w:rFonts w:hint="eastAsia" w:ascii="宋体" w:hAnsi="宋体"/>
          <w:color w:val="auto"/>
          <w:szCs w:val="21"/>
          <w:highlight w:val="none"/>
        </w:rPr>
      </w:pPr>
      <w:r>
        <w:rPr>
          <w:rFonts w:hint="eastAsia" w:ascii="宋体" w:hAnsi="宋体"/>
          <w:color w:val="auto"/>
          <w:sz w:val="24"/>
          <w:highlight w:val="none"/>
          <w:lang w:val="en-US" w:eastAsia="zh-CN"/>
        </w:rPr>
        <w:t>我公司</w:t>
      </w:r>
      <w:r>
        <w:rPr>
          <w:rFonts w:hint="eastAsia" w:ascii="宋体" w:hAnsi="宋体"/>
          <w:color w:val="auto"/>
          <w:sz w:val="24"/>
          <w:highlight w:val="none"/>
        </w:rPr>
        <w:t>在此承诺</w:t>
      </w:r>
      <w:r>
        <w:rPr>
          <w:rFonts w:hint="eastAsia" w:ascii="宋体" w:hAnsi="宋体"/>
          <w:color w:val="auto"/>
          <w:sz w:val="24"/>
          <w:highlight w:val="none"/>
          <w:lang w:eastAsia="zh-CN"/>
        </w:rPr>
        <w:t>：</w:t>
      </w:r>
      <w:r>
        <w:rPr>
          <w:rFonts w:hint="eastAsia" w:ascii="宋体" w:hAnsi="宋体"/>
          <w:color w:val="auto"/>
          <w:sz w:val="24"/>
          <w:highlight w:val="none"/>
        </w:rPr>
        <w:t>我公司具有良好的商业信誉，在国家企业信用信息公示系统（http://www.gsxt.gov.cn/）中未被列入严重违法失信企业名单（黑名单）信息；在“信用中国”网站（http://www.creditchina.gov.cn/）中未被列入严重失信主体名单。</w:t>
      </w:r>
    </w:p>
    <w:p>
      <w:pPr>
        <w:pStyle w:val="17"/>
        <w:spacing w:line="480" w:lineRule="auto"/>
        <w:rPr>
          <w:rFonts w:ascii="宋体" w:hAnsi="宋体"/>
          <w:color w:val="auto"/>
          <w:sz w:val="24"/>
          <w:highlight w:val="none"/>
        </w:rPr>
      </w:pPr>
    </w:p>
    <w:p>
      <w:pPr>
        <w:spacing w:line="480" w:lineRule="auto"/>
        <w:rPr>
          <w:rFonts w:ascii="宋体" w:hAnsi="宋体"/>
          <w:color w:val="auto"/>
          <w:sz w:val="24"/>
          <w:highlight w:val="none"/>
        </w:rPr>
      </w:pPr>
    </w:p>
    <w:p>
      <w:pPr>
        <w:pStyle w:val="17"/>
        <w:spacing w:line="480" w:lineRule="auto"/>
        <w:rPr>
          <w:rFonts w:ascii="宋体" w:hAnsi="宋体"/>
          <w:color w:val="auto"/>
          <w:sz w:val="24"/>
          <w:highlight w:val="none"/>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pPr>
        <w:tabs>
          <w:tab w:val="left" w:pos="7140"/>
          <w:tab w:val="left" w:pos="7560"/>
          <w:tab w:val="left" w:pos="8300"/>
        </w:tabs>
        <w:autoSpaceDE w:val="0"/>
        <w:autoSpaceDN w:val="0"/>
        <w:adjustRightInd w:val="0"/>
        <w:spacing w:line="360" w:lineRule="auto"/>
        <w:ind w:left="4620" w:leftChars="2200" w:right="210" w:firstLine="277" w:firstLineChars="132"/>
        <w:rPr>
          <w:rFonts w:ascii="宋体" w:hAnsi="宋体"/>
          <w:b w:val="0"/>
          <w:bCs w:val="0"/>
          <w:snapToGrid w:val="0"/>
          <w:color w:val="auto"/>
          <w:kern w:val="0"/>
          <w:szCs w:val="21"/>
          <w:highlight w:val="none"/>
        </w:rPr>
      </w:pPr>
      <w:r>
        <w:rPr>
          <w:rFonts w:hint="eastAsia" w:ascii="宋体" w:hAnsi="宋体"/>
          <w:b w:val="0"/>
          <w:bCs w:val="0"/>
          <w:snapToGrid w:val="0"/>
          <w:color w:val="auto"/>
          <w:kern w:val="0"/>
          <w:szCs w:val="21"/>
          <w:highlight w:val="none"/>
          <w:lang w:val="en-US" w:eastAsia="zh-CN"/>
        </w:rPr>
        <w:t>承诺</w:t>
      </w:r>
      <w:r>
        <w:rPr>
          <w:rFonts w:ascii="宋体" w:hAnsi="宋体"/>
          <w:b w:val="0"/>
          <w:bCs w:val="0"/>
          <w:snapToGrid w:val="0"/>
          <w:color w:val="auto"/>
          <w:kern w:val="0"/>
          <w:szCs w:val="21"/>
          <w:highlight w:val="none"/>
        </w:rPr>
        <w:t>人：</w:t>
      </w:r>
      <w:r>
        <w:rPr>
          <w:rFonts w:ascii="宋体" w:hAnsi="宋体"/>
          <w:b w:val="0"/>
          <w:bCs w:val="0"/>
          <w:snapToGrid w:val="0"/>
          <w:color w:val="auto"/>
          <w:kern w:val="0"/>
          <w:szCs w:val="21"/>
          <w:highlight w:val="none"/>
          <w:u w:val="single"/>
        </w:rPr>
        <w:t xml:space="preserve">    </w:t>
      </w:r>
      <w:r>
        <w:rPr>
          <w:rFonts w:hint="eastAsia" w:ascii="宋体" w:hAnsi="宋体"/>
          <w:b w:val="0"/>
          <w:bCs w:val="0"/>
          <w:snapToGrid w:val="0"/>
          <w:color w:val="auto"/>
          <w:kern w:val="0"/>
          <w:szCs w:val="21"/>
          <w:highlight w:val="none"/>
          <w:u w:val="single"/>
        </w:rPr>
        <w:t xml:space="preserve">    </w:t>
      </w:r>
      <w:r>
        <w:rPr>
          <w:rFonts w:ascii="宋体" w:hAnsi="宋体"/>
          <w:b w:val="0"/>
          <w:bCs w:val="0"/>
          <w:snapToGrid w:val="0"/>
          <w:color w:val="auto"/>
          <w:kern w:val="0"/>
          <w:szCs w:val="21"/>
          <w:highlight w:val="none"/>
          <w:u w:val="single"/>
        </w:rPr>
        <w:t xml:space="preserve">  </w:t>
      </w:r>
      <w:r>
        <w:rPr>
          <w:rFonts w:ascii="宋体" w:hAnsi="宋体"/>
          <w:b w:val="0"/>
          <w:bCs w:val="0"/>
          <w:snapToGrid w:val="0"/>
          <w:color w:val="auto"/>
          <w:kern w:val="0"/>
          <w:szCs w:val="21"/>
          <w:highlight w:val="none"/>
        </w:rPr>
        <w:t>（盖单位</w:t>
      </w:r>
      <w:r>
        <w:rPr>
          <w:rFonts w:hint="eastAsia" w:ascii="宋体" w:hAnsi="宋体"/>
          <w:b w:val="0"/>
          <w:bCs w:val="0"/>
          <w:snapToGrid w:val="0"/>
          <w:color w:val="auto"/>
          <w:kern w:val="0"/>
          <w:szCs w:val="21"/>
          <w:highlight w:val="none"/>
          <w:lang w:val="en-US" w:eastAsia="zh-CN"/>
        </w:rPr>
        <w:t>公</w:t>
      </w:r>
      <w:r>
        <w:rPr>
          <w:rFonts w:ascii="宋体" w:hAnsi="宋体"/>
          <w:b w:val="0"/>
          <w:bCs w:val="0"/>
          <w:snapToGrid w:val="0"/>
          <w:color w:val="auto"/>
          <w:kern w:val="0"/>
          <w:szCs w:val="21"/>
          <w:highlight w:val="none"/>
        </w:rPr>
        <w:t xml:space="preserve">章） </w:t>
      </w:r>
    </w:p>
    <w:p>
      <w:pPr>
        <w:jc w:val="right"/>
        <w:rPr>
          <w:rFonts w:hint="eastAsia"/>
          <w:b w:val="0"/>
          <w:bCs w:val="0"/>
          <w:color w:val="auto"/>
          <w:highlight w:val="none"/>
          <w:lang w:val="en-US" w:eastAsia="zh-CN"/>
        </w:rPr>
      </w:pPr>
    </w:p>
    <w:p>
      <w:pPr>
        <w:jc w:val="right"/>
        <w:rPr>
          <w:rFonts w:hint="eastAsia"/>
          <w:b w:val="0"/>
          <w:bCs w:val="0"/>
          <w:color w:val="auto"/>
          <w:highlight w:val="none"/>
          <w:lang w:val="en-US" w:eastAsia="zh-CN"/>
        </w:rPr>
      </w:pPr>
    </w:p>
    <w:p>
      <w:pPr>
        <w:jc w:val="center"/>
        <w:rPr>
          <w:rFonts w:hint="eastAsia" w:ascii="宋体" w:hAnsi="宋体"/>
          <w:b/>
          <w:bCs/>
          <w:color w:val="auto"/>
          <w:kern w:val="0"/>
          <w:szCs w:val="21"/>
          <w:highlight w:val="none"/>
        </w:rPr>
      </w:pPr>
      <w:r>
        <w:rPr>
          <w:rFonts w:hint="eastAsia"/>
          <w:b w:val="0"/>
          <w:bCs w:val="0"/>
          <w:color w:val="auto"/>
          <w:highlight w:val="none"/>
          <w:lang w:val="en-US" w:eastAsia="zh-CN"/>
        </w:rPr>
        <w:t xml:space="preserve">                                                 日期：</w:t>
      </w:r>
      <w:r>
        <w:rPr>
          <w:rFonts w:hint="eastAsia"/>
          <w:b w:val="0"/>
          <w:bCs w:val="0"/>
          <w:color w:val="auto"/>
          <w:highlight w:val="none"/>
          <w:u w:val="single"/>
          <w:lang w:val="en-US" w:eastAsia="zh-CN"/>
        </w:rPr>
        <w:t xml:space="preserve">    </w:t>
      </w:r>
      <w:r>
        <w:rPr>
          <w:rFonts w:hint="eastAsia"/>
          <w:b w:val="0"/>
          <w:bCs w:val="0"/>
          <w:color w:val="auto"/>
          <w:highlight w:val="none"/>
          <w:u w:val="none"/>
          <w:lang w:val="en-US" w:eastAsia="zh-CN"/>
        </w:rPr>
        <w:t>年</w:t>
      </w:r>
      <w:r>
        <w:rPr>
          <w:rFonts w:hint="eastAsia"/>
          <w:b w:val="0"/>
          <w:bCs w:val="0"/>
          <w:color w:val="auto"/>
          <w:highlight w:val="none"/>
          <w:u w:val="single"/>
          <w:lang w:val="en-US" w:eastAsia="zh-CN"/>
        </w:rPr>
        <w:t xml:space="preserve">   </w:t>
      </w:r>
      <w:r>
        <w:rPr>
          <w:rFonts w:hint="eastAsia"/>
          <w:b w:val="0"/>
          <w:bCs w:val="0"/>
          <w:color w:val="auto"/>
          <w:highlight w:val="none"/>
          <w:u w:val="none"/>
          <w:lang w:val="en-US" w:eastAsia="zh-CN"/>
        </w:rPr>
        <w:t>月</w:t>
      </w:r>
      <w:r>
        <w:rPr>
          <w:rFonts w:hint="eastAsia"/>
          <w:b w:val="0"/>
          <w:bCs w:val="0"/>
          <w:color w:val="auto"/>
          <w:highlight w:val="none"/>
          <w:u w:val="single"/>
          <w:lang w:val="en-US" w:eastAsia="zh-CN"/>
        </w:rPr>
        <w:t xml:space="preserve">   </w:t>
      </w:r>
      <w:r>
        <w:rPr>
          <w:rFonts w:hint="eastAsia"/>
          <w:b w:val="0"/>
          <w:bCs w:val="0"/>
          <w:color w:val="auto"/>
          <w:highlight w:val="none"/>
          <w:u w:val="none"/>
          <w:lang w:val="en-US" w:eastAsia="zh-CN"/>
        </w:rPr>
        <w:t>日</w:t>
      </w:r>
    </w:p>
    <w:p>
      <w:pPr>
        <w:rPr>
          <w:rFonts w:hint="eastAsia" w:ascii="宋体" w:hAnsi="宋体"/>
          <w:b w:val="0"/>
          <w:bCs w:val="0"/>
          <w:color w:val="auto"/>
          <w:sz w:val="24"/>
          <w:highlight w:val="none"/>
        </w:rPr>
      </w:pPr>
      <w:r>
        <w:rPr>
          <w:rFonts w:hint="eastAsia" w:ascii="宋体" w:hAnsi="宋体"/>
          <w:b w:val="0"/>
          <w:bCs w:val="0"/>
          <w:color w:val="auto"/>
          <w:sz w:val="24"/>
          <w:highlight w:val="none"/>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52" w:name="_Toc22750"/>
      <w:r>
        <w:rPr>
          <w:rFonts w:hint="eastAsia" w:ascii="宋体" w:hAnsi="宋体" w:eastAsia="宋体" w:cs="宋体"/>
          <w:b/>
          <w:bCs/>
          <w:color w:val="auto"/>
          <w:kern w:val="0"/>
          <w:sz w:val="28"/>
          <w:szCs w:val="32"/>
          <w:highlight w:val="none"/>
          <w:lang w:val="en-US" w:eastAsia="zh-CN" w:bidi="ar-SA"/>
        </w:rPr>
        <w:t>六、报价人其他资料</w:t>
      </w:r>
      <w:bookmarkEnd w:id="252"/>
    </w:p>
    <w:p>
      <w:pPr>
        <w:pStyle w:val="17"/>
        <w:rPr>
          <w:rFonts w:ascii="宋体" w:hAnsi="宋体"/>
          <w:color w:val="auto"/>
          <w:sz w:val="24"/>
          <w:highlight w:val="none"/>
        </w:rPr>
      </w:pPr>
    </w:p>
    <w:p>
      <w:pPr>
        <w:rPr>
          <w:rFonts w:ascii="宋体" w:hAnsi="宋体"/>
          <w:color w:val="auto"/>
          <w:sz w:val="24"/>
          <w:highlight w:val="none"/>
        </w:rPr>
      </w:pPr>
    </w:p>
    <w:p>
      <w:pPr>
        <w:pStyle w:val="5"/>
        <w:spacing w:before="0" w:after="0" w:line="360" w:lineRule="auto"/>
        <w:jc w:val="center"/>
        <w:rPr>
          <w:color w:val="auto"/>
          <w:sz w:val="28"/>
          <w:szCs w:val="28"/>
          <w:highlight w:val="none"/>
        </w:rPr>
      </w:pPr>
      <w:bookmarkStart w:id="253" w:name="_Toc452107137"/>
      <w:bookmarkStart w:id="254" w:name="_Toc508110857"/>
      <w:bookmarkStart w:id="255" w:name="_Toc4375"/>
      <w:r>
        <w:rPr>
          <w:rFonts w:hint="eastAsia"/>
          <w:color w:val="auto"/>
          <w:sz w:val="28"/>
          <w:szCs w:val="28"/>
          <w:highlight w:val="none"/>
        </w:rPr>
        <w:t>（一）报价人基本信息表</w:t>
      </w:r>
      <w:bookmarkEnd w:id="253"/>
      <w:bookmarkEnd w:id="254"/>
      <w:bookmarkEnd w:id="255"/>
    </w:p>
    <w:p>
      <w:pPr>
        <w:pStyle w:val="27"/>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bl>
    <w:p>
      <w:pPr>
        <w:pStyle w:val="17"/>
        <w:rPr>
          <w:rFonts w:hint="eastAsia" w:ascii="宋体" w:hAnsi="宋体" w:cs="宋体"/>
          <w:color w:val="auto"/>
          <w:sz w:val="28"/>
          <w:highlight w:val="none"/>
          <w:lang w:eastAsia="zh-CN"/>
        </w:rPr>
      </w:pPr>
    </w:p>
    <w:p>
      <w:pPr>
        <w:pStyle w:val="17"/>
        <w:rPr>
          <w:rFonts w:hint="eastAsia" w:ascii="宋体" w:hAnsi="宋体" w:cs="宋体"/>
          <w:color w:val="auto"/>
          <w:sz w:val="28"/>
          <w:highlight w:val="none"/>
          <w:lang w:eastAsia="zh-CN"/>
        </w:rPr>
      </w:pPr>
    </w:p>
    <w:p>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pPr>
        <w:rPr>
          <w:color w:val="auto"/>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pPr>
        <w:tabs>
          <w:tab w:val="left" w:pos="7140"/>
          <w:tab w:val="left" w:pos="7560"/>
          <w:tab w:val="left" w:pos="8300"/>
        </w:tabs>
        <w:autoSpaceDE w:val="0"/>
        <w:autoSpaceDN w:val="0"/>
        <w:adjustRightInd w:val="0"/>
        <w:ind w:firstLine="420" w:firstLineChars="200"/>
        <w:jc w:val="right"/>
        <w:rPr>
          <w:rFonts w:hint="eastAsia" w:ascii="宋体" w:hAnsi="宋体"/>
          <w:snapToGrid w:val="0"/>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lang w:val="en-US" w:eastAsia="zh-CN"/>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pPr>
        <w:jc w:val="right"/>
        <w:rPr>
          <w:rFonts w:hint="eastAsia" w:ascii="宋体" w:hAnsi="宋体"/>
          <w:color w:val="auto"/>
          <w:kern w:val="0"/>
          <w:szCs w:val="21"/>
          <w:highlight w:val="none"/>
          <w:u w:val="single"/>
        </w:rPr>
      </w:pPr>
    </w:p>
    <w:p>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rFonts w:hint="eastAsia"/>
          <w:color w:val="auto"/>
          <w:highlight w:val="none"/>
        </w:rPr>
      </w:pPr>
    </w:p>
    <w:p>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pPr>
        <w:pStyle w:val="17"/>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三</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pPr>
        <w:pStyle w:val="17"/>
        <w:rPr>
          <w:rFonts w:ascii="宋体" w:hAnsi="宋体"/>
          <w:color w:val="auto"/>
          <w:sz w:val="24"/>
          <w:highlight w:val="none"/>
        </w:rPr>
      </w:pPr>
    </w:p>
    <w:p>
      <w:pPr>
        <w:pStyle w:val="17"/>
        <w:rPr>
          <w:color w:val="auto"/>
          <w:highlight w:val="none"/>
        </w:rPr>
      </w:pPr>
    </w:p>
    <w:p>
      <w:pPr>
        <w:rPr>
          <w:rFonts w:ascii="宋体" w:hAnsi="宋体" w:cs="宋体"/>
          <w:color w:val="auto"/>
          <w:sz w:val="28"/>
          <w:highlight w:val="none"/>
        </w:rPr>
      </w:pPr>
    </w:p>
    <w:bookmarkEnd w:id="249"/>
    <w:bookmarkEnd w:id="250"/>
    <w:p>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仿宋_GB2312">
    <w:altName w:val="汉仪仿宋KW"/>
    <w:panose1 w:val="02000000000000000000"/>
    <w:charset w:val="86"/>
    <w:family w:val="auto"/>
    <w:pitch w:val="default"/>
    <w:sig w:usb0="00000000" w:usb1="00000000" w:usb2="00000012" w:usb3="00000000" w:csb0="00040001" w:csb1="00000000"/>
  </w:font>
  <w:font w:name="微软雅黑">
    <w:altName w:val="汉仪旗黑KW 55S"/>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ingLiU-ExtB">
    <w:altName w:val="汉仪中等线KW"/>
    <w:panose1 w:val="02020500000000000000"/>
    <w:charset w:val="88"/>
    <w:family w:val="auto"/>
    <w:pitch w:val="default"/>
    <w:sig w:usb0="00000000" w:usb1="00000000" w:usb2="00000000" w:usb3="00000000" w:csb0="00100001" w:csb1="00000000"/>
  </w:font>
  <w:font w:name="Calibri Light">
    <w:altName w:val="Arial"/>
    <w:panose1 w:val="020F0302020204030204"/>
    <w:charset w:val="00"/>
    <w:family w:val="swiss"/>
    <w:pitch w:val="default"/>
    <w:sig w:usb0="00000000" w:usb1="00000000" w:usb2="00000009" w:usb3="00000000" w:csb0="200001FF" w:csb1="00000000"/>
  </w:font>
  <w:font w:name="华文细黑">
    <w:altName w:val="Noto Serif CJK SC"/>
    <w:panose1 w:val="02010600040101010101"/>
    <w:charset w:val="86"/>
    <w:family w:val="auto"/>
    <w:pitch w:val="default"/>
    <w:sig w:usb0="00000000" w:usb1="00000000" w:usb2="00000000" w:usb3="00000000" w:csb0="0004009F" w:csb1="DFD70000"/>
  </w:font>
  <w:font w:name="新宋体">
    <w:altName w:val="汉仪书宋二KW"/>
    <w:panose1 w:val="02010609030101010101"/>
    <w:charset w:val="86"/>
    <w:family w:val="modern"/>
    <w:pitch w:val="default"/>
    <w:sig w:usb0="00000000" w:usb1="00000000" w:usb2="00000006" w:usb3="00000000" w:csb0="00040001" w:csb1="00000000"/>
  </w:font>
  <w:font w:name="Wonder Arial">
    <w:altName w:val="Arial"/>
    <w:panose1 w:val="00000500000000000000"/>
    <w:charset w:val="00"/>
    <w:family w:val="auto"/>
    <w:pitch w:val="default"/>
    <w:sig w:usb0="00000000" w:usb1="00000000" w:usb2="00000000" w:usb3="00000000" w:csb0="00000011" w:csb1="00000000"/>
  </w:font>
  <w:font w:name="方正小标宋_GBK">
    <w:altName w:val="汉仪书宋二KW"/>
    <w:panose1 w:val="02000000000000000000"/>
    <w:charset w:val="86"/>
    <w:family w:val="script"/>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仿宋_GB2312">
    <w:altName w:val="汉仪仿宋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 w:name="Noto Serif CJK SC">
    <w:panose1 w:val="02020400000000000000"/>
    <w:charset w:val="86"/>
    <w:family w:val="auto"/>
    <w:pitch w:val="default"/>
    <w:sig w:usb0="30000083" w:usb1="2BDF3C10" w:usb2="00000016" w:usb3="00000000" w:csb0="602E0107" w:csb1="0000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qXm5CgEAAAUBAAAPAAAAAAAAAAEAIAAAACIAAABkcnMvZG93bnJl&#10;di54bWxQSwECFAAUAAAACACHTuJAY9S8dcsBAACcAwAADgAAAAAAAAABACAAAABZAQAAZHJzL2Uy&#10;b0RvYy54bWxQSwUGAAAAAAYABgBZAQAAlg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qXm5CgEAAAUBAAAPAAAAAAAAAAEAIAAAACIAAABkcnMvZG93bnJl&#10;di54bWxQSwECFAAUAAAACACHTuJAq1OB9csBAACcAwAADgAAAAAAAAABACAAAABZAQAAZHJzL2Uy&#10;b0RvYy54bWxQSwUGAAAAAAYABgBZAQAAlgU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qXm5CgEAAAUBAAAPAAAAAAAAAAEAIAAAACIAAABkcnMvZG93bnJl&#10;di54bWxQSwECFAAUAAAACACHTuJAtENd9csBAACcAwAADgAAAAAAAAABACAAAABZAQAAZHJzL2Uy&#10;b0RvYy54bWxQSwUGAAAAAAYABgBZAQAAlg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16F7"/>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3B0129"/>
    <w:rsid w:val="027A61A2"/>
    <w:rsid w:val="029D41FE"/>
    <w:rsid w:val="02A800C5"/>
    <w:rsid w:val="02C44496"/>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7A1FA9"/>
    <w:rsid w:val="05871A0A"/>
    <w:rsid w:val="05A42E7B"/>
    <w:rsid w:val="05A70EA9"/>
    <w:rsid w:val="05D55D36"/>
    <w:rsid w:val="060C2525"/>
    <w:rsid w:val="062756FD"/>
    <w:rsid w:val="065F7A31"/>
    <w:rsid w:val="066C6238"/>
    <w:rsid w:val="067C53E7"/>
    <w:rsid w:val="06820F5E"/>
    <w:rsid w:val="06951992"/>
    <w:rsid w:val="06AE2ABA"/>
    <w:rsid w:val="06C75DF5"/>
    <w:rsid w:val="06DD02BB"/>
    <w:rsid w:val="06E43F57"/>
    <w:rsid w:val="06E71F51"/>
    <w:rsid w:val="06F965AD"/>
    <w:rsid w:val="07050666"/>
    <w:rsid w:val="071C4DB7"/>
    <w:rsid w:val="07362674"/>
    <w:rsid w:val="073B54B2"/>
    <w:rsid w:val="07537EF9"/>
    <w:rsid w:val="07815EE7"/>
    <w:rsid w:val="08170505"/>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BA5513"/>
    <w:rsid w:val="0AD84BD3"/>
    <w:rsid w:val="0AE941D3"/>
    <w:rsid w:val="0B1061C6"/>
    <w:rsid w:val="0B2B08D5"/>
    <w:rsid w:val="0B6D6042"/>
    <w:rsid w:val="0BA35012"/>
    <w:rsid w:val="0BB825ED"/>
    <w:rsid w:val="0BC0647C"/>
    <w:rsid w:val="0BD7624B"/>
    <w:rsid w:val="0BF26817"/>
    <w:rsid w:val="0C22464A"/>
    <w:rsid w:val="0C2B72AE"/>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197579"/>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8E3402"/>
    <w:rsid w:val="0F90531D"/>
    <w:rsid w:val="0FAD64B5"/>
    <w:rsid w:val="0FB21FD4"/>
    <w:rsid w:val="0FFF5930"/>
    <w:rsid w:val="10A265EF"/>
    <w:rsid w:val="10DF2B28"/>
    <w:rsid w:val="10EC4A0F"/>
    <w:rsid w:val="11156FC6"/>
    <w:rsid w:val="11485B0D"/>
    <w:rsid w:val="114C7209"/>
    <w:rsid w:val="1154158B"/>
    <w:rsid w:val="117076B2"/>
    <w:rsid w:val="119E6579"/>
    <w:rsid w:val="11C55830"/>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377838"/>
    <w:rsid w:val="13511DF6"/>
    <w:rsid w:val="138B4634"/>
    <w:rsid w:val="138F1214"/>
    <w:rsid w:val="13BF412F"/>
    <w:rsid w:val="13D101C7"/>
    <w:rsid w:val="1400440E"/>
    <w:rsid w:val="142669A3"/>
    <w:rsid w:val="143805F9"/>
    <w:rsid w:val="144729D8"/>
    <w:rsid w:val="148E78CB"/>
    <w:rsid w:val="149F4D92"/>
    <w:rsid w:val="14A13E6D"/>
    <w:rsid w:val="14AB614D"/>
    <w:rsid w:val="14B75886"/>
    <w:rsid w:val="14B96C2B"/>
    <w:rsid w:val="15436E45"/>
    <w:rsid w:val="15507C7E"/>
    <w:rsid w:val="15664AEF"/>
    <w:rsid w:val="158E23E1"/>
    <w:rsid w:val="159D7EA6"/>
    <w:rsid w:val="159F1BF9"/>
    <w:rsid w:val="15B71B1D"/>
    <w:rsid w:val="15E63361"/>
    <w:rsid w:val="160B0227"/>
    <w:rsid w:val="16262AA8"/>
    <w:rsid w:val="16864176"/>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6260F"/>
    <w:rsid w:val="1CF83AEA"/>
    <w:rsid w:val="1CF911FC"/>
    <w:rsid w:val="1D6914D5"/>
    <w:rsid w:val="1D7C7A22"/>
    <w:rsid w:val="1D7E09CF"/>
    <w:rsid w:val="1D9F1A69"/>
    <w:rsid w:val="1DC81497"/>
    <w:rsid w:val="1DE41480"/>
    <w:rsid w:val="1E075E82"/>
    <w:rsid w:val="1E2139B7"/>
    <w:rsid w:val="1E6A01BF"/>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B6029B"/>
    <w:rsid w:val="25EB71B7"/>
    <w:rsid w:val="26154215"/>
    <w:rsid w:val="261A0BE6"/>
    <w:rsid w:val="263C7691"/>
    <w:rsid w:val="265E2776"/>
    <w:rsid w:val="26666FDC"/>
    <w:rsid w:val="26AB763C"/>
    <w:rsid w:val="26B267E7"/>
    <w:rsid w:val="26C533C0"/>
    <w:rsid w:val="26F131DC"/>
    <w:rsid w:val="26F65310"/>
    <w:rsid w:val="27052D05"/>
    <w:rsid w:val="27082804"/>
    <w:rsid w:val="270832AE"/>
    <w:rsid w:val="27357F9F"/>
    <w:rsid w:val="27A4553F"/>
    <w:rsid w:val="27D35135"/>
    <w:rsid w:val="27EF1935"/>
    <w:rsid w:val="280A1B7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A0B100E"/>
    <w:rsid w:val="2A0F3808"/>
    <w:rsid w:val="2A194E5D"/>
    <w:rsid w:val="2A21554B"/>
    <w:rsid w:val="2A594BC2"/>
    <w:rsid w:val="2A9F7561"/>
    <w:rsid w:val="2AA90FA0"/>
    <w:rsid w:val="2AB31CE2"/>
    <w:rsid w:val="2AB55266"/>
    <w:rsid w:val="2B487382"/>
    <w:rsid w:val="2B552F60"/>
    <w:rsid w:val="2B7841A6"/>
    <w:rsid w:val="2BB367B9"/>
    <w:rsid w:val="2BC45071"/>
    <w:rsid w:val="2BE97377"/>
    <w:rsid w:val="2C13380B"/>
    <w:rsid w:val="2C184D47"/>
    <w:rsid w:val="2C796A89"/>
    <w:rsid w:val="2CBD3A96"/>
    <w:rsid w:val="2CC74339"/>
    <w:rsid w:val="2CCC23F7"/>
    <w:rsid w:val="2CCE1414"/>
    <w:rsid w:val="2CF93ABF"/>
    <w:rsid w:val="2D1E27A3"/>
    <w:rsid w:val="2D394FF5"/>
    <w:rsid w:val="2D623014"/>
    <w:rsid w:val="2D766528"/>
    <w:rsid w:val="2E165C6D"/>
    <w:rsid w:val="2E6A704D"/>
    <w:rsid w:val="2E782484"/>
    <w:rsid w:val="2E8A6255"/>
    <w:rsid w:val="2F0B1048"/>
    <w:rsid w:val="2F141AAA"/>
    <w:rsid w:val="2F9A6191"/>
    <w:rsid w:val="2FCA4353"/>
    <w:rsid w:val="2FE55D75"/>
    <w:rsid w:val="2FF23F99"/>
    <w:rsid w:val="300A288E"/>
    <w:rsid w:val="30236367"/>
    <w:rsid w:val="30331BC6"/>
    <w:rsid w:val="303E7E03"/>
    <w:rsid w:val="304A182B"/>
    <w:rsid w:val="30700C52"/>
    <w:rsid w:val="30757C00"/>
    <w:rsid w:val="307D5D65"/>
    <w:rsid w:val="30B34CE3"/>
    <w:rsid w:val="30CB1C83"/>
    <w:rsid w:val="30ED2830"/>
    <w:rsid w:val="316B2857"/>
    <w:rsid w:val="31832D29"/>
    <w:rsid w:val="319D5339"/>
    <w:rsid w:val="319F2F47"/>
    <w:rsid w:val="31A974F8"/>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753860"/>
    <w:rsid w:val="34A61339"/>
    <w:rsid w:val="34BE3738"/>
    <w:rsid w:val="34CC3006"/>
    <w:rsid w:val="34F3793E"/>
    <w:rsid w:val="35574E9C"/>
    <w:rsid w:val="35712E34"/>
    <w:rsid w:val="35C10F67"/>
    <w:rsid w:val="35ED793B"/>
    <w:rsid w:val="35F84740"/>
    <w:rsid w:val="36240AB2"/>
    <w:rsid w:val="36383125"/>
    <w:rsid w:val="366C082D"/>
    <w:rsid w:val="368C388A"/>
    <w:rsid w:val="36C90DD1"/>
    <w:rsid w:val="374634AB"/>
    <w:rsid w:val="37704489"/>
    <w:rsid w:val="37710026"/>
    <w:rsid w:val="37925427"/>
    <w:rsid w:val="37A55DCC"/>
    <w:rsid w:val="37C34806"/>
    <w:rsid w:val="37CA04FF"/>
    <w:rsid w:val="37D30771"/>
    <w:rsid w:val="37EC0BB8"/>
    <w:rsid w:val="38995839"/>
    <w:rsid w:val="39265074"/>
    <w:rsid w:val="392B274A"/>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7D419A"/>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F65530"/>
    <w:rsid w:val="3EF9D3F1"/>
    <w:rsid w:val="3F064AE9"/>
    <w:rsid w:val="3F3B0C43"/>
    <w:rsid w:val="3F431BA8"/>
    <w:rsid w:val="3F4C62B0"/>
    <w:rsid w:val="3F7279F0"/>
    <w:rsid w:val="3F9717D1"/>
    <w:rsid w:val="3FB2485B"/>
    <w:rsid w:val="3FDD431D"/>
    <w:rsid w:val="402A34B8"/>
    <w:rsid w:val="40360CD1"/>
    <w:rsid w:val="40361D66"/>
    <w:rsid w:val="406060C3"/>
    <w:rsid w:val="40613E30"/>
    <w:rsid w:val="40736573"/>
    <w:rsid w:val="407D7357"/>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424604A"/>
    <w:rsid w:val="442967DE"/>
    <w:rsid w:val="443F6CBF"/>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4608B5"/>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B305E1B"/>
    <w:rsid w:val="4B5279C2"/>
    <w:rsid w:val="4BB92D8E"/>
    <w:rsid w:val="4BD07B58"/>
    <w:rsid w:val="4BE87BA5"/>
    <w:rsid w:val="4C3176AB"/>
    <w:rsid w:val="4C415DC1"/>
    <w:rsid w:val="4C6E278E"/>
    <w:rsid w:val="4CFF538B"/>
    <w:rsid w:val="4D4D7800"/>
    <w:rsid w:val="4D7251FF"/>
    <w:rsid w:val="4DE50C0B"/>
    <w:rsid w:val="4E11105D"/>
    <w:rsid w:val="4E16225A"/>
    <w:rsid w:val="4E253AB8"/>
    <w:rsid w:val="4E472C92"/>
    <w:rsid w:val="4E4C60DC"/>
    <w:rsid w:val="4E512ECE"/>
    <w:rsid w:val="4E824D97"/>
    <w:rsid w:val="4E9D5C2D"/>
    <w:rsid w:val="4EBA57C1"/>
    <w:rsid w:val="4EEA14D6"/>
    <w:rsid w:val="4F047E0A"/>
    <w:rsid w:val="4F477F24"/>
    <w:rsid w:val="4FA91AAC"/>
    <w:rsid w:val="4FBD0FF5"/>
    <w:rsid w:val="4FC854D7"/>
    <w:rsid w:val="50142DE1"/>
    <w:rsid w:val="5015687B"/>
    <w:rsid w:val="501926CA"/>
    <w:rsid w:val="503109FF"/>
    <w:rsid w:val="505E3D68"/>
    <w:rsid w:val="508F700E"/>
    <w:rsid w:val="50D13748"/>
    <w:rsid w:val="516A440A"/>
    <w:rsid w:val="51BA5A6F"/>
    <w:rsid w:val="51C42E16"/>
    <w:rsid w:val="525351F4"/>
    <w:rsid w:val="525A6FBC"/>
    <w:rsid w:val="526C0997"/>
    <w:rsid w:val="52855A65"/>
    <w:rsid w:val="53272A3D"/>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3C46BA"/>
    <w:rsid w:val="55494082"/>
    <w:rsid w:val="557D5B60"/>
    <w:rsid w:val="55834A19"/>
    <w:rsid w:val="55F27046"/>
    <w:rsid w:val="55F526C6"/>
    <w:rsid w:val="56066DC9"/>
    <w:rsid w:val="564E1228"/>
    <w:rsid w:val="565F7971"/>
    <w:rsid w:val="56A6131D"/>
    <w:rsid w:val="56A82B00"/>
    <w:rsid w:val="56BC5AD0"/>
    <w:rsid w:val="56D00C68"/>
    <w:rsid w:val="57022BD1"/>
    <w:rsid w:val="57212B27"/>
    <w:rsid w:val="572809C2"/>
    <w:rsid w:val="572B7055"/>
    <w:rsid w:val="572F0264"/>
    <w:rsid w:val="57480C4D"/>
    <w:rsid w:val="574C27F3"/>
    <w:rsid w:val="576F5440"/>
    <w:rsid w:val="57895A45"/>
    <w:rsid w:val="57C5313B"/>
    <w:rsid w:val="57D807D4"/>
    <w:rsid w:val="57EA7969"/>
    <w:rsid w:val="57F740F4"/>
    <w:rsid w:val="57FA3D86"/>
    <w:rsid w:val="58263B5F"/>
    <w:rsid w:val="58316065"/>
    <w:rsid w:val="58750691"/>
    <w:rsid w:val="58AB575D"/>
    <w:rsid w:val="58BC728D"/>
    <w:rsid w:val="58DD0763"/>
    <w:rsid w:val="59445F91"/>
    <w:rsid w:val="59815208"/>
    <w:rsid w:val="59F001A4"/>
    <w:rsid w:val="5A1E2DE7"/>
    <w:rsid w:val="5A20427A"/>
    <w:rsid w:val="5A345CFC"/>
    <w:rsid w:val="5A395FB6"/>
    <w:rsid w:val="5A436A2D"/>
    <w:rsid w:val="5AEB4FF2"/>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CF93D1F"/>
    <w:rsid w:val="5D017C51"/>
    <w:rsid w:val="5D4165A3"/>
    <w:rsid w:val="5D463591"/>
    <w:rsid w:val="5D4F2A78"/>
    <w:rsid w:val="5D5A5DCC"/>
    <w:rsid w:val="5D792AE4"/>
    <w:rsid w:val="5DC25C67"/>
    <w:rsid w:val="5DD97571"/>
    <w:rsid w:val="5E2F58D3"/>
    <w:rsid w:val="5E5A06FD"/>
    <w:rsid w:val="5E9342EC"/>
    <w:rsid w:val="5EA27CF7"/>
    <w:rsid w:val="5EBC3C1E"/>
    <w:rsid w:val="5F3815EE"/>
    <w:rsid w:val="5F5C32D6"/>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10E2B4C"/>
    <w:rsid w:val="61561E7C"/>
    <w:rsid w:val="619945D7"/>
    <w:rsid w:val="61C24BFD"/>
    <w:rsid w:val="61DE43D4"/>
    <w:rsid w:val="61E06967"/>
    <w:rsid w:val="61ED083B"/>
    <w:rsid w:val="621F1FA5"/>
    <w:rsid w:val="624216A0"/>
    <w:rsid w:val="624D3C1F"/>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08422E"/>
    <w:rsid w:val="665622BC"/>
    <w:rsid w:val="6660772E"/>
    <w:rsid w:val="66653739"/>
    <w:rsid w:val="666C4EE6"/>
    <w:rsid w:val="66792487"/>
    <w:rsid w:val="66FB0FDC"/>
    <w:rsid w:val="66FC5AFF"/>
    <w:rsid w:val="6709462E"/>
    <w:rsid w:val="6777196F"/>
    <w:rsid w:val="678A1ED0"/>
    <w:rsid w:val="67A00912"/>
    <w:rsid w:val="67AB61F8"/>
    <w:rsid w:val="67BA7741"/>
    <w:rsid w:val="67BD2A93"/>
    <w:rsid w:val="67E6170C"/>
    <w:rsid w:val="680D0CA5"/>
    <w:rsid w:val="68A45648"/>
    <w:rsid w:val="68A5668C"/>
    <w:rsid w:val="68B20836"/>
    <w:rsid w:val="68D27297"/>
    <w:rsid w:val="6911241F"/>
    <w:rsid w:val="69B139C4"/>
    <w:rsid w:val="69B67115"/>
    <w:rsid w:val="69B82DF4"/>
    <w:rsid w:val="69EE20B7"/>
    <w:rsid w:val="69EF53B4"/>
    <w:rsid w:val="6A126DD2"/>
    <w:rsid w:val="6A420E56"/>
    <w:rsid w:val="6A924E32"/>
    <w:rsid w:val="6A94008C"/>
    <w:rsid w:val="6AC635A8"/>
    <w:rsid w:val="6AE60947"/>
    <w:rsid w:val="6AEF6EB8"/>
    <w:rsid w:val="6B0B374F"/>
    <w:rsid w:val="6B0E6D92"/>
    <w:rsid w:val="6B17074E"/>
    <w:rsid w:val="6B1F0CCB"/>
    <w:rsid w:val="6B265CE7"/>
    <w:rsid w:val="6B6234E5"/>
    <w:rsid w:val="6BBD11F5"/>
    <w:rsid w:val="6BCE1834"/>
    <w:rsid w:val="6BD12800"/>
    <w:rsid w:val="6C022DB1"/>
    <w:rsid w:val="6C5E02FC"/>
    <w:rsid w:val="6C721812"/>
    <w:rsid w:val="6C8B0F52"/>
    <w:rsid w:val="6CDD0DD0"/>
    <w:rsid w:val="6CFA7DB1"/>
    <w:rsid w:val="6CFC61C8"/>
    <w:rsid w:val="6D0127E4"/>
    <w:rsid w:val="6D0333AE"/>
    <w:rsid w:val="6D135E16"/>
    <w:rsid w:val="6D1C168A"/>
    <w:rsid w:val="6D347A31"/>
    <w:rsid w:val="6D3668DD"/>
    <w:rsid w:val="6D471CAB"/>
    <w:rsid w:val="6DAC0977"/>
    <w:rsid w:val="6DB941BD"/>
    <w:rsid w:val="6DC60F63"/>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0A66D9"/>
    <w:rsid w:val="70100CA2"/>
    <w:rsid w:val="70393572"/>
    <w:rsid w:val="707A7026"/>
    <w:rsid w:val="70A24D48"/>
    <w:rsid w:val="70BA64EF"/>
    <w:rsid w:val="70C900DF"/>
    <w:rsid w:val="70F80524"/>
    <w:rsid w:val="710A2419"/>
    <w:rsid w:val="71326D32"/>
    <w:rsid w:val="714C2CD0"/>
    <w:rsid w:val="715A596A"/>
    <w:rsid w:val="717C247D"/>
    <w:rsid w:val="717F26E4"/>
    <w:rsid w:val="71816B8E"/>
    <w:rsid w:val="71832D29"/>
    <w:rsid w:val="71907818"/>
    <w:rsid w:val="71B252F9"/>
    <w:rsid w:val="71BE777B"/>
    <w:rsid w:val="71E95916"/>
    <w:rsid w:val="7203413E"/>
    <w:rsid w:val="723914F7"/>
    <w:rsid w:val="7250588C"/>
    <w:rsid w:val="726F5278"/>
    <w:rsid w:val="727E786A"/>
    <w:rsid w:val="72887FD4"/>
    <w:rsid w:val="72BD0544"/>
    <w:rsid w:val="72C0472D"/>
    <w:rsid w:val="72D11D5C"/>
    <w:rsid w:val="72E85DAD"/>
    <w:rsid w:val="732303D9"/>
    <w:rsid w:val="73532CC9"/>
    <w:rsid w:val="73B01775"/>
    <w:rsid w:val="73D37E0A"/>
    <w:rsid w:val="73D73D11"/>
    <w:rsid w:val="73D937EE"/>
    <w:rsid w:val="744975DD"/>
    <w:rsid w:val="746920A5"/>
    <w:rsid w:val="74CB1EDB"/>
    <w:rsid w:val="74DE73F5"/>
    <w:rsid w:val="751E77AF"/>
    <w:rsid w:val="75D07F8B"/>
    <w:rsid w:val="75EE5669"/>
    <w:rsid w:val="76957051"/>
    <w:rsid w:val="76BD4232"/>
    <w:rsid w:val="76C10199"/>
    <w:rsid w:val="76C57BCB"/>
    <w:rsid w:val="76F927CD"/>
    <w:rsid w:val="773B2934"/>
    <w:rsid w:val="773E064E"/>
    <w:rsid w:val="774E1211"/>
    <w:rsid w:val="77585379"/>
    <w:rsid w:val="777B71D8"/>
    <w:rsid w:val="77A54D53"/>
    <w:rsid w:val="77D75F2B"/>
    <w:rsid w:val="77FC6767"/>
    <w:rsid w:val="781A0BEC"/>
    <w:rsid w:val="78202415"/>
    <w:rsid w:val="78213FC9"/>
    <w:rsid w:val="78701D9C"/>
    <w:rsid w:val="789B4D29"/>
    <w:rsid w:val="78FA0671"/>
    <w:rsid w:val="793A634F"/>
    <w:rsid w:val="798635EB"/>
    <w:rsid w:val="79A5750A"/>
    <w:rsid w:val="79C267E9"/>
    <w:rsid w:val="79F301DD"/>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456120"/>
    <w:rsid w:val="7C522F9B"/>
    <w:rsid w:val="7C5728ED"/>
    <w:rsid w:val="7C82779C"/>
    <w:rsid w:val="7C9408F4"/>
    <w:rsid w:val="7CB4634A"/>
    <w:rsid w:val="7CB83597"/>
    <w:rsid w:val="7CB90CC2"/>
    <w:rsid w:val="7CF05083"/>
    <w:rsid w:val="7CFB2CE9"/>
    <w:rsid w:val="7D0C34C4"/>
    <w:rsid w:val="7D212CA5"/>
    <w:rsid w:val="7D255EE2"/>
    <w:rsid w:val="7D293184"/>
    <w:rsid w:val="7D4B3EE6"/>
    <w:rsid w:val="7D6112EF"/>
    <w:rsid w:val="7D68620F"/>
    <w:rsid w:val="7D69777E"/>
    <w:rsid w:val="7D927DC0"/>
    <w:rsid w:val="7D971DB1"/>
    <w:rsid w:val="7DB34706"/>
    <w:rsid w:val="7E1A0A9F"/>
    <w:rsid w:val="7E3C401A"/>
    <w:rsid w:val="7E641213"/>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EDED2B1D"/>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w:basedOn w:val="1"/>
    <w:link w:val="64"/>
    <w:qFormat/>
    <w:uiPriority w:val="0"/>
    <w:pPr>
      <w:spacing w:after="120"/>
    </w:pPr>
    <w:rPr>
      <w:kern w:val="0"/>
      <w:sz w:val="20"/>
    </w:rPr>
  </w:style>
  <w:style w:type="paragraph" w:styleId="18">
    <w:name w:val="Body Text Indent"/>
    <w:basedOn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方正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9"/>
    <w:qFormat/>
    <w:uiPriority w:val="0"/>
    <w:rPr>
      <w:kern w:val="0"/>
      <w:sz w:val="18"/>
      <w:szCs w:val="18"/>
    </w:rPr>
  </w:style>
  <w:style w:type="paragraph" w:styleId="27">
    <w:name w:val="footer"/>
    <w:basedOn w:val="1"/>
    <w:link w:val="93"/>
    <w:qFormat/>
    <w:uiPriority w:val="99"/>
    <w:pPr>
      <w:tabs>
        <w:tab w:val="center" w:pos="4153"/>
        <w:tab w:val="right" w:pos="8306"/>
      </w:tabs>
      <w:snapToGrid w:val="0"/>
      <w:jc w:val="left"/>
    </w:pPr>
    <w:rPr>
      <w:kern w:val="0"/>
      <w:sz w:val="18"/>
      <w:szCs w:val="18"/>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5"/>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5"/>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2"/>
    <w:basedOn w:val="18"/>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ExtB" w:hAnsi="MingLiU-ExtB" w:eastAsia="MingLiU-ExtB" w:cs="MingLiU-ExtB"/>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17"/>
    <w:qFormat/>
    <w:uiPriority w:val="0"/>
    <w:rPr>
      <w:rFonts w:eastAsia="宋体"/>
      <w:szCs w:val="24"/>
    </w:rPr>
  </w:style>
  <w:style w:type="character" w:customStyle="1" w:styleId="65">
    <w:name w:val="脚注文本 字符"/>
    <w:link w:val="31"/>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8"/>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8"/>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6"/>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4"/>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3"/>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7"/>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7"/>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2"/>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ExtB" w:hAnsi="MingLiU-ExtB" w:eastAsia="MingLiU-ExtB"/>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ExtB" w:hAnsi="MingLiU-ExtB" w:eastAsia="MingLiU-ExtB"/>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Wonder Arial" w:hAnsi="Wonder Arial" w:eastAsia="Wonder Arial"/>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方正仿宋_GB2312" w:hAnsi="宋体" w:eastAsia="方正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 w:type="paragraph" w:customStyle="1" w:styleId="169">
    <w:name w:val="_Style 2"/>
    <w:basedOn w:val="1"/>
    <w:unhideWhenUsed/>
    <w:qFormat/>
    <w:uiPriority w:val="34"/>
    <w:pPr>
      <w:spacing w:beforeLines="0" w:afterLines="0"/>
      <w:ind w:firstLine="420" w:firstLineChars="200"/>
    </w:pPr>
    <w:rPr>
      <w:rFonts w:hint="default"/>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42</Pages>
  <Words>8905</Words>
  <Characters>9361</Characters>
  <Lines>116</Lines>
  <Paragraphs>32</Paragraphs>
  <TotalTime>7</TotalTime>
  <ScaleCrop>false</ScaleCrop>
  <LinksUpToDate>false</LinksUpToDate>
  <CharactersWithSpaces>9567</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2020-04-30T00:16:00Z</dcterms:created>
  <dc:creator>陈桂兰</dc:creator>
  <cp:lastModifiedBy>Kevin</cp:lastModifiedBy>
  <cp:lastPrinted>2022-06-07T10:51:00Z</cp:lastPrinted>
  <dcterms:modified xsi:type="dcterms:W3CDTF">2025-04-11T09:46:52Z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CA9229BF7F204DA08DD95BC61990121B</vt:lpwstr>
  </property>
  <property fmtid="{D5CDD505-2E9C-101B-9397-08002B2CF9AE}" pid="4" name="KSOTemplateDocerSaveRecord">
    <vt:lpwstr>eyJoZGlkIjoiNTFiYTlhNmFlMzNlNjk5MWE5YmIyYzY3YzU0OWRmN2QiLCJ1c2VySWQiOiI0Mzk5MTQwNTcifQ==</vt:lpwstr>
  </property>
</Properties>
</file>