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01113">
      <w:pPr>
        <w:spacing w:line="400" w:lineRule="exact"/>
        <w:jc w:val="center"/>
        <w:rPr>
          <w:rFonts w:ascii="宋体" w:hAnsi="宋体" w:cs="宋体"/>
          <w:b/>
          <w:color w:val="auto"/>
          <w:sz w:val="32"/>
          <w:szCs w:val="32"/>
          <w:highlight w:val="none"/>
        </w:rPr>
      </w:pPr>
    </w:p>
    <w:p w14:paraId="14E7FC2D">
      <w:pPr>
        <w:jc w:val="center"/>
        <w:rPr>
          <w:rFonts w:hint="eastAsia" w:ascii="宋体" w:hAnsi="宋体" w:cs="宋体"/>
          <w:b/>
          <w:color w:val="auto"/>
          <w:sz w:val="40"/>
          <w:szCs w:val="40"/>
          <w:highlight w:val="none"/>
          <w:lang w:eastAsia="zh-CN"/>
        </w:rPr>
      </w:pPr>
      <w:r>
        <w:rPr>
          <w:rFonts w:hint="eastAsia" w:ascii="宋体" w:hAnsi="宋体" w:cs="宋体"/>
          <w:b/>
          <w:color w:val="auto"/>
          <w:sz w:val="40"/>
          <w:szCs w:val="40"/>
          <w:highlight w:val="none"/>
        </w:rPr>
        <w:t>项目名称：</w:t>
      </w:r>
      <w:r>
        <w:rPr>
          <w:rFonts w:hint="eastAsia" w:ascii="宋体" w:hAnsi="宋体" w:cs="宋体"/>
          <w:b/>
          <w:color w:val="auto"/>
          <w:sz w:val="40"/>
          <w:szCs w:val="40"/>
          <w:highlight w:val="none"/>
          <w:lang w:eastAsia="zh-CN"/>
        </w:rPr>
        <w:t>首讯公司通信工程施工总承包二级和电力工程施工总承包二级资质申报咨询服务</w:t>
      </w:r>
    </w:p>
    <w:p w14:paraId="76478170">
      <w:pPr>
        <w:jc w:val="center"/>
        <w:rPr>
          <w:rFonts w:ascii="宋体" w:hAnsi="宋体" w:cs="宋体"/>
          <w:b/>
          <w:color w:val="auto"/>
          <w:sz w:val="48"/>
          <w:szCs w:val="48"/>
          <w:highlight w:val="none"/>
        </w:rPr>
      </w:pPr>
    </w:p>
    <w:p w14:paraId="38FF606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31985C6A">
      <w:pPr>
        <w:jc w:val="center"/>
        <w:rPr>
          <w:rFonts w:ascii="宋体" w:hAnsi="宋体" w:cs="宋体"/>
          <w:b/>
          <w:color w:val="auto"/>
          <w:sz w:val="48"/>
          <w:szCs w:val="48"/>
          <w:highlight w:val="none"/>
        </w:rPr>
      </w:pPr>
    </w:p>
    <w:p w14:paraId="080982C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B511704">
      <w:pPr>
        <w:jc w:val="center"/>
        <w:rPr>
          <w:rFonts w:ascii="宋体" w:hAnsi="宋体" w:cs="宋体"/>
          <w:b/>
          <w:color w:val="auto"/>
          <w:sz w:val="48"/>
          <w:szCs w:val="48"/>
          <w:highlight w:val="none"/>
        </w:rPr>
      </w:pPr>
    </w:p>
    <w:p w14:paraId="2B1A75F6">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4EABF554">
      <w:pPr>
        <w:jc w:val="center"/>
        <w:rPr>
          <w:rFonts w:ascii="宋体" w:hAnsi="宋体" w:cs="宋体"/>
          <w:b/>
          <w:color w:val="auto"/>
          <w:sz w:val="48"/>
          <w:szCs w:val="48"/>
          <w:highlight w:val="none"/>
        </w:rPr>
      </w:pPr>
    </w:p>
    <w:p w14:paraId="71B1F15A">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0B1B8168">
      <w:pPr>
        <w:jc w:val="center"/>
        <w:rPr>
          <w:rFonts w:ascii="宋体" w:hAnsi="宋体" w:cs="宋体"/>
          <w:b/>
          <w:color w:val="auto"/>
          <w:sz w:val="48"/>
          <w:szCs w:val="48"/>
          <w:highlight w:val="none"/>
        </w:rPr>
      </w:pPr>
    </w:p>
    <w:p w14:paraId="7474829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2EF2DE0B">
      <w:pPr>
        <w:jc w:val="center"/>
        <w:rPr>
          <w:rFonts w:ascii="宋体" w:hAnsi="宋体" w:cs="宋体"/>
          <w:b/>
          <w:color w:val="auto"/>
          <w:sz w:val="48"/>
          <w:szCs w:val="48"/>
          <w:highlight w:val="none"/>
        </w:rPr>
      </w:pPr>
    </w:p>
    <w:p w14:paraId="5247C08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686BA601">
      <w:pPr>
        <w:jc w:val="center"/>
        <w:rPr>
          <w:rFonts w:ascii="宋体" w:hAnsi="宋体" w:cs="宋体"/>
          <w:b/>
          <w:color w:val="auto"/>
          <w:sz w:val="48"/>
          <w:szCs w:val="48"/>
          <w:highlight w:val="none"/>
        </w:rPr>
      </w:pPr>
    </w:p>
    <w:p w14:paraId="021519C7">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14F2232E">
      <w:pPr>
        <w:spacing w:line="400" w:lineRule="exact"/>
        <w:rPr>
          <w:rFonts w:ascii="宋体" w:hAnsi="宋体" w:cs="宋体"/>
          <w:color w:val="auto"/>
          <w:highlight w:val="none"/>
        </w:rPr>
      </w:pPr>
    </w:p>
    <w:p w14:paraId="2D173240">
      <w:pPr>
        <w:spacing w:line="400" w:lineRule="exact"/>
        <w:rPr>
          <w:rFonts w:ascii="宋体" w:hAnsi="宋体" w:cs="宋体"/>
          <w:color w:val="auto"/>
          <w:highlight w:val="none"/>
        </w:rPr>
      </w:pPr>
    </w:p>
    <w:p w14:paraId="62A7237E">
      <w:pPr>
        <w:spacing w:line="400" w:lineRule="exact"/>
        <w:rPr>
          <w:rFonts w:ascii="宋体" w:hAnsi="宋体" w:cs="宋体"/>
          <w:color w:val="auto"/>
          <w:highlight w:val="none"/>
        </w:rPr>
      </w:pPr>
    </w:p>
    <w:p w14:paraId="25C57890">
      <w:pPr>
        <w:rPr>
          <w:color w:val="auto"/>
          <w:highlight w:val="none"/>
        </w:rPr>
      </w:pPr>
    </w:p>
    <w:p w14:paraId="40FE3ED2">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58EE24F3">
      <w:pPr>
        <w:jc w:val="center"/>
        <w:rPr>
          <w:rFonts w:ascii="宋体" w:hAnsi="宋体" w:cs="宋体"/>
          <w:b/>
          <w:color w:val="auto"/>
          <w:sz w:val="28"/>
          <w:szCs w:val="28"/>
          <w:highlight w:val="none"/>
        </w:rPr>
      </w:pPr>
      <w:r>
        <w:rPr>
          <w:rFonts w:hint="eastAsia" w:ascii="宋体" w:hAnsi="宋体" w:cs="宋体"/>
          <w:b/>
          <w:color w:val="auto"/>
          <w:sz w:val="28"/>
          <w:szCs w:val="28"/>
          <w:highlight w:val="none"/>
          <w:u w:val="single"/>
        </w:rPr>
        <w:t xml:space="preserve"> 202</w:t>
      </w:r>
      <w:r>
        <w:rPr>
          <w:rFonts w:hint="eastAsia" w:ascii="宋体" w:hAnsi="宋体" w:cs="宋体"/>
          <w:b/>
          <w:color w:val="auto"/>
          <w:sz w:val="28"/>
          <w:szCs w:val="28"/>
          <w:highlight w:val="none"/>
          <w:u w:val="single"/>
          <w:lang w:val="en-US" w:eastAsia="zh-CN"/>
        </w:rPr>
        <w:t>5</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年</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u w:val="single"/>
          <w:lang w:val="en-US" w:eastAsia="zh-CN"/>
        </w:rPr>
        <w:t>04</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月</w:t>
      </w:r>
    </w:p>
    <w:p w14:paraId="432BDDC2">
      <w:pPr>
        <w:pStyle w:val="29"/>
        <w:jc w:val="center"/>
        <w:rPr>
          <w:rFonts w:ascii="宋体" w:hAnsi="宋体" w:cs="宋体"/>
          <w:color w:val="auto"/>
          <w:szCs w:val="21"/>
          <w:highlight w:val="none"/>
        </w:rPr>
      </w:pPr>
      <w:r>
        <w:rPr>
          <w:color w:val="auto"/>
          <w:highlight w:val="none"/>
        </w:rPr>
        <w:br w:type="page"/>
      </w:r>
      <w:bookmarkStart w:id="0" w:name="_Toc296602400"/>
      <w:bookmarkStart w:id="1" w:name="_Toc507428442"/>
      <w:bookmarkStart w:id="2" w:name="_Toc507319889"/>
      <w:bookmarkStart w:id="3" w:name="_Toc246996898"/>
      <w:bookmarkStart w:id="4" w:name="_Toc247085669"/>
      <w:r>
        <w:rPr>
          <w:rFonts w:hint="eastAsia" w:ascii="宋体" w:hAnsi="宋体" w:cs="宋体"/>
          <w:b w:val="0"/>
          <w:color w:val="auto"/>
          <w:sz w:val="32"/>
          <w:highlight w:val="none"/>
        </w:rPr>
        <w:t>目   录</w:t>
      </w:r>
      <w:bookmarkEnd w:id="0"/>
      <w:bookmarkEnd w:id="1"/>
      <w:bookmarkEnd w:id="2"/>
      <w:bookmarkEnd w:id="3"/>
      <w:bookmarkEnd w:id="4"/>
    </w:p>
    <w:p w14:paraId="72969439">
      <w:pPr>
        <w:pStyle w:val="29"/>
        <w:tabs>
          <w:tab w:val="right" w:leader="dot" w:pos="9638"/>
        </w:tabs>
        <w:rPr>
          <w:color w:val="auto"/>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color w:val="auto"/>
          <w:highlight w:val="none"/>
        </w:rPr>
        <w:fldChar w:fldCharType="begin"/>
      </w:r>
      <w:r>
        <w:rPr>
          <w:color w:val="auto"/>
          <w:highlight w:val="none"/>
        </w:rPr>
        <w:instrText xml:space="preserve"> HYPERLINK \l "_Toc8052" </w:instrText>
      </w:r>
      <w:r>
        <w:rPr>
          <w:color w:val="auto"/>
          <w:highlight w:val="none"/>
        </w:rPr>
        <w:fldChar w:fldCharType="separate"/>
      </w:r>
      <w:r>
        <w:rPr>
          <w:rFonts w:hint="eastAsia" w:ascii="宋体" w:hAnsi="宋体" w:cs="宋体"/>
          <w:color w:val="auto"/>
          <w:highlight w:val="none"/>
        </w:rPr>
        <w:t>第一章 比选公告</w:t>
      </w:r>
      <w:r>
        <w:rPr>
          <w:color w:val="auto"/>
          <w:highlight w:val="none"/>
        </w:rPr>
        <w:tab/>
      </w:r>
      <w:r>
        <w:rPr>
          <w:color w:val="auto"/>
          <w:highlight w:val="none"/>
        </w:rPr>
        <w:fldChar w:fldCharType="begin"/>
      </w:r>
      <w:r>
        <w:rPr>
          <w:color w:val="auto"/>
          <w:highlight w:val="none"/>
        </w:rPr>
        <w:instrText xml:space="preserve"> PAGEREF _Toc8052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14:paraId="791119DD">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"_Toc16020" </w:instrText>
      </w:r>
      <w:r>
        <w:rPr>
          <w:color w:val="auto"/>
          <w:highlight w:val="none"/>
        </w:rPr>
        <w:fldChar w:fldCharType="separate"/>
      </w:r>
      <w:r>
        <w:rPr>
          <w:rFonts w:hint="eastAsia" w:ascii="宋体" w:hAnsi="宋体" w:cs="宋体"/>
          <w:color w:val="auto"/>
          <w:highlight w:val="none"/>
        </w:rPr>
        <w:t>第二章 报价人须知</w:t>
      </w:r>
      <w:r>
        <w:rPr>
          <w:color w:val="auto"/>
          <w:highlight w:val="none"/>
        </w:rPr>
        <w:tab/>
      </w:r>
      <w:r>
        <w:rPr>
          <w:color w:val="auto"/>
          <w:highlight w:val="none"/>
        </w:rPr>
        <w:fldChar w:fldCharType="begin"/>
      </w:r>
      <w:r>
        <w:rPr>
          <w:color w:val="auto"/>
          <w:highlight w:val="none"/>
        </w:rPr>
        <w:instrText xml:space="preserve"> PAGEREF _Toc16020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17AE5C12">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"_Toc154" </w:instrText>
      </w:r>
      <w:r>
        <w:rPr>
          <w:color w:val="auto"/>
          <w:highlight w:val="none"/>
        </w:rPr>
        <w:fldChar w:fldCharType="separate"/>
      </w:r>
      <w:r>
        <w:rPr>
          <w:rFonts w:hint="eastAsia" w:ascii="Times New Roman" w:hAnsi="Times New Roman"/>
          <w:color w:val="auto"/>
          <w:kern w:val="44"/>
          <w:szCs w:val="44"/>
          <w:highlight w:val="none"/>
        </w:rPr>
        <w:t>第三章</w:t>
      </w:r>
      <w:r>
        <w:rPr>
          <w:rFonts w:hint="eastAsia" w:ascii="宋体" w:hAnsi="宋体" w:cs="宋体"/>
          <w:color w:val="auto"/>
          <w:highlight w:val="none"/>
        </w:rPr>
        <w:t xml:space="preserve"> 评标办法</w:t>
      </w:r>
      <w:r>
        <w:rPr>
          <w:color w:val="auto"/>
          <w:highlight w:val="none"/>
        </w:rPr>
        <w:tab/>
      </w:r>
      <w:r>
        <w:rPr>
          <w:color w:val="auto"/>
          <w:highlight w:val="none"/>
        </w:rPr>
        <w:fldChar w:fldCharType="begin"/>
      </w:r>
      <w:r>
        <w:rPr>
          <w:color w:val="auto"/>
          <w:highlight w:val="none"/>
        </w:rPr>
        <w:instrText xml:space="preserve"> PAGEREF _Toc154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14:paraId="6840918A">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"_Toc19386" </w:instrText>
      </w:r>
      <w:r>
        <w:rPr>
          <w:color w:val="auto"/>
          <w:highlight w:val="none"/>
        </w:rPr>
        <w:fldChar w:fldCharType="separate"/>
      </w:r>
      <w:r>
        <w:rPr>
          <w:rFonts w:hint="eastAsia" w:ascii="宋体" w:hAnsi="宋体" w:cs="宋体"/>
          <w:color w:val="auto"/>
          <w:kern w:val="44"/>
          <w:szCs w:val="44"/>
          <w:highlight w:val="none"/>
        </w:rPr>
        <w:t xml:space="preserve">第四章 </w:t>
      </w:r>
      <w:r>
        <w:rPr>
          <w:rFonts w:hint="eastAsia" w:ascii="宋体" w:hAnsi="宋体" w:cs="宋体"/>
          <w:color w:val="auto"/>
          <w:highlight w:val="none"/>
        </w:rPr>
        <w:t>报价说明</w:t>
      </w:r>
      <w:r>
        <w:rPr>
          <w:color w:val="auto"/>
          <w:highlight w:val="none"/>
        </w:rPr>
        <w:tab/>
      </w:r>
      <w:r>
        <w:rPr>
          <w:color w:val="auto"/>
          <w:highlight w:val="none"/>
        </w:rPr>
        <w:fldChar w:fldCharType="begin"/>
      </w:r>
      <w:r>
        <w:rPr>
          <w:color w:val="auto"/>
          <w:highlight w:val="none"/>
        </w:rPr>
        <w:instrText xml:space="preserve"> PAGEREF _Toc19386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14:paraId="04F877D5">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"_Toc21033" </w:instrText>
      </w:r>
      <w:r>
        <w:rPr>
          <w:color w:val="auto"/>
          <w:highlight w:val="none"/>
        </w:rPr>
        <w:fldChar w:fldCharType="separate"/>
      </w:r>
      <w:r>
        <w:rPr>
          <w:rFonts w:hint="eastAsia" w:ascii="宋体" w:hAnsi="宋体" w:cs="宋体"/>
          <w:color w:val="auto"/>
          <w:kern w:val="44"/>
          <w:szCs w:val="44"/>
          <w:highlight w:val="none"/>
        </w:rPr>
        <w:t>第五章</w:t>
      </w:r>
      <w:r>
        <w:rPr>
          <w:rFonts w:ascii="宋体" w:hAnsi="宋体" w:cs="宋体"/>
          <w:color w:val="auto"/>
          <w:highlight w:val="none"/>
        </w:rPr>
        <w:t xml:space="preserve"> </w:t>
      </w:r>
      <w:r>
        <w:rPr>
          <w:rFonts w:hint="eastAsia" w:ascii="宋体" w:hAnsi="宋体" w:cs="宋体"/>
          <w:color w:val="auto"/>
          <w:highlight w:val="none"/>
        </w:rPr>
        <w:t>采购清单</w:t>
      </w:r>
      <w:r>
        <w:rPr>
          <w:color w:val="auto"/>
          <w:highlight w:val="none"/>
        </w:rPr>
        <w:tab/>
      </w:r>
      <w:r>
        <w:rPr>
          <w:color w:val="auto"/>
          <w:highlight w:val="none"/>
        </w:rPr>
        <w:fldChar w:fldCharType="begin"/>
      </w:r>
      <w:r>
        <w:rPr>
          <w:color w:val="auto"/>
          <w:highlight w:val="none"/>
        </w:rPr>
        <w:instrText xml:space="preserve"> PAGEREF _Toc21033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14:paraId="550F64F7">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"_Toc15894" </w:instrText>
      </w:r>
      <w:r>
        <w:rPr>
          <w:color w:val="auto"/>
          <w:highlight w:val="none"/>
        </w:rPr>
        <w:fldChar w:fldCharType="separate"/>
      </w:r>
      <w:r>
        <w:rPr>
          <w:rFonts w:hint="eastAsia" w:ascii="宋体" w:hAnsi="宋体" w:cs="宋体"/>
          <w:color w:val="auto"/>
          <w:kern w:val="44"/>
          <w:szCs w:val="44"/>
          <w:highlight w:val="none"/>
        </w:rPr>
        <w:t>第六章</w:t>
      </w:r>
      <w:r>
        <w:rPr>
          <w:rFonts w:hint="eastAsia" w:ascii="宋体" w:hAnsi="宋体" w:cs="宋体"/>
          <w:color w:val="auto"/>
          <w:highlight w:val="none"/>
        </w:rPr>
        <w:t xml:space="preserve"> 服务要求</w:t>
      </w:r>
      <w:r>
        <w:rPr>
          <w:color w:val="auto"/>
          <w:highlight w:val="none"/>
        </w:rPr>
        <w:tab/>
      </w:r>
      <w:r>
        <w:rPr>
          <w:color w:val="auto"/>
          <w:highlight w:val="none"/>
        </w:rPr>
        <w:fldChar w:fldCharType="begin"/>
      </w:r>
      <w:r>
        <w:rPr>
          <w:color w:val="auto"/>
          <w:highlight w:val="none"/>
        </w:rPr>
        <w:instrText xml:space="preserve"> PAGEREF _Toc15894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14:paraId="68B8B605">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"_Toc18777" </w:instrText>
      </w:r>
      <w:r>
        <w:rPr>
          <w:color w:val="auto"/>
          <w:highlight w:val="none"/>
        </w:rPr>
        <w:fldChar w:fldCharType="separate"/>
      </w:r>
      <w:r>
        <w:rPr>
          <w:rFonts w:hint="eastAsia" w:ascii="宋体" w:hAnsi="宋体" w:cs="宋体"/>
          <w:color w:val="auto"/>
          <w:highlight w:val="none"/>
        </w:rPr>
        <w:t>第七章 合同范本</w:t>
      </w:r>
      <w:r>
        <w:rPr>
          <w:color w:val="auto"/>
          <w:highlight w:val="none"/>
        </w:rPr>
        <w:tab/>
      </w:r>
      <w:r>
        <w:rPr>
          <w:color w:val="auto"/>
          <w:highlight w:val="none"/>
        </w:rPr>
        <w:fldChar w:fldCharType="begin"/>
      </w:r>
      <w:r>
        <w:rPr>
          <w:color w:val="auto"/>
          <w:highlight w:val="none"/>
        </w:rPr>
        <w:instrText xml:space="preserve"> PAGEREF _Toc18777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14:paraId="754F5C94">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"_Toc16885" </w:instrText>
      </w:r>
      <w:r>
        <w:rPr>
          <w:color w:val="auto"/>
          <w:highlight w:val="none"/>
        </w:rPr>
        <w:fldChar w:fldCharType="separate"/>
      </w:r>
      <w:r>
        <w:rPr>
          <w:rFonts w:hint="eastAsia" w:ascii="宋体" w:hAnsi="宋体" w:cs="宋体"/>
          <w:color w:val="auto"/>
          <w:highlight w:val="none"/>
        </w:rPr>
        <w:t>第八章 竞争性比选响应文件格式</w:t>
      </w:r>
      <w:r>
        <w:rPr>
          <w:color w:val="auto"/>
          <w:highlight w:val="none"/>
        </w:rPr>
        <w:tab/>
      </w:r>
      <w:r>
        <w:rPr>
          <w:color w:val="auto"/>
          <w:highlight w:val="none"/>
        </w:rPr>
        <w:fldChar w:fldCharType="begin"/>
      </w:r>
      <w:r>
        <w:rPr>
          <w:color w:val="auto"/>
          <w:highlight w:val="none"/>
        </w:rPr>
        <w:instrText xml:space="preserve"> PAGEREF _Toc16885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3A81ED1A">
      <w:pPr>
        <w:pStyle w:val="35"/>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cs="宋体"/>
          <w:bCs/>
          <w:caps/>
          <w:color w:val="auto"/>
          <w:highlight w:val="none"/>
        </w:rPr>
        <w:fldChar w:fldCharType="end"/>
      </w:r>
    </w:p>
    <w:p w14:paraId="1667C2E1">
      <w:pPr>
        <w:pStyle w:val="3"/>
        <w:spacing w:before="0" w:after="0" w:line="360" w:lineRule="auto"/>
        <w:jc w:val="center"/>
        <w:rPr>
          <w:rFonts w:ascii="宋体" w:hAnsi="宋体" w:cs="宋体"/>
          <w:color w:val="auto"/>
          <w:highlight w:val="none"/>
        </w:rPr>
      </w:pPr>
      <w:bookmarkStart w:id="5" w:name="_Toc246996900"/>
      <w:bookmarkStart w:id="6" w:name="_Toc144974479"/>
      <w:bookmarkStart w:id="7" w:name="_Toc246996157"/>
      <w:bookmarkStart w:id="8" w:name="_Toc507319890"/>
      <w:bookmarkStart w:id="9" w:name="_Toc152045511"/>
      <w:bookmarkStart w:id="10" w:name="_Toc247096243"/>
      <w:bookmarkStart w:id="11" w:name="_Toc179632527"/>
      <w:bookmarkStart w:id="12" w:name="_Toc247085671"/>
      <w:bookmarkStart w:id="13" w:name="_Toc152042287"/>
      <w:bookmarkStart w:id="14" w:name="_Toc2000404"/>
      <w:bookmarkStart w:id="15" w:name="_Toc8052"/>
      <w:r>
        <w:rPr>
          <w:rFonts w:hint="eastAsia" w:ascii="宋体" w:hAnsi="宋体" w:cs="宋体"/>
          <w:color w:val="auto"/>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auto"/>
          <w:highlight w:val="none"/>
        </w:rPr>
        <w:t>比选公告</w:t>
      </w:r>
      <w:bookmarkEnd w:id="15"/>
    </w:p>
    <w:p w14:paraId="018191C9">
      <w:pPr>
        <w:spacing w:line="440" w:lineRule="exact"/>
        <w:jc w:val="center"/>
        <w:rPr>
          <w:rFonts w:ascii="宋体" w:hAnsi="宋体" w:cs="宋体"/>
          <w:b/>
          <w:color w:val="auto"/>
          <w:sz w:val="28"/>
          <w:szCs w:val="28"/>
          <w:highlight w:val="none"/>
        </w:rPr>
      </w:pPr>
      <w:bookmarkStart w:id="16" w:name="OLE_LINK2"/>
      <w:bookmarkStart w:id="17" w:name="OLE_LINK3"/>
    </w:p>
    <w:p w14:paraId="1B5ACF33">
      <w:pPr>
        <w:pStyle w:val="4"/>
        <w:spacing w:before="0" w:after="0" w:line="400" w:lineRule="exact"/>
        <w:rPr>
          <w:rFonts w:ascii="宋体" w:hAnsi="宋体" w:eastAsia="宋体" w:cs="宋体"/>
          <w:color w:val="auto"/>
          <w:highlight w:val="none"/>
        </w:rPr>
      </w:pPr>
      <w:bookmarkStart w:id="18" w:name="_Toc24874"/>
      <w:bookmarkStart w:id="19" w:name="_Toc22916"/>
      <w:bookmarkStart w:id="20" w:name="_Toc10076"/>
      <w:bookmarkStart w:id="21" w:name="_Toc152045512"/>
      <w:bookmarkStart w:id="22" w:name="_Toc246996158"/>
      <w:bookmarkStart w:id="23" w:name="_Toc179632528"/>
      <w:bookmarkStart w:id="24" w:name="_Toc6549"/>
      <w:bookmarkStart w:id="25" w:name="_Toc30430"/>
      <w:bookmarkStart w:id="26" w:name="_Toc246996901"/>
      <w:bookmarkStart w:id="27" w:name="_Toc10155"/>
      <w:bookmarkStart w:id="28" w:name="_Toc144974480"/>
      <w:bookmarkStart w:id="29" w:name="_Toc247085672"/>
      <w:bookmarkStart w:id="30" w:name="_Toc17643"/>
      <w:bookmarkStart w:id="31" w:name="_Toc11329213"/>
      <w:bookmarkStart w:id="32" w:name="_Toc507319891"/>
      <w:bookmarkStart w:id="33" w:name="_Toc152042288"/>
      <w:r>
        <w:rPr>
          <w:rFonts w:hint="eastAsia" w:ascii="宋体" w:hAnsi="宋体" w:eastAsia="宋体" w:cs="宋体"/>
          <w:color w:val="auto"/>
          <w:highlight w:val="none"/>
        </w:rPr>
        <w:t>1. 比选条件</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73B73D7">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本竞争性比选项目</w:t>
      </w:r>
      <w:r>
        <w:rPr>
          <w:rFonts w:hint="eastAsia" w:ascii="宋体" w:hAnsi="宋体" w:cs="宋体"/>
          <w:color w:val="auto"/>
          <w:szCs w:val="21"/>
          <w:highlight w:val="none"/>
          <w:u w:val="single"/>
          <w:lang w:eastAsia="zh-CN"/>
        </w:rPr>
        <w:t>首讯公司通信工程施工总承包二级和电力工程施工总承包二级资质申报咨询服务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38F9B280">
      <w:pPr>
        <w:pStyle w:val="4"/>
        <w:spacing w:before="0" w:after="0" w:line="400" w:lineRule="exact"/>
        <w:rPr>
          <w:rFonts w:ascii="宋体" w:hAnsi="宋体" w:eastAsia="宋体" w:cs="宋体"/>
          <w:color w:val="auto"/>
          <w:highlight w:val="none"/>
        </w:rPr>
      </w:pPr>
      <w:bookmarkStart w:id="34" w:name="_Toc507319892"/>
      <w:bookmarkStart w:id="35" w:name="_Toc26906"/>
      <w:bookmarkStart w:id="36" w:name="_Toc10952"/>
      <w:bookmarkStart w:id="37" w:name="_Toc246996159"/>
      <w:bookmarkStart w:id="38" w:name="_Toc246996902"/>
      <w:bookmarkStart w:id="39" w:name="_Toc18109"/>
      <w:bookmarkStart w:id="40" w:name="_Toc152042289"/>
      <w:bookmarkStart w:id="41" w:name="_Toc179632529"/>
      <w:bookmarkStart w:id="42" w:name="_Toc21343"/>
      <w:bookmarkStart w:id="43" w:name="_Toc152045513"/>
      <w:bookmarkStart w:id="44" w:name="_Toc30995"/>
      <w:bookmarkStart w:id="45" w:name="_Toc247085673"/>
      <w:bookmarkStart w:id="46" w:name="_Toc13546"/>
      <w:bookmarkStart w:id="47" w:name="_Toc17685"/>
      <w:bookmarkStart w:id="48" w:name="_Toc11329214"/>
      <w:bookmarkStart w:id="49" w:name="_Toc144974481"/>
      <w:r>
        <w:rPr>
          <w:rFonts w:hint="eastAsia" w:ascii="宋体" w:hAnsi="宋体" w:eastAsia="宋体" w:cs="宋体"/>
          <w:color w:val="auto"/>
          <w:highlight w:val="none"/>
        </w:rPr>
        <w:t>2. 项目概况与比选范围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3909C28E">
      <w:pPr>
        <w:pStyle w:val="14"/>
        <w:adjustRightInd w:val="0"/>
        <w:spacing w:line="400" w:lineRule="exact"/>
        <w:rPr>
          <w:rFonts w:ascii="宋体" w:hAnsi="宋体" w:cs="宋体"/>
          <w:color w:val="auto"/>
          <w:szCs w:val="21"/>
          <w:highlight w:val="none"/>
        </w:rPr>
      </w:pPr>
      <w:bookmarkStart w:id="50" w:name="_Toc446247226"/>
      <w:r>
        <w:rPr>
          <w:rFonts w:hint="eastAsia" w:ascii="宋体" w:hAnsi="宋体" w:cs="宋体"/>
          <w:color w:val="auto"/>
          <w:szCs w:val="21"/>
          <w:highlight w:val="none"/>
        </w:rPr>
        <w:t>2.1项目名称：</w:t>
      </w:r>
      <w:bookmarkEnd w:id="50"/>
      <w:r>
        <w:rPr>
          <w:rFonts w:hint="eastAsia" w:ascii="宋体" w:hAnsi="宋体" w:cs="宋体"/>
          <w:color w:val="auto"/>
          <w:szCs w:val="21"/>
          <w:highlight w:val="none"/>
          <w:lang w:eastAsia="zh-CN"/>
        </w:rPr>
        <w:t>首讯公司通信工程施工总承包二级和电力工程施工总承包二级资质申报咨询服务</w:t>
      </w:r>
      <w:r>
        <w:rPr>
          <w:rFonts w:hint="eastAsia" w:ascii="宋体" w:hAnsi="宋体" w:cs="宋体"/>
          <w:color w:val="auto"/>
          <w:szCs w:val="21"/>
          <w:highlight w:val="none"/>
        </w:rPr>
        <w:t>。</w:t>
      </w:r>
    </w:p>
    <w:p w14:paraId="7034A58F">
      <w:pPr>
        <w:pStyle w:val="14"/>
        <w:adjustRightInd w:val="0"/>
        <w:spacing w:line="400" w:lineRule="exact"/>
        <w:rPr>
          <w:rFonts w:hint="eastAsia" w:ascii="宋体" w:hAnsi="宋体" w:cs="宋体"/>
          <w:color w:val="auto"/>
          <w:szCs w:val="21"/>
          <w:highlight w:val="none"/>
        </w:rPr>
      </w:pPr>
      <w:bookmarkStart w:id="51" w:name="OLE_LINK4"/>
      <w:r>
        <w:rPr>
          <w:rFonts w:hint="eastAsia" w:ascii="宋体" w:hAnsi="宋体" w:cs="宋体"/>
          <w:color w:val="auto"/>
          <w:szCs w:val="21"/>
          <w:highlight w:val="none"/>
        </w:rPr>
        <w:t>2.2项目概况：首讯公司通信工程施工总承包二级和电力工程</w:t>
      </w:r>
      <w:bookmarkStart w:id="908" w:name="_GoBack"/>
      <w:bookmarkEnd w:id="908"/>
      <w:r>
        <w:rPr>
          <w:rFonts w:hint="eastAsia" w:ascii="宋体" w:hAnsi="宋体" w:cs="宋体"/>
          <w:color w:val="auto"/>
          <w:szCs w:val="21"/>
          <w:highlight w:val="none"/>
        </w:rPr>
        <w:t>施工总承包二级资质申报咨询服务，</w:t>
      </w:r>
      <w:r>
        <w:rPr>
          <w:rFonts w:hint="eastAsia" w:ascii="宋体" w:hAnsi="宋体" w:cs="宋体"/>
          <w:color w:val="auto"/>
          <w:szCs w:val="21"/>
          <w:highlight w:val="none"/>
          <w:lang w:val="en-US" w:eastAsia="zh-CN"/>
        </w:rPr>
        <w:t>拟</w:t>
      </w:r>
      <w:r>
        <w:rPr>
          <w:rFonts w:hint="eastAsia" w:ascii="宋体" w:hAnsi="宋体" w:cs="宋体"/>
          <w:color w:val="auto"/>
          <w:szCs w:val="21"/>
          <w:highlight w:val="none"/>
        </w:rPr>
        <w:t>选择一家咨询单位进行资质咨询服务，直至我司</w:t>
      </w:r>
      <w:r>
        <w:rPr>
          <w:rFonts w:hint="eastAsia" w:ascii="宋体" w:hAnsi="宋体" w:cs="宋体"/>
          <w:color w:val="auto"/>
          <w:szCs w:val="21"/>
          <w:highlight w:val="none"/>
          <w:lang w:val="en-US" w:eastAsia="zh-CN"/>
        </w:rPr>
        <w:t>取得相关</w:t>
      </w:r>
      <w:r>
        <w:rPr>
          <w:rFonts w:hint="eastAsia" w:ascii="宋体" w:hAnsi="宋体" w:cs="宋体"/>
          <w:color w:val="auto"/>
          <w:szCs w:val="21"/>
          <w:highlight w:val="none"/>
        </w:rPr>
        <w:t>主管部门核发的资质证书为止。</w:t>
      </w:r>
    </w:p>
    <w:p w14:paraId="5C28B9F5">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2.3服务地点：</w:t>
      </w:r>
      <w:r>
        <w:rPr>
          <w:rFonts w:hint="eastAsia" w:ascii="宋体" w:hAnsi="宋体" w:cs="宋体"/>
          <w:color w:val="auto"/>
          <w:highlight w:val="none"/>
          <w:lang w:val="en-US" w:eastAsia="zh-CN"/>
        </w:rPr>
        <w:t>重庆首讯科技股份有限公司</w:t>
      </w:r>
      <w:r>
        <w:rPr>
          <w:rFonts w:hint="eastAsia" w:ascii="宋体" w:hAnsi="宋体" w:cs="宋体"/>
          <w:color w:val="auto"/>
          <w:highlight w:val="none"/>
        </w:rPr>
        <w:t>。</w:t>
      </w:r>
    </w:p>
    <w:p w14:paraId="1E0D8D72">
      <w:pPr>
        <w:pStyle w:val="14"/>
        <w:adjustRightInd w:val="0"/>
        <w:spacing w:line="400" w:lineRule="exact"/>
        <w:rPr>
          <w:rFonts w:hint="eastAsia" w:ascii="宋体" w:hAnsi="宋体" w:cs="宋体"/>
          <w:color w:val="auto"/>
          <w:szCs w:val="21"/>
          <w:highlight w:val="none"/>
        </w:rPr>
      </w:pPr>
      <w:r>
        <w:rPr>
          <w:rFonts w:hint="eastAsia" w:ascii="宋体" w:hAnsi="宋体" w:cs="宋体"/>
          <w:color w:val="auto"/>
          <w:szCs w:val="21"/>
          <w:highlight w:val="none"/>
        </w:rPr>
        <w:t>2.4预计采购金额</w:t>
      </w:r>
      <w:bookmarkStart w:id="52" w:name="OLE_LINK78"/>
      <w:r>
        <w:rPr>
          <w:rFonts w:hint="eastAsia" w:ascii="宋体" w:hAnsi="宋体" w:cs="宋体"/>
          <w:color w:val="auto"/>
          <w:szCs w:val="21"/>
          <w:highlight w:val="none"/>
        </w:rPr>
        <w:t>：</w:t>
      </w:r>
      <w:bookmarkEnd w:id="52"/>
      <w:r>
        <w:rPr>
          <w:rFonts w:hint="eastAsia" w:ascii="宋体" w:hAnsi="宋体" w:cs="宋体"/>
          <w:color w:val="auto"/>
          <w:szCs w:val="21"/>
          <w:highlight w:val="none"/>
          <w:lang w:val="en-US" w:eastAsia="zh-CN"/>
        </w:rPr>
        <w:t>422500.00</w:t>
      </w:r>
      <w:r>
        <w:rPr>
          <w:rFonts w:hint="eastAsia" w:ascii="宋体" w:hAnsi="宋体" w:cs="宋体"/>
          <w:color w:val="auto"/>
          <w:szCs w:val="21"/>
          <w:highlight w:val="none"/>
        </w:rPr>
        <w:t>元。</w:t>
      </w:r>
    </w:p>
    <w:bookmarkEnd w:id="51"/>
    <w:p w14:paraId="6537FCE5">
      <w:pPr>
        <w:pStyle w:val="14"/>
        <w:adjustRightInd w:val="0"/>
        <w:spacing w:line="400" w:lineRule="exact"/>
        <w:rPr>
          <w:rFonts w:hint="eastAsia" w:ascii="宋体" w:hAnsi="宋体" w:cs="宋体"/>
          <w:color w:val="auto"/>
          <w:szCs w:val="21"/>
          <w:highlight w:val="none"/>
        </w:rPr>
      </w:pPr>
      <w:r>
        <w:rPr>
          <w:rFonts w:hint="eastAsia" w:ascii="宋体" w:hAnsi="宋体" w:cs="宋体"/>
          <w:color w:val="auto"/>
          <w:highlight w:val="none"/>
        </w:rPr>
        <w:t>2.5服务范围：</w:t>
      </w:r>
      <w:r>
        <w:rPr>
          <w:rFonts w:hint="eastAsia" w:ascii="宋体" w:hAnsi="宋体" w:cs="宋体"/>
          <w:color w:val="auto"/>
          <w:highlight w:val="none"/>
          <w:lang w:eastAsia="zh-CN"/>
        </w:rPr>
        <w:t>首讯公司通信工程施工总承包二级和电力工程施工总承包二级资质申报咨询服务</w:t>
      </w:r>
      <w:r>
        <w:rPr>
          <w:rFonts w:hint="eastAsia" w:ascii="宋体" w:hAnsi="宋体" w:cs="宋体"/>
          <w:color w:val="auto"/>
          <w:highlight w:val="none"/>
        </w:rPr>
        <w:t>（详</w:t>
      </w:r>
      <w:r>
        <w:rPr>
          <w:rFonts w:hint="eastAsia" w:ascii="宋体" w:hAnsi="宋体" w:cs="宋体"/>
          <w:color w:val="auto"/>
          <w:szCs w:val="21"/>
          <w:highlight w:val="none"/>
        </w:rPr>
        <w:t>见第五章采购清单）</w:t>
      </w:r>
      <w:r>
        <w:rPr>
          <w:rFonts w:hint="eastAsia" w:ascii="宋体" w:hAnsi="宋体" w:cs="宋体"/>
          <w:color w:val="auto"/>
          <w:szCs w:val="21"/>
          <w:highlight w:val="none"/>
          <w:lang w:eastAsia="zh-CN"/>
        </w:rPr>
        <w:t>，</w:t>
      </w:r>
      <w:r>
        <w:rPr>
          <w:rFonts w:hint="eastAsia" w:ascii="宋体" w:hAnsi="宋体" w:cs="宋体"/>
          <w:color w:val="auto"/>
          <w:szCs w:val="21"/>
          <w:highlight w:val="none"/>
        </w:rPr>
        <w:t>为公司进行通信工程施工总承包二级和电力工程施工总承包二级资质的咨询服务，主要包括推荐通信工程施工总承包二级和电力工程施工总承包二级资质所需的2名技术负责人（满足</w:t>
      </w:r>
      <w:r>
        <w:rPr>
          <w:rFonts w:hint="eastAsia" w:ascii="宋体" w:hAnsi="宋体" w:cs="宋体"/>
          <w:color w:val="auto"/>
          <w:szCs w:val="21"/>
          <w:highlight w:val="none"/>
          <w:lang w:val="en-US" w:eastAsia="zh-CN"/>
        </w:rPr>
        <w:t>相关</w:t>
      </w:r>
      <w:r>
        <w:rPr>
          <w:rFonts w:hint="eastAsia" w:ascii="宋体" w:hAnsi="宋体" w:cs="宋体"/>
          <w:color w:val="auto"/>
          <w:szCs w:val="21"/>
          <w:highlight w:val="none"/>
        </w:rPr>
        <w:t>主管部门对上述资质所需技术负责人的要求）、申办方案编制、资料收集及整理、修订，申办资料汇总、送审，与资质审批主管部门沟通协调促进资质顺利获取，直至采购人</w:t>
      </w:r>
      <w:r>
        <w:rPr>
          <w:rFonts w:hint="eastAsia" w:ascii="宋体" w:hAnsi="宋体" w:cs="宋体"/>
          <w:color w:val="auto"/>
          <w:szCs w:val="21"/>
          <w:highlight w:val="none"/>
          <w:lang w:val="en-US" w:eastAsia="zh-CN"/>
        </w:rPr>
        <w:t>取得相关</w:t>
      </w:r>
      <w:r>
        <w:rPr>
          <w:rFonts w:hint="eastAsia" w:ascii="宋体" w:hAnsi="宋体" w:cs="宋体"/>
          <w:color w:val="auto"/>
          <w:szCs w:val="21"/>
          <w:highlight w:val="none"/>
        </w:rPr>
        <w:t>主管部门核发的通信工程施工总承包二级和电力工程施工总承包二级资质证书为止。</w:t>
      </w:r>
    </w:p>
    <w:p w14:paraId="2FD890A8">
      <w:pPr>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2.6</w:t>
      </w:r>
      <w:r>
        <w:rPr>
          <w:rFonts w:hint="eastAsia" w:ascii="宋体" w:hAnsi="宋体" w:cs="宋体"/>
          <w:color w:val="auto"/>
          <w:szCs w:val="21"/>
          <w:highlight w:val="none"/>
        </w:rPr>
        <w:t>服务期限</w:t>
      </w:r>
      <w:r>
        <w:rPr>
          <w:rFonts w:hint="eastAsia" w:ascii="宋体" w:hAnsi="宋体" w:cs="宋体"/>
          <w:color w:val="auto"/>
          <w:highlight w:val="none"/>
        </w:rPr>
        <w:t>：合同签订之日起至甲方</w:t>
      </w:r>
      <w:r>
        <w:rPr>
          <w:rFonts w:hint="eastAsia" w:ascii="宋体" w:hAnsi="宋体" w:cs="宋体"/>
          <w:color w:val="auto"/>
          <w:highlight w:val="none"/>
          <w:lang w:val="en-US" w:eastAsia="zh-CN"/>
        </w:rPr>
        <w:t>取得相关</w:t>
      </w:r>
      <w:r>
        <w:rPr>
          <w:rFonts w:hint="eastAsia" w:ascii="宋体" w:hAnsi="宋体" w:cs="宋体"/>
          <w:color w:val="auto"/>
          <w:highlight w:val="none"/>
        </w:rPr>
        <w:t>主管部门核发的通信工程施工总承包二级和电力工程施工总承包二级资质为止。</w:t>
      </w:r>
    </w:p>
    <w:p w14:paraId="6773B071">
      <w:pPr>
        <w:spacing w:line="400" w:lineRule="exact"/>
        <w:ind w:firstLine="420" w:firstLineChars="200"/>
        <w:rPr>
          <w:color w:val="auto"/>
          <w:highlight w:val="none"/>
        </w:rPr>
      </w:pPr>
      <w:r>
        <w:rPr>
          <w:rFonts w:hint="eastAsia" w:ascii="宋体" w:hAnsi="宋体" w:cs="宋体"/>
          <w:color w:val="auto"/>
          <w:highlight w:val="none"/>
        </w:rPr>
        <w:t>2.7标段划分：</w:t>
      </w:r>
      <w:r>
        <w:rPr>
          <w:rFonts w:hint="eastAsia" w:ascii="宋体" w:hAnsi="宋体" w:cs="宋体"/>
          <w:color w:val="auto"/>
          <w:szCs w:val="21"/>
          <w:highlight w:val="none"/>
        </w:rPr>
        <w:t>/。</w:t>
      </w:r>
    </w:p>
    <w:p w14:paraId="44173196">
      <w:pPr>
        <w:pStyle w:val="4"/>
        <w:spacing w:before="0" w:after="0" w:line="400" w:lineRule="exact"/>
        <w:rPr>
          <w:rFonts w:ascii="宋体" w:hAnsi="宋体" w:cs="宋体"/>
          <w:color w:val="auto"/>
          <w:szCs w:val="21"/>
          <w:highlight w:val="none"/>
          <w:shd w:val="clear" w:color="auto" w:fill="FFFFFF"/>
        </w:rPr>
      </w:pPr>
      <w:bookmarkStart w:id="53" w:name="_Toc247085674"/>
      <w:bookmarkStart w:id="54" w:name="_Toc246996160"/>
      <w:bookmarkStart w:id="55" w:name="_Toc1159"/>
      <w:bookmarkStart w:id="56" w:name="_Toc152045514"/>
      <w:bookmarkStart w:id="57" w:name="_Toc179632530"/>
      <w:bookmarkStart w:id="58" w:name="_Toc10171"/>
      <w:bookmarkStart w:id="59" w:name="_Toc152042290"/>
      <w:bookmarkStart w:id="60" w:name="_Toc23539"/>
      <w:bookmarkStart w:id="61" w:name="_Toc7065"/>
      <w:bookmarkStart w:id="62" w:name="_Toc30807"/>
      <w:bookmarkStart w:id="63" w:name="_Toc30356"/>
      <w:bookmarkStart w:id="64" w:name="_Toc144974482"/>
      <w:bookmarkStart w:id="65" w:name="_Toc11874"/>
      <w:bookmarkStart w:id="66" w:name="_Toc246996903"/>
      <w:bookmarkStart w:id="67" w:name="_Toc507319893"/>
      <w:bookmarkStart w:id="68" w:name="_Toc11329215"/>
      <w:r>
        <w:rPr>
          <w:rFonts w:hint="eastAsia" w:ascii="宋体" w:hAnsi="宋体" w:eastAsia="宋体" w:cs="宋体"/>
          <w:color w:val="auto"/>
          <w:highlight w:val="none"/>
        </w:rPr>
        <w:t>3. 报价人资格要求</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OLE_LINK6"/>
      <w:bookmarkStart w:id="70" w:name="_Toc246996161"/>
      <w:bookmarkStart w:id="71" w:name="_Toc152042291"/>
      <w:bookmarkStart w:id="72" w:name="_Toc247085675"/>
      <w:bookmarkStart w:id="73" w:name="_Toc179632531"/>
      <w:bookmarkStart w:id="74" w:name="_Toc144974483"/>
      <w:bookmarkStart w:id="75" w:name="_Toc246996904"/>
      <w:bookmarkStart w:id="76" w:name="_Toc152045515"/>
    </w:p>
    <w:p w14:paraId="2663A7DF">
      <w:pPr>
        <w:pStyle w:val="14"/>
        <w:adjustRightInd w:val="0"/>
        <w:spacing w:line="400" w:lineRule="exact"/>
        <w:rPr>
          <w:rFonts w:ascii="宋体" w:hAnsi="宋体" w:cs="宋体"/>
          <w:color w:val="auto"/>
          <w:szCs w:val="21"/>
          <w:highlight w:val="none"/>
          <w:shd w:val="clear" w:color="auto" w:fill="FFFFFF"/>
        </w:rPr>
      </w:pPr>
      <w:r>
        <w:rPr>
          <w:rFonts w:ascii="宋体" w:hAnsi="宋体" w:cs="宋体"/>
          <w:color w:val="auto"/>
          <w:szCs w:val="21"/>
          <w:highlight w:val="none"/>
          <w:shd w:val="clear" w:color="auto" w:fill="FFFFFF"/>
        </w:rPr>
        <w:t>3.1 资质要求：</w:t>
      </w:r>
    </w:p>
    <w:p w14:paraId="33176029">
      <w:pPr>
        <w:pStyle w:val="14"/>
        <w:adjustRightInd w:val="0"/>
        <w:spacing w:line="400" w:lineRule="exact"/>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3.1.1</w:t>
      </w:r>
      <w:r>
        <w:rPr>
          <w:rFonts w:ascii="宋体" w:hAnsi="宋体" w:cs="宋体"/>
          <w:color w:val="auto"/>
          <w:szCs w:val="21"/>
          <w:highlight w:val="none"/>
          <w:shd w:val="clear" w:color="auto" w:fill="FFFFFF"/>
        </w:rPr>
        <w:t>报价人具有独立法人资格及有效的营业执照。</w:t>
      </w:r>
    </w:p>
    <w:bookmarkEnd w:id="69"/>
    <w:p w14:paraId="190E1542">
      <w:pPr>
        <w:pStyle w:val="14"/>
        <w:adjustRightInd w:val="0"/>
        <w:spacing w:line="400" w:lineRule="exact"/>
        <w:rPr>
          <w:rFonts w:ascii="宋体" w:hAnsi="宋体" w:cs="宋体"/>
          <w:color w:val="auto"/>
          <w:highlight w:val="none"/>
        </w:rPr>
      </w:pPr>
      <w:bookmarkStart w:id="77" w:name="OLE_LINK8"/>
      <w:r>
        <w:rPr>
          <w:rFonts w:hint="eastAsia" w:ascii="宋体" w:hAnsi="宋体" w:cs="宋体"/>
          <w:color w:val="auto"/>
          <w:highlight w:val="none"/>
        </w:rPr>
        <w:t>3.2业绩要求：</w:t>
      </w:r>
      <w:bookmarkStart w:id="78" w:name="OLE_LINK20"/>
    </w:p>
    <w:bookmarkEnd w:id="77"/>
    <w:bookmarkEnd w:id="78"/>
    <w:p w14:paraId="71EEC550">
      <w:pPr>
        <w:widowControl/>
        <w:kinsoku w:val="0"/>
        <w:autoSpaceDE w:val="0"/>
        <w:autoSpaceDN w:val="0"/>
        <w:adjustRightInd w:val="0"/>
        <w:snapToGrid w:val="0"/>
        <w:spacing w:before="105" w:line="321" w:lineRule="auto"/>
        <w:ind w:right="38" w:firstLine="439"/>
        <w:jc w:val="left"/>
        <w:textAlignment w:val="baseline"/>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报价人在2022年1月1日至报价截止日期（以合同签订时间为准）至少独立完成一项合同金额不低于20万元的中国境内企业资质办理咨询服务合作案例（</w:t>
      </w:r>
      <w:r>
        <w:rPr>
          <w:rFonts w:hint="eastAsia"/>
          <w:color w:val="auto"/>
          <w:highlight w:val="none"/>
          <w:lang w:val="en-US" w:eastAsia="zh-CN"/>
        </w:rPr>
        <w:t>需</w:t>
      </w:r>
      <w:r>
        <w:rPr>
          <w:rFonts w:hint="eastAsia" w:ascii="宋体" w:hAnsi="宋体" w:cs="宋体"/>
          <w:color w:val="auto"/>
          <w:szCs w:val="21"/>
          <w:highlight w:val="none"/>
          <w:shd w:val="clear" w:color="auto" w:fill="FFFFFF"/>
          <w:lang w:val="en-US" w:eastAsia="zh-CN"/>
        </w:rPr>
        <w:t>提供官网证书查询信息截图）。</w:t>
      </w:r>
    </w:p>
    <w:p w14:paraId="06556899">
      <w:pPr>
        <w:pStyle w:val="14"/>
        <w:wordWrap w:val="0"/>
        <w:adjustRightInd w:val="0"/>
        <w:spacing w:line="400" w:lineRule="exact"/>
        <w:rPr>
          <w:rFonts w:ascii="宋体" w:hAnsi="宋体" w:cs="宋体"/>
          <w:color w:val="auto"/>
          <w:highlight w:val="none"/>
        </w:rPr>
      </w:pPr>
      <w:r>
        <w:rPr>
          <w:rFonts w:hint="eastAsia" w:ascii="宋体" w:hAnsi="宋体" w:cs="宋体"/>
          <w:color w:val="auto"/>
          <w:highlight w:val="none"/>
        </w:rPr>
        <w:t>3.3信誉要求：</w:t>
      </w:r>
    </w:p>
    <w:p w14:paraId="624F22C0">
      <w:pPr>
        <w:pStyle w:val="14"/>
        <w:wordWrap w:val="0"/>
        <w:adjustRightInd w:val="0"/>
        <w:spacing w:line="400" w:lineRule="exact"/>
        <w:rPr>
          <w:rFonts w:ascii="宋体" w:hAnsi="宋体" w:cs="宋体"/>
          <w:color w:val="auto"/>
          <w:highlight w:val="none"/>
        </w:rPr>
      </w:pPr>
      <w:r>
        <w:rPr>
          <w:rFonts w:hint="eastAsia" w:ascii="宋体" w:hAnsi="宋体" w:cs="宋体"/>
          <w:color w:val="auto"/>
          <w:szCs w:val="21"/>
          <w:highlight w:val="none"/>
        </w:rPr>
        <w:t>在国家企业信用信息公示系统（http://www.gsxt.gov.cn/）中未被列入严重违法失信企业名单（黑名单）信息；在“信用中国”网站（http://www.creditchina.gov.cn/）中未被列入严重失信主体名单。</w:t>
      </w:r>
    </w:p>
    <w:p w14:paraId="456CD919">
      <w:pPr>
        <w:pStyle w:val="14"/>
        <w:adjustRightInd w:val="0"/>
        <w:spacing w:line="400" w:lineRule="exact"/>
        <w:rPr>
          <w:rFonts w:ascii="宋体" w:hAnsi="宋体" w:cs="宋体"/>
          <w:color w:val="auto"/>
          <w:highlight w:val="none"/>
        </w:rPr>
      </w:pPr>
      <w:r>
        <w:rPr>
          <w:rFonts w:hint="eastAsia" w:ascii="宋体" w:hAnsi="宋体" w:cs="宋体"/>
          <w:color w:val="auto"/>
          <w:highlight w:val="none"/>
        </w:rPr>
        <w:t>3.4报价人须提供采购人要求的所有资质要求、业绩要求、 信誉要求等资料并加盖单位</w:t>
      </w:r>
      <w:r>
        <w:rPr>
          <w:rFonts w:hint="eastAsia" w:ascii="宋体" w:hAnsi="宋体" w:cs="宋体"/>
          <w:color w:val="auto"/>
          <w:szCs w:val="21"/>
          <w:highlight w:val="none"/>
          <w:shd w:val="clear" w:color="auto" w:fill="FFFFFF"/>
        </w:rPr>
        <w:t>公章</w:t>
      </w:r>
      <w:r>
        <w:rPr>
          <w:rFonts w:hint="eastAsia" w:ascii="宋体" w:hAnsi="宋体" w:cs="宋体"/>
          <w:color w:val="auto"/>
          <w:highlight w:val="none"/>
        </w:rPr>
        <w:t>。</w:t>
      </w:r>
    </w:p>
    <w:p w14:paraId="603091B1">
      <w:pPr>
        <w:pStyle w:val="14"/>
        <w:adjustRightInd w:val="0"/>
        <w:spacing w:line="400" w:lineRule="exact"/>
        <w:rPr>
          <w:rFonts w:ascii="宋体" w:hAnsi="宋体" w:cs="宋体"/>
          <w:color w:val="auto"/>
          <w:highlight w:val="none"/>
        </w:rPr>
      </w:pPr>
      <w:r>
        <w:rPr>
          <w:rFonts w:hint="eastAsia" w:ascii="宋体" w:hAnsi="宋体" w:cs="宋体"/>
          <w:color w:val="auto"/>
          <w:highlight w:val="none"/>
        </w:rPr>
        <w:t>3.5本次比选不接受联合体报价。</w:t>
      </w:r>
    </w:p>
    <w:p w14:paraId="2CFC9709">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3.6单位负责人为同一人或者存在控股、管理关系的不同单位，不得同时参加本项目报价，否则均按无效报价处理。</w:t>
      </w:r>
    </w:p>
    <w:p w14:paraId="5BF82B85">
      <w:pPr>
        <w:pStyle w:val="4"/>
        <w:spacing w:before="0" w:after="0" w:line="400" w:lineRule="exact"/>
        <w:rPr>
          <w:rFonts w:ascii="宋体" w:hAnsi="宋体" w:eastAsia="宋体" w:cs="宋体"/>
          <w:color w:val="auto"/>
          <w:highlight w:val="none"/>
        </w:rPr>
      </w:pPr>
      <w:bookmarkStart w:id="79" w:name="_Toc29918"/>
      <w:bookmarkStart w:id="80" w:name="_Toc9941"/>
      <w:bookmarkStart w:id="81" w:name="_Toc29440"/>
      <w:bookmarkStart w:id="82" w:name="_Toc25344"/>
      <w:r>
        <w:rPr>
          <w:rFonts w:hint="eastAsia" w:ascii="宋体" w:hAnsi="宋体" w:eastAsia="宋体" w:cs="宋体"/>
          <w:color w:val="auto"/>
          <w:highlight w:val="none"/>
        </w:rPr>
        <w:t>4. 评标办法</w:t>
      </w:r>
      <w:bookmarkEnd w:id="79"/>
      <w:bookmarkEnd w:id="80"/>
      <w:bookmarkEnd w:id="81"/>
      <w:bookmarkEnd w:id="82"/>
    </w:p>
    <w:p w14:paraId="5A12223C">
      <w:pPr>
        <w:pStyle w:val="14"/>
        <w:adjustRightInd w:val="0"/>
        <w:spacing w:line="400" w:lineRule="exact"/>
        <w:rPr>
          <w:rFonts w:ascii="宋体" w:hAnsi="宋体" w:cs="宋体"/>
          <w:color w:val="auto"/>
          <w:highlight w:val="none"/>
        </w:rPr>
      </w:pPr>
      <w:r>
        <w:rPr>
          <w:rFonts w:hint="eastAsia" w:ascii="宋体" w:hAnsi="宋体" w:cs="宋体"/>
          <w:color w:val="auto"/>
          <w:highlight w:val="none"/>
        </w:rPr>
        <w:t>本项目采用综合评估法。</w:t>
      </w:r>
    </w:p>
    <w:p w14:paraId="4D428355">
      <w:pPr>
        <w:pStyle w:val="4"/>
        <w:spacing w:before="0" w:after="0" w:line="400" w:lineRule="exact"/>
        <w:rPr>
          <w:rFonts w:ascii="宋体" w:hAnsi="宋体"/>
          <w:color w:val="auto"/>
          <w:szCs w:val="21"/>
          <w:highlight w:val="none"/>
        </w:rPr>
      </w:pPr>
      <w:bookmarkStart w:id="83" w:name="_Toc14361"/>
      <w:bookmarkStart w:id="84" w:name="_Toc11329216"/>
      <w:bookmarkStart w:id="85" w:name="_Toc12460"/>
      <w:bookmarkStart w:id="86" w:name="_Toc20441"/>
      <w:bookmarkStart w:id="87" w:name="_Toc6980"/>
      <w:bookmarkStart w:id="88" w:name="_Toc507319894"/>
      <w:bookmarkStart w:id="89" w:name="_Toc24813"/>
      <w:bookmarkStart w:id="90" w:name="_Toc25619"/>
      <w:r>
        <w:rPr>
          <w:rFonts w:hint="eastAsia" w:ascii="宋体" w:hAnsi="宋体" w:eastAsia="宋体" w:cs="宋体"/>
          <w:color w:val="auto"/>
          <w:highlight w:val="none"/>
        </w:rPr>
        <w:t>5. 比选文件的获取</w:t>
      </w:r>
      <w:bookmarkEnd w:id="70"/>
      <w:bookmarkEnd w:id="71"/>
      <w:bookmarkEnd w:id="72"/>
      <w:bookmarkEnd w:id="73"/>
      <w:bookmarkEnd w:id="74"/>
      <w:bookmarkEnd w:id="75"/>
      <w:bookmarkEnd w:id="76"/>
      <w:bookmarkEnd w:id="83"/>
      <w:bookmarkEnd w:id="84"/>
      <w:bookmarkEnd w:id="85"/>
      <w:bookmarkEnd w:id="86"/>
      <w:bookmarkEnd w:id="87"/>
      <w:bookmarkEnd w:id="88"/>
      <w:bookmarkEnd w:id="89"/>
      <w:bookmarkEnd w:id="90"/>
      <w:bookmarkStart w:id="91" w:name="_Toc152045516"/>
      <w:bookmarkStart w:id="92" w:name="_Toc11329217"/>
      <w:bookmarkStart w:id="93" w:name="_Toc152042292"/>
      <w:bookmarkStart w:id="94" w:name="_Toc507319895"/>
      <w:bookmarkStart w:id="95" w:name="_Toc246996162"/>
      <w:bookmarkStart w:id="96" w:name="_Toc179632532"/>
      <w:bookmarkStart w:id="97" w:name="_Toc247085676"/>
      <w:bookmarkStart w:id="98" w:name="_Toc246996905"/>
      <w:bookmarkStart w:id="99" w:name="_Toc144974484"/>
      <w:bookmarkStart w:id="100" w:name="_Toc9131"/>
      <w:bookmarkStart w:id="101" w:name="_Toc31493"/>
      <w:bookmarkStart w:id="102" w:name="_Toc16686"/>
    </w:p>
    <w:p w14:paraId="69E37DC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凡愿意参加的潜在报价人，在报价截止时间前在重庆高速集团官网（http://www.cegc.com.cn/）获取竞争性比选文件，各报价人应随时关注网上发布的竞争性比选文件答疑、补遗、澄清等文件内容，不管报价人是否下载，均视为已知晓竞争性比选文件的全部内容和有关事宜。</w:t>
      </w:r>
    </w:p>
    <w:p w14:paraId="5D3BE0C9">
      <w:pPr>
        <w:pStyle w:val="4"/>
        <w:spacing w:before="0" w:after="0" w:line="400" w:lineRule="exact"/>
        <w:rPr>
          <w:rFonts w:ascii="宋体" w:hAnsi="宋体" w:cs="宋体"/>
          <w:color w:val="auto"/>
          <w:highlight w:val="none"/>
        </w:rPr>
      </w:pPr>
      <w:bookmarkStart w:id="103" w:name="_Toc27611"/>
      <w:bookmarkStart w:id="104" w:name="_Toc13856"/>
      <w:bookmarkStart w:id="105" w:name="_Toc1439"/>
      <w:bookmarkStart w:id="106" w:name="_Toc6883"/>
      <w:r>
        <w:rPr>
          <w:rFonts w:hint="eastAsia" w:ascii="宋体" w:hAnsi="宋体" w:eastAsia="宋体" w:cs="宋体"/>
          <w:color w:val="auto"/>
          <w:highlight w:val="none"/>
        </w:rPr>
        <w:t>6. 竞争性比选响应文件的递交</w:t>
      </w:r>
      <w:bookmarkEnd w:id="91"/>
      <w:bookmarkEnd w:id="92"/>
      <w:bookmarkEnd w:id="93"/>
      <w:bookmarkEnd w:id="94"/>
      <w:bookmarkEnd w:id="95"/>
      <w:bookmarkEnd w:id="96"/>
      <w:bookmarkEnd w:id="97"/>
      <w:bookmarkEnd w:id="98"/>
      <w:bookmarkEnd w:id="99"/>
      <w:r>
        <w:rPr>
          <w:rFonts w:hint="eastAsia" w:ascii="宋体" w:hAnsi="宋体" w:eastAsia="宋体" w:cs="宋体"/>
          <w:color w:val="auto"/>
          <w:highlight w:val="none"/>
        </w:rPr>
        <w:t>及相关事宜</w:t>
      </w:r>
      <w:bookmarkEnd w:id="100"/>
      <w:bookmarkEnd w:id="101"/>
      <w:bookmarkEnd w:id="102"/>
      <w:bookmarkEnd w:id="103"/>
      <w:bookmarkEnd w:id="104"/>
      <w:bookmarkEnd w:id="105"/>
      <w:bookmarkEnd w:id="106"/>
      <w:bookmarkStart w:id="107" w:name="_Toc393"/>
      <w:bookmarkStart w:id="108" w:name="_Toc179632534"/>
      <w:bookmarkStart w:id="109" w:name="_Toc152045517"/>
      <w:bookmarkStart w:id="110" w:name="_Toc11329219"/>
      <w:bookmarkStart w:id="111" w:name="_Toc246996907"/>
      <w:bookmarkStart w:id="112" w:name="_Toc18402"/>
      <w:bookmarkStart w:id="113" w:name="_Toc152042293"/>
      <w:bookmarkStart w:id="114" w:name="_Toc247085678"/>
      <w:bookmarkStart w:id="115" w:name="_Toc507319897"/>
      <w:bookmarkStart w:id="116" w:name="_Toc246996164"/>
      <w:bookmarkStart w:id="117" w:name="_Toc21615"/>
      <w:bookmarkStart w:id="118" w:name="_Toc144974485"/>
    </w:p>
    <w:p w14:paraId="3A4718FD">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6.1竞争性比选响应文件递交截止时间：</w:t>
      </w:r>
      <w:r>
        <w:rPr>
          <w:rFonts w:hint="eastAsia" w:ascii="宋体" w:hAnsi="宋体" w:cs="宋体"/>
          <w:color w:val="auto"/>
          <w:highlight w:val="none"/>
          <w:u w:val="single"/>
        </w:rPr>
        <w:t xml:space="preserve"> 202</w:t>
      </w:r>
      <w:r>
        <w:rPr>
          <w:rFonts w:hint="eastAsia" w:ascii="宋体" w:hAnsi="宋体" w:cs="宋体"/>
          <w:color w:val="auto"/>
          <w:highlight w:val="none"/>
          <w:u w:val="single"/>
          <w:lang w:val="en-US" w:eastAsia="zh-CN"/>
        </w:rPr>
        <w:t>5</w:t>
      </w:r>
      <w:r>
        <w:rPr>
          <w:rFonts w:hint="eastAsia" w:ascii="宋体" w:hAnsi="宋体" w:cs="宋体"/>
          <w:color w:val="auto"/>
          <w:highlight w:val="none"/>
          <w:u w:val="single"/>
        </w:rPr>
        <w:t xml:space="preserve"> </w:t>
      </w:r>
      <w:r>
        <w:rPr>
          <w:rFonts w:hint="eastAsia" w:ascii="宋体" w:hAnsi="宋体" w:cs="宋体"/>
          <w:color w:val="auto"/>
          <w:highlight w:val="none"/>
        </w:rPr>
        <w:t>年</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04</w:t>
      </w:r>
      <w:r>
        <w:rPr>
          <w:rFonts w:hint="eastAsia" w:ascii="宋体" w:hAnsi="宋体" w:cs="宋体"/>
          <w:color w:val="auto"/>
          <w:highlight w:val="none"/>
          <w:u w:val="single"/>
        </w:rPr>
        <w:t xml:space="preserve"> </w:t>
      </w:r>
      <w:r>
        <w:rPr>
          <w:rFonts w:hint="eastAsia" w:ascii="宋体" w:hAnsi="宋体" w:cs="宋体"/>
          <w:color w:val="auto"/>
          <w:highlight w:val="none"/>
        </w:rPr>
        <w:t>月</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24</w:t>
      </w:r>
      <w:r>
        <w:rPr>
          <w:rFonts w:hint="eastAsia" w:ascii="宋体" w:hAnsi="宋体" w:cs="宋体"/>
          <w:color w:val="auto"/>
          <w:highlight w:val="none"/>
          <w:u w:val="single"/>
        </w:rPr>
        <w:t xml:space="preserve"> </w:t>
      </w:r>
      <w:r>
        <w:rPr>
          <w:rFonts w:hint="eastAsia" w:ascii="宋体" w:hAnsi="宋体" w:cs="宋体"/>
          <w:color w:val="auto"/>
          <w:highlight w:val="none"/>
        </w:rPr>
        <w:t>日上午1</w:t>
      </w:r>
      <w:r>
        <w:rPr>
          <w:rFonts w:hint="eastAsia" w:ascii="宋体" w:hAnsi="宋体" w:cs="宋体"/>
          <w:color w:val="auto"/>
          <w:highlight w:val="none"/>
          <w:lang w:val="en-US" w:eastAsia="zh-CN"/>
        </w:rPr>
        <w:t>0</w:t>
      </w:r>
      <w:r>
        <w:rPr>
          <w:rFonts w:hint="eastAsia" w:ascii="宋体" w:hAnsi="宋体" w:cs="宋体"/>
          <w:color w:val="auto"/>
          <w:highlight w:val="none"/>
        </w:rPr>
        <w:t>时00分（北京时间）。</w:t>
      </w:r>
    </w:p>
    <w:p w14:paraId="7E91DCA9">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6.2开标时间：同竞争性比选响应文件递交截止时间。</w:t>
      </w:r>
    </w:p>
    <w:p w14:paraId="07D207CA">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6.3投标文件递交地点：重庆市渝北区龙溪街道新南路52号1楼（重庆首讯科技股份有限公司）。</w:t>
      </w:r>
    </w:p>
    <w:p w14:paraId="38A6F80D">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6.4采购人不组织现场踏勘，不召开报价预备会。</w:t>
      </w:r>
    </w:p>
    <w:p w14:paraId="300F9E13">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6.5逾期送达的或未送达指定地点的或未按要求密封的竞争性比选响应文件，采购人不予受理。</w:t>
      </w:r>
    </w:p>
    <w:p w14:paraId="3DEC1360">
      <w:pPr>
        <w:pStyle w:val="14"/>
        <w:adjustRightInd w:val="0"/>
        <w:spacing w:line="400" w:lineRule="exact"/>
        <w:outlineLvl w:val="2"/>
        <w:rPr>
          <w:rFonts w:ascii="宋体" w:hAnsi="宋体" w:cs="宋体"/>
          <w:color w:val="auto"/>
          <w:highlight w:val="none"/>
        </w:rPr>
      </w:pPr>
      <w:r>
        <w:rPr>
          <w:rFonts w:hint="eastAsia" w:ascii="宋体" w:hAnsi="宋体" w:cs="宋体"/>
          <w:color w:val="auto"/>
          <w:highlight w:val="none"/>
        </w:rPr>
        <w:t>6.6递交方式：现场递交或邮寄，若采用现场递交方式需在竞争性比选响应文件递交截止时间前将竞争性比选响应文件送达并参与现场开标；若采用邮寄方式的需在竞争性比选响应文件递交截止时间前将竞争性比选响应文件邮寄至重庆首讯科技股份有限公司（重庆市渝北区龙溪街道新南路52号东界龙湖三楼），并按要求进行密封，否则采购人有权拒收，采用邮寄方式的报价人默认认可采购人的开标结果，不得由此提出任何质疑。</w:t>
      </w:r>
    </w:p>
    <w:p w14:paraId="474D93D5">
      <w:pPr>
        <w:pStyle w:val="4"/>
        <w:spacing w:before="0" w:after="0" w:line="400" w:lineRule="exact"/>
        <w:rPr>
          <w:rFonts w:ascii="宋体" w:hAnsi="宋体" w:eastAsia="宋体" w:cs="宋体"/>
          <w:color w:val="auto"/>
          <w:highlight w:val="none"/>
        </w:rPr>
      </w:pPr>
      <w:bookmarkStart w:id="119" w:name="_Toc28014"/>
      <w:bookmarkStart w:id="120" w:name="_Toc8843"/>
      <w:bookmarkStart w:id="121" w:name="_Toc12272"/>
      <w:bookmarkStart w:id="122" w:name="_Toc16800"/>
      <w:r>
        <w:rPr>
          <w:rFonts w:hint="eastAsia" w:ascii="宋体" w:hAnsi="宋体" w:eastAsia="宋体" w:cs="宋体"/>
          <w:color w:val="auto"/>
          <w:highlight w:val="none"/>
        </w:rPr>
        <w:t>7. 联系方式</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tbl>
      <w:tblPr>
        <w:tblStyle w:val="44"/>
        <w:tblW w:w="9388" w:type="dxa"/>
        <w:tblInd w:w="0" w:type="dxa"/>
        <w:tblLayout w:type="fixed"/>
        <w:tblCellMar>
          <w:top w:w="0" w:type="dxa"/>
          <w:left w:w="108" w:type="dxa"/>
          <w:bottom w:w="0" w:type="dxa"/>
          <w:right w:w="108" w:type="dxa"/>
        </w:tblCellMar>
      </w:tblPr>
      <w:tblGrid>
        <w:gridCol w:w="9388"/>
      </w:tblGrid>
      <w:tr w14:paraId="47F4019B">
        <w:tblPrEx>
          <w:tblCellMar>
            <w:top w:w="0" w:type="dxa"/>
            <w:left w:w="108" w:type="dxa"/>
            <w:bottom w:w="0" w:type="dxa"/>
            <w:right w:w="108" w:type="dxa"/>
          </w:tblCellMar>
        </w:tblPrEx>
        <w:trPr>
          <w:trHeight w:val="470" w:hRule="atLeast"/>
        </w:trPr>
        <w:tc>
          <w:tcPr>
            <w:tcW w:w="9388" w:type="dxa"/>
            <w:vAlign w:val="center"/>
          </w:tcPr>
          <w:p w14:paraId="4CFD3093">
            <w:pPr>
              <w:pStyle w:val="105"/>
              <w:spacing w:before="0" w:beforeAutospacing="0" w:after="0" w:afterAutospacing="0" w:line="400" w:lineRule="exact"/>
              <w:ind w:firstLine="420" w:firstLineChars="200"/>
              <w:jc w:val="both"/>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679E92ED">
        <w:tblPrEx>
          <w:tblCellMar>
            <w:top w:w="0" w:type="dxa"/>
            <w:left w:w="108" w:type="dxa"/>
            <w:bottom w:w="0" w:type="dxa"/>
            <w:right w:w="108" w:type="dxa"/>
          </w:tblCellMar>
        </w:tblPrEx>
        <w:trPr>
          <w:trHeight w:val="461" w:hRule="atLeast"/>
        </w:trPr>
        <w:tc>
          <w:tcPr>
            <w:tcW w:w="9388" w:type="dxa"/>
            <w:vAlign w:val="center"/>
          </w:tcPr>
          <w:p w14:paraId="77EAF863">
            <w:pPr>
              <w:topLinePunct/>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地址：重庆市渝北区新南路52号东界龙湖三楼</w:t>
            </w:r>
          </w:p>
        </w:tc>
      </w:tr>
      <w:tr w14:paraId="5E7AB3EE">
        <w:tblPrEx>
          <w:tblCellMar>
            <w:top w:w="0" w:type="dxa"/>
            <w:left w:w="108" w:type="dxa"/>
            <w:bottom w:w="0" w:type="dxa"/>
            <w:right w:w="108" w:type="dxa"/>
          </w:tblCellMar>
        </w:tblPrEx>
        <w:trPr>
          <w:trHeight w:val="405" w:hRule="atLeast"/>
        </w:trPr>
        <w:tc>
          <w:tcPr>
            <w:tcW w:w="9388" w:type="dxa"/>
            <w:vAlign w:val="center"/>
          </w:tcPr>
          <w:p w14:paraId="4C0B22D9">
            <w:pPr>
              <w:topLinePunct/>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技术联系人：</w:t>
            </w:r>
            <w:r>
              <w:rPr>
                <w:rFonts w:hint="eastAsia" w:ascii="宋体" w:hAnsi="宋体" w:cs="宋体"/>
                <w:color w:val="auto"/>
                <w:szCs w:val="21"/>
                <w:highlight w:val="none"/>
                <w:lang w:val="en-US" w:eastAsia="zh-CN"/>
              </w:rPr>
              <w:t>赵</w:t>
            </w:r>
            <w:r>
              <w:rPr>
                <w:rFonts w:hint="eastAsia" w:ascii="宋体" w:hAnsi="宋体" w:cs="宋体"/>
                <w:color w:val="auto"/>
                <w:szCs w:val="21"/>
                <w:highlight w:val="none"/>
              </w:rPr>
              <w:t>老师  电 话：18623041812</w:t>
            </w:r>
          </w:p>
        </w:tc>
      </w:tr>
      <w:tr w14:paraId="76EB3A23">
        <w:tblPrEx>
          <w:tblCellMar>
            <w:top w:w="0" w:type="dxa"/>
            <w:left w:w="108" w:type="dxa"/>
            <w:bottom w:w="0" w:type="dxa"/>
            <w:right w:w="108" w:type="dxa"/>
          </w:tblCellMar>
        </w:tblPrEx>
        <w:trPr>
          <w:trHeight w:val="405" w:hRule="atLeast"/>
        </w:trPr>
        <w:tc>
          <w:tcPr>
            <w:tcW w:w="9388" w:type="dxa"/>
            <w:vAlign w:val="center"/>
          </w:tcPr>
          <w:p w14:paraId="2B373679">
            <w:pPr>
              <w:topLinePunct/>
              <w:spacing w:line="400" w:lineRule="exact"/>
              <w:ind w:firstLine="420" w:firstLineChars="200"/>
              <w:rPr>
                <w:color w:val="auto"/>
                <w:highlight w:val="none"/>
              </w:rPr>
            </w:pPr>
            <w:r>
              <w:rPr>
                <w:rFonts w:hint="eastAsia" w:ascii="宋体" w:hAnsi="宋体" w:cs="宋体"/>
                <w:color w:val="auto"/>
                <w:szCs w:val="21"/>
                <w:highlight w:val="none"/>
              </w:rPr>
              <w:t>商务联系人：潘老师  电 话：18523970401</w:t>
            </w:r>
          </w:p>
        </w:tc>
      </w:tr>
    </w:tbl>
    <w:p w14:paraId="4E7A8B3A">
      <w:pPr>
        <w:rPr>
          <w:color w:val="auto"/>
          <w:highlight w:val="none"/>
        </w:rPr>
      </w:pPr>
    </w:p>
    <w:p w14:paraId="6266F928">
      <w:pPr>
        <w:pStyle w:val="29"/>
        <w:rPr>
          <w:color w:val="auto"/>
          <w:highlight w:val="none"/>
        </w:rPr>
      </w:pPr>
    </w:p>
    <w:p w14:paraId="6590890C">
      <w:pPr>
        <w:rPr>
          <w:color w:val="auto"/>
          <w:highlight w:val="none"/>
        </w:rPr>
      </w:pPr>
    </w:p>
    <w:p w14:paraId="2B41300D">
      <w:pPr>
        <w:pStyle w:val="29"/>
        <w:rPr>
          <w:color w:val="auto"/>
          <w:highlight w:val="none"/>
        </w:rPr>
      </w:pPr>
    </w:p>
    <w:bookmarkEnd w:id="16"/>
    <w:bookmarkEnd w:id="17"/>
    <w:p w14:paraId="7E3B0F11">
      <w:pPr>
        <w:pStyle w:val="3"/>
        <w:numPr>
          <w:ilvl w:val="0"/>
          <w:numId w:val="2"/>
        </w:numPr>
        <w:spacing w:before="0" w:after="0" w:line="360" w:lineRule="auto"/>
        <w:jc w:val="center"/>
        <w:rPr>
          <w:rFonts w:ascii="宋体" w:hAnsi="宋体" w:cs="宋体"/>
          <w:color w:val="auto"/>
          <w:highlight w:val="none"/>
        </w:rPr>
      </w:pPr>
      <w:bookmarkStart w:id="123" w:name="_Toc2000405"/>
      <w:bookmarkStart w:id="124" w:name="_Toc144974495"/>
      <w:bookmarkStart w:id="125" w:name="_Toc152042303"/>
      <w:bookmarkStart w:id="126" w:name="_Toc246996173"/>
      <w:bookmarkStart w:id="127" w:name="_Toc246996916"/>
      <w:bookmarkStart w:id="128" w:name="_Toc179632544"/>
      <w:bookmarkStart w:id="129" w:name="_Toc152045527"/>
      <w:bookmarkStart w:id="130" w:name="_Toc507319898"/>
      <w:bookmarkStart w:id="131" w:name="_Toc247085687"/>
      <w:r>
        <w:rPr>
          <w:rFonts w:hint="eastAsia" w:ascii="宋体" w:hAnsi="宋体" w:cs="宋体"/>
          <w:color w:val="auto"/>
          <w:highlight w:val="none"/>
        </w:rPr>
        <w:br w:type="page"/>
      </w:r>
      <w:bookmarkEnd w:id="123"/>
      <w:bookmarkEnd w:id="124"/>
      <w:bookmarkEnd w:id="125"/>
      <w:bookmarkEnd w:id="126"/>
      <w:bookmarkEnd w:id="127"/>
      <w:bookmarkEnd w:id="128"/>
      <w:bookmarkEnd w:id="129"/>
      <w:bookmarkEnd w:id="130"/>
      <w:bookmarkEnd w:id="131"/>
      <w:bookmarkStart w:id="132" w:name="_Toc16020"/>
      <w:r>
        <w:rPr>
          <w:rFonts w:hint="eastAsia" w:ascii="宋体" w:hAnsi="宋体" w:cs="宋体"/>
          <w:color w:val="auto"/>
          <w:highlight w:val="none"/>
        </w:rPr>
        <w:t>报价人须知</w:t>
      </w:r>
      <w:bookmarkEnd w:id="132"/>
    </w:p>
    <w:p w14:paraId="6DA3362C">
      <w:pPr>
        <w:rPr>
          <w:color w:val="auto"/>
          <w:highlight w:val="none"/>
        </w:rPr>
      </w:pPr>
      <w:r>
        <w:rPr>
          <w:rFonts w:hint="eastAsia"/>
          <w:color w:val="auto"/>
          <w:highlight w:val="none"/>
        </w:rPr>
        <w:t>报价人须知前附表</w:t>
      </w:r>
    </w:p>
    <w:tbl>
      <w:tblPr>
        <w:tblStyle w:val="44"/>
        <w:tblpPr w:leftFromText="180" w:rightFromText="180" w:vertAnchor="text" w:horzAnchor="page" w:tblpX="1111"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2C518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97" w:type="dxa"/>
            <w:vAlign w:val="center"/>
          </w:tcPr>
          <w:p w14:paraId="34F9D8A3">
            <w:pPr>
              <w:spacing w:line="360" w:lineRule="exact"/>
              <w:jc w:val="center"/>
              <w:rPr>
                <w:rFonts w:ascii="宋体" w:hAnsi="宋体" w:cs="宋体"/>
                <w:b/>
                <w:color w:val="auto"/>
                <w:kern w:val="0"/>
                <w:szCs w:val="21"/>
                <w:highlight w:val="none"/>
              </w:rPr>
            </w:pPr>
            <w:bookmarkStart w:id="133" w:name="_Toc326760840"/>
            <w:bookmarkStart w:id="134" w:name="_Toc224103317"/>
            <w:r>
              <w:rPr>
                <w:rFonts w:hint="eastAsia" w:ascii="宋体" w:hAnsi="宋体" w:cs="宋体"/>
                <w:b/>
                <w:color w:val="auto"/>
                <w:kern w:val="0"/>
                <w:szCs w:val="21"/>
                <w:highlight w:val="none"/>
              </w:rPr>
              <w:t>序号</w:t>
            </w:r>
          </w:p>
        </w:tc>
        <w:tc>
          <w:tcPr>
            <w:tcW w:w="2106" w:type="dxa"/>
            <w:vAlign w:val="center"/>
          </w:tcPr>
          <w:p w14:paraId="0BCF4522">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66D8D044">
            <w:pPr>
              <w:spacing w:line="360" w:lineRule="exact"/>
              <w:ind w:firstLine="422" w:firstLineChars="200"/>
              <w:jc w:val="center"/>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9A00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4438E53C">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74BB7216">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178C3E02">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采购人：重庆首讯科技股份有限公司</w:t>
            </w:r>
          </w:p>
          <w:p w14:paraId="146178C8">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地  址：重庆市渝北区新南路52号东界龙湖三楼</w:t>
            </w:r>
          </w:p>
          <w:p w14:paraId="10912628">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联系人：潘老师</w:t>
            </w:r>
          </w:p>
          <w:p w14:paraId="02D37F2F">
            <w:pPr>
              <w:topLinePunct/>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电  话：18523970401</w:t>
            </w:r>
          </w:p>
        </w:tc>
      </w:tr>
      <w:tr w14:paraId="54488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753F8BBF">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3C0FA320">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7A9C87B9">
            <w:pPr>
              <w:spacing w:line="36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首讯公司通信工程施工总承包二级和电力工程施工总承包二级资质申报咨询服务</w:t>
            </w:r>
          </w:p>
        </w:tc>
      </w:tr>
      <w:tr w14:paraId="674D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10B4674D">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04E61D7A">
            <w:pPr>
              <w:spacing w:line="360" w:lineRule="exact"/>
              <w:jc w:val="center"/>
              <w:rPr>
                <w:rFonts w:ascii="宋体" w:hAnsi="宋体" w:cs="宋体"/>
                <w:color w:val="auto"/>
                <w:kern w:val="0"/>
                <w:szCs w:val="21"/>
                <w:highlight w:val="none"/>
              </w:rPr>
            </w:pPr>
            <w:r>
              <w:rPr>
                <w:rFonts w:hint="eastAsia" w:ascii="宋体" w:hAnsi="宋体" w:cs="宋体"/>
                <w:color w:val="auto"/>
                <w:szCs w:val="21"/>
                <w:highlight w:val="none"/>
              </w:rPr>
              <w:t>采购内容</w:t>
            </w:r>
          </w:p>
        </w:tc>
        <w:tc>
          <w:tcPr>
            <w:tcW w:w="7104" w:type="dxa"/>
            <w:vAlign w:val="center"/>
          </w:tcPr>
          <w:p w14:paraId="54542C48">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见比选公告</w:t>
            </w:r>
          </w:p>
        </w:tc>
      </w:tr>
      <w:tr w14:paraId="7E772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2169B9A2">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65FF25F2">
            <w:pPr>
              <w:spacing w:line="360" w:lineRule="exact"/>
              <w:jc w:val="center"/>
              <w:rPr>
                <w:rFonts w:ascii="宋体" w:hAnsi="宋体" w:cs="宋体"/>
                <w:color w:val="auto"/>
                <w:szCs w:val="21"/>
                <w:highlight w:val="none"/>
              </w:rPr>
            </w:pPr>
            <w:r>
              <w:rPr>
                <w:rFonts w:hint="eastAsia" w:ascii="宋体" w:hAnsi="宋体" w:cs="宋体"/>
                <w:color w:val="auto"/>
                <w:highlight w:val="none"/>
              </w:rPr>
              <w:t>服务地点</w:t>
            </w:r>
          </w:p>
        </w:tc>
        <w:tc>
          <w:tcPr>
            <w:tcW w:w="7104" w:type="dxa"/>
            <w:vAlign w:val="center"/>
          </w:tcPr>
          <w:p w14:paraId="7C7B9D72">
            <w:pPr>
              <w:tabs>
                <w:tab w:val="left" w:pos="3000"/>
                <w:tab w:val="left" w:pos="3280"/>
                <w:tab w:val="left" w:pos="6120"/>
                <w:tab w:val="left" w:pos="7540"/>
                <w:tab w:val="left" w:pos="8320"/>
              </w:tabs>
              <w:autoSpaceDE w:val="0"/>
              <w:autoSpaceDN w:val="0"/>
              <w:adjustRightInd w:val="0"/>
              <w:spacing w:line="36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5F7AC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D9AACC1">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FA0AD17">
            <w:pPr>
              <w:spacing w:line="360" w:lineRule="exact"/>
              <w:jc w:val="center"/>
              <w:rPr>
                <w:rFonts w:ascii="宋体" w:hAnsi="宋体" w:cs="宋体"/>
                <w:color w:val="auto"/>
                <w:highlight w:val="none"/>
              </w:rPr>
            </w:pPr>
            <w:r>
              <w:rPr>
                <w:rFonts w:hint="eastAsia" w:ascii="宋体" w:hAnsi="宋体" w:cs="宋体"/>
                <w:color w:val="auto"/>
                <w:szCs w:val="21"/>
                <w:highlight w:val="none"/>
              </w:rPr>
              <w:t>服务期限</w:t>
            </w:r>
          </w:p>
        </w:tc>
        <w:tc>
          <w:tcPr>
            <w:tcW w:w="7104" w:type="dxa"/>
            <w:vAlign w:val="center"/>
          </w:tcPr>
          <w:p w14:paraId="03C10058">
            <w:pPr>
              <w:tabs>
                <w:tab w:val="left" w:pos="3000"/>
                <w:tab w:val="left" w:pos="3280"/>
                <w:tab w:val="left" w:pos="6120"/>
                <w:tab w:val="left" w:pos="7540"/>
                <w:tab w:val="left" w:pos="8320"/>
              </w:tabs>
              <w:autoSpaceDE w:val="0"/>
              <w:autoSpaceDN w:val="0"/>
              <w:adjustRightInd w:val="0"/>
              <w:spacing w:line="36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7305B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1E4A1BCE">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4B3AF36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缺陷责任期（质保期）</w:t>
            </w:r>
          </w:p>
        </w:tc>
        <w:tc>
          <w:tcPr>
            <w:tcW w:w="7104" w:type="dxa"/>
            <w:vAlign w:val="center"/>
          </w:tcPr>
          <w:p w14:paraId="16920167">
            <w:pPr>
              <w:tabs>
                <w:tab w:val="left" w:pos="3000"/>
                <w:tab w:val="left" w:pos="3280"/>
                <w:tab w:val="left" w:pos="6120"/>
                <w:tab w:val="left" w:pos="7540"/>
                <w:tab w:val="left" w:pos="8320"/>
              </w:tabs>
              <w:autoSpaceDE w:val="0"/>
              <w:autoSpaceDN w:val="0"/>
              <w:adjustRightInd w:val="0"/>
              <w:spacing w:line="360" w:lineRule="exact"/>
              <w:ind w:firstLine="420" w:firstLineChars="200"/>
              <w:rPr>
                <w:rFonts w:ascii="宋体" w:hAnsi="宋体" w:cs="宋体"/>
                <w:color w:val="auto"/>
                <w:kern w:val="10"/>
                <w:szCs w:val="21"/>
                <w:highlight w:val="none"/>
              </w:rPr>
            </w:pPr>
            <w:r>
              <w:rPr>
                <w:rFonts w:hint="eastAsia" w:ascii="宋体" w:hAnsi="宋体" w:cs="宋体"/>
                <w:color w:val="auto"/>
                <w:kern w:val="10"/>
                <w:szCs w:val="21"/>
                <w:highlight w:val="none"/>
              </w:rPr>
              <w:t>/</w:t>
            </w:r>
          </w:p>
        </w:tc>
      </w:tr>
      <w:tr w14:paraId="2ABE2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3489027">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4AD2F460">
            <w:pPr>
              <w:spacing w:line="360" w:lineRule="exact"/>
              <w:jc w:val="center"/>
              <w:rPr>
                <w:rFonts w:ascii="宋体" w:hAnsi="宋体" w:cs="宋体"/>
                <w:color w:val="auto"/>
                <w:kern w:val="0"/>
                <w:szCs w:val="21"/>
                <w:highlight w:val="none"/>
              </w:rPr>
            </w:pPr>
            <w:r>
              <w:rPr>
                <w:rFonts w:hint="eastAsia" w:ascii="宋体" w:hAnsi="宋体" w:cs="宋体"/>
                <w:color w:val="auto"/>
                <w:szCs w:val="21"/>
                <w:highlight w:val="none"/>
              </w:rPr>
              <w:t>服务要求</w:t>
            </w:r>
          </w:p>
        </w:tc>
        <w:tc>
          <w:tcPr>
            <w:tcW w:w="7104" w:type="dxa"/>
            <w:vAlign w:val="center"/>
          </w:tcPr>
          <w:p w14:paraId="1A9F269F">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详见第六章 服务要求</w:t>
            </w:r>
          </w:p>
        </w:tc>
      </w:tr>
      <w:tr w14:paraId="30399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0C20CD5">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0B0CDDF0">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报价人资格要求</w:t>
            </w:r>
          </w:p>
        </w:tc>
        <w:tc>
          <w:tcPr>
            <w:tcW w:w="7104" w:type="dxa"/>
            <w:vAlign w:val="center"/>
          </w:tcPr>
          <w:p w14:paraId="07EE21C2">
            <w:pPr>
              <w:spacing w:line="36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01F57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11B8D5E">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1B051B05">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0694915B">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CE5DEEA">
            <w:pPr>
              <w:spacing w:line="36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不接受</w:t>
            </w:r>
          </w:p>
        </w:tc>
      </w:tr>
      <w:tr w14:paraId="41DE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259F408">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0BFFF28E">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37D51C8C">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6D84D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F209613">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62A99A46">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7763540B">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F4D3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348AAEF5">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106" w:type="dxa"/>
            <w:vAlign w:val="center"/>
          </w:tcPr>
          <w:p w14:paraId="708BBA92">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1A4113E1">
            <w:pPr>
              <w:spacing w:line="360" w:lineRule="exact"/>
              <w:ind w:firstLine="422" w:firstLineChars="200"/>
              <w:rPr>
                <w:rFonts w:ascii="宋体" w:hAnsi="宋体" w:cs="宋体"/>
                <w:color w:val="auto"/>
                <w:kern w:val="0"/>
                <w:szCs w:val="21"/>
                <w:highlight w:val="none"/>
              </w:rPr>
            </w:pPr>
            <w:bookmarkStart w:id="135" w:name="OLE_LINK9"/>
            <w:r>
              <w:rPr>
                <w:rFonts w:hint="eastAsia" w:ascii="宋体" w:hAnsi="宋体" w:cs="宋体"/>
                <w:b/>
                <w:bCs/>
                <w:color w:val="auto"/>
                <w:szCs w:val="21"/>
                <w:highlight w:val="none"/>
              </w:rPr>
              <w:t>不允许负偏差</w:t>
            </w:r>
            <w:r>
              <w:rPr>
                <w:rFonts w:ascii="宋体" w:hAnsi="宋体" w:cs="宋体"/>
                <w:b/>
                <w:bCs/>
                <w:color w:val="auto"/>
                <w:szCs w:val="21"/>
                <w:highlight w:val="none"/>
              </w:rPr>
              <w:t>。</w:t>
            </w:r>
            <w:bookmarkEnd w:id="135"/>
          </w:p>
        </w:tc>
      </w:tr>
      <w:tr w14:paraId="4D25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56C036B">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106" w:type="dxa"/>
            <w:vAlign w:val="center"/>
          </w:tcPr>
          <w:p w14:paraId="6FBC4C86">
            <w:pPr>
              <w:spacing w:line="360" w:lineRule="exact"/>
              <w:jc w:val="center"/>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3116F557">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采购人发布的图纸、补遗书、答疑、澄清、最高限价通知等附件。</w:t>
            </w:r>
          </w:p>
        </w:tc>
      </w:tr>
      <w:tr w14:paraId="4B21B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1FA9EBA3">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14</w:t>
            </w:r>
          </w:p>
        </w:tc>
        <w:tc>
          <w:tcPr>
            <w:tcW w:w="2106" w:type="dxa"/>
            <w:vAlign w:val="center"/>
          </w:tcPr>
          <w:p w14:paraId="0608F51A">
            <w:pPr>
              <w:spacing w:line="360" w:lineRule="exact"/>
              <w:jc w:val="center"/>
              <w:rPr>
                <w:rFonts w:ascii="宋体" w:hAnsi="宋体" w:cs="宋体"/>
                <w:color w:val="auto"/>
                <w:kern w:val="0"/>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641367D3">
            <w:pPr>
              <w:pStyle w:val="152"/>
              <w:spacing w:line="360" w:lineRule="exact"/>
              <w:ind w:firstLine="420" w:firstLineChars="200"/>
              <w:jc w:val="both"/>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6892D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0B9FC514">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106" w:type="dxa"/>
            <w:vAlign w:val="center"/>
          </w:tcPr>
          <w:p w14:paraId="01025668">
            <w:pPr>
              <w:spacing w:line="36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报价原则</w:t>
            </w:r>
          </w:p>
        </w:tc>
        <w:tc>
          <w:tcPr>
            <w:tcW w:w="7104" w:type="dxa"/>
            <w:vAlign w:val="center"/>
          </w:tcPr>
          <w:p w14:paraId="5217F547">
            <w:pPr>
              <w:spacing w:line="420" w:lineRule="exact"/>
              <w:ind w:firstLine="420" w:firstLineChars="200"/>
              <w:rPr>
                <w:rFonts w:hint="eastAsia" w:ascii="宋体" w:hAnsi="宋体" w:cs="宋体"/>
                <w:color w:val="auto"/>
                <w:szCs w:val="21"/>
                <w:highlight w:val="none"/>
                <w:u w:val="none"/>
              </w:rPr>
            </w:pPr>
            <w:r>
              <w:rPr>
                <w:rFonts w:hint="eastAsia" w:ascii="宋体" w:hAnsi="宋体" w:cs="宋体"/>
                <w:color w:val="auto"/>
                <w:szCs w:val="21"/>
                <w:highlight w:val="none"/>
                <w:u w:val="none"/>
              </w:rPr>
              <w:t>1</w:t>
            </w:r>
            <w:r>
              <w:rPr>
                <w:rFonts w:hint="eastAsia" w:ascii="宋体" w:hAnsi="宋体" w:cs="宋体"/>
                <w:color w:val="auto"/>
                <w:szCs w:val="21"/>
                <w:highlight w:val="none"/>
                <w:u w:val="none"/>
                <w:lang w:eastAsia="zh-CN"/>
              </w:rPr>
              <w:t>、</w:t>
            </w:r>
            <w:r>
              <w:rPr>
                <w:rFonts w:hint="eastAsia" w:ascii="宋体" w:hAnsi="宋体" w:cs="宋体"/>
                <w:color w:val="auto"/>
                <w:szCs w:val="21"/>
                <w:highlight w:val="none"/>
                <w:u w:val="none"/>
              </w:rPr>
              <w:t>投标报价：</w:t>
            </w:r>
          </w:p>
          <w:p w14:paraId="0D516494">
            <w:pPr>
              <w:spacing w:line="420" w:lineRule="exact"/>
              <w:ind w:firstLine="420" w:firstLineChars="200"/>
              <w:rPr>
                <w:rFonts w:hint="eastAsia" w:ascii="宋体" w:hAnsi="宋体" w:cs="宋体"/>
                <w:color w:val="auto"/>
                <w:szCs w:val="21"/>
                <w:highlight w:val="none"/>
                <w:u w:val="none"/>
              </w:rPr>
            </w:pPr>
            <w:r>
              <w:rPr>
                <w:rFonts w:hint="eastAsia" w:ascii="宋体" w:hAnsi="宋体" w:cs="宋体"/>
                <w:color w:val="auto"/>
                <w:szCs w:val="21"/>
                <w:highlight w:val="none"/>
                <w:u w:val="none"/>
              </w:rPr>
              <w:t>本项目采用总价包干报价，</w:t>
            </w:r>
            <w:r>
              <w:rPr>
                <w:rFonts w:hint="eastAsia" w:ascii="宋体" w:hAnsi="宋体" w:cs="宋体"/>
                <w:color w:val="auto"/>
                <w:szCs w:val="21"/>
                <w:highlight w:val="none"/>
                <w:u w:val="none"/>
                <w:lang w:val="en-US" w:eastAsia="zh-CN"/>
              </w:rPr>
              <w:t>报价</w:t>
            </w:r>
            <w:r>
              <w:rPr>
                <w:rFonts w:hint="eastAsia" w:ascii="宋体" w:hAnsi="宋体" w:cs="宋体"/>
                <w:color w:val="auto"/>
                <w:szCs w:val="21"/>
                <w:highlight w:val="none"/>
                <w:u w:val="none"/>
              </w:rPr>
              <w:t>人所报总报价应包含但不限于完成本项目</w:t>
            </w:r>
            <w:r>
              <w:rPr>
                <w:rFonts w:hint="eastAsia" w:ascii="宋体" w:hAnsi="宋体" w:cs="宋体"/>
                <w:color w:val="auto"/>
                <w:szCs w:val="21"/>
                <w:highlight w:val="none"/>
                <w:u w:val="none"/>
                <w:lang w:val="en-US" w:eastAsia="zh-CN"/>
              </w:rPr>
              <w:t>比选</w:t>
            </w:r>
            <w:r>
              <w:rPr>
                <w:rFonts w:hint="eastAsia" w:ascii="宋体" w:hAnsi="宋体" w:cs="宋体"/>
                <w:color w:val="auto"/>
                <w:szCs w:val="21"/>
                <w:highlight w:val="none"/>
                <w:u w:val="none"/>
              </w:rPr>
              <w:t>内容全部工作内容所需的</w:t>
            </w:r>
            <w:r>
              <w:rPr>
                <w:rFonts w:hint="eastAsia" w:ascii="宋体" w:hAnsi="宋体" w:cs="宋体"/>
                <w:color w:val="auto"/>
                <w:szCs w:val="21"/>
                <w:highlight w:val="none"/>
                <w:u w:val="none"/>
              </w:rPr>
              <w:t>人工、材料</w:t>
            </w:r>
            <w:r>
              <w:rPr>
                <w:rFonts w:hint="eastAsia" w:ascii="宋体" w:hAnsi="宋体" w:cs="宋体"/>
                <w:color w:val="auto"/>
                <w:szCs w:val="21"/>
                <w:highlight w:val="none"/>
                <w:u w:val="none"/>
                <w:lang w:eastAsia="zh-CN"/>
              </w:rPr>
              <w:t>、</w:t>
            </w:r>
            <w:r>
              <w:rPr>
                <w:rFonts w:hint="eastAsia" w:ascii="宋体" w:hAnsi="宋体" w:cs="宋体"/>
                <w:color w:val="auto"/>
                <w:szCs w:val="21"/>
                <w:highlight w:val="none"/>
                <w:u w:val="none"/>
                <w:lang w:val="en-US" w:eastAsia="zh-CN"/>
              </w:rPr>
              <w:t>机械、服务</w:t>
            </w:r>
            <w:r>
              <w:rPr>
                <w:rFonts w:hint="eastAsia" w:ascii="宋体" w:hAnsi="宋体" w:cs="宋体"/>
                <w:color w:val="auto"/>
                <w:szCs w:val="21"/>
                <w:highlight w:val="none"/>
                <w:u w:val="none"/>
              </w:rPr>
              <w:t>、税金、管理费、利润等所有费用，一旦中标，</w:t>
            </w:r>
            <w:r>
              <w:rPr>
                <w:rFonts w:hint="eastAsia" w:ascii="宋体" w:hAnsi="宋体" w:cs="宋体"/>
                <w:color w:val="auto"/>
                <w:szCs w:val="21"/>
                <w:highlight w:val="none"/>
                <w:u w:val="none"/>
                <w:lang w:val="en-US" w:eastAsia="zh-CN"/>
              </w:rPr>
              <w:t>采购</w:t>
            </w:r>
            <w:r>
              <w:rPr>
                <w:rFonts w:hint="eastAsia" w:ascii="宋体" w:hAnsi="宋体" w:cs="宋体"/>
                <w:color w:val="auto"/>
                <w:szCs w:val="21"/>
                <w:highlight w:val="none"/>
                <w:u w:val="none"/>
              </w:rPr>
              <w:t>人不再额外支付任何费用。</w:t>
            </w:r>
          </w:p>
          <w:p w14:paraId="379E1671">
            <w:pPr>
              <w:spacing w:line="420" w:lineRule="exact"/>
              <w:ind w:firstLine="420" w:firstLineChars="200"/>
              <w:rPr>
                <w:rFonts w:hint="eastAsia" w:ascii="宋体" w:hAnsi="宋体" w:cs="宋体"/>
                <w:color w:val="auto"/>
                <w:szCs w:val="21"/>
                <w:highlight w:val="none"/>
                <w:u w:val="none"/>
              </w:rPr>
            </w:pPr>
            <w:r>
              <w:rPr>
                <w:rFonts w:hint="eastAsia" w:ascii="宋体" w:hAnsi="宋体" w:cs="宋体"/>
                <w:color w:val="auto"/>
                <w:highlight w:val="none"/>
                <w:u w:val="none"/>
              </w:rPr>
              <w:t>2</w:t>
            </w:r>
            <w:r>
              <w:rPr>
                <w:rFonts w:hint="eastAsia" w:ascii="宋体" w:hAnsi="宋体" w:cs="宋体"/>
                <w:color w:val="auto"/>
                <w:highlight w:val="none"/>
                <w:u w:val="none"/>
                <w:lang w:eastAsia="zh-CN"/>
              </w:rPr>
              <w:t>、</w:t>
            </w:r>
            <w:r>
              <w:rPr>
                <w:rFonts w:hint="eastAsia" w:ascii="宋体" w:hAnsi="宋体" w:cs="宋体"/>
                <w:color w:val="auto"/>
                <w:highlight w:val="none"/>
                <w:u w:val="none"/>
              </w:rPr>
              <w:t>报价原则</w:t>
            </w:r>
          </w:p>
          <w:p w14:paraId="0CE13B9A">
            <w:pPr>
              <w:spacing w:line="420" w:lineRule="exact"/>
              <w:ind w:firstLine="308" w:firstLineChars="147"/>
              <w:rPr>
                <w:rFonts w:hint="eastAsia" w:ascii="宋体" w:hAnsi="宋体" w:cs="宋体"/>
                <w:color w:val="auto"/>
                <w:szCs w:val="21"/>
                <w:highlight w:val="none"/>
                <w:u w:val="none"/>
              </w:rPr>
            </w:pPr>
            <w:r>
              <w:rPr>
                <w:rFonts w:hint="eastAsia" w:ascii="宋体" w:hAnsi="宋体" w:cs="宋体"/>
                <w:color w:val="auto"/>
                <w:highlight w:val="none"/>
                <w:u w:val="none"/>
                <w:lang w:eastAsia="zh-CN"/>
              </w:rPr>
              <w:t>报价人</w:t>
            </w:r>
            <w:r>
              <w:rPr>
                <w:rFonts w:hint="eastAsia" w:ascii="宋体" w:hAnsi="宋体" w:cs="宋体"/>
                <w:color w:val="auto"/>
                <w:highlight w:val="none"/>
                <w:u w:val="none"/>
              </w:rPr>
              <w:t>应严格根据</w:t>
            </w:r>
            <w:r>
              <w:rPr>
                <w:rFonts w:hint="eastAsia" w:ascii="宋体" w:hAnsi="宋体" w:cs="宋体"/>
                <w:color w:val="auto"/>
                <w:highlight w:val="none"/>
                <w:u w:val="none"/>
                <w:lang w:val="en-US" w:eastAsia="zh-CN"/>
              </w:rPr>
              <w:t>竞争性比选文件</w:t>
            </w:r>
            <w:r>
              <w:rPr>
                <w:rFonts w:hint="eastAsia" w:ascii="宋体" w:hAnsi="宋体" w:cs="宋体"/>
                <w:color w:val="auto"/>
                <w:highlight w:val="none"/>
                <w:u w:val="none"/>
              </w:rPr>
              <w:t>及相关资料，结合市场价格、依据企业自身实力、技术及生产管理水平等，进行自主报价；</w:t>
            </w:r>
            <w:r>
              <w:rPr>
                <w:rFonts w:hint="eastAsia" w:ascii="宋体" w:hAnsi="宋体" w:cs="宋体"/>
                <w:color w:val="auto"/>
                <w:highlight w:val="none"/>
                <w:u w:val="none"/>
                <w:lang w:eastAsia="zh-CN"/>
              </w:rPr>
              <w:t>报价人</w:t>
            </w:r>
            <w:r>
              <w:rPr>
                <w:rFonts w:hint="eastAsia" w:ascii="宋体" w:hAnsi="宋体" w:cs="宋体"/>
                <w:color w:val="auto"/>
                <w:highlight w:val="none"/>
                <w:u w:val="none"/>
              </w:rPr>
              <w:t>投标总报价只能有一个有效报价，不得提交选择性报价，否则竞争性比选响应文件将按否决报价处理。</w:t>
            </w:r>
          </w:p>
          <w:p w14:paraId="6B2A825E">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u w:val="none"/>
              </w:rPr>
            </w:pPr>
            <w:r>
              <w:rPr>
                <w:rFonts w:hint="eastAsia" w:ascii="宋体" w:hAnsi="宋体" w:cs="宋体"/>
                <w:color w:val="auto"/>
                <w:highlight w:val="none"/>
                <w:u w:val="none"/>
                <w:lang w:val="en-US" w:eastAsia="zh-CN"/>
              </w:rPr>
              <w:t>3、</w:t>
            </w:r>
            <w:r>
              <w:rPr>
                <w:rFonts w:hint="eastAsia" w:ascii="宋体" w:hAnsi="宋体" w:cs="宋体"/>
                <w:color w:val="auto"/>
                <w:highlight w:val="none"/>
                <w:u w:val="none"/>
              </w:rPr>
              <w:t>报价人按照采购人提供的报价清单填写报价</w:t>
            </w:r>
          </w:p>
          <w:p w14:paraId="5F9A1D0F">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u w:val="none"/>
              </w:rPr>
            </w:pPr>
            <w:r>
              <w:rPr>
                <w:rFonts w:hint="eastAsia" w:ascii="宋体" w:hAnsi="宋体" w:cs="宋体"/>
                <w:b w:val="0"/>
                <w:bCs/>
                <w:color w:val="auto"/>
                <w:szCs w:val="21"/>
                <w:highlight w:val="none"/>
                <w:u w:val="none"/>
                <w:lang w:val="en-US" w:eastAsia="zh-CN"/>
              </w:rPr>
              <w:t>4、</w:t>
            </w:r>
            <w:r>
              <w:rPr>
                <w:rFonts w:hint="eastAsia" w:ascii="宋体" w:hAnsi="宋体" w:cs="宋体"/>
                <w:b w:val="0"/>
                <w:bCs/>
                <w:color w:val="auto"/>
                <w:szCs w:val="21"/>
                <w:highlight w:val="none"/>
                <w:u w:val="none"/>
              </w:rPr>
              <w:t>综合单价取小数点后两位，小数点后第三位四舍五入。</w:t>
            </w:r>
          </w:p>
          <w:p w14:paraId="6FB6AD68">
            <w:pPr>
              <w:snapToGrid w:val="0"/>
              <w:spacing w:line="420" w:lineRule="exact"/>
              <w:ind w:firstLine="420" w:firstLineChars="200"/>
              <w:rPr>
                <w:rFonts w:hint="eastAsia" w:ascii="宋体" w:hAnsi="宋体" w:cs="宋体"/>
                <w:b w:val="0"/>
                <w:bCs w:val="0"/>
                <w:color w:val="auto"/>
                <w:highlight w:val="none"/>
                <w:u w:val="none"/>
              </w:rPr>
            </w:pPr>
            <w:r>
              <w:rPr>
                <w:rFonts w:hint="eastAsia" w:ascii="宋体" w:hAnsi="宋体" w:cs="宋体"/>
                <w:b w:val="0"/>
                <w:bCs w:val="0"/>
                <w:color w:val="auto"/>
                <w:szCs w:val="21"/>
                <w:highlight w:val="none"/>
                <w:u w:val="none"/>
                <w:lang w:val="en-US" w:eastAsia="zh-CN"/>
              </w:rPr>
              <w:t>5、</w:t>
            </w:r>
            <w:r>
              <w:rPr>
                <w:rFonts w:hint="eastAsia" w:ascii="宋体" w:hAnsi="宋体" w:cs="宋体"/>
                <w:b w:val="0"/>
                <w:bCs w:val="0"/>
                <w:color w:val="auto"/>
                <w:szCs w:val="21"/>
                <w:highlight w:val="none"/>
                <w:u w:val="none"/>
              </w:rPr>
              <w:t>本项目报价清单及说明随比选文件一并发布，详见</w:t>
            </w:r>
            <w:r>
              <w:rPr>
                <w:rFonts w:hint="eastAsia"/>
                <w:color w:val="auto"/>
                <w:highlight w:val="none"/>
              </w:rPr>
              <w:t>后文</w:t>
            </w:r>
            <w:r>
              <w:rPr>
                <w:rFonts w:hint="eastAsia" w:ascii="宋体" w:hAnsi="宋体" w:cs="宋体"/>
                <w:b w:val="0"/>
                <w:bCs w:val="0"/>
                <w:color w:val="auto"/>
                <w:szCs w:val="21"/>
                <w:highlight w:val="none"/>
                <w:u w:val="none"/>
              </w:rPr>
              <w:t>。</w:t>
            </w:r>
          </w:p>
          <w:p w14:paraId="2091ADCA">
            <w:pPr>
              <w:snapToGrid w:val="0"/>
              <w:spacing w:line="420" w:lineRule="exact"/>
              <w:ind w:firstLine="420" w:firstLineChars="200"/>
              <w:rPr>
                <w:rFonts w:hint="eastAsia" w:ascii="宋体" w:hAnsi="宋体" w:cs="宋体"/>
                <w:b w:val="0"/>
                <w:bCs w:val="0"/>
                <w:color w:val="auto"/>
                <w:highlight w:val="none"/>
                <w:u w:val="none"/>
              </w:rPr>
            </w:pPr>
            <w:r>
              <w:rPr>
                <w:rFonts w:hint="eastAsia" w:ascii="宋体" w:hAnsi="宋体" w:cs="宋体"/>
                <w:b w:val="0"/>
                <w:bCs w:val="0"/>
                <w:color w:val="auto"/>
                <w:highlight w:val="none"/>
                <w:u w:val="none"/>
                <w:lang w:val="en-US" w:eastAsia="zh-CN"/>
              </w:rPr>
              <w:t>注</w:t>
            </w:r>
            <w:r>
              <w:rPr>
                <w:rFonts w:hint="eastAsia" w:ascii="宋体" w:hAnsi="宋体" w:cs="宋体"/>
                <w:b w:val="0"/>
                <w:bCs w:val="0"/>
                <w:color w:val="auto"/>
                <w:highlight w:val="none"/>
                <w:u w:val="none"/>
              </w:rPr>
              <w:t>：</w:t>
            </w:r>
          </w:p>
          <w:p w14:paraId="05C0D658">
            <w:pPr>
              <w:adjustRightInd w:val="0"/>
              <w:snapToGrid w:val="0"/>
              <w:spacing w:line="420" w:lineRule="exact"/>
              <w:ind w:firstLine="344" w:firstLineChars="164"/>
              <w:rPr>
                <w:rFonts w:hint="eastAsia" w:ascii="宋体" w:hAnsi="宋体" w:cs="宋体"/>
                <w:b w:val="0"/>
                <w:bCs w:val="0"/>
                <w:color w:val="auto"/>
                <w:szCs w:val="21"/>
                <w:highlight w:val="none"/>
                <w:u w:val="none"/>
              </w:rPr>
            </w:pPr>
            <w:r>
              <w:rPr>
                <w:rFonts w:hint="eastAsia" w:ascii="宋体" w:hAnsi="宋体" w:cs="宋体"/>
                <w:color w:val="auto"/>
                <w:kern w:val="0"/>
                <w:szCs w:val="21"/>
                <w:highlight w:val="none"/>
                <w:lang w:bidi="ar"/>
              </w:rPr>
              <w:t>（1）</w:t>
            </w:r>
            <w:r>
              <w:rPr>
                <w:rFonts w:hint="eastAsia" w:ascii="宋体" w:hAnsi="宋体" w:cs="宋体"/>
                <w:b w:val="0"/>
                <w:bCs w:val="0"/>
                <w:color w:val="auto"/>
                <w:highlight w:val="none"/>
                <w:u w:val="none"/>
              </w:rPr>
              <w:t>若因</w:t>
            </w:r>
            <w:r>
              <w:rPr>
                <w:rFonts w:hint="eastAsia" w:ascii="宋体" w:hAnsi="宋体" w:cs="宋体"/>
                <w:b w:val="0"/>
                <w:bCs w:val="0"/>
                <w:color w:val="auto"/>
                <w:highlight w:val="none"/>
                <w:u w:val="none"/>
                <w:lang w:eastAsia="zh-CN"/>
              </w:rPr>
              <w:t>报价人</w:t>
            </w:r>
            <w:r>
              <w:rPr>
                <w:rFonts w:hint="eastAsia" w:ascii="宋体" w:hAnsi="宋体" w:cs="宋体"/>
                <w:b w:val="0"/>
                <w:bCs w:val="0"/>
                <w:color w:val="auto"/>
                <w:highlight w:val="none"/>
                <w:u w:val="none"/>
              </w:rPr>
              <w:t>在报价时有漏报、漏项的情况发生，</w:t>
            </w:r>
            <w:r>
              <w:rPr>
                <w:rFonts w:hint="eastAsia" w:ascii="宋体" w:hAnsi="宋体" w:cs="宋体"/>
                <w:b w:val="0"/>
                <w:bCs w:val="0"/>
                <w:color w:val="auto"/>
                <w:highlight w:val="none"/>
                <w:u w:val="none"/>
                <w:lang w:eastAsia="zh-CN"/>
              </w:rPr>
              <w:t>采购人</w:t>
            </w:r>
            <w:r>
              <w:rPr>
                <w:rFonts w:hint="eastAsia" w:ascii="宋体" w:hAnsi="宋体" w:cs="宋体"/>
                <w:b w:val="0"/>
                <w:bCs w:val="0"/>
                <w:color w:val="auto"/>
                <w:highlight w:val="none"/>
                <w:u w:val="none"/>
              </w:rPr>
              <w:t>均视为</w:t>
            </w:r>
            <w:r>
              <w:rPr>
                <w:rFonts w:hint="eastAsia" w:ascii="宋体" w:hAnsi="宋体" w:cs="宋体"/>
                <w:b w:val="0"/>
                <w:bCs w:val="0"/>
                <w:color w:val="auto"/>
                <w:highlight w:val="none"/>
                <w:u w:val="none"/>
                <w:lang w:eastAsia="zh-CN"/>
              </w:rPr>
              <w:t>报价人</w:t>
            </w:r>
            <w:r>
              <w:rPr>
                <w:rFonts w:hint="eastAsia" w:ascii="宋体" w:hAnsi="宋体" w:cs="宋体"/>
                <w:b w:val="0"/>
                <w:bCs w:val="0"/>
                <w:color w:val="auto"/>
                <w:highlight w:val="none"/>
                <w:u w:val="none"/>
              </w:rPr>
              <w:t>已充分理解</w:t>
            </w:r>
            <w:r>
              <w:rPr>
                <w:rFonts w:hint="eastAsia" w:ascii="宋体" w:hAnsi="宋体" w:cs="宋体"/>
                <w:b w:val="0"/>
                <w:bCs w:val="0"/>
                <w:color w:val="auto"/>
                <w:highlight w:val="none"/>
                <w:u w:val="none"/>
                <w:lang w:val="en-US" w:eastAsia="zh-CN"/>
              </w:rPr>
              <w:t>竞争性比选</w:t>
            </w:r>
            <w:r>
              <w:rPr>
                <w:rFonts w:hint="eastAsia" w:ascii="宋体" w:hAnsi="宋体" w:cs="宋体"/>
                <w:b w:val="0"/>
                <w:bCs w:val="0"/>
                <w:color w:val="auto"/>
                <w:highlight w:val="none"/>
                <w:u w:val="none"/>
              </w:rPr>
              <w:t>文件要求，漏报、漏项部分已包含在其报价之中。该</w:t>
            </w:r>
            <w:r>
              <w:rPr>
                <w:rFonts w:hint="eastAsia" w:ascii="宋体" w:hAnsi="宋体" w:cs="宋体"/>
                <w:b w:val="0"/>
                <w:bCs w:val="0"/>
                <w:color w:val="auto"/>
                <w:szCs w:val="21"/>
                <w:highlight w:val="none"/>
                <w:u w:val="none"/>
                <w:lang w:eastAsia="zh-CN"/>
              </w:rPr>
              <w:t>报价人</w:t>
            </w:r>
            <w:r>
              <w:rPr>
                <w:rFonts w:hint="eastAsia" w:ascii="宋体" w:hAnsi="宋体" w:cs="宋体"/>
                <w:b w:val="0"/>
                <w:bCs w:val="0"/>
                <w:color w:val="auto"/>
                <w:szCs w:val="21"/>
                <w:highlight w:val="none"/>
                <w:u w:val="none"/>
              </w:rPr>
              <w:t>若中标，其报价不得调整。</w:t>
            </w:r>
          </w:p>
          <w:p w14:paraId="649D41DE">
            <w:pPr>
              <w:adjustRightInd w:val="0"/>
              <w:snapToGrid w:val="0"/>
              <w:spacing w:line="420" w:lineRule="exact"/>
              <w:ind w:firstLine="344" w:firstLineChars="164"/>
              <w:rPr>
                <w:rFonts w:hint="eastAsia"/>
                <w:color w:val="auto"/>
                <w:highlight w:val="none"/>
              </w:rPr>
            </w:pPr>
            <w:r>
              <w:rPr>
                <w:rFonts w:hint="eastAsia" w:ascii="宋体" w:hAnsi="宋体" w:cs="宋体"/>
                <w:color w:val="auto"/>
                <w:kern w:val="0"/>
                <w:szCs w:val="21"/>
                <w:highlight w:val="none"/>
                <w:lang w:bidi="ar"/>
              </w:rPr>
              <w:t>（</w:t>
            </w:r>
            <w:r>
              <w:rPr>
                <w:rFonts w:hint="eastAsia" w:ascii="宋体" w:hAnsi="宋体" w:cs="宋体"/>
                <w:color w:val="auto"/>
                <w:kern w:val="0"/>
                <w:szCs w:val="21"/>
                <w:highlight w:val="none"/>
                <w:lang w:val="en-US" w:eastAsia="zh-CN" w:bidi="ar"/>
              </w:rPr>
              <w:t>2</w:t>
            </w:r>
            <w:r>
              <w:rPr>
                <w:rFonts w:hint="eastAsia" w:ascii="宋体" w:hAnsi="宋体" w:cs="宋体"/>
                <w:color w:val="auto"/>
                <w:kern w:val="0"/>
                <w:szCs w:val="21"/>
                <w:highlight w:val="none"/>
                <w:lang w:bidi="ar"/>
              </w:rPr>
              <w:t>）</w:t>
            </w:r>
            <w:r>
              <w:rPr>
                <w:rFonts w:hint="eastAsia" w:ascii="宋体" w:hAnsi="宋体" w:cs="宋体"/>
                <w:b w:val="0"/>
                <w:bCs w:val="0"/>
                <w:color w:val="auto"/>
                <w:szCs w:val="21"/>
                <w:highlight w:val="none"/>
                <w:u w:val="none"/>
                <w:lang w:eastAsia="zh-CN"/>
              </w:rPr>
              <w:t>报价人</w:t>
            </w:r>
            <w:r>
              <w:rPr>
                <w:rFonts w:hint="eastAsia" w:ascii="宋体" w:hAnsi="宋体" w:cs="宋体"/>
                <w:b w:val="0"/>
                <w:bCs w:val="0"/>
                <w:color w:val="auto"/>
                <w:szCs w:val="21"/>
                <w:highlight w:val="none"/>
                <w:u w:val="none"/>
              </w:rPr>
              <w:t>在报价时应充分考虑市场价格波动、人工费用上涨等不确定因素的风险，该</w:t>
            </w:r>
            <w:r>
              <w:rPr>
                <w:rFonts w:hint="eastAsia" w:ascii="宋体" w:hAnsi="宋体" w:cs="宋体"/>
                <w:b w:val="0"/>
                <w:bCs w:val="0"/>
                <w:color w:val="auto"/>
                <w:szCs w:val="21"/>
                <w:highlight w:val="none"/>
                <w:u w:val="none"/>
                <w:lang w:eastAsia="zh-CN"/>
              </w:rPr>
              <w:t>报价人</w:t>
            </w:r>
            <w:r>
              <w:rPr>
                <w:rFonts w:hint="eastAsia" w:ascii="宋体" w:hAnsi="宋体" w:cs="宋体"/>
                <w:b w:val="0"/>
                <w:bCs w:val="0"/>
                <w:color w:val="auto"/>
                <w:szCs w:val="21"/>
                <w:highlight w:val="none"/>
                <w:u w:val="none"/>
              </w:rPr>
              <w:t>若中标，其报价在服务期内不得调整。</w:t>
            </w:r>
          </w:p>
        </w:tc>
      </w:tr>
      <w:tr w14:paraId="0707D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tcBorders>
              <w:bottom w:val="single" w:color="auto" w:sz="4" w:space="0"/>
            </w:tcBorders>
            <w:shd w:val="clear" w:color="auto" w:fill="auto"/>
            <w:vAlign w:val="center"/>
          </w:tcPr>
          <w:p w14:paraId="102FF12B">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106" w:type="dxa"/>
            <w:tcBorders>
              <w:bottom w:val="single" w:color="auto" w:sz="4" w:space="0"/>
            </w:tcBorders>
            <w:vAlign w:val="center"/>
          </w:tcPr>
          <w:p w14:paraId="3116B2FA">
            <w:pPr>
              <w:spacing w:line="360" w:lineRule="exact"/>
              <w:jc w:val="center"/>
              <w:rPr>
                <w:rFonts w:ascii="宋体" w:hAnsi="宋体" w:cs="宋体"/>
                <w:color w:val="auto"/>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vAlign w:val="center"/>
          </w:tcPr>
          <w:p w14:paraId="5AE6AF6B">
            <w:pPr>
              <w:shd w:val="clear" w:fill="FFFF00"/>
              <w:spacing w:line="360" w:lineRule="exact"/>
              <w:ind w:firstLine="422" w:firstLineChars="200"/>
              <w:rPr>
                <w:rFonts w:ascii="宋体" w:hAnsi="宋体" w:cs="宋体"/>
                <w:color w:val="auto"/>
                <w:szCs w:val="21"/>
                <w:highlight w:val="none"/>
              </w:rPr>
            </w:pPr>
            <w:r>
              <w:rPr>
                <w:rFonts w:hint="eastAsia" w:ascii="宋体" w:hAnsi="宋体" w:cs="宋体"/>
                <w:b/>
                <w:bCs/>
                <w:color w:val="auto"/>
                <w:szCs w:val="21"/>
                <w:highlight w:val="none"/>
              </w:rPr>
              <w:t>本项目总价最高限价：</w:t>
            </w:r>
            <w:r>
              <w:rPr>
                <w:rFonts w:hint="eastAsia" w:ascii="宋体" w:hAnsi="宋体"/>
                <w:b/>
                <w:bCs/>
                <w:color w:val="auto"/>
                <w:szCs w:val="21"/>
                <w:highlight w:val="none"/>
                <w:lang w:val="en-US" w:eastAsia="zh-CN"/>
              </w:rPr>
              <w:t>422500.00</w:t>
            </w:r>
            <w:r>
              <w:rPr>
                <w:rFonts w:hint="eastAsia" w:ascii="宋体" w:hAnsi="宋体"/>
                <w:b/>
                <w:bCs/>
                <w:color w:val="auto"/>
                <w:szCs w:val="21"/>
                <w:highlight w:val="none"/>
              </w:rPr>
              <w:t>元。</w:t>
            </w:r>
          </w:p>
          <w:p w14:paraId="2F19B8D1">
            <w:pPr>
              <w:spacing w:line="360" w:lineRule="exact"/>
              <w:ind w:firstLine="422" w:firstLineChars="200"/>
              <w:rPr>
                <w:rFonts w:ascii="宋体" w:hAnsi="宋体" w:cs="宋体"/>
                <w:b/>
                <w:bCs/>
                <w:color w:val="auto"/>
                <w:kern w:val="0"/>
                <w:szCs w:val="21"/>
                <w:highlight w:val="none"/>
              </w:rPr>
            </w:pPr>
            <w:bookmarkStart w:id="136" w:name="OLE_LINK80"/>
            <w:r>
              <w:rPr>
                <w:rFonts w:hint="eastAsia" w:ascii="宋体" w:hAnsi="宋体"/>
                <w:b/>
                <w:bCs/>
                <w:color w:val="auto"/>
                <w:szCs w:val="21"/>
                <w:highlight w:val="none"/>
              </w:rPr>
              <w:t>若有报价高于采购人发布总价最高限价，其竞</w:t>
            </w:r>
            <w:bookmarkEnd w:id="136"/>
            <w:r>
              <w:rPr>
                <w:rFonts w:hint="eastAsia" w:ascii="宋体" w:hAnsi="宋体"/>
                <w:b/>
                <w:bCs/>
                <w:color w:val="auto"/>
                <w:szCs w:val="21"/>
                <w:highlight w:val="none"/>
              </w:rPr>
              <w:t>争性比选响应文件视为重大偏差，竞争性比选响应文件将按否决报价处理。</w:t>
            </w:r>
          </w:p>
        </w:tc>
      </w:tr>
      <w:tr w14:paraId="019CC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tcBorders>
              <w:bottom w:val="single" w:color="auto" w:sz="4" w:space="0"/>
            </w:tcBorders>
            <w:shd w:val="clear" w:color="auto" w:fill="auto"/>
            <w:vAlign w:val="center"/>
          </w:tcPr>
          <w:p w14:paraId="63DD00E2">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17</w:t>
            </w:r>
          </w:p>
        </w:tc>
        <w:tc>
          <w:tcPr>
            <w:tcW w:w="2106" w:type="dxa"/>
            <w:tcBorders>
              <w:bottom w:val="single" w:color="auto" w:sz="4" w:space="0"/>
            </w:tcBorders>
            <w:vAlign w:val="center"/>
          </w:tcPr>
          <w:p w14:paraId="49B78A38">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076049D1">
            <w:pPr>
              <w:widowControl/>
              <w:numPr>
                <w:ilvl w:val="0"/>
                <w:numId w:val="0"/>
              </w:numPr>
              <w:spacing w:line="3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每次支付前需由乙方提交书面支付申请、相关证明材料以及对应增值税专用发票经甲方审核无误后，按以下节点支付：</w:t>
            </w:r>
          </w:p>
          <w:p w14:paraId="4EB753E7">
            <w:pPr>
              <w:widowControl/>
              <w:numPr>
                <w:ilvl w:val="0"/>
                <w:numId w:val="0"/>
              </w:numPr>
              <w:spacing w:line="360" w:lineRule="exact"/>
              <w:ind w:firstLine="420" w:firstLineChars="200"/>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1、乙方将申报资料录入到重庆市住建委资质申报系统后，甲方向乙方支付合同金额的35%；</w:t>
            </w:r>
          </w:p>
          <w:p w14:paraId="4CBF5FB3">
            <w:pPr>
              <w:widowControl/>
              <w:numPr>
                <w:ilvl w:val="0"/>
                <w:numId w:val="0"/>
              </w:numPr>
              <w:spacing w:line="360" w:lineRule="exact"/>
              <w:ind w:firstLine="420" w:firstLineChars="200"/>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2、甲方通信工程施工总承包二级和电力工程施工总承包二级资质申办成功公示后，扣除乙方需支付的违约金后（如有违约情况发生），支付至合同金额的60%。</w:t>
            </w:r>
          </w:p>
          <w:p w14:paraId="1CD2C574">
            <w:pPr>
              <w:widowControl/>
              <w:numPr>
                <w:ilvl w:val="0"/>
                <w:numId w:val="0"/>
              </w:numPr>
              <w:spacing w:line="360" w:lineRule="exact"/>
              <w:ind w:firstLine="420" w:firstLineChars="200"/>
              <w:rPr>
                <w:rFonts w:hint="eastAsia" w:eastAsia="宋体"/>
                <w:color w:val="auto"/>
                <w:highlight w:val="none"/>
                <w:lang w:eastAsia="zh-CN"/>
              </w:rPr>
            </w:pPr>
            <w:r>
              <w:rPr>
                <w:rFonts w:hint="eastAsia" w:ascii="宋体" w:hAnsi="宋体" w:cs="宋体"/>
                <w:color w:val="auto"/>
                <w:kern w:val="2"/>
                <w:sz w:val="21"/>
                <w:szCs w:val="21"/>
                <w:highlight w:val="none"/>
                <w:lang w:val="en-US" w:eastAsia="zh-CN" w:bidi="ar-SA"/>
              </w:rPr>
              <w:t>3、甲方取得证书后，扣除乙方需支付的违约金后（如有违约情况发生），支付至合同金额的100%。</w:t>
            </w:r>
          </w:p>
        </w:tc>
      </w:tr>
      <w:tr w14:paraId="1DCC3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7A65701E">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18</w:t>
            </w:r>
          </w:p>
        </w:tc>
        <w:tc>
          <w:tcPr>
            <w:tcW w:w="2106" w:type="dxa"/>
            <w:vAlign w:val="center"/>
          </w:tcPr>
          <w:p w14:paraId="7DB2018D">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7C08B843">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推荐的中标候选人数：2名。</w:t>
            </w:r>
          </w:p>
        </w:tc>
      </w:tr>
      <w:tr w14:paraId="1FBF4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5E694714">
            <w:pPr>
              <w:pStyle w:val="152"/>
              <w:spacing w:line="360" w:lineRule="exact"/>
              <w:jc w:val="center"/>
              <w:rPr>
                <w:rFonts w:hAnsi="宋体"/>
                <w:color w:val="auto"/>
                <w:sz w:val="21"/>
                <w:szCs w:val="21"/>
                <w:highlight w:val="none"/>
              </w:rPr>
            </w:pPr>
            <w:r>
              <w:rPr>
                <w:rFonts w:hint="eastAsia" w:hAnsi="宋体"/>
                <w:color w:val="auto"/>
                <w:sz w:val="21"/>
                <w:szCs w:val="21"/>
                <w:highlight w:val="none"/>
              </w:rPr>
              <w:t>19</w:t>
            </w:r>
          </w:p>
        </w:tc>
        <w:tc>
          <w:tcPr>
            <w:tcW w:w="2106" w:type="dxa"/>
            <w:vAlign w:val="center"/>
          </w:tcPr>
          <w:p w14:paraId="23EB27A1">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71D1092A">
            <w:pPr>
              <w:pStyle w:val="152"/>
              <w:tabs>
                <w:tab w:val="left" w:pos="284"/>
              </w:tabs>
              <w:spacing w:line="400" w:lineRule="exact"/>
              <w:ind w:firstLine="420" w:firstLineChars="200"/>
              <w:rPr>
                <w:rFonts w:hAnsi="宋体"/>
                <w:color w:val="auto"/>
                <w:sz w:val="21"/>
                <w:szCs w:val="21"/>
                <w:highlight w:val="none"/>
              </w:rPr>
            </w:pPr>
            <w:bookmarkStart w:id="137" w:name="OLE_LINK76"/>
            <w:r>
              <w:rPr>
                <w:rFonts w:hint="eastAsia" w:hAnsi="宋体"/>
                <w:color w:val="auto"/>
                <w:sz w:val="21"/>
                <w:szCs w:val="21"/>
                <w:highlight w:val="none"/>
              </w:rPr>
              <w:t>一、投标保证金</w:t>
            </w:r>
          </w:p>
          <w:p w14:paraId="30917BA9">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报价人是否提供投标保证金：</w:t>
            </w:r>
            <w:r>
              <w:rPr>
                <w:rFonts w:hint="eastAsia" w:hAnsi="宋体"/>
                <w:color w:val="auto"/>
                <w:sz w:val="21"/>
                <w:szCs w:val="18"/>
                <w:highlight w:val="none"/>
                <w:lang w:bidi="ar"/>
              </w:rPr>
              <w:t>☑是   □否</w:t>
            </w:r>
          </w:p>
          <w:p w14:paraId="5C5DDBED">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1、报价人须缴纳投标保证金</w:t>
            </w:r>
            <w:r>
              <w:rPr>
                <w:rFonts w:hint="eastAsia" w:hAnsi="宋体"/>
                <w:color w:val="auto"/>
                <w:sz w:val="21"/>
                <w:szCs w:val="21"/>
                <w:highlight w:val="none"/>
                <w:lang w:val="en-US" w:eastAsia="zh-CN"/>
              </w:rPr>
              <w:t>6</w:t>
            </w:r>
            <w:r>
              <w:rPr>
                <w:rFonts w:hint="eastAsia" w:hAnsi="宋体"/>
                <w:color w:val="auto"/>
                <w:sz w:val="21"/>
                <w:szCs w:val="21"/>
                <w:highlight w:val="none"/>
              </w:rPr>
              <w:t>000.00元，</w:t>
            </w:r>
            <w:bookmarkEnd w:id="137"/>
            <w:r>
              <w:rPr>
                <w:rFonts w:hint="eastAsia" w:hAnsi="宋体"/>
                <w:color w:val="auto"/>
                <w:sz w:val="21"/>
                <w:szCs w:val="21"/>
                <w:highlight w:val="none"/>
              </w:rPr>
              <w:t>由报价人从公司基本账户将投标保证金汇至以下指定账户。</w:t>
            </w:r>
          </w:p>
          <w:p w14:paraId="6CED93C6">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保证金到账截止时间：同报价截止时间。</w:t>
            </w:r>
          </w:p>
          <w:p w14:paraId="42BDEC17">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若竞争性比选响应文件内无投标保证金缴纳凭证，采购人有权作废标处理，若投标保证金存在虚假不实情况，采购人有权作废标处理。</w:t>
            </w:r>
          </w:p>
          <w:p w14:paraId="31DAC3E5">
            <w:pPr>
              <w:pStyle w:val="152"/>
              <w:spacing w:line="400" w:lineRule="exact"/>
              <w:ind w:firstLine="420" w:firstLineChars="200"/>
              <w:rPr>
                <w:rFonts w:hAnsi="宋体"/>
                <w:b/>
                <w:bCs/>
                <w:color w:val="auto"/>
                <w:sz w:val="21"/>
                <w:szCs w:val="18"/>
                <w:highlight w:val="none"/>
              </w:rPr>
            </w:pPr>
            <w:r>
              <w:rPr>
                <w:rFonts w:hint="eastAsia" w:hAnsi="宋体"/>
                <w:color w:val="auto"/>
                <w:sz w:val="21"/>
                <w:szCs w:val="21"/>
                <w:highlight w:val="none"/>
              </w:rPr>
              <w:t>转款备注：</w:t>
            </w:r>
            <w:r>
              <w:rPr>
                <w:rFonts w:hint="eastAsia" w:hAnsi="宋体"/>
                <w:b/>
                <w:bCs/>
                <w:color w:val="auto"/>
                <w:sz w:val="21"/>
                <w:szCs w:val="21"/>
                <w:highlight w:val="none"/>
                <w:u w:val="single"/>
              </w:rPr>
              <w:t>******（项目名称）</w:t>
            </w:r>
            <w:r>
              <w:rPr>
                <w:rFonts w:hint="eastAsia" w:hAnsi="宋体"/>
                <w:b/>
                <w:bCs/>
                <w:color w:val="auto"/>
                <w:sz w:val="21"/>
                <w:szCs w:val="18"/>
                <w:highlight w:val="none"/>
              </w:rPr>
              <w:t>投标保证金</w:t>
            </w:r>
            <w:r>
              <w:rPr>
                <w:rFonts w:hint="eastAsia" w:hAnsi="宋体"/>
                <w:b/>
                <w:bCs/>
                <w:color w:val="auto"/>
                <w:sz w:val="21"/>
                <w:szCs w:val="21"/>
                <w:highlight w:val="none"/>
              </w:rPr>
              <w:t>（项目名称可简写）。</w:t>
            </w:r>
          </w:p>
          <w:p w14:paraId="468AE170">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2、投标保证金退还方式</w:t>
            </w:r>
          </w:p>
          <w:p w14:paraId="7B908003">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为便于及时退还，报价人在递交响应文件的同时，递交本项目保证金银行回单和公司的开户许可证复印件。</w:t>
            </w:r>
          </w:p>
          <w:p w14:paraId="0BC72329">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未中标报价人的投标保证金，于该项目结果公示期结束后15个工作日内无息退还至报价人基本账户。</w:t>
            </w:r>
          </w:p>
          <w:p w14:paraId="093BA2F9">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中标人的投标保证金，自合同签订后15个工作日内无息退还至中标人基本账户。</w:t>
            </w:r>
          </w:p>
          <w:p w14:paraId="7B5B4D0E">
            <w:pPr>
              <w:pStyle w:val="152"/>
              <w:spacing w:line="400" w:lineRule="exact"/>
              <w:ind w:left="420" w:leftChars="200"/>
              <w:rPr>
                <w:rFonts w:hAnsi="宋体"/>
                <w:color w:val="auto"/>
                <w:sz w:val="21"/>
                <w:szCs w:val="21"/>
                <w:highlight w:val="none"/>
              </w:rPr>
            </w:pPr>
            <w:bookmarkStart w:id="138" w:name="OLE_LINK77"/>
            <w:r>
              <w:rPr>
                <w:rFonts w:hint="eastAsia" w:hAnsi="宋体"/>
                <w:color w:val="auto"/>
                <w:sz w:val="21"/>
                <w:szCs w:val="21"/>
                <w:highlight w:val="none"/>
              </w:rPr>
              <w:t>二、履约保证金</w:t>
            </w:r>
          </w:p>
          <w:p w14:paraId="546FBA6F">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bidi="ar"/>
              </w:rPr>
              <w:t>报价人是否提供履约保证金：</w:t>
            </w:r>
            <w:r>
              <w:rPr>
                <w:rFonts w:hint="eastAsia" w:hAnsi="宋体" w:cs="宋体"/>
                <w:color w:val="auto"/>
                <w:kern w:val="0"/>
                <w:szCs w:val="18"/>
                <w:highlight w:val="none"/>
                <w:lang w:eastAsia="zh-CN" w:bidi="ar"/>
              </w:rPr>
              <w:t>□</w:t>
            </w:r>
            <w:r>
              <w:rPr>
                <w:rFonts w:hint="eastAsia" w:ascii="宋体" w:hAnsi="宋体" w:cs="宋体"/>
                <w:color w:val="auto"/>
                <w:kern w:val="0"/>
                <w:szCs w:val="18"/>
                <w:highlight w:val="none"/>
                <w:lang w:bidi="ar"/>
              </w:rPr>
              <w:t>是</w:t>
            </w:r>
            <w:r>
              <w:rPr>
                <w:rFonts w:hint="eastAsia" w:hAnsi="宋体" w:cs="宋体"/>
                <w:color w:val="auto"/>
                <w:kern w:val="0"/>
                <w:szCs w:val="18"/>
                <w:highlight w:val="none"/>
                <w:lang w:bidi="ar"/>
              </w:rPr>
              <w:t xml:space="preserve">   </w:t>
            </w:r>
            <w:r>
              <w:rPr>
                <w:rFonts w:hint="eastAsia" w:hAnsi="宋体" w:cs="宋体"/>
                <w:color w:val="auto"/>
                <w:kern w:val="0"/>
                <w:szCs w:val="18"/>
                <w:highlight w:val="none"/>
                <w:lang w:eastAsia="zh-CN" w:bidi="ar"/>
              </w:rPr>
              <w:t>☑</w:t>
            </w:r>
            <w:r>
              <w:rPr>
                <w:rFonts w:hint="eastAsia" w:hAnsi="宋体" w:cs="宋体"/>
                <w:color w:val="auto"/>
                <w:kern w:val="0"/>
                <w:szCs w:val="18"/>
                <w:highlight w:val="none"/>
                <w:lang w:bidi="ar"/>
              </w:rPr>
              <w:t>否</w:t>
            </w:r>
          </w:p>
          <w:p w14:paraId="4F35D2CE">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1、履约担保作为本项目合同附件。</w:t>
            </w:r>
          </w:p>
          <w:p w14:paraId="609DF8BA">
            <w:pPr>
              <w:pStyle w:val="152"/>
              <w:spacing w:line="400" w:lineRule="exact"/>
              <w:ind w:firstLine="420" w:firstLineChars="200"/>
              <w:rPr>
                <w:rFonts w:hAnsi="宋体"/>
                <w:color w:val="auto"/>
                <w:sz w:val="21"/>
                <w:szCs w:val="21"/>
                <w:highlight w:val="none"/>
              </w:rPr>
            </w:pPr>
            <w:bookmarkStart w:id="139" w:name="OLE_LINK13"/>
            <w:r>
              <w:rPr>
                <w:rFonts w:hint="eastAsia" w:hAnsi="宋体"/>
                <w:color w:val="auto"/>
                <w:sz w:val="21"/>
                <w:szCs w:val="21"/>
                <w:highlight w:val="none"/>
              </w:rPr>
              <w:t>2、履约保证金的金额：中标金额的</w:t>
            </w:r>
            <w:r>
              <w:rPr>
                <w:rFonts w:hint="eastAsia" w:hAnsi="宋体"/>
                <w:color w:val="auto"/>
                <w:sz w:val="21"/>
                <w:szCs w:val="21"/>
                <w:highlight w:val="none"/>
                <w:lang w:val="en-US" w:eastAsia="zh-CN"/>
              </w:rPr>
              <w:t>/</w:t>
            </w:r>
            <w:r>
              <w:rPr>
                <w:rFonts w:hint="eastAsia" w:hAnsi="宋体"/>
                <w:color w:val="auto"/>
                <w:sz w:val="21"/>
                <w:szCs w:val="21"/>
                <w:highlight w:val="none"/>
              </w:rPr>
              <w:t>%。</w:t>
            </w:r>
          </w:p>
          <w:bookmarkEnd w:id="138"/>
          <w:bookmarkEnd w:id="139"/>
          <w:p w14:paraId="1DAE4C95">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3、履约保证金有效期：自双方签订的合同文件生效之日起，至合同约定时间或暂定金额使用完成为止。</w:t>
            </w:r>
          </w:p>
          <w:p w14:paraId="404A416B">
            <w:pPr>
              <w:pStyle w:val="152"/>
              <w:spacing w:line="360" w:lineRule="auto"/>
              <w:ind w:firstLine="420" w:firstLineChars="200"/>
              <w:rPr>
                <w:rFonts w:hAnsi="宋体"/>
                <w:color w:val="auto"/>
                <w:sz w:val="21"/>
                <w:szCs w:val="21"/>
                <w:highlight w:val="none"/>
              </w:rPr>
            </w:pPr>
            <w:r>
              <w:rPr>
                <w:rFonts w:hint="eastAsia" w:hAnsi="宋体"/>
                <w:color w:val="auto"/>
                <w:kern w:val="2"/>
                <w:sz w:val="21"/>
                <w:szCs w:val="21"/>
                <w:highlight w:val="none"/>
              </w:rPr>
              <w:t>4、履约保证金缴纳方式：现金或保函</w:t>
            </w:r>
          </w:p>
          <w:p w14:paraId="01FAAE3F">
            <w:pPr>
              <w:pStyle w:val="38"/>
              <w:numPr>
                <w:ilvl w:val="0"/>
                <w:numId w:val="3"/>
              </w:numPr>
              <w:spacing w:before="0" w:beforeAutospacing="0" w:after="0" w:afterAutospacing="0" w:line="360" w:lineRule="auto"/>
              <w:ind w:firstLine="420"/>
              <w:rPr>
                <w:color w:val="auto"/>
                <w:sz w:val="21"/>
                <w:szCs w:val="21"/>
                <w:highlight w:val="none"/>
              </w:rPr>
            </w:pPr>
            <w:r>
              <w:rPr>
                <w:rFonts w:hint="eastAsia"/>
                <w:color w:val="auto"/>
                <w:sz w:val="21"/>
                <w:szCs w:val="21"/>
                <w:highlight w:val="none"/>
              </w:rPr>
              <w:t>履约保证金的提交：在甲方发出中标通知书后28个工作日内（合同签订之前），中标人向采购人提供履约保证金缴纳凭证。报价人从企业的账户（开户行）在采购人规定时间内，向采购人通过电汇方式直接划付至采购人指定的保证金账户，否则，保证金无效。报价人自行考虑汇入时间风险，如同城汇入、异地汇入、跨行汇入的时间要求。若缴纳现金的，则需备注，</w:t>
            </w:r>
          </w:p>
          <w:p w14:paraId="602CC6E1">
            <w:pPr>
              <w:pStyle w:val="38"/>
              <w:spacing w:before="0" w:beforeAutospacing="0" w:after="0" w:afterAutospacing="0" w:line="360" w:lineRule="auto"/>
              <w:ind w:firstLine="422" w:firstLineChars="200"/>
              <w:rPr>
                <w:b/>
                <w:bCs/>
                <w:color w:val="auto"/>
                <w:sz w:val="21"/>
                <w:szCs w:val="21"/>
                <w:highlight w:val="none"/>
              </w:rPr>
            </w:pPr>
            <w:r>
              <w:rPr>
                <w:rFonts w:hint="eastAsia"/>
                <w:b/>
                <w:bCs/>
                <w:color w:val="auto"/>
                <w:sz w:val="21"/>
                <w:szCs w:val="21"/>
                <w:highlight w:val="none"/>
              </w:rPr>
              <w:t>转款备注：</w:t>
            </w:r>
            <w:r>
              <w:rPr>
                <w:rFonts w:hint="eastAsia"/>
                <w:b/>
                <w:bCs/>
                <w:color w:val="auto"/>
                <w:sz w:val="21"/>
                <w:szCs w:val="21"/>
                <w:highlight w:val="none"/>
                <w:u w:val="single"/>
              </w:rPr>
              <w:t>******（项目名称）</w:t>
            </w:r>
            <w:r>
              <w:rPr>
                <w:rFonts w:hint="eastAsia"/>
                <w:b/>
                <w:bCs/>
                <w:color w:val="auto"/>
                <w:sz w:val="21"/>
                <w:szCs w:val="21"/>
                <w:highlight w:val="none"/>
              </w:rPr>
              <w:t>履约保证金（项目名称可简写）。</w:t>
            </w:r>
          </w:p>
          <w:p w14:paraId="55B2E53E">
            <w:pPr>
              <w:pStyle w:val="38"/>
              <w:spacing w:before="0" w:beforeAutospacing="0" w:after="0" w:afterAutospacing="0" w:line="360" w:lineRule="auto"/>
              <w:ind w:firstLine="420"/>
              <w:rPr>
                <w:color w:val="auto"/>
                <w:sz w:val="21"/>
                <w:szCs w:val="21"/>
                <w:highlight w:val="none"/>
              </w:rPr>
            </w:pPr>
            <w:r>
              <w:rPr>
                <w:rFonts w:hint="eastAsia"/>
                <w:color w:val="auto"/>
                <w:kern w:val="2"/>
                <w:sz w:val="21"/>
                <w:szCs w:val="21"/>
                <w:highlight w:val="none"/>
              </w:rPr>
              <w:t>6</w:t>
            </w:r>
            <w:r>
              <w:rPr>
                <w:rFonts w:hint="eastAsia"/>
                <w:color w:val="auto"/>
                <w:sz w:val="21"/>
                <w:szCs w:val="21"/>
                <w:highlight w:val="none"/>
              </w:rPr>
              <w:t>、若提供保函的：纸质保函的开立人应当是具有相应资格的银行、保险机构、融资担保公司，其信用资质、履约能力、担保能力、赔付流程、安全保密等应符合工程保函业务条件。纸质保函应合法合规，符合招投标行政监督部门、行业主管部门和金融监管部门的相关规定，满足招标文件约定要求。报价人对所提交的纸质投标保函的真实性、合法性、有效性负责。</w:t>
            </w:r>
          </w:p>
          <w:p w14:paraId="2F0ECAF7">
            <w:pPr>
              <w:spacing w:line="360" w:lineRule="auto"/>
              <w:ind w:firstLine="420" w:firstLineChars="200"/>
              <w:rPr>
                <w:rFonts w:hAnsi="宋体"/>
                <w:color w:val="auto"/>
                <w:szCs w:val="21"/>
                <w:highlight w:val="none"/>
              </w:rPr>
            </w:pPr>
            <w:r>
              <w:rPr>
                <w:rFonts w:hint="eastAsia" w:ascii="宋体" w:hAnsi="宋体" w:cs="宋体"/>
                <w:color w:val="auto"/>
                <w:kern w:val="0"/>
                <w:szCs w:val="21"/>
                <w:highlight w:val="none"/>
              </w:rPr>
              <w:t>7、</w:t>
            </w:r>
            <w:r>
              <w:rPr>
                <w:rFonts w:ascii="宋体" w:hAnsi="宋体" w:cs="宋体"/>
                <w:color w:val="auto"/>
                <w:kern w:val="0"/>
                <w:szCs w:val="21"/>
                <w:highlight w:val="none"/>
              </w:rPr>
              <w:t>履约保证金</w:t>
            </w:r>
            <w:r>
              <w:rPr>
                <w:rFonts w:hint="eastAsia" w:ascii="宋体" w:hAnsi="宋体" w:cs="宋体"/>
                <w:color w:val="auto"/>
                <w:kern w:val="0"/>
                <w:szCs w:val="21"/>
                <w:highlight w:val="none"/>
              </w:rPr>
              <w:t>的</w:t>
            </w:r>
            <w:r>
              <w:rPr>
                <w:rFonts w:ascii="宋体" w:hAnsi="宋体" w:cs="宋体"/>
                <w:color w:val="auto"/>
                <w:kern w:val="0"/>
                <w:szCs w:val="21"/>
                <w:highlight w:val="none"/>
              </w:rPr>
              <w:t>退还：缴纳现金保函的，在完成合同约定的全部工作内容后</w:t>
            </w:r>
            <w:r>
              <w:rPr>
                <w:rFonts w:hint="eastAsia" w:ascii="宋体" w:hAnsi="宋体" w:cs="宋体"/>
                <w:color w:val="auto"/>
                <w:szCs w:val="21"/>
                <w:highlight w:val="none"/>
              </w:rPr>
              <w:t>由中标人提出申请，</w:t>
            </w:r>
            <w:r>
              <w:rPr>
                <w:rFonts w:ascii="宋体" w:hAnsi="宋体" w:cs="宋体"/>
                <w:color w:val="auto"/>
                <w:kern w:val="0"/>
                <w:szCs w:val="21"/>
                <w:highlight w:val="none"/>
              </w:rPr>
              <w:t>28天后无息退还剩余部分。</w:t>
            </w:r>
          </w:p>
          <w:p w14:paraId="0B0C1D8E">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三、</w:t>
            </w:r>
            <w:bookmarkStart w:id="140" w:name="OLE_LINK14"/>
            <w:r>
              <w:rPr>
                <w:rFonts w:hint="eastAsia" w:hAnsi="宋体"/>
                <w:color w:val="auto"/>
                <w:kern w:val="2"/>
                <w:sz w:val="21"/>
                <w:szCs w:val="21"/>
                <w:highlight w:val="none"/>
              </w:rPr>
              <w:t>低价风险担保金</w:t>
            </w:r>
            <w:bookmarkEnd w:id="140"/>
          </w:p>
          <w:p w14:paraId="5122CE35">
            <w:pPr>
              <w:spacing w:line="360" w:lineRule="auto"/>
              <w:ind w:firstLine="420" w:firstLineChars="200"/>
              <w:rPr>
                <w:rFonts w:hAnsi="宋体"/>
                <w:color w:val="auto"/>
                <w:szCs w:val="21"/>
                <w:highlight w:val="none"/>
              </w:rPr>
            </w:pPr>
            <w:r>
              <w:rPr>
                <w:rFonts w:hint="eastAsia" w:ascii="宋体" w:hAnsi="宋体" w:cs="宋体"/>
                <w:color w:val="auto"/>
                <w:kern w:val="0"/>
                <w:szCs w:val="21"/>
                <w:highlight w:val="none"/>
                <w:lang w:bidi="ar"/>
              </w:rPr>
              <w:t>报价人是否提供</w:t>
            </w:r>
            <w:r>
              <w:rPr>
                <w:rFonts w:hint="eastAsia" w:hAnsi="宋体"/>
                <w:color w:val="auto"/>
                <w:szCs w:val="21"/>
                <w:highlight w:val="none"/>
              </w:rPr>
              <w:t>低价风险担保金</w:t>
            </w:r>
            <w:r>
              <w:rPr>
                <w:rFonts w:hint="eastAsia" w:ascii="宋体" w:hAnsi="宋体" w:cs="宋体"/>
                <w:color w:val="auto"/>
                <w:kern w:val="0"/>
                <w:szCs w:val="21"/>
                <w:highlight w:val="none"/>
                <w:lang w:bidi="ar"/>
              </w:rPr>
              <w:t>：</w:t>
            </w:r>
            <w:r>
              <w:rPr>
                <w:rFonts w:hint="eastAsia" w:hAnsi="宋体" w:cs="宋体"/>
                <w:color w:val="auto"/>
                <w:kern w:val="0"/>
                <w:szCs w:val="18"/>
                <w:highlight w:val="none"/>
                <w:lang w:bidi="ar"/>
              </w:rPr>
              <w:t>☑</w:t>
            </w:r>
            <w:r>
              <w:rPr>
                <w:rFonts w:hint="eastAsia" w:ascii="宋体" w:hAnsi="宋体" w:cs="宋体"/>
                <w:color w:val="auto"/>
                <w:kern w:val="0"/>
                <w:szCs w:val="18"/>
                <w:highlight w:val="none"/>
                <w:lang w:bidi="ar"/>
              </w:rPr>
              <w:t>是</w:t>
            </w:r>
            <w:r>
              <w:rPr>
                <w:rFonts w:hint="eastAsia" w:hAnsi="宋体" w:cs="宋体"/>
                <w:color w:val="auto"/>
                <w:kern w:val="0"/>
                <w:szCs w:val="18"/>
                <w:highlight w:val="none"/>
                <w:lang w:bidi="ar"/>
              </w:rPr>
              <w:t xml:space="preserve">   □否</w:t>
            </w:r>
          </w:p>
          <w:p w14:paraId="701ADA0E">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1．低价风险担保：中标价低于最高限价的85%时提供，如不按时足额提供，视为中标人放弃中标，采购人有权不退还其投标保证金。</w:t>
            </w:r>
          </w:p>
          <w:p w14:paraId="25125E47">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2．中标人提供低价风险担保的形式、金额及期限：</w:t>
            </w:r>
          </w:p>
          <w:p w14:paraId="75373B9F">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附件合同条款及格式附件，中标人出具保函时，不得修改“低价风险担保保函”名称，也不得对低价风险担保保函示范文本中付款条件等实质性内容进行修改，否则视为不符合招标文件规定。</w:t>
            </w:r>
          </w:p>
          <w:p w14:paraId="4BF5F37C">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314494C3">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（3）低价风险担保送达采购人的时间：从采购人中标通知书送达拟中标人之日起 20 个工作日内。</w:t>
            </w:r>
          </w:p>
          <w:p w14:paraId="32CD0CA9">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采购人签订合同的，其以现金形式提交低价风险担保的，采购人有权扣除其低价风险担保金并取消其中标资格；以保函形式提交低价风险担保的，采购人有权要求保函开立人支付保函担保的与低价风险担保金额等额的款项并取消中标人中标资格；中标人因自身原因未按中标通知书规定的时限与采购人签订合同，且未提交低价风险担保金或低价风险保函的，采购人有权要求中标人承担低价风险担保金等额的损失并取消中标人资格。</w:t>
            </w:r>
          </w:p>
          <w:p w14:paraId="38F441E4">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7E0DC87E">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3.低价风险担保的退还时间：采用现金担保的，在资质办理完成后28天内全额退还，合同履行期间允许乙方用符合要求的银行保函进行置换。</w:t>
            </w:r>
          </w:p>
          <w:p w14:paraId="7BFC7F12">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08B0E9DC">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①乙方在合同履行期间，以其投标时填报的价格过低为由拒绝履行合同义务；或因其自身其他原因导致项目暂停等，给甲方造成直接经济损失且拒绝承担的，按低价风险担保金额的50～100%扣减，直至解除合同；</w:t>
            </w:r>
          </w:p>
          <w:p w14:paraId="63D7F1DF">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②因乙方违约被解除合同的，低价风险担保将全额扣除；</w:t>
            </w:r>
          </w:p>
          <w:p w14:paraId="445AF156">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③因乙方原因导致的其他情形。</w:t>
            </w:r>
          </w:p>
          <w:p w14:paraId="4FC691E3">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4．采用经评审最低投标价法的项目，拟中标人或者中标人放弃中标项目，无正当理由不与采购人签订合同，在签订合同时向采购人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采购人造成的损失超过投标保证金数额的，拟中标人或中标人应对超过部分予以赔偿。</w:t>
            </w:r>
          </w:p>
          <w:p w14:paraId="1D152857">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备注：当中标人或拟中标人未按时提交低价风险担保，且属于可以延长低价风险担保提交期限的特殊情形时，经采购人同意，可适当延长低价风险担保的提交期限。</w:t>
            </w:r>
          </w:p>
          <w:p w14:paraId="0B3FBC26">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投标总报价低于最高限价85%的，报价人应在编制投标文件时，在投标函部分中递交低价风险担保提交承诺书。格式自拟。</w:t>
            </w:r>
          </w:p>
          <w:p w14:paraId="636E7F38">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75453144">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四、采购人指定的开户银行及账号如下：</w:t>
            </w:r>
          </w:p>
          <w:p w14:paraId="235B7ACE">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账户名称：重庆首讯科技股份有限公司</w:t>
            </w:r>
          </w:p>
          <w:p w14:paraId="0634D4FC">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开户银行：兴业银行重庆分行营业部</w:t>
            </w:r>
          </w:p>
          <w:p w14:paraId="0700B182">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帐    号：3460 1010 0100 4791 14</w:t>
            </w:r>
          </w:p>
          <w:p w14:paraId="17D317FD">
            <w:pPr>
              <w:pStyle w:val="152"/>
              <w:spacing w:line="360" w:lineRule="exact"/>
              <w:ind w:firstLine="422" w:firstLineChars="200"/>
              <w:jc w:val="both"/>
              <w:rPr>
                <w:rFonts w:hAnsi="宋体"/>
                <w:color w:val="auto"/>
                <w:kern w:val="2"/>
                <w:sz w:val="21"/>
                <w:szCs w:val="21"/>
                <w:highlight w:val="none"/>
              </w:rPr>
            </w:pPr>
            <w:r>
              <w:rPr>
                <w:rFonts w:hint="eastAsia" w:hAnsi="宋体"/>
                <w:b/>
                <w:bCs/>
                <w:color w:val="auto"/>
                <w:kern w:val="2"/>
                <w:sz w:val="21"/>
                <w:szCs w:val="21"/>
                <w:highlight w:val="none"/>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2B88F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FD3899C">
            <w:pPr>
              <w:pStyle w:val="152"/>
              <w:spacing w:line="360" w:lineRule="exact"/>
              <w:jc w:val="center"/>
              <w:rPr>
                <w:rFonts w:hAnsi="宋体"/>
                <w:color w:val="auto"/>
                <w:sz w:val="21"/>
                <w:szCs w:val="21"/>
                <w:highlight w:val="none"/>
              </w:rPr>
            </w:pPr>
            <w:r>
              <w:rPr>
                <w:rFonts w:hint="eastAsia" w:hAnsi="宋体"/>
                <w:color w:val="auto"/>
                <w:sz w:val="21"/>
                <w:szCs w:val="21"/>
                <w:highlight w:val="none"/>
              </w:rPr>
              <w:t>20</w:t>
            </w:r>
          </w:p>
        </w:tc>
        <w:tc>
          <w:tcPr>
            <w:tcW w:w="2106" w:type="dxa"/>
            <w:vAlign w:val="center"/>
          </w:tcPr>
          <w:p w14:paraId="6E4ADF91">
            <w:pPr>
              <w:pStyle w:val="152"/>
              <w:spacing w:line="360" w:lineRule="exact"/>
              <w:jc w:val="center"/>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712E759B">
            <w:pPr>
              <w:pStyle w:val="152"/>
              <w:spacing w:line="360" w:lineRule="exact"/>
              <w:ind w:firstLine="420" w:firstLineChars="200"/>
              <w:jc w:val="both"/>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1C1F435B">
            <w:pPr>
              <w:pStyle w:val="152"/>
              <w:spacing w:line="360" w:lineRule="exact"/>
              <w:ind w:firstLine="420" w:firstLineChars="200"/>
              <w:jc w:val="both"/>
              <w:rPr>
                <w:rFonts w:hAnsi="宋体"/>
                <w:color w:val="auto"/>
                <w:kern w:val="2"/>
                <w:sz w:val="21"/>
                <w:szCs w:val="21"/>
                <w:highlight w:val="none"/>
              </w:rPr>
            </w:pPr>
            <w:r>
              <w:rPr>
                <w:rFonts w:hint="eastAsia" w:hAnsi="宋体"/>
                <w:color w:val="auto"/>
                <w:kern w:val="2"/>
                <w:sz w:val="21"/>
                <w:szCs w:val="21"/>
                <w:highlight w:val="none"/>
              </w:rPr>
              <w:t>地    址：重庆市渝北区新南路52号东界龙湖三楼</w:t>
            </w:r>
          </w:p>
          <w:p w14:paraId="159325C4">
            <w:pPr>
              <w:pStyle w:val="152"/>
              <w:spacing w:line="360" w:lineRule="exact"/>
              <w:ind w:firstLine="420" w:firstLineChars="200"/>
              <w:jc w:val="both"/>
              <w:rPr>
                <w:rFonts w:hAnsi="宋体"/>
                <w:color w:val="auto"/>
                <w:sz w:val="21"/>
                <w:szCs w:val="21"/>
                <w:highlight w:val="none"/>
              </w:rPr>
            </w:pPr>
            <w:r>
              <w:rPr>
                <w:rFonts w:hint="eastAsia" w:hAnsi="宋体"/>
                <w:color w:val="auto"/>
                <w:kern w:val="2"/>
                <w:sz w:val="21"/>
                <w:szCs w:val="21"/>
                <w:highlight w:val="none"/>
              </w:rPr>
              <w:t>电    话：023-63132246</w:t>
            </w:r>
          </w:p>
        </w:tc>
      </w:tr>
      <w:tr w14:paraId="3D09F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549B29BE">
            <w:pPr>
              <w:pStyle w:val="152"/>
              <w:spacing w:line="360" w:lineRule="exact"/>
              <w:jc w:val="center"/>
              <w:rPr>
                <w:rFonts w:hAnsi="宋体"/>
                <w:color w:val="auto"/>
                <w:sz w:val="21"/>
                <w:szCs w:val="21"/>
                <w:highlight w:val="none"/>
              </w:rPr>
            </w:pPr>
            <w:r>
              <w:rPr>
                <w:rFonts w:hint="eastAsia" w:hAnsi="宋体"/>
                <w:color w:val="auto"/>
                <w:sz w:val="21"/>
                <w:szCs w:val="21"/>
                <w:highlight w:val="none"/>
              </w:rPr>
              <w:t>21</w:t>
            </w:r>
          </w:p>
        </w:tc>
        <w:tc>
          <w:tcPr>
            <w:tcW w:w="2106" w:type="dxa"/>
            <w:vAlign w:val="center"/>
          </w:tcPr>
          <w:p w14:paraId="71B4D5F7">
            <w:pPr>
              <w:pStyle w:val="152"/>
              <w:spacing w:line="400" w:lineRule="exact"/>
              <w:jc w:val="center"/>
              <w:rPr>
                <w:rFonts w:hAnsi="宋体"/>
                <w:color w:val="auto"/>
                <w:kern w:val="2"/>
                <w:sz w:val="21"/>
                <w:szCs w:val="21"/>
                <w:highlight w:val="none"/>
              </w:rPr>
            </w:pPr>
            <w:r>
              <w:rPr>
                <w:rFonts w:hint="eastAsia" w:hAnsi="宋体"/>
                <w:color w:val="auto"/>
                <w:kern w:val="2"/>
                <w:sz w:val="21"/>
                <w:szCs w:val="21"/>
                <w:highlight w:val="none"/>
              </w:rPr>
              <w:t>竞争性比选响应文件的递交</w:t>
            </w:r>
          </w:p>
        </w:tc>
        <w:tc>
          <w:tcPr>
            <w:tcW w:w="7104" w:type="dxa"/>
            <w:vAlign w:val="center"/>
          </w:tcPr>
          <w:p w14:paraId="29F73D32">
            <w:pPr>
              <w:pStyle w:val="14"/>
              <w:adjustRightInd w:val="0"/>
              <w:spacing w:line="400" w:lineRule="exact"/>
              <w:rPr>
                <w:rFonts w:hAnsi="宋体"/>
                <w:color w:val="auto"/>
                <w:szCs w:val="21"/>
                <w:highlight w:val="none"/>
              </w:rPr>
            </w:pPr>
            <w:r>
              <w:rPr>
                <w:rFonts w:hint="eastAsia" w:hAnsi="宋体"/>
                <w:color w:val="auto"/>
                <w:szCs w:val="21"/>
                <w:highlight w:val="none"/>
              </w:rPr>
              <w:t>1.报价截止时间和开标时间：202</w:t>
            </w:r>
            <w:r>
              <w:rPr>
                <w:rFonts w:hint="eastAsia" w:hAnsi="宋体"/>
                <w:color w:val="auto"/>
                <w:szCs w:val="21"/>
                <w:highlight w:val="none"/>
                <w:lang w:val="en-US" w:eastAsia="zh-CN"/>
              </w:rPr>
              <w:t>5</w:t>
            </w:r>
            <w:r>
              <w:rPr>
                <w:rFonts w:hint="eastAsia" w:hAnsi="宋体"/>
                <w:color w:val="auto"/>
                <w:szCs w:val="21"/>
                <w:highlight w:val="none"/>
              </w:rPr>
              <w:t>年</w:t>
            </w:r>
            <w:r>
              <w:rPr>
                <w:rFonts w:hint="eastAsia" w:hAnsi="宋体"/>
                <w:color w:val="auto"/>
                <w:szCs w:val="21"/>
                <w:highlight w:val="none"/>
                <w:lang w:val="en-US" w:eastAsia="zh-CN"/>
              </w:rPr>
              <w:t>04</w:t>
            </w:r>
            <w:r>
              <w:rPr>
                <w:rFonts w:hint="eastAsia" w:hAnsi="宋体"/>
                <w:color w:val="auto"/>
                <w:szCs w:val="21"/>
                <w:highlight w:val="none"/>
              </w:rPr>
              <w:t>月</w:t>
            </w:r>
            <w:r>
              <w:rPr>
                <w:rFonts w:hint="eastAsia" w:hAnsi="宋体"/>
                <w:color w:val="auto"/>
                <w:szCs w:val="21"/>
                <w:highlight w:val="none"/>
                <w:lang w:val="en-US" w:eastAsia="zh-CN"/>
              </w:rPr>
              <w:t>24</w:t>
            </w:r>
            <w:r>
              <w:rPr>
                <w:rFonts w:hint="eastAsia" w:hAnsi="宋体"/>
                <w:color w:val="auto"/>
                <w:szCs w:val="21"/>
                <w:highlight w:val="none"/>
              </w:rPr>
              <w:t>日上午1</w:t>
            </w:r>
            <w:r>
              <w:rPr>
                <w:rFonts w:hint="eastAsia" w:hAnsi="宋体"/>
                <w:color w:val="auto"/>
                <w:szCs w:val="21"/>
                <w:highlight w:val="none"/>
                <w:lang w:val="en-US" w:eastAsia="zh-CN"/>
              </w:rPr>
              <w:t>0</w:t>
            </w:r>
            <w:r>
              <w:rPr>
                <w:rFonts w:hint="eastAsia" w:hAnsi="宋体"/>
                <w:color w:val="auto"/>
                <w:szCs w:val="21"/>
                <w:highlight w:val="none"/>
              </w:rPr>
              <w:t>时 00分（北京时间）。</w:t>
            </w:r>
          </w:p>
          <w:p w14:paraId="323D63D1">
            <w:pPr>
              <w:pStyle w:val="14"/>
              <w:adjustRightInd w:val="0"/>
              <w:spacing w:line="400" w:lineRule="exact"/>
              <w:rPr>
                <w:rFonts w:hAnsi="宋体"/>
                <w:color w:val="auto"/>
                <w:szCs w:val="21"/>
                <w:highlight w:val="none"/>
              </w:rPr>
            </w:pPr>
            <w:r>
              <w:rPr>
                <w:rFonts w:hint="eastAsia" w:hAnsi="宋体"/>
                <w:color w:val="auto"/>
                <w:szCs w:val="21"/>
                <w:highlight w:val="none"/>
              </w:rPr>
              <w:t>2.报价地点和开标地点：重庆首讯科技股份有限公司（重庆市渝北区新南路52号东界龙湖三楼）。</w:t>
            </w:r>
          </w:p>
          <w:p w14:paraId="6E2DB844">
            <w:pPr>
              <w:pStyle w:val="14"/>
              <w:adjustRightInd w:val="0"/>
              <w:spacing w:line="400" w:lineRule="exact"/>
              <w:rPr>
                <w:rFonts w:hAnsi="宋体"/>
                <w:color w:val="auto"/>
                <w:szCs w:val="21"/>
                <w:highlight w:val="none"/>
              </w:rPr>
            </w:pPr>
            <w:r>
              <w:rPr>
                <w:rFonts w:hint="eastAsia" w:hAnsi="宋体"/>
                <w:color w:val="auto"/>
                <w:szCs w:val="21"/>
                <w:highlight w:val="none"/>
              </w:rPr>
              <w:t>3.逾期送达，或未送达指定地点，或未密封的竞争性比选响应文件，采购人不予受理。</w:t>
            </w:r>
          </w:p>
        </w:tc>
      </w:tr>
      <w:tr w14:paraId="49F10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7EBCAB55">
            <w:pPr>
              <w:pStyle w:val="152"/>
              <w:spacing w:line="360" w:lineRule="exact"/>
              <w:jc w:val="center"/>
              <w:rPr>
                <w:rFonts w:hAnsi="宋体"/>
                <w:color w:val="auto"/>
                <w:sz w:val="21"/>
                <w:szCs w:val="21"/>
                <w:highlight w:val="none"/>
              </w:rPr>
            </w:pPr>
            <w:r>
              <w:rPr>
                <w:rFonts w:hint="eastAsia" w:hAnsi="宋体"/>
                <w:color w:val="auto"/>
                <w:sz w:val="21"/>
                <w:szCs w:val="21"/>
                <w:highlight w:val="none"/>
              </w:rPr>
              <w:t>22</w:t>
            </w:r>
          </w:p>
        </w:tc>
        <w:tc>
          <w:tcPr>
            <w:tcW w:w="2106" w:type="dxa"/>
            <w:vAlign w:val="center"/>
          </w:tcPr>
          <w:p w14:paraId="6C5AA737">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竞争性比选响应文件的组成</w:t>
            </w:r>
          </w:p>
        </w:tc>
        <w:tc>
          <w:tcPr>
            <w:tcW w:w="7104" w:type="dxa"/>
            <w:vAlign w:val="center"/>
          </w:tcPr>
          <w:p w14:paraId="62B5F169">
            <w:pPr>
              <w:pStyle w:val="152"/>
              <w:numPr>
                <w:ilvl w:val="0"/>
                <w:numId w:val="4"/>
              </w:numPr>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竞争性比选文件需加盖报价人的公章，竞争性比选响应文件提交</w:t>
            </w:r>
            <w:r>
              <w:rPr>
                <w:rFonts w:hint="eastAsia" w:hAnsi="宋体"/>
                <w:b/>
                <w:bCs/>
                <w:color w:val="auto"/>
                <w:kern w:val="2"/>
                <w:sz w:val="21"/>
                <w:szCs w:val="21"/>
                <w:highlight w:val="none"/>
              </w:rPr>
              <w:t>正本1份，副本1份，电子文件1份</w:t>
            </w:r>
            <w:r>
              <w:rPr>
                <w:rFonts w:hint="eastAsia" w:hAnsi="宋体"/>
                <w:color w:val="auto"/>
                <w:kern w:val="2"/>
                <w:sz w:val="21"/>
                <w:szCs w:val="21"/>
                <w:highlight w:val="none"/>
              </w:rPr>
              <w:t>，副本可为正本的复印件，竞争性比选响应文件需装订成册</w:t>
            </w:r>
            <w:r>
              <w:rPr>
                <w:rFonts w:hint="eastAsia" w:hAnsi="宋体"/>
                <w:color w:val="auto"/>
                <w:kern w:val="2"/>
                <w:sz w:val="21"/>
                <w:szCs w:val="21"/>
                <w:highlight w:val="none"/>
                <w:lang w:eastAsia="zh-CN"/>
              </w:rPr>
              <w:t>，</w:t>
            </w:r>
            <w:r>
              <w:rPr>
                <w:rFonts w:hint="eastAsia" w:hAnsi="宋体"/>
                <w:color w:val="auto"/>
                <w:kern w:val="2"/>
                <w:sz w:val="21"/>
                <w:szCs w:val="21"/>
                <w:highlight w:val="none"/>
              </w:rPr>
              <w:t>封面需标注“正本”、“副本”加以区别，所有报价文件需密封到一个封袋中</w:t>
            </w:r>
            <w:r>
              <w:rPr>
                <w:rFonts w:hint="eastAsia" w:hAnsi="宋体"/>
                <w:color w:val="auto"/>
                <w:kern w:val="2"/>
                <w:sz w:val="21"/>
                <w:szCs w:val="21"/>
                <w:highlight w:val="none"/>
                <w:lang w:eastAsia="zh-CN"/>
              </w:rPr>
              <w:t>；</w:t>
            </w:r>
            <w:r>
              <w:rPr>
                <w:rFonts w:hint="eastAsia" w:hAnsi="宋体"/>
                <w:color w:val="auto"/>
                <w:kern w:val="2"/>
                <w:sz w:val="21"/>
                <w:szCs w:val="21"/>
                <w:highlight w:val="none"/>
              </w:rPr>
              <w:t>电子文件1份应提供竞争性比选响应文件（盖章版）</w:t>
            </w:r>
            <w:r>
              <w:rPr>
                <w:rFonts w:hint="eastAsia" w:hAnsi="宋体"/>
                <w:b/>
                <w:bCs/>
                <w:color w:val="auto"/>
                <w:kern w:val="2"/>
                <w:sz w:val="21"/>
                <w:szCs w:val="21"/>
                <w:highlight w:val="none"/>
              </w:rPr>
              <w:t>扫描件PDF格式和excel版本报价清单</w:t>
            </w:r>
            <w:r>
              <w:rPr>
                <w:rFonts w:hint="eastAsia" w:hAnsi="宋体"/>
                <w:color w:val="auto"/>
                <w:kern w:val="2"/>
                <w:sz w:val="21"/>
                <w:szCs w:val="21"/>
                <w:highlight w:val="none"/>
              </w:rPr>
              <w:t>（U盘1份，电子文件内容须包括竞争性比选响应文件全部内容）。当电子文件与纸质版竞争性比选响应文件不一致时，以纸质版竞争性比选响应文件为准，当正本与副本不一致时，以正本为准。</w:t>
            </w:r>
          </w:p>
          <w:p w14:paraId="644CFBC7">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2.竞争性比选响应声明书、报价函、法定代表人身份证明和法定代表人授权委托书、资格要求材料、承诺书、报价人认为需要提供的其他相关文件，根据第八章竞争性比选响应文件格式编制。（</w:t>
            </w:r>
            <w:r>
              <w:rPr>
                <w:rFonts w:hint="eastAsia" w:hAnsi="宋体"/>
                <w:b/>
                <w:bCs/>
                <w:color w:val="auto"/>
                <w:kern w:val="2"/>
                <w:sz w:val="21"/>
                <w:szCs w:val="21"/>
                <w:highlight w:val="none"/>
              </w:rPr>
              <w:t>注：以上所有文件均须逐页加盖报价人的公章</w:t>
            </w:r>
            <w:r>
              <w:rPr>
                <w:rFonts w:hint="eastAsia" w:hAnsi="宋体"/>
                <w:color w:val="auto"/>
                <w:kern w:val="2"/>
                <w:sz w:val="21"/>
                <w:szCs w:val="21"/>
                <w:highlight w:val="none"/>
              </w:rPr>
              <w:t>）。</w:t>
            </w:r>
          </w:p>
          <w:p w14:paraId="3D97C7A4">
            <w:pPr>
              <w:pStyle w:val="152"/>
              <w:spacing w:line="400" w:lineRule="exact"/>
              <w:ind w:firstLine="422" w:firstLineChars="200"/>
              <w:rPr>
                <w:rFonts w:hAnsi="宋体"/>
                <w:b/>
                <w:bCs/>
                <w:color w:val="auto"/>
                <w:kern w:val="2"/>
                <w:sz w:val="21"/>
                <w:szCs w:val="21"/>
                <w:highlight w:val="none"/>
              </w:rPr>
            </w:pPr>
            <w:r>
              <w:rPr>
                <w:rFonts w:hint="eastAsia" w:hAnsi="宋体"/>
                <w:b/>
                <w:bCs/>
                <w:color w:val="auto"/>
                <w:kern w:val="2"/>
                <w:sz w:val="21"/>
                <w:szCs w:val="21"/>
                <w:highlight w:val="none"/>
              </w:rPr>
              <w:t>3.密封要求：</w:t>
            </w:r>
          </w:p>
          <w:p w14:paraId="1981614D">
            <w:pPr>
              <w:pStyle w:val="152"/>
              <w:spacing w:line="400" w:lineRule="exact"/>
              <w:ind w:firstLine="420" w:firstLineChars="200"/>
              <w:rPr>
                <w:rFonts w:hint="eastAsia" w:hAnsi="宋体" w:eastAsia="宋体"/>
                <w:color w:val="auto"/>
                <w:kern w:val="2"/>
                <w:sz w:val="21"/>
                <w:szCs w:val="21"/>
                <w:highlight w:val="none"/>
                <w:lang w:eastAsia="zh-CN"/>
              </w:rPr>
            </w:pPr>
            <w:r>
              <w:rPr>
                <w:rFonts w:hint="eastAsia" w:hAnsi="宋体"/>
                <w:color w:val="auto"/>
                <w:kern w:val="2"/>
                <w:sz w:val="21"/>
                <w:szCs w:val="21"/>
                <w:highlight w:val="none"/>
              </w:rPr>
              <w:t>竞争性比选响应文件密封到一个封袋中，在封套上写明：</w:t>
            </w:r>
          </w:p>
          <w:tbl>
            <w:tblPr>
              <w:tblStyle w:val="44"/>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627B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3C257E41">
                  <w:pPr>
                    <w:adjustRightInd w:val="0"/>
                    <w:snapToGrid w:val="0"/>
                    <w:spacing w:line="420" w:lineRule="exact"/>
                    <w:ind w:firstLine="436" w:firstLineChars="208"/>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0B10C874">
                  <w:pPr>
                    <w:adjustRightInd w:val="0"/>
                    <w:snapToGrid w:val="0"/>
                    <w:spacing w:line="420" w:lineRule="exact"/>
                    <w:ind w:firstLine="436" w:firstLineChars="208"/>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3009AF2A">
                  <w:pPr>
                    <w:adjustRightInd w:val="0"/>
                    <w:snapToGrid w:val="0"/>
                    <w:spacing w:line="420" w:lineRule="exact"/>
                    <w:ind w:firstLine="436" w:firstLineChars="208"/>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5857005A">
            <w:pPr>
              <w:pStyle w:val="152"/>
              <w:spacing w:line="360" w:lineRule="exact"/>
              <w:jc w:val="both"/>
              <w:rPr>
                <w:rFonts w:hAnsi="宋体"/>
                <w:color w:val="auto"/>
                <w:kern w:val="2"/>
                <w:sz w:val="21"/>
                <w:szCs w:val="21"/>
                <w:highlight w:val="none"/>
              </w:rPr>
            </w:pPr>
          </w:p>
        </w:tc>
      </w:tr>
      <w:tr w14:paraId="0AAA1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69DD70C8">
            <w:pPr>
              <w:pStyle w:val="152"/>
              <w:spacing w:line="360" w:lineRule="exact"/>
              <w:jc w:val="center"/>
              <w:rPr>
                <w:rFonts w:hAnsi="宋体"/>
                <w:color w:val="auto"/>
                <w:sz w:val="21"/>
                <w:szCs w:val="21"/>
                <w:highlight w:val="none"/>
              </w:rPr>
            </w:pPr>
            <w:r>
              <w:rPr>
                <w:rFonts w:hint="eastAsia" w:hAnsi="宋体"/>
                <w:color w:val="auto"/>
                <w:sz w:val="21"/>
                <w:szCs w:val="21"/>
                <w:highlight w:val="none"/>
              </w:rPr>
              <w:t>23</w:t>
            </w:r>
          </w:p>
        </w:tc>
        <w:tc>
          <w:tcPr>
            <w:tcW w:w="2106" w:type="dxa"/>
            <w:vAlign w:val="center"/>
          </w:tcPr>
          <w:p w14:paraId="7AB6307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中标候选人公示</w:t>
            </w:r>
          </w:p>
        </w:tc>
        <w:tc>
          <w:tcPr>
            <w:tcW w:w="7104" w:type="dxa"/>
            <w:vAlign w:val="center"/>
          </w:tcPr>
          <w:p w14:paraId="1744F0D4">
            <w:pPr>
              <w:wordWrap w:val="0"/>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评标结果将在</w:t>
            </w:r>
            <w:r>
              <w:rPr>
                <w:rFonts w:hint="eastAsia" w:ascii="宋体" w:hAnsi="宋体"/>
                <w:color w:val="auto"/>
                <w:szCs w:val="21"/>
                <w:highlight w:val="none"/>
              </w:rPr>
              <w:t>重庆高速集团官网（http://www.cegc.com.cn/）</w:t>
            </w:r>
            <w:r>
              <w:rPr>
                <w:rFonts w:hint="eastAsia" w:ascii="宋体" w:hAnsi="宋体" w:cs="宋体"/>
                <w:color w:val="auto"/>
                <w:szCs w:val="21"/>
                <w:highlight w:val="none"/>
              </w:rPr>
              <w:t>上进行公示，公示期为3日。公示内容包括中标候选人名称、排序、投标报价；提出异议、投诉的渠道和方式。</w:t>
            </w:r>
          </w:p>
        </w:tc>
      </w:tr>
      <w:tr w14:paraId="3F3BD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735D4986">
            <w:pPr>
              <w:pStyle w:val="152"/>
              <w:spacing w:line="360" w:lineRule="exact"/>
              <w:jc w:val="center"/>
              <w:rPr>
                <w:rFonts w:hint="default" w:hAnsi="宋体" w:eastAsia="宋体"/>
                <w:color w:val="auto"/>
                <w:sz w:val="21"/>
                <w:szCs w:val="21"/>
                <w:highlight w:val="none"/>
                <w:lang w:val="en-US" w:eastAsia="zh-CN"/>
              </w:rPr>
            </w:pPr>
            <w:r>
              <w:rPr>
                <w:rFonts w:hint="eastAsia" w:hAnsi="宋体"/>
                <w:color w:val="auto"/>
                <w:sz w:val="21"/>
                <w:szCs w:val="21"/>
                <w:highlight w:val="none"/>
                <w:lang w:val="en-US" w:eastAsia="zh-CN"/>
              </w:rPr>
              <w:t>24</w:t>
            </w:r>
          </w:p>
        </w:tc>
        <w:tc>
          <w:tcPr>
            <w:tcW w:w="2106" w:type="dxa"/>
            <w:vAlign w:val="center"/>
          </w:tcPr>
          <w:p w14:paraId="75019005">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确定中标人</w:t>
            </w:r>
          </w:p>
        </w:tc>
        <w:tc>
          <w:tcPr>
            <w:tcW w:w="7104" w:type="dxa"/>
            <w:vAlign w:val="center"/>
          </w:tcPr>
          <w:p w14:paraId="142DC284">
            <w:pPr>
              <w:pStyle w:val="152"/>
              <w:spacing w:line="360" w:lineRule="exact"/>
              <w:ind w:firstLine="420" w:firstLineChars="200"/>
              <w:jc w:val="both"/>
              <w:rPr>
                <w:rFonts w:hint="eastAsia" w:hAnsi="宋体"/>
                <w:color w:val="auto"/>
                <w:sz w:val="21"/>
                <w:szCs w:val="21"/>
                <w:highlight w:val="none"/>
              </w:rPr>
            </w:pPr>
            <w:r>
              <w:rPr>
                <w:rFonts w:hint="eastAsia" w:hAnsi="宋体"/>
                <w:color w:val="auto"/>
                <w:sz w:val="21"/>
                <w:szCs w:val="21"/>
                <w:highlight w:val="none"/>
              </w:rPr>
              <w:t>1</w:t>
            </w:r>
            <w:r>
              <w:rPr>
                <w:rFonts w:hint="eastAsia" w:hAnsi="宋体"/>
                <w:color w:val="auto"/>
                <w:sz w:val="21"/>
                <w:szCs w:val="21"/>
                <w:highlight w:val="none"/>
                <w:lang w:eastAsia="zh-CN"/>
              </w:rPr>
              <w:t>、</w:t>
            </w:r>
            <w:r>
              <w:rPr>
                <w:rFonts w:hint="eastAsia" w:hAnsi="宋体"/>
                <w:color w:val="auto"/>
                <w:sz w:val="21"/>
                <w:szCs w:val="21"/>
                <w:highlight w:val="none"/>
              </w:rPr>
              <w:t>中标候选人公示结束且无异议的，采购人确定排名第一的中标候选人为中标人。采购人不得在中标候选人之外确定中标人。</w:t>
            </w:r>
          </w:p>
          <w:p w14:paraId="4A714C55">
            <w:pPr>
              <w:wordWrap w:val="0"/>
              <w:spacing w:line="360" w:lineRule="exact"/>
              <w:ind w:firstLine="420" w:firstLineChars="200"/>
              <w:rPr>
                <w:rFonts w:hint="eastAsia" w:ascii="宋体" w:hAnsi="宋体" w:cs="宋体"/>
                <w:color w:val="auto"/>
                <w:szCs w:val="21"/>
                <w:highlight w:val="none"/>
              </w:rPr>
            </w:pPr>
            <w:r>
              <w:rPr>
                <w:rFonts w:hint="eastAsia" w:hAnsi="宋体"/>
                <w:color w:val="auto"/>
                <w:sz w:val="21"/>
                <w:szCs w:val="21"/>
                <w:highlight w:val="none"/>
              </w:rPr>
              <w:t>2</w:t>
            </w:r>
            <w:r>
              <w:rPr>
                <w:rFonts w:hint="eastAsia" w:hAnsi="宋体"/>
                <w:color w:val="auto"/>
                <w:sz w:val="21"/>
                <w:szCs w:val="21"/>
                <w:highlight w:val="none"/>
                <w:lang w:eastAsia="zh-CN"/>
              </w:rPr>
              <w:t>、</w:t>
            </w:r>
            <w:r>
              <w:rPr>
                <w:rFonts w:hint="eastAsia" w:hAnsi="宋体"/>
                <w:color w:val="auto"/>
                <w:sz w:val="21"/>
                <w:szCs w:val="21"/>
                <w:highlight w:val="none"/>
              </w:rPr>
              <w:t>排名第一的中标候选人放弃中标、因不可抗力不能签订合同、不按照竞争性比选文件要求提交履约保证金，或者被查实存在影响中标结果的违法行为等情形，不符合中标条件的，采购人可以按照评标委员会提出的中标候选人名单排序依次确定其他中标候选人为中标人，也可以重新招标。</w:t>
            </w:r>
          </w:p>
        </w:tc>
      </w:tr>
      <w:tr w14:paraId="396E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07D35A7E">
            <w:pPr>
              <w:pStyle w:val="152"/>
              <w:spacing w:line="360" w:lineRule="exact"/>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w:t>
            </w:r>
          </w:p>
        </w:tc>
        <w:tc>
          <w:tcPr>
            <w:tcW w:w="9210" w:type="dxa"/>
            <w:gridSpan w:val="2"/>
            <w:vAlign w:val="center"/>
          </w:tcPr>
          <w:p w14:paraId="66056FF9">
            <w:pPr>
              <w:pStyle w:val="152"/>
              <w:spacing w:line="360" w:lineRule="exact"/>
              <w:ind w:firstLine="422" w:firstLineChars="200"/>
              <w:jc w:val="center"/>
              <w:rPr>
                <w:rFonts w:hAnsi="宋体"/>
                <w:color w:val="auto"/>
                <w:kern w:val="2"/>
                <w:sz w:val="21"/>
                <w:szCs w:val="21"/>
                <w:highlight w:val="none"/>
              </w:rPr>
            </w:pPr>
            <w:r>
              <w:rPr>
                <w:rFonts w:hint="eastAsia" w:hAnsi="宋体"/>
                <w:b/>
                <w:bCs/>
                <w:color w:val="auto"/>
                <w:sz w:val="21"/>
                <w:szCs w:val="21"/>
                <w:highlight w:val="none"/>
              </w:rPr>
              <w:t>需要补充的其他内容</w:t>
            </w:r>
          </w:p>
        </w:tc>
      </w:tr>
      <w:tr w14:paraId="4F849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97" w:type="dxa"/>
            <w:vAlign w:val="center"/>
          </w:tcPr>
          <w:p w14:paraId="225E1529">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.1</w:t>
            </w:r>
          </w:p>
        </w:tc>
        <w:tc>
          <w:tcPr>
            <w:tcW w:w="9210" w:type="dxa"/>
            <w:gridSpan w:val="2"/>
            <w:vAlign w:val="center"/>
          </w:tcPr>
          <w:p w14:paraId="365EA2FE">
            <w:pPr>
              <w:pStyle w:val="152"/>
              <w:spacing w:line="360" w:lineRule="exact"/>
              <w:ind w:firstLine="420" w:firstLineChars="200"/>
              <w:jc w:val="both"/>
              <w:rPr>
                <w:rFonts w:hAnsi="宋体"/>
                <w:b/>
                <w:bCs/>
                <w:color w:val="auto"/>
                <w:sz w:val="21"/>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6605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34CB36F3">
            <w:pPr>
              <w:pStyle w:val="152"/>
              <w:spacing w:line="360" w:lineRule="exact"/>
              <w:jc w:val="center"/>
              <w:rPr>
                <w:rFonts w:hAnsi="宋体"/>
                <w:color w:val="auto"/>
                <w:kern w:val="2"/>
                <w:sz w:val="21"/>
                <w:szCs w:val="21"/>
                <w:highlight w:val="none"/>
              </w:rPr>
            </w:pPr>
            <w:bookmarkStart w:id="141" w:name="OLE_LINK17" w:colFirst="0" w:colLast="1"/>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5</w:t>
            </w:r>
            <w:r>
              <w:rPr>
                <w:rFonts w:hint="eastAsia" w:hAnsi="宋体"/>
                <w:color w:val="auto"/>
                <w:kern w:val="2"/>
                <w:sz w:val="21"/>
                <w:szCs w:val="21"/>
                <w:highlight w:val="none"/>
              </w:rPr>
              <w:t>.2</w:t>
            </w:r>
          </w:p>
        </w:tc>
        <w:tc>
          <w:tcPr>
            <w:tcW w:w="9210" w:type="dxa"/>
            <w:gridSpan w:val="2"/>
            <w:vAlign w:val="center"/>
          </w:tcPr>
          <w:p w14:paraId="63F015B1">
            <w:pPr>
              <w:pStyle w:val="152"/>
              <w:spacing w:line="360" w:lineRule="exact"/>
              <w:ind w:firstLine="420" w:firstLineChars="200"/>
              <w:jc w:val="both"/>
              <w:rPr>
                <w:rFonts w:hAnsi="宋体"/>
                <w:b/>
                <w:bCs/>
                <w:color w:val="auto"/>
                <w:sz w:val="21"/>
                <w:szCs w:val="21"/>
                <w:highlight w:val="none"/>
              </w:rPr>
            </w:pPr>
            <w:r>
              <w:rPr>
                <w:rFonts w:hint="eastAsia" w:hAnsi="宋体"/>
                <w:color w:val="auto"/>
                <w:sz w:val="21"/>
                <w:szCs w:val="21"/>
                <w:highlight w:val="none"/>
              </w:rPr>
              <w:t>如中标人提供的服务无法满足本项目需求</w:t>
            </w:r>
            <w:bookmarkStart w:id="142" w:name="OLE_LINK16"/>
            <w:r>
              <w:rPr>
                <w:rFonts w:hint="eastAsia" w:hAnsi="宋体"/>
                <w:color w:val="auto"/>
                <w:sz w:val="21"/>
                <w:szCs w:val="21"/>
                <w:highlight w:val="none"/>
              </w:rPr>
              <w:t>的，采购人有权终止合同，</w:t>
            </w:r>
            <w:bookmarkEnd w:id="142"/>
            <w:r>
              <w:rPr>
                <w:rFonts w:hint="eastAsia" w:hAnsi="宋体"/>
                <w:color w:val="auto"/>
                <w:sz w:val="21"/>
                <w:szCs w:val="21"/>
                <w:highlight w:val="none"/>
                <w:lang w:val="en-US" w:eastAsia="zh-CN"/>
              </w:rPr>
              <w:t>乙方应赔偿由此给</w:t>
            </w:r>
            <w:r>
              <w:rPr>
                <w:rFonts w:hint="eastAsia" w:hAnsi="宋体"/>
                <w:color w:val="auto"/>
                <w:sz w:val="21"/>
                <w:szCs w:val="21"/>
                <w:highlight w:val="none"/>
              </w:rPr>
              <w:t>采购人有</w:t>
            </w:r>
            <w:r>
              <w:rPr>
                <w:rFonts w:hint="eastAsia" w:hAnsi="宋体"/>
                <w:color w:val="auto"/>
                <w:sz w:val="21"/>
                <w:szCs w:val="21"/>
                <w:highlight w:val="none"/>
                <w:lang w:val="en-US" w:eastAsia="zh-CN"/>
              </w:rPr>
              <w:t>带来的损失</w:t>
            </w:r>
            <w:r>
              <w:rPr>
                <w:rFonts w:hint="eastAsia" w:hAnsi="宋体"/>
                <w:color w:val="auto"/>
                <w:sz w:val="21"/>
                <w:szCs w:val="21"/>
                <w:highlight w:val="none"/>
              </w:rPr>
              <w:t>。</w:t>
            </w:r>
          </w:p>
        </w:tc>
      </w:tr>
      <w:bookmarkEnd w:id="141"/>
      <w:tr w14:paraId="6EE1F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6C2DD8F5">
            <w:pPr>
              <w:pStyle w:val="152"/>
              <w:spacing w:line="360" w:lineRule="exact"/>
              <w:jc w:val="center"/>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25.3</w:t>
            </w:r>
          </w:p>
        </w:tc>
        <w:tc>
          <w:tcPr>
            <w:tcW w:w="9210" w:type="dxa"/>
            <w:gridSpan w:val="2"/>
            <w:vAlign w:val="center"/>
          </w:tcPr>
          <w:p w14:paraId="31B41385">
            <w:pPr>
              <w:pStyle w:val="152"/>
              <w:spacing w:line="360" w:lineRule="exact"/>
              <w:ind w:firstLine="420" w:firstLineChars="200"/>
              <w:jc w:val="both"/>
              <w:rPr>
                <w:rFonts w:hint="eastAsia" w:hAnsi="宋体"/>
                <w:color w:val="auto"/>
                <w:sz w:val="21"/>
                <w:szCs w:val="21"/>
                <w:highlight w:val="none"/>
              </w:rPr>
            </w:pPr>
            <w:r>
              <w:rPr>
                <w:rFonts w:hint="eastAsia" w:hAnsi="宋体"/>
                <w:color w:val="auto"/>
                <w:sz w:val="21"/>
                <w:szCs w:val="21"/>
                <w:highlight w:val="none"/>
              </w:rPr>
              <w:t>需提供投标保证金银行回执。</w:t>
            </w:r>
          </w:p>
        </w:tc>
      </w:tr>
      <w:bookmarkEnd w:id="133"/>
    </w:tbl>
    <w:p w14:paraId="45DA2988">
      <w:pPr>
        <w:pStyle w:val="4"/>
        <w:widowControl/>
        <w:spacing w:before="0" w:after="0" w:line="300" w:lineRule="exact"/>
        <w:rPr>
          <w:rFonts w:hint="eastAsia" w:ascii="黑体" w:hAnsi="宋体" w:cs="黑体"/>
          <w:color w:val="auto"/>
          <w:sz w:val="21"/>
          <w:szCs w:val="21"/>
          <w:highlight w:val="none"/>
        </w:rPr>
        <w:sectPr>
          <w:footerReference r:id="rId7" w:type="default"/>
          <w:pgSz w:w="11906" w:h="16838"/>
          <w:pgMar w:top="1418" w:right="1134" w:bottom="1418" w:left="1134" w:header="851" w:footer="992" w:gutter="0"/>
          <w:pgBorders>
            <w:top w:val="none" w:sz="0" w:space="0"/>
            <w:left w:val="none" w:sz="0" w:space="0"/>
            <w:bottom w:val="none" w:sz="0" w:space="0"/>
            <w:right w:val="none" w:sz="0" w:space="0"/>
          </w:pgBorders>
          <w:pgNumType w:start="1"/>
          <w:cols w:space="720" w:num="1"/>
          <w:docGrid w:type="lines" w:linePitch="312" w:charSpace="0"/>
        </w:sectPr>
      </w:pPr>
    </w:p>
    <w:p w14:paraId="6234DD30">
      <w:pPr>
        <w:pStyle w:val="4"/>
        <w:widowControl/>
        <w:spacing w:before="0" w:after="0" w:line="300" w:lineRule="exact"/>
        <w:rPr>
          <w:rFonts w:ascii="黑体" w:hAnsi="宋体" w:cs="黑体"/>
          <w:color w:val="auto"/>
          <w:sz w:val="21"/>
          <w:szCs w:val="21"/>
          <w:highlight w:val="none"/>
        </w:rPr>
      </w:pPr>
      <w:r>
        <w:rPr>
          <w:rFonts w:hint="eastAsia" w:ascii="黑体" w:hAnsi="宋体" w:cs="黑体"/>
          <w:color w:val="auto"/>
          <w:sz w:val="21"/>
          <w:szCs w:val="21"/>
          <w:highlight w:val="none"/>
        </w:rPr>
        <w:t>报价人须知正文部分：</w:t>
      </w:r>
    </w:p>
    <w:p w14:paraId="786BBFFF">
      <w:pPr>
        <w:pStyle w:val="4"/>
        <w:widowControl/>
        <w:spacing w:before="0" w:after="0" w:line="300" w:lineRule="exact"/>
        <w:rPr>
          <w:rFonts w:ascii="宋体" w:hAnsi="宋体"/>
          <w:color w:val="auto"/>
          <w:sz w:val="21"/>
          <w:szCs w:val="21"/>
          <w:highlight w:val="none"/>
        </w:rPr>
      </w:pPr>
      <w:bookmarkStart w:id="143" w:name="_Toc5673"/>
      <w:bookmarkEnd w:id="143"/>
      <w:bookmarkStart w:id="144" w:name="_Toc9035"/>
      <w:bookmarkEnd w:id="144"/>
      <w:bookmarkStart w:id="145" w:name="_Toc17808"/>
      <w:bookmarkEnd w:id="145"/>
      <w:bookmarkStart w:id="146" w:name="_Toc28401"/>
      <w:bookmarkStart w:id="147" w:name="_Toc26326763"/>
      <w:r>
        <w:rPr>
          <w:rFonts w:hint="eastAsia" w:ascii="黑体" w:hAnsi="宋体" w:cs="黑体"/>
          <w:color w:val="auto"/>
          <w:sz w:val="21"/>
          <w:szCs w:val="21"/>
          <w:highlight w:val="none"/>
        </w:rPr>
        <w:t xml:space="preserve">1.  </w:t>
      </w:r>
      <w:bookmarkEnd w:id="146"/>
      <w:r>
        <w:rPr>
          <w:rFonts w:hint="eastAsia" w:ascii="黑体" w:hAnsi="宋体" w:cs="黑体"/>
          <w:color w:val="auto"/>
          <w:sz w:val="21"/>
          <w:szCs w:val="21"/>
          <w:highlight w:val="none"/>
        </w:rPr>
        <w:t>总则</w:t>
      </w:r>
      <w:bookmarkEnd w:id="147"/>
    </w:p>
    <w:p w14:paraId="52069B1F">
      <w:pPr>
        <w:pStyle w:val="5"/>
        <w:widowControl/>
        <w:spacing w:before="0" w:after="0" w:line="300" w:lineRule="exact"/>
        <w:rPr>
          <w:rFonts w:ascii="宋体" w:hAnsi="宋体"/>
          <w:color w:val="auto"/>
          <w:kern w:val="2"/>
          <w:sz w:val="21"/>
          <w:szCs w:val="21"/>
          <w:highlight w:val="none"/>
        </w:rPr>
      </w:pPr>
      <w:bookmarkStart w:id="148" w:name="_Toc4661671"/>
      <w:bookmarkEnd w:id="148"/>
      <w:bookmarkStart w:id="149" w:name="_Toc4662143"/>
      <w:bookmarkEnd w:id="149"/>
      <w:bookmarkStart w:id="150" w:name="_Toc4661429"/>
      <w:bookmarkEnd w:id="150"/>
      <w:bookmarkStart w:id="151" w:name="_Toc287607747"/>
      <w:bookmarkEnd w:id="151"/>
      <w:bookmarkStart w:id="152" w:name="_Toc40455646"/>
      <w:bookmarkEnd w:id="152"/>
      <w:bookmarkStart w:id="153" w:name="_Toc11657"/>
      <w:bookmarkEnd w:id="153"/>
      <w:bookmarkStart w:id="154" w:name="_Toc4661907"/>
      <w:bookmarkEnd w:id="154"/>
      <w:bookmarkStart w:id="155" w:name="_Toc200513127"/>
      <w:bookmarkEnd w:id="155"/>
      <w:bookmarkStart w:id="156" w:name="_Toc224103318"/>
      <w:bookmarkEnd w:id="156"/>
      <w:bookmarkStart w:id="157" w:name="_Toc40455273"/>
      <w:bookmarkEnd w:id="157"/>
      <w:bookmarkStart w:id="158" w:name="_Toc277082553"/>
      <w:bookmarkEnd w:id="158"/>
      <w:bookmarkStart w:id="159" w:name="_Toc40780255"/>
      <w:r>
        <w:rPr>
          <w:rFonts w:hint="eastAsia" w:ascii="宋体" w:hAnsi="宋体"/>
          <w:color w:val="auto"/>
          <w:kern w:val="2"/>
          <w:sz w:val="21"/>
          <w:szCs w:val="21"/>
          <w:highlight w:val="none"/>
        </w:rPr>
        <w:t xml:space="preserve">1.1  </w:t>
      </w:r>
      <w:bookmarkEnd w:id="159"/>
      <w:r>
        <w:rPr>
          <w:rFonts w:hint="eastAsia" w:ascii="宋体" w:hAnsi="宋体" w:cs="宋体"/>
          <w:color w:val="auto"/>
          <w:kern w:val="2"/>
          <w:sz w:val="21"/>
          <w:szCs w:val="21"/>
          <w:highlight w:val="none"/>
        </w:rPr>
        <w:t>项目概况</w:t>
      </w:r>
    </w:p>
    <w:p w14:paraId="2FCC8D30">
      <w:pPr>
        <w:autoSpaceDE w:val="0"/>
        <w:autoSpaceDN w:val="0"/>
        <w:adjustRightInd w:val="0"/>
        <w:spacing w:line="300" w:lineRule="exact"/>
        <w:ind w:firstLine="354" w:firstLineChars="169"/>
        <w:jc w:val="left"/>
        <w:rPr>
          <w:rFonts w:ascii="宋体" w:hAnsi="宋体" w:cs="Calibri"/>
          <w:color w:val="auto"/>
          <w:kern w:val="0"/>
          <w:szCs w:val="21"/>
          <w:highlight w:val="none"/>
        </w:rPr>
      </w:pPr>
      <w:r>
        <w:rPr>
          <w:rFonts w:hint="eastAsia" w:ascii="宋体" w:hAnsi="宋体" w:cs="Calibri"/>
          <w:color w:val="auto"/>
          <w:kern w:val="0"/>
          <w:szCs w:val="21"/>
          <w:highlight w:val="none"/>
          <w:lang w:bidi="ar"/>
        </w:rPr>
        <w:t xml:space="preserve">1.1.1  </w:t>
      </w:r>
      <w:r>
        <w:rPr>
          <w:rFonts w:hint="eastAsia" w:ascii="宋体" w:hAnsi="宋体" w:cs="宋体"/>
          <w:color w:val="auto"/>
          <w:kern w:val="0"/>
          <w:szCs w:val="21"/>
          <w:highlight w:val="none"/>
          <w:lang w:bidi="ar"/>
        </w:rPr>
        <w:t>根据国家有关法律、法规和规章的规定，本竞争性比选项目已具备竞争性比选条件，现对本项目进行竞争性比选。</w:t>
      </w:r>
    </w:p>
    <w:p w14:paraId="14CB1369">
      <w:pPr>
        <w:autoSpaceDE w:val="0"/>
        <w:autoSpaceDN w:val="0"/>
        <w:adjustRightInd w:val="0"/>
        <w:spacing w:line="300" w:lineRule="exact"/>
        <w:ind w:firstLine="354" w:firstLineChars="169"/>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1.1.2  </w:t>
      </w:r>
      <w:r>
        <w:rPr>
          <w:rFonts w:hint="eastAsia" w:ascii="宋体" w:hAnsi="宋体" w:cs="宋体"/>
          <w:color w:val="auto"/>
          <w:kern w:val="0"/>
          <w:szCs w:val="21"/>
          <w:highlight w:val="none"/>
          <w:lang w:bidi="ar"/>
        </w:rPr>
        <w:t>本竞争性比选项目采购人：见报价人须知前附表。</w:t>
      </w:r>
    </w:p>
    <w:p w14:paraId="77D67F12">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1.1.3 </w:t>
      </w:r>
      <w:r>
        <w:rPr>
          <w:rFonts w:ascii="宋体" w:hAnsi="宋体" w:cs="Calibri"/>
          <w:color w:val="auto"/>
          <w:kern w:val="0"/>
          <w:szCs w:val="21"/>
          <w:highlight w:val="none"/>
          <w:lang w:bidi="ar"/>
        </w:rPr>
        <w:t xml:space="preserve"> </w:t>
      </w:r>
      <w:r>
        <w:rPr>
          <w:rFonts w:hint="eastAsia" w:ascii="宋体" w:hAnsi="宋体" w:cs="宋体"/>
          <w:color w:val="auto"/>
          <w:kern w:val="0"/>
          <w:szCs w:val="21"/>
          <w:highlight w:val="none"/>
          <w:lang w:bidi="ar"/>
        </w:rPr>
        <w:t>本竞争性比选项目名称：见报价人须知前附表。</w:t>
      </w:r>
    </w:p>
    <w:p w14:paraId="7ADE6199">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1.1.4  </w:t>
      </w:r>
      <w:r>
        <w:rPr>
          <w:rFonts w:hint="eastAsia" w:ascii="宋体" w:hAnsi="宋体" w:cs="宋体"/>
          <w:color w:val="auto"/>
          <w:kern w:val="0"/>
          <w:szCs w:val="21"/>
          <w:highlight w:val="none"/>
          <w:lang w:bidi="ar"/>
        </w:rPr>
        <w:t>本项目建设地点：见报价人须知前附表。</w:t>
      </w:r>
    </w:p>
    <w:p w14:paraId="2513FCB4">
      <w:pPr>
        <w:pStyle w:val="5"/>
        <w:widowControl/>
        <w:spacing w:before="0" w:after="0" w:line="300" w:lineRule="exact"/>
        <w:rPr>
          <w:rFonts w:ascii="宋体" w:hAnsi="宋体"/>
          <w:color w:val="auto"/>
          <w:kern w:val="2"/>
          <w:sz w:val="21"/>
          <w:szCs w:val="21"/>
          <w:highlight w:val="none"/>
        </w:rPr>
      </w:pPr>
      <w:bookmarkStart w:id="160" w:name="_Toc224103319"/>
      <w:bookmarkEnd w:id="160"/>
      <w:bookmarkStart w:id="161" w:name="_Toc4661672"/>
      <w:bookmarkEnd w:id="161"/>
      <w:bookmarkStart w:id="162" w:name="_Toc21776"/>
      <w:bookmarkEnd w:id="162"/>
      <w:bookmarkStart w:id="163" w:name="_Toc4661430"/>
      <w:bookmarkEnd w:id="163"/>
      <w:bookmarkStart w:id="164" w:name="_Toc4662144"/>
      <w:bookmarkEnd w:id="164"/>
      <w:bookmarkStart w:id="165" w:name="_Toc40780256"/>
      <w:bookmarkEnd w:id="165"/>
      <w:bookmarkStart w:id="166" w:name="_Toc40455274"/>
      <w:bookmarkEnd w:id="166"/>
      <w:bookmarkStart w:id="167" w:name="_Toc40455647"/>
      <w:bookmarkEnd w:id="167"/>
      <w:bookmarkStart w:id="168" w:name="_Toc200513128"/>
      <w:bookmarkEnd w:id="168"/>
      <w:bookmarkStart w:id="169" w:name="_Toc4661908"/>
      <w:bookmarkEnd w:id="169"/>
      <w:bookmarkStart w:id="170" w:name="_Toc287607748"/>
      <w:bookmarkEnd w:id="170"/>
      <w:bookmarkStart w:id="171" w:name="_Toc277082554"/>
      <w:r>
        <w:rPr>
          <w:rFonts w:hint="eastAsia" w:ascii="宋体" w:hAnsi="宋体"/>
          <w:color w:val="auto"/>
          <w:kern w:val="2"/>
          <w:sz w:val="21"/>
          <w:szCs w:val="21"/>
          <w:highlight w:val="none"/>
        </w:rPr>
        <w:t xml:space="preserve">1.2  </w:t>
      </w:r>
      <w:bookmarkEnd w:id="171"/>
      <w:r>
        <w:rPr>
          <w:rFonts w:hint="eastAsia" w:ascii="宋体" w:hAnsi="宋体" w:cs="宋体"/>
          <w:color w:val="auto"/>
          <w:kern w:val="2"/>
          <w:sz w:val="21"/>
          <w:szCs w:val="21"/>
          <w:highlight w:val="none"/>
        </w:rPr>
        <w:t>竞争性比选范围、工期和质量要求</w:t>
      </w:r>
    </w:p>
    <w:p w14:paraId="7D117E8B">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1.3.1  </w:t>
      </w:r>
      <w:r>
        <w:rPr>
          <w:rFonts w:hint="eastAsia" w:ascii="宋体" w:hAnsi="宋体" w:cs="宋体"/>
          <w:color w:val="auto"/>
          <w:kern w:val="0"/>
          <w:szCs w:val="21"/>
          <w:highlight w:val="none"/>
          <w:lang w:bidi="ar"/>
        </w:rPr>
        <w:t>本次竞争性比选范围：见报价人须知前附表。</w:t>
      </w:r>
    </w:p>
    <w:p w14:paraId="5DFAE71E">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1.3.2  </w:t>
      </w:r>
      <w:r>
        <w:rPr>
          <w:rFonts w:hint="eastAsia" w:ascii="宋体" w:hAnsi="宋体" w:cs="宋体"/>
          <w:color w:val="auto"/>
          <w:kern w:val="0"/>
          <w:szCs w:val="21"/>
          <w:highlight w:val="none"/>
          <w:lang w:bidi="ar"/>
        </w:rPr>
        <w:t>本项目的计划工期：见报价人须知前附表。</w:t>
      </w:r>
    </w:p>
    <w:p w14:paraId="18454FB6">
      <w:pPr>
        <w:autoSpaceDE w:val="0"/>
        <w:autoSpaceDN w:val="0"/>
        <w:adjustRightInd w:val="0"/>
        <w:spacing w:line="300" w:lineRule="exact"/>
        <w:ind w:left="359" w:leftChars="171"/>
        <w:jc w:val="left"/>
        <w:rPr>
          <w:rFonts w:ascii="宋体" w:hAnsi="宋体" w:cs="宋体"/>
          <w:color w:val="auto"/>
          <w:kern w:val="0"/>
          <w:szCs w:val="21"/>
          <w:highlight w:val="none"/>
          <w:lang w:bidi="ar"/>
        </w:rPr>
      </w:pPr>
      <w:r>
        <w:rPr>
          <w:rFonts w:hint="eastAsia" w:ascii="宋体" w:hAnsi="宋体" w:cs="Calibri"/>
          <w:color w:val="auto"/>
          <w:kern w:val="0"/>
          <w:szCs w:val="21"/>
          <w:highlight w:val="none"/>
          <w:lang w:bidi="ar"/>
        </w:rPr>
        <w:t xml:space="preserve">1.3.3  </w:t>
      </w:r>
      <w:r>
        <w:rPr>
          <w:rFonts w:hint="eastAsia" w:ascii="宋体" w:hAnsi="宋体" w:cs="宋体"/>
          <w:color w:val="auto"/>
          <w:kern w:val="0"/>
          <w:szCs w:val="21"/>
          <w:highlight w:val="none"/>
          <w:lang w:bidi="ar"/>
        </w:rPr>
        <w:t>本项目的质量要求：见报价人须知前附表。</w:t>
      </w:r>
    </w:p>
    <w:p w14:paraId="5713FB12">
      <w:pPr>
        <w:autoSpaceDE w:val="0"/>
        <w:autoSpaceDN w:val="0"/>
        <w:adjustRightInd w:val="0"/>
        <w:spacing w:line="300" w:lineRule="exact"/>
        <w:ind w:left="359" w:leftChars="171"/>
        <w:jc w:val="left"/>
        <w:rPr>
          <w:color w:val="auto"/>
          <w:highlight w:val="none"/>
        </w:rPr>
      </w:pPr>
      <w:r>
        <w:rPr>
          <w:rFonts w:hint="eastAsia" w:ascii="宋体" w:hAnsi="宋体" w:cs="Calibri"/>
          <w:color w:val="auto"/>
          <w:kern w:val="0"/>
          <w:szCs w:val="21"/>
          <w:highlight w:val="none"/>
          <w:lang w:bidi="ar"/>
        </w:rPr>
        <w:t xml:space="preserve">1.3.4  </w:t>
      </w:r>
      <w:r>
        <w:rPr>
          <w:rFonts w:hint="eastAsia" w:ascii="宋体" w:hAnsi="宋体" w:cs="宋体"/>
          <w:color w:val="auto"/>
          <w:kern w:val="0"/>
          <w:szCs w:val="21"/>
          <w:highlight w:val="none"/>
          <w:lang w:bidi="ar"/>
        </w:rPr>
        <w:t>本项目的安全目标：见报价人须知前附表。</w:t>
      </w:r>
    </w:p>
    <w:p w14:paraId="4E629471">
      <w:pPr>
        <w:pStyle w:val="5"/>
        <w:widowControl/>
        <w:spacing w:before="0" w:after="0" w:line="300" w:lineRule="exact"/>
        <w:rPr>
          <w:rFonts w:ascii="宋体" w:hAnsi="宋体"/>
          <w:color w:val="auto"/>
          <w:kern w:val="2"/>
          <w:sz w:val="21"/>
          <w:szCs w:val="21"/>
          <w:highlight w:val="none"/>
        </w:rPr>
      </w:pPr>
      <w:bookmarkStart w:id="172" w:name="_Toc4661674"/>
      <w:bookmarkEnd w:id="172"/>
      <w:bookmarkStart w:id="173" w:name="_Toc200513131"/>
      <w:bookmarkEnd w:id="173"/>
      <w:bookmarkStart w:id="174" w:name="_Toc287607751"/>
      <w:bookmarkEnd w:id="174"/>
      <w:bookmarkStart w:id="175" w:name="_Toc4662146"/>
      <w:bookmarkEnd w:id="175"/>
      <w:bookmarkStart w:id="176" w:name="_Toc40455649"/>
      <w:bookmarkEnd w:id="176"/>
      <w:bookmarkStart w:id="177" w:name="_Toc40455276"/>
      <w:bookmarkEnd w:id="177"/>
      <w:bookmarkStart w:id="178" w:name="_Toc4661910"/>
      <w:bookmarkEnd w:id="178"/>
      <w:bookmarkStart w:id="179" w:name="_Toc224103322"/>
      <w:bookmarkEnd w:id="179"/>
      <w:bookmarkStart w:id="180" w:name="_Toc4661432"/>
      <w:bookmarkEnd w:id="180"/>
      <w:bookmarkStart w:id="181" w:name="_Toc40780258"/>
      <w:bookmarkEnd w:id="181"/>
      <w:bookmarkStart w:id="182" w:name="_Toc15725"/>
      <w:bookmarkEnd w:id="182"/>
      <w:bookmarkStart w:id="183" w:name="_Toc277082557"/>
      <w:r>
        <w:rPr>
          <w:rFonts w:hint="eastAsia" w:ascii="宋体" w:hAnsi="宋体"/>
          <w:color w:val="auto"/>
          <w:kern w:val="2"/>
          <w:sz w:val="21"/>
          <w:szCs w:val="21"/>
          <w:highlight w:val="none"/>
        </w:rPr>
        <w:t xml:space="preserve">1.4  </w:t>
      </w:r>
      <w:bookmarkEnd w:id="183"/>
      <w:r>
        <w:rPr>
          <w:rFonts w:hint="eastAsia" w:ascii="宋体" w:hAnsi="宋体" w:cs="宋体"/>
          <w:color w:val="auto"/>
          <w:kern w:val="2"/>
          <w:sz w:val="21"/>
          <w:szCs w:val="21"/>
          <w:highlight w:val="none"/>
        </w:rPr>
        <w:t>报价人资格要求</w:t>
      </w:r>
    </w:p>
    <w:p w14:paraId="0F7508AB">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1.4.1 </w:t>
      </w:r>
      <w:r>
        <w:rPr>
          <w:rFonts w:hint="eastAsia" w:ascii="宋体" w:hAnsi="宋体" w:cs="宋体"/>
          <w:color w:val="auto"/>
          <w:kern w:val="0"/>
          <w:szCs w:val="21"/>
          <w:highlight w:val="none"/>
          <w:lang w:bidi="ar"/>
        </w:rPr>
        <w:t>报价人应具备承担本项目的资质条件、能力和信誉。</w:t>
      </w:r>
    </w:p>
    <w:p w14:paraId="43F2E660">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1</w:t>
      </w:r>
      <w:r>
        <w:rPr>
          <w:rFonts w:hint="eastAsia" w:ascii="宋体" w:hAnsi="宋体" w:cs="宋体"/>
          <w:color w:val="auto"/>
          <w:kern w:val="0"/>
          <w:szCs w:val="21"/>
          <w:highlight w:val="none"/>
          <w:lang w:bidi="ar"/>
        </w:rPr>
        <w:t>）</w:t>
      </w:r>
      <w:r>
        <w:rPr>
          <w:rFonts w:hint="eastAsia" w:ascii="宋体" w:hAnsi="宋体" w:cs="宋体"/>
          <w:color w:val="auto"/>
          <w:szCs w:val="21"/>
          <w:highlight w:val="none"/>
          <w:lang w:bidi="ar"/>
        </w:rPr>
        <w:t>营业执照、资质要求</w:t>
      </w:r>
      <w:r>
        <w:rPr>
          <w:rFonts w:hint="eastAsia" w:ascii="宋体" w:hAnsi="宋体" w:cs="宋体"/>
          <w:color w:val="auto"/>
          <w:kern w:val="0"/>
          <w:szCs w:val="21"/>
          <w:highlight w:val="none"/>
          <w:lang w:bidi="ar"/>
        </w:rPr>
        <w:t>：见报价人须知前附表；</w:t>
      </w:r>
    </w:p>
    <w:p w14:paraId="7E8A61FF">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2</w:t>
      </w:r>
      <w:r>
        <w:rPr>
          <w:rFonts w:hint="eastAsia" w:ascii="宋体" w:hAnsi="宋体" w:cs="宋体"/>
          <w:color w:val="auto"/>
          <w:kern w:val="0"/>
          <w:szCs w:val="21"/>
          <w:highlight w:val="none"/>
          <w:lang w:bidi="ar"/>
        </w:rPr>
        <w:t>）业绩要求：见报价人须知前附表；</w:t>
      </w:r>
    </w:p>
    <w:p w14:paraId="055C8325">
      <w:pPr>
        <w:autoSpaceDE w:val="0"/>
        <w:autoSpaceDN w:val="0"/>
        <w:adjustRightInd w:val="0"/>
        <w:spacing w:line="300" w:lineRule="exact"/>
        <w:ind w:firstLine="357" w:firstLineChars="170"/>
        <w:jc w:val="left"/>
        <w:rPr>
          <w:rFonts w:ascii="宋体" w:hAnsi="宋体" w:cs="Calibri"/>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3</w:t>
      </w:r>
      <w:r>
        <w:rPr>
          <w:rFonts w:hint="eastAsia" w:ascii="宋体" w:hAnsi="宋体" w:cs="宋体"/>
          <w:color w:val="auto"/>
          <w:kern w:val="0"/>
          <w:szCs w:val="21"/>
          <w:highlight w:val="none"/>
          <w:lang w:bidi="ar"/>
        </w:rPr>
        <w:t>）项目主要人员要求：见报价人须知前附表；</w:t>
      </w:r>
    </w:p>
    <w:p w14:paraId="7D65DC3B">
      <w:pPr>
        <w:autoSpaceDE w:val="0"/>
        <w:autoSpaceDN w:val="0"/>
        <w:adjustRightInd w:val="0"/>
        <w:spacing w:line="300" w:lineRule="exact"/>
        <w:ind w:firstLine="357" w:firstLineChars="17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w:t>
      </w:r>
      <w:r>
        <w:rPr>
          <w:rFonts w:hint="eastAsia" w:ascii="宋体" w:hAnsi="宋体" w:cs="宋体"/>
          <w:color w:val="auto"/>
          <w:kern w:val="0"/>
          <w:szCs w:val="21"/>
          <w:highlight w:val="none"/>
          <w:lang w:bidi="ar"/>
        </w:rPr>
        <w:t>）信誉要求：见报价人须知前附表。</w:t>
      </w:r>
    </w:p>
    <w:p w14:paraId="138CB3DF">
      <w:pPr>
        <w:autoSpaceDE w:val="0"/>
        <w:autoSpaceDN w:val="0"/>
        <w:adjustRightInd w:val="0"/>
        <w:spacing w:line="300" w:lineRule="exact"/>
        <w:ind w:firstLine="357" w:firstLineChars="170"/>
        <w:jc w:val="left"/>
        <w:rPr>
          <w:color w:val="auto"/>
          <w:highlight w:val="none"/>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5</w:t>
      </w:r>
      <w:r>
        <w:rPr>
          <w:rFonts w:hint="eastAsia" w:ascii="宋体" w:hAnsi="宋体" w:cs="宋体"/>
          <w:color w:val="auto"/>
          <w:kern w:val="0"/>
          <w:szCs w:val="21"/>
          <w:highlight w:val="none"/>
          <w:lang w:bidi="ar"/>
        </w:rPr>
        <w:t>）其他要求：见报价人须知前附表。</w:t>
      </w:r>
    </w:p>
    <w:p w14:paraId="0E660DC3">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1.4.2  </w:t>
      </w:r>
      <w:r>
        <w:rPr>
          <w:rFonts w:hint="eastAsia" w:ascii="宋体" w:hAnsi="宋体" w:cs="宋体"/>
          <w:color w:val="auto"/>
          <w:kern w:val="0"/>
          <w:szCs w:val="21"/>
          <w:highlight w:val="none"/>
          <w:lang w:bidi="ar"/>
        </w:rPr>
        <w:t>报价人须知前附表规定接受联合体投标的，除应符合本章第</w:t>
      </w:r>
      <w:r>
        <w:rPr>
          <w:rFonts w:hint="eastAsia" w:ascii="宋体" w:hAnsi="宋体" w:cs="Calibri"/>
          <w:color w:val="auto"/>
          <w:kern w:val="0"/>
          <w:szCs w:val="21"/>
          <w:highlight w:val="none"/>
          <w:lang w:bidi="ar"/>
        </w:rPr>
        <w:t>1.4.1</w:t>
      </w:r>
      <w:r>
        <w:rPr>
          <w:rFonts w:hint="eastAsia" w:ascii="宋体" w:hAnsi="宋体" w:cs="宋体"/>
          <w:color w:val="auto"/>
          <w:kern w:val="0"/>
          <w:szCs w:val="21"/>
          <w:highlight w:val="none"/>
          <w:lang w:bidi="ar"/>
        </w:rPr>
        <w:t>项和报价人须知前附表的要求外，还应遵守以下规定：</w:t>
      </w:r>
    </w:p>
    <w:p w14:paraId="3E9DC7B7">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1</w:t>
      </w:r>
      <w:r>
        <w:rPr>
          <w:rFonts w:hint="eastAsia" w:ascii="宋体" w:hAnsi="宋体" w:cs="宋体"/>
          <w:color w:val="auto"/>
          <w:kern w:val="0"/>
          <w:szCs w:val="21"/>
          <w:highlight w:val="none"/>
          <w:lang w:bidi="ar"/>
        </w:rPr>
        <w:t>）联合体各方应按竞争性比选文件提供的格式签订联合体协议书，明确联合体牵头人和各方权利义务；</w:t>
      </w:r>
    </w:p>
    <w:p w14:paraId="178C19E9">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2</w:t>
      </w:r>
      <w:r>
        <w:rPr>
          <w:rFonts w:hint="eastAsia" w:ascii="宋体" w:hAnsi="宋体" w:cs="宋体"/>
          <w:color w:val="auto"/>
          <w:kern w:val="0"/>
          <w:szCs w:val="21"/>
          <w:highlight w:val="none"/>
          <w:lang w:bidi="ar"/>
        </w:rPr>
        <w:t>）由同一专业的单位组成的联合体，按照资质等级较低的单位确定资质等级；</w:t>
      </w:r>
    </w:p>
    <w:p w14:paraId="21D2CEEA">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3</w:t>
      </w:r>
      <w:r>
        <w:rPr>
          <w:rFonts w:hint="eastAsia" w:ascii="宋体" w:hAnsi="宋体" w:cs="宋体"/>
          <w:color w:val="auto"/>
          <w:kern w:val="0"/>
          <w:szCs w:val="21"/>
          <w:highlight w:val="none"/>
          <w:lang w:bidi="ar"/>
        </w:rPr>
        <w:t>）联合体各方不得再以自己名义单独或参加其他联合体在同一项目中投标。</w:t>
      </w:r>
    </w:p>
    <w:p w14:paraId="3D13A640">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1.4.3  </w:t>
      </w:r>
      <w:r>
        <w:rPr>
          <w:rFonts w:hint="eastAsia" w:ascii="宋体" w:hAnsi="宋体" w:cs="宋体"/>
          <w:color w:val="auto"/>
          <w:kern w:val="0"/>
          <w:szCs w:val="21"/>
          <w:highlight w:val="none"/>
          <w:lang w:bidi="ar"/>
        </w:rPr>
        <w:t>报价人不得存在下列情形之一：</w:t>
      </w:r>
    </w:p>
    <w:p w14:paraId="69A91DF5">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bookmarkStart w:id="184" w:name="_Toc40455650"/>
      <w:bookmarkEnd w:id="184"/>
      <w:bookmarkStart w:id="185" w:name="_Toc40455277"/>
      <w:bookmarkEnd w:id="185"/>
      <w:bookmarkStart w:id="186" w:name="_Toc287607752"/>
      <w:bookmarkEnd w:id="186"/>
      <w:bookmarkStart w:id="187" w:name="_Toc4661675"/>
      <w:bookmarkEnd w:id="187"/>
      <w:bookmarkStart w:id="188" w:name="_Toc40780259"/>
      <w:bookmarkEnd w:id="188"/>
      <w:bookmarkStart w:id="189" w:name="_Toc4661911"/>
      <w:bookmarkEnd w:id="189"/>
      <w:bookmarkStart w:id="190" w:name="_Toc277082558"/>
      <w:bookmarkEnd w:id="190"/>
      <w:bookmarkStart w:id="191" w:name="_Toc224103323"/>
      <w:bookmarkEnd w:id="191"/>
      <w:bookmarkStart w:id="192" w:name="_Toc200513132"/>
      <w:bookmarkEnd w:id="192"/>
      <w:bookmarkStart w:id="193" w:name="_Toc4661433"/>
      <w:bookmarkEnd w:id="193"/>
      <w:bookmarkStart w:id="194" w:name="_Toc4662147"/>
      <w:bookmarkEnd w:id="194"/>
      <w:r>
        <w:rPr>
          <w:rFonts w:hint="eastAsia" w:ascii="宋体" w:hAnsi="宋体" w:cs="MingLiU"/>
          <w:color w:val="auto"/>
          <w:kern w:val="0"/>
          <w:szCs w:val="21"/>
          <w:highlight w:val="none"/>
          <w:lang w:bidi="ar"/>
        </w:rPr>
        <w:t>与本竞争性比选项目的其他报价人为同一个单位负责人；</w:t>
      </w:r>
    </w:p>
    <w:p w14:paraId="661AE885">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与本竞争性比选项目的其他报价人存在控股、管理关系；</w:t>
      </w:r>
    </w:p>
    <w:p w14:paraId="755552F0">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被依法暂停或者取消投标资格；</w:t>
      </w:r>
    </w:p>
    <w:p w14:paraId="16156B11">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被责令停产停业、暂扣或者吊销许可证、暂扣或者吊销执照；</w:t>
      </w:r>
    </w:p>
    <w:p w14:paraId="6E3B8A78">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进入清算程序，或被宣告破产，或其他丧失履约能力的情形；</w:t>
      </w:r>
    </w:p>
    <w:p w14:paraId="2EC791EB">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在最近三年内发生重大产品质量问题；</w:t>
      </w:r>
    </w:p>
    <w:p w14:paraId="33076B4A">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被工商行政管理机关在全国企业信用信息公示系统中列入严重违法失信企业名单；</w:t>
      </w:r>
    </w:p>
    <w:p w14:paraId="4F5C6EDC">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在“信用中国”网站（www.creditchina.gov.cn）中被列入失信惩戒对象名单；</w:t>
      </w:r>
    </w:p>
    <w:p w14:paraId="7DCC073F">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在国家企业信用信息公示系统（http://www.gsxt.gov.cn/）中被列入严重违法失信企业名单；</w:t>
      </w:r>
    </w:p>
    <w:p w14:paraId="796CE312">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201</w:t>
      </w:r>
      <w:r>
        <w:rPr>
          <w:rFonts w:hint="eastAsia" w:ascii="宋体" w:hAnsi="宋体" w:cs="MingLiU"/>
          <w:color w:val="auto"/>
          <w:kern w:val="0"/>
          <w:szCs w:val="21"/>
          <w:highlight w:val="none"/>
          <w:lang w:val="en-US" w:eastAsia="zh-CN" w:bidi="ar"/>
        </w:rPr>
        <w:t>9</w:t>
      </w:r>
      <w:r>
        <w:rPr>
          <w:rFonts w:hint="eastAsia" w:ascii="宋体" w:hAnsi="宋体" w:cs="MingLiU"/>
          <w:color w:val="auto"/>
          <w:kern w:val="0"/>
          <w:szCs w:val="21"/>
          <w:highlight w:val="none"/>
          <w:lang w:bidi="ar"/>
        </w:rPr>
        <w:t>年1月1日至</w:t>
      </w:r>
      <w:r>
        <w:rPr>
          <w:rFonts w:ascii="宋体" w:hAnsi="宋体" w:cs="MingLiU"/>
          <w:color w:val="auto"/>
          <w:kern w:val="0"/>
          <w:szCs w:val="21"/>
          <w:highlight w:val="none"/>
          <w:lang w:bidi="ar"/>
        </w:rPr>
        <w:t>报价截止</w:t>
      </w:r>
      <w:r>
        <w:rPr>
          <w:rFonts w:hint="eastAsia" w:ascii="宋体" w:hAnsi="宋体" w:cs="MingLiU"/>
          <w:color w:val="auto"/>
          <w:kern w:val="0"/>
          <w:szCs w:val="21"/>
          <w:highlight w:val="none"/>
          <w:lang w:bidi="ar"/>
        </w:rPr>
        <w:t>日止报价人或其法定代表人有行贿犯罪行为的；</w:t>
      </w:r>
    </w:p>
    <w:p w14:paraId="0DAE77F2">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有过以他人名义投标或以其他方式弄虚作假，骗取中标行为；</w:t>
      </w:r>
    </w:p>
    <w:p w14:paraId="33997759">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财产被重组、接管、查封、扣押或冻结的；</w:t>
      </w:r>
    </w:p>
    <w:p w14:paraId="49B3D37A">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被国家、重庆市（含市</w:t>
      </w:r>
      <w:r>
        <w:rPr>
          <w:rFonts w:ascii="宋体" w:hAnsi="宋体" w:cs="MingLiU"/>
          <w:color w:val="auto"/>
          <w:kern w:val="0"/>
          <w:szCs w:val="21"/>
          <w:highlight w:val="none"/>
          <w:lang w:bidi="ar"/>
        </w:rPr>
        <w:t>区</w:t>
      </w:r>
      <w:r>
        <w:rPr>
          <w:rFonts w:hint="eastAsia" w:ascii="宋体" w:hAnsi="宋体" w:cs="MingLiU"/>
          <w:color w:val="auto"/>
          <w:kern w:val="0"/>
          <w:szCs w:val="21"/>
          <w:highlight w:val="none"/>
          <w:lang w:bidi="ar"/>
        </w:rPr>
        <w:t>或任意区县）有关行政部门处以暂停投标资格行政处罚，且在处罚期限内；</w:t>
      </w:r>
    </w:p>
    <w:p w14:paraId="7949A94F">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法律法规或报价人须知前附表规定的其他情形。</w:t>
      </w:r>
    </w:p>
    <w:p w14:paraId="2D35E0B5">
      <w:pPr>
        <w:pStyle w:val="5"/>
        <w:widowControl/>
        <w:spacing w:before="0" w:after="0" w:line="300" w:lineRule="exact"/>
        <w:rPr>
          <w:rFonts w:ascii="宋体" w:hAnsi="宋体"/>
          <w:color w:val="auto"/>
          <w:kern w:val="2"/>
          <w:sz w:val="21"/>
          <w:szCs w:val="21"/>
          <w:highlight w:val="none"/>
        </w:rPr>
      </w:pPr>
      <w:r>
        <w:rPr>
          <w:rFonts w:hint="eastAsia" w:ascii="宋体" w:hAnsi="宋体"/>
          <w:color w:val="auto"/>
          <w:kern w:val="2"/>
          <w:sz w:val="21"/>
          <w:szCs w:val="21"/>
          <w:highlight w:val="none"/>
        </w:rPr>
        <w:t>1.5  费用承担</w:t>
      </w:r>
    </w:p>
    <w:p w14:paraId="2E6840A9">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报价人准备和参加竞争性比选活动发生的费用自理。</w:t>
      </w:r>
    </w:p>
    <w:p w14:paraId="56CBCCFE">
      <w:pPr>
        <w:pStyle w:val="5"/>
        <w:widowControl/>
        <w:spacing w:before="0" w:after="0" w:line="300" w:lineRule="exact"/>
        <w:rPr>
          <w:rFonts w:ascii="宋体" w:hAnsi="宋体"/>
          <w:color w:val="auto"/>
          <w:kern w:val="2"/>
          <w:sz w:val="21"/>
          <w:szCs w:val="21"/>
          <w:highlight w:val="none"/>
        </w:rPr>
      </w:pPr>
      <w:bookmarkStart w:id="195" w:name="_Toc4662148"/>
      <w:bookmarkEnd w:id="195"/>
      <w:bookmarkStart w:id="196" w:name="_Toc287607753"/>
      <w:bookmarkEnd w:id="196"/>
      <w:bookmarkStart w:id="197" w:name="_Toc4661912"/>
      <w:bookmarkEnd w:id="197"/>
      <w:bookmarkStart w:id="198" w:name="_Toc200513133"/>
      <w:bookmarkEnd w:id="198"/>
      <w:bookmarkStart w:id="199" w:name="_Toc4661676"/>
      <w:bookmarkEnd w:id="199"/>
      <w:bookmarkStart w:id="200" w:name="_Toc40455278"/>
      <w:bookmarkEnd w:id="200"/>
      <w:bookmarkStart w:id="201" w:name="_Toc40455651"/>
      <w:bookmarkEnd w:id="201"/>
      <w:bookmarkStart w:id="202" w:name="_Toc224103324"/>
      <w:bookmarkEnd w:id="202"/>
      <w:bookmarkStart w:id="203" w:name="_Toc706"/>
      <w:bookmarkEnd w:id="203"/>
      <w:bookmarkStart w:id="204" w:name="_Toc277082559"/>
      <w:bookmarkEnd w:id="204"/>
      <w:bookmarkStart w:id="205" w:name="_Toc4661434"/>
      <w:bookmarkEnd w:id="205"/>
      <w:bookmarkStart w:id="206" w:name="_Toc40780260"/>
      <w:r>
        <w:rPr>
          <w:rFonts w:hint="eastAsia" w:ascii="宋体" w:hAnsi="宋体"/>
          <w:color w:val="auto"/>
          <w:kern w:val="2"/>
          <w:sz w:val="21"/>
          <w:szCs w:val="21"/>
          <w:highlight w:val="none"/>
        </w:rPr>
        <w:t xml:space="preserve">1.6  </w:t>
      </w:r>
      <w:bookmarkEnd w:id="206"/>
      <w:r>
        <w:rPr>
          <w:rFonts w:hint="eastAsia" w:ascii="宋体" w:hAnsi="宋体" w:cs="宋体"/>
          <w:color w:val="auto"/>
          <w:kern w:val="2"/>
          <w:sz w:val="21"/>
          <w:szCs w:val="21"/>
          <w:highlight w:val="none"/>
        </w:rPr>
        <w:t>保密</w:t>
      </w:r>
    </w:p>
    <w:p w14:paraId="2A0D7F11">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参与竞争性比选投标活动的各方应对竞争性比选文件和比选响应文件中的商业和技术等秘密保密，违者应对由此造成的后果承担法律责任。</w:t>
      </w:r>
    </w:p>
    <w:p w14:paraId="796E5B43">
      <w:pPr>
        <w:pStyle w:val="5"/>
        <w:widowControl/>
        <w:spacing w:before="0" w:after="0" w:line="300" w:lineRule="exact"/>
        <w:rPr>
          <w:rFonts w:ascii="宋体" w:hAnsi="宋体"/>
          <w:color w:val="auto"/>
          <w:kern w:val="2"/>
          <w:sz w:val="21"/>
          <w:szCs w:val="21"/>
          <w:highlight w:val="none"/>
        </w:rPr>
      </w:pPr>
      <w:bookmarkStart w:id="207" w:name="_Toc4661913"/>
      <w:bookmarkEnd w:id="207"/>
      <w:bookmarkStart w:id="208" w:name="_Toc40455652"/>
      <w:bookmarkEnd w:id="208"/>
      <w:bookmarkStart w:id="209" w:name="_Toc4661435"/>
      <w:bookmarkEnd w:id="209"/>
      <w:bookmarkStart w:id="210" w:name="_Toc4661677"/>
      <w:bookmarkEnd w:id="210"/>
      <w:bookmarkStart w:id="211" w:name="_Toc277082560"/>
      <w:bookmarkEnd w:id="211"/>
      <w:bookmarkStart w:id="212" w:name="_Toc224103325"/>
      <w:bookmarkEnd w:id="212"/>
      <w:bookmarkStart w:id="213" w:name="_Toc287607754"/>
      <w:bookmarkEnd w:id="213"/>
      <w:bookmarkStart w:id="214" w:name="_Toc4264"/>
      <w:bookmarkEnd w:id="214"/>
      <w:bookmarkStart w:id="215" w:name="_Toc200513134"/>
      <w:bookmarkEnd w:id="215"/>
      <w:bookmarkStart w:id="216" w:name="_Toc40780261"/>
      <w:bookmarkEnd w:id="216"/>
      <w:bookmarkStart w:id="217" w:name="_Toc40455279"/>
      <w:bookmarkEnd w:id="217"/>
      <w:bookmarkStart w:id="218" w:name="_Toc4662149"/>
      <w:r>
        <w:rPr>
          <w:rFonts w:hint="eastAsia" w:ascii="宋体" w:hAnsi="宋体"/>
          <w:color w:val="auto"/>
          <w:kern w:val="2"/>
          <w:sz w:val="21"/>
          <w:szCs w:val="21"/>
          <w:highlight w:val="none"/>
        </w:rPr>
        <w:t xml:space="preserve">1.7  </w:t>
      </w:r>
      <w:bookmarkEnd w:id="218"/>
      <w:r>
        <w:rPr>
          <w:rFonts w:hint="eastAsia" w:ascii="宋体" w:hAnsi="宋体" w:cs="宋体"/>
          <w:color w:val="auto"/>
          <w:kern w:val="2"/>
          <w:sz w:val="21"/>
          <w:szCs w:val="21"/>
          <w:highlight w:val="none"/>
        </w:rPr>
        <w:t>语言文字</w:t>
      </w:r>
    </w:p>
    <w:p w14:paraId="43DB3391">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除专用术语外，与竞争性比选投标有关的语言均使用中文。必要时专用术语应附有中文注释。</w:t>
      </w:r>
    </w:p>
    <w:p w14:paraId="1682DFC3">
      <w:pPr>
        <w:pStyle w:val="5"/>
        <w:widowControl/>
        <w:spacing w:before="0" w:after="0" w:line="300" w:lineRule="exact"/>
        <w:rPr>
          <w:rFonts w:ascii="宋体" w:hAnsi="宋体"/>
          <w:color w:val="auto"/>
          <w:kern w:val="2"/>
          <w:sz w:val="21"/>
          <w:szCs w:val="21"/>
          <w:highlight w:val="none"/>
        </w:rPr>
      </w:pPr>
      <w:bookmarkStart w:id="219" w:name="_Toc224103326"/>
      <w:bookmarkEnd w:id="219"/>
      <w:bookmarkStart w:id="220" w:name="_Toc287607755"/>
      <w:bookmarkEnd w:id="220"/>
      <w:bookmarkStart w:id="221" w:name="_Toc4662150"/>
      <w:bookmarkEnd w:id="221"/>
      <w:bookmarkStart w:id="222" w:name="_Toc40780262"/>
      <w:bookmarkEnd w:id="222"/>
      <w:bookmarkStart w:id="223" w:name="_Toc200513135"/>
      <w:bookmarkEnd w:id="223"/>
      <w:bookmarkStart w:id="224" w:name="_Toc40455653"/>
      <w:bookmarkEnd w:id="224"/>
      <w:bookmarkStart w:id="225" w:name="_Toc934"/>
      <w:bookmarkEnd w:id="225"/>
      <w:bookmarkStart w:id="226" w:name="_Toc40455280"/>
      <w:bookmarkEnd w:id="226"/>
      <w:bookmarkStart w:id="227" w:name="_Toc277082561"/>
      <w:bookmarkEnd w:id="227"/>
      <w:bookmarkStart w:id="228" w:name="_Toc4661678"/>
      <w:bookmarkEnd w:id="228"/>
      <w:bookmarkStart w:id="229" w:name="_Toc4661436"/>
      <w:bookmarkEnd w:id="229"/>
      <w:bookmarkStart w:id="230" w:name="_Toc4661914"/>
      <w:r>
        <w:rPr>
          <w:rFonts w:hint="eastAsia" w:ascii="宋体" w:hAnsi="宋体"/>
          <w:color w:val="auto"/>
          <w:kern w:val="2"/>
          <w:sz w:val="21"/>
          <w:szCs w:val="21"/>
          <w:highlight w:val="none"/>
        </w:rPr>
        <w:t xml:space="preserve">1.8  </w:t>
      </w:r>
      <w:bookmarkEnd w:id="230"/>
      <w:r>
        <w:rPr>
          <w:rFonts w:hint="eastAsia" w:ascii="宋体" w:hAnsi="宋体" w:cs="宋体"/>
          <w:color w:val="auto"/>
          <w:kern w:val="2"/>
          <w:sz w:val="21"/>
          <w:szCs w:val="21"/>
          <w:highlight w:val="none"/>
        </w:rPr>
        <w:t>计量单位</w:t>
      </w:r>
    </w:p>
    <w:p w14:paraId="19F0C32D">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所有计量均采用中华人民共和国法定计量单位。</w:t>
      </w:r>
    </w:p>
    <w:p w14:paraId="0E978A1A">
      <w:pPr>
        <w:pStyle w:val="5"/>
        <w:widowControl/>
        <w:spacing w:before="0" w:after="0" w:line="300" w:lineRule="exact"/>
        <w:rPr>
          <w:rFonts w:ascii="宋体" w:hAnsi="宋体"/>
          <w:color w:val="auto"/>
          <w:kern w:val="2"/>
          <w:sz w:val="21"/>
          <w:szCs w:val="21"/>
          <w:highlight w:val="none"/>
        </w:rPr>
      </w:pPr>
      <w:bookmarkStart w:id="231" w:name="_Toc287607756"/>
      <w:bookmarkEnd w:id="231"/>
      <w:bookmarkStart w:id="232" w:name="_Toc40455281"/>
      <w:bookmarkEnd w:id="232"/>
      <w:bookmarkStart w:id="233" w:name="_Toc277082562"/>
      <w:bookmarkEnd w:id="233"/>
      <w:bookmarkStart w:id="234" w:name="_Toc40455654"/>
      <w:bookmarkEnd w:id="234"/>
      <w:bookmarkStart w:id="235" w:name="_Toc4661679"/>
      <w:bookmarkEnd w:id="235"/>
      <w:bookmarkStart w:id="236" w:name="_Toc200513136"/>
      <w:bookmarkEnd w:id="236"/>
      <w:bookmarkStart w:id="237" w:name="_Toc4661915"/>
      <w:bookmarkEnd w:id="237"/>
      <w:bookmarkStart w:id="238" w:name="_Toc4661437"/>
      <w:bookmarkEnd w:id="238"/>
      <w:bookmarkStart w:id="239" w:name="_Toc224103327"/>
      <w:bookmarkEnd w:id="239"/>
      <w:bookmarkStart w:id="240" w:name="_Toc4662151"/>
      <w:bookmarkEnd w:id="240"/>
      <w:bookmarkStart w:id="241" w:name="_Toc14666"/>
      <w:bookmarkEnd w:id="241"/>
      <w:bookmarkStart w:id="242" w:name="_Toc40780263"/>
      <w:r>
        <w:rPr>
          <w:rFonts w:hint="eastAsia" w:ascii="宋体" w:hAnsi="宋体"/>
          <w:color w:val="auto"/>
          <w:kern w:val="2"/>
          <w:sz w:val="21"/>
          <w:szCs w:val="21"/>
          <w:highlight w:val="none"/>
        </w:rPr>
        <w:t xml:space="preserve">1.9  </w:t>
      </w:r>
      <w:bookmarkEnd w:id="242"/>
      <w:r>
        <w:rPr>
          <w:rFonts w:hint="eastAsia" w:ascii="宋体" w:hAnsi="宋体" w:cs="宋体"/>
          <w:color w:val="auto"/>
          <w:kern w:val="2"/>
          <w:sz w:val="21"/>
          <w:szCs w:val="21"/>
          <w:highlight w:val="none"/>
        </w:rPr>
        <w:t>踏勘现场</w:t>
      </w:r>
    </w:p>
    <w:p w14:paraId="1230DC0C">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1.9.1  </w:t>
      </w:r>
      <w:r>
        <w:rPr>
          <w:rFonts w:hint="eastAsia" w:ascii="宋体" w:hAnsi="宋体" w:cs="宋体"/>
          <w:color w:val="auto"/>
          <w:kern w:val="0"/>
          <w:szCs w:val="21"/>
          <w:highlight w:val="none"/>
          <w:lang w:bidi="ar"/>
        </w:rPr>
        <w:t>报价人须知前附表规定组织踏勘现场的，采购人按报价人须知前附表规定的时间、</w:t>
      </w:r>
      <w:r>
        <w:rPr>
          <w:rFonts w:hint="eastAsia" w:ascii="宋体" w:hAnsi="宋体" w:cs="MingLiU"/>
          <w:color w:val="auto"/>
          <w:kern w:val="0"/>
          <w:szCs w:val="21"/>
          <w:highlight w:val="none"/>
          <w:lang w:bidi="ar"/>
        </w:rPr>
        <w:t xml:space="preserve"> </w:t>
      </w:r>
      <w:r>
        <w:rPr>
          <w:rFonts w:hint="eastAsia" w:ascii="宋体" w:hAnsi="宋体" w:cs="宋体"/>
          <w:color w:val="auto"/>
          <w:kern w:val="0"/>
          <w:szCs w:val="21"/>
          <w:highlight w:val="none"/>
          <w:lang w:bidi="ar"/>
        </w:rPr>
        <w:t>地点组织报价人踏勘项目现场。</w:t>
      </w:r>
    </w:p>
    <w:p w14:paraId="67D13847">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1.9.2  </w:t>
      </w:r>
      <w:r>
        <w:rPr>
          <w:rFonts w:hint="eastAsia" w:ascii="宋体" w:hAnsi="宋体" w:cs="宋体"/>
          <w:color w:val="auto"/>
          <w:kern w:val="0"/>
          <w:szCs w:val="21"/>
          <w:highlight w:val="none"/>
          <w:lang w:bidi="ar"/>
        </w:rPr>
        <w:t>报价人踏勘现场发生的费用自理。</w:t>
      </w:r>
    </w:p>
    <w:p w14:paraId="1EE01255">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1.9.3  </w:t>
      </w:r>
      <w:r>
        <w:rPr>
          <w:rFonts w:hint="eastAsia" w:ascii="宋体" w:hAnsi="宋体" w:cs="宋体"/>
          <w:color w:val="auto"/>
          <w:kern w:val="0"/>
          <w:szCs w:val="21"/>
          <w:highlight w:val="none"/>
          <w:lang w:bidi="ar"/>
        </w:rPr>
        <w:t>除采购人的原因外，报价人自行负责在踏勘现场中所发生的人员伤亡和财产损失。</w:t>
      </w:r>
    </w:p>
    <w:p w14:paraId="02730239">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1.9.4  </w:t>
      </w:r>
      <w:r>
        <w:rPr>
          <w:rFonts w:hint="eastAsia" w:ascii="宋体" w:hAnsi="宋体" w:cs="宋体"/>
          <w:color w:val="auto"/>
          <w:kern w:val="0"/>
          <w:szCs w:val="21"/>
          <w:highlight w:val="none"/>
          <w:lang w:bidi="ar"/>
        </w:rPr>
        <w:t>采购人在踏勘现场中介绍的工程场地和相关的周边环境情况，供报价人在编制</w:t>
      </w:r>
      <w:r>
        <w:rPr>
          <w:rFonts w:ascii="宋体" w:hAnsi="宋体" w:cs="宋体"/>
          <w:color w:val="auto"/>
          <w:kern w:val="0"/>
          <w:szCs w:val="21"/>
          <w:highlight w:val="none"/>
          <w:lang w:bidi="ar"/>
        </w:rPr>
        <w:t>比选响应</w:t>
      </w:r>
      <w:r>
        <w:rPr>
          <w:rFonts w:hint="eastAsia" w:ascii="宋体" w:hAnsi="宋体" w:cs="宋体"/>
          <w:color w:val="auto"/>
          <w:kern w:val="0"/>
          <w:szCs w:val="21"/>
          <w:highlight w:val="none"/>
          <w:lang w:bidi="ar"/>
        </w:rPr>
        <w:t>文件时参考，采购人不对报价人据此做出的判断和决策负责。</w:t>
      </w:r>
    </w:p>
    <w:p w14:paraId="23EE5F1C">
      <w:pPr>
        <w:pStyle w:val="5"/>
        <w:widowControl/>
        <w:spacing w:before="0" w:after="0" w:line="300" w:lineRule="exact"/>
        <w:rPr>
          <w:rFonts w:ascii="宋体" w:hAnsi="宋体"/>
          <w:color w:val="auto"/>
          <w:kern w:val="2"/>
          <w:sz w:val="21"/>
          <w:szCs w:val="21"/>
          <w:highlight w:val="none"/>
        </w:rPr>
      </w:pPr>
      <w:bookmarkStart w:id="243" w:name="_Toc277082563"/>
      <w:bookmarkEnd w:id="243"/>
      <w:bookmarkStart w:id="244" w:name="_Toc4661916"/>
      <w:bookmarkEnd w:id="244"/>
      <w:bookmarkStart w:id="245" w:name="_Toc200513137"/>
      <w:bookmarkEnd w:id="245"/>
      <w:bookmarkStart w:id="246" w:name="_Toc224103328"/>
      <w:bookmarkEnd w:id="246"/>
      <w:bookmarkStart w:id="247" w:name="_Toc4662152"/>
      <w:bookmarkEnd w:id="247"/>
      <w:bookmarkStart w:id="248" w:name="_Toc32378"/>
      <w:bookmarkEnd w:id="248"/>
      <w:bookmarkStart w:id="249" w:name="_Toc40780264"/>
      <w:bookmarkEnd w:id="249"/>
      <w:bookmarkStart w:id="250" w:name="_Toc40455282"/>
      <w:bookmarkEnd w:id="250"/>
      <w:bookmarkStart w:id="251" w:name="_Toc4661680"/>
      <w:bookmarkEnd w:id="251"/>
      <w:bookmarkStart w:id="252" w:name="_Toc4661438"/>
      <w:bookmarkEnd w:id="252"/>
      <w:bookmarkStart w:id="253" w:name="_Toc287607757"/>
      <w:bookmarkEnd w:id="253"/>
      <w:bookmarkStart w:id="254" w:name="_Toc40455655"/>
      <w:r>
        <w:rPr>
          <w:rFonts w:hint="eastAsia" w:ascii="宋体" w:hAnsi="宋体"/>
          <w:color w:val="auto"/>
          <w:kern w:val="2"/>
          <w:sz w:val="21"/>
          <w:szCs w:val="21"/>
          <w:highlight w:val="none"/>
        </w:rPr>
        <w:t xml:space="preserve">1.10  </w:t>
      </w:r>
      <w:bookmarkEnd w:id="254"/>
      <w:r>
        <w:rPr>
          <w:rFonts w:hint="eastAsia" w:ascii="宋体" w:hAnsi="宋体" w:cs="宋体"/>
          <w:color w:val="auto"/>
          <w:kern w:val="2"/>
          <w:sz w:val="21"/>
          <w:szCs w:val="21"/>
          <w:highlight w:val="none"/>
        </w:rPr>
        <w:t>投标预备会</w:t>
      </w:r>
    </w:p>
    <w:p w14:paraId="54B73890">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1.10.1  </w:t>
      </w:r>
      <w:r>
        <w:rPr>
          <w:rFonts w:hint="eastAsia" w:ascii="宋体" w:hAnsi="宋体" w:cs="宋体"/>
          <w:color w:val="auto"/>
          <w:kern w:val="0"/>
          <w:szCs w:val="21"/>
          <w:highlight w:val="none"/>
          <w:lang w:bidi="ar"/>
        </w:rPr>
        <w:t>报价人须知前附表规定召开投标预备会的，采购人按报价人须知前附表规定的时间和地点召开投标预备会，澄清报价人提出的问题。</w:t>
      </w:r>
    </w:p>
    <w:p w14:paraId="2A8F432E">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1.10.2  </w:t>
      </w:r>
      <w:r>
        <w:rPr>
          <w:rFonts w:hint="eastAsia" w:ascii="宋体" w:hAnsi="宋体" w:cs="宋体"/>
          <w:color w:val="auto"/>
          <w:kern w:val="0"/>
          <w:szCs w:val="21"/>
          <w:highlight w:val="none"/>
          <w:lang w:bidi="ar"/>
        </w:rPr>
        <w:t>报价人应在报价人须知前附表规定的时间前，以书面形式将提出的问题送达采购人，以便采购人在会议期间澄清。</w:t>
      </w:r>
    </w:p>
    <w:p w14:paraId="7A1A7986">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1.10.3  </w:t>
      </w:r>
      <w:r>
        <w:rPr>
          <w:rFonts w:hint="eastAsia" w:ascii="宋体" w:hAnsi="宋体" w:cs="宋体"/>
          <w:color w:val="auto"/>
          <w:kern w:val="0"/>
          <w:szCs w:val="21"/>
          <w:highlight w:val="none"/>
          <w:lang w:bidi="ar"/>
        </w:rPr>
        <w:t>投标预备会后，采购人在报价人须知前附表规定的时间内，将对报价人所提问题</w:t>
      </w:r>
      <w:r>
        <w:rPr>
          <w:rFonts w:hint="eastAsia" w:ascii="宋体" w:hAnsi="宋体" w:cs="宋体"/>
          <w:color w:val="auto"/>
          <w:kern w:val="0"/>
          <w:position w:val="-2"/>
          <w:szCs w:val="21"/>
          <w:highlight w:val="none"/>
          <w:lang w:bidi="ar"/>
        </w:rPr>
        <w:t>的澄清，以书面方式通知所有购买竞争性比选文件的报价人。该澄清内容为竞争性比选文件的组成部分。</w:t>
      </w:r>
    </w:p>
    <w:p w14:paraId="78FDB669">
      <w:pPr>
        <w:pStyle w:val="5"/>
        <w:widowControl/>
        <w:spacing w:before="0" w:after="0" w:line="300" w:lineRule="exact"/>
        <w:rPr>
          <w:rFonts w:ascii="宋体" w:hAnsi="宋体" w:cs="MingLiU"/>
          <w:b w:val="0"/>
          <w:color w:val="auto"/>
          <w:sz w:val="21"/>
          <w:szCs w:val="21"/>
          <w:highlight w:val="none"/>
        </w:rPr>
      </w:pPr>
      <w:bookmarkStart w:id="255" w:name="_Toc4661917"/>
      <w:bookmarkEnd w:id="255"/>
      <w:bookmarkStart w:id="256" w:name="_Toc224103329"/>
      <w:bookmarkEnd w:id="256"/>
      <w:bookmarkStart w:id="257" w:name="_Toc40455656"/>
      <w:bookmarkEnd w:id="257"/>
      <w:bookmarkStart w:id="258" w:name="_Toc4661681"/>
      <w:bookmarkEnd w:id="258"/>
      <w:bookmarkStart w:id="259" w:name="_Toc40780265"/>
      <w:bookmarkEnd w:id="259"/>
      <w:bookmarkStart w:id="260" w:name="_Toc277082564"/>
      <w:bookmarkEnd w:id="260"/>
      <w:bookmarkStart w:id="261" w:name="_Toc4662153"/>
      <w:bookmarkEnd w:id="261"/>
      <w:bookmarkStart w:id="262" w:name="_Toc40455283"/>
      <w:bookmarkEnd w:id="262"/>
      <w:bookmarkStart w:id="263" w:name="_Toc287607758"/>
      <w:bookmarkEnd w:id="263"/>
      <w:bookmarkStart w:id="264" w:name="_Toc1732"/>
      <w:bookmarkEnd w:id="264"/>
      <w:bookmarkStart w:id="265" w:name="_Toc4661439"/>
      <w:bookmarkEnd w:id="265"/>
      <w:bookmarkStart w:id="266" w:name="_Toc200513138"/>
      <w:r>
        <w:rPr>
          <w:rFonts w:hint="eastAsia" w:ascii="宋体" w:hAnsi="宋体"/>
          <w:color w:val="auto"/>
          <w:kern w:val="2"/>
          <w:sz w:val="21"/>
          <w:szCs w:val="21"/>
          <w:highlight w:val="none"/>
        </w:rPr>
        <w:t xml:space="preserve">1.11  </w:t>
      </w:r>
      <w:bookmarkEnd w:id="266"/>
      <w:r>
        <w:rPr>
          <w:rFonts w:hint="eastAsia" w:ascii="宋体" w:hAnsi="宋体" w:cs="宋体"/>
          <w:color w:val="auto"/>
          <w:kern w:val="2"/>
          <w:sz w:val="21"/>
          <w:szCs w:val="21"/>
          <w:highlight w:val="none"/>
        </w:rPr>
        <w:t>分包</w:t>
      </w:r>
    </w:p>
    <w:p w14:paraId="1F37A050">
      <w:pPr>
        <w:autoSpaceDE w:val="0"/>
        <w:autoSpaceDN w:val="0"/>
        <w:adjustRightInd w:val="0"/>
        <w:spacing w:line="300" w:lineRule="exact"/>
        <w:ind w:firstLine="424" w:firstLineChars="202"/>
        <w:jc w:val="left"/>
        <w:rPr>
          <w:rFonts w:ascii="宋体" w:hAnsi="宋体" w:cs="MingLiU"/>
          <w:color w:val="auto"/>
          <w:kern w:val="0"/>
          <w:szCs w:val="21"/>
          <w:highlight w:val="none"/>
        </w:rPr>
      </w:pPr>
      <w:bookmarkStart w:id="267" w:name="_Toc40780266"/>
      <w:bookmarkEnd w:id="267"/>
      <w:bookmarkStart w:id="268" w:name="_Toc40455657"/>
      <w:bookmarkEnd w:id="268"/>
      <w:bookmarkStart w:id="269" w:name="_Toc1991"/>
      <w:bookmarkEnd w:id="269"/>
      <w:bookmarkStart w:id="270" w:name="_Toc4662154"/>
      <w:bookmarkEnd w:id="270"/>
      <w:bookmarkStart w:id="271" w:name="_Toc200513139"/>
      <w:bookmarkEnd w:id="271"/>
      <w:bookmarkStart w:id="272" w:name="_Toc277082565"/>
      <w:bookmarkEnd w:id="272"/>
      <w:bookmarkStart w:id="273" w:name="_Toc287607759"/>
      <w:bookmarkEnd w:id="273"/>
      <w:bookmarkStart w:id="274" w:name="_Toc4661682"/>
      <w:bookmarkEnd w:id="274"/>
      <w:bookmarkStart w:id="275" w:name="_Toc4661918"/>
      <w:bookmarkEnd w:id="275"/>
      <w:bookmarkStart w:id="276" w:name="_Toc40455284"/>
      <w:bookmarkEnd w:id="276"/>
      <w:bookmarkStart w:id="277" w:name="_Toc4661440"/>
      <w:bookmarkEnd w:id="277"/>
      <w:bookmarkStart w:id="278" w:name="_Toc224103330"/>
      <w:r>
        <w:rPr>
          <w:rFonts w:hint="eastAsia" w:ascii="宋体" w:hAnsi="宋体" w:cs="MingLiU"/>
          <w:color w:val="auto"/>
          <w:kern w:val="0"/>
          <w:szCs w:val="21"/>
          <w:highlight w:val="none"/>
        </w:rPr>
        <w:t>1.11.1</w:t>
      </w:r>
      <w:r>
        <w:rPr>
          <w:rFonts w:hint="eastAsia" w:ascii="宋体" w:hAnsi="宋体" w:cs="Calibri"/>
          <w:color w:val="auto"/>
          <w:kern w:val="0"/>
          <w:szCs w:val="21"/>
          <w:highlight w:val="none"/>
          <w:lang w:bidi="ar"/>
        </w:rPr>
        <w:t xml:space="preserve">  </w:t>
      </w:r>
      <w:r>
        <w:rPr>
          <w:rFonts w:hint="eastAsia" w:ascii="宋体" w:hAnsi="宋体" w:cs="MingLiU"/>
          <w:color w:val="auto"/>
          <w:kern w:val="0"/>
          <w:szCs w:val="21"/>
          <w:highlight w:val="none"/>
        </w:rPr>
        <w:t>本项目竞争性比选范围内的内容如需分包，分包单位的确定须采购人书面批准同意。否则采购人均有权取消中标人资格。</w:t>
      </w:r>
      <w:bookmarkEnd w:id="278"/>
    </w:p>
    <w:p w14:paraId="184B67D1">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MingLiU"/>
          <w:color w:val="auto"/>
          <w:kern w:val="0"/>
          <w:szCs w:val="21"/>
          <w:highlight w:val="none"/>
        </w:rPr>
        <w:t>1.11.2</w:t>
      </w:r>
      <w:r>
        <w:rPr>
          <w:rFonts w:ascii="宋体" w:hAnsi="宋体" w:cs="MingLiU"/>
          <w:color w:val="auto"/>
          <w:kern w:val="0"/>
          <w:szCs w:val="21"/>
          <w:highlight w:val="none"/>
        </w:rPr>
        <w:t xml:space="preserve">  </w:t>
      </w:r>
      <w:r>
        <w:rPr>
          <w:rFonts w:hint="eastAsia" w:ascii="宋体" w:hAnsi="宋体" w:cs="MingLiU"/>
          <w:color w:val="auto"/>
          <w:kern w:val="0"/>
          <w:szCs w:val="21"/>
          <w:highlight w:val="none"/>
        </w:rPr>
        <w:t>严禁转包、转让中标项目，也不得将中标项目肢解后分别转包、转让，否则采购人有权取消中标人资格。</w:t>
      </w:r>
    </w:p>
    <w:p w14:paraId="3DD1F7FD">
      <w:pPr>
        <w:pStyle w:val="5"/>
        <w:widowControl/>
        <w:spacing w:before="0" w:after="0" w:line="300" w:lineRule="exact"/>
        <w:rPr>
          <w:rFonts w:ascii="宋体" w:hAnsi="宋体"/>
          <w:color w:val="auto"/>
          <w:kern w:val="2"/>
          <w:sz w:val="21"/>
          <w:szCs w:val="21"/>
          <w:highlight w:val="none"/>
        </w:rPr>
      </w:pPr>
      <w:r>
        <w:rPr>
          <w:rFonts w:hint="eastAsia" w:ascii="宋体" w:hAnsi="宋体"/>
          <w:color w:val="auto"/>
          <w:kern w:val="2"/>
          <w:sz w:val="21"/>
          <w:szCs w:val="21"/>
          <w:highlight w:val="none"/>
        </w:rPr>
        <w:t>1.12  偏离</w:t>
      </w:r>
    </w:p>
    <w:p w14:paraId="7F296A69">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报价人须知前附表允许比选响应文件偏离竞争性比选文件某些要求的，偏离应当符合竞争性比选文件规定的偏离范围和幅度。</w:t>
      </w:r>
    </w:p>
    <w:p w14:paraId="20EBD0EA">
      <w:pPr>
        <w:pStyle w:val="4"/>
        <w:widowControl/>
        <w:spacing w:before="0" w:after="0" w:line="300" w:lineRule="exact"/>
        <w:rPr>
          <w:rFonts w:ascii="宋体" w:hAnsi="宋体"/>
          <w:color w:val="auto"/>
          <w:sz w:val="21"/>
          <w:szCs w:val="21"/>
          <w:highlight w:val="none"/>
        </w:rPr>
      </w:pPr>
      <w:bookmarkStart w:id="279" w:name="_Toc4806"/>
      <w:bookmarkEnd w:id="279"/>
      <w:bookmarkStart w:id="280" w:name="_Toc143"/>
      <w:bookmarkEnd w:id="280"/>
      <w:bookmarkStart w:id="281" w:name="_Toc4662155"/>
      <w:bookmarkEnd w:id="281"/>
      <w:bookmarkStart w:id="282" w:name="_Toc4661441"/>
      <w:bookmarkEnd w:id="282"/>
      <w:bookmarkStart w:id="283" w:name="_Toc200513140"/>
      <w:bookmarkEnd w:id="283"/>
      <w:bookmarkStart w:id="284" w:name="_Toc27390"/>
      <w:bookmarkEnd w:id="284"/>
      <w:bookmarkStart w:id="285" w:name="_Toc25763"/>
      <w:bookmarkEnd w:id="285"/>
      <w:bookmarkStart w:id="286" w:name="_Toc40455285"/>
      <w:bookmarkEnd w:id="286"/>
      <w:bookmarkStart w:id="287" w:name="_Toc277082566"/>
      <w:bookmarkEnd w:id="287"/>
      <w:bookmarkStart w:id="288" w:name="_Toc224103331"/>
      <w:bookmarkEnd w:id="288"/>
      <w:bookmarkStart w:id="289" w:name="_Toc4661683"/>
      <w:bookmarkEnd w:id="289"/>
      <w:bookmarkStart w:id="290" w:name="_Toc287607760"/>
      <w:bookmarkEnd w:id="290"/>
      <w:bookmarkStart w:id="291" w:name="_Toc30989"/>
      <w:bookmarkEnd w:id="291"/>
      <w:bookmarkStart w:id="292" w:name="_Toc40455658"/>
      <w:bookmarkEnd w:id="292"/>
      <w:bookmarkStart w:id="293" w:name="_Toc4661919"/>
      <w:bookmarkEnd w:id="293"/>
      <w:bookmarkStart w:id="294" w:name="_Toc24734"/>
      <w:bookmarkStart w:id="295" w:name="_Toc1321001590"/>
      <w:r>
        <w:rPr>
          <w:rFonts w:hint="eastAsia" w:ascii="宋体" w:hAnsi="宋体"/>
          <w:color w:val="auto"/>
          <w:sz w:val="21"/>
          <w:szCs w:val="21"/>
          <w:highlight w:val="none"/>
        </w:rPr>
        <w:t xml:space="preserve">2.  </w:t>
      </w:r>
      <w:bookmarkEnd w:id="294"/>
      <w:r>
        <w:rPr>
          <w:rFonts w:hint="eastAsia" w:ascii="黑体" w:hAnsi="宋体" w:cs="黑体"/>
          <w:color w:val="auto"/>
          <w:sz w:val="21"/>
          <w:szCs w:val="21"/>
          <w:highlight w:val="none"/>
        </w:rPr>
        <w:t>竞争性比选文件</w:t>
      </w:r>
      <w:bookmarkEnd w:id="295"/>
    </w:p>
    <w:p w14:paraId="6CB910BF">
      <w:pPr>
        <w:pStyle w:val="5"/>
        <w:widowControl/>
        <w:spacing w:before="0" w:after="0" w:line="300" w:lineRule="exact"/>
        <w:rPr>
          <w:rFonts w:ascii="宋体" w:hAnsi="宋体"/>
          <w:color w:val="auto"/>
          <w:kern w:val="2"/>
          <w:sz w:val="21"/>
          <w:szCs w:val="21"/>
          <w:highlight w:val="none"/>
        </w:rPr>
      </w:pPr>
      <w:bookmarkStart w:id="296" w:name="_Toc40455286"/>
      <w:bookmarkEnd w:id="296"/>
      <w:bookmarkStart w:id="297" w:name="_Toc277082567"/>
      <w:bookmarkEnd w:id="297"/>
      <w:bookmarkStart w:id="298" w:name="_Toc224103332"/>
      <w:bookmarkEnd w:id="298"/>
      <w:bookmarkStart w:id="299" w:name="_Toc29861"/>
      <w:bookmarkEnd w:id="299"/>
      <w:bookmarkStart w:id="300" w:name="_Toc40780268"/>
      <w:bookmarkEnd w:id="300"/>
      <w:bookmarkStart w:id="301" w:name="_Toc40455659"/>
      <w:bookmarkEnd w:id="301"/>
      <w:bookmarkStart w:id="302" w:name="_Toc4661684"/>
      <w:bookmarkEnd w:id="302"/>
      <w:bookmarkStart w:id="303" w:name="_Toc4661920"/>
      <w:bookmarkEnd w:id="303"/>
      <w:bookmarkStart w:id="304" w:name="_Toc4662156"/>
      <w:bookmarkEnd w:id="304"/>
      <w:bookmarkStart w:id="305" w:name="_Toc287607761"/>
      <w:bookmarkEnd w:id="305"/>
      <w:bookmarkStart w:id="306" w:name="_Toc200513141"/>
      <w:bookmarkEnd w:id="306"/>
      <w:bookmarkStart w:id="307" w:name="_Toc4661442"/>
      <w:r>
        <w:rPr>
          <w:rFonts w:hint="eastAsia" w:ascii="宋体" w:hAnsi="宋体"/>
          <w:color w:val="auto"/>
          <w:kern w:val="2"/>
          <w:sz w:val="21"/>
          <w:szCs w:val="21"/>
          <w:highlight w:val="none"/>
        </w:rPr>
        <w:t xml:space="preserve">2.1  </w:t>
      </w:r>
      <w:bookmarkEnd w:id="307"/>
      <w:r>
        <w:rPr>
          <w:rFonts w:hint="eastAsia" w:ascii="宋体" w:hAnsi="宋体" w:cs="宋体"/>
          <w:color w:val="auto"/>
          <w:kern w:val="2"/>
          <w:sz w:val="21"/>
          <w:szCs w:val="21"/>
          <w:highlight w:val="none"/>
        </w:rPr>
        <w:t>竞争性比选文件的组成</w:t>
      </w:r>
    </w:p>
    <w:p w14:paraId="6D19F860">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本竞争性比选文件包括：</w:t>
      </w:r>
    </w:p>
    <w:p w14:paraId="5797CF3A">
      <w:pPr>
        <w:numPr>
          <w:ilvl w:val="0"/>
          <w:numId w:val="6"/>
        </w:numPr>
        <w:autoSpaceDE w:val="0"/>
        <w:autoSpaceDN w:val="0"/>
        <w:adjustRightInd w:val="0"/>
        <w:spacing w:line="300" w:lineRule="exact"/>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竞争性比选公告；</w:t>
      </w:r>
    </w:p>
    <w:p w14:paraId="1A628A38">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报价人须知；</w:t>
      </w:r>
    </w:p>
    <w:p w14:paraId="73148454">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评标办法；</w:t>
      </w:r>
    </w:p>
    <w:p w14:paraId="32CE4352">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ascii="宋体" w:hAnsi="宋体" w:cs="MingLiU"/>
          <w:color w:val="auto"/>
          <w:kern w:val="0"/>
          <w:szCs w:val="21"/>
          <w:highlight w:val="none"/>
        </w:rPr>
        <w:t>报价说明；</w:t>
      </w:r>
    </w:p>
    <w:p w14:paraId="63600FD7">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ascii="宋体" w:hAnsi="宋体" w:cs="宋体"/>
          <w:color w:val="auto"/>
          <w:kern w:val="0"/>
          <w:szCs w:val="21"/>
          <w:highlight w:val="none"/>
          <w:lang w:bidi="ar"/>
        </w:rPr>
        <w:t>工程量清单；</w:t>
      </w:r>
    </w:p>
    <w:p w14:paraId="063DCDC3">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ascii="宋体" w:hAnsi="宋体" w:cs="宋体"/>
          <w:color w:val="auto"/>
          <w:kern w:val="0"/>
          <w:szCs w:val="21"/>
          <w:highlight w:val="none"/>
          <w:lang w:bidi="ar"/>
        </w:rPr>
        <w:t>图纸；</w:t>
      </w:r>
    </w:p>
    <w:p w14:paraId="6140CE68">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技术标准和要求；</w:t>
      </w:r>
    </w:p>
    <w:p w14:paraId="3FA8C29A">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合同条款及格式；</w:t>
      </w:r>
    </w:p>
    <w:p w14:paraId="1B6B2C69">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比选响应文件格式；</w:t>
      </w:r>
    </w:p>
    <w:p w14:paraId="185B514B">
      <w:pPr>
        <w:numPr>
          <w:ilvl w:val="0"/>
          <w:numId w:val="6"/>
        </w:numPr>
        <w:autoSpaceDE w:val="0"/>
        <w:autoSpaceDN w:val="0"/>
        <w:spacing w:line="300" w:lineRule="exact"/>
        <w:jc w:val="left"/>
        <w:rPr>
          <w:rFonts w:ascii="宋体" w:hAnsi="宋体" w:cs="Calibri"/>
          <w:color w:val="auto"/>
          <w:spacing w:val="11"/>
          <w:kern w:val="0"/>
          <w:sz w:val="24"/>
          <w:highlight w:val="none"/>
        </w:rPr>
      </w:pPr>
      <w:r>
        <w:rPr>
          <w:rFonts w:hint="eastAsia" w:cs="MingLiU"/>
          <w:color w:val="auto"/>
          <w:kern w:val="0"/>
          <w:szCs w:val="21"/>
          <w:highlight w:val="none"/>
        </w:rPr>
        <w:t>报价人须知</w:t>
      </w:r>
      <w:r>
        <w:rPr>
          <w:rFonts w:hint="eastAsia" w:ascii="宋体" w:hAnsi="宋体" w:cs="MingLiU"/>
          <w:color w:val="auto"/>
          <w:kern w:val="0"/>
          <w:szCs w:val="21"/>
          <w:highlight w:val="none"/>
        </w:rPr>
        <w:t>前附表规定的其他材料。</w:t>
      </w:r>
    </w:p>
    <w:p w14:paraId="7D62B277">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根据本章第</w:t>
      </w:r>
      <w:r>
        <w:rPr>
          <w:rFonts w:hint="eastAsia" w:ascii="宋体" w:hAnsi="宋体" w:cs="Calibri"/>
          <w:color w:val="auto"/>
          <w:kern w:val="0"/>
          <w:szCs w:val="21"/>
          <w:highlight w:val="none"/>
          <w:lang w:bidi="ar"/>
        </w:rPr>
        <w:t>1.10</w:t>
      </w:r>
      <w:r>
        <w:rPr>
          <w:rFonts w:hint="eastAsia" w:ascii="宋体" w:hAnsi="宋体" w:cs="宋体"/>
          <w:color w:val="auto"/>
          <w:kern w:val="0"/>
          <w:szCs w:val="21"/>
          <w:highlight w:val="none"/>
          <w:lang w:bidi="ar"/>
        </w:rPr>
        <w:t>款、第</w:t>
      </w:r>
      <w:r>
        <w:rPr>
          <w:rFonts w:hint="eastAsia" w:ascii="宋体" w:hAnsi="宋体" w:cs="Calibri"/>
          <w:color w:val="auto"/>
          <w:kern w:val="0"/>
          <w:szCs w:val="21"/>
          <w:highlight w:val="none"/>
          <w:lang w:bidi="ar"/>
        </w:rPr>
        <w:t>2.2</w:t>
      </w:r>
      <w:r>
        <w:rPr>
          <w:rFonts w:hint="eastAsia" w:ascii="宋体" w:hAnsi="宋体" w:cs="宋体"/>
          <w:color w:val="auto"/>
          <w:kern w:val="0"/>
          <w:szCs w:val="21"/>
          <w:highlight w:val="none"/>
          <w:lang w:bidi="ar"/>
        </w:rPr>
        <w:t>款和第</w:t>
      </w:r>
      <w:r>
        <w:rPr>
          <w:rFonts w:hint="eastAsia" w:ascii="宋体" w:hAnsi="宋体" w:cs="Calibri"/>
          <w:color w:val="auto"/>
          <w:kern w:val="0"/>
          <w:szCs w:val="21"/>
          <w:highlight w:val="none"/>
          <w:lang w:bidi="ar"/>
        </w:rPr>
        <w:t>2.3</w:t>
      </w:r>
      <w:r>
        <w:rPr>
          <w:rFonts w:hint="eastAsia" w:ascii="宋体" w:hAnsi="宋体" w:cs="宋体"/>
          <w:color w:val="auto"/>
          <w:kern w:val="0"/>
          <w:szCs w:val="21"/>
          <w:highlight w:val="none"/>
          <w:lang w:bidi="ar"/>
        </w:rPr>
        <w:t>款对竞争性比选文件所作的澄清、修改，构成竞争性比选文件的组成部分。</w:t>
      </w:r>
    </w:p>
    <w:p w14:paraId="227CE1B8">
      <w:pPr>
        <w:pStyle w:val="5"/>
        <w:widowControl/>
        <w:spacing w:before="0" w:after="0" w:line="300" w:lineRule="exact"/>
        <w:rPr>
          <w:rFonts w:ascii="宋体" w:hAnsi="宋体"/>
          <w:color w:val="auto"/>
          <w:kern w:val="2"/>
          <w:sz w:val="21"/>
          <w:szCs w:val="21"/>
          <w:highlight w:val="none"/>
        </w:rPr>
      </w:pPr>
      <w:bookmarkStart w:id="308" w:name="_Toc224103333"/>
      <w:bookmarkEnd w:id="308"/>
      <w:bookmarkStart w:id="309" w:name="_Toc32674"/>
      <w:bookmarkEnd w:id="309"/>
      <w:bookmarkStart w:id="310" w:name="_Toc4661443"/>
      <w:bookmarkEnd w:id="310"/>
      <w:bookmarkStart w:id="311" w:name="_Toc40455660"/>
      <w:bookmarkEnd w:id="311"/>
      <w:bookmarkStart w:id="312" w:name="_Toc4662157"/>
      <w:bookmarkEnd w:id="312"/>
      <w:bookmarkStart w:id="313" w:name="_Toc40455287"/>
      <w:bookmarkEnd w:id="313"/>
      <w:bookmarkStart w:id="314" w:name="_Toc277082568"/>
      <w:bookmarkEnd w:id="314"/>
      <w:bookmarkStart w:id="315" w:name="_Toc200513142"/>
      <w:bookmarkEnd w:id="315"/>
      <w:bookmarkStart w:id="316" w:name="_Toc287607762"/>
      <w:bookmarkEnd w:id="316"/>
      <w:bookmarkStart w:id="317" w:name="_Toc4661921"/>
      <w:bookmarkEnd w:id="317"/>
      <w:bookmarkStart w:id="318" w:name="_Toc40780269"/>
      <w:bookmarkEnd w:id="318"/>
      <w:bookmarkStart w:id="319" w:name="_Toc4661685"/>
      <w:r>
        <w:rPr>
          <w:rFonts w:hint="eastAsia" w:ascii="宋体" w:hAnsi="宋体"/>
          <w:color w:val="auto"/>
          <w:kern w:val="2"/>
          <w:sz w:val="21"/>
          <w:szCs w:val="21"/>
          <w:highlight w:val="none"/>
        </w:rPr>
        <w:t xml:space="preserve">2.2  </w:t>
      </w:r>
      <w:bookmarkEnd w:id="319"/>
      <w:r>
        <w:rPr>
          <w:rFonts w:hint="eastAsia" w:ascii="宋体" w:hAnsi="宋体" w:cs="宋体"/>
          <w:color w:val="auto"/>
          <w:kern w:val="2"/>
          <w:sz w:val="21"/>
          <w:szCs w:val="21"/>
          <w:highlight w:val="none"/>
        </w:rPr>
        <w:t>竞争性比选文件的澄清</w:t>
      </w:r>
    </w:p>
    <w:p w14:paraId="100FDA06">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2.2.1  </w:t>
      </w:r>
      <w:r>
        <w:rPr>
          <w:rFonts w:hint="eastAsia" w:ascii="宋体" w:hAnsi="宋体" w:cs="宋体"/>
          <w:color w:val="auto"/>
          <w:kern w:val="0"/>
          <w:szCs w:val="21"/>
          <w:highlight w:val="none"/>
          <w:lang w:bidi="ar"/>
        </w:rPr>
        <w:t>报价人应仔细阅读和检查竞争性比选文件的全部内容。如发现缺页或附件不全，应及时向采购人提出，以便补齐。如有疑问，应在报价人须知前附表规定的时间前提交质疑，要求采购人对竞争性比选文件予以澄清。</w:t>
      </w:r>
    </w:p>
    <w:p w14:paraId="2F431EA8">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2.2.2  </w:t>
      </w:r>
      <w:r>
        <w:rPr>
          <w:rFonts w:hint="eastAsia" w:ascii="宋体" w:hAnsi="宋体" w:cs="宋体"/>
          <w:color w:val="auto"/>
          <w:kern w:val="0"/>
          <w:szCs w:val="21"/>
          <w:highlight w:val="none"/>
          <w:lang w:bidi="ar"/>
        </w:rPr>
        <w:t>竞争性比选文件的澄清将在报价人须知前附表规定的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天前在重庆</w:t>
      </w:r>
      <w:r>
        <w:rPr>
          <w:rFonts w:ascii="宋体" w:hAnsi="宋体" w:cs="宋体"/>
          <w:color w:val="auto"/>
          <w:kern w:val="0"/>
          <w:szCs w:val="21"/>
          <w:highlight w:val="none"/>
          <w:lang w:bidi="ar"/>
        </w:rPr>
        <w:t>高速集团官方网站</w:t>
      </w:r>
      <w:r>
        <w:rPr>
          <w:rFonts w:hint="eastAsia" w:ascii="宋体" w:hAnsi="宋体" w:cs="宋体"/>
          <w:color w:val="auto"/>
          <w:kern w:val="0"/>
          <w:szCs w:val="21"/>
          <w:highlight w:val="none"/>
          <w:lang w:bidi="ar"/>
        </w:rPr>
        <w:t>发布答疑，但不指明澄清问题的来源。如果澄清发出的时间距</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时间不足</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天，相应延长</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w:t>
      </w:r>
    </w:p>
    <w:p w14:paraId="2D7C84B7">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position w:val="-2"/>
          <w:szCs w:val="21"/>
          <w:highlight w:val="none"/>
          <w:lang w:bidi="ar"/>
        </w:rPr>
        <w:t xml:space="preserve">2.2.3  </w:t>
      </w:r>
      <w:r>
        <w:rPr>
          <w:rFonts w:hint="eastAsia" w:ascii="宋体" w:hAnsi="宋体" w:cs="宋体"/>
          <w:color w:val="auto"/>
          <w:kern w:val="0"/>
          <w:szCs w:val="21"/>
          <w:highlight w:val="none"/>
          <w:lang w:bidi="ar"/>
        </w:rPr>
        <w:t>补遗内容可能影响比选响应文件编制的，须在</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w:t>
      </w:r>
      <w:r>
        <w:rPr>
          <w:rFonts w:ascii="宋体" w:hAnsi="宋体" w:cs="宋体"/>
          <w:color w:val="auto"/>
          <w:kern w:val="0"/>
          <w:szCs w:val="21"/>
          <w:highlight w:val="none"/>
          <w:lang w:bidi="ar"/>
        </w:rPr>
        <w:t>3</w:t>
      </w:r>
      <w:r>
        <w:rPr>
          <w:rFonts w:hint="eastAsia" w:ascii="宋体" w:hAnsi="宋体" w:cs="MingLiU"/>
          <w:color w:val="auto"/>
          <w:kern w:val="0"/>
          <w:szCs w:val="21"/>
          <w:highlight w:val="none"/>
          <w:lang w:bidi="ar"/>
        </w:rPr>
        <w:t>日前发布，发布时间至</w:t>
      </w:r>
      <w:r>
        <w:rPr>
          <w:rFonts w:ascii="宋体" w:hAnsi="宋体" w:cs="MingLiU"/>
          <w:color w:val="auto"/>
          <w:kern w:val="0"/>
          <w:szCs w:val="21"/>
          <w:highlight w:val="none"/>
          <w:lang w:bidi="ar"/>
        </w:rPr>
        <w:t>报价截止</w:t>
      </w:r>
      <w:r>
        <w:rPr>
          <w:rFonts w:hint="eastAsia" w:ascii="宋体" w:hAnsi="宋体" w:cs="MingLiU"/>
          <w:color w:val="auto"/>
          <w:kern w:val="0"/>
          <w:szCs w:val="21"/>
          <w:highlight w:val="none"/>
          <w:lang w:bidi="ar"/>
        </w:rPr>
        <w:t>时间不足</w:t>
      </w:r>
      <w:r>
        <w:rPr>
          <w:rFonts w:ascii="宋体" w:hAnsi="宋体" w:cs="MingLiU"/>
          <w:color w:val="auto"/>
          <w:kern w:val="0"/>
          <w:szCs w:val="21"/>
          <w:highlight w:val="none"/>
          <w:lang w:bidi="ar"/>
        </w:rPr>
        <w:t>3</w:t>
      </w:r>
      <w:r>
        <w:rPr>
          <w:rFonts w:hint="eastAsia" w:ascii="宋体" w:hAnsi="宋体" w:cs="MingLiU"/>
          <w:color w:val="auto"/>
          <w:kern w:val="0"/>
          <w:szCs w:val="21"/>
          <w:highlight w:val="none"/>
          <w:lang w:bidi="ar"/>
        </w:rPr>
        <w:t>日的，须相应延后</w:t>
      </w:r>
      <w:r>
        <w:rPr>
          <w:rFonts w:ascii="宋体" w:hAnsi="宋体" w:cs="MingLiU"/>
          <w:color w:val="auto"/>
          <w:kern w:val="0"/>
          <w:szCs w:val="21"/>
          <w:highlight w:val="none"/>
          <w:lang w:bidi="ar"/>
        </w:rPr>
        <w:t>报价截止</w:t>
      </w:r>
      <w:r>
        <w:rPr>
          <w:rFonts w:hint="eastAsia" w:ascii="宋体" w:hAnsi="宋体" w:cs="MingLiU"/>
          <w:color w:val="auto"/>
          <w:kern w:val="0"/>
          <w:szCs w:val="21"/>
          <w:highlight w:val="none"/>
          <w:lang w:bidi="ar"/>
        </w:rPr>
        <w:t>时间。</w:t>
      </w:r>
    </w:p>
    <w:p w14:paraId="561D0A77">
      <w:pPr>
        <w:pStyle w:val="5"/>
        <w:widowControl/>
        <w:spacing w:before="0" w:after="0" w:line="300" w:lineRule="exact"/>
        <w:rPr>
          <w:rFonts w:ascii="宋体" w:hAnsi="宋体"/>
          <w:color w:val="auto"/>
          <w:kern w:val="2"/>
          <w:sz w:val="21"/>
          <w:szCs w:val="21"/>
          <w:highlight w:val="none"/>
        </w:rPr>
      </w:pPr>
      <w:bookmarkStart w:id="320" w:name="_Toc287607763"/>
      <w:bookmarkEnd w:id="320"/>
      <w:bookmarkStart w:id="321" w:name="_Toc40455288"/>
      <w:bookmarkEnd w:id="321"/>
      <w:bookmarkStart w:id="322" w:name="_Toc4661922"/>
      <w:bookmarkEnd w:id="322"/>
      <w:bookmarkStart w:id="323" w:name="_Toc4662158"/>
      <w:bookmarkEnd w:id="323"/>
      <w:bookmarkStart w:id="324" w:name="_Toc4661444"/>
      <w:bookmarkEnd w:id="324"/>
      <w:bookmarkStart w:id="325" w:name="_Toc200513143"/>
      <w:bookmarkEnd w:id="325"/>
      <w:bookmarkStart w:id="326" w:name="_Toc24909"/>
      <w:bookmarkEnd w:id="326"/>
      <w:bookmarkStart w:id="327" w:name="_Toc40780270"/>
      <w:bookmarkEnd w:id="327"/>
      <w:bookmarkStart w:id="328" w:name="_Toc277082569"/>
      <w:bookmarkEnd w:id="328"/>
      <w:bookmarkStart w:id="329" w:name="_Toc4661686"/>
      <w:bookmarkEnd w:id="329"/>
      <w:bookmarkStart w:id="330" w:name="_Toc224103334"/>
      <w:bookmarkEnd w:id="330"/>
      <w:bookmarkStart w:id="331" w:name="_Toc40455661"/>
      <w:r>
        <w:rPr>
          <w:rFonts w:hint="eastAsia" w:ascii="宋体" w:hAnsi="宋体"/>
          <w:color w:val="auto"/>
          <w:kern w:val="2"/>
          <w:sz w:val="21"/>
          <w:szCs w:val="21"/>
          <w:highlight w:val="none"/>
        </w:rPr>
        <w:t xml:space="preserve">2.3  </w:t>
      </w:r>
      <w:bookmarkEnd w:id="331"/>
      <w:r>
        <w:rPr>
          <w:rFonts w:ascii="宋体" w:hAnsi="宋体"/>
          <w:color w:val="auto"/>
          <w:kern w:val="2"/>
          <w:sz w:val="21"/>
          <w:szCs w:val="21"/>
          <w:highlight w:val="none"/>
        </w:rPr>
        <w:t>报价</w:t>
      </w:r>
      <w:r>
        <w:rPr>
          <w:rFonts w:hint="eastAsia" w:ascii="宋体" w:hAnsi="宋体" w:cs="宋体"/>
          <w:color w:val="auto"/>
          <w:kern w:val="2"/>
          <w:sz w:val="21"/>
          <w:szCs w:val="21"/>
          <w:highlight w:val="none"/>
        </w:rPr>
        <w:t>截止时间</w:t>
      </w:r>
    </w:p>
    <w:p w14:paraId="6A0957ED">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详见报价人须知前附表。</w:t>
      </w:r>
    </w:p>
    <w:p w14:paraId="381ED8E8">
      <w:pPr>
        <w:pStyle w:val="4"/>
        <w:widowControl/>
        <w:spacing w:before="0" w:after="0" w:line="300" w:lineRule="exact"/>
        <w:rPr>
          <w:rFonts w:ascii="宋体" w:hAnsi="宋体"/>
          <w:color w:val="auto"/>
          <w:sz w:val="21"/>
          <w:szCs w:val="21"/>
          <w:highlight w:val="none"/>
        </w:rPr>
      </w:pPr>
      <w:bookmarkStart w:id="332" w:name="_Toc277082570"/>
      <w:bookmarkEnd w:id="332"/>
      <w:bookmarkStart w:id="333" w:name="_Toc14104"/>
      <w:bookmarkEnd w:id="333"/>
      <w:bookmarkStart w:id="334" w:name="_Toc4661445"/>
      <w:bookmarkEnd w:id="334"/>
      <w:bookmarkStart w:id="335" w:name="_Toc224103335"/>
      <w:bookmarkEnd w:id="335"/>
      <w:bookmarkStart w:id="336" w:name="_Toc6279"/>
      <w:bookmarkEnd w:id="336"/>
      <w:bookmarkStart w:id="337" w:name="_Toc40455289"/>
      <w:bookmarkEnd w:id="337"/>
      <w:bookmarkStart w:id="338" w:name="_Toc9348"/>
      <w:bookmarkEnd w:id="338"/>
      <w:bookmarkStart w:id="339" w:name="_Toc22553"/>
      <w:bookmarkEnd w:id="339"/>
      <w:bookmarkStart w:id="340" w:name="_Toc40455662"/>
      <w:bookmarkEnd w:id="340"/>
      <w:bookmarkStart w:id="341" w:name="_Toc6118"/>
      <w:bookmarkEnd w:id="341"/>
      <w:bookmarkStart w:id="342" w:name="_Toc4661923"/>
      <w:bookmarkEnd w:id="342"/>
      <w:bookmarkStart w:id="343" w:name="_Toc4661687"/>
      <w:bookmarkEnd w:id="343"/>
      <w:bookmarkStart w:id="344" w:name="_Toc4662159"/>
      <w:bookmarkEnd w:id="344"/>
      <w:bookmarkStart w:id="345" w:name="_Toc287607764"/>
      <w:bookmarkEnd w:id="345"/>
      <w:bookmarkStart w:id="346" w:name="_Toc200513144"/>
      <w:bookmarkEnd w:id="346"/>
      <w:bookmarkStart w:id="347" w:name="_Toc26853"/>
      <w:bookmarkStart w:id="348" w:name="_Toc228431514"/>
      <w:r>
        <w:rPr>
          <w:rFonts w:hint="eastAsia" w:ascii="宋体" w:hAnsi="宋体"/>
          <w:color w:val="auto"/>
          <w:sz w:val="21"/>
          <w:szCs w:val="21"/>
          <w:highlight w:val="none"/>
        </w:rPr>
        <w:t xml:space="preserve">3.  </w:t>
      </w:r>
      <w:bookmarkEnd w:id="347"/>
      <w:r>
        <w:rPr>
          <w:rFonts w:hint="eastAsia" w:ascii="黑体" w:hAnsi="宋体" w:cs="黑体"/>
          <w:color w:val="auto"/>
          <w:sz w:val="21"/>
          <w:szCs w:val="21"/>
          <w:highlight w:val="none"/>
        </w:rPr>
        <w:t>比选响应文件</w:t>
      </w:r>
      <w:bookmarkEnd w:id="348"/>
    </w:p>
    <w:p w14:paraId="46D108D8">
      <w:pPr>
        <w:pStyle w:val="5"/>
        <w:widowControl/>
        <w:spacing w:before="0" w:after="0" w:line="300" w:lineRule="exact"/>
        <w:rPr>
          <w:rFonts w:ascii="宋体" w:hAnsi="宋体"/>
          <w:color w:val="auto"/>
          <w:kern w:val="2"/>
          <w:sz w:val="21"/>
          <w:szCs w:val="21"/>
          <w:highlight w:val="none"/>
        </w:rPr>
      </w:pPr>
      <w:bookmarkStart w:id="349" w:name="_Toc287607765"/>
      <w:bookmarkEnd w:id="349"/>
      <w:bookmarkStart w:id="350" w:name="_Toc40455290"/>
      <w:bookmarkEnd w:id="350"/>
      <w:bookmarkStart w:id="351" w:name="_Toc200513145"/>
      <w:bookmarkEnd w:id="351"/>
      <w:bookmarkStart w:id="352" w:name="_Toc4661446"/>
      <w:bookmarkEnd w:id="352"/>
      <w:bookmarkStart w:id="353" w:name="_Toc32064"/>
      <w:bookmarkEnd w:id="353"/>
      <w:bookmarkStart w:id="354" w:name="_Toc40780272"/>
      <w:bookmarkEnd w:id="354"/>
      <w:bookmarkStart w:id="355" w:name="_Toc40455663"/>
      <w:bookmarkEnd w:id="355"/>
      <w:bookmarkStart w:id="356" w:name="_Toc224103336"/>
      <w:bookmarkEnd w:id="356"/>
      <w:bookmarkStart w:id="357" w:name="_Toc277082571"/>
      <w:bookmarkEnd w:id="357"/>
      <w:bookmarkStart w:id="358" w:name="_Toc4662160"/>
      <w:bookmarkEnd w:id="358"/>
      <w:bookmarkStart w:id="359" w:name="_Toc4661688"/>
      <w:bookmarkEnd w:id="359"/>
      <w:bookmarkStart w:id="360" w:name="_Toc4661924"/>
      <w:r>
        <w:rPr>
          <w:rFonts w:hint="eastAsia" w:ascii="宋体" w:hAnsi="宋体"/>
          <w:color w:val="auto"/>
          <w:kern w:val="2"/>
          <w:sz w:val="21"/>
          <w:szCs w:val="21"/>
          <w:highlight w:val="none"/>
        </w:rPr>
        <w:t xml:space="preserve">3.1  </w:t>
      </w:r>
      <w:bookmarkEnd w:id="360"/>
      <w:r>
        <w:rPr>
          <w:rFonts w:hint="eastAsia" w:ascii="宋体" w:hAnsi="宋体" w:cs="宋体"/>
          <w:color w:val="auto"/>
          <w:kern w:val="2"/>
          <w:sz w:val="21"/>
          <w:szCs w:val="21"/>
          <w:highlight w:val="none"/>
        </w:rPr>
        <w:t>比选响应文件的组成</w:t>
      </w:r>
    </w:p>
    <w:p w14:paraId="58B6479E">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3.1.1 </w:t>
      </w:r>
      <w:r>
        <w:rPr>
          <w:rFonts w:hint="eastAsia" w:ascii="宋体" w:hAnsi="宋体" w:cs="宋体"/>
          <w:color w:val="auto"/>
          <w:kern w:val="0"/>
          <w:szCs w:val="21"/>
          <w:highlight w:val="none"/>
          <w:lang w:bidi="ar"/>
        </w:rPr>
        <w:t>比选响应文件应包括下列内容：</w:t>
      </w:r>
    </w:p>
    <w:p w14:paraId="715239BF">
      <w:pPr>
        <w:spacing w:line="300" w:lineRule="exact"/>
        <w:ind w:firstLine="420" w:firstLineChars="200"/>
        <w:rPr>
          <w:rFonts w:ascii="宋体" w:hAnsi="宋体" w:cs="Calibri"/>
          <w:color w:val="auto"/>
          <w:szCs w:val="21"/>
          <w:highlight w:val="none"/>
        </w:rPr>
      </w:pPr>
      <w:r>
        <w:rPr>
          <w:rFonts w:hint="eastAsia" w:ascii="宋体" w:hAnsi="宋体" w:cs="Calibri"/>
          <w:color w:val="auto"/>
          <w:szCs w:val="21"/>
          <w:highlight w:val="none"/>
          <w:lang w:bidi="ar"/>
        </w:rPr>
        <w:t xml:space="preserve">3.1.1.1 </w:t>
      </w:r>
      <w:r>
        <w:rPr>
          <w:rFonts w:hint="eastAsia" w:ascii="宋体" w:hAnsi="宋体" w:cs="宋体"/>
          <w:color w:val="auto"/>
          <w:szCs w:val="21"/>
          <w:highlight w:val="none"/>
          <w:lang w:bidi="ar"/>
        </w:rPr>
        <w:t>比选响应文件及报价人与采购人之间与</w:t>
      </w:r>
      <w:r>
        <w:rPr>
          <w:rFonts w:ascii="宋体" w:hAnsi="宋体" w:cs="宋体"/>
          <w:color w:val="auto"/>
          <w:szCs w:val="21"/>
          <w:highlight w:val="none"/>
          <w:lang w:bidi="ar"/>
        </w:rPr>
        <w:t>报价</w:t>
      </w:r>
      <w:r>
        <w:rPr>
          <w:rFonts w:hint="eastAsia" w:ascii="宋体" w:hAnsi="宋体" w:cs="宋体"/>
          <w:color w:val="auto"/>
          <w:szCs w:val="21"/>
          <w:highlight w:val="none"/>
          <w:lang w:bidi="ar"/>
        </w:rPr>
        <w:t>有关的来往通知、函件和文件均应使用中文。</w:t>
      </w:r>
    </w:p>
    <w:p w14:paraId="58D333D5">
      <w:pPr>
        <w:spacing w:line="300" w:lineRule="exact"/>
        <w:ind w:firstLine="420" w:firstLineChars="200"/>
        <w:rPr>
          <w:rFonts w:ascii="宋体" w:hAnsi="宋体" w:cs="Calibri"/>
          <w:color w:val="auto"/>
          <w:szCs w:val="21"/>
          <w:highlight w:val="none"/>
        </w:rPr>
      </w:pPr>
      <w:r>
        <w:rPr>
          <w:rFonts w:hint="eastAsia" w:ascii="宋体" w:hAnsi="宋体" w:cs="Calibri"/>
          <w:color w:val="auto"/>
          <w:szCs w:val="21"/>
          <w:highlight w:val="none"/>
          <w:lang w:bidi="ar"/>
        </w:rPr>
        <w:t>3.1.1.2比选响应文件由以下内容组成：</w:t>
      </w:r>
    </w:p>
    <w:p w14:paraId="7A961491">
      <w:pPr>
        <w:spacing w:line="300" w:lineRule="exact"/>
        <w:ind w:firstLine="420" w:firstLineChars="200"/>
        <w:rPr>
          <w:rFonts w:ascii="宋体" w:hAnsi="宋体" w:cs="Calibri"/>
          <w:color w:val="auto"/>
          <w:szCs w:val="21"/>
          <w:highlight w:val="none"/>
        </w:rPr>
      </w:pPr>
      <w:r>
        <w:rPr>
          <w:rFonts w:hint="eastAsia" w:ascii="宋体" w:hAnsi="宋体" w:cs="宋体"/>
          <w:color w:val="auto"/>
          <w:szCs w:val="21"/>
          <w:highlight w:val="none"/>
          <w:lang w:bidi="ar"/>
        </w:rPr>
        <w:t>详见第九章</w:t>
      </w:r>
    </w:p>
    <w:p w14:paraId="53D9BBCE">
      <w:pPr>
        <w:pStyle w:val="5"/>
        <w:widowControl/>
        <w:spacing w:before="0" w:after="0" w:line="300" w:lineRule="exact"/>
        <w:rPr>
          <w:rFonts w:ascii="宋体" w:hAnsi="宋体"/>
          <w:color w:val="auto"/>
          <w:kern w:val="2"/>
          <w:sz w:val="21"/>
          <w:szCs w:val="21"/>
          <w:highlight w:val="none"/>
        </w:rPr>
      </w:pPr>
      <w:bookmarkStart w:id="361" w:name="_Toc277082572"/>
      <w:bookmarkEnd w:id="361"/>
      <w:bookmarkStart w:id="362" w:name="_Toc27743"/>
      <w:bookmarkEnd w:id="362"/>
      <w:bookmarkStart w:id="363" w:name="_Toc4661689"/>
      <w:bookmarkEnd w:id="363"/>
      <w:bookmarkStart w:id="364" w:name="_Toc40455291"/>
      <w:bookmarkEnd w:id="364"/>
      <w:bookmarkStart w:id="365" w:name="_Toc40780273"/>
      <w:bookmarkEnd w:id="365"/>
      <w:bookmarkStart w:id="366" w:name="_Toc287607766"/>
      <w:bookmarkEnd w:id="366"/>
      <w:bookmarkStart w:id="367" w:name="_Toc200513146"/>
      <w:bookmarkEnd w:id="367"/>
      <w:bookmarkStart w:id="368" w:name="_Toc4661447"/>
      <w:bookmarkEnd w:id="368"/>
      <w:bookmarkStart w:id="369" w:name="_Toc224103337"/>
      <w:bookmarkEnd w:id="369"/>
      <w:bookmarkStart w:id="370" w:name="_Toc40455664"/>
      <w:bookmarkEnd w:id="370"/>
      <w:bookmarkStart w:id="371" w:name="_Toc4661925"/>
      <w:bookmarkEnd w:id="371"/>
      <w:bookmarkStart w:id="372" w:name="_Toc4662161"/>
      <w:r>
        <w:rPr>
          <w:rFonts w:hint="eastAsia" w:ascii="宋体" w:hAnsi="宋体"/>
          <w:color w:val="auto"/>
          <w:kern w:val="2"/>
          <w:sz w:val="21"/>
          <w:szCs w:val="21"/>
          <w:highlight w:val="none"/>
        </w:rPr>
        <w:t xml:space="preserve">3.2  </w:t>
      </w:r>
      <w:bookmarkEnd w:id="372"/>
      <w:r>
        <w:rPr>
          <w:rFonts w:hint="eastAsia" w:ascii="宋体" w:hAnsi="宋体" w:cs="宋体"/>
          <w:color w:val="auto"/>
          <w:kern w:val="2"/>
          <w:sz w:val="21"/>
          <w:szCs w:val="21"/>
          <w:highlight w:val="none"/>
        </w:rPr>
        <w:t>报价</w:t>
      </w:r>
    </w:p>
    <w:p w14:paraId="2A31DA0B">
      <w:pPr>
        <w:spacing w:line="300" w:lineRule="exact"/>
        <w:ind w:firstLine="420" w:firstLineChars="200"/>
        <w:rPr>
          <w:rFonts w:ascii="宋体" w:hAnsi="宋体" w:cs="MingLiU"/>
          <w:color w:val="auto"/>
          <w:kern w:val="0"/>
          <w:szCs w:val="21"/>
          <w:highlight w:val="none"/>
        </w:rPr>
      </w:pPr>
      <w:r>
        <w:rPr>
          <w:rFonts w:hint="eastAsia" w:ascii="宋体" w:hAnsi="宋体" w:cs="宋体"/>
          <w:color w:val="auto"/>
          <w:kern w:val="0"/>
          <w:szCs w:val="21"/>
          <w:highlight w:val="none"/>
          <w:lang w:bidi="ar"/>
        </w:rPr>
        <w:t>见本章报价人须知前附表。</w:t>
      </w:r>
      <w:bookmarkStart w:id="373" w:name="_Toc40455665"/>
      <w:bookmarkEnd w:id="373"/>
      <w:bookmarkStart w:id="374" w:name="_Toc4661926"/>
      <w:bookmarkEnd w:id="374"/>
      <w:bookmarkStart w:id="375" w:name="_Toc277082573"/>
      <w:bookmarkEnd w:id="375"/>
      <w:bookmarkStart w:id="376" w:name="_Toc287607767"/>
      <w:bookmarkEnd w:id="376"/>
      <w:bookmarkStart w:id="377" w:name="_Toc224103338"/>
      <w:bookmarkEnd w:id="377"/>
      <w:bookmarkStart w:id="378" w:name="_Toc4661448"/>
      <w:bookmarkEnd w:id="378"/>
      <w:bookmarkStart w:id="379" w:name="_Toc4662162"/>
      <w:bookmarkEnd w:id="379"/>
      <w:bookmarkStart w:id="380" w:name="_Toc20908"/>
      <w:bookmarkEnd w:id="380"/>
      <w:bookmarkStart w:id="381" w:name="_Toc200513147"/>
      <w:bookmarkEnd w:id="381"/>
      <w:bookmarkStart w:id="382" w:name="_Toc4661690"/>
      <w:bookmarkEnd w:id="382"/>
      <w:bookmarkStart w:id="383" w:name="_Toc40780274"/>
      <w:bookmarkEnd w:id="383"/>
    </w:p>
    <w:p w14:paraId="3B33AE67">
      <w:pPr>
        <w:pStyle w:val="5"/>
        <w:widowControl/>
        <w:spacing w:before="0" w:after="0" w:line="300" w:lineRule="exact"/>
        <w:rPr>
          <w:rFonts w:ascii="宋体" w:hAnsi="宋体"/>
          <w:color w:val="auto"/>
          <w:kern w:val="2"/>
          <w:sz w:val="21"/>
          <w:szCs w:val="21"/>
          <w:highlight w:val="none"/>
        </w:rPr>
      </w:pPr>
      <w:bookmarkStart w:id="384" w:name="_Toc200513148"/>
      <w:bookmarkEnd w:id="384"/>
      <w:bookmarkStart w:id="385" w:name="_Toc4662163"/>
      <w:bookmarkEnd w:id="385"/>
      <w:bookmarkStart w:id="386" w:name="_Toc4661691"/>
      <w:bookmarkEnd w:id="386"/>
      <w:bookmarkStart w:id="387" w:name="_Toc4661449"/>
      <w:bookmarkEnd w:id="387"/>
      <w:bookmarkStart w:id="388" w:name="_Toc277082574"/>
      <w:bookmarkEnd w:id="388"/>
      <w:bookmarkStart w:id="389" w:name="_Toc287607768"/>
      <w:bookmarkEnd w:id="389"/>
      <w:bookmarkStart w:id="390" w:name="_Toc40455666"/>
      <w:bookmarkEnd w:id="390"/>
      <w:bookmarkStart w:id="391" w:name="_Toc40780275"/>
      <w:bookmarkEnd w:id="391"/>
      <w:bookmarkStart w:id="392" w:name="_Toc224103339"/>
      <w:bookmarkEnd w:id="392"/>
      <w:bookmarkStart w:id="393" w:name="_Toc40455293"/>
      <w:bookmarkEnd w:id="393"/>
      <w:bookmarkStart w:id="394" w:name="_Toc4661927"/>
      <w:bookmarkEnd w:id="394"/>
      <w:bookmarkStart w:id="395" w:name="_Toc25463"/>
      <w:r>
        <w:rPr>
          <w:rFonts w:hint="eastAsia" w:ascii="宋体" w:hAnsi="宋体"/>
          <w:color w:val="auto"/>
          <w:kern w:val="2"/>
          <w:sz w:val="21"/>
          <w:szCs w:val="21"/>
          <w:highlight w:val="none"/>
        </w:rPr>
        <w:t xml:space="preserve">3.3  </w:t>
      </w:r>
      <w:bookmarkEnd w:id="395"/>
      <w:r>
        <w:rPr>
          <w:rFonts w:hint="eastAsia" w:ascii="宋体" w:hAnsi="宋体" w:cs="宋体"/>
          <w:color w:val="auto"/>
          <w:kern w:val="2"/>
          <w:sz w:val="21"/>
          <w:szCs w:val="21"/>
          <w:highlight w:val="none"/>
        </w:rPr>
        <w:t>保证金</w:t>
      </w:r>
    </w:p>
    <w:p w14:paraId="48109EA4">
      <w:pPr>
        <w:autoSpaceDE w:val="0"/>
        <w:autoSpaceDN w:val="0"/>
        <w:adjustRightInd w:val="0"/>
        <w:spacing w:line="300" w:lineRule="exact"/>
        <w:ind w:firstLine="420" w:firstLineChars="20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3.3.1  </w:t>
      </w:r>
      <w:r>
        <w:rPr>
          <w:rFonts w:hint="eastAsia" w:ascii="宋体" w:hAnsi="宋体" w:cs="宋体"/>
          <w:color w:val="auto"/>
          <w:kern w:val="0"/>
          <w:szCs w:val="21"/>
          <w:highlight w:val="none"/>
          <w:lang w:bidi="ar"/>
        </w:rPr>
        <w:t>报价人在递交比选响应文件的同时，应按报价人须知前附表规定的金额、担保形式递交投标保证金，并作为其比选响应文件的组成部分。联合体</w:t>
      </w:r>
      <w:r>
        <w:rPr>
          <w:rFonts w:ascii="宋体" w:hAnsi="宋体" w:cs="宋体"/>
          <w:color w:val="auto"/>
          <w:kern w:val="0"/>
          <w:szCs w:val="21"/>
          <w:highlight w:val="none"/>
          <w:lang w:bidi="ar"/>
        </w:rPr>
        <w:t>报价</w:t>
      </w:r>
      <w:r>
        <w:rPr>
          <w:rFonts w:hint="eastAsia" w:ascii="宋体" w:hAnsi="宋体" w:cs="宋体"/>
          <w:color w:val="auto"/>
          <w:kern w:val="0"/>
          <w:szCs w:val="21"/>
          <w:highlight w:val="none"/>
          <w:lang w:bidi="ar"/>
        </w:rPr>
        <w:t>的，其投标保证金由牵头人递交，并应符合报价人须知前附表的规定。</w:t>
      </w:r>
    </w:p>
    <w:p w14:paraId="560030A8">
      <w:pPr>
        <w:autoSpaceDE w:val="0"/>
        <w:autoSpaceDN w:val="0"/>
        <w:adjustRightInd w:val="0"/>
        <w:spacing w:line="300" w:lineRule="exact"/>
        <w:ind w:left="13" w:leftChars="6" w:firstLine="403" w:firstLineChars="192"/>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3.3.2  </w:t>
      </w:r>
      <w:r>
        <w:rPr>
          <w:rFonts w:hint="eastAsia" w:ascii="宋体" w:hAnsi="宋体" w:cs="宋体"/>
          <w:color w:val="auto"/>
          <w:kern w:val="0"/>
          <w:szCs w:val="21"/>
          <w:highlight w:val="none"/>
          <w:lang w:bidi="ar"/>
        </w:rPr>
        <w:t>报价人不按报价人须知前附表要求提交投标保证金的，其比选响应文件作否决</w:t>
      </w:r>
      <w:r>
        <w:rPr>
          <w:rFonts w:ascii="宋体" w:hAnsi="宋体" w:cs="宋体"/>
          <w:color w:val="auto"/>
          <w:kern w:val="0"/>
          <w:szCs w:val="21"/>
          <w:highlight w:val="none"/>
          <w:lang w:bidi="ar"/>
        </w:rPr>
        <w:t>报价</w:t>
      </w:r>
      <w:r>
        <w:rPr>
          <w:rFonts w:hint="eastAsia" w:ascii="宋体" w:hAnsi="宋体" w:cs="宋体"/>
          <w:color w:val="auto"/>
          <w:kern w:val="0"/>
          <w:szCs w:val="21"/>
          <w:highlight w:val="none"/>
          <w:lang w:bidi="ar"/>
        </w:rPr>
        <w:t>处理。</w:t>
      </w:r>
    </w:p>
    <w:p w14:paraId="52D14DD4">
      <w:pPr>
        <w:autoSpaceDE w:val="0"/>
        <w:autoSpaceDN w:val="0"/>
        <w:adjustRightInd w:val="0"/>
        <w:spacing w:line="300" w:lineRule="exact"/>
        <w:ind w:left="13" w:leftChars="6" w:firstLine="403" w:firstLineChars="192"/>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3.3.3  </w:t>
      </w:r>
      <w:r>
        <w:rPr>
          <w:rFonts w:hint="eastAsia" w:ascii="宋体" w:hAnsi="宋体" w:cs="宋体"/>
          <w:color w:val="auto"/>
          <w:kern w:val="0"/>
          <w:szCs w:val="21"/>
          <w:highlight w:val="none"/>
          <w:lang w:bidi="ar"/>
        </w:rPr>
        <w:t>投标</w:t>
      </w:r>
      <w:r>
        <w:rPr>
          <w:rFonts w:hint="eastAsia" w:ascii="宋体" w:hAnsi="宋体" w:cs="宋体"/>
          <w:color w:val="auto"/>
          <w:kern w:val="0"/>
          <w:position w:val="-2"/>
          <w:szCs w:val="21"/>
          <w:highlight w:val="none"/>
          <w:lang w:bidi="ar"/>
        </w:rPr>
        <w:t>保证金</w:t>
      </w:r>
      <w:r>
        <w:rPr>
          <w:rFonts w:hint="eastAsia" w:ascii="宋体" w:hAnsi="宋体" w:cs="宋体"/>
          <w:color w:val="auto"/>
          <w:kern w:val="0"/>
          <w:szCs w:val="21"/>
          <w:highlight w:val="none"/>
          <w:lang w:bidi="ar"/>
        </w:rPr>
        <w:t>退还：见报价人须知前附表</w:t>
      </w:r>
      <w:r>
        <w:rPr>
          <w:rFonts w:hint="eastAsia" w:ascii="宋体" w:hAnsi="宋体" w:cs="宋体"/>
          <w:color w:val="auto"/>
          <w:kern w:val="0"/>
          <w:position w:val="-2"/>
          <w:szCs w:val="21"/>
          <w:highlight w:val="none"/>
          <w:lang w:bidi="ar"/>
        </w:rPr>
        <w:t>。</w:t>
      </w:r>
    </w:p>
    <w:p w14:paraId="0B649B7A">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3.3.4  </w:t>
      </w:r>
      <w:r>
        <w:rPr>
          <w:rFonts w:hint="eastAsia" w:ascii="宋体" w:hAnsi="宋体" w:cs="宋体"/>
          <w:color w:val="auto"/>
          <w:kern w:val="0"/>
          <w:szCs w:val="21"/>
          <w:highlight w:val="none"/>
          <w:lang w:bidi="ar"/>
        </w:rPr>
        <w:t>有下列情形之一的，投标保证金将不予退还：</w:t>
      </w:r>
    </w:p>
    <w:p w14:paraId="3AC620A7">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1</w:t>
      </w:r>
      <w:r>
        <w:rPr>
          <w:rFonts w:hint="eastAsia" w:ascii="宋体" w:hAnsi="宋体" w:cs="宋体"/>
          <w:color w:val="auto"/>
          <w:kern w:val="0"/>
          <w:szCs w:val="21"/>
          <w:highlight w:val="none"/>
          <w:lang w:bidi="ar"/>
        </w:rPr>
        <w:t>）报价人在规定的投标有效期内撤销或修改其比选响应文件；</w:t>
      </w:r>
    </w:p>
    <w:p w14:paraId="292B768A">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2</w:t>
      </w:r>
      <w:r>
        <w:rPr>
          <w:rFonts w:hint="eastAsia" w:ascii="宋体" w:hAnsi="宋体" w:cs="宋体"/>
          <w:color w:val="auto"/>
          <w:kern w:val="0"/>
          <w:szCs w:val="21"/>
          <w:highlight w:val="none"/>
          <w:lang w:bidi="ar"/>
        </w:rPr>
        <w:t>）中标人在收到中标通知书后，无正当理由拒签合同协议书或未按竞争性比选文件规定提交履约担保；</w:t>
      </w:r>
    </w:p>
    <w:p w14:paraId="3D6E32CC">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3）法律法规和本竞争性比选文件规定的其他情形。</w:t>
      </w:r>
    </w:p>
    <w:p w14:paraId="7A7C213F">
      <w:pPr>
        <w:pStyle w:val="5"/>
        <w:widowControl/>
        <w:spacing w:before="0" w:after="0" w:line="300" w:lineRule="exact"/>
        <w:rPr>
          <w:rFonts w:ascii="宋体" w:hAnsi="宋体"/>
          <w:color w:val="auto"/>
          <w:kern w:val="2"/>
          <w:sz w:val="21"/>
          <w:szCs w:val="21"/>
          <w:highlight w:val="none"/>
        </w:rPr>
      </w:pPr>
      <w:bookmarkStart w:id="396" w:name="_Toc40780276"/>
      <w:bookmarkEnd w:id="396"/>
      <w:bookmarkStart w:id="397" w:name="_Toc277082576"/>
      <w:bookmarkEnd w:id="397"/>
      <w:bookmarkStart w:id="398" w:name="_Toc7158"/>
      <w:bookmarkEnd w:id="398"/>
      <w:bookmarkStart w:id="399" w:name="_Toc40455667"/>
      <w:bookmarkEnd w:id="399"/>
      <w:bookmarkStart w:id="400" w:name="_Toc40455294"/>
      <w:bookmarkEnd w:id="400"/>
      <w:bookmarkStart w:id="401" w:name="_Toc4661692"/>
      <w:bookmarkEnd w:id="401"/>
      <w:bookmarkStart w:id="402" w:name="_Toc287607770"/>
      <w:bookmarkEnd w:id="402"/>
      <w:bookmarkStart w:id="403" w:name="_Toc4661928"/>
      <w:bookmarkEnd w:id="403"/>
      <w:bookmarkStart w:id="404" w:name="_Toc4662164"/>
      <w:bookmarkEnd w:id="404"/>
      <w:bookmarkStart w:id="405" w:name="_Toc224103341"/>
      <w:bookmarkEnd w:id="405"/>
      <w:bookmarkStart w:id="406" w:name="_Toc200513150"/>
      <w:bookmarkEnd w:id="406"/>
      <w:bookmarkStart w:id="407" w:name="_Toc4661450"/>
      <w:r>
        <w:rPr>
          <w:rFonts w:hint="eastAsia" w:ascii="宋体" w:hAnsi="宋体"/>
          <w:color w:val="auto"/>
          <w:kern w:val="2"/>
          <w:sz w:val="21"/>
          <w:szCs w:val="21"/>
          <w:highlight w:val="none"/>
        </w:rPr>
        <w:t xml:space="preserve">3.4  </w:t>
      </w:r>
      <w:bookmarkEnd w:id="407"/>
      <w:r>
        <w:rPr>
          <w:rFonts w:hint="eastAsia" w:ascii="宋体" w:hAnsi="宋体" w:cs="宋体"/>
          <w:color w:val="auto"/>
          <w:kern w:val="2"/>
          <w:sz w:val="21"/>
          <w:szCs w:val="21"/>
          <w:highlight w:val="none"/>
        </w:rPr>
        <w:t>资格审查资料</w:t>
      </w:r>
    </w:p>
    <w:p w14:paraId="0A07B015">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详见报价人须知前附表。</w:t>
      </w:r>
    </w:p>
    <w:p w14:paraId="6F89BD88">
      <w:pPr>
        <w:pStyle w:val="5"/>
        <w:widowControl/>
        <w:spacing w:before="0" w:after="0" w:line="300" w:lineRule="exact"/>
        <w:rPr>
          <w:rFonts w:ascii="宋体" w:hAnsi="宋体"/>
          <w:color w:val="auto"/>
          <w:kern w:val="2"/>
          <w:sz w:val="21"/>
          <w:szCs w:val="21"/>
          <w:highlight w:val="none"/>
        </w:rPr>
      </w:pPr>
      <w:bookmarkStart w:id="408" w:name="_Toc40455668"/>
      <w:bookmarkEnd w:id="408"/>
      <w:bookmarkStart w:id="409" w:name="_Toc20488"/>
      <w:bookmarkEnd w:id="409"/>
      <w:bookmarkStart w:id="410" w:name="_Toc277082577"/>
      <w:bookmarkEnd w:id="410"/>
      <w:bookmarkStart w:id="411" w:name="_Toc4662165"/>
      <w:bookmarkEnd w:id="411"/>
      <w:bookmarkStart w:id="412" w:name="_Toc287607771"/>
      <w:bookmarkEnd w:id="412"/>
      <w:bookmarkStart w:id="413" w:name="_Toc40455295"/>
      <w:bookmarkEnd w:id="413"/>
      <w:bookmarkStart w:id="414" w:name="_Toc4661693"/>
      <w:bookmarkEnd w:id="414"/>
      <w:bookmarkStart w:id="415" w:name="_Toc224103342"/>
      <w:bookmarkEnd w:id="415"/>
      <w:bookmarkStart w:id="416" w:name="_Toc4661451"/>
      <w:bookmarkEnd w:id="416"/>
      <w:bookmarkStart w:id="417" w:name="_Toc40780277"/>
      <w:bookmarkEnd w:id="417"/>
      <w:bookmarkStart w:id="418" w:name="_Toc200513151"/>
      <w:bookmarkEnd w:id="418"/>
      <w:bookmarkStart w:id="419" w:name="_Toc4661929"/>
      <w:r>
        <w:rPr>
          <w:rFonts w:hint="eastAsia" w:ascii="宋体" w:hAnsi="宋体"/>
          <w:color w:val="auto"/>
          <w:kern w:val="2"/>
          <w:sz w:val="21"/>
          <w:szCs w:val="21"/>
          <w:highlight w:val="none"/>
        </w:rPr>
        <w:t xml:space="preserve">3.5 </w:t>
      </w:r>
      <w:bookmarkEnd w:id="419"/>
      <w:r>
        <w:rPr>
          <w:rFonts w:hint="eastAsia" w:ascii="宋体" w:hAnsi="宋体" w:cs="宋体"/>
          <w:color w:val="auto"/>
          <w:kern w:val="2"/>
          <w:sz w:val="21"/>
          <w:szCs w:val="21"/>
          <w:highlight w:val="none"/>
        </w:rPr>
        <w:t>备选</w:t>
      </w:r>
      <w:r>
        <w:rPr>
          <w:rFonts w:ascii="宋体" w:hAnsi="宋体" w:cs="宋体"/>
          <w:color w:val="auto"/>
          <w:kern w:val="2"/>
          <w:sz w:val="21"/>
          <w:szCs w:val="21"/>
          <w:highlight w:val="none"/>
        </w:rPr>
        <w:t>报价</w:t>
      </w:r>
      <w:r>
        <w:rPr>
          <w:rFonts w:hint="eastAsia" w:ascii="宋体" w:hAnsi="宋体" w:cs="宋体"/>
          <w:color w:val="auto"/>
          <w:kern w:val="2"/>
          <w:sz w:val="21"/>
          <w:szCs w:val="21"/>
          <w:highlight w:val="none"/>
        </w:rPr>
        <w:t>方案</w:t>
      </w:r>
    </w:p>
    <w:p w14:paraId="7174EB44">
      <w:pPr>
        <w:autoSpaceDE w:val="0"/>
        <w:autoSpaceDN w:val="0"/>
        <w:adjustRightInd w:val="0"/>
        <w:spacing w:line="300" w:lineRule="exact"/>
        <w:ind w:left="120" w:right="-109" w:firstLine="420"/>
        <w:jc w:val="left"/>
        <w:rPr>
          <w:rFonts w:ascii="宋体" w:hAnsi="宋体" w:cs="黑体"/>
          <w:color w:val="auto"/>
          <w:kern w:val="0"/>
          <w:szCs w:val="21"/>
          <w:highlight w:val="none"/>
        </w:rPr>
      </w:pPr>
      <w:bookmarkStart w:id="420" w:name="_Toc224103343"/>
      <w:bookmarkEnd w:id="420"/>
      <w:bookmarkStart w:id="421" w:name="_Toc200513152"/>
      <w:bookmarkEnd w:id="421"/>
      <w:bookmarkStart w:id="422" w:name="_Toc4661694"/>
      <w:bookmarkEnd w:id="422"/>
      <w:bookmarkStart w:id="423" w:name="_Toc277082578"/>
      <w:bookmarkEnd w:id="423"/>
      <w:bookmarkStart w:id="424" w:name="_Toc4661452"/>
      <w:bookmarkEnd w:id="424"/>
      <w:bookmarkStart w:id="425" w:name="_Toc287607772"/>
      <w:bookmarkEnd w:id="425"/>
      <w:bookmarkStart w:id="426" w:name="_Toc4661930"/>
      <w:bookmarkEnd w:id="426"/>
      <w:bookmarkStart w:id="427" w:name="_Toc4662166"/>
      <w:r>
        <w:rPr>
          <w:rFonts w:hint="eastAsia" w:ascii="宋体" w:hAnsi="宋体" w:cs="宋体"/>
          <w:color w:val="auto"/>
          <w:kern w:val="0"/>
          <w:szCs w:val="21"/>
          <w:highlight w:val="none"/>
          <w:lang w:bidi="ar"/>
        </w:rPr>
        <w:t>采购人不接受报价人的备选</w:t>
      </w:r>
      <w:r>
        <w:rPr>
          <w:rFonts w:ascii="宋体" w:hAnsi="宋体" w:cs="宋体"/>
          <w:color w:val="auto"/>
          <w:kern w:val="0"/>
          <w:szCs w:val="21"/>
          <w:highlight w:val="none"/>
          <w:lang w:bidi="ar"/>
        </w:rPr>
        <w:t>报价</w:t>
      </w:r>
      <w:r>
        <w:rPr>
          <w:rFonts w:hint="eastAsia" w:ascii="宋体" w:hAnsi="宋体" w:cs="宋体"/>
          <w:color w:val="auto"/>
          <w:kern w:val="0"/>
          <w:szCs w:val="21"/>
          <w:highlight w:val="none"/>
          <w:lang w:bidi="ar"/>
        </w:rPr>
        <w:t>方案。</w:t>
      </w:r>
      <w:bookmarkEnd w:id="427"/>
    </w:p>
    <w:p w14:paraId="66C89782">
      <w:pPr>
        <w:pStyle w:val="5"/>
        <w:widowControl/>
        <w:spacing w:before="0" w:after="0" w:line="300" w:lineRule="exact"/>
        <w:rPr>
          <w:rFonts w:ascii="宋体" w:hAnsi="宋体"/>
          <w:color w:val="auto"/>
          <w:kern w:val="2"/>
          <w:sz w:val="21"/>
          <w:szCs w:val="21"/>
          <w:highlight w:val="none"/>
        </w:rPr>
      </w:pPr>
      <w:bookmarkStart w:id="428" w:name="_Toc26001"/>
      <w:bookmarkEnd w:id="428"/>
      <w:bookmarkStart w:id="429" w:name="_Toc40455669"/>
      <w:bookmarkEnd w:id="429"/>
      <w:bookmarkStart w:id="430" w:name="_Toc40780278"/>
      <w:bookmarkEnd w:id="430"/>
      <w:bookmarkStart w:id="431" w:name="_Toc40455296"/>
      <w:r>
        <w:rPr>
          <w:rFonts w:hint="eastAsia" w:ascii="宋体" w:hAnsi="宋体"/>
          <w:color w:val="auto"/>
          <w:kern w:val="2"/>
          <w:sz w:val="21"/>
          <w:szCs w:val="21"/>
          <w:highlight w:val="none"/>
        </w:rPr>
        <w:t>3</w:t>
      </w:r>
      <w:bookmarkEnd w:id="431"/>
      <w:r>
        <w:rPr>
          <w:rFonts w:hint="eastAsia" w:ascii="宋体" w:hAnsi="宋体"/>
          <w:color w:val="auto"/>
          <w:kern w:val="2"/>
          <w:sz w:val="21"/>
          <w:szCs w:val="21"/>
          <w:highlight w:val="none"/>
        </w:rPr>
        <w:t xml:space="preserve">.6  </w:t>
      </w:r>
      <w:r>
        <w:rPr>
          <w:rFonts w:hint="eastAsia" w:ascii="宋体" w:hAnsi="宋体" w:cs="宋体"/>
          <w:color w:val="auto"/>
          <w:kern w:val="2"/>
          <w:sz w:val="21"/>
          <w:szCs w:val="21"/>
          <w:highlight w:val="none"/>
        </w:rPr>
        <w:t>比选响应文件的编制</w:t>
      </w:r>
    </w:p>
    <w:p w14:paraId="5263E617">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3.6.1  </w:t>
      </w:r>
      <w:r>
        <w:rPr>
          <w:rFonts w:hint="eastAsia" w:ascii="宋体" w:hAnsi="宋体" w:cs="宋体"/>
          <w:color w:val="auto"/>
          <w:kern w:val="0"/>
          <w:szCs w:val="21"/>
          <w:highlight w:val="none"/>
          <w:lang w:bidi="ar"/>
        </w:rPr>
        <w:t>比选响应文件应按第九章</w:t>
      </w:r>
      <w:r>
        <w:rPr>
          <w:rFonts w:hint="eastAsia" w:ascii="宋体" w:hAnsi="宋体" w:cs="MingLiU"/>
          <w:color w:val="auto"/>
          <w:kern w:val="0"/>
          <w:szCs w:val="21"/>
          <w:highlight w:val="none"/>
          <w:lang w:bidi="ar"/>
        </w:rPr>
        <w:t>“比选响应文件格式”进行编写，如有必要，可以增加附页，作为比选响应文件的组成部分。</w:t>
      </w:r>
    </w:p>
    <w:p w14:paraId="4C6BF44E">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3.6.2  </w:t>
      </w:r>
      <w:r>
        <w:rPr>
          <w:rFonts w:hint="eastAsia" w:ascii="宋体" w:hAnsi="宋体" w:cs="宋体"/>
          <w:color w:val="auto"/>
          <w:kern w:val="0"/>
          <w:szCs w:val="21"/>
          <w:highlight w:val="none"/>
          <w:lang w:bidi="ar"/>
        </w:rPr>
        <w:t>比选响应文件应当对竞争性比选文件有关工期、投标有效期、质量要求、技术标准和要求、服务要求、竞争性比选范围等实质性内容做出响应。</w:t>
      </w:r>
    </w:p>
    <w:p w14:paraId="3F6FD7DB">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Calibri"/>
          <w:color w:val="auto"/>
          <w:kern w:val="0"/>
          <w:position w:val="-2"/>
          <w:szCs w:val="21"/>
          <w:highlight w:val="none"/>
          <w:lang w:bidi="ar"/>
        </w:rPr>
        <w:t xml:space="preserve">3.6.3  </w:t>
      </w:r>
      <w:r>
        <w:rPr>
          <w:rFonts w:hint="eastAsia" w:ascii="宋体" w:hAnsi="宋体" w:cs="宋体"/>
          <w:color w:val="auto"/>
          <w:kern w:val="0"/>
          <w:position w:val="-2"/>
          <w:szCs w:val="21"/>
          <w:highlight w:val="none"/>
          <w:lang w:bidi="ar"/>
        </w:rPr>
        <w:t>比选响应文件应用不褪色的材料书写或打印，并由报价人的法定代表人或其委托代理</w:t>
      </w:r>
      <w:r>
        <w:rPr>
          <w:rFonts w:hint="eastAsia" w:ascii="宋体" w:hAnsi="宋体" w:cs="宋体"/>
          <w:color w:val="auto"/>
          <w:kern w:val="0"/>
          <w:szCs w:val="21"/>
          <w:highlight w:val="none"/>
          <w:lang w:bidi="ar"/>
        </w:rPr>
        <w:t>人签字、盖单位</w:t>
      </w:r>
      <w:r>
        <w:rPr>
          <w:rFonts w:hint="eastAsia" w:hAnsi="宋体"/>
          <w:color w:val="auto"/>
          <w:szCs w:val="21"/>
          <w:highlight w:val="none"/>
        </w:rPr>
        <w:t>公章</w:t>
      </w:r>
      <w:r>
        <w:rPr>
          <w:rFonts w:hint="eastAsia" w:ascii="宋体" w:hAnsi="宋体" w:cs="宋体"/>
          <w:color w:val="auto"/>
          <w:kern w:val="0"/>
          <w:szCs w:val="21"/>
          <w:highlight w:val="none"/>
          <w:lang w:bidi="ar"/>
        </w:rPr>
        <w:t>。委托代理人签字的，比选响应文件应附法定代表人签署的授权委托书。比选响应文件应尽量避免涂改、行间插字或删除。如果出现上述情况，改动之处应加盖单位</w:t>
      </w:r>
      <w:r>
        <w:rPr>
          <w:rFonts w:hint="eastAsia" w:hAnsi="宋体"/>
          <w:color w:val="auto"/>
          <w:szCs w:val="21"/>
          <w:highlight w:val="none"/>
        </w:rPr>
        <w:t>公章</w:t>
      </w:r>
      <w:r>
        <w:rPr>
          <w:rFonts w:hint="eastAsia" w:ascii="宋体" w:hAnsi="宋体" w:cs="宋体"/>
          <w:color w:val="auto"/>
          <w:kern w:val="0"/>
          <w:szCs w:val="21"/>
          <w:highlight w:val="none"/>
          <w:lang w:bidi="ar"/>
        </w:rPr>
        <w:t>或由报价人的法定代表人或其授权的代理人签字确认。签字或盖章的具体要求见报价人须知前附表。</w:t>
      </w:r>
    </w:p>
    <w:p w14:paraId="56D85187">
      <w:pPr>
        <w:autoSpaceDE w:val="0"/>
        <w:autoSpaceDN w:val="0"/>
        <w:adjustRightInd w:val="0"/>
        <w:spacing w:line="300" w:lineRule="exact"/>
        <w:ind w:right="-164" w:firstLine="426"/>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3.6.4  </w:t>
      </w:r>
      <w:r>
        <w:rPr>
          <w:rFonts w:hint="eastAsia" w:ascii="宋体" w:hAnsi="宋体" w:cs="宋体"/>
          <w:color w:val="auto"/>
          <w:kern w:val="0"/>
          <w:szCs w:val="21"/>
          <w:highlight w:val="none"/>
          <w:lang w:bidi="ar"/>
        </w:rPr>
        <w:t>比选响应文件正本一份，副本份数见报价人须知前附表。正本和副本的封面上应清楚地标记</w:t>
      </w:r>
      <w:r>
        <w:rPr>
          <w:rFonts w:hint="eastAsia" w:ascii="宋体" w:hAnsi="宋体" w:cs="MingLiU"/>
          <w:color w:val="auto"/>
          <w:kern w:val="0"/>
          <w:szCs w:val="21"/>
          <w:highlight w:val="none"/>
          <w:lang w:bidi="ar"/>
        </w:rPr>
        <w:t>“正本”或“副本”的字样，正本和副本封面均须加盖单位</w:t>
      </w:r>
      <w:r>
        <w:rPr>
          <w:rFonts w:hint="eastAsia" w:hAnsi="宋体"/>
          <w:color w:val="auto"/>
          <w:szCs w:val="21"/>
          <w:highlight w:val="none"/>
        </w:rPr>
        <w:t>公章</w:t>
      </w:r>
      <w:r>
        <w:rPr>
          <w:rFonts w:hint="eastAsia" w:ascii="宋体" w:hAnsi="宋体" w:cs="MingLiU"/>
          <w:color w:val="auto"/>
          <w:kern w:val="0"/>
          <w:szCs w:val="21"/>
          <w:highlight w:val="none"/>
          <w:lang w:bidi="ar"/>
        </w:rPr>
        <w:t>。当副本和正本不一致时，以正本为准。</w:t>
      </w:r>
    </w:p>
    <w:p w14:paraId="535E74A6">
      <w:pPr>
        <w:autoSpaceDE w:val="0"/>
        <w:autoSpaceDN w:val="0"/>
        <w:adjustRightInd w:val="0"/>
        <w:spacing w:line="300" w:lineRule="exact"/>
        <w:ind w:right="-109" w:firstLine="426"/>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3.6.5  </w:t>
      </w:r>
      <w:r>
        <w:rPr>
          <w:rFonts w:hint="eastAsia" w:ascii="宋体" w:hAnsi="宋体" w:cs="宋体"/>
          <w:color w:val="auto"/>
          <w:kern w:val="0"/>
          <w:szCs w:val="21"/>
          <w:highlight w:val="none"/>
          <w:lang w:bidi="ar"/>
        </w:rPr>
        <w:t>比选响应文件的正本与副本应分别装订成册，并编制目录，具体装订要求见报价人须知前附表规定。</w:t>
      </w:r>
    </w:p>
    <w:p w14:paraId="115900A1">
      <w:pPr>
        <w:pStyle w:val="4"/>
        <w:widowControl/>
        <w:spacing w:before="0" w:after="0" w:line="300" w:lineRule="exact"/>
        <w:rPr>
          <w:rFonts w:ascii="宋体" w:hAnsi="宋体"/>
          <w:color w:val="auto"/>
          <w:sz w:val="21"/>
          <w:szCs w:val="21"/>
          <w:highlight w:val="none"/>
        </w:rPr>
      </w:pPr>
      <w:bookmarkStart w:id="432" w:name="_Toc200513153"/>
      <w:bookmarkEnd w:id="432"/>
      <w:bookmarkStart w:id="433" w:name="_Toc40455670"/>
      <w:bookmarkEnd w:id="433"/>
      <w:bookmarkStart w:id="434" w:name="_Toc28775"/>
      <w:bookmarkEnd w:id="434"/>
      <w:bookmarkStart w:id="435" w:name="_Toc16777"/>
      <w:bookmarkEnd w:id="435"/>
      <w:bookmarkStart w:id="436" w:name="_Toc287607773"/>
      <w:bookmarkEnd w:id="436"/>
      <w:bookmarkStart w:id="437" w:name="_Toc277082579"/>
      <w:bookmarkEnd w:id="437"/>
      <w:bookmarkStart w:id="438" w:name="_Toc224103344"/>
      <w:bookmarkEnd w:id="438"/>
      <w:bookmarkStart w:id="439" w:name="_Toc4661453"/>
      <w:bookmarkEnd w:id="439"/>
      <w:bookmarkStart w:id="440" w:name="_Toc4661931"/>
      <w:bookmarkEnd w:id="440"/>
      <w:bookmarkStart w:id="441" w:name="_Toc778"/>
      <w:bookmarkEnd w:id="441"/>
      <w:bookmarkStart w:id="442" w:name="_Toc30351"/>
      <w:bookmarkEnd w:id="442"/>
      <w:bookmarkStart w:id="443" w:name="_Toc40455297"/>
      <w:bookmarkEnd w:id="443"/>
      <w:bookmarkStart w:id="444" w:name="_Toc4662167"/>
      <w:bookmarkEnd w:id="444"/>
      <w:bookmarkStart w:id="445" w:name="_Toc7095"/>
      <w:bookmarkEnd w:id="445"/>
      <w:bookmarkStart w:id="446" w:name="_Toc4661695"/>
      <w:bookmarkEnd w:id="446"/>
      <w:bookmarkStart w:id="447" w:name="_Toc4633"/>
      <w:bookmarkStart w:id="448" w:name="_Toc164430122"/>
      <w:r>
        <w:rPr>
          <w:rFonts w:hint="eastAsia" w:ascii="宋体" w:hAnsi="宋体"/>
          <w:color w:val="auto"/>
          <w:sz w:val="21"/>
          <w:szCs w:val="21"/>
          <w:highlight w:val="none"/>
        </w:rPr>
        <w:t xml:space="preserve">4.  </w:t>
      </w:r>
      <w:bookmarkEnd w:id="447"/>
      <w:r>
        <w:rPr>
          <w:rFonts w:ascii="宋体" w:hAnsi="宋体"/>
          <w:color w:val="auto"/>
          <w:sz w:val="21"/>
          <w:szCs w:val="21"/>
          <w:highlight w:val="none"/>
        </w:rPr>
        <w:t>报价</w:t>
      </w:r>
      <w:bookmarkEnd w:id="448"/>
    </w:p>
    <w:p w14:paraId="4900B65F">
      <w:pPr>
        <w:pStyle w:val="5"/>
        <w:widowControl/>
        <w:spacing w:before="0" w:after="0" w:line="300" w:lineRule="exact"/>
        <w:rPr>
          <w:rFonts w:ascii="宋体" w:hAnsi="宋体"/>
          <w:color w:val="auto"/>
          <w:kern w:val="2"/>
          <w:sz w:val="21"/>
          <w:szCs w:val="21"/>
          <w:highlight w:val="none"/>
        </w:rPr>
      </w:pPr>
      <w:bookmarkStart w:id="449" w:name="_Toc200513154"/>
      <w:bookmarkEnd w:id="449"/>
      <w:bookmarkStart w:id="450" w:name="_Toc4661454"/>
      <w:bookmarkEnd w:id="450"/>
      <w:bookmarkStart w:id="451" w:name="_Toc277082580"/>
      <w:bookmarkEnd w:id="451"/>
      <w:bookmarkStart w:id="452" w:name="_Toc287607774"/>
      <w:bookmarkEnd w:id="452"/>
      <w:bookmarkStart w:id="453" w:name="_Toc40455671"/>
      <w:bookmarkEnd w:id="453"/>
      <w:bookmarkStart w:id="454" w:name="_Toc4661932"/>
      <w:bookmarkEnd w:id="454"/>
      <w:bookmarkStart w:id="455" w:name="_Toc2952"/>
      <w:bookmarkEnd w:id="455"/>
      <w:bookmarkStart w:id="456" w:name="_Toc4662168"/>
      <w:bookmarkEnd w:id="456"/>
      <w:bookmarkStart w:id="457" w:name="_Toc4661696"/>
      <w:bookmarkEnd w:id="457"/>
      <w:bookmarkStart w:id="458" w:name="_Toc40780280"/>
      <w:bookmarkEnd w:id="458"/>
      <w:bookmarkStart w:id="459" w:name="_Toc40455298"/>
      <w:bookmarkEnd w:id="459"/>
      <w:bookmarkStart w:id="460" w:name="_Toc224103345"/>
      <w:r>
        <w:rPr>
          <w:rFonts w:hint="eastAsia" w:ascii="宋体" w:hAnsi="宋体"/>
          <w:color w:val="auto"/>
          <w:kern w:val="2"/>
          <w:sz w:val="21"/>
          <w:szCs w:val="21"/>
          <w:highlight w:val="none"/>
        </w:rPr>
        <w:t xml:space="preserve">4.1  </w:t>
      </w:r>
      <w:bookmarkEnd w:id="460"/>
      <w:r>
        <w:rPr>
          <w:rFonts w:hint="eastAsia" w:ascii="宋体" w:hAnsi="宋体" w:cs="宋体"/>
          <w:color w:val="auto"/>
          <w:kern w:val="2"/>
          <w:sz w:val="21"/>
          <w:szCs w:val="21"/>
          <w:highlight w:val="none"/>
        </w:rPr>
        <w:t>比选响应文件的密封和标记</w:t>
      </w:r>
    </w:p>
    <w:p w14:paraId="1AA90663">
      <w:pPr>
        <w:autoSpaceDE w:val="0"/>
        <w:autoSpaceDN w:val="0"/>
        <w:adjustRightInd w:val="0"/>
        <w:spacing w:line="300" w:lineRule="exact"/>
        <w:ind w:left="359" w:leftChars="171"/>
        <w:jc w:val="left"/>
        <w:rPr>
          <w:rFonts w:ascii="宋体" w:hAnsi="宋体" w:cs="MingLiU"/>
          <w:color w:val="auto"/>
          <w:kern w:val="0"/>
          <w:szCs w:val="21"/>
          <w:highlight w:val="none"/>
        </w:rPr>
      </w:pPr>
      <w:bookmarkStart w:id="461" w:name="_Toc200513155"/>
      <w:bookmarkEnd w:id="461"/>
      <w:r>
        <w:rPr>
          <w:rFonts w:hint="eastAsia" w:ascii="宋体" w:hAnsi="宋体" w:cs="MingLiU"/>
          <w:color w:val="auto"/>
          <w:kern w:val="0"/>
          <w:szCs w:val="21"/>
          <w:highlight w:val="none"/>
          <w:lang w:bidi="ar"/>
        </w:rPr>
        <w:t>4.1.1  比选响应文件的正本与副本密封见报价人须知前附表。</w:t>
      </w:r>
    </w:p>
    <w:p w14:paraId="7CC644A4">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4.1.2  比选响应文件的封套上应写明的内容见报价人须知前附表。</w:t>
      </w:r>
    </w:p>
    <w:p w14:paraId="259683D5">
      <w:pPr>
        <w:pStyle w:val="5"/>
        <w:widowControl/>
        <w:spacing w:before="0" w:after="0" w:line="300" w:lineRule="exact"/>
        <w:rPr>
          <w:rFonts w:ascii="宋体" w:hAnsi="宋体"/>
          <w:color w:val="auto"/>
          <w:kern w:val="2"/>
          <w:sz w:val="21"/>
          <w:szCs w:val="21"/>
          <w:highlight w:val="none"/>
        </w:rPr>
      </w:pPr>
      <w:bookmarkStart w:id="462" w:name="_Toc28009"/>
      <w:bookmarkEnd w:id="462"/>
      <w:bookmarkStart w:id="463" w:name="_Toc4661697"/>
      <w:bookmarkEnd w:id="463"/>
      <w:bookmarkStart w:id="464" w:name="_Toc224103346"/>
      <w:bookmarkEnd w:id="464"/>
      <w:bookmarkStart w:id="465" w:name="_Toc40455672"/>
      <w:bookmarkEnd w:id="465"/>
      <w:bookmarkStart w:id="466" w:name="_Toc40780281"/>
      <w:bookmarkEnd w:id="466"/>
      <w:bookmarkStart w:id="467" w:name="_Toc4661455"/>
      <w:bookmarkEnd w:id="467"/>
      <w:bookmarkStart w:id="468" w:name="_Toc277082581"/>
      <w:bookmarkEnd w:id="468"/>
      <w:bookmarkStart w:id="469" w:name="_Toc40455299"/>
      <w:bookmarkEnd w:id="469"/>
      <w:bookmarkStart w:id="470" w:name="_Toc4662169"/>
      <w:bookmarkEnd w:id="470"/>
      <w:bookmarkStart w:id="471" w:name="_Toc4661933"/>
      <w:bookmarkEnd w:id="471"/>
      <w:bookmarkStart w:id="472" w:name="_Toc287607775"/>
      <w:r>
        <w:rPr>
          <w:rFonts w:hint="eastAsia" w:ascii="宋体" w:hAnsi="宋体"/>
          <w:color w:val="auto"/>
          <w:kern w:val="2"/>
          <w:sz w:val="21"/>
          <w:szCs w:val="21"/>
          <w:highlight w:val="none"/>
        </w:rPr>
        <w:t xml:space="preserve">4.2  </w:t>
      </w:r>
      <w:bookmarkEnd w:id="472"/>
      <w:r>
        <w:rPr>
          <w:rFonts w:hint="eastAsia" w:ascii="宋体" w:hAnsi="宋体" w:cs="宋体"/>
          <w:color w:val="auto"/>
          <w:kern w:val="2"/>
          <w:sz w:val="21"/>
          <w:szCs w:val="21"/>
          <w:highlight w:val="none"/>
        </w:rPr>
        <w:t>比选响应文件的递交</w:t>
      </w:r>
    </w:p>
    <w:p w14:paraId="5B539E97">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4.2.1  </w:t>
      </w:r>
      <w:r>
        <w:rPr>
          <w:rFonts w:hint="eastAsia" w:ascii="宋体" w:hAnsi="宋体" w:cs="宋体"/>
          <w:color w:val="auto"/>
          <w:kern w:val="0"/>
          <w:szCs w:val="21"/>
          <w:highlight w:val="none"/>
          <w:lang w:bidi="ar"/>
        </w:rPr>
        <w:t>报价人应在本章第</w:t>
      </w:r>
      <w:r>
        <w:rPr>
          <w:rFonts w:hint="eastAsia" w:ascii="宋体" w:hAnsi="宋体" w:cs="Calibri"/>
          <w:color w:val="auto"/>
          <w:kern w:val="0"/>
          <w:szCs w:val="21"/>
          <w:highlight w:val="none"/>
          <w:lang w:bidi="ar"/>
        </w:rPr>
        <w:t xml:space="preserve"> 2.2.2 </w:t>
      </w:r>
      <w:r>
        <w:rPr>
          <w:rFonts w:hint="eastAsia" w:ascii="宋体" w:hAnsi="宋体" w:cs="宋体"/>
          <w:color w:val="auto"/>
          <w:kern w:val="0"/>
          <w:szCs w:val="21"/>
          <w:highlight w:val="none"/>
          <w:lang w:bidi="ar"/>
        </w:rPr>
        <w:t>项规定的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时间前递交比选响应文件。</w:t>
      </w:r>
    </w:p>
    <w:p w14:paraId="0FA91CF1">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4.2.2  </w:t>
      </w:r>
      <w:r>
        <w:rPr>
          <w:rFonts w:hint="eastAsia" w:ascii="宋体" w:hAnsi="宋体" w:cs="宋体"/>
          <w:color w:val="auto"/>
          <w:kern w:val="0"/>
          <w:szCs w:val="21"/>
          <w:highlight w:val="none"/>
          <w:lang w:bidi="ar"/>
        </w:rPr>
        <w:t>报价人递交比选响应文件的地点：见报价人须知前附表。</w:t>
      </w:r>
    </w:p>
    <w:p w14:paraId="2200F8E1">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4.2.3  </w:t>
      </w:r>
      <w:r>
        <w:rPr>
          <w:rFonts w:hint="eastAsia" w:ascii="宋体" w:hAnsi="宋体" w:cs="宋体"/>
          <w:color w:val="auto"/>
          <w:kern w:val="0"/>
          <w:szCs w:val="21"/>
          <w:highlight w:val="none"/>
          <w:lang w:bidi="ar"/>
        </w:rPr>
        <w:t>除报价人须知前附表另有规定外，报价人所递交的比选响应文件不予退还。</w:t>
      </w:r>
    </w:p>
    <w:p w14:paraId="07031D1F">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4.2.4  </w:t>
      </w:r>
      <w:r>
        <w:rPr>
          <w:rFonts w:hint="eastAsia" w:ascii="宋体" w:hAnsi="宋体" w:cs="宋体"/>
          <w:color w:val="auto"/>
          <w:kern w:val="0"/>
          <w:szCs w:val="21"/>
          <w:highlight w:val="none"/>
          <w:lang w:bidi="ar"/>
        </w:rPr>
        <w:t>采购人收到比选响应文件后，向报价人出具签收凭证。</w:t>
      </w:r>
    </w:p>
    <w:p w14:paraId="4CB538EA">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4.2.5  </w:t>
      </w:r>
      <w:r>
        <w:rPr>
          <w:rFonts w:hint="eastAsia" w:ascii="宋体" w:hAnsi="宋体" w:cs="宋体"/>
          <w:color w:val="auto"/>
          <w:kern w:val="0"/>
          <w:szCs w:val="21"/>
          <w:highlight w:val="none"/>
          <w:lang w:bidi="ar"/>
        </w:rPr>
        <w:t>逾期送达的或者未送达指定地点的比选响应文件，采购人不予受理。</w:t>
      </w:r>
    </w:p>
    <w:p w14:paraId="7B879A5C">
      <w:pPr>
        <w:pStyle w:val="5"/>
        <w:widowControl/>
        <w:spacing w:before="0" w:after="0" w:line="300" w:lineRule="exact"/>
        <w:rPr>
          <w:rFonts w:ascii="宋体" w:hAnsi="宋体"/>
          <w:color w:val="auto"/>
          <w:kern w:val="2"/>
          <w:sz w:val="21"/>
          <w:szCs w:val="21"/>
          <w:highlight w:val="none"/>
        </w:rPr>
      </w:pPr>
      <w:bookmarkStart w:id="473" w:name="_Toc200513156"/>
      <w:bookmarkEnd w:id="473"/>
      <w:bookmarkStart w:id="474" w:name="_Toc40780282"/>
      <w:bookmarkEnd w:id="474"/>
      <w:bookmarkStart w:id="475" w:name="_Toc15210"/>
      <w:bookmarkEnd w:id="475"/>
      <w:bookmarkStart w:id="476" w:name="_Toc4661698"/>
      <w:bookmarkEnd w:id="476"/>
      <w:bookmarkStart w:id="477" w:name="_Toc40455300"/>
      <w:bookmarkEnd w:id="477"/>
      <w:bookmarkStart w:id="478" w:name="_Toc287607776"/>
      <w:bookmarkEnd w:id="478"/>
      <w:bookmarkStart w:id="479" w:name="_Toc224103347"/>
      <w:bookmarkEnd w:id="479"/>
      <w:bookmarkStart w:id="480" w:name="_Toc4661934"/>
      <w:bookmarkEnd w:id="480"/>
      <w:bookmarkStart w:id="481" w:name="_Toc4661456"/>
      <w:bookmarkEnd w:id="481"/>
      <w:bookmarkStart w:id="482" w:name="_Toc277082582"/>
      <w:bookmarkEnd w:id="482"/>
      <w:bookmarkStart w:id="483" w:name="_Toc40455673"/>
      <w:bookmarkEnd w:id="483"/>
      <w:bookmarkStart w:id="484" w:name="_Toc4662170"/>
      <w:r>
        <w:rPr>
          <w:rFonts w:hint="eastAsia" w:ascii="宋体" w:hAnsi="宋体"/>
          <w:color w:val="auto"/>
          <w:kern w:val="2"/>
          <w:sz w:val="21"/>
          <w:szCs w:val="21"/>
          <w:highlight w:val="none"/>
        </w:rPr>
        <w:t xml:space="preserve">4.3  </w:t>
      </w:r>
      <w:bookmarkEnd w:id="484"/>
      <w:r>
        <w:rPr>
          <w:rFonts w:hint="eastAsia" w:ascii="宋体" w:hAnsi="宋体" w:cs="宋体"/>
          <w:color w:val="auto"/>
          <w:kern w:val="2"/>
          <w:sz w:val="21"/>
          <w:szCs w:val="21"/>
          <w:highlight w:val="none"/>
        </w:rPr>
        <w:t>比选响应文件的修改与撤回</w:t>
      </w:r>
    </w:p>
    <w:p w14:paraId="0CBB16CA">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4.3.1  </w:t>
      </w:r>
      <w:r>
        <w:rPr>
          <w:rFonts w:hint="eastAsia" w:ascii="宋体" w:hAnsi="宋体" w:cs="宋体"/>
          <w:color w:val="auto"/>
          <w:kern w:val="0"/>
          <w:szCs w:val="21"/>
          <w:highlight w:val="none"/>
          <w:lang w:bidi="ar"/>
        </w:rPr>
        <w:t>在本章第</w:t>
      </w:r>
      <w:r>
        <w:rPr>
          <w:rFonts w:hint="eastAsia" w:ascii="宋体" w:hAnsi="宋体" w:cs="Calibri"/>
          <w:color w:val="auto"/>
          <w:kern w:val="0"/>
          <w:szCs w:val="21"/>
          <w:highlight w:val="none"/>
          <w:lang w:bidi="ar"/>
        </w:rPr>
        <w:t>2.2.2</w:t>
      </w:r>
      <w:r>
        <w:rPr>
          <w:rFonts w:hint="eastAsia" w:ascii="宋体" w:hAnsi="宋体" w:cs="宋体"/>
          <w:color w:val="auto"/>
          <w:kern w:val="0"/>
          <w:szCs w:val="21"/>
          <w:highlight w:val="none"/>
          <w:lang w:bidi="ar"/>
        </w:rPr>
        <w:t>项规定的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时间前，报价人可以修改或撤回已递交的比选响应文件，但应以书面形式通知采购人。</w:t>
      </w:r>
    </w:p>
    <w:p w14:paraId="5AF3540B">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4.3.2  </w:t>
      </w:r>
      <w:r>
        <w:rPr>
          <w:rFonts w:hint="eastAsia" w:ascii="宋体" w:hAnsi="宋体" w:cs="宋体"/>
          <w:color w:val="auto"/>
          <w:kern w:val="0"/>
          <w:szCs w:val="21"/>
          <w:highlight w:val="none"/>
          <w:lang w:bidi="ar"/>
        </w:rPr>
        <w:t>报价人修改或撤回已递交比选响应文件的书面通知应按照本章第</w:t>
      </w:r>
      <w:r>
        <w:rPr>
          <w:rFonts w:hint="eastAsia" w:ascii="宋体" w:hAnsi="宋体" w:cs="Calibri"/>
          <w:color w:val="auto"/>
          <w:kern w:val="0"/>
          <w:szCs w:val="21"/>
          <w:highlight w:val="none"/>
          <w:lang w:bidi="ar"/>
        </w:rPr>
        <w:t>3.7.3</w:t>
      </w:r>
      <w:r>
        <w:rPr>
          <w:rFonts w:hint="eastAsia" w:ascii="宋体" w:hAnsi="宋体" w:cs="宋体"/>
          <w:color w:val="auto"/>
          <w:kern w:val="0"/>
          <w:szCs w:val="21"/>
          <w:highlight w:val="none"/>
          <w:lang w:bidi="ar"/>
        </w:rPr>
        <w:t>项的要求签字或盖章。采购人收到书面通知后，向报价人出具签收凭证。</w:t>
      </w:r>
    </w:p>
    <w:p w14:paraId="33AEB7B8">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4.3.3  </w:t>
      </w:r>
      <w:r>
        <w:rPr>
          <w:rFonts w:hint="eastAsia" w:ascii="宋体" w:hAnsi="宋体" w:cs="宋体"/>
          <w:color w:val="auto"/>
          <w:kern w:val="0"/>
          <w:szCs w:val="21"/>
          <w:highlight w:val="none"/>
          <w:lang w:bidi="ar"/>
        </w:rPr>
        <w:t>修改的内容为比选响应文件的组成部分。修改的比选响应文件应按照本章第</w:t>
      </w:r>
      <w:r>
        <w:rPr>
          <w:rFonts w:hint="eastAsia" w:ascii="宋体" w:hAnsi="宋体" w:cs="Calibri"/>
          <w:color w:val="auto"/>
          <w:kern w:val="0"/>
          <w:szCs w:val="21"/>
          <w:highlight w:val="none"/>
          <w:lang w:bidi="ar"/>
        </w:rPr>
        <w:t>3</w:t>
      </w:r>
      <w:r>
        <w:rPr>
          <w:rFonts w:hint="eastAsia" w:ascii="宋体" w:hAnsi="宋体" w:cs="宋体"/>
          <w:color w:val="auto"/>
          <w:kern w:val="0"/>
          <w:szCs w:val="21"/>
          <w:highlight w:val="none"/>
          <w:lang w:bidi="ar"/>
        </w:rPr>
        <w:t>条、第</w:t>
      </w:r>
      <w:r>
        <w:rPr>
          <w:rFonts w:hint="eastAsia" w:ascii="宋体" w:hAnsi="宋体" w:cs="Calibri"/>
          <w:color w:val="auto"/>
          <w:kern w:val="0"/>
          <w:szCs w:val="21"/>
          <w:highlight w:val="none"/>
          <w:lang w:bidi="ar"/>
        </w:rPr>
        <w:t>4</w:t>
      </w:r>
      <w:r>
        <w:rPr>
          <w:rFonts w:hint="eastAsia" w:ascii="宋体" w:hAnsi="宋体" w:cs="宋体"/>
          <w:color w:val="auto"/>
          <w:kern w:val="0"/>
          <w:szCs w:val="21"/>
          <w:highlight w:val="none"/>
          <w:lang w:bidi="ar"/>
        </w:rPr>
        <w:t>条规定进行编制、密封、标记和递交，并标明</w:t>
      </w:r>
      <w:r>
        <w:rPr>
          <w:rFonts w:hint="eastAsia" w:ascii="宋体" w:hAnsi="宋体" w:cs="MingLiU"/>
          <w:color w:val="auto"/>
          <w:kern w:val="0"/>
          <w:szCs w:val="21"/>
          <w:highlight w:val="none"/>
          <w:lang w:bidi="ar"/>
        </w:rPr>
        <w:t>“修改”字样。</w:t>
      </w:r>
    </w:p>
    <w:p w14:paraId="073A9180">
      <w:pPr>
        <w:pStyle w:val="4"/>
        <w:widowControl/>
        <w:spacing w:before="0" w:after="0" w:line="300" w:lineRule="exact"/>
        <w:rPr>
          <w:rFonts w:ascii="宋体" w:hAnsi="宋体"/>
          <w:color w:val="auto"/>
          <w:sz w:val="21"/>
          <w:szCs w:val="21"/>
          <w:highlight w:val="none"/>
        </w:rPr>
      </w:pPr>
      <w:bookmarkStart w:id="485" w:name="_Toc4661935"/>
      <w:bookmarkEnd w:id="485"/>
      <w:bookmarkStart w:id="486" w:name="_Toc4662171"/>
      <w:bookmarkEnd w:id="486"/>
      <w:bookmarkStart w:id="487" w:name="_Toc13110"/>
      <w:bookmarkEnd w:id="487"/>
      <w:bookmarkStart w:id="488" w:name="_Toc287607777"/>
      <w:bookmarkEnd w:id="488"/>
      <w:bookmarkStart w:id="489" w:name="_Toc4661457"/>
      <w:bookmarkEnd w:id="489"/>
      <w:bookmarkStart w:id="490" w:name="_Toc40455301"/>
      <w:bookmarkEnd w:id="490"/>
      <w:bookmarkStart w:id="491" w:name="_Toc3631"/>
      <w:bookmarkEnd w:id="491"/>
      <w:bookmarkStart w:id="492" w:name="_Toc224103348"/>
      <w:bookmarkEnd w:id="492"/>
      <w:bookmarkStart w:id="493" w:name="_Toc27819"/>
      <w:bookmarkEnd w:id="493"/>
      <w:bookmarkStart w:id="494" w:name="_Toc277082583"/>
      <w:bookmarkEnd w:id="494"/>
      <w:bookmarkStart w:id="495" w:name="_Toc26569"/>
      <w:bookmarkEnd w:id="495"/>
      <w:bookmarkStart w:id="496" w:name="_Toc2667"/>
      <w:bookmarkEnd w:id="496"/>
      <w:bookmarkStart w:id="497" w:name="_Toc200513157"/>
      <w:bookmarkEnd w:id="497"/>
      <w:bookmarkStart w:id="498" w:name="_Toc40455674"/>
      <w:bookmarkEnd w:id="498"/>
      <w:bookmarkStart w:id="499" w:name="_Toc4661699"/>
      <w:bookmarkEnd w:id="499"/>
      <w:bookmarkStart w:id="500" w:name="_Toc665"/>
      <w:bookmarkStart w:id="501" w:name="_Toc1034437832"/>
      <w:r>
        <w:rPr>
          <w:rFonts w:hint="eastAsia" w:ascii="宋体" w:hAnsi="宋体"/>
          <w:color w:val="auto"/>
          <w:sz w:val="21"/>
          <w:szCs w:val="21"/>
          <w:highlight w:val="none"/>
        </w:rPr>
        <w:t xml:space="preserve">5.  </w:t>
      </w:r>
      <w:bookmarkEnd w:id="500"/>
      <w:r>
        <w:rPr>
          <w:rFonts w:hint="eastAsia" w:ascii="黑体" w:hAnsi="宋体" w:cs="黑体"/>
          <w:color w:val="auto"/>
          <w:sz w:val="21"/>
          <w:szCs w:val="21"/>
          <w:highlight w:val="none"/>
        </w:rPr>
        <w:t>开标</w:t>
      </w:r>
      <w:bookmarkEnd w:id="501"/>
    </w:p>
    <w:p w14:paraId="39963E29">
      <w:pPr>
        <w:pStyle w:val="5"/>
        <w:widowControl/>
        <w:spacing w:before="0" w:after="0" w:line="300" w:lineRule="exact"/>
        <w:rPr>
          <w:rFonts w:ascii="宋体" w:hAnsi="宋体"/>
          <w:color w:val="auto"/>
          <w:kern w:val="2"/>
          <w:sz w:val="21"/>
          <w:szCs w:val="21"/>
          <w:highlight w:val="none"/>
        </w:rPr>
      </w:pPr>
      <w:bookmarkStart w:id="502" w:name="_Toc4661458"/>
      <w:bookmarkEnd w:id="502"/>
      <w:bookmarkStart w:id="503" w:name="_Toc40455675"/>
      <w:bookmarkEnd w:id="503"/>
      <w:bookmarkStart w:id="504" w:name="_Toc224103349"/>
      <w:bookmarkEnd w:id="504"/>
      <w:bookmarkStart w:id="505" w:name="_Toc40455302"/>
      <w:bookmarkEnd w:id="505"/>
      <w:bookmarkStart w:id="506" w:name="_Toc22642"/>
      <w:bookmarkEnd w:id="506"/>
      <w:bookmarkStart w:id="507" w:name="_Toc4661700"/>
      <w:bookmarkEnd w:id="507"/>
      <w:bookmarkStart w:id="508" w:name="_Toc287607778"/>
      <w:bookmarkEnd w:id="508"/>
      <w:bookmarkStart w:id="509" w:name="_Toc277082584"/>
      <w:bookmarkEnd w:id="509"/>
      <w:bookmarkStart w:id="510" w:name="_Toc40780284"/>
      <w:bookmarkEnd w:id="510"/>
      <w:bookmarkStart w:id="511" w:name="_Toc4662172"/>
      <w:bookmarkEnd w:id="511"/>
      <w:bookmarkStart w:id="512" w:name="_Toc200513158"/>
      <w:bookmarkEnd w:id="512"/>
      <w:bookmarkStart w:id="513" w:name="_Toc4661936"/>
      <w:r>
        <w:rPr>
          <w:rFonts w:hint="eastAsia" w:ascii="宋体" w:hAnsi="宋体"/>
          <w:color w:val="auto"/>
          <w:kern w:val="2"/>
          <w:sz w:val="21"/>
          <w:szCs w:val="21"/>
          <w:highlight w:val="none"/>
        </w:rPr>
        <w:t>5.1  开标时间和地点</w:t>
      </w:r>
      <w:bookmarkEnd w:id="513"/>
    </w:p>
    <w:p w14:paraId="3ACE705D">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采购人在本章第</w:t>
      </w:r>
      <w:r>
        <w:rPr>
          <w:rFonts w:hint="eastAsia" w:ascii="宋体" w:hAnsi="宋体" w:cs="Calibri"/>
          <w:color w:val="auto"/>
          <w:kern w:val="0"/>
          <w:szCs w:val="21"/>
          <w:highlight w:val="none"/>
          <w:lang w:bidi="ar"/>
        </w:rPr>
        <w:t xml:space="preserve"> 2.2</w:t>
      </w:r>
      <w:r>
        <w:rPr>
          <w:rFonts w:hint="eastAsia" w:ascii="宋体" w:hAnsi="宋体" w:cs="宋体"/>
          <w:color w:val="auto"/>
          <w:kern w:val="0"/>
          <w:szCs w:val="21"/>
          <w:highlight w:val="none"/>
          <w:lang w:bidi="ar"/>
        </w:rPr>
        <w:t>项规定的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时间（开标时间）和报价人须知前附表规定的情况进行开标。</w:t>
      </w:r>
    </w:p>
    <w:p w14:paraId="5D983A09">
      <w:pPr>
        <w:pStyle w:val="4"/>
        <w:widowControl/>
        <w:spacing w:before="0" w:after="0" w:line="300" w:lineRule="exact"/>
        <w:rPr>
          <w:rFonts w:ascii="宋体" w:hAnsi="宋体"/>
          <w:color w:val="auto"/>
          <w:sz w:val="21"/>
          <w:szCs w:val="21"/>
          <w:highlight w:val="none"/>
        </w:rPr>
      </w:pPr>
      <w:bookmarkStart w:id="514" w:name="_Toc4661702"/>
      <w:bookmarkEnd w:id="514"/>
      <w:bookmarkStart w:id="515" w:name="_Toc40455676"/>
      <w:bookmarkEnd w:id="515"/>
      <w:bookmarkStart w:id="516" w:name="_Toc40455677"/>
      <w:bookmarkEnd w:id="516"/>
      <w:bookmarkStart w:id="517" w:name="_Toc4661937"/>
      <w:bookmarkEnd w:id="517"/>
      <w:bookmarkStart w:id="518" w:name="_Toc287607779"/>
      <w:bookmarkEnd w:id="518"/>
      <w:bookmarkStart w:id="519" w:name="_Toc40455303"/>
      <w:bookmarkEnd w:id="519"/>
      <w:bookmarkStart w:id="520" w:name="_Toc4662174"/>
      <w:bookmarkEnd w:id="520"/>
      <w:bookmarkStart w:id="521" w:name="_Toc4661460"/>
      <w:bookmarkEnd w:id="521"/>
      <w:bookmarkStart w:id="522" w:name="_Toc6592"/>
      <w:bookmarkEnd w:id="522"/>
      <w:bookmarkStart w:id="523" w:name="_Toc224103350"/>
      <w:bookmarkEnd w:id="523"/>
      <w:bookmarkStart w:id="524" w:name="_Toc26714"/>
      <w:bookmarkEnd w:id="524"/>
      <w:bookmarkStart w:id="525" w:name="_Toc4661459"/>
      <w:bookmarkEnd w:id="525"/>
      <w:bookmarkStart w:id="526" w:name="_Toc4661701"/>
      <w:bookmarkEnd w:id="526"/>
      <w:bookmarkStart w:id="527" w:name="_Toc4904"/>
      <w:bookmarkEnd w:id="527"/>
      <w:bookmarkStart w:id="528" w:name="_Toc4662173"/>
      <w:bookmarkEnd w:id="528"/>
      <w:bookmarkStart w:id="529" w:name="_Toc4661938"/>
      <w:bookmarkEnd w:id="529"/>
      <w:bookmarkStart w:id="530" w:name="_Toc5895"/>
      <w:bookmarkEnd w:id="530"/>
      <w:bookmarkStart w:id="531" w:name="_Toc277082585"/>
      <w:bookmarkEnd w:id="531"/>
      <w:bookmarkStart w:id="532" w:name="_Toc1823"/>
      <w:bookmarkEnd w:id="532"/>
      <w:bookmarkStart w:id="533" w:name="_Toc29816"/>
      <w:bookmarkEnd w:id="533"/>
      <w:bookmarkStart w:id="534" w:name="_Toc40780285"/>
      <w:bookmarkEnd w:id="534"/>
      <w:bookmarkStart w:id="535" w:name="_Toc40455304"/>
      <w:bookmarkEnd w:id="535"/>
      <w:bookmarkStart w:id="536" w:name="_Toc5685"/>
      <w:bookmarkStart w:id="537" w:name="_Toc1701692102"/>
      <w:r>
        <w:rPr>
          <w:rFonts w:hint="eastAsia" w:ascii="宋体" w:hAnsi="宋体"/>
          <w:color w:val="auto"/>
          <w:sz w:val="21"/>
          <w:szCs w:val="21"/>
          <w:highlight w:val="none"/>
        </w:rPr>
        <w:t xml:space="preserve">6.  </w:t>
      </w:r>
      <w:bookmarkEnd w:id="536"/>
      <w:r>
        <w:rPr>
          <w:rFonts w:hint="eastAsia" w:ascii="黑体" w:hAnsi="宋体" w:cs="黑体"/>
          <w:color w:val="auto"/>
          <w:sz w:val="21"/>
          <w:szCs w:val="21"/>
          <w:highlight w:val="none"/>
        </w:rPr>
        <w:t>评标</w:t>
      </w:r>
      <w:bookmarkEnd w:id="537"/>
    </w:p>
    <w:p w14:paraId="19E1BF5E">
      <w:pPr>
        <w:pStyle w:val="5"/>
        <w:widowControl/>
        <w:spacing w:before="0" w:after="0" w:line="300" w:lineRule="exact"/>
        <w:rPr>
          <w:rFonts w:ascii="宋体" w:hAnsi="宋体"/>
          <w:color w:val="auto"/>
          <w:kern w:val="2"/>
          <w:sz w:val="21"/>
          <w:szCs w:val="21"/>
          <w:highlight w:val="none"/>
        </w:rPr>
      </w:pPr>
      <w:bookmarkStart w:id="538" w:name="_Toc40455678"/>
      <w:bookmarkEnd w:id="538"/>
      <w:bookmarkStart w:id="539" w:name="_Toc200513161"/>
      <w:bookmarkEnd w:id="539"/>
      <w:bookmarkStart w:id="540" w:name="_Toc287607781"/>
      <w:bookmarkEnd w:id="540"/>
      <w:bookmarkStart w:id="541" w:name="_Toc4661461"/>
      <w:bookmarkEnd w:id="541"/>
      <w:bookmarkStart w:id="542" w:name="_Toc4662175"/>
      <w:bookmarkEnd w:id="542"/>
      <w:bookmarkStart w:id="543" w:name="_Toc4661703"/>
      <w:bookmarkEnd w:id="543"/>
      <w:bookmarkStart w:id="544" w:name="_Toc40780287"/>
      <w:bookmarkEnd w:id="544"/>
      <w:bookmarkStart w:id="545" w:name="_Toc224103352"/>
      <w:bookmarkEnd w:id="545"/>
      <w:bookmarkStart w:id="546" w:name="_Toc40455305"/>
      <w:bookmarkEnd w:id="546"/>
      <w:bookmarkStart w:id="547" w:name="_Toc277082587"/>
      <w:bookmarkEnd w:id="547"/>
      <w:bookmarkStart w:id="548" w:name="_Toc9614"/>
      <w:bookmarkEnd w:id="548"/>
      <w:bookmarkStart w:id="549" w:name="_Toc4661939"/>
      <w:r>
        <w:rPr>
          <w:rFonts w:hint="eastAsia" w:ascii="宋体" w:hAnsi="宋体"/>
          <w:color w:val="auto"/>
          <w:kern w:val="2"/>
          <w:sz w:val="21"/>
          <w:szCs w:val="21"/>
          <w:highlight w:val="none"/>
        </w:rPr>
        <w:t xml:space="preserve">6.1  </w:t>
      </w:r>
      <w:bookmarkEnd w:id="549"/>
      <w:r>
        <w:rPr>
          <w:rFonts w:hint="eastAsia" w:ascii="宋体" w:hAnsi="宋体" w:cs="宋体"/>
          <w:color w:val="auto"/>
          <w:kern w:val="2"/>
          <w:sz w:val="21"/>
          <w:szCs w:val="21"/>
          <w:highlight w:val="none"/>
        </w:rPr>
        <w:t>评标委员会</w:t>
      </w:r>
    </w:p>
    <w:p w14:paraId="010BA599">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6.1.1  </w:t>
      </w:r>
      <w:r>
        <w:rPr>
          <w:rFonts w:hint="eastAsia" w:ascii="宋体" w:hAnsi="宋体" w:cs="宋体"/>
          <w:color w:val="auto"/>
          <w:kern w:val="0"/>
          <w:szCs w:val="21"/>
          <w:highlight w:val="none"/>
          <w:lang w:bidi="ar"/>
        </w:rPr>
        <w:t>评标由采购人依法组建的评标委员会负责。评标委员会由采购人或其委托的竞争性比选代理机构熟悉相关业务的代表，以及有关技术、经济等方面的专家组成。</w:t>
      </w:r>
    </w:p>
    <w:p w14:paraId="4823E7C5">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6.1.2  </w:t>
      </w:r>
      <w:r>
        <w:rPr>
          <w:rFonts w:hint="eastAsia" w:ascii="宋体" w:hAnsi="宋体" w:cs="宋体"/>
          <w:color w:val="auto"/>
          <w:kern w:val="0"/>
          <w:szCs w:val="21"/>
          <w:highlight w:val="none"/>
          <w:lang w:bidi="ar"/>
        </w:rPr>
        <w:t>评标委员会成员有下列情形之一的，应当回避：</w:t>
      </w:r>
    </w:p>
    <w:p w14:paraId="0D04A084">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1）采购人或竞争性比选代理机构主要负责人的近亲属，或与报价人法定代表人或其委托代理人有近亲属关系；</w:t>
      </w:r>
    </w:p>
    <w:p w14:paraId="7E72EAAF">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2</w:t>
      </w:r>
      <w:r>
        <w:rPr>
          <w:rFonts w:hint="eastAsia" w:ascii="宋体" w:hAnsi="宋体" w:cs="宋体"/>
          <w:color w:val="auto"/>
          <w:kern w:val="0"/>
          <w:szCs w:val="21"/>
          <w:highlight w:val="none"/>
          <w:lang w:bidi="ar"/>
        </w:rPr>
        <w:t>）为报价人的工作人员或退休人员；</w:t>
      </w:r>
    </w:p>
    <w:p w14:paraId="431C6A67">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3</w:t>
      </w:r>
      <w:r>
        <w:rPr>
          <w:rFonts w:hint="eastAsia" w:ascii="宋体" w:hAnsi="宋体" w:cs="宋体"/>
          <w:color w:val="auto"/>
          <w:kern w:val="0"/>
          <w:szCs w:val="21"/>
          <w:highlight w:val="none"/>
          <w:lang w:bidi="ar"/>
        </w:rPr>
        <w:t>）与报价人有其他利害关系，可能影响评标活动公正性；</w:t>
      </w:r>
    </w:p>
    <w:p w14:paraId="6713DF27">
      <w:pPr>
        <w:autoSpaceDE w:val="0"/>
        <w:autoSpaceDN w:val="0"/>
        <w:adjustRightInd w:val="0"/>
        <w:spacing w:line="300" w:lineRule="exact"/>
        <w:ind w:firstLine="361" w:firstLineChars="172"/>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4）在与竞争性比选投标有关的活动中有过违法违规行为、曾受过行政处罚或刑事处罚；</w:t>
      </w:r>
    </w:p>
    <w:p w14:paraId="75041C26">
      <w:pPr>
        <w:pStyle w:val="5"/>
        <w:widowControl/>
        <w:spacing w:before="0" w:after="0" w:line="300" w:lineRule="exact"/>
        <w:rPr>
          <w:rFonts w:ascii="宋体" w:hAnsi="宋体"/>
          <w:color w:val="auto"/>
          <w:kern w:val="2"/>
          <w:sz w:val="21"/>
          <w:szCs w:val="21"/>
          <w:highlight w:val="none"/>
        </w:rPr>
      </w:pPr>
      <w:bookmarkStart w:id="550" w:name="_Toc40780288"/>
      <w:bookmarkEnd w:id="550"/>
      <w:bookmarkStart w:id="551" w:name="_Toc40455306"/>
      <w:bookmarkEnd w:id="551"/>
      <w:bookmarkStart w:id="552" w:name="_Toc200513162"/>
      <w:bookmarkEnd w:id="552"/>
      <w:bookmarkStart w:id="553" w:name="_Toc4662176"/>
      <w:bookmarkEnd w:id="553"/>
      <w:bookmarkStart w:id="554" w:name="_Toc287607782"/>
      <w:bookmarkEnd w:id="554"/>
      <w:bookmarkStart w:id="555" w:name="_Toc224103353"/>
      <w:bookmarkEnd w:id="555"/>
      <w:bookmarkStart w:id="556" w:name="_Toc4661704"/>
      <w:bookmarkEnd w:id="556"/>
      <w:bookmarkStart w:id="557" w:name="_Toc40455679"/>
      <w:bookmarkEnd w:id="557"/>
      <w:bookmarkStart w:id="558" w:name="_Toc4661462"/>
      <w:bookmarkEnd w:id="558"/>
      <w:bookmarkStart w:id="559" w:name="_Toc4661940"/>
      <w:bookmarkEnd w:id="559"/>
      <w:bookmarkStart w:id="560" w:name="_Toc277082588"/>
      <w:bookmarkEnd w:id="560"/>
      <w:bookmarkStart w:id="561" w:name="_Toc3788"/>
      <w:r>
        <w:rPr>
          <w:rFonts w:hint="eastAsia" w:ascii="宋体" w:hAnsi="宋体"/>
          <w:color w:val="auto"/>
          <w:kern w:val="2"/>
          <w:sz w:val="21"/>
          <w:szCs w:val="21"/>
          <w:highlight w:val="none"/>
        </w:rPr>
        <w:t xml:space="preserve">6.2  </w:t>
      </w:r>
      <w:bookmarkEnd w:id="561"/>
      <w:r>
        <w:rPr>
          <w:rFonts w:hint="eastAsia" w:ascii="宋体" w:hAnsi="宋体" w:cs="宋体"/>
          <w:color w:val="auto"/>
          <w:kern w:val="2"/>
          <w:sz w:val="21"/>
          <w:szCs w:val="21"/>
          <w:highlight w:val="none"/>
        </w:rPr>
        <w:t>评标原则</w:t>
      </w:r>
    </w:p>
    <w:p w14:paraId="29193B9D">
      <w:p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    </w:t>
      </w:r>
      <w:r>
        <w:rPr>
          <w:rFonts w:hint="eastAsia" w:ascii="宋体" w:hAnsi="宋体" w:cs="宋体"/>
          <w:color w:val="auto"/>
          <w:kern w:val="0"/>
          <w:szCs w:val="21"/>
          <w:highlight w:val="none"/>
          <w:lang w:bidi="ar"/>
        </w:rPr>
        <w:t>评标活动遵循公平、公正、科学和择优的原则。</w:t>
      </w:r>
    </w:p>
    <w:p w14:paraId="50D45438">
      <w:pPr>
        <w:pStyle w:val="5"/>
        <w:widowControl/>
        <w:spacing w:before="0" w:after="0" w:line="300" w:lineRule="exact"/>
        <w:rPr>
          <w:rFonts w:ascii="宋体" w:hAnsi="宋体"/>
          <w:color w:val="auto"/>
          <w:kern w:val="2"/>
          <w:sz w:val="21"/>
          <w:szCs w:val="21"/>
          <w:highlight w:val="none"/>
        </w:rPr>
      </w:pPr>
      <w:bookmarkStart w:id="562" w:name="_Toc40780289"/>
      <w:bookmarkEnd w:id="562"/>
      <w:bookmarkStart w:id="563" w:name="_Toc287607783"/>
      <w:bookmarkEnd w:id="563"/>
      <w:bookmarkStart w:id="564" w:name="_Toc200513163"/>
      <w:bookmarkEnd w:id="564"/>
      <w:bookmarkStart w:id="565" w:name="_Toc40455680"/>
      <w:bookmarkEnd w:id="565"/>
      <w:bookmarkStart w:id="566" w:name="_Toc277082589"/>
      <w:bookmarkEnd w:id="566"/>
      <w:bookmarkStart w:id="567" w:name="_Toc40455307"/>
      <w:bookmarkEnd w:id="567"/>
      <w:bookmarkStart w:id="568" w:name="_Toc4661463"/>
      <w:bookmarkEnd w:id="568"/>
      <w:bookmarkStart w:id="569" w:name="_Toc4661705"/>
      <w:bookmarkEnd w:id="569"/>
      <w:bookmarkStart w:id="570" w:name="_Toc26101"/>
      <w:bookmarkEnd w:id="570"/>
      <w:bookmarkStart w:id="571" w:name="_Toc224103354"/>
      <w:bookmarkEnd w:id="571"/>
      <w:bookmarkStart w:id="572" w:name="_Toc4661941"/>
      <w:bookmarkEnd w:id="572"/>
      <w:bookmarkStart w:id="573" w:name="_Toc4662177"/>
      <w:r>
        <w:rPr>
          <w:rFonts w:hint="eastAsia" w:ascii="宋体" w:hAnsi="宋体"/>
          <w:color w:val="auto"/>
          <w:kern w:val="2"/>
          <w:sz w:val="21"/>
          <w:szCs w:val="21"/>
          <w:highlight w:val="none"/>
        </w:rPr>
        <w:t xml:space="preserve">6.3  </w:t>
      </w:r>
      <w:bookmarkEnd w:id="573"/>
      <w:r>
        <w:rPr>
          <w:rFonts w:hint="eastAsia" w:ascii="宋体" w:hAnsi="宋体" w:cs="宋体"/>
          <w:color w:val="auto"/>
          <w:kern w:val="2"/>
          <w:sz w:val="21"/>
          <w:szCs w:val="21"/>
          <w:highlight w:val="none"/>
        </w:rPr>
        <w:t>评标</w:t>
      </w:r>
    </w:p>
    <w:p w14:paraId="6AAA8CB0">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6.3.1评标委员会按照第三章“评标办法”规定的方法、评审因素、标准和程序对比选响应文件进行评审。第三章“评标办法”没有规定的方法、评审因素和标准，不得作为评标依据。</w:t>
      </w:r>
    </w:p>
    <w:p w14:paraId="471C82B5">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6.3.2评标完成后，评标委员会应向采购人提交书面评标报告和中标候选人名单。评标委员会推荐中标候选人的人数见报价人须知前附表。</w:t>
      </w:r>
    </w:p>
    <w:p w14:paraId="272DA7CC">
      <w:pPr>
        <w:pStyle w:val="4"/>
        <w:widowControl/>
        <w:spacing w:before="0" w:after="0" w:line="300" w:lineRule="exact"/>
        <w:rPr>
          <w:rFonts w:ascii="宋体" w:hAnsi="宋体"/>
          <w:color w:val="auto"/>
          <w:sz w:val="21"/>
          <w:szCs w:val="21"/>
          <w:highlight w:val="none"/>
        </w:rPr>
      </w:pPr>
      <w:bookmarkStart w:id="574" w:name="_Toc4662178"/>
      <w:bookmarkEnd w:id="574"/>
      <w:bookmarkStart w:id="575" w:name="_Toc40455308"/>
      <w:bookmarkEnd w:id="575"/>
      <w:bookmarkStart w:id="576" w:name="_Toc20858"/>
      <w:bookmarkEnd w:id="576"/>
      <w:bookmarkStart w:id="577" w:name="_Toc4661706"/>
      <w:bookmarkEnd w:id="577"/>
      <w:bookmarkStart w:id="578" w:name="_Toc224103355"/>
      <w:bookmarkEnd w:id="578"/>
      <w:bookmarkStart w:id="579" w:name="_Toc28253"/>
      <w:bookmarkEnd w:id="579"/>
      <w:bookmarkStart w:id="580" w:name="_Toc277082590"/>
      <w:bookmarkEnd w:id="580"/>
      <w:bookmarkStart w:id="581" w:name="_Toc6853"/>
      <w:bookmarkEnd w:id="581"/>
      <w:bookmarkStart w:id="582" w:name="_Toc13060"/>
      <w:bookmarkEnd w:id="582"/>
      <w:bookmarkStart w:id="583" w:name="_Toc4661464"/>
      <w:bookmarkEnd w:id="583"/>
      <w:bookmarkStart w:id="584" w:name="_Toc287607784"/>
      <w:bookmarkEnd w:id="584"/>
      <w:bookmarkStart w:id="585" w:name="_Toc4661942"/>
      <w:bookmarkEnd w:id="585"/>
      <w:bookmarkStart w:id="586" w:name="_Toc200513164"/>
      <w:bookmarkEnd w:id="586"/>
      <w:bookmarkStart w:id="587" w:name="_Toc40455681"/>
      <w:bookmarkEnd w:id="587"/>
      <w:bookmarkStart w:id="588" w:name="_Toc2883"/>
      <w:bookmarkEnd w:id="588"/>
      <w:bookmarkStart w:id="589" w:name="_Toc28602"/>
      <w:bookmarkStart w:id="590" w:name="_Toc678157388"/>
      <w:r>
        <w:rPr>
          <w:rFonts w:hint="eastAsia" w:ascii="宋体" w:hAnsi="宋体"/>
          <w:color w:val="auto"/>
          <w:sz w:val="21"/>
          <w:szCs w:val="21"/>
          <w:highlight w:val="none"/>
        </w:rPr>
        <w:t xml:space="preserve">7.  </w:t>
      </w:r>
      <w:bookmarkEnd w:id="589"/>
      <w:r>
        <w:rPr>
          <w:rFonts w:hint="eastAsia" w:ascii="宋体" w:hAnsi="宋体" w:eastAsia="宋体" w:cs="宋体"/>
          <w:color w:val="auto"/>
          <w:kern w:val="2"/>
          <w:sz w:val="21"/>
          <w:szCs w:val="21"/>
          <w:highlight w:val="none"/>
        </w:rPr>
        <w:t>合同授予</w:t>
      </w:r>
      <w:bookmarkEnd w:id="590"/>
    </w:p>
    <w:p w14:paraId="36406F02">
      <w:pPr>
        <w:pStyle w:val="5"/>
        <w:widowControl/>
        <w:spacing w:before="0" w:after="0" w:line="300" w:lineRule="exact"/>
        <w:rPr>
          <w:rFonts w:ascii="宋体" w:hAnsi="宋体"/>
          <w:color w:val="auto"/>
          <w:kern w:val="2"/>
          <w:sz w:val="21"/>
          <w:szCs w:val="21"/>
          <w:highlight w:val="none"/>
        </w:rPr>
      </w:pPr>
      <w:bookmarkStart w:id="591" w:name="_Toc40455682"/>
      <w:bookmarkEnd w:id="591"/>
      <w:bookmarkStart w:id="592" w:name="_Toc4662179"/>
      <w:bookmarkEnd w:id="592"/>
      <w:bookmarkStart w:id="593" w:name="_Toc200513165"/>
      <w:bookmarkEnd w:id="593"/>
      <w:bookmarkStart w:id="594" w:name="_Toc40455309"/>
      <w:bookmarkEnd w:id="594"/>
      <w:bookmarkStart w:id="595" w:name="_Toc224103356"/>
      <w:bookmarkEnd w:id="595"/>
      <w:bookmarkStart w:id="596" w:name="_Toc287607785"/>
      <w:bookmarkEnd w:id="596"/>
      <w:bookmarkStart w:id="597" w:name="_Toc4661707"/>
      <w:bookmarkEnd w:id="597"/>
      <w:bookmarkStart w:id="598" w:name="_Toc4661943"/>
      <w:bookmarkEnd w:id="598"/>
      <w:bookmarkStart w:id="599" w:name="_Toc277082591"/>
      <w:bookmarkEnd w:id="599"/>
      <w:bookmarkStart w:id="600" w:name="_Toc4661465"/>
      <w:bookmarkEnd w:id="600"/>
      <w:bookmarkStart w:id="601" w:name="_Toc12458"/>
      <w:bookmarkEnd w:id="601"/>
      <w:bookmarkStart w:id="602" w:name="_Toc40780291"/>
      <w:r>
        <w:rPr>
          <w:rFonts w:hint="eastAsia" w:ascii="宋体" w:hAnsi="宋体"/>
          <w:color w:val="auto"/>
          <w:kern w:val="2"/>
          <w:sz w:val="21"/>
          <w:szCs w:val="21"/>
          <w:highlight w:val="none"/>
        </w:rPr>
        <w:t xml:space="preserve">7.1  </w:t>
      </w:r>
      <w:bookmarkEnd w:id="602"/>
      <w:r>
        <w:rPr>
          <w:rFonts w:hint="eastAsia" w:ascii="宋体" w:hAnsi="宋体" w:cs="宋体"/>
          <w:color w:val="auto"/>
          <w:kern w:val="2"/>
          <w:sz w:val="21"/>
          <w:szCs w:val="21"/>
          <w:highlight w:val="none"/>
        </w:rPr>
        <w:t>定标方式</w:t>
      </w:r>
    </w:p>
    <w:p w14:paraId="7EF22E3F">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除报价人须知前附表规定评标委员会直接确定中标人外，采购人依据评标委员会推荐的中标候选人中的第一名综合得分者为中标人，评标委员会推荐中标候选人的人数见报价人须知前附表。</w:t>
      </w:r>
    </w:p>
    <w:p w14:paraId="43501777">
      <w:pPr>
        <w:pStyle w:val="5"/>
        <w:widowControl/>
        <w:spacing w:before="0" w:after="0" w:line="300" w:lineRule="exact"/>
        <w:rPr>
          <w:rFonts w:ascii="宋体" w:hAnsi="宋体"/>
          <w:color w:val="auto"/>
          <w:kern w:val="2"/>
          <w:sz w:val="21"/>
          <w:szCs w:val="21"/>
          <w:highlight w:val="none"/>
        </w:rPr>
      </w:pPr>
      <w:bookmarkStart w:id="603" w:name="_Toc40455310"/>
      <w:bookmarkEnd w:id="603"/>
      <w:bookmarkStart w:id="604" w:name="_Toc4661708"/>
      <w:bookmarkEnd w:id="604"/>
      <w:bookmarkStart w:id="605" w:name="_Toc4661944"/>
      <w:bookmarkEnd w:id="605"/>
      <w:bookmarkStart w:id="606" w:name="_Toc200513166"/>
      <w:bookmarkEnd w:id="606"/>
      <w:bookmarkStart w:id="607" w:name="_Toc4661466"/>
      <w:bookmarkEnd w:id="607"/>
      <w:bookmarkStart w:id="608" w:name="_Toc287607786"/>
      <w:bookmarkEnd w:id="608"/>
      <w:bookmarkStart w:id="609" w:name="_Toc277082592"/>
      <w:bookmarkEnd w:id="609"/>
      <w:bookmarkStart w:id="610" w:name="_Toc32622"/>
      <w:bookmarkEnd w:id="610"/>
      <w:bookmarkStart w:id="611" w:name="_Toc4662180"/>
      <w:bookmarkEnd w:id="611"/>
      <w:bookmarkStart w:id="612" w:name="_Toc40780292"/>
      <w:bookmarkEnd w:id="612"/>
      <w:bookmarkStart w:id="613" w:name="_Toc40455683"/>
      <w:bookmarkEnd w:id="613"/>
      <w:bookmarkStart w:id="614" w:name="_Toc224103357"/>
      <w:r>
        <w:rPr>
          <w:rFonts w:hint="eastAsia" w:ascii="宋体" w:hAnsi="宋体"/>
          <w:color w:val="auto"/>
          <w:kern w:val="2"/>
          <w:sz w:val="21"/>
          <w:szCs w:val="21"/>
          <w:highlight w:val="none"/>
        </w:rPr>
        <w:t xml:space="preserve">7.2  </w:t>
      </w:r>
      <w:bookmarkEnd w:id="614"/>
      <w:r>
        <w:rPr>
          <w:rFonts w:hint="eastAsia" w:ascii="宋体" w:hAnsi="宋体" w:cs="宋体"/>
          <w:color w:val="auto"/>
          <w:kern w:val="2"/>
          <w:sz w:val="21"/>
          <w:szCs w:val="21"/>
          <w:highlight w:val="none"/>
        </w:rPr>
        <w:t>中标通知</w:t>
      </w:r>
    </w:p>
    <w:p w14:paraId="0BBB109E">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采购人以书面形式向中标人发出中标通知书，同时将中标结果通知未中标的报价人。</w:t>
      </w:r>
    </w:p>
    <w:p w14:paraId="72CED52B">
      <w:pPr>
        <w:pStyle w:val="5"/>
        <w:widowControl/>
        <w:spacing w:before="0" w:after="0" w:line="300" w:lineRule="exact"/>
        <w:rPr>
          <w:rFonts w:ascii="宋体" w:hAnsi="宋体"/>
          <w:color w:val="auto"/>
          <w:kern w:val="2"/>
          <w:sz w:val="21"/>
          <w:szCs w:val="21"/>
          <w:highlight w:val="none"/>
        </w:rPr>
      </w:pPr>
      <w:bookmarkStart w:id="615" w:name="_Toc4661467"/>
      <w:bookmarkEnd w:id="615"/>
      <w:bookmarkStart w:id="616" w:name="_Toc4661945"/>
      <w:bookmarkEnd w:id="616"/>
      <w:bookmarkStart w:id="617" w:name="_Toc6509"/>
      <w:bookmarkEnd w:id="617"/>
      <w:bookmarkStart w:id="618" w:name="_Toc224103358"/>
      <w:bookmarkEnd w:id="618"/>
      <w:bookmarkStart w:id="619" w:name="_Toc4661709"/>
      <w:bookmarkEnd w:id="619"/>
      <w:bookmarkStart w:id="620" w:name="_Toc40455311"/>
      <w:bookmarkEnd w:id="620"/>
      <w:bookmarkStart w:id="621" w:name="_Toc200513167"/>
      <w:bookmarkEnd w:id="621"/>
      <w:bookmarkStart w:id="622" w:name="_Toc40455684"/>
      <w:bookmarkEnd w:id="622"/>
      <w:bookmarkStart w:id="623" w:name="_Toc277082593"/>
      <w:bookmarkEnd w:id="623"/>
      <w:bookmarkStart w:id="624" w:name="_Toc40780293"/>
      <w:bookmarkEnd w:id="624"/>
      <w:bookmarkStart w:id="625" w:name="_Toc287607787"/>
      <w:bookmarkEnd w:id="625"/>
      <w:bookmarkStart w:id="626" w:name="_Toc4662181"/>
      <w:r>
        <w:rPr>
          <w:rFonts w:hint="eastAsia" w:ascii="宋体" w:hAnsi="宋体"/>
          <w:color w:val="auto"/>
          <w:kern w:val="2"/>
          <w:sz w:val="21"/>
          <w:szCs w:val="21"/>
          <w:highlight w:val="none"/>
        </w:rPr>
        <w:t xml:space="preserve">7.3  </w:t>
      </w:r>
      <w:bookmarkEnd w:id="626"/>
      <w:r>
        <w:rPr>
          <w:rFonts w:hint="eastAsia" w:ascii="宋体" w:hAnsi="宋体" w:cs="宋体"/>
          <w:color w:val="auto"/>
          <w:kern w:val="2"/>
          <w:sz w:val="21"/>
          <w:szCs w:val="21"/>
          <w:highlight w:val="none"/>
        </w:rPr>
        <w:t>履约担保</w:t>
      </w:r>
    </w:p>
    <w:p w14:paraId="304E59E5">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7.3.1  </w:t>
      </w:r>
      <w:r>
        <w:rPr>
          <w:rFonts w:hint="eastAsia" w:ascii="宋体" w:hAnsi="宋体" w:cs="宋体"/>
          <w:color w:val="auto"/>
          <w:kern w:val="0"/>
          <w:szCs w:val="21"/>
          <w:highlight w:val="none"/>
          <w:lang w:bidi="ar"/>
        </w:rPr>
        <w:t>在签订合同前，中标人应按报价人须知前附表规定的金额、担保形式和竞争性比选文件</w:t>
      </w:r>
      <w:r>
        <w:rPr>
          <w:rFonts w:hint="eastAsia" w:ascii="宋体" w:hAnsi="宋体" w:cs="Calibri"/>
          <w:color w:val="auto"/>
          <w:kern w:val="0"/>
          <w:szCs w:val="21"/>
          <w:highlight w:val="none"/>
          <w:lang w:bidi="ar"/>
        </w:rPr>
        <w:t xml:space="preserve"> </w:t>
      </w:r>
      <w:r>
        <w:rPr>
          <w:rFonts w:hint="eastAsia" w:ascii="宋体" w:hAnsi="宋体" w:cs="宋体"/>
          <w:color w:val="auto"/>
          <w:kern w:val="0"/>
          <w:szCs w:val="21"/>
          <w:highlight w:val="none"/>
          <w:lang w:bidi="ar"/>
        </w:rPr>
        <w:t>第</w:t>
      </w:r>
      <w:r>
        <w:rPr>
          <w:rFonts w:ascii="宋体" w:hAnsi="宋体" w:cs="宋体"/>
          <w:color w:val="auto"/>
          <w:kern w:val="0"/>
          <w:szCs w:val="21"/>
          <w:highlight w:val="none"/>
          <w:lang w:bidi="ar"/>
        </w:rPr>
        <w:t>八</w:t>
      </w:r>
      <w:r>
        <w:rPr>
          <w:rFonts w:hint="eastAsia" w:ascii="宋体" w:hAnsi="宋体" w:cs="宋体"/>
          <w:color w:val="auto"/>
          <w:kern w:val="0"/>
          <w:szCs w:val="21"/>
          <w:highlight w:val="none"/>
          <w:lang w:bidi="ar"/>
        </w:rPr>
        <w:t>章</w:t>
      </w:r>
      <w:r>
        <w:rPr>
          <w:rFonts w:hint="eastAsia" w:ascii="宋体" w:hAnsi="宋体" w:cs="MingLiU"/>
          <w:color w:val="auto"/>
          <w:kern w:val="0"/>
          <w:szCs w:val="21"/>
          <w:highlight w:val="none"/>
          <w:lang w:bidi="ar"/>
        </w:rPr>
        <w:t>“合同条款及格式”规定的履约担保格式向采购人提交履约担保。</w:t>
      </w:r>
    </w:p>
    <w:p w14:paraId="03E0F360">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7.3.2  </w:t>
      </w:r>
      <w:r>
        <w:rPr>
          <w:rFonts w:hint="eastAsia" w:ascii="宋体" w:hAnsi="宋体" w:cs="宋体"/>
          <w:color w:val="auto"/>
          <w:kern w:val="0"/>
          <w:szCs w:val="21"/>
          <w:highlight w:val="none"/>
          <w:lang w:bidi="ar"/>
        </w:rPr>
        <w:t>中标人不能按本章第</w:t>
      </w:r>
      <w:r>
        <w:rPr>
          <w:rFonts w:hint="eastAsia" w:ascii="宋体" w:hAnsi="宋体" w:cs="Calibri"/>
          <w:color w:val="auto"/>
          <w:kern w:val="0"/>
          <w:szCs w:val="21"/>
          <w:highlight w:val="none"/>
          <w:lang w:bidi="ar"/>
        </w:rPr>
        <w:t xml:space="preserve"> 7.3.1 </w:t>
      </w:r>
      <w:r>
        <w:rPr>
          <w:rFonts w:hint="eastAsia" w:ascii="宋体" w:hAnsi="宋体" w:cs="宋体"/>
          <w:color w:val="auto"/>
          <w:kern w:val="0"/>
          <w:szCs w:val="21"/>
          <w:highlight w:val="none"/>
          <w:lang w:bidi="ar"/>
        </w:rPr>
        <w:t>项要求提交履约担保的，视为放弃中标，其投标保证金不予退还，给采购人造成的损失超过投标保证金数额的，中标人还应当对超过部分予以赔偿。</w:t>
      </w:r>
    </w:p>
    <w:p w14:paraId="1C49D044">
      <w:pPr>
        <w:pStyle w:val="5"/>
        <w:widowControl/>
        <w:spacing w:before="0" w:after="0" w:line="300" w:lineRule="exact"/>
        <w:rPr>
          <w:rFonts w:ascii="宋体" w:hAnsi="宋体"/>
          <w:color w:val="auto"/>
          <w:kern w:val="2"/>
          <w:sz w:val="21"/>
          <w:szCs w:val="21"/>
          <w:highlight w:val="none"/>
        </w:rPr>
      </w:pPr>
      <w:bookmarkStart w:id="627" w:name="_Toc40455685"/>
      <w:bookmarkEnd w:id="627"/>
      <w:bookmarkStart w:id="628" w:name="_Toc4662182"/>
      <w:bookmarkEnd w:id="628"/>
      <w:bookmarkStart w:id="629" w:name="_Toc200513168"/>
      <w:bookmarkEnd w:id="629"/>
      <w:bookmarkStart w:id="630" w:name="_Toc4661468"/>
      <w:bookmarkEnd w:id="630"/>
      <w:bookmarkStart w:id="631" w:name="_Toc40455312"/>
      <w:bookmarkEnd w:id="631"/>
      <w:bookmarkStart w:id="632" w:name="_Toc4661946"/>
      <w:bookmarkEnd w:id="632"/>
      <w:bookmarkStart w:id="633" w:name="_Toc4661710"/>
      <w:bookmarkEnd w:id="633"/>
      <w:bookmarkStart w:id="634" w:name="_Toc224103359"/>
      <w:bookmarkEnd w:id="634"/>
      <w:bookmarkStart w:id="635" w:name="_Toc12031"/>
      <w:bookmarkEnd w:id="635"/>
      <w:bookmarkStart w:id="636" w:name="_Toc40780294"/>
      <w:bookmarkEnd w:id="636"/>
      <w:bookmarkStart w:id="637" w:name="_Toc277082594"/>
      <w:bookmarkEnd w:id="637"/>
      <w:bookmarkStart w:id="638" w:name="_Toc287607788"/>
      <w:r>
        <w:rPr>
          <w:rFonts w:hint="eastAsia" w:ascii="宋体" w:hAnsi="宋体"/>
          <w:color w:val="auto"/>
          <w:kern w:val="2"/>
          <w:sz w:val="21"/>
          <w:szCs w:val="21"/>
          <w:highlight w:val="none"/>
        </w:rPr>
        <w:t xml:space="preserve">7.4  </w:t>
      </w:r>
      <w:bookmarkEnd w:id="638"/>
      <w:r>
        <w:rPr>
          <w:rFonts w:hint="eastAsia" w:ascii="宋体" w:hAnsi="宋体" w:cs="宋体"/>
          <w:color w:val="auto"/>
          <w:kern w:val="2"/>
          <w:sz w:val="21"/>
          <w:szCs w:val="21"/>
          <w:highlight w:val="none"/>
        </w:rPr>
        <w:t>签订合同</w:t>
      </w:r>
    </w:p>
    <w:p w14:paraId="3774B139">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7.4.1 </w:t>
      </w:r>
      <w:r>
        <w:rPr>
          <w:rFonts w:hint="eastAsia" w:ascii="宋体" w:hAnsi="宋体" w:cs="宋体"/>
          <w:color w:val="auto"/>
          <w:kern w:val="0"/>
          <w:szCs w:val="21"/>
          <w:highlight w:val="none"/>
          <w:lang w:bidi="ar"/>
        </w:rPr>
        <w:t>采购人和中标人应当自中标通知书发出之日起</w:t>
      </w:r>
      <w:r>
        <w:rPr>
          <w:rFonts w:hint="eastAsia" w:ascii="宋体" w:hAnsi="宋体" w:cs="Calibri"/>
          <w:color w:val="auto"/>
          <w:kern w:val="0"/>
          <w:szCs w:val="21"/>
          <w:highlight w:val="none"/>
          <w:lang w:bidi="ar"/>
        </w:rPr>
        <w:t xml:space="preserve"> 28 </w:t>
      </w:r>
      <w:r>
        <w:rPr>
          <w:rFonts w:hint="eastAsia" w:ascii="宋体" w:hAnsi="宋体" w:cs="宋体"/>
          <w:color w:val="auto"/>
          <w:kern w:val="0"/>
          <w:szCs w:val="21"/>
          <w:highlight w:val="none"/>
          <w:lang w:bidi="ar"/>
        </w:rPr>
        <w:t>天内，根据竞争性比选文件和中标人的比选响应文件订立书面合同。中标人无正当理由拒签合同的，采购人取消其中标资格，其投标保证金不予退还；给采购人造成的损失超过投标保证金数额的，中标人还应当对超过部分予以赔偿。</w:t>
      </w:r>
    </w:p>
    <w:p w14:paraId="2F622386">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7.4.2  </w:t>
      </w:r>
      <w:r>
        <w:rPr>
          <w:rFonts w:hint="eastAsia" w:ascii="宋体" w:hAnsi="宋体" w:cs="宋体"/>
          <w:color w:val="auto"/>
          <w:kern w:val="0"/>
          <w:szCs w:val="21"/>
          <w:highlight w:val="none"/>
          <w:lang w:bidi="ar"/>
        </w:rPr>
        <w:t>发出中标通知书后，采购人无正当理由拒签合同的，采购人向中标人退还投标保证金；</w:t>
      </w:r>
    </w:p>
    <w:p w14:paraId="651C6366">
      <w:pPr>
        <w:autoSpaceDE w:val="0"/>
        <w:autoSpaceDN w:val="0"/>
        <w:adjustRightInd w:val="0"/>
        <w:spacing w:line="300" w:lineRule="exact"/>
        <w:jc w:val="left"/>
        <w:rPr>
          <w:rFonts w:ascii="宋体" w:hAnsi="宋体"/>
          <w:b/>
          <w:color w:val="auto"/>
          <w:szCs w:val="21"/>
          <w:highlight w:val="none"/>
        </w:rPr>
      </w:pPr>
      <w:bookmarkStart w:id="639" w:name="_Toc224103360"/>
      <w:bookmarkEnd w:id="639"/>
      <w:bookmarkStart w:id="640" w:name="_Toc40455686"/>
      <w:bookmarkEnd w:id="640"/>
      <w:bookmarkStart w:id="641" w:name="_Toc8265"/>
      <w:bookmarkEnd w:id="641"/>
      <w:bookmarkStart w:id="642" w:name="_Toc4662183"/>
      <w:bookmarkEnd w:id="642"/>
      <w:bookmarkStart w:id="643" w:name="_Toc4661469"/>
      <w:bookmarkEnd w:id="643"/>
      <w:bookmarkStart w:id="644" w:name="_Toc40455313"/>
      <w:bookmarkEnd w:id="644"/>
      <w:bookmarkStart w:id="645" w:name="_Toc4661711"/>
      <w:bookmarkEnd w:id="645"/>
      <w:bookmarkStart w:id="646" w:name="_Toc4661947"/>
      <w:bookmarkEnd w:id="646"/>
      <w:bookmarkStart w:id="647" w:name="_Toc200513169"/>
      <w:bookmarkEnd w:id="647"/>
      <w:bookmarkStart w:id="648" w:name="_Toc277082595"/>
      <w:bookmarkEnd w:id="648"/>
      <w:bookmarkStart w:id="649" w:name="_Toc287607789"/>
      <w:bookmarkEnd w:id="649"/>
      <w:bookmarkStart w:id="650" w:name="_Toc14976"/>
      <w:r>
        <w:rPr>
          <w:rFonts w:hint="eastAsia" w:ascii="宋体" w:hAnsi="宋体"/>
          <w:b/>
          <w:color w:val="auto"/>
          <w:szCs w:val="21"/>
          <w:highlight w:val="none"/>
          <w:lang w:bidi="ar"/>
        </w:rPr>
        <w:t xml:space="preserve">8.  </w:t>
      </w:r>
      <w:bookmarkEnd w:id="650"/>
      <w:bookmarkStart w:id="651" w:name="_Toc200513172"/>
      <w:bookmarkEnd w:id="651"/>
      <w:bookmarkStart w:id="652" w:name="_Toc40455689"/>
      <w:bookmarkEnd w:id="652"/>
      <w:bookmarkStart w:id="653" w:name="_Toc4661472"/>
      <w:bookmarkEnd w:id="653"/>
      <w:bookmarkStart w:id="654" w:name="_Toc287607792"/>
      <w:bookmarkEnd w:id="654"/>
      <w:bookmarkStart w:id="655" w:name="_Toc31835"/>
      <w:bookmarkEnd w:id="655"/>
      <w:bookmarkStart w:id="656" w:name="_Toc14831"/>
      <w:bookmarkEnd w:id="656"/>
      <w:bookmarkStart w:id="657" w:name="_Toc4662186"/>
      <w:bookmarkEnd w:id="657"/>
      <w:bookmarkStart w:id="658" w:name="_Toc4661950"/>
      <w:bookmarkEnd w:id="658"/>
      <w:bookmarkStart w:id="659" w:name="_Toc224103363"/>
      <w:bookmarkEnd w:id="659"/>
      <w:bookmarkStart w:id="660" w:name="_Toc277082598"/>
      <w:bookmarkEnd w:id="660"/>
      <w:bookmarkStart w:id="661" w:name="_Toc4661714"/>
      <w:bookmarkEnd w:id="661"/>
      <w:bookmarkStart w:id="662" w:name="_Toc40455316"/>
      <w:bookmarkEnd w:id="662"/>
      <w:r>
        <w:rPr>
          <w:rFonts w:hint="eastAsia" w:ascii="宋体" w:hAnsi="宋体"/>
          <w:b/>
          <w:color w:val="auto"/>
          <w:szCs w:val="21"/>
          <w:highlight w:val="none"/>
          <w:lang w:bidi="ar"/>
        </w:rPr>
        <w:t xml:space="preserve"> </w:t>
      </w:r>
      <w:r>
        <w:rPr>
          <w:rFonts w:hint="eastAsia" w:ascii="宋体" w:hAnsi="宋体" w:cs="宋体"/>
          <w:b/>
          <w:color w:val="auto"/>
          <w:szCs w:val="21"/>
          <w:highlight w:val="none"/>
          <w:lang w:bidi="ar"/>
        </w:rPr>
        <w:t>纪律和监督</w:t>
      </w:r>
    </w:p>
    <w:p w14:paraId="1426760F">
      <w:pPr>
        <w:pStyle w:val="5"/>
        <w:widowControl/>
        <w:spacing w:before="0" w:after="0" w:line="300" w:lineRule="exact"/>
        <w:rPr>
          <w:rFonts w:ascii="宋体" w:hAnsi="宋体"/>
          <w:color w:val="auto"/>
          <w:kern w:val="2"/>
          <w:sz w:val="21"/>
          <w:szCs w:val="21"/>
          <w:highlight w:val="none"/>
        </w:rPr>
      </w:pPr>
      <w:bookmarkStart w:id="663" w:name="_Toc287607793"/>
      <w:bookmarkEnd w:id="663"/>
      <w:bookmarkStart w:id="664" w:name="_Toc40455317"/>
      <w:bookmarkEnd w:id="664"/>
      <w:bookmarkStart w:id="665" w:name="_Toc4661473"/>
      <w:bookmarkEnd w:id="665"/>
      <w:bookmarkStart w:id="666" w:name="_Toc8515"/>
      <w:bookmarkEnd w:id="666"/>
      <w:bookmarkStart w:id="667" w:name="_Toc200513173"/>
      <w:bookmarkEnd w:id="667"/>
      <w:bookmarkStart w:id="668" w:name="_Toc224103364"/>
      <w:bookmarkEnd w:id="668"/>
      <w:bookmarkStart w:id="669" w:name="_Toc4662187"/>
      <w:bookmarkEnd w:id="669"/>
      <w:bookmarkStart w:id="670" w:name="_Toc40455690"/>
      <w:bookmarkEnd w:id="670"/>
      <w:bookmarkStart w:id="671" w:name="_Toc40780299"/>
      <w:bookmarkEnd w:id="671"/>
      <w:bookmarkStart w:id="672" w:name="_Toc4661715"/>
      <w:bookmarkEnd w:id="672"/>
      <w:bookmarkStart w:id="673" w:name="_Toc277082599"/>
      <w:bookmarkEnd w:id="673"/>
      <w:bookmarkStart w:id="674" w:name="_Toc4661951"/>
      <w:r>
        <w:rPr>
          <w:rFonts w:hint="eastAsia" w:ascii="宋体" w:hAnsi="宋体"/>
          <w:color w:val="auto"/>
          <w:kern w:val="2"/>
          <w:sz w:val="21"/>
          <w:szCs w:val="21"/>
          <w:highlight w:val="none"/>
        </w:rPr>
        <w:t>8</w:t>
      </w:r>
      <w:bookmarkEnd w:id="674"/>
      <w:r>
        <w:rPr>
          <w:rFonts w:hint="eastAsia" w:ascii="宋体" w:hAnsi="宋体"/>
          <w:color w:val="auto"/>
          <w:kern w:val="2"/>
          <w:sz w:val="21"/>
          <w:szCs w:val="21"/>
          <w:highlight w:val="none"/>
        </w:rPr>
        <w:t xml:space="preserve">.1  </w:t>
      </w:r>
      <w:r>
        <w:rPr>
          <w:rFonts w:hint="eastAsia" w:ascii="宋体" w:hAnsi="宋体" w:cs="宋体"/>
          <w:color w:val="auto"/>
          <w:kern w:val="2"/>
          <w:sz w:val="21"/>
          <w:szCs w:val="21"/>
          <w:highlight w:val="none"/>
        </w:rPr>
        <w:t>对采购人的纪律要求</w:t>
      </w:r>
    </w:p>
    <w:p w14:paraId="51D96A6C">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采购人不得泄漏竞争性比选投标活动中应当保密的情况和资料，不得与报价人串通损害国家利益、社会公共利益或者他人合法权益，</w:t>
      </w:r>
      <w:r>
        <w:rPr>
          <w:rFonts w:hint="eastAsia" w:ascii="宋体" w:hAnsi="宋体" w:cs="宋体"/>
          <w:color w:val="auto"/>
          <w:szCs w:val="21"/>
          <w:highlight w:val="none"/>
          <w:lang w:bidi="ar"/>
        </w:rPr>
        <w:t>禁止采购人与报价人串通投标。</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有下列情形之一的，属于采购人与报价人串通投标：</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（1）采购人在开标前开启比选响应文件并将有关信息泄露给其他报价人;</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（2）采购人直接或者间接向报价人泄露标底、评标委员会成员等信息；</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（3）采购人明示或者暗示报价人压低或者抬高投标报价；</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（4）采购人授意报价人撤换、修改比选响应文件；</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（5）采购人明示或者暗示报价人为特定报价人中标提供方便；</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（6）采购人与报价人为谋求特定报价人中标而采取的其他串通行为。</w:t>
      </w:r>
    </w:p>
    <w:p w14:paraId="53C74420">
      <w:pPr>
        <w:pStyle w:val="5"/>
        <w:widowControl/>
        <w:spacing w:before="0" w:after="0" w:line="300" w:lineRule="exact"/>
        <w:rPr>
          <w:rFonts w:ascii="宋体" w:hAnsi="宋体"/>
          <w:color w:val="auto"/>
          <w:kern w:val="2"/>
          <w:sz w:val="21"/>
          <w:szCs w:val="21"/>
          <w:highlight w:val="none"/>
        </w:rPr>
      </w:pPr>
      <w:bookmarkStart w:id="675" w:name="_Toc19536"/>
      <w:bookmarkEnd w:id="675"/>
      <w:bookmarkStart w:id="676" w:name="_Toc40455691"/>
      <w:bookmarkEnd w:id="676"/>
      <w:bookmarkStart w:id="677" w:name="_Toc287607794"/>
      <w:bookmarkEnd w:id="677"/>
      <w:bookmarkStart w:id="678" w:name="_Toc224103365"/>
      <w:bookmarkEnd w:id="678"/>
      <w:bookmarkStart w:id="679" w:name="_Toc4661952"/>
      <w:bookmarkEnd w:id="679"/>
      <w:bookmarkStart w:id="680" w:name="_Toc40780300"/>
      <w:bookmarkEnd w:id="680"/>
      <w:bookmarkStart w:id="681" w:name="_Toc40455318"/>
      <w:bookmarkEnd w:id="681"/>
      <w:bookmarkStart w:id="682" w:name="_Toc4662188"/>
      <w:bookmarkEnd w:id="682"/>
      <w:bookmarkStart w:id="683" w:name="_Toc4661716"/>
      <w:bookmarkEnd w:id="683"/>
      <w:bookmarkStart w:id="684" w:name="_Toc200513174"/>
      <w:bookmarkEnd w:id="684"/>
      <w:bookmarkStart w:id="685" w:name="_Toc4661474"/>
      <w:bookmarkEnd w:id="685"/>
      <w:bookmarkStart w:id="686" w:name="_Toc277082600"/>
      <w:r>
        <w:rPr>
          <w:rFonts w:hint="eastAsia" w:ascii="宋体" w:hAnsi="宋体"/>
          <w:color w:val="auto"/>
          <w:kern w:val="2"/>
          <w:sz w:val="21"/>
          <w:szCs w:val="21"/>
          <w:highlight w:val="none"/>
        </w:rPr>
        <w:t>8</w:t>
      </w:r>
      <w:bookmarkEnd w:id="686"/>
      <w:r>
        <w:rPr>
          <w:rFonts w:hint="eastAsia" w:ascii="宋体" w:hAnsi="宋体"/>
          <w:color w:val="auto"/>
          <w:kern w:val="2"/>
          <w:sz w:val="21"/>
          <w:szCs w:val="21"/>
          <w:highlight w:val="none"/>
        </w:rPr>
        <w:t xml:space="preserve">.2  </w:t>
      </w:r>
      <w:r>
        <w:rPr>
          <w:rFonts w:hint="eastAsia" w:ascii="宋体" w:hAnsi="宋体" w:cs="宋体"/>
          <w:color w:val="auto"/>
          <w:kern w:val="2"/>
          <w:sz w:val="21"/>
          <w:szCs w:val="21"/>
          <w:highlight w:val="none"/>
        </w:rPr>
        <w:t>对报价人的纪律要求</w:t>
      </w:r>
    </w:p>
    <w:p w14:paraId="10752D9D">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报价人不得相互串通投标或者与采购人串通投标，不得向采购人或者评标委员会成员行贿谋取中标，不得以他人名义投标或者以其他方式弄虚作假骗取中标；报价人不得以任何方式干扰、影响评标工作。</w:t>
      </w:r>
    </w:p>
    <w:p w14:paraId="01E7FC94">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8.2.1有下列情形之一的，属于报价人相互串通投标：</w:t>
      </w:r>
    </w:p>
    <w:p w14:paraId="5C2DBFF7">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1）报价人之间协商投标报价等比选响应文件的实质性内容；</w:t>
      </w:r>
    </w:p>
    <w:p w14:paraId="643CC931">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2）报价人之间约定中标人；</w:t>
      </w:r>
    </w:p>
    <w:p w14:paraId="5B2C67AE">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3）报价人之间约定部分报价人放弃投标或者中标；</w:t>
      </w:r>
    </w:p>
    <w:p w14:paraId="308CC9C1">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4）报价人之间为谋取中标或者排斥特定报价人而采取的其他联合行动。</w:t>
      </w:r>
    </w:p>
    <w:p w14:paraId="121AD726">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8.2.2有下列情形之一的，视为报价人相互串通投标：</w:t>
      </w:r>
    </w:p>
    <w:p w14:paraId="0AD2D926">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1）不同报价人的比选响应文件由同一单位或者个人编制；</w:t>
      </w:r>
    </w:p>
    <w:p w14:paraId="63D92F10">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2）不同报价人委托同一单位或者个人办理投标事宜；</w:t>
      </w:r>
    </w:p>
    <w:p w14:paraId="5F218F6F">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3）不同报价人的比选响应文件载明的项目管理成员为同一人；</w:t>
      </w:r>
    </w:p>
    <w:p w14:paraId="565329A0">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4）不同报价人的比选响应文件异常一致或者投标报价呈规律性差异；</w:t>
      </w:r>
    </w:p>
    <w:p w14:paraId="344D974B">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5）不同报价人的比选响应文件相互混装；</w:t>
      </w:r>
    </w:p>
    <w:p w14:paraId="551C5771">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6）不同报价人的投标保证金从同一单位或者个人的账户转出。</w:t>
      </w:r>
    </w:p>
    <w:p w14:paraId="0DA7D8C4">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8.2.3使用通过受让或者租借等方式获取的资格、资质证书投标的，属于以他人名义投标。</w:t>
      </w:r>
    </w:p>
    <w:p w14:paraId="15ED7B5D">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8.2.4报价人有下列情形之一的，属于以其他方式弄虚作假的行为：</w:t>
      </w:r>
    </w:p>
    <w:p w14:paraId="41D166B9">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1）使用伪造、变造的许可证件；</w:t>
      </w:r>
    </w:p>
    <w:p w14:paraId="575FC02A">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2）提供虚假的财务状况或者业绩；</w:t>
      </w:r>
    </w:p>
    <w:p w14:paraId="516D13A0">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3）提供虚假的项目负责人或者主要技术人员简历、劳动关系证明；</w:t>
      </w:r>
    </w:p>
    <w:p w14:paraId="12A9FC7B">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4）提供虚假的信用状况；</w:t>
      </w:r>
    </w:p>
    <w:p w14:paraId="32C1EE10">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5）其他弄虚作假的行为。</w:t>
      </w:r>
    </w:p>
    <w:p w14:paraId="6E097581">
      <w:pPr>
        <w:pStyle w:val="5"/>
        <w:widowControl/>
        <w:spacing w:before="0" w:after="0" w:line="300" w:lineRule="exact"/>
        <w:rPr>
          <w:rFonts w:ascii="宋体" w:hAnsi="宋体"/>
          <w:color w:val="auto"/>
          <w:kern w:val="2"/>
          <w:sz w:val="21"/>
          <w:szCs w:val="21"/>
          <w:highlight w:val="none"/>
        </w:rPr>
      </w:pPr>
      <w:bookmarkStart w:id="687" w:name="_Toc40780301"/>
      <w:bookmarkEnd w:id="687"/>
      <w:bookmarkStart w:id="688" w:name="_Toc224103366"/>
      <w:bookmarkEnd w:id="688"/>
      <w:bookmarkStart w:id="689" w:name="_Toc4661717"/>
      <w:bookmarkEnd w:id="689"/>
      <w:bookmarkStart w:id="690" w:name="_Toc277082601"/>
      <w:bookmarkEnd w:id="690"/>
      <w:bookmarkStart w:id="691" w:name="_Toc4662189"/>
      <w:bookmarkEnd w:id="691"/>
      <w:bookmarkStart w:id="692" w:name="_Toc40455319"/>
      <w:bookmarkEnd w:id="692"/>
      <w:bookmarkStart w:id="693" w:name="_Toc4661475"/>
      <w:bookmarkEnd w:id="693"/>
      <w:bookmarkStart w:id="694" w:name="_Toc287607795"/>
      <w:bookmarkEnd w:id="694"/>
      <w:bookmarkStart w:id="695" w:name="_Toc6459"/>
      <w:bookmarkEnd w:id="695"/>
      <w:bookmarkStart w:id="696" w:name="_Toc200513175"/>
      <w:bookmarkEnd w:id="696"/>
      <w:bookmarkStart w:id="697" w:name="_Toc40455692"/>
      <w:bookmarkEnd w:id="697"/>
      <w:bookmarkStart w:id="698" w:name="_Toc4661953"/>
      <w:r>
        <w:rPr>
          <w:rFonts w:hint="eastAsia" w:ascii="宋体" w:hAnsi="宋体"/>
          <w:color w:val="auto"/>
          <w:kern w:val="2"/>
          <w:sz w:val="21"/>
          <w:szCs w:val="21"/>
          <w:highlight w:val="none"/>
        </w:rPr>
        <w:t>8</w:t>
      </w:r>
      <w:bookmarkEnd w:id="698"/>
      <w:r>
        <w:rPr>
          <w:rFonts w:hint="eastAsia" w:ascii="宋体" w:hAnsi="宋体"/>
          <w:color w:val="auto"/>
          <w:kern w:val="2"/>
          <w:sz w:val="21"/>
          <w:szCs w:val="21"/>
          <w:highlight w:val="none"/>
        </w:rPr>
        <w:t xml:space="preserve">.3  </w:t>
      </w:r>
      <w:r>
        <w:rPr>
          <w:rFonts w:hint="eastAsia" w:ascii="宋体" w:hAnsi="宋体" w:cs="宋体"/>
          <w:color w:val="auto"/>
          <w:kern w:val="2"/>
          <w:sz w:val="21"/>
          <w:szCs w:val="21"/>
          <w:highlight w:val="none"/>
        </w:rPr>
        <w:t>对评标委员会成员的纪律要求</w:t>
      </w:r>
    </w:p>
    <w:p w14:paraId="30FD21CA">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评标委员会成员不得收受他人的财物或者其他好处，不得向他人透漏对比选响应文件的评审和比较、中标候选人的推荐情况以及评标有关的其他情况。在评标活动中，评标委员会成员不得擅离职守，影响评标程序正常进行，不得使用第三章</w:t>
      </w:r>
      <w:r>
        <w:rPr>
          <w:rFonts w:hint="eastAsia" w:ascii="宋体" w:hAnsi="宋体" w:cs="MingLiU"/>
          <w:color w:val="auto"/>
          <w:kern w:val="0"/>
          <w:szCs w:val="21"/>
          <w:highlight w:val="none"/>
          <w:lang w:bidi="ar"/>
        </w:rPr>
        <w:t>“评标办法”没有规定的评审因素和标准进行评标。</w:t>
      </w:r>
    </w:p>
    <w:p w14:paraId="374CF0F2">
      <w:pPr>
        <w:pStyle w:val="5"/>
        <w:widowControl/>
        <w:spacing w:before="0" w:after="0" w:line="300" w:lineRule="exact"/>
        <w:rPr>
          <w:rFonts w:ascii="宋体" w:hAnsi="宋体"/>
          <w:color w:val="auto"/>
          <w:kern w:val="2"/>
          <w:sz w:val="21"/>
          <w:szCs w:val="21"/>
          <w:highlight w:val="none"/>
        </w:rPr>
      </w:pPr>
      <w:bookmarkStart w:id="699" w:name="_Toc4662190"/>
      <w:bookmarkEnd w:id="699"/>
      <w:bookmarkStart w:id="700" w:name="_Toc224103367"/>
      <w:bookmarkEnd w:id="700"/>
      <w:bookmarkStart w:id="701" w:name="_Toc4661476"/>
      <w:bookmarkEnd w:id="701"/>
      <w:bookmarkStart w:id="702" w:name="_Toc40455693"/>
      <w:bookmarkEnd w:id="702"/>
      <w:bookmarkStart w:id="703" w:name="_Toc287607796"/>
      <w:bookmarkEnd w:id="703"/>
      <w:bookmarkStart w:id="704" w:name="_Toc200513176"/>
      <w:bookmarkEnd w:id="704"/>
      <w:bookmarkStart w:id="705" w:name="_Toc13495"/>
      <w:bookmarkEnd w:id="705"/>
      <w:bookmarkStart w:id="706" w:name="_Toc277082602"/>
      <w:bookmarkEnd w:id="706"/>
      <w:bookmarkStart w:id="707" w:name="_Toc40780302"/>
      <w:bookmarkEnd w:id="707"/>
      <w:bookmarkStart w:id="708" w:name="_Toc40455320"/>
      <w:bookmarkEnd w:id="708"/>
      <w:bookmarkStart w:id="709" w:name="_Toc4661954"/>
      <w:bookmarkEnd w:id="709"/>
      <w:bookmarkStart w:id="710" w:name="_Toc4661718"/>
      <w:r>
        <w:rPr>
          <w:rFonts w:hint="eastAsia" w:ascii="宋体" w:hAnsi="宋体"/>
          <w:color w:val="auto"/>
          <w:kern w:val="2"/>
          <w:sz w:val="21"/>
          <w:szCs w:val="21"/>
          <w:highlight w:val="none"/>
        </w:rPr>
        <w:t>8</w:t>
      </w:r>
      <w:bookmarkEnd w:id="710"/>
      <w:r>
        <w:rPr>
          <w:rFonts w:hint="eastAsia" w:ascii="宋体" w:hAnsi="宋体"/>
          <w:color w:val="auto"/>
          <w:kern w:val="2"/>
          <w:sz w:val="21"/>
          <w:szCs w:val="21"/>
          <w:highlight w:val="none"/>
        </w:rPr>
        <w:t xml:space="preserve">.4  </w:t>
      </w:r>
      <w:r>
        <w:rPr>
          <w:rFonts w:hint="eastAsia" w:ascii="宋体" w:hAnsi="宋体" w:cs="宋体"/>
          <w:color w:val="auto"/>
          <w:kern w:val="2"/>
          <w:sz w:val="21"/>
          <w:szCs w:val="21"/>
          <w:highlight w:val="none"/>
        </w:rPr>
        <w:t>对与评标活动有关的工作人员的纪律要求</w:t>
      </w:r>
    </w:p>
    <w:p w14:paraId="35C5E20A">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与评标活动有关的工作人员不得收受他人的财物或者其他好处，不得向他人透漏对比选响应文件的评审和比较、中标候选人的推荐情况以及与评标有关的其他情况。在评标活动中，与评标活动有关的工作人员不得擅离职守，影响评标程序正常进行。</w:t>
      </w:r>
    </w:p>
    <w:p w14:paraId="138C778C">
      <w:pPr>
        <w:pStyle w:val="5"/>
        <w:widowControl/>
        <w:spacing w:before="0" w:after="0" w:line="300" w:lineRule="exact"/>
        <w:rPr>
          <w:rFonts w:ascii="宋体" w:hAnsi="宋体"/>
          <w:color w:val="auto"/>
          <w:kern w:val="2"/>
          <w:sz w:val="21"/>
          <w:szCs w:val="21"/>
          <w:highlight w:val="none"/>
        </w:rPr>
      </w:pPr>
      <w:bookmarkStart w:id="711" w:name="_Toc277082603"/>
      <w:bookmarkEnd w:id="711"/>
      <w:bookmarkStart w:id="712" w:name="_Toc224103368"/>
      <w:bookmarkEnd w:id="712"/>
      <w:bookmarkStart w:id="713" w:name="_Toc40455694"/>
      <w:bookmarkEnd w:id="713"/>
      <w:bookmarkStart w:id="714" w:name="_Toc287607797"/>
      <w:bookmarkEnd w:id="714"/>
      <w:bookmarkStart w:id="715" w:name="_Toc40780303"/>
      <w:bookmarkEnd w:id="715"/>
      <w:bookmarkStart w:id="716" w:name="_Toc4661477"/>
      <w:bookmarkEnd w:id="716"/>
      <w:bookmarkStart w:id="717" w:name="_Toc200513177"/>
      <w:bookmarkEnd w:id="717"/>
      <w:bookmarkStart w:id="718" w:name="_Toc40455321"/>
      <w:bookmarkEnd w:id="718"/>
      <w:bookmarkStart w:id="719" w:name="_Toc4662191"/>
      <w:bookmarkEnd w:id="719"/>
      <w:bookmarkStart w:id="720" w:name="_Toc22072"/>
      <w:bookmarkEnd w:id="720"/>
      <w:bookmarkStart w:id="721" w:name="_Toc4661719"/>
      <w:bookmarkEnd w:id="721"/>
      <w:bookmarkStart w:id="722" w:name="_Toc4661955"/>
      <w:r>
        <w:rPr>
          <w:rFonts w:hint="eastAsia" w:ascii="宋体" w:hAnsi="宋体"/>
          <w:color w:val="auto"/>
          <w:kern w:val="2"/>
          <w:sz w:val="21"/>
          <w:szCs w:val="21"/>
          <w:highlight w:val="none"/>
        </w:rPr>
        <w:t>8</w:t>
      </w:r>
      <w:bookmarkEnd w:id="722"/>
      <w:r>
        <w:rPr>
          <w:rFonts w:hint="eastAsia" w:ascii="宋体" w:hAnsi="宋体"/>
          <w:color w:val="auto"/>
          <w:kern w:val="2"/>
          <w:sz w:val="21"/>
          <w:szCs w:val="21"/>
          <w:highlight w:val="none"/>
        </w:rPr>
        <w:t xml:space="preserve">.5  </w:t>
      </w:r>
      <w:r>
        <w:rPr>
          <w:rFonts w:hint="eastAsia" w:ascii="宋体" w:hAnsi="宋体" w:cs="宋体"/>
          <w:color w:val="auto"/>
          <w:kern w:val="2"/>
          <w:sz w:val="21"/>
          <w:szCs w:val="21"/>
          <w:highlight w:val="none"/>
        </w:rPr>
        <w:t>投诉</w:t>
      </w:r>
    </w:p>
    <w:p w14:paraId="5410BE22">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报价人和其他利害关系人认为本次竞争性比选活动违反法律、法规和规章规定的，有权向有关监督部门投诉。具体见报价人须知前附表。</w:t>
      </w:r>
    </w:p>
    <w:p w14:paraId="7CBCB3F9">
      <w:pPr>
        <w:pStyle w:val="5"/>
        <w:widowControl/>
        <w:spacing w:before="0" w:after="0" w:line="300" w:lineRule="exact"/>
        <w:rPr>
          <w:rFonts w:ascii="宋体" w:hAnsi="宋体" w:cs="宋体"/>
          <w:color w:val="auto"/>
          <w:sz w:val="28"/>
          <w:szCs w:val="28"/>
          <w:highlight w:val="none"/>
        </w:rPr>
        <w:sectPr>
          <w:pgSz w:w="11906" w:h="16838"/>
          <w:pgMar w:top="1418" w:right="1134" w:bottom="1418" w:left="1134" w:header="851" w:footer="992" w:gutter="0"/>
          <w:pgBorders>
            <w:top w:val="none" w:sz="0" w:space="0"/>
            <w:left w:val="none" w:sz="0" w:space="0"/>
            <w:bottom w:val="none" w:sz="0" w:space="0"/>
            <w:right w:val="none" w:sz="0" w:space="0"/>
          </w:pgBorders>
          <w:pgNumType w:start="1"/>
          <w:cols w:space="720" w:num="1"/>
          <w:docGrid w:type="lines" w:linePitch="312" w:charSpace="0"/>
        </w:sectPr>
      </w:pPr>
      <w:bookmarkStart w:id="723" w:name="_Toc4661956"/>
      <w:bookmarkEnd w:id="723"/>
      <w:bookmarkStart w:id="724" w:name="_Toc4662192"/>
      <w:bookmarkEnd w:id="724"/>
      <w:bookmarkStart w:id="725" w:name="_Toc287607798"/>
      <w:bookmarkEnd w:id="725"/>
      <w:bookmarkStart w:id="726" w:name="_Toc4661720"/>
      <w:bookmarkEnd w:id="726"/>
      <w:bookmarkStart w:id="727" w:name="_Toc224103369"/>
      <w:bookmarkEnd w:id="727"/>
      <w:bookmarkStart w:id="728" w:name="_Toc277082604"/>
      <w:bookmarkEnd w:id="728"/>
      <w:bookmarkStart w:id="729" w:name="_Toc4661478"/>
      <w:bookmarkEnd w:id="729"/>
      <w:bookmarkStart w:id="730" w:name="_Toc40455695"/>
      <w:bookmarkEnd w:id="730"/>
      <w:bookmarkStart w:id="731" w:name="_Toc40455322"/>
      <w:bookmarkEnd w:id="731"/>
      <w:bookmarkStart w:id="732" w:name="_Toc26060"/>
      <w:bookmarkEnd w:id="732"/>
      <w:bookmarkStart w:id="733" w:name="_Toc287620737"/>
      <w:bookmarkEnd w:id="733"/>
      <w:bookmarkStart w:id="734" w:name="_Toc200513178"/>
      <w:r>
        <w:rPr>
          <w:rFonts w:hint="eastAsia" w:ascii="宋体" w:hAnsi="宋体"/>
          <w:color w:val="auto"/>
          <w:kern w:val="2"/>
          <w:sz w:val="21"/>
          <w:szCs w:val="21"/>
          <w:highlight w:val="none"/>
        </w:rPr>
        <w:t>9</w:t>
      </w:r>
      <w:bookmarkEnd w:id="734"/>
      <w:r>
        <w:rPr>
          <w:rFonts w:hint="eastAsia" w:ascii="宋体" w:hAnsi="宋体"/>
          <w:color w:val="auto"/>
          <w:kern w:val="2"/>
          <w:sz w:val="21"/>
          <w:szCs w:val="21"/>
          <w:highlight w:val="none"/>
        </w:rPr>
        <w:t>.需要补充的其他内容</w:t>
      </w:r>
    </w:p>
    <w:p w14:paraId="3F26D856">
      <w:pPr>
        <w:rPr>
          <w:rFonts w:ascii="黑体" w:hAnsi="宋体" w:cs="黑体"/>
          <w:color w:val="auto"/>
          <w:szCs w:val="21"/>
          <w:highlight w:val="none"/>
        </w:rPr>
      </w:pPr>
    </w:p>
    <w:bookmarkEnd w:id="134"/>
    <w:p w14:paraId="7A786FC7">
      <w:pPr>
        <w:pStyle w:val="4"/>
        <w:jc w:val="center"/>
        <w:rPr>
          <w:rFonts w:ascii="宋体" w:hAnsi="宋体" w:eastAsia="宋体" w:cs="宋体"/>
          <w:bCs w:val="0"/>
          <w:color w:val="auto"/>
          <w:sz w:val="28"/>
          <w:szCs w:val="28"/>
          <w:highlight w:val="none"/>
        </w:rPr>
      </w:pPr>
      <w:bookmarkStart w:id="735" w:name="_Toc11329222"/>
      <w:bookmarkStart w:id="736" w:name="_Toc11284"/>
      <w:bookmarkStart w:id="737" w:name="_Toc30198"/>
      <w:bookmarkStart w:id="738" w:name="_Toc17532"/>
      <w:bookmarkStart w:id="739" w:name="_Toc30300"/>
      <w:bookmarkStart w:id="740" w:name="_Toc32070"/>
      <w:bookmarkStart w:id="741" w:name="_Toc26404"/>
      <w:bookmarkStart w:id="742" w:name="OLE_LINK47"/>
      <w:r>
        <w:rPr>
          <w:rFonts w:hint="eastAsia" w:ascii="宋体" w:hAnsi="宋体" w:eastAsia="宋体" w:cs="宋体"/>
          <w:color w:val="auto"/>
          <w:sz w:val="28"/>
          <w:szCs w:val="28"/>
          <w:highlight w:val="none"/>
        </w:rPr>
        <w:t xml:space="preserve">附录1  </w:t>
      </w:r>
      <w:bookmarkEnd w:id="735"/>
      <w:bookmarkEnd w:id="736"/>
      <w:bookmarkEnd w:id="737"/>
      <w:bookmarkEnd w:id="738"/>
      <w:bookmarkStart w:id="743" w:name="_Toc12773"/>
      <w:bookmarkStart w:id="744" w:name="_Toc27096"/>
      <w:bookmarkStart w:id="745" w:name="_Toc25591"/>
      <w:bookmarkStart w:id="746" w:name="_Toc11329226"/>
      <w:r>
        <w:rPr>
          <w:rFonts w:hint="eastAsia" w:ascii="宋体" w:hAnsi="宋体" w:eastAsia="宋体" w:cs="宋体"/>
          <w:bCs w:val="0"/>
          <w:color w:val="auto"/>
          <w:sz w:val="28"/>
          <w:szCs w:val="28"/>
          <w:highlight w:val="none"/>
        </w:rPr>
        <w:t>报价人资格要求</w:t>
      </w:r>
      <w:bookmarkEnd w:id="739"/>
      <w:bookmarkEnd w:id="740"/>
      <w:bookmarkEnd w:id="741"/>
      <w:bookmarkEnd w:id="743"/>
      <w:bookmarkEnd w:id="744"/>
      <w:bookmarkEnd w:id="745"/>
      <w:bookmarkEnd w:id="746"/>
    </w:p>
    <w:bookmarkEnd w:id="742"/>
    <w:tbl>
      <w:tblPr>
        <w:tblStyle w:val="44"/>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69945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4E5FD1FF">
            <w:pPr>
              <w:spacing w:line="400" w:lineRule="exact"/>
              <w:jc w:val="center"/>
              <w:rPr>
                <w:rFonts w:ascii="宋体" w:hAnsi="宋体" w:cs="宋体"/>
                <w:color w:val="auto"/>
                <w:szCs w:val="21"/>
                <w:highlight w:val="none"/>
              </w:rPr>
            </w:pPr>
            <w:bookmarkStart w:id="747" w:name="_Toc387234996"/>
            <w:bookmarkStart w:id="748" w:name="_Toc388534043"/>
            <w:bookmarkStart w:id="749" w:name="OLE_LINK48"/>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2277021A">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78D2E09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7439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4" w:type="dxa"/>
            <w:tcBorders>
              <w:top w:val="single" w:color="auto" w:sz="4" w:space="0"/>
              <w:left w:val="single" w:color="auto" w:sz="4" w:space="0"/>
              <w:right w:val="single" w:color="auto" w:sz="4" w:space="0"/>
            </w:tcBorders>
            <w:vAlign w:val="center"/>
          </w:tcPr>
          <w:p w14:paraId="5374503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right w:val="single" w:color="auto" w:sz="4" w:space="0"/>
            </w:tcBorders>
            <w:vAlign w:val="center"/>
          </w:tcPr>
          <w:p w14:paraId="71CFC0F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79591BC5">
            <w:pPr>
              <w:numPr>
                <w:ilvl w:val="0"/>
                <w:numId w:val="7"/>
              </w:numPr>
              <w:spacing w:line="400" w:lineRule="exact"/>
              <w:ind w:firstLine="420" w:firstLineChars="200"/>
              <w:rPr>
                <w:color w:val="auto"/>
                <w:highlight w:val="none"/>
              </w:rPr>
            </w:pPr>
            <w:r>
              <w:rPr>
                <w:rFonts w:hint="eastAsia"/>
                <w:color w:val="auto"/>
                <w:highlight w:val="none"/>
              </w:rPr>
              <w:t>报价人具有独立法人资格及有效的营业执照。</w:t>
            </w:r>
          </w:p>
        </w:tc>
      </w:tr>
      <w:tr w14:paraId="0276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664" w:type="dxa"/>
            <w:tcBorders>
              <w:top w:val="single" w:color="auto" w:sz="4" w:space="0"/>
              <w:left w:val="single" w:color="auto" w:sz="4" w:space="0"/>
              <w:bottom w:val="single" w:color="auto" w:sz="4" w:space="0"/>
              <w:right w:val="single" w:color="auto" w:sz="4" w:space="0"/>
            </w:tcBorders>
            <w:vAlign w:val="center"/>
          </w:tcPr>
          <w:p w14:paraId="5332FA2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465" w:type="dxa"/>
            <w:tcBorders>
              <w:top w:val="single" w:color="auto" w:sz="4" w:space="0"/>
              <w:left w:val="single" w:color="auto" w:sz="4" w:space="0"/>
              <w:bottom w:val="single" w:color="auto" w:sz="4" w:space="0"/>
              <w:right w:val="single" w:color="auto" w:sz="4" w:space="0"/>
            </w:tcBorders>
            <w:vAlign w:val="center"/>
          </w:tcPr>
          <w:p w14:paraId="39E5E7EF">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5475FFEE">
            <w:pPr>
              <w:spacing w:line="400" w:lineRule="exact"/>
              <w:ind w:firstLine="420" w:firstLineChars="200"/>
              <w:rPr>
                <w:color w:val="auto"/>
                <w:highlight w:val="none"/>
              </w:rPr>
            </w:pPr>
            <w:r>
              <w:rPr>
                <w:rFonts w:hint="eastAsia"/>
                <w:color w:val="auto"/>
                <w:highlight w:val="none"/>
              </w:rPr>
              <w:t>1、报价人在2022年1月1日至报价截止日期（以合同签订时间为准）至少独立完成一项合同金额不低于20万元的中国境内企业资质办理咨询服务合作案例（</w:t>
            </w:r>
            <w:r>
              <w:rPr>
                <w:rFonts w:hint="eastAsia"/>
                <w:color w:val="auto"/>
                <w:highlight w:val="none"/>
                <w:lang w:val="en-US" w:eastAsia="zh-CN"/>
              </w:rPr>
              <w:t>需</w:t>
            </w:r>
            <w:r>
              <w:rPr>
                <w:rFonts w:hint="eastAsia"/>
                <w:color w:val="auto"/>
                <w:highlight w:val="none"/>
              </w:rPr>
              <w:t>提供官网证书查询信息截图）。</w:t>
            </w:r>
          </w:p>
          <w:p w14:paraId="628AC2E0">
            <w:pPr>
              <w:spacing w:line="400" w:lineRule="exact"/>
              <w:ind w:firstLine="420" w:firstLineChars="200"/>
              <w:rPr>
                <w:color w:val="auto"/>
                <w:highlight w:val="none"/>
              </w:rPr>
            </w:pPr>
            <w:r>
              <w:rPr>
                <w:rFonts w:hint="eastAsia" w:ascii="宋体" w:hAnsi="宋体" w:eastAsia="宋体" w:cs="宋体"/>
                <w:color w:val="auto"/>
                <w:szCs w:val="21"/>
                <w:highlight w:val="none"/>
                <w:shd w:val="clear" w:color="auto" w:fill="FFFFFF"/>
              </w:rPr>
              <w:t>注：</w:t>
            </w:r>
            <w:r>
              <w:rPr>
                <w:rFonts w:hint="eastAsia" w:ascii="宋体" w:hAnsi="宋体" w:eastAsia="宋体" w:cs="宋体"/>
                <w:color w:val="auto"/>
                <w:szCs w:val="21"/>
                <w:highlight w:val="none"/>
                <w:shd w:val="clear" w:color="auto" w:fill="FFFFFF"/>
                <w:lang w:val="en-US" w:eastAsia="zh-CN"/>
              </w:rPr>
              <w:t>业绩证明资料提供合同复印</w:t>
            </w:r>
            <w:r>
              <w:rPr>
                <w:rFonts w:hint="eastAsia" w:ascii="宋体" w:hAnsi="宋体" w:eastAsia="宋体" w:cs="宋体"/>
                <w:b w:val="0"/>
                <w:bCs w:val="0"/>
                <w:color w:val="auto"/>
                <w:kern w:val="2"/>
                <w:sz w:val="21"/>
                <w:szCs w:val="21"/>
                <w:highlight w:val="none"/>
                <w:shd w:val="clear" w:color="auto" w:fill="FFFFFF"/>
                <w:lang w:val="en-US" w:eastAsia="zh-CN" w:bidi="ar-SA"/>
              </w:rPr>
              <w:t>件或关键页（需清晰反映上述业绩要求的主要内容，包括但不限于合同签订时间、合同金额及合同内容），并盖单位公章。若合同中无法体现上述内容的，则还需出具加盖业主公章的业主证明材料。</w:t>
            </w:r>
            <w:r>
              <w:rPr>
                <w:rFonts w:hint="eastAsia" w:ascii="宋体" w:hAnsi="宋体" w:eastAsia="宋体" w:cs="宋体"/>
                <w:color w:val="auto"/>
                <w:szCs w:val="21"/>
                <w:highlight w:val="none"/>
                <w:shd w:val="clear" w:color="auto" w:fill="FFFFFF"/>
              </w:rPr>
              <w:t>不满足上述业绩要求的业绩视为无效。</w:t>
            </w:r>
          </w:p>
        </w:tc>
      </w:tr>
      <w:tr w14:paraId="3E76E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715E9FC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465" w:type="dxa"/>
            <w:tcBorders>
              <w:top w:val="single" w:color="auto" w:sz="4" w:space="0"/>
              <w:left w:val="single" w:color="auto" w:sz="4" w:space="0"/>
              <w:bottom w:val="single" w:color="auto" w:sz="4" w:space="0"/>
              <w:right w:val="single" w:color="auto" w:sz="4" w:space="0"/>
            </w:tcBorders>
            <w:vAlign w:val="center"/>
          </w:tcPr>
          <w:p w14:paraId="2A35024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4513C5A">
            <w:pPr>
              <w:wordWrap w:val="0"/>
              <w:spacing w:line="400" w:lineRule="exact"/>
              <w:ind w:firstLine="420" w:firstLineChars="200"/>
              <w:rPr>
                <w:color w:val="auto"/>
                <w:highlight w:val="none"/>
              </w:rPr>
            </w:pPr>
            <w:r>
              <w:rPr>
                <w:rFonts w:hint="eastAsia"/>
                <w:color w:val="auto"/>
                <w:highlight w:val="none"/>
              </w:rPr>
              <w:t>1、在国家企业信用信息公示系统（http://www.gsxt.gov.cn/）中未被列入严重违法失信企业名单（黑名单）信息；在“信用中国”网站（http://www.creditchina.gov.cn/）中未被列入严重失信主体名单。</w:t>
            </w:r>
          </w:p>
          <w:p w14:paraId="5C7DA9A0">
            <w:pPr>
              <w:wordWrap w:val="0"/>
              <w:spacing w:line="400" w:lineRule="exact"/>
              <w:ind w:firstLine="420" w:firstLineChars="200"/>
              <w:rPr>
                <w:color w:val="auto"/>
                <w:highlight w:val="none"/>
              </w:rPr>
            </w:pPr>
            <w:r>
              <w:rPr>
                <w:rFonts w:hint="eastAsia"/>
                <w:color w:val="auto"/>
                <w:highlight w:val="none"/>
              </w:rPr>
              <w:t>注：信誉要求报价人自行通过上述网站进行查询，经查询存在相应记录的，应回避本次比选；查询后无相应记录的，需按竞争性比选响应文件中承诺格式进行承诺并盖单位</w:t>
            </w:r>
            <w:r>
              <w:rPr>
                <w:rFonts w:hint="eastAsia" w:hAnsi="宋体"/>
                <w:color w:val="auto"/>
                <w:szCs w:val="21"/>
                <w:highlight w:val="none"/>
              </w:rPr>
              <w:t>公章</w:t>
            </w:r>
            <w:r>
              <w:rPr>
                <w:rFonts w:hint="eastAsia"/>
                <w:color w:val="auto"/>
                <w:highlight w:val="none"/>
              </w:rPr>
              <w:t>。采购人保留对报价人承诺真实性进行查询的权利，如果发现报价人承诺不实的，将取消其中标资格，采购人可以按照评审报告中标结果的排序，依次递补其他报价人为中标候选人或中标人，也可重新采购。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27EE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1474BFA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4</w:t>
            </w:r>
          </w:p>
        </w:tc>
        <w:tc>
          <w:tcPr>
            <w:tcW w:w="1465" w:type="dxa"/>
            <w:tcBorders>
              <w:top w:val="single" w:color="auto" w:sz="4" w:space="0"/>
              <w:left w:val="single" w:color="auto" w:sz="4" w:space="0"/>
              <w:bottom w:val="single" w:color="auto" w:sz="4" w:space="0"/>
              <w:right w:val="single" w:color="auto" w:sz="4" w:space="0"/>
            </w:tcBorders>
            <w:vAlign w:val="center"/>
          </w:tcPr>
          <w:p w14:paraId="0C5A08D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3772EAA1">
            <w:pPr>
              <w:wordWrap w:val="0"/>
              <w:spacing w:line="400" w:lineRule="exact"/>
              <w:rPr>
                <w:rFonts w:hint="eastAsia"/>
                <w:color w:val="auto"/>
                <w:highlight w:val="none"/>
              </w:rPr>
            </w:pPr>
            <w:r>
              <w:rPr>
                <w:rFonts w:hint="eastAsia"/>
                <w:color w:val="auto"/>
                <w:highlight w:val="none"/>
              </w:rPr>
              <w:t xml:space="preserve">    1、项目负责人1人。</w:t>
            </w:r>
          </w:p>
          <w:p w14:paraId="587A0F30">
            <w:pPr>
              <w:wordWrap w:val="0"/>
              <w:spacing w:line="400" w:lineRule="exact"/>
              <w:rPr>
                <w:color w:val="auto"/>
                <w:highlight w:val="none"/>
              </w:rPr>
            </w:pPr>
            <w:r>
              <w:rPr>
                <w:rFonts w:hint="eastAsia"/>
                <w:color w:val="auto"/>
                <w:highlight w:val="none"/>
              </w:rPr>
              <w:t xml:space="preserve">    2、项目团队</w:t>
            </w:r>
            <w:r>
              <w:rPr>
                <w:rFonts w:hint="eastAsia"/>
                <w:color w:val="auto"/>
                <w:highlight w:val="none"/>
                <w:lang w:val="en-US" w:eastAsia="zh-CN"/>
              </w:rPr>
              <w:t>其他人员</w:t>
            </w:r>
            <w:r>
              <w:rPr>
                <w:rFonts w:hint="eastAsia"/>
                <w:color w:val="auto"/>
                <w:highlight w:val="none"/>
              </w:rPr>
              <w:t>至少</w:t>
            </w:r>
            <w:r>
              <w:rPr>
                <w:rFonts w:hint="eastAsia"/>
                <w:color w:val="auto"/>
                <w:highlight w:val="none"/>
                <w:lang w:val="en-US" w:eastAsia="zh-CN"/>
              </w:rPr>
              <w:t>3</w:t>
            </w:r>
            <w:r>
              <w:rPr>
                <w:rFonts w:hint="eastAsia"/>
                <w:color w:val="auto"/>
                <w:highlight w:val="none"/>
              </w:rPr>
              <w:t>名。</w:t>
            </w:r>
          </w:p>
          <w:p w14:paraId="3EEEE2F4">
            <w:pPr>
              <w:wordWrap w:val="0"/>
              <w:spacing w:line="400" w:lineRule="exact"/>
              <w:ind w:firstLine="420" w:firstLineChars="200"/>
              <w:rPr>
                <w:rFonts w:ascii="宋体" w:hAnsi="宋体" w:cs="宋体"/>
                <w:color w:val="auto"/>
                <w:szCs w:val="21"/>
                <w:highlight w:val="none"/>
                <w:lang w:bidi="ar"/>
              </w:rPr>
            </w:pPr>
            <w:r>
              <w:rPr>
                <w:rFonts w:hint="eastAsia"/>
                <w:color w:val="auto"/>
                <w:highlight w:val="none"/>
              </w:rPr>
              <w:t>注：人员名单（表格形式），项目负责人需提供身份证、资格证书复印件和由社保局出具的报价人为</w:t>
            </w:r>
            <w:r>
              <w:rPr>
                <w:rFonts w:hint="eastAsia"/>
                <w:color w:val="auto"/>
                <w:highlight w:val="none"/>
                <w:lang w:val="en-US" w:eastAsia="zh-CN"/>
              </w:rPr>
              <w:t>其</w:t>
            </w:r>
            <w:r>
              <w:rPr>
                <w:rFonts w:hint="eastAsia"/>
                <w:color w:val="auto"/>
                <w:highlight w:val="none"/>
              </w:rPr>
              <w:t>缴纳的</w:t>
            </w:r>
            <w:r>
              <w:rPr>
                <w:rFonts w:hint="eastAsia"/>
                <w:color w:val="auto"/>
                <w:highlight w:val="none"/>
                <w:lang w:val="en-US" w:eastAsia="zh-CN"/>
              </w:rPr>
              <w:t>最近连续</w:t>
            </w:r>
            <w:r>
              <w:rPr>
                <w:rFonts w:hint="eastAsia"/>
                <w:color w:val="auto"/>
                <w:highlight w:val="none"/>
              </w:rPr>
              <w:t>3个月</w:t>
            </w:r>
            <w:r>
              <w:rPr>
                <w:rFonts w:hint="eastAsia" w:ascii="宋体" w:hAnsi="宋体" w:cs="宋体"/>
                <w:color w:val="auto"/>
                <w:szCs w:val="21"/>
                <w:highlight w:val="none"/>
                <w:lang w:bidi="ar"/>
              </w:rPr>
              <w:t>（202</w:t>
            </w:r>
            <w:r>
              <w:rPr>
                <w:rFonts w:hint="eastAsia" w:ascii="宋体" w:hAnsi="宋体" w:cs="宋体"/>
                <w:color w:val="auto"/>
                <w:szCs w:val="21"/>
                <w:highlight w:val="none"/>
                <w:lang w:val="en-US" w:eastAsia="zh-CN" w:bidi="ar"/>
              </w:rPr>
              <w:t>5</w:t>
            </w:r>
            <w:r>
              <w:rPr>
                <w:rFonts w:hint="eastAsia" w:ascii="宋体" w:hAnsi="宋体" w:cs="宋体"/>
                <w:color w:val="auto"/>
                <w:szCs w:val="21"/>
                <w:highlight w:val="none"/>
                <w:lang w:bidi="ar"/>
              </w:rPr>
              <w:t>年</w:t>
            </w:r>
            <w:r>
              <w:rPr>
                <w:rFonts w:hint="eastAsia" w:ascii="宋体" w:hAnsi="宋体" w:cs="宋体"/>
                <w:color w:val="auto"/>
                <w:szCs w:val="21"/>
                <w:highlight w:val="none"/>
                <w:lang w:val="en-US" w:eastAsia="zh-CN" w:bidi="ar"/>
              </w:rPr>
              <w:t>01</w:t>
            </w:r>
            <w:r>
              <w:rPr>
                <w:rFonts w:hint="eastAsia" w:ascii="宋体" w:hAnsi="宋体" w:cs="宋体"/>
                <w:color w:val="auto"/>
                <w:szCs w:val="21"/>
                <w:highlight w:val="none"/>
                <w:lang w:bidi="ar"/>
              </w:rPr>
              <w:t>月-202</w:t>
            </w:r>
            <w:r>
              <w:rPr>
                <w:rFonts w:hint="eastAsia" w:ascii="宋体" w:hAnsi="宋体" w:cs="宋体"/>
                <w:color w:val="auto"/>
                <w:szCs w:val="21"/>
                <w:highlight w:val="none"/>
                <w:lang w:val="en-US" w:eastAsia="zh-CN" w:bidi="ar"/>
              </w:rPr>
              <w:t>5</w:t>
            </w:r>
            <w:r>
              <w:rPr>
                <w:rFonts w:hint="eastAsia" w:ascii="宋体" w:hAnsi="宋体" w:cs="宋体"/>
                <w:color w:val="auto"/>
                <w:szCs w:val="21"/>
                <w:highlight w:val="none"/>
                <w:lang w:bidi="ar"/>
              </w:rPr>
              <w:t>年</w:t>
            </w:r>
            <w:r>
              <w:rPr>
                <w:rFonts w:hint="eastAsia" w:ascii="宋体" w:hAnsi="宋体" w:cs="宋体"/>
                <w:color w:val="auto"/>
                <w:szCs w:val="21"/>
                <w:highlight w:val="none"/>
                <w:lang w:val="en-US" w:eastAsia="zh-CN" w:bidi="ar"/>
              </w:rPr>
              <w:t>03</w:t>
            </w:r>
            <w:r>
              <w:rPr>
                <w:rFonts w:hint="eastAsia" w:ascii="宋体" w:hAnsi="宋体" w:cs="宋体"/>
                <w:color w:val="auto"/>
                <w:szCs w:val="21"/>
                <w:highlight w:val="none"/>
                <w:lang w:bidi="ar"/>
              </w:rPr>
              <w:t>月）</w:t>
            </w:r>
            <w:r>
              <w:rPr>
                <w:rFonts w:hint="eastAsia"/>
                <w:color w:val="auto"/>
                <w:highlight w:val="none"/>
              </w:rPr>
              <w:t>社保查询证明资料（带有社保部门公章或社保部门的有效电子印章）</w:t>
            </w:r>
            <w:r>
              <w:rPr>
                <w:rFonts w:hint="eastAsia" w:ascii="宋体" w:hAnsi="宋体" w:cs="宋体"/>
                <w:color w:val="auto"/>
                <w:szCs w:val="21"/>
                <w:highlight w:val="none"/>
                <w:lang w:bidi="ar"/>
              </w:rPr>
              <w:t>，</w:t>
            </w:r>
            <w:r>
              <w:rPr>
                <w:rFonts w:hint="eastAsia"/>
                <w:color w:val="auto"/>
                <w:highlight w:val="none"/>
              </w:rPr>
              <w:t>项目团队</w:t>
            </w:r>
            <w:r>
              <w:rPr>
                <w:rFonts w:hint="eastAsia"/>
                <w:color w:val="auto"/>
                <w:highlight w:val="none"/>
                <w:lang w:val="en-US" w:eastAsia="zh-CN"/>
              </w:rPr>
              <w:t>其他人员需提供身份证复印件，</w:t>
            </w:r>
            <w:r>
              <w:rPr>
                <w:rFonts w:hint="eastAsia" w:ascii="宋体" w:hAnsi="宋体" w:cs="宋体"/>
                <w:color w:val="auto"/>
                <w:szCs w:val="21"/>
                <w:highlight w:val="none"/>
                <w:shd w:val="clear" w:color="auto" w:fill="FFFFFF"/>
              </w:rPr>
              <w:t>并加盖单位</w:t>
            </w:r>
            <w:r>
              <w:rPr>
                <w:rFonts w:hint="eastAsia" w:hAnsi="宋体"/>
                <w:color w:val="auto"/>
                <w:szCs w:val="21"/>
                <w:highlight w:val="none"/>
              </w:rPr>
              <w:t>公章</w:t>
            </w:r>
            <w:r>
              <w:rPr>
                <w:rFonts w:hint="eastAsia" w:ascii="宋体" w:hAnsi="宋体" w:cs="宋体"/>
                <w:color w:val="auto"/>
                <w:szCs w:val="21"/>
                <w:highlight w:val="none"/>
                <w:lang w:bidi="ar"/>
              </w:rPr>
              <w:t>。</w:t>
            </w:r>
          </w:p>
        </w:tc>
      </w:tr>
    </w:tbl>
    <w:p w14:paraId="5C67A69E">
      <w:pPr>
        <w:spacing w:line="360" w:lineRule="auto"/>
        <w:jc w:val="left"/>
        <w:rPr>
          <w:rFonts w:hAnsi="宋体"/>
          <w:color w:val="auto"/>
          <w:kern w:val="0"/>
          <w:szCs w:val="21"/>
          <w:highlight w:val="none"/>
        </w:rPr>
      </w:pPr>
      <w:r>
        <w:rPr>
          <w:rFonts w:hint="eastAsia" w:ascii="宋体" w:hAnsi="宋体" w:cs="宋体"/>
          <w:color w:val="auto"/>
          <w:szCs w:val="21"/>
          <w:highlight w:val="none"/>
        </w:rPr>
        <w:t xml:space="preserve">  </w:t>
      </w:r>
      <w:r>
        <w:rPr>
          <w:rFonts w:hint="eastAsia" w:hAnsi="宋体"/>
          <w:color w:val="auto"/>
          <w:kern w:val="0"/>
          <w:szCs w:val="21"/>
          <w:highlight w:val="none"/>
        </w:rPr>
        <w:t xml:space="preserve"> 注：</w:t>
      </w:r>
    </w:p>
    <w:p w14:paraId="24076EAC">
      <w:pPr>
        <w:numPr>
          <w:ilvl w:val="0"/>
          <w:numId w:val="0"/>
        </w:numPr>
        <w:spacing w:line="360" w:lineRule="auto"/>
        <w:ind w:firstLine="420" w:firstLineChars="200"/>
        <w:jc w:val="left"/>
        <w:rPr>
          <w:color w:val="auto"/>
          <w:highlight w:val="none"/>
        </w:rPr>
      </w:pPr>
      <w:r>
        <w:rPr>
          <w:rFonts w:ascii="Times New Roman" w:hAnsi="宋体" w:eastAsia="宋体" w:cs="Times New Roman"/>
          <w:color w:val="auto"/>
          <w:kern w:val="0"/>
          <w:sz w:val="21"/>
          <w:szCs w:val="21"/>
          <w:highlight w:val="none"/>
          <w:lang w:val="en-US" w:eastAsia="zh-CN" w:bidi="ar-SA"/>
        </w:rPr>
        <w:t>1、</w:t>
      </w:r>
      <w:r>
        <w:rPr>
          <w:rFonts w:hint="eastAsia" w:hAnsi="宋体"/>
          <w:color w:val="auto"/>
          <w:kern w:val="0"/>
          <w:szCs w:val="21"/>
          <w:highlight w:val="none"/>
        </w:rPr>
        <w:t>报价人提供采购人要求的所有资质要求、业绩要求、信誉要求等资料并加盖单位单位</w:t>
      </w:r>
      <w:r>
        <w:rPr>
          <w:rFonts w:hint="eastAsia" w:hAnsi="宋体"/>
          <w:color w:val="auto"/>
          <w:szCs w:val="21"/>
          <w:highlight w:val="none"/>
        </w:rPr>
        <w:t>公章</w:t>
      </w:r>
      <w:r>
        <w:rPr>
          <w:rFonts w:hint="eastAsia" w:hAnsi="宋体"/>
          <w:color w:val="auto"/>
          <w:kern w:val="0"/>
          <w:szCs w:val="21"/>
          <w:highlight w:val="none"/>
        </w:rPr>
        <w:t>。</w:t>
      </w:r>
      <w:bookmarkEnd w:id="747"/>
      <w:bookmarkEnd w:id="748"/>
    </w:p>
    <w:bookmarkEnd w:id="749"/>
    <w:p w14:paraId="04E3309A">
      <w:pPr>
        <w:pStyle w:val="3"/>
        <w:spacing w:before="0" w:after="0" w:line="360" w:lineRule="auto"/>
        <w:jc w:val="center"/>
        <w:rPr>
          <w:rFonts w:hint="eastAsia"/>
          <w:color w:val="auto"/>
          <w:highlight w:val="none"/>
        </w:rPr>
      </w:pPr>
      <w:bookmarkStart w:id="750" w:name="_Toc144974554"/>
      <w:bookmarkStart w:id="751" w:name="_Toc246996973"/>
      <w:bookmarkStart w:id="752" w:name="_Toc179632605"/>
      <w:bookmarkStart w:id="753" w:name="_Toc246996230"/>
      <w:bookmarkStart w:id="754" w:name="_Toc2000406"/>
      <w:bookmarkStart w:id="755" w:name="_Toc507319957"/>
      <w:bookmarkStart w:id="756" w:name="_Toc247085745"/>
      <w:bookmarkStart w:id="757" w:name="_Toc154"/>
      <w:bookmarkStart w:id="758" w:name="_Toc152042364"/>
      <w:bookmarkStart w:id="759" w:name="_Toc152045587"/>
    </w:p>
    <w:p w14:paraId="26F612B5">
      <w:pPr>
        <w:pStyle w:val="3"/>
        <w:spacing w:before="0" w:after="0" w:line="360" w:lineRule="auto"/>
        <w:jc w:val="center"/>
        <w:rPr>
          <w:color w:val="auto"/>
          <w:highlight w:val="none"/>
        </w:rPr>
      </w:pPr>
      <w:r>
        <w:rPr>
          <w:rFonts w:hint="eastAsia"/>
          <w:color w:val="auto"/>
          <w:highlight w:val="none"/>
        </w:rPr>
        <w:t>第三章</w:t>
      </w:r>
      <w:r>
        <w:rPr>
          <w:rFonts w:hint="eastAsia" w:ascii="宋体" w:hAnsi="宋体" w:cs="宋体"/>
          <w:color w:val="auto"/>
          <w:highlight w:val="none"/>
        </w:rPr>
        <w:t xml:space="preserve"> 评标办法</w:t>
      </w:r>
      <w:bookmarkEnd w:id="750"/>
      <w:bookmarkEnd w:id="751"/>
      <w:bookmarkEnd w:id="752"/>
      <w:bookmarkEnd w:id="753"/>
      <w:bookmarkEnd w:id="754"/>
      <w:bookmarkEnd w:id="755"/>
      <w:bookmarkEnd w:id="756"/>
      <w:bookmarkEnd w:id="757"/>
      <w:bookmarkEnd w:id="758"/>
      <w:bookmarkEnd w:id="759"/>
      <w:r>
        <w:rPr>
          <w:rFonts w:hint="eastAsia" w:ascii="宋体" w:hAnsi="宋体" w:cs="宋体"/>
          <w:color w:val="auto"/>
          <w:highlight w:val="none"/>
        </w:rPr>
        <w:t>（综合评估法）</w:t>
      </w:r>
    </w:p>
    <w:p w14:paraId="27044CDB">
      <w:pPr>
        <w:spacing w:line="420" w:lineRule="exact"/>
        <w:jc w:val="center"/>
        <w:rPr>
          <w:rFonts w:hint="eastAsia" w:ascii="宋体" w:hAnsi="宋体" w:cs="宋体"/>
          <w:b/>
          <w:bCs/>
          <w:color w:val="auto"/>
          <w:sz w:val="28"/>
          <w:szCs w:val="28"/>
          <w:highlight w:val="none"/>
        </w:rPr>
      </w:pPr>
      <w:bookmarkStart w:id="760" w:name="_Toc18631"/>
      <w:r>
        <w:rPr>
          <w:rFonts w:hint="eastAsia" w:ascii="宋体" w:hAnsi="宋体" w:cs="宋体"/>
          <w:b/>
          <w:bCs/>
          <w:color w:val="auto"/>
          <w:sz w:val="28"/>
          <w:szCs w:val="28"/>
          <w:highlight w:val="none"/>
        </w:rPr>
        <w:t>评标方法前附表</w:t>
      </w:r>
      <w:bookmarkEnd w:id="760"/>
    </w:p>
    <w:tbl>
      <w:tblPr>
        <w:tblStyle w:val="44"/>
        <w:tblpPr w:leftFromText="180" w:rightFromText="180" w:vertAnchor="text" w:horzAnchor="page" w:tblpX="1139" w:tblpY="296"/>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8"/>
        <w:gridCol w:w="777"/>
        <w:gridCol w:w="983"/>
        <w:gridCol w:w="1435"/>
        <w:gridCol w:w="4025"/>
        <w:gridCol w:w="481"/>
      </w:tblGrid>
      <w:tr w14:paraId="70795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1513" w:type="pct"/>
            <w:gridSpan w:val="3"/>
            <w:tcBorders>
              <w:tl2br w:val="nil"/>
              <w:tr2bl w:val="nil"/>
            </w:tcBorders>
            <w:vAlign w:val="center"/>
          </w:tcPr>
          <w:p w14:paraId="2E068FDB">
            <w:pPr>
              <w:spacing w:line="360" w:lineRule="exact"/>
              <w:jc w:val="center"/>
              <w:rPr>
                <w:rFonts w:asciiTheme="minorEastAsia" w:hAnsiTheme="minorEastAsia" w:eastAsiaTheme="minorEastAsia" w:cstheme="minorEastAsia"/>
                <w:b/>
                <w:color w:val="auto"/>
                <w:szCs w:val="21"/>
                <w:highlight w:val="none"/>
              </w:rPr>
            </w:pPr>
            <w:bookmarkStart w:id="761" w:name="_Toc26227"/>
            <w:bookmarkStart w:id="762" w:name="_Toc9238"/>
            <w:r>
              <w:rPr>
                <w:rFonts w:hint="eastAsia" w:asciiTheme="minorEastAsia" w:hAnsiTheme="minorEastAsia" w:eastAsiaTheme="minorEastAsia" w:cstheme="minorEastAsia"/>
                <w:b/>
                <w:color w:val="auto"/>
                <w:szCs w:val="21"/>
                <w:highlight w:val="none"/>
              </w:rPr>
              <w:t>条款号</w:t>
            </w:r>
          </w:p>
        </w:tc>
        <w:tc>
          <w:tcPr>
            <w:tcW w:w="842" w:type="pct"/>
            <w:tcBorders>
              <w:tl2br w:val="nil"/>
              <w:tr2bl w:val="nil"/>
            </w:tcBorders>
            <w:vAlign w:val="center"/>
          </w:tcPr>
          <w:p w14:paraId="39AFF1C2">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2644" w:type="pct"/>
            <w:gridSpan w:val="2"/>
            <w:tcBorders>
              <w:tl2br w:val="nil"/>
              <w:tr2bl w:val="nil"/>
            </w:tcBorders>
            <w:vAlign w:val="center"/>
          </w:tcPr>
          <w:p w14:paraId="39138C2E">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1C5D4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0" w:type="pct"/>
            <w:tcBorders>
              <w:tl2br w:val="nil"/>
              <w:tr2bl w:val="nil"/>
            </w:tcBorders>
            <w:vAlign w:val="center"/>
          </w:tcPr>
          <w:p w14:paraId="73CD4BF4">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1032" w:type="pct"/>
            <w:gridSpan w:val="2"/>
            <w:tcBorders>
              <w:tl2br w:val="nil"/>
              <w:tr2bl w:val="nil"/>
            </w:tcBorders>
            <w:vAlign w:val="center"/>
          </w:tcPr>
          <w:p w14:paraId="054139BB">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842" w:type="pct"/>
            <w:tcBorders>
              <w:tl2br w:val="nil"/>
              <w:tr2bl w:val="nil"/>
            </w:tcBorders>
            <w:vAlign w:val="center"/>
          </w:tcPr>
          <w:p w14:paraId="4E4D2A0F">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2644" w:type="pct"/>
            <w:gridSpan w:val="2"/>
            <w:tcBorders>
              <w:tl2br w:val="nil"/>
              <w:tr2bl w:val="nil"/>
            </w:tcBorders>
          </w:tcPr>
          <w:p w14:paraId="1DD9CA2E">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6E9EE40C">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4706539F">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3278FDDB">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387DF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restart"/>
            <w:tcBorders>
              <w:tl2br w:val="nil"/>
              <w:tr2bl w:val="nil"/>
            </w:tcBorders>
            <w:vAlign w:val="center"/>
          </w:tcPr>
          <w:p w14:paraId="76AC0E65">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w:t>
            </w:r>
          </w:p>
        </w:tc>
        <w:tc>
          <w:tcPr>
            <w:tcW w:w="1032" w:type="pct"/>
            <w:gridSpan w:val="2"/>
            <w:vMerge w:val="restart"/>
            <w:tcBorders>
              <w:tl2br w:val="nil"/>
              <w:tr2bl w:val="nil"/>
            </w:tcBorders>
            <w:vAlign w:val="center"/>
          </w:tcPr>
          <w:p w14:paraId="2C273D59">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842" w:type="pct"/>
            <w:tcBorders>
              <w:tl2br w:val="nil"/>
              <w:tr2bl w:val="nil"/>
            </w:tcBorders>
            <w:vAlign w:val="center"/>
          </w:tcPr>
          <w:p w14:paraId="70EF68A9">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2644" w:type="pct"/>
            <w:gridSpan w:val="2"/>
            <w:tcBorders>
              <w:tl2br w:val="nil"/>
              <w:tr2bl w:val="nil"/>
            </w:tcBorders>
            <w:vAlign w:val="center"/>
          </w:tcPr>
          <w:p w14:paraId="00503929">
            <w:pPr>
              <w:spacing w:line="360" w:lineRule="exact"/>
              <w:rPr>
                <w:rFonts w:asciiTheme="minorEastAsia" w:hAnsiTheme="minorEastAsia" w:eastAsiaTheme="minorEastAsia" w:cstheme="minorEastAsia"/>
                <w:color w:val="auto"/>
                <w:szCs w:val="21"/>
                <w:highlight w:val="none"/>
              </w:rPr>
            </w:pPr>
            <w:r>
              <w:rPr>
                <w:color w:val="auto"/>
                <w:highlight w:val="none"/>
              </w:rPr>
              <w:t>与营业执照、资质证书</w:t>
            </w:r>
            <w:r>
              <w:rPr>
                <w:rFonts w:hint="eastAsia"/>
                <w:color w:val="auto"/>
                <w:highlight w:val="none"/>
              </w:rPr>
              <w:t>等资料</w:t>
            </w:r>
            <w:r>
              <w:rPr>
                <w:color w:val="auto"/>
                <w:highlight w:val="none"/>
              </w:rPr>
              <w:t>一致。</w:t>
            </w:r>
          </w:p>
        </w:tc>
      </w:tr>
      <w:tr w14:paraId="2A40A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2AA5D098">
            <w:pPr>
              <w:spacing w:line="360" w:lineRule="exact"/>
              <w:jc w:val="center"/>
              <w:rPr>
                <w:rFonts w:asciiTheme="minorEastAsia" w:hAnsiTheme="minorEastAsia" w:eastAsiaTheme="minorEastAsia" w:cstheme="minorEastAsia"/>
                <w:color w:val="auto"/>
                <w:szCs w:val="21"/>
                <w:highlight w:val="none"/>
              </w:rPr>
            </w:pPr>
            <w:bookmarkStart w:id="763" w:name="OLE_LINK21" w:colFirst="3" w:colLast="3"/>
          </w:p>
        </w:tc>
        <w:tc>
          <w:tcPr>
            <w:tcW w:w="1032" w:type="pct"/>
            <w:gridSpan w:val="2"/>
            <w:vMerge w:val="continue"/>
            <w:tcBorders>
              <w:tl2br w:val="nil"/>
              <w:tr2bl w:val="nil"/>
            </w:tcBorders>
            <w:vAlign w:val="center"/>
          </w:tcPr>
          <w:p w14:paraId="516C9523">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3173FA06">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报价函签名盖章</w:t>
            </w:r>
          </w:p>
        </w:tc>
        <w:tc>
          <w:tcPr>
            <w:tcW w:w="2644" w:type="pct"/>
            <w:gridSpan w:val="2"/>
            <w:tcBorders>
              <w:tl2br w:val="nil"/>
              <w:tr2bl w:val="nil"/>
            </w:tcBorders>
            <w:vAlign w:val="center"/>
          </w:tcPr>
          <w:p w14:paraId="23652CA7">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有法定代表人或委托代理人签名或加盖单位</w:t>
            </w:r>
            <w:r>
              <w:rPr>
                <w:rFonts w:hint="eastAsia" w:hAnsi="宋体"/>
                <w:color w:val="auto"/>
                <w:szCs w:val="21"/>
                <w:highlight w:val="none"/>
              </w:rPr>
              <w:t>公章</w:t>
            </w:r>
            <w:r>
              <w:rPr>
                <w:rFonts w:hint="eastAsia" w:asciiTheme="minorEastAsia" w:hAnsiTheme="minorEastAsia" w:eastAsiaTheme="minorEastAsia" w:cstheme="minorEastAsia"/>
                <w:color w:val="auto"/>
                <w:szCs w:val="21"/>
                <w:highlight w:val="none"/>
              </w:rPr>
              <w:t>。</w:t>
            </w:r>
          </w:p>
        </w:tc>
      </w:tr>
      <w:tr w14:paraId="518B0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0979AF89">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72AAF7C0">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0FB19FDD">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2644" w:type="pct"/>
            <w:gridSpan w:val="2"/>
            <w:tcBorders>
              <w:tl2br w:val="nil"/>
              <w:tr2bl w:val="nil"/>
            </w:tcBorders>
            <w:vAlign w:val="center"/>
          </w:tcPr>
          <w:p w14:paraId="29EBD02E">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符合第八章“竞争性比选响应文件格式”的要求，字迹清晰可辨。</w:t>
            </w:r>
          </w:p>
          <w:p w14:paraId="17E5DB62">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19148F6E">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bookmarkEnd w:id="763"/>
      <w:tr w14:paraId="66E6D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0E71057D">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45859E87">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5A6A5E75">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采购清单</w:t>
            </w:r>
          </w:p>
        </w:tc>
        <w:tc>
          <w:tcPr>
            <w:tcW w:w="2644" w:type="pct"/>
            <w:gridSpan w:val="2"/>
            <w:tcBorders>
              <w:tl2br w:val="nil"/>
              <w:tr2bl w:val="nil"/>
            </w:tcBorders>
            <w:vAlign w:val="center"/>
          </w:tcPr>
          <w:p w14:paraId="78310173">
            <w:pPr>
              <w:spacing w:line="360" w:lineRule="exact"/>
              <w:rPr>
                <w:rFonts w:asciiTheme="minorEastAsia" w:hAnsiTheme="minorEastAsia" w:eastAsiaTheme="minorEastAsia" w:cstheme="minorEastAsia"/>
                <w:color w:val="auto"/>
                <w:szCs w:val="21"/>
                <w:highlight w:val="none"/>
              </w:rPr>
            </w:pPr>
            <w:bookmarkStart w:id="764" w:name="OLE_LINK22"/>
            <w:r>
              <w:rPr>
                <w:rFonts w:hint="eastAsia" w:asciiTheme="minorEastAsia" w:hAnsiTheme="minorEastAsia" w:eastAsiaTheme="minorEastAsia" w:cstheme="minorEastAsia"/>
                <w:color w:val="auto"/>
                <w:szCs w:val="21"/>
                <w:highlight w:val="none"/>
              </w:rPr>
              <w:t>符合第五章“采购清单”给出的范围及数量。</w:t>
            </w:r>
            <w:bookmarkEnd w:id="764"/>
          </w:p>
        </w:tc>
      </w:tr>
      <w:tr w14:paraId="09B16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5690D003">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37B1ECC1">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697DE551">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2644" w:type="pct"/>
            <w:gridSpan w:val="2"/>
            <w:tcBorders>
              <w:tl2br w:val="nil"/>
              <w:tr2bl w:val="nil"/>
            </w:tcBorders>
            <w:vAlign w:val="center"/>
          </w:tcPr>
          <w:p w14:paraId="3726875F">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7B406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20B65D60">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7CACEAFD">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64948469">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2644" w:type="pct"/>
            <w:gridSpan w:val="2"/>
            <w:tcBorders>
              <w:tl2br w:val="nil"/>
              <w:tr2bl w:val="nil"/>
            </w:tcBorders>
            <w:vAlign w:val="center"/>
          </w:tcPr>
          <w:p w14:paraId="152B6232">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73425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03E55D3A">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672FE860">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50EC7700">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其它材料</w:t>
            </w:r>
          </w:p>
        </w:tc>
        <w:tc>
          <w:tcPr>
            <w:tcW w:w="2644" w:type="pct"/>
            <w:gridSpan w:val="2"/>
            <w:tcBorders>
              <w:tl2br w:val="nil"/>
              <w:tr2bl w:val="nil"/>
            </w:tcBorders>
            <w:vAlign w:val="center"/>
          </w:tcPr>
          <w:p w14:paraId="4545A952">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0BED2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restart"/>
            <w:tcBorders>
              <w:tl2br w:val="nil"/>
              <w:tr2bl w:val="nil"/>
            </w:tcBorders>
            <w:vAlign w:val="center"/>
          </w:tcPr>
          <w:p w14:paraId="4D438913">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w:t>
            </w:r>
          </w:p>
        </w:tc>
        <w:tc>
          <w:tcPr>
            <w:tcW w:w="1032" w:type="pct"/>
            <w:gridSpan w:val="2"/>
            <w:vMerge w:val="restart"/>
            <w:tcBorders>
              <w:tl2br w:val="nil"/>
              <w:tr2bl w:val="nil"/>
            </w:tcBorders>
            <w:vAlign w:val="center"/>
          </w:tcPr>
          <w:p w14:paraId="794E3448">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842" w:type="pct"/>
            <w:tcBorders>
              <w:tl2br w:val="nil"/>
              <w:tr2bl w:val="nil"/>
            </w:tcBorders>
            <w:shd w:val="clear" w:color="auto" w:fill="auto"/>
            <w:vAlign w:val="center"/>
          </w:tcPr>
          <w:p w14:paraId="15F2377E">
            <w:pPr>
              <w:spacing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资格要求</w:t>
            </w:r>
          </w:p>
        </w:tc>
        <w:tc>
          <w:tcPr>
            <w:tcW w:w="2644" w:type="pct"/>
            <w:gridSpan w:val="2"/>
            <w:tcBorders>
              <w:tl2br w:val="nil"/>
              <w:tr2bl w:val="nil"/>
            </w:tcBorders>
            <w:shd w:val="clear" w:color="auto" w:fill="auto"/>
            <w:vAlign w:val="center"/>
          </w:tcPr>
          <w:p w14:paraId="306E59CC">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tr w14:paraId="4E309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512B5726">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41B0F330">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186BECAD">
            <w:pPr>
              <w:spacing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2644" w:type="pct"/>
            <w:gridSpan w:val="2"/>
            <w:tcBorders>
              <w:tl2br w:val="nil"/>
              <w:tr2bl w:val="nil"/>
            </w:tcBorders>
            <w:vAlign w:val="center"/>
          </w:tcPr>
          <w:p w14:paraId="52A4D268">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tr w14:paraId="280BE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49B416E2">
            <w:pPr>
              <w:spacing w:line="360" w:lineRule="exact"/>
              <w:jc w:val="center"/>
              <w:rPr>
                <w:rFonts w:asciiTheme="minorEastAsia" w:hAnsiTheme="minorEastAsia" w:eastAsiaTheme="minorEastAsia" w:cstheme="minorEastAsia"/>
                <w:color w:val="auto"/>
                <w:szCs w:val="21"/>
                <w:highlight w:val="none"/>
              </w:rPr>
            </w:pPr>
            <w:bookmarkStart w:id="765" w:name="OLE_LINK72" w:colFirst="2" w:colLast="3"/>
          </w:p>
        </w:tc>
        <w:tc>
          <w:tcPr>
            <w:tcW w:w="1032" w:type="pct"/>
            <w:gridSpan w:val="2"/>
            <w:vMerge w:val="continue"/>
            <w:tcBorders>
              <w:tl2br w:val="nil"/>
              <w:tr2bl w:val="nil"/>
            </w:tcBorders>
            <w:vAlign w:val="center"/>
          </w:tcPr>
          <w:p w14:paraId="0B1CF696">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shd w:val="clear" w:color="auto" w:fill="auto"/>
            <w:vAlign w:val="center"/>
          </w:tcPr>
          <w:p w14:paraId="502817CF">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2644" w:type="pct"/>
            <w:gridSpan w:val="2"/>
            <w:tcBorders>
              <w:tl2br w:val="nil"/>
              <w:tr2bl w:val="nil"/>
            </w:tcBorders>
            <w:shd w:val="clear" w:color="auto" w:fill="auto"/>
          </w:tcPr>
          <w:p w14:paraId="590A97E8">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tr w14:paraId="261AB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0EC63551">
            <w:pPr>
              <w:spacing w:line="360" w:lineRule="exact"/>
              <w:jc w:val="center"/>
              <w:rPr>
                <w:rFonts w:asciiTheme="minorEastAsia" w:hAnsiTheme="minorEastAsia" w:eastAsiaTheme="minorEastAsia" w:cstheme="minorEastAsia"/>
                <w:color w:val="auto"/>
                <w:szCs w:val="21"/>
                <w:highlight w:val="none"/>
              </w:rPr>
            </w:pPr>
            <w:bookmarkStart w:id="766" w:name="OLE_LINK52" w:colFirst="2" w:colLast="3"/>
          </w:p>
        </w:tc>
        <w:tc>
          <w:tcPr>
            <w:tcW w:w="1032" w:type="pct"/>
            <w:gridSpan w:val="2"/>
            <w:vMerge w:val="continue"/>
            <w:tcBorders>
              <w:tl2br w:val="nil"/>
              <w:tr2bl w:val="nil"/>
            </w:tcBorders>
            <w:vAlign w:val="center"/>
          </w:tcPr>
          <w:p w14:paraId="44197790">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shd w:val="clear" w:color="auto" w:fill="auto"/>
            <w:vAlign w:val="center"/>
          </w:tcPr>
          <w:p w14:paraId="3D34D0A5">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人员要求</w:t>
            </w:r>
          </w:p>
        </w:tc>
        <w:tc>
          <w:tcPr>
            <w:tcW w:w="2644" w:type="pct"/>
            <w:gridSpan w:val="2"/>
            <w:tcBorders>
              <w:tl2br w:val="nil"/>
              <w:tr2bl w:val="nil"/>
            </w:tcBorders>
            <w:shd w:val="clear" w:color="auto" w:fill="auto"/>
          </w:tcPr>
          <w:p w14:paraId="57ABD890">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bookmarkEnd w:id="765"/>
      <w:tr w14:paraId="3B421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6EF7E4B5">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574D3F03">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2A0051E5">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其他要求</w:t>
            </w:r>
          </w:p>
        </w:tc>
        <w:tc>
          <w:tcPr>
            <w:tcW w:w="2644" w:type="pct"/>
            <w:gridSpan w:val="2"/>
            <w:tcBorders>
              <w:tl2br w:val="nil"/>
              <w:tr2bl w:val="nil"/>
            </w:tcBorders>
          </w:tcPr>
          <w:p w14:paraId="573DBBBA">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bookmarkEnd w:id="766"/>
      <w:tr w14:paraId="24388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restart"/>
            <w:tcBorders>
              <w:tl2br w:val="nil"/>
              <w:tr2bl w:val="nil"/>
            </w:tcBorders>
            <w:vAlign w:val="center"/>
          </w:tcPr>
          <w:p w14:paraId="7AA324F9">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w:t>
            </w:r>
          </w:p>
        </w:tc>
        <w:tc>
          <w:tcPr>
            <w:tcW w:w="1032" w:type="pct"/>
            <w:gridSpan w:val="2"/>
            <w:vMerge w:val="restart"/>
            <w:tcBorders>
              <w:tl2br w:val="nil"/>
              <w:tr2bl w:val="nil"/>
            </w:tcBorders>
            <w:vAlign w:val="center"/>
          </w:tcPr>
          <w:p w14:paraId="275C3CF3">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842" w:type="pct"/>
            <w:tcBorders>
              <w:tl2br w:val="nil"/>
              <w:tr2bl w:val="nil"/>
            </w:tcBorders>
            <w:vAlign w:val="center"/>
          </w:tcPr>
          <w:p w14:paraId="33F0216F">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w:t>
            </w:r>
            <w:r>
              <w:rPr>
                <w:rFonts w:hint="eastAsia" w:ascii="宋体" w:hAnsi="宋体" w:cs="宋体"/>
                <w:color w:val="auto"/>
                <w:highlight w:val="none"/>
              </w:rPr>
              <w:t>内容</w:t>
            </w:r>
          </w:p>
        </w:tc>
        <w:tc>
          <w:tcPr>
            <w:tcW w:w="2644" w:type="pct"/>
            <w:gridSpan w:val="2"/>
            <w:tcBorders>
              <w:tl2br w:val="nil"/>
              <w:tr2bl w:val="nil"/>
            </w:tcBorders>
            <w:vAlign w:val="center"/>
          </w:tcPr>
          <w:p w14:paraId="06B398B9">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符合第二章“报价人须知”第3项规定</w:t>
            </w:r>
          </w:p>
        </w:tc>
      </w:tr>
      <w:tr w14:paraId="5244B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070E98B2">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5EE5FED1">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2CC4175B">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w:t>
            </w:r>
          </w:p>
        </w:tc>
        <w:tc>
          <w:tcPr>
            <w:tcW w:w="2644" w:type="pct"/>
            <w:gridSpan w:val="2"/>
            <w:tcBorders>
              <w:tl2br w:val="nil"/>
              <w:tr2bl w:val="nil"/>
            </w:tcBorders>
            <w:vAlign w:val="center"/>
          </w:tcPr>
          <w:p w14:paraId="3A8DA506">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符合比选文件给出的范围及数量，且报价不得超过采购人公布的最高限价。</w:t>
            </w:r>
          </w:p>
        </w:tc>
      </w:tr>
      <w:tr w14:paraId="00E08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7F3A2F35">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1E3CC3C6">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vAlign w:val="center"/>
          </w:tcPr>
          <w:p w14:paraId="00061C2B">
            <w:pPr>
              <w:spacing w:line="360" w:lineRule="exact"/>
              <w:jc w:val="center"/>
              <w:rPr>
                <w:rFonts w:asciiTheme="minorEastAsia" w:hAnsiTheme="minorEastAsia" w:eastAsiaTheme="minorEastAsia" w:cstheme="minorEastAsia"/>
                <w:color w:val="auto"/>
                <w:szCs w:val="21"/>
                <w:highlight w:val="none"/>
              </w:rPr>
            </w:pPr>
            <w:r>
              <w:rPr>
                <w:rFonts w:hint="eastAsia"/>
                <w:color w:val="auto"/>
                <w:highlight w:val="none"/>
              </w:rPr>
              <w:t>服务地点</w:t>
            </w:r>
          </w:p>
        </w:tc>
        <w:tc>
          <w:tcPr>
            <w:tcW w:w="2644" w:type="pct"/>
            <w:gridSpan w:val="2"/>
            <w:tcBorders>
              <w:tl2br w:val="nil"/>
              <w:tr2bl w:val="nil"/>
            </w:tcBorders>
            <w:vAlign w:val="center"/>
          </w:tcPr>
          <w:p w14:paraId="2B2A7D22">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符合第二章“报价人须知”第4项规定</w:t>
            </w:r>
          </w:p>
        </w:tc>
      </w:tr>
      <w:tr w14:paraId="520D4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218B069F">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63A12242">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shd w:val="clear" w:color="auto" w:fill="auto"/>
            <w:vAlign w:val="center"/>
          </w:tcPr>
          <w:p w14:paraId="61680AA1">
            <w:pPr>
              <w:spacing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服务期限</w:t>
            </w:r>
          </w:p>
        </w:tc>
        <w:tc>
          <w:tcPr>
            <w:tcW w:w="2644" w:type="pct"/>
            <w:gridSpan w:val="2"/>
            <w:tcBorders>
              <w:tl2br w:val="nil"/>
              <w:tr2bl w:val="nil"/>
            </w:tcBorders>
            <w:shd w:val="clear" w:color="auto" w:fill="auto"/>
            <w:vAlign w:val="center"/>
          </w:tcPr>
          <w:p w14:paraId="1117B4D9">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符合第二章“报价人须知”第5项规定</w:t>
            </w:r>
          </w:p>
        </w:tc>
      </w:tr>
      <w:tr w14:paraId="57F53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69B18B55">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54045934">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shd w:val="clear" w:color="auto" w:fill="auto"/>
            <w:vAlign w:val="center"/>
          </w:tcPr>
          <w:p w14:paraId="001D5B59">
            <w:pPr>
              <w:spacing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缺陷责任期（质保期）</w:t>
            </w:r>
          </w:p>
        </w:tc>
        <w:tc>
          <w:tcPr>
            <w:tcW w:w="2644" w:type="pct"/>
            <w:gridSpan w:val="2"/>
            <w:tcBorders>
              <w:tl2br w:val="nil"/>
              <w:tr2bl w:val="nil"/>
            </w:tcBorders>
            <w:shd w:val="clear" w:color="auto" w:fill="auto"/>
            <w:vAlign w:val="center"/>
          </w:tcPr>
          <w:p w14:paraId="156BFEE9">
            <w:pPr>
              <w:spacing w:line="400" w:lineRule="exact"/>
              <w:rPr>
                <w:rFonts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6</w:t>
            </w:r>
            <w:r>
              <w:rPr>
                <w:color w:val="auto"/>
                <w:highlight w:val="none"/>
              </w:rPr>
              <w:t>项规定</w:t>
            </w:r>
          </w:p>
        </w:tc>
      </w:tr>
      <w:tr w14:paraId="10A29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32379BA8">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26CAC2A3">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shd w:val="clear" w:color="auto" w:fill="auto"/>
            <w:vAlign w:val="center"/>
          </w:tcPr>
          <w:p w14:paraId="07E4B3BC">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工作要求</w:t>
            </w:r>
          </w:p>
        </w:tc>
        <w:tc>
          <w:tcPr>
            <w:tcW w:w="2644" w:type="pct"/>
            <w:gridSpan w:val="2"/>
            <w:tcBorders>
              <w:tl2br w:val="nil"/>
              <w:tr2bl w:val="nil"/>
            </w:tcBorders>
            <w:shd w:val="clear" w:color="auto" w:fill="auto"/>
            <w:vAlign w:val="center"/>
          </w:tcPr>
          <w:p w14:paraId="73DC1357">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符合第二章“报价人须知”第7项规定</w:t>
            </w:r>
          </w:p>
        </w:tc>
      </w:tr>
      <w:tr w14:paraId="0DFC3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4C3D9728">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31837A4E">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shd w:val="clear" w:color="auto" w:fill="auto"/>
            <w:vAlign w:val="center"/>
          </w:tcPr>
          <w:p w14:paraId="6934EF3C">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偏差</w:t>
            </w:r>
          </w:p>
        </w:tc>
        <w:tc>
          <w:tcPr>
            <w:tcW w:w="2644" w:type="pct"/>
            <w:gridSpan w:val="2"/>
            <w:tcBorders>
              <w:tl2br w:val="nil"/>
              <w:tr2bl w:val="nil"/>
            </w:tcBorders>
            <w:shd w:val="clear" w:color="auto" w:fill="auto"/>
            <w:vAlign w:val="center"/>
          </w:tcPr>
          <w:p w14:paraId="334B9347">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符合第二章“报价人须知”第12项规定</w:t>
            </w:r>
          </w:p>
        </w:tc>
      </w:tr>
      <w:tr w14:paraId="580BA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vMerge w:val="continue"/>
            <w:tcBorders>
              <w:tl2br w:val="nil"/>
              <w:tr2bl w:val="nil"/>
            </w:tcBorders>
            <w:vAlign w:val="center"/>
          </w:tcPr>
          <w:p w14:paraId="4DCC960A">
            <w:pPr>
              <w:spacing w:line="360" w:lineRule="exact"/>
              <w:jc w:val="center"/>
              <w:rPr>
                <w:rFonts w:asciiTheme="minorEastAsia" w:hAnsiTheme="minorEastAsia" w:eastAsiaTheme="minorEastAsia" w:cstheme="minorEastAsia"/>
                <w:color w:val="auto"/>
                <w:szCs w:val="21"/>
                <w:highlight w:val="none"/>
              </w:rPr>
            </w:pPr>
          </w:p>
        </w:tc>
        <w:tc>
          <w:tcPr>
            <w:tcW w:w="1032" w:type="pct"/>
            <w:gridSpan w:val="2"/>
            <w:vMerge w:val="continue"/>
            <w:tcBorders>
              <w:tl2br w:val="nil"/>
              <w:tr2bl w:val="nil"/>
            </w:tcBorders>
            <w:vAlign w:val="center"/>
          </w:tcPr>
          <w:p w14:paraId="5EBF98D8">
            <w:pPr>
              <w:spacing w:line="360" w:lineRule="exact"/>
              <w:jc w:val="center"/>
              <w:rPr>
                <w:rFonts w:asciiTheme="minorEastAsia" w:hAnsiTheme="minorEastAsia" w:eastAsiaTheme="minorEastAsia" w:cstheme="minorEastAsia"/>
                <w:color w:val="auto"/>
                <w:szCs w:val="21"/>
                <w:highlight w:val="none"/>
              </w:rPr>
            </w:pPr>
          </w:p>
        </w:tc>
        <w:tc>
          <w:tcPr>
            <w:tcW w:w="842" w:type="pct"/>
            <w:tcBorders>
              <w:tl2br w:val="nil"/>
              <w:tr2bl w:val="nil"/>
            </w:tcBorders>
            <w:shd w:val="clear" w:color="auto" w:fill="auto"/>
            <w:vAlign w:val="center"/>
          </w:tcPr>
          <w:p w14:paraId="4CF1FAFC">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保证金</w:t>
            </w:r>
          </w:p>
        </w:tc>
        <w:tc>
          <w:tcPr>
            <w:tcW w:w="2644" w:type="pct"/>
            <w:gridSpan w:val="2"/>
            <w:tcBorders>
              <w:tl2br w:val="nil"/>
              <w:tr2bl w:val="nil"/>
            </w:tcBorders>
            <w:shd w:val="clear" w:color="auto" w:fill="auto"/>
            <w:vAlign w:val="center"/>
          </w:tcPr>
          <w:p w14:paraId="14036616">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符合第二章“报价人须知”第19项规定</w:t>
            </w:r>
          </w:p>
        </w:tc>
      </w:tr>
      <w:tr w14:paraId="4F90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tcBorders>
              <w:tl2br w:val="nil"/>
              <w:tr2bl w:val="nil"/>
            </w:tcBorders>
            <w:vAlign w:val="center"/>
          </w:tcPr>
          <w:p w14:paraId="5DF4AEB8">
            <w:pPr>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5</w:t>
            </w:r>
          </w:p>
        </w:tc>
        <w:tc>
          <w:tcPr>
            <w:tcW w:w="1032" w:type="pct"/>
            <w:gridSpan w:val="2"/>
            <w:tcBorders>
              <w:tl2br w:val="nil"/>
              <w:tr2bl w:val="nil"/>
            </w:tcBorders>
            <w:vAlign w:val="center"/>
          </w:tcPr>
          <w:p w14:paraId="1AE7FB00">
            <w:pPr>
              <w:tabs>
                <w:tab w:val="left" w:pos="1875"/>
              </w:tabs>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1BC52434">
            <w:pPr>
              <w:tabs>
                <w:tab w:val="left" w:pos="1875"/>
              </w:tabs>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3486" w:type="pct"/>
            <w:gridSpan w:val="3"/>
            <w:tcBorders>
              <w:tl2br w:val="nil"/>
              <w:tr2bl w:val="nil"/>
            </w:tcBorders>
          </w:tcPr>
          <w:p w14:paraId="72103745">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w:t>
            </w:r>
            <w:r>
              <w:rPr>
                <w:rFonts w:hint="eastAsia" w:asciiTheme="minorEastAsia" w:hAnsiTheme="minorEastAsia" w:eastAsiaTheme="minorEastAsia" w:cstheme="minorEastAsia"/>
                <w:color w:val="auto"/>
                <w:szCs w:val="21"/>
                <w:highlight w:val="none"/>
                <w:lang w:val="en-US" w:eastAsia="zh-CN"/>
              </w:rPr>
              <w:t>7</w:t>
            </w:r>
            <w:r>
              <w:rPr>
                <w:rFonts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rPr>
              <w:t>分；</w:t>
            </w:r>
          </w:p>
          <w:p w14:paraId="7155DD1D">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w:t>
            </w:r>
            <w:r>
              <w:rPr>
                <w:rFonts w:hint="eastAsia" w:asciiTheme="minorEastAsia" w:hAnsiTheme="minorEastAsia" w:eastAsiaTheme="minorEastAsia" w:cstheme="minorEastAsia"/>
                <w:color w:val="auto"/>
                <w:szCs w:val="21"/>
                <w:highlight w:val="none"/>
                <w:lang w:val="en-US" w:eastAsia="zh-CN"/>
              </w:rPr>
              <w:t>1</w:t>
            </w:r>
            <w:r>
              <w:rPr>
                <w:rFonts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rPr>
              <w:t>分；</w:t>
            </w:r>
          </w:p>
          <w:p w14:paraId="09BB6658">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w:t>
            </w:r>
            <w:r>
              <w:rPr>
                <w:rFonts w:asciiTheme="minorEastAsia" w:hAnsiTheme="minorEastAsia" w:eastAsiaTheme="minorEastAsia" w:cstheme="minorEastAsia"/>
                <w:color w:val="auto"/>
                <w:szCs w:val="21"/>
                <w:highlight w:val="none"/>
              </w:rPr>
              <w:t>20</w:t>
            </w:r>
            <w:r>
              <w:rPr>
                <w:rFonts w:hint="eastAsia" w:asciiTheme="minorEastAsia" w:hAnsiTheme="minorEastAsia" w:eastAsiaTheme="minorEastAsia" w:cstheme="minorEastAsia"/>
                <w:color w:val="auto"/>
                <w:szCs w:val="21"/>
                <w:highlight w:val="none"/>
              </w:rPr>
              <w:t>分。</w:t>
            </w:r>
          </w:p>
        </w:tc>
      </w:tr>
      <w:tr w14:paraId="2C0DE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6" w:hRule="atLeast"/>
        </w:trPr>
        <w:tc>
          <w:tcPr>
            <w:tcW w:w="480" w:type="pct"/>
            <w:tcBorders>
              <w:tl2br w:val="nil"/>
              <w:tr2bl w:val="nil"/>
            </w:tcBorders>
            <w:vAlign w:val="center"/>
          </w:tcPr>
          <w:p w14:paraId="27D68F74">
            <w:pPr>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6</w:t>
            </w:r>
          </w:p>
        </w:tc>
        <w:tc>
          <w:tcPr>
            <w:tcW w:w="1032" w:type="pct"/>
            <w:gridSpan w:val="2"/>
            <w:tcBorders>
              <w:tl2br w:val="nil"/>
              <w:tr2bl w:val="nil"/>
            </w:tcBorders>
            <w:vAlign w:val="center"/>
          </w:tcPr>
          <w:p w14:paraId="55633473">
            <w:pPr>
              <w:spacing w:line="36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3486" w:type="pct"/>
            <w:gridSpan w:val="3"/>
            <w:tcBorders>
              <w:tl2br w:val="nil"/>
              <w:tr2bl w:val="nil"/>
            </w:tcBorders>
          </w:tcPr>
          <w:p w14:paraId="07A0BF84">
            <w:pPr>
              <w:keepLines/>
              <w:adjustRightInd w:val="0"/>
              <w:snapToGrid w:val="0"/>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1.有效报价：系指初步评审均合格且其响应内容满足比选文件要求的报价人的投标报价。</w:t>
            </w:r>
          </w:p>
          <w:p w14:paraId="22235C7F">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（1）评标价的确定：评标价＝投标函文字报价</w:t>
            </w:r>
          </w:p>
          <w:p w14:paraId="65B8247A">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（2）评标基准价的确定：</w:t>
            </w:r>
          </w:p>
          <w:p w14:paraId="461887F1">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在通过初步评审后且不高于最高限价的有效投标报价中去掉六分之一（不能整除的按小数前整数取整，不足六家报价则不去掉）的最低价和相同家数的最高价后的算术平均值为评标基准价。</w:t>
            </w:r>
          </w:p>
          <w:p w14:paraId="76F5C001">
            <w:pPr>
              <w:spacing w:line="360" w:lineRule="exact"/>
              <w:ind w:firstLine="420"/>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rPr>
              <w:t>以上计算取小数点后两位，第三位四舍五入。</w:t>
            </w:r>
          </w:p>
        </w:tc>
      </w:tr>
      <w:tr w14:paraId="34021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6" w:hRule="atLeast"/>
        </w:trPr>
        <w:tc>
          <w:tcPr>
            <w:tcW w:w="480" w:type="pct"/>
            <w:tcBorders>
              <w:tl2br w:val="nil"/>
              <w:tr2bl w:val="nil"/>
            </w:tcBorders>
            <w:vAlign w:val="center"/>
          </w:tcPr>
          <w:p w14:paraId="273F4F3E">
            <w:pPr>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7</w:t>
            </w:r>
          </w:p>
        </w:tc>
        <w:tc>
          <w:tcPr>
            <w:tcW w:w="1032" w:type="pct"/>
            <w:gridSpan w:val="2"/>
            <w:tcBorders>
              <w:tl2br w:val="nil"/>
              <w:tr2bl w:val="nil"/>
            </w:tcBorders>
            <w:vAlign w:val="center"/>
          </w:tcPr>
          <w:p w14:paraId="2F8F0C21">
            <w:pPr>
              <w:spacing w:line="36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3486" w:type="pct"/>
            <w:gridSpan w:val="3"/>
            <w:tcBorders>
              <w:tl2br w:val="nil"/>
              <w:tr2bl w:val="nil"/>
            </w:tcBorders>
            <w:vAlign w:val="center"/>
          </w:tcPr>
          <w:p w14:paraId="7BF84B23">
            <w:pPr>
              <w:adjustRightInd w:val="0"/>
              <w:snapToGrid w:val="0"/>
              <w:spacing w:line="36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100％×（投标价-评标基准价）／评标基准价</w:t>
            </w:r>
          </w:p>
          <w:p w14:paraId="3EE3FB00">
            <w:pPr>
              <w:spacing w:line="36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256B5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tcBorders>
              <w:tl2br w:val="nil"/>
              <w:tr2bl w:val="nil"/>
            </w:tcBorders>
            <w:vAlign w:val="center"/>
          </w:tcPr>
          <w:p w14:paraId="35BD72BF">
            <w:pPr>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1032" w:type="pct"/>
            <w:gridSpan w:val="2"/>
            <w:tcBorders>
              <w:tl2br w:val="nil"/>
              <w:tr2bl w:val="nil"/>
            </w:tcBorders>
            <w:vAlign w:val="center"/>
          </w:tcPr>
          <w:p w14:paraId="129F81BA">
            <w:pPr>
              <w:spacing w:line="36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3204" w:type="pct"/>
            <w:gridSpan w:val="2"/>
            <w:tcBorders>
              <w:tl2br w:val="nil"/>
              <w:tr2bl w:val="nil"/>
            </w:tcBorders>
            <w:vAlign w:val="center"/>
          </w:tcPr>
          <w:p w14:paraId="0D581367">
            <w:pPr>
              <w:spacing w:line="36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282" w:type="pct"/>
            <w:tcBorders>
              <w:tl2br w:val="nil"/>
              <w:tr2bl w:val="nil"/>
            </w:tcBorders>
            <w:vAlign w:val="center"/>
          </w:tcPr>
          <w:p w14:paraId="1D15EF46">
            <w:pPr>
              <w:spacing w:line="36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5D31E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tcBorders>
              <w:tl2br w:val="nil"/>
              <w:tr2bl w:val="nil"/>
            </w:tcBorders>
            <w:vAlign w:val="center"/>
          </w:tcPr>
          <w:p w14:paraId="18AA4155">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8</w:t>
            </w:r>
          </w:p>
        </w:tc>
        <w:tc>
          <w:tcPr>
            <w:tcW w:w="456" w:type="pct"/>
            <w:tcBorders>
              <w:tl2br w:val="nil"/>
              <w:tr2bl w:val="nil"/>
            </w:tcBorders>
            <w:vAlign w:val="center"/>
          </w:tcPr>
          <w:p w14:paraId="077AC45E">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B.商务评分标准（</w:t>
            </w:r>
            <w:r>
              <w:rPr>
                <w:rFonts w:hint="eastAsia" w:asciiTheme="minorEastAsia" w:hAnsiTheme="minorEastAsia" w:eastAsiaTheme="minorEastAsia" w:cstheme="minorEastAsia"/>
                <w:bCs/>
                <w:color w:val="auto"/>
                <w:szCs w:val="21"/>
                <w:highlight w:val="none"/>
                <w:lang w:val="en-US" w:eastAsia="zh-CN" w:bidi="ar"/>
              </w:rPr>
              <w:t>1</w:t>
            </w:r>
            <w:r>
              <w:rPr>
                <w:rFonts w:hint="eastAsia" w:asciiTheme="minorEastAsia" w:hAnsiTheme="minorEastAsia" w:eastAsiaTheme="minorEastAsia" w:cstheme="minorEastAsia"/>
                <w:bCs/>
                <w:color w:val="auto"/>
                <w:szCs w:val="21"/>
                <w:highlight w:val="none"/>
                <w:lang w:bidi="ar"/>
              </w:rPr>
              <w:t>0分）</w:t>
            </w:r>
          </w:p>
        </w:tc>
        <w:tc>
          <w:tcPr>
            <w:tcW w:w="576" w:type="pct"/>
            <w:tcBorders>
              <w:tl2br w:val="nil"/>
              <w:tr2bl w:val="nil"/>
            </w:tcBorders>
            <w:shd w:val="clear" w:color="auto" w:fill="auto"/>
            <w:vAlign w:val="center"/>
          </w:tcPr>
          <w:p w14:paraId="3842464E">
            <w:pPr>
              <w:widowControl/>
              <w:spacing w:line="360" w:lineRule="exact"/>
              <w:jc w:val="center"/>
              <w:textAlignment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w:t>
            </w:r>
          </w:p>
          <w:p w14:paraId="6274C8EB">
            <w:pPr>
              <w:widowControl/>
              <w:spacing w:line="360" w:lineRule="exact"/>
              <w:jc w:val="center"/>
              <w:textAlignment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业绩</w:t>
            </w:r>
          </w:p>
          <w:p w14:paraId="3663EB99">
            <w:pPr>
              <w:widowControl/>
              <w:spacing w:line="360" w:lineRule="exact"/>
              <w:jc w:val="center"/>
              <w:textAlignment w:val="center"/>
              <w:rPr>
                <w:rFonts w:asciiTheme="minorEastAsia" w:hAnsiTheme="minorEastAsia" w:eastAsiaTheme="minorEastAsia" w:cstheme="minorEastAsia"/>
                <w:bCs/>
                <w:color w:val="auto"/>
                <w:kern w:val="2"/>
                <w:sz w:val="21"/>
                <w:szCs w:val="21"/>
                <w:highlight w:val="none"/>
                <w:lang w:val="en-US" w:eastAsia="zh-CN" w:bidi="ar"/>
              </w:rPr>
            </w:pPr>
            <w:r>
              <w:rPr>
                <w:rFonts w:hint="eastAsia" w:asciiTheme="minorEastAsia" w:hAnsiTheme="minorEastAsia" w:eastAsiaTheme="minorEastAsia" w:cstheme="minorEastAsia"/>
                <w:color w:val="auto"/>
                <w:szCs w:val="21"/>
                <w:highlight w:val="none"/>
              </w:rPr>
              <w:t>（1</w:t>
            </w:r>
            <w:r>
              <w:rPr>
                <w:rFonts w:hint="eastAsia" w:asciiTheme="minorEastAsia" w:hAnsiTheme="minorEastAsia" w:eastAsiaTheme="minorEastAsia" w:cstheme="minorEastAsia"/>
                <w:color w:val="auto"/>
                <w:szCs w:val="21"/>
                <w:highlight w:val="none"/>
                <w:lang w:val="en-US" w:eastAsia="zh-CN"/>
              </w:rPr>
              <w:t>0</w:t>
            </w:r>
            <w:r>
              <w:rPr>
                <w:rFonts w:hint="eastAsia" w:asciiTheme="minorEastAsia" w:hAnsiTheme="minorEastAsia" w:eastAsiaTheme="minorEastAsia" w:cstheme="minorEastAsia"/>
                <w:color w:val="auto"/>
                <w:szCs w:val="21"/>
                <w:highlight w:val="none"/>
              </w:rPr>
              <w:t>分）</w:t>
            </w:r>
          </w:p>
        </w:tc>
        <w:tc>
          <w:tcPr>
            <w:tcW w:w="3204" w:type="pct"/>
            <w:gridSpan w:val="2"/>
            <w:tcBorders>
              <w:tl2br w:val="nil"/>
              <w:tr2bl w:val="nil"/>
            </w:tcBorders>
            <w:shd w:val="clear" w:color="auto" w:fill="auto"/>
            <w:vAlign w:val="center"/>
          </w:tcPr>
          <w:p w14:paraId="4926D992">
            <w:pPr>
              <w:widowControl/>
              <w:spacing w:line="420" w:lineRule="exact"/>
              <w:ind w:firstLine="420" w:firstLineChars="200"/>
              <w:jc w:val="left"/>
              <w:rPr>
                <w:rFonts w:hint="eastAsia" w:asciiTheme="minorEastAsia" w:hAnsiTheme="minorEastAsia" w:eastAsiaTheme="minorEastAsia" w:cstheme="minorEastAsia"/>
                <w:color w:val="auto"/>
                <w:kern w:val="0"/>
                <w:szCs w:val="21"/>
                <w:highlight w:val="none"/>
                <w:shd w:val="clear" w:color="auto" w:fill="FFFFFF"/>
                <w:lang w:val="en-US" w:eastAsia="zh-CN" w:bidi="ar"/>
              </w:rPr>
            </w:pPr>
            <w:r>
              <w:rPr>
                <w:rFonts w:hint="eastAsia" w:asciiTheme="minorEastAsia" w:hAnsiTheme="minorEastAsia" w:eastAsiaTheme="minorEastAsia" w:cstheme="minorEastAsia"/>
                <w:color w:val="auto"/>
                <w:kern w:val="0"/>
                <w:szCs w:val="21"/>
                <w:highlight w:val="none"/>
                <w:shd w:val="clear" w:color="auto" w:fill="FFFFFF"/>
                <w:lang w:bidi="ar"/>
              </w:rPr>
              <w:t>1.满足资格要求基础业绩条件得4分</w:t>
            </w:r>
            <w:r>
              <w:rPr>
                <w:rFonts w:hint="eastAsia" w:asciiTheme="minorEastAsia" w:hAnsiTheme="minorEastAsia" w:eastAsiaTheme="minorEastAsia" w:cstheme="minorEastAsia"/>
                <w:color w:val="auto"/>
                <w:kern w:val="0"/>
                <w:szCs w:val="21"/>
                <w:highlight w:val="none"/>
                <w:shd w:val="clear" w:color="auto" w:fill="FFFFFF"/>
                <w:lang w:eastAsia="zh-CN" w:bidi="ar"/>
              </w:rPr>
              <w:t>。</w:t>
            </w:r>
          </w:p>
          <w:p w14:paraId="4138579A">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Theme="minorEastAsia" w:hAnsiTheme="minorEastAsia" w:eastAsiaTheme="minorEastAsia" w:cstheme="minorEastAsia"/>
                <w:color w:val="auto"/>
                <w:kern w:val="0"/>
                <w:szCs w:val="21"/>
                <w:highlight w:val="none"/>
                <w:shd w:val="clear" w:color="auto" w:fill="FFFFFF"/>
                <w:lang w:bidi="ar"/>
              </w:rPr>
              <w:t>2.</w:t>
            </w:r>
            <w:r>
              <w:rPr>
                <w:rFonts w:hint="eastAsia" w:ascii="宋体" w:hAnsi="宋体" w:eastAsia="宋体" w:cs="宋体"/>
                <w:color w:val="auto"/>
                <w:szCs w:val="21"/>
                <w:highlight w:val="none"/>
                <w:lang w:val="en-US" w:eastAsia="zh-CN"/>
              </w:rPr>
              <w:t>在满足资格要求基础上</w:t>
            </w:r>
            <w:r>
              <w:rPr>
                <w:rFonts w:hint="eastAsia" w:ascii="宋体" w:hAnsi="宋体" w:cs="宋体"/>
                <w:color w:val="auto"/>
                <w:szCs w:val="21"/>
                <w:highlight w:val="none"/>
                <w:lang w:val="en-US" w:eastAsia="zh-CN"/>
              </w:rPr>
              <w:t>，</w:t>
            </w:r>
            <w:r>
              <w:rPr>
                <w:rFonts w:hint="eastAsia" w:asciiTheme="minorEastAsia" w:hAnsiTheme="minorEastAsia" w:eastAsiaTheme="minorEastAsia" w:cstheme="minorEastAsia"/>
                <w:color w:val="auto"/>
                <w:kern w:val="0"/>
                <w:szCs w:val="21"/>
                <w:highlight w:val="none"/>
                <w:shd w:val="clear" w:color="auto" w:fill="FFFFFF"/>
                <w:lang w:bidi="ar"/>
              </w:rPr>
              <w:t>报价人在202</w:t>
            </w:r>
            <w:r>
              <w:rPr>
                <w:rFonts w:hint="eastAsia" w:asciiTheme="minorEastAsia" w:hAnsiTheme="minorEastAsia" w:eastAsiaTheme="minorEastAsia" w:cstheme="minorEastAsia"/>
                <w:color w:val="auto"/>
                <w:kern w:val="0"/>
                <w:szCs w:val="21"/>
                <w:highlight w:val="none"/>
                <w:shd w:val="clear" w:color="auto" w:fill="FFFFFF"/>
                <w:lang w:val="en-US" w:eastAsia="zh-CN" w:bidi="ar"/>
              </w:rPr>
              <w:t>2</w:t>
            </w:r>
            <w:r>
              <w:rPr>
                <w:rFonts w:hint="eastAsia" w:asciiTheme="minorEastAsia" w:hAnsiTheme="minorEastAsia" w:eastAsiaTheme="minorEastAsia" w:cstheme="minorEastAsia"/>
                <w:color w:val="auto"/>
                <w:kern w:val="0"/>
                <w:szCs w:val="21"/>
                <w:highlight w:val="none"/>
                <w:shd w:val="clear" w:color="auto" w:fill="FFFFFF"/>
                <w:lang w:bidi="ar"/>
              </w:rPr>
              <w:t>年1月1日至报价截止日期</w:t>
            </w:r>
            <w:r>
              <w:rPr>
                <w:rFonts w:hint="eastAsia" w:ascii="宋体" w:hAnsi="宋体" w:cs="宋体"/>
                <w:color w:val="auto"/>
                <w:szCs w:val="21"/>
                <w:highlight w:val="none"/>
                <w:lang w:val="en-US" w:eastAsia="zh-CN"/>
              </w:rPr>
              <w:t>（以合同签订时间为准）</w:t>
            </w:r>
            <w:r>
              <w:rPr>
                <w:rFonts w:hint="eastAsia" w:asciiTheme="minorEastAsia" w:hAnsiTheme="minorEastAsia" w:eastAsiaTheme="minorEastAsia" w:cstheme="minorEastAsia"/>
                <w:color w:val="auto"/>
                <w:kern w:val="0"/>
                <w:szCs w:val="21"/>
                <w:highlight w:val="none"/>
                <w:shd w:val="clear" w:color="auto" w:fill="FFFFFF"/>
                <w:lang w:val="en-US" w:eastAsia="zh-CN" w:bidi="ar"/>
              </w:rPr>
              <w:t>成功完成</w:t>
            </w:r>
            <w:r>
              <w:rPr>
                <w:rFonts w:hint="eastAsia" w:asciiTheme="minorEastAsia" w:hAnsiTheme="minorEastAsia" w:eastAsiaTheme="minorEastAsia" w:cstheme="minorEastAsia"/>
                <w:color w:val="auto"/>
                <w:kern w:val="0"/>
                <w:szCs w:val="21"/>
                <w:highlight w:val="none"/>
                <w:shd w:val="clear" w:color="auto" w:fill="FFFFFF"/>
                <w:lang w:bidi="ar"/>
              </w:rPr>
              <w:t>一项</w:t>
            </w:r>
            <w:r>
              <w:rPr>
                <w:rFonts w:hint="eastAsia" w:ascii="宋体" w:hAnsi="宋体" w:cs="宋体"/>
                <w:color w:val="auto"/>
                <w:szCs w:val="21"/>
                <w:highlight w:val="none"/>
                <w:lang w:val="en-US" w:eastAsia="zh-CN"/>
              </w:rPr>
              <w:t>中国境内企业资质办理咨询服务合作案例，每提供一个成功案例得2分，本项最多得6分。</w:t>
            </w:r>
          </w:p>
          <w:p w14:paraId="56D7FD54">
            <w:pPr>
              <w:widowControl/>
              <w:spacing w:line="42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注：</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业绩证明资料提供合同复印件或关键页（需清晰反映上述业绩要求的主要内容，包括但不限于合同签订时间、合同金额及合同内容），并盖单位公章。若合同中无法体现上述内容的，则还需出具加盖业主公章的业主证明材料。不满足上述业绩要求的业绩视为无效。</w:t>
            </w:r>
          </w:p>
          <w:p w14:paraId="53913B1D">
            <w:pPr>
              <w:widowControl/>
              <w:spacing w:line="420" w:lineRule="exact"/>
              <w:ind w:firstLine="420" w:firstLineChars="200"/>
              <w:jc w:val="left"/>
              <w:rPr>
                <w:rFonts w:eastAsia="宋体" w:cs="宋体" w:asciiTheme="minorEastAsia" w:hAnsiTheme="minorEastAsia"/>
                <w:color w:val="auto"/>
                <w:kern w:val="2"/>
                <w:sz w:val="21"/>
                <w:szCs w:val="21"/>
                <w:highlight w:val="none"/>
                <w:lang w:val="en-US" w:eastAsia="zh-CN" w:bidi="ar"/>
              </w:rPr>
            </w:pPr>
            <w:r>
              <w:rPr>
                <w:rFonts w:hint="eastAsia" w:ascii="宋体" w:hAnsi="宋体" w:eastAsia="宋体" w:cs="宋体"/>
                <w:color w:val="auto"/>
                <w:szCs w:val="21"/>
                <w:highlight w:val="none"/>
                <w:lang w:val="en-US" w:eastAsia="zh-CN"/>
              </w:rPr>
              <w:t>2.</w:t>
            </w:r>
            <w:r>
              <w:rPr>
                <w:rFonts w:hint="eastAsia"/>
                <w:color w:val="auto"/>
                <w:highlight w:val="none"/>
              </w:rPr>
              <w:t>提供官网证书查询信息截图</w:t>
            </w:r>
            <w:r>
              <w:rPr>
                <w:rFonts w:hint="eastAsia"/>
                <w:color w:val="auto"/>
                <w:highlight w:val="none"/>
                <w:lang w:eastAsia="zh-CN"/>
              </w:rPr>
              <w:t>（</w:t>
            </w:r>
            <w:r>
              <w:rPr>
                <w:rFonts w:hint="eastAsia" w:ascii="宋体" w:hAnsi="宋体" w:cs="宋体"/>
                <w:color w:val="auto"/>
                <w:szCs w:val="21"/>
                <w:highlight w:val="none"/>
                <w:lang w:val="en-US" w:eastAsia="zh-CN"/>
              </w:rPr>
              <w:t>四库一平台</w:t>
            </w:r>
            <w:r>
              <w:rPr>
                <w:rFonts w:hint="eastAsia"/>
                <w:color w:val="auto"/>
                <w:highlight w:val="none"/>
                <w:lang w:eastAsia="zh-CN"/>
              </w:rPr>
              <w:t>）</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lang w:eastAsia="zh-CN"/>
              </w:rPr>
              <w:t>并盖单位公章。</w:t>
            </w:r>
          </w:p>
        </w:tc>
        <w:tc>
          <w:tcPr>
            <w:tcW w:w="282" w:type="pct"/>
            <w:tcBorders>
              <w:tl2br w:val="nil"/>
              <w:tr2bl w:val="nil"/>
            </w:tcBorders>
            <w:vAlign w:val="center"/>
          </w:tcPr>
          <w:p w14:paraId="636E1D3F">
            <w:pPr>
              <w:spacing w:line="360" w:lineRule="exact"/>
              <w:jc w:val="center"/>
              <w:rPr>
                <w:rFonts w:asciiTheme="minorEastAsia" w:hAnsiTheme="minorEastAsia" w:eastAsiaTheme="minorEastAsia" w:cstheme="minorEastAsia"/>
                <w:b/>
                <w:color w:val="auto"/>
                <w:szCs w:val="21"/>
                <w:highlight w:val="none"/>
                <w:lang w:bidi="ar"/>
              </w:rPr>
            </w:pPr>
          </w:p>
          <w:p w14:paraId="10A9566E">
            <w:pPr>
              <w:pStyle w:val="29"/>
              <w:spacing w:before="0" w:after="0" w:line="360" w:lineRule="exact"/>
              <w:rPr>
                <w:color w:val="auto"/>
                <w:highlight w:val="none"/>
              </w:rPr>
            </w:pPr>
          </w:p>
        </w:tc>
      </w:tr>
      <w:tr w14:paraId="234C8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tcBorders>
              <w:tl2br w:val="nil"/>
              <w:tr2bl w:val="nil"/>
            </w:tcBorders>
            <w:vAlign w:val="center"/>
          </w:tcPr>
          <w:p w14:paraId="0FB87006">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9</w:t>
            </w:r>
          </w:p>
        </w:tc>
        <w:tc>
          <w:tcPr>
            <w:tcW w:w="456" w:type="pct"/>
            <w:tcBorders>
              <w:tl2br w:val="nil"/>
              <w:tr2bl w:val="nil"/>
            </w:tcBorders>
            <w:vAlign w:val="center"/>
          </w:tcPr>
          <w:p w14:paraId="63D6C6E5">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C.技术评分标准（</w:t>
            </w:r>
            <w:r>
              <w:rPr>
                <w:rFonts w:asciiTheme="minorEastAsia" w:hAnsiTheme="minorEastAsia" w:eastAsiaTheme="minorEastAsia" w:cstheme="minorEastAsia"/>
                <w:bCs/>
                <w:color w:val="auto"/>
                <w:szCs w:val="21"/>
                <w:highlight w:val="none"/>
                <w:lang w:bidi="ar"/>
              </w:rPr>
              <w:t>20</w:t>
            </w:r>
            <w:r>
              <w:rPr>
                <w:rFonts w:hint="eastAsia" w:asciiTheme="minorEastAsia" w:hAnsiTheme="minorEastAsia" w:eastAsiaTheme="minorEastAsia" w:cstheme="minorEastAsia"/>
                <w:bCs/>
                <w:color w:val="auto"/>
                <w:szCs w:val="21"/>
                <w:highlight w:val="none"/>
                <w:lang w:bidi="ar"/>
              </w:rPr>
              <w:t>分）</w:t>
            </w:r>
          </w:p>
        </w:tc>
        <w:tc>
          <w:tcPr>
            <w:tcW w:w="576" w:type="pct"/>
            <w:tcBorders>
              <w:tl2br w:val="nil"/>
              <w:tr2bl w:val="nil"/>
            </w:tcBorders>
            <w:vAlign w:val="center"/>
          </w:tcPr>
          <w:p w14:paraId="07F3A6FF">
            <w:pPr>
              <w:keepNext w:val="0"/>
              <w:keepLines w:val="0"/>
              <w:widowControl/>
              <w:suppressLineNumbers w:val="0"/>
              <w:jc w:val="center"/>
              <w:textAlignment w:val="center"/>
              <w:rPr>
                <w:rFonts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bCs w:val="0"/>
                <w:color w:val="auto"/>
                <w:sz w:val="21"/>
                <w:szCs w:val="21"/>
                <w:highlight w:val="none"/>
                <w:lang w:val="en-US" w:eastAsia="zh-CN"/>
              </w:rPr>
              <w:t>服务方案</w:t>
            </w:r>
            <w:r>
              <w:rPr>
                <w:rFonts w:hint="eastAsia" w:asciiTheme="minorEastAsia" w:hAnsiTheme="minorEastAsia" w:eastAsiaTheme="minorEastAsia" w:cstheme="minorEastAsia"/>
                <w:bCs w:val="0"/>
                <w:color w:val="auto"/>
                <w:sz w:val="21"/>
                <w:szCs w:val="21"/>
                <w:highlight w:val="none"/>
              </w:rPr>
              <w:t>（</w:t>
            </w:r>
            <w:r>
              <w:rPr>
                <w:rFonts w:hint="eastAsia" w:asciiTheme="minorEastAsia" w:hAnsiTheme="minorEastAsia" w:eastAsiaTheme="minorEastAsia" w:cstheme="minorEastAsia"/>
                <w:bCs w:val="0"/>
                <w:color w:val="auto"/>
                <w:sz w:val="21"/>
                <w:szCs w:val="21"/>
                <w:highlight w:val="none"/>
                <w:lang w:val="en-US" w:eastAsia="zh-CN"/>
              </w:rPr>
              <w:t>20</w:t>
            </w:r>
            <w:r>
              <w:rPr>
                <w:rFonts w:hint="eastAsia" w:asciiTheme="minorEastAsia" w:hAnsiTheme="minorEastAsia" w:eastAsiaTheme="minorEastAsia" w:cstheme="minorEastAsia"/>
                <w:bCs w:val="0"/>
                <w:color w:val="auto"/>
                <w:sz w:val="21"/>
                <w:szCs w:val="21"/>
                <w:highlight w:val="none"/>
              </w:rPr>
              <w:t>分）</w:t>
            </w:r>
          </w:p>
        </w:tc>
        <w:tc>
          <w:tcPr>
            <w:tcW w:w="3204" w:type="pct"/>
            <w:gridSpan w:val="2"/>
            <w:tcBorders>
              <w:tl2br w:val="nil"/>
              <w:tr2bl w:val="nil"/>
            </w:tcBorders>
            <w:vAlign w:val="center"/>
          </w:tcPr>
          <w:p w14:paraId="40C329AB">
            <w:pPr>
              <w:widowControl/>
              <w:spacing w:line="420" w:lineRule="exact"/>
              <w:ind w:firstLine="420" w:firstLineChars="200"/>
              <w:jc w:val="left"/>
              <w:rPr>
                <w:rFonts w:hint="eastAsia" w:asciiTheme="minorEastAsia" w:hAnsiTheme="minorEastAsia" w:eastAsiaTheme="minorEastAsia" w:cstheme="minorEastAsia"/>
                <w:color w:val="auto"/>
                <w:kern w:val="0"/>
                <w:szCs w:val="21"/>
                <w:highlight w:val="none"/>
                <w:shd w:val="clear" w:color="auto" w:fill="FFFFFF"/>
                <w:lang w:eastAsia="zh-CN" w:bidi="ar"/>
              </w:rPr>
            </w:pPr>
            <w:r>
              <w:rPr>
                <w:rFonts w:hint="eastAsia" w:asciiTheme="minorEastAsia" w:hAnsiTheme="minorEastAsia" w:eastAsiaTheme="minorEastAsia" w:cstheme="minorEastAsia"/>
                <w:color w:val="auto"/>
                <w:kern w:val="0"/>
                <w:szCs w:val="21"/>
                <w:highlight w:val="none"/>
                <w:shd w:val="clear" w:color="auto" w:fill="FFFFFF"/>
                <w:lang w:bidi="ar"/>
              </w:rPr>
              <w:t>报价人</w:t>
            </w:r>
            <w:r>
              <w:rPr>
                <w:rFonts w:hint="eastAsia" w:asciiTheme="minorEastAsia" w:hAnsiTheme="minorEastAsia" w:eastAsiaTheme="minorEastAsia" w:cstheme="minorEastAsia"/>
                <w:color w:val="auto"/>
                <w:kern w:val="0"/>
                <w:szCs w:val="21"/>
                <w:highlight w:val="none"/>
                <w:shd w:val="clear" w:color="auto" w:fill="FFFFFF"/>
                <w:lang w:val="en-US" w:eastAsia="zh-CN" w:bidi="ar"/>
              </w:rPr>
              <w:t>提供的</w:t>
            </w:r>
            <w:r>
              <w:rPr>
                <w:rFonts w:hint="eastAsia" w:asciiTheme="minorEastAsia" w:hAnsiTheme="minorEastAsia" w:eastAsiaTheme="minorEastAsia" w:cstheme="minorEastAsia"/>
                <w:color w:val="auto"/>
                <w:kern w:val="0"/>
                <w:szCs w:val="21"/>
                <w:highlight w:val="none"/>
                <w:shd w:val="clear" w:color="auto" w:fill="FFFFFF"/>
                <w:lang w:bidi="ar"/>
              </w:rPr>
              <w:t>方案严谨、有针对性</w:t>
            </w:r>
            <w:r>
              <w:rPr>
                <w:rFonts w:hint="eastAsia" w:asciiTheme="minorEastAsia" w:hAnsiTheme="minorEastAsia" w:eastAsiaTheme="minorEastAsia" w:cstheme="minorEastAsia"/>
                <w:color w:val="auto"/>
                <w:kern w:val="0"/>
                <w:szCs w:val="21"/>
                <w:highlight w:val="none"/>
                <w:shd w:val="clear" w:color="auto" w:fill="FFFFFF"/>
                <w:lang w:eastAsia="zh-CN" w:bidi="ar"/>
              </w:rPr>
              <w:t>，</w:t>
            </w:r>
            <w:r>
              <w:rPr>
                <w:rFonts w:hint="eastAsia" w:asciiTheme="minorEastAsia" w:hAnsiTheme="minorEastAsia" w:eastAsiaTheme="minorEastAsia" w:cstheme="minorEastAsia"/>
                <w:color w:val="auto"/>
                <w:kern w:val="0"/>
                <w:szCs w:val="21"/>
                <w:highlight w:val="none"/>
                <w:shd w:val="clear" w:color="auto" w:fill="FFFFFF"/>
                <w:lang w:bidi="ar"/>
              </w:rPr>
              <w:t>项目实施阶段划分及进度安排合理，阶段任务明确、时间节点清晰，有较强的业务水准与团队协作能力</w:t>
            </w:r>
            <w:r>
              <w:rPr>
                <w:rFonts w:hint="eastAsia" w:asciiTheme="minorEastAsia" w:hAnsiTheme="minorEastAsia" w:eastAsiaTheme="minorEastAsia" w:cstheme="minorEastAsia"/>
                <w:color w:val="auto"/>
                <w:kern w:val="0"/>
                <w:szCs w:val="21"/>
                <w:highlight w:val="none"/>
                <w:shd w:val="clear" w:color="auto" w:fill="FFFFFF"/>
                <w:lang w:eastAsia="zh-CN" w:bidi="ar"/>
              </w:rPr>
              <w:t>、后续支持服务承诺完善、措施具体可行。</w:t>
            </w:r>
          </w:p>
          <w:p w14:paraId="3B62E176">
            <w:pPr>
              <w:widowControl/>
              <w:spacing w:line="420" w:lineRule="exact"/>
              <w:ind w:firstLine="420" w:firstLineChars="200"/>
              <w:jc w:val="left"/>
              <w:rPr>
                <w:rFonts w:hint="eastAsia" w:asciiTheme="minorEastAsia" w:hAnsiTheme="minorEastAsia" w:eastAsiaTheme="minorEastAsia" w:cstheme="minorEastAsia"/>
                <w:color w:val="auto"/>
                <w:kern w:val="0"/>
                <w:szCs w:val="21"/>
                <w:highlight w:val="none"/>
                <w:shd w:val="clear" w:color="auto" w:fill="FFFFFF"/>
                <w:lang w:val="en-US" w:eastAsia="zh-CN" w:bidi="ar"/>
              </w:rPr>
            </w:pPr>
            <w:r>
              <w:rPr>
                <w:rFonts w:hint="eastAsia" w:asciiTheme="minorEastAsia" w:hAnsiTheme="minorEastAsia" w:eastAsiaTheme="minorEastAsia" w:cstheme="minorEastAsia"/>
                <w:color w:val="auto"/>
                <w:kern w:val="0"/>
                <w:szCs w:val="21"/>
                <w:highlight w:val="none"/>
                <w:shd w:val="clear" w:color="auto" w:fill="FFFFFF"/>
                <w:lang w:bidi="ar"/>
              </w:rPr>
              <w:t>根据报价人提供的方案与本项目的吻合度情况进行综合比较打分</w:t>
            </w:r>
            <w:r>
              <w:rPr>
                <w:rFonts w:hint="eastAsia" w:asciiTheme="minorEastAsia" w:hAnsiTheme="minorEastAsia" w:eastAsiaTheme="minorEastAsia" w:cstheme="minorEastAsia"/>
                <w:color w:val="auto"/>
                <w:kern w:val="0"/>
                <w:szCs w:val="21"/>
                <w:highlight w:val="none"/>
                <w:shd w:val="clear" w:color="auto" w:fill="FFFFFF"/>
                <w:lang w:val="en-US" w:eastAsia="zh-CN" w:bidi="ar"/>
              </w:rPr>
              <w:t>：方案描述清晰、完整，可操作性强得20-16分，方案描述较清晰、较完整，可操作性较强得16-12分；方案描述不够清晰，不够完整得12-0分；不提供不得分。</w:t>
            </w:r>
          </w:p>
          <w:p w14:paraId="09682464">
            <w:pPr>
              <w:widowControl/>
              <w:spacing w:line="420" w:lineRule="exact"/>
              <w:ind w:firstLine="420" w:firstLineChars="200"/>
              <w:jc w:val="left"/>
              <w:rPr>
                <w:rFonts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color w:val="auto"/>
                <w:kern w:val="0"/>
                <w:szCs w:val="21"/>
                <w:highlight w:val="none"/>
                <w:shd w:val="clear" w:color="auto" w:fill="FFFFFF"/>
                <w:lang w:bidi="ar"/>
              </w:rPr>
              <w:t>注:由报价人自行编制，格式自拟。未提供的不得分。</w:t>
            </w:r>
          </w:p>
        </w:tc>
        <w:tc>
          <w:tcPr>
            <w:tcW w:w="282" w:type="pct"/>
            <w:tcBorders>
              <w:tl2br w:val="nil"/>
              <w:tr2bl w:val="nil"/>
            </w:tcBorders>
            <w:vAlign w:val="center"/>
          </w:tcPr>
          <w:p w14:paraId="509DD222">
            <w:pPr>
              <w:spacing w:line="360" w:lineRule="exact"/>
              <w:jc w:val="center"/>
              <w:rPr>
                <w:rFonts w:asciiTheme="minorEastAsia" w:hAnsiTheme="minorEastAsia" w:eastAsiaTheme="minorEastAsia" w:cstheme="minorEastAsia"/>
                <w:b/>
                <w:color w:val="auto"/>
                <w:sz w:val="18"/>
                <w:szCs w:val="18"/>
                <w:highlight w:val="none"/>
                <w:lang w:bidi="ar"/>
              </w:rPr>
            </w:pPr>
          </w:p>
        </w:tc>
      </w:tr>
      <w:tr w14:paraId="49223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tcBorders>
              <w:tl2br w:val="nil"/>
              <w:tr2bl w:val="nil"/>
            </w:tcBorders>
            <w:vAlign w:val="center"/>
          </w:tcPr>
          <w:p w14:paraId="057A9314">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10</w:t>
            </w:r>
          </w:p>
        </w:tc>
        <w:tc>
          <w:tcPr>
            <w:tcW w:w="456" w:type="pct"/>
            <w:tcBorders>
              <w:tl2br w:val="nil"/>
              <w:tr2bl w:val="nil"/>
            </w:tcBorders>
            <w:vAlign w:val="center"/>
          </w:tcPr>
          <w:p w14:paraId="5D2B7E2A">
            <w:pPr>
              <w:pStyle w:val="38"/>
              <w:widowControl w:val="0"/>
              <w:adjustRightInd w:val="0"/>
              <w:spacing w:before="0" w:beforeAutospacing="0" w:after="0" w:afterAutospacing="0" w:line="360" w:lineRule="exact"/>
              <w:jc w:val="center"/>
              <w:textAlignment w:val="baseline"/>
              <w:rPr>
                <w:rFonts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kern w:val="2"/>
                <w:sz w:val="21"/>
                <w:szCs w:val="21"/>
                <w:highlight w:val="none"/>
                <w:lang w:bidi="ar"/>
              </w:rPr>
              <w:t>A.评标价（</w:t>
            </w:r>
            <w:r>
              <w:rPr>
                <w:rFonts w:hint="eastAsia" w:asciiTheme="minorEastAsia" w:hAnsiTheme="minorEastAsia" w:eastAsiaTheme="minorEastAsia" w:cstheme="minorEastAsia"/>
                <w:bCs/>
                <w:color w:val="auto"/>
                <w:kern w:val="2"/>
                <w:sz w:val="21"/>
                <w:szCs w:val="21"/>
                <w:highlight w:val="none"/>
                <w:lang w:val="en-US" w:eastAsia="zh-CN" w:bidi="ar"/>
              </w:rPr>
              <w:t>7</w:t>
            </w:r>
            <w:r>
              <w:rPr>
                <w:rFonts w:asciiTheme="minorEastAsia" w:hAnsiTheme="minorEastAsia" w:eastAsiaTheme="minorEastAsia" w:cstheme="minorEastAsia"/>
                <w:bCs/>
                <w:color w:val="auto"/>
                <w:kern w:val="2"/>
                <w:sz w:val="21"/>
                <w:szCs w:val="21"/>
                <w:highlight w:val="none"/>
                <w:lang w:bidi="ar"/>
              </w:rPr>
              <w:t>0</w:t>
            </w:r>
            <w:r>
              <w:rPr>
                <w:rFonts w:hint="eastAsia" w:asciiTheme="minorEastAsia" w:hAnsiTheme="minorEastAsia" w:eastAsiaTheme="minorEastAsia" w:cstheme="minorEastAsia"/>
                <w:bCs/>
                <w:color w:val="auto"/>
                <w:kern w:val="2"/>
                <w:sz w:val="21"/>
                <w:szCs w:val="21"/>
                <w:highlight w:val="none"/>
                <w:lang w:bidi="ar"/>
              </w:rPr>
              <w:t>分）</w:t>
            </w:r>
          </w:p>
        </w:tc>
        <w:tc>
          <w:tcPr>
            <w:tcW w:w="576" w:type="pct"/>
            <w:tcBorders>
              <w:tl2br w:val="nil"/>
              <w:tr2bl w:val="nil"/>
            </w:tcBorders>
            <w:vAlign w:val="center"/>
          </w:tcPr>
          <w:p w14:paraId="3DF8A951">
            <w:pPr>
              <w:pStyle w:val="38"/>
              <w:widowControl w:val="0"/>
              <w:adjustRightInd w:val="0"/>
              <w:spacing w:before="0" w:beforeAutospacing="0" w:after="0" w:afterAutospacing="0" w:line="36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3204" w:type="pct"/>
            <w:gridSpan w:val="2"/>
            <w:tcBorders>
              <w:tl2br w:val="nil"/>
              <w:tr2bl w:val="nil"/>
            </w:tcBorders>
            <w:vAlign w:val="center"/>
          </w:tcPr>
          <w:p w14:paraId="763E1A9D">
            <w:pPr>
              <w:pStyle w:val="42"/>
              <w:snapToGrid w:val="0"/>
              <w:spacing w:after="0" w:line="400" w:lineRule="exact"/>
              <w:ind w:firstLineChars="200"/>
              <w:rPr>
                <w:rFonts w:hAnsi="宋体" w:eastAsia="宋体" w:cs="宋体"/>
                <w:color w:val="auto"/>
                <w:sz w:val="21"/>
                <w:szCs w:val="24"/>
                <w:highlight w:val="none"/>
              </w:rPr>
            </w:pPr>
            <w:r>
              <w:rPr>
                <w:rFonts w:hint="eastAsia" w:hAnsi="宋体" w:eastAsia="宋体" w:cs="宋体"/>
                <w:color w:val="auto"/>
                <w:sz w:val="21"/>
                <w:szCs w:val="24"/>
                <w:highlight w:val="none"/>
              </w:rPr>
              <w:t>所有有效投标报价分别与评标基准价相比较，等于基准价得</w:t>
            </w:r>
            <w:r>
              <w:rPr>
                <w:rFonts w:hint="eastAsia" w:hAnsi="宋体" w:eastAsia="宋体" w:cs="宋体"/>
                <w:color w:val="auto"/>
                <w:sz w:val="21"/>
                <w:szCs w:val="24"/>
                <w:highlight w:val="none"/>
                <w:lang w:val="en-US" w:eastAsia="zh-CN"/>
              </w:rPr>
              <w:t>7</w:t>
            </w:r>
            <w:r>
              <w:rPr>
                <w:rFonts w:hint="eastAsia" w:hAnsi="宋体" w:eastAsia="宋体" w:cs="宋体"/>
                <w:color w:val="auto"/>
                <w:sz w:val="21"/>
                <w:szCs w:val="24"/>
                <w:highlight w:val="none"/>
              </w:rPr>
              <w:t>0分，每增加1%扣0.5分；每减少1%扣0.2</w:t>
            </w:r>
            <w:r>
              <w:rPr>
                <w:rFonts w:hint="eastAsia" w:hAnsi="宋体" w:eastAsia="宋体" w:cs="宋体"/>
                <w:color w:val="auto"/>
                <w:sz w:val="21"/>
                <w:szCs w:val="24"/>
                <w:highlight w:val="none"/>
                <w:lang w:val="en-US" w:eastAsia="zh-CN"/>
              </w:rPr>
              <w:t>5</w:t>
            </w:r>
            <w:r>
              <w:rPr>
                <w:rFonts w:hint="eastAsia" w:hAnsi="宋体" w:eastAsia="宋体" w:cs="宋体"/>
                <w:color w:val="auto"/>
                <w:sz w:val="21"/>
                <w:szCs w:val="24"/>
                <w:highlight w:val="none"/>
              </w:rPr>
              <w:t>分，</w:t>
            </w:r>
            <w:r>
              <w:rPr>
                <w:rFonts w:hint="eastAsia" w:asciiTheme="minorEastAsia" w:hAnsiTheme="minorEastAsia" w:eastAsiaTheme="minorEastAsia" w:cstheme="minorEastAsia"/>
                <w:color w:val="auto"/>
                <w:kern w:val="2"/>
                <w:sz w:val="21"/>
                <w:szCs w:val="21"/>
                <w:highlight w:val="none"/>
                <w:lang w:bidi="ar"/>
              </w:rPr>
              <w:t>扣完为止</w:t>
            </w:r>
            <w:r>
              <w:rPr>
                <w:rFonts w:hint="eastAsia" w:hAnsi="宋体" w:eastAsia="宋体" w:cs="宋体"/>
                <w:color w:val="auto"/>
                <w:sz w:val="21"/>
                <w:szCs w:val="24"/>
                <w:highlight w:val="none"/>
              </w:rPr>
              <w:t>。按插入法计算得分。</w:t>
            </w:r>
          </w:p>
          <w:p w14:paraId="556D7FAE">
            <w:pPr>
              <w:pStyle w:val="38"/>
              <w:widowControl w:val="0"/>
              <w:adjustRightInd w:val="0"/>
              <w:spacing w:before="0" w:beforeAutospacing="0" w:after="0" w:afterAutospacing="0" w:line="360" w:lineRule="exact"/>
              <w:ind w:firstLine="420" w:firstLineChars="200"/>
              <w:jc w:val="both"/>
              <w:textAlignment w:val="baseline"/>
              <w:rPr>
                <w:rFonts w:asciiTheme="minorEastAsia" w:hAnsiTheme="minorEastAsia" w:eastAsiaTheme="minorEastAsia" w:cstheme="minorEastAsia"/>
                <w:color w:val="auto"/>
                <w:kern w:val="2"/>
                <w:sz w:val="21"/>
                <w:szCs w:val="21"/>
                <w:highlight w:val="none"/>
              </w:rPr>
            </w:pPr>
            <w:r>
              <w:rPr>
                <w:rFonts w:hint="eastAsia"/>
                <w:color w:val="auto"/>
                <w:sz w:val="21"/>
                <w:highlight w:val="none"/>
              </w:rPr>
              <w:t>以上计算取小数点后两位，第三位四舍五入。</w:t>
            </w:r>
          </w:p>
        </w:tc>
        <w:tc>
          <w:tcPr>
            <w:tcW w:w="282" w:type="pct"/>
            <w:tcBorders>
              <w:tl2br w:val="nil"/>
              <w:tr2bl w:val="nil"/>
            </w:tcBorders>
            <w:vAlign w:val="center"/>
          </w:tcPr>
          <w:p w14:paraId="25297B12">
            <w:pPr>
              <w:spacing w:line="360" w:lineRule="exact"/>
              <w:jc w:val="center"/>
              <w:rPr>
                <w:rFonts w:asciiTheme="minorEastAsia" w:hAnsiTheme="minorEastAsia" w:eastAsiaTheme="minorEastAsia" w:cstheme="minorEastAsia"/>
                <w:b/>
                <w:color w:val="auto"/>
                <w:szCs w:val="21"/>
                <w:highlight w:val="none"/>
                <w:lang w:bidi="ar"/>
              </w:rPr>
            </w:pPr>
          </w:p>
        </w:tc>
      </w:tr>
      <w:tr w14:paraId="39543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tcBorders>
              <w:tl2br w:val="nil"/>
              <w:tr2bl w:val="nil"/>
            </w:tcBorders>
            <w:vAlign w:val="center"/>
          </w:tcPr>
          <w:p w14:paraId="525026AD">
            <w:pPr>
              <w:adjustRightInd w:val="0"/>
              <w:snapToGrid w:val="0"/>
              <w:spacing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highlight w:val="none"/>
              </w:rPr>
              <w:t>11</w:t>
            </w:r>
          </w:p>
        </w:tc>
        <w:tc>
          <w:tcPr>
            <w:tcW w:w="1032" w:type="pct"/>
            <w:gridSpan w:val="2"/>
            <w:tcBorders>
              <w:tl2br w:val="nil"/>
              <w:tr2bl w:val="nil"/>
            </w:tcBorders>
            <w:vAlign w:val="center"/>
          </w:tcPr>
          <w:p w14:paraId="49549E33">
            <w:pPr>
              <w:adjustRightInd w:val="0"/>
              <w:snapToGrid w:val="0"/>
              <w:spacing w:line="400" w:lineRule="exact"/>
              <w:jc w:val="center"/>
              <w:rPr>
                <w:rFonts w:asciiTheme="minorEastAsia" w:hAnsiTheme="minorEastAsia" w:eastAsiaTheme="minorEastAsia" w:cstheme="minorEastAsia"/>
                <w:color w:val="auto"/>
                <w:szCs w:val="21"/>
                <w:highlight w:val="none"/>
                <w:lang w:bidi="ar"/>
              </w:rPr>
            </w:pPr>
            <w:r>
              <w:rPr>
                <w:rFonts w:hint="eastAsia" w:ascii="宋体" w:hAnsi="宋体" w:cs="宋体"/>
                <w:color w:val="auto"/>
                <w:highlight w:val="none"/>
              </w:rPr>
              <w:t>报价人得分</w:t>
            </w:r>
          </w:p>
        </w:tc>
        <w:tc>
          <w:tcPr>
            <w:tcW w:w="3204" w:type="pct"/>
            <w:gridSpan w:val="2"/>
            <w:tcBorders>
              <w:tl2br w:val="nil"/>
              <w:tr2bl w:val="nil"/>
            </w:tcBorders>
            <w:vAlign w:val="center"/>
          </w:tcPr>
          <w:p w14:paraId="30FC90E8">
            <w:pPr>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highlight w:val="none"/>
              </w:rPr>
              <w:t>报价人得分=</w:t>
            </w:r>
            <w:r>
              <w:rPr>
                <w:rFonts w:hint="eastAsia" w:ascii="宋体" w:hAnsi="宋体" w:cs="宋体"/>
                <w:color w:val="auto"/>
                <w:kern w:val="0"/>
                <w:szCs w:val="21"/>
                <w:highlight w:val="none"/>
              </w:rPr>
              <w:t>A+B+C</w:t>
            </w:r>
          </w:p>
        </w:tc>
        <w:tc>
          <w:tcPr>
            <w:tcW w:w="282" w:type="pct"/>
            <w:tcBorders>
              <w:tl2br w:val="nil"/>
              <w:tr2bl w:val="nil"/>
            </w:tcBorders>
            <w:vAlign w:val="center"/>
          </w:tcPr>
          <w:p w14:paraId="7491C5B3">
            <w:pPr>
              <w:spacing w:line="360" w:lineRule="exact"/>
              <w:jc w:val="center"/>
              <w:rPr>
                <w:rFonts w:asciiTheme="minorEastAsia" w:hAnsiTheme="minorEastAsia" w:eastAsiaTheme="minorEastAsia" w:cstheme="minorEastAsia"/>
                <w:b/>
                <w:color w:val="auto"/>
                <w:szCs w:val="21"/>
                <w:highlight w:val="none"/>
                <w:lang w:bidi="ar"/>
              </w:rPr>
            </w:pPr>
          </w:p>
        </w:tc>
      </w:tr>
      <w:tr w14:paraId="1EBC7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80" w:type="pct"/>
            <w:tcBorders>
              <w:tl2br w:val="nil"/>
              <w:tr2bl w:val="nil"/>
            </w:tcBorders>
            <w:vAlign w:val="center"/>
          </w:tcPr>
          <w:p w14:paraId="31A6A257">
            <w:pPr>
              <w:pStyle w:val="38"/>
              <w:widowControl w:val="0"/>
              <w:adjustRightInd w:val="0"/>
              <w:spacing w:before="0" w:beforeAutospacing="0" w:after="0" w:afterAutospacing="0" w:line="360" w:lineRule="exact"/>
              <w:jc w:val="center"/>
              <w:textAlignment w:val="baseline"/>
              <w:rPr>
                <w:rFonts w:asciiTheme="minorEastAsia" w:hAnsiTheme="minorEastAsia" w:eastAsiaTheme="minorEastAsia" w:cstheme="minorEastAsia"/>
                <w:b/>
                <w:color w:val="auto"/>
                <w:kern w:val="2"/>
                <w:sz w:val="21"/>
                <w:szCs w:val="21"/>
                <w:highlight w:val="none"/>
                <w:lang w:bidi="ar"/>
              </w:rPr>
            </w:pPr>
            <w:bookmarkStart w:id="767" w:name="OLE_LINK39" w:colFirst="0" w:colLast="1"/>
            <w:r>
              <w:rPr>
                <w:rFonts w:hint="eastAsia" w:asciiTheme="minorEastAsia" w:hAnsiTheme="minorEastAsia" w:eastAsiaTheme="minorEastAsia" w:cstheme="minorEastAsia"/>
                <w:color w:val="auto"/>
                <w:kern w:val="2"/>
                <w:sz w:val="21"/>
                <w:szCs w:val="21"/>
                <w:highlight w:val="none"/>
                <w:lang w:bidi="ar"/>
              </w:rPr>
              <w:t>12</w:t>
            </w:r>
          </w:p>
        </w:tc>
        <w:tc>
          <w:tcPr>
            <w:tcW w:w="4519" w:type="pct"/>
            <w:gridSpan w:val="5"/>
            <w:tcBorders>
              <w:tl2br w:val="nil"/>
              <w:tr2bl w:val="nil"/>
            </w:tcBorders>
            <w:vAlign w:val="bottom"/>
          </w:tcPr>
          <w:p w14:paraId="2CDFBD56">
            <w:pPr>
              <w:adjustRightInd w:val="0"/>
              <w:snapToGrid w:val="0"/>
              <w:spacing w:line="400" w:lineRule="exact"/>
              <w:rPr>
                <w:rFonts w:asciiTheme="minorEastAsia" w:hAnsiTheme="minorEastAsia" w:eastAsiaTheme="minorEastAsia" w:cstheme="minorEastAsia"/>
                <w:color w:val="auto"/>
                <w:szCs w:val="21"/>
                <w:highlight w:val="none"/>
                <w:lang w:bidi="ar"/>
              </w:rPr>
            </w:pPr>
            <w:r>
              <w:rPr>
                <w:rFonts w:hint="eastAsia" w:ascii="宋体" w:hAnsi="宋体" w:cs="宋体"/>
                <w:color w:val="auto"/>
                <w:highlight w:val="none"/>
              </w:rPr>
              <w:t>除第二章“报价人须知”前附表授权直接确定中标人外，评标委员会按照得分由高到低的顺序推荐2名中标候选人，并标明排序。</w:t>
            </w:r>
          </w:p>
        </w:tc>
      </w:tr>
      <w:bookmarkEnd w:id="767"/>
    </w:tbl>
    <w:p w14:paraId="77EC7252">
      <w:pPr>
        <w:spacing w:line="360" w:lineRule="exact"/>
        <w:ind w:firstLine="420" w:firstLineChars="200"/>
        <w:jc w:val="left"/>
        <w:outlineLvl w:val="1"/>
        <w:rPr>
          <w:rFonts w:hint="eastAsia" w:ascii="宋体" w:hAnsi="宋体" w:cs="宋体"/>
          <w:color w:val="auto"/>
          <w:szCs w:val="21"/>
          <w:highlight w:val="none"/>
        </w:rPr>
        <w:sectPr>
          <w:footerReference r:id="rId8"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p>
    <w:bookmarkEnd w:id="761"/>
    <w:bookmarkEnd w:id="762"/>
    <w:p w14:paraId="103A2608">
      <w:pPr>
        <w:spacing w:line="360" w:lineRule="exact"/>
        <w:ind w:firstLine="420" w:firstLineChars="200"/>
        <w:jc w:val="left"/>
        <w:outlineLvl w:val="1"/>
        <w:rPr>
          <w:rFonts w:ascii="宋体" w:hAnsi="宋体" w:cs="宋体"/>
          <w:color w:val="auto"/>
          <w:szCs w:val="21"/>
          <w:highlight w:val="none"/>
        </w:rPr>
      </w:pPr>
      <w:r>
        <w:rPr>
          <w:rFonts w:hint="eastAsia" w:ascii="宋体" w:hAnsi="宋体" w:cs="宋体"/>
          <w:color w:val="auto"/>
          <w:szCs w:val="21"/>
          <w:highlight w:val="none"/>
        </w:rPr>
        <w:t>1.  评标方法</w:t>
      </w:r>
    </w:p>
    <w:p w14:paraId="4BDC1B98">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比选文件实质性要求的响应文件，按照本章规定的评分标准进行评分，并按得分由高到低顺序推荐中标候选人，或根据采购人授权直接确定中标人。综合评分相等时，以评标办法前附表约定的原则确定中标候选人顺序。</w:t>
      </w:r>
    </w:p>
    <w:p w14:paraId="2B7E1284">
      <w:pPr>
        <w:spacing w:line="360" w:lineRule="exact"/>
        <w:ind w:firstLine="420" w:firstLineChars="200"/>
        <w:jc w:val="left"/>
        <w:outlineLvl w:val="1"/>
        <w:rPr>
          <w:rFonts w:ascii="宋体" w:hAnsi="宋体" w:cs="宋体"/>
          <w:color w:val="auto"/>
          <w:szCs w:val="21"/>
          <w:highlight w:val="none"/>
        </w:rPr>
      </w:pPr>
      <w:bookmarkStart w:id="768" w:name="_Toc8753"/>
      <w:bookmarkStart w:id="769" w:name="_Toc6954"/>
      <w:r>
        <w:rPr>
          <w:rFonts w:hint="eastAsia" w:ascii="宋体" w:hAnsi="宋体" w:cs="宋体"/>
          <w:color w:val="auto"/>
          <w:szCs w:val="21"/>
          <w:highlight w:val="none"/>
        </w:rPr>
        <w:t>2.  评审标准</w:t>
      </w:r>
      <w:bookmarkEnd w:id="768"/>
      <w:bookmarkEnd w:id="769"/>
    </w:p>
    <w:p w14:paraId="168B4412">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28A0A07D">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2.1.1A  资格评审标准：见评标办法前附表（适用于未进行资格预审的）。</w:t>
      </w:r>
    </w:p>
    <w:p w14:paraId="60D48648">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2.1.1B  资格评审标准：见资格预审文件第三章“资格审查办法”详细审查标准（适用于已进行资格预审的）。</w:t>
      </w:r>
    </w:p>
    <w:p w14:paraId="3A7CE472">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2.1.2  形式评审标准：见评标办法前附表。</w:t>
      </w:r>
    </w:p>
    <w:p w14:paraId="233DB17F">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5FD03ED4">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6BAB4C47">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5D01C9EC">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6E9593E0">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6959804C">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118DB361">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453515C9">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5F6A62DE">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642B6F18">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6BFD8E67">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59788E0B">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11682292">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477A41BA">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（3）投标函部分评审标准：见评标办法前附表；</w:t>
      </w:r>
    </w:p>
    <w:p w14:paraId="1843E5C6">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（4）投标报价评分标准：见评标办法前附表。</w:t>
      </w:r>
    </w:p>
    <w:p w14:paraId="4EB89B3D">
      <w:pPr>
        <w:spacing w:line="360" w:lineRule="exact"/>
        <w:ind w:firstLine="420" w:firstLineChars="200"/>
        <w:jc w:val="left"/>
        <w:outlineLvl w:val="1"/>
        <w:rPr>
          <w:rFonts w:ascii="宋体" w:hAnsi="宋体" w:cs="宋体"/>
          <w:color w:val="auto"/>
          <w:szCs w:val="21"/>
          <w:highlight w:val="none"/>
        </w:rPr>
      </w:pPr>
      <w:bookmarkStart w:id="770" w:name="_Toc8345"/>
      <w:bookmarkStart w:id="771" w:name="_Toc4980"/>
      <w:r>
        <w:rPr>
          <w:rFonts w:hint="eastAsia" w:ascii="宋体" w:hAnsi="宋体" w:cs="宋体"/>
          <w:color w:val="auto"/>
          <w:szCs w:val="21"/>
          <w:highlight w:val="none"/>
        </w:rPr>
        <w:t>3.  评标程序</w:t>
      </w:r>
      <w:bookmarkEnd w:id="770"/>
      <w:bookmarkEnd w:id="771"/>
    </w:p>
    <w:p w14:paraId="338A2E0B">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0F6E638D">
      <w:pPr>
        <w:spacing w:line="360" w:lineRule="exact"/>
        <w:ind w:firstLine="420" w:firstLineChars="200"/>
        <w:jc w:val="left"/>
        <w:rPr>
          <w:rFonts w:ascii="宋体" w:hAnsi="宋体" w:cs="宋体"/>
          <w:color w:val="auto"/>
          <w:szCs w:val="21"/>
          <w:highlight w:val="none"/>
        </w:rPr>
      </w:pPr>
      <w:bookmarkStart w:id="772" w:name="OLE_LINK40"/>
      <w:r>
        <w:rPr>
          <w:rFonts w:hint="eastAsia" w:ascii="宋体" w:hAnsi="宋体" w:cs="宋体"/>
          <w:color w:val="auto"/>
          <w:szCs w:val="21"/>
          <w:highlight w:val="none"/>
        </w:rPr>
        <w:t>3.1.1  评标委员会依据本章第 2.1 款规定的标准对响应文件进行初步评审。有一项不符合评审标准的，作否决投标处理。（适用于未进行资格预审的）</w:t>
      </w:r>
    </w:p>
    <w:p w14:paraId="6C2D4275">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投标文件进行初步评审。有一项不符合评审标准的，作否决投标处理。当报价人资格预审申请文件的内容发生重大变化时，评标委员会依据本章第2.1.1项规定的标准对其更新资料进行评审。（适用于已进行资格预审的）</w:t>
      </w:r>
    </w:p>
    <w:bookmarkEnd w:id="772"/>
    <w:p w14:paraId="743D8019">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3.1.2  报价人有以下情形之一的，其投标作否决投标处理：</w:t>
      </w:r>
    </w:p>
    <w:p w14:paraId="6CDACC45">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（1）投标文件没有对招标文件的实质性要求和条件作出响应，或者对招标文件的偏差超出招标文件规定的偏差范围或最高项数；</w:t>
      </w:r>
    </w:p>
    <w:p w14:paraId="65475CA4">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08B6A396">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163D781B">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投标报价有算术错误及其他错误的，评标委员会按以下原则要求报价人对投标报价进行修正，并要求报价人书面澄清确认。报价人拒不澄清确认的，评标委员会应当否决其投标：</w:t>
      </w:r>
    </w:p>
    <w:p w14:paraId="656103BA">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14:paraId="7FBFE157">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0ED26291">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45F366DC">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1187561E">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1FA2AD37">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17CDA0D4">
      <w:pPr>
        <w:spacing w:line="360" w:lineRule="exact"/>
        <w:ind w:firstLine="420" w:firstLineChars="200"/>
        <w:jc w:val="left"/>
        <w:rPr>
          <w:rFonts w:ascii="宋体" w:hAnsi="宋体" w:cs="宋体"/>
          <w:color w:val="auto"/>
          <w:szCs w:val="21"/>
          <w:highlight w:val="none"/>
        </w:rPr>
      </w:pPr>
      <w:bookmarkStart w:id="773" w:name="OLE_LINK41"/>
      <w:r>
        <w:rPr>
          <w:rFonts w:hint="eastAsia" w:ascii="宋体" w:hAnsi="宋体" w:cs="宋体"/>
          <w:color w:val="auto"/>
          <w:szCs w:val="21"/>
          <w:highlight w:val="none"/>
        </w:rPr>
        <w:t>（1）按本章第 2.2.4（1）目规定的评审因素和分值对技术部分计算出得分</w:t>
      </w:r>
      <w:bookmarkStart w:id="774" w:name="OLE_LINK56"/>
      <w:r>
        <w:rPr>
          <w:rFonts w:hint="eastAsia" w:ascii="宋体" w:hAnsi="宋体" w:cs="宋体"/>
          <w:color w:val="auto"/>
          <w:szCs w:val="21"/>
          <w:highlight w:val="none"/>
        </w:rPr>
        <w:t xml:space="preserve"> </w:t>
      </w:r>
      <w:bookmarkEnd w:id="774"/>
      <w:r>
        <w:rPr>
          <w:rFonts w:hint="eastAsia" w:ascii="宋体" w:hAnsi="宋体" w:cs="宋体"/>
          <w:color w:val="auto"/>
          <w:szCs w:val="21"/>
          <w:highlight w:val="none"/>
        </w:rPr>
        <w:t>C；</w:t>
      </w:r>
    </w:p>
    <w:p w14:paraId="3B9851C9">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69A0132C">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（3）按本章第 2.2.4（4）目规定的评审因素和分值对投标报价计算出得分 A；</w:t>
      </w:r>
    </w:p>
    <w:bookmarkEnd w:id="773"/>
    <w:p w14:paraId="3A853CF7">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4EC85669">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3.2.3  报价人得分=A+B+C。</w:t>
      </w:r>
    </w:p>
    <w:p w14:paraId="14C311B0">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3.3  投标文件的澄清</w:t>
      </w:r>
    </w:p>
    <w:p w14:paraId="6759975D">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报价人对所提交投标文件中含义不明确、对同类问题表述不一致或者有明显文字和计算错误的内容作必要的澄清、说明或补正。澄清、说明或补正应以书面方式进行。评标委员会不接受报价人主动提出的澄清、说明或补正。</w:t>
      </w:r>
    </w:p>
    <w:p w14:paraId="0E56E908">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3.3.2  澄清、说明或补正不得超出投标文件的范围且不得改变投标文件的实质性内容，并构成投标文件的组成部分。</w:t>
      </w:r>
    </w:p>
    <w:p w14:paraId="79F9A106">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3.3.3  评标委员会对报价人提交的澄清、说明或补正有疑问的，可以要求报价人进一步澄清、说明或补正，直至满足评标委员会的要求。</w:t>
      </w:r>
    </w:p>
    <w:p w14:paraId="7174E316">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12A328A2">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3.4.1  除第二章“报价人须知”前附表授权直接确定中标人外，评标委员会按照得分由高到低的顺序推荐中标候选人，并标明排序。</w:t>
      </w:r>
    </w:p>
    <w:p w14:paraId="02641DF3">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3.4.2  评标委员会完成评标后，应当向采购人提交书面评标报告和中标候选人名单。</w:t>
      </w:r>
    </w:p>
    <w:p w14:paraId="6E3396A5">
      <w:pPr>
        <w:rPr>
          <w:color w:val="auto"/>
          <w:highlight w:val="none"/>
        </w:rPr>
      </w:pPr>
    </w:p>
    <w:p w14:paraId="53CAA5A0">
      <w:pPr>
        <w:rPr>
          <w:rFonts w:ascii="宋体" w:hAnsi="宋体" w:cs="宋体"/>
          <w:color w:val="auto"/>
          <w:szCs w:val="21"/>
          <w:highlight w:val="none"/>
        </w:rPr>
      </w:pPr>
      <w:r>
        <w:rPr>
          <w:rFonts w:hint="eastAsia" w:ascii="宋体" w:hAnsi="宋体" w:cs="宋体"/>
          <w:color w:val="auto"/>
          <w:szCs w:val="21"/>
          <w:highlight w:val="none"/>
        </w:rPr>
        <w:br w:type="page"/>
      </w:r>
    </w:p>
    <w:p w14:paraId="1D506C30">
      <w:pPr>
        <w:pStyle w:val="3"/>
        <w:spacing w:before="156" w:beforeLines="50" w:after="156" w:afterLines="50" w:line="360" w:lineRule="auto"/>
        <w:jc w:val="center"/>
        <w:rPr>
          <w:rFonts w:ascii="宋体" w:hAnsi="宋体" w:cs="宋体"/>
          <w:color w:val="auto"/>
          <w:highlight w:val="none"/>
        </w:rPr>
      </w:pPr>
      <w:bookmarkStart w:id="775" w:name="_Toc19386"/>
      <w:bookmarkStart w:id="776" w:name="_Toc28162"/>
      <w:r>
        <w:rPr>
          <w:rFonts w:hint="eastAsia" w:ascii="宋体" w:hAnsi="宋体" w:cs="宋体"/>
          <w:color w:val="auto"/>
          <w:highlight w:val="none"/>
        </w:rPr>
        <w:t>第四章 报价说明</w:t>
      </w:r>
      <w:bookmarkEnd w:id="775"/>
      <w:bookmarkEnd w:id="776"/>
    </w:p>
    <w:p w14:paraId="2EFE5F79">
      <w:pPr>
        <w:pStyle w:val="29"/>
        <w:spacing w:line="380" w:lineRule="exact"/>
        <w:ind w:firstLine="420" w:firstLineChars="200"/>
        <w:rPr>
          <w:rFonts w:hint="eastAsia"/>
          <w:color w:val="auto"/>
          <w:highlight w:val="none"/>
        </w:rPr>
      </w:pPr>
      <w:r>
        <w:rPr>
          <w:rFonts w:hint="eastAsia" w:ascii="宋体" w:hAnsi="宋体" w:eastAsia="宋体" w:cs="宋体"/>
          <w:b w:val="0"/>
          <w:bCs w:val="0"/>
          <w:color w:val="auto"/>
          <w:sz w:val="21"/>
          <w:szCs w:val="21"/>
          <w:highlight w:val="none"/>
        </w:rPr>
        <w:t>1、采购清单应与本工程竞争性比选文件、技术标准和要求等文件结合起来查阅与理解。</w:t>
      </w:r>
    </w:p>
    <w:p w14:paraId="3C2D900A">
      <w:pPr>
        <w:pStyle w:val="29"/>
        <w:spacing w:line="380" w:lineRule="exact"/>
        <w:ind w:firstLine="420" w:firstLineChars="20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本竞争性比选报价采用综合单价报价。</w:t>
      </w:r>
      <w:r>
        <w:rPr>
          <w:rFonts w:hint="eastAsia" w:ascii="宋体" w:hAnsi="宋体" w:eastAsia="宋体" w:cs="宋体"/>
          <w:b w:val="0"/>
          <w:bCs w:val="0"/>
          <w:color w:val="auto"/>
          <w:sz w:val="21"/>
          <w:szCs w:val="21"/>
          <w:highlight w:val="none"/>
          <w:lang w:val="en-US" w:eastAsia="zh-CN"/>
        </w:rPr>
        <w:t>综合单价是指</w:t>
      </w:r>
      <w:r>
        <w:rPr>
          <w:rFonts w:hint="eastAsia" w:ascii="宋体" w:hAnsi="宋体" w:eastAsia="宋体" w:cs="宋体"/>
          <w:b w:val="0"/>
          <w:bCs w:val="0"/>
          <w:color w:val="auto"/>
          <w:sz w:val="21"/>
          <w:szCs w:val="21"/>
          <w:highlight w:val="none"/>
        </w:rPr>
        <w:t>根据甲方工作要求完成</w:t>
      </w:r>
      <w:r>
        <w:rPr>
          <w:rFonts w:hint="eastAsia" w:ascii="宋体" w:hAnsi="宋体" w:eastAsia="宋体" w:cs="宋体"/>
          <w:b w:val="0"/>
          <w:bCs w:val="0"/>
          <w:color w:val="auto"/>
          <w:sz w:val="21"/>
          <w:szCs w:val="21"/>
          <w:highlight w:val="none"/>
          <w:lang w:val="en-US" w:eastAsia="zh-CN"/>
        </w:rPr>
        <w:t>全部</w:t>
      </w:r>
      <w:r>
        <w:rPr>
          <w:rFonts w:hint="eastAsia" w:ascii="宋体" w:hAnsi="宋体" w:eastAsia="宋体" w:cs="宋体"/>
          <w:b w:val="0"/>
          <w:bCs w:val="0"/>
          <w:color w:val="auto"/>
          <w:sz w:val="21"/>
          <w:szCs w:val="21"/>
          <w:highlight w:val="none"/>
        </w:rPr>
        <w:t>工作内容的全部费用，报价人应</w:t>
      </w:r>
      <w:r>
        <w:rPr>
          <w:rFonts w:hint="eastAsia" w:ascii="宋体" w:hAnsi="宋体" w:eastAsia="宋体" w:cs="宋体"/>
          <w:b w:val="0"/>
          <w:bCs w:val="0"/>
          <w:color w:val="auto"/>
          <w:sz w:val="21"/>
          <w:szCs w:val="21"/>
          <w:highlight w:val="none"/>
          <w:lang w:val="en-US" w:eastAsia="zh-CN"/>
        </w:rPr>
        <w:t>充分</w:t>
      </w:r>
      <w:r>
        <w:rPr>
          <w:rFonts w:hint="eastAsia" w:ascii="宋体" w:hAnsi="宋体" w:eastAsia="宋体" w:cs="宋体"/>
          <w:b w:val="0"/>
          <w:bCs w:val="0"/>
          <w:color w:val="auto"/>
          <w:sz w:val="21"/>
          <w:szCs w:val="21"/>
          <w:highlight w:val="none"/>
        </w:rPr>
        <w:t>考虑人员工资、</w:t>
      </w:r>
      <w:r>
        <w:rPr>
          <w:rFonts w:hint="eastAsia" w:ascii="宋体" w:hAnsi="宋体" w:cs="宋体"/>
          <w:b w:val="0"/>
          <w:bCs w:val="0"/>
          <w:color w:val="auto"/>
          <w:sz w:val="21"/>
          <w:szCs w:val="21"/>
          <w:highlight w:val="none"/>
          <w:lang w:val="en-US" w:eastAsia="zh-CN"/>
        </w:rPr>
        <w:t>规费、</w:t>
      </w:r>
      <w:r>
        <w:rPr>
          <w:rFonts w:hint="eastAsia" w:ascii="宋体" w:hAnsi="宋体" w:eastAsia="宋体" w:cs="宋体"/>
          <w:b w:val="0"/>
          <w:bCs w:val="0"/>
          <w:color w:val="auto"/>
          <w:sz w:val="21"/>
          <w:szCs w:val="21"/>
          <w:highlight w:val="none"/>
        </w:rPr>
        <w:t>税金、五险一金、商业险、意外险、交通、</w:t>
      </w:r>
      <w:r>
        <w:rPr>
          <w:rFonts w:hint="eastAsia" w:ascii="宋体" w:hAnsi="宋体" w:cs="宋体"/>
          <w:b w:val="0"/>
          <w:bCs w:val="0"/>
          <w:color w:val="auto"/>
          <w:sz w:val="21"/>
          <w:szCs w:val="21"/>
          <w:highlight w:val="none"/>
          <w:lang w:val="en-US" w:eastAsia="zh-CN"/>
        </w:rPr>
        <w:t>差旅费、</w:t>
      </w:r>
      <w:r>
        <w:rPr>
          <w:rFonts w:hint="eastAsia" w:ascii="宋体" w:hAnsi="宋体" w:eastAsia="宋体" w:cs="宋体"/>
          <w:b w:val="0"/>
          <w:bCs w:val="0"/>
          <w:color w:val="auto"/>
          <w:sz w:val="21"/>
          <w:szCs w:val="21"/>
          <w:highlight w:val="none"/>
        </w:rPr>
        <w:t>话费、食宿补助、办公费用、生活费用、利润、加班赶工</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人员培训、技术服务、</w:t>
      </w:r>
      <w:r>
        <w:rPr>
          <w:rFonts w:hint="eastAsia" w:ascii="宋体" w:hAnsi="宋体" w:eastAsia="宋体" w:cs="宋体"/>
          <w:b w:val="0"/>
          <w:bCs w:val="0"/>
          <w:color w:val="auto"/>
          <w:sz w:val="21"/>
          <w:szCs w:val="21"/>
          <w:highlight w:val="none"/>
        </w:rPr>
        <w:t>等一切相关费用及竞争性文件所包含的所有责任、义务和风险等各项费用</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如报价人提供的人员在本项目服务期间发生任何意外事故均有报价人承担，相应费用考虑在报价中</w:t>
      </w:r>
      <w:r>
        <w:rPr>
          <w:rFonts w:hint="eastAsia" w:ascii="宋体" w:hAnsi="宋体" w:eastAsia="宋体" w:cs="宋体"/>
          <w:b w:val="0"/>
          <w:bCs w:val="0"/>
          <w:color w:val="auto"/>
          <w:sz w:val="21"/>
          <w:szCs w:val="21"/>
          <w:highlight w:val="none"/>
          <w:lang w:eastAsia="zh-CN"/>
        </w:rPr>
        <w:t>。</w:t>
      </w:r>
    </w:p>
    <w:p w14:paraId="13972658">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3、报价人应结合现场实际和现在的市场情况、自身技术及管理水平、经营状况及制定的方案的要求自行报价，该报价不低于报价人完成该项目的成本。</w:t>
      </w:r>
    </w:p>
    <w:p w14:paraId="15A8AC15">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4、</w:t>
      </w:r>
      <w:r>
        <w:rPr>
          <w:rFonts w:hint="eastAsia" w:ascii="宋体" w:hAnsi="宋体" w:eastAsia="宋体" w:cs="宋体"/>
          <w:b w:val="0"/>
          <w:bCs w:val="0"/>
          <w:color w:val="auto"/>
          <w:sz w:val="21"/>
          <w:szCs w:val="21"/>
          <w:highlight w:val="none"/>
        </w:rPr>
        <w:t>报价人在报价时应充分考虑原料价格波动、人工费用上涨、采购人采购量波动等不确定因素的风险，该报价人若中标，其报价在服务期内不得调整。</w:t>
      </w:r>
    </w:p>
    <w:p w14:paraId="2C3890BD">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rPr>
        <w:t>若报价人对服务范围有漏报、漏项的情况发生，采购人均视为报价人已充分理解竞争性比选文件要求，漏报、漏项部分已包含在其投标报价之中。该报价人若中标，其报价不调整。</w:t>
      </w:r>
    </w:p>
    <w:p w14:paraId="2FF1ECA5">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rPr>
        <w:t>、报价中的单价和合价全部以人民币（元）表示。</w:t>
      </w:r>
    </w:p>
    <w:p w14:paraId="5456FC78">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rPr>
        <w:t>、合同为单价合同，合同期间不予调价。</w:t>
      </w:r>
    </w:p>
    <w:p w14:paraId="6E8B3374">
      <w:pPr>
        <w:pStyle w:val="29"/>
        <w:spacing w:line="380" w:lineRule="exact"/>
        <w:ind w:firstLine="420" w:firstLineChars="200"/>
        <w:rPr>
          <w:rFonts w:hint="eastAsia" w:ascii="宋体" w:hAnsi="宋体" w:eastAsia="宋体" w:cs="宋体"/>
          <w:b w:val="0"/>
          <w:bCs w:val="0"/>
          <w:color w:val="auto"/>
          <w:sz w:val="21"/>
          <w:szCs w:val="21"/>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r>
        <w:rPr>
          <w:rFonts w:hint="eastAsia" w:ascii="宋体" w:hAnsi="宋体" w:eastAsia="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rPr>
        <w:t>、对于符合要求的竞争性比选响应文件，如发现报价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5579CE36">
      <w:pPr>
        <w:spacing w:line="400" w:lineRule="exact"/>
        <w:ind w:firstLine="420" w:firstLineChars="200"/>
        <w:rPr>
          <w:rFonts w:asciiTheme="minorEastAsia" w:hAnsiTheme="minorEastAsia" w:eastAsiaTheme="minorEastAsia" w:cstheme="minorEastAsia"/>
          <w:color w:val="auto"/>
          <w:szCs w:val="21"/>
          <w:highlight w:val="none"/>
        </w:rPr>
      </w:pPr>
    </w:p>
    <w:p w14:paraId="49C8B7BE">
      <w:pPr>
        <w:rPr>
          <w:rFonts w:ascii="宋体" w:hAnsi="宋体" w:cs="宋体"/>
          <w:color w:val="auto"/>
          <w:szCs w:val="21"/>
          <w:highlight w:val="none"/>
        </w:rPr>
      </w:pPr>
    </w:p>
    <w:p w14:paraId="78897544">
      <w:pPr>
        <w:pStyle w:val="3"/>
        <w:spacing w:before="0" w:after="0" w:line="360" w:lineRule="auto"/>
        <w:jc w:val="center"/>
        <w:rPr>
          <w:rFonts w:ascii="宋体" w:hAnsi="宋体" w:cs="宋体"/>
          <w:color w:val="auto"/>
          <w:highlight w:val="none"/>
        </w:rPr>
      </w:pPr>
      <w:bookmarkStart w:id="777" w:name="_Toc21033"/>
      <w:r>
        <w:rPr>
          <w:rFonts w:hint="eastAsia" w:ascii="宋体" w:hAnsi="宋体" w:cs="宋体"/>
          <w:color w:val="auto"/>
          <w:highlight w:val="none"/>
        </w:rPr>
        <w:t>第五章</w:t>
      </w:r>
      <w:r>
        <w:rPr>
          <w:rFonts w:ascii="宋体" w:hAnsi="宋体" w:cs="宋体"/>
          <w:color w:val="auto"/>
          <w:highlight w:val="none"/>
        </w:rPr>
        <w:t xml:space="preserve"> </w:t>
      </w:r>
      <w:r>
        <w:rPr>
          <w:rFonts w:hint="eastAsia" w:ascii="宋体" w:hAnsi="宋体" w:cs="宋体"/>
          <w:color w:val="auto"/>
          <w:highlight w:val="none"/>
        </w:rPr>
        <w:t>采购清单</w:t>
      </w:r>
      <w:bookmarkEnd w:id="777"/>
    </w:p>
    <w:p w14:paraId="748102B3">
      <w:pPr>
        <w:jc w:val="center"/>
        <w:rPr>
          <w:color w:val="auto"/>
          <w:highlight w:val="none"/>
        </w:rPr>
      </w:pPr>
    </w:p>
    <w:p w14:paraId="065A678E">
      <w:pPr>
        <w:pStyle w:val="2"/>
        <w:jc w:val="center"/>
        <w:rPr>
          <w:color w:val="auto"/>
          <w:highlight w:val="none"/>
        </w:rPr>
      </w:pPr>
      <w:bookmarkStart w:id="778" w:name="_Toc152045786"/>
      <w:bookmarkStart w:id="779" w:name="_Toc246997097"/>
      <w:bookmarkStart w:id="780" w:name="_Toc246996354"/>
      <w:bookmarkStart w:id="781" w:name="_Toc247085872"/>
      <w:bookmarkStart w:id="782" w:name="_Toc179632806"/>
      <w:bookmarkStart w:id="783" w:name="_Toc144974855"/>
      <w:bookmarkStart w:id="784" w:name="_Toc152042575"/>
      <w:r>
        <w:rPr>
          <w:rFonts w:hint="eastAsia"/>
          <w:b/>
          <w:bCs/>
          <w:color w:val="auto"/>
          <w:highlight w:val="none"/>
          <w:lang w:val="en-US" w:eastAsia="zh-CN"/>
        </w:rPr>
        <w:t>详见附件</w:t>
      </w:r>
    </w:p>
    <w:p w14:paraId="756FC70E">
      <w:pPr>
        <w:pStyle w:val="2"/>
        <w:rPr>
          <w:color w:val="auto"/>
          <w:highlight w:val="none"/>
        </w:rPr>
      </w:pPr>
    </w:p>
    <w:p w14:paraId="7FA1D63B">
      <w:pPr>
        <w:pStyle w:val="2"/>
        <w:rPr>
          <w:color w:val="auto"/>
          <w:highlight w:val="none"/>
        </w:rPr>
      </w:pPr>
    </w:p>
    <w:p w14:paraId="7411C905">
      <w:pPr>
        <w:rPr>
          <w:color w:val="auto"/>
          <w:highlight w:val="none"/>
        </w:rPr>
      </w:pPr>
    </w:p>
    <w:p w14:paraId="64366795">
      <w:pPr>
        <w:pStyle w:val="2"/>
        <w:rPr>
          <w:color w:val="auto"/>
          <w:highlight w:val="none"/>
        </w:rPr>
      </w:pPr>
    </w:p>
    <w:p w14:paraId="34151215">
      <w:pPr>
        <w:pStyle w:val="3"/>
        <w:numPr>
          <w:ilvl w:val="0"/>
          <w:numId w:val="8"/>
        </w:numPr>
        <w:spacing w:before="0" w:after="0" w:line="360" w:lineRule="auto"/>
        <w:jc w:val="center"/>
        <w:rPr>
          <w:color w:val="auto"/>
          <w:highlight w:val="none"/>
        </w:rPr>
        <w:sectPr>
          <w:footerReference r:id="rId9"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bookmarkStart w:id="785" w:name="_Toc152042554"/>
      <w:bookmarkStart w:id="786" w:name="_Toc247085855"/>
      <w:bookmarkStart w:id="787" w:name="_Toc514858705"/>
      <w:bookmarkStart w:id="788" w:name="_Toc246997083"/>
      <w:bookmarkStart w:id="789" w:name="_Toc152045772"/>
      <w:bookmarkStart w:id="790" w:name="_Toc144974834"/>
      <w:bookmarkStart w:id="791" w:name="_Toc179632789"/>
      <w:bookmarkStart w:id="792" w:name="_Toc2000409"/>
      <w:bookmarkStart w:id="793" w:name="_Toc246996340"/>
    </w:p>
    <w:bookmarkEnd w:id="785"/>
    <w:bookmarkEnd w:id="786"/>
    <w:bookmarkEnd w:id="787"/>
    <w:bookmarkEnd w:id="788"/>
    <w:bookmarkEnd w:id="789"/>
    <w:bookmarkEnd w:id="790"/>
    <w:bookmarkEnd w:id="791"/>
    <w:bookmarkEnd w:id="792"/>
    <w:bookmarkEnd w:id="793"/>
    <w:p w14:paraId="73561ADA">
      <w:pPr>
        <w:pStyle w:val="3"/>
        <w:spacing w:before="159" w:beforeLines="50" w:after="159" w:afterLines="50" w:line="360" w:lineRule="auto"/>
        <w:jc w:val="center"/>
        <w:rPr>
          <w:rFonts w:ascii="宋体" w:hAnsi="宋体" w:cs="宋体"/>
          <w:color w:val="auto"/>
          <w:highlight w:val="none"/>
        </w:rPr>
      </w:pPr>
      <w:bookmarkStart w:id="794" w:name="_Toc2000411"/>
      <w:bookmarkStart w:id="795" w:name="_Toc503951043"/>
      <w:bookmarkStart w:id="796" w:name="_Toc179632804"/>
      <w:bookmarkStart w:id="797" w:name="_Toc513633964"/>
      <w:bookmarkStart w:id="798" w:name="_Toc144974854"/>
      <w:bookmarkStart w:id="799" w:name="_Toc246997096"/>
      <w:bookmarkStart w:id="800" w:name="_Toc447827049"/>
      <w:bookmarkStart w:id="801" w:name="_Toc514858707"/>
      <w:bookmarkStart w:id="802" w:name="_Toc152042574"/>
      <w:bookmarkStart w:id="803" w:name="_Toc246996353"/>
      <w:bookmarkStart w:id="804" w:name="_Toc247085870"/>
      <w:bookmarkStart w:id="805" w:name="_Toc152045785"/>
      <w:bookmarkStart w:id="806" w:name="_Toc15894"/>
      <w:r>
        <w:rPr>
          <w:rFonts w:hint="eastAsia" w:ascii="宋体" w:hAnsi="宋体" w:cs="宋体"/>
          <w:color w:val="auto"/>
          <w:highlight w:val="none"/>
        </w:rPr>
        <w:t xml:space="preserve">第六章 </w:t>
      </w:r>
      <w:bookmarkEnd w:id="794"/>
      <w:bookmarkEnd w:id="795"/>
      <w:bookmarkEnd w:id="796"/>
      <w:bookmarkEnd w:id="797"/>
      <w:bookmarkEnd w:id="798"/>
      <w:bookmarkEnd w:id="799"/>
      <w:bookmarkEnd w:id="800"/>
      <w:bookmarkEnd w:id="801"/>
      <w:bookmarkEnd w:id="802"/>
      <w:bookmarkEnd w:id="803"/>
      <w:bookmarkEnd w:id="804"/>
      <w:bookmarkEnd w:id="805"/>
      <w:r>
        <w:rPr>
          <w:rFonts w:hint="eastAsia" w:ascii="宋体" w:hAnsi="宋体" w:cs="宋体"/>
          <w:color w:val="auto"/>
          <w:highlight w:val="none"/>
        </w:rPr>
        <w:t>服务要求</w:t>
      </w:r>
      <w:bookmarkEnd w:id="806"/>
    </w:p>
    <w:bookmarkEnd w:id="778"/>
    <w:bookmarkEnd w:id="779"/>
    <w:bookmarkEnd w:id="780"/>
    <w:bookmarkEnd w:id="781"/>
    <w:bookmarkEnd w:id="782"/>
    <w:bookmarkEnd w:id="783"/>
    <w:bookmarkEnd w:id="784"/>
    <w:p w14:paraId="7F219843">
      <w:pPr>
        <w:pStyle w:val="3"/>
        <w:spacing w:before="0" w:after="0" w:line="360" w:lineRule="auto"/>
        <w:jc w:val="center"/>
        <w:rPr>
          <w:rFonts w:ascii="宋体" w:hAnsi="宋体" w:cs="宋体"/>
          <w:color w:val="auto"/>
          <w:highlight w:val="none"/>
        </w:rPr>
      </w:pPr>
      <w:bookmarkStart w:id="807" w:name="_Toc2000412"/>
      <w:bookmarkStart w:id="808" w:name="_Toc514858708"/>
      <w:bookmarkStart w:id="809" w:name="_Toc514430114"/>
      <w:bookmarkStart w:id="810" w:name="_Toc246997098"/>
      <w:bookmarkStart w:id="811" w:name="_Toc152042576"/>
      <w:bookmarkStart w:id="812" w:name="_Toc144974856"/>
      <w:bookmarkStart w:id="813" w:name="_Toc246996355"/>
      <w:bookmarkStart w:id="814" w:name="_Toc507320039"/>
      <w:bookmarkStart w:id="815" w:name="_Toc247085873"/>
      <w:bookmarkStart w:id="816" w:name="_Toc179632807"/>
      <w:bookmarkStart w:id="817" w:name="_Toc152045787"/>
      <w:r>
        <w:rPr>
          <w:rFonts w:hint="eastAsia" w:ascii="Times New Roman" w:hAnsi="Times New Roman" w:eastAsia="宋体" w:cs="Times New Roman"/>
          <w:b/>
          <w:bCs/>
          <w:color w:val="auto"/>
          <w:kern w:val="2"/>
          <w:sz w:val="21"/>
          <w:szCs w:val="24"/>
          <w:highlight w:val="none"/>
          <w:lang w:val="en-US" w:eastAsia="zh-CN" w:bidi="ar-SA"/>
        </w:rPr>
        <w:t>达到</w:t>
      </w:r>
      <w:r>
        <w:rPr>
          <w:rFonts w:hint="eastAsia" w:cs="Times New Roman"/>
          <w:b/>
          <w:bCs/>
          <w:color w:val="auto"/>
          <w:kern w:val="2"/>
          <w:sz w:val="21"/>
          <w:szCs w:val="24"/>
          <w:highlight w:val="none"/>
          <w:lang w:val="en-US" w:eastAsia="zh-CN" w:bidi="ar-SA"/>
        </w:rPr>
        <w:t>相关</w:t>
      </w:r>
      <w:r>
        <w:rPr>
          <w:rFonts w:hint="eastAsia" w:ascii="Times New Roman" w:hAnsi="Times New Roman" w:eastAsia="宋体" w:cs="Times New Roman"/>
          <w:b/>
          <w:bCs/>
          <w:color w:val="auto"/>
          <w:kern w:val="2"/>
          <w:sz w:val="21"/>
          <w:szCs w:val="24"/>
          <w:highlight w:val="none"/>
          <w:lang w:val="en-US" w:eastAsia="zh-CN" w:bidi="ar-SA"/>
        </w:rPr>
        <w:t>主管部门关于所申报资质要求，取得主管部门核发的通信工程施工总承包二级和电力工程施工总承包二级资质证书。</w:t>
      </w:r>
      <w:r>
        <w:rPr>
          <w:rFonts w:hint="eastAsia" w:ascii="宋体" w:hAnsi="宋体" w:cs="宋体"/>
          <w:color w:val="auto"/>
          <w:highlight w:val="none"/>
        </w:rPr>
        <w:br w:type="page"/>
      </w:r>
      <w:bookmarkStart w:id="818" w:name="_Toc18777"/>
      <w:r>
        <w:rPr>
          <w:rFonts w:hint="eastAsia" w:ascii="宋体" w:hAnsi="宋体" w:cs="宋体"/>
          <w:color w:val="auto"/>
          <w:highlight w:val="none"/>
        </w:rPr>
        <w:t xml:space="preserve">第七章 </w:t>
      </w:r>
      <w:bookmarkEnd w:id="807"/>
      <w:bookmarkEnd w:id="808"/>
      <w:bookmarkEnd w:id="809"/>
      <w:r>
        <w:rPr>
          <w:rFonts w:hint="eastAsia" w:ascii="宋体" w:hAnsi="宋体" w:cs="宋体"/>
          <w:color w:val="auto"/>
          <w:highlight w:val="none"/>
        </w:rPr>
        <w:t>合同范本</w:t>
      </w:r>
      <w:bookmarkEnd w:id="818"/>
    </w:p>
    <w:p w14:paraId="1CCA1754">
      <w:pPr>
        <w:pStyle w:val="3"/>
        <w:wordWrap w:val="0"/>
        <w:jc w:val="center"/>
        <w:rPr>
          <w:rFonts w:hint="eastAsia" w:ascii="仿宋" w:hAnsi="仿宋" w:eastAsia="仿宋" w:cs="仿宋"/>
          <w:bCs/>
          <w:color w:val="auto"/>
          <w:sz w:val="48"/>
          <w:szCs w:val="48"/>
          <w:highlight w:val="none"/>
        </w:rPr>
      </w:pPr>
      <w:bookmarkStart w:id="819" w:name="_Toc357601099"/>
      <w:bookmarkStart w:id="820" w:name="_Toc2000413"/>
      <w:bookmarkStart w:id="821" w:name="_Toc513633965"/>
      <w:bookmarkStart w:id="822" w:name="_Toc514858709"/>
    </w:p>
    <w:p w14:paraId="1B18DF1D">
      <w:pPr>
        <w:pStyle w:val="3"/>
        <w:wordWrap w:val="0"/>
        <w:jc w:val="center"/>
        <w:rPr>
          <w:rFonts w:hint="eastAsia" w:ascii="仿宋" w:hAnsi="仿宋" w:eastAsia="仿宋" w:cs="仿宋"/>
          <w:bCs/>
          <w:color w:val="auto"/>
          <w:sz w:val="48"/>
          <w:szCs w:val="48"/>
          <w:highlight w:val="none"/>
        </w:rPr>
      </w:pPr>
      <w:r>
        <w:rPr>
          <w:rFonts w:hint="eastAsia" w:ascii="仿宋" w:hAnsi="仿宋" w:eastAsia="仿宋" w:cs="仿宋"/>
          <w:bCs/>
          <w:color w:val="auto"/>
          <w:sz w:val="48"/>
          <w:szCs w:val="48"/>
          <w:highlight w:val="none"/>
        </w:rPr>
        <w:t>委托咨询服务协议</w:t>
      </w:r>
      <w:bookmarkEnd w:id="819"/>
    </w:p>
    <w:p w14:paraId="2D487F31">
      <w:pPr>
        <w:wordWrap w:val="0"/>
        <w:spacing w:line="520" w:lineRule="exact"/>
        <w:jc w:val="left"/>
        <w:textAlignment w:val="center"/>
        <w:rPr>
          <w:rFonts w:hint="eastAsia" w:ascii="仿宋" w:hAnsi="仿宋" w:eastAsia="仿宋" w:cs="仿宋"/>
          <w:b/>
          <w:bCs/>
          <w:color w:val="auto"/>
          <w:sz w:val="32"/>
          <w:szCs w:val="32"/>
          <w:highlight w:val="none"/>
        </w:rPr>
      </w:pPr>
    </w:p>
    <w:p w14:paraId="5699113F">
      <w:pPr>
        <w:wordWrap w:val="0"/>
        <w:spacing w:line="500" w:lineRule="exact"/>
        <w:ind w:firstLine="562" w:firstLineChars="200"/>
        <w:jc w:val="left"/>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甲方：重庆首讯科技股份有限公司</w:t>
      </w:r>
    </w:p>
    <w:p w14:paraId="71B038DA">
      <w:pPr>
        <w:wordWrap w:val="0"/>
        <w:spacing w:line="500" w:lineRule="exact"/>
        <w:ind w:firstLine="562" w:firstLineChars="200"/>
        <w:jc w:val="left"/>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乙方：</w:t>
      </w:r>
    </w:p>
    <w:p w14:paraId="4CF57861">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w:t>
      </w:r>
      <w:r>
        <w:rPr>
          <w:rFonts w:hint="eastAsia" w:ascii="仿宋" w:hAnsi="仿宋" w:eastAsia="仿宋" w:cs="仿宋"/>
          <w:color w:val="auto"/>
          <w:sz w:val="28"/>
          <w:szCs w:val="28"/>
          <w:highlight w:val="none"/>
          <w:lang w:val="en-US" w:eastAsia="zh-CN"/>
        </w:rPr>
        <w:t>中华人民共和国民法典</w:t>
      </w:r>
      <w:r>
        <w:rPr>
          <w:rFonts w:hint="eastAsia" w:ascii="仿宋" w:hAnsi="仿宋" w:eastAsia="仿宋" w:cs="仿宋"/>
          <w:color w:val="auto"/>
          <w:sz w:val="28"/>
          <w:szCs w:val="28"/>
          <w:highlight w:val="none"/>
        </w:rPr>
        <w:t>》等有关法律规定，甲乙双方本着平等互利、诚实信用、友好合作的意愿，经协商一致，达成本协议，供双方共同遵守：</w:t>
      </w:r>
    </w:p>
    <w:p w14:paraId="012740C0">
      <w:pPr>
        <w:pStyle w:val="4"/>
        <w:numPr>
          <w:ilvl w:val="0"/>
          <w:numId w:val="9"/>
        </w:numPr>
        <w:wordWrap w:val="0"/>
        <w:spacing w:line="500" w:lineRule="exact"/>
        <w:ind w:firstLineChars="0"/>
        <w:jc w:val="left"/>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委托事项与委托期限</w:t>
      </w:r>
    </w:p>
    <w:p w14:paraId="1A0DF7B5">
      <w:pPr>
        <w:wordWrap/>
        <w:spacing w:line="240" w:lineRule="auto"/>
        <w:ind w:firstLine="0" w:firstLineChars="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甲方按本协议的约定，委托乙方为甲方申办</w:t>
      </w:r>
      <w:r>
        <w:rPr>
          <w:rFonts w:hint="eastAsia" w:ascii="仿宋" w:hAnsi="仿宋" w:eastAsia="仿宋" w:cs="仿宋"/>
          <w:color w:val="auto"/>
          <w:sz w:val="28"/>
          <w:szCs w:val="28"/>
          <w:highlight w:val="none"/>
          <w:lang w:val="en-US" w:eastAsia="zh-CN"/>
        </w:rPr>
        <w:t>通信工程施工总承包二级和电力工程施工总承包二级资质</w:t>
      </w:r>
      <w:r>
        <w:rPr>
          <w:rFonts w:hint="eastAsia" w:ascii="仿宋" w:hAnsi="仿宋" w:eastAsia="仿宋" w:cs="仿宋"/>
          <w:color w:val="auto"/>
          <w:sz w:val="28"/>
          <w:szCs w:val="28"/>
          <w:highlight w:val="none"/>
        </w:rPr>
        <w:t>提供咨询服务。乙方</w:t>
      </w:r>
      <w:r>
        <w:rPr>
          <w:rFonts w:hint="eastAsia" w:ascii="仿宋" w:hAnsi="仿宋" w:eastAsia="仿宋" w:cs="仿宋"/>
          <w:color w:val="auto"/>
          <w:sz w:val="28"/>
          <w:szCs w:val="28"/>
          <w:highlight w:val="none"/>
          <w:lang w:val="en-US" w:eastAsia="zh-CN"/>
        </w:rPr>
        <w:t>负责推荐申报通信工程施工总承包二级和电力工程施工总承包二级资质所需的2名技术负责人（满足主管部门对上述资质所需技术负责人的要求）、申办方案编制、资料收集及整理、修订，申办资料汇总、送审，与资质审批主管部门沟通协调促进资质顺利获取，直至甲方领取主管部门核发的通信工程施工总承包二级和电力工程施工总承包二级资质为止。</w:t>
      </w:r>
    </w:p>
    <w:p w14:paraId="003DA745">
      <w:pPr>
        <w:wordWrap w:val="0"/>
        <w:spacing w:line="500" w:lineRule="exact"/>
        <w:ind w:firstLine="560" w:firstLineChars="200"/>
        <w:jc w:val="left"/>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预计服务期限</w:t>
      </w:r>
      <w:r>
        <w:rPr>
          <w:rFonts w:hint="eastAsia" w:ascii="仿宋" w:hAnsi="仿宋" w:eastAsia="仿宋" w:cs="仿宋"/>
          <w:color w:val="auto"/>
          <w:sz w:val="28"/>
          <w:szCs w:val="28"/>
          <w:highlight w:val="none"/>
          <w:lang w:val="en-US" w:eastAsia="zh-CN"/>
        </w:rPr>
        <w:t>为合同签订之日起至甲方领取主管部门核发的通信工程施工总承包二级和电力工程施工总承包二级资质为止。</w:t>
      </w:r>
    </w:p>
    <w:p w14:paraId="3C5D3F45">
      <w:pPr>
        <w:wordWrap w:val="0"/>
        <w:spacing w:line="500" w:lineRule="exact"/>
        <w:ind w:firstLine="562" w:firstLineChars="200"/>
        <w:jc w:val="left"/>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二、时间要求：</w:t>
      </w:r>
    </w:p>
    <w:p w14:paraId="27547E09">
      <w:pPr>
        <w:wordWrap w:val="0"/>
        <w:spacing w:line="500" w:lineRule="exact"/>
        <w:ind w:firstLine="560" w:firstLineChars="200"/>
        <w:jc w:val="left"/>
        <w:textAlignment w:val="center"/>
        <w:rPr>
          <w:rFonts w:hint="eastAsia" w:ascii="仿宋" w:hAnsi="仿宋" w:eastAsia="仿宋" w:cs="仿宋"/>
          <w:bCs w:val="0"/>
          <w:color w:val="auto"/>
          <w:sz w:val="28"/>
          <w:szCs w:val="28"/>
          <w:highlight w:val="none"/>
          <w:lang w:eastAsia="zh-CN"/>
        </w:rPr>
      </w:pPr>
      <w:r>
        <w:rPr>
          <w:rFonts w:hint="eastAsia" w:ascii="仿宋" w:hAnsi="仿宋" w:eastAsia="仿宋" w:cs="仿宋"/>
          <w:bCs w:val="0"/>
          <w:color w:val="auto"/>
          <w:sz w:val="28"/>
          <w:szCs w:val="28"/>
          <w:highlight w:val="none"/>
        </w:rPr>
        <w:t>1、协议签订后</w:t>
      </w:r>
      <w:r>
        <w:rPr>
          <w:rFonts w:hint="eastAsia" w:ascii="仿宋" w:hAnsi="仿宋" w:eastAsia="仿宋" w:cs="仿宋"/>
          <w:bCs w:val="0"/>
          <w:color w:val="auto"/>
          <w:sz w:val="28"/>
          <w:szCs w:val="28"/>
          <w:highlight w:val="none"/>
          <w:u w:val="single"/>
          <w:lang w:val="en-US" w:eastAsia="zh-CN"/>
        </w:rPr>
        <w:t xml:space="preserve"> 30 </w:t>
      </w:r>
      <w:r>
        <w:rPr>
          <w:rFonts w:hint="eastAsia" w:ascii="仿宋" w:hAnsi="仿宋" w:eastAsia="仿宋" w:cs="仿宋"/>
          <w:bCs w:val="0"/>
          <w:color w:val="auto"/>
          <w:sz w:val="28"/>
          <w:szCs w:val="28"/>
          <w:highlight w:val="none"/>
        </w:rPr>
        <w:t>日历日内乙方必须完成</w:t>
      </w:r>
      <w:r>
        <w:rPr>
          <w:rFonts w:hint="eastAsia" w:ascii="仿宋" w:hAnsi="仿宋" w:eastAsia="仿宋" w:cs="仿宋"/>
          <w:bCs w:val="0"/>
          <w:color w:val="auto"/>
          <w:sz w:val="28"/>
          <w:szCs w:val="28"/>
          <w:highlight w:val="none"/>
          <w:lang w:val="en-US" w:eastAsia="zh-CN"/>
        </w:rPr>
        <w:t>通信工程施工总承包二级和电力工程施工总承包二级资质</w:t>
      </w:r>
      <w:r>
        <w:rPr>
          <w:rFonts w:hint="eastAsia" w:ascii="仿宋" w:hAnsi="仿宋" w:eastAsia="仿宋" w:cs="仿宋"/>
          <w:bCs w:val="0"/>
          <w:color w:val="auto"/>
          <w:sz w:val="28"/>
          <w:szCs w:val="28"/>
          <w:highlight w:val="none"/>
        </w:rPr>
        <w:t>申办方案编制、所需资料收集及整理、修订，</w:t>
      </w:r>
      <w:r>
        <w:rPr>
          <w:rFonts w:hint="eastAsia" w:ascii="仿宋" w:hAnsi="仿宋" w:eastAsia="仿宋" w:cs="仿宋"/>
          <w:bCs w:val="0"/>
          <w:color w:val="auto"/>
          <w:sz w:val="28"/>
          <w:szCs w:val="28"/>
          <w:highlight w:val="none"/>
          <w:lang w:val="en-US" w:eastAsia="zh-CN"/>
        </w:rPr>
        <w:t>并</w:t>
      </w:r>
      <w:r>
        <w:rPr>
          <w:rFonts w:hint="eastAsia" w:ascii="仿宋" w:hAnsi="仿宋" w:eastAsia="仿宋" w:cs="仿宋"/>
          <w:bCs w:val="0"/>
          <w:color w:val="auto"/>
          <w:sz w:val="28"/>
          <w:szCs w:val="28"/>
          <w:highlight w:val="none"/>
        </w:rPr>
        <w:t>将</w:t>
      </w:r>
      <w:r>
        <w:rPr>
          <w:rFonts w:hint="eastAsia" w:ascii="仿宋" w:hAnsi="仿宋" w:eastAsia="仿宋" w:cs="仿宋"/>
          <w:bCs w:val="0"/>
          <w:color w:val="auto"/>
          <w:sz w:val="28"/>
          <w:szCs w:val="28"/>
          <w:highlight w:val="none"/>
          <w:lang w:val="en-US" w:eastAsia="zh-CN"/>
        </w:rPr>
        <w:t>相关资料</w:t>
      </w:r>
      <w:r>
        <w:rPr>
          <w:rFonts w:hint="eastAsia" w:ascii="仿宋" w:hAnsi="仿宋" w:eastAsia="仿宋" w:cs="仿宋"/>
          <w:bCs w:val="0"/>
          <w:color w:val="auto"/>
          <w:sz w:val="28"/>
          <w:szCs w:val="28"/>
          <w:highlight w:val="none"/>
        </w:rPr>
        <w:t>报送主管部门审查</w:t>
      </w:r>
      <w:r>
        <w:rPr>
          <w:rFonts w:hint="eastAsia" w:ascii="仿宋" w:hAnsi="仿宋" w:eastAsia="仿宋" w:cs="仿宋"/>
          <w:bCs w:val="0"/>
          <w:color w:val="auto"/>
          <w:sz w:val="28"/>
          <w:szCs w:val="28"/>
          <w:highlight w:val="none"/>
          <w:lang w:eastAsia="zh-CN"/>
        </w:rPr>
        <w:t>；</w:t>
      </w:r>
    </w:p>
    <w:p w14:paraId="1EDB4D1D">
      <w:pPr>
        <w:wordWrap w:val="0"/>
        <w:spacing w:line="500" w:lineRule="exact"/>
        <w:ind w:firstLine="560" w:firstLineChars="200"/>
        <w:jc w:val="left"/>
        <w:textAlignment w:val="center"/>
        <w:rPr>
          <w:rFonts w:hint="eastAsia" w:ascii="仿宋" w:hAnsi="仿宋" w:eastAsia="仿宋" w:cs="仿宋"/>
          <w:bCs w:val="0"/>
          <w:color w:val="auto"/>
          <w:sz w:val="28"/>
          <w:szCs w:val="28"/>
          <w:highlight w:val="none"/>
        </w:rPr>
      </w:pPr>
      <w:r>
        <w:rPr>
          <w:rFonts w:hint="eastAsia" w:ascii="仿宋" w:hAnsi="仿宋" w:eastAsia="仿宋" w:cs="仿宋"/>
          <w:bCs w:val="0"/>
          <w:color w:val="auto"/>
          <w:sz w:val="28"/>
          <w:szCs w:val="28"/>
          <w:highlight w:val="none"/>
          <w:lang w:val="en-US" w:eastAsia="zh-CN"/>
        </w:rPr>
        <w:t>2</w:t>
      </w:r>
      <w:r>
        <w:rPr>
          <w:rFonts w:hint="eastAsia" w:ascii="仿宋" w:hAnsi="仿宋" w:eastAsia="仿宋" w:cs="仿宋"/>
          <w:bCs w:val="0"/>
          <w:color w:val="auto"/>
          <w:sz w:val="28"/>
          <w:szCs w:val="28"/>
          <w:highlight w:val="none"/>
        </w:rPr>
        <w:t>、乙方承诺甲方在</w:t>
      </w:r>
      <w:r>
        <w:rPr>
          <w:rFonts w:hint="eastAsia" w:ascii="仿宋" w:hAnsi="仿宋" w:eastAsia="仿宋" w:cs="仿宋"/>
          <w:bCs w:val="0"/>
          <w:color w:val="auto"/>
          <w:sz w:val="28"/>
          <w:szCs w:val="28"/>
          <w:highlight w:val="none"/>
          <w:lang w:eastAsia="zh-CN"/>
        </w:rPr>
        <w:t>2025</w:t>
      </w:r>
      <w:r>
        <w:rPr>
          <w:rFonts w:hint="eastAsia" w:ascii="仿宋" w:hAnsi="仿宋" w:eastAsia="仿宋" w:cs="仿宋"/>
          <w:bCs w:val="0"/>
          <w:color w:val="auto"/>
          <w:sz w:val="28"/>
          <w:szCs w:val="28"/>
          <w:highlight w:val="none"/>
        </w:rPr>
        <w:t>年</w:t>
      </w:r>
      <w:r>
        <w:rPr>
          <w:rFonts w:hint="eastAsia" w:ascii="仿宋" w:hAnsi="仿宋" w:eastAsia="仿宋" w:cs="仿宋"/>
          <w:bCs w:val="0"/>
          <w:color w:val="auto"/>
          <w:sz w:val="28"/>
          <w:szCs w:val="28"/>
          <w:highlight w:val="none"/>
          <w:lang w:val="en-US" w:eastAsia="zh-CN"/>
        </w:rPr>
        <w:t>7</w:t>
      </w:r>
      <w:r>
        <w:rPr>
          <w:rFonts w:hint="eastAsia" w:ascii="仿宋" w:hAnsi="仿宋" w:eastAsia="仿宋" w:cs="仿宋"/>
          <w:bCs w:val="0"/>
          <w:color w:val="auto"/>
          <w:sz w:val="28"/>
          <w:szCs w:val="28"/>
          <w:highlight w:val="none"/>
        </w:rPr>
        <w:t>月3</w:t>
      </w:r>
      <w:r>
        <w:rPr>
          <w:rFonts w:hint="eastAsia" w:ascii="仿宋" w:hAnsi="仿宋" w:eastAsia="仿宋" w:cs="仿宋"/>
          <w:bCs w:val="0"/>
          <w:color w:val="auto"/>
          <w:sz w:val="28"/>
          <w:szCs w:val="28"/>
          <w:highlight w:val="none"/>
          <w:lang w:val="en-US" w:eastAsia="zh-CN"/>
        </w:rPr>
        <w:t>1</w:t>
      </w:r>
      <w:r>
        <w:rPr>
          <w:rFonts w:hint="eastAsia" w:ascii="仿宋" w:hAnsi="仿宋" w:eastAsia="仿宋" w:cs="仿宋"/>
          <w:bCs w:val="0"/>
          <w:color w:val="auto"/>
          <w:sz w:val="28"/>
          <w:szCs w:val="28"/>
          <w:highlight w:val="none"/>
        </w:rPr>
        <w:t>日前取得证书。</w:t>
      </w:r>
    </w:p>
    <w:p w14:paraId="6E03D2A0">
      <w:pPr>
        <w:pStyle w:val="4"/>
        <w:wordWrap w:val="0"/>
        <w:spacing w:line="500" w:lineRule="exact"/>
        <w:ind w:firstLine="562"/>
        <w:jc w:val="left"/>
        <w:rPr>
          <w:rFonts w:hint="eastAsia" w:ascii="仿宋" w:hAnsi="仿宋" w:eastAsia="仿宋" w:cs="仿宋"/>
          <w:color w:val="auto"/>
          <w:szCs w:val="28"/>
          <w:highlight w:val="none"/>
        </w:rPr>
      </w:pPr>
      <w:r>
        <w:rPr>
          <w:rFonts w:hint="eastAsia" w:ascii="仿宋" w:hAnsi="仿宋" w:eastAsia="仿宋" w:cs="仿宋"/>
          <w:b/>
          <w:bCs/>
          <w:color w:val="auto"/>
          <w:szCs w:val="28"/>
          <w:highlight w:val="none"/>
        </w:rPr>
        <w:t>三、合同费用与支付方式</w:t>
      </w:r>
    </w:p>
    <w:p w14:paraId="1F6AEEEB">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本协议的咨询服务费总额为人民币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元（大写：人民币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元整</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含  税率</w:t>
      </w:r>
      <w:r>
        <w:rPr>
          <w:rFonts w:hint="eastAsia" w:ascii="仿宋" w:hAnsi="仿宋" w:eastAsia="仿宋" w:cs="仿宋"/>
          <w:color w:val="auto"/>
          <w:sz w:val="28"/>
          <w:szCs w:val="28"/>
          <w:highlight w:val="none"/>
        </w:rPr>
        <w:t>）。咨询服务费采取如下方式付款：</w:t>
      </w:r>
    </w:p>
    <w:p w14:paraId="09E5875B">
      <w:pPr>
        <w:wordWrap w:val="0"/>
        <w:spacing w:line="500" w:lineRule="exact"/>
        <w:ind w:firstLine="560" w:firstLineChars="200"/>
        <w:jc w:val="left"/>
        <w:textAlignment w:val="center"/>
        <w:outlineLvl w:val="1"/>
        <w:rPr>
          <w:rFonts w:hint="default" w:ascii="仿宋" w:hAnsi="仿宋" w:eastAsia="仿宋" w:cs="仿宋"/>
          <w:b/>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将资质申报资料录入到重庆市住建委资质申报系统后，甲方向乙方支付合同金额的35%；甲方通信工程施工总承包二级和电力工程施工总承包二级资质申办成功公示后，扣除乙方需支付的违约金后（如有违约情况发生），支付至合同金额的60%；甲方</w:t>
      </w:r>
      <w:r>
        <w:rPr>
          <w:rFonts w:hint="eastAsia" w:ascii="仿宋" w:hAnsi="仿宋" w:eastAsia="仿宋" w:cs="仿宋"/>
          <w:color w:val="auto"/>
          <w:sz w:val="28"/>
          <w:szCs w:val="28"/>
          <w:highlight w:val="none"/>
        </w:rPr>
        <w:t>取得证书后，扣除乙方需支付的违约金后（如有违约情况发生）</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支付</w:t>
      </w:r>
      <w:r>
        <w:rPr>
          <w:rFonts w:hint="eastAsia" w:ascii="仿宋" w:hAnsi="仿宋" w:eastAsia="仿宋" w:cs="仿宋"/>
          <w:color w:val="auto"/>
          <w:sz w:val="28"/>
          <w:szCs w:val="28"/>
          <w:highlight w:val="none"/>
          <w:lang w:val="en-US" w:eastAsia="zh-CN"/>
        </w:rPr>
        <w:t>至合同金额的100%</w:t>
      </w:r>
      <w:r>
        <w:rPr>
          <w:rFonts w:hint="eastAsia" w:ascii="仿宋" w:hAnsi="仿宋" w:eastAsia="仿宋" w:cs="仿宋"/>
          <w:color w:val="auto"/>
          <w:sz w:val="28"/>
          <w:szCs w:val="28"/>
          <w:highlight w:val="none"/>
        </w:rPr>
        <w:t>。甲方在收到乙方开具对应金额的增值税发票</w:t>
      </w:r>
      <w:r>
        <w:rPr>
          <w:rFonts w:hint="eastAsia" w:ascii="仿宋" w:hAnsi="仿宋" w:eastAsia="仿宋" w:cs="仿宋"/>
          <w:color w:val="auto"/>
          <w:sz w:val="28"/>
          <w:szCs w:val="28"/>
          <w:highlight w:val="none"/>
          <w:lang w:val="en-US" w:eastAsia="zh-CN"/>
        </w:rPr>
        <w:t>十</w:t>
      </w:r>
      <w:r>
        <w:rPr>
          <w:rFonts w:hint="eastAsia" w:ascii="仿宋" w:hAnsi="仿宋" w:eastAsia="仿宋" w:cs="仿宋"/>
          <w:color w:val="auto"/>
          <w:sz w:val="28"/>
          <w:szCs w:val="28"/>
          <w:highlight w:val="none"/>
        </w:rPr>
        <w:t>日内（节假日除外）</w:t>
      </w:r>
      <w:r>
        <w:rPr>
          <w:rFonts w:hint="eastAsia" w:ascii="仿宋" w:hAnsi="仿宋" w:eastAsia="仿宋" w:cs="仿宋"/>
          <w:color w:val="auto"/>
          <w:sz w:val="28"/>
          <w:szCs w:val="28"/>
          <w:highlight w:val="none"/>
          <w:lang w:val="en-US" w:eastAsia="zh-CN"/>
        </w:rPr>
        <w:t>完成支付。</w:t>
      </w:r>
    </w:p>
    <w:p w14:paraId="7F3EA68B">
      <w:pPr>
        <w:pStyle w:val="4"/>
        <w:wordWrap w:val="0"/>
        <w:spacing w:line="500" w:lineRule="exact"/>
        <w:ind w:firstLine="562"/>
        <w:jc w:val="left"/>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四、甲方的责任及义务</w:t>
      </w:r>
    </w:p>
    <w:p w14:paraId="0D640246">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1.甲方及时向乙方提供处理委托事项所需全部材料和信息，对所提供材料和信息的真实性、合法性和完整性负责。</w:t>
      </w:r>
    </w:p>
    <w:p w14:paraId="7F20CAAB">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2.协助乙方开展咨询服务工作，派专人与乙方进行对接，配合乙方办理委托事项。</w:t>
      </w:r>
    </w:p>
    <w:p w14:paraId="7C7400EE">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3.按合同约定向乙方支付合同费用。</w:t>
      </w:r>
    </w:p>
    <w:p w14:paraId="456D21E8">
      <w:pPr>
        <w:pStyle w:val="4"/>
        <w:wordWrap w:val="0"/>
        <w:spacing w:line="500" w:lineRule="exact"/>
        <w:ind w:firstLine="562"/>
        <w:jc w:val="left"/>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五、乙方的责任及义务</w:t>
      </w:r>
    </w:p>
    <w:p w14:paraId="291AEEB6">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1.在国家法律、法规和政策允许范围内，按照协议约定为甲方提供咨询服务</w:t>
      </w:r>
      <w:r>
        <w:rPr>
          <w:rFonts w:hint="eastAsia" w:ascii="仿宋" w:hAnsi="仿宋" w:eastAsia="仿宋" w:cs="仿宋"/>
          <w:color w:val="auto"/>
          <w:sz w:val="28"/>
          <w:szCs w:val="28"/>
          <w:highlight w:val="none"/>
          <w:lang w:val="en-US" w:eastAsia="zh-CN"/>
        </w:rPr>
        <w:t>及人员推荐</w:t>
      </w:r>
      <w:r>
        <w:rPr>
          <w:rFonts w:hint="eastAsia" w:ascii="仿宋" w:hAnsi="仿宋" w:eastAsia="仿宋" w:cs="仿宋"/>
          <w:color w:val="auto"/>
          <w:sz w:val="28"/>
          <w:szCs w:val="28"/>
          <w:highlight w:val="none"/>
        </w:rPr>
        <w:t>并确保顺利通过。</w:t>
      </w:r>
    </w:p>
    <w:p w14:paraId="507CD1E0">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ascii="仿宋" w:hAnsi="仿宋" w:eastAsia="仿宋" w:cs="仿宋"/>
          <w:color w:val="auto"/>
          <w:sz w:val="28"/>
          <w:szCs w:val="28"/>
          <w:highlight w:val="none"/>
        </w:rPr>
        <w:t>组织精干人员按时</w:t>
      </w:r>
      <w:r>
        <w:rPr>
          <w:rFonts w:hint="eastAsia" w:ascii="仿宋" w:hAnsi="仿宋" w:eastAsia="仿宋" w:cs="仿宋"/>
          <w:color w:val="auto"/>
          <w:sz w:val="28"/>
          <w:szCs w:val="28"/>
          <w:highlight w:val="none"/>
        </w:rPr>
        <w:t>完成甲方</w:t>
      </w:r>
      <w:r>
        <w:rPr>
          <w:rFonts w:ascii="仿宋" w:hAnsi="仿宋" w:eastAsia="仿宋" w:cs="仿宋"/>
          <w:color w:val="auto"/>
          <w:sz w:val="28"/>
          <w:szCs w:val="28"/>
          <w:highlight w:val="none"/>
        </w:rPr>
        <w:t>委托事项</w:t>
      </w:r>
      <w:r>
        <w:rPr>
          <w:rFonts w:hint="eastAsia" w:ascii="仿宋" w:hAnsi="仿宋" w:eastAsia="仿宋" w:cs="仿宋"/>
          <w:color w:val="auto"/>
          <w:sz w:val="28"/>
          <w:szCs w:val="28"/>
          <w:highlight w:val="none"/>
        </w:rPr>
        <w:t>，提供</w:t>
      </w:r>
      <w:r>
        <w:rPr>
          <w:rFonts w:ascii="仿宋" w:hAnsi="仿宋" w:eastAsia="仿宋" w:cs="仿宋"/>
          <w:color w:val="auto"/>
          <w:sz w:val="28"/>
          <w:szCs w:val="28"/>
          <w:highlight w:val="none"/>
        </w:rPr>
        <w:t>专业</w:t>
      </w:r>
      <w:r>
        <w:rPr>
          <w:rFonts w:hint="eastAsia" w:ascii="仿宋" w:hAnsi="仿宋" w:eastAsia="仿宋" w:cs="仿宋"/>
          <w:color w:val="auto"/>
          <w:sz w:val="28"/>
          <w:szCs w:val="28"/>
          <w:highlight w:val="none"/>
        </w:rPr>
        <w:t>、</w:t>
      </w:r>
      <w:r>
        <w:rPr>
          <w:rFonts w:ascii="仿宋" w:hAnsi="仿宋" w:eastAsia="仿宋" w:cs="仿宋"/>
          <w:color w:val="auto"/>
          <w:sz w:val="28"/>
          <w:szCs w:val="28"/>
          <w:highlight w:val="none"/>
        </w:rPr>
        <w:t>积极</w:t>
      </w:r>
      <w:r>
        <w:rPr>
          <w:rFonts w:hint="eastAsia" w:ascii="仿宋" w:hAnsi="仿宋" w:eastAsia="仿宋" w:cs="仿宋"/>
          <w:color w:val="auto"/>
          <w:sz w:val="28"/>
          <w:szCs w:val="28"/>
          <w:highlight w:val="none"/>
        </w:rPr>
        <w:t>、</w:t>
      </w:r>
      <w:r>
        <w:rPr>
          <w:rFonts w:ascii="仿宋" w:hAnsi="仿宋" w:eastAsia="仿宋" w:cs="仿宋"/>
          <w:color w:val="auto"/>
          <w:sz w:val="28"/>
          <w:szCs w:val="28"/>
          <w:highlight w:val="none"/>
        </w:rPr>
        <w:t>主动</w:t>
      </w:r>
      <w:r>
        <w:rPr>
          <w:rFonts w:hint="eastAsia" w:ascii="仿宋" w:hAnsi="仿宋" w:eastAsia="仿宋" w:cs="仿宋"/>
          <w:color w:val="auto"/>
          <w:sz w:val="28"/>
          <w:szCs w:val="28"/>
          <w:highlight w:val="none"/>
        </w:rPr>
        <w:t>、</w:t>
      </w:r>
      <w:r>
        <w:rPr>
          <w:rFonts w:ascii="仿宋" w:hAnsi="仿宋" w:eastAsia="仿宋" w:cs="仿宋"/>
          <w:color w:val="auto"/>
          <w:sz w:val="28"/>
          <w:szCs w:val="28"/>
          <w:highlight w:val="none"/>
        </w:rPr>
        <w:t>高效的</w:t>
      </w:r>
      <w:r>
        <w:rPr>
          <w:rFonts w:hint="eastAsia" w:ascii="仿宋" w:hAnsi="仿宋" w:eastAsia="仿宋" w:cs="仿宋"/>
          <w:color w:val="auto"/>
          <w:sz w:val="28"/>
          <w:szCs w:val="28"/>
          <w:highlight w:val="none"/>
        </w:rPr>
        <w:t>服务。</w:t>
      </w:r>
    </w:p>
    <w:p w14:paraId="2738C6A4">
      <w:pPr>
        <w:wordWrap w:val="0"/>
        <w:spacing w:line="500" w:lineRule="exact"/>
        <w:ind w:firstLine="560" w:firstLineChars="200"/>
        <w:jc w:val="left"/>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3.保证甲方取得的证书真实有效。</w:t>
      </w:r>
    </w:p>
    <w:p w14:paraId="53A6EE2F">
      <w:pPr>
        <w:wordWrap w:val="0"/>
        <w:spacing w:line="500" w:lineRule="exact"/>
        <w:ind w:firstLine="562" w:firstLineChars="200"/>
        <w:jc w:val="left"/>
        <w:textAlignment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六、协议终止</w:t>
      </w:r>
    </w:p>
    <w:p w14:paraId="04275056">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1、甲方取得了所委托办理的资质，且向乙方支付完合同全部费用时，该协议即为终止。</w:t>
      </w:r>
    </w:p>
    <w:p w14:paraId="5316C446">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2、甲方按合同约定</w:t>
      </w:r>
      <w:r>
        <w:rPr>
          <w:rFonts w:hint="eastAsia" w:ascii="仿宋" w:hAnsi="仿宋" w:eastAsia="仿宋" w:cs="仿宋"/>
          <w:bCs w:val="0"/>
          <w:color w:val="auto"/>
          <w:sz w:val="28"/>
          <w:szCs w:val="28"/>
          <w:highlight w:val="none"/>
        </w:rPr>
        <w:t>终止合同的情形。</w:t>
      </w:r>
    </w:p>
    <w:p w14:paraId="46584F6F">
      <w:pPr>
        <w:pStyle w:val="4"/>
        <w:wordWrap w:val="0"/>
        <w:spacing w:line="500" w:lineRule="exact"/>
        <w:ind w:firstLine="562"/>
        <w:jc w:val="left"/>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七、违约责任</w:t>
      </w:r>
    </w:p>
    <w:p w14:paraId="07B7C9F5">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1.甲方未按照协议约定完成甲方义务，由甲方承担违约责任。</w:t>
      </w:r>
    </w:p>
    <w:p w14:paraId="59CC1AF5">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2.如乙方未能按约定完成甲方委托，应向甲方支付相应的违约金并承担承担相应损失。</w:t>
      </w:r>
    </w:p>
    <w:p w14:paraId="64830607">
      <w:pPr>
        <w:pStyle w:val="2"/>
        <w:ind w:firstLine="560"/>
        <w:rPr>
          <w:rFonts w:hint="eastAsia" w:ascii="仿宋" w:hAnsi="仿宋" w:eastAsia="仿宋" w:cs="仿宋"/>
          <w:bCs w:val="0"/>
          <w:color w:val="auto"/>
          <w:sz w:val="28"/>
          <w:szCs w:val="28"/>
          <w:highlight w:val="none"/>
          <w:lang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bCs w:val="0"/>
          <w:color w:val="auto"/>
          <w:sz w:val="28"/>
          <w:szCs w:val="28"/>
          <w:highlight w:val="none"/>
        </w:rPr>
        <w:t>乙方必须</w:t>
      </w:r>
      <w:r>
        <w:rPr>
          <w:rFonts w:hint="eastAsia" w:ascii="仿宋" w:hAnsi="仿宋" w:eastAsia="仿宋" w:cs="仿宋"/>
          <w:bCs w:val="0"/>
          <w:color w:val="auto"/>
          <w:sz w:val="28"/>
          <w:szCs w:val="28"/>
          <w:highlight w:val="none"/>
          <w:lang w:val="en-US" w:eastAsia="zh-CN"/>
        </w:rPr>
        <w:t>在合同签订30日</w:t>
      </w:r>
      <w:r>
        <w:rPr>
          <w:rFonts w:hint="eastAsia" w:ascii="仿宋" w:hAnsi="仿宋" w:eastAsia="仿宋" w:cs="仿宋"/>
          <w:bCs w:val="0"/>
          <w:color w:val="auto"/>
          <w:sz w:val="28"/>
          <w:szCs w:val="28"/>
          <w:highlight w:val="none"/>
        </w:rPr>
        <w:t>历日内完成申办方案编制、所需资料收集及整理、修订，</w:t>
      </w:r>
      <w:r>
        <w:rPr>
          <w:rFonts w:hint="eastAsia" w:ascii="仿宋" w:hAnsi="仿宋" w:eastAsia="仿宋" w:cs="仿宋"/>
          <w:bCs w:val="0"/>
          <w:color w:val="auto"/>
          <w:sz w:val="28"/>
          <w:szCs w:val="28"/>
          <w:highlight w:val="none"/>
          <w:lang w:val="en-US" w:eastAsia="zh-CN"/>
        </w:rPr>
        <w:t>并</w:t>
      </w:r>
      <w:r>
        <w:rPr>
          <w:rFonts w:hint="eastAsia" w:ascii="仿宋" w:hAnsi="仿宋" w:eastAsia="仿宋" w:cs="仿宋"/>
          <w:bCs w:val="0"/>
          <w:color w:val="auto"/>
          <w:sz w:val="28"/>
          <w:szCs w:val="28"/>
          <w:highlight w:val="none"/>
        </w:rPr>
        <w:t>将</w:t>
      </w:r>
      <w:r>
        <w:rPr>
          <w:rFonts w:hint="eastAsia" w:ascii="仿宋" w:hAnsi="仿宋" w:eastAsia="仿宋" w:cs="仿宋"/>
          <w:bCs w:val="0"/>
          <w:color w:val="auto"/>
          <w:sz w:val="28"/>
          <w:szCs w:val="28"/>
          <w:highlight w:val="none"/>
          <w:lang w:val="en-US" w:eastAsia="zh-CN"/>
        </w:rPr>
        <w:t>相关资料</w:t>
      </w:r>
      <w:r>
        <w:rPr>
          <w:rFonts w:hint="eastAsia" w:ascii="仿宋" w:hAnsi="仿宋" w:eastAsia="仿宋" w:cs="仿宋"/>
          <w:bCs w:val="0"/>
          <w:color w:val="auto"/>
          <w:sz w:val="28"/>
          <w:szCs w:val="28"/>
          <w:highlight w:val="none"/>
        </w:rPr>
        <w:t>报送主管部门审查</w:t>
      </w:r>
      <w:r>
        <w:rPr>
          <w:rFonts w:hint="eastAsia" w:ascii="仿宋" w:hAnsi="仿宋" w:eastAsia="仿宋" w:cs="仿宋"/>
          <w:bCs w:val="0"/>
          <w:color w:val="auto"/>
          <w:sz w:val="28"/>
          <w:szCs w:val="28"/>
          <w:highlight w:val="none"/>
          <w:lang w:eastAsia="zh-CN"/>
        </w:rPr>
        <w:t>，</w:t>
      </w:r>
      <w:r>
        <w:rPr>
          <w:rFonts w:hint="eastAsia" w:ascii="仿宋" w:hAnsi="仿宋" w:eastAsia="仿宋" w:cs="仿宋"/>
          <w:bCs w:val="0"/>
          <w:color w:val="auto"/>
          <w:sz w:val="28"/>
          <w:szCs w:val="28"/>
          <w:highlight w:val="none"/>
        </w:rPr>
        <w:t>每延期一天乙方向甲方支付</w:t>
      </w:r>
      <w:r>
        <w:rPr>
          <w:rFonts w:hint="eastAsia" w:ascii="仿宋" w:hAnsi="仿宋" w:eastAsia="仿宋" w:cs="仿宋"/>
          <w:bCs w:val="0"/>
          <w:color w:val="auto"/>
          <w:sz w:val="28"/>
          <w:szCs w:val="28"/>
          <w:highlight w:val="none"/>
          <w:lang w:val="en-US" w:eastAsia="zh-CN"/>
        </w:rPr>
        <w:t>1</w:t>
      </w:r>
      <w:r>
        <w:rPr>
          <w:rFonts w:hint="eastAsia" w:ascii="仿宋" w:hAnsi="仿宋" w:eastAsia="仿宋" w:cs="仿宋"/>
          <w:bCs w:val="0"/>
          <w:color w:val="auto"/>
          <w:sz w:val="28"/>
          <w:szCs w:val="28"/>
          <w:highlight w:val="none"/>
        </w:rPr>
        <w:t>000元违约金</w:t>
      </w:r>
      <w:r>
        <w:rPr>
          <w:rFonts w:hint="eastAsia" w:ascii="仿宋" w:hAnsi="仿宋" w:eastAsia="仿宋" w:cs="仿宋"/>
          <w:bCs w:val="0"/>
          <w:color w:val="auto"/>
          <w:sz w:val="28"/>
          <w:szCs w:val="28"/>
          <w:highlight w:val="none"/>
          <w:lang w:eastAsia="zh-CN"/>
        </w:rPr>
        <w:t>。</w:t>
      </w:r>
    </w:p>
    <w:p w14:paraId="080B61B9">
      <w:pPr>
        <w:wordWrap w:val="0"/>
        <w:spacing w:line="500" w:lineRule="exact"/>
        <w:ind w:firstLine="560" w:firstLineChars="200"/>
        <w:jc w:val="left"/>
        <w:textAlignment w:val="center"/>
        <w:rPr>
          <w:rFonts w:hint="eastAsia" w:ascii="仿宋" w:hAnsi="仿宋" w:eastAsia="仿宋" w:cs="仿宋"/>
          <w:bCs w:val="0"/>
          <w:color w:val="auto"/>
          <w:kern w:val="0"/>
          <w:sz w:val="28"/>
          <w:szCs w:val="28"/>
          <w:highlight w:val="none"/>
        </w:rPr>
      </w:pP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bCs w:val="0"/>
          <w:color w:val="auto"/>
          <w:kern w:val="0"/>
          <w:sz w:val="28"/>
          <w:szCs w:val="28"/>
          <w:highlight w:val="none"/>
        </w:rPr>
        <w:t>如因</w:t>
      </w:r>
      <w:r>
        <w:rPr>
          <w:rFonts w:hint="eastAsia" w:ascii="仿宋" w:hAnsi="仿宋" w:eastAsia="仿宋" w:cs="仿宋"/>
          <w:bCs w:val="0"/>
          <w:color w:val="auto"/>
          <w:kern w:val="0"/>
          <w:sz w:val="28"/>
          <w:szCs w:val="28"/>
          <w:highlight w:val="none"/>
          <w:lang w:val="en-US" w:eastAsia="zh-CN"/>
        </w:rPr>
        <w:t>乙方推荐的2名</w:t>
      </w:r>
      <w:r>
        <w:rPr>
          <w:rFonts w:hint="eastAsia" w:ascii="仿宋" w:hAnsi="仿宋" w:eastAsia="仿宋" w:cs="仿宋"/>
          <w:color w:val="auto"/>
          <w:kern w:val="0"/>
          <w:sz w:val="28"/>
          <w:szCs w:val="28"/>
          <w:highlight w:val="none"/>
          <w:lang w:val="en-US" w:eastAsia="zh-CN"/>
        </w:rPr>
        <w:t>技术负责人</w:t>
      </w:r>
      <w:r>
        <w:rPr>
          <w:rFonts w:hint="eastAsia" w:ascii="仿宋" w:hAnsi="仿宋" w:eastAsia="仿宋" w:cs="仿宋"/>
          <w:bCs w:val="0"/>
          <w:color w:val="auto"/>
          <w:kern w:val="0"/>
          <w:sz w:val="28"/>
          <w:szCs w:val="28"/>
          <w:highlight w:val="none"/>
        </w:rPr>
        <w:t>未通过</w:t>
      </w:r>
      <w:r>
        <w:rPr>
          <w:rFonts w:hint="eastAsia" w:ascii="仿宋" w:hAnsi="仿宋" w:eastAsia="仿宋" w:cs="仿宋"/>
          <w:bCs w:val="0"/>
          <w:color w:val="auto"/>
          <w:kern w:val="0"/>
          <w:sz w:val="28"/>
          <w:szCs w:val="28"/>
          <w:highlight w:val="none"/>
          <w:lang w:val="en-US" w:eastAsia="zh-CN"/>
        </w:rPr>
        <w:t>主管部门审核</w:t>
      </w:r>
      <w:r>
        <w:rPr>
          <w:rFonts w:hint="eastAsia" w:ascii="仿宋" w:hAnsi="仿宋" w:eastAsia="仿宋" w:cs="仿宋"/>
          <w:bCs w:val="0"/>
          <w:color w:val="auto"/>
          <w:kern w:val="0"/>
          <w:sz w:val="28"/>
          <w:szCs w:val="28"/>
          <w:highlight w:val="none"/>
          <w:lang w:eastAsia="zh-CN"/>
        </w:rPr>
        <w:t>，</w:t>
      </w:r>
      <w:r>
        <w:rPr>
          <w:rFonts w:hint="eastAsia" w:ascii="仿宋" w:hAnsi="仿宋" w:eastAsia="仿宋" w:cs="仿宋"/>
          <w:bCs w:val="0"/>
          <w:color w:val="auto"/>
          <w:kern w:val="0"/>
          <w:sz w:val="28"/>
          <w:szCs w:val="28"/>
          <w:highlight w:val="none"/>
        </w:rPr>
        <w:t>乙方向甲方支付</w:t>
      </w:r>
      <w:r>
        <w:rPr>
          <w:rFonts w:hint="eastAsia" w:ascii="仿宋" w:hAnsi="仿宋" w:eastAsia="仿宋" w:cs="仿宋"/>
          <w:bCs w:val="0"/>
          <w:color w:val="auto"/>
          <w:kern w:val="0"/>
          <w:sz w:val="28"/>
          <w:szCs w:val="28"/>
          <w:highlight w:val="none"/>
          <w:lang w:val="en-US" w:eastAsia="zh-CN"/>
        </w:rPr>
        <w:t>合同金额的100%作为</w:t>
      </w:r>
      <w:r>
        <w:rPr>
          <w:rFonts w:hint="eastAsia" w:ascii="仿宋" w:hAnsi="仿宋" w:eastAsia="仿宋" w:cs="仿宋"/>
          <w:bCs w:val="0"/>
          <w:color w:val="auto"/>
          <w:kern w:val="0"/>
          <w:sz w:val="28"/>
          <w:szCs w:val="28"/>
          <w:highlight w:val="none"/>
        </w:rPr>
        <w:t>违约金，</w:t>
      </w:r>
      <w:r>
        <w:rPr>
          <w:rFonts w:hint="eastAsia" w:ascii="仿宋" w:hAnsi="仿宋" w:eastAsia="仿宋" w:cs="仿宋"/>
          <w:bCs w:val="0"/>
          <w:color w:val="auto"/>
          <w:kern w:val="0"/>
          <w:sz w:val="28"/>
          <w:szCs w:val="28"/>
          <w:highlight w:val="none"/>
          <w:lang w:val="en-US" w:eastAsia="zh-CN"/>
        </w:rPr>
        <w:t>如给甲方造成损失的，甲方有权向乙方索赔相应损失，</w:t>
      </w:r>
      <w:r>
        <w:rPr>
          <w:rFonts w:hint="eastAsia" w:ascii="仿宋" w:hAnsi="仿宋" w:eastAsia="仿宋" w:cs="仿宋"/>
          <w:bCs w:val="0"/>
          <w:color w:val="auto"/>
          <w:kern w:val="0"/>
          <w:sz w:val="28"/>
          <w:szCs w:val="28"/>
          <w:highlight w:val="none"/>
        </w:rPr>
        <w:t>且甲方有权终止合同。</w:t>
      </w:r>
    </w:p>
    <w:p w14:paraId="2C1A5146">
      <w:pPr>
        <w:pStyle w:val="2"/>
        <w:rPr>
          <w:rFonts w:hint="default" w:ascii="Times New Roman" w:hAnsi="Times New Roman" w:eastAsia="仿宋" w:cs="Times New Roman"/>
          <w:bCs w:val="0"/>
          <w:color w:val="auto"/>
          <w:sz w:val="20"/>
          <w:szCs w:val="24"/>
          <w:highlight w:val="none"/>
        </w:rPr>
      </w:pPr>
      <w:r>
        <w:rPr>
          <w:rFonts w:hint="eastAsia" w:ascii="仿宋" w:hAnsi="仿宋" w:eastAsia="仿宋" w:cs="仿宋"/>
          <w:bCs w:val="0"/>
          <w:color w:val="auto"/>
          <w:kern w:val="0"/>
          <w:sz w:val="28"/>
          <w:szCs w:val="28"/>
          <w:highlight w:val="none"/>
          <w:lang w:val="en-US" w:eastAsia="zh-CN"/>
        </w:rPr>
        <w:t xml:space="preserve">   5.甲方</w:t>
      </w:r>
      <w:r>
        <w:rPr>
          <w:rFonts w:hint="eastAsia" w:ascii="仿宋" w:hAnsi="仿宋" w:eastAsia="仿宋" w:cs="仿宋"/>
          <w:bCs w:val="0"/>
          <w:color w:val="auto"/>
          <w:sz w:val="28"/>
          <w:szCs w:val="28"/>
          <w:highlight w:val="none"/>
        </w:rPr>
        <w:t>若未在</w:t>
      </w:r>
      <w:r>
        <w:rPr>
          <w:rFonts w:hint="eastAsia" w:ascii="仿宋" w:hAnsi="仿宋" w:eastAsia="仿宋" w:cs="仿宋"/>
          <w:bCs w:val="0"/>
          <w:color w:val="auto"/>
          <w:sz w:val="28"/>
          <w:szCs w:val="28"/>
          <w:highlight w:val="none"/>
          <w:lang w:eastAsia="zh-CN"/>
        </w:rPr>
        <w:t>2025</w:t>
      </w:r>
      <w:r>
        <w:rPr>
          <w:rFonts w:hint="eastAsia" w:ascii="仿宋" w:hAnsi="仿宋" w:eastAsia="仿宋" w:cs="仿宋"/>
          <w:bCs w:val="0"/>
          <w:color w:val="auto"/>
          <w:sz w:val="28"/>
          <w:szCs w:val="28"/>
          <w:highlight w:val="none"/>
        </w:rPr>
        <w:t>年</w:t>
      </w:r>
      <w:r>
        <w:rPr>
          <w:rFonts w:hint="eastAsia" w:ascii="仿宋" w:hAnsi="仿宋" w:eastAsia="仿宋" w:cs="仿宋"/>
          <w:bCs w:val="0"/>
          <w:color w:val="auto"/>
          <w:sz w:val="28"/>
          <w:szCs w:val="28"/>
          <w:highlight w:val="none"/>
          <w:lang w:val="en-US" w:eastAsia="zh-CN"/>
        </w:rPr>
        <w:t>7</w:t>
      </w:r>
      <w:r>
        <w:rPr>
          <w:rFonts w:hint="eastAsia" w:ascii="仿宋" w:hAnsi="仿宋" w:eastAsia="仿宋" w:cs="仿宋"/>
          <w:bCs w:val="0"/>
          <w:color w:val="auto"/>
          <w:sz w:val="28"/>
          <w:szCs w:val="28"/>
          <w:highlight w:val="none"/>
        </w:rPr>
        <w:t>月</w:t>
      </w:r>
      <w:r>
        <w:rPr>
          <w:rFonts w:hint="eastAsia" w:ascii="仿宋" w:hAnsi="仿宋" w:eastAsia="仿宋" w:cs="仿宋"/>
          <w:bCs w:val="0"/>
          <w:color w:val="auto"/>
          <w:sz w:val="28"/>
          <w:szCs w:val="28"/>
          <w:highlight w:val="none"/>
          <w:lang w:val="en-US" w:eastAsia="zh-CN"/>
        </w:rPr>
        <w:t>31</w:t>
      </w:r>
      <w:r>
        <w:rPr>
          <w:rFonts w:hint="eastAsia" w:ascii="仿宋" w:hAnsi="仿宋" w:eastAsia="仿宋" w:cs="仿宋"/>
          <w:bCs w:val="0"/>
          <w:color w:val="auto"/>
          <w:sz w:val="28"/>
          <w:szCs w:val="28"/>
          <w:highlight w:val="none"/>
        </w:rPr>
        <w:t>日前取得证书，每延期一天乙方向甲方支付</w:t>
      </w:r>
      <w:r>
        <w:rPr>
          <w:rFonts w:hint="eastAsia" w:ascii="仿宋" w:hAnsi="仿宋" w:eastAsia="仿宋" w:cs="仿宋"/>
          <w:bCs w:val="0"/>
          <w:color w:val="auto"/>
          <w:sz w:val="28"/>
          <w:szCs w:val="28"/>
          <w:highlight w:val="none"/>
          <w:lang w:val="en-US" w:eastAsia="zh-CN"/>
        </w:rPr>
        <w:t>1</w:t>
      </w:r>
      <w:r>
        <w:rPr>
          <w:rFonts w:hint="eastAsia" w:ascii="仿宋" w:hAnsi="仿宋" w:eastAsia="仿宋" w:cs="仿宋"/>
          <w:bCs w:val="0"/>
          <w:color w:val="auto"/>
          <w:sz w:val="28"/>
          <w:szCs w:val="28"/>
          <w:highlight w:val="none"/>
        </w:rPr>
        <w:t>000元违约金。</w:t>
      </w:r>
    </w:p>
    <w:p w14:paraId="7A12D0BB">
      <w:pPr>
        <w:ind w:firstLine="560"/>
        <w:rPr>
          <w:rFonts w:hint="default"/>
          <w:color w:val="auto"/>
          <w:highlight w:val="none"/>
          <w:lang w:val="en-US" w:eastAsia="zh-CN"/>
        </w:rPr>
      </w:pPr>
    </w:p>
    <w:p w14:paraId="6D873BC7">
      <w:pPr>
        <w:pStyle w:val="4"/>
        <w:wordWrap w:val="0"/>
        <w:spacing w:line="500" w:lineRule="exact"/>
        <w:ind w:firstLine="562"/>
        <w:jc w:val="left"/>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八、其他约定</w:t>
      </w:r>
    </w:p>
    <w:p w14:paraId="29A5EF80">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1.本协议在履行过程中发生的争议，由双方协商解决；协商不成的，可依法向甲方注册所在地人民法院提起诉讼。</w:t>
      </w:r>
    </w:p>
    <w:p w14:paraId="675DF327">
      <w:pPr>
        <w:wordWrap w:val="0"/>
        <w:spacing w:line="500" w:lineRule="exact"/>
        <w:ind w:firstLine="560" w:firstLineChars="200"/>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2.本协议如有未尽事宜，经甲乙双方协商一致，可另行签订补充协议。补充协议与本协议具有同等法律效力。</w:t>
      </w:r>
    </w:p>
    <w:p w14:paraId="4D664CCF">
      <w:pPr>
        <w:wordWrap w:val="0"/>
        <w:spacing w:line="500" w:lineRule="exact"/>
        <w:ind w:firstLine="528" w:firstLineChars="200"/>
        <w:jc w:val="left"/>
        <w:textAlignment w:val="center"/>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3.本协议经双方签字盖章后生效。本协议一式陆份，甲方执</w:t>
      </w:r>
      <w:r>
        <w:rPr>
          <w:rFonts w:hint="eastAsia" w:ascii="仿宋" w:hAnsi="仿宋" w:eastAsia="仿宋" w:cs="仿宋"/>
          <w:color w:val="auto"/>
          <w:spacing w:val="-8"/>
          <w:sz w:val="28"/>
          <w:szCs w:val="28"/>
          <w:highlight w:val="none"/>
          <w:u w:val="single"/>
        </w:rPr>
        <w:t xml:space="preserve"> 肆 </w:t>
      </w:r>
      <w:r>
        <w:rPr>
          <w:rFonts w:hint="eastAsia" w:ascii="仿宋" w:hAnsi="仿宋" w:eastAsia="仿宋" w:cs="仿宋"/>
          <w:color w:val="auto"/>
          <w:spacing w:val="-8"/>
          <w:sz w:val="28"/>
          <w:szCs w:val="28"/>
          <w:highlight w:val="none"/>
        </w:rPr>
        <w:t>份，乙方执</w:t>
      </w:r>
      <w:r>
        <w:rPr>
          <w:rFonts w:hint="eastAsia" w:ascii="仿宋" w:hAnsi="仿宋" w:eastAsia="仿宋" w:cs="仿宋"/>
          <w:color w:val="auto"/>
          <w:spacing w:val="-8"/>
          <w:sz w:val="28"/>
          <w:szCs w:val="28"/>
          <w:highlight w:val="none"/>
          <w:u w:val="single"/>
        </w:rPr>
        <w:t xml:space="preserve"> 贰 </w:t>
      </w:r>
      <w:r>
        <w:rPr>
          <w:rFonts w:hint="eastAsia" w:ascii="仿宋" w:hAnsi="仿宋" w:eastAsia="仿宋" w:cs="仿宋"/>
          <w:color w:val="auto"/>
          <w:spacing w:val="-8"/>
          <w:sz w:val="28"/>
          <w:szCs w:val="28"/>
          <w:highlight w:val="none"/>
        </w:rPr>
        <w:t>份。</w:t>
      </w:r>
    </w:p>
    <w:p w14:paraId="5FD51D65">
      <w:pPr>
        <w:wordWrap w:val="0"/>
        <w:spacing w:line="500" w:lineRule="exact"/>
        <w:jc w:val="left"/>
        <w:textAlignment w:val="center"/>
        <w:rPr>
          <w:rFonts w:hint="eastAsia" w:ascii="仿宋" w:hAnsi="仿宋" w:eastAsia="仿宋" w:cs="仿宋"/>
          <w:color w:val="auto"/>
          <w:sz w:val="28"/>
          <w:szCs w:val="28"/>
          <w:highlight w:val="none"/>
        </w:rPr>
      </w:pPr>
    </w:p>
    <w:p w14:paraId="6C5BF480">
      <w:pPr>
        <w:wordWrap w:val="0"/>
        <w:spacing w:line="500" w:lineRule="exact"/>
        <w:jc w:val="left"/>
        <w:textAlignment w:val="center"/>
        <w:rPr>
          <w:rFonts w:hint="eastAsia" w:ascii="仿宋" w:hAnsi="仿宋" w:eastAsia="仿宋" w:cs="仿宋"/>
          <w:color w:val="auto"/>
          <w:sz w:val="28"/>
          <w:szCs w:val="28"/>
          <w:highlight w:val="none"/>
        </w:rPr>
      </w:pPr>
    </w:p>
    <w:p w14:paraId="7648CA75">
      <w:pPr>
        <w:wordWrap w:val="0"/>
        <w:spacing w:line="500" w:lineRule="exact"/>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甲方（盖章）：                    乙方（盖章）：</w:t>
      </w:r>
    </w:p>
    <w:p w14:paraId="2E1CD999">
      <w:pPr>
        <w:wordWrap w:val="0"/>
        <w:spacing w:line="500" w:lineRule="exact"/>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委托代理人（签名）               委托代理人（签名）</w:t>
      </w:r>
    </w:p>
    <w:p w14:paraId="6381F8E9">
      <w:pPr>
        <w:wordWrap w:val="0"/>
        <w:spacing w:line="500" w:lineRule="exact"/>
        <w:jc w:val="left"/>
        <w:textAlignment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联系电话：                       联系电话：</w:t>
      </w:r>
    </w:p>
    <w:p w14:paraId="31D4B009">
      <w:pPr>
        <w:rPr>
          <w:color w:val="auto"/>
          <w:highlight w:val="none"/>
        </w:rPr>
      </w:pPr>
      <w:r>
        <w:rPr>
          <w:rFonts w:hint="eastAsia" w:ascii="仿宋" w:hAnsi="仿宋" w:eastAsia="仿宋" w:cs="仿宋"/>
          <w:color w:val="auto"/>
          <w:sz w:val="28"/>
          <w:szCs w:val="28"/>
          <w:highlight w:val="none"/>
        </w:rPr>
        <w:t xml:space="preserve">年   月   日                     年   月   日 </w:t>
      </w:r>
    </w:p>
    <w:p w14:paraId="5E3CAAA3">
      <w:pPr>
        <w:pStyle w:val="2"/>
        <w:spacing w:line="360" w:lineRule="auto"/>
        <w:jc w:val="center"/>
        <w:rPr>
          <w:rFonts w:ascii="宋体" w:hAnsi="宋体"/>
          <w:color w:val="auto"/>
          <w:sz w:val="22"/>
          <w:szCs w:val="22"/>
          <w:highlight w:val="none"/>
        </w:rPr>
      </w:pPr>
      <w:r>
        <w:rPr>
          <w:rFonts w:ascii="宋体" w:hAnsi="宋体"/>
          <w:color w:val="auto"/>
          <w:sz w:val="22"/>
          <w:szCs w:val="22"/>
          <w:highlight w:val="none"/>
        </w:rPr>
        <w:br w:type="page"/>
      </w:r>
    </w:p>
    <w:p w14:paraId="11D7DB0D">
      <w:pPr>
        <w:rPr>
          <w:color w:val="auto"/>
          <w:highlight w:val="none"/>
        </w:rPr>
      </w:pPr>
    </w:p>
    <w:p w14:paraId="28A53981">
      <w:pPr>
        <w:pStyle w:val="3"/>
        <w:spacing w:before="0" w:after="0" w:line="360" w:lineRule="auto"/>
        <w:jc w:val="center"/>
        <w:rPr>
          <w:rFonts w:ascii="宋体" w:hAnsi="宋体" w:cs="宋体"/>
          <w:color w:val="auto"/>
          <w:highlight w:val="none"/>
        </w:rPr>
      </w:pPr>
      <w:bookmarkStart w:id="823" w:name="_Toc16885"/>
      <w:bookmarkStart w:id="824" w:name="OLE_LINK43"/>
      <w:r>
        <w:rPr>
          <w:rFonts w:hint="eastAsia" w:ascii="宋体" w:hAnsi="宋体" w:cs="宋体"/>
          <w:color w:val="auto"/>
          <w:highlight w:val="none"/>
        </w:rPr>
        <w:t>第八章 竞争性比选响应文件格式</w:t>
      </w:r>
      <w:bookmarkEnd w:id="820"/>
      <w:bookmarkEnd w:id="821"/>
      <w:bookmarkEnd w:id="822"/>
      <w:bookmarkEnd w:id="823"/>
    </w:p>
    <w:bookmarkEnd w:id="824"/>
    <w:p w14:paraId="79AA5AFF">
      <w:pPr>
        <w:rPr>
          <w:rFonts w:ascii="宋体" w:hAnsi="宋体" w:cs="宋体"/>
          <w:color w:val="auto"/>
          <w:highlight w:val="none"/>
        </w:rPr>
      </w:pPr>
    </w:p>
    <w:p w14:paraId="59D65551">
      <w:pPr>
        <w:rPr>
          <w:rFonts w:ascii="宋体" w:hAnsi="宋体" w:cs="宋体"/>
          <w:color w:val="auto"/>
          <w:highlight w:val="none"/>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19" w:charSpace="0"/>
        </w:sectPr>
      </w:pPr>
    </w:p>
    <w:p w14:paraId="0B5D137C">
      <w:pPr>
        <w:rPr>
          <w:rFonts w:ascii="宋体" w:hAnsi="宋体" w:cs="宋体"/>
          <w:color w:val="auto"/>
          <w:highlight w:val="none"/>
        </w:rPr>
      </w:pPr>
    </w:p>
    <w:p w14:paraId="2AAE373E">
      <w:pPr>
        <w:jc w:val="center"/>
        <w:rPr>
          <w:rFonts w:ascii="宋体" w:hAnsi="宋体" w:cs="宋体"/>
          <w:color w:val="auto"/>
          <w:sz w:val="52"/>
          <w:szCs w:val="52"/>
          <w:highlight w:val="none"/>
          <w:u w:val="single"/>
        </w:rPr>
      </w:pPr>
      <w:bookmarkStart w:id="825" w:name="_Toc513633967"/>
      <w:bookmarkStart w:id="826" w:name="_Toc514858710"/>
      <w:bookmarkStart w:id="827" w:name="_Toc503951046"/>
      <w:bookmarkStart w:id="828" w:name="_Toc513646738"/>
      <w:bookmarkStart w:id="829" w:name="_Toc503971829"/>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825"/>
      <w:bookmarkEnd w:id="826"/>
      <w:bookmarkEnd w:id="827"/>
      <w:bookmarkEnd w:id="828"/>
      <w:bookmarkEnd w:id="829"/>
      <w:r>
        <w:rPr>
          <w:rFonts w:hint="eastAsia" w:ascii="宋体" w:hAnsi="宋体" w:cs="宋体"/>
          <w:color w:val="auto"/>
          <w:sz w:val="52"/>
          <w:szCs w:val="52"/>
          <w:highlight w:val="none"/>
          <w:u w:val="single"/>
        </w:rPr>
        <w:t xml:space="preserve"> </w:t>
      </w:r>
    </w:p>
    <w:p w14:paraId="3872DACC">
      <w:pPr>
        <w:rPr>
          <w:rFonts w:ascii="宋体" w:hAnsi="宋体" w:cs="宋体"/>
          <w:color w:val="auto"/>
          <w:sz w:val="20"/>
          <w:szCs w:val="20"/>
          <w:highlight w:val="none"/>
        </w:rPr>
      </w:pPr>
    </w:p>
    <w:p w14:paraId="2F3DD8A3">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EE2E3BC">
      <w:pPr>
        <w:rPr>
          <w:rFonts w:ascii="宋体" w:hAnsi="宋体" w:cs="宋体"/>
          <w:color w:val="auto"/>
          <w:sz w:val="28"/>
          <w:szCs w:val="28"/>
          <w:highlight w:val="none"/>
        </w:rPr>
      </w:pPr>
    </w:p>
    <w:p w14:paraId="3F60D779">
      <w:pPr>
        <w:rPr>
          <w:rFonts w:ascii="宋体" w:hAnsi="宋体" w:cs="宋体"/>
          <w:color w:val="auto"/>
          <w:sz w:val="28"/>
          <w:szCs w:val="28"/>
          <w:highlight w:val="none"/>
        </w:rPr>
      </w:pPr>
    </w:p>
    <w:p w14:paraId="7AFC9D27">
      <w:pPr>
        <w:rPr>
          <w:rFonts w:ascii="宋体" w:hAnsi="宋体" w:cs="宋体"/>
          <w:color w:val="auto"/>
          <w:sz w:val="28"/>
          <w:szCs w:val="28"/>
          <w:highlight w:val="none"/>
        </w:rPr>
      </w:pPr>
    </w:p>
    <w:p w14:paraId="364EADFE">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F8110C0">
      <w:pPr>
        <w:jc w:val="center"/>
        <w:rPr>
          <w:rFonts w:ascii="宋体" w:hAnsi="宋体" w:cs="宋体"/>
          <w:b/>
          <w:color w:val="auto"/>
          <w:sz w:val="32"/>
          <w:szCs w:val="32"/>
          <w:highlight w:val="none"/>
        </w:rPr>
      </w:pPr>
    </w:p>
    <w:p w14:paraId="0E35CBA4">
      <w:pPr>
        <w:rPr>
          <w:rFonts w:ascii="宋体" w:hAnsi="宋体" w:cs="宋体"/>
          <w:color w:val="auto"/>
          <w:sz w:val="28"/>
          <w:szCs w:val="28"/>
          <w:highlight w:val="none"/>
        </w:rPr>
      </w:pPr>
    </w:p>
    <w:p w14:paraId="22A96B88">
      <w:pPr>
        <w:rPr>
          <w:rFonts w:ascii="宋体" w:hAnsi="宋体" w:cs="宋体"/>
          <w:color w:val="auto"/>
          <w:sz w:val="28"/>
          <w:szCs w:val="28"/>
          <w:highlight w:val="none"/>
        </w:rPr>
      </w:pPr>
    </w:p>
    <w:p w14:paraId="7A89945C">
      <w:pPr>
        <w:rPr>
          <w:rFonts w:ascii="宋体" w:hAnsi="宋体" w:cs="宋体"/>
          <w:color w:val="auto"/>
          <w:sz w:val="28"/>
          <w:szCs w:val="28"/>
          <w:highlight w:val="none"/>
        </w:rPr>
      </w:pPr>
    </w:p>
    <w:p w14:paraId="329E944D">
      <w:pPr>
        <w:rPr>
          <w:rFonts w:ascii="宋体" w:hAnsi="宋体" w:cs="宋体"/>
          <w:color w:val="auto"/>
          <w:sz w:val="28"/>
          <w:szCs w:val="28"/>
          <w:highlight w:val="none"/>
        </w:rPr>
      </w:pPr>
    </w:p>
    <w:p w14:paraId="4879E729">
      <w:pPr>
        <w:rPr>
          <w:rFonts w:ascii="宋体" w:hAnsi="宋体" w:cs="宋体"/>
          <w:color w:val="auto"/>
          <w:sz w:val="28"/>
          <w:szCs w:val="28"/>
          <w:highlight w:val="none"/>
        </w:rPr>
      </w:pPr>
    </w:p>
    <w:p w14:paraId="2B1E80A4">
      <w:pPr>
        <w:pStyle w:val="29"/>
        <w:rPr>
          <w:color w:val="auto"/>
          <w:highlight w:val="none"/>
        </w:rPr>
      </w:pPr>
    </w:p>
    <w:p w14:paraId="56CFF350">
      <w:pPr>
        <w:rPr>
          <w:color w:val="auto"/>
          <w:highlight w:val="none"/>
        </w:rPr>
      </w:pPr>
    </w:p>
    <w:p w14:paraId="51738B3C">
      <w:pPr>
        <w:pStyle w:val="29"/>
        <w:rPr>
          <w:color w:val="auto"/>
          <w:highlight w:val="none"/>
        </w:rPr>
      </w:pPr>
    </w:p>
    <w:p w14:paraId="028D5353">
      <w:pPr>
        <w:rPr>
          <w:color w:val="auto"/>
          <w:highlight w:val="none"/>
        </w:rPr>
      </w:pPr>
    </w:p>
    <w:p w14:paraId="715D2414">
      <w:pPr>
        <w:pStyle w:val="29"/>
        <w:rPr>
          <w:color w:val="auto"/>
          <w:highlight w:val="none"/>
        </w:rPr>
      </w:pPr>
    </w:p>
    <w:p w14:paraId="3ABC0AC1">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28F8D3C9">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（签名）</w:t>
      </w:r>
    </w:p>
    <w:p w14:paraId="7795B50A">
      <w:pPr>
        <w:jc w:val="center"/>
        <w:rPr>
          <w:rFonts w:ascii="宋体" w:hAnsi="宋体" w:cs="宋体"/>
          <w:color w:val="auto"/>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7BC0C65F">
      <w:pPr>
        <w:rPr>
          <w:rFonts w:ascii="宋体" w:hAnsi="宋体" w:cs="宋体"/>
          <w:color w:val="auto"/>
          <w:highlight w:val="none"/>
        </w:rPr>
      </w:pPr>
      <w:bookmarkStart w:id="830" w:name="_Toc11329273"/>
      <w:bookmarkStart w:id="831" w:name="_Toc28780"/>
      <w:bookmarkStart w:id="832" w:name="_Toc5459"/>
      <w:bookmarkStart w:id="833" w:name="_Toc26420"/>
      <w:bookmarkStart w:id="834" w:name="_Toc1368"/>
      <w:r>
        <w:rPr>
          <w:rFonts w:hint="eastAsia" w:ascii="宋体" w:hAnsi="宋体" w:cs="宋体"/>
          <w:color w:val="auto"/>
          <w:highlight w:val="none"/>
        </w:rPr>
        <w:br w:type="page"/>
      </w:r>
    </w:p>
    <w:p w14:paraId="362816D6">
      <w:pPr>
        <w:jc w:val="center"/>
        <w:rPr>
          <w:rFonts w:ascii="宋体" w:hAnsi="宋体" w:cs="宋体"/>
          <w:b/>
          <w:bCs/>
          <w:color w:val="auto"/>
          <w:sz w:val="32"/>
          <w:szCs w:val="40"/>
          <w:highlight w:val="none"/>
        </w:rPr>
      </w:pPr>
      <w:r>
        <w:rPr>
          <w:rFonts w:hint="eastAsia" w:ascii="宋体" w:hAnsi="宋体" w:cs="宋体"/>
          <w:b/>
          <w:bCs/>
          <w:color w:val="auto"/>
          <w:sz w:val="32"/>
          <w:szCs w:val="40"/>
          <w:highlight w:val="none"/>
        </w:rPr>
        <w:t>目    录</w:t>
      </w:r>
      <w:bookmarkEnd w:id="810"/>
      <w:bookmarkEnd w:id="811"/>
      <w:bookmarkEnd w:id="812"/>
      <w:bookmarkEnd w:id="813"/>
      <w:bookmarkEnd w:id="814"/>
      <w:bookmarkEnd w:id="815"/>
      <w:bookmarkEnd w:id="816"/>
      <w:bookmarkEnd w:id="817"/>
      <w:bookmarkEnd w:id="830"/>
      <w:bookmarkEnd w:id="831"/>
      <w:bookmarkEnd w:id="832"/>
      <w:bookmarkEnd w:id="833"/>
      <w:bookmarkEnd w:id="834"/>
    </w:p>
    <w:p w14:paraId="176AA625">
      <w:pPr>
        <w:numPr>
          <w:ilvl w:val="0"/>
          <w:numId w:val="10"/>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5342FA90">
      <w:pPr>
        <w:numPr>
          <w:ilvl w:val="0"/>
          <w:numId w:val="10"/>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466AAE37">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5DFB9DF2">
      <w:pPr>
        <w:spacing w:line="400" w:lineRule="exact"/>
        <w:rPr>
          <w:rFonts w:hint="eastAsia" w:ascii="宋体" w:hAnsi="宋体" w:cs="宋体"/>
          <w:color w:val="auto"/>
          <w:highlight w:val="none"/>
        </w:rPr>
      </w:pPr>
      <w:r>
        <w:rPr>
          <w:rFonts w:hint="eastAsia" w:ascii="宋体" w:hAnsi="宋体" w:cs="宋体"/>
          <w:color w:val="auto"/>
          <w:highlight w:val="none"/>
        </w:rPr>
        <w:t>四、审查资料</w:t>
      </w:r>
    </w:p>
    <w:p w14:paraId="4B8F998B">
      <w:pPr>
        <w:spacing w:line="400" w:lineRule="exact"/>
        <w:rPr>
          <w:rFonts w:ascii="宋体" w:hAnsi="宋体" w:cs="宋体"/>
          <w:color w:val="auto"/>
          <w:highlight w:val="none"/>
        </w:rPr>
      </w:pPr>
      <w:r>
        <w:rPr>
          <w:rFonts w:hint="eastAsia" w:ascii="宋体" w:hAnsi="宋体" w:cs="宋体"/>
          <w:color w:val="auto"/>
          <w:highlight w:val="none"/>
        </w:rPr>
        <w:t>五、商务部分</w:t>
      </w:r>
    </w:p>
    <w:p w14:paraId="267FD4C7">
      <w:pPr>
        <w:spacing w:line="400" w:lineRule="exact"/>
        <w:rPr>
          <w:rFonts w:hint="eastAsia" w:ascii="宋体" w:hAnsi="宋体" w:cs="宋体"/>
          <w:color w:val="auto"/>
          <w:highlight w:val="none"/>
        </w:rPr>
      </w:pPr>
      <w:r>
        <w:rPr>
          <w:rFonts w:hint="eastAsia" w:ascii="宋体" w:hAnsi="宋体" w:cs="宋体"/>
          <w:color w:val="auto"/>
          <w:highlight w:val="none"/>
        </w:rPr>
        <w:t>六、技术部分</w:t>
      </w:r>
    </w:p>
    <w:p w14:paraId="698BF81C">
      <w:pPr>
        <w:spacing w:line="400" w:lineRule="exact"/>
        <w:rPr>
          <w:rFonts w:ascii="宋体" w:hAnsi="宋体" w:cs="宋体"/>
          <w:color w:val="auto"/>
          <w:szCs w:val="21"/>
          <w:highlight w:val="none"/>
        </w:rPr>
      </w:pPr>
      <w:r>
        <w:rPr>
          <w:rFonts w:hint="eastAsia" w:ascii="宋体" w:hAnsi="宋体" w:cs="宋体"/>
          <w:color w:val="auto"/>
          <w:highlight w:val="none"/>
          <w:lang w:val="en-US" w:eastAsia="zh-CN"/>
        </w:rPr>
        <w:t>七</w:t>
      </w:r>
      <w:r>
        <w:rPr>
          <w:rFonts w:hint="eastAsia" w:ascii="宋体" w:hAnsi="宋体" w:cs="宋体"/>
          <w:color w:val="auto"/>
          <w:highlight w:val="none"/>
        </w:rPr>
        <w:t>、</w:t>
      </w:r>
      <w:r>
        <w:rPr>
          <w:rFonts w:hint="eastAsia" w:ascii="宋体" w:hAnsi="宋体" w:cs="宋体"/>
          <w:color w:val="auto"/>
          <w:szCs w:val="21"/>
          <w:highlight w:val="none"/>
        </w:rPr>
        <w:t>报价人承诺</w:t>
      </w:r>
    </w:p>
    <w:p w14:paraId="078BA05E">
      <w:pPr>
        <w:spacing w:line="400" w:lineRule="exact"/>
        <w:rPr>
          <w:rFonts w:ascii="宋体" w:hAnsi="宋体" w:cs="宋体"/>
          <w:color w:val="auto"/>
          <w:highlight w:val="none"/>
        </w:rPr>
      </w:pPr>
      <w:r>
        <w:rPr>
          <w:rFonts w:hint="eastAsia" w:ascii="宋体" w:hAnsi="宋体" w:cs="宋体"/>
          <w:color w:val="auto"/>
          <w:highlight w:val="none"/>
          <w:lang w:val="en-US" w:eastAsia="zh-CN"/>
        </w:rPr>
        <w:t>八</w:t>
      </w:r>
      <w:r>
        <w:rPr>
          <w:rFonts w:hint="eastAsia" w:ascii="宋体" w:hAnsi="宋体" w:cs="宋体"/>
          <w:color w:val="auto"/>
          <w:highlight w:val="none"/>
        </w:rPr>
        <w:t>、报价人提供的其他资料</w:t>
      </w:r>
    </w:p>
    <w:p w14:paraId="79E0B792">
      <w:pPr>
        <w:spacing w:line="400" w:lineRule="exact"/>
        <w:rPr>
          <w:rFonts w:ascii="宋体" w:hAnsi="宋体" w:cs="宋体"/>
          <w:color w:val="auto"/>
          <w:highlight w:val="none"/>
        </w:rPr>
      </w:pPr>
      <w:r>
        <w:rPr>
          <w:rFonts w:hint="eastAsia" w:ascii="宋体" w:hAnsi="宋体" w:cs="宋体"/>
          <w:color w:val="auto"/>
          <w:highlight w:val="none"/>
          <w:lang w:val="en-US" w:eastAsia="zh-CN"/>
        </w:rPr>
        <w:t>九</w:t>
      </w:r>
      <w:r>
        <w:rPr>
          <w:rFonts w:hint="eastAsia" w:ascii="宋体" w:hAnsi="宋体" w:cs="宋体"/>
          <w:color w:val="auto"/>
          <w:highlight w:val="none"/>
        </w:rPr>
        <w:t>、低价风险担保提交承诺书（如有）</w:t>
      </w:r>
    </w:p>
    <w:p w14:paraId="577E33C1">
      <w:pPr>
        <w:spacing w:line="400" w:lineRule="exact"/>
        <w:rPr>
          <w:rFonts w:ascii="宋体" w:hAnsi="宋体" w:cs="宋体"/>
          <w:color w:val="auto"/>
          <w:highlight w:val="none"/>
        </w:rPr>
      </w:pPr>
    </w:p>
    <w:p w14:paraId="3A142038">
      <w:pPr>
        <w:spacing w:line="400" w:lineRule="exact"/>
        <w:rPr>
          <w:rFonts w:ascii="宋体" w:hAnsi="宋体" w:cs="宋体"/>
          <w:color w:val="auto"/>
          <w:highlight w:val="none"/>
        </w:rPr>
      </w:pPr>
    </w:p>
    <w:p w14:paraId="62924BB2">
      <w:pPr>
        <w:spacing w:line="400" w:lineRule="exact"/>
        <w:rPr>
          <w:rFonts w:ascii="宋体" w:hAnsi="宋体" w:cs="宋体"/>
          <w:color w:val="auto"/>
          <w:highlight w:val="none"/>
        </w:rPr>
      </w:pPr>
    </w:p>
    <w:p w14:paraId="04754DEB">
      <w:pPr>
        <w:spacing w:line="400" w:lineRule="exact"/>
        <w:rPr>
          <w:rFonts w:ascii="宋体" w:hAnsi="宋体" w:cs="宋体"/>
          <w:color w:val="auto"/>
          <w:highlight w:val="none"/>
        </w:rPr>
      </w:pPr>
    </w:p>
    <w:p w14:paraId="18858F66">
      <w:pPr>
        <w:spacing w:line="400" w:lineRule="exact"/>
        <w:rPr>
          <w:rFonts w:ascii="宋体" w:hAnsi="宋体" w:cs="宋体"/>
          <w:color w:val="auto"/>
          <w:highlight w:val="none"/>
        </w:rPr>
      </w:pPr>
    </w:p>
    <w:p w14:paraId="7EA02AB4">
      <w:pPr>
        <w:spacing w:line="400" w:lineRule="exact"/>
        <w:rPr>
          <w:rFonts w:ascii="宋体" w:hAnsi="宋体" w:cs="宋体"/>
          <w:color w:val="auto"/>
          <w:highlight w:val="none"/>
        </w:rPr>
      </w:pPr>
    </w:p>
    <w:p w14:paraId="53E4ADF4">
      <w:pPr>
        <w:spacing w:line="400" w:lineRule="exact"/>
        <w:rPr>
          <w:rFonts w:ascii="宋体" w:hAnsi="宋体" w:cs="宋体"/>
          <w:color w:val="auto"/>
          <w:highlight w:val="none"/>
        </w:rPr>
      </w:pPr>
    </w:p>
    <w:p w14:paraId="6A488674">
      <w:pPr>
        <w:spacing w:line="400" w:lineRule="exact"/>
        <w:rPr>
          <w:rFonts w:ascii="宋体" w:hAnsi="宋体" w:cs="宋体"/>
          <w:color w:val="auto"/>
          <w:highlight w:val="none"/>
        </w:rPr>
      </w:pPr>
    </w:p>
    <w:p w14:paraId="4626489E">
      <w:pPr>
        <w:spacing w:line="400" w:lineRule="exact"/>
        <w:rPr>
          <w:rFonts w:ascii="宋体" w:hAnsi="宋体" w:cs="宋体"/>
          <w:color w:val="auto"/>
          <w:highlight w:val="none"/>
        </w:rPr>
      </w:pPr>
    </w:p>
    <w:p w14:paraId="28F7ABBC">
      <w:pPr>
        <w:spacing w:line="400" w:lineRule="exact"/>
        <w:rPr>
          <w:rFonts w:ascii="宋体" w:hAnsi="宋体" w:cs="宋体"/>
          <w:color w:val="auto"/>
          <w:highlight w:val="none"/>
        </w:rPr>
      </w:pPr>
    </w:p>
    <w:p w14:paraId="69508D69">
      <w:pPr>
        <w:spacing w:line="400" w:lineRule="exact"/>
        <w:rPr>
          <w:rFonts w:ascii="宋体" w:hAnsi="宋体" w:cs="宋体"/>
          <w:color w:val="auto"/>
          <w:highlight w:val="none"/>
        </w:rPr>
      </w:pPr>
    </w:p>
    <w:p w14:paraId="197BB36F">
      <w:pPr>
        <w:spacing w:line="400" w:lineRule="exact"/>
        <w:rPr>
          <w:rFonts w:ascii="宋体" w:hAnsi="宋体" w:cs="宋体"/>
          <w:color w:val="auto"/>
          <w:highlight w:val="none"/>
        </w:rPr>
      </w:pPr>
    </w:p>
    <w:p w14:paraId="55A505AA">
      <w:pPr>
        <w:spacing w:line="400" w:lineRule="exact"/>
        <w:rPr>
          <w:rFonts w:ascii="宋体" w:hAnsi="宋体" w:cs="宋体"/>
          <w:color w:val="auto"/>
          <w:highlight w:val="none"/>
        </w:rPr>
      </w:pPr>
    </w:p>
    <w:p w14:paraId="2ADC04FD">
      <w:pPr>
        <w:spacing w:line="400" w:lineRule="exact"/>
        <w:rPr>
          <w:rFonts w:ascii="宋体" w:hAnsi="宋体" w:cs="宋体"/>
          <w:color w:val="auto"/>
          <w:highlight w:val="none"/>
        </w:rPr>
      </w:pPr>
    </w:p>
    <w:p w14:paraId="30DD3F03">
      <w:pPr>
        <w:spacing w:line="400" w:lineRule="exact"/>
        <w:rPr>
          <w:rFonts w:ascii="宋体" w:hAnsi="宋体" w:cs="宋体"/>
          <w:color w:val="auto"/>
          <w:highlight w:val="none"/>
        </w:rPr>
      </w:pPr>
    </w:p>
    <w:p w14:paraId="705190A0">
      <w:pPr>
        <w:spacing w:line="400" w:lineRule="exact"/>
        <w:rPr>
          <w:rFonts w:ascii="宋体" w:hAnsi="宋体" w:cs="宋体"/>
          <w:color w:val="auto"/>
          <w:highlight w:val="none"/>
        </w:rPr>
      </w:pPr>
    </w:p>
    <w:p w14:paraId="4D25EC51">
      <w:pPr>
        <w:spacing w:line="400" w:lineRule="exact"/>
        <w:rPr>
          <w:rFonts w:ascii="宋体" w:hAnsi="宋体" w:cs="宋体"/>
          <w:color w:val="auto"/>
          <w:highlight w:val="none"/>
        </w:rPr>
      </w:pPr>
    </w:p>
    <w:p w14:paraId="084DDB43">
      <w:pPr>
        <w:spacing w:line="400" w:lineRule="exact"/>
        <w:rPr>
          <w:rFonts w:ascii="宋体" w:hAnsi="宋体" w:cs="宋体"/>
          <w:color w:val="auto"/>
          <w:highlight w:val="none"/>
        </w:rPr>
      </w:pPr>
    </w:p>
    <w:p w14:paraId="710F35C7">
      <w:pPr>
        <w:spacing w:line="400" w:lineRule="exact"/>
        <w:rPr>
          <w:rFonts w:ascii="宋体" w:hAnsi="宋体" w:cs="宋体"/>
          <w:color w:val="auto"/>
          <w:highlight w:val="none"/>
        </w:rPr>
      </w:pPr>
    </w:p>
    <w:p w14:paraId="1921902C">
      <w:pPr>
        <w:spacing w:line="400" w:lineRule="exact"/>
        <w:rPr>
          <w:rFonts w:ascii="宋体" w:hAnsi="宋体" w:cs="宋体"/>
          <w:color w:val="auto"/>
          <w:highlight w:val="none"/>
        </w:rPr>
      </w:pPr>
    </w:p>
    <w:p w14:paraId="0F40FC00">
      <w:pPr>
        <w:spacing w:line="400" w:lineRule="exact"/>
        <w:rPr>
          <w:rFonts w:ascii="宋体" w:hAnsi="宋体" w:cs="宋体"/>
          <w:color w:val="auto"/>
          <w:highlight w:val="none"/>
        </w:rPr>
      </w:pPr>
      <w:r>
        <w:rPr>
          <w:rFonts w:ascii="宋体" w:hAnsi="宋体" w:cs="宋体"/>
          <w:color w:val="auto"/>
          <w:highlight w:val="none"/>
        </w:rPr>
        <w:br w:type="page"/>
      </w:r>
    </w:p>
    <w:p w14:paraId="3F95D59F">
      <w:pPr>
        <w:pStyle w:val="4"/>
        <w:numPr>
          <w:ilvl w:val="0"/>
          <w:numId w:val="11"/>
        </w:numPr>
        <w:spacing w:before="0" w:after="0" w:line="360" w:lineRule="auto"/>
        <w:jc w:val="center"/>
        <w:rPr>
          <w:rFonts w:ascii="宋体" w:hAnsi="宋体" w:eastAsia="宋体" w:cs="宋体"/>
          <w:color w:val="auto"/>
          <w:sz w:val="28"/>
          <w:highlight w:val="none"/>
        </w:rPr>
      </w:pPr>
      <w:bookmarkStart w:id="835" w:name="_Toc28976"/>
      <w:bookmarkStart w:id="836" w:name="_Toc25874"/>
      <w:bookmarkStart w:id="837" w:name="_Toc20832"/>
      <w:bookmarkStart w:id="838" w:name="_Toc15863"/>
      <w:bookmarkStart w:id="839" w:name="_Toc3047"/>
      <w:bookmarkStart w:id="840" w:name="_Toc29547"/>
      <w:bookmarkStart w:id="841" w:name="_Toc513633969"/>
      <w:bookmarkStart w:id="842" w:name="_Toc447827053"/>
      <w:bookmarkStart w:id="843" w:name="_Toc503951048"/>
      <w:r>
        <w:rPr>
          <w:rFonts w:hint="eastAsia" w:ascii="宋体" w:hAnsi="宋体" w:eastAsia="宋体" w:cs="宋体"/>
          <w:color w:val="auto"/>
          <w:sz w:val="28"/>
          <w:highlight w:val="none"/>
        </w:rPr>
        <w:t>竞争比选响应声明书</w:t>
      </w:r>
      <w:bookmarkEnd w:id="835"/>
      <w:bookmarkEnd w:id="836"/>
      <w:bookmarkEnd w:id="837"/>
      <w:bookmarkEnd w:id="838"/>
      <w:bookmarkEnd w:id="839"/>
      <w:bookmarkEnd w:id="840"/>
    </w:p>
    <w:p w14:paraId="2BE4725E">
      <w:pPr>
        <w:tabs>
          <w:tab w:val="left" w:pos="900"/>
        </w:tabs>
        <w:spacing w:line="300" w:lineRule="auto"/>
        <w:outlineLvl w:val="2"/>
        <w:rPr>
          <w:color w:val="auto"/>
          <w:highlight w:val="none"/>
        </w:rPr>
      </w:pPr>
      <w:r>
        <w:rPr>
          <w:rFonts w:ascii="Arial" w:hAnsi="Arial" w:cs="Arial"/>
          <w:color w:val="auto"/>
          <w:sz w:val="24"/>
          <w:highlight w:val="none"/>
        </w:rPr>
        <w:t xml:space="preserve"> </w:t>
      </w: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161C18C7">
      <w:pPr>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根据贵方为</w:t>
      </w:r>
      <w:r>
        <w:rPr>
          <w:rFonts w:hint="eastAsia" w:ascii="Arial" w:hAnsi="Arial" w:cs="Arial"/>
          <w:color w:val="auto"/>
          <w:sz w:val="24"/>
          <w:highlight w:val="none"/>
          <w:u w:val="single"/>
          <w:lang w:eastAsia="zh-CN"/>
        </w:rPr>
        <w:t>首讯公司通信工程施工总承包二级和电力工程施工总承包二级资质申报咨询服务</w:t>
      </w:r>
      <w:r>
        <w:rPr>
          <w:rFonts w:hint="eastAsia" w:ascii="Arial" w:hAnsi="Arial" w:cs="Arial"/>
          <w:color w:val="auto"/>
          <w:sz w:val="24"/>
          <w:highlight w:val="none"/>
          <w:u w:val="single"/>
        </w:rPr>
        <w:t>项目</w:t>
      </w:r>
      <w:r>
        <w:rPr>
          <w:rFonts w:hint="eastAsia" w:ascii="Arial" w:hAnsi="Arial" w:cs="Arial"/>
          <w:color w:val="auto"/>
          <w:sz w:val="24"/>
          <w:highlight w:val="none"/>
        </w:rPr>
        <w:t>竞争比选项目的竞争比选公告，签名代表</w:t>
      </w:r>
      <w:r>
        <w:rPr>
          <w:rFonts w:ascii="Arial" w:hAnsi="Arial" w:cs="Arial"/>
          <w:color w:val="auto"/>
          <w:sz w:val="24"/>
          <w:highlight w:val="none"/>
          <w:u w:val="single"/>
        </w:rPr>
        <w:t xml:space="preserve">          </w:t>
      </w:r>
      <w:r>
        <w:rPr>
          <w:rFonts w:hint="eastAsia" w:ascii="Arial" w:hAnsi="Arial" w:cs="Arial"/>
          <w:color w:val="auto"/>
          <w:sz w:val="24"/>
          <w:highlight w:val="none"/>
          <w:u w:val="single"/>
        </w:rPr>
        <w:t>（全名、职务）</w:t>
      </w:r>
      <w:r>
        <w:rPr>
          <w:rFonts w:hint="eastAsia" w:ascii="Arial" w:hAnsi="Arial" w:cs="Arial"/>
          <w:color w:val="auto"/>
          <w:sz w:val="24"/>
          <w:highlight w:val="none"/>
        </w:rPr>
        <w:t>经正式授权并代表竞争比选响应单位</w:t>
      </w:r>
      <w:r>
        <w:rPr>
          <w:rFonts w:ascii="Arial" w:hAnsi="Arial" w:cs="Arial"/>
          <w:color w:val="auto"/>
          <w:sz w:val="24"/>
          <w:highlight w:val="none"/>
          <w:u w:val="single"/>
        </w:rPr>
        <w:t xml:space="preserve"> </w:t>
      </w:r>
      <w:r>
        <w:rPr>
          <w:rFonts w:hint="eastAsia" w:ascii="Arial" w:hAnsi="Arial" w:cs="Arial"/>
          <w:color w:val="auto"/>
          <w:sz w:val="24"/>
          <w:highlight w:val="none"/>
          <w:u w:val="single"/>
        </w:rPr>
        <w:t>（竞争比选响应单位名称）</w:t>
      </w:r>
      <w:r>
        <w:rPr>
          <w:rFonts w:ascii="Arial" w:hAnsi="Arial" w:cs="Arial"/>
          <w:color w:val="auto"/>
          <w:sz w:val="24"/>
          <w:highlight w:val="none"/>
          <w:u w:val="single"/>
        </w:rPr>
        <w:t xml:space="preserve"> </w:t>
      </w:r>
      <w:r>
        <w:rPr>
          <w:rFonts w:hint="eastAsia" w:ascii="Arial" w:hAnsi="Arial" w:cs="Arial"/>
          <w:color w:val="auto"/>
          <w:sz w:val="24"/>
          <w:highlight w:val="none"/>
        </w:rPr>
        <w:t>提交报价文件。</w:t>
      </w:r>
    </w:p>
    <w:p w14:paraId="612D3D19">
      <w:pPr>
        <w:spacing w:line="480" w:lineRule="auto"/>
        <w:ind w:firstLine="480" w:firstLineChars="200"/>
        <w:rPr>
          <w:rFonts w:ascii="Arial" w:hAnsi="Arial" w:cs="Arial"/>
          <w:color w:val="auto"/>
          <w:sz w:val="24"/>
          <w:highlight w:val="none"/>
          <w:u w:val="single"/>
        </w:rPr>
      </w:pPr>
      <w:r>
        <w:rPr>
          <w:rFonts w:hint="eastAsia" w:ascii="Arial" w:hAnsi="Arial" w:cs="Arial"/>
          <w:color w:val="auto"/>
          <w:sz w:val="24"/>
          <w:highlight w:val="none"/>
          <w:u w:val="single"/>
        </w:rPr>
        <w:t>我方愿以：           元（大写：    ）的报价按照竞争比选文件的要求，提供本次竞争比选文件要求的设备及服务。</w:t>
      </w:r>
    </w:p>
    <w:p w14:paraId="431C3608">
      <w:pPr>
        <w:tabs>
          <w:tab w:val="left" w:pos="540"/>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据此函，签名代表宣布同意如下：</w:t>
      </w:r>
    </w:p>
    <w:p w14:paraId="4475DE67">
      <w:pPr>
        <w:tabs>
          <w:tab w:val="left" w:pos="540"/>
          <w:tab w:val="left" w:pos="900"/>
        </w:tabs>
        <w:spacing w:line="480" w:lineRule="auto"/>
        <w:ind w:firstLine="480" w:firstLineChars="200"/>
        <w:outlineLvl w:val="2"/>
        <w:rPr>
          <w:rFonts w:ascii="Arial" w:hAnsi="Arial" w:cs="Arial"/>
          <w:color w:val="auto"/>
          <w:sz w:val="24"/>
          <w:highlight w:val="none"/>
        </w:rPr>
      </w:pPr>
      <w:r>
        <w:rPr>
          <w:rFonts w:ascii="Arial" w:hAnsi="Arial" w:cs="Arial"/>
          <w:color w:val="auto"/>
          <w:sz w:val="24"/>
          <w:highlight w:val="none"/>
        </w:rPr>
        <w:t>1</w:t>
      </w:r>
      <w:r>
        <w:rPr>
          <w:rFonts w:hint="eastAsia" w:ascii="Arial" w:hAnsi="Arial" w:cs="Arial"/>
          <w:color w:val="auto"/>
          <w:sz w:val="24"/>
          <w:highlight w:val="none"/>
        </w:rPr>
        <w:t>、竞争比选响应单位将按竞争比选文件规定履行合同责任和义务。</w:t>
      </w:r>
    </w:p>
    <w:p w14:paraId="4C385AFD">
      <w:pPr>
        <w:tabs>
          <w:tab w:val="left" w:pos="900"/>
        </w:tabs>
        <w:spacing w:line="480" w:lineRule="auto"/>
        <w:ind w:firstLine="480" w:firstLineChars="200"/>
        <w:rPr>
          <w:rFonts w:ascii="Arial" w:hAnsi="Arial" w:cs="Arial"/>
          <w:b/>
          <w:color w:val="auto"/>
          <w:sz w:val="24"/>
          <w:highlight w:val="none"/>
        </w:rPr>
      </w:pPr>
      <w:r>
        <w:rPr>
          <w:rFonts w:ascii="Arial" w:hAnsi="Arial" w:cs="Arial"/>
          <w:color w:val="auto"/>
          <w:sz w:val="24"/>
          <w:highlight w:val="none"/>
        </w:rPr>
        <w:t>2</w:t>
      </w:r>
      <w:r>
        <w:rPr>
          <w:rFonts w:hint="eastAsia" w:ascii="Arial" w:hAnsi="Arial" w:cs="Arial"/>
          <w:color w:val="auto"/>
          <w:sz w:val="24"/>
          <w:highlight w:val="none"/>
        </w:rPr>
        <w:t>、竞争比选响应单位已详细审查全部竞争比选文件，包括修改文件（如有的话）以及全部参考资料和相关附件。我们完全理解并同意放弃对这方面有不明及误解的权利。</w:t>
      </w:r>
    </w:p>
    <w:p w14:paraId="1C71E342">
      <w:pPr>
        <w:tabs>
          <w:tab w:val="left" w:pos="900"/>
        </w:tabs>
        <w:spacing w:line="480" w:lineRule="auto"/>
        <w:ind w:firstLine="480" w:firstLineChars="200"/>
        <w:rPr>
          <w:rFonts w:ascii="Arial" w:hAnsi="Arial" w:cs="Arial"/>
          <w:b/>
          <w:color w:val="auto"/>
          <w:sz w:val="24"/>
          <w:highlight w:val="none"/>
        </w:rPr>
      </w:pPr>
      <w:r>
        <w:rPr>
          <w:rFonts w:hint="eastAsia" w:ascii="Arial" w:hAnsi="Arial" w:cs="Arial"/>
          <w:color w:val="auto"/>
          <w:sz w:val="24"/>
          <w:highlight w:val="none"/>
        </w:rPr>
        <w:t>3、竞争比选响应单位同意提供采购人可能要求的与其竞争比选响应文件有关的一切数据或资料，完全理解采购人不一定要接受最低报价的竞争比选响应或收到的任何报价。</w:t>
      </w:r>
    </w:p>
    <w:p w14:paraId="25537687">
      <w:pPr>
        <w:tabs>
          <w:tab w:val="left" w:pos="900"/>
        </w:tabs>
        <w:spacing w:line="480" w:lineRule="auto"/>
        <w:ind w:firstLine="480" w:firstLineChars="200"/>
        <w:outlineLvl w:val="2"/>
        <w:rPr>
          <w:rFonts w:ascii="Arial" w:hAnsi="Arial" w:cs="Arial"/>
          <w:b/>
          <w:color w:val="auto"/>
          <w:sz w:val="24"/>
          <w:highlight w:val="none"/>
        </w:rPr>
      </w:pPr>
      <w:r>
        <w:rPr>
          <w:rFonts w:hint="eastAsia" w:ascii="Arial" w:hAnsi="Arial" w:cs="Arial"/>
          <w:color w:val="auto"/>
          <w:sz w:val="24"/>
          <w:highlight w:val="none"/>
        </w:rPr>
        <w:t>4、与本竞争比选响应有关的一切正式往来通讯请寄：</w:t>
      </w:r>
    </w:p>
    <w:p w14:paraId="0822FC1E">
      <w:pPr>
        <w:tabs>
          <w:tab w:val="left" w:pos="900"/>
        </w:tabs>
        <w:spacing w:line="480" w:lineRule="auto"/>
        <w:ind w:firstLine="480" w:firstLineChars="200"/>
        <w:rPr>
          <w:rFonts w:ascii="Arial" w:hAnsi="Arial" w:cs="Arial"/>
          <w:b/>
          <w:color w:val="auto"/>
          <w:sz w:val="24"/>
          <w:highlight w:val="none"/>
        </w:rPr>
      </w:pPr>
      <w:r>
        <w:rPr>
          <w:rFonts w:hint="eastAsia" w:ascii="Arial" w:hAnsi="Arial" w:cs="Arial"/>
          <w:color w:val="auto"/>
          <w:sz w:val="24"/>
          <w:highlight w:val="none"/>
        </w:rPr>
        <w:t>地址：</w:t>
      </w:r>
      <w:r>
        <w:rPr>
          <w:rFonts w:ascii="Arial" w:hAnsi="Arial" w:cs="Arial"/>
          <w:color w:val="auto"/>
          <w:sz w:val="24"/>
          <w:highlight w:val="none"/>
          <w:u w:val="single"/>
        </w:rPr>
        <w:t xml:space="preserve">                         </w:t>
      </w:r>
      <w:r>
        <w:rPr>
          <w:rFonts w:ascii="Arial" w:hAnsi="Arial" w:cs="Arial"/>
          <w:color w:val="auto"/>
          <w:sz w:val="24"/>
          <w:highlight w:val="none"/>
        </w:rPr>
        <w:t xml:space="preserve">   </w:t>
      </w:r>
      <w:r>
        <w:rPr>
          <w:rFonts w:hint="eastAsia" w:ascii="Arial" w:hAnsi="Arial" w:cs="Arial"/>
          <w:color w:val="auto"/>
          <w:sz w:val="24"/>
          <w:highlight w:val="none"/>
        </w:rPr>
        <w:t>邮编：</w:t>
      </w:r>
      <w:r>
        <w:rPr>
          <w:rFonts w:ascii="Arial" w:hAnsi="Arial" w:cs="Arial"/>
          <w:color w:val="auto"/>
          <w:sz w:val="24"/>
          <w:highlight w:val="none"/>
          <w:u w:val="single"/>
        </w:rPr>
        <w:t xml:space="preserve">            </w:t>
      </w:r>
      <w:r>
        <w:rPr>
          <w:rFonts w:ascii="Arial" w:hAnsi="Arial" w:cs="Arial"/>
          <w:b/>
          <w:color w:val="auto"/>
          <w:sz w:val="24"/>
          <w:highlight w:val="none"/>
        </w:rPr>
        <w:t xml:space="preserve">  </w:t>
      </w:r>
    </w:p>
    <w:p w14:paraId="3AB8350E">
      <w:pPr>
        <w:tabs>
          <w:tab w:val="left" w:pos="900"/>
        </w:tabs>
        <w:spacing w:line="480" w:lineRule="auto"/>
        <w:ind w:firstLine="480" w:firstLineChars="200"/>
        <w:rPr>
          <w:rFonts w:ascii="Arial" w:hAnsi="Arial" w:cs="Arial"/>
          <w:color w:val="auto"/>
          <w:sz w:val="24"/>
          <w:highlight w:val="none"/>
          <w:u w:val="single"/>
        </w:rPr>
      </w:pPr>
      <w:r>
        <w:rPr>
          <w:rFonts w:hint="eastAsia" w:ascii="Arial" w:hAnsi="Arial" w:cs="Arial"/>
          <w:color w:val="auto"/>
          <w:sz w:val="24"/>
          <w:highlight w:val="none"/>
        </w:rPr>
        <w:t>电话：</w:t>
      </w:r>
      <w:r>
        <w:rPr>
          <w:rFonts w:ascii="Arial" w:hAnsi="Arial" w:cs="Arial"/>
          <w:color w:val="auto"/>
          <w:sz w:val="24"/>
          <w:highlight w:val="none"/>
          <w:u w:val="single"/>
        </w:rPr>
        <w:t xml:space="preserve">                         </w:t>
      </w:r>
      <w:r>
        <w:rPr>
          <w:rFonts w:ascii="Arial" w:hAnsi="Arial" w:cs="Arial"/>
          <w:color w:val="auto"/>
          <w:sz w:val="24"/>
          <w:highlight w:val="none"/>
        </w:rPr>
        <w:t xml:space="preserve">   </w:t>
      </w:r>
      <w:r>
        <w:rPr>
          <w:rFonts w:hint="eastAsia" w:ascii="Arial" w:hAnsi="Arial" w:cs="Arial"/>
          <w:color w:val="auto"/>
          <w:sz w:val="24"/>
          <w:highlight w:val="none"/>
        </w:rPr>
        <w:t>传真：</w:t>
      </w:r>
      <w:r>
        <w:rPr>
          <w:rFonts w:ascii="Arial" w:hAnsi="Arial" w:cs="Arial"/>
          <w:color w:val="auto"/>
          <w:sz w:val="24"/>
          <w:highlight w:val="none"/>
          <w:u w:val="single"/>
        </w:rPr>
        <w:t xml:space="preserve">            </w:t>
      </w:r>
    </w:p>
    <w:p w14:paraId="55DE2E9A">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竞争比选响应单位法定代表人或授权代表人（签名）：</w:t>
      </w:r>
      <w:r>
        <w:rPr>
          <w:rFonts w:ascii="Arial" w:hAnsi="Arial" w:cs="Arial"/>
          <w:color w:val="auto"/>
          <w:sz w:val="24"/>
          <w:highlight w:val="none"/>
          <w:u w:val="single"/>
        </w:rPr>
        <w:t xml:space="preserve">             </w:t>
      </w:r>
      <w:r>
        <w:rPr>
          <w:rFonts w:ascii="Arial" w:hAnsi="Arial" w:cs="Arial"/>
          <w:color w:val="auto"/>
          <w:sz w:val="24"/>
          <w:highlight w:val="none"/>
        </w:rPr>
        <w:t xml:space="preserve">  </w:t>
      </w:r>
    </w:p>
    <w:p w14:paraId="2EAAC2C9">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竞争比选响应单位法定代表人或授权代表人职务：</w:t>
      </w:r>
      <w:r>
        <w:rPr>
          <w:rFonts w:ascii="Arial" w:hAnsi="Arial" w:cs="Arial"/>
          <w:color w:val="auto"/>
          <w:sz w:val="24"/>
          <w:highlight w:val="none"/>
          <w:u w:val="single"/>
        </w:rPr>
        <w:t xml:space="preserve">             </w:t>
      </w:r>
      <w:r>
        <w:rPr>
          <w:rFonts w:ascii="Arial" w:hAnsi="Arial" w:cs="Arial"/>
          <w:color w:val="auto"/>
          <w:sz w:val="24"/>
          <w:highlight w:val="none"/>
        </w:rPr>
        <w:t xml:space="preserve">               </w:t>
      </w:r>
    </w:p>
    <w:p w14:paraId="2050F711">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竞争比选响应单位名称（加盖单位公章）：</w:t>
      </w:r>
      <w:r>
        <w:rPr>
          <w:rFonts w:ascii="Arial" w:hAnsi="Arial" w:cs="Arial"/>
          <w:color w:val="auto"/>
          <w:sz w:val="24"/>
          <w:highlight w:val="none"/>
          <w:u w:val="single"/>
        </w:rPr>
        <w:t xml:space="preserve">                        </w:t>
      </w:r>
    </w:p>
    <w:p w14:paraId="00E6232F">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日期：</w:t>
      </w:r>
      <w:r>
        <w:rPr>
          <w:rFonts w:hint="eastAsia" w:ascii="Arial" w:hAnsi="Arial" w:cs="Arial"/>
          <w:color w:val="auto"/>
          <w:sz w:val="24"/>
          <w:highlight w:val="none"/>
          <w:u w:val="single"/>
        </w:rPr>
        <w:t xml:space="preserve">     </w:t>
      </w:r>
      <w:r>
        <w:rPr>
          <w:rFonts w:hint="eastAsia" w:ascii="Arial" w:hAnsi="Arial" w:cs="Arial"/>
          <w:color w:val="auto"/>
          <w:sz w:val="24"/>
          <w:highlight w:val="none"/>
        </w:rPr>
        <w:t>年</w:t>
      </w:r>
      <w:r>
        <w:rPr>
          <w:rFonts w:ascii="Arial" w:hAnsi="Arial" w:cs="Arial"/>
          <w:color w:val="auto"/>
          <w:sz w:val="24"/>
          <w:highlight w:val="none"/>
          <w:u w:val="single"/>
        </w:rPr>
        <w:t xml:space="preserve">      </w:t>
      </w:r>
      <w:r>
        <w:rPr>
          <w:rFonts w:hint="eastAsia" w:ascii="Arial" w:hAnsi="Arial" w:cs="Arial"/>
          <w:color w:val="auto"/>
          <w:sz w:val="24"/>
          <w:highlight w:val="none"/>
        </w:rPr>
        <w:t>月</w:t>
      </w:r>
      <w:r>
        <w:rPr>
          <w:rFonts w:ascii="Arial" w:hAnsi="Arial" w:cs="Arial"/>
          <w:color w:val="auto"/>
          <w:sz w:val="24"/>
          <w:highlight w:val="none"/>
          <w:u w:val="single"/>
        </w:rPr>
        <w:t xml:space="preserve">    </w:t>
      </w:r>
      <w:r>
        <w:rPr>
          <w:rFonts w:hint="eastAsia" w:ascii="Arial" w:hAnsi="Arial" w:cs="Arial"/>
          <w:color w:val="auto"/>
          <w:sz w:val="24"/>
          <w:highlight w:val="none"/>
          <w:u w:val="single"/>
        </w:rPr>
        <w:t xml:space="preserve">  </w:t>
      </w:r>
      <w:r>
        <w:rPr>
          <w:rFonts w:hint="eastAsia" w:ascii="Arial" w:hAnsi="Arial" w:cs="Arial"/>
          <w:color w:val="auto"/>
          <w:sz w:val="24"/>
          <w:highlight w:val="none"/>
        </w:rPr>
        <w:t>日</w:t>
      </w:r>
      <w:r>
        <w:rPr>
          <w:rFonts w:ascii="Arial" w:hAnsi="Arial" w:cs="Arial"/>
          <w:color w:val="auto"/>
          <w:sz w:val="24"/>
          <w:highlight w:val="none"/>
        </w:rPr>
        <w:t xml:space="preserve"> </w:t>
      </w:r>
    </w:p>
    <w:p w14:paraId="5EE5E5F8">
      <w:pPr>
        <w:pStyle w:val="4"/>
        <w:numPr>
          <w:ilvl w:val="0"/>
          <w:numId w:val="11"/>
        </w:numPr>
        <w:spacing w:before="0" w:after="0" w:line="360" w:lineRule="auto"/>
        <w:jc w:val="center"/>
        <w:rPr>
          <w:rFonts w:ascii="宋体" w:hAnsi="宋体" w:eastAsia="宋体" w:cs="宋体"/>
          <w:color w:val="auto"/>
          <w:sz w:val="28"/>
          <w:highlight w:val="none"/>
        </w:rPr>
      </w:pPr>
      <w:bookmarkStart w:id="844" w:name="_Toc16435"/>
      <w:bookmarkStart w:id="845" w:name="_Toc27815"/>
      <w:bookmarkStart w:id="846" w:name="_Toc10970"/>
      <w:bookmarkStart w:id="847" w:name="_Toc18931"/>
      <w:bookmarkStart w:id="848" w:name="_Toc491883232"/>
      <w:r>
        <w:rPr>
          <w:rFonts w:hint="eastAsia" w:ascii="宋体" w:hAnsi="宋体" w:eastAsia="宋体" w:cs="宋体"/>
          <w:color w:val="auto"/>
          <w:sz w:val="28"/>
          <w:highlight w:val="none"/>
        </w:rPr>
        <w:t>法定代表人身份证明或法定代表人授权委托书</w:t>
      </w:r>
      <w:bookmarkEnd w:id="844"/>
      <w:bookmarkEnd w:id="845"/>
      <w:bookmarkEnd w:id="846"/>
      <w:bookmarkEnd w:id="847"/>
    </w:p>
    <w:p w14:paraId="412B1509">
      <w:pPr>
        <w:pStyle w:val="4"/>
        <w:spacing w:line="480" w:lineRule="auto"/>
        <w:jc w:val="center"/>
        <w:rPr>
          <w:rFonts w:ascii="宋体" w:hAnsi="宋体" w:eastAsia="宋体" w:cs="宋体"/>
          <w:color w:val="auto"/>
          <w:sz w:val="24"/>
          <w:szCs w:val="24"/>
          <w:highlight w:val="none"/>
        </w:rPr>
      </w:pPr>
      <w:bookmarkStart w:id="849" w:name="_Toc20985"/>
      <w:bookmarkStart w:id="850" w:name="_Toc14141"/>
      <w:r>
        <w:rPr>
          <w:rFonts w:hint="eastAsia" w:ascii="宋体" w:hAnsi="宋体" w:eastAsia="宋体" w:cs="宋体"/>
          <w:color w:val="auto"/>
          <w:sz w:val="24"/>
          <w:szCs w:val="24"/>
          <w:highlight w:val="none"/>
        </w:rPr>
        <w:t>（一）法定代表人身份证明</w:t>
      </w:r>
      <w:bookmarkEnd w:id="848"/>
      <w:bookmarkEnd w:id="849"/>
      <w:bookmarkEnd w:id="850"/>
    </w:p>
    <w:p w14:paraId="5A5EE683">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0A0D721A">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851" w:name="_Toc352691662"/>
      <w:bookmarkStart w:id="852" w:name="_Toc27897"/>
      <w:bookmarkStart w:id="853" w:name="_Toc369531698"/>
      <w:r>
        <w:rPr>
          <w:rFonts w:ascii="宋体" w:hAnsi="宋体"/>
          <w:color w:val="auto"/>
          <w:highlight w:val="none"/>
          <w:u w:val="single"/>
        </w:rPr>
        <w:t xml:space="preserve">        </w:t>
      </w:r>
      <w:r>
        <w:rPr>
          <w:rFonts w:ascii="宋体" w:hAnsi="宋体"/>
          <w:color w:val="auto"/>
          <w:highlight w:val="none"/>
        </w:rPr>
        <w:t>年</w:t>
      </w:r>
      <w:bookmarkEnd w:id="851"/>
      <w:bookmarkEnd w:id="852"/>
      <w:bookmarkEnd w:id="853"/>
      <w:r>
        <w:rPr>
          <w:rFonts w:ascii="宋体" w:hAnsi="宋体"/>
          <w:color w:val="auto"/>
          <w:highlight w:val="none"/>
        </w:rPr>
        <w:t>龄</w:t>
      </w:r>
      <w:bookmarkStart w:id="854" w:name="_Toc15573"/>
      <w:bookmarkStart w:id="855" w:name="_Toc152045789"/>
      <w:bookmarkStart w:id="856" w:name="_Toc247527829"/>
      <w:bookmarkStart w:id="857" w:name="_Toc144974858"/>
      <w:bookmarkStart w:id="858" w:name="_Toc384308377"/>
      <w:bookmarkStart w:id="859" w:name="_Toc247514248"/>
      <w:bookmarkStart w:id="860" w:name="_Toc361508754"/>
      <w:bookmarkStart w:id="861" w:name="_Toc300835211"/>
      <w:bookmarkStart w:id="862" w:name="_Toc352691663"/>
      <w:bookmarkStart w:id="863" w:name="_Toc369531699"/>
      <w:bookmarkStart w:id="864" w:name="_Toc152042578"/>
      <w:r>
        <w:rPr>
          <w:rFonts w:ascii="宋体" w:hAnsi="宋体"/>
          <w:color w:val="auto"/>
          <w:highlight w:val="none"/>
        </w:rPr>
        <w:t>：</w:t>
      </w:r>
      <w:bookmarkEnd w:id="854"/>
      <w:bookmarkEnd w:id="855"/>
      <w:bookmarkEnd w:id="856"/>
      <w:bookmarkEnd w:id="857"/>
      <w:bookmarkEnd w:id="858"/>
      <w:bookmarkEnd w:id="859"/>
      <w:bookmarkEnd w:id="860"/>
      <w:bookmarkEnd w:id="861"/>
      <w:bookmarkEnd w:id="862"/>
      <w:bookmarkEnd w:id="863"/>
      <w:bookmarkEnd w:id="864"/>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41B29A71">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169490AE">
      <w:pPr>
        <w:spacing w:line="480" w:lineRule="auto"/>
        <w:ind w:firstLine="420" w:firstLineChars="200"/>
        <w:rPr>
          <w:rFonts w:ascii="宋体" w:hAnsi="宋体"/>
          <w:color w:val="auto"/>
          <w:highlight w:val="none"/>
        </w:rPr>
      </w:pPr>
      <w:r>
        <w:rPr>
          <w:rFonts w:ascii="宋体" w:hAnsi="宋体"/>
          <w:color w:val="auto"/>
          <w:highlight w:val="none"/>
        </w:rPr>
        <w:t>特此证明。</w:t>
      </w:r>
    </w:p>
    <w:p w14:paraId="078818DC">
      <w:pPr>
        <w:spacing w:line="480" w:lineRule="auto"/>
        <w:rPr>
          <w:rFonts w:ascii="宋体" w:hAnsi="宋体"/>
          <w:color w:val="auto"/>
          <w:highlight w:val="none"/>
        </w:rPr>
      </w:pPr>
      <w:r>
        <w:rPr>
          <w:rFonts w:ascii="宋体" w:hAnsi="宋体"/>
          <w:color w:val="auto"/>
          <w:highlight w:val="none"/>
        </w:rPr>
        <w:t>附：法定代表人身份证复印件</w:t>
      </w:r>
      <w:r>
        <w:rPr>
          <w:rFonts w:hint="eastAsia" w:ascii="宋体" w:hAnsi="宋体"/>
          <w:color w:val="auto"/>
          <w:highlight w:val="none"/>
        </w:rPr>
        <w:t>（正、反面）</w:t>
      </w:r>
      <w:r>
        <w:rPr>
          <w:rFonts w:ascii="宋体" w:hAnsi="宋体"/>
          <w:color w:val="auto"/>
          <w:highlight w:val="none"/>
        </w:rPr>
        <w:t>。</w:t>
      </w:r>
    </w:p>
    <w:p w14:paraId="00CD19A0">
      <w:pPr>
        <w:spacing w:line="480" w:lineRule="auto"/>
        <w:rPr>
          <w:rFonts w:ascii="宋体" w:hAnsi="宋体"/>
          <w:color w:val="auto"/>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15875</wp:posOffset>
                </wp:positionH>
                <wp:positionV relativeFrom="paragraph">
                  <wp:posOffset>25400</wp:posOffset>
                </wp:positionV>
                <wp:extent cx="5664200" cy="1885950"/>
                <wp:effectExtent l="5080" t="4445" r="15240" b="14605"/>
                <wp:wrapNone/>
                <wp:docPr id="7" name="文本框 7"/>
                <wp:cNvGraphicFramePr/>
                <a:graphic xmlns:a="http://schemas.openxmlformats.org/drawingml/2006/main">
                  <a:graphicData uri="http://schemas.microsoft.com/office/word/2010/wordprocessingShape">
                    <wps:wsp>
                      <wps:cNvSpPr txBox="1"/>
                      <wps:spPr>
                        <a:xfrm>
                          <a:off x="944880" y="4511040"/>
                          <a:ext cx="5664200" cy="1885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B2DE7AE">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0E23454E"/>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5pt;margin-top:2pt;height:148.5pt;width:446pt;z-index:251659264;mso-width-relative:page;mso-height-relative:page;" fillcolor="#FFFFFF [3201]" filled="t" stroked="t" coordsize="21600,21600" o:gfxdata="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IFdrfTAAAABwEAAA8AAAAAAAAAAQAgAAAAIgAAAGRycy9kb3ducmV2LnhtbFBLAQIUABQAAAAI&#10;AIdO4kBhoq8PZAIAAMMEAAAOAAAAAAAAAAEAIAAAACIBAABkcnMvZTJvRG9jLnhtbFBLBQYAAAAA&#10;BgAGAFkBAAD4BQAAAAA=&#10;">
                <v:fill on="t" focussize="0,0"/>
                <v:stroke weight="0.5pt" color="#000000 [3204]" joinstyle="round"/>
                <v:imagedata o:title=""/>
                <o:lock v:ext="edit" aspectratio="f"/>
                <v:textbox>
                  <w:txbxContent>
                    <w:p w14:paraId="1B2DE7AE">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0E23454E"/>
                  </w:txbxContent>
                </v:textbox>
              </v:shape>
            </w:pict>
          </mc:Fallback>
        </mc:AlternateContent>
      </w:r>
    </w:p>
    <w:p w14:paraId="796970ED">
      <w:pPr>
        <w:spacing w:line="440" w:lineRule="exact"/>
        <w:rPr>
          <w:rFonts w:ascii="宋体" w:hAnsi="宋体"/>
          <w:color w:val="auto"/>
          <w:highlight w:val="none"/>
        </w:rPr>
      </w:pPr>
    </w:p>
    <w:p w14:paraId="1DA4D331">
      <w:pPr>
        <w:spacing w:line="440" w:lineRule="exact"/>
        <w:rPr>
          <w:rFonts w:ascii="宋体" w:hAnsi="宋体"/>
          <w:color w:val="auto"/>
          <w:highlight w:val="none"/>
        </w:rPr>
      </w:pPr>
    </w:p>
    <w:p w14:paraId="2B62F5AA">
      <w:pPr>
        <w:spacing w:line="440" w:lineRule="exact"/>
        <w:rPr>
          <w:rFonts w:ascii="宋体" w:hAnsi="宋体"/>
          <w:color w:val="auto"/>
          <w:highlight w:val="none"/>
        </w:rPr>
      </w:pPr>
    </w:p>
    <w:p w14:paraId="6C9E5549">
      <w:pPr>
        <w:spacing w:line="440" w:lineRule="exact"/>
        <w:rPr>
          <w:rFonts w:ascii="宋体" w:hAnsi="宋体"/>
          <w:color w:val="auto"/>
          <w:highlight w:val="none"/>
        </w:rPr>
      </w:pPr>
    </w:p>
    <w:p w14:paraId="3CC43FCF">
      <w:pPr>
        <w:spacing w:line="440" w:lineRule="exact"/>
        <w:rPr>
          <w:rFonts w:ascii="宋体" w:hAnsi="宋体"/>
          <w:color w:val="auto"/>
          <w:highlight w:val="none"/>
        </w:rPr>
      </w:pPr>
    </w:p>
    <w:p w14:paraId="2FF1762A">
      <w:pPr>
        <w:spacing w:line="440" w:lineRule="exact"/>
        <w:rPr>
          <w:rFonts w:ascii="宋体" w:hAnsi="宋体"/>
          <w:color w:val="auto"/>
          <w:highlight w:val="none"/>
        </w:rPr>
      </w:pPr>
    </w:p>
    <w:p w14:paraId="20DD1F60">
      <w:pPr>
        <w:spacing w:line="440" w:lineRule="exact"/>
        <w:rPr>
          <w:rFonts w:ascii="宋体" w:hAnsi="宋体"/>
          <w:color w:val="auto"/>
          <w:highlight w:val="none"/>
        </w:rPr>
      </w:pPr>
    </w:p>
    <w:p w14:paraId="50BE66A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5908F7D5">
      <w:pPr>
        <w:spacing w:line="440" w:lineRule="exact"/>
        <w:rPr>
          <w:rFonts w:ascii="宋体" w:hAnsi="宋体"/>
          <w:color w:val="auto"/>
          <w:highlight w:val="none"/>
        </w:rPr>
      </w:pPr>
    </w:p>
    <w:p w14:paraId="0430DBC6">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29E1884D">
      <w:pPr>
        <w:rPr>
          <w:rFonts w:ascii="宋体" w:hAnsi="宋体"/>
          <w:color w:val="auto"/>
          <w:highlight w:val="none"/>
        </w:rPr>
      </w:pPr>
    </w:p>
    <w:p w14:paraId="146CAC86">
      <w:pPr>
        <w:rPr>
          <w:rFonts w:ascii="宋体" w:hAnsi="宋体"/>
          <w:color w:val="auto"/>
          <w:highlight w:val="none"/>
        </w:rPr>
      </w:pPr>
    </w:p>
    <w:p w14:paraId="25F66FC4">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50E2878D">
      <w:pPr>
        <w:spacing w:line="440" w:lineRule="exact"/>
        <w:rPr>
          <w:rFonts w:ascii="宋体" w:hAnsi="宋体"/>
          <w:color w:val="auto"/>
          <w:sz w:val="20"/>
          <w:highlight w:val="none"/>
        </w:rPr>
      </w:pPr>
    </w:p>
    <w:p w14:paraId="40333F00">
      <w:pPr>
        <w:spacing w:line="20" w:lineRule="exact"/>
        <w:jc w:val="center"/>
        <w:rPr>
          <w:rFonts w:ascii="宋体" w:hAnsi="宋体"/>
          <w:color w:val="auto"/>
          <w:sz w:val="20"/>
          <w:highlight w:val="none"/>
        </w:rPr>
      </w:pPr>
      <w:r>
        <w:rPr>
          <w:rFonts w:ascii="宋体" w:hAnsi="宋体"/>
          <w:color w:val="auto"/>
          <w:sz w:val="20"/>
          <w:highlight w:val="none"/>
        </w:rPr>
        <w:br w:type="page"/>
      </w:r>
    </w:p>
    <w:p w14:paraId="3022740C">
      <w:pPr>
        <w:pStyle w:val="4"/>
        <w:spacing w:line="480" w:lineRule="auto"/>
        <w:jc w:val="center"/>
        <w:rPr>
          <w:rFonts w:ascii="宋体" w:hAnsi="宋体"/>
          <w:color w:val="auto"/>
          <w:sz w:val="28"/>
          <w:szCs w:val="28"/>
          <w:highlight w:val="none"/>
        </w:rPr>
      </w:pPr>
      <w:bookmarkStart w:id="865" w:name="_Toc491883233"/>
      <w:bookmarkStart w:id="866" w:name="_Toc3882"/>
      <w:bookmarkStart w:id="867" w:name="_Toc58"/>
      <w:r>
        <w:rPr>
          <w:rFonts w:hint="eastAsia" w:ascii="宋体" w:hAnsi="宋体" w:eastAsia="宋体" w:cs="宋体"/>
          <w:color w:val="auto"/>
          <w:sz w:val="24"/>
          <w:szCs w:val="24"/>
          <w:highlight w:val="none"/>
        </w:rPr>
        <w:t>（二）</w:t>
      </w:r>
      <w:bookmarkEnd w:id="865"/>
      <w:r>
        <w:rPr>
          <w:rFonts w:hint="eastAsia" w:ascii="宋体" w:hAnsi="宋体" w:eastAsia="宋体" w:cs="宋体"/>
          <w:color w:val="auto"/>
          <w:sz w:val="24"/>
          <w:szCs w:val="24"/>
          <w:highlight w:val="none"/>
        </w:rPr>
        <w:t>法定代表人授权委托书</w:t>
      </w:r>
      <w:bookmarkEnd w:id="866"/>
      <w:bookmarkEnd w:id="867"/>
    </w:p>
    <w:p w14:paraId="3BD8EB45">
      <w:pPr>
        <w:topLinePunct/>
        <w:spacing w:line="480" w:lineRule="auto"/>
        <w:ind w:firstLine="420" w:firstLineChars="200"/>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（姓名）为我方代理人。代理人根据授权，以我方名义签署、澄清确认、递交、撤回、修改招标项目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B7679FA">
      <w:pPr>
        <w:spacing w:line="480" w:lineRule="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6A7DF25A">
      <w:pPr>
        <w:spacing w:line="480" w:lineRule="auto"/>
        <w:ind w:firstLine="420" w:firstLineChars="200"/>
        <w:rPr>
          <w:rFonts w:ascii="宋体" w:hAnsi="宋体"/>
          <w:color w:val="auto"/>
          <w:highlight w:val="none"/>
        </w:rPr>
      </w:pPr>
      <w:r>
        <w:rPr>
          <w:rFonts w:ascii="宋体" w:hAnsi="宋体"/>
          <w:color w:val="auto"/>
          <w:highlight w:val="none"/>
        </w:rPr>
        <w:t>代理人无转委托权。</w:t>
      </w:r>
    </w:p>
    <w:p w14:paraId="11E15218">
      <w:pPr>
        <w:spacing w:line="480" w:lineRule="auto"/>
        <w:rPr>
          <w:rFonts w:ascii="宋体" w:hAnsi="宋体"/>
          <w:color w:val="auto"/>
          <w:highlight w:val="none"/>
        </w:r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-187325</wp:posOffset>
                </wp:positionH>
                <wp:positionV relativeFrom="paragraph">
                  <wp:posOffset>330200</wp:posOffset>
                </wp:positionV>
                <wp:extent cx="5930900" cy="1746250"/>
                <wp:effectExtent l="5080" t="4445" r="7620" b="17145"/>
                <wp:wrapNone/>
                <wp:docPr id="8" name="文本框 8"/>
                <wp:cNvGraphicFramePr/>
                <a:graphic xmlns:a="http://schemas.openxmlformats.org/drawingml/2006/main">
                  <a:graphicData uri="http://schemas.microsoft.com/office/word/2010/wordprocessingShape">
                    <wps:wsp>
                      <wps:cNvSpPr txBox="1"/>
                      <wps:spPr>
                        <a:xfrm>
                          <a:off x="741680" y="3840480"/>
                          <a:ext cx="5930900" cy="17462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4A124E2">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681D6B8F">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75pt;margin-top:26pt;height:137.5pt;width:467pt;z-index:251660288;mso-width-relative:page;mso-height-relative:page;" fillcolor="#FFFFFF [3201]" filled="t" stroked="t" coordsize="21600,21600" o:gfxdata="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K36lk1wAAAAoBAAAPAAAAAAAAAAEAIAAAACIAAABkcnMvZG93bnJldi54bWxQSwECFAAU&#10;AAAACACHTuJAMNjTp2QCAADDBAAADgAAAAAAAAABACAAAAAmAQAAZHJzL2Uyb0RvYy54bWxQSwUG&#10;AAAAAAYABgBZAQAA/AUAAAAA&#10;">
                <v:fill on="t" focussize="0,0"/>
                <v:stroke weight="0.5pt" color="#000000 [3204]" joinstyle="round"/>
                <v:imagedata o:title=""/>
                <o:lock v:ext="edit" aspectratio="f"/>
                <v:textbox>
                  <w:txbxContent>
                    <w:p w14:paraId="64A124E2">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681D6B8F">
                      <w:pPr>
                        <w:jc w:val="center"/>
                      </w:pPr>
                    </w:p>
                  </w:txbxContent>
                </v:textbox>
              </v:shape>
            </w:pict>
          </mc:Fallback>
        </mc:AlternateContent>
      </w:r>
      <w:r>
        <w:rPr>
          <w:rFonts w:ascii="宋体" w:hAnsi="宋体"/>
          <w:color w:val="auto"/>
          <w:highlight w:val="none"/>
        </w:rPr>
        <w:t>附：法定代表人身份证复印件</w:t>
      </w:r>
      <w:bookmarkStart w:id="868" w:name="OLE_LINK44"/>
      <w:r>
        <w:rPr>
          <w:rFonts w:ascii="宋体" w:hAnsi="宋体"/>
          <w:b/>
          <w:bCs/>
          <w:color w:val="auto"/>
          <w:highlight w:val="none"/>
        </w:rPr>
        <w:t>及</w:t>
      </w:r>
      <w:bookmarkEnd w:id="868"/>
      <w:r>
        <w:rPr>
          <w:rFonts w:ascii="宋体" w:hAnsi="宋体"/>
          <w:color w:val="auto"/>
          <w:highlight w:val="none"/>
        </w:rPr>
        <w:t>委托代理人身份证复印件</w:t>
      </w:r>
      <w:r>
        <w:rPr>
          <w:rFonts w:hint="eastAsia" w:ascii="宋体" w:hAnsi="宋体"/>
          <w:color w:val="auto"/>
          <w:highlight w:val="none"/>
        </w:rPr>
        <w:t>（正、反面）</w:t>
      </w:r>
    </w:p>
    <w:p w14:paraId="47A3C76A">
      <w:pPr>
        <w:spacing w:line="480" w:lineRule="auto"/>
        <w:rPr>
          <w:rFonts w:ascii="宋体" w:hAnsi="宋体"/>
          <w:color w:val="auto"/>
          <w:highlight w:val="none"/>
        </w:rPr>
      </w:pPr>
    </w:p>
    <w:p w14:paraId="75AE8D57">
      <w:pPr>
        <w:spacing w:line="440" w:lineRule="exact"/>
        <w:rPr>
          <w:rFonts w:ascii="宋体" w:hAnsi="宋体"/>
          <w:color w:val="auto"/>
          <w:highlight w:val="none"/>
        </w:rPr>
      </w:pPr>
    </w:p>
    <w:p w14:paraId="3C73FB15">
      <w:pPr>
        <w:spacing w:line="440" w:lineRule="exact"/>
        <w:rPr>
          <w:rFonts w:ascii="宋体" w:hAnsi="宋体"/>
          <w:color w:val="auto"/>
          <w:highlight w:val="none"/>
        </w:rPr>
      </w:pPr>
    </w:p>
    <w:p w14:paraId="1888BADB">
      <w:pPr>
        <w:spacing w:line="440" w:lineRule="exact"/>
        <w:rPr>
          <w:rFonts w:ascii="宋体" w:hAnsi="宋体"/>
          <w:color w:val="auto"/>
          <w:highlight w:val="none"/>
        </w:rPr>
      </w:pPr>
    </w:p>
    <w:p w14:paraId="36AD49B3">
      <w:pPr>
        <w:spacing w:line="440" w:lineRule="exact"/>
        <w:rPr>
          <w:rFonts w:ascii="宋体" w:hAnsi="宋体"/>
          <w:color w:val="auto"/>
          <w:highlight w:val="none"/>
        </w:rPr>
      </w:pPr>
    </w:p>
    <w:p w14:paraId="58F9E64E">
      <w:pPr>
        <w:spacing w:line="440" w:lineRule="exact"/>
        <w:rPr>
          <w:rFonts w:ascii="宋体" w:hAnsi="宋体"/>
          <w:color w:val="auto"/>
          <w:highlight w:val="none"/>
        </w:rPr>
      </w:pPr>
      <w:r>
        <w:rPr>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-193675</wp:posOffset>
                </wp:positionH>
                <wp:positionV relativeFrom="paragraph">
                  <wp:posOffset>218440</wp:posOffset>
                </wp:positionV>
                <wp:extent cx="5937250" cy="1943735"/>
                <wp:effectExtent l="4445" t="4445" r="17145" b="17780"/>
                <wp:wrapNone/>
                <wp:docPr id="9" name="文本框 9"/>
                <wp:cNvGraphicFramePr/>
                <a:graphic xmlns:a="http://schemas.openxmlformats.org/drawingml/2006/main">
                  <a:graphicData uri="http://schemas.microsoft.com/office/word/2010/wordprocessingShape">
                    <wps:wsp>
                      <wps:cNvSpPr txBox="1"/>
                      <wps:spPr>
                        <a:xfrm>
                          <a:off x="760730" y="5637530"/>
                          <a:ext cx="5937250" cy="19437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C3B5482">
                            <w:pPr>
                              <w:tabs>
                                <w:tab w:val="left" w:pos="1680"/>
                                <w:tab w:val="left" w:pos="4215"/>
                                <w:tab w:val="left" w:pos="4305"/>
                                <w:tab w:val="left" w:pos="8000"/>
                              </w:tabs>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此处粘贴委托代理人身份证复印件（双面）</w:t>
                            </w:r>
                          </w:p>
                          <w:p w14:paraId="57405CA3">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25pt;margin-top:17.2pt;height:153.05pt;width:467.5pt;z-index:251661312;mso-width-relative:page;mso-height-relative:page;" fillcolor="#FFFFFF [3201]" filled="t" stroked="t" coordsize="21600,21600" o:gfxdata="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A/YgJrVAAAACgEAAA8AAAAAAAAAAQAgAAAAIgAAAGRycy9kb3ducmV2LnhtbFBLAQIUABQAAAAI&#10;AIdO4kDlovrKYgIAAMMEAAAOAAAAAAAAAAEAIAAAACQBAABkcnMvZTJvRG9jLnhtbFBLBQYAAAAA&#10;BgAGAFkBAAD4BQAAAAA=&#10;">
                <v:fill on="t" focussize="0,0"/>
                <v:stroke weight="0.5pt" color="#000000 [3204]" joinstyle="round"/>
                <v:imagedata o:title=""/>
                <o:lock v:ext="edit" aspectratio="f"/>
                <v:textbox>
                  <w:txbxContent>
                    <w:p w14:paraId="1C3B5482">
                      <w:pPr>
                        <w:tabs>
                          <w:tab w:val="left" w:pos="1680"/>
                          <w:tab w:val="left" w:pos="4215"/>
                          <w:tab w:val="left" w:pos="4305"/>
                          <w:tab w:val="left" w:pos="8000"/>
                        </w:tabs>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此处粘贴委托代理人身份证复印件（双面）</w:t>
                      </w:r>
                    </w:p>
                    <w:p w14:paraId="57405CA3">
                      <w:pPr>
                        <w:jc w:val="center"/>
                      </w:pPr>
                    </w:p>
                  </w:txbxContent>
                </v:textbox>
              </v:shape>
            </w:pict>
          </mc:Fallback>
        </mc:AlternateContent>
      </w:r>
    </w:p>
    <w:p w14:paraId="71D613DC">
      <w:pPr>
        <w:spacing w:line="440" w:lineRule="exact"/>
        <w:rPr>
          <w:rFonts w:ascii="宋体" w:hAnsi="宋体"/>
          <w:color w:val="auto"/>
          <w:highlight w:val="none"/>
        </w:rPr>
      </w:pPr>
    </w:p>
    <w:p w14:paraId="110B098B">
      <w:pPr>
        <w:spacing w:line="440" w:lineRule="exact"/>
        <w:rPr>
          <w:rFonts w:ascii="宋体" w:hAnsi="宋体"/>
          <w:color w:val="auto"/>
          <w:highlight w:val="none"/>
        </w:rPr>
      </w:pPr>
    </w:p>
    <w:p w14:paraId="2392E4F9">
      <w:pPr>
        <w:spacing w:line="440" w:lineRule="exact"/>
        <w:rPr>
          <w:rFonts w:ascii="宋体" w:hAnsi="宋体"/>
          <w:color w:val="auto"/>
          <w:highlight w:val="none"/>
        </w:rPr>
      </w:pPr>
    </w:p>
    <w:p w14:paraId="52C33163">
      <w:pPr>
        <w:spacing w:line="440" w:lineRule="exact"/>
        <w:rPr>
          <w:rFonts w:ascii="宋体" w:hAnsi="宋体"/>
          <w:color w:val="auto"/>
          <w:highlight w:val="none"/>
        </w:rPr>
      </w:pPr>
    </w:p>
    <w:p w14:paraId="7798E8B0">
      <w:pPr>
        <w:spacing w:line="440" w:lineRule="exact"/>
        <w:rPr>
          <w:rFonts w:ascii="宋体" w:hAnsi="宋体"/>
          <w:color w:val="auto"/>
          <w:highlight w:val="none"/>
        </w:rPr>
      </w:pPr>
    </w:p>
    <w:p w14:paraId="4D16A976">
      <w:pPr>
        <w:spacing w:line="440" w:lineRule="exact"/>
        <w:ind w:firstLine="2692" w:firstLineChars="1282"/>
        <w:rPr>
          <w:rFonts w:ascii="宋体" w:hAnsi="宋体"/>
          <w:color w:val="auto"/>
          <w:highlight w:val="none"/>
        </w:rPr>
      </w:pPr>
    </w:p>
    <w:p w14:paraId="3F2B6756">
      <w:pPr>
        <w:spacing w:line="440" w:lineRule="exact"/>
        <w:ind w:firstLine="2692" w:firstLineChars="1282"/>
        <w:rPr>
          <w:rFonts w:ascii="宋体" w:hAnsi="宋体"/>
          <w:color w:val="auto"/>
          <w:highlight w:val="none"/>
        </w:rPr>
      </w:pPr>
    </w:p>
    <w:p w14:paraId="02F64618">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A501BB9">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 xml:space="preserve">签名 </w:t>
      </w:r>
      <w:r>
        <w:rPr>
          <w:rFonts w:ascii="宋体" w:hAnsi="宋体"/>
          <w:color w:val="auto"/>
          <w:highlight w:val="none"/>
        </w:rPr>
        <w:t>）</w:t>
      </w:r>
    </w:p>
    <w:p w14:paraId="3FD64F5A">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1068C9A">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签名</w:t>
      </w:r>
      <w:r>
        <w:rPr>
          <w:rFonts w:ascii="宋体" w:hAnsi="宋体"/>
          <w:color w:val="auto"/>
          <w:highlight w:val="none"/>
        </w:rPr>
        <w:t>）</w:t>
      </w:r>
    </w:p>
    <w:p w14:paraId="73947AD9">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E9AA3D8">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1858399B">
      <w:pPr>
        <w:spacing w:line="440" w:lineRule="exact"/>
        <w:rPr>
          <w:rFonts w:ascii="宋体" w:hAnsi="宋体" w:cs="宋体"/>
          <w:color w:val="auto"/>
          <w:sz w:val="28"/>
          <w:highlight w:val="none"/>
        </w:rPr>
        <w:sectPr>
          <w:footerReference r:id="rId11" w:type="first"/>
          <w:footerReference r:id="rId10" w:type="default"/>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19" w:charSpace="0"/>
        </w:sect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bookmarkStart w:id="869" w:name="_Toc11329275"/>
      <w:bookmarkStart w:id="870" w:name="_Toc29500"/>
    </w:p>
    <w:bookmarkEnd w:id="841"/>
    <w:bookmarkEnd w:id="842"/>
    <w:bookmarkEnd w:id="843"/>
    <w:bookmarkEnd w:id="869"/>
    <w:p w14:paraId="1D73A314">
      <w:pPr>
        <w:pStyle w:val="4"/>
        <w:numPr>
          <w:ilvl w:val="0"/>
          <w:numId w:val="11"/>
        </w:numPr>
        <w:spacing w:before="0" w:after="0" w:line="360" w:lineRule="auto"/>
        <w:jc w:val="center"/>
        <w:rPr>
          <w:rFonts w:ascii="宋体" w:hAnsi="宋体" w:eastAsia="宋体" w:cs="宋体"/>
          <w:color w:val="auto"/>
          <w:sz w:val="28"/>
          <w:highlight w:val="none"/>
        </w:rPr>
      </w:pPr>
      <w:bookmarkStart w:id="871" w:name="_Toc22163"/>
      <w:bookmarkStart w:id="872" w:name="_Toc8564"/>
      <w:r>
        <w:rPr>
          <w:rFonts w:hint="eastAsia" w:ascii="宋体" w:hAnsi="宋体" w:eastAsia="宋体" w:cs="宋体"/>
          <w:color w:val="auto"/>
          <w:sz w:val="28"/>
          <w:highlight w:val="none"/>
        </w:rPr>
        <w:t>报价一览表</w:t>
      </w:r>
      <w:bookmarkEnd w:id="870"/>
      <w:bookmarkEnd w:id="871"/>
      <w:bookmarkEnd w:id="872"/>
    </w:p>
    <w:p w14:paraId="02F41939">
      <w:pPr>
        <w:pStyle w:val="39"/>
        <w:spacing w:line="480" w:lineRule="auto"/>
        <w:jc w:val="both"/>
        <w:rPr>
          <w:rFonts w:hAnsi="宋体"/>
          <w:color w:val="auto"/>
          <w:highlight w:val="none"/>
        </w:rPr>
      </w:pPr>
      <w:r>
        <w:rPr>
          <w:rFonts w:hint="eastAsia" w:hAnsi="宋体"/>
          <w:color w:val="auto"/>
          <w:highlight w:val="none"/>
        </w:rPr>
        <w:t>重庆首讯科技股份有限公司：</w:t>
      </w:r>
    </w:p>
    <w:p w14:paraId="2D7A173E">
      <w:pPr>
        <w:pStyle w:val="39"/>
        <w:spacing w:line="480" w:lineRule="auto"/>
        <w:ind w:firstLine="480" w:firstLineChars="200"/>
        <w:jc w:val="both"/>
        <w:rPr>
          <w:rFonts w:hAnsi="宋体" w:cs="Times New Roman"/>
          <w:color w:val="auto"/>
          <w:highlight w:val="none"/>
        </w:rPr>
      </w:pPr>
      <w:r>
        <w:rPr>
          <w:rFonts w:hint="eastAsia" w:hAnsi="宋体"/>
          <w:b w:val="0"/>
          <w:bCs/>
          <w:color w:val="auto"/>
          <w:highlight w:val="none"/>
        </w:rPr>
        <w:t>在研究了竞争比选文件中所有文件后，我司对</w:t>
      </w:r>
      <w:bookmarkStart w:id="873" w:name="OLE_LINK45"/>
      <w:r>
        <w:rPr>
          <w:rFonts w:hint="eastAsia" w:hAnsi="宋体"/>
          <w:b w:val="0"/>
          <w:bCs/>
          <w:color w:val="auto"/>
          <w:highlight w:val="none"/>
          <w:u w:val="single"/>
        </w:rPr>
        <w:t>******</w:t>
      </w:r>
      <w:bookmarkEnd w:id="873"/>
      <w:r>
        <w:rPr>
          <w:rFonts w:hint="eastAsia" w:hAnsi="宋体"/>
          <w:b w:val="0"/>
          <w:bCs/>
          <w:color w:val="auto"/>
          <w:highlight w:val="none"/>
          <w:u w:val="single"/>
        </w:rPr>
        <w:t>采购</w:t>
      </w:r>
      <w:r>
        <w:rPr>
          <w:rFonts w:hint="eastAsia" w:hAnsi="宋体"/>
          <w:b w:val="0"/>
          <w:bCs/>
          <w:color w:val="auto"/>
          <w:highlight w:val="none"/>
        </w:rPr>
        <w:t xml:space="preserve">项目竞争比选响应报价如下： </w:t>
      </w:r>
    </w:p>
    <w:p w14:paraId="011D8374">
      <w:pPr>
        <w:ind w:firstLine="482" w:firstLineChars="200"/>
        <w:rPr>
          <w:rFonts w:hint="eastAsia" w:ascii="宋体" w:hAnsi="宋体" w:cs="Times New Roman"/>
          <w:b/>
          <w:bCs/>
          <w:color w:val="auto"/>
          <w:sz w:val="24"/>
          <w:highlight w:val="none"/>
          <w:lang w:eastAsia="zh-CN"/>
        </w:rPr>
      </w:pPr>
      <w:bookmarkStart w:id="874" w:name="OLE_LINK46"/>
      <w:r>
        <w:rPr>
          <w:rFonts w:hint="eastAsia" w:ascii="宋体" w:hAnsi="宋体" w:cs="Times New Roman"/>
          <w:b/>
          <w:bCs/>
          <w:color w:val="auto"/>
          <w:sz w:val="24"/>
          <w:highlight w:val="none"/>
          <w:lang w:eastAsia="zh-CN"/>
        </w:rPr>
        <w:t>报价</w:t>
      </w:r>
      <w:r>
        <w:rPr>
          <w:rFonts w:hint="eastAsia" w:ascii="宋体" w:hAnsi="宋体" w:cs="Times New Roman"/>
          <w:b/>
          <w:bCs/>
          <w:color w:val="auto"/>
          <w:sz w:val="24"/>
          <w:highlight w:val="none"/>
          <w:lang w:val="en-US" w:eastAsia="zh-CN"/>
        </w:rPr>
        <w:t>表</w:t>
      </w:r>
      <w:r>
        <w:rPr>
          <w:rFonts w:hint="eastAsia" w:ascii="宋体" w:hAnsi="宋体" w:cs="Times New Roman"/>
          <w:b/>
          <w:bCs/>
          <w:color w:val="auto"/>
          <w:sz w:val="24"/>
          <w:highlight w:val="none"/>
          <w:lang w:eastAsia="zh-CN"/>
        </w:rPr>
        <w:t>形式，见</w:t>
      </w:r>
      <w:r>
        <w:rPr>
          <w:rFonts w:hint="eastAsia" w:ascii="宋体" w:hAnsi="宋体" w:cs="Times New Roman"/>
          <w:b/>
          <w:bCs/>
          <w:color w:val="auto"/>
          <w:sz w:val="24"/>
          <w:highlight w:val="none"/>
          <w:lang w:val="en-US" w:eastAsia="zh-CN"/>
        </w:rPr>
        <w:t>第五章</w:t>
      </w:r>
      <w:r>
        <w:rPr>
          <w:rFonts w:hint="eastAsia" w:ascii="宋体" w:hAnsi="宋体" w:cs="Times New Roman"/>
          <w:b/>
          <w:bCs/>
          <w:color w:val="auto"/>
          <w:sz w:val="24"/>
          <w:highlight w:val="none"/>
          <w:lang w:eastAsia="zh-CN"/>
        </w:rPr>
        <w:t>“</w:t>
      </w:r>
      <w:r>
        <w:rPr>
          <w:rFonts w:hint="eastAsia" w:ascii="宋体" w:hAnsi="宋体" w:cs="Times New Roman"/>
          <w:b/>
          <w:bCs/>
          <w:color w:val="auto"/>
          <w:sz w:val="24"/>
          <w:highlight w:val="none"/>
          <w:lang w:val="en-US" w:eastAsia="zh-CN"/>
        </w:rPr>
        <w:t>采购</w:t>
      </w:r>
      <w:r>
        <w:rPr>
          <w:rFonts w:hint="eastAsia" w:ascii="宋体" w:hAnsi="宋体" w:cs="Times New Roman"/>
          <w:b/>
          <w:bCs/>
          <w:color w:val="auto"/>
          <w:sz w:val="24"/>
          <w:highlight w:val="none"/>
          <w:lang w:eastAsia="zh-CN"/>
        </w:rPr>
        <w:t>清单”。</w:t>
      </w:r>
    </w:p>
    <w:p w14:paraId="075F2351">
      <w:pPr>
        <w:ind w:firstLine="482" w:firstLineChars="200"/>
        <w:rPr>
          <w:rFonts w:hint="eastAsia" w:ascii="宋体" w:hAnsi="宋体" w:cs="Times New Roman"/>
          <w:b/>
          <w:bCs/>
          <w:color w:val="auto"/>
          <w:sz w:val="24"/>
          <w:highlight w:val="none"/>
          <w:lang w:eastAsia="zh-CN"/>
        </w:rPr>
      </w:pPr>
    </w:p>
    <w:p w14:paraId="66892DB8">
      <w:pPr>
        <w:ind w:firstLine="482" w:firstLineChars="200"/>
        <w:rPr>
          <w:rFonts w:hint="eastAsia" w:ascii="宋体" w:hAnsi="宋体" w:cs="Times New Roman"/>
          <w:b/>
          <w:bCs/>
          <w:color w:val="auto"/>
          <w:sz w:val="24"/>
          <w:highlight w:val="none"/>
          <w:lang w:eastAsia="zh-CN"/>
        </w:rPr>
      </w:pPr>
    </w:p>
    <w:p w14:paraId="797B4F71">
      <w:pPr>
        <w:rPr>
          <w:color w:val="auto"/>
          <w:highlight w:val="none"/>
        </w:rPr>
      </w:pPr>
      <w:r>
        <w:rPr>
          <w:rFonts w:hint="eastAsia"/>
          <w:color w:val="auto"/>
          <w:highlight w:val="none"/>
        </w:rPr>
        <w:t>注：</w:t>
      </w:r>
    </w:p>
    <w:p w14:paraId="68DE0D2E">
      <w:pPr>
        <w:spacing w:line="420" w:lineRule="exact"/>
        <w:ind w:firstLine="420" w:firstLineChars="200"/>
        <w:rPr>
          <w:rFonts w:ascii="宋体" w:hAnsi="宋体"/>
          <w:snapToGrid w:val="0"/>
          <w:color w:val="auto"/>
          <w:w w:val="99"/>
          <w:highlight w:val="none"/>
        </w:rPr>
      </w:pPr>
      <w:r>
        <w:rPr>
          <w:rFonts w:hint="eastAsia" w:ascii="宋体" w:hAnsi="宋体"/>
          <w:color w:val="auto"/>
          <w:highlight w:val="none"/>
        </w:rPr>
        <w:t>1、含税金额合计</w:t>
      </w:r>
      <w:r>
        <w:rPr>
          <w:rFonts w:ascii="宋体" w:hAnsi="宋体"/>
          <w:color w:val="auto"/>
          <w:highlight w:val="none"/>
        </w:rPr>
        <w:t>应与</w:t>
      </w:r>
      <w:r>
        <w:rPr>
          <w:rFonts w:hint="eastAsia" w:ascii="宋体" w:hAnsi="宋体"/>
          <w:color w:val="auto"/>
          <w:highlight w:val="none"/>
        </w:rPr>
        <w:t>声明书</w:t>
      </w:r>
      <w:r>
        <w:rPr>
          <w:rFonts w:ascii="宋体" w:hAnsi="宋体"/>
          <w:color w:val="auto"/>
          <w:highlight w:val="none"/>
        </w:rPr>
        <w:t>中的</w:t>
      </w:r>
      <w:r>
        <w:rPr>
          <w:rFonts w:hint="eastAsia" w:ascii="宋体" w:hAnsi="宋体"/>
          <w:color w:val="auto"/>
          <w:highlight w:val="none"/>
        </w:rPr>
        <w:t>报价</w:t>
      </w:r>
      <w:r>
        <w:rPr>
          <w:rFonts w:ascii="宋体" w:hAnsi="宋体"/>
          <w:color w:val="auto"/>
          <w:highlight w:val="none"/>
        </w:rPr>
        <w:t>一致</w:t>
      </w:r>
      <w:r>
        <w:rPr>
          <w:rFonts w:hint="eastAsia" w:ascii="宋体" w:hAnsi="宋体"/>
          <w:color w:val="auto"/>
          <w:highlight w:val="none"/>
        </w:rPr>
        <w:t>，</w:t>
      </w:r>
      <w:r>
        <w:rPr>
          <w:rFonts w:ascii="宋体" w:hAnsi="宋体"/>
          <w:color w:val="auto"/>
          <w:highlight w:val="none"/>
        </w:rPr>
        <w:t>所有价格均系用人民币表示，单位为“元”，报价最多精确到小数点后两位。</w:t>
      </w:r>
    </w:p>
    <w:p w14:paraId="7F8ED5B4">
      <w:pPr>
        <w:spacing w:line="420" w:lineRule="exact"/>
        <w:ind w:firstLine="420" w:firstLineChars="200"/>
        <w:rPr>
          <w:rFonts w:ascii="宋体" w:hAnsi="宋体"/>
          <w:color w:val="auto"/>
          <w:highlight w:val="none"/>
        </w:rPr>
      </w:pPr>
      <w:r>
        <w:rPr>
          <w:rFonts w:hint="eastAsia" w:ascii="宋体" w:hAnsi="宋体"/>
          <w:color w:val="auto"/>
          <w:highlight w:val="none"/>
        </w:rPr>
        <w:t>2、报价</w:t>
      </w:r>
      <w:r>
        <w:rPr>
          <w:rFonts w:ascii="宋体" w:hAnsi="宋体"/>
          <w:color w:val="auto"/>
          <w:highlight w:val="none"/>
        </w:rPr>
        <w:t>人应仔细核实</w:t>
      </w:r>
      <w:r>
        <w:rPr>
          <w:rFonts w:hint="eastAsia" w:ascii="宋体" w:hAnsi="宋体"/>
          <w:color w:val="auto"/>
          <w:highlight w:val="none"/>
        </w:rPr>
        <w:t>比选</w:t>
      </w:r>
      <w:r>
        <w:rPr>
          <w:rFonts w:ascii="宋体" w:hAnsi="宋体"/>
          <w:color w:val="auto"/>
          <w:highlight w:val="none"/>
        </w:rPr>
        <w:t>范围内所包含的所有计费项目，</w:t>
      </w:r>
      <w:r>
        <w:rPr>
          <w:rFonts w:hint="eastAsia" w:ascii="宋体" w:hAnsi="宋体"/>
          <w:color w:val="auto"/>
          <w:highlight w:val="none"/>
        </w:rPr>
        <w:t>综合单价为已考虑各种风险后的所有费用，</w:t>
      </w:r>
      <w:r>
        <w:rPr>
          <w:rFonts w:ascii="宋体" w:hAnsi="宋体"/>
          <w:color w:val="auto"/>
          <w:highlight w:val="none"/>
        </w:rPr>
        <w:t>未报及漏报的项目将视为是</w:t>
      </w:r>
      <w:r>
        <w:rPr>
          <w:rFonts w:hint="eastAsia" w:ascii="宋体" w:hAnsi="宋体"/>
          <w:color w:val="auto"/>
          <w:highlight w:val="none"/>
        </w:rPr>
        <w:t>报价</w:t>
      </w:r>
      <w:r>
        <w:rPr>
          <w:rFonts w:ascii="宋体" w:hAnsi="宋体"/>
          <w:color w:val="auto"/>
          <w:highlight w:val="none"/>
        </w:rPr>
        <w:t>人对</w:t>
      </w:r>
      <w:r>
        <w:rPr>
          <w:rFonts w:hint="eastAsia" w:ascii="宋体" w:hAnsi="宋体"/>
          <w:color w:val="auto"/>
          <w:highlight w:val="none"/>
        </w:rPr>
        <w:t>采购</w:t>
      </w:r>
      <w:r>
        <w:rPr>
          <w:rFonts w:ascii="宋体" w:hAnsi="宋体"/>
          <w:color w:val="auto"/>
          <w:highlight w:val="none"/>
        </w:rPr>
        <w:t>人进行优惠，结算时不再进行增加。</w:t>
      </w:r>
    </w:p>
    <w:p w14:paraId="6DAAB345">
      <w:pPr>
        <w:spacing w:line="420" w:lineRule="exact"/>
        <w:ind w:firstLine="420" w:firstLineChars="200"/>
        <w:rPr>
          <w:rFonts w:ascii="宋体" w:hAnsi="宋体"/>
          <w:color w:val="auto"/>
          <w:highlight w:val="none"/>
        </w:rPr>
      </w:pPr>
      <w:r>
        <w:rPr>
          <w:rFonts w:hint="eastAsia" w:ascii="宋体" w:hAnsi="宋体"/>
          <w:color w:val="auto"/>
          <w:highlight w:val="none"/>
        </w:rPr>
        <w:t>3、合同为固定单价合同，合同期间不予调价。</w:t>
      </w:r>
    </w:p>
    <w:p w14:paraId="284A22A4">
      <w:pPr>
        <w:spacing w:line="420" w:lineRule="exact"/>
        <w:ind w:firstLine="420" w:firstLineChars="200"/>
        <w:jc w:val="left"/>
        <w:rPr>
          <w:rFonts w:cs="宋体" w:asciiTheme="minorEastAsia" w:hAnsiTheme="minorEastAsia"/>
          <w:color w:val="auto"/>
          <w:szCs w:val="21"/>
          <w:highlight w:val="none"/>
        </w:rPr>
      </w:pPr>
    </w:p>
    <w:p w14:paraId="332723BA">
      <w:pPr>
        <w:tabs>
          <w:tab w:val="left" w:pos="7140"/>
          <w:tab w:val="left" w:pos="7560"/>
          <w:tab w:val="left" w:pos="8300"/>
        </w:tabs>
        <w:autoSpaceDE w:val="0"/>
        <w:autoSpaceDN w:val="0"/>
        <w:adjustRightInd w:val="0"/>
        <w:spacing w:line="360" w:lineRule="auto"/>
        <w:ind w:right="210" w:firstLine="4907" w:firstLineChars="2337"/>
        <w:rPr>
          <w:rFonts w:ascii="宋体" w:hAnsi="宋体"/>
          <w:snapToGrid w:val="0"/>
          <w:color w:val="auto"/>
          <w:kern w:val="0"/>
          <w:szCs w:val="21"/>
          <w:highlight w:val="none"/>
        </w:rPr>
      </w:pPr>
      <w:r>
        <w:rPr>
          <w:rFonts w:hint="eastAsia" w:ascii="宋体" w:hAnsi="宋体"/>
          <w:snapToGrid w:val="0"/>
          <w:color w:val="auto"/>
          <w:kern w:val="0"/>
          <w:szCs w:val="21"/>
          <w:highlight w:val="none"/>
        </w:rPr>
        <w:t>报</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价</w:t>
      </w:r>
      <w:r>
        <w:rPr>
          <w:rFonts w:ascii="宋体" w:hAnsi="宋体"/>
          <w:snapToGrid w:val="0"/>
          <w:color w:val="auto"/>
          <w:kern w:val="0"/>
          <w:szCs w:val="21"/>
          <w:highlight w:val="none"/>
        </w:rPr>
        <w:t xml:space="preserve">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w:t>
      </w:r>
      <w:r>
        <w:rPr>
          <w:rFonts w:hint="eastAsia" w:ascii="宋体" w:hAnsi="宋体"/>
          <w:snapToGrid w:val="0"/>
          <w:color w:val="auto"/>
          <w:kern w:val="0"/>
          <w:szCs w:val="21"/>
          <w:highlight w:val="none"/>
        </w:rPr>
        <w:t>公章</w:t>
      </w:r>
      <w:r>
        <w:rPr>
          <w:rFonts w:ascii="宋体" w:hAnsi="宋体"/>
          <w:snapToGrid w:val="0"/>
          <w:color w:val="auto"/>
          <w:kern w:val="0"/>
          <w:szCs w:val="21"/>
          <w:highlight w:val="none"/>
        </w:rPr>
        <w:t xml:space="preserve">） </w:t>
      </w:r>
    </w:p>
    <w:p w14:paraId="32F32B46">
      <w:pPr>
        <w:tabs>
          <w:tab w:val="left" w:pos="7140"/>
          <w:tab w:val="left" w:pos="7560"/>
          <w:tab w:val="left" w:pos="8300"/>
        </w:tabs>
        <w:autoSpaceDE w:val="0"/>
        <w:autoSpaceDN w:val="0"/>
        <w:adjustRightInd w:val="0"/>
        <w:spacing w:line="360" w:lineRule="auto"/>
        <w:ind w:right="210" w:firstLine="4935" w:firstLineChars="23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14:paraId="617A6576">
      <w:pPr>
        <w:rPr>
          <w:rFonts w:ascii="宋体" w:hAnsi="宋体" w:cs="宋体"/>
          <w:color w:val="auto"/>
          <w:kern w:val="0"/>
          <w:szCs w:val="21"/>
          <w:highlight w:val="none"/>
        </w:rPr>
      </w:pPr>
    </w:p>
    <w:p w14:paraId="063B5D41">
      <w:pPr>
        <w:jc w:val="center"/>
        <w:rPr>
          <w:color w:val="auto"/>
          <w:highlight w:val="none"/>
        </w:rPr>
        <w:sectPr>
          <w:pgSz w:w="16838" w:h="11906" w:orient="landscape"/>
          <w:pgMar w:top="1463" w:right="1440" w:bottom="1576" w:left="1440" w:header="851" w:footer="992" w:gutter="0"/>
          <w:pgBorders>
            <w:top w:val="none" w:sz="0" w:space="0"/>
            <w:left w:val="none" w:sz="0" w:space="0"/>
            <w:bottom w:val="none" w:sz="0" w:space="0"/>
            <w:right w:val="none" w:sz="0" w:space="0"/>
          </w:pgBorders>
          <w:cols w:space="0" w:num="1"/>
          <w:titlePg/>
          <w:docGrid w:type="lines" w:linePitch="328" w:charSpace="0"/>
        </w:sectPr>
      </w:pPr>
      <w:r>
        <w:rPr>
          <w:rFonts w:hint="eastAsia"/>
          <w:color w:val="auto"/>
          <w:highlight w:val="none"/>
        </w:rPr>
        <w:t>日期：</w:t>
      </w:r>
      <w:r>
        <w:rPr>
          <w:rFonts w:hint="eastAsia"/>
          <w:color w:val="auto"/>
          <w:highlight w:val="none"/>
          <w:u w:val="single"/>
        </w:rPr>
        <w:t xml:space="preserve">    </w:t>
      </w:r>
      <w:r>
        <w:rPr>
          <w:rFonts w:hint="eastAsia"/>
          <w:color w:val="auto"/>
          <w:highlight w:val="none"/>
        </w:rPr>
        <w:t>年</w:t>
      </w:r>
      <w:r>
        <w:rPr>
          <w:rFonts w:hint="eastAsia"/>
          <w:color w:val="auto"/>
          <w:highlight w:val="none"/>
          <w:u w:val="single"/>
        </w:rPr>
        <w:t xml:space="preserve">   </w:t>
      </w:r>
      <w:r>
        <w:rPr>
          <w:rFonts w:hint="eastAsia"/>
          <w:color w:val="auto"/>
          <w:highlight w:val="none"/>
        </w:rPr>
        <w:t>月</w:t>
      </w:r>
      <w:r>
        <w:rPr>
          <w:rFonts w:hint="eastAsia"/>
          <w:color w:val="auto"/>
          <w:highlight w:val="none"/>
          <w:u w:val="single"/>
        </w:rPr>
        <w:t xml:space="preserve">   日</w:t>
      </w:r>
    </w:p>
    <w:bookmarkEnd w:id="874"/>
    <w:p w14:paraId="25DD6B54">
      <w:pPr>
        <w:pStyle w:val="4"/>
        <w:numPr>
          <w:ilvl w:val="0"/>
          <w:numId w:val="11"/>
        </w:numPr>
        <w:spacing w:before="0" w:after="0" w:line="360" w:lineRule="auto"/>
        <w:jc w:val="center"/>
        <w:rPr>
          <w:rFonts w:ascii="宋体" w:hAnsi="宋体" w:eastAsia="宋体" w:cs="宋体"/>
          <w:color w:val="auto"/>
          <w:sz w:val="28"/>
          <w:highlight w:val="none"/>
        </w:rPr>
      </w:pPr>
      <w:bookmarkStart w:id="875" w:name="_Toc11961"/>
      <w:bookmarkStart w:id="876" w:name="_Toc12910"/>
      <w:bookmarkStart w:id="877" w:name="_Toc23170"/>
      <w:bookmarkStart w:id="878" w:name="_Toc24319"/>
      <w:bookmarkStart w:id="879" w:name="_Toc19734"/>
      <w:bookmarkStart w:id="880" w:name="_Toc11329278"/>
      <w:bookmarkStart w:id="881" w:name="_Toc513633971"/>
      <w:bookmarkStart w:id="882" w:name="_Toc503951050"/>
      <w:bookmarkStart w:id="883" w:name="_Toc18757"/>
      <w:bookmarkStart w:id="884" w:name="_Toc247085887"/>
      <w:bookmarkStart w:id="885" w:name="_Toc246996369"/>
      <w:bookmarkStart w:id="886" w:name="_Toc152042592"/>
      <w:bookmarkStart w:id="887" w:name="_Toc144974871"/>
      <w:bookmarkStart w:id="888" w:name="_Toc246997112"/>
      <w:bookmarkStart w:id="889" w:name="_Toc447827058"/>
      <w:bookmarkStart w:id="890" w:name="_Toc179632823"/>
      <w:bookmarkStart w:id="891" w:name="_Toc152045803"/>
      <w:r>
        <w:rPr>
          <w:rFonts w:hint="eastAsia" w:ascii="宋体" w:hAnsi="宋体" w:eastAsia="宋体" w:cs="宋体"/>
          <w:color w:val="auto"/>
          <w:sz w:val="28"/>
          <w:highlight w:val="none"/>
        </w:rPr>
        <w:t>审查资料</w:t>
      </w:r>
      <w:bookmarkEnd w:id="875"/>
      <w:bookmarkEnd w:id="876"/>
      <w:bookmarkEnd w:id="877"/>
      <w:bookmarkEnd w:id="878"/>
      <w:bookmarkEnd w:id="879"/>
      <w:bookmarkEnd w:id="880"/>
      <w:bookmarkEnd w:id="881"/>
      <w:bookmarkEnd w:id="882"/>
      <w:bookmarkEnd w:id="883"/>
    </w:p>
    <w:p w14:paraId="5E97B535">
      <w:pPr>
        <w:pStyle w:val="4"/>
        <w:jc w:val="center"/>
        <w:rPr>
          <w:rFonts w:ascii="宋体" w:hAnsi="宋体" w:eastAsia="宋体" w:cs="宋体"/>
          <w:bCs w:val="0"/>
          <w:color w:val="auto"/>
          <w:sz w:val="28"/>
          <w:szCs w:val="28"/>
          <w:highlight w:val="none"/>
        </w:rPr>
      </w:pPr>
      <w:r>
        <w:rPr>
          <w:rFonts w:hint="eastAsia" w:ascii="宋体" w:hAnsi="宋体" w:eastAsia="宋体" w:cs="宋体"/>
          <w:color w:val="auto"/>
          <w:sz w:val="28"/>
          <w:highlight w:val="none"/>
        </w:rPr>
        <w:t>（一）资格审查资料</w:t>
      </w:r>
    </w:p>
    <w:tbl>
      <w:tblPr>
        <w:tblStyle w:val="44"/>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782B3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3A91E39F">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6DFC36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0698482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4CE6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664" w:type="dxa"/>
            <w:tcBorders>
              <w:top w:val="single" w:color="auto" w:sz="4" w:space="0"/>
              <w:left w:val="single" w:color="auto" w:sz="4" w:space="0"/>
              <w:right w:val="single" w:color="auto" w:sz="4" w:space="0"/>
            </w:tcBorders>
            <w:vAlign w:val="center"/>
          </w:tcPr>
          <w:p w14:paraId="6051803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right w:val="single" w:color="auto" w:sz="4" w:space="0"/>
            </w:tcBorders>
            <w:vAlign w:val="center"/>
          </w:tcPr>
          <w:p w14:paraId="47CAA1CA">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38300E1B">
            <w:pPr>
              <w:numPr>
                <w:ilvl w:val="0"/>
                <w:numId w:val="12"/>
              </w:numPr>
              <w:spacing w:line="400" w:lineRule="exact"/>
              <w:ind w:firstLine="420" w:firstLineChars="200"/>
              <w:rPr>
                <w:color w:val="auto"/>
                <w:highlight w:val="none"/>
              </w:rPr>
            </w:pPr>
            <w:r>
              <w:rPr>
                <w:rFonts w:hint="eastAsia"/>
                <w:color w:val="auto"/>
                <w:highlight w:val="none"/>
              </w:rPr>
              <w:t>报价人具有独立法人资格及有效的营业执照。</w:t>
            </w:r>
          </w:p>
        </w:tc>
      </w:tr>
      <w:tr w14:paraId="4E91F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664" w:type="dxa"/>
            <w:tcBorders>
              <w:top w:val="single" w:color="auto" w:sz="4" w:space="0"/>
              <w:left w:val="single" w:color="auto" w:sz="4" w:space="0"/>
              <w:bottom w:val="single" w:color="auto" w:sz="4" w:space="0"/>
              <w:right w:val="single" w:color="auto" w:sz="4" w:space="0"/>
            </w:tcBorders>
            <w:vAlign w:val="center"/>
          </w:tcPr>
          <w:p w14:paraId="4E11855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465" w:type="dxa"/>
            <w:tcBorders>
              <w:top w:val="single" w:color="auto" w:sz="4" w:space="0"/>
              <w:left w:val="single" w:color="auto" w:sz="4" w:space="0"/>
              <w:bottom w:val="single" w:color="auto" w:sz="4" w:space="0"/>
              <w:right w:val="single" w:color="auto" w:sz="4" w:space="0"/>
            </w:tcBorders>
            <w:vAlign w:val="center"/>
          </w:tcPr>
          <w:p w14:paraId="08AADEB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E3A25E8">
            <w:pPr>
              <w:spacing w:line="400" w:lineRule="exact"/>
              <w:ind w:firstLine="420" w:firstLineChars="200"/>
              <w:rPr>
                <w:color w:val="auto"/>
                <w:highlight w:val="none"/>
              </w:rPr>
            </w:pPr>
            <w:r>
              <w:rPr>
                <w:rFonts w:hint="eastAsia"/>
                <w:color w:val="auto"/>
                <w:highlight w:val="none"/>
              </w:rPr>
              <w:t>1、报价人在2022年1月1日至报价截止日期（以合同签订时间为准）至少独立完成一项合同金额不低于20万元的中国境内企业资质办理咨询服务合作案例（</w:t>
            </w:r>
            <w:r>
              <w:rPr>
                <w:rFonts w:hint="eastAsia"/>
                <w:color w:val="auto"/>
                <w:highlight w:val="none"/>
                <w:lang w:val="en-US" w:eastAsia="zh-CN"/>
              </w:rPr>
              <w:t>需</w:t>
            </w:r>
            <w:r>
              <w:rPr>
                <w:rFonts w:hint="eastAsia"/>
                <w:color w:val="auto"/>
                <w:highlight w:val="none"/>
              </w:rPr>
              <w:t>提供官网证书查询信息截图）。</w:t>
            </w:r>
          </w:p>
          <w:p w14:paraId="35B3AC89">
            <w:pPr>
              <w:spacing w:line="400" w:lineRule="exact"/>
              <w:ind w:firstLine="420" w:firstLineChars="200"/>
              <w:rPr>
                <w:color w:val="auto"/>
                <w:highlight w:val="none"/>
              </w:rPr>
            </w:pPr>
            <w:r>
              <w:rPr>
                <w:rFonts w:hint="eastAsia" w:ascii="宋体" w:hAnsi="宋体" w:eastAsia="宋体" w:cs="宋体"/>
                <w:color w:val="auto"/>
                <w:szCs w:val="21"/>
                <w:highlight w:val="none"/>
                <w:shd w:val="clear" w:color="auto" w:fill="FFFFFF"/>
              </w:rPr>
              <w:t>注：</w:t>
            </w:r>
            <w:r>
              <w:rPr>
                <w:rFonts w:hint="eastAsia" w:ascii="宋体" w:hAnsi="宋体" w:eastAsia="宋体" w:cs="宋体"/>
                <w:color w:val="auto"/>
                <w:szCs w:val="21"/>
                <w:highlight w:val="none"/>
                <w:shd w:val="clear" w:color="auto" w:fill="FFFFFF"/>
                <w:lang w:val="en-US" w:eastAsia="zh-CN"/>
              </w:rPr>
              <w:t>业绩证明资料提供合同复印</w:t>
            </w:r>
            <w:r>
              <w:rPr>
                <w:rFonts w:hint="eastAsia" w:ascii="宋体" w:hAnsi="宋体" w:eastAsia="宋体" w:cs="宋体"/>
                <w:b w:val="0"/>
                <w:bCs w:val="0"/>
                <w:color w:val="auto"/>
                <w:kern w:val="2"/>
                <w:sz w:val="21"/>
                <w:szCs w:val="21"/>
                <w:highlight w:val="none"/>
                <w:shd w:val="clear" w:color="auto" w:fill="FFFFFF"/>
                <w:lang w:val="en-US" w:eastAsia="zh-CN" w:bidi="ar-SA"/>
              </w:rPr>
              <w:t>件或关键页（需清晰反映上述业绩要求的主要内容，包括但不限于合同签订时间、合同金额及合同内容），并盖单位公章。若合同中无法体现上述内容的，则还需出具加盖业主公章的业主证明材料。</w:t>
            </w:r>
            <w:r>
              <w:rPr>
                <w:rFonts w:hint="eastAsia" w:ascii="宋体" w:hAnsi="宋体" w:eastAsia="宋体" w:cs="宋体"/>
                <w:color w:val="auto"/>
                <w:szCs w:val="21"/>
                <w:highlight w:val="none"/>
                <w:shd w:val="clear" w:color="auto" w:fill="FFFFFF"/>
              </w:rPr>
              <w:t>不满足上述业绩要求的业绩视为无效。</w:t>
            </w:r>
          </w:p>
        </w:tc>
      </w:tr>
      <w:tr w14:paraId="58B91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6316D99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465" w:type="dxa"/>
            <w:tcBorders>
              <w:top w:val="single" w:color="auto" w:sz="4" w:space="0"/>
              <w:left w:val="single" w:color="auto" w:sz="4" w:space="0"/>
              <w:bottom w:val="single" w:color="auto" w:sz="4" w:space="0"/>
              <w:right w:val="single" w:color="auto" w:sz="4" w:space="0"/>
            </w:tcBorders>
            <w:vAlign w:val="center"/>
          </w:tcPr>
          <w:p w14:paraId="3E430D5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4E3D29D4">
            <w:pPr>
              <w:wordWrap w:val="0"/>
              <w:spacing w:line="400" w:lineRule="exact"/>
              <w:ind w:firstLine="420" w:firstLineChars="200"/>
              <w:rPr>
                <w:color w:val="auto"/>
                <w:highlight w:val="none"/>
              </w:rPr>
            </w:pPr>
            <w:r>
              <w:rPr>
                <w:rFonts w:hint="eastAsia"/>
                <w:color w:val="auto"/>
                <w:highlight w:val="none"/>
              </w:rPr>
              <w:t>1、在国家企业信用信息公示系统（http://www.gsxt.gov.cn/）中未被列入严重违法失信企业名单（黑名单）信息；在“信用中国”网站（http://www.creditchina.gov.cn/）中未被列入严重失信主体名单。</w:t>
            </w:r>
          </w:p>
          <w:p w14:paraId="0B64FF3D">
            <w:pPr>
              <w:wordWrap w:val="0"/>
              <w:spacing w:line="400" w:lineRule="exact"/>
              <w:ind w:firstLine="420" w:firstLineChars="200"/>
              <w:rPr>
                <w:color w:val="auto"/>
                <w:highlight w:val="none"/>
              </w:rPr>
            </w:pPr>
            <w:r>
              <w:rPr>
                <w:rFonts w:hint="eastAsia"/>
                <w:color w:val="auto"/>
                <w:highlight w:val="none"/>
              </w:rPr>
              <w:t>注：信誉要求报价人自行通过上述网站进行查询，经查询存在相应记录的，应回避本次比选；查询后无相应记录的，需按竞争性比选响应文件中承诺格式进行承诺并盖单位</w:t>
            </w:r>
            <w:r>
              <w:rPr>
                <w:rFonts w:hint="eastAsia" w:hAnsi="宋体"/>
                <w:color w:val="auto"/>
                <w:szCs w:val="21"/>
                <w:highlight w:val="none"/>
              </w:rPr>
              <w:t>公章</w:t>
            </w:r>
            <w:r>
              <w:rPr>
                <w:rFonts w:hint="eastAsia"/>
                <w:color w:val="auto"/>
                <w:highlight w:val="none"/>
              </w:rPr>
              <w:t>。采购人保留对报价人承诺真实性进行查询的权利，如果发现报价人承诺不实的，将取消其中标资格，采购人可以按照评审报告中标结果的排序，依次递补其他报价人为中标候选人或中标人，也可重新采购。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7A0FF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20DBC19D">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4</w:t>
            </w:r>
          </w:p>
        </w:tc>
        <w:tc>
          <w:tcPr>
            <w:tcW w:w="1465" w:type="dxa"/>
            <w:tcBorders>
              <w:top w:val="single" w:color="auto" w:sz="4" w:space="0"/>
              <w:left w:val="single" w:color="auto" w:sz="4" w:space="0"/>
              <w:bottom w:val="single" w:color="auto" w:sz="4" w:space="0"/>
              <w:right w:val="single" w:color="auto" w:sz="4" w:space="0"/>
            </w:tcBorders>
            <w:vAlign w:val="center"/>
          </w:tcPr>
          <w:p w14:paraId="3750356A">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4381B41C">
            <w:pPr>
              <w:wordWrap w:val="0"/>
              <w:spacing w:line="400" w:lineRule="exact"/>
              <w:rPr>
                <w:rFonts w:hint="eastAsia"/>
                <w:color w:val="auto"/>
                <w:highlight w:val="none"/>
              </w:rPr>
            </w:pPr>
            <w:r>
              <w:rPr>
                <w:rFonts w:hint="eastAsia"/>
                <w:color w:val="auto"/>
                <w:highlight w:val="none"/>
              </w:rPr>
              <w:t xml:space="preserve">    1、项目负责人1人。</w:t>
            </w:r>
          </w:p>
          <w:p w14:paraId="3AD88253">
            <w:pPr>
              <w:wordWrap w:val="0"/>
              <w:spacing w:line="400" w:lineRule="exact"/>
              <w:rPr>
                <w:color w:val="auto"/>
                <w:highlight w:val="none"/>
              </w:rPr>
            </w:pPr>
            <w:r>
              <w:rPr>
                <w:rFonts w:hint="eastAsia"/>
                <w:color w:val="auto"/>
                <w:highlight w:val="none"/>
              </w:rPr>
              <w:t xml:space="preserve">    2、项目团队</w:t>
            </w:r>
            <w:r>
              <w:rPr>
                <w:rFonts w:hint="eastAsia"/>
                <w:color w:val="auto"/>
                <w:highlight w:val="none"/>
                <w:lang w:val="en-US" w:eastAsia="zh-CN"/>
              </w:rPr>
              <w:t>其他人员</w:t>
            </w:r>
            <w:r>
              <w:rPr>
                <w:rFonts w:hint="eastAsia"/>
                <w:color w:val="auto"/>
                <w:highlight w:val="none"/>
              </w:rPr>
              <w:t>至少</w:t>
            </w:r>
            <w:r>
              <w:rPr>
                <w:rFonts w:hint="eastAsia"/>
                <w:color w:val="auto"/>
                <w:highlight w:val="none"/>
                <w:lang w:val="en-US" w:eastAsia="zh-CN"/>
              </w:rPr>
              <w:t>3</w:t>
            </w:r>
            <w:r>
              <w:rPr>
                <w:rFonts w:hint="eastAsia"/>
                <w:color w:val="auto"/>
                <w:highlight w:val="none"/>
              </w:rPr>
              <w:t>名。</w:t>
            </w:r>
          </w:p>
          <w:p w14:paraId="3FAB43B3">
            <w:pPr>
              <w:wordWrap w:val="0"/>
              <w:spacing w:line="400" w:lineRule="exact"/>
              <w:ind w:firstLine="420" w:firstLineChars="200"/>
              <w:rPr>
                <w:rFonts w:ascii="宋体" w:hAnsi="宋体" w:cs="宋体"/>
                <w:color w:val="auto"/>
                <w:szCs w:val="21"/>
                <w:highlight w:val="none"/>
                <w:lang w:bidi="ar"/>
              </w:rPr>
            </w:pPr>
            <w:r>
              <w:rPr>
                <w:rFonts w:hint="eastAsia"/>
                <w:color w:val="auto"/>
                <w:highlight w:val="none"/>
              </w:rPr>
              <w:t>注：人员名单（表格形式），项目负责人需提供身份证、资格证书复印件和由社保局出具的报价人为</w:t>
            </w:r>
            <w:r>
              <w:rPr>
                <w:rFonts w:hint="eastAsia"/>
                <w:color w:val="auto"/>
                <w:highlight w:val="none"/>
                <w:lang w:val="en-US" w:eastAsia="zh-CN"/>
              </w:rPr>
              <w:t>其</w:t>
            </w:r>
            <w:r>
              <w:rPr>
                <w:rFonts w:hint="eastAsia"/>
                <w:color w:val="auto"/>
                <w:highlight w:val="none"/>
              </w:rPr>
              <w:t>缴纳的</w:t>
            </w:r>
            <w:r>
              <w:rPr>
                <w:rFonts w:hint="eastAsia"/>
                <w:color w:val="auto"/>
                <w:highlight w:val="none"/>
                <w:lang w:val="en-US" w:eastAsia="zh-CN"/>
              </w:rPr>
              <w:t>最近连续</w:t>
            </w:r>
            <w:r>
              <w:rPr>
                <w:rFonts w:hint="eastAsia"/>
                <w:color w:val="auto"/>
                <w:highlight w:val="none"/>
              </w:rPr>
              <w:t>3个月</w:t>
            </w:r>
            <w:r>
              <w:rPr>
                <w:rFonts w:hint="eastAsia" w:ascii="宋体" w:hAnsi="宋体" w:cs="宋体"/>
                <w:color w:val="auto"/>
                <w:szCs w:val="21"/>
                <w:highlight w:val="none"/>
                <w:lang w:bidi="ar"/>
              </w:rPr>
              <w:t>（202</w:t>
            </w:r>
            <w:r>
              <w:rPr>
                <w:rFonts w:hint="eastAsia" w:ascii="宋体" w:hAnsi="宋体" w:cs="宋体"/>
                <w:color w:val="auto"/>
                <w:szCs w:val="21"/>
                <w:highlight w:val="none"/>
                <w:lang w:val="en-US" w:eastAsia="zh-CN" w:bidi="ar"/>
              </w:rPr>
              <w:t>5</w:t>
            </w:r>
            <w:r>
              <w:rPr>
                <w:rFonts w:hint="eastAsia" w:ascii="宋体" w:hAnsi="宋体" w:cs="宋体"/>
                <w:color w:val="auto"/>
                <w:szCs w:val="21"/>
                <w:highlight w:val="none"/>
                <w:lang w:bidi="ar"/>
              </w:rPr>
              <w:t>年</w:t>
            </w:r>
            <w:r>
              <w:rPr>
                <w:rFonts w:hint="eastAsia" w:ascii="宋体" w:hAnsi="宋体" w:cs="宋体"/>
                <w:color w:val="auto"/>
                <w:szCs w:val="21"/>
                <w:highlight w:val="none"/>
                <w:lang w:val="en-US" w:eastAsia="zh-CN" w:bidi="ar"/>
              </w:rPr>
              <w:t>01</w:t>
            </w:r>
            <w:r>
              <w:rPr>
                <w:rFonts w:hint="eastAsia" w:ascii="宋体" w:hAnsi="宋体" w:cs="宋体"/>
                <w:color w:val="auto"/>
                <w:szCs w:val="21"/>
                <w:highlight w:val="none"/>
                <w:lang w:bidi="ar"/>
              </w:rPr>
              <w:t>月-202</w:t>
            </w:r>
            <w:r>
              <w:rPr>
                <w:rFonts w:hint="eastAsia" w:ascii="宋体" w:hAnsi="宋体" w:cs="宋体"/>
                <w:color w:val="auto"/>
                <w:szCs w:val="21"/>
                <w:highlight w:val="none"/>
                <w:lang w:val="en-US" w:eastAsia="zh-CN" w:bidi="ar"/>
              </w:rPr>
              <w:t>5</w:t>
            </w:r>
            <w:r>
              <w:rPr>
                <w:rFonts w:hint="eastAsia" w:ascii="宋体" w:hAnsi="宋体" w:cs="宋体"/>
                <w:color w:val="auto"/>
                <w:szCs w:val="21"/>
                <w:highlight w:val="none"/>
                <w:lang w:bidi="ar"/>
              </w:rPr>
              <w:t>年</w:t>
            </w:r>
            <w:r>
              <w:rPr>
                <w:rFonts w:hint="eastAsia" w:ascii="宋体" w:hAnsi="宋体" w:cs="宋体"/>
                <w:color w:val="auto"/>
                <w:szCs w:val="21"/>
                <w:highlight w:val="none"/>
                <w:lang w:val="en-US" w:eastAsia="zh-CN" w:bidi="ar"/>
              </w:rPr>
              <w:t>03</w:t>
            </w:r>
            <w:r>
              <w:rPr>
                <w:rFonts w:hint="eastAsia" w:ascii="宋体" w:hAnsi="宋体" w:cs="宋体"/>
                <w:color w:val="auto"/>
                <w:szCs w:val="21"/>
                <w:highlight w:val="none"/>
                <w:lang w:bidi="ar"/>
              </w:rPr>
              <w:t>月）</w:t>
            </w:r>
            <w:r>
              <w:rPr>
                <w:rFonts w:hint="eastAsia"/>
                <w:color w:val="auto"/>
                <w:highlight w:val="none"/>
              </w:rPr>
              <w:t>社保查询证明资料（带有社保部门公章或社保部门的有效电子印章）</w:t>
            </w:r>
            <w:r>
              <w:rPr>
                <w:rFonts w:hint="eastAsia" w:ascii="宋体" w:hAnsi="宋体" w:cs="宋体"/>
                <w:color w:val="auto"/>
                <w:szCs w:val="21"/>
                <w:highlight w:val="none"/>
                <w:lang w:bidi="ar"/>
              </w:rPr>
              <w:t>，</w:t>
            </w:r>
            <w:r>
              <w:rPr>
                <w:rFonts w:hint="eastAsia"/>
                <w:color w:val="auto"/>
                <w:highlight w:val="none"/>
              </w:rPr>
              <w:t>项目团队</w:t>
            </w:r>
            <w:r>
              <w:rPr>
                <w:rFonts w:hint="eastAsia"/>
                <w:color w:val="auto"/>
                <w:highlight w:val="none"/>
                <w:lang w:val="en-US" w:eastAsia="zh-CN"/>
              </w:rPr>
              <w:t>其他人员需提供身份证复印件，</w:t>
            </w:r>
            <w:r>
              <w:rPr>
                <w:rFonts w:hint="eastAsia" w:ascii="宋体" w:hAnsi="宋体" w:cs="宋体"/>
                <w:color w:val="auto"/>
                <w:szCs w:val="21"/>
                <w:highlight w:val="none"/>
                <w:shd w:val="clear" w:color="auto" w:fill="FFFFFF"/>
              </w:rPr>
              <w:t>并加盖单位</w:t>
            </w:r>
            <w:r>
              <w:rPr>
                <w:rFonts w:hint="eastAsia" w:hAnsi="宋体"/>
                <w:color w:val="auto"/>
                <w:szCs w:val="21"/>
                <w:highlight w:val="none"/>
              </w:rPr>
              <w:t>公章</w:t>
            </w:r>
            <w:r>
              <w:rPr>
                <w:rFonts w:hint="eastAsia" w:ascii="宋体" w:hAnsi="宋体" w:cs="宋体"/>
                <w:color w:val="auto"/>
                <w:szCs w:val="21"/>
                <w:highlight w:val="none"/>
                <w:lang w:bidi="ar"/>
              </w:rPr>
              <w:t>。</w:t>
            </w:r>
          </w:p>
        </w:tc>
      </w:tr>
    </w:tbl>
    <w:p w14:paraId="4CDA129A">
      <w:pPr>
        <w:spacing w:line="360" w:lineRule="auto"/>
        <w:jc w:val="left"/>
        <w:rPr>
          <w:rFonts w:hAnsi="宋体"/>
          <w:color w:val="auto"/>
          <w:kern w:val="0"/>
          <w:szCs w:val="21"/>
          <w:highlight w:val="none"/>
        </w:rPr>
      </w:pPr>
      <w:r>
        <w:rPr>
          <w:rFonts w:hint="eastAsia" w:ascii="宋体" w:hAnsi="宋体" w:cs="宋体"/>
          <w:color w:val="auto"/>
          <w:szCs w:val="21"/>
          <w:highlight w:val="none"/>
        </w:rPr>
        <w:t xml:space="preserve">  </w:t>
      </w:r>
      <w:r>
        <w:rPr>
          <w:rFonts w:hint="eastAsia" w:hAnsi="宋体"/>
          <w:color w:val="auto"/>
          <w:kern w:val="0"/>
          <w:szCs w:val="21"/>
          <w:highlight w:val="none"/>
        </w:rPr>
        <w:t xml:space="preserve"> 注：</w:t>
      </w:r>
    </w:p>
    <w:p w14:paraId="05585188">
      <w:pPr>
        <w:numPr>
          <w:ilvl w:val="0"/>
          <w:numId w:val="0"/>
        </w:numPr>
        <w:spacing w:line="360" w:lineRule="auto"/>
        <w:ind w:firstLine="420" w:firstLineChars="200"/>
        <w:jc w:val="left"/>
        <w:rPr>
          <w:rFonts w:hAnsi="宋体"/>
          <w:color w:val="auto"/>
          <w:kern w:val="0"/>
          <w:szCs w:val="21"/>
          <w:highlight w:val="none"/>
        </w:rPr>
      </w:pPr>
      <w:r>
        <w:rPr>
          <w:rFonts w:ascii="Times New Roman" w:hAnsi="宋体" w:eastAsia="宋体" w:cs="Times New Roman"/>
          <w:color w:val="auto"/>
          <w:kern w:val="0"/>
          <w:sz w:val="21"/>
          <w:szCs w:val="21"/>
          <w:highlight w:val="none"/>
          <w:lang w:val="en-US" w:eastAsia="zh-CN" w:bidi="ar-SA"/>
        </w:rPr>
        <w:t>1、</w:t>
      </w:r>
      <w:r>
        <w:rPr>
          <w:rFonts w:hint="eastAsia" w:hAnsi="宋体"/>
          <w:color w:val="auto"/>
          <w:kern w:val="0"/>
          <w:szCs w:val="21"/>
          <w:highlight w:val="none"/>
        </w:rPr>
        <w:t>报价人提供采购人要求的所有资质要求、业绩要求、信誉要求等资料并加盖单位单位</w:t>
      </w:r>
      <w:r>
        <w:rPr>
          <w:rFonts w:hint="eastAsia" w:hAnsi="宋体"/>
          <w:color w:val="auto"/>
          <w:szCs w:val="21"/>
          <w:highlight w:val="none"/>
        </w:rPr>
        <w:t>公章</w:t>
      </w:r>
      <w:r>
        <w:rPr>
          <w:rFonts w:hint="eastAsia" w:hAnsi="宋体"/>
          <w:color w:val="auto"/>
          <w:kern w:val="0"/>
          <w:szCs w:val="21"/>
          <w:highlight w:val="none"/>
        </w:rPr>
        <w:t>。</w:t>
      </w:r>
    </w:p>
    <w:p w14:paraId="498357FE">
      <w:pPr>
        <w:numPr>
          <w:ilvl w:val="0"/>
          <w:numId w:val="0"/>
        </w:numPr>
        <w:spacing w:line="360" w:lineRule="auto"/>
        <w:jc w:val="left"/>
        <w:rPr>
          <w:rFonts w:hAnsi="宋体"/>
          <w:color w:val="auto"/>
          <w:kern w:val="0"/>
          <w:szCs w:val="21"/>
          <w:highlight w:val="none"/>
        </w:rPr>
      </w:pPr>
    </w:p>
    <w:bookmarkEnd w:id="884"/>
    <w:bookmarkEnd w:id="885"/>
    <w:bookmarkEnd w:id="886"/>
    <w:bookmarkEnd w:id="887"/>
    <w:bookmarkEnd w:id="888"/>
    <w:bookmarkEnd w:id="889"/>
    <w:bookmarkEnd w:id="890"/>
    <w:bookmarkEnd w:id="891"/>
    <w:p w14:paraId="02BA25DC">
      <w:pPr>
        <w:spacing w:before="149"/>
        <w:ind w:right="32"/>
        <w:jc w:val="center"/>
        <w:rPr>
          <w:rFonts w:ascii="宋体" w:hAnsi="宋体" w:cs="宋体"/>
          <w:color w:val="auto"/>
          <w:szCs w:val="21"/>
          <w:highlight w:val="none"/>
        </w:rPr>
      </w:pPr>
      <w:bookmarkStart w:id="892" w:name="OLE_LINK63"/>
      <w:bookmarkStart w:id="893" w:name="_Toc513633974"/>
      <w:bookmarkStart w:id="894" w:name="_Toc503951058"/>
    </w:p>
    <w:p w14:paraId="136747E1">
      <w:pPr>
        <w:spacing w:before="149"/>
        <w:ind w:right="32"/>
        <w:jc w:val="center"/>
        <w:rPr>
          <w:rFonts w:ascii="宋体" w:hAnsi="宋体" w:cs="宋体"/>
          <w:color w:val="auto"/>
          <w:szCs w:val="21"/>
          <w:highlight w:val="none"/>
        </w:rPr>
      </w:pPr>
    </w:p>
    <w:tbl>
      <w:tblPr>
        <w:tblStyle w:val="44"/>
        <w:tblW w:w="88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787"/>
        <w:gridCol w:w="1925"/>
        <w:gridCol w:w="3218"/>
        <w:gridCol w:w="1095"/>
      </w:tblGrid>
      <w:tr w14:paraId="78C1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27E4675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787" w:type="dxa"/>
            <w:tcBorders>
              <w:top w:val="single" w:color="auto" w:sz="4" w:space="0"/>
              <w:left w:val="single" w:color="auto" w:sz="4" w:space="0"/>
              <w:bottom w:val="single" w:color="auto" w:sz="4" w:space="0"/>
              <w:right w:val="single" w:color="auto" w:sz="4" w:space="0"/>
            </w:tcBorders>
            <w:vAlign w:val="center"/>
          </w:tcPr>
          <w:p w14:paraId="7AABBF7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人员</w:t>
            </w:r>
          </w:p>
        </w:tc>
        <w:tc>
          <w:tcPr>
            <w:tcW w:w="1925" w:type="dxa"/>
            <w:tcBorders>
              <w:top w:val="single" w:color="auto" w:sz="4" w:space="0"/>
              <w:left w:val="single" w:color="auto" w:sz="4" w:space="0"/>
              <w:bottom w:val="single" w:color="auto" w:sz="4" w:space="0"/>
              <w:right w:val="single" w:color="auto" w:sz="4" w:space="0"/>
            </w:tcBorders>
            <w:vAlign w:val="center"/>
          </w:tcPr>
          <w:p w14:paraId="273B49F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3218" w:type="dxa"/>
            <w:tcBorders>
              <w:top w:val="single" w:color="auto" w:sz="4" w:space="0"/>
              <w:left w:val="single" w:color="auto" w:sz="4" w:space="0"/>
              <w:bottom w:val="single" w:color="auto" w:sz="4" w:space="0"/>
              <w:right w:val="single" w:color="auto" w:sz="4" w:space="0"/>
            </w:tcBorders>
            <w:vAlign w:val="center"/>
          </w:tcPr>
          <w:p w14:paraId="715DCEE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身份证号码</w:t>
            </w:r>
          </w:p>
        </w:tc>
        <w:tc>
          <w:tcPr>
            <w:tcW w:w="1095" w:type="dxa"/>
            <w:tcBorders>
              <w:top w:val="single" w:color="auto" w:sz="4" w:space="0"/>
              <w:left w:val="single" w:color="auto" w:sz="4" w:space="0"/>
              <w:bottom w:val="single" w:color="auto" w:sz="4" w:space="0"/>
              <w:right w:val="single" w:color="auto" w:sz="4" w:space="0"/>
            </w:tcBorders>
            <w:vAlign w:val="center"/>
          </w:tcPr>
          <w:p w14:paraId="5B1A93F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r>
      <w:tr w14:paraId="6676B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6D99FB4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787" w:type="dxa"/>
            <w:tcBorders>
              <w:top w:val="single" w:color="auto" w:sz="4" w:space="0"/>
              <w:left w:val="single" w:color="auto" w:sz="4" w:space="0"/>
              <w:bottom w:val="single" w:color="auto" w:sz="4" w:space="0"/>
              <w:right w:val="single" w:color="auto" w:sz="4" w:space="0"/>
            </w:tcBorders>
            <w:vAlign w:val="center"/>
          </w:tcPr>
          <w:p w14:paraId="2D3C16B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1925" w:type="dxa"/>
            <w:tcBorders>
              <w:top w:val="single" w:color="auto" w:sz="4" w:space="0"/>
              <w:left w:val="single" w:color="auto" w:sz="4" w:space="0"/>
              <w:bottom w:val="single" w:color="auto" w:sz="4" w:space="0"/>
              <w:right w:val="single" w:color="auto" w:sz="4" w:space="0"/>
            </w:tcBorders>
            <w:vAlign w:val="center"/>
          </w:tcPr>
          <w:p w14:paraId="0FD5CC17">
            <w:pPr>
              <w:spacing w:line="400" w:lineRule="exact"/>
              <w:jc w:val="center"/>
              <w:rPr>
                <w:rFonts w:ascii="宋体" w:hAnsi="宋体" w:cs="宋体"/>
                <w:color w:val="auto"/>
                <w:szCs w:val="21"/>
                <w:highlight w:val="none"/>
              </w:rPr>
            </w:pPr>
          </w:p>
        </w:tc>
        <w:tc>
          <w:tcPr>
            <w:tcW w:w="3218" w:type="dxa"/>
            <w:tcBorders>
              <w:top w:val="single" w:color="auto" w:sz="4" w:space="0"/>
              <w:left w:val="single" w:color="auto" w:sz="4" w:space="0"/>
              <w:bottom w:val="single" w:color="auto" w:sz="4" w:space="0"/>
              <w:right w:val="single" w:color="auto" w:sz="4" w:space="0"/>
            </w:tcBorders>
            <w:vAlign w:val="center"/>
          </w:tcPr>
          <w:p w14:paraId="463273C2">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6D6CAA14">
            <w:pPr>
              <w:spacing w:line="400" w:lineRule="exact"/>
              <w:jc w:val="center"/>
              <w:rPr>
                <w:rFonts w:ascii="宋体" w:hAnsi="宋体" w:cs="宋体"/>
                <w:color w:val="auto"/>
                <w:szCs w:val="21"/>
                <w:highlight w:val="none"/>
              </w:rPr>
            </w:pPr>
          </w:p>
        </w:tc>
      </w:tr>
      <w:tr w14:paraId="4A424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0D73F48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787" w:type="dxa"/>
            <w:tcBorders>
              <w:top w:val="single" w:color="auto" w:sz="4" w:space="0"/>
              <w:left w:val="single" w:color="auto" w:sz="4" w:space="0"/>
              <w:bottom w:val="single" w:color="auto" w:sz="4" w:space="0"/>
              <w:right w:val="single" w:color="auto" w:sz="4" w:space="0"/>
            </w:tcBorders>
            <w:vAlign w:val="center"/>
          </w:tcPr>
          <w:p w14:paraId="524EDC3E">
            <w:pPr>
              <w:spacing w:line="400" w:lineRule="exact"/>
              <w:jc w:val="center"/>
              <w:rPr>
                <w:rFonts w:ascii="宋体" w:hAnsi="宋体" w:cs="宋体"/>
                <w:color w:val="auto"/>
                <w:szCs w:val="21"/>
                <w:highlight w:val="none"/>
              </w:rPr>
            </w:pPr>
          </w:p>
        </w:tc>
        <w:tc>
          <w:tcPr>
            <w:tcW w:w="1925" w:type="dxa"/>
            <w:tcBorders>
              <w:top w:val="single" w:color="auto" w:sz="4" w:space="0"/>
              <w:left w:val="single" w:color="auto" w:sz="4" w:space="0"/>
              <w:bottom w:val="single" w:color="auto" w:sz="4" w:space="0"/>
              <w:right w:val="single" w:color="auto" w:sz="4" w:space="0"/>
            </w:tcBorders>
            <w:vAlign w:val="center"/>
          </w:tcPr>
          <w:p w14:paraId="40C812B4">
            <w:pPr>
              <w:spacing w:line="400" w:lineRule="exact"/>
              <w:jc w:val="center"/>
              <w:rPr>
                <w:rFonts w:ascii="宋体" w:hAnsi="宋体" w:cs="宋体"/>
                <w:color w:val="auto"/>
                <w:szCs w:val="21"/>
                <w:highlight w:val="none"/>
              </w:rPr>
            </w:pPr>
          </w:p>
        </w:tc>
        <w:tc>
          <w:tcPr>
            <w:tcW w:w="3218" w:type="dxa"/>
            <w:tcBorders>
              <w:top w:val="single" w:color="auto" w:sz="4" w:space="0"/>
              <w:left w:val="single" w:color="auto" w:sz="4" w:space="0"/>
              <w:bottom w:val="single" w:color="auto" w:sz="4" w:space="0"/>
              <w:right w:val="single" w:color="auto" w:sz="4" w:space="0"/>
            </w:tcBorders>
            <w:vAlign w:val="center"/>
          </w:tcPr>
          <w:p w14:paraId="1C9F1010">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0271C267">
            <w:pPr>
              <w:spacing w:line="400" w:lineRule="exact"/>
              <w:jc w:val="center"/>
              <w:rPr>
                <w:rFonts w:ascii="宋体" w:hAnsi="宋体" w:cs="宋体"/>
                <w:color w:val="auto"/>
                <w:szCs w:val="21"/>
                <w:highlight w:val="none"/>
              </w:rPr>
            </w:pPr>
          </w:p>
        </w:tc>
      </w:tr>
      <w:tr w14:paraId="1966D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3AD57AE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787" w:type="dxa"/>
            <w:tcBorders>
              <w:top w:val="single" w:color="auto" w:sz="4" w:space="0"/>
              <w:left w:val="single" w:color="auto" w:sz="4" w:space="0"/>
              <w:bottom w:val="single" w:color="auto" w:sz="4" w:space="0"/>
              <w:right w:val="single" w:color="auto" w:sz="4" w:space="0"/>
            </w:tcBorders>
            <w:vAlign w:val="center"/>
          </w:tcPr>
          <w:p w14:paraId="778319FE">
            <w:pPr>
              <w:spacing w:line="400" w:lineRule="exact"/>
              <w:jc w:val="center"/>
              <w:rPr>
                <w:rFonts w:ascii="宋体" w:hAnsi="宋体" w:cs="宋体"/>
                <w:color w:val="auto"/>
                <w:szCs w:val="21"/>
                <w:highlight w:val="none"/>
              </w:rPr>
            </w:pPr>
          </w:p>
        </w:tc>
        <w:tc>
          <w:tcPr>
            <w:tcW w:w="1925" w:type="dxa"/>
            <w:tcBorders>
              <w:top w:val="single" w:color="auto" w:sz="4" w:space="0"/>
              <w:left w:val="single" w:color="auto" w:sz="4" w:space="0"/>
              <w:bottom w:val="single" w:color="auto" w:sz="4" w:space="0"/>
              <w:right w:val="single" w:color="auto" w:sz="4" w:space="0"/>
            </w:tcBorders>
            <w:vAlign w:val="center"/>
          </w:tcPr>
          <w:p w14:paraId="1E104363">
            <w:pPr>
              <w:spacing w:line="400" w:lineRule="exact"/>
              <w:jc w:val="center"/>
              <w:rPr>
                <w:rFonts w:ascii="宋体" w:hAnsi="宋体" w:cs="宋体"/>
                <w:color w:val="auto"/>
                <w:szCs w:val="21"/>
                <w:highlight w:val="none"/>
              </w:rPr>
            </w:pPr>
          </w:p>
        </w:tc>
        <w:tc>
          <w:tcPr>
            <w:tcW w:w="3218" w:type="dxa"/>
            <w:tcBorders>
              <w:top w:val="single" w:color="auto" w:sz="4" w:space="0"/>
              <w:left w:val="single" w:color="auto" w:sz="4" w:space="0"/>
              <w:bottom w:val="single" w:color="auto" w:sz="4" w:space="0"/>
              <w:right w:val="single" w:color="auto" w:sz="4" w:space="0"/>
            </w:tcBorders>
            <w:vAlign w:val="center"/>
          </w:tcPr>
          <w:p w14:paraId="765209D1">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574017C8">
            <w:pPr>
              <w:spacing w:line="400" w:lineRule="exact"/>
              <w:jc w:val="center"/>
              <w:rPr>
                <w:rFonts w:ascii="宋体" w:hAnsi="宋体" w:cs="宋体"/>
                <w:color w:val="auto"/>
                <w:szCs w:val="21"/>
                <w:highlight w:val="none"/>
              </w:rPr>
            </w:pPr>
          </w:p>
        </w:tc>
      </w:tr>
      <w:tr w14:paraId="55B9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14:paraId="075709F7">
            <w:pPr>
              <w:spacing w:line="400" w:lineRule="exact"/>
              <w:jc w:val="center"/>
              <w:rPr>
                <w:rFonts w:ascii="宋体" w:hAnsi="宋体" w:cs="宋体"/>
                <w:color w:val="auto"/>
                <w:szCs w:val="21"/>
                <w:highlight w:val="none"/>
              </w:rPr>
            </w:pPr>
          </w:p>
        </w:tc>
        <w:tc>
          <w:tcPr>
            <w:tcW w:w="1787" w:type="dxa"/>
            <w:tcBorders>
              <w:top w:val="single" w:color="auto" w:sz="4" w:space="0"/>
              <w:left w:val="single" w:color="auto" w:sz="4" w:space="0"/>
              <w:bottom w:val="single" w:color="auto" w:sz="4" w:space="0"/>
              <w:right w:val="single" w:color="auto" w:sz="4" w:space="0"/>
            </w:tcBorders>
            <w:vAlign w:val="center"/>
          </w:tcPr>
          <w:p w14:paraId="25C5892E">
            <w:pPr>
              <w:spacing w:line="400" w:lineRule="exact"/>
              <w:jc w:val="center"/>
              <w:rPr>
                <w:rFonts w:ascii="宋体" w:hAnsi="宋体" w:cs="宋体"/>
                <w:color w:val="auto"/>
                <w:szCs w:val="21"/>
                <w:highlight w:val="none"/>
              </w:rPr>
            </w:pPr>
          </w:p>
        </w:tc>
        <w:tc>
          <w:tcPr>
            <w:tcW w:w="1925" w:type="dxa"/>
            <w:tcBorders>
              <w:top w:val="single" w:color="auto" w:sz="4" w:space="0"/>
              <w:left w:val="single" w:color="auto" w:sz="4" w:space="0"/>
              <w:bottom w:val="single" w:color="auto" w:sz="4" w:space="0"/>
              <w:right w:val="single" w:color="auto" w:sz="4" w:space="0"/>
            </w:tcBorders>
            <w:vAlign w:val="center"/>
          </w:tcPr>
          <w:p w14:paraId="57DCAF66">
            <w:pPr>
              <w:spacing w:line="400" w:lineRule="exact"/>
              <w:jc w:val="center"/>
              <w:rPr>
                <w:rFonts w:ascii="宋体" w:hAnsi="宋体" w:cs="宋体"/>
                <w:color w:val="auto"/>
                <w:szCs w:val="21"/>
                <w:highlight w:val="none"/>
              </w:rPr>
            </w:pPr>
          </w:p>
        </w:tc>
        <w:tc>
          <w:tcPr>
            <w:tcW w:w="3218" w:type="dxa"/>
            <w:tcBorders>
              <w:top w:val="single" w:color="auto" w:sz="4" w:space="0"/>
              <w:left w:val="single" w:color="auto" w:sz="4" w:space="0"/>
              <w:bottom w:val="single" w:color="auto" w:sz="4" w:space="0"/>
              <w:right w:val="single" w:color="auto" w:sz="4" w:space="0"/>
            </w:tcBorders>
            <w:vAlign w:val="center"/>
          </w:tcPr>
          <w:p w14:paraId="58FB21C5">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241BCB0C">
            <w:pPr>
              <w:spacing w:line="400" w:lineRule="exact"/>
              <w:jc w:val="center"/>
              <w:rPr>
                <w:rFonts w:ascii="宋体" w:hAnsi="宋体" w:cs="宋体"/>
                <w:color w:val="auto"/>
                <w:szCs w:val="21"/>
                <w:highlight w:val="none"/>
              </w:rPr>
            </w:pPr>
          </w:p>
        </w:tc>
      </w:tr>
    </w:tbl>
    <w:p w14:paraId="11769CCA">
      <w:pPr>
        <w:spacing w:before="149"/>
        <w:ind w:right="32"/>
        <w:jc w:val="center"/>
        <w:rPr>
          <w:rFonts w:hint="eastAsia" w:ascii="宋体" w:hAnsi="宋体" w:cs="宋体"/>
          <w:color w:val="auto"/>
          <w:szCs w:val="21"/>
          <w:highlight w:val="none"/>
        </w:rPr>
      </w:pPr>
      <w:r>
        <w:rPr>
          <w:rFonts w:hint="eastAsia" w:ascii="宋体" w:hAnsi="宋体" w:cs="宋体"/>
          <w:color w:val="auto"/>
          <w:szCs w:val="21"/>
          <w:highlight w:val="none"/>
        </w:rPr>
        <w:t xml:space="preserve"> </w:t>
      </w:r>
      <w:bookmarkEnd w:id="892"/>
      <w:bookmarkStart w:id="895" w:name="_Toc8299"/>
    </w:p>
    <w:p w14:paraId="0F10AA16">
      <w:pPr>
        <w:tabs>
          <w:tab w:val="left" w:pos="5034"/>
        </w:tabs>
        <w:bidi w:val="0"/>
        <w:jc w:val="left"/>
        <w:rPr>
          <w:rFonts w:hint="eastAsia"/>
          <w:color w:val="auto"/>
          <w:highlight w:val="none"/>
          <w:lang w:val="en-US" w:eastAsia="zh-CN"/>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pPr>
    </w:p>
    <w:bookmarkEnd w:id="895"/>
    <w:p w14:paraId="6F998080">
      <w:pPr>
        <w:jc w:val="center"/>
        <w:rPr>
          <w:rFonts w:hint="eastAsia" w:ascii="宋体" w:hAnsi="宋体" w:cs="宋体"/>
          <w:b/>
          <w:bCs/>
          <w:color w:val="auto"/>
          <w:kern w:val="0"/>
          <w:sz w:val="28"/>
          <w:szCs w:val="20"/>
          <w:highlight w:val="none"/>
          <w:lang w:eastAsia="zh-CN"/>
        </w:rPr>
      </w:pPr>
      <w:bookmarkStart w:id="896" w:name="_Toc30447"/>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6490FF2F">
      <w:pPr>
        <w:jc w:val="center"/>
        <w:rPr>
          <w:rFonts w:hint="eastAsia" w:ascii="宋体" w:hAnsi="宋体" w:cs="宋体"/>
          <w:b/>
          <w:bCs/>
          <w:color w:val="auto"/>
          <w:kern w:val="0"/>
          <w:sz w:val="28"/>
          <w:szCs w:val="20"/>
          <w:highlight w:val="none"/>
          <w:lang w:eastAsia="zh-CN"/>
        </w:rPr>
      </w:pPr>
    </w:p>
    <w:tbl>
      <w:tblPr>
        <w:tblStyle w:val="44"/>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687422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7125205D">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4D1088A8">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116080BB">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0D3FAB47">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4B4D0928">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598522BF">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1D192C9D">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12237EB3">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6C751849">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2DCD63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54BDD6E">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6C6DED99">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904597B">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FE2E3F8">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2614A5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E6DEB00">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72F324AB">
            <w:pPr>
              <w:jc w:val="center"/>
              <w:rPr>
                <w:rFonts w:hint="eastAsia" w:ascii="宋体" w:hAnsi="宋体"/>
                <w:color w:val="auto"/>
                <w:szCs w:val="21"/>
                <w:highlight w:val="none"/>
              </w:rPr>
            </w:pPr>
          </w:p>
        </w:tc>
      </w:tr>
      <w:tr w14:paraId="2B4C2D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A533A60">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02E1CE5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CC6B4CF">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AC4E3BE">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352D4A9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46D5059">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CE07076">
            <w:pPr>
              <w:jc w:val="center"/>
              <w:rPr>
                <w:rFonts w:hint="eastAsia" w:ascii="宋体" w:hAnsi="宋体"/>
                <w:color w:val="auto"/>
                <w:szCs w:val="21"/>
                <w:highlight w:val="none"/>
              </w:rPr>
            </w:pPr>
          </w:p>
        </w:tc>
      </w:tr>
      <w:tr w14:paraId="0CC7B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297C153">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05E061B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04068B5">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8CB34AB">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49AD14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3BCF2E0">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A2B9D38">
            <w:pPr>
              <w:jc w:val="center"/>
              <w:rPr>
                <w:rFonts w:hint="eastAsia" w:ascii="宋体" w:hAnsi="宋体"/>
                <w:color w:val="auto"/>
                <w:szCs w:val="21"/>
                <w:highlight w:val="none"/>
              </w:rPr>
            </w:pPr>
          </w:p>
        </w:tc>
      </w:tr>
      <w:tr w14:paraId="1E4572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42D7E578">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0C55EA7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264B2F5">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73BFF36">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FEFC3A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BA9C79B">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8A0C7E4">
            <w:pPr>
              <w:jc w:val="center"/>
              <w:rPr>
                <w:rFonts w:hint="eastAsia" w:ascii="宋体" w:hAnsi="宋体"/>
                <w:color w:val="auto"/>
                <w:szCs w:val="21"/>
                <w:highlight w:val="none"/>
              </w:rPr>
            </w:pPr>
          </w:p>
        </w:tc>
      </w:tr>
      <w:tr w14:paraId="54FBDE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0A327E71">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3362731D">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8EF0A02">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7CE6F105">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630CE1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1B4CB85">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57279E7">
            <w:pPr>
              <w:jc w:val="center"/>
              <w:rPr>
                <w:rFonts w:hint="eastAsia" w:ascii="宋体" w:hAnsi="宋体"/>
                <w:color w:val="auto"/>
                <w:szCs w:val="21"/>
                <w:highlight w:val="none"/>
              </w:rPr>
            </w:pPr>
          </w:p>
        </w:tc>
      </w:tr>
    </w:tbl>
    <w:p w14:paraId="44AC2F37">
      <w:pPr>
        <w:adjustRightInd w:val="0"/>
        <w:snapToGrid w:val="0"/>
        <w:spacing w:line="460" w:lineRule="exact"/>
        <w:ind w:firstLine="422"/>
        <w:rPr>
          <w:rFonts w:hint="eastAsia" w:ascii="宋体" w:hAnsi="宋体"/>
          <w:b/>
          <w:color w:val="auto"/>
          <w:szCs w:val="21"/>
          <w:highlight w:val="none"/>
        </w:rPr>
      </w:pPr>
    </w:p>
    <w:p w14:paraId="1BFF11CC">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030CCFFE">
      <w:pPr>
        <w:adjustRightInd w:val="0"/>
        <w:snapToGrid w:val="0"/>
        <w:spacing w:line="460" w:lineRule="exact"/>
        <w:ind w:firstLine="422"/>
        <w:rPr>
          <w:rFonts w:hint="eastAsia" w:ascii="宋体" w:hAnsi="宋体"/>
          <w:b/>
          <w:color w:val="auto"/>
          <w:szCs w:val="21"/>
          <w:highlight w:val="none"/>
        </w:rPr>
      </w:pPr>
    </w:p>
    <w:p w14:paraId="21FFBA89">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69430ABF">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03721DD1">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6C119456">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lang w:eastAsia="zh-CN"/>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r>
        <w:rPr>
          <w:rFonts w:hint="eastAsia" w:ascii="宋体" w:hAnsi="宋体"/>
          <w:color w:val="auto"/>
          <w:szCs w:val="21"/>
          <w:highlight w:val="none"/>
          <w:lang w:eastAsia="zh-CN"/>
        </w:rPr>
        <w:t>。</w:t>
      </w:r>
    </w:p>
    <w:p w14:paraId="5F647EEE">
      <w:pPr>
        <w:keepNext w:val="0"/>
        <w:keepLines w:val="0"/>
        <w:pageBreakBefore w:val="0"/>
        <w:widowControl w:val="0"/>
        <w:numPr>
          <w:ilvl w:val="0"/>
          <w:numId w:val="0"/>
        </w:numPr>
        <w:kinsoku/>
        <w:wordWrap/>
        <w:overflowPunct/>
        <w:topLinePunct w:val="0"/>
        <w:autoSpaceDE/>
        <w:autoSpaceDN/>
        <w:bidi w:val="0"/>
        <w:spacing w:line="600" w:lineRule="exact"/>
        <w:ind w:left="0" w:leftChars="0" w:firstLine="630" w:firstLineChars="300"/>
        <w:jc w:val="left"/>
        <w:textAlignment w:val="auto"/>
        <w:rPr>
          <w:rFonts w:hint="eastAsia"/>
          <w:color w:val="auto"/>
          <w:highlight w:val="none"/>
          <w:lang w:eastAsia="zh-CN"/>
        </w:rPr>
      </w:pPr>
      <w:r>
        <w:rPr>
          <w:rFonts w:hint="eastAsia" w:ascii="宋体" w:hAnsi="宋体" w:eastAsia="宋体" w:cs="Times New Roman"/>
          <w:color w:val="auto"/>
          <w:kern w:val="2"/>
          <w:sz w:val="21"/>
          <w:szCs w:val="21"/>
          <w:highlight w:val="none"/>
          <w:lang w:val="en-US" w:eastAsia="zh-CN" w:bidi="ar-SA"/>
        </w:rPr>
        <w:t>2、</w:t>
      </w:r>
      <w:r>
        <w:rPr>
          <w:rFonts w:hint="eastAsia" w:ascii="宋体" w:hAnsi="宋体" w:eastAsia="宋体" w:cs="Times New Roman"/>
          <w:color w:val="auto"/>
          <w:szCs w:val="21"/>
          <w:highlight w:val="none"/>
        </w:rPr>
        <w:t>无偏离请在偏离程度处填写</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无偏离</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，偏离程度符合第二章“报价人须知</w:t>
      </w:r>
      <w:r>
        <w:rPr>
          <w:rFonts w:hint="eastAsia" w:ascii="宋体" w:hAnsi="宋体" w:cs="Times New Roman"/>
          <w:color w:val="auto"/>
          <w:szCs w:val="21"/>
          <w:highlight w:val="none"/>
          <w:lang w:val="en-US" w:eastAsia="zh-CN"/>
        </w:rPr>
        <w:t>前附表</w:t>
      </w:r>
      <w:r>
        <w:rPr>
          <w:rFonts w:hint="eastAsia" w:ascii="宋体" w:hAnsi="宋体" w:eastAsia="宋体" w:cs="Times New Roman"/>
          <w:color w:val="auto"/>
          <w:szCs w:val="21"/>
          <w:highlight w:val="none"/>
        </w:rPr>
        <w:t>”第12项规定。</w:t>
      </w:r>
    </w:p>
    <w:p w14:paraId="09360F5A">
      <w:pPr>
        <w:keepNext w:val="0"/>
        <w:keepLines w:val="0"/>
        <w:pageBreakBefore w:val="0"/>
        <w:widowControl w:val="0"/>
        <w:numPr>
          <w:ilvl w:val="0"/>
          <w:numId w:val="0"/>
        </w:numPr>
        <w:kinsoku/>
        <w:wordWrap/>
        <w:overflowPunct/>
        <w:topLinePunct w:val="0"/>
        <w:autoSpaceDE/>
        <w:autoSpaceDN/>
        <w:bidi w:val="0"/>
        <w:spacing w:line="600" w:lineRule="exact"/>
        <w:ind w:left="0" w:leftChars="0" w:firstLine="630" w:firstLineChars="300"/>
        <w:jc w:val="left"/>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kern w:val="2"/>
          <w:sz w:val="21"/>
          <w:szCs w:val="21"/>
          <w:highlight w:val="none"/>
          <w:lang w:val="en-US" w:eastAsia="zh-CN" w:bidi="ar-SA"/>
        </w:rPr>
        <w:t>3、</w:t>
      </w:r>
      <w:r>
        <w:rPr>
          <w:rFonts w:hint="eastAsia" w:ascii="宋体" w:hAnsi="宋体" w:eastAsia="宋体" w:cs="Times New Roman"/>
          <w:color w:val="auto"/>
          <w:szCs w:val="21"/>
          <w:highlight w:val="none"/>
        </w:rPr>
        <w:t>报价人承诺“所有商务部分负偏离项均已填写在本表，除此之外的商务条款均无偏离。”</w:t>
      </w:r>
      <w:r>
        <w:rPr>
          <w:rFonts w:hint="eastAsia" w:ascii="宋体" w:hAnsi="宋体" w:eastAsia="宋体" w:cs="Times New Roman"/>
          <w:b/>
          <w:bCs/>
          <w:color w:val="auto"/>
          <w:szCs w:val="21"/>
          <w:highlight w:val="none"/>
        </w:rPr>
        <w:t>视作对无偏离商务条款的响应。</w:t>
      </w:r>
    </w:p>
    <w:p w14:paraId="528F6C8E">
      <w:pPr>
        <w:keepNext w:val="0"/>
        <w:keepLines w:val="0"/>
        <w:pageBreakBefore w:val="0"/>
        <w:widowControl w:val="0"/>
        <w:kinsoku/>
        <w:wordWrap/>
        <w:overflowPunct/>
        <w:topLinePunct w:val="0"/>
        <w:autoSpaceDE/>
        <w:autoSpaceDN/>
        <w:bidi w:val="0"/>
        <w:spacing w:line="600" w:lineRule="exact"/>
        <w:ind w:firstLine="632" w:firstLineChars="300"/>
        <w:jc w:val="left"/>
        <w:textAlignment w:val="auto"/>
        <w:rPr>
          <w:rFonts w:cs="宋体"/>
          <w:b/>
          <w:bCs/>
          <w:color w:val="auto"/>
          <w:highlight w:val="none"/>
        </w:rPr>
      </w:pPr>
    </w:p>
    <w:p w14:paraId="7A5A2320">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4B6C6A5D">
      <w:pPr>
        <w:spacing w:after="0" w:afterLines="-2147483648" w:line="240" w:lineRule="auto"/>
        <w:ind w:firstLine="0"/>
        <w:jc w:val="left"/>
        <w:outlineLvl w:val="9"/>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191AE55D">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3D40A981">
      <w:pPr>
        <w:spacing w:line="360" w:lineRule="auto"/>
        <w:jc w:val="left"/>
        <w:rPr>
          <w:rFonts w:ascii="宋体" w:hAnsi="宋体" w:eastAsia="宋体" w:cs="Times New Roman"/>
          <w:color w:val="auto"/>
          <w:szCs w:val="21"/>
          <w:highlight w:val="none"/>
        </w:rPr>
      </w:pPr>
    </w:p>
    <w:tbl>
      <w:tblPr>
        <w:tblStyle w:val="44"/>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1538"/>
        <w:gridCol w:w="2075"/>
        <w:gridCol w:w="1777"/>
        <w:gridCol w:w="1134"/>
        <w:gridCol w:w="1134"/>
      </w:tblGrid>
      <w:tr w14:paraId="3E566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24C3BA23">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38" w:type="dxa"/>
            <w:vAlign w:val="center"/>
          </w:tcPr>
          <w:p w14:paraId="6122E756">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75" w:type="dxa"/>
            <w:vAlign w:val="center"/>
          </w:tcPr>
          <w:p w14:paraId="1750957E">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文件要求技术参数、性能指标</w:t>
            </w:r>
          </w:p>
        </w:tc>
        <w:tc>
          <w:tcPr>
            <w:tcW w:w="1777" w:type="dxa"/>
            <w:vAlign w:val="center"/>
          </w:tcPr>
          <w:p w14:paraId="080FA4B4">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人提供技术参数、性能指标</w:t>
            </w:r>
          </w:p>
        </w:tc>
        <w:tc>
          <w:tcPr>
            <w:tcW w:w="1134" w:type="dxa"/>
            <w:vAlign w:val="center"/>
          </w:tcPr>
          <w:p w14:paraId="70825B82">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4D0663C0">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3EB9DADB">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37BD9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21DC6D12">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38" w:type="dxa"/>
            <w:vAlign w:val="center"/>
          </w:tcPr>
          <w:p w14:paraId="22526046">
            <w:pPr>
              <w:spacing w:before="312" w:beforeLines="100" w:line="360" w:lineRule="auto"/>
              <w:jc w:val="center"/>
              <w:rPr>
                <w:rFonts w:ascii="宋体" w:hAnsi="宋体" w:eastAsia="宋体" w:cs="Times New Roman"/>
                <w:color w:val="auto"/>
                <w:szCs w:val="21"/>
                <w:highlight w:val="none"/>
              </w:rPr>
            </w:pPr>
          </w:p>
        </w:tc>
        <w:tc>
          <w:tcPr>
            <w:tcW w:w="2075" w:type="dxa"/>
            <w:vAlign w:val="center"/>
          </w:tcPr>
          <w:p w14:paraId="42C14B99">
            <w:pPr>
              <w:spacing w:before="312" w:beforeLines="100" w:line="360" w:lineRule="auto"/>
              <w:jc w:val="center"/>
              <w:rPr>
                <w:rFonts w:ascii="宋体" w:hAnsi="宋体" w:eastAsia="宋体" w:cs="Times New Roman"/>
                <w:color w:val="auto"/>
                <w:szCs w:val="21"/>
                <w:highlight w:val="none"/>
              </w:rPr>
            </w:pPr>
          </w:p>
        </w:tc>
        <w:tc>
          <w:tcPr>
            <w:tcW w:w="1777" w:type="dxa"/>
            <w:vAlign w:val="center"/>
          </w:tcPr>
          <w:p w14:paraId="47427E7D">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9053198">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590F9A75">
            <w:pPr>
              <w:spacing w:before="312" w:beforeLines="100" w:line="360" w:lineRule="auto"/>
              <w:jc w:val="center"/>
              <w:rPr>
                <w:rFonts w:ascii="宋体" w:hAnsi="宋体" w:eastAsia="宋体" w:cs="Times New Roman"/>
                <w:color w:val="auto"/>
                <w:szCs w:val="21"/>
                <w:highlight w:val="none"/>
              </w:rPr>
            </w:pPr>
          </w:p>
        </w:tc>
      </w:tr>
      <w:tr w14:paraId="4FAAE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0AB9697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38" w:type="dxa"/>
            <w:vAlign w:val="center"/>
          </w:tcPr>
          <w:p w14:paraId="00816118">
            <w:pPr>
              <w:spacing w:before="312" w:beforeLines="100" w:line="360" w:lineRule="auto"/>
              <w:jc w:val="center"/>
              <w:rPr>
                <w:rFonts w:ascii="宋体" w:hAnsi="宋体" w:eastAsia="宋体" w:cs="Times New Roman"/>
                <w:color w:val="auto"/>
                <w:szCs w:val="21"/>
                <w:highlight w:val="none"/>
              </w:rPr>
            </w:pPr>
          </w:p>
        </w:tc>
        <w:tc>
          <w:tcPr>
            <w:tcW w:w="2075" w:type="dxa"/>
            <w:vAlign w:val="center"/>
          </w:tcPr>
          <w:p w14:paraId="41ADC929">
            <w:pPr>
              <w:spacing w:before="312" w:beforeLines="100" w:line="360" w:lineRule="auto"/>
              <w:jc w:val="center"/>
              <w:rPr>
                <w:rFonts w:ascii="宋体" w:hAnsi="宋体" w:eastAsia="宋体" w:cs="Times New Roman"/>
                <w:color w:val="auto"/>
                <w:szCs w:val="21"/>
                <w:highlight w:val="none"/>
              </w:rPr>
            </w:pPr>
          </w:p>
        </w:tc>
        <w:tc>
          <w:tcPr>
            <w:tcW w:w="1777" w:type="dxa"/>
            <w:vAlign w:val="center"/>
          </w:tcPr>
          <w:p w14:paraId="59E12222">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5B502626">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0F5BD5B">
            <w:pPr>
              <w:spacing w:before="312" w:beforeLines="100" w:line="360" w:lineRule="auto"/>
              <w:jc w:val="center"/>
              <w:rPr>
                <w:rFonts w:ascii="宋体" w:hAnsi="宋体" w:eastAsia="宋体" w:cs="Times New Roman"/>
                <w:color w:val="auto"/>
                <w:szCs w:val="21"/>
                <w:highlight w:val="none"/>
              </w:rPr>
            </w:pPr>
          </w:p>
        </w:tc>
      </w:tr>
      <w:tr w14:paraId="69D4B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09F86814">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38" w:type="dxa"/>
            <w:vAlign w:val="center"/>
          </w:tcPr>
          <w:p w14:paraId="653D9B9A">
            <w:pPr>
              <w:spacing w:before="312" w:beforeLines="100" w:line="360" w:lineRule="auto"/>
              <w:jc w:val="center"/>
              <w:rPr>
                <w:rFonts w:ascii="宋体" w:hAnsi="宋体" w:eastAsia="宋体" w:cs="Times New Roman"/>
                <w:color w:val="auto"/>
                <w:szCs w:val="21"/>
                <w:highlight w:val="none"/>
              </w:rPr>
            </w:pPr>
          </w:p>
        </w:tc>
        <w:tc>
          <w:tcPr>
            <w:tcW w:w="2075" w:type="dxa"/>
            <w:vAlign w:val="center"/>
          </w:tcPr>
          <w:p w14:paraId="6881CD98">
            <w:pPr>
              <w:spacing w:before="312" w:beforeLines="100" w:line="360" w:lineRule="auto"/>
              <w:jc w:val="center"/>
              <w:rPr>
                <w:rFonts w:ascii="宋体" w:hAnsi="宋体" w:eastAsia="宋体" w:cs="Times New Roman"/>
                <w:color w:val="auto"/>
                <w:szCs w:val="21"/>
                <w:highlight w:val="none"/>
              </w:rPr>
            </w:pPr>
          </w:p>
        </w:tc>
        <w:tc>
          <w:tcPr>
            <w:tcW w:w="1777" w:type="dxa"/>
            <w:vAlign w:val="center"/>
          </w:tcPr>
          <w:p w14:paraId="7A4C4F03">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99862B5">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C59AFDF">
            <w:pPr>
              <w:spacing w:before="312" w:beforeLines="100" w:line="360" w:lineRule="auto"/>
              <w:jc w:val="center"/>
              <w:rPr>
                <w:rFonts w:ascii="宋体" w:hAnsi="宋体" w:eastAsia="宋体" w:cs="Times New Roman"/>
                <w:color w:val="auto"/>
                <w:szCs w:val="21"/>
                <w:highlight w:val="none"/>
              </w:rPr>
            </w:pPr>
          </w:p>
        </w:tc>
      </w:tr>
      <w:tr w14:paraId="528A1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110" w:type="dxa"/>
            <w:vAlign w:val="center"/>
          </w:tcPr>
          <w:p w14:paraId="528D1D5B">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38" w:type="dxa"/>
            <w:vAlign w:val="center"/>
          </w:tcPr>
          <w:p w14:paraId="1DCB5B5D">
            <w:pPr>
              <w:spacing w:before="312" w:beforeLines="100" w:line="360" w:lineRule="auto"/>
              <w:jc w:val="center"/>
              <w:rPr>
                <w:rFonts w:ascii="宋体" w:hAnsi="宋体" w:eastAsia="宋体" w:cs="Times New Roman"/>
                <w:color w:val="auto"/>
                <w:szCs w:val="21"/>
                <w:highlight w:val="none"/>
              </w:rPr>
            </w:pPr>
          </w:p>
        </w:tc>
        <w:tc>
          <w:tcPr>
            <w:tcW w:w="2075" w:type="dxa"/>
            <w:vAlign w:val="center"/>
          </w:tcPr>
          <w:p w14:paraId="5B28A7A2">
            <w:pPr>
              <w:spacing w:before="312" w:beforeLines="100" w:line="360" w:lineRule="auto"/>
              <w:jc w:val="center"/>
              <w:rPr>
                <w:rFonts w:ascii="宋体" w:hAnsi="宋体" w:eastAsia="宋体" w:cs="Times New Roman"/>
                <w:color w:val="auto"/>
                <w:szCs w:val="21"/>
                <w:highlight w:val="none"/>
              </w:rPr>
            </w:pPr>
          </w:p>
        </w:tc>
        <w:tc>
          <w:tcPr>
            <w:tcW w:w="1777" w:type="dxa"/>
            <w:vAlign w:val="center"/>
          </w:tcPr>
          <w:p w14:paraId="1004E61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8FBA00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604BD45C">
            <w:pPr>
              <w:spacing w:before="312" w:beforeLines="100" w:line="360" w:lineRule="auto"/>
              <w:jc w:val="center"/>
              <w:rPr>
                <w:rFonts w:ascii="宋体" w:hAnsi="宋体" w:eastAsia="宋体" w:cs="Times New Roman"/>
                <w:color w:val="auto"/>
                <w:szCs w:val="21"/>
                <w:highlight w:val="none"/>
              </w:rPr>
            </w:pPr>
          </w:p>
        </w:tc>
      </w:tr>
    </w:tbl>
    <w:p w14:paraId="08367E1E">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4AB0C7B8">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7F73CF57">
      <w:pPr>
        <w:adjustRightInd w:val="0"/>
        <w:snapToGrid w:val="0"/>
        <w:spacing w:line="460" w:lineRule="exact"/>
        <w:ind w:firstLine="422"/>
        <w:rPr>
          <w:rFonts w:ascii="宋体" w:hAnsi="宋体" w:eastAsia="宋体" w:cs="Times New Roman"/>
          <w:b/>
          <w:color w:val="auto"/>
          <w:szCs w:val="21"/>
          <w:highlight w:val="none"/>
        </w:rPr>
      </w:pPr>
    </w:p>
    <w:p w14:paraId="33924193">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授权代表（签名或盖章）：</w:t>
      </w:r>
    </w:p>
    <w:p w14:paraId="5A1869A4">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7C7D7B4C">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eastAsia="宋体" w:cs="Times New Roman"/>
          <w:b/>
          <w:bCs/>
          <w:color w:val="auto"/>
          <w:sz w:val="21"/>
          <w:szCs w:val="21"/>
          <w:highlight w:val="none"/>
        </w:rPr>
      </w:pPr>
    </w:p>
    <w:p w14:paraId="09A03205">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lang w:eastAsia="zh-CN"/>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color w:val="auto"/>
          <w:szCs w:val="21"/>
          <w:highlight w:val="none"/>
        </w:rPr>
        <w:t>1、如果本表不能填写完毕，可按此格式扩展</w:t>
      </w:r>
      <w:r>
        <w:rPr>
          <w:rFonts w:hint="eastAsia" w:ascii="宋体" w:hAnsi="宋体"/>
          <w:color w:val="auto"/>
          <w:szCs w:val="21"/>
          <w:highlight w:val="none"/>
          <w:lang w:eastAsia="zh-CN"/>
        </w:rPr>
        <w:t>。</w:t>
      </w:r>
    </w:p>
    <w:p w14:paraId="7AA6B453">
      <w:pPr>
        <w:keepNext w:val="0"/>
        <w:keepLines w:val="0"/>
        <w:pageBreakBefore w:val="0"/>
        <w:widowControl w:val="0"/>
        <w:numPr>
          <w:ilvl w:val="0"/>
          <w:numId w:val="0"/>
        </w:numPr>
        <w:kinsoku/>
        <w:wordWrap/>
        <w:overflowPunct/>
        <w:topLinePunct w:val="0"/>
        <w:autoSpaceDE/>
        <w:autoSpaceDN/>
        <w:bidi w:val="0"/>
        <w:spacing w:line="600" w:lineRule="exact"/>
        <w:ind w:left="0" w:leftChars="0" w:firstLine="630" w:firstLineChars="300"/>
        <w:jc w:val="left"/>
        <w:textAlignment w:val="auto"/>
        <w:rPr>
          <w:rFonts w:hint="eastAsia"/>
          <w:color w:val="auto"/>
          <w:highlight w:val="none"/>
          <w:lang w:eastAsia="zh-CN"/>
        </w:rPr>
      </w:pPr>
      <w:r>
        <w:rPr>
          <w:rFonts w:hint="eastAsia" w:ascii="宋体" w:hAnsi="宋体" w:eastAsia="宋体" w:cs="Times New Roman"/>
          <w:color w:val="auto"/>
          <w:kern w:val="2"/>
          <w:sz w:val="21"/>
          <w:szCs w:val="21"/>
          <w:highlight w:val="none"/>
          <w:lang w:val="en-US" w:eastAsia="zh-CN" w:bidi="ar-SA"/>
        </w:rPr>
        <w:t>2、</w:t>
      </w:r>
      <w:r>
        <w:rPr>
          <w:rFonts w:hint="eastAsia" w:ascii="宋体" w:hAnsi="宋体" w:eastAsia="宋体" w:cs="Times New Roman"/>
          <w:color w:val="auto"/>
          <w:szCs w:val="21"/>
          <w:highlight w:val="none"/>
        </w:rPr>
        <w:t>无偏离请在偏离程度处填写</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无偏离</w:t>
      </w:r>
      <w:r>
        <w:rPr>
          <w:rFonts w:hint="eastAsia" w:ascii="宋体" w:hAnsi="宋体" w:eastAsia="宋体" w:cs="Times New Roman"/>
          <w:color w:val="auto"/>
          <w:szCs w:val="21"/>
          <w:highlight w:val="none"/>
          <w:lang w:eastAsia="zh-CN"/>
        </w:rPr>
        <w:t>”</w:t>
      </w:r>
      <w:r>
        <w:rPr>
          <w:rFonts w:hint="eastAsia" w:ascii="宋体" w:hAnsi="宋体" w:eastAsia="宋体" w:cs="Times New Roman"/>
          <w:color w:val="auto"/>
          <w:szCs w:val="21"/>
          <w:highlight w:val="none"/>
        </w:rPr>
        <w:t>，偏离程度符合第二章“报价人须知</w:t>
      </w:r>
      <w:r>
        <w:rPr>
          <w:rFonts w:hint="eastAsia" w:ascii="宋体" w:hAnsi="宋体" w:cs="Times New Roman"/>
          <w:color w:val="auto"/>
          <w:szCs w:val="21"/>
          <w:highlight w:val="none"/>
          <w:lang w:val="en-US" w:eastAsia="zh-CN"/>
        </w:rPr>
        <w:t>前附表</w:t>
      </w:r>
      <w:r>
        <w:rPr>
          <w:rFonts w:hint="eastAsia" w:ascii="宋体" w:hAnsi="宋体" w:eastAsia="宋体" w:cs="Times New Roman"/>
          <w:color w:val="auto"/>
          <w:szCs w:val="21"/>
          <w:highlight w:val="none"/>
        </w:rPr>
        <w:t>”第12项规定。</w:t>
      </w:r>
    </w:p>
    <w:p w14:paraId="171F9726">
      <w:pPr>
        <w:keepNext w:val="0"/>
        <w:keepLines w:val="0"/>
        <w:pageBreakBefore w:val="0"/>
        <w:widowControl w:val="0"/>
        <w:numPr>
          <w:ilvl w:val="0"/>
          <w:numId w:val="0"/>
        </w:numPr>
        <w:kinsoku/>
        <w:wordWrap/>
        <w:overflowPunct/>
        <w:topLinePunct w:val="0"/>
        <w:autoSpaceDE/>
        <w:autoSpaceDN/>
        <w:bidi w:val="0"/>
        <w:spacing w:line="600" w:lineRule="exact"/>
        <w:ind w:left="0" w:leftChars="0" w:firstLine="630" w:firstLineChars="300"/>
        <w:jc w:val="left"/>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kern w:val="2"/>
          <w:sz w:val="21"/>
          <w:szCs w:val="21"/>
          <w:highlight w:val="none"/>
          <w:lang w:val="en-US" w:eastAsia="zh-CN" w:bidi="ar-SA"/>
        </w:rPr>
        <w:t>3、</w:t>
      </w:r>
      <w:r>
        <w:rPr>
          <w:rFonts w:hint="eastAsia" w:ascii="宋体" w:hAnsi="宋体" w:eastAsia="宋体" w:cs="Times New Roman"/>
          <w:color w:val="auto"/>
          <w:szCs w:val="21"/>
          <w:highlight w:val="none"/>
        </w:rPr>
        <w:t>报价人承诺“所有</w:t>
      </w:r>
      <w:r>
        <w:rPr>
          <w:rFonts w:hint="eastAsia" w:ascii="宋体" w:hAnsi="宋体" w:cs="Times New Roman"/>
          <w:color w:val="auto"/>
          <w:szCs w:val="21"/>
          <w:highlight w:val="none"/>
          <w:lang w:val="en-US" w:eastAsia="zh-CN"/>
        </w:rPr>
        <w:t>技术</w:t>
      </w:r>
      <w:r>
        <w:rPr>
          <w:rFonts w:hint="eastAsia" w:ascii="宋体" w:hAnsi="宋体" w:eastAsia="宋体" w:cs="Times New Roman"/>
          <w:color w:val="auto"/>
          <w:szCs w:val="21"/>
          <w:highlight w:val="none"/>
        </w:rPr>
        <w:t>部分负偏离项均已填写在本表，除此之外的商务条款均无偏离。”</w:t>
      </w:r>
      <w:r>
        <w:rPr>
          <w:rFonts w:hint="eastAsia" w:ascii="宋体" w:hAnsi="宋体" w:eastAsia="宋体" w:cs="Times New Roman"/>
          <w:b/>
          <w:bCs/>
          <w:color w:val="auto"/>
          <w:szCs w:val="21"/>
          <w:highlight w:val="none"/>
        </w:rPr>
        <w:t>视作对无偏离商务条款的响应。</w:t>
      </w:r>
    </w:p>
    <w:p w14:paraId="5CF70DED">
      <w:pPr>
        <w:pStyle w:val="2"/>
        <w:rPr>
          <w:rFonts w:hint="eastAsia" w:ascii="宋体" w:hAnsi="宋体" w:eastAsia="宋体" w:cs="Times New Roman"/>
          <w:color w:val="auto"/>
          <w:szCs w:val="21"/>
          <w:highlight w:val="none"/>
        </w:rPr>
      </w:pPr>
    </w:p>
    <w:p w14:paraId="57865B68">
      <w:pPr>
        <w:pStyle w:val="2"/>
        <w:rPr>
          <w:rFonts w:hint="eastAsia" w:ascii="宋体" w:hAnsi="宋体" w:eastAsia="宋体" w:cs="Times New Roman"/>
          <w:color w:val="auto"/>
          <w:szCs w:val="21"/>
          <w:highlight w:val="none"/>
        </w:rPr>
      </w:pPr>
    </w:p>
    <w:p w14:paraId="4A1C25D4">
      <w:pPr>
        <w:pStyle w:val="2"/>
        <w:rPr>
          <w:rFonts w:hint="eastAsia" w:ascii="宋体" w:hAnsi="宋体" w:eastAsia="宋体" w:cs="Times New Roman"/>
          <w:color w:val="auto"/>
          <w:szCs w:val="21"/>
          <w:highlight w:val="none"/>
        </w:rPr>
      </w:pPr>
    </w:p>
    <w:p w14:paraId="60964861">
      <w:pPr>
        <w:pStyle w:val="2"/>
        <w:rPr>
          <w:rFonts w:hint="eastAsia" w:ascii="宋体" w:hAnsi="宋体" w:eastAsia="宋体" w:cs="Times New Roman"/>
          <w:color w:val="auto"/>
          <w:szCs w:val="21"/>
          <w:highlight w:val="none"/>
        </w:rPr>
      </w:pPr>
    </w:p>
    <w:p w14:paraId="49AC3A02">
      <w:pPr>
        <w:pStyle w:val="2"/>
        <w:rPr>
          <w:rFonts w:hint="eastAsia" w:ascii="宋体" w:hAnsi="宋体" w:eastAsia="宋体" w:cs="Times New Roman"/>
          <w:color w:val="auto"/>
          <w:szCs w:val="21"/>
          <w:highlight w:val="none"/>
        </w:rPr>
      </w:pPr>
    </w:p>
    <w:p w14:paraId="640BA971">
      <w:pPr>
        <w:pStyle w:val="2"/>
        <w:rPr>
          <w:rFonts w:hint="eastAsia" w:ascii="宋体" w:hAnsi="宋体" w:eastAsia="宋体" w:cs="Times New Roman"/>
          <w:color w:val="auto"/>
          <w:szCs w:val="21"/>
          <w:highlight w:val="none"/>
        </w:rPr>
      </w:pPr>
    </w:p>
    <w:p w14:paraId="47AE5339">
      <w:pPr>
        <w:spacing w:line="800" w:lineRule="exact"/>
        <w:jc w:val="center"/>
        <w:outlineLvl w:val="3"/>
        <w:rPr>
          <w:rFonts w:ascii="宋体" w:hAnsi="宋体"/>
          <w:b/>
          <w:color w:val="auto"/>
          <w:kern w:val="0"/>
          <w:sz w:val="32"/>
          <w:szCs w:val="32"/>
          <w:highlight w:val="none"/>
        </w:rPr>
      </w:pPr>
      <w:r>
        <w:rPr>
          <w:rFonts w:hint="eastAsia" w:ascii="宋体" w:hAnsi="宋体" w:cs="宋体"/>
          <w:b/>
          <w:bCs/>
          <w:color w:val="auto"/>
          <w:kern w:val="0"/>
          <w:sz w:val="28"/>
          <w:szCs w:val="32"/>
          <w:highlight w:val="none"/>
        </w:rPr>
        <w:t>五、</w:t>
      </w:r>
      <w:r>
        <w:rPr>
          <w:rFonts w:hint="eastAsia" w:ascii="宋体" w:hAnsi="宋体" w:cs="宋体"/>
          <w:b/>
          <w:bCs/>
          <w:color w:val="auto"/>
          <w:kern w:val="0"/>
          <w:sz w:val="28"/>
          <w:szCs w:val="20"/>
          <w:highlight w:val="none"/>
        </w:rPr>
        <w:t>商务部分</w:t>
      </w:r>
    </w:p>
    <w:p w14:paraId="65AE5B2B">
      <w:pPr>
        <w:pStyle w:val="2"/>
        <w:spacing w:line="460" w:lineRule="exact"/>
        <w:ind w:firstLine="422" w:firstLineChars="200"/>
        <w:jc w:val="left"/>
        <w:rPr>
          <w:rFonts w:ascii="宋体" w:hAnsi="宋体" w:cs="宋体"/>
          <w:b/>
          <w:color w:val="auto"/>
          <w:sz w:val="21"/>
          <w:szCs w:val="21"/>
          <w:highlight w:val="none"/>
          <w:lang w:bidi="ar"/>
        </w:rPr>
      </w:pPr>
      <w:r>
        <w:rPr>
          <w:rFonts w:hint="eastAsia" w:ascii="宋体" w:hAnsi="宋体" w:cs="宋体"/>
          <w:b/>
          <w:color w:val="auto"/>
          <w:sz w:val="21"/>
          <w:szCs w:val="21"/>
          <w:highlight w:val="none"/>
          <w:lang w:bidi="ar"/>
        </w:rPr>
        <w:t>[提示：商务部分评分标准所涉及的内容及相关佐证资料由报价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2C33002E">
      <w:pPr>
        <w:rPr>
          <w:color w:val="auto"/>
          <w:highlight w:val="none"/>
        </w:rPr>
      </w:pPr>
    </w:p>
    <w:tbl>
      <w:tblPr>
        <w:tblStyle w:val="44"/>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610"/>
        <w:gridCol w:w="2390"/>
        <w:gridCol w:w="2490"/>
        <w:gridCol w:w="1682"/>
      </w:tblGrid>
      <w:tr w14:paraId="61A9B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78" w:type="dxa"/>
            <w:vAlign w:val="center"/>
          </w:tcPr>
          <w:p w14:paraId="39718BFC">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序号</w:t>
            </w:r>
          </w:p>
        </w:tc>
        <w:tc>
          <w:tcPr>
            <w:tcW w:w="1610" w:type="dxa"/>
            <w:vAlign w:val="center"/>
          </w:tcPr>
          <w:p w14:paraId="2F94D44C">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bCs/>
                <w:color w:val="auto"/>
                <w:sz w:val="18"/>
                <w:szCs w:val="18"/>
                <w:highlight w:val="none"/>
              </w:rPr>
              <w:t>对应评分标准</w:t>
            </w:r>
          </w:p>
        </w:tc>
        <w:tc>
          <w:tcPr>
            <w:tcW w:w="2390" w:type="dxa"/>
            <w:vAlign w:val="center"/>
          </w:tcPr>
          <w:p w14:paraId="594C391E">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证明材料</w:t>
            </w:r>
          </w:p>
        </w:tc>
        <w:tc>
          <w:tcPr>
            <w:tcW w:w="2490" w:type="dxa"/>
            <w:vAlign w:val="center"/>
          </w:tcPr>
          <w:p w14:paraId="41263D5A">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对应页码</w:t>
            </w:r>
          </w:p>
        </w:tc>
        <w:tc>
          <w:tcPr>
            <w:tcW w:w="1682" w:type="dxa"/>
            <w:vAlign w:val="center"/>
          </w:tcPr>
          <w:p w14:paraId="7D2D0E7C">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备注</w:t>
            </w:r>
          </w:p>
        </w:tc>
      </w:tr>
      <w:tr w14:paraId="437A9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78" w:type="dxa"/>
            <w:vAlign w:val="center"/>
          </w:tcPr>
          <w:p w14:paraId="0B532D3A">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例</w:t>
            </w:r>
          </w:p>
        </w:tc>
        <w:tc>
          <w:tcPr>
            <w:tcW w:w="1610" w:type="dxa"/>
            <w:vAlign w:val="center"/>
          </w:tcPr>
          <w:p w14:paraId="237B0E5B">
            <w:pPr>
              <w:spacing w:line="360" w:lineRule="auto"/>
              <w:jc w:val="center"/>
              <w:rPr>
                <w:rFonts w:ascii="宋体" w:hAnsi="宋体" w:cs="宋体"/>
                <w:b/>
                <w:color w:val="auto"/>
                <w:sz w:val="18"/>
                <w:szCs w:val="18"/>
                <w:highlight w:val="none"/>
              </w:rPr>
            </w:pPr>
          </w:p>
        </w:tc>
        <w:tc>
          <w:tcPr>
            <w:tcW w:w="2390" w:type="dxa"/>
            <w:vAlign w:val="center"/>
          </w:tcPr>
          <w:p w14:paraId="1EE844A1">
            <w:pPr>
              <w:spacing w:line="360" w:lineRule="auto"/>
              <w:jc w:val="center"/>
              <w:rPr>
                <w:rFonts w:ascii="宋体" w:hAnsi="宋体" w:cs="宋体"/>
                <w:b/>
                <w:color w:val="auto"/>
                <w:sz w:val="18"/>
                <w:szCs w:val="18"/>
                <w:highlight w:val="none"/>
              </w:rPr>
            </w:pPr>
          </w:p>
        </w:tc>
        <w:tc>
          <w:tcPr>
            <w:tcW w:w="2490" w:type="dxa"/>
            <w:vAlign w:val="center"/>
          </w:tcPr>
          <w:p w14:paraId="5AEA0885">
            <w:pPr>
              <w:spacing w:line="360" w:lineRule="auto"/>
              <w:jc w:val="center"/>
              <w:rPr>
                <w:rFonts w:ascii="宋体" w:hAnsi="宋体" w:cs="宋体"/>
                <w:b/>
                <w:color w:val="auto"/>
                <w:sz w:val="18"/>
                <w:szCs w:val="18"/>
                <w:highlight w:val="none"/>
              </w:rPr>
            </w:pPr>
          </w:p>
        </w:tc>
        <w:tc>
          <w:tcPr>
            <w:tcW w:w="1682" w:type="dxa"/>
            <w:vAlign w:val="center"/>
          </w:tcPr>
          <w:p w14:paraId="6E991C71">
            <w:pPr>
              <w:spacing w:line="360" w:lineRule="auto"/>
              <w:jc w:val="center"/>
              <w:rPr>
                <w:rFonts w:ascii="宋体" w:hAnsi="宋体" w:cs="宋体"/>
                <w:b/>
                <w:color w:val="auto"/>
                <w:sz w:val="18"/>
                <w:szCs w:val="18"/>
                <w:highlight w:val="none"/>
              </w:rPr>
            </w:pPr>
          </w:p>
        </w:tc>
      </w:tr>
      <w:tr w14:paraId="7B4CA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8" w:type="dxa"/>
            <w:vAlign w:val="center"/>
          </w:tcPr>
          <w:p w14:paraId="71DCDBF0">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1610" w:type="dxa"/>
            <w:shd w:val="clear" w:color="auto" w:fill="auto"/>
            <w:vAlign w:val="center"/>
          </w:tcPr>
          <w:p w14:paraId="23EF5E64">
            <w:pPr>
              <w:snapToGrid w:val="0"/>
              <w:spacing w:line="400" w:lineRule="exact"/>
              <w:jc w:val="center"/>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报价人业绩</w:t>
            </w:r>
          </w:p>
        </w:tc>
        <w:tc>
          <w:tcPr>
            <w:tcW w:w="2390" w:type="dxa"/>
            <w:shd w:val="clear" w:color="auto" w:fill="auto"/>
            <w:vAlign w:val="center"/>
          </w:tcPr>
          <w:p w14:paraId="7A6DC41B">
            <w:pPr>
              <w:snapToGrid w:val="0"/>
              <w:spacing w:line="400" w:lineRule="exact"/>
              <w:jc w:val="center"/>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w:t>
            </w:r>
          </w:p>
        </w:tc>
        <w:tc>
          <w:tcPr>
            <w:tcW w:w="2490" w:type="dxa"/>
            <w:shd w:val="clear" w:color="auto" w:fill="auto"/>
            <w:vAlign w:val="center"/>
          </w:tcPr>
          <w:p w14:paraId="401DCF7C">
            <w:pPr>
              <w:snapToGrid w:val="0"/>
              <w:spacing w:line="400" w:lineRule="exact"/>
              <w:jc w:val="center"/>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**页-**页</w:t>
            </w:r>
          </w:p>
        </w:tc>
        <w:tc>
          <w:tcPr>
            <w:tcW w:w="1682" w:type="dxa"/>
            <w:shd w:val="clear" w:color="auto" w:fill="auto"/>
            <w:vAlign w:val="center"/>
          </w:tcPr>
          <w:p w14:paraId="50A1C06E">
            <w:pPr>
              <w:snapToGrid w:val="0"/>
              <w:spacing w:line="400" w:lineRule="exact"/>
              <w:jc w:val="center"/>
              <w:rPr>
                <w:rFonts w:ascii="宋体" w:hAnsi="宋体" w:cs="宋体"/>
                <w:color w:val="auto"/>
                <w:sz w:val="18"/>
                <w:szCs w:val="18"/>
                <w:highlight w:val="none"/>
              </w:rPr>
            </w:pPr>
          </w:p>
        </w:tc>
      </w:tr>
      <w:tr w14:paraId="19827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4E73D436">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2</w:t>
            </w:r>
          </w:p>
        </w:tc>
        <w:tc>
          <w:tcPr>
            <w:tcW w:w="1610" w:type="dxa"/>
            <w:vAlign w:val="center"/>
          </w:tcPr>
          <w:p w14:paraId="3A8A8B3B">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2390" w:type="dxa"/>
            <w:vAlign w:val="center"/>
          </w:tcPr>
          <w:p w14:paraId="26999C1F">
            <w:pPr>
              <w:snapToGrid w:val="0"/>
              <w:spacing w:line="400" w:lineRule="exact"/>
              <w:jc w:val="center"/>
              <w:rPr>
                <w:rFonts w:ascii="宋体" w:hAnsi="宋体" w:cs="宋体"/>
                <w:color w:val="auto"/>
                <w:sz w:val="18"/>
                <w:szCs w:val="18"/>
                <w:highlight w:val="none"/>
              </w:rPr>
            </w:pPr>
          </w:p>
        </w:tc>
        <w:tc>
          <w:tcPr>
            <w:tcW w:w="2490" w:type="dxa"/>
            <w:vAlign w:val="center"/>
          </w:tcPr>
          <w:p w14:paraId="7895F878">
            <w:pPr>
              <w:snapToGrid w:val="0"/>
              <w:spacing w:line="400" w:lineRule="exact"/>
              <w:jc w:val="center"/>
              <w:rPr>
                <w:rFonts w:ascii="宋体" w:hAnsi="宋体" w:cs="宋体"/>
                <w:color w:val="auto"/>
                <w:sz w:val="18"/>
                <w:szCs w:val="18"/>
                <w:highlight w:val="none"/>
              </w:rPr>
            </w:pPr>
          </w:p>
        </w:tc>
        <w:tc>
          <w:tcPr>
            <w:tcW w:w="1682" w:type="dxa"/>
            <w:vAlign w:val="center"/>
          </w:tcPr>
          <w:p w14:paraId="00D74791">
            <w:pPr>
              <w:snapToGrid w:val="0"/>
              <w:spacing w:line="400" w:lineRule="exact"/>
              <w:jc w:val="center"/>
              <w:rPr>
                <w:rFonts w:ascii="宋体" w:hAnsi="宋体" w:cs="宋体"/>
                <w:color w:val="auto"/>
                <w:sz w:val="18"/>
                <w:szCs w:val="18"/>
                <w:highlight w:val="none"/>
              </w:rPr>
            </w:pPr>
          </w:p>
        </w:tc>
      </w:tr>
      <w:tr w14:paraId="3042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346E9BDB">
            <w:pPr>
              <w:snapToGrid w:val="0"/>
              <w:spacing w:line="400" w:lineRule="exact"/>
              <w:jc w:val="center"/>
              <w:rPr>
                <w:rFonts w:ascii="宋体" w:hAnsi="宋体" w:cs="宋体"/>
                <w:color w:val="auto"/>
                <w:sz w:val="18"/>
                <w:szCs w:val="18"/>
                <w:highlight w:val="none"/>
              </w:rPr>
            </w:pPr>
          </w:p>
        </w:tc>
        <w:tc>
          <w:tcPr>
            <w:tcW w:w="1610" w:type="dxa"/>
            <w:vAlign w:val="center"/>
          </w:tcPr>
          <w:p w14:paraId="009ACEBB">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2390" w:type="dxa"/>
            <w:vAlign w:val="center"/>
          </w:tcPr>
          <w:p w14:paraId="2616AC36">
            <w:pPr>
              <w:snapToGrid w:val="0"/>
              <w:spacing w:line="400" w:lineRule="exact"/>
              <w:jc w:val="center"/>
              <w:rPr>
                <w:rFonts w:ascii="宋体" w:hAnsi="宋体" w:cs="宋体"/>
                <w:color w:val="auto"/>
                <w:sz w:val="18"/>
                <w:szCs w:val="18"/>
                <w:highlight w:val="none"/>
              </w:rPr>
            </w:pPr>
          </w:p>
        </w:tc>
        <w:tc>
          <w:tcPr>
            <w:tcW w:w="2490" w:type="dxa"/>
            <w:vAlign w:val="center"/>
          </w:tcPr>
          <w:p w14:paraId="7A5DA033">
            <w:pPr>
              <w:snapToGrid w:val="0"/>
              <w:spacing w:line="400" w:lineRule="exact"/>
              <w:jc w:val="center"/>
              <w:rPr>
                <w:rFonts w:ascii="宋体" w:hAnsi="宋体" w:cs="宋体"/>
                <w:color w:val="auto"/>
                <w:sz w:val="18"/>
                <w:szCs w:val="18"/>
                <w:highlight w:val="none"/>
              </w:rPr>
            </w:pPr>
          </w:p>
        </w:tc>
        <w:tc>
          <w:tcPr>
            <w:tcW w:w="1682" w:type="dxa"/>
            <w:vAlign w:val="center"/>
          </w:tcPr>
          <w:p w14:paraId="308D1407">
            <w:pPr>
              <w:snapToGrid w:val="0"/>
              <w:spacing w:line="400" w:lineRule="exact"/>
              <w:jc w:val="center"/>
              <w:rPr>
                <w:rFonts w:ascii="宋体" w:hAnsi="宋体" w:cs="宋体"/>
                <w:color w:val="auto"/>
                <w:sz w:val="18"/>
                <w:szCs w:val="18"/>
                <w:highlight w:val="none"/>
              </w:rPr>
            </w:pPr>
          </w:p>
        </w:tc>
      </w:tr>
      <w:tr w14:paraId="298A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3B6297A1">
            <w:pPr>
              <w:snapToGrid w:val="0"/>
              <w:spacing w:line="400" w:lineRule="exact"/>
              <w:jc w:val="center"/>
              <w:rPr>
                <w:rFonts w:ascii="宋体" w:hAnsi="宋体" w:cs="宋体"/>
                <w:color w:val="auto"/>
                <w:sz w:val="18"/>
                <w:szCs w:val="18"/>
                <w:highlight w:val="none"/>
              </w:rPr>
            </w:pPr>
          </w:p>
        </w:tc>
        <w:tc>
          <w:tcPr>
            <w:tcW w:w="1610" w:type="dxa"/>
            <w:vAlign w:val="center"/>
          </w:tcPr>
          <w:p w14:paraId="264F2D37">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2390" w:type="dxa"/>
            <w:vAlign w:val="center"/>
          </w:tcPr>
          <w:p w14:paraId="0F273695">
            <w:pPr>
              <w:snapToGrid w:val="0"/>
              <w:spacing w:line="400" w:lineRule="exact"/>
              <w:jc w:val="center"/>
              <w:rPr>
                <w:rFonts w:ascii="宋体" w:hAnsi="宋体" w:cs="宋体"/>
                <w:color w:val="auto"/>
                <w:sz w:val="18"/>
                <w:szCs w:val="18"/>
                <w:highlight w:val="none"/>
              </w:rPr>
            </w:pPr>
          </w:p>
        </w:tc>
        <w:tc>
          <w:tcPr>
            <w:tcW w:w="2490" w:type="dxa"/>
            <w:vAlign w:val="center"/>
          </w:tcPr>
          <w:p w14:paraId="4A103A9C">
            <w:pPr>
              <w:snapToGrid w:val="0"/>
              <w:spacing w:line="400" w:lineRule="exact"/>
              <w:jc w:val="center"/>
              <w:rPr>
                <w:rFonts w:ascii="宋体" w:hAnsi="宋体" w:cs="宋体"/>
                <w:color w:val="auto"/>
                <w:sz w:val="18"/>
                <w:szCs w:val="18"/>
                <w:highlight w:val="none"/>
              </w:rPr>
            </w:pPr>
          </w:p>
        </w:tc>
        <w:tc>
          <w:tcPr>
            <w:tcW w:w="1682" w:type="dxa"/>
            <w:vAlign w:val="center"/>
          </w:tcPr>
          <w:p w14:paraId="2C820C3C">
            <w:pPr>
              <w:snapToGrid w:val="0"/>
              <w:spacing w:line="400" w:lineRule="exact"/>
              <w:jc w:val="center"/>
              <w:rPr>
                <w:rFonts w:ascii="宋体" w:hAnsi="宋体" w:cs="宋体"/>
                <w:color w:val="auto"/>
                <w:sz w:val="18"/>
                <w:szCs w:val="18"/>
                <w:highlight w:val="none"/>
              </w:rPr>
            </w:pPr>
          </w:p>
        </w:tc>
      </w:tr>
      <w:tr w14:paraId="287A4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390AAA6A">
            <w:pPr>
              <w:snapToGrid w:val="0"/>
              <w:spacing w:line="400" w:lineRule="exact"/>
              <w:jc w:val="center"/>
              <w:rPr>
                <w:rFonts w:ascii="宋体" w:hAnsi="宋体" w:cs="宋体"/>
                <w:color w:val="auto"/>
                <w:sz w:val="18"/>
                <w:szCs w:val="18"/>
                <w:highlight w:val="none"/>
              </w:rPr>
            </w:pPr>
          </w:p>
        </w:tc>
        <w:tc>
          <w:tcPr>
            <w:tcW w:w="1610" w:type="dxa"/>
            <w:vAlign w:val="center"/>
          </w:tcPr>
          <w:p w14:paraId="5E29D991">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2390" w:type="dxa"/>
            <w:vAlign w:val="center"/>
          </w:tcPr>
          <w:p w14:paraId="61AED159">
            <w:pPr>
              <w:snapToGrid w:val="0"/>
              <w:spacing w:line="400" w:lineRule="exact"/>
              <w:jc w:val="center"/>
              <w:rPr>
                <w:rFonts w:ascii="宋体" w:hAnsi="宋体" w:cs="宋体"/>
                <w:color w:val="auto"/>
                <w:sz w:val="18"/>
                <w:szCs w:val="18"/>
                <w:highlight w:val="none"/>
              </w:rPr>
            </w:pPr>
          </w:p>
        </w:tc>
        <w:tc>
          <w:tcPr>
            <w:tcW w:w="2490" w:type="dxa"/>
            <w:vAlign w:val="center"/>
          </w:tcPr>
          <w:p w14:paraId="7CB2D548">
            <w:pPr>
              <w:snapToGrid w:val="0"/>
              <w:spacing w:line="400" w:lineRule="exact"/>
              <w:jc w:val="center"/>
              <w:rPr>
                <w:rFonts w:ascii="宋体" w:hAnsi="宋体" w:cs="宋体"/>
                <w:color w:val="auto"/>
                <w:sz w:val="18"/>
                <w:szCs w:val="18"/>
                <w:highlight w:val="none"/>
              </w:rPr>
            </w:pPr>
          </w:p>
        </w:tc>
        <w:tc>
          <w:tcPr>
            <w:tcW w:w="1682" w:type="dxa"/>
            <w:vAlign w:val="center"/>
          </w:tcPr>
          <w:p w14:paraId="7CB3310E">
            <w:pPr>
              <w:snapToGrid w:val="0"/>
              <w:spacing w:line="400" w:lineRule="exact"/>
              <w:jc w:val="center"/>
              <w:rPr>
                <w:rFonts w:ascii="宋体" w:hAnsi="宋体" w:cs="宋体"/>
                <w:color w:val="auto"/>
                <w:sz w:val="18"/>
                <w:szCs w:val="18"/>
                <w:highlight w:val="none"/>
              </w:rPr>
            </w:pPr>
          </w:p>
        </w:tc>
      </w:tr>
    </w:tbl>
    <w:p w14:paraId="3E11BB49">
      <w:pPr>
        <w:spacing w:line="480" w:lineRule="exact"/>
        <w:jc w:val="left"/>
        <w:rPr>
          <w:rFonts w:ascii="宋体" w:hAnsi="宋体"/>
          <w:b/>
          <w:bCs/>
          <w:color w:val="auto"/>
          <w:szCs w:val="21"/>
          <w:highlight w:val="none"/>
        </w:rPr>
      </w:pPr>
    </w:p>
    <w:p w14:paraId="68EF5B3F">
      <w:pPr>
        <w:spacing w:line="480" w:lineRule="exact"/>
        <w:jc w:val="left"/>
        <w:rPr>
          <w:rFonts w:ascii="宋体" w:hAnsi="宋体"/>
          <w:b/>
          <w:bCs/>
          <w:color w:val="auto"/>
          <w:szCs w:val="21"/>
          <w:highlight w:val="none"/>
        </w:rPr>
      </w:pPr>
    </w:p>
    <w:p w14:paraId="7269B7BA">
      <w:pPr>
        <w:spacing w:line="480" w:lineRule="exact"/>
        <w:jc w:val="left"/>
        <w:rPr>
          <w:rFonts w:ascii="宋体" w:hAnsi="宋体"/>
          <w:b/>
          <w:bCs/>
          <w:color w:val="auto"/>
          <w:szCs w:val="21"/>
          <w:highlight w:val="none"/>
        </w:rPr>
      </w:pPr>
    </w:p>
    <w:p w14:paraId="0D3797B6">
      <w:pPr>
        <w:spacing w:line="480" w:lineRule="exact"/>
        <w:jc w:val="left"/>
        <w:rPr>
          <w:rFonts w:ascii="宋体" w:hAnsi="宋体"/>
          <w:b/>
          <w:bCs/>
          <w:color w:val="auto"/>
          <w:szCs w:val="21"/>
          <w:highlight w:val="none"/>
        </w:rPr>
      </w:pPr>
    </w:p>
    <w:p w14:paraId="278E31CE">
      <w:pPr>
        <w:spacing w:line="480" w:lineRule="exact"/>
        <w:jc w:val="left"/>
        <w:rPr>
          <w:rFonts w:ascii="宋体" w:hAnsi="宋体"/>
          <w:b/>
          <w:bCs/>
          <w:color w:val="auto"/>
          <w:szCs w:val="21"/>
          <w:highlight w:val="none"/>
        </w:rPr>
      </w:pPr>
    </w:p>
    <w:p w14:paraId="3CD82CFF">
      <w:pPr>
        <w:spacing w:line="480" w:lineRule="exact"/>
        <w:jc w:val="left"/>
        <w:rPr>
          <w:rFonts w:ascii="宋体" w:hAnsi="宋体"/>
          <w:b/>
          <w:bCs/>
          <w:color w:val="auto"/>
          <w:szCs w:val="21"/>
          <w:highlight w:val="none"/>
        </w:rPr>
      </w:pPr>
    </w:p>
    <w:p w14:paraId="539D2780">
      <w:pPr>
        <w:spacing w:line="480" w:lineRule="exact"/>
        <w:jc w:val="left"/>
        <w:rPr>
          <w:rFonts w:ascii="宋体" w:hAnsi="宋体"/>
          <w:b/>
          <w:bCs/>
          <w:color w:val="auto"/>
          <w:szCs w:val="21"/>
          <w:highlight w:val="none"/>
        </w:rPr>
      </w:pPr>
    </w:p>
    <w:p w14:paraId="09349B89">
      <w:pPr>
        <w:spacing w:line="480" w:lineRule="exact"/>
        <w:jc w:val="left"/>
        <w:rPr>
          <w:rFonts w:ascii="宋体" w:hAnsi="宋体"/>
          <w:b/>
          <w:bCs/>
          <w:color w:val="auto"/>
          <w:szCs w:val="21"/>
          <w:highlight w:val="none"/>
        </w:rPr>
      </w:pPr>
    </w:p>
    <w:p w14:paraId="5B9E58E8">
      <w:pPr>
        <w:spacing w:line="480" w:lineRule="exact"/>
        <w:jc w:val="left"/>
        <w:rPr>
          <w:rFonts w:ascii="宋体" w:hAnsi="宋体"/>
          <w:b/>
          <w:bCs/>
          <w:color w:val="auto"/>
          <w:szCs w:val="21"/>
          <w:highlight w:val="none"/>
        </w:rPr>
      </w:pPr>
    </w:p>
    <w:p w14:paraId="449041E8">
      <w:pPr>
        <w:spacing w:line="480" w:lineRule="exact"/>
        <w:jc w:val="left"/>
        <w:rPr>
          <w:rFonts w:ascii="宋体" w:hAnsi="宋体"/>
          <w:b/>
          <w:bCs/>
          <w:color w:val="auto"/>
          <w:szCs w:val="21"/>
          <w:highlight w:val="none"/>
        </w:rPr>
      </w:pPr>
    </w:p>
    <w:p w14:paraId="4C7AA1BE">
      <w:pPr>
        <w:spacing w:line="480" w:lineRule="exact"/>
        <w:jc w:val="left"/>
        <w:rPr>
          <w:rFonts w:ascii="宋体" w:hAnsi="宋体"/>
          <w:b/>
          <w:bCs/>
          <w:color w:val="auto"/>
          <w:szCs w:val="21"/>
          <w:highlight w:val="none"/>
        </w:rPr>
      </w:pPr>
    </w:p>
    <w:p w14:paraId="3E7C9705">
      <w:pPr>
        <w:spacing w:line="480" w:lineRule="exact"/>
        <w:jc w:val="left"/>
        <w:rPr>
          <w:rFonts w:ascii="宋体" w:hAnsi="宋体"/>
          <w:b/>
          <w:bCs/>
          <w:color w:val="auto"/>
          <w:szCs w:val="21"/>
          <w:highlight w:val="none"/>
        </w:rPr>
      </w:pPr>
    </w:p>
    <w:p w14:paraId="5E783CEA">
      <w:pPr>
        <w:spacing w:line="480" w:lineRule="exact"/>
        <w:jc w:val="left"/>
        <w:rPr>
          <w:rFonts w:ascii="宋体" w:hAnsi="宋体"/>
          <w:b/>
          <w:bCs/>
          <w:color w:val="auto"/>
          <w:szCs w:val="21"/>
          <w:highlight w:val="none"/>
        </w:rPr>
      </w:pPr>
    </w:p>
    <w:p w14:paraId="76612C65">
      <w:pPr>
        <w:pStyle w:val="4"/>
        <w:spacing w:before="0" w:after="0" w:line="360" w:lineRule="auto"/>
        <w:ind w:firstLine="420"/>
        <w:jc w:val="center"/>
        <w:rPr>
          <w:rFonts w:ascii="宋体" w:hAnsi="宋体" w:eastAsia="宋体" w:cs="宋体"/>
          <w:color w:val="auto"/>
          <w:sz w:val="28"/>
          <w:highlight w:val="none"/>
        </w:rPr>
      </w:pPr>
      <w:bookmarkStart w:id="897" w:name="_Toc773"/>
      <w:bookmarkStart w:id="898" w:name="_Toc597"/>
      <w:r>
        <w:rPr>
          <w:rFonts w:hint="eastAsia" w:ascii="宋体" w:hAnsi="宋体" w:eastAsia="宋体" w:cs="宋体"/>
          <w:color w:val="auto"/>
          <w:sz w:val="28"/>
          <w:highlight w:val="none"/>
        </w:rPr>
        <w:t>六、技术</w:t>
      </w:r>
      <w:bookmarkEnd w:id="897"/>
      <w:r>
        <w:rPr>
          <w:rFonts w:hint="eastAsia" w:ascii="宋体" w:hAnsi="宋体" w:eastAsia="宋体" w:cs="宋体"/>
          <w:color w:val="auto"/>
          <w:sz w:val="28"/>
          <w:highlight w:val="none"/>
        </w:rPr>
        <w:t>部份</w:t>
      </w:r>
      <w:bookmarkEnd w:id="898"/>
    </w:p>
    <w:p w14:paraId="0414EB16">
      <w:pPr>
        <w:wordWrap w:val="0"/>
        <w:adjustRightInd w:val="0"/>
        <w:snapToGrid w:val="0"/>
        <w:spacing w:line="460" w:lineRule="exact"/>
        <w:ind w:firstLine="422" w:firstLineChars="200"/>
        <w:jc w:val="left"/>
        <w:rPr>
          <w:rFonts w:ascii="宋体" w:hAnsi="宋体" w:cs="宋体"/>
          <w:b/>
          <w:color w:val="auto"/>
          <w:kern w:val="0"/>
          <w:szCs w:val="21"/>
          <w:highlight w:val="none"/>
          <w:lang w:bidi="ar"/>
        </w:rPr>
      </w:pPr>
      <w:r>
        <w:rPr>
          <w:rFonts w:hint="eastAsia" w:ascii="宋体" w:hAnsi="宋体" w:cs="宋体"/>
          <w:b/>
          <w:color w:val="auto"/>
          <w:kern w:val="0"/>
          <w:szCs w:val="21"/>
          <w:highlight w:val="none"/>
          <w:lang w:bidi="ar"/>
        </w:rPr>
        <w:t>[提示：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5003D87">
      <w:pPr>
        <w:rPr>
          <w:rFonts w:ascii="宋体" w:hAnsi="宋体" w:cs="宋体"/>
          <w:b/>
          <w:bCs/>
          <w:color w:val="auto"/>
          <w:kern w:val="0"/>
          <w:sz w:val="28"/>
          <w:szCs w:val="32"/>
          <w:highlight w:val="none"/>
        </w:rPr>
      </w:pPr>
    </w:p>
    <w:tbl>
      <w:tblPr>
        <w:tblStyle w:val="44"/>
        <w:tblW w:w="8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660"/>
        <w:gridCol w:w="3210"/>
        <w:gridCol w:w="1420"/>
        <w:gridCol w:w="1706"/>
      </w:tblGrid>
      <w:tr w14:paraId="2CFDB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62" w:type="dxa"/>
            <w:vAlign w:val="center"/>
          </w:tcPr>
          <w:p w14:paraId="3D35854B">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序号</w:t>
            </w:r>
          </w:p>
        </w:tc>
        <w:tc>
          <w:tcPr>
            <w:tcW w:w="1660" w:type="dxa"/>
            <w:vAlign w:val="center"/>
          </w:tcPr>
          <w:p w14:paraId="4DAE3F8B">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bCs/>
                <w:color w:val="auto"/>
                <w:sz w:val="18"/>
                <w:szCs w:val="18"/>
                <w:highlight w:val="none"/>
              </w:rPr>
              <w:t>对应评分标准</w:t>
            </w:r>
          </w:p>
        </w:tc>
        <w:tc>
          <w:tcPr>
            <w:tcW w:w="3210" w:type="dxa"/>
            <w:vAlign w:val="center"/>
          </w:tcPr>
          <w:p w14:paraId="3B460B09">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证明材料</w:t>
            </w:r>
          </w:p>
        </w:tc>
        <w:tc>
          <w:tcPr>
            <w:tcW w:w="1420" w:type="dxa"/>
            <w:vAlign w:val="center"/>
          </w:tcPr>
          <w:p w14:paraId="72AA9579">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对应页码</w:t>
            </w:r>
          </w:p>
        </w:tc>
        <w:tc>
          <w:tcPr>
            <w:tcW w:w="1706" w:type="dxa"/>
            <w:vAlign w:val="center"/>
          </w:tcPr>
          <w:p w14:paraId="40C5E953">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备注</w:t>
            </w:r>
          </w:p>
        </w:tc>
      </w:tr>
      <w:tr w14:paraId="1EF2F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62" w:type="dxa"/>
            <w:vAlign w:val="center"/>
          </w:tcPr>
          <w:p w14:paraId="4BD2260F">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例</w:t>
            </w:r>
          </w:p>
        </w:tc>
        <w:tc>
          <w:tcPr>
            <w:tcW w:w="1660" w:type="dxa"/>
            <w:vAlign w:val="center"/>
          </w:tcPr>
          <w:p w14:paraId="0FEB9EB0">
            <w:pPr>
              <w:spacing w:line="360" w:lineRule="auto"/>
              <w:jc w:val="center"/>
              <w:rPr>
                <w:rFonts w:ascii="宋体" w:hAnsi="宋体" w:cs="宋体"/>
                <w:b/>
                <w:color w:val="auto"/>
                <w:sz w:val="18"/>
                <w:szCs w:val="18"/>
                <w:highlight w:val="none"/>
              </w:rPr>
            </w:pPr>
          </w:p>
        </w:tc>
        <w:tc>
          <w:tcPr>
            <w:tcW w:w="3210" w:type="dxa"/>
            <w:vAlign w:val="center"/>
          </w:tcPr>
          <w:p w14:paraId="3D66BB65">
            <w:pPr>
              <w:spacing w:line="360" w:lineRule="auto"/>
              <w:jc w:val="center"/>
              <w:rPr>
                <w:rFonts w:ascii="宋体" w:hAnsi="宋体" w:cs="宋体"/>
                <w:b/>
                <w:color w:val="auto"/>
                <w:sz w:val="18"/>
                <w:szCs w:val="18"/>
                <w:highlight w:val="none"/>
              </w:rPr>
            </w:pPr>
          </w:p>
        </w:tc>
        <w:tc>
          <w:tcPr>
            <w:tcW w:w="1420" w:type="dxa"/>
            <w:vAlign w:val="center"/>
          </w:tcPr>
          <w:p w14:paraId="19D374FE">
            <w:pPr>
              <w:spacing w:line="360" w:lineRule="auto"/>
              <w:jc w:val="center"/>
              <w:rPr>
                <w:rFonts w:ascii="宋体" w:hAnsi="宋体" w:cs="宋体"/>
                <w:b/>
                <w:color w:val="auto"/>
                <w:sz w:val="18"/>
                <w:szCs w:val="18"/>
                <w:highlight w:val="none"/>
              </w:rPr>
            </w:pPr>
          </w:p>
        </w:tc>
        <w:tc>
          <w:tcPr>
            <w:tcW w:w="1706" w:type="dxa"/>
            <w:vAlign w:val="center"/>
          </w:tcPr>
          <w:p w14:paraId="0876939F">
            <w:pPr>
              <w:spacing w:line="360" w:lineRule="auto"/>
              <w:jc w:val="center"/>
              <w:rPr>
                <w:rFonts w:ascii="宋体" w:hAnsi="宋体" w:cs="宋体"/>
                <w:b/>
                <w:color w:val="auto"/>
                <w:sz w:val="18"/>
                <w:szCs w:val="18"/>
                <w:highlight w:val="none"/>
              </w:rPr>
            </w:pPr>
          </w:p>
        </w:tc>
      </w:tr>
      <w:tr w14:paraId="0DFD5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62" w:type="dxa"/>
            <w:vAlign w:val="center"/>
          </w:tcPr>
          <w:p w14:paraId="0234945B">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1660" w:type="dxa"/>
            <w:shd w:val="clear" w:color="auto" w:fill="auto"/>
            <w:vAlign w:val="center"/>
          </w:tcPr>
          <w:p w14:paraId="7055B380">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服务方案</w:t>
            </w:r>
          </w:p>
        </w:tc>
        <w:tc>
          <w:tcPr>
            <w:tcW w:w="3210" w:type="dxa"/>
            <w:vAlign w:val="center"/>
          </w:tcPr>
          <w:p w14:paraId="44129208">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1420" w:type="dxa"/>
            <w:shd w:val="clear" w:color="auto" w:fill="auto"/>
            <w:vAlign w:val="center"/>
          </w:tcPr>
          <w:p w14:paraId="4B783040">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**页-**页</w:t>
            </w:r>
          </w:p>
        </w:tc>
        <w:tc>
          <w:tcPr>
            <w:tcW w:w="1706" w:type="dxa"/>
            <w:shd w:val="clear" w:color="auto" w:fill="auto"/>
            <w:vAlign w:val="center"/>
          </w:tcPr>
          <w:p w14:paraId="52931ADA">
            <w:pPr>
              <w:snapToGrid w:val="0"/>
              <w:spacing w:line="400" w:lineRule="exact"/>
              <w:jc w:val="center"/>
              <w:rPr>
                <w:rFonts w:ascii="宋体" w:hAnsi="宋体" w:cs="宋体"/>
                <w:color w:val="auto"/>
                <w:sz w:val="18"/>
                <w:szCs w:val="18"/>
                <w:highlight w:val="none"/>
              </w:rPr>
            </w:pPr>
          </w:p>
        </w:tc>
      </w:tr>
      <w:tr w14:paraId="76CF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046C4BF5">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2</w:t>
            </w:r>
          </w:p>
        </w:tc>
        <w:tc>
          <w:tcPr>
            <w:tcW w:w="1660" w:type="dxa"/>
            <w:vAlign w:val="center"/>
          </w:tcPr>
          <w:p w14:paraId="31941F58">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3210" w:type="dxa"/>
            <w:vAlign w:val="center"/>
          </w:tcPr>
          <w:p w14:paraId="3854765E">
            <w:pPr>
              <w:snapToGrid w:val="0"/>
              <w:spacing w:line="400" w:lineRule="exact"/>
              <w:jc w:val="center"/>
              <w:rPr>
                <w:rFonts w:ascii="宋体" w:hAnsi="宋体" w:cs="宋体"/>
                <w:color w:val="auto"/>
                <w:sz w:val="18"/>
                <w:szCs w:val="18"/>
                <w:highlight w:val="none"/>
              </w:rPr>
            </w:pPr>
          </w:p>
        </w:tc>
        <w:tc>
          <w:tcPr>
            <w:tcW w:w="1420" w:type="dxa"/>
            <w:vAlign w:val="center"/>
          </w:tcPr>
          <w:p w14:paraId="5BBD35F0">
            <w:pPr>
              <w:snapToGrid w:val="0"/>
              <w:spacing w:line="400" w:lineRule="exact"/>
              <w:jc w:val="center"/>
              <w:rPr>
                <w:rFonts w:ascii="宋体" w:hAnsi="宋体" w:cs="宋体"/>
                <w:color w:val="auto"/>
                <w:sz w:val="18"/>
                <w:szCs w:val="18"/>
                <w:highlight w:val="none"/>
              </w:rPr>
            </w:pPr>
          </w:p>
        </w:tc>
        <w:tc>
          <w:tcPr>
            <w:tcW w:w="1706" w:type="dxa"/>
            <w:vAlign w:val="center"/>
          </w:tcPr>
          <w:p w14:paraId="4661277F">
            <w:pPr>
              <w:snapToGrid w:val="0"/>
              <w:spacing w:line="400" w:lineRule="exact"/>
              <w:jc w:val="center"/>
              <w:rPr>
                <w:rFonts w:ascii="宋体" w:hAnsi="宋体" w:cs="宋体"/>
                <w:color w:val="auto"/>
                <w:sz w:val="18"/>
                <w:szCs w:val="18"/>
                <w:highlight w:val="none"/>
              </w:rPr>
            </w:pPr>
          </w:p>
        </w:tc>
      </w:tr>
      <w:tr w14:paraId="235F6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17619318">
            <w:pPr>
              <w:snapToGrid w:val="0"/>
              <w:spacing w:line="400" w:lineRule="exact"/>
              <w:jc w:val="center"/>
              <w:rPr>
                <w:rFonts w:ascii="宋体" w:hAnsi="宋体" w:cs="宋体"/>
                <w:color w:val="auto"/>
                <w:sz w:val="18"/>
                <w:szCs w:val="18"/>
                <w:highlight w:val="none"/>
              </w:rPr>
            </w:pPr>
          </w:p>
        </w:tc>
        <w:tc>
          <w:tcPr>
            <w:tcW w:w="1660" w:type="dxa"/>
            <w:vAlign w:val="center"/>
          </w:tcPr>
          <w:p w14:paraId="3C567044">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3210" w:type="dxa"/>
            <w:vAlign w:val="center"/>
          </w:tcPr>
          <w:p w14:paraId="5E7B0DCC">
            <w:pPr>
              <w:snapToGrid w:val="0"/>
              <w:spacing w:line="400" w:lineRule="exact"/>
              <w:jc w:val="center"/>
              <w:rPr>
                <w:rFonts w:ascii="宋体" w:hAnsi="宋体" w:cs="宋体"/>
                <w:color w:val="auto"/>
                <w:sz w:val="18"/>
                <w:szCs w:val="18"/>
                <w:highlight w:val="none"/>
              </w:rPr>
            </w:pPr>
          </w:p>
        </w:tc>
        <w:tc>
          <w:tcPr>
            <w:tcW w:w="1420" w:type="dxa"/>
            <w:vAlign w:val="center"/>
          </w:tcPr>
          <w:p w14:paraId="6775402D">
            <w:pPr>
              <w:snapToGrid w:val="0"/>
              <w:spacing w:line="400" w:lineRule="exact"/>
              <w:jc w:val="center"/>
              <w:rPr>
                <w:rFonts w:ascii="宋体" w:hAnsi="宋体" w:cs="宋体"/>
                <w:color w:val="auto"/>
                <w:sz w:val="18"/>
                <w:szCs w:val="18"/>
                <w:highlight w:val="none"/>
              </w:rPr>
            </w:pPr>
          </w:p>
        </w:tc>
        <w:tc>
          <w:tcPr>
            <w:tcW w:w="1706" w:type="dxa"/>
            <w:vAlign w:val="center"/>
          </w:tcPr>
          <w:p w14:paraId="1E3CA512">
            <w:pPr>
              <w:snapToGrid w:val="0"/>
              <w:spacing w:line="400" w:lineRule="exact"/>
              <w:jc w:val="center"/>
              <w:rPr>
                <w:rFonts w:ascii="宋体" w:hAnsi="宋体" w:cs="宋体"/>
                <w:color w:val="auto"/>
                <w:sz w:val="18"/>
                <w:szCs w:val="18"/>
                <w:highlight w:val="none"/>
              </w:rPr>
            </w:pPr>
          </w:p>
        </w:tc>
      </w:tr>
      <w:tr w14:paraId="32706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72121856">
            <w:pPr>
              <w:snapToGrid w:val="0"/>
              <w:spacing w:line="400" w:lineRule="exact"/>
              <w:jc w:val="center"/>
              <w:rPr>
                <w:rFonts w:ascii="宋体" w:hAnsi="宋体" w:cs="宋体"/>
                <w:color w:val="auto"/>
                <w:sz w:val="18"/>
                <w:szCs w:val="18"/>
                <w:highlight w:val="none"/>
              </w:rPr>
            </w:pPr>
          </w:p>
        </w:tc>
        <w:tc>
          <w:tcPr>
            <w:tcW w:w="1660" w:type="dxa"/>
            <w:vAlign w:val="center"/>
          </w:tcPr>
          <w:p w14:paraId="2BCD3188">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3210" w:type="dxa"/>
            <w:vAlign w:val="center"/>
          </w:tcPr>
          <w:p w14:paraId="43E3FF20">
            <w:pPr>
              <w:snapToGrid w:val="0"/>
              <w:spacing w:line="400" w:lineRule="exact"/>
              <w:jc w:val="center"/>
              <w:rPr>
                <w:rFonts w:ascii="宋体" w:hAnsi="宋体" w:cs="宋体"/>
                <w:color w:val="auto"/>
                <w:sz w:val="18"/>
                <w:szCs w:val="18"/>
                <w:highlight w:val="none"/>
              </w:rPr>
            </w:pPr>
          </w:p>
        </w:tc>
        <w:tc>
          <w:tcPr>
            <w:tcW w:w="1420" w:type="dxa"/>
            <w:vAlign w:val="center"/>
          </w:tcPr>
          <w:p w14:paraId="6E1FEF8D">
            <w:pPr>
              <w:snapToGrid w:val="0"/>
              <w:spacing w:line="400" w:lineRule="exact"/>
              <w:jc w:val="center"/>
              <w:rPr>
                <w:rFonts w:ascii="宋体" w:hAnsi="宋体" w:cs="宋体"/>
                <w:color w:val="auto"/>
                <w:sz w:val="18"/>
                <w:szCs w:val="18"/>
                <w:highlight w:val="none"/>
              </w:rPr>
            </w:pPr>
          </w:p>
        </w:tc>
        <w:tc>
          <w:tcPr>
            <w:tcW w:w="1706" w:type="dxa"/>
            <w:vAlign w:val="center"/>
          </w:tcPr>
          <w:p w14:paraId="53035A0F">
            <w:pPr>
              <w:snapToGrid w:val="0"/>
              <w:spacing w:line="400" w:lineRule="exact"/>
              <w:jc w:val="center"/>
              <w:rPr>
                <w:rFonts w:ascii="宋体" w:hAnsi="宋体" w:cs="宋体"/>
                <w:color w:val="auto"/>
                <w:sz w:val="18"/>
                <w:szCs w:val="18"/>
                <w:highlight w:val="none"/>
              </w:rPr>
            </w:pPr>
          </w:p>
        </w:tc>
      </w:tr>
      <w:tr w14:paraId="10659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2979E586">
            <w:pPr>
              <w:snapToGrid w:val="0"/>
              <w:spacing w:line="400" w:lineRule="exact"/>
              <w:jc w:val="center"/>
              <w:rPr>
                <w:rFonts w:ascii="宋体" w:hAnsi="宋体" w:cs="宋体"/>
                <w:color w:val="auto"/>
                <w:sz w:val="18"/>
                <w:szCs w:val="18"/>
                <w:highlight w:val="none"/>
              </w:rPr>
            </w:pPr>
          </w:p>
        </w:tc>
        <w:tc>
          <w:tcPr>
            <w:tcW w:w="1660" w:type="dxa"/>
            <w:vAlign w:val="center"/>
          </w:tcPr>
          <w:p w14:paraId="02366EA3">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3210" w:type="dxa"/>
            <w:vAlign w:val="center"/>
          </w:tcPr>
          <w:p w14:paraId="42D2682C">
            <w:pPr>
              <w:snapToGrid w:val="0"/>
              <w:spacing w:line="400" w:lineRule="exact"/>
              <w:jc w:val="center"/>
              <w:rPr>
                <w:rFonts w:ascii="宋体" w:hAnsi="宋体" w:cs="宋体"/>
                <w:color w:val="auto"/>
                <w:sz w:val="18"/>
                <w:szCs w:val="18"/>
                <w:highlight w:val="none"/>
              </w:rPr>
            </w:pPr>
          </w:p>
        </w:tc>
        <w:tc>
          <w:tcPr>
            <w:tcW w:w="1420" w:type="dxa"/>
            <w:vAlign w:val="center"/>
          </w:tcPr>
          <w:p w14:paraId="34690D19">
            <w:pPr>
              <w:snapToGrid w:val="0"/>
              <w:spacing w:line="400" w:lineRule="exact"/>
              <w:jc w:val="center"/>
              <w:rPr>
                <w:rFonts w:ascii="宋体" w:hAnsi="宋体" w:cs="宋体"/>
                <w:color w:val="auto"/>
                <w:sz w:val="18"/>
                <w:szCs w:val="18"/>
                <w:highlight w:val="none"/>
              </w:rPr>
            </w:pPr>
          </w:p>
        </w:tc>
        <w:tc>
          <w:tcPr>
            <w:tcW w:w="1706" w:type="dxa"/>
            <w:vAlign w:val="center"/>
          </w:tcPr>
          <w:p w14:paraId="4C710781">
            <w:pPr>
              <w:snapToGrid w:val="0"/>
              <w:spacing w:line="400" w:lineRule="exact"/>
              <w:jc w:val="center"/>
              <w:rPr>
                <w:rFonts w:ascii="宋体" w:hAnsi="宋体" w:cs="宋体"/>
                <w:color w:val="auto"/>
                <w:sz w:val="18"/>
                <w:szCs w:val="18"/>
                <w:highlight w:val="none"/>
              </w:rPr>
            </w:pPr>
          </w:p>
        </w:tc>
      </w:tr>
    </w:tbl>
    <w:p w14:paraId="6233F593">
      <w:pPr>
        <w:rPr>
          <w:rFonts w:ascii="宋体" w:hAnsi="宋体" w:cs="宋体"/>
          <w:b/>
          <w:bCs/>
          <w:color w:val="auto"/>
          <w:kern w:val="0"/>
          <w:sz w:val="28"/>
          <w:szCs w:val="32"/>
          <w:highlight w:val="none"/>
        </w:rPr>
      </w:pPr>
      <w:r>
        <w:rPr>
          <w:rFonts w:ascii="宋体" w:hAnsi="宋体" w:cs="宋体"/>
          <w:b/>
          <w:bCs/>
          <w:color w:val="auto"/>
          <w:kern w:val="0"/>
          <w:sz w:val="28"/>
          <w:szCs w:val="32"/>
          <w:highlight w:val="none"/>
        </w:rPr>
        <w:br w:type="page"/>
      </w:r>
    </w:p>
    <w:p w14:paraId="024DCC71">
      <w:pPr>
        <w:pStyle w:val="2"/>
        <w:rPr>
          <w:rFonts w:hint="eastAsia" w:ascii="宋体" w:hAnsi="宋体" w:eastAsia="宋体" w:cs="Times New Roman"/>
          <w:color w:val="auto"/>
          <w:szCs w:val="21"/>
          <w:highlight w:val="none"/>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pPr>
    </w:p>
    <w:p w14:paraId="6CD0975F">
      <w:pPr>
        <w:pStyle w:val="4"/>
        <w:spacing w:before="0" w:after="0" w:line="360" w:lineRule="auto"/>
        <w:jc w:val="center"/>
        <w:rPr>
          <w:rFonts w:ascii="宋体" w:hAnsi="宋体" w:eastAsia="宋体" w:cs="宋体"/>
          <w:color w:val="auto"/>
          <w:sz w:val="28"/>
          <w:highlight w:val="none"/>
        </w:rPr>
      </w:pPr>
      <w:bookmarkStart w:id="899" w:name="_Toc32497"/>
      <w:bookmarkStart w:id="900" w:name="_Toc3698"/>
      <w:r>
        <w:rPr>
          <w:rFonts w:hint="eastAsia" w:ascii="宋体" w:hAnsi="宋体" w:eastAsia="宋体" w:cs="宋体"/>
          <w:color w:val="auto"/>
          <w:sz w:val="28"/>
          <w:highlight w:val="none"/>
          <w:lang w:val="en-US" w:eastAsia="zh-CN"/>
        </w:rPr>
        <w:t>七</w:t>
      </w:r>
      <w:r>
        <w:rPr>
          <w:rFonts w:hint="eastAsia" w:ascii="宋体" w:hAnsi="宋体" w:eastAsia="宋体" w:cs="宋体"/>
          <w:color w:val="auto"/>
          <w:sz w:val="28"/>
          <w:highlight w:val="none"/>
        </w:rPr>
        <w:t>、报价人承诺</w:t>
      </w:r>
      <w:bookmarkEnd w:id="896"/>
      <w:bookmarkEnd w:id="899"/>
      <w:bookmarkEnd w:id="900"/>
    </w:p>
    <w:p w14:paraId="4FC0EFB3">
      <w:pPr>
        <w:pStyle w:val="2"/>
        <w:rPr>
          <w:color w:val="auto"/>
          <w:highlight w:val="none"/>
        </w:rPr>
      </w:pPr>
    </w:p>
    <w:p w14:paraId="74641042">
      <w:pPr>
        <w:jc w:val="center"/>
        <w:rPr>
          <w:rFonts w:hint="eastAsia" w:ascii="宋体" w:hAnsi="宋体" w:eastAsia="宋体" w:cs="宋体"/>
          <w:b/>
          <w:bCs/>
          <w:color w:val="auto"/>
          <w:kern w:val="0"/>
          <w:sz w:val="28"/>
          <w:szCs w:val="32"/>
          <w:highlight w:val="none"/>
          <w:lang w:val="en-US" w:eastAsia="zh-CN" w:bidi="ar-SA"/>
        </w:rPr>
      </w:pPr>
      <w:r>
        <w:rPr>
          <w:rFonts w:hint="eastAsia" w:ascii="宋体" w:hAnsi="宋体" w:eastAsia="宋体" w:cs="宋体"/>
          <w:b/>
          <w:bCs/>
          <w:color w:val="auto"/>
          <w:kern w:val="0"/>
          <w:sz w:val="28"/>
          <w:szCs w:val="32"/>
          <w:highlight w:val="none"/>
          <w:lang w:val="en-US" w:eastAsia="zh-CN" w:bidi="ar-SA"/>
        </w:rPr>
        <w:t>（一）响应性承诺书</w:t>
      </w:r>
    </w:p>
    <w:p w14:paraId="6FD316EC">
      <w:pPr>
        <w:pStyle w:val="2"/>
        <w:rPr>
          <w:color w:val="auto"/>
          <w:highlight w:val="none"/>
        </w:rPr>
      </w:pPr>
    </w:p>
    <w:p w14:paraId="75B05FA2">
      <w:pPr>
        <w:pStyle w:val="39"/>
        <w:spacing w:line="480" w:lineRule="auto"/>
        <w:jc w:val="both"/>
        <w:rPr>
          <w:rFonts w:hAnsi="宋体"/>
          <w:color w:val="auto"/>
          <w:highlight w:val="none"/>
        </w:rPr>
      </w:pPr>
      <w:r>
        <w:rPr>
          <w:rFonts w:hint="eastAsia" w:hAnsi="宋体"/>
          <w:color w:val="auto"/>
          <w:highlight w:val="none"/>
        </w:rPr>
        <w:t>致：</w:t>
      </w:r>
      <w:r>
        <w:rPr>
          <w:rFonts w:hint="eastAsia" w:hAnsi="宋体"/>
          <w:color w:val="auto"/>
          <w:highlight w:val="none"/>
          <w:u w:val="single"/>
        </w:rPr>
        <w:t>重庆首讯科技股份有限公司</w:t>
      </w:r>
    </w:p>
    <w:p w14:paraId="48194117">
      <w:pPr>
        <w:rPr>
          <w:color w:val="auto"/>
          <w:highlight w:val="none"/>
        </w:rPr>
      </w:pPr>
    </w:p>
    <w:p w14:paraId="42BBD609">
      <w:pPr>
        <w:tabs>
          <w:tab w:val="left" w:pos="1680"/>
          <w:tab w:val="left" w:pos="4215"/>
          <w:tab w:val="left" w:pos="4305"/>
          <w:tab w:val="left" w:pos="8000"/>
        </w:tabs>
        <w:autoSpaceDE w:val="0"/>
        <w:autoSpaceDN w:val="0"/>
        <w:adjustRightInd w:val="0"/>
        <w:snapToGrid w:val="0"/>
        <w:spacing w:line="480" w:lineRule="auto"/>
        <w:ind w:firstLine="720" w:firstLineChars="300"/>
        <w:rPr>
          <w:rFonts w:hint="eastAsia" w:ascii="宋体" w:hAnsi="宋体"/>
          <w:color w:val="auto"/>
          <w:sz w:val="24"/>
          <w:highlight w:val="none"/>
        </w:rPr>
      </w:pPr>
      <w:r>
        <w:rPr>
          <w:rFonts w:hint="eastAsia" w:ascii="宋体" w:hAnsi="宋体"/>
          <w:color w:val="auto"/>
          <w:sz w:val="24"/>
          <w:highlight w:val="none"/>
        </w:rPr>
        <w:t>在研究</w:t>
      </w:r>
      <w:r>
        <w:rPr>
          <w:rFonts w:hint="eastAsia" w:ascii="宋体" w:hAnsi="宋体"/>
          <w:color w:val="auto"/>
          <w:sz w:val="24"/>
          <w:highlight w:val="none"/>
          <w:u w:val="single"/>
        </w:rPr>
        <w:t xml:space="preserve">        （项目名称）</w:t>
      </w:r>
      <w:r>
        <w:rPr>
          <w:rFonts w:hint="eastAsia" w:ascii="Arial" w:hAnsi="Arial" w:cs="Arial"/>
          <w:color w:val="auto"/>
          <w:sz w:val="24"/>
          <w:highlight w:val="none"/>
        </w:rPr>
        <w:t>项目</w:t>
      </w:r>
      <w:r>
        <w:rPr>
          <w:rFonts w:hint="eastAsia" w:ascii="宋体" w:hAnsi="宋体"/>
          <w:color w:val="auto"/>
          <w:sz w:val="24"/>
          <w:highlight w:val="none"/>
        </w:rPr>
        <w:t>竞争比选文件后，在此郑重承诺我司满足本项目一切报价内容、报价、服务期限及质量标准等相关要求，响应比选函的一切内容，同时申明将按照</w:t>
      </w:r>
      <w:r>
        <w:rPr>
          <w:rFonts w:hint="eastAsia" w:ascii="宋体" w:hAnsi="宋体" w:eastAsia="宋体" w:cs="宋体"/>
          <w:color w:val="auto"/>
          <w:kern w:val="2"/>
          <w:sz w:val="24"/>
          <w:szCs w:val="24"/>
          <w:highlight w:val="none"/>
          <w:lang w:val="en-US" w:eastAsia="zh-CN" w:bidi="ar"/>
        </w:rPr>
        <w:t>业主要求</w:t>
      </w:r>
      <w:r>
        <w:rPr>
          <w:rFonts w:hint="eastAsia" w:ascii="宋体" w:hAnsi="宋体" w:cs="宋体"/>
          <w:color w:val="auto"/>
          <w:kern w:val="2"/>
          <w:sz w:val="24"/>
          <w:szCs w:val="24"/>
          <w:highlight w:val="none"/>
          <w:lang w:val="en-US" w:eastAsia="zh-CN" w:bidi="ar"/>
        </w:rPr>
        <w:t>及时保质保量供货、并根据</w:t>
      </w:r>
      <w:r>
        <w:rPr>
          <w:rFonts w:hint="eastAsia" w:ascii="宋体" w:hAnsi="宋体"/>
          <w:color w:val="auto"/>
          <w:sz w:val="24"/>
          <w:highlight w:val="none"/>
        </w:rPr>
        <w:t>自行给出的商务、技术方案组建服务团队、履行服务义务。若我司中标本项目且无法满足业主相关需求，我司愿承担由此给采购人造成的一切损失。</w:t>
      </w:r>
    </w:p>
    <w:p w14:paraId="53C5F2D8">
      <w:pPr>
        <w:keepNext w:val="0"/>
        <w:keepLines w:val="0"/>
        <w:widowControl w:val="0"/>
        <w:suppressLineNumbers w:val="0"/>
        <w:autoSpaceDE w:val="0"/>
        <w:autoSpaceDN w:val="0"/>
        <w:adjustRightInd w:val="0"/>
        <w:snapToGrid w:val="0"/>
        <w:spacing w:before="0" w:beforeAutospacing="0" w:after="0" w:afterAutospacing="0" w:line="480" w:lineRule="auto"/>
        <w:ind w:left="0" w:right="0" w:firstLine="480" w:firstLineChars="200"/>
        <w:jc w:val="both"/>
        <w:rPr>
          <w:rFonts w:hint="eastAsia" w:ascii="宋体" w:hAnsi="宋体" w:eastAsia="宋体" w:cs="宋体"/>
          <w:color w:val="auto"/>
          <w:kern w:val="2"/>
          <w:sz w:val="24"/>
          <w:szCs w:val="24"/>
          <w:highlight w:val="none"/>
          <w:u w:val="none"/>
          <w:lang w:val="en-US" w:eastAsia="zh-CN" w:bidi="ar"/>
        </w:rPr>
      </w:pPr>
      <w:r>
        <w:rPr>
          <w:rFonts w:hint="eastAsia" w:ascii="宋体" w:hAnsi="宋体" w:eastAsia="宋体" w:cs="宋体"/>
          <w:color w:val="auto"/>
          <w:kern w:val="2"/>
          <w:sz w:val="24"/>
          <w:szCs w:val="24"/>
          <w:highlight w:val="none"/>
          <w:u w:val="none"/>
          <w:lang w:val="en-US" w:eastAsia="zh-CN" w:bidi="ar"/>
        </w:rPr>
        <w:t>1、在收到中标通知书后，在中标通知书规定的期限内与你方签订合同；</w:t>
      </w:r>
    </w:p>
    <w:p w14:paraId="37A9CE64">
      <w:pPr>
        <w:keepNext w:val="0"/>
        <w:keepLines w:val="0"/>
        <w:widowControl w:val="0"/>
        <w:suppressLineNumbers w:val="0"/>
        <w:autoSpaceDE w:val="0"/>
        <w:autoSpaceDN w:val="0"/>
        <w:adjustRightInd w:val="0"/>
        <w:snapToGrid w:val="0"/>
        <w:spacing w:before="0" w:beforeAutospacing="0" w:after="0" w:afterAutospacing="0" w:line="480" w:lineRule="auto"/>
        <w:ind w:left="0" w:right="0" w:firstLine="480" w:firstLineChars="200"/>
        <w:jc w:val="both"/>
        <w:rPr>
          <w:rFonts w:hint="eastAsia" w:ascii="宋体" w:hAnsi="宋体" w:eastAsia="宋体" w:cs="宋体"/>
          <w:color w:val="auto"/>
          <w:kern w:val="2"/>
          <w:sz w:val="24"/>
          <w:szCs w:val="24"/>
          <w:highlight w:val="none"/>
          <w:u w:val="none"/>
          <w:lang w:val="en-US" w:eastAsia="zh-CN" w:bidi="ar"/>
        </w:rPr>
      </w:pPr>
      <w:r>
        <w:rPr>
          <w:rFonts w:hint="eastAsia" w:ascii="宋体" w:hAnsi="宋体" w:eastAsia="宋体" w:cs="宋体"/>
          <w:color w:val="auto"/>
          <w:kern w:val="2"/>
          <w:sz w:val="24"/>
          <w:szCs w:val="24"/>
          <w:highlight w:val="none"/>
          <w:u w:val="none"/>
          <w:lang w:val="en-US" w:eastAsia="zh-CN" w:bidi="ar"/>
        </w:rPr>
        <w:t>2、在签订合同时不向你方提出附加条件；</w:t>
      </w:r>
    </w:p>
    <w:p w14:paraId="2E0541C4">
      <w:pPr>
        <w:keepNext w:val="0"/>
        <w:keepLines w:val="0"/>
        <w:widowControl w:val="0"/>
        <w:suppressLineNumbers w:val="0"/>
        <w:autoSpaceDE w:val="0"/>
        <w:autoSpaceDN w:val="0"/>
        <w:adjustRightInd w:val="0"/>
        <w:snapToGrid w:val="0"/>
        <w:spacing w:before="0" w:beforeAutospacing="0" w:after="0" w:afterAutospacing="0" w:line="480" w:lineRule="auto"/>
        <w:ind w:left="0" w:right="0" w:firstLine="480" w:firstLineChars="200"/>
        <w:jc w:val="both"/>
        <w:rPr>
          <w:rFonts w:hint="eastAsia" w:ascii="宋体" w:hAnsi="宋体" w:eastAsia="宋体" w:cs="宋体"/>
          <w:color w:val="auto"/>
          <w:kern w:val="2"/>
          <w:sz w:val="24"/>
          <w:szCs w:val="24"/>
          <w:highlight w:val="none"/>
          <w:u w:val="none"/>
          <w:lang w:val="en-US" w:eastAsia="zh-CN" w:bidi="ar"/>
        </w:rPr>
      </w:pPr>
      <w:r>
        <w:rPr>
          <w:rFonts w:hint="eastAsia" w:ascii="宋体" w:hAnsi="宋体" w:eastAsia="宋体" w:cs="宋体"/>
          <w:color w:val="auto"/>
          <w:kern w:val="2"/>
          <w:sz w:val="24"/>
          <w:szCs w:val="24"/>
          <w:highlight w:val="none"/>
          <w:u w:val="none"/>
          <w:lang w:val="en-US" w:eastAsia="zh-CN" w:bidi="ar"/>
        </w:rPr>
        <w:t>3、在合同约定的期限内完成合同规定的全部义务。</w:t>
      </w:r>
    </w:p>
    <w:p w14:paraId="4B6E54C5">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、我方比选响应文件中所有资料都是真实、准确、完整的；</w:t>
      </w:r>
    </w:p>
    <w:p w14:paraId="74D5DCCC">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、我方不存在资质挂靠或参与串标、围标情形。所报项目相关人员未在其他项目任职。</w:t>
      </w:r>
    </w:p>
    <w:p w14:paraId="64DAEB98">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、完全响应竞争性比选文件中的人员要求</w:t>
      </w:r>
      <w:r>
        <w:rPr>
          <w:rFonts w:hint="eastAsia" w:ascii="宋体" w:hAnsi="宋体"/>
          <w:color w:val="auto"/>
          <w:sz w:val="24"/>
          <w:highlight w:val="none"/>
          <w:lang w:val="en-US" w:eastAsia="zh-CN"/>
        </w:rPr>
        <w:t>、</w:t>
      </w:r>
      <w:r>
        <w:rPr>
          <w:rFonts w:hint="eastAsia" w:ascii="宋体" w:hAnsi="宋体"/>
          <w:color w:val="auto"/>
          <w:sz w:val="24"/>
          <w:highlight w:val="none"/>
        </w:rPr>
        <w:t>投标内容要求、报价要求、工期要求、质量标准等要求；</w:t>
      </w:r>
    </w:p>
    <w:p w14:paraId="1B69C1DC">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color w:val="auto"/>
          <w:sz w:val="24"/>
          <w:highlight w:val="none"/>
          <w:lang w:eastAsia="zh-CN"/>
        </w:rPr>
      </w:pPr>
      <w:r>
        <w:rPr>
          <w:rFonts w:hint="eastAsia" w:ascii="宋体" w:hAnsi="宋体"/>
          <w:color w:val="auto"/>
          <w:sz w:val="24"/>
          <w:highlight w:val="none"/>
          <w:lang w:val="en-US" w:eastAsia="zh-CN"/>
        </w:rPr>
        <w:t>7、我</w:t>
      </w:r>
      <w:r>
        <w:rPr>
          <w:rFonts w:hint="eastAsia" w:ascii="宋体" w:hAnsi="宋体"/>
          <w:color w:val="auto"/>
          <w:sz w:val="24"/>
          <w:highlight w:val="none"/>
        </w:rPr>
        <w:t>方</w:t>
      </w:r>
      <w:r>
        <w:rPr>
          <w:rFonts w:hint="eastAsia" w:ascii="宋体" w:hAnsi="宋体"/>
          <w:color w:val="auto"/>
          <w:sz w:val="24"/>
          <w:highlight w:val="none"/>
          <w:lang w:val="en-US" w:eastAsia="zh-CN"/>
        </w:rPr>
        <w:t>承诺在合同签订30日</w:t>
      </w:r>
      <w:r>
        <w:rPr>
          <w:rFonts w:hint="eastAsia" w:ascii="宋体" w:hAnsi="宋体"/>
          <w:color w:val="auto"/>
          <w:sz w:val="24"/>
          <w:highlight w:val="none"/>
        </w:rPr>
        <w:t>历日内完成通信工程施工总承包二级和电力工程施工总承包二级</w:t>
      </w:r>
      <w:r>
        <w:rPr>
          <w:rFonts w:hint="eastAsia" w:ascii="宋体" w:hAnsi="宋体"/>
          <w:color w:val="auto"/>
          <w:sz w:val="24"/>
          <w:highlight w:val="none"/>
          <w:lang w:val="en-US" w:eastAsia="zh-CN"/>
        </w:rPr>
        <w:t>资质</w:t>
      </w:r>
      <w:r>
        <w:rPr>
          <w:rFonts w:hint="eastAsia" w:ascii="宋体" w:hAnsi="宋体"/>
          <w:color w:val="auto"/>
          <w:sz w:val="24"/>
          <w:highlight w:val="none"/>
        </w:rPr>
        <w:t>申办方案编制、所需资料收集及整理、修订，</w:t>
      </w:r>
      <w:r>
        <w:rPr>
          <w:rFonts w:hint="eastAsia" w:ascii="宋体" w:hAnsi="宋体"/>
          <w:color w:val="auto"/>
          <w:sz w:val="24"/>
          <w:highlight w:val="none"/>
          <w:lang w:val="en-US" w:eastAsia="zh-CN"/>
        </w:rPr>
        <w:t>并</w:t>
      </w:r>
      <w:r>
        <w:rPr>
          <w:rFonts w:hint="eastAsia" w:ascii="宋体" w:hAnsi="宋体"/>
          <w:color w:val="auto"/>
          <w:sz w:val="24"/>
          <w:highlight w:val="none"/>
        </w:rPr>
        <w:t>将</w:t>
      </w:r>
      <w:r>
        <w:rPr>
          <w:rFonts w:hint="eastAsia" w:ascii="宋体" w:hAnsi="宋体"/>
          <w:color w:val="auto"/>
          <w:sz w:val="24"/>
          <w:highlight w:val="none"/>
          <w:lang w:val="en-US" w:eastAsia="zh-CN"/>
        </w:rPr>
        <w:t>相关资料</w:t>
      </w:r>
      <w:r>
        <w:rPr>
          <w:rFonts w:hint="eastAsia" w:ascii="宋体" w:hAnsi="宋体"/>
          <w:color w:val="auto"/>
          <w:sz w:val="24"/>
          <w:highlight w:val="none"/>
        </w:rPr>
        <w:t>报送主管部门审查</w:t>
      </w:r>
      <w:r>
        <w:rPr>
          <w:rFonts w:hint="eastAsia" w:ascii="宋体" w:hAnsi="宋体"/>
          <w:color w:val="auto"/>
          <w:sz w:val="24"/>
          <w:highlight w:val="none"/>
          <w:lang w:eastAsia="zh-CN"/>
        </w:rPr>
        <w:t>，</w:t>
      </w:r>
      <w:r>
        <w:rPr>
          <w:rFonts w:hint="eastAsia" w:ascii="宋体" w:hAnsi="宋体"/>
          <w:color w:val="auto"/>
          <w:sz w:val="24"/>
          <w:highlight w:val="none"/>
        </w:rPr>
        <w:t>每延期一天</w:t>
      </w:r>
      <w:r>
        <w:rPr>
          <w:rFonts w:hint="eastAsia" w:ascii="宋体" w:hAnsi="宋体"/>
          <w:color w:val="auto"/>
          <w:sz w:val="24"/>
          <w:highlight w:val="none"/>
          <w:lang w:val="en-US" w:eastAsia="zh-CN"/>
        </w:rPr>
        <w:t>我</w:t>
      </w:r>
      <w:r>
        <w:rPr>
          <w:rFonts w:hint="eastAsia" w:ascii="宋体" w:hAnsi="宋体"/>
          <w:color w:val="auto"/>
          <w:sz w:val="24"/>
          <w:highlight w:val="none"/>
        </w:rPr>
        <w:t>方向</w:t>
      </w:r>
      <w:r>
        <w:rPr>
          <w:rFonts w:hint="eastAsia" w:ascii="宋体" w:hAnsi="宋体"/>
          <w:color w:val="auto"/>
          <w:sz w:val="24"/>
          <w:highlight w:val="none"/>
          <w:lang w:val="en-US" w:eastAsia="zh-CN"/>
        </w:rPr>
        <w:t>采购人</w:t>
      </w:r>
      <w:r>
        <w:rPr>
          <w:rFonts w:hint="eastAsia" w:ascii="宋体" w:hAnsi="宋体"/>
          <w:color w:val="auto"/>
          <w:sz w:val="24"/>
          <w:highlight w:val="none"/>
        </w:rPr>
        <w:t>支付</w:t>
      </w:r>
      <w:r>
        <w:rPr>
          <w:rFonts w:hint="eastAsia" w:ascii="宋体" w:hAnsi="宋体"/>
          <w:color w:val="auto"/>
          <w:sz w:val="24"/>
          <w:highlight w:val="none"/>
          <w:lang w:val="en-US" w:eastAsia="zh-CN"/>
        </w:rPr>
        <w:t>1</w:t>
      </w:r>
      <w:r>
        <w:rPr>
          <w:rFonts w:hint="eastAsia" w:ascii="宋体" w:hAnsi="宋体"/>
          <w:color w:val="auto"/>
          <w:sz w:val="24"/>
          <w:highlight w:val="none"/>
        </w:rPr>
        <w:t>000元违约金</w:t>
      </w:r>
      <w:r>
        <w:rPr>
          <w:rFonts w:hint="eastAsia" w:ascii="宋体" w:hAnsi="宋体"/>
          <w:color w:val="auto"/>
          <w:sz w:val="24"/>
          <w:highlight w:val="none"/>
          <w:lang w:eastAsia="zh-CN"/>
        </w:rPr>
        <w:t>。</w:t>
      </w:r>
    </w:p>
    <w:p w14:paraId="3087C5CF">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如因</w:t>
      </w:r>
      <w:r>
        <w:rPr>
          <w:rFonts w:hint="eastAsia" w:ascii="宋体" w:hAnsi="宋体"/>
          <w:color w:val="auto"/>
          <w:sz w:val="24"/>
          <w:highlight w:val="none"/>
          <w:lang w:val="en-US" w:eastAsia="zh-CN"/>
        </w:rPr>
        <w:t>我方推荐的2名技术负责人</w:t>
      </w:r>
      <w:r>
        <w:rPr>
          <w:rFonts w:hint="eastAsia" w:ascii="宋体" w:hAnsi="宋体"/>
          <w:color w:val="auto"/>
          <w:sz w:val="24"/>
          <w:highlight w:val="none"/>
        </w:rPr>
        <w:t>未通过</w:t>
      </w:r>
      <w:r>
        <w:rPr>
          <w:rFonts w:hint="eastAsia" w:ascii="宋体" w:hAnsi="宋体"/>
          <w:color w:val="auto"/>
          <w:sz w:val="24"/>
          <w:highlight w:val="none"/>
          <w:lang w:val="en-US" w:eastAsia="zh-CN"/>
        </w:rPr>
        <w:t>主管部门审核</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我</w:t>
      </w:r>
      <w:r>
        <w:rPr>
          <w:rFonts w:hint="eastAsia" w:ascii="宋体" w:hAnsi="宋体"/>
          <w:color w:val="auto"/>
          <w:sz w:val="24"/>
          <w:highlight w:val="none"/>
        </w:rPr>
        <w:t>方向</w:t>
      </w:r>
      <w:r>
        <w:rPr>
          <w:rFonts w:hint="eastAsia" w:ascii="宋体" w:hAnsi="宋体"/>
          <w:color w:val="auto"/>
          <w:sz w:val="24"/>
          <w:highlight w:val="none"/>
          <w:lang w:val="en-US" w:eastAsia="zh-CN"/>
        </w:rPr>
        <w:t>采购人</w:t>
      </w:r>
      <w:r>
        <w:rPr>
          <w:rFonts w:hint="eastAsia" w:ascii="宋体" w:hAnsi="宋体"/>
          <w:color w:val="auto"/>
          <w:sz w:val="24"/>
          <w:highlight w:val="none"/>
        </w:rPr>
        <w:t>支付</w:t>
      </w:r>
      <w:r>
        <w:rPr>
          <w:rFonts w:hint="eastAsia" w:ascii="宋体" w:hAnsi="宋体"/>
          <w:color w:val="auto"/>
          <w:sz w:val="24"/>
          <w:highlight w:val="none"/>
          <w:lang w:val="en-US" w:eastAsia="zh-CN"/>
        </w:rPr>
        <w:t>合同金额的100%作为</w:t>
      </w:r>
      <w:r>
        <w:rPr>
          <w:rFonts w:hint="eastAsia" w:ascii="宋体" w:hAnsi="宋体"/>
          <w:color w:val="auto"/>
          <w:sz w:val="24"/>
          <w:highlight w:val="none"/>
        </w:rPr>
        <w:t>违约金，</w:t>
      </w:r>
      <w:r>
        <w:rPr>
          <w:rFonts w:hint="eastAsia" w:ascii="宋体" w:hAnsi="宋体"/>
          <w:color w:val="auto"/>
          <w:sz w:val="24"/>
          <w:highlight w:val="none"/>
          <w:lang w:val="en-US" w:eastAsia="zh-CN"/>
        </w:rPr>
        <w:t>如给采购人造成损失的，采购人有权向我方索赔相应损失，</w:t>
      </w:r>
      <w:r>
        <w:rPr>
          <w:rFonts w:hint="eastAsia" w:ascii="宋体" w:hAnsi="宋体"/>
          <w:color w:val="auto"/>
          <w:sz w:val="24"/>
          <w:highlight w:val="none"/>
        </w:rPr>
        <w:t>且</w:t>
      </w:r>
      <w:r>
        <w:rPr>
          <w:rFonts w:hint="eastAsia" w:ascii="宋体" w:hAnsi="宋体"/>
          <w:color w:val="auto"/>
          <w:sz w:val="24"/>
          <w:highlight w:val="none"/>
          <w:lang w:val="en-US" w:eastAsia="zh-CN"/>
        </w:rPr>
        <w:t>采购人</w:t>
      </w:r>
      <w:r>
        <w:rPr>
          <w:rFonts w:hint="eastAsia" w:ascii="宋体" w:hAnsi="宋体"/>
          <w:color w:val="auto"/>
          <w:sz w:val="24"/>
          <w:highlight w:val="none"/>
        </w:rPr>
        <w:t>有权终止合同。</w:t>
      </w:r>
    </w:p>
    <w:p w14:paraId="6EE3A8A5">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9、采购人</w:t>
      </w:r>
      <w:r>
        <w:rPr>
          <w:rFonts w:hint="eastAsia" w:ascii="宋体" w:hAnsi="宋体"/>
          <w:color w:val="auto"/>
          <w:sz w:val="24"/>
          <w:highlight w:val="none"/>
        </w:rPr>
        <w:t>若未在</w:t>
      </w:r>
      <w:r>
        <w:rPr>
          <w:rFonts w:hint="eastAsia" w:ascii="宋体" w:hAnsi="宋体"/>
          <w:color w:val="auto"/>
          <w:sz w:val="24"/>
          <w:highlight w:val="none"/>
          <w:lang w:eastAsia="zh-CN"/>
        </w:rPr>
        <w:t>2025</w:t>
      </w:r>
      <w:r>
        <w:rPr>
          <w:rFonts w:hint="eastAsia" w:ascii="宋体" w:hAnsi="宋体"/>
          <w:color w:val="auto"/>
          <w:sz w:val="24"/>
          <w:highlight w:val="none"/>
        </w:rPr>
        <w:t>年</w:t>
      </w:r>
      <w:r>
        <w:rPr>
          <w:rFonts w:hint="eastAsia" w:ascii="宋体" w:hAnsi="宋体"/>
          <w:color w:val="auto"/>
          <w:sz w:val="24"/>
          <w:highlight w:val="none"/>
          <w:lang w:val="en-US" w:eastAsia="zh-CN"/>
        </w:rPr>
        <w:t>7</w:t>
      </w:r>
      <w:r>
        <w:rPr>
          <w:rFonts w:hint="eastAsia" w:ascii="宋体" w:hAnsi="宋体"/>
          <w:color w:val="auto"/>
          <w:sz w:val="24"/>
          <w:highlight w:val="none"/>
        </w:rPr>
        <w:t>月3</w:t>
      </w:r>
      <w:r>
        <w:rPr>
          <w:rFonts w:hint="eastAsia" w:ascii="宋体" w:hAnsi="宋体"/>
          <w:color w:val="auto"/>
          <w:sz w:val="24"/>
          <w:highlight w:val="none"/>
          <w:lang w:val="en-US" w:eastAsia="zh-CN"/>
        </w:rPr>
        <w:t>1</w:t>
      </w:r>
      <w:r>
        <w:rPr>
          <w:rFonts w:hint="eastAsia" w:ascii="宋体" w:hAnsi="宋体"/>
          <w:color w:val="auto"/>
          <w:sz w:val="24"/>
          <w:highlight w:val="none"/>
        </w:rPr>
        <w:t>日前取得证书，每延期一天</w:t>
      </w:r>
      <w:r>
        <w:rPr>
          <w:rFonts w:hint="eastAsia" w:ascii="宋体" w:hAnsi="宋体"/>
          <w:color w:val="auto"/>
          <w:sz w:val="24"/>
          <w:highlight w:val="none"/>
          <w:lang w:val="en-US" w:eastAsia="zh-CN"/>
        </w:rPr>
        <w:t>我</w:t>
      </w:r>
      <w:r>
        <w:rPr>
          <w:rFonts w:hint="eastAsia" w:ascii="宋体" w:hAnsi="宋体"/>
          <w:color w:val="auto"/>
          <w:sz w:val="24"/>
          <w:highlight w:val="none"/>
        </w:rPr>
        <w:t>方向</w:t>
      </w:r>
      <w:r>
        <w:rPr>
          <w:rFonts w:hint="eastAsia" w:ascii="宋体" w:hAnsi="宋体"/>
          <w:color w:val="auto"/>
          <w:sz w:val="24"/>
          <w:highlight w:val="none"/>
          <w:lang w:val="en-US" w:eastAsia="zh-CN"/>
        </w:rPr>
        <w:t>采购人</w:t>
      </w:r>
      <w:r>
        <w:rPr>
          <w:rFonts w:hint="eastAsia" w:ascii="宋体" w:hAnsi="宋体"/>
          <w:color w:val="auto"/>
          <w:sz w:val="24"/>
          <w:highlight w:val="none"/>
        </w:rPr>
        <w:t>支付</w:t>
      </w:r>
      <w:r>
        <w:rPr>
          <w:rFonts w:hint="eastAsia" w:ascii="宋体" w:hAnsi="宋体"/>
          <w:color w:val="auto"/>
          <w:sz w:val="24"/>
          <w:highlight w:val="none"/>
          <w:lang w:val="en-US" w:eastAsia="zh-CN"/>
        </w:rPr>
        <w:t>1</w:t>
      </w:r>
      <w:r>
        <w:rPr>
          <w:rFonts w:hint="eastAsia" w:ascii="宋体" w:hAnsi="宋体"/>
          <w:color w:val="auto"/>
          <w:sz w:val="24"/>
          <w:highlight w:val="none"/>
        </w:rPr>
        <w:t>000元违约金。</w:t>
      </w:r>
    </w:p>
    <w:p w14:paraId="7490D3AD">
      <w:pPr>
        <w:tabs>
          <w:tab w:val="left" w:pos="1680"/>
          <w:tab w:val="left" w:pos="4215"/>
          <w:tab w:val="left" w:pos="4305"/>
          <w:tab w:val="left" w:pos="8000"/>
        </w:tabs>
        <w:autoSpaceDE w:val="0"/>
        <w:autoSpaceDN w:val="0"/>
        <w:adjustRightInd w:val="0"/>
        <w:snapToGrid w:val="0"/>
        <w:spacing w:line="480" w:lineRule="auto"/>
        <w:ind w:firstLine="480" w:firstLineChars="200"/>
        <w:rPr>
          <w:rFonts w:hint="default" w:ascii="宋体" w:hAnsi="宋体"/>
          <w:color w:val="auto"/>
          <w:sz w:val="24"/>
          <w:highlight w:val="none"/>
          <w:lang w:val="en-US" w:eastAsia="zh-CN"/>
        </w:rPr>
      </w:pPr>
      <w:r>
        <w:rPr>
          <w:rFonts w:hint="eastAsia" w:ascii="宋体" w:hAnsi="宋体"/>
          <w:color w:val="auto"/>
          <w:sz w:val="24"/>
          <w:highlight w:val="none"/>
          <w:lang w:val="en-US" w:eastAsia="zh-CN"/>
        </w:rPr>
        <w:t>10、报价人承诺所投项目成员具备相关咨询服务工作经历。</w:t>
      </w:r>
    </w:p>
    <w:p w14:paraId="3E0E3BDA">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color w:val="auto"/>
          <w:sz w:val="24"/>
          <w:highlight w:val="none"/>
        </w:rPr>
      </w:pPr>
      <w:r>
        <w:rPr>
          <w:rFonts w:hint="eastAsia" w:ascii="宋体" w:hAnsi="宋体"/>
          <w:color w:val="auto"/>
          <w:sz w:val="24"/>
          <w:highlight w:val="none"/>
        </w:rPr>
        <w:t>如我方违反上述承诺，隐瞒、提供虚假资料或不按竞争性比选文件要求组织实施，被贵方发现或被他人举报查实，无条件接受贵司的处罚，对造成的损失，任何法律和经济责任完全由我方承担。</w:t>
      </w:r>
    </w:p>
    <w:p w14:paraId="10FB3D1A">
      <w:pPr>
        <w:tabs>
          <w:tab w:val="left" w:pos="1680"/>
          <w:tab w:val="left" w:pos="4215"/>
          <w:tab w:val="left" w:pos="4305"/>
          <w:tab w:val="left" w:pos="8000"/>
        </w:tabs>
        <w:autoSpaceDE w:val="0"/>
        <w:autoSpaceDN w:val="0"/>
        <w:adjustRightInd w:val="0"/>
        <w:snapToGrid w:val="0"/>
        <w:spacing w:line="480" w:lineRule="auto"/>
        <w:ind w:firstLine="720" w:firstLineChars="300"/>
        <w:rPr>
          <w:rFonts w:hint="eastAsia" w:ascii="宋体" w:hAnsi="宋体"/>
          <w:color w:val="auto"/>
          <w:sz w:val="24"/>
          <w:highlight w:val="none"/>
        </w:rPr>
      </w:pPr>
    </w:p>
    <w:p w14:paraId="4D620265">
      <w:pPr>
        <w:pStyle w:val="2"/>
        <w:rPr>
          <w:rFonts w:hint="eastAsia" w:ascii="宋体" w:hAnsi="宋体"/>
          <w:color w:val="auto"/>
          <w:sz w:val="24"/>
          <w:highlight w:val="none"/>
        </w:rPr>
      </w:pPr>
    </w:p>
    <w:p w14:paraId="49BA19B6">
      <w:pPr>
        <w:pStyle w:val="2"/>
        <w:rPr>
          <w:rFonts w:hint="eastAsia" w:ascii="宋体" w:hAnsi="宋体"/>
          <w:color w:val="auto"/>
          <w:sz w:val="24"/>
          <w:highlight w:val="none"/>
        </w:rPr>
      </w:pPr>
    </w:p>
    <w:p w14:paraId="648749F1">
      <w:pPr>
        <w:pStyle w:val="2"/>
        <w:rPr>
          <w:rFonts w:hint="eastAsia" w:ascii="宋体" w:hAnsi="宋体"/>
          <w:color w:val="auto"/>
          <w:sz w:val="24"/>
          <w:highlight w:val="none"/>
        </w:rPr>
      </w:pPr>
    </w:p>
    <w:p w14:paraId="4A2E981B">
      <w:pPr>
        <w:pStyle w:val="2"/>
        <w:rPr>
          <w:rFonts w:hint="eastAsia" w:ascii="宋体" w:hAnsi="宋体"/>
          <w:color w:val="auto"/>
          <w:sz w:val="24"/>
          <w:highlight w:val="none"/>
        </w:rPr>
      </w:pPr>
    </w:p>
    <w:p w14:paraId="26E52BC3">
      <w:pPr>
        <w:pStyle w:val="2"/>
        <w:spacing w:line="480" w:lineRule="auto"/>
        <w:rPr>
          <w:rFonts w:ascii="宋体" w:hAnsi="宋体"/>
          <w:color w:val="auto"/>
          <w:sz w:val="24"/>
          <w:highlight w:val="none"/>
        </w:rPr>
      </w:pPr>
    </w:p>
    <w:p w14:paraId="42BCABF1">
      <w:pPr>
        <w:keepNext w:val="0"/>
        <w:keepLines w:val="0"/>
        <w:widowControl w:val="0"/>
        <w:suppressLineNumbers w:val="0"/>
        <w:spacing w:before="0" w:beforeAutospacing="0" w:after="0" w:afterAutospacing="0" w:line="480" w:lineRule="auto"/>
        <w:ind w:left="0" w:right="0"/>
        <w:jc w:val="both"/>
        <w:rPr>
          <w:rFonts w:ascii="宋体" w:hAnsi="宋体"/>
          <w:color w:val="auto"/>
          <w:sz w:val="24"/>
          <w:highlight w:val="none"/>
        </w:rPr>
      </w:pPr>
      <w:r>
        <w:rPr>
          <w:rFonts w:hint="eastAsia" w:ascii="宋体" w:hAnsi="宋体"/>
          <w:color w:val="auto"/>
          <w:sz w:val="24"/>
          <w:highlight w:val="none"/>
        </w:rPr>
        <w:t xml:space="preserve">                                        承诺人：</w:t>
      </w:r>
      <w:r>
        <w:rPr>
          <w:rFonts w:hint="eastAsia" w:ascii="宋体" w:hAnsi="宋体" w:eastAsia="宋体" w:cs="Times New Roman"/>
          <w:color w:val="auto"/>
          <w:kern w:val="2"/>
          <w:sz w:val="24"/>
          <w:szCs w:val="24"/>
          <w:highlight w:val="none"/>
          <w:lang w:val="en-US" w:eastAsia="zh-CN" w:bidi="ar"/>
        </w:rPr>
        <w:t>XX公司</w:t>
      </w:r>
    </w:p>
    <w:p w14:paraId="1B2BB89C">
      <w:pPr>
        <w:pStyle w:val="2"/>
        <w:spacing w:line="480" w:lineRule="auto"/>
        <w:rPr>
          <w:rFonts w:hint="eastAsia" w:ascii="宋体" w:hAnsi="宋体"/>
          <w:color w:val="auto"/>
          <w:sz w:val="24"/>
          <w:highlight w:val="none"/>
        </w:rPr>
      </w:pPr>
      <w:r>
        <w:rPr>
          <w:rFonts w:hint="eastAsia" w:ascii="宋体" w:hAnsi="宋体"/>
          <w:color w:val="auto"/>
          <w:sz w:val="24"/>
          <w:highlight w:val="none"/>
        </w:rPr>
        <w:t xml:space="preserve">                                        日期：</w:t>
      </w:r>
    </w:p>
    <w:p w14:paraId="4B6B93E2">
      <w:pPr>
        <w:rPr>
          <w:rFonts w:hint="eastAsia" w:ascii="宋体" w:hAnsi="宋体"/>
          <w:color w:val="auto"/>
          <w:sz w:val="24"/>
          <w:highlight w:val="none"/>
        </w:rPr>
      </w:pPr>
    </w:p>
    <w:p w14:paraId="0065F4FC">
      <w:pPr>
        <w:rPr>
          <w:rFonts w:hint="eastAsia" w:ascii="宋体" w:hAnsi="宋体"/>
          <w:color w:val="auto"/>
          <w:sz w:val="24"/>
          <w:highlight w:val="none"/>
        </w:rPr>
      </w:pPr>
    </w:p>
    <w:p w14:paraId="13E23E05">
      <w:pPr>
        <w:rPr>
          <w:rFonts w:hint="eastAsia" w:ascii="宋体" w:hAnsi="宋体"/>
          <w:color w:val="auto"/>
          <w:sz w:val="24"/>
          <w:highlight w:val="none"/>
        </w:rPr>
      </w:pPr>
    </w:p>
    <w:p w14:paraId="405F1490">
      <w:pPr>
        <w:rPr>
          <w:rFonts w:hint="eastAsia" w:ascii="宋体" w:hAnsi="宋体"/>
          <w:color w:val="auto"/>
          <w:sz w:val="24"/>
          <w:highlight w:val="none"/>
        </w:rPr>
      </w:pPr>
    </w:p>
    <w:p w14:paraId="10CD1D5C">
      <w:pPr>
        <w:rPr>
          <w:rFonts w:hint="eastAsia" w:ascii="宋体" w:hAnsi="宋体"/>
          <w:color w:val="auto"/>
          <w:sz w:val="24"/>
          <w:highlight w:val="none"/>
        </w:rPr>
      </w:pPr>
    </w:p>
    <w:p w14:paraId="00CB71FD">
      <w:pPr>
        <w:rPr>
          <w:rFonts w:hint="eastAsia" w:ascii="宋体" w:hAnsi="宋体"/>
          <w:color w:val="auto"/>
          <w:sz w:val="24"/>
          <w:highlight w:val="none"/>
        </w:rPr>
      </w:pPr>
    </w:p>
    <w:p w14:paraId="3A9CC8EF">
      <w:pPr>
        <w:rPr>
          <w:rFonts w:hint="eastAsia" w:ascii="宋体" w:hAnsi="宋体"/>
          <w:color w:val="auto"/>
          <w:sz w:val="24"/>
          <w:highlight w:val="none"/>
        </w:rPr>
      </w:pPr>
    </w:p>
    <w:p w14:paraId="2573CC7E">
      <w:pPr>
        <w:rPr>
          <w:rFonts w:hint="eastAsia" w:ascii="宋体" w:hAnsi="宋体"/>
          <w:color w:val="auto"/>
          <w:sz w:val="24"/>
          <w:highlight w:val="none"/>
        </w:rPr>
      </w:pPr>
    </w:p>
    <w:p w14:paraId="5A81ABC1">
      <w:pPr>
        <w:pStyle w:val="2"/>
        <w:rPr>
          <w:rFonts w:hint="eastAsia" w:ascii="宋体" w:hAnsi="宋体"/>
          <w:color w:val="auto"/>
          <w:sz w:val="24"/>
          <w:highlight w:val="none"/>
        </w:rPr>
      </w:pPr>
    </w:p>
    <w:p w14:paraId="247B37F4">
      <w:pPr>
        <w:pStyle w:val="2"/>
        <w:rPr>
          <w:rFonts w:hint="eastAsia" w:ascii="宋体" w:hAnsi="宋体"/>
          <w:color w:val="auto"/>
          <w:sz w:val="24"/>
          <w:highlight w:val="none"/>
        </w:rPr>
      </w:pPr>
    </w:p>
    <w:p w14:paraId="21C52884">
      <w:pPr>
        <w:pStyle w:val="2"/>
        <w:rPr>
          <w:rFonts w:hint="eastAsia" w:ascii="宋体" w:hAnsi="宋体"/>
          <w:color w:val="auto"/>
          <w:sz w:val="24"/>
          <w:highlight w:val="none"/>
        </w:rPr>
      </w:pPr>
    </w:p>
    <w:p w14:paraId="7557671C">
      <w:pPr>
        <w:pStyle w:val="2"/>
        <w:rPr>
          <w:rFonts w:hint="eastAsia" w:ascii="宋体" w:hAnsi="宋体"/>
          <w:color w:val="auto"/>
          <w:sz w:val="24"/>
          <w:highlight w:val="none"/>
        </w:rPr>
      </w:pPr>
    </w:p>
    <w:p w14:paraId="76C2019B">
      <w:pPr>
        <w:rPr>
          <w:rFonts w:hint="eastAsia" w:ascii="宋体" w:hAnsi="宋体"/>
          <w:color w:val="auto"/>
          <w:sz w:val="24"/>
          <w:highlight w:val="none"/>
        </w:rPr>
      </w:pPr>
    </w:p>
    <w:p w14:paraId="786CBC38">
      <w:pPr>
        <w:jc w:val="center"/>
        <w:rPr>
          <w:rFonts w:hint="eastAsia" w:ascii="宋体" w:hAnsi="宋体"/>
          <w:color w:val="auto"/>
          <w:sz w:val="24"/>
          <w:highlight w:val="none"/>
        </w:rPr>
      </w:pPr>
      <w:r>
        <w:rPr>
          <w:rFonts w:hint="eastAsia" w:ascii="宋体" w:hAnsi="宋体" w:eastAsia="宋体" w:cs="宋体"/>
          <w:b/>
          <w:bCs/>
          <w:color w:val="auto"/>
          <w:kern w:val="0"/>
          <w:sz w:val="28"/>
          <w:szCs w:val="32"/>
          <w:highlight w:val="none"/>
          <w:lang w:val="en-US" w:eastAsia="zh-CN" w:bidi="ar-SA"/>
        </w:rPr>
        <w:t>（二）信誉要求承诺</w:t>
      </w:r>
    </w:p>
    <w:p w14:paraId="5FF3811B">
      <w:pPr>
        <w:rPr>
          <w:rFonts w:hint="eastAsia" w:ascii="宋体" w:hAnsi="宋体"/>
          <w:color w:val="auto"/>
          <w:sz w:val="24"/>
          <w:highlight w:val="none"/>
        </w:rPr>
      </w:pPr>
    </w:p>
    <w:p w14:paraId="0CECAF74">
      <w:pPr>
        <w:pStyle w:val="39"/>
        <w:spacing w:line="480" w:lineRule="auto"/>
        <w:jc w:val="both"/>
        <w:rPr>
          <w:rFonts w:hint="eastAsia" w:ascii="宋体" w:hAnsi="宋体"/>
          <w:color w:val="auto"/>
          <w:sz w:val="24"/>
          <w:highlight w:val="none"/>
        </w:rPr>
      </w:pPr>
      <w:r>
        <w:rPr>
          <w:rFonts w:hint="eastAsia" w:hAnsi="宋体"/>
          <w:color w:val="auto"/>
          <w:highlight w:val="none"/>
        </w:rPr>
        <w:t>致：</w:t>
      </w:r>
      <w:r>
        <w:rPr>
          <w:rFonts w:hint="eastAsia" w:hAnsi="宋体"/>
          <w:color w:val="auto"/>
          <w:highlight w:val="none"/>
          <w:u w:val="single"/>
        </w:rPr>
        <w:t>重庆首讯科技股份有限公司</w:t>
      </w:r>
    </w:p>
    <w:p w14:paraId="162ACB29">
      <w:pPr>
        <w:tabs>
          <w:tab w:val="left" w:pos="1680"/>
          <w:tab w:val="left" w:pos="4215"/>
          <w:tab w:val="left" w:pos="4305"/>
          <w:tab w:val="left" w:pos="8000"/>
        </w:tabs>
        <w:autoSpaceDE w:val="0"/>
        <w:autoSpaceDN w:val="0"/>
        <w:adjustRightInd w:val="0"/>
        <w:snapToGrid w:val="0"/>
        <w:spacing w:line="480" w:lineRule="auto"/>
        <w:rPr>
          <w:rFonts w:hint="eastAsia" w:ascii="宋体" w:hAnsi="宋体" w:eastAsia="宋体" w:cs="Times New Roman"/>
          <w:color w:val="auto"/>
          <w:sz w:val="24"/>
          <w:highlight w:val="none"/>
          <w:lang w:val="en-US" w:eastAsia="zh-CN"/>
        </w:rPr>
      </w:pPr>
    </w:p>
    <w:p w14:paraId="3251ECDC">
      <w:pPr>
        <w:keepNext w:val="0"/>
        <w:keepLines w:val="0"/>
        <w:widowControl w:val="0"/>
        <w:suppressLineNumbers w:val="0"/>
        <w:spacing w:before="0" w:beforeAutospacing="0" w:after="0" w:afterAutospacing="0" w:line="480" w:lineRule="auto"/>
        <w:ind w:right="0" w:firstLine="480" w:firstLineChars="200"/>
        <w:jc w:val="both"/>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lang w:val="en-US" w:eastAsia="zh-CN"/>
        </w:rPr>
        <w:t>我公司</w:t>
      </w:r>
      <w:r>
        <w:rPr>
          <w:rFonts w:hint="eastAsia" w:ascii="宋体" w:hAnsi="宋体" w:eastAsia="宋体" w:cs="Times New Roman"/>
          <w:color w:val="auto"/>
          <w:sz w:val="24"/>
          <w:highlight w:val="none"/>
        </w:rPr>
        <w:t>在此承诺</w:t>
      </w:r>
      <w:r>
        <w:rPr>
          <w:rFonts w:hint="eastAsia" w:ascii="宋体" w:hAnsi="宋体" w:eastAsia="宋体" w:cs="Times New Roman"/>
          <w:color w:val="auto"/>
          <w:sz w:val="24"/>
          <w:highlight w:val="none"/>
          <w:lang w:eastAsia="zh-CN"/>
        </w:rPr>
        <w:t>：</w:t>
      </w:r>
      <w:r>
        <w:rPr>
          <w:rFonts w:hint="eastAsia" w:ascii="宋体" w:hAnsi="宋体" w:eastAsia="宋体" w:cs="Times New Roman"/>
          <w:color w:val="auto"/>
          <w:sz w:val="24"/>
          <w:highlight w:val="none"/>
        </w:rPr>
        <w:t>我公司具有良好的商业信誉，在国家企业信用信息公示系统（http://www.gsxt.gov.cn/）中未被列入严重违法失信企业名单（黑名单）信息；在“信用中国”网站（http://www.creditchina.gov.cn/）中未被列入严重失信主体名单。</w:t>
      </w:r>
    </w:p>
    <w:p w14:paraId="46304435">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60BAC565">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1FE4CD26">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72B0B447">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3E40B88F">
      <w:pPr>
        <w:keepNext w:val="0"/>
        <w:keepLines w:val="0"/>
        <w:widowControl w:val="0"/>
        <w:suppressLineNumbers w:val="0"/>
        <w:spacing w:before="0" w:beforeAutospacing="0" w:after="0" w:afterAutospacing="0" w:line="480" w:lineRule="auto"/>
        <w:ind w:left="0" w:right="0"/>
        <w:jc w:val="both"/>
        <w:rPr>
          <w:rFonts w:hint="eastAsia" w:ascii="宋体" w:hAnsi="宋体" w:eastAsia="宋体" w:cs="Times New Roman"/>
          <w:color w:val="auto"/>
          <w:sz w:val="24"/>
          <w:highlight w:val="none"/>
        </w:rPr>
      </w:pPr>
    </w:p>
    <w:p w14:paraId="7032AF20">
      <w:pPr>
        <w:keepNext w:val="0"/>
        <w:keepLines w:val="0"/>
        <w:widowControl w:val="0"/>
        <w:suppressLineNumbers w:val="0"/>
        <w:spacing w:before="0" w:beforeAutospacing="0" w:after="0" w:afterAutospacing="0" w:line="480" w:lineRule="auto"/>
        <w:ind w:left="0" w:right="0" w:firstLine="4800" w:firstLineChars="2000"/>
        <w:jc w:val="both"/>
        <w:rPr>
          <w:rFonts w:ascii="宋体" w:hAnsi="宋体"/>
          <w:color w:val="auto"/>
          <w:sz w:val="24"/>
          <w:highlight w:val="none"/>
        </w:rPr>
      </w:pPr>
      <w:r>
        <w:rPr>
          <w:rFonts w:hint="eastAsia" w:ascii="宋体" w:hAnsi="宋体"/>
          <w:color w:val="auto"/>
          <w:sz w:val="24"/>
          <w:highlight w:val="none"/>
        </w:rPr>
        <w:t>承诺人：</w:t>
      </w:r>
      <w:r>
        <w:rPr>
          <w:rFonts w:hint="eastAsia" w:ascii="宋体" w:hAnsi="宋体" w:eastAsia="宋体" w:cs="Times New Roman"/>
          <w:color w:val="auto"/>
          <w:kern w:val="2"/>
          <w:sz w:val="24"/>
          <w:szCs w:val="24"/>
          <w:highlight w:val="none"/>
          <w:lang w:val="en-US" w:eastAsia="zh-CN" w:bidi="ar"/>
        </w:rPr>
        <w:t>XX公司</w:t>
      </w:r>
    </w:p>
    <w:p w14:paraId="1D6E0E8D">
      <w:pPr>
        <w:pStyle w:val="2"/>
        <w:spacing w:line="480" w:lineRule="auto"/>
        <w:rPr>
          <w:rFonts w:hint="eastAsia" w:ascii="宋体" w:hAnsi="宋体"/>
          <w:color w:val="auto"/>
          <w:sz w:val="24"/>
          <w:highlight w:val="none"/>
        </w:rPr>
      </w:pPr>
      <w:r>
        <w:rPr>
          <w:rFonts w:hint="eastAsia" w:ascii="宋体" w:hAnsi="宋体"/>
          <w:color w:val="auto"/>
          <w:sz w:val="24"/>
          <w:highlight w:val="none"/>
        </w:rPr>
        <w:t xml:space="preserve">                                        日期：</w:t>
      </w:r>
    </w:p>
    <w:p w14:paraId="19B952A1">
      <w:pPr>
        <w:tabs>
          <w:tab w:val="left" w:pos="1680"/>
          <w:tab w:val="left" w:pos="4215"/>
          <w:tab w:val="left" w:pos="4305"/>
          <w:tab w:val="left" w:pos="8000"/>
        </w:tabs>
        <w:autoSpaceDE w:val="0"/>
        <w:autoSpaceDN w:val="0"/>
        <w:adjustRightInd w:val="0"/>
        <w:snapToGrid w:val="0"/>
        <w:spacing w:line="480" w:lineRule="auto"/>
        <w:ind w:firstLine="480" w:firstLineChars="200"/>
        <w:rPr>
          <w:rFonts w:hint="eastAsia" w:ascii="宋体" w:hAnsi="宋体" w:eastAsia="宋体" w:cs="Times New Roman"/>
          <w:color w:val="auto"/>
          <w:sz w:val="24"/>
          <w:highlight w:val="none"/>
        </w:rPr>
      </w:pPr>
    </w:p>
    <w:p w14:paraId="70103562">
      <w:pPr>
        <w:rPr>
          <w:rFonts w:hint="eastAsia" w:ascii="宋体" w:hAnsi="宋体"/>
          <w:color w:val="auto"/>
          <w:sz w:val="24"/>
          <w:highlight w:val="none"/>
        </w:rPr>
      </w:pPr>
    </w:p>
    <w:p w14:paraId="4840C9C5">
      <w:pPr>
        <w:pStyle w:val="2"/>
        <w:rPr>
          <w:rFonts w:ascii="宋体" w:hAnsi="宋体"/>
          <w:color w:val="auto"/>
          <w:sz w:val="24"/>
          <w:highlight w:val="none"/>
        </w:rPr>
      </w:pPr>
    </w:p>
    <w:p w14:paraId="74AAE04F">
      <w:pPr>
        <w:rPr>
          <w:rFonts w:ascii="宋体" w:hAnsi="宋体"/>
          <w:color w:val="auto"/>
          <w:sz w:val="24"/>
          <w:highlight w:val="none"/>
        </w:rPr>
      </w:pPr>
    </w:p>
    <w:p w14:paraId="2E13688B">
      <w:pPr>
        <w:rPr>
          <w:color w:val="auto"/>
          <w:highlight w:val="none"/>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pPr>
      <w:r>
        <w:rPr>
          <w:color w:val="auto"/>
          <w:highlight w:val="none"/>
        </w:rPr>
        <w:br w:type="page"/>
      </w:r>
    </w:p>
    <w:p w14:paraId="73BAD8B0">
      <w:pPr>
        <w:spacing w:line="360" w:lineRule="auto"/>
        <w:ind w:firstLine="562" w:firstLineChars="200"/>
        <w:jc w:val="center"/>
        <w:rPr>
          <w:rFonts w:hint="default" w:ascii="宋体" w:hAnsi="宋体" w:eastAsia="宋体" w:cs="宋体"/>
          <w:b/>
          <w:bCs/>
          <w:color w:val="auto"/>
          <w:kern w:val="0"/>
          <w:sz w:val="28"/>
          <w:szCs w:val="32"/>
          <w:highlight w:val="none"/>
          <w:lang w:val="en-US" w:eastAsia="zh-CN" w:bidi="ar-SA"/>
        </w:rPr>
      </w:pPr>
      <w:r>
        <w:rPr>
          <w:rFonts w:hint="eastAsia" w:ascii="宋体" w:hAnsi="宋体" w:eastAsia="宋体" w:cs="宋体"/>
          <w:b/>
          <w:bCs/>
          <w:color w:val="auto"/>
          <w:kern w:val="0"/>
          <w:sz w:val="28"/>
          <w:szCs w:val="32"/>
          <w:highlight w:val="none"/>
          <w:lang w:val="en-US" w:eastAsia="zh-CN" w:bidi="ar-SA"/>
        </w:rPr>
        <w:t>（三）报价人自行承诺部分</w:t>
      </w:r>
    </w:p>
    <w:p w14:paraId="196118C4">
      <w:pPr>
        <w:spacing w:line="360" w:lineRule="auto"/>
        <w:ind w:firstLine="420" w:firstLineChars="200"/>
        <w:jc w:val="left"/>
        <w:rPr>
          <w:rFonts w:hint="eastAsia" w:ascii="宋体" w:hAnsi="宋体" w:cs="宋体"/>
          <w:color w:val="auto"/>
          <w:kern w:val="0"/>
          <w:szCs w:val="21"/>
          <w:highlight w:val="none"/>
          <w:lang w:val="en-US" w:eastAsia="zh-CN"/>
        </w:rPr>
      </w:pPr>
    </w:p>
    <w:p w14:paraId="400E455E">
      <w:pPr>
        <w:spacing w:line="360" w:lineRule="auto"/>
        <w:ind w:firstLine="420" w:firstLineChars="200"/>
        <w:jc w:val="left"/>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如：人员、机械、技术指标等其他承诺</w:t>
      </w:r>
    </w:p>
    <w:p w14:paraId="3ED3B5E6">
      <w:pPr>
        <w:spacing w:line="360" w:lineRule="auto"/>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比选文件中要求报价人自行承诺的，由报价人按比选文件要求内容承诺，格式自拟。</w:t>
      </w:r>
    </w:p>
    <w:p w14:paraId="09A81DF6">
      <w:pPr>
        <w:pStyle w:val="2"/>
        <w:rPr>
          <w:rFonts w:ascii="宋体" w:hAnsi="宋体"/>
          <w:color w:val="auto"/>
          <w:sz w:val="24"/>
          <w:highlight w:val="none"/>
        </w:rPr>
      </w:pPr>
    </w:p>
    <w:p w14:paraId="1F5B769B">
      <w:pPr>
        <w:rPr>
          <w:rFonts w:ascii="宋体" w:hAnsi="宋体"/>
          <w:color w:val="auto"/>
          <w:sz w:val="24"/>
          <w:highlight w:val="none"/>
        </w:rPr>
      </w:pPr>
    </w:p>
    <w:p w14:paraId="16AA1F3D">
      <w:pPr>
        <w:rPr>
          <w:color w:val="auto"/>
          <w:highlight w:val="none"/>
        </w:rPr>
      </w:pPr>
      <w:r>
        <w:rPr>
          <w:color w:val="auto"/>
          <w:highlight w:val="none"/>
        </w:rPr>
        <w:br w:type="page"/>
      </w:r>
    </w:p>
    <w:p w14:paraId="54687D5C">
      <w:pPr>
        <w:pStyle w:val="4"/>
        <w:numPr>
          <w:ilvl w:val="0"/>
          <w:numId w:val="0"/>
        </w:numPr>
        <w:spacing w:before="0" w:after="0" w:line="360" w:lineRule="auto"/>
        <w:ind w:firstLine="420" w:firstLineChars="0"/>
        <w:jc w:val="center"/>
        <w:rPr>
          <w:rFonts w:ascii="宋体" w:hAnsi="宋体" w:eastAsia="宋体" w:cs="宋体"/>
          <w:color w:val="auto"/>
          <w:sz w:val="28"/>
          <w:highlight w:val="none"/>
        </w:rPr>
      </w:pPr>
      <w:bookmarkStart w:id="901" w:name="_Toc6506"/>
      <w:bookmarkStart w:id="902" w:name="_Toc17409"/>
      <w:r>
        <w:rPr>
          <w:rFonts w:hint="eastAsia" w:ascii="宋体" w:hAnsi="宋体" w:eastAsia="宋体" w:cs="宋体"/>
          <w:b/>
          <w:bCs/>
          <w:color w:val="auto"/>
          <w:kern w:val="0"/>
          <w:sz w:val="28"/>
          <w:szCs w:val="32"/>
          <w:highlight w:val="none"/>
          <w:lang w:val="en-US" w:eastAsia="zh-CN" w:bidi="ar-SA"/>
        </w:rPr>
        <w:t>八、</w:t>
      </w:r>
      <w:r>
        <w:rPr>
          <w:rFonts w:hint="eastAsia" w:ascii="宋体" w:hAnsi="宋体" w:eastAsia="宋体" w:cs="宋体"/>
          <w:color w:val="auto"/>
          <w:sz w:val="28"/>
          <w:highlight w:val="none"/>
        </w:rPr>
        <w:t>报价人提供的其他资料</w:t>
      </w:r>
      <w:bookmarkEnd w:id="901"/>
      <w:bookmarkEnd w:id="902"/>
    </w:p>
    <w:p w14:paraId="11953903">
      <w:pPr>
        <w:rPr>
          <w:color w:val="auto"/>
          <w:highlight w:val="none"/>
        </w:rPr>
      </w:pPr>
    </w:p>
    <w:p w14:paraId="6E942442">
      <w:pPr>
        <w:pStyle w:val="5"/>
        <w:spacing w:before="0" w:after="0" w:line="360" w:lineRule="auto"/>
        <w:jc w:val="center"/>
        <w:rPr>
          <w:color w:val="auto"/>
          <w:sz w:val="28"/>
          <w:szCs w:val="28"/>
          <w:highlight w:val="none"/>
        </w:rPr>
      </w:pPr>
      <w:bookmarkStart w:id="903" w:name="_Toc508110857"/>
      <w:bookmarkStart w:id="904" w:name="_Toc452107137"/>
      <w:bookmarkStart w:id="905" w:name="_Toc4375"/>
      <w:r>
        <w:rPr>
          <w:rFonts w:hint="eastAsia"/>
          <w:color w:val="auto"/>
          <w:sz w:val="28"/>
          <w:szCs w:val="28"/>
          <w:highlight w:val="none"/>
        </w:rPr>
        <w:t>（一）报价人基本信息表</w:t>
      </w:r>
      <w:bookmarkEnd w:id="903"/>
      <w:bookmarkEnd w:id="904"/>
      <w:bookmarkEnd w:id="905"/>
    </w:p>
    <w:p w14:paraId="2EB61C99">
      <w:pPr>
        <w:pStyle w:val="27"/>
        <w:rPr>
          <w:color w:val="auto"/>
          <w:highlight w:val="none"/>
        </w:rPr>
      </w:pPr>
    </w:p>
    <w:tbl>
      <w:tblPr>
        <w:tblStyle w:val="44"/>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6F9FD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F39F85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3D128EC">
            <w:pPr>
              <w:topLinePunct/>
              <w:spacing w:line="440" w:lineRule="exact"/>
              <w:jc w:val="center"/>
              <w:rPr>
                <w:rFonts w:ascii="宋体" w:hAnsi="宋体" w:cs="宋体"/>
                <w:color w:val="auto"/>
                <w:szCs w:val="21"/>
                <w:highlight w:val="none"/>
              </w:rPr>
            </w:pPr>
          </w:p>
        </w:tc>
      </w:tr>
      <w:tr w14:paraId="5EDB1A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50ED43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4AEAAF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5E688EAF">
            <w:pPr>
              <w:topLinePunct/>
              <w:spacing w:line="440" w:lineRule="exact"/>
              <w:jc w:val="center"/>
              <w:rPr>
                <w:rFonts w:ascii="宋体" w:hAnsi="宋体" w:cs="宋体"/>
                <w:color w:val="auto"/>
                <w:szCs w:val="21"/>
                <w:highlight w:val="none"/>
              </w:rPr>
            </w:pPr>
          </w:p>
        </w:tc>
      </w:tr>
      <w:tr w14:paraId="3AF379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0056DAD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7207A528">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6666765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00A381DC">
            <w:pPr>
              <w:topLinePunct/>
              <w:spacing w:line="440" w:lineRule="exact"/>
              <w:jc w:val="center"/>
              <w:rPr>
                <w:rFonts w:ascii="宋体" w:hAnsi="宋体" w:cs="宋体"/>
                <w:color w:val="auto"/>
                <w:szCs w:val="21"/>
                <w:highlight w:val="none"/>
              </w:rPr>
            </w:pPr>
          </w:p>
        </w:tc>
      </w:tr>
      <w:tr w14:paraId="55803F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FACF0D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15EC238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EF9747D">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620CE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0F2C768E">
            <w:pPr>
              <w:topLinePunct/>
              <w:spacing w:line="440" w:lineRule="exact"/>
              <w:jc w:val="center"/>
              <w:rPr>
                <w:rFonts w:ascii="宋体" w:hAnsi="宋体" w:cs="宋体"/>
                <w:color w:val="auto"/>
                <w:szCs w:val="21"/>
                <w:highlight w:val="none"/>
              </w:rPr>
            </w:pPr>
          </w:p>
        </w:tc>
      </w:tr>
      <w:tr w14:paraId="4DA4C3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747C200">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320712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6C8E7B7">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8DEC4A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4E2A4CF">
            <w:pPr>
              <w:topLinePunct/>
              <w:spacing w:line="440" w:lineRule="exact"/>
              <w:jc w:val="center"/>
              <w:rPr>
                <w:rFonts w:ascii="宋体" w:hAnsi="宋体" w:cs="宋体"/>
                <w:color w:val="auto"/>
                <w:szCs w:val="21"/>
                <w:highlight w:val="none"/>
              </w:rPr>
            </w:pPr>
          </w:p>
        </w:tc>
      </w:tr>
      <w:tr w14:paraId="300F82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56465CA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2CBA647">
            <w:pPr>
              <w:topLinePunct/>
              <w:spacing w:line="440" w:lineRule="exact"/>
              <w:jc w:val="center"/>
              <w:rPr>
                <w:rFonts w:ascii="宋体" w:hAnsi="宋体" w:cs="宋体"/>
                <w:color w:val="auto"/>
                <w:szCs w:val="21"/>
                <w:highlight w:val="none"/>
              </w:rPr>
            </w:pPr>
          </w:p>
        </w:tc>
      </w:tr>
      <w:tr w14:paraId="1B7908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0C08CF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71B4406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39C3AA3">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0B48BF6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D92474B">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E94C62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585EBDD">
            <w:pPr>
              <w:topLinePunct/>
              <w:spacing w:line="440" w:lineRule="exact"/>
              <w:jc w:val="center"/>
              <w:rPr>
                <w:rFonts w:ascii="宋体" w:hAnsi="宋体" w:cs="宋体"/>
                <w:color w:val="auto"/>
                <w:szCs w:val="21"/>
                <w:highlight w:val="none"/>
              </w:rPr>
            </w:pPr>
          </w:p>
        </w:tc>
      </w:tr>
      <w:tr w14:paraId="4CFBCE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632C5E8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15BE7D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7B90E3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0EAE9B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3CAFE54">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599321B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37866D2">
            <w:pPr>
              <w:topLinePunct/>
              <w:spacing w:line="440" w:lineRule="exact"/>
              <w:jc w:val="center"/>
              <w:rPr>
                <w:rFonts w:ascii="宋体" w:hAnsi="宋体" w:cs="宋体"/>
                <w:color w:val="auto"/>
                <w:szCs w:val="21"/>
                <w:highlight w:val="none"/>
              </w:rPr>
            </w:pPr>
          </w:p>
        </w:tc>
      </w:tr>
      <w:tr w14:paraId="3F3484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7CD8C7C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99A1CD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1A2E32D9">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58C3D6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26AF7EA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588D4B4">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79FC282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D4B113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C54BCC9">
            <w:pPr>
              <w:topLinePunct/>
              <w:spacing w:line="440" w:lineRule="exact"/>
              <w:jc w:val="center"/>
              <w:rPr>
                <w:rFonts w:ascii="宋体" w:hAnsi="宋体" w:cs="宋体"/>
                <w:color w:val="auto"/>
                <w:szCs w:val="21"/>
                <w:highlight w:val="none"/>
              </w:rPr>
            </w:pPr>
          </w:p>
        </w:tc>
      </w:tr>
      <w:tr w14:paraId="0BEC94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733AD0E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506BEE5">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120FAB7">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52E43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4AB8F93">
            <w:pPr>
              <w:topLinePunct/>
              <w:spacing w:line="440" w:lineRule="exact"/>
              <w:jc w:val="center"/>
              <w:rPr>
                <w:rFonts w:ascii="宋体" w:hAnsi="宋体" w:cs="宋体"/>
                <w:color w:val="auto"/>
                <w:szCs w:val="21"/>
                <w:highlight w:val="none"/>
              </w:rPr>
            </w:pPr>
          </w:p>
        </w:tc>
      </w:tr>
      <w:tr w14:paraId="785319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B1BEB0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D4383F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40F52B5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741AD7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7042468">
            <w:pPr>
              <w:topLinePunct/>
              <w:spacing w:line="440" w:lineRule="exact"/>
              <w:jc w:val="center"/>
              <w:rPr>
                <w:rFonts w:ascii="宋体" w:hAnsi="宋体" w:cs="宋体"/>
                <w:color w:val="auto"/>
                <w:szCs w:val="21"/>
                <w:highlight w:val="none"/>
              </w:rPr>
            </w:pPr>
          </w:p>
        </w:tc>
      </w:tr>
      <w:tr w14:paraId="01969C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6976659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E90BD7B">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38B260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E9BC6B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E8228CA">
            <w:pPr>
              <w:topLinePunct/>
              <w:spacing w:line="440" w:lineRule="exact"/>
              <w:jc w:val="center"/>
              <w:rPr>
                <w:rFonts w:ascii="宋体" w:hAnsi="宋体" w:cs="宋体"/>
                <w:color w:val="auto"/>
                <w:szCs w:val="21"/>
                <w:highlight w:val="none"/>
              </w:rPr>
            </w:pPr>
          </w:p>
        </w:tc>
      </w:tr>
      <w:tr w14:paraId="459560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417F553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604D0C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C5FBCFC">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7CB372D">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C287F1C">
            <w:pPr>
              <w:topLinePunct/>
              <w:spacing w:line="440" w:lineRule="exact"/>
              <w:jc w:val="center"/>
              <w:rPr>
                <w:rFonts w:ascii="宋体" w:hAnsi="宋体" w:cs="宋体"/>
                <w:color w:val="auto"/>
                <w:szCs w:val="21"/>
                <w:highlight w:val="none"/>
              </w:rPr>
            </w:pPr>
          </w:p>
        </w:tc>
      </w:tr>
      <w:tr w14:paraId="09A89E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298D0AD9">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3841EA7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1C6EDF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1920105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D726C74">
            <w:pPr>
              <w:topLinePunct/>
              <w:spacing w:line="440" w:lineRule="exact"/>
              <w:jc w:val="center"/>
              <w:rPr>
                <w:rFonts w:ascii="宋体" w:hAnsi="宋体" w:cs="宋体"/>
                <w:color w:val="auto"/>
                <w:szCs w:val="21"/>
                <w:highlight w:val="none"/>
              </w:rPr>
            </w:pPr>
          </w:p>
        </w:tc>
      </w:tr>
    </w:tbl>
    <w:p w14:paraId="55A4FBD5">
      <w:pPr>
        <w:rPr>
          <w:rFonts w:hint="default"/>
          <w:color w:val="auto"/>
          <w:highlight w:val="none"/>
          <w:lang w:val="en-US"/>
        </w:rPr>
      </w:pPr>
    </w:p>
    <w:p w14:paraId="260CB4BB">
      <w:pPr>
        <w:pStyle w:val="5"/>
        <w:jc w:val="center"/>
        <w:rPr>
          <w:rFonts w:ascii="宋体" w:hAnsi="宋体" w:cs="宋体"/>
          <w:color w:val="auto"/>
          <w:sz w:val="28"/>
          <w:highlight w:val="none"/>
        </w:rPr>
      </w:pPr>
      <w:r>
        <w:rPr>
          <w:rFonts w:hint="eastAsia" w:ascii="宋体" w:hAnsi="宋体" w:cs="宋体"/>
          <w:color w:val="auto"/>
          <w:sz w:val="28"/>
          <w:highlight w:val="none"/>
        </w:rPr>
        <w:t>（二）其他材料</w:t>
      </w:r>
    </w:p>
    <w:p w14:paraId="07F32954">
      <w:pPr>
        <w:rPr>
          <w:color w:val="auto"/>
          <w:highlight w:val="none"/>
        </w:rPr>
      </w:pPr>
    </w:p>
    <w:p w14:paraId="3B62D5B0">
      <w:pPr>
        <w:wordWrap w:val="0"/>
        <w:adjustRightInd w:val="0"/>
        <w:snapToGrid w:val="0"/>
        <w:spacing w:line="460" w:lineRule="exact"/>
        <w:jc w:val="left"/>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rPr>
        <w:t>投标保证金银行回执等附件。</w:t>
      </w:r>
    </w:p>
    <w:p w14:paraId="3AFC9453">
      <w:pPr>
        <w:wordWrap w:val="0"/>
        <w:adjustRightInd w:val="0"/>
        <w:snapToGrid w:val="0"/>
        <w:spacing w:line="460" w:lineRule="exact"/>
        <w:jc w:val="left"/>
        <w:rPr>
          <w:rFonts w:hint="eastAsia" w:ascii="宋体" w:hAnsi="宋体" w:cs="宋体"/>
          <w:color w:val="auto"/>
          <w:szCs w:val="21"/>
          <w:highlight w:val="none"/>
          <w:lang w:bidi="ar"/>
        </w:rPr>
      </w:pPr>
      <w:r>
        <w:rPr>
          <w:rFonts w:hint="eastAsia"/>
          <w:color w:val="auto"/>
          <w:highlight w:val="none"/>
          <w:lang w:val="en-US" w:eastAsia="zh-CN"/>
        </w:rPr>
        <w:t>2</w:t>
      </w:r>
      <w:r>
        <w:rPr>
          <w:rFonts w:hint="eastAsia"/>
          <w:color w:val="auto"/>
          <w:highlight w:val="none"/>
        </w:rPr>
        <w:t>、</w:t>
      </w:r>
      <w:r>
        <w:rPr>
          <w:rFonts w:hint="eastAsia" w:ascii="宋体" w:hAnsi="宋体" w:cs="宋体"/>
          <w:color w:val="auto"/>
          <w:szCs w:val="21"/>
          <w:highlight w:val="none"/>
          <w:lang w:bidi="ar"/>
        </w:rPr>
        <w:t>报价人认为有必要提供的资料，标明其内容且格式自拟。</w:t>
      </w:r>
    </w:p>
    <w:p w14:paraId="17D69487">
      <w:pPr>
        <w:rPr>
          <w:b/>
          <w:bCs/>
          <w:color w:val="auto"/>
          <w:highlight w:val="none"/>
        </w:rPr>
      </w:pPr>
    </w:p>
    <w:p w14:paraId="061A61D8">
      <w:pPr>
        <w:pStyle w:val="29"/>
        <w:rPr>
          <w:rFonts w:ascii="宋体" w:hAnsi="宋体" w:cs="宋体"/>
          <w:b/>
          <w:bCs/>
          <w:color w:val="auto"/>
          <w:kern w:val="0"/>
          <w:sz w:val="28"/>
          <w:szCs w:val="32"/>
          <w:highlight w:val="none"/>
        </w:rPr>
      </w:pPr>
      <w:r>
        <w:rPr>
          <w:rFonts w:hint="eastAsia" w:ascii="宋体" w:hAnsi="宋体" w:cs="宋体"/>
          <w:b/>
          <w:bCs/>
          <w:color w:val="auto"/>
          <w:kern w:val="0"/>
          <w:sz w:val="28"/>
          <w:szCs w:val="32"/>
          <w:highlight w:val="none"/>
        </w:rPr>
        <w:br w:type="page"/>
      </w:r>
    </w:p>
    <w:p w14:paraId="2219C1D3">
      <w:pPr>
        <w:autoSpaceDE w:val="0"/>
        <w:autoSpaceDN w:val="0"/>
        <w:adjustRightInd w:val="0"/>
        <w:snapToGrid w:val="0"/>
        <w:spacing w:line="360" w:lineRule="auto"/>
        <w:jc w:val="center"/>
        <w:rPr>
          <w:b/>
          <w:bCs/>
          <w:caps/>
          <w:color w:val="auto"/>
          <w:sz w:val="32"/>
          <w:szCs w:val="32"/>
          <w:highlight w:val="none"/>
        </w:rPr>
      </w:pPr>
      <w:bookmarkStart w:id="906" w:name="OLE_LINK50"/>
      <w:bookmarkStart w:id="907" w:name="OLE_LINK49"/>
      <w:r>
        <w:rPr>
          <w:rFonts w:hint="eastAsia" w:ascii="宋体" w:hAnsi="宋体" w:cs="宋体"/>
          <w:b/>
          <w:bCs/>
          <w:color w:val="auto"/>
          <w:kern w:val="0"/>
          <w:sz w:val="28"/>
          <w:szCs w:val="32"/>
          <w:highlight w:val="none"/>
          <w:lang w:val="en-US" w:eastAsia="zh-CN"/>
        </w:rPr>
        <w:t>九</w:t>
      </w:r>
      <w:r>
        <w:rPr>
          <w:rFonts w:hint="eastAsia" w:ascii="宋体" w:hAnsi="宋体" w:cs="宋体"/>
          <w:b/>
          <w:bCs/>
          <w:color w:val="auto"/>
          <w:kern w:val="0"/>
          <w:sz w:val="28"/>
          <w:szCs w:val="32"/>
          <w:highlight w:val="none"/>
        </w:rPr>
        <w:t>、低价风险担保提交承诺书（如有）</w:t>
      </w:r>
      <w:bookmarkEnd w:id="906"/>
    </w:p>
    <w:bookmarkEnd w:id="907"/>
    <w:p w14:paraId="24A284EE">
      <w:pPr>
        <w:rPr>
          <w:color w:val="auto"/>
          <w:highlight w:val="none"/>
        </w:rPr>
      </w:pPr>
    </w:p>
    <w:p w14:paraId="7D649CE3">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55A2DDE5">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7136F960">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采购</w:t>
      </w:r>
      <w:r>
        <w:rPr>
          <w:rFonts w:hint="eastAsia" w:ascii="宋体" w:hAnsi="宋体" w:cs="宋体"/>
          <w:snapToGrid w:val="0"/>
          <w:color w:val="auto"/>
          <w:kern w:val="0"/>
          <w:szCs w:val="21"/>
          <w:highlight w:val="none"/>
          <w:u w:val="single"/>
        </w:rPr>
        <w:t>人名称）</w:t>
      </w:r>
      <w:r>
        <w:rPr>
          <w:rFonts w:hint="eastAsia" w:ascii="宋体" w:hAnsi="宋体" w:cs="宋体"/>
          <w:snapToGrid w:val="0"/>
          <w:color w:val="auto"/>
          <w:kern w:val="0"/>
          <w:szCs w:val="21"/>
          <w:highlight w:val="none"/>
        </w:rPr>
        <w:t>：</w:t>
      </w:r>
    </w:p>
    <w:p w14:paraId="49EB415C">
      <w:pPr>
        <w:autoSpaceDE w:val="0"/>
        <w:autoSpaceDN w:val="0"/>
        <w:adjustRightInd w:val="0"/>
        <w:snapToGrid w:val="0"/>
        <w:spacing w:line="360" w:lineRule="auto"/>
        <w:ind w:firstLine="420" w:firstLineChars="200"/>
        <w:jc w:val="left"/>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220EA67B">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14:paraId="58D27E27">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57A125B">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17819B69">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502DB11D">
      <w:pPr>
        <w:tabs>
          <w:tab w:val="left" w:pos="7140"/>
          <w:tab w:val="left" w:pos="7560"/>
          <w:tab w:val="left" w:pos="8300"/>
        </w:tabs>
        <w:autoSpaceDE w:val="0"/>
        <w:autoSpaceDN w:val="0"/>
        <w:adjustRightInd w:val="0"/>
        <w:ind w:firstLine="420" w:firstLineChars="200"/>
        <w:rPr>
          <w:rFonts w:ascii="宋体" w:hAnsi="宋体"/>
          <w:snapToGrid w:val="0"/>
          <w:color w:val="auto"/>
          <w:kern w:val="0"/>
          <w:szCs w:val="21"/>
          <w:highlight w:val="none"/>
        </w:rPr>
      </w:pPr>
    </w:p>
    <w:p w14:paraId="40E745A6">
      <w:pPr>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bookmarkEnd w:id="893"/>
    <w:bookmarkEnd w:id="894"/>
    <w:p w14:paraId="43203D7D">
      <w:pPr>
        <w:rPr>
          <w:color w:val="auto"/>
          <w:highlight w:val="none"/>
        </w:rPr>
      </w:pPr>
    </w:p>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CC6A436-1689-402C-91B0-523885E9DEED}"/>
  </w:font>
  <w:font w:name="黑体">
    <w:panose1 w:val="02010609060101010101"/>
    <w:charset w:val="86"/>
    <w:family w:val="auto"/>
    <w:pitch w:val="default"/>
    <w:sig w:usb0="800002BF" w:usb1="38CF7CFA" w:usb2="00000016" w:usb3="00000000" w:csb0="00040001" w:csb1="00000000"/>
    <w:embedRegular r:id="rId2" w:fontKey="{49A444EE-F513-4261-865A-FDACF7218F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59C40B54-C514-4445-9577-02CD232697F1}"/>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66542BC8-AA7D-4F15-9723-A88EC1B2CE36}"/>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embedRegular r:id="rId5" w:fontKey="{26B9A4D6-82CE-4C0B-B125-20B27E58A911}"/>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7F" w:usb3="00000000" w:csb0="203F01FF" w:csb1="DFFF0000"/>
  </w:font>
  <w:font w:name="宋体-简">
    <w:altName w:val="宋体"/>
    <w:panose1 w:val="00000000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E07FB">
    <w:pPr>
      <w:pStyle w:val="27"/>
      <w:jc w:val="center"/>
    </w:pPr>
  </w:p>
  <w:p w14:paraId="1E3ECDB1">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1CE8A">
    <w:pPr>
      <w:pStyle w:val="27"/>
      <w:framePr w:wrap="around" w:vAnchor="text" w:hAnchor="margin" w:xAlign="center" w:y="1"/>
      <w:rPr>
        <w:rStyle w:val="48"/>
      </w:rPr>
    </w:pPr>
    <w:r>
      <w:fldChar w:fldCharType="begin"/>
    </w:r>
    <w:r>
      <w:rPr>
        <w:rStyle w:val="48"/>
      </w:rPr>
      <w:instrText xml:space="preserve">PAGE  </w:instrText>
    </w:r>
    <w:r>
      <w:fldChar w:fldCharType="end"/>
    </w:r>
  </w:p>
  <w:p w14:paraId="306EC009">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63EEA">
    <w:pPr>
      <w:pStyle w:val="27"/>
      <w:jc w:val="center"/>
    </w:pPr>
    <w:r>
      <w:fldChar w:fldCharType="begin"/>
    </w:r>
    <w:r>
      <w:instrText xml:space="preserve">PAGE   \* MERGEFORMAT</w:instrText>
    </w:r>
    <w:r>
      <w:fldChar w:fldCharType="separate"/>
    </w:r>
    <w:r>
      <w:rPr>
        <w:lang w:val="zh-CN"/>
      </w:rPr>
      <w:t>22</w:t>
    </w:r>
    <w:r>
      <w:fldChar w:fldCharType="end"/>
    </w:r>
  </w:p>
  <w:p w14:paraId="6A39F657">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92E6">
    <w:pPr>
      <w:pStyle w:val="27"/>
      <w:jc w:val="center"/>
    </w:pPr>
    <w:r>
      <w:fldChar w:fldCharType="begin"/>
    </w:r>
    <w:r>
      <w:instrText xml:space="preserve">PAGE   \* MERGEFORMAT</w:instrText>
    </w:r>
    <w:r>
      <w:fldChar w:fldCharType="separate"/>
    </w:r>
    <w:r>
      <w:rPr>
        <w:lang w:val="zh-CN"/>
      </w:rPr>
      <w:t>13</w:t>
    </w:r>
    <w:r>
      <w:fldChar w:fldCharType="end"/>
    </w:r>
  </w:p>
  <w:p w14:paraId="2BBAC455">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D88A8">
    <w:pPr>
      <w:pStyle w:val="27"/>
      <w:framePr w:w="520" w:h="235" w:hRule="exact" w:wrap="around" w:vAnchor="text" w:hAnchor="page" w:x="6073" w:y="-2"/>
      <w:rPr>
        <w:rStyle w:val="48"/>
      </w:rPr>
    </w:pPr>
    <w:r>
      <w:fldChar w:fldCharType="begin"/>
    </w:r>
    <w:r>
      <w:rPr>
        <w:rStyle w:val="48"/>
      </w:rPr>
      <w:instrText xml:space="preserve">PAGE  </w:instrText>
    </w:r>
    <w:r>
      <w:fldChar w:fldCharType="separate"/>
    </w:r>
    <w:r>
      <w:rPr>
        <w:rStyle w:val="48"/>
      </w:rPr>
      <w:t>20</w:t>
    </w:r>
    <w:r>
      <w:fldChar w:fldCharType="end"/>
    </w:r>
  </w:p>
  <w:p w14:paraId="510CC1F7">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13D7A">
    <w:pPr>
      <w:pStyle w:val="27"/>
      <w:framePr w:w="520" w:h="235" w:hRule="exact" w:wrap="around" w:vAnchor="text" w:hAnchor="page" w:x="6073" w:y="-2"/>
      <w:rPr>
        <w:rStyle w:val="48"/>
      </w:rPr>
    </w:pPr>
    <w:r>
      <w:fldChar w:fldCharType="begin"/>
    </w:r>
    <w:r>
      <w:rPr>
        <w:rStyle w:val="48"/>
      </w:rPr>
      <w:instrText xml:space="preserve">PAGE  </w:instrText>
    </w:r>
    <w:r>
      <w:fldChar w:fldCharType="separate"/>
    </w:r>
    <w:r>
      <w:rPr>
        <w:rStyle w:val="48"/>
      </w:rPr>
      <w:t>24</w:t>
    </w:r>
    <w:r>
      <w:fldChar w:fldCharType="end"/>
    </w:r>
  </w:p>
  <w:p w14:paraId="33A33E30">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D45E7">
    <w:pPr>
      <w:pStyle w:val="27"/>
      <w:ind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536020">
                          <w:pPr>
                            <w:pStyle w:val="27"/>
                            <w:rPr>
                              <w:rStyle w:val="48"/>
                            </w:rPr>
                          </w:pPr>
                          <w:r>
                            <w:fldChar w:fldCharType="begin"/>
                          </w:r>
                          <w:r>
                            <w:rPr>
                              <w:rStyle w:val="48"/>
                            </w:rPr>
                            <w:instrText xml:space="preserve">PAGE  </w:instrText>
                          </w:r>
                          <w:r>
                            <w:fldChar w:fldCharType="separate"/>
                          </w:r>
                          <w:r>
                            <w:rPr>
                              <w:rStyle w:val="48"/>
                            </w:rPr>
                            <w:t>34</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43536020">
                    <w:pPr>
                      <w:pStyle w:val="27"/>
                      <w:rPr>
                        <w:rStyle w:val="48"/>
                      </w:rPr>
                    </w:pPr>
                    <w:r>
                      <w:fldChar w:fldCharType="begin"/>
                    </w:r>
                    <w:r>
                      <w:rPr>
                        <w:rStyle w:val="48"/>
                      </w:rPr>
                      <w:instrText xml:space="preserve">PAGE  </w:instrText>
                    </w:r>
                    <w:r>
                      <w:fldChar w:fldCharType="separate"/>
                    </w:r>
                    <w:r>
                      <w:rPr>
                        <w:rStyle w:val="48"/>
                      </w:rPr>
                      <w:t>34</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AE0CC">
    <w:pPr>
      <w:pStyle w:val="2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AE4275">
                          <w:pPr>
                            <w:pStyle w:val="27"/>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51AE4275">
                    <w:pPr>
                      <w:pStyle w:val="27"/>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7C072">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41D1F"/>
    <w:multiLevelType w:val="singleLevel"/>
    <w:tmpl w:val="85D41D1F"/>
    <w:lvl w:ilvl="0" w:tentative="0">
      <w:start w:val="1"/>
      <w:numFmt w:val="decimal"/>
      <w:suff w:val="nothing"/>
      <w:lvlText w:val="%1、"/>
      <w:lvlJc w:val="left"/>
    </w:lvl>
  </w:abstractNum>
  <w:abstractNum w:abstractNumId="1">
    <w:nsid w:val="9CBF54FB"/>
    <w:multiLevelType w:val="singleLevel"/>
    <w:tmpl w:val="9CBF54FB"/>
    <w:lvl w:ilvl="0" w:tentative="0">
      <w:start w:val="1"/>
      <w:numFmt w:val="decimal"/>
      <w:lvlText w:val="(%1)"/>
      <w:lvlJc w:val="left"/>
      <w:pPr>
        <w:ind w:left="425" w:hanging="425"/>
      </w:pPr>
      <w:rPr>
        <w:rFonts w:hint="default"/>
      </w:rPr>
    </w:lvl>
  </w:abstractNum>
  <w:abstractNum w:abstractNumId="2">
    <w:nsid w:val="B4C4B53F"/>
    <w:multiLevelType w:val="singleLevel"/>
    <w:tmpl w:val="B4C4B53F"/>
    <w:lvl w:ilvl="0" w:tentative="0">
      <w:start w:val="5"/>
      <w:numFmt w:val="decimal"/>
      <w:suff w:val="nothing"/>
      <w:lvlText w:val="%1、"/>
      <w:lvlJc w:val="left"/>
    </w:lvl>
  </w:abstractNum>
  <w:abstractNum w:abstractNumId="3">
    <w:nsid w:val="C6DEEEE1"/>
    <w:multiLevelType w:val="singleLevel"/>
    <w:tmpl w:val="C6DEEEE1"/>
    <w:lvl w:ilvl="0" w:tentative="0">
      <w:start w:val="1"/>
      <w:numFmt w:val="chineseCounting"/>
      <w:suff w:val="nothing"/>
      <w:lvlText w:val="%1、"/>
      <w:lvlJc w:val="left"/>
      <w:pPr>
        <w:ind w:left="0" w:firstLine="420"/>
      </w:pPr>
      <w:rPr>
        <w:rFonts w:hint="eastAsia"/>
      </w:rPr>
    </w:lvl>
  </w:abstractNum>
  <w:abstractNum w:abstractNumId="4">
    <w:nsid w:val="C87D13C6"/>
    <w:multiLevelType w:val="singleLevel"/>
    <w:tmpl w:val="C87D13C6"/>
    <w:lvl w:ilvl="0" w:tentative="0">
      <w:start w:val="3"/>
      <w:numFmt w:val="chineseCounting"/>
      <w:suff w:val="space"/>
      <w:lvlText w:val="第%1章"/>
      <w:lvlJc w:val="left"/>
      <w:rPr>
        <w:rFonts w:hint="eastAsia"/>
      </w:rPr>
    </w:lvl>
  </w:abstractNum>
  <w:abstractNum w:abstractNumId="5">
    <w:nsid w:val="F5EAA11E"/>
    <w:multiLevelType w:val="singleLevel"/>
    <w:tmpl w:val="F5EAA11E"/>
    <w:lvl w:ilvl="0" w:tentative="0">
      <w:start w:val="1"/>
      <w:numFmt w:val="decimal"/>
      <w:suff w:val="nothing"/>
      <w:lvlText w:val="（%1）"/>
      <w:lvlJc w:val="left"/>
    </w:lvl>
  </w:abstractNum>
  <w:abstractNum w:abstractNumId="6">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5"/>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7">
    <w:nsid w:val="002C46DA"/>
    <w:multiLevelType w:val="singleLevel"/>
    <w:tmpl w:val="002C46DA"/>
    <w:lvl w:ilvl="0" w:tentative="0">
      <w:start w:val="1"/>
      <w:numFmt w:val="decimal"/>
      <w:suff w:val="nothing"/>
      <w:lvlText w:val="%1、"/>
      <w:lvlJc w:val="left"/>
    </w:lvl>
  </w:abstractNum>
  <w:abstractNum w:abstractNumId="8">
    <w:nsid w:val="3871CE1D"/>
    <w:multiLevelType w:val="singleLevel"/>
    <w:tmpl w:val="3871CE1D"/>
    <w:lvl w:ilvl="0" w:tentative="0">
      <w:start w:val="1"/>
      <w:numFmt w:val="chineseCounting"/>
      <w:suff w:val="nothing"/>
      <w:lvlText w:val="%1、"/>
      <w:lvlJc w:val="left"/>
      <w:rPr>
        <w:rFonts w:hint="eastAsia"/>
      </w:rPr>
    </w:lvl>
  </w:abstractNum>
  <w:abstractNum w:abstractNumId="9">
    <w:nsid w:val="47432DF6"/>
    <w:multiLevelType w:val="singleLevel"/>
    <w:tmpl w:val="47432DF6"/>
    <w:lvl w:ilvl="0" w:tentative="0">
      <w:start w:val="1"/>
      <w:numFmt w:val="decimal"/>
      <w:lvlText w:val="%1."/>
      <w:lvlJc w:val="left"/>
      <w:pPr>
        <w:tabs>
          <w:tab w:val="left" w:pos="312"/>
        </w:tabs>
      </w:pPr>
    </w:lvl>
  </w:abstractNum>
  <w:abstractNum w:abstractNumId="10">
    <w:nsid w:val="55F571BE"/>
    <w:multiLevelType w:val="multilevel"/>
    <w:tmpl w:val="55F571BE"/>
    <w:lvl w:ilvl="0" w:tentative="0">
      <w:start w:val="1"/>
      <w:numFmt w:val="japaneseCounting"/>
      <w:lvlText w:val="%1、"/>
      <w:lvlJc w:val="left"/>
      <w:pPr>
        <w:ind w:left="1162" w:hanging="60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1">
    <w:nsid w:val="70413B3D"/>
    <w:multiLevelType w:val="singleLevel"/>
    <w:tmpl w:val="70413B3D"/>
    <w:lvl w:ilvl="0" w:tentative="0">
      <w:start w:val="2"/>
      <w:numFmt w:val="chineseCounting"/>
      <w:suff w:val="space"/>
      <w:lvlText w:val="第%1章"/>
      <w:lvlJc w:val="left"/>
      <w:rPr>
        <w:rFonts w:hint="eastAsia"/>
      </w:rPr>
    </w:lvl>
  </w:abstractNum>
  <w:num w:numId="1">
    <w:abstractNumId w:val="6"/>
  </w:num>
  <w:num w:numId="2">
    <w:abstractNumId w:val="11"/>
  </w:num>
  <w:num w:numId="3">
    <w:abstractNumId w:val="2"/>
  </w:num>
  <w:num w:numId="4">
    <w:abstractNumId w:val="9"/>
  </w:num>
  <w:num w:numId="5">
    <w:abstractNumId w:val="1"/>
  </w:num>
  <w:num w:numId="6">
    <w:abstractNumId w:val="5"/>
  </w:num>
  <w:num w:numId="7">
    <w:abstractNumId w:val="0"/>
  </w:num>
  <w:num w:numId="8">
    <w:abstractNumId w:val="4"/>
  </w:num>
  <w:num w:numId="9">
    <w:abstractNumId w:val="10"/>
  </w:num>
  <w:num w:numId="10">
    <w:abstractNumId w:val="8"/>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0"/>
  <w:drawingGridVerticalSpacing w:val="16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3ZWIzODJkYWM5YjA2ZDE5YWVhMjgxZTFhYjA5MTg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0836"/>
    <w:rsid w:val="000C153A"/>
    <w:rsid w:val="000C1FF9"/>
    <w:rsid w:val="000C337E"/>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15D9"/>
    <w:rsid w:val="001326B8"/>
    <w:rsid w:val="00133F0F"/>
    <w:rsid w:val="001350A2"/>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6B"/>
    <w:rsid w:val="001661DF"/>
    <w:rsid w:val="00166289"/>
    <w:rsid w:val="00167BC0"/>
    <w:rsid w:val="00170C4F"/>
    <w:rsid w:val="001743B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1FE1"/>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377CE"/>
    <w:rsid w:val="002460EA"/>
    <w:rsid w:val="00246DBB"/>
    <w:rsid w:val="002501D5"/>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A6350"/>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41CB"/>
    <w:rsid w:val="00305027"/>
    <w:rsid w:val="003111A2"/>
    <w:rsid w:val="0031451A"/>
    <w:rsid w:val="0031530B"/>
    <w:rsid w:val="00321B30"/>
    <w:rsid w:val="00322C4B"/>
    <w:rsid w:val="00323A00"/>
    <w:rsid w:val="0032479B"/>
    <w:rsid w:val="00325CDF"/>
    <w:rsid w:val="00326D75"/>
    <w:rsid w:val="003331DE"/>
    <w:rsid w:val="003332D7"/>
    <w:rsid w:val="00333974"/>
    <w:rsid w:val="003349A6"/>
    <w:rsid w:val="003357D8"/>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85F65"/>
    <w:rsid w:val="0039099F"/>
    <w:rsid w:val="00394802"/>
    <w:rsid w:val="00397134"/>
    <w:rsid w:val="003A063A"/>
    <w:rsid w:val="003A67CF"/>
    <w:rsid w:val="003B5115"/>
    <w:rsid w:val="003B5AAE"/>
    <w:rsid w:val="003B696A"/>
    <w:rsid w:val="003C18C8"/>
    <w:rsid w:val="003C28DD"/>
    <w:rsid w:val="003C4C34"/>
    <w:rsid w:val="003C7632"/>
    <w:rsid w:val="003C7809"/>
    <w:rsid w:val="003C7881"/>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370"/>
    <w:rsid w:val="00420586"/>
    <w:rsid w:val="00420FC3"/>
    <w:rsid w:val="00421DFA"/>
    <w:rsid w:val="00423CEA"/>
    <w:rsid w:val="00426621"/>
    <w:rsid w:val="0043226B"/>
    <w:rsid w:val="00432A83"/>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570C9"/>
    <w:rsid w:val="00461AD0"/>
    <w:rsid w:val="004634AB"/>
    <w:rsid w:val="00466348"/>
    <w:rsid w:val="004706E6"/>
    <w:rsid w:val="00473BD0"/>
    <w:rsid w:val="0047569F"/>
    <w:rsid w:val="00476803"/>
    <w:rsid w:val="004774EC"/>
    <w:rsid w:val="00480132"/>
    <w:rsid w:val="004802D9"/>
    <w:rsid w:val="00480BDB"/>
    <w:rsid w:val="00481CDD"/>
    <w:rsid w:val="0048320C"/>
    <w:rsid w:val="0048519D"/>
    <w:rsid w:val="004851D3"/>
    <w:rsid w:val="0049208D"/>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0D72"/>
    <w:rsid w:val="004E6A77"/>
    <w:rsid w:val="004F05BD"/>
    <w:rsid w:val="004F5845"/>
    <w:rsid w:val="004F7236"/>
    <w:rsid w:val="005016AD"/>
    <w:rsid w:val="00501C58"/>
    <w:rsid w:val="00502E26"/>
    <w:rsid w:val="00504EDE"/>
    <w:rsid w:val="005118BF"/>
    <w:rsid w:val="005142E6"/>
    <w:rsid w:val="00514C5C"/>
    <w:rsid w:val="00514DF5"/>
    <w:rsid w:val="005216B1"/>
    <w:rsid w:val="005230E8"/>
    <w:rsid w:val="005248B7"/>
    <w:rsid w:val="00524AAD"/>
    <w:rsid w:val="00527DED"/>
    <w:rsid w:val="0053576A"/>
    <w:rsid w:val="0053749E"/>
    <w:rsid w:val="0053783C"/>
    <w:rsid w:val="00537B50"/>
    <w:rsid w:val="00540A63"/>
    <w:rsid w:val="00541EAD"/>
    <w:rsid w:val="00543B84"/>
    <w:rsid w:val="00547A20"/>
    <w:rsid w:val="00551444"/>
    <w:rsid w:val="005516BA"/>
    <w:rsid w:val="005539A0"/>
    <w:rsid w:val="00554CE3"/>
    <w:rsid w:val="005638B5"/>
    <w:rsid w:val="00565E3C"/>
    <w:rsid w:val="0056641F"/>
    <w:rsid w:val="005668C7"/>
    <w:rsid w:val="00571660"/>
    <w:rsid w:val="0057233D"/>
    <w:rsid w:val="00573321"/>
    <w:rsid w:val="005758E3"/>
    <w:rsid w:val="005914DA"/>
    <w:rsid w:val="00591F3F"/>
    <w:rsid w:val="00594228"/>
    <w:rsid w:val="005946A1"/>
    <w:rsid w:val="00594DBC"/>
    <w:rsid w:val="0059501D"/>
    <w:rsid w:val="0059709C"/>
    <w:rsid w:val="005A0E5B"/>
    <w:rsid w:val="005A1707"/>
    <w:rsid w:val="005A390C"/>
    <w:rsid w:val="005A3A26"/>
    <w:rsid w:val="005A6CF0"/>
    <w:rsid w:val="005B0870"/>
    <w:rsid w:val="005B2C7F"/>
    <w:rsid w:val="005B427D"/>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5F481F"/>
    <w:rsid w:val="005F65CD"/>
    <w:rsid w:val="00605878"/>
    <w:rsid w:val="00606A11"/>
    <w:rsid w:val="00610C35"/>
    <w:rsid w:val="00611462"/>
    <w:rsid w:val="00612C1F"/>
    <w:rsid w:val="006133CC"/>
    <w:rsid w:val="00614387"/>
    <w:rsid w:val="00614689"/>
    <w:rsid w:val="00616253"/>
    <w:rsid w:val="0061673D"/>
    <w:rsid w:val="00617262"/>
    <w:rsid w:val="00617569"/>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1725"/>
    <w:rsid w:val="0065343F"/>
    <w:rsid w:val="00662461"/>
    <w:rsid w:val="00663AC4"/>
    <w:rsid w:val="00663C2A"/>
    <w:rsid w:val="00664ABD"/>
    <w:rsid w:val="00670D51"/>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4C4F"/>
    <w:rsid w:val="007A5B10"/>
    <w:rsid w:val="007A6154"/>
    <w:rsid w:val="007A683C"/>
    <w:rsid w:val="007A6D78"/>
    <w:rsid w:val="007B04A9"/>
    <w:rsid w:val="007B119C"/>
    <w:rsid w:val="007B187B"/>
    <w:rsid w:val="007B1FF2"/>
    <w:rsid w:val="007B536D"/>
    <w:rsid w:val="007B53BD"/>
    <w:rsid w:val="007C074F"/>
    <w:rsid w:val="007C1CF6"/>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2C7F"/>
    <w:rsid w:val="00825742"/>
    <w:rsid w:val="00833989"/>
    <w:rsid w:val="00833FEE"/>
    <w:rsid w:val="00834654"/>
    <w:rsid w:val="008346F1"/>
    <w:rsid w:val="008354B1"/>
    <w:rsid w:val="008365E2"/>
    <w:rsid w:val="00836AA3"/>
    <w:rsid w:val="0084014A"/>
    <w:rsid w:val="00840D93"/>
    <w:rsid w:val="0084176C"/>
    <w:rsid w:val="00842B75"/>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5DBE"/>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16E4"/>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35E3"/>
    <w:rsid w:val="0094715F"/>
    <w:rsid w:val="009514A5"/>
    <w:rsid w:val="00951F63"/>
    <w:rsid w:val="00953549"/>
    <w:rsid w:val="00954247"/>
    <w:rsid w:val="009564C7"/>
    <w:rsid w:val="00956F8D"/>
    <w:rsid w:val="009572C8"/>
    <w:rsid w:val="00962870"/>
    <w:rsid w:val="00962ACC"/>
    <w:rsid w:val="00964B02"/>
    <w:rsid w:val="0096531D"/>
    <w:rsid w:val="009661C5"/>
    <w:rsid w:val="00972900"/>
    <w:rsid w:val="00972B04"/>
    <w:rsid w:val="00972BE1"/>
    <w:rsid w:val="00974712"/>
    <w:rsid w:val="00974ED2"/>
    <w:rsid w:val="009756CC"/>
    <w:rsid w:val="00984865"/>
    <w:rsid w:val="00987F58"/>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1C4E"/>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9A"/>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134E"/>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2ED"/>
    <w:rsid w:val="00B94AC5"/>
    <w:rsid w:val="00B95D90"/>
    <w:rsid w:val="00B96171"/>
    <w:rsid w:val="00B97C03"/>
    <w:rsid w:val="00BA114B"/>
    <w:rsid w:val="00BA3803"/>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3CB4"/>
    <w:rsid w:val="00BF4AB9"/>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37E48"/>
    <w:rsid w:val="00C415BC"/>
    <w:rsid w:val="00C44E2D"/>
    <w:rsid w:val="00C46B60"/>
    <w:rsid w:val="00C474B2"/>
    <w:rsid w:val="00C563B6"/>
    <w:rsid w:val="00C605D1"/>
    <w:rsid w:val="00C624A2"/>
    <w:rsid w:val="00C65044"/>
    <w:rsid w:val="00C65656"/>
    <w:rsid w:val="00C66A53"/>
    <w:rsid w:val="00C66FB7"/>
    <w:rsid w:val="00C76490"/>
    <w:rsid w:val="00C848C9"/>
    <w:rsid w:val="00C8655B"/>
    <w:rsid w:val="00C91CDE"/>
    <w:rsid w:val="00C91F22"/>
    <w:rsid w:val="00C92C81"/>
    <w:rsid w:val="00C943E9"/>
    <w:rsid w:val="00C9715E"/>
    <w:rsid w:val="00CA01B6"/>
    <w:rsid w:val="00CA2781"/>
    <w:rsid w:val="00CA398D"/>
    <w:rsid w:val="00CA45CB"/>
    <w:rsid w:val="00CA6808"/>
    <w:rsid w:val="00CA7567"/>
    <w:rsid w:val="00CB3A28"/>
    <w:rsid w:val="00CB452C"/>
    <w:rsid w:val="00CB4A3D"/>
    <w:rsid w:val="00CB5C0F"/>
    <w:rsid w:val="00CB7FDA"/>
    <w:rsid w:val="00CC505F"/>
    <w:rsid w:val="00CC5715"/>
    <w:rsid w:val="00CD1726"/>
    <w:rsid w:val="00CD1788"/>
    <w:rsid w:val="00CD225D"/>
    <w:rsid w:val="00CD4175"/>
    <w:rsid w:val="00CD6C71"/>
    <w:rsid w:val="00CD78E5"/>
    <w:rsid w:val="00CE076F"/>
    <w:rsid w:val="00CE0AF3"/>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537A"/>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0D79"/>
    <w:rsid w:val="00DF1985"/>
    <w:rsid w:val="00DF4CFA"/>
    <w:rsid w:val="00DF5B31"/>
    <w:rsid w:val="00E02114"/>
    <w:rsid w:val="00E03783"/>
    <w:rsid w:val="00E06502"/>
    <w:rsid w:val="00E0716D"/>
    <w:rsid w:val="00E10E7C"/>
    <w:rsid w:val="00E15007"/>
    <w:rsid w:val="00E17769"/>
    <w:rsid w:val="00E20ABC"/>
    <w:rsid w:val="00E23505"/>
    <w:rsid w:val="00E24890"/>
    <w:rsid w:val="00E26737"/>
    <w:rsid w:val="00E30BDB"/>
    <w:rsid w:val="00E31348"/>
    <w:rsid w:val="00E34C6A"/>
    <w:rsid w:val="00E36724"/>
    <w:rsid w:val="00E42612"/>
    <w:rsid w:val="00E42AF9"/>
    <w:rsid w:val="00E44E76"/>
    <w:rsid w:val="00E457A5"/>
    <w:rsid w:val="00E45EDE"/>
    <w:rsid w:val="00E47DBF"/>
    <w:rsid w:val="00E516C7"/>
    <w:rsid w:val="00E52FD0"/>
    <w:rsid w:val="00E53668"/>
    <w:rsid w:val="00E562C9"/>
    <w:rsid w:val="00E57CE7"/>
    <w:rsid w:val="00E64D73"/>
    <w:rsid w:val="00E65B2B"/>
    <w:rsid w:val="00E73F6E"/>
    <w:rsid w:val="00E82559"/>
    <w:rsid w:val="00E84AD3"/>
    <w:rsid w:val="00E8555A"/>
    <w:rsid w:val="00E907D3"/>
    <w:rsid w:val="00E9117E"/>
    <w:rsid w:val="00E91C2B"/>
    <w:rsid w:val="00E9267B"/>
    <w:rsid w:val="00E9477F"/>
    <w:rsid w:val="00EA168E"/>
    <w:rsid w:val="00EA2585"/>
    <w:rsid w:val="00EA416E"/>
    <w:rsid w:val="00EA4665"/>
    <w:rsid w:val="00EA6533"/>
    <w:rsid w:val="00EA7196"/>
    <w:rsid w:val="00EB209E"/>
    <w:rsid w:val="00EB60B2"/>
    <w:rsid w:val="00EB6899"/>
    <w:rsid w:val="00EC0980"/>
    <w:rsid w:val="00EC0FB9"/>
    <w:rsid w:val="00EC1329"/>
    <w:rsid w:val="00EC1698"/>
    <w:rsid w:val="00EC21B3"/>
    <w:rsid w:val="00EC26B2"/>
    <w:rsid w:val="00EC4BAC"/>
    <w:rsid w:val="00EC542A"/>
    <w:rsid w:val="00EC58D0"/>
    <w:rsid w:val="00EC6200"/>
    <w:rsid w:val="00ED29DF"/>
    <w:rsid w:val="00EE220D"/>
    <w:rsid w:val="00EE440D"/>
    <w:rsid w:val="00EE4955"/>
    <w:rsid w:val="00EE5143"/>
    <w:rsid w:val="00EE6AEA"/>
    <w:rsid w:val="00EE75C1"/>
    <w:rsid w:val="00EF4112"/>
    <w:rsid w:val="00EF7399"/>
    <w:rsid w:val="00F02127"/>
    <w:rsid w:val="00F03096"/>
    <w:rsid w:val="00F04171"/>
    <w:rsid w:val="00F04CFE"/>
    <w:rsid w:val="00F04E3D"/>
    <w:rsid w:val="00F10690"/>
    <w:rsid w:val="00F14AAD"/>
    <w:rsid w:val="00F15A03"/>
    <w:rsid w:val="00F1614E"/>
    <w:rsid w:val="00F1787C"/>
    <w:rsid w:val="00F22F9D"/>
    <w:rsid w:val="00F23B12"/>
    <w:rsid w:val="00F3551B"/>
    <w:rsid w:val="00F40101"/>
    <w:rsid w:val="00F425FC"/>
    <w:rsid w:val="00F43948"/>
    <w:rsid w:val="00F44225"/>
    <w:rsid w:val="00F4432F"/>
    <w:rsid w:val="00F47A3D"/>
    <w:rsid w:val="00F47D02"/>
    <w:rsid w:val="00F518DB"/>
    <w:rsid w:val="00F53D6E"/>
    <w:rsid w:val="00F5528C"/>
    <w:rsid w:val="00F55898"/>
    <w:rsid w:val="00F55EB1"/>
    <w:rsid w:val="00F56076"/>
    <w:rsid w:val="00F620DD"/>
    <w:rsid w:val="00F6265D"/>
    <w:rsid w:val="00F646A2"/>
    <w:rsid w:val="00F65BF5"/>
    <w:rsid w:val="00F66766"/>
    <w:rsid w:val="00F70302"/>
    <w:rsid w:val="00F72A20"/>
    <w:rsid w:val="00F72AAD"/>
    <w:rsid w:val="00F72FBB"/>
    <w:rsid w:val="00F73BC2"/>
    <w:rsid w:val="00F73F3B"/>
    <w:rsid w:val="00F74775"/>
    <w:rsid w:val="00F75143"/>
    <w:rsid w:val="00F807D7"/>
    <w:rsid w:val="00F8218B"/>
    <w:rsid w:val="00F821AD"/>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C65F4"/>
    <w:rsid w:val="00FD2B70"/>
    <w:rsid w:val="00FD480A"/>
    <w:rsid w:val="00FD4E1C"/>
    <w:rsid w:val="00FD5A4F"/>
    <w:rsid w:val="00FE041C"/>
    <w:rsid w:val="00FE3166"/>
    <w:rsid w:val="00FE3EEF"/>
    <w:rsid w:val="00FE5EBF"/>
    <w:rsid w:val="00FE7AEA"/>
    <w:rsid w:val="00FF3180"/>
    <w:rsid w:val="00FF4C28"/>
    <w:rsid w:val="00FF569F"/>
    <w:rsid w:val="00FF7182"/>
    <w:rsid w:val="0103164E"/>
    <w:rsid w:val="01161381"/>
    <w:rsid w:val="013A26A0"/>
    <w:rsid w:val="01583748"/>
    <w:rsid w:val="015D18DC"/>
    <w:rsid w:val="016C63EF"/>
    <w:rsid w:val="0171740C"/>
    <w:rsid w:val="01852BD3"/>
    <w:rsid w:val="018A6C3C"/>
    <w:rsid w:val="01944054"/>
    <w:rsid w:val="01976C47"/>
    <w:rsid w:val="019F1377"/>
    <w:rsid w:val="019F250B"/>
    <w:rsid w:val="019F4842"/>
    <w:rsid w:val="01A3653E"/>
    <w:rsid w:val="01A8609A"/>
    <w:rsid w:val="01BF37C7"/>
    <w:rsid w:val="01C17A5F"/>
    <w:rsid w:val="01C667FC"/>
    <w:rsid w:val="01E054EB"/>
    <w:rsid w:val="01EB691B"/>
    <w:rsid w:val="01F0355E"/>
    <w:rsid w:val="01F049C2"/>
    <w:rsid w:val="01F40F97"/>
    <w:rsid w:val="01F5332B"/>
    <w:rsid w:val="01F9043A"/>
    <w:rsid w:val="0204567E"/>
    <w:rsid w:val="02064357"/>
    <w:rsid w:val="020A194A"/>
    <w:rsid w:val="02155A13"/>
    <w:rsid w:val="02160F0D"/>
    <w:rsid w:val="02195A53"/>
    <w:rsid w:val="021D04ED"/>
    <w:rsid w:val="02214E85"/>
    <w:rsid w:val="02302DFC"/>
    <w:rsid w:val="02387DE2"/>
    <w:rsid w:val="023C4E17"/>
    <w:rsid w:val="024F7DD5"/>
    <w:rsid w:val="02532161"/>
    <w:rsid w:val="025920CC"/>
    <w:rsid w:val="02616E57"/>
    <w:rsid w:val="0270019B"/>
    <w:rsid w:val="02720839"/>
    <w:rsid w:val="02754BE2"/>
    <w:rsid w:val="02813AD2"/>
    <w:rsid w:val="02844CE4"/>
    <w:rsid w:val="028F3D5E"/>
    <w:rsid w:val="02967C73"/>
    <w:rsid w:val="029D41FE"/>
    <w:rsid w:val="02A800C5"/>
    <w:rsid w:val="02A814F4"/>
    <w:rsid w:val="02AE1145"/>
    <w:rsid w:val="02BD6798"/>
    <w:rsid w:val="02C6499B"/>
    <w:rsid w:val="02C91CAA"/>
    <w:rsid w:val="02DC153B"/>
    <w:rsid w:val="02E36B97"/>
    <w:rsid w:val="02EA61D4"/>
    <w:rsid w:val="02F53218"/>
    <w:rsid w:val="02FE415A"/>
    <w:rsid w:val="03127926"/>
    <w:rsid w:val="03137680"/>
    <w:rsid w:val="0316299A"/>
    <w:rsid w:val="031B3B46"/>
    <w:rsid w:val="031C2E9A"/>
    <w:rsid w:val="03200295"/>
    <w:rsid w:val="03304250"/>
    <w:rsid w:val="033C2BF5"/>
    <w:rsid w:val="033D65BD"/>
    <w:rsid w:val="033E10EB"/>
    <w:rsid w:val="03410496"/>
    <w:rsid w:val="034D3C45"/>
    <w:rsid w:val="034D6BB0"/>
    <w:rsid w:val="036F2FCB"/>
    <w:rsid w:val="036F6B27"/>
    <w:rsid w:val="037D0CD2"/>
    <w:rsid w:val="038B3366"/>
    <w:rsid w:val="03903544"/>
    <w:rsid w:val="03981B5E"/>
    <w:rsid w:val="03996EAD"/>
    <w:rsid w:val="039E565E"/>
    <w:rsid w:val="03B501AB"/>
    <w:rsid w:val="03B819D7"/>
    <w:rsid w:val="03BB03A0"/>
    <w:rsid w:val="03C169FD"/>
    <w:rsid w:val="03C649D4"/>
    <w:rsid w:val="03CF5817"/>
    <w:rsid w:val="03D95E13"/>
    <w:rsid w:val="03DB75BC"/>
    <w:rsid w:val="03DD1CE2"/>
    <w:rsid w:val="03DF4FA7"/>
    <w:rsid w:val="03ED2496"/>
    <w:rsid w:val="03F60BFA"/>
    <w:rsid w:val="03FD3D3F"/>
    <w:rsid w:val="03FD4168"/>
    <w:rsid w:val="0400486F"/>
    <w:rsid w:val="04023CC8"/>
    <w:rsid w:val="04031A8C"/>
    <w:rsid w:val="04074EC0"/>
    <w:rsid w:val="0419625F"/>
    <w:rsid w:val="041B151E"/>
    <w:rsid w:val="04206073"/>
    <w:rsid w:val="042674F4"/>
    <w:rsid w:val="042D3C13"/>
    <w:rsid w:val="04461F7D"/>
    <w:rsid w:val="04471852"/>
    <w:rsid w:val="046046C1"/>
    <w:rsid w:val="04620439"/>
    <w:rsid w:val="04722D72"/>
    <w:rsid w:val="04730C2E"/>
    <w:rsid w:val="047A0BBC"/>
    <w:rsid w:val="0480239D"/>
    <w:rsid w:val="04830723"/>
    <w:rsid w:val="049443A0"/>
    <w:rsid w:val="0499689A"/>
    <w:rsid w:val="04A3483A"/>
    <w:rsid w:val="04A75810"/>
    <w:rsid w:val="04A82A9E"/>
    <w:rsid w:val="04C05DD9"/>
    <w:rsid w:val="04C12ED8"/>
    <w:rsid w:val="04C40774"/>
    <w:rsid w:val="04CA0382"/>
    <w:rsid w:val="04CB0441"/>
    <w:rsid w:val="04CC2756"/>
    <w:rsid w:val="04D65528"/>
    <w:rsid w:val="04D700E0"/>
    <w:rsid w:val="04DA4474"/>
    <w:rsid w:val="04DC5749"/>
    <w:rsid w:val="04DF1A8A"/>
    <w:rsid w:val="04E20559"/>
    <w:rsid w:val="04E26FED"/>
    <w:rsid w:val="04E41F94"/>
    <w:rsid w:val="04EE4C2C"/>
    <w:rsid w:val="04EE7F1F"/>
    <w:rsid w:val="04FD6633"/>
    <w:rsid w:val="05086B01"/>
    <w:rsid w:val="05091758"/>
    <w:rsid w:val="0518141E"/>
    <w:rsid w:val="051B1823"/>
    <w:rsid w:val="052971A9"/>
    <w:rsid w:val="052D1FA4"/>
    <w:rsid w:val="052E2B3B"/>
    <w:rsid w:val="05432019"/>
    <w:rsid w:val="054416D2"/>
    <w:rsid w:val="05461B09"/>
    <w:rsid w:val="05507F0F"/>
    <w:rsid w:val="0564405C"/>
    <w:rsid w:val="057A4A8F"/>
    <w:rsid w:val="058663AA"/>
    <w:rsid w:val="05871A0A"/>
    <w:rsid w:val="05921BD7"/>
    <w:rsid w:val="05933E01"/>
    <w:rsid w:val="0596483F"/>
    <w:rsid w:val="05A10A5E"/>
    <w:rsid w:val="05A369C4"/>
    <w:rsid w:val="05A42E7B"/>
    <w:rsid w:val="05A70EA9"/>
    <w:rsid w:val="05AA4C39"/>
    <w:rsid w:val="05AE242A"/>
    <w:rsid w:val="05B2719F"/>
    <w:rsid w:val="05B66090"/>
    <w:rsid w:val="05C01DDB"/>
    <w:rsid w:val="05C55124"/>
    <w:rsid w:val="05C8522B"/>
    <w:rsid w:val="05CF5C71"/>
    <w:rsid w:val="05D55D36"/>
    <w:rsid w:val="05EA2DDC"/>
    <w:rsid w:val="05ED01D7"/>
    <w:rsid w:val="060617A9"/>
    <w:rsid w:val="060C2525"/>
    <w:rsid w:val="060F69F6"/>
    <w:rsid w:val="06242048"/>
    <w:rsid w:val="062756FD"/>
    <w:rsid w:val="062B138D"/>
    <w:rsid w:val="06320B96"/>
    <w:rsid w:val="0637410B"/>
    <w:rsid w:val="06385829"/>
    <w:rsid w:val="06400E10"/>
    <w:rsid w:val="06471FDD"/>
    <w:rsid w:val="06492E61"/>
    <w:rsid w:val="0650368B"/>
    <w:rsid w:val="06506CFD"/>
    <w:rsid w:val="06512C11"/>
    <w:rsid w:val="06570D1B"/>
    <w:rsid w:val="065F7A31"/>
    <w:rsid w:val="066625FE"/>
    <w:rsid w:val="066A624B"/>
    <w:rsid w:val="066C1A43"/>
    <w:rsid w:val="06797312"/>
    <w:rsid w:val="067C53E7"/>
    <w:rsid w:val="06813741"/>
    <w:rsid w:val="06820F5E"/>
    <w:rsid w:val="068860B7"/>
    <w:rsid w:val="068C566F"/>
    <w:rsid w:val="068C604D"/>
    <w:rsid w:val="068F02DD"/>
    <w:rsid w:val="069B6184"/>
    <w:rsid w:val="06AA766C"/>
    <w:rsid w:val="06AB60C8"/>
    <w:rsid w:val="06AE2ABA"/>
    <w:rsid w:val="06B331CE"/>
    <w:rsid w:val="06BE2E04"/>
    <w:rsid w:val="06BF6017"/>
    <w:rsid w:val="06C75368"/>
    <w:rsid w:val="06C75DF5"/>
    <w:rsid w:val="06CF1337"/>
    <w:rsid w:val="06D03D80"/>
    <w:rsid w:val="06D14EBD"/>
    <w:rsid w:val="06D3561E"/>
    <w:rsid w:val="06DD024B"/>
    <w:rsid w:val="06DD02BB"/>
    <w:rsid w:val="06E52002"/>
    <w:rsid w:val="06E71F51"/>
    <w:rsid w:val="06EB6E0C"/>
    <w:rsid w:val="06F061D0"/>
    <w:rsid w:val="06F523E5"/>
    <w:rsid w:val="06F537E7"/>
    <w:rsid w:val="06F965AD"/>
    <w:rsid w:val="06FD1AAD"/>
    <w:rsid w:val="07015A91"/>
    <w:rsid w:val="07050666"/>
    <w:rsid w:val="070954E4"/>
    <w:rsid w:val="070964EC"/>
    <w:rsid w:val="070B4DB8"/>
    <w:rsid w:val="070C4371"/>
    <w:rsid w:val="070C6ABF"/>
    <w:rsid w:val="0710034B"/>
    <w:rsid w:val="07176E12"/>
    <w:rsid w:val="071C4DB7"/>
    <w:rsid w:val="072D508B"/>
    <w:rsid w:val="073377BE"/>
    <w:rsid w:val="07362674"/>
    <w:rsid w:val="0738659A"/>
    <w:rsid w:val="073B54B2"/>
    <w:rsid w:val="073C5B3F"/>
    <w:rsid w:val="07500A1D"/>
    <w:rsid w:val="07535B32"/>
    <w:rsid w:val="07537EF9"/>
    <w:rsid w:val="07595D1A"/>
    <w:rsid w:val="075C1AB8"/>
    <w:rsid w:val="0761245C"/>
    <w:rsid w:val="07677921"/>
    <w:rsid w:val="076A349C"/>
    <w:rsid w:val="076B5857"/>
    <w:rsid w:val="076F4724"/>
    <w:rsid w:val="077706A0"/>
    <w:rsid w:val="077E37DC"/>
    <w:rsid w:val="07815EE7"/>
    <w:rsid w:val="07821B2B"/>
    <w:rsid w:val="0788719A"/>
    <w:rsid w:val="07954CB4"/>
    <w:rsid w:val="079D47F2"/>
    <w:rsid w:val="079E3E7E"/>
    <w:rsid w:val="07A1396F"/>
    <w:rsid w:val="07A70F85"/>
    <w:rsid w:val="07AA14AC"/>
    <w:rsid w:val="07AF40C5"/>
    <w:rsid w:val="07B74F40"/>
    <w:rsid w:val="07CA6A21"/>
    <w:rsid w:val="07CE2FCD"/>
    <w:rsid w:val="07D16002"/>
    <w:rsid w:val="07DB0C2F"/>
    <w:rsid w:val="07F12200"/>
    <w:rsid w:val="07F27B5E"/>
    <w:rsid w:val="08072324"/>
    <w:rsid w:val="080F59B7"/>
    <w:rsid w:val="08132EBA"/>
    <w:rsid w:val="081748AE"/>
    <w:rsid w:val="081F2B0C"/>
    <w:rsid w:val="082012B0"/>
    <w:rsid w:val="082C08A1"/>
    <w:rsid w:val="08394895"/>
    <w:rsid w:val="08491B20"/>
    <w:rsid w:val="084936FF"/>
    <w:rsid w:val="084E1401"/>
    <w:rsid w:val="08555E8D"/>
    <w:rsid w:val="08635851"/>
    <w:rsid w:val="08660CC0"/>
    <w:rsid w:val="08684E49"/>
    <w:rsid w:val="086A3653"/>
    <w:rsid w:val="087C111E"/>
    <w:rsid w:val="08843A30"/>
    <w:rsid w:val="08874077"/>
    <w:rsid w:val="088A14B7"/>
    <w:rsid w:val="08962DA7"/>
    <w:rsid w:val="089825DA"/>
    <w:rsid w:val="08A57417"/>
    <w:rsid w:val="08A6215D"/>
    <w:rsid w:val="08B62FD9"/>
    <w:rsid w:val="08B80F70"/>
    <w:rsid w:val="08C2359B"/>
    <w:rsid w:val="08C51C8A"/>
    <w:rsid w:val="08C92851"/>
    <w:rsid w:val="08CB4814"/>
    <w:rsid w:val="08CC4952"/>
    <w:rsid w:val="08D04875"/>
    <w:rsid w:val="08D12C8C"/>
    <w:rsid w:val="08D13CBD"/>
    <w:rsid w:val="08DF7C33"/>
    <w:rsid w:val="08E049BC"/>
    <w:rsid w:val="08E32BEA"/>
    <w:rsid w:val="08F8136C"/>
    <w:rsid w:val="08FD4BD5"/>
    <w:rsid w:val="08FF042B"/>
    <w:rsid w:val="08FF3732"/>
    <w:rsid w:val="09041814"/>
    <w:rsid w:val="090B017D"/>
    <w:rsid w:val="090F1B9E"/>
    <w:rsid w:val="091123E2"/>
    <w:rsid w:val="0919314F"/>
    <w:rsid w:val="091A12E3"/>
    <w:rsid w:val="091B2D51"/>
    <w:rsid w:val="0923693C"/>
    <w:rsid w:val="092942B0"/>
    <w:rsid w:val="092D7BDC"/>
    <w:rsid w:val="09300B06"/>
    <w:rsid w:val="09304FAA"/>
    <w:rsid w:val="09320D22"/>
    <w:rsid w:val="09332D2B"/>
    <w:rsid w:val="093911B4"/>
    <w:rsid w:val="093D3FA4"/>
    <w:rsid w:val="093E2D64"/>
    <w:rsid w:val="094579C5"/>
    <w:rsid w:val="09472203"/>
    <w:rsid w:val="09482DEA"/>
    <w:rsid w:val="094C3D6F"/>
    <w:rsid w:val="095203B9"/>
    <w:rsid w:val="096B5F1C"/>
    <w:rsid w:val="096D3B08"/>
    <w:rsid w:val="096F639D"/>
    <w:rsid w:val="09706921"/>
    <w:rsid w:val="09821F09"/>
    <w:rsid w:val="098B1DA7"/>
    <w:rsid w:val="098D4F5C"/>
    <w:rsid w:val="09907951"/>
    <w:rsid w:val="099217C1"/>
    <w:rsid w:val="099F43E4"/>
    <w:rsid w:val="09A31A61"/>
    <w:rsid w:val="09A80A8D"/>
    <w:rsid w:val="09AD65FB"/>
    <w:rsid w:val="09B259BF"/>
    <w:rsid w:val="09BA7A85"/>
    <w:rsid w:val="09BC4A90"/>
    <w:rsid w:val="09C400B8"/>
    <w:rsid w:val="09CC1D29"/>
    <w:rsid w:val="09D56D89"/>
    <w:rsid w:val="09D91422"/>
    <w:rsid w:val="09DE1094"/>
    <w:rsid w:val="09DF1D71"/>
    <w:rsid w:val="09E2475B"/>
    <w:rsid w:val="09E813E1"/>
    <w:rsid w:val="09EE4F48"/>
    <w:rsid w:val="09FE6B62"/>
    <w:rsid w:val="0A034B64"/>
    <w:rsid w:val="0A05780A"/>
    <w:rsid w:val="0A0720F2"/>
    <w:rsid w:val="0A0C7B21"/>
    <w:rsid w:val="0A11626D"/>
    <w:rsid w:val="0A1E6E37"/>
    <w:rsid w:val="0A3C54E3"/>
    <w:rsid w:val="0A3E292B"/>
    <w:rsid w:val="0A3F34B7"/>
    <w:rsid w:val="0A4B11BE"/>
    <w:rsid w:val="0A5D1DCF"/>
    <w:rsid w:val="0A5E65C7"/>
    <w:rsid w:val="0A60366D"/>
    <w:rsid w:val="0A6767AA"/>
    <w:rsid w:val="0A7A4F65"/>
    <w:rsid w:val="0A7A6896"/>
    <w:rsid w:val="0A7B4003"/>
    <w:rsid w:val="0A8530D4"/>
    <w:rsid w:val="0A8E5B8D"/>
    <w:rsid w:val="0A8F0761"/>
    <w:rsid w:val="0A962768"/>
    <w:rsid w:val="0A964CC7"/>
    <w:rsid w:val="0A9F4331"/>
    <w:rsid w:val="0AA240FA"/>
    <w:rsid w:val="0AAC0CBB"/>
    <w:rsid w:val="0AB941DB"/>
    <w:rsid w:val="0ABB60D1"/>
    <w:rsid w:val="0ACB6CFE"/>
    <w:rsid w:val="0ACD23CC"/>
    <w:rsid w:val="0AD04B8B"/>
    <w:rsid w:val="0AD61B81"/>
    <w:rsid w:val="0AD84BD3"/>
    <w:rsid w:val="0ADF450F"/>
    <w:rsid w:val="0AE727E9"/>
    <w:rsid w:val="0AE941D3"/>
    <w:rsid w:val="0AEA0C42"/>
    <w:rsid w:val="0AF85654"/>
    <w:rsid w:val="0AFF21AB"/>
    <w:rsid w:val="0B0264D2"/>
    <w:rsid w:val="0B095AB3"/>
    <w:rsid w:val="0B1061C6"/>
    <w:rsid w:val="0B2B08D5"/>
    <w:rsid w:val="0B32274A"/>
    <w:rsid w:val="0B357071"/>
    <w:rsid w:val="0B3B56E7"/>
    <w:rsid w:val="0B403483"/>
    <w:rsid w:val="0B41349E"/>
    <w:rsid w:val="0B666A61"/>
    <w:rsid w:val="0B7078E0"/>
    <w:rsid w:val="0B772A1C"/>
    <w:rsid w:val="0B815649"/>
    <w:rsid w:val="0B913217"/>
    <w:rsid w:val="0BA35012"/>
    <w:rsid w:val="0BAA1044"/>
    <w:rsid w:val="0BB825ED"/>
    <w:rsid w:val="0BC0647C"/>
    <w:rsid w:val="0BC371A6"/>
    <w:rsid w:val="0BC419DA"/>
    <w:rsid w:val="0BC465DD"/>
    <w:rsid w:val="0BD434D6"/>
    <w:rsid w:val="0BD7624B"/>
    <w:rsid w:val="0BDC5BC2"/>
    <w:rsid w:val="0BE718B9"/>
    <w:rsid w:val="0BF16C73"/>
    <w:rsid w:val="0BF26817"/>
    <w:rsid w:val="0BFA53FB"/>
    <w:rsid w:val="0C000C64"/>
    <w:rsid w:val="0C006EB6"/>
    <w:rsid w:val="0C032502"/>
    <w:rsid w:val="0C0D1051"/>
    <w:rsid w:val="0C22464A"/>
    <w:rsid w:val="0C28640C"/>
    <w:rsid w:val="0C2B72AE"/>
    <w:rsid w:val="0C3C7C47"/>
    <w:rsid w:val="0C3E353A"/>
    <w:rsid w:val="0C430B50"/>
    <w:rsid w:val="0C4C0F18"/>
    <w:rsid w:val="0C4F1BEB"/>
    <w:rsid w:val="0C5A4BC9"/>
    <w:rsid w:val="0C6173B0"/>
    <w:rsid w:val="0C623EAC"/>
    <w:rsid w:val="0C632759"/>
    <w:rsid w:val="0C6A6BC9"/>
    <w:rsid w:val="0C6D035F"/>
    <w:rsid w:val="0C6E1DFD"/>
    <w:rsid w:val="0C71673E"/>
    <w:rsid w:val="0C8A2C23"/>
    <w:rsid w:val="0C907472"/>
    <w:rsid w:val="0C946488"/>
    <w:rsid w:val="0C97375F"/>
    <w:rsid w:val="0C9D2956"/>
    <w:rsid w:val="0CA154BB"/>
    <w:rsid w:val="0CA34B6B"/>
    <w:rsid w:val="0CAB0CCE"/>
    <w:rsid w:val="0CAD24AF"/>
    <w:rsid w:val="0CB27F34"/>
    <w:rsid w:val="0CB317A3"/>
    <w:rsid w:val="0CBF1A10"/>
    <w:rsid w:val="0CC70681"/>
    <w:rsid w:val="0CC83A2C"/>
    <w:rsid w:val="0CD12600"/>
    <w:rsid w:val="0CDB1EA2"/>
    <w:rsid w:val="0CDC69F0"/>
    <w:rsid w:val="0CE25105"/>
    <w:rsid w:val="0CFE0B7E"/>
    <w:rsid w:val="0D030DE8"/>
    <w:rsid w:val="0D0D3F93"/>
    <w:rsid w:val="0D12389F"/>
    <w:rsid w:val="0D1978DD"/>
    <w:rsid w:val="0D2820B7"/>
    <w:rsid w:val="0D39305F"/>
    <w:rsid w:val="0D3A4E85"/>
    <w:rsid w:val="0D4903E8"/>
    <w:rsid w:val="0D5A43A4"/>
    <w:rsid w:val="0D662D48"/>
    <w:rsid w:val="0D662EE5"/>
    <w:rsid w:val="0D6E3DB2"/>
    <w:rsid w:val="0D6FAE02"/>
    <w:rsid w:val="0D70468E"/>
    <w:rsid w:val="0D772C4D"/>
    <w:rsid w:val="0D7E023F"/>
    <w:rsid w:val="0D83239F"/>
    <w:rsid w:val="0D847672"/>
    <w:rsid w:val="0D860EC5"/>
    <w:rsid w:val="0D866726"/>
    <w:rsid w:val="0D921D8F"/>
    <w:rsid w:val="0D9339BE"/>
    <w:rsid w:val="0D962D9A"/>
    <w:rsid w:val="0D9B0DE1"/>
    <w:rsid w:val="0D9C49BC"/>
    <w:rsid w:val="0D9E6A67"/>
    <w:rsid w:val="0D9F0DC4"/>
    <w:rsid w:val="0DA47D15"/>
    <w:rsid w:val="0DA93760"/>
    <w:rsid w:val="0DB96584"/>
    <w:rsid w:val="0DC02AA1"/>
    <w:rsid w:val="0DC06BC5"/>
    <w:rsid w:val="0DCC706A"/>
    <w:rsid w:val="0DD21336"/>
    <w:rsid w:val="0DD71E98"/>
    <w:rsid w:val="0DDE695A"/>
    <w:rsid w:val="0DE16873"/>
    <w:rsid w:val="0DF73A5B"/>
    <w:rsid w:val="0E164CA8"/>
    <w:rsid w:val="0E231949"/>
    <w:rsid w:val="0E2826F4"/>
    <w:rsid w:val="0E2C1011"/>
    <w:rsid w:val="0E2D072E"/>
    <w:rsid w:val="0E2D1722"/>
    <w:rsid w:val="0E3B295D"/>
    <w:rsid w:val="0E3E1F17"/>
    <w:rsid w:val="0E407A3D"/>
    <w:rsid w:val="0E415563"/>
    <w:rsid w:val="0E47249B"/>
    <w:rsid w:val="0E4B71D2"/>
    <w:rsid w:val="0E520A4C"/>
    <w:rsid w:val="0E551882"/>
    <w:rsid w:val="0E5C501B"/>
    <w:rsid w:val="0E65340B"/>
    <w:rsid w:val="0E683859"/>
    <w:rsid w:val="0E7158E5"/>
    <w:rsid w:val="0E7306EC"/>
    <w:rsid w:val="0E9F762D"/>
    <w:rsid w:val="0EB254B2"/>
    <w:rsid w:val="0EB73D57"/>
    <w:rsid w:val="0EBB3118"/>
    <w:rsid w:val="0EBF5BE0"/>
    <w:rsid w:val="0ECF0DC1"/>
    <w:rsid w:val="0ECF491D"/>
    <w:rsid w:val="0ED2440E"/>
    <w:rsid w:val="0EDF2545"/>
    <w:rsid w:val="0EE16A6A"/>
    <w:rsid w:val="0EE83C31"/>
    <w:rsid w:val="0EFB3F5D"/>
    <w:rsid w:val="0F041CC7"/>
    <w:rsid w:val="0F042317"/>
    <w:rsid w:val="0F1121DB"/>
    <w:rsid w:val="0F1209F8"/>
    <w:rsid w:val="0F205179"/>
    <w:rsid w:val="0F242EBB"/>
    <w:rsid w:val="0F2733BC"/>
    <w:rsid w:val="0F2979DF"/>
    <w:rsid w:val="0F3E06C6"/>
    <w:rsid w:val="0F3E38C0"/>
    <w:rsid w:val="0F470958"/>
    <w:rsid w:val="0F4C19DA"/>
    <w:rsid w:val="0F4C7D05"/>
    <w:rsid w:val="0F4F31AF"/>
    <w:rsid w:val="0F565979"/>
    <w:rsid w:val="0F5C607F"/>
    <w:rsid w:val="0F5F17BD"/>
    <w:rsid w:val="0F5F1D9E"/>
    <w:rsid w:val="0F7D0846"/>
    <w:rsid w:val="0F837211"/>
    <w:rsid w:val="0F90531D"/>
    <w:rsid w:val="0F985657"/>
    <w:rsid w:val="0F9D2C6D"/>
    <w:rsid w:val="0FAD64B5"/>
    <w:rsid w:val="0FB21FD4"/>
    <w:rsid w:val="0FC02C42"/>
    <w:rsid w:val="0FDC5544"/>
    <w:rsid w:val="0FEF171B"/>
    <w:rsid w:val="0FF360CA"/>
    <w:rsid w:val="0FFF2EBC"/>
    <w:rsid w:val="0FFF5930"/>
    <w:rsid w:val="10005ACF"/>
    <w:rsid w:val="10026009"/>
    <w:rsid w:val="101A606C"/>
    <w:rsid w:val="101C0036"/>
    <w:rsid w:val="102E1B18"/>
    <w:rsid w:val="102F2299"/>
    <w:rsid w:val="103C03B2"/>
    <w:rsid w:val="103F4475"/>
    <w:rsid w:val="10646943"/>
    <w:rsid w:val="10667503"/>
    <w:rsid w:val="1068327B"/>
    <w:rsid w:val="106E22E2"/>
    <w:rsid w:val="10721A98"/>
    <w:rsid w:val="10741C20"/>
    <w:rsid w:val="109B71AD"/>
    <w:rsid w:val="109E6C9D"/>
    <w:rsid w:val="10A265EF"/>
    <w:rsid w:val="10CF50A9"/>
    <w:rsid w:val="10D02F1C"/>
    <w:rsid w:val="10D41A1C"/>
    <w:rsid w:val="10D539AA"/>
    <w:rsid w:val="10D73F5D"/>
    <w:rsid w:val="10E0785E"/>
    <w:rsid w:val="10EC4A0F"/>
    <w:rsid w:val="10F015F8"/>
    <w:rsid w:val="10F20D97"/>
    <w:rsid w:val="10F6623E"/>
    <w:rsid w:val="10F863AD"/>
    <w:rsid w:val="10F93ED3"/>
    <w:rsid w:val="110A1F26"/>
    <w:rsid w:val="11156FC6"/>
    <w:rsid w:val="111D7BC2"/>
    <w:rsid w:val="1123176F"/>
    <w:rsid w:val="113847BC"/>
    <w:rsid w:val="11485B0D"/>
    <w:rsid w:val="114C7209"/>
    <w:rsid w:val="115256FE"/>
    <w:rsid w:val="1154158B"/>
    <w:rsid w:val="115E6363"/>
    <w:rsid w:val="11641C95"/>
    <w:rsid w:val="11687758"/>
    <w:rsid w:val="117076B2"/>
    <w:rsid w:val="117C440B"/>
    <w:rsid w:val="118B0F65"/>
    <w:rsid w:val="118C33AB"/>
    <w:rsid w:val="1198193E"/>
    <w:rsid w:val="119E6579"/>
    <w:rsid w:val="11A058D6"/>
    <w:rsid w:val="11A64463"/>
    <w:rsid w:val="11AF6E53"/>
    <w:rsid w:val="11B85B3D"/>
    <w:rsid w:val="11BC0FBF"/>
    <w:rsid w:val="11C5591F"/>
    <w:rsid w:val="11C646FD"/>
    <w:rsid w:val="11C92EBE"/>
    <w:rsid w:val="11C97D4A"/>
    <w:rsid w:val="11CC783A"/>
    <w:rsid w:val="11D435DD"/>
    <w:rsid w:val="11DA3C43"/>
    <w:rsid w:val="11DC5CCF"/>
    <w:rsid w:val="11DC7A7D"/>
    <w:rsid w:val="11E83DAB"/>
    <w:rsid w:val="11E859B4"/>
    <w:rsid w:val="11EB328A"/>
    <w:rsid w:val="11F1104F"/>
    <w:rsid w:val="11FF2AFC"/>
    <w:rsid w:val="120C240A"/>
    <w:rsid w:val="120D5D21"/>
    <w:rsid w:val="121A0D82"/>
    <w:rsid w:val="121C2D98"/>
    <w:rsid w:val="121D44A7"/>
    <w:rsid w:val="1220326C"/>
    <w:rsid w:val="122C3D05"/>
    <w:rsid w:val="123A67B6"/>
    <w:rsid w:val="123F4084"/>
    <w:rsid w:val="124675EC"/>
    <w:rsid w:val="125215C0"/>
    <w:rsid w:val="125670E6"/>
    <w:rsid w:val="125C6A25"/>
    <w:rsid w:val="125E1A9C"/>
    <w:rsid w:val="1276289F"/>
    <w:rsid w:val="127C10DA"/>
    <w:rsid w:val="127D2B19"/>
    <w:rsid w:val="12800CED"/>
    <w:rsid w:val="1288522D"/>
    <w:rsid w:val="128F2D41"/>
    <w:rsid w:val="129D6A95"/>
    <w:rsid w:val="12AF4046"/>
    <w:rsid w:val="12B1296B"/>
    <w:rsid w:val="12C86AF6"/>
    <w:rsid w:val="12CE506D"/>
    <w:rsid w:val="12DB1E18"/>
    <w:rsid w:val="12DC3213"/>
    <w:rsid w:val="12ED1816"/>
    <w:rsid w:val="12F65490"/>
    <w:rsid w:val="12F73D2A"/>
    <w:rsid w:val="12F86B39"/>
    <w:rsid w:val="12F9698E"/>
    <w:rsid w:val="12FE7459"/>
    <w:rsid w:val="1303145A"/>
    <w:rsid w:val="130628D8"/>
    <w:rsid w:val="13112273"/>
    <w:rsid w:val="13135E04"/>
    <w:rsid w:val="131C7C5D"/>
    <w:rsid w:val="131D231B"/>
    <w:rsid w:val="132E255A"/>
    <w:rsid w:val="133119A2"/>
    <w:rsid w:val="13370A53"/>
    <w:rsid w:val="13442287"/>
    <w:rsid w:val="134E1CE9"/>
    <w:rsid w:val="13511DF6"/>
    <w:rsid w:val="135F1DD8"/>
    <w:rsid w:val="13677654"/>
    <w:rsid w:val="13781A27"/>
    <w:rsid w:val="137B5074"/>
    <w:rsid w:val="138A3A84"/>
    <w:rsid w:val="138B4634"/>
    <w:rsid w:val="138C54D3"/>
    <w:rsid w:val="138F1214"/>
    <w:rsid w:val="139B20B6"/>
    <w:rsid w:val="13A47E95"/>
    <w:rsid w:val="13A85D99"/>
    <w:rsid w:val="13A96922"/>
    <w:rsid w:val="13AA5FC9"/>
    <w:rsid w:val="13AC77D8"/>
    <w:rsid w:val="13B862C8"/>
    <w:rsid w:val="13BF412F"/>
    <w:rsid w:val="13D101C7"/>
    <w:rsid w:val="13D247DC"/>
    <w:rsid w:val="13D50C28"/>
    <w:rsid w:val="13D6674E"/>
    <w:rsid w:val="13D75DF6"/>
    <w:rsid w:val="13E72709"/>
    <w:rsid w:val="13FA243C"/>
    <w:rsid w:val="1400440E"/>
    <w:rsid w:val="1417554F"/>
    <w:rsid w:val="14222D76"/>
    <w:rsid w:val="142669A3"/>
    <w:rsid w:val="14272D11"/>
    <w:rsid w:val="142971E9"/>
    <w:rsid w:val="143248CB"/>
    <w:rsid w:val="14346F7A"/>
    <w:rsid w:val="143805F9"/>
    <w:rsid w:val="1439779F"/>
    <w:rsid w:val="144068BA"/>
    <w:rsid w:val="14454D6C"/>
    <w:rsid w:val="144729D8"/>
    <w:rsid w:val="144D44FA"/>
    <w:rsid w:val="144E7951"/>
    <w:rsid w:val="1451239D"/>
    <w:rsid w:val="145F04F1"/>
    <w:rsid w:val="146B06F9"/>
    <w:rsid w:val="14741DE5"/>
    <w:rsid w:val="148E78CB"/>
    <w:rsid w:val="149F4D92"/>
    <w:rsid w:val="14A13E6D"/>
    <w:rsid w:val="14AB614D"/>
    <w:rsid w:val="14B96C2B"/>
    <w:rsid w:val="14C45781"/>
    <w:rsid w:val="14C91E0F"/>
    <w:rsid w:val="14CB5B87"/>
    <w:rsid w:val="14CC1154"/>
    <w:rsid w:val="14E95C60"/>
    <w:rsid w:val="14ED4B63"/>
    <w:rsid w:val="14F711F2"/>
    <w:rsid w:val="14F85A27"/>
    <w:rsid w:val="15023C9F"/>
    <w:rsid w:val="150903AF"/>
    <w:rsid w:val="1517701E"/>
    <w:rsid w:val="1521120D"/>
    <w:rsid w:val="152141DA"/>
    <w:rsid w:val="152233B7"/>
    <w:rsid w:val="15282A96"/>
    <w:rsid w:val="152A0AFF"/>
    <w:rsid w:val="1530079D"/>
    <w:rsid w:val="15436E45"/>
    <w:rsid w:val="15450840"/>
    <w:rsid w:val="15483D18"/>
    <w:rsid w:val="154B3CDA"/>
    <w:rsid w:val="15507C7E"/>
    <w:rsid w:val="15664AEF"/>
    <w:rsid w:val="1568429B"/>
    <w:rsid w:val="15744470"/>
    <w:rsid w:val="15792211"/>
    <w:rsid w:val="1581326E"/>
    <w:rsid w:val="158521DA"/>
    <w:rsid w:val="158E23E1"/>
    <w:rsid w:val="159643E7"/>
    <w:rsid w:val="159D39C7"/>
    <w:rsid w:val="159D7EA6"/>
    <w:rsid w:val="159F1BF9"/>
    <w:rsid w:val="15A04442"/>
    <w:rsid w:val="15B66E83"/>
    <w:rsid w:val="15B71B1D"/>
    <w:rsid w:val="15CA22E2"/>
    <w:rsid w:val="15E63361"/>
    <w:rsid w:val="15E82AFC"/>
    <w:rsid w:val="15ED9D0A"/>
    <w:rsid w:val="160B0227"/>
    <w:rsid w:val="16117F11"/>
    <w:rsid w:val="16191DBA"/>
    <w:rsid w:val="162225C4"/>
    <w:rsid w:val="162369B8"/>
    <w:rsid w:val="1636626F"/>
    <w:rsid w:val="1638724C"/>
    <w:rsid w:val="163C3478"/>
    <w:rsid w:val="16555BF5"/>
    <w:rsid w:val="165754AD"/>
    <w:rsid w:val="166261D9"/>
    <w:rsid w:val="166C7DA6"/>
    <w:rsid w:val="16704C38"/>
    <w:rsid w:val="16734728"/>
    <w:rsid w:val="16736221"/>
    <w:rsid w:val="16772145"/>
    <w:rsid w:val="167A1613"/>
    <w:rsid w:val="16864176"/>
    <w:rsid w:val="16A3500D"/>
    <w:rsid w:val="16AD578F"/>
    <w:rsid w:val="16BA2357"/>
    <w:rsid w:val="16BA36A4"/>
    <w:rsid w:val="16BF34C9"/>
    <w:rsid w:val="16C531D6"/>
    <w:rsid w:val="16CB3F43"/>
    <w:rsid w:val="16DD0170"/>
    <w:rsid w:val="16E04880"/>
    <w:rsid w:val="16F715C6"/>
    <w:rsid w:val="16F73631"/>
    <w:rsid w:val="16F86032"/>
    <w:rsid w:val="16FE2B67"/>
    <w:rsid w:val="17081A7A"/>
    <w:rsid w:val="171A224F"/>
    <w:rsid w:val="171C4609"/>
    <w:rsid w:val="17292C0C"/>
    <w:rsid w:val="172A02F2"/>
    <w:rsid w:val="17371DE5"/>
    <w:rsid w:val="173E6AE4"/>
    <w:rsid w:val="17465999"/>
    <w:rsid w:val="17481711"/>
    <w:rsid w:val="174C321D"/>
    <w:rsid w:val="1760471E"/>
    <w:rsid w:val="176C3651"/>
    <w:rsid w:val="176E561B"/>
    <w:rsid w:val="176F50FE"/>
    <w:rsid w:val="17743B3E"/>
    <w:rsid w:val="177F5DCE"/>
    <w:rsid w:val="1784066B"/>
    <w:rsid w:val="17870C29"/>
    <w:rsid w:val="17982698"/>
    <w:rsid w:val="179854A4"/>
    <w:rsid w:val="17A451FC"/>
    <w:rsid w:val="17AB7911"/>
    <w:rsid w:val="17AF1790"/>
    <w:rsid w:val="17BF3DB0"/>
    <w:rsid w:val="17C640D5"/>
    <w:rsid w:val="17D10049"/>
    <w:rsid w:val="17DD0B49"/>
    <w:rsid w:val="17E56F60"/>
    <w:rsid w:val="17F1258D"/>
    <w:rsid w:val="17F1563C"/>
    <w:rsid w:val="17F23C73"/>
    <w:rsid w:val="17FD6053"/>
    <w:rsid w:val="1809733D"/>
    <w:rsid w:val="180E7B8D"/>
    <w:rsid w:val="180F3B80"/>
    <w:rsid w:val="181B1411"/>
    <w:rsid w:val="181C1400"/>
    <w:rsid w:val="1822161A"/>
    <w:rsid w:val="18223BBF"/>
    <w:rsid w:val="18267CA4"/>
    <w:rsid w:val="18273A1C"/>
    <w:rsid w:val="182B46CE"/>
    <w:rsid w:val="18406E44"/>
    <w:rsid w:val="185C1918"/>
    <w:rsid w:val="186407CC"/>
    <w:rsid w:val="186C25A2"/>
    <w:rsid w:val="186D44B9"/>
    <w:rsid w:val="187D1E98"/>
    <w:rsid w:val="1880349D"/>
    <w:rsid w:val="188350F6"/>
    <w:rsid w:val="188930EC"/>
    <w:rsid w:val="189B64C2"/>
    <w:rsid w:val="189E5FA9"/>
    <w:rsid w:val="189F3152"/>
    <w:rsid w:val="18A408A8"/>
    <w:rsid w:val="18A84B5D"/>
    <w:rsid w:val="18BF367D"/>
    <w:rsid w:val="18C64FE3"/>
    <w:rsid w:val="18C84D5E"/>
    <w:rsid w:val="18C92265"/>
    <w:rsid w:val="18D435BC"/>
    <w:rsid w:val="18E216F1"/>
    <w:rsid w:val="18E261BC"/>
    <w:rsid w:val="18EF6999"/>
    <w:rsid w:val="18F558C8"/>
    <w:rsid w:val="18F55B1A"/>
    <w:rsid w:val="18FC1A94"/>
    <w:rsid w:val="18FD1452"/>
    <w:rsid w:val="190B7602"/>
    <w:rsid w:val="19193365"/>
    <w:rsid w:val="191D5626"/>
    <w:rsid w:val="191E0DAD"/>
    <w:rsid w:val="19261639"/>
    <w:rsid w:val="192636D7"/>
    <w:rsid w:val="193208CA"/>
    <w:rsid w:val="19337DEC"/>
    <w:rsid w:val="194E072B"/>
    <w:rsid w:val="195D5C0E"/>
    <w:rsid w:val="196D06DE"/>
    <w:rsid w:val="197005B4"/>
    <w:rsid w:val="19773796"/>
    <w:rsid w:val="198F2D53"/>
    <w:rsid w:val="19947E51"/>
    <w:rsid w:val="199D2EDD"/>
    <w:rsid w:val="199E633D"/>
    <w:rsid w:val="19AC41D9"/>
    <w:rsid w:val="19B64CC2"/>
    <w:rsid w:val="19BA69A5"/>
    <w:rsid w:val="19BD4C92"/>
    <w:rsid w:val="19CA28B1"/>
    <w:rsid w:val="19D63004"/>
    <w:rsid w:val="19DF6D3F"/>
    <w:rsid w:val="19E24459"/>
    <w:rsid w:val="19E25E4D"/>
    <w:rsid w:val="19E80F89"/>
    <w:rsid w:val="19F66E1B"/>
    <w:rsid w:val="1A02204B"/>
    <w:rsid w:val="1A157C58"/>
    <w:rsid w:val="1A215C48"/>
    <w:rsid w:val="1A25488B"/>
    <w:rsid w:val="1A293A7B"/>
    <w:rsid w:val="1A305FF4"/>
    <w:rsid w:val="1A391098"/>
    <w:rsid w:val="1A3D7EBE"/>
    <w:rsid w:val="1A4353A0"/>
    <w:rsid w:val="1A4E320C"/>
    <w:rsid w:val="1A557489"/>
    <w:rsid w:val="1A5D7931"/>
    <w:rsid w:val="1A5E3AD4"/>
    <w:rsid w:val="1A8E1B30"/>
    <w:rsid w:val="1A952EBF"/>
    <w:rsid w:val="1AA03612"/>
    <w:rsid w:val="1AB21B9E"/>
    <w:rsid w:val="1AB83B61"/>
    <w:rsid w:val="1AC9700C"/>
    <w:rsid w:val="1AD33166"/>
    <w:rsid w:val="1AD339E7"/>
    <w:rsid w:val="1ADC538F"/>
    <w:rsid w:val="1ADE1DAD"/>
    <w:rsid w:val="1ADF5161"/>
    <w:rsid w:val="1AF45443"/>
    <w:rsid w:val="1B010554"/>
    <w:rsid w:val="1B023173"/>
    <w:rsid w:val="1B075A0C"/>
    <w:rsid w:val="1B1D4C62"/>
    <w:rsid w:val="1B207588"/>
    <w:rsid w:val="1B26620D"/>
    <w:rsid w:val="1B2E1A41"/>
    <w:rsid w:val="1B2E2FAC"/>
    <w:rsid w:val="1B4072CF"/>
    <w:rsid w:val="1B59213E"/>
    <w:rsid w:val="1B5B4A57"/>
    <w:rsid w:val="1B5B65FA"/>
    <w:rsid w:val="1B67066F"/>
    <w:rsid w:val="1B7229E4"/>
    <w:rsid w:val="1B7A5EC7"/>
    <w:rsid w:val="1B8E5EC0"/>
    <w:rsid w:val="1B93795B"/>
    <w:rsid w:val="1B9459BC"/>
    <w:rsid w:val="1B9C1571"/>
    <w:rsid w:val="1BBE6D7C"/>
    <w:rsid w:val="1BC81072"/>
    <w:rsid w:val="1BCA51B4"/>
    <w:rsid w:val="1BD05DB4"/>
    <w:rsid w:val="1BD5630D"/>
    <w:rsid w:val="1BDC68CC"/>
    <w:rsid w:val="1BF94285"/>
    <w:rsid w:val="1BFF685C"/>
    <w:rsid w:val="1C073948"/>
    <w:rsid w:val="1C116575"/>
    <w:rsid w:val="1C1E6EE4"/>
    <w:rsid w:val="1C273CF7"/>
    <w:rsid w:val="1C453213"/>
    <w:rsid w:val="1C4C3A51"/>
    <w:rsid w:val="1C514B5E"/>
    <w:rsid w:val="1C537FA4"/>
    <w:rsid w:val="1C5446B4"/>
    <w:rsid w:val="1C5D7A0C"/>
    <w:rsid w:val="1C7620AF"/>
    <w:rsid w:val="1C8E406A"/>
    <w:rsid w:val="1C8F6F6A"/>
    <w:rsid w:val="1C913B5A"/>
    <w:rsid w:val="1C9A1204"/>
    <w:rsid w:val="1CA1462E"/>
    <w:rsid w:val="1CAA6003"/>
    <w:rsid w:val="1CB30B67"/>
    <w:rsid w:val="1CB33990"/>
    <w:rsid w:val="1CBA4E5F"/>
    <w:rsid w:val="1CC22665"/>
    <w:rsid w:val="1CDF48C5"/>
    <w:rsid w:val="1CEB4346"/>
    <w:rsid w:val="1CF0718B"/>
    <w:rsid w:val="1CF6260F"/>
    <w:rsid w:val="1CF83AEA"/>
    <w:rsid w:val="1CF911FC"/>
    <w:rsid w:val="1CFE032D"/>
    <w:rsid w:val="1D063C00"/>
    <w:rsid w:val="1D0845A8"/>
    <w:rsid w:val="1D0B525D"/>
    <w:rsid w:val="1D157942"/>
    <w:rsid w:val="1D1D719C"/>
    <w:rsid w:val="1D207523"/>
    <w:rsid w:val="1D372BD9"/>
    <w:rsid w:val="1D4330A6"/>
    <w:rsid w:val="1D526E45"/>
    <w:rsid w:val="1D545CBC"/>
    <w:rsid w:val="1D570900"/>
    <w:rsid w:val="1D5A219E"/>
    <w:rsid w:val="1D623BCD"/>
    <w:rsid w:val="1D6914D5"/>
    <w:rsid w:val="1D7A2332"/>
    <w:rsid w:val="1D7C7A22"/>
    <w:rsid w:val="1D7E09CF"/>
    <w:rsid w:val="1D85546D"/>
    <w:rsid w:val="1D862C8F"/>
    <w:rsid w:val="1D903E12"/>
    <w:rsid w:val="1D9F1A69"/>
    <w:rsid w:val="1DA3340F"/>
    <w:rsid w:val="1DA8115B"/>
    <w:rsid w:val="1DA91A6B"/>
    <w:rsid w:val="1DB467BA"/>
    <w:rsid w:val="1DC81497"/>
    <w:rsid w:val="1DC94859"/>
    <w:rsid w:val="1DD609E7"/>
    <w:rsid w:val="1DDA19F5"/>
    <w:rsid w:val="1DE23DBC"/>
    <w:rsid w:val="1DE41480"/>
    <w:rsid w:val="1DED4DC0"/>
    <w:rsid w:val="1DF334D5"/>
    <w:rsid w:val="1E08471B"/>
    <w:rsid w:val="1E2139B7"/>
    <w:rsid w:val="1E2A1F4B"/>
    <w:rsid w:val="1E344EE0"/>
    <w:rsid w:val="1E3B38FB"/>
    <w:rsid w:val="1E497454"/>
    <w:rsid w:val="1E4B0F80"/>
    <w:rsid w:val="1E5141B8"/>
    <w:rsid w:val="1E6D61CB"/>
    <w:rsid w:val="1E7065BE"/>
    <w:rsid w:val="1E7828DC"/>
    <w:rsid w:val="1E7A14A8"/>
    <w:rsid w:val="1E7B061E"/>
    <w:rsid w:val="1E7F32B0"/>
    <w:rsid w:val="1E830C89"/>
    <w:rsid w:val="1E873426"/>
    <w:rsid w:val="1E9D67E6"/>
    <w:rsid w:val="1E9E0462"/>
    <w:rsid w:val="1EA52202"/>
    <w:rsid w:val="1EA6136F"/>
    <w:rsid w:val="1EB52891"/>
    <w:rsid w:val="1EB63EED"/>
    <w:rsid w:val="1EBA058B"/>
    <w:rsid w:val="1EBB622E"/>
    <w:rsid w:val="1EC34807"/>
    <w:rsid w:val="1EC73863"/>
    <w:rsid w:val="1ECC78B2"/>
    <w:rsid w:val="1ED63AA6"/>
    <w:rsid w:val="1ED979A9"/>
    <w:rsid w:val="1EDF6DFF"/>
    <w:rsid w:val="1EE83A25"/>
    <w:rsid w:val="1EEA13A6"/>
    <w:rsid w:val="1EF55AE5"/>
    <w:rsid w:val="1EFE64E9"/>
    <w:rsid w:val="1EFF6A6E"/>
    <w:rsid w:val="1F010B23"/>
    <w:rsid w:val="1F01713F"/>
    <w:rsid w:val="1F0566C7"/>
    <w:rsid w:val="1F0709E5"/>
    <w:rsid w:val="1F095F07"/>
    <w:rsid w:val="1F0C54A8"/>
    <w:rsid w:val="1F182311"/>
    <w:rsid w:val="1F2246B6"/>
    <w:rsid w:val="1F3548F1"/>
    <w:rsid w:val="1F3F5213"/>
    <w:rsid w:val="1F473F03"/>
    <w:rsid w:val="1F4924CA"/>
    <w:rsid w:val="1F4B4494"/>
    <w:rsid w:val="1F6207D0"/>
    <w:rsid w:val="1F62533A"/>
    <w:rsid w:val="1F674396"/>
    <w:rsid w:val="1F6B0692"/>
    <w:rsid w:val="1F7A08D5"/>
    <w:rsid w:val="1F7D0570"/>
    <w:rsid w:val="1F7D4B27"/>
    <w:rsid w:val="1F7E1E72"/>
    <w:rsid w:val="1F830E19"/>
    <w:rsid w:val="1F903C55"/>
    <w:rsid w:val="1F9041EC"/>
    <w:rsid w:val="1F90634B"/>
    <w:rsid w:val="1F951C78"/>
    <w:rsid w:val="1F961842"/>
    <w:rsid w:val="1FA015EC"/>
    <w:rsid w:val="1FA60FA0"/>
    <w:rsid w:val="1FB86721"/>
    <w:rsid w:val="1FBC0562"/>
    <w:rsid w:val="1FBC0EEE"/>
    <w:rsid w:val="1FCC611D"/>
    <w:rsid w:val="1FCF2607"/>
    <w:rsid w:val="1FDE70B6"/>
    <w:rsid w:val="1FE04BDC"/>
    <w:rsid w:val="1FE1627D"/>
    <w:rsid w:val="1FE20D9D"/>
    <w:rsid w:val="1FEA5A5B"/>
    <w:rsid w:val="1FEA603B"/>
    <w:rsid w:val="1FEF09AF"/>
    <w:rsid w:val="1FF16DE9"/>
    <w:rsid w:val="20133D98"/>
    <w:rsid w:val="201523AC"/>
    <w:rsid w:val="201D3642"/>
    <w:rsid w:val="201E5705"/>
    <w:rsid w:val="20226856"/>
    <w:rsid w:val="20270FDB"/>
    <w:rsid w:val="20293E2F"/>
    <w:rsid w:val="202C6073"/>
    <w:rsid w:val="202D3482"/>
    <w:rsid w:val="203413CD"/>
    <w:rsid w:val="20384A18"/>
    <w:rsid w:val="203C3BA6"/>
    <w:rsid w:val="204E373B"/>
    <w:rsid w:val="20503B07"/>
    <w:rsid w:val="205B00CB"/>
    <w:rsid w:val="205B4E3E"/>
    <w:rsid w:val="205E1FA5"/>
    <w:rsid w:val="20686E43"/>
    <w:rsid w:val="206C021E"/>
    <w:rsid w:val="206E3E8E"/>
    <w:rsid w:val="207224C8"/>
    <w:rsid w:val="20757347"/>
    <w:rsid w:val="2076639A"/>
    <w:rsid w:val="207900AE"/>
    <w:rsid w:val="207E43F5"/>
    <w:rsid w:val="20823EE5"/>
    <w:rsid w:val="20880DD0"/>
    <w:rsid w:val="208A2D9A"/>
    <w:rsid w:val="2093114F"/>
    <w:rsid w:val="2094746D"/>
    <w:rsid w:val="20964C3C"/>
    <w:rsid w:val="209B57AA"/>
    <w:rsid w:val="20A121FD"/>
    <w:rsid w:val="20A91472"/>
    <w:rsid w:val="20B147CB"/>
    <w:rsid w:val="20B15A28"/>
    <w:rsid w:val="20B6486E"/>
    <w:rsid w:val="20C20004"/>
    <w:rsid w:val="20C531AB"/>
    <w:rsid w:val="20C55B75"/>
    <w:rsid w:val="20CF234D"/>
    <w:rsid w:val="20D07CD4"/>
    <w:rsid w:val="20D30097"/>
    <w:rsid w:val="20D83D6E"/>
    <w:rsid w:val="20DE5531"/>
    <w:rsid w:val="20E1180E"/>
    <w:rsid w:val="20E22BD6"/>
    <w:rsid w:val="20E33532"/>
    <w:rsid w:val="20E57B85"/>
    <w:rsid w:val="20EA6084"/>
    <w:rsid w:val="20F01139"/>
    <w:rsid w:val="20F1461D"/>
    <w:rsid w:val="210A3306"/>
    <w:rsid w:val="212B522B"/>
    <w:rsid w:val="214462C3"/>
    <w:rsid w:val="214537B9"/>
    <w:rsid w:val="214E3DC8"/>
    <w:rsid w:val="216A60C6"/>
    <w:rsid w:val="216E6218"/>
    <w:rsid w:val="21736537"/>
    <w:rsid w:val="217A108B"/>
    <w:rsid w:val="217A74D8"/>
    <w:rsid w:val="218849E6"/>
    <w:rsid w:val="21977807"/>
    <w:rsid w:val="219A6D4B"/>
    <w:rsid w:val="21A37617"/>
    <w:rsid w:val="21BA1D69"/>
    <w:rsid w:val="21BC76DD"/>
    <w:rsid w:val="21C2735E"/>
    <w:rsid w:val="21C701AF"/>
    <w:rsid w:val="21CA4C16"/>
    <w:rsid w:val="21D544E9"/>
    <w:rsid w:val="21D705EC"/>
    <w:rsid w:val="21D71593"/>
    <w:rsid w:val="21DF3764"/>
    <w:rsid w:val="21E11A55"/>
    <w:rsid w:val="21E57FA3"/>
    <w:rsid w:val="21E604A4"/>
    <w:rsid w:val="21FB008B"/>
    <w:rsid w:val="21FB5A74"/>
    <w:rsid w:val="22034F52"/>
    <w:rsid w:val="22192627"/>
    <w:rsid w:val="222A4D23"/>
    <w:rsid w:val="22405491"/>
    <w:rsid w:val="22411897"/>
    <w:rsid w:val="224D22D1"/>
    <w:rsid w:val="226827C0"/>
    <w:rsid w:val="226A69DF"/>
    <w:rsid w:val="226B7518"/>
    <w:rsid w:val="226C0E5E"/>
    <w:rsid w:val="227C6EFF"/>
    <w:rsid w:val="228026A7"/>
    <w:rsid w:val="22851F9A"/>
    <w:rsid w:val="22942795"/>
    <w:rsid w:val="22957CF0"/>
    <w:rsid w:val="2296669F"/>
    <w:rsid w:val="2297721A"/>
    <w:rsid w:val="229A22D6"/>
    <w:rsid w:val="22A10D06"/>
    <w:rsid w:val="22B17CE4"/>
    <w:rsid w:val="22B665A5"/>
    <w:rsid w:val="22B85F08"/>
    <w:rsid w:val="22B91715"/>
    <w:rsid w:val="22C925E0"/>
    <w:rsid w:val="22CC1448"/>
    <w:rsid w:val="22E46F4A"/>
    <w:rsid w:val="22E50938"/>
    <w:rsid w:val="22E635B7"/>
    <w:rsid w:val="22E7687B"/>
    <w:rsid w:val="22EF5136"/>
    <w:rsid w:val="22F20159"/>
    <w:rsid w:val="23005537"/>
    <w:rsid w:val="231560F9"/>
    <w:rsid w:val="2323381D"/>
    <w:rsid w:val="23264FFC"/>
    <w:rsid w:val="232B292E"/>
    <w:rsid w:val="233A4603"/>
    <w:rsid w:val="233C2C53"/>
    <w:rsid w:val="23476D20"/>
    <w:rsid w:val="23486890"/>
    <w:rsid w:val="23597536"/>
    <w:rsid w:val="235D158E"/>
    <w:rsid w:val="235E62A4"/>
    <w:rsid w:val="235F00BB"/>
    <w:rsid w:val="23675FE5"/>
    <w:rsid w:val="236E6EF2"/>
    <w:rsid w:val="236F1F61"/>
    <w:rsid w:val="23781255"/>
    <w:rsid w:val="237F470C"/>
    <w:rsid w:val="237F64BA"/>
    <w:rsid w:val="23806EF6"/>
    <w:rsid w:val="23890781"/>
    <w:rsid w:val="23897339"/>
    <w:rsid w:val="23A67EEB"/>
    <w:rsid w:val="23AB4CDF"/>
    <w:rsid w:val="23AC08BF"/>
    <w:rsid w:val="23B65B66"/>
    <w:rsid w:val="23BA40F1"/>
    <w:rsid w:val="23C37A75"/>
    <w:rsid w:val="23C71C0F"/>
    <w:rsid w:val="23C959D7"/>
    <w:rsid w:val="23D26F32"/>
    <w:rsid w:val="23D83E1C"/>
    <w:rsid w:val="23DE5B73"/>
    <w:rsid w:val="23E24FC3"/>
    <w:rsid w:val="23E92E51"/>
    <w:rsid w:val="23EB750E"/>
    <w:rsid w:val="23F32A04"/>
    <w:rsid w:val="23F578E0"/>
    <w:rsid w:val="240927AD"/>
    <w:rsid w:val="24117D17"/>
    <w:rsid w:val="24183AA4"/>
    <w:rsid w:val="24186FDB"/>
    <w:rsid w:val="241A61C9"/>
    <w:rsid w:val="24220F3E"/>
    <w:rsid w:val="2423604B"/>
    <w:rsid w:val="24240261"/>
    <w:rsid w:val="24280900"/>
    <w:rsid w:val="242B0FF0"/>
    <w:rsid w:val="242B79AD"/>
    <w:rsid w:val="242E3524"/>
    <w:rsid w:val="24387E55"/>
    <w:rsid w:val="243A3F7E"/>
    <w:rsid w:val="24417C14"/>
    <w:rsid w:val="24436391"/>
    <w:rsid w:val="24443260"/>
    <w:rsid w:val="2450121E"/>
    <w:rsid w:val="245231DD"/>
    <w:rsid w:val="245726F7"/>
    <w:rsid w:val="245C7CD0"/>
    <w:rsid w:val="246102B6"/>
    <w:rsid w:val="24697468"/>
    <w:rsid w:val="247973AD"/>
    <w:rsid w:val="2487622C"/>
    <w:rsid w:val="24973094"/>
    <w:rsid w:val="24981900"/>
    <w:rsid w:val="24AD6D9A"/>
    <w:rsid w:val="24C23DE0"/>
    <w:rsid w:val="24D301B1"/>
    <w:rsid w:val="24D6253B"/>
    <w:rsid w:val="24E940D8"/>
    <w:rsid w:val="24EC4023"/>
    <w:rsid w:val="24F353B2"/>
    <w:rsid w:val="24FD7FDE"/>
    <w:rsid w:val="24FF3D57"/>
    <w:rsid w:val="25050C41"/>
    <w:rsid w:val="25070E5D"/>
    <w:rsid w:val="251418FC"/>
    <w:rsid w:val="252C0373"/>
    <w:rsid w:val="252F286D"/>
    <w:rsid w:val="25387269"/>
    <w:rsid w:val="253A33DC"/>
    <w:rsid w:val="253B7D61"/>
    <w:rsid w:val="25426A8E"/>
    <w:rsid w:val="254C382E"/>
    <w:rsid w:val="254C6FAD"/>
    <w:rsid w:val="254C7172"/>
    <w:rsid w:val="25566D99"/>
    <w:rsid w:val="256F6E6B"/>
    <w:rsid w:val="25773499"/>
    <w:rsid w:val="25776C2C"/>
    <w:rsid w:val="25A845B3"/>
    <w:rsid w:val="25AD6BEE"/>
    <w:rsid w:val="25AE752B"/>
    <w:rsid w:val="25C1725E"/>
    <w:rsid w:val="25C7479E"/>
    <w:rsid w:val="25D22652"/>
    <w:rsid w:val="25D42928"/>
    <w:rsid w:val="25E22D30"/>
    <w:rsid w:val="25E55A4D"/>
    <w:rsid w:val="25E940BF"/>
    <w:rsid w:val="25EA5EF1"/>
    <w:rsid w:val="25EB71B7"/>
    <w:rsid w:val="25F56F08"/>
    <w:rsid w:val="25F62D7B"/>
    <w:rsid w:val="25FBD1C6"/>
    <w:rsid w:val="260276E7"/>
    <w:rsid w:val="26154215"/>
    <w:rsid w:val="261A0BE6"/>
    <w:rsid w:val="262B0778"/>
    <w:rsid w:val="262C6E4F"/>
    <w:rsid w:val="263C7598"/>
    <w:rsid w:val="263C7691"/>
    <w:rsid w:val="263D7F73"/>
    <w:rsid w:val="263F0183"/>
    <w:rsid w:val="2641504A"/>
    <w:rsid w:val="264E02A4"/>
    <w:rsid w:val="265005E2"/>
    <w:rsid w:val="265951C3"/>
    <w:rsid w:val="265E2776"/>
    <w:rsid w:val="26666FDC"/>
    <w:rsid w:val="267047E0"/>
    <w:rsid w:val="2675010D"/>
    <w:rsid w:val="267E6EFD"/>
    <w:rsid w:val="268362C1"/>
    <w:rsid w:val="2689284A"/>
    <w:rsid w:val="269C55D5"/>
    <w:rsid w:val="269F3AD4"/>
    <w:rsid w:val="26AA5F44"/>
    <w:rsid w:val="26AB763C"/>
    <w:rsid w:val="26B267E7"/>
    <w:rsid w:val="26B44CD1"/>
    <w:rsid w:val="26BC72F6"/>
    <w:rsid w:val="26C16282"/>
    <w:rsid w:val="26C756D4"/>
    <w:rsid w:val="26CF59AB"/>
    <w:rsid w:val="26D37A33"/>
    <w:rsid w:val="26DA1722"/>
    <w:rsid w:val="26F131DC"/>
    <w:rsid w:val="26F31699"/>
    <w:rsid w:val="26F40657"/>
    <w:rsid w:val="26F65310"/>
    <w:rsid w:val="26F66D89"/>
    <w:rsid w:val="26FD42C6"/>
    <w:rsid w:val="27052D05"/>
    <w:rsid w:val="2707734C"/>
    <w:rsid w:val="27082804"/>
    <w:rsid w:val="270832AE"/>
    <w:rsid w:val="270E1B1F"/>
    <w:rsid w:val="270F5DA7"/>
    <w:rsid w:val="27116908"/>
    <w:rsid w:val="27167A8B"/>
    <w:rsid w:val="271F7205"/>
    <w:rsid w:val="272B1CE4"/>
    <w:rsid w:val="27357F9F"/>
    <w:rsid w:val="27583EE3"/>
    <w:rsid w:val="27635FF9"/>
    <w:rsid w:val="27734588"/>
    <w:rsid w:val="27814EF7"/>
    <w:rsid w:val="27904839"/>
    <w:rsid w:val="27A4553F"/>
    <w:rsid w:val="27AC47A5"/>
    <w:rsid w:val="27BB1617"/>
    <w:rsid w:val="27BB6CBD"/>
    <w:rsid w:val="27C82E0F"/>
    <w:rsid w:val="27D06488"/>
    <w:rsid w:val="27D35135"/>
    <w:rsid w:val="27D60349"/>
    <w:rsid w:val="27D76E3B"/>
    <w:rsid w:val="27D8067A"/>
    <w:rsid w:val="27DFF2BC"/>
    <w:rsid w:val="27E94FC7"/>
    <w:rsid w:val="27EB411E"/>
    <w:rsid w:val="27EC055B"/>
    <w:rsid w:val="27EF1935"/>
    <w:rsid w:val="27F21951"/>
    <w:rsid w:val="280A1B75"/>
    <w:rsid w:val="28146DCC"/>
    <w:rsid w:val="28176037"/>
    <w:rsid w:val="281D6171"/>
    <w:rsid w:val="281F201A"/>
    <w:rsid w:val="28374E96"/>
    <w:rsid w:val="283962F8"/>
    <w:rsid w:val="2864476D"/>
    <w:rsid w:val="286A345F"/>
    <w:rsid w:val="286B7752"/>
    <w:rsid w:val="287A36F4"/>
    <w:rsid w:val="287C29F2"/>
    <w:rsid w:val="287D3B77"/>
    <w:rsid w:val="28844573"/>
    <w:rsid w:val="288458E7"/>
    <w:rsid w:val="288D3427"/>
    <w:rsid w:val="289D2685"/>
    <w:rsid w:val="28A33A20"/>
    <w:rsid w:val="28A44A6A"/>
    <w:rsid w:val="28A47F17"/>
    <w:rsid w:val="28BB189A"/>
    <w:rsid w:val="28BB2901"/>
    <w:rsid w:val="28BB61E6"/>
    <w:rsid w:val="28BE7B75"/>
    <w:rsid w:val="28C468D0"/>
    <w:rsid w:val="28D7626B"/>
    <w:rsid w:val="28D90746"/>
    <w:rsid w:val="28D9666D"/>
    <w:rsid w:val="28DD6CC1"/>
    <w:rsid w:val="28E374EB"/>
    <w:rsid w:val="28E72F1D"/>
    <w:rsid w:val="28FF42B3"/>
    <w:rsid w:val="29015BC3"/>
    <w:rsid w:val="290212C1"/>
    <w:rsid w:val="290C07F0"/>
    <w:rsid w:val="290D5ED8"/>
    <w:rsid w:val="292151D1"/>
    <w:rsid w:val="29362EF5"/>
    <w:rsid w:val="293C5D8D"/>
    <w:rsid w:val="2944442E"/>
    <w:rsid w:val="29487555"/>
    <w:rsid w:val="295B1778"/>
    <w:rsid w:val="29613C3C"/>
    <w:rsid w:val="29643392"/>
    <w:rsid w:val="29656DCE"/>
    <w:rsid w:val="296A3769"/>
    <w:rsid w:val="296A40E9"/>
    <w:rsid w:val="297623A4"/>
    <w:rsid w:val="297E7214"/>
    <w:rsid w:val="298957BD"/>
    <w:rsid w:val="298B4B23"/>
    <w:rsid w:val="298C1931"/>
    <w:rsid w:val="29B6075C"/>
    <w:rsid w:val="29B71FDB"/>
    <w:rsid w:val="29CF18DD"/>
    <w:rsid w:val="29D65D23"/>
    <w:rsid w:val="29D875FE"/>
    <w:rsid w:val="29D97CA1"/>
    <w:rsid w:val="29E66BFE"/>
    <w:rsid w:val="29EC4E48"/>
    <w:rsid w:val="29ED78ED"/>
    <w:rsid w:val="29F12F35"/>
    <w:rsid w:val="29F218A9"/>
    <w:rsid w:val="29F825DC"/>
    <w:rsid w:val="2A0B100E"/>
    <w:rsid w:val="2A1439E1"/>
    <w:rsid w:val="2A194E5D"/>
    <w:rsid w:val="2A1C2CB5"/>
    <w:rsid w:val="2A21554B"/>
    <w:rsid w:val="2A260A48"/>
    <w:rsid w:val="2A41271B"/>
    <w:rsid w:val="2A443FBA"/>
    <w:rsid w:val="2A4B5348"/>
    <w:rsid w:val="2A594BC2"/>
    <w:rsid w:val="2A5952FE"/>
    <w:rsid w:val="2A5B032A"/>
    <w:rsid w:val="2A620418"/>
    <w:rsid w:val="2A6D3510"/>
    <w:rsid w:val="2A7D60F5"/>
    <w:rsid w:val="2A950CB9"/>
    <w:rsid w:val="2A98608F"/>
    <w:rsid w:val="2A9B7161"/>
    <w:rsid w:val="2A9F7561"/>
    <w:rsid w:val="2AA333D6"/>
    <w:rsid w:val="2AA64250"/>
    <w:rsid w:val="2AA809EC"/>
    <w:rsid w:val="2AA90FA0"/>
    <w:rsid w:val="2AAA3024"/>
    <w:rsid w:val="2AB05704"/>
    <w:rsid w:val="2AB31CE2"/>
    <w:rsid w:val="2AB55266"/>
    <w:rsid w:val="2AC55FB0"/>
    <w:rsid w:val="2AC60E73"/>
    <w:rsid w:val="2AD74E2E"/>
    <w:rsid w:val="2AD92D6B"/>
    <w:rsid w:val="2ADF564F"/>
    <w:rsid w:val="2AF20B8D"/>
    <w:rsid w:val="2B00796F"/>
    <w:rsid w:val="2B0C0F7B"/>
    <w:rsid w:val="2B270026"/>
    <w:rsid w:val="2B2F4C6A"/>
    <w:rsid w:val="2B3344D8"/>
    <w:rsid w:val="2B3A35A8"/>
    <w:rsid w:val="2B43250A"/>
    <w:rsid w:val="2B487382"/>
    <w:rsid w:val="2B552F60"/>
    <w:rsid w:val="2B634FBD"/>
    <w:rsid w:val="2B69553F"/>
    <w:rsid w:val="2B6F12BB"/>
    <w:rsid w:val="2B70070F"/>
    <w:rsid w:val="2B715FD2"/>
    <w:rsid w:val="2B7841A6"/>
    <w:rsid w:val="2B801021"/>
    <w:rsid w:val="2B80324C"/>
    <w:rsid w:val="2B85488A"/>
    <w:rsid w:val="2B992F00"/>
    <w:rsid w:val="2BA92769"/>
    <w:rsid w:val="2BAF5787"/>
    <w:rsid w:val="2BB367B9"/>
    <w:rsid w:val="2BB4516F"/>
    <w:rsid w:val="2BC1301F"/>
    <w:rsid w:val="2BC5112A"/>
    <w:rsid w:val="2BCE3064"/>
    <w:rsid w:val="2BCFAFDE"/>
    <w:rsid w:val="2BD15D21"/>
    <w:rsid w:val="2BD202AE"/>
    <w:rsid w:val="2C13380B"/>
    <w:rsid w:val="2C155C0E"/>
    <w:rsid w:val="2C184D47"/>
    <w:rsid w:val="2C1856FE"/>
    <w:rsid w:val="2C1B5FB0"/>
    <w:rsid w:val="2C372028"/>
    <w:rsid w:val="2C3E084B"/>
    <w:rsid w:val="2C3E3082"/>
    <w:rsid w:val="2C3F0EDD"/>
    <w:rsid w:val="2C514425"/>
    <w:rsid w:val="2C603586"/>
    <w:rsid w:val="2C6B29A8"/>
    <w:rsid w:val="2C6F0CAC"/>
    <w:rsid w:val="2C796A89"/>
    <w:rsid w:val="2C867DBF"/>
    <w:rsid w:val="2C8903AA"/>
    <w:rsid w:val="2C8E59C0"/>
    <w:rsid w:val="2C931228"/>
    <w:rsid w:val="2C932FD6"/>
    <w:rsid w:val="2C94078E"/>
    <w:rsid w:val="2CA174A1"/>
    <w:rsid w:val="2CA628E2"/>
    <w:rsid w:val="2CA90479"/>
    <w:rsid w:val="2CBD243F"/>
    <w:rsid w:val="2CBD3A96"/>
    <w:rsid w:val="2CC74339"/>
    <w:rsid w:val="2CC80ED2"/>
    <w:rsid w:val="2CCC23F7"/>
    <w:rsid w:val="2CCE1414"/>
    <w:rsid w:val="2CCF04B2"/>
    <w:rsid w:val="2CF93ABF"/>
    <w:rsid w:val="2CFFA9B3"/>
    <w:rsid w:val="2D084CF5"/>
    <w:rsid w:val="2D0A3299"/>
    <w:rsid w:val="2D1327E2"/>
    <w:rsid w:val="2D1E27A3"/>
    <w:rsid w:val="2D27F8A5"/>
    <w:rsid w:val="2D2C3057"/>
    <w:rsid w:val="2D300825"/>
    <w:rsid w:val="2D394FF5"/>
    <w:rsid w:val="2D3B1E3A"/>
    <w:rsid w:val="2D42103B"/>
    <w:rsid w:val="2D5E35E4"/>
    <w:rsid w:val="2D666D38"/>
    <w:rsid w:val="2D6E25C1"/>
    <w:rsid w:val="2D7561BE"/>
    <w:rsid w:val="2D766528"/>
    <w:rsid w:val="2D813334"/>
    <w:rsid w:val="2D937732"/>
    <w:rsid w:val="2D986AF6"/>
    <w:rsid w:val="2D9F08C2"/>
    <w:rsid w:val="2DB30B2D"/>
    <w:rsid w:val="2DB94CBF"/>
    <w:rsid w:val="2DBB0A37"/>
    <w:rsid w:val="2DBB6D88"/>
    <w:rsid w:val="2DBE2231"/>
    <w:rsid w:val="2DC72800"/>
    <w:rsid w:val="2DCBA548"/>
    <w:rsid w:val="2DDFE05D"/>
    <w:rsid w:val="2DF02CA4"/>
    <w:rsid w:val="2DF93839"/>
    <w:rsid w:val="2DFE1C2F"/>
    <w:rsid w:val="2DFF25E6"/>
    <w:rsid w:val="2E015DA4"/>
    <w:rsid w:val="2E026666"/>
    <w:rsid w:val="2E091619"/>
    <w:rsid w:val="2E0917D6"/>
    <w:rsid w:val="2E0B75B3"/>
    <w:rsid w:val="2E184E1D"/>
    <w:rsid w:val="2E19749E"/>
    <w:rsid w:val="2E24396F"/>
    <w:rsid w:val="2E2760CC"/>
    <w:rsid w:val="2E300912"/>
    <w:rsid w:val="2E3305CD"/>
    <w:rsid w:val="2E374561"/>
    <w:rsid w:val="2E3C691D"/>
    <w:rsid w:val="2E3D157E"/>
    <w:rsid w:val="2E5B2529"/>
    <w:rsid w:val="2E5F6C40"/>
    <w:rsid w:val="2E620EB2"/>
    <w:rsid w:val="2E64470B"/>
    <w:rsid w:val="2E6A704D"/>
    <w:rsid w:val="2E717347"/>
    <w:rsid w:val="2E741BFF"/>
    <w:rsid w:val="2E756A24"/>
    <w:rsid w:val="2E775E30"/>
    <w:rsid w:val="2E814A67"/>
    <w:rsid w:val="2E8A6255"/>
    <w:rsid w:val="2E8E1840"/>
    <w:rsid w:val="2E95347B"/>
    <w:rsid w:val="2E960B5C"/>
    <w:rsid w:val="2E982276"/>
    <w:rsid w:val="2EAB5CB9"/>
    <w:rsid w:val="2EAE1CD4"/>
    <w:rsid w:val="2EAE2349"/>
    <w:rsid w:val="2EBE0643"/>
    <w:rsid w:val="2EC310BD"/>
    <w:rsid w:val="2ECE479A"/>
    <w:rsid w:val="2ED43AB3"/>
    <w:rsid w:val="2ED9174C"/>
    <w:rsid w:val="2EE43FBD"/>
    <w:rsid w:val="2EE82635"/>
    <w:rsid w:val="2EED4C20"/>
    <w:rsid w:val="2EF53AD4"/>
    <w:rsid w:val="2EFF6377"/>
    <w:rsid w:val="2F0130C4"/>
    <w:rsid w:val="2F061C83"/>
    <w:rsid w:val="2F0A3A24"/>
    <w:rsid w:val="2F0B1048"/>
    <w:rsid w:val="2F0D46D3"/>
    <w:rsid w:val="2F0E4C7B"/>
    <w:rsid w:val="2F107C1A"/>
    <w:rsid w:val="2F141AAA"/>
    <w:rsid w:val="2F155F25"/>
    <w:rsid w:val="2F171C9D"/>
    <w:rsid w:val="2F1A178D"/>
    <w:rsid w:val="2F203569"/>
    <w:rsid w:val="2F302D5E"/>
    <w:rsid w:val="2F3F2FA2"/>
    <w:rsid w:val="2F43561E"/>
    <w:rsid w:val="2F5551E0"/>
    <w:rsid w:val="2F7E58F3"/>
    <w:rsid w:val="2F8223E1"/>
    <w:rsid w:val="2F84002C"/>
    <w:rsid w:val="2F875074"/>
    <w:rsid w:val="2FA0365B"/>
    <w:rsid w:val="2FA16E1D"/>
    <w:rsid w:val="2FAC1ABB"/>
    <w:rsid w:val="2FAE67A1"/>
    <w:rsid w:val="2FBB54B2"/>
    <w:rsid w:val="2FC02334"/>
    <w:rsid w:val="2FC42A39"/>
    <w:rsid w:val="2FC55B9D"/>
    <w:rsid w:val="2FC674F5"/>
    <w:rsid w:val="2FC75620"/>
    <w:rsid w:val="2FCA4353"/>
    <w:rsid w:val="2FCE5484"/>
    <w:rsid w:val="2FCF51B0"/>
    <w:rsid w:val="2FD874C4"/>
    <w:rsid w:val="2FDB12D6"/>
    <w:rsid w:val="2FDB7A76"/>
    <w:rsid w:val="2FDD238A"/>
    <w:rsid w:val="2FE204FD"/>
    <w:rsid w:val="2FE55D75"/>
    <w:rsid w:val="2FE5E77A"/>
    <w:rsid w:val="2FF23F99"/>
    <w:rsid w:val="2FF34B45"/>
    <w:rsid w:val="2FF56214"/>
    <w:rsid w:val="2FFE6C6F"/>
    <w:rsid w:val="30087837"/>
    <w:rsid w:val="30116FD6"/>
    <w:rsid w:val="301220A1"/>
    <w:rsid w:val="301245AE"/>
    <w:rsid w:val="301A2D67"/>
    <w:rsid w:val="301D3D5D"/>
    <w:rsid w:val="30216CBD"/>
    <w:rsid w:val="30236367"/>
    <w:rsid w:val="302428C3"/>
    <w:rsid w:val="30245155"/>
    <w:rsid w:val="30255DB3"/>
    <w:rsid w:val="30331BC6"/>
    <w:rsid w:val="30367D92"/>
    <w:rsid w:val="30370D81"/>
    <w:rsid w:val="303E7E03"/>
    <w:rsid w:val="304376ED"/>
    <w:rsid w:val="304545E8"/>
    <w:rsid w:val="304A182B"/>
    <w:rsid w:val="304A7E50"/>
    <w:rsid w:val="305B3BBD"/>
    <w:rsid w:val="305F465E"/>
    <w:rsid w:val="3062550F"/>
    <w:rsid w:val="30672894"/>
    <w:rsid w:val="306F321D"/>
    <w:rsid w:val="30700C52"/>
    <w:rsid w:val="307219B5"/>
    <w:rsid w:val="30757C00"/>
    <w:rsid w:val="307D5D65"/>
    <w:rsid w:val="307D6477"/>
    <w:rsid w:val="308E2CD0"/>
    <w:rsid w:val="30976689"/>
    <w:rsid w:val="30A457B2"/>
    <w:rsid w:val="30A811B7"/>
    <w:rsid w:val="30B34CE3"/>
    <w:rsid w:val="30BA0C82"/>
    <w:rsid w:val="30BF6E25"/>
    <w:rsid w:val="30C96FC7"/>
    <w:rsid w:val="30CB1C83"/>
    <w:rsid w:val="30CC6AB7"/>
    <w:rsid w:val="30CE282F"/>
    <w:rsid w:val="30E43E01"/>
    <w:rsid w:val="30ED2830"/>
    <w:rsid w:val="30F27492"/>
    <w:rsid w:val="30F66C88"/>
    <w:rsid w:val="30FD60CB"/>
    <w:rsid w:val="31083F93"/>
    <w:rsid w:val="310B5831"/>
    <w:rsid w:val="310F4338"/>
    <w:rsid w:val="311A046D"/>
    <w:rsid w:val="31230DCD"/>
    <w:rsid w:val="312C45C0"/>
    <w:rsid w:val="312F69C4"/>
    <w:rsid w:val="3135748D"/>
    <w:rsid w:val="3140197F"/>
    <w:rsid w:val="31476416"/>
    <w:rsid w:val="316B2857"/>
    <w:rsid w:val="316F1BD7"/>
    <w:rsid w:val="31722BD2"/>
    <w:rsid w:val="3179279B"/>
    <w:rsid w:val="31794E91"/>
    <w:rsid w:val="317B0F60"/>
    <w:rsid w:val="31832D29"/>
    <w:rsid w:val="3187479A"/>
    <w:rsid w:val="318941C2"/>
    <w:rsid w:val="318B697D"/>
    <w:rsid w:val="31916A19"/>
    <w:rsid w:val="31927D00"/>
    <w:rsid w:val="31994BEB"/>
    <w:rsid w:val="319B7811"/>
    <w:rsid w:val="319D5339"/>
    <w:rsid w:val="319F2F47"/>
    <w:rsid w:val="31A22271"/>
    <w:rsid w:val="31A830B2"/>
    <w:rsid w:val="31A960B8"/>
    <w:rsid w:val="31AC5DCB"/>
    <w:rsid w:val="31CA7CA9"/>
    <w:rsid w:val="31CF075C"/>
    <w:rsid w:val="31D20CDE"/>
    <w:rsid w:val="31D25FD2"/>
    <w:rsid w:val="31D8579D"/>
    <w:rsid w:val="31DC5A45"/>
    <w:rsid w:val="31F37E23"/>
    <w:rsid w:val="31F84007"/>
    <w:rsid w:val="31F97D80"/>
    <w:rsid w:val="31FD0ADA"/>
    <w:rsid w:val="31FE689A"/>
    <w:rsid w:val="321B5F48"/>
    <w:rsid w:val="32223DC6"/>
    <w:rsid w:val="32244DFC"/>
    <w:rsid w:val="32284A16"/>
    <w:rsid w:val="322C0750"/>
    <w:rsid w:val="32303851"/>
    <w:rsid w:val="324F5BF1"/>
    <w:rsid w:val="32527B6F"/>
    <w:rsid w:val="32544FB6"/>
    <w:rsid w:val="325963CD"/>
    <w:rsid w:val="325A02A1"/>
    <w:rsid w:val="325D41F6"/>
    <w:rsid w:val="325F4393"/>
    <w:rsid w:val="3267118D"/>
    <w:rsid w:val="326E1B1D"/>
    <w:rsid w:val="32800500"/>
    <w:rsid w:val="32897985"/>
    <w:rsid w:val="328D3E75"/>
    <w:rsid w:val="329032EF"/>
    <w:rsid w:val="329970EF"/>
    <w:rsid w:val="329D695D"/>
    <w:rsid w:val="32A23F73"/>
    <w:rsid w:val="32B35AAA"/>
    <w:rsid w:val="32C404E8"/>
    <w:rsid w:val="32C417B7"/>
    <w:rsid w:val="32CD4CF9"/>
    <w:rsid w:val="32CE1B91"/>
    <w:rsid w:val="32CE5592"/>
    <w:rsid w:val="32CF23FC"/>
    <w:rsid w:val="32D428B1"/>
    <w:rsid w:val="32D54349"/>
    <w:rsid w:val="32F30EB5"/>
    <w:rsid w:val="32FA6DD7"/>
    <w:rsid w:val="33010C9A"/>
    <w:rsid w:val="330850D6"/>
    <w:rsid w:val="330E626C"/>
    <w:rsid w:val="33102949"/>
    <w:rsid w:val="33135210"/>
    <w:rsid w:val="331704BD"/>
    <w:rsid w:val="331D60AF"/>
    <w:rsid w:val="331F75F9"/>
    <w:rsid w:val="3326373F"/>
    <w:rsid w:val="332979E8"/>
    <w:rsid w:val="334119DE"/>
    <w:rsid w:val="334459AC"/>
    <w:rsid w:val="33527747"/>
    <w:rsid w:val="335D7E26"/>
    <w:rsid w:val="33611DF4"/>
    <w:rsid w:val="336358B7"/>
    <w:rsid w:val="33681AA0"/>
    <w:rsid w:val="336B604C"/>
    <w:rsid w:val="336C1CB6"/>
    <w:rsid w:val="33705A64"/>
    <w:rsid w:val="3373210A"/>
    <w:rsid w:val="33760F33"/>
    <w:rsid w:val="337A712F"/>
    <w:rsid w:val="33A055AF"/>
    <w:rsid w:val="33A51E80"/>
    <w:rsid w:val="33AF0601"/>
    <w:rsid w:val="33BD533F"/>
    <w:rsid w:val="33C5616B"/>
    <w:rsid w:val="33DC5263"/>
    <w:rsid w:val="33DC7D6A"/>
    <w:rsid w:val="33DF33CE"/>
    <w:rsid w:val="33DF8CA6"/>
    <w:rsid w:val="33E305CA"/>
    <w:rsid w:val="33EB7A8F"/>
    <w:rsid w:val="33EC3FCD"/>
    <w:rsid w:val="33EE589E"/>
    <w:rsid w:val="340329A9"/>
    <w:rsid w:val="340D7B12"/>
    <w:rsid w:val="34164C45"/>
    <w:rsid w:val="342645AD"/>
    <w:rsid w:val="342866FA"/>
    <w:rsid w:val="342B057B"/>
    <w:rsid w:val="342D613F"/>
    <w:rsid w:val="34335C8F"/>
    <w:rsid w:val="3443128B"/>
    <w:rsid w:val="34477054"/>
    <w:rsid w:val="34580D8D"/>
    <w:rsid w:val="34617CD8"/>
    <w:rsid w:val="346B144D"/>
    <w:rsid w:val="34753860"/>
    <w:rsid w:val="347742DB"/>
    <w:rsid w:val="34806536"/>
    <w:rsid w:val="348B7A62"/>
    <w:rsid w:val="34942CD9"/>
    <w:rsid w:val="349618B6"/>
    <w:rsid w:val="34A57D4B"/>
    <w:rsid w:val="34A61339"/>
    <w:rsid w:val="34A90696"/>
    <w:rsid w:val="34AA710F"/>
    <w:rsid w:val="34CB54BF"/>
    <w:rsid w:val="34CB5A03"/>
    <w:rsid w:val="34CC3006"/>
    <w:rsid w:val="34D92ABF"/>
    <w:rsid w:val="34DD1293"/>
    <w:rsid w:val="34E95E89"/>
    <w:rsid w:val="34F3793E"/>
    <w:rsid w:val="34FB796B"/>
    <w:rsid w:val="350031D3"/>
    <w:rsid w:val="35054048"/>
    <w:rsid w:val="35083C3C"/>
    <w:rsid w:val="35093625"/>
    <w:rsid w:val="351137AF"/>
    <w:rsid w:val="351139AD"/>
    <w:rsid w:val="351D3D85"/>
    <w:rsid w:val="351F4A39"/>
    <w:rsid w:val="352C3FC8"/>
    <w:rsid w:val="352C5D76"/>
    <w:rsid w:val="35415CC5"/>
    <w:rsid w:val="3542559A"/>
    <w:rsid w:val="35496928"/>
    <w:rsid w:val="354A35E0"/>
    <w:rsid w:val="355157DD"/>
    <w:rsid w:val="35574E9C"/>
    <w:rsid w:val="355B00FA"/>
    <w:rsid w:val="35603A46"/>
    <w:rsid w:val="356B4D9F"/>
    <w:rsid w:val="35712E34"/>
    <w:rsid w:val="358931C8"/>
    <w:rsid w:val="35976DA0"/>
    <w:rsid w:val="359C0020"/>
    <w:rsid w:val="359C73A0"/>
    <w:rsid w:val="359D0D18"/>
    <w:rsid w:val="35A326FB"/>
    <w:rsid w:val="35AE2C2F"/>
    <w:rsid w:val="35BA24A6"/>
    <w:rsid w:val="35BC1C56"/>
    <w:rsid w:val="35D37B7A"/>
    <w:rsid w:val="35E04239"/>
    <w:rsid w:val="35E26AD4"/>
    <w:rsid w:val="35E414CE"/>
    <w:rsid w:val="35ED793B"/>
    <w:rsid w:val="35EE5D7D"/>
    <w:rsid w:val="35F14001"/>
    <w:rsid w:val="35F84740"/>
    <w:rsid w:val="36105698"/>
    <w:rsid w:val="36110A4E"/>
    <w:rsid w:val="36176E2F"/>
    <w:rsid w:val="362F050C"/>
    <w:rsid w:val="36337A79"/>
    <w:rsid w:val="363470C6"/>
    <w:rsid w:val="36383125"/>
    <w:rsid w:val="363C77FB"/>
    <w:rsid w:val="36532455"/>
    <w:rsid w:val="365579C9"/>
    <w:rsid w:val="365C529D"/>
    <w:rsid w:val="365D3CB9"/>
    <w:rsid w:val="3664555A"/>
    <w:rsid w:val="366C082D"/>
    <w:rsid w:val="366C7224"/>
    <w:rsid w:val="366E0262"/>
    <w:rsid w:val="367E2601"/>
    <w:rsid w:val="3684230E"/>
    <w:rsid w:val="368C388A"/>
    <w:rsid w:val="368E012F"/>
    <w:rsid w:val="368E7DC4"/>
    <w:rsid w:val="36981915"/>
    <w:rsid w:val="369E2CA4"/>
    <w:rsid w:val="36A06A1C"/>
    <w:rsid w:val="36A63D67"/>
    <w:rsid w:val="36AA4BD5"/>
    <w:rsid w:val="36B644E3"/>
    <w:rsid w:val="36C50E5E"/>
    <w:rsid w:val="36C90DD1"/>
    <w:rsid w:val="36D303E0"/>
    <w:rsid w:val="36D466C5"/>
    <w:rsid w:val="36D6243D"/>
    <w:rsid w:val="36D668E1"/>
    <w:rsid w:val="36D96770"/>
    <w:rsid w:val="36F32FEF"/>
    <w:rsid w:val="36F34D9D"/>
    <w:rsid w:val="36F86858"/>
    <w:rsid w:val="37071057"/>
    <w:rsid w:val="370B1B77"/>
    <w:rsid w:val="370C381B"/>
    <w:rsid w:val="371D1E1A"/>
    <w:rsid w:val="3727556E"/>
    <w:rsid w:val="3735440F"/>
    <w:rsid w:val="373C217C"/>
    <w:rsid w:val="374634AB"/>
    <w:rsid w:val="3747333B"/>
    <w:rsid w:val="37475E17"/>
    <w:rsid w:val="375401F5"/>
    <w:rsid w:val="376143FD"/>
    <w:rsid w:val="37704489"/>
    <w:rsid w:val="37710026"/>
    <w:rsid w:val="377314EC"/>
    <w:rsid w:val="37865C12"/>
    <w:rsid w:val="37925427"/>
    <w:rsid w:val="37936580"/>
    <w:rsid w:val="379E0F7A"/>
    <w:rsid w:val="37A55DCC"/>
    <w:rsid w:val="37A70B41"/>
    <w:rsid w:val="37A92245"/>
    <w:rsid w:val="37AA182A"/>
    <w:rsid w:val="37CA04FF"/>
    <w:rsid w:val="37D11039"/>
    <w:rsid w:val="37D30771"/>
    <w:rsid w:val="37DC1CD5"/>
    <w:rsid w:val="37DFD518"/>
    <w:rsid w:val="37E10CD2"/>
    <w:rsid w:val="37EC0BB8"/>
    <w:rsid w:val="37F0752F"/>
    <w:rsid w:val="37F27930"/>
    <w:rsid w:val="37FFD3C5"/>
    <w:rsid w:val="38037262"/>
    <w:rsid w:val="38077E93"/>
    <w:rsid w:val="38095C30"/>
    <w:rsid w:val="3810197F"/>
    <w:rsid w:val="38196A86"/>
    <w:rsid w:val="381A74A7"/>
    <w:rsid w:val="382543F7"/>
    <w:rsid w:val="382B14C6"/>
    <w:rsid w:val="383733B0"/>
    <w:rsid w:val="383D3495"/>
    <w:rsid w:val="38474A55"/>
    <w:rsid w:val="3851621F"/>
    <w:rsid w:val="38521F98"/>
    <w:rsid w:val="38602906"/>
    <w:rsid w:val="386C6601"/>
    <w:rsid w:val="387B14EE"/>
    <w:rsid w:val="387B7DEB"/>
    <w:rsid w:val="38832151"/>
    <w:rsid w:val="388D6212"/>
    <w:rsid w:val="38995839"/>
    <w:rsid w:val="38A04B84"/>
    <w:rsid w:val="38A30A45"/>
    <w:rsid w:val="38B478C6"/>
    <w:rsid w:val="38C75A84"/>
    <w:rsid w:val="38DA77C6"/>
    <w:rsid w:val="38E54DB7"/>
    <w:rsid w:val="38E57781"/>
    <w:rsid w:val="38E71D8F"/>
    <w:rsid w:val="38FD0155"/>
    <w:rsid w:val="391216F8"/>
    <w:rsid w:val="39122D1D"/>
    <w:rsid w:val="39140A3F"/>
    <w:rsid w:val="391937DE"/>
    <w:rsid w:val="392914B7"/>
    <w:rsid w:val="392D338D"/>
    <w:rsid w:val="392E03A9"/>
    <w:rsid w:val="393578EF"/>
    <w:rsid w:val="39425DC7"/>
    <w:rsid w:val="39455658"/>
    <w:rsid w:val="394C68A5"/>
    <w:rsid w:val="394E09B1"/>
    <w:rsid w:val="395525D9"/>
    <w:rsid w:val="39562097"/>
    <w:rsid w:val="395E479A"/>
    <w:rsid w:val="39624BF8"/>
    <w:rsid w:val="39675804"/>
    <w:rsid w:val="396E4BAF"/>
    <w:rsid w:val="39700927"/>
    <w:rsid w:val="39742D64"/>
    <w:rsid w:val="39743AD8"/>
    <w:rsid w:val="3981648B"/>
    <w:rsid w:val="399946EF"/>
    <w:rsid w:val="39A36C2D"/>
    <w:rsid w:val="39AA29B9"/>
    <w:rsid w:val="39B03563"/>
    <w:rsid w:val="39B9109D"/>
    <w:rsid w:val="39B93D4B"/>
    <w:rsid w:val="39C72511"/>
    <w:rsid w:val="39CA00D5"/>
    <w:rsid w:val="39E71AEC"/>
    <w:rsid w:val="39E82BB3"/>
    <w:rsid w:val="39EE5CF0"/>
    <w:rsid w:val="39F05EB5"/>
    <w:rsid w:val="39F06271"/>
    <w:rsid w:val="39F41A71"/>
    <w:rsid w:val="39F60058"/>
    <w:rsid w:val="39FC665F"/>
    <w:rsid w:val="39FE4185"/>
    <w:rsid w:val="39FE49EE"/>
    <w:rsid w:val="3A053765"/>
    <w:rsid w:val="3A0E533A"/>
    <w:rsid w:val="3A104089"/>
    <w:rsid w:val="3A115BB0"/>
    <w:rsid w:val="3A1743D3"/>
    <w:rsid w:val="3A176FF5"/>
    <w:rsid w:val="3A1C17D2"/>
    <w:rsid w:val="3A23599A"/>
    <w:rsid w:val="3A241712"/>
    <w:rsid w:val="3A242B77"/>
    <w:rsid w:val="3A255F4C"/>
    <w:rsid w:val="3A2560A7"/>
    <w:rsid w:val="3A3A2CE3"/>
    <w:rsid w:val="3A3D57F6"/>
    <w:rsid w:val="3A3E4582"/>
    <w:rsid w:val="3A3F02FA"/>
    <w:rsid w:val="3A3F31C3"/>
    <w:rsid w:val="3A42356C"/>
    <w:rsid w:val="3A457D0A"/>
    <w:rsid w:val="3A4D04EA"/>
    <w:rsid w:val="3A52002D"/>
    <w:rsid w:val="3A536EBD"/>
    <w:rsid w:val="3A55380C"/>
    <w:rsid w:val="3A577D39"/>
    <w:rsid w:val="3A713BC9"/>
    <w:rsid w:val="3A7304F5"/>
    <w:rsid w:val="3A8217DE"/>
    <w:rsid w:val="3A822B01"/>
    <w:rsid w:val="3A8312FD"/>
    <w:rsid w:val="3A914FF9"/>
    <w:rsid w:val="3A9F4998"/>
    <w:rsid w:val="3AA229ED"/>
    <w:rsid w:val="3AA30888"/>
    <w:rsid w:val="3AAB62C5"/>
    <w:rsid w:val="3AB8426E"/>
    <w:rsid w:val="3AB94550"/>
    <w:rsid w:val="3AB98CB2"/>
    <w:rsid w:val="3AC234D7"/>
    <w:rsid w:val="3ACD37E5"/>
    <w:rsid w:val="3ACF765C"/>
    <w:rsid w:val="3AD278CD"/>
    <w:rsid w:val="3AD33664"/>
    <w:rsid w:val="3AD42CE4"/>
    <w:rsid w:val="3AD61EBE"/>
    <w:rsid w:val="3ADA13B3"/>
    <w:rsid w:val="3AE27D06"/>
    <w:rsid w:val="3AF04177"/>
    <w:rsid w:val="3AFA4BE5"/>
    <w:rsid w:val="3AFB6916"/>
    <w:rsid w:val="3B011EAE"/>
    <w:rsid w:val="3B23541A"/>
    <w:rsid w:val="3B2716C4"/>
    <w:rsid w:val="3B2A44B8"/>
    <w:rsid w:val="3B2B6476"/>
    <w:rsid w:val="3B395601"/>
    <w:rsid w:val="3B3E6803"/>
    <w:rsid w:val="3B3FAC0B"/>
    <w:rsid w:val="3B424BF5"/>
    <w:rsid w:val="3B53405D"/>
    <w:rsid w:val="3B5901B9"/>
    <w:rsid w:val="3B647EB1"/>
    <w:rsid w:val="3B706329"/>
    <w:rsid w:val="3B7C0FEF"/>
    <w:rsid w:val="3B7F10D5"/>
    <w:rsid w:val="3B7F30A4"/>
    <w:rsid w:val="3B7F930F"/>
    <w:rsid w:val="3B9603ED"/>
    <w:rsid w:val="3BBC038E"/>
    <w:rsid w:val="3BD731F0"/>
    <w:rsid w:val="3BF539A4"/>
    <w:rsid w:val="3BFE3F02"/>
    <w:rsid w:val="3C0B2B89"/>
    <w:rsid w:val="3C19506D"/>
    <w:rsid w:val="3C227A61"/>
    <w:rsid w:val="3C2972FD"/>
    <w:rsid w:val="3C357C06"/>
    <w:rsid w:val="3C493B58"/>
    <w:rsid w:val="3C4F7A40"/>
    <w:rsid w:val="3C5A141B"/>
    <w:rsid w:val="3C5B4444"/>
    <w:rsid w:val="3C5D7B3F"/>
    <w:rsid w:val="3C5E0F0B"/>
    <w:rsid w:val="3C66681A"/>
    <w:rsid w:val="3C6BD4F9"/>
    <w:rsid w:val="3C7C5835"/>
    <w:rsid w:val="3C852047"/>
    <w:rsid w:val="3C8841DA"/>
    <w:rsid w:val="3C9A507E"/>
    <w:rsid w:val="3C9F3063"/>
    <w:rsid w:val="3CA13116"/>
    <w:rsid w:val="3CA42898"/>
    <w:rsid w:val="3CA925AE"/>
    <w:rsid w:val="3CC03974"/>
    <w:rsid w:val="3CCB40C7"/>
    <w:rsid w:val="3CCF3BB7"/>
    <w:rsid w:val="3CDAD20C"/>
    <w:rsid w:val="3CEA2D25"/>
    <w:rsid w:val="3CEB274D"/>
    <w:rsid w:val="3CEE6FC2"/>
    <w:rsid w:val="3CF877AB"/>
    <w:rsid w:val="3D0B5F9E"/>
    <w:rsid w:val="3D0C6BB9"/>
    <w:rsid w:val="3D193D46"/>
    <w:rsid w:val="3D255ECD"/>
    <w:rsid w:val="3D2C248A"/>
    <w:rsid w:val="3D306480"/>
    <w:rsid w:val="3D306CB2"/>
    <w:rsid w:val="3D32729D"/>
    <w:rsid w:val="3D337EB5"/>
    <w:rsid w:val="3D3A1978"/>
    <w:rsid w:val="3D3A313D"/>
    <w:rsid w:val="3D3F6F8E"/>
    <w:rsid w:val="3D404AB5"/>
    <w:rsid w:val="3D485E54"/>
    <w:rsid w:val="3D667959"/>
    <w:rsid w:val="3D6B569D"/>
    <w:rsid w:val="3D6D13F9"/>
    <w:rsid w:val="3D763B58"/>
    <w:rsid w:val="3D793B23"/>
    <w:rsid w:val="3D8230F2"/>
    <w:rsid w:val="3D886E2C"/>
    <w:rsid w:val="3D9060CC"/>
    <w:rsid w:val="3D956EC1"/>
    <w:rsid w:val="3D9C3168"/>
    <w:rsid w:val="3D9D17E7"/>
    <w:rsid w:val="3DA10558"/>
    <w:rsid w:val="3DAA5519"/>
    <w:rsid w:val="3DB60346"/>
    <w:rsid w:val="3DBF1E7D"/>
    <w:rsid w:val="3DC413E8"/>
    <w:rsid w:val="3DC512A1"/>
    <w:rsid w:val="3DCA34BB"/>
    <w:rsid w:val="3DD83D60"/>
    <w:rsid w:val="3DDC47DD"/>
    <w:rsid w:val="3DDD0555"/>
    <w:rsid w:val="3DDF6E72"/>
    <w:rsid w:val="3DE73182"/>
    <w:rsid w:val="3DEC2D10"/>
    <w:rsid w:val="3DF42171"/>
    <w:rsid w:val="3DFA19FB"/>
    <w:rsid w:val="3DFA2EB5"/>
    <w:rsid w:val="3E014244"/>
    <w:rsid w:val="3E044CAE"/>
    <w:rsid w:val="3E0B01E0"/>
    <w:rsid w:val="3E12201C"/>
    <w:rsid w:val="3E1E1AF9"/>
    <w:rsid w:val="3E292CC6"/>
    <w:rsid w:val="3E3035BD"/>
    <w:rsid w:val="3E3F2FBE"/>
    <w:rsid w:val="3E427218"/>
    <w:rsid w:val="3E427DF7"/>
    <w:rsid w:val="3E481E73"/>
    <w:rsid w:val="3E494643"/>
    <w:rsid w:val="3E5B32B3"/>
    <w:rsid w:val="3E6B56AB"/>
    <w:rsid w:val="3E7551CA"/>
    <w:rsid w:val="3E7A2248"/>
    <w:rsid w:val="3E7BC2CD"/>
    <w:rsid w:val="3E80785E"/>
    <w:rsid w:val="3E8433D8"/>
    <w:rsid w:val="3E8C5AE1"/>
    <w:rsid w:val="3EA550E2"/>
    <w:rsid w:val="3EA72ABE"/>
    <w:rsid w:val="3EAD4174"/>
    <w:rsid w:val="3EAD7F9C"/>
    <w:rsid w:val="3EB32892"/>
    <w:rsid w:val="3EB56DDC"/>
    <w:rsid w:val="3EB58FF9"/>
    <w:rsid w:val="3EB63280"/>
    <w:rsid w:val="3EBC3336"/>
    <w:rsid w:val="3EBD0429"/>
    <w:rsid w:val="3ECD1D41"/>
    <w:rsid w:val="3ED05615"/>
    <w:rsid w:val="3ED6747E"/>
    <w:rsid w:val="3ED760AB"/>
    <w:rsid w:val="3ED8344F"/>
    <w:rsid w:val="3EDB5544"/>
    <w:rsid w:val="3EDE79C6"/>
    <w:rsid w:val="3EED6576"/>
    <w:rsid w:val="3EEE3B85"/>
    <w:rsid w:val="3EF61BF0"/>
    <w:rsid w:val="3EF65530"/>
    <w:rsid w:val="3EF9316D"/>
    <w:rsid w:val="3EF94F1B"/>
    <w:rsid w:val="3EF9D3F1"/>
    <w:rsid w:val="3EFF9593"/>
    <w:rsid w:val="3F010273"/>
    <w:rsid w:val="3F064AE9"/>
    <w:rsid w:val="3F06588A"/>
    <w:rsid w:val="3F174CE4"/>
    <w:rsid w:val="3F1E0E25"/>
    <w:rsid w:val="3F2F4DE1"/>
    <w:rsid w:val="3F336634"/>
    <w:rsid w:val="3F3B0C43"/>
    <w:rsid w:val="3F4C62B0"/>
    <w:rsid w:val="3F66523D"/>
    <w:rsid w:val="3F685621"/>
    <w:rsid w:val="3F6E4168"/>
    <w:rsid w:val="3F7153F9"/>
    <w:rsid w:val="3F7279F0"/>
    <w:rsid w:val="3F9717D1"/>
    <w:rsid w:val="3F980D41"/>
    <w:rsid w:val="3F9904AC"/>
    <w:rsid w:val="3F9D7C66"/>
    <w:rsid w:val="3FA24396"/>
    <w:rsid w:val="3FA57E6B"/>
    <w:rsid w:val="3FAE79F0"/>
    <w:rsid w:val="3FB13A48"/>
    <w:rsid w:val="3FB2485B"/>
    <w:rsid w:val="3FB689BA"/>
    <w:rsid w:val="3FB7DAC3"/>
    <w:rsid w:val="3FBB0422"/>
    <w:rsid w:val="3FC426C8"/>
    <w:rsid w:val="3FCB940A"/>
    <w:rsid w:val="3FCD00FD"/>
    <w:rsid w:val="3FD15E98"/>
    <w:rsid w:val="3FDA1876"/>
    <w:rsid w:val="3FE226BA"/>
    <w:rsid w:val="3FEF0943"/>
    <w:rsid w:val="3FF177F1"/>
    <w:rsid w:val="3FF7BF3D"/>
    <w:rsid w:val="3FFFF1E1"/>
    <w:rsid w:val="400C3746"/>
    <w:rsid w:val="400D1E93"/>
    <w:rsid w:val="400D4010"/>
    <w:rsid w:val="401015C7"/>
    <w:rsid w:val="401D732F"/>
    <w:rsid w:val="4022529D"/>
    <w:rsid w:val="402A34B8"/>
    <w:rsid w:val="402E040A"/>
    <w:rsid w:val="4033557B"/>
    <w:rsid w:val="40351E8A"/>
    <w:rsid w:val="40360CD1"/>
    <w:rsid w:val="40361D66"/>
    <w:rsid w:val="403A3AC6"/>
    <w:rsid w:val="4048447E"/>
    <w:rsid w:val="40484C36"/>
    <w:rsid w:val="404E1296"/>
    <w:rsid w:val="40531D65"/>
    <w:rsid w:val="405645C4"/>
    <w:rsid w:val="406003BF"/>
    <w:rsid w:val="406060C3"/>
    <w:rsid w:val="40613E30"/>
    <w:rsid w:val="40672358"/>
    <w:rsid w:val="40736573"/>
    <w:rsid w:val="40766A16"/>
    <w:rsid w:val="407D7357"/>
    <w:rsid w:val="407F1D06"/>
    <w:rsid w:val="40891FAA"/>
    <w:rsid w:val="40993106"/>
    <w:rsid w:val="409B4A07"/>
    <w:rsid w:val="40B54BB5"/>
    <w:rsid w:val="40BF6E39"/>
    <w:rsid w:val="40C25B7F"/>
    <w:rsid w:val="40D0241B"/>
    <w:rsid w:val="40D043A1"/>
    <w:rsid w:val="40D64CC0"/>
    <w:rsid w:val="40E71BE6"/>
    <w:rsid w:val="40EA5463"/>
    <w:rsid w:val="40F66678"/>
    <w:rsid w:val="40F73AFD"/>
    <w:rsid w:val="40F92738"/>
    <w:rsid w:val="40FC5196"/>
    <w:rsid w:val="40FC6F44"/>
    <w:rsid w:val="41032227"/>
    <w:rsid w:val="410E1C56"/>
    <w:rsid w:val="41166258"/>
    <w:rsid w:val="41176970"/>
    <w:rsid w:val="41197AF6"/>
    <w:rsid w:val="411A2E51"/>
    <w:rsid w:val="4120577A"/>
    <w:rsid w:val="41213237"/>
    <w:rsid w:val="41250259"/>
    <w:rsid w:val="41275ADF"/>
    <w:rsid w:val="4130498B"/>
    <w:rsid w:val="41313EDF"/>
    <w:rsid w:val="41336FB0"/>
    <w:rsid w:val="413761CE"/>
    <w:rsid w:val="413C5593"/>
    <w:rsid w:val="413D6781"/>
    <w:rsid w:val="41443CDD"/>
    <w:rsid w:val="415C192A"/>
    <w:rsid w:val="41601281"/>
    <w:rsid w:val="416074D3"/>
    <w:rsid w:val="416C142E"/>
    <w:rsid w:val="416D1BF0"/>
    <w:rsid w:val="41764F49"/>
    <w:rsid w:val="417F09E7"/>
    <w:rsid w:val="418A09F4"/>
    <w:rsid w:val="41A721DD"/>
    <w:rsid w:val="41B45A71"/>
    <w:rsid w:val="41B4781F"/>
    <w:rsid w:val="41B66342"/>
    <w:rsid w:val="41BE1659"/>
    <w:rsid w:val="41C34050"/>
    <w:rsid w:val="41D0037B"/>
    <w:rsid w:val="41E50566"/>
    <w:rsid w:val="41EF0FC2"/>
    <w:rsid w:val="41F31157"/>
    <w:rsid w:val="41FD121E"/>
    <w:rsid w:val="421A7627"/>
    <w:rsid w:val="421C7D4B"/>
    <w:rsid w:val="4233112B"/>
    <w:rsid w:val="42401E98"/>
    <w:rsid w:val="42465874"/>
    <w:rsid w:val="425D7468"/>
    <w:rsid w:val="42756FAE"/>
    <w:rsid w:val="427A2817"/>
    <w:rsid w:val="42824B6F"/>
    <w:rsid w:val="42872311"/>
    <w:rsid w:val="428A301F"/>
    <w:rsid w:val="428B5762"/>
    <w:rsid w:val="428D4EA3"/>
    <w:rsid w:val="42957651"/>
    <w:rsid w:val="42AD6748"/>
    <w:rsid w:val="42B610E1"/>
    <w:rsid w:val="42BE6BA7"/>
    <w:rsid w:val="42CF4AE1"/>
    <w:rsid w:val="42D24401"/>
    <w:rsid w:val="42D47C2B"/>
    <w:rsid w:val="42D825F4"/>
    <w:rsid w:val="42DA32B5"/>
    <w:rsid w:val="42DC0DDB"/>
    <w:rsid w:val="42DF08CC"/>
    <w:rsid w:val="42EF281A"/>
    <w:rsid w:val="4303280C"/>
    <w:rsid w:val="430914E5"/>
    <w:rsid w:val="43092A49"/>
    <w:rsid w:val="430C481C"/>
    <w:rsid w:val="43125F6F"/>
    <w:rsid w:val="431A5C94"/>
    <w:rsid w:val="431B7ED7"/>
    <w:rsid w:val="43210EE4"/>
    <w:rsid w:val="4324555B"/>
    <w:rsid w:val="4325739A"/>
    <w:rsid w:val="432602A9"/>
    <w:rsid w:val="432F76E0"/>
    <w:rsid w:val="433543AC"/>
    <w:rsid w:val="43403CC3"/>
    <w:rsid w:val="43420FE8"/>
    <w:rsid w:val="434513F0"/>
    <w:rsid w:val="4353542C"/>
    <w:rsid w:val="43554D70"/>
    <w:rsid w:val="435D72A6"/>
    <w:rsid w:val="43615785"/>
    <w:rsid w:val="436924AC"/>
    <w:rsid w:val="43702851"/>
    <w:rsid w:val="43767A8A"/>
    <w:rsid w:val="437A6D15"/>
    <w:rsid w:val="4382735C"/>
    <w:rsid w:val="43902568"/>
    <w:rsid w:val="43903E6C"/>
    <w:rsid w:val="43912C5C"/>
    <w:rsid w:val="439671DC"/>
    <w:rsid w:val="439A62DE"/>
    <w:rsid w:val="439B5AA0"/>
    <w:rsid w:val="43AA0EDA"/>
    <w:rsid w:val="43C227B3"/>
    <w:rsid w:val="43CA4F48"/>
    <w:rsid w:val="43D9356D"/>
    <w:rsid w:val="43D94887"/>
    <w:rsid w:val="43DB1093"/>
    <w:rsid w:val="43DD5834"/>
    <w:rsid w:val="43DE4431"/>
    <w:rsid w:val="43E51F12"/>
    <w:rsid w:val="43F644FE"/>
    <w:rsid w:val="43F65ECD"/>
    <w:rsid w:val="43F9002B"/>
    <w:rsid w:val="43F9776B"/>
    <w:rsid w:val="44136A7F"/>
    <w:rsid w:val="442369C8"/>
    <w:rsid w:val="4424604A"/>
    <w:rsid w:val="44251EF0"/>
    <w:rsid w:val="442967DE"/>
    <w:rsid w:val="443416F4"/>
    <w:rsid w:val="443F7874"/>
    <w:rsid w:val="445014AB"/>
    <w:rsid w:val="44540D98"/>
    <w:rsid w:val="44564BBE"/>
    <w:rsid w:val="445F3A72"/>
    <w:rsid w:val="44735770"/>
    <w:rsid w:val="44832363"/>
    <w:rsid w:val="44A4066B"/>
    <w:rsid w:val="44A5755B"/>
    <w:rsid w:val="44AB6CB7"/>
    <w:rsid w:val="44AC0FC9"/>
    <w:rsid w:val="44B050AB"/>
    <w:rsid w:val="44CC6C2E"/>
    <w:rsid w:val="44CD1324"/>
    <w:rsid w:val="44CE660D"/>
    <w:rsid w:val="44D750ED"/>
    <w:rsid w:val="44E7124E"/>
    <w:rsid w:val="44E95A32"/>
    <w:rsid w:val="44F70C3B"/>
    <w:rsid w:val="44F83F0D"/>
    <w:rsid w:val="44F87A23"/>
    <w:rsid w:val="44FA1944"/>
    <w:rsid w:val="450B3BFA"/>
    <w:rsid w:val="4512744E"/>
    <w:rsid w:val="451900C5"/>
    <w:rsid w:val="451A208F"/>
    <w:rsid w:val="451E56DB"/>
    <w:rsid w:val="45261842"/>
    <w:rsid w:val="4537679D"/>
    <w:rsid w:val="453C3DB3"/>
    <w:rsid w:val="45412BC0"/>
    <w:rsid w:val="45442C68"/>
    <w:rsid w:val="45462E84"/>
    <w:rsid w:val="454F0B76"/>
    <w:rsid w:val="456B6447"/>
    <w:rsid w:val="456B7F76"/>
    <w:rsid w:val="45795008"/>
    <w:rsid w:val="4579514B"/>
    <w:rsid w:val="457C4AF8"/>
    <w:rsid w:val="457E2BBE"/>
    <w:rsid w:val="457F72E8"/>
    <w:rsid w:val="4582651D"/>
    <w:rsid w:val="458614D2"/>
    <w:rsid w:val="45996D23"/>
    <w:rsid w:val="45A55E5B"/>
    <w:rsid w:val="45AA6F6F"/>
    <w:rsid w:val="45B61F0B"/>
    <w:rsid w:val="45C30031"/>
    <w:rsid w:val="45CB0639"/>
    <w:rsid w:val="45D36024"/>
    <w:rsid w:val="45D36EF2"/>
    <w:rsid w:val="45D466E2"/>
    <w:rsid w:val="45DE083B"/>
    <w:rsid w:val="45E076C0"/>
    <w:rsid w:val="45E44E16"/>
    <w:rsid w:val="45E85CE9"/>
    <w:rsid w:val="45ED0A28"/>
    <w:rsid w:val="45F10353"/>
    <w:rsid w:val="45F36067"/>
    <w:rsid w:val="45F45AC9"/>
    <w:rsid w:val="460054E7"/>
    <w:rsid w:val="46080139"/>
    <w:rsid w:val="460821FC"/>
    <w:rsid w:val="460C0745"/>
    <w:rsid w:val="461610BC"/>
    <w:rsid w:val="46236324"/>
    <w:rsid w:val="463122D8"/>
    <w:rsid w:val="4632053D"/>
    <w:rsid w:val="463D551C"/>
    <w:rsid w:val="46451317"/>
    <w:rsid w:val="46577675"/>
    <w:rsid w:val="465A0995"/>
    <w:rsid w:val="465B5725"/>
    <w:rsid w:val="46623CEE"/>
    <w:rsid w:val="4662415A"/>
    <w:rsid w:val="4662498C"/>
    <w:rsid w:val="46715CDF"/>
    <w:rsid w:val="467C3575"/>
    <w:rsid w:val="469552F2"/>
    <w:rsid w:val="46A022D9"/>
    <w:rsid w:val="46A9554B"/>
    <w:rsid w:val="46AA7AE9"/>
    <w:rsid w:val="46B21457"/>
    <w:rsid w:val="46B502C1"/>
    <w:rsid w:val="46BE1A6C"/>
    <w:rsid w:val="46BE6647"/>
    <w:rsid w:val="46BF3B8B"/>
    <w:rsid w:val="46BF7BB5"/>
    <w:rsid w:val="46C07C52"/>
    <w:rsid w:val="46C77CF5"/>
    <w:rsid w:val="46C800FE"/>
    <w:rsid w:val="46C96620"/>
    <w:rsid w:val="46C978C9"/>
    <w:rsid w:val="46EE3897"/>
    <w:rsid w:val="470D0391"/>
    <w:rsid w:val="4710374A"/>
    <w:rsid w:val="47166D8A"/>
    <w:rsid w:val="471B3499"/>
    <w:rsid w:val="472114B3"/>
    <w:rsid w:val="4730142A"/>
    <w:rsid w:val="473E2065"/>
    <w:rsid w:val="47490A0A"/>
    <w:rsid w:val="474A6C5C"/>
    <w:rsid w:val="474E7DCE"/>
    <w:rsid w:val="475950F1"/>
    <w:rsid w:val="475E44B5"/>
    <w:rsid w:val="476E79E1"/>
    <w:rsid w:val="477201E3"/>
    <w:rsid w:val="4776427D"/>
    <w:rsid w:val="477A06A5"/>
    <w:rsid w:val="477D45C6"/>
    <w:rsid w:val="47873022"/>
    <w:rsid w:val="47876D4D"/>
    <w:rsid w:val="478DCCCB"/>
    <w:rsid w:val="478E4BD2"/>
    <w:rsid w:val="479B6AEC"/>
    <w:rsid w:val="47A45C40"/>
    <w:rsid w:val="47AB2942"/>
    <w:rsid w:val="47AF3CAC"/>
    <w:rsid w:val="47BC71B8"/>
    <w:rsid w:val="47C05087"/>
    <w:rsid w:val="47CC5DCA"/>
    <w:rsid w:val="47DB3D58"/>
    <w:rsid w:val="47DD756D"/>
    <w:rsid w:val="47ED2ACF"/>
    <w:rsid w:val="47F042E6"/>
    <w:rsid w:val="47F24BFD"/>
    <w:rsid w:val="47FB2049"/>
    <w:rsid w:val="47FC5A7C"/>
    <w:rsid w:val="48037A8A"/>
    <w:rsid w:val="48074B4D"/>
    <w:rsid w:val="48153C8D"/>
    <w:rsid w:val="48377D23"/>
    <w:rsid w:val="48497FAC"/>
    <w:rsid w:val="48537D92"/>
    <w:rsid w:val="485567E2"/>
    <w:rsid w:val="485B09F4"/>
    <w:rsid w:val="485B27A2"/>
    <w:rsid w:val="485E67D6"/>
    <w:rsid w:val="48627FD5"/>
    <w:rsid w:val="486634EE"/>
    <w:rsid w:val="4879475E"/>
    <w:rsid w:val="487A30EC"/>
    <w:rsid w:val="48807890"/>
    <w:rsid w:val="48823A88"/>
    <w:rsid w:val="488A727E"/>
    <w:rsid w:val="488D4382"/>
    <w:rsid w:val="48912EFC"/>
    <w:rsid w:val="48914416"/>
    <w:rsid w:val="48931F3C"/>
    <w:rsid w:val="489A5E11"/>
    <w:rsid w:val="48A22238"/>
    <w:rsid w:val="48A64B98"/>
    <w:rsid w:val="48BA34EC"/>
    <w:rsid w:val="48BB76E5"/>
    <w:rsid w:val="48BC156D"/>
    <w:rsid w:val="48CD58C9"/>
    <w:rsid w:val="48E12275"/>
    <w:rsid w:val="48E44B59"/>
    <w:rsid w:val="48E73FCF"/>
    <w:rsid w:val="48F765BE"/>
    <w:rsid w:val="48F85C6A"/>
    <w:rsid w:val="48FA1FBB"/>
    <w:rsid w:val="490321C7"/>
    <w:rsid w:val="4904108C"/>
    <w:rsid w:val="490445F2"/>
    <w:rsid w:val="49064842"/>
    <w:rsid w:val="490935A0"/>
    <w:rsid w:val="490B749B"/>
    <w:rsid w:val="49144199"/>
    <w:rsid w:val="49183CD0"/>
    <w:rsid w:val="4919662F"/>
    <w:rsid w:val="491C63D6"/>
    <w:rsid w:val="49281C73"/>
    <w:rsid w:val="49291217"/>
    <w:rsid w:val="49320F23"/>
    <w:rsid w:val="4934660C"/>
    <w:rsid w:val="493D6E11"/>
    <w:rsid w:val="493F20C4"/>
    <w:rsid w:val="49416DEF"/>
    <w:rsid w:val="49441489"/>
    <w:rsid w:val="494E0559"/>
    <w:rsid w:val="494E5BED"/>
    <w:rsid w:val="495E6F98"/>
    <w:rsid w:val="496B231B"/>
    <w:rsid w:val="497E0E3E"/>
    <w:rsid w:val="498413E9"/>
    <w:rsid w:val="49942410"/>
    <w:rsid w:val="49953C63"/>
    <w:rsid w:val="49971F00"/>
    <w:rsid w:val="49A10689"/>
    <w:rsid w:val="49A73FFD"/>
    <w:rsid w:val="49A85D88"/>
    <w:rsid w:val="49A92FC8"/>
    <w:rsid w:val="49BA0254"/>
    <w:rsid w:val="49BA174B"/>
    <w:rsid w:val="49C76E76"/>
    <w:rsid w:val="49C8030C"/>
    <w:rsid w:val="49CF169A"/>
    <w:rsid w:val="49D46CB0"/>
    <w:rsid w:val="49D92519"/>
    <w:rsid w:val="49DB4D4B"/>
    <w:rsid w:val="49DD73AE"/>
    <w:rsid w:val="49DF0293"/>
    <w:rsid w:val="49F0622F"/>
    <w:rsid w:val="49F50B31"/>
    <w:rsid w:val="49F95BD6"/>
    <w:rsid w:val="49F9FBFF"/>
    <w:rsid w:val="49FE0702"/>
    <w:rsid w:val="4A1B48DF"/>
    <w:rsid w:val="4A241A8F"/>
    <w:rsid w:val="4A4954D2"/>
    <w:rsid w:val="4A54747B"/>
    <w:rsid w:val="4A563B69"/>
    <w:rsid w:val="4A632745"/>
    <w:rsid w:val="4A6A3171"/>
    <w:rsid w:val="4A6E730A"/>
    <w:rsid w:val="4A770310"/>
    <w:rsid w:val="4A8C77D9"/>
    <w:rsid w:val="4A946440"/>
    <w:rsid w:val="4AA73240"/>
    <w:rsid w:val="4AB72272"/>
    <w:rsid w:val="4AD4637A"/>
    <w:rsid w:val="4AD703A4"/>
    <w:rsid w:val="4ADB406F"/>
    <w:rsid w:val="4AE14CE5"/>
    <w:rsid w:val="4AEB5669"/>
    <w:rsid w:val="4AEF383D"/>
    <w:rsid w:val="4AF24310"/>
    <w:rsid w:val="4AF56EDE"/>
    <w:rsid w:val="4AF8077D"/>
    <w:rsid w:val="4B1650A7"/>
    <w:rsid w:val="4B1C7EBB"/>
    <w:rsid w:val="4B225424"/>
    <w:rsid w:val="4B2C6678"/>
    <w:rsid w:val="4B305E1B"/>
    <w:rsid w:val="4B33682B"/>
    <w:rsid w:val="4B36786C"/>
    <w:rsid w:val="4B393D96"/>
    <w:rsid w:val="4B3D6070"/>
    <w:rsid w:val="4B3E326A"/>
    <w:rsid w:val="4B402A80"/>
    <w:rsid w:val="4B435B2E"/>
    <w:rsid w:val="4B486200"/>
    <w:rsid w:val="4B50680B"/>
    <w:rsid w:val="4B537606"/>
    <w:rsid w:val="4B555BCF"/>
    <w:rsid w:val="4B5730B2"/>
    <w:rsid w:val="4B5D303A"/>
    <w:rsid w:val="4B655548"/>
    <w:rsid w:val="4B6D3C9F"/>
    <w:rsid w:val="4B771FE9"/>
    <w:rsid w:val="4B773D97"/>
    <w:rsid w:val="4B814C16"/>
    <w:rsid w:val="4B840262"/>
    <w:rsid w:val="4BAD1567"/>
    <w:rsid w:val="4BB92D8E"/>
    <w:rsid w:val="4BD07B58"/>
    <w:rsid w:val="4BD120C2"/>
    <w:rsid w:val="4BE87BA5"/>
    <w:rsid w:val="4BEA1E49"/>
    <w:rsid w:val="4BEE652D"/>
    <w:rsid w:val="4BEF5C0C"/>
    <w:rsid w:val="4C0D09A4"/>
    <w:rsid w:val="4C107D48"/>
    <w:rsid w:val="4C140411"/>
    <w:rsid w:val="4C162B64"/>
    <w:rsid w:val="4C1B080F"/>
    <w:rsid w:val="4C3176AB"/>
    <w:rsid w:val="4C372BB9"/>
    <w:rsid w:val="4C40062D"/>
    <w:rsid w:val="4C415DC1"/>
    <w:rsid w:val="4C465518"/>
    <w:rsid w:val="4C51468C"/>
    <w:rsid w:val="4C525611"/>
    <w:rsid w:val="4C551AE4"/>
    <w:rsid w:val="4C602C81"/>
    <w:rsid w:val="4C6E278E"/>
    <w:rsid w:val="4C6F31F2"/>
    <w:rsid w:val="4C742085"/>
    <w:rsid w:val="4C79769B"/>
    <w:rsid w:val="4C7A0977"/>
    <w:rsid w:val="4C7C23EC"/>
    <w:rsid w:val="4C7C7DDD"/>
    <w:rsid w:val="4C8205E4"/>
    <w:rsid w:val="4C855F6D"/>
    <w:rsid w:val="4C875163"/>
    <w:rsid w:val="4C8F5111"/>
    <w:rsid w:val="4C961D77"/>
    <w:rsid w:val="4C9837DA"/>
    <w:rsid w:val="4C997D3D"/>
    <w:rsid w:val="4CA20751"/>
    <w:rsid w:val="4CB465E7"/>
    <w:rsid w:val="4CBF59F6"/>
    <w:rsid w:val="4CD356E0"/>
    <w:rsid w:val="4CD82614"/>
    <w:rsid w:val="4CDD5E7C"/>
    <w:rsid w:val="4CE11333"/>
    <w:rsid w:val="4CEA3995"/>
    <w:rsid w:val="4CFF538B"/>
    <w:rsid w:val="4D07739D"/>
    <w:rsid w:val="4D094EC3"/>
    <w:rsid w:val="4D1E38B1"/>
    <w:rsid w:val="4D292382"/>
    <w:rsid w:val="4D293E95"/>
    <w:rsid w:val="4D3F08E5"/>
    <w:rsid w:val="4D4203D5"/>
    <w:rsid w:val="4D491288"/>
    <w:rsid w:val="4D4C566E"/>
    <w:rsid w:val="4D4D7800"/>
    <w:rsid w:val="4D5A3970"/>
    <w:rsid w:val="4D7251FF"/>
    <w:rsid w:val="4D7E01AA"/>
    <w:rsid w:val="4D8B3293"/>
    <w:rsid w:val="4D8D5647"/>
    <w:rsid w:val="4DA573A0"/>
    <w:rsid w:val="4DBC39EF"/>
    <w:rsid w:val="4DC21A1F"/>
    <w:rsid w:val="4DC75479"/>
    <w:rsid w:val="4DCE1C69"/>
    <w:rsid w:val="4DCE28D4"/>
    <w:rsid w:val="4DD109CE"/>
    <w:rsid w:val="4DE50C0B"/>
    <w:rsid w:val="4DE97BE2"/>
    <w:rsid w:val="4DF53699"/>
    <w:rsid w:val="4DF97491"/>
    <w:rsid w:val="4E0039F5"/>
    <w:rsid w:val="4E037B64"/>
    <w:rsid w:val="4E11105D"/>
    <w:rsid w:val="4E157897"/>
    <w:rsid w:val="4E16225A"/>
    <w:rsid w:val="4E1C2CD0"/>
    <w:rsid w:val="4E1E7E8E"/>
    <w:rsid w:val="4E253AB8"/>
    <w:rsid w:val="4E2B1DBF"/>
    <w:rsid w:val="4E37349F"/>
    <w:rsid w:val="4E3F7C56"/>
    <w:rsid w:val="4E472C92"/>
    <w:rsid w:val="4E501130"/>
    <w:rsid w:val="4E55643D"/>
    <w:rsid w:val="4E557C94"/>
    <w:rsid w:val="4E61619D"/>
    <w:rsid w:val="4E657666"/>
    <w:rsid w:val="4E6A7E03"/>
    <w:rsid w:val="4E6F0D56"/>
    <w:rsid w:val="4E7520E4"/>
    <w:rsid w:val="4E8178AA"/>
    <w:rsid w:val="4E824D97"/>
    <w:rsid w:val="4E8B1908"/>
    <w:rsid w:val="4E9D5C2D"/>
    <w:rsid w:val="4EA10EDC"/>
    <w:rsid w:val="4EB31328"/>
    <w:rsid w:val="4EB470B0"/>
    <w:rsid w:val="4EBA57C1"/>
    <w:rsid w:val="4EBB21ED"/>
    <w:rsid w:val="4EC15AFE"/>
    <w:rsid w:val="4EC8490A"/>
    <w:rsid w:val="4ED10135"/>
    <w:rsid w:val="4ED50A17"/>
    <w:rsid w:val="4EDB5F27"/>
    <w:rsid w:val="4EE31744"/>
    <w:rsid w:val="4EE51018"/>
    <w:rsid w:val="4EE673C2"/>
    <w:rsid w:val="4EE7C9FA"/>
    <w:rsid w:val="4F047E0A"/>
    <w:rsid w:val="4F073684"/>
    <w:rsid w:val="4F07757D"/>
    <w:rsid w:val="4F086B2B"/>
    <w:rsid w:val="4F0B025E"/>
    <w:rsid w:val="4F19198E"/>
    <w:rsid w:val="4F2002A2"/>
    <w:rsid w:val="4F237EEA"/>
    <w:rsid w:val="4F276012"/>
    <w:rsid w:val="4F3B332E"/>
    <w:rsid w:val="4F477F24"/>
    <w:rsid w:val="4F4936D9"/>
    <w:rsid w:val="4F5615F3"/>
    <w:rsid w:val="4F5A0092"/>
    <w:rsid w:val="4F6D1AB8"/>
    <w:rsid w:val="4F77F7B4"/>
    <w:rsid w:val="4F7E1EA1"/>
    <w:rsid w:val="4F834858"/>
    <w:rsid w:val="4F852864"/>
    <w:rsid w:val="4F8847C5"/>
    <w:rsid w:val="4FA91AAC"/>
    <w:rsid w:val="4FAB05DE"/>
    <w:rsid w:val="4FBCE6E7"/>
    <w:rsid w:val="4FBD0FF5"/>
    <w:rsid w:val="4FC854D7"/>
    <w:rsid w:val="4FCC0D62"/>
    <w:rsid w:val="4FCD042A"/>
    <w:rsid w:val="4FD2386F"/>
    <w:rsid w:val="4FD5649E"/>
    <w:rsid w:val="4FD84F9C"/>
    <w:rsid w:val="4FE4467F"/>
    <w:rsid w:val="4FE45773"/>
    <w:rsid w:val="4FE5AF24"/>
    <w:rsid w:val="4FF23ABB"/>
    <w:rsid w:val="4FF678D5"/>
    <w:rsid w:val="4FF787D8"/>
    <w:rsid w:val="50142DE1"/>
    <w:rsid w:val="5015687B"/>
    <w:rsid w:val="501926CA"/>
    <w:rsid w:val="50200F40"/>
    <w:rsid w:val="502A762A"/>
    <w:rsid w:val="503109FF"/>
    <w:rsid w:val="503F0BFC"/>
    <w:rsid w:val="50534210"/>
    <w:rsid w:val="505E3D68"/>
    <w:rsid w:val="50671184"/>
    <w:rsid w:val="5069323B"/>
    <w:rsid w:val="506B19F1"/>
    <w:rsid w:val="507718E7"/>
    <w:rsid w:val="5080549C"/>
    <w:rsid w:val="50855379"/>
    <w:rsid w:val="50875D46"/>
    <w:rsid w:val="50A237F7"/>
    <w:rsid w:val="50AD025B"/>
    <w:rsid w:val="50B71B80"/>
    <w:rsid w:val="50D13748"/>
    <w:rsid w:val="50D43A3A"/>
    <w:rsid w:val="50D77086"/>
    <w:rsid w:val="50DC2AD2"/>
    <w:rsid w:val="50E579F5"/>
    <w:rsid w:val="50FD4D3F"/>
    <w:rsid w:val="5100482F"/>
    <w:rsid w:val="51032EA3"/>
    <w:rsid w:val="510936E3"/>
    <w:rsid w:val="510A2FB8"/>
    <w:rsid w:val="510F0E13"/>
    <w:rsid w:val="511F7088"/>
    <w:rsid w:val="51241968"/>
    <w:rsid w:val="51251B1C"/>
    <w:rsid w:val="51273B6A"/>
    <w:rsid w:val="51287410"/>
    <w:rsid w:val="5137796B"/>
    <w:rsid w:val="513D513B"/>
    <w:rsid w:val="514E7348"/>
    <w:rsid w:val="51534422"/>
    <w:rsid w:val="515F1367"/>
    <w:rsid w:val="51693FF5"/>
    <w:rsid w:val="516A440A"/>
    <w:rsid w:val="516F72BF"/>
    <w:rsid w:val="51713B4F"/>
    <w:rsid w:val="51764AF1"/>
    <w:rsid w:val="517A638F"/>
    <w:rsid w:val="517C4963"/>
    <w:rsid w:val="5183782F"/>
    <w:rsid w:val="518A40F8"/>
    <w:rsid w:val="51946A15"/>
    <w:rsid w:val="51A96CEB"/>
    <w:rsid w:val="51AC406F"/>
    <w:rsid w:val="51B16868"/>
    <w:rsid w:val="51BA5A6F"/>
    <w:rsid w:val="51BE1358"/>
    <w:rsid w:val="51C140DD"/>
    <w:rsid w:val="51C42E16"/>
    <w:rsid w:val="51CB5193"/>
    <w:rsid w:val="51D01D0C"/>
    <w:rsid w:val="51DD247A"/>
    <w:rsid w:val="51EA5143"/>
    <w:rsid w:val="521115A1"/>
    <w:rsid w:val="52184AFE"/>
    <w:rsid w:val="521F44A4"/>
    <w:rsid w:val="522B0225"/>
    <w:rsid w:val="523429E2"/>
    <w:rsid w:val="523522B6"/>
    <w:rsid w:val="52363EF8"/>
    <w:rsid w:val="5237602E"/>
    <w:rsid w:val="52430B2E"/>
    <w:rsid w:val="52452AE0"/>
    <w:rsid w:val="52466271"/>
    <w:rsid w:val="525351F4"/>
    <w:rsid w:val="52541382"/>
    <w:rsid w:val="52595FA5"/>
    <w:rsid w:val="525A6FBC"/>
    <w:rsid w:val="52645B25"/>
    <w:rsid w:val="52666DFC"/>
    <w:rsid w:val="526C0997"/>
    <w:rsid w:val="526F597D"/>
    <w:rsid w:val="52705346"/>
    <w:rsid w:val="527728CF"/>
    <w:rsid w:val="527C1C93"/>
    <w:rsid w:val="527C6137"/>
    <w:rsid w:val="528079D5"/>
    <w:rsid w:val="52855A65"/>
    <w:rsid w:val="52882253"/>
    <w:rsid w:val="5291079D"/>
    <w:rsid w:val="529139E8"/>
    <w:rsid w:val="529A0DFF"/>
    <w:rsid w:val="52B06B82"/>
    <w:rsid w:val="52B91A5D"/>
    <w:rsid w:val="52BC7A8F"/>
    <w:rsid w:val="52C45C3E"/>
    <w:rsid w:val="52E00474"/>
    <w:rsid w:val="52E234D2"/>
    <w:rsid w:val="52E353BE"/>
    <w:rsid w:val="52E57838"/>
    <w:rsid w:val="52F244BA"/>
    <w:rsid w:val="52FB60FD"/>
    <w:rsid w:val="53035F10"/>
    <w:rsid w:val="53052442"/>
    <w:rsid w:val="5305612D"/>
    <w:rsid w:val="53147604"/>
    <w:rsid w:val="53181831"/>
    <w:rsid w:val="53223676"/>
    <w:rsid w:val="532742F5"/>
    <w:rsid w:val="53311AB3"/>
    <w:rsid w:val="53317F44"/>
    <w:rsid w:val="53334A48"/>
    <w:rsid w:val="533544FE"/>
    <w:rsid w:val="533D33D1"/>
    <w:rsid w:val="533D58C6"/>
    <w:rsid w:val="534F4096"/>
    <w:rsid w:val="534FE554"/>
    <w:rsid w:val="53511F1B"/>
    <w:rsid w:val="53585E93"/>
    <w:rsid w:val="53670B33"/>
    <w:rsid w:val="53684FB5"/>
    <w:rsid w:val="53746E0E"/>
    <w:rsid w:val="537735FB"/>
    <w:rsid w:val="53775B6A"/>
    <w:rsid w:val="53794425"/>
    <w:rsid w:val="53852D75"/>
    <w:rsid w:val="538A7275"/>
    <w:rsid w:val="538E1C7E"/>
    <w:rsid w:val="538F5737"/>
    <w:rsid w:val="53901E9A"/>
    <w:rsid w:val="539B577D"/>
    <w:rsid w:val="53A57E0C"/>
    <w:rsid w:val="53D43855"/>
    <w:rsid w:val="53D6214F"/>
    <w:rsid w:val="53DA3B86"/>
    <w:rsid w:val="53ED0228"/>
    <w:rsid w:val="53EE1101"/>
    <w:rsid w:val="53F15E34"/>
    <w:rsid w:val="53FB26C8"/>
    <w:rsid w:val="53FB5D72"/>
    <w:rsid w:val="53FC4E8E"/>
    <w:rsid w:val="540F6FA3"/>
    <w:rsid w:val="541717DC"/>
    <w:rsid w:val="54181E8F"/>
    <w:rsid w:val="54271D5C"/>
    <w:rsid w:val="542D57A0"/>
    <w:rsid w:val="542D5DED"/>
    <w:rsid w:val="54324CFF"/>
    <w:rsid w:val="54377470"/>
    <w:rsid w:val="544A6CE9"/>
    <w:rsid w:val="544E3930"/>
    <w:rsid w:val="5474356A"/>
    <w:rsid w:val="54766E34"/>
    <w:rsid w:val="548E3F00"/>
    <w:rsid w:val="548F48DF"/>
    <w:rsid w:val="54921C42"/>
    <w:rsid w:val="54976AA9"/>
    <w:rsid w:val="549A3F89"/>
    <w:rsid w:val="549D0001"/>
    <w:rsid w:val="54BF4215"/>
    <w:rsid w:val="54C44F4A"/>
    <w:rsid w:val="54CA58BB"/>
    <w:rsid w:val="54CD38B3"/>
    <w:rsid w:val="54D538DD"/>
    <w:rsid w:val="54D856AB"/>
    <w:rsid w:val="54DE0134"/>
    <w:rsid w:val="54FA3343"/>
    <w:rsid w:val="54FF3799"/>
    <w:rsid w:val="550A5D6F"/>
    <w:rsid w:val="5519349A"/>
    <w:rsid w:val="55257D91"/>
    <w:rsid w:val="553C46BA"/>
    <w:rsid w:val="55402270"/>
    <w:rsid w:val="5545363C"/>
    <w:rsid w:val="55494082"/>
    <w:rsid w:val="555A1148"/>
    <w:rsid w:val="55627769"/>
    <w:rsid w:val="5563511D"/>
    <w:rsid w:val="556C6DB9"/>
    <w:rsid w:val="55782BE6"/>
    <w:rsid w:val="557D5B60"/>
    <w:rsid w:val="557E5D22"/>
    <w:rsid w:val="55816518"/>
    <w:rsid w:val="55834A19"/>
    <w:rsid w:val="558F7F2F"/>
    <w:rsid w:val="5597337A"/>
    <w:rsid w:val="55A339D1"/>
    <w:rsid w:val="55AF3B4C"/>
    <w:rsid w:val="55BB0D24"/>
    <w:rsid w:val="55BB2AD2"/>
    <w:rsid w:val="55BF466A"/>
    <w:rsid w:val="55C20305"/>
    <w:rsid w:val="55D33F84"/>
    <w:rsid w:val="55D3606E"/>
    <w:rsid w:val="55D55EC7"/>
    <w:rsid w:val="55E054C6"/>
    <w:rsid w:val="55E46622"/>
    <w:rsid w:val="55E7641D"/>
    <w:rsid w:val="55F27046"/>
    <w:rsid w:val="55F526C6"/>
    <w:rsid w:val="56066DC9"/>
    <w:rsid w:val="5613115D"/>
    <w:rsid w:val="56356D29"/>
    <w:rsid w:val="56365413"/>
    <w:rsid w:val="564B2DCD"/>
    <w:rsid w:val="564E1228"/>
    <w:rsid w:val="56534F05"/>
    <w:rsid w:val="565F3DA6"/>
    <w:rsid w:val="5661367A"/>
    <w:rsid w:val="56631AA5"/>
    <w:rsid w:val="566B274A"/>
    <w:rsid w:val="566C3476"/>
    <w:rsid w:val="567A298E"/>
    <w:rsid w:val="567D247D"/>
    <w:rsid w:val="568B1B00"/>
    <w:rsid w:val="56903F5F"/>
    <w:rsid w:val="569145C7"/>
    <w:rsid w:val="56923576"/>
    <w:rsid w:val="56925B4E"/>
    <w:rsid w:val="569972B8"/>
    <w:rsid w:val="569C55B0"/>
    <w:rsid w:val="56A6131D"/>
    <w:rsid w:val="56A82B00"/>
    <w:rsid w:val="56AE78E3"/>
    <w:rsid w:val="56B721A4"/>
    <w:rsid w:val="56B771FB"/>
    <w:rsid w:val="56BA4603"/>
    <w:rsid w:val="56BC4E15"/>
    <w:rsid w:val="56BC5AD0"/>
    <w:rsid w:val="56BD287A"/>
    <w:rsid w:val="56BD644F"/>
    <w:rsid w:val="56C24012"/>
    <w:rsid w:val="56CD51B3"/>
    <w:rsid w:val="56CE3508"/>
    <w:rsid w:val="56D00C68"/>
    <w:rsid w:val="56E20B7B"/>
    <w:rsid w:val="56E5715E"/>
    <w:rsid w:val="56EC4AD0"/>
    <w:rsid w:val="56F1378E"/>
    <w:rsid w:val="57022BD1"/>
    <w:rsid w:val="5705494D"/>
    <w:rsid w:val="57127259"/>
    <w:rsid w:val="571E77BD"/>
    <w:rsid w:val="57212B27"/>
    <w:rsid w:val="57272B15"/>
    <w:rsid w:val="572809C2"/>
    <w:rsid w:val="572E0780"/>
    <w:rsid w:val="57317042"/>
    <w:rsid w:val="57365AEB"/>
    <w:rsid w:val="574020E4"/>
    <w:rsid w:val="574216FD"/>
    <w:rsid w:val="57480C4D"/>
    <w:rsid w:val="574C27F3"/>
    <w:rsid w:val="574C50B5"/>
    <w:rsid w:val="5754621A"/>
    <w:rsid w:val="5757095B"/>
    <w:rsid w:val="57587219"/>
    <w:rsid w:val="57603931"/>
    <w:rsid w:val="57664CC0"/>
    <w:rsid w:val="576A623B"/>
    <w:rsid w:val="576F5440"/>
    <w:rsid w:val="577C2A31"/>
    <w:rsid w:val="57895A45"/>
    <w:rsid w:val="57917F8F"/>
    <w:rsid w:val="57943BE9"/>
    <w:rsid w:val="57A51342"/>
    <w:rsid w:val="57BFA81E"/>
    <w:rsid w:val="57C5313B"/>
    <w:rsid w:val="57C540DC"/>
    <w:rsid w:val="57CB156A"/>
    <w:rsid w:val="57CC0FC7"/>
    <w:rsid w:val="57CF18D5"/>
    <w:rsid w:val="57CF3962"/>
    <w:rsid w:val="57D15936"/>
    <w:rsid w:val="57D26AB7"/>
    <w:rsid w:val="57D807D4"/>
    <w:rsid w:val="57D91382"/>
    <w:rsid w:val="57DA62B0"/>
    <w:rsid w:val="57EA7969"/>
    <w:rsid w:val="57EC3417"/>
    <w:rsid w:val="57F44280"/>
    <w:rsid w:val="57F740F4"/>
    <w:rsid w:val="57F85C25"/>
    <w:rsid w:val="57FA1FD8"/>
    <w:rsid w:val="57FA3D86"/>
    <w:rsid w:val="57FF63D5"/>
    <w:rsid w:val="580A1AEF"/>
    <w:rsid w:val="580D32F3"/>
    <w:rsid w:val="581666E6"/>
    <w:rsid w:val="5821084F"/>
    <w:rsid w:val="58212803"/>
    <w:rsid w:val="58256929"/>
    <w:rsid w:val="582B5BF5"/>
    <w:rsid w:val="58315521"/>
    <w:rsid w:val="583F08F6"/>
    <w:rsid w:val="5843566F"/>
    <w:rsid w:val="584F7E39"/>
    <w:rsid w:val="586B6A32"/>
    <w:rsid w:val="586B6D99"/>
    <w:rsid w:val="58750691"/>
    <w:rsid w:val="5875165E"/>
    <w:rsid w:val="58871392"/>
    <w:rsid w:val="589367BE"/>
    <w:rsid w:val="589F5587"/>
    <w:rsid w:val="58AB575D"/>
    <w:rsid w:val="58B636BF"/>
    <w:rsid w:val="58BC728D"/>
    <w:rsid w:val="58BE3005"/>
    <w:rsid w:val="58CB5722"/>
    <w:rsid w:val="58DD0763"/>
    <w:rsid w:val="58DD21D7"/>
    <w:rsid w:val="58DD6347"/>
    <w:rsid w:val="58DF2F7C"/>
    <w:rsid w:val="58ED130A"/>
    <w:rsid w:val="58F20481"/>
    <w:rsid w:val="59036C6A"/>
    <w:rsid w:val="5906675A"/>
    <w:rsid w:val="59162E41"/>
    <w:rsid w:val="594070F0"/>
    <w:rsid w:val="59445F91"/>
    <w:rsid w:val="59457283"/>
    <w:rsid w:val="594A5169"/>
    <w:rsid w:val="5955073B"/>
    <w:rsid w:val="595E0345"/>
    <w:rsid w:val="596D3EEC"/>
    <w:rsid w:val="5970204C"/>
    <w:rsid w:val="59747100"/>
    <w:rsid w:val="597F36B6"/>
    <w:rsid w:val="59815208"/>
    <w:rsid w:val="598C4A22"/>
    <w:rsid w:val="59AC10B0"/>
    <w:rsid w:val="59B937CD"/>
    <w:rsid w:val="59C4289D"/>
    <w:rsid w:val="59C81C62"/>
    <w:rsid w:val="59CB7D3D"/>
    <w:rsid w:val="59D16D68"/>
    <w:rsid w:val="59D95C1D"/>
    <w:rsid w:val="59F001A4"/>
    <w:rsid w:val="59F14E3A"/>
    <w:rsid w:val="59F37B1A"/>
    <w:rsid w:val="59F51775"/>
    <w:rsid w:val="59FA62BF"/>
    <w:rsid w:val="59FB5B93"/>
    <w:rsid w:val="5A105AE3"/>
    <w:rsid w:val="5A150548"/>
    <w:rsid w:val="5A1E2DE7"/>
    <w:rsid w:val="5A20427A"/>
    <w:rsid w:val="5A290952"/>
    <w:rsid w:val="5A2971D5"/>
    <w:rsid w:val="5A395FB6"/>
    <w:rsid w:val="5A436A2D"/>
    <w:rsid w:val="5A4E03B9"/>
    <w:rsid w:val="5A551748"/>
    <w:rsid w:val="5A59758B"/>
    <w:rsid w:val="5A5A6AE1"/>
    <w:rsid w:val="5A7F1DC3"/>
    <w:rsid w:val="5A816AFB"/>
    <w:rsid w:val="5A9304C2"/>
    <w:rsid w:val="5A93401E"/>
    <w:rsid w:val="5A963B0E"/>
    <w:rsid w:val="5A975A80"/>
    <w:rsid w:val="5AA179C0"/>
    <w:rsid w:val="5AA62CA6"/>
    <w:rsid w:val="5AAF7FEE"/>
    <w:rsid w:val="5AB32A9D"/>
    <w:rsid w:val="5AB53F94"/>
    <w:rsid w:val="5AB5715B"/>
    <w:rsid w:val="5AC338A9"/>
    <w:rsid w:val="5AC43D60"/>
    <w:rsid w:val="5AC43E3A"/>
    <w:rsid w:val="5ACB7C5C"/>
    <w:rsid w:val="5ACC7530"/>
    <w:rsid w:val="5AD102F4"/>
    <w:rsid w:val="5AD157AB"/>
    <w:rsid w:val="5AD22D98"/>
    <w:rsid w:val="5AD54636"/>
    <w:rsid w:val="5ADF3707"/>
    <w:rsid w:val="5AE43BF7"/>
    <w:rsid w:val="5AE44879"/>
    <w:rsid w:val="5AE623A0"/>
    <w:rsid w:val="5AEE56F8"/>
    <w:rsid w:val="5AEE67EA"/>
    <w:rsid w:val="5AEF53FD"/>
    <w:rsid w:val="5AF144D0"/>
    <w:rsid w:val="5AFB2D6E"/>
    <w:rsid w:val="5AFBAD42"/>
    <w:rsid w:val="5B0A066E"/>
    <w:rsid w:val="5B0D2022"/>
    <w:rsid w:val="5B105BE1"/>
    <w:rsid w:val="5B110D26"/>
    <w:rsid w:val="5B117BEC"/>
    <w:rsid w:val="5B123FA7"/>
    <w:rsid w:val="5B150ED7"/>
    <w:rsid w:val="5B47727D"/>
    <w:rsid w:val="5B500101"/>
    <w:rsid w:val="5B5639C9"/>
    <w:rsid w:val="5B5E18A4"/>
    <w:rsid w:val="5B5F0EDA"/>
    <w:rsid w:val="5B611DC8"/>
    <w:rsid w:val="5B613C0E"/>
    <w:rsid w:val="5B697EEF"/>
    <w:rsid w:val="5B7976B8"/>
    <w:rsid w:val="5B7C2DC4"/>
    <w:rsid w:val="5B7C71A8"/>
    <w:rsid w:val="5B800982"/>
    <w:rsid w:val="5B8B6227"/>
    <w:rsid w:val="5B955E96"/>
    <w:rsid w:val="5B9B2E59"/>
    <w:rsid w:val="5B9B3675"/>
    <w:rsid w:val="5B9F377A"/>
    <w:rsid w:val="5BA231DD"/>
    <w:rsid w:val="5BA258C6"/>
    <w:rsid w:val="5BA26571"/>
    <w:rsid w:val="5BAD7361"/>
    <w:rsid w:val="5BB64468"/>
    <w:rsid w:val="5BCA6564"/>
    <w:rsid w:val="5BD66D67"/>
    <w:rsid w:val="5BE36780"/>
    <w:rsid w:val="5BF3746A"/>
    <w:rsid w:val="5BF60FD1"/>
    <w:rsid w:val="5BFB631F"/>
    <w:rsid w:val="5BFC7953"/>
    <w:rsid w:val="5BFD2097"/>
    <w:rsid w:val="5BFE5BEE"/>
    <w:rsid w:val="5C010795"/>
    <w:rsid w:val="5C07081F"/>
    <w:rsid w:val="5C0827EA"/>
    <w:rsid w:val="5C107D40"/>
    <w:rsid w:val="5C1422AC"/>
    <w:rsid w:val="5C15139A"/>
    <w:rsid w:val="5C177499"/>
    <w:rsid w:val="5C1C6713"/>
    <w:rsid w:val="5C1E3775"/>
    <w:rsid w:val="5C20586B"/>
    <w:rsid w:val="5C3046CA"/>
    <w:rsid w:val="5C381264"/>
    <w:rsid w:val="5C3F445D"/>
    <w:rsid w:val="5C46095E"/>
    <w:rsid w:val="5C485468"/>
    <w:rsid w:val="5C4A2E02"/>
    <w:rsid w:val="5C522B31"/>
    <w:rsid w:val="5C553C81"/>
    <w:rsid w:val="5C672644"/>
    <w:rsid w:val="5C794078"/>
    <w:rsid w:val="5C8132C7"/>
    <w:rsid w:val="5C822844"/>
    <w:rsid w:val="5C8F6A67"/>
    <w:rsid w:val="5C967DF5"/>
    <w:rsid w:val="5CA23A25"/>
    <w:rsid w:val="5CA97B29"/>
    <w:rsid w:val="5CB12E81"/>
    <w:rsid w:val="5CB66787"/>
    <w:rsid w:val="5CB95FA1"/>
    <w:rsid w:val="5CBD5382"/>
    <w:rsid w:val="5CBF6DAD"/>
    <w:rsid w:val="5CC04E72"/>
    <w:rsid w:val="5CC26330"/>
    <w:rsid w:val="5CCE23FF"/>
    <w:rsid w:val="5CD67F41"/>
    <w:rsid w:val="5CD83216"/>
    <w:rsid w:val="5CD90C6B"/>
    <w:rsid w:val="5CDF760E"/>
    <w:rsid w:val="5CE46310"/>
    <w:rsid w:val="5CE46DB3"/>
    <w:rsid w:val="5CEB001E"/>
    <w:rsid w:val="5CF453B2"/>
    <w:rsid w:val="5CF50FC0"/>
    <w:rsid w:val="5CF63739"/>
    <w:rsid w:val="5CFF1E3E"/>
    <w:rsid w:val="5D017C51"/>
    <w:rsid w:val="5D03027D"/>
    <w:rsid w:val="5D042FB1"/>
    <w:rsid w:val="5D1A22C4"/>
    <w:rsid w:val="5D1B1DC7"/>
    <w:rsid w:val="5D211DB5"/>
    <w:rsid w:val="5D21406C"/>
    <w:rsid w:val="5D2925A5"/>
    <w:rsid w:val="5D2D69AC"/>
    <w:rsid w:val="5D302207"/>
    <w:rsid w:val="5D3200B8"/>
    <w:rsid w:val="5D3E2967"/>
    <w:rsid w:val="5D3F5332"/>
    <w:rsid w:val="5D4165A3"/>
    <w:rsid w:val="5D463591"/>
    <w:rsid w:val="5D4F2A78"/>
    <w:rsid w:val="5D55249C"/>
    <w:rsid w:val="5D5A0592"/>
    <w:rsid w:val="5D722610"/>
    <w:rsid w:val="5D792AE4"/>
    <w:rsid w:val="5D81138C"/>
    <w:rsid w:val="5D9722E6"/>
    <w:rsid w:val="5D9C1B0D"/>
    <w:rsid w:val="5D9F2CDA"/>
    <w:rsid w:val="5DA27BC8"/>
    <w:rsid w:val="5DAD53F7"/>
    <w:rsid w:val="5DB52A16"/>
    <w:rsid w:val="5DC015CE"/>
    <w:rsid w:val="5DC25C67"/>
    <w:rsid w:val="5DC34C1A"/>
    <w:rsid w:val="5DCC7F73"/>
    <w:rsid w:val="5DD21301"/>
    <w:rsid w:val="5DD46E27"/>
    <w:rsid w:val="5DD97571"/>
    <w:rsid w:val="5DDA1E3A"/>
    <w:rsid w:val="5DF15728"/>
    <w:rsid w:val="5DF58FC7"/>
    <w:rsid w:val="5DF66D9E"/>
    <w:rsid w:val="5DFA1833"/>
    <w:rsid w:val="5DFD708D"/>
    <w:rsid w:val="5DFFAD62"/>
    <w:rsid w:val="5E0B0912"/>
    <w:rsid w:val="5E0E058B"/>
    <w:rsid w:val="5E1A6F32"/>
    <w:rsid w:val="5E200EAA"/>
    <w:rsid w:val="5E2774DB"/>
    <w:rsid w:val="5E280B31"/>
    <w:rsid w:val="5E2F58D3"/>
    <w:rsid w:val="5E343D6A"/>
    <w:rsid w:val="5E357973"/>
    <w:rsid w:val="5E36029B"/>
    <w:rsid w:val="5E4C2E61"/>
    <w:rsid w:val="5E52091B"/>
    <w:rsid w:val="5E563540"/>
    <w:rsid w:val="5E5A06FD"/>
    <w:rsid w:val="5E5D4F9F"/>
    <w:rsid w:val="5E6A153A"/>
    <w:rsid w:val="5E6F5AED"/>
    <w:rsid w:val="5E734876"/>
    <w:rsid w:val="5E78724A"/>
    <w:rsid w:val="5E7F3F69"/>
    <w:rsid w:val="5E9071F2"/>
    <w:rsid w:val="5E9342EC"/>
    <w:rsid w:val="5E9401F8"/>
    <w:rsid w:val="5E946735"/>
    <w:rsid w:val="5E9B05BE"/>
    <w:rsid w:val="5EA20CD3"/>
    <w:rsid w:val="5EA27CF7"/>
    <w:rsid w:val="5EA762EA"/>
    <w:rsid w:val="5EAA0DD3"/>
    <w:rsid w:val="5EB62B27"/>
    <w:rsid w:val="5EBC3C1E"/>
    <w:rsid w:val="5EC27EBD"/>
    <w:rsid w:val="5EC8638B"/>
    <w:rsid w:val="5ECD5D21"/>
    <w:rsid w:val="5EDA371E"/>
    <w:rsid w:val="5EDFC910"/>
    <w:rsid w:val="5EE70DDC"/>
    <w:rsid w:val="5EEB4040"/>
    <w:rsid w:val="5EEB532D"/>
    <w:rsid w:val="5EF77A7E"/>
    <w:rsid w:val="5EFD5378"/>
    <w:rsid w:val="5F0B2A87"/>
    <w:rsid w:val="5F1A4609"/>
    <w:rsid w:val="5F225970"/>
    <w:rsid w:val="5F2E00CC"/>
    <w:rsid w:val="5F335DCF"/>
    <w:rsid w:val="5F3815EE"/>
    <w:rsid w:val="5F3A53B0"/>
    <w:rsid w:val="5F3A773E"/>
    <w:rsid w:val="5F3B1CCB"/>
    <w:rsid w:val="5F4104EC"/>
    <w:rsid w:val="5F41229A"/>
    <w:rsid w:val="5F491D86"/>
    <w:rsid w:val="5F5A335C"/>
    <w:rsid w:val="5F5C32D6"/>
    <w:rsid w:val="5F6E6E08"/>
    <w:rsid w:val="5F7649FB"/>
    <w:rsid w:val="5F7A39FE"/>
    <w:rsid w:val="5F8B21CC"/>
    <w:rsid w:val="5F8E71FF"/>
    <w:rsid w:val="5F942D12"/>
    <w:rsid w:val="5F944DE7"/>
    <w:rsid w:val="5F990328"/>
    <w:rsid w:val="5F9A5E4E"/>
    <w:rsid w:val="5F9C5723"/>
    <w:rsid w:val="5FA62A45"/>
    <w:rsid w:val="5FA71BE3"/>
    <w:rsid w:val="5FA8056B"/>
    <w:rsid w:val="5FA92D9F"/>
    <w:rsid w:val="5FAADF79"/>
    <w:rsid w:val="5FAC2DE4"/>
    <w:rsid w:val="5FAE5456"/>
    <w:rsid w:val="5FB10E83"/>
    <w:rsid w:val="5FB92779"/>
    <w:rsid w:val="5FBC7B73"/>
    <w:rsid w:val="5FC527A1"/>
    <w:rsid w:val="5FC73231"/>
    <w:rsid w:val="5FCB5603"/>
    <w:rsid w:val="5FD70630"/>
    <w:rsid w:val="5FD79839"/>
    <w:rsid w:val="5FD914CE"/>
    <w:rsid w:val="5FF35908"/>
    <w:rsid w:val="5FF563F9"/>
    <w:rsid w:val="5FF75406"/>
    <w:rsid w:val="5FFF1A4A"/>
    <w:rsid w:val="5FFF6240"/>
    <w:rsid w:val="60031720"/>
    <w:rsid w:val="600852E1"/>
    <w:rsid w:val="600B69BF"/>
    <w:rsid w:val="600E788A"/>
    <w:rsid w:val="600F3699"/>
    <w:rsid w:val="6011673F"/>
    <w:rsid w:val="601469DA"/>
    <w:rsid w:val="601A3622"/>
    <w:rsid w:val="60200102"/>
    <w:rsid w:val="602E56A9"/>
    <w:rsid w:val="603941FE"/>
    <w:rsid w:val="604130CF"/>
    <w:rsid w:val="6054272E"/>
    <w:rsid w:val="605F2313"/>
    <w:rsid w:val="60603856"/>
    <w:rsid w:val="60663C94"/>
    <w:rsid w:val="606727AB"/>
    <w:rsid w:val="606D2829"/>
    <w:rsid w:val="60714E01"/>
    <w:rsid w:val="607154CE"/>
    <w:rsid w:val="60794FD4"/>
    <w:rsid w:val="607B7CC3"/>
    <w:rsid w:val="60814FEF"/>
    <w:rsid w:val="60962C26"/>
    <w:rsid w:val="60AC7BE7"/>
    <w:rsid w:val="60AE2440"/>
    <w:rsid w:val="60AE4E89"/>
    <w:rsid w:val="60B60A66"/>
    <w:rsid w:val="60D32F5A"/>
    <w:rsid w:val="60EA5239"/>
    <w:rsid w:val="61007F33"/>
    <w:rsid w:val="610E2B4C"/>
    <w:rsid w:val="61251748"/>
    <w:rsid w:val="613A1697"/>
    <w:rsid w:val="613E4136"/>
    <w:rsid w:val="614104BF"/>
    <w:rsid w:val="61470022"/>
    <w:rsid w:val="61483DB4"/>
    <w:rsid w:val="614C3B71"/>
    <w:rsid w:val="615B5AC9"/>
    <w:rsid w:val="615C160D"/>
    <w:rsid w:val="615E765A"/>
    <w:rsid w:val="616E7593"/>
    <w:rsid w:val="61730705"/>
    <w:rsid w:val="617A1A94"/>
    <w:rsid w:val="61807ABD"/>
    <w:rsid w:val="61846CDE"/>
    <w:rsid w:val="61865618"/>
    <w:rsid w:val="61923281"/>
    <w:rsid w:val="619945D7"/>
    <w:rsid w:val="61B218E9"/>
    <w:rsid w:val="61C24BFD"/>
    <w:rsid w:val="61CB0541"/>
    <w:rsid w:val="61D2367E"/>
    <w:rsid w:val="61DE43D4"/>
    <w:rsid w:val="61E06967"/>
    <w:rsid w:val="61E414DE"/>
    <w:rsid w:val="61ED083B"/>
    <w:rsid w:val="61F42949"/>
    <w:rsid w:val="61F730E4"/>
    <w:rsid w:val="620F346A"/>
    <w:rsid w:val="62247FFF"/>
    <w:rsid w:val="6241709F"/>
    <w:rsid w:val="624216A0"/>
    <w:rsid w:val="62571703"/>
    <w:rsid w:val="626343A0"/>
    <w:rsid w:val="626736F9"/>
    <w:rsid w:val="626B4082"/>
    <w:rsid w:val="626B6B00"/>
    <w:rsid w:val="62707A39"/>
    <w:rsid w:val="628A51BD"/>
    <w:rsid w:val="628E1BE9"/>
    <w:rsid w:val="62AF1C11"/>
    <w:rsid w:val="62B33E70"/>
    <w:rsid w:val="62BB2188"/>
    <w:rsid w:val="62C642C8"/>
    <w:rsid w:val="62C84A81"/>
    <w:rsid w:val="62CA6A4B"/>
    <w:rsid w:val="62CB754B"/>
    <w:rsid w:val="62D06FF9"/>
    <w:rsid w:val="62D7433C"/>
    <w:rsid w:val="62D765EB"/>
    <w:rsid w:val="62DB0C58"/>
    <w:rsid w:val="62DF29CB"/>
    <w:rsid w:val="62E775FD"/>
    <w:rsid w:val="62EE44E7"/>
    <w:rsid w:val="62EE6294"/>
    <w:rsid w:val="62FD0BCE"/>
    <w:rsid w:val="62FD1456"/>
    <w:rsid w:val="62FE43C4"/>
    <w:rsid w:val="62FF4946"/>
    <w:rsid w:val="63021D83"/>
    <w:rsid w:val="630A5BB9"/>
    <w:rsid w:val="631101D6"/>
    <w:rsid w:val="631F6D97"/>
    <w:rsid w:val="63304B00"/>
    <w:rsid w:val="63392CD2"/>
    <w:rsid w:val="63464323"/>
    <w:rsid w:val="63473BF7"/>
    <w:rsid w:val="634A540C"/>
    <w:rsid w:val="635A19B4"/>
    <w:rsid w:val="636B22CC"/>
    <w:rsid w:val="636C198B"/>
    <w:rsid w:val="63704743"/>
    <w:rsid w:val="637A3FCD"/>
    <w:rsid w:val="637D586B"/>
    <w:rsid w:val="638E1826"/>
    <w:rsid w:val="63901A42"/>
    <w:rsid w:val="63932482"/>
    <w:rsid w:val="63972077"/>
    <w:rsid w:val="639900E3"/>
    <w:rsid w:val="639A466F"/>
    <w:rsid w:val="639F2CC3"/>
    <w:rsid w:val="63A454EE"/>
    <w:rsid w:val="63B65AC7"/>
    <w:rsid w:val="63CD46A6"/>
    <w:rsid w:val="63CF5573"/>
    <w:rsid w:val="63D4784E"/>
    <w:rsid w:val="63D7428B"/>
    <w:rsid w:val="63DC4C88"/>
    <w:rsid w:val="63E23BB7"/>
    <w:rsid w:val="63F57AF7"/>
    <w:rsid w:val="64085A7D"/>
    <w:rsid w:val="6408782B"/>
    <w:rsid w:val="640C4C0D"/>
    <w:rsid w:val="640D5C29"/>
    <w:rsid w:val="6415023F"/>
    <w:rsid w:val="642B34A4"/>
    <w:rsid w:val="642F5B92"/>
    <w:rsid w:val="643A53B4"/>
    <w:rsid w:val="643B5584"/>
    <w:rsid w:val="643D4B24"/>
    <w:rsid w:val="64443A8F"/>
    <w:rsid w:val="6447757E"/>
    <w:rsid w:val="64503D60"/>
    <w:rsid w:val="645830D7"/>
    <w:rsid w:val="645A2EFB"/>
    <w:rsid w:val="645A3FDC"/>
    <w:rsid w:val="64603F9B"/>
    <w:rsid w:val="64675414"/>
    <w:rsid w:val="646E3B0C"/>
    <w:rsid w:val="64722EF6"/>
    <w:rsid w:val="647258C3"/>
    <w:rsid w:val="64745B96"/>
    <w:rsid w:val="647635E8"/>
    <w:rsid w:val="64801D4B"/>
    <w:rsid w:val="648570CD"/>
    <w:rsid w:val="6497295D"/>
    <w:rsid w:val="649C4B47"/>
    <w:rsid w:val="64A61365"/>
    <w:rsid w:val="64AA2E73"/>
    <w:rsid w:val="64B30A7B"/>
    <w:rsid w:val="64B8434A"/>
    <w:rsid w:val="64B90B25"/>
    <w:rsid w:val="64BD32BE"/>
    <w:rsid w:val="64BE31F5"/>
    <w:rsid w:val="64C5008F"/>
    <w:rsid w:val="64CD6821"/>
    <w:rsid w:val="64D4595F"/>
    <w:rsid w:val="64D63485"/>
    <w:rsid w:val="64DA50F8"/>
    <w:rsid w:val="64DD2A65"/>
    <w:rsid w:val="64E126B6"/>
    <w:rsid w:val="64E8446E"/>
    <w:rsid w:val="64EC2CA8"/>
    <w:rsid w:val="64EE6A20"/>
    <w:rsid w:val="64F72440"/>
    <w:rsid w:val="6502071E"/>
    <w:rsid w:val="65020C74"/>
    <w:rsid w:val="65024C7C"/>
    <w:rsid w:val="65062AE7"/>
    <w:rsid w:val="65137B25"/>
    <w:rsid w:val="65147E16"/>
    <w:rsid w:val="65230D6E"/>
    <w:rsid w:val="65287703"/>
    <w:rsid w:val="652E2C3E"/>
    <w:rsid w:val="652F35F5"/>
    <w:rsid w:val="65346E5E"/>
    <w:rsid w:val="65362175"/>
    <w:rsid w:val="65376B47"/>
    <w:rsid w:val="653D52B2"/>
    <w:rsid w:val="654042F5"/>
    <w:rsid w:val="654B3E73"/>
    <w:rsid w:val="654D2E22"/>
    <w:rsid w:val="65522979"/>
    <w:rsid w:val="65537C34"/>
    <w:rsid w:val="655976E9"/>
    <w:rsid w:val="655B398A"/>
    <w:rsid w:val="6575679A"/>
    <w:rsid w:val="65870C23"/>
    <w:rsid w:val="658858C4"/>
    <w:rsid w:val="65921E5E"/>
    <w:rsid w:val="65A11CE5"/>
    <w:rsid w:val="65B86892"/>
    <w:rsid w:val="65BD63F3"/>
    <w:rsid w:val="65BE2C69"/>
    <w:rsid w:val="65BF216B"/>
    <w:rsid w:val="65D41035"/>
    <w:rsid w:val="65DD3E8F"/>
    <w:rsid w:val="65ED34AD"/>
    <w:rsid w:val="65F66C79"/>
    <w:rsid w:val="65FA13F5"/>
    <w:rsid w:val="660447CA"/>
    <w:rsid w:val="66157FDD"/>
    <w:rsid w:val="66203DE4"/>
    <w:rsid w:val="66354381"/>
    <w:rsid w:val="665622BC"/>
    <w:rsid w:val="665C20B0"/>
    <w:rsid w:val="6660772E"/>
    <w:rsid w:val="66653739"/>
    <w:rsid w:val="666C4EE6"/>
    <w:rsid w:val="66792487"/>
    <w:rsid w:val="66911D59"/>
    <w:rsid w:val="66A178F0"/>
    <w:rsid w:val="66AC0552"/>
    <w:rsid w:val="66C0619B"/>
    <w:rsid w:val="66CA135E"/>
    <w:rsid w:val="66D9725C"/>
    <w:rsid w:val="66E0203A"/>
    <w:rsid w:val="66E04A8F"/>
    <w:rsid w:val="66E1296F"/>
    <w:rsid w:val="66E31E89"/>
    <w:rsid w:val="66E509CA"/>
    <w:rsid w:val="66F83B86"/>
    <w:rsid w:val="66FB0FDC"/>
    <w:rsid w:val="66FC5AFF"/>
    <w:rsid w:val="670329EE"/>
    <w:rsid w:val="6709462E"/>
    <w:rsid w:val="673B0A69"/>
    <w:rsid w:val="673E3436"/>
    <w:rsid w:val="67584625"/>
    <w:rsid w:val="67591430"/>
    <w:rsid w:val="675A65EF"/>
    <w:rsid w:val="6777196F"/>
    <w:rsid w:val="677D0530"/>
    <w:rsid w:val="678A1ED0"/>
    <w:rsid w:val="679179C8"/>
    <w:rsid w:val="679C6C08"/>
    <w:rsid w:val="67A3188D"/>
    <w:rsid w:val="67A744FC"/>
    <w:rsid w:val="67AB61F8"/>
    <w:rsid w:val="67AFA11C"/>
    <w:rsid w:val="67B37A94"/>
    <w:rsid w:val="67BA7741"/>
    <w:rsid w:val="67BF2C5D"/>
    <w:rsid w:val="67C82D6A"/>
    <w:rsid w:val="67D143D7"/>
    <w:rsid w:val="67E6170C"/>
    <w:rsid w:val="67EE0AE5"/>
    <w:rsid w:val="67F325A0"/>
    <w:rsid w:val="67FBA179"/>
    <w:rsid w:val="67FF84E2"/>
    <w:rsid w:val="68000819"/>
    <w:rsid w:val="680A62EC"/>
    <w:rsid w:val="680D0CA5"/>
    <w:rsid w:val="681720A1"/>
    <w:rsid w:val="681C419E"/>
    <w:rsid w:val="68253783"/>
    <w:rsid w:val="682E039C"/>
    <w:rsid w:val="685017A0"/>
    <w:rsid w:val="68570D81"/>
    <w:rsid w:val="686E4C40"/>
    <w:rsid w:val="687612DB"/>
    <w:rsid w:val="687769DB"/>
    <w:rsid w:val="687A05CB"/>
    <w:rsid w:val="687B6403"/>
    <w:rsid w:val="687B749E"/>
    <w:rsid w:val="687F684D"/>
    <w:rsid w:val="6882422A"/>
    <w:rsid w:val="68867E0D"/>
    <w:rsid w:val="688A6BEA"/>
    <w:rsid w:val="688E3F4B"/>
    <w:rsid w:val="68916D9B"/>
    <w:rsid w:val="689C341B"/>
    <w:rsid w:val="68A45648"/>
    <w:rsid w:val="68A5668C"/>
    <w:rsid w:val="68D27297"/>
    <w:rsid w:val="68E1064A"/>
    <w:rsid w:val="68F85464"/>
    <w:rsid w:val="68FB5BB0"/>
    <w:rsid w:val="690070AC"/>
    <w:rsid w:val="6911241F"/>
    <w:rsid w:val="69124CA8"/>
    <w:rsid w:val="69164798"/>
    <w:rsid w:val="691809A6"/>
    <w:rsid w:val="691B1DAE"/>
    <w:rsid w:val="691D5B26"/>
    <w:rsid w:val="691E68CF"/>
    <w:rsid w:val="692549DB"/>
    <w:rsid w:val="69293B0C"/>
    <w:rsid w:val="69440841"/>
    <w:rsid w:val="695D4F45"/>
    <w:rsid w:val="697C1891"/>
    <w:rsid w:val="699119B4"/>
    <w:rsid w:val="699851AD"/>
    <w:rsid w:val="69990F25"/>
    <w:rsid w:val="699A513A"/>
    <w:rsid w:val="69A12529"/>
    <w:rsid w:val="69A86758"/>
    <w:rsid w:val="69B33D95"/>
    <w:rsid w:val="69B67115"/>
    <w:rsid w:val="69B82DF4"/>
    <w:rsid w:val="69BD0FF1"/>
    <w:rsid w:val="69CA5638"/>
    <w:rsid w:val="69CC7B4C"/>
    <w:rsid w:val="69D250C5"/>
    <w:rsid w:val="69DF102E"/>
    <w:rsid w:val="69DF55BE"/>
    <w:rsid w:val="69E439BE"/>
    <w:rsid w:val="69E50BCD"/>
    <w:rsid w:val="69E80549"/>
    <w:rsid w:val="69EF53B4"/>
    <w:rsid w:val="6A063261"/>
    <w:rsid w:val="6A073D15"/>
    <w:rsid w:val="6A0D3075"/>
    <w:rsid w:val="6A126DD2"/>
    <w:rsid w:val="6A152CA1"/>
    <w:rsid w:val="6A1D3904"/>
    <w:rsid w:val="6A204DBF"/>
    <w:rsid w:val="6A231730"/>
    <w:rsid w:val="6A2829D5"/>
    <w:rsid w:val="6A2B0AC3"/>
    <w:rsid w:val="6A2F7A10"/>
    <w:rsid w:val="6A3749C6"/>
    <w:rsid w:val="6A3B76A2"/>
    <w:rsid w:val="6A420E56"/>
    <w:rsid w:val="6A647785"/>
    <w:rsid w:val="6A6C67AF"/>
    <w:rsid w:val="6A7A4AD5"/>
    <w:rsid w:val="6A800E76"/>
    <w:rsid w:val="6A924E32"/>
    <w:rsid w:val="6A94008C"/>
    <w:rsid w:val="6A9736B6"/>
    <w:rsid w:val="6AA06A0F"/>
    <w:rsid w:val="6AA2141C"/>
    <w:rsid w:val="6AA87672"/>
    <w:rsid w:val="6AAD2EDA"/>
    <w:rsid w:val="6AAE27AE"/>
    <w:rsid w:val="6AB57189"/>
    <w:rsid w:val="6AB64EC6"/>
    <w:rsid w:val="6AB71DE9"/>
    <w:rsid w:val="6ABE6E95"/>
    <w:rsid w:val="6AC00C9E"/>
    <w:rsid w:val="6AC34682"/>
    <w:rsid w:val="6AC635A8"/>
    <w:rsid w:val="6AC81AC2"/>
    <w:rsid w:val="6ACD0E86"/>
    <w:rsid w:val="6AD14E1A"/>
    <w:rsid w:val="6ADD1EE4"/>
    <w:rsid w:val="6ADE12E5"/>
    <w:rsid w:val="6ADE46B1"/>
    <w:rsid w:val="6AE60947"/>
    <w:rsid w:val="6AE663EC"/>
    <w:rsid w:val="6AEF6EB8"/>
    <w:rsid w:val="6AF777FF"/>
    <w:rsid w:val="6AF97ECD"/>
    <w:rsid w:val="6B077D1C"/>
    <w:rsid w:val="6B0B374F"/>
    <w:rsid w:val="6B0E6D92"/>
    <w:rsid w:val="6B17074E"/>
    <w:rsid w:val="6B1747F7"/>
    <w:rsid w:val="6B1B7E43"/>
    <w:rsid w:val="6B1E472F"/>
    <w:rsid w:val="6B1F0CCB"/>
    <w:rsid w:val="6B2751C5"/>
    <w:rsid w:val="6B3233DF"/>
    <w:rsid w:val="6B3A9615"/>
    <w:rsid w:val="6B41182F"/>
    <w:rsid w:val="6B414711"/>
    <w:rsid w:val="6B427AC6"/>
    <w:rsid w:val="6B4750DC"/>
    <w:rsid w:val="6B477798"/>
    <w:rsid w:val="6B6234E5"/>
    <w:rsid w:val="6B6C069F"/>
    <w:rsid w:val="6B77B1B5"/>
    <w:rsid w:val="6B79100E"/>
    <w:rsid w:val="6B797260"/>
    <w:rsid w:val="6B7E1C6E"/>
    <w:rsid w:val="6B8E4D79"/>
    <w:rsid w:val="6B91331F"/>
    <w:rsid w:val="6B923E7E"/>
    <w:rsid w:val="6BA20565"/>
    <w:rsid w:val="6BA90E10"/>
    <w:rsid w:val="6BAA566B"/>
    <w:rsid w:val="6BAC5048"/>
    <w:rsid w:val="6BAD7A5A"/>
    <w:rsid w:val="6BAF67DE"/>
    <w:rsid w:val="6BBD11F5"/>
    <w:rsid w:val="6BBD6D91"/>
    <w:rsid w:val="6BC11098"/>
    <w:rsid w:val="6BCE1834"/>
    <w:rsid w:val="6BD03987"/>
    <w:rsid w:val="6BD12800"/>
    <w:rsid w:val="6BD9385B"/>
    <w:rsid w:val="6BE17EE8"/>
    <w:rsid w:val="6BEA5A68"/>
    <w:rsid w:val="6BF95CAB"/>
    <w:rsid w:val="6BFA2F04"/>
    <w:rsid w:val="6BFB7C75"/>
    <w:rsid w:val="6C005CE7"/>
    <w:rsid w:val="6C022DB1"/>
    <w:rsid w:val="6C1119A9"/>
    <w:rsid w:val="6C1164D9"/>
    <w:rsid w:val="6C1256EA"/>
    <w:rsid w:val="6C164A1F"/>
    <w:rsid w:val="6C1D447F"/>
    <w:rsid w:val="6C283CFA"/>
    <w:rsid w:val="6C2A4D2A"/>
    <w:rsid w:val="6C46514B"/>
    <w:rsid w:val="6C4C04D0"/>
    <w:rsid w:val="6C5737F9"/>
    <w:rsid w:val="6C5850C7"/>
    <w:rsid w:val="6C5E02FC"/>
    <w:rsid w:val="6C692E30"/>
    <w:rsid w:val="6C6A462D"/>
    <w:rsid w:val="6C6E48EB"/>
    <w:rsid w:val="6C721812"/>
    <w:rsid w:val="6C88775B"/>
    <w:rsid w:val="6C8A23DB"/>
    <w:rsid w:val="6C8B0F52"/>
    <w:rsid w:val="6CA44DC8"/>
    <w:rsid w:val="6CAD71C1"/>
    <w:rsid w:val="6CBD2321"/>
    <w:rsid w:val="6CCD1611"/>
    <w:rsid w:val="6CD26C28"/>
    <w:rsid w:val="6CDD0DD0"/>
    <w:rsid w:val="6CE35F62"/>
    <w:rsid w:val="6CEF4BA4"/>
    <w:rsid w:val="6CF90658"/>
    <w:rsid w:val="6CF941B4"/>
    <w:rsid w:val="6CFA7DB1"/>
    <w:rsid w:val="6CFD7212"/>
    <w:rsid w:val="6CFF4E40"/>
    <w:rsid w:val="6D0127E4"/>
    <w:rsid w:val="6D01750D"/>
    <w:rsid w:val="6D022321"/>
    <w:rsid w:val="6D135E16"/>
    <w:rsid w:val="6D145867"/>
    <w:rsid w:val="6D1C168A"/>
    <w:rsid w:val="6D326A84"/>
    <w:rsid w:val="6D347A31"/>
    <w:rsid w:val="6D3668DD"/>
    <w:rsid w:val="6D433682"/>
    <w:rsid w:val="6D435FEF"/>
    <w:rsid w:val="6D471CAB"/>
    <w:rsid w:val="6D4B6A5C"/>
    <w:rsid w:val="6D533663"/>
    <w:rsid w:val="6D547D6E"/>
    <w:rsid w:val="6D6655C2"/>
    <w:rsid w:val="6D6B5FE5"/>
    <w:rsid w:val="6D6F4DA4"/>
    <w:rsid w:val="6D821E63"/>
    <w:rsid w:val="6D834877"/>
    <w:rsid w:val="6D8E489E"/>
    <w:rsid w:val="6D8F1B1D"/>
    <w:rsid w:val="6DAC0977"/>
    <w:rsid w:val="6DB26C1E"/>
    <w:rsid w:val="6DB941BD"/>
    <w:rsid w:val="6DC20A4A"/>
    <w:rsid w:val="6DC31233"/>
    <w:rsid w:val="6DC60F63"/>
    <w:rsid w:val="6DCF54BF"/>
    <w:rsid w:val="6DDE33AA"/>
    <w:rsid w:val="6DE662C0"/>
    <w:rsid w:val="6DF2085E"/>
    <w:rsid w:val="6E09100A"/>
    <w:rsid w:val="6E0C7F17"/>
    <w:rsid w:val="6E1A5BCD"/>
    <w:rsid w:val="6E257DF9"/>
    <w:rsid w:val="6E3341EC"/>
    <w:rsid w:val="6E3851B0"/>
    <w:rsid w:val="6E3A6A42"/>
    <w:rsid w:val="6E3D27C7"/>
    <w:rsid w:val="6E492F1A"/>
    <w:rsid w:val="6E4C770B"/>
    <w:rsid w:val="6E4E0530"/>
    <w:rsid w:val="6E5F1098"/>
    <w:rsid w:val="6E6F2793"/>
    <w:rsid w:val="6E6F6C3B"/>
    <w:rsid w:val="6E703D8E"/>
    <w:rsid w:val="6E721C78"/>
    <w:rsid w:val="6E7E60CD"/>
    <w:rsid w:val="6E7EB17C"/>
    <w:rsid w:val="6E8166F5"/>
    <w:rsid w:val="6E84323D"/>
    <w:rsid w:val="6E8965E9"/>
    <w:rsid w:val="6E942A76"/>
    <w:rsid w:val="6E963C85"/>
    <w:rsid w:val="6E9B18A1"/>
    <w:rsid w:val="6EA05FB1"/>
    <w:rsid w:val="6EA410CA"/>
    <w:rsid w:val="6EA41FA2"/>
    <w:rsid w:val="6EB011EB"/>
    <w:rsid w:val="6EB02F99"/>
    <w:rsid w:val="6EB44AD4"/>
    <w:rsid w:val="6EB74CDF"/>
    <w:rsid w:val="6EB8799F"/>
    <w:rsid w:val="6EBB20E8"/>
    <w:rsid w:val="6EBF493D"/>
    <w:rsid w:val="6EC46A44"/>
    <w:rsid w:val="6EC47016"/>
    <w:rsid w:val="6EC542BC"/>
    <w:rsid w:val="6ECE666B"/>
    <w:rsid w:val="6ED73532"/>
    <w:rsid w:val="6EDA07CD"/>
    <w:rsid w:val="6EDC48A6"/>
    <w:rsid w:val="6EE063C5"/>
    <w:rsid w:val="6EE77A6A"/>
    <w:rsid w:val="6EEE3AC1"/>
    <w:rsid w:val="6EEE59C2"/>
    <w:rsid w:val="6EF2F120"/>
    <w:rsid w:val="6EF966EE"/>
    <w:rsid w:val="6F0926A9"/>
    <w:rsid w:val="6F103A37"/>
    <w:rsid w:val="6F1654F2"/>
    <w:rsid w:val="6F1B2B08"/>
    <w:rsid w:val="6F1E7F02"/>
    <w:rsid w:val="6F223DA7"/>
    <w:rsid w:val="6F2614AD"/>
    <w:rsid w:val="6F2C2DF6"/>
    <w:rsid w:val="6F313FE8"/>
    <w:rsid w:val="6F327E52"/>
    <w:rsid w:val="6F350301"/>
    <w:rsid w:val="6F3516F0"/>
    <w:rsid w:val="6F364DDC"/>
    <w:rsid w:val="6F381CAC"/>
    <w:rsid w:val="6F3F6982"/>
    <w:rsid w:val="6F3F7BF1"/>
    <w:rsid w:val="6F4A6F49"/>
    <w:rsid w:val="6F533C0A"/>
    <w:rsid w:val="6F535138"/>
    <w:rsid w:val="6F6128C1"/>
    <w:rsid w:val="6F6165F6"/>
    <w:rsid w:val="6F7239F2"/>
    <w:rsid w:val="6F771834"/>
    <w:rsid w:val="6F7A5C5F"/>
    <w:rsid w:val="6F9C6902"/>
    <w:rsid w:val="6FA0729C"/>
    <w:rsid w:val="6FAD72F5"/>
    <w:rsid w:val="6FB1521A"/>
    <w:rsid w:val="6FBB1BF5"/>
    <w:rsid w:val="6FC211D5"/>
    <w:rsid w:val="6FD42CB7"/>
    <w:rsid w:val="6FDE1E67"/>
    <w:rsid w:val="6FDFD8FF"/>
    <w:rsid w:val="6FEF4FB0"/>
    <w:rsid w:val="6FEF7AF1"/>
    <w:rsid w:val="6FF0358B"/>
    <w:rsid w:val="6FF144C0"/>
    <w:rsid w:val="6FF463F0"/>
    <w:rsid w:val="6FF9271D"/>
    <w:rsid w:val="70100CA2"/>
    <w:rsid w:val="7019691C"/>
    <w:rsid w:val="701B2694"/>
    <w:rsid w:val="70253512"/>
    <w:rsid w:val="702E0619"/>
    <w:rsid w:val="70336A57"/>
    <w:rsid w:val="70393572"/>
    <w:rsid w:val="704B68A8"/>
    <w:rsid w:val="705D0EFE"/>
    <w:rsid w:val="70610967"/>
    <w:rsid w:val="706606E2"/>
    <w:rsid w:val="70723947"/>
    <w:rsid w:val="7073669D"/>
    <w:rsid w:val="70822713"/>
    <w:rsid w:val="70857F0E"/>
    <w:rsid w:val="7087270D"/>
    <w:rsid w:val="70875CED"/>
    <w:rsid w:val="70877D29"/>
    <w:rsid w:val="7092396A"/>
    <w:rsid w:val="70953140"/>
    <w:rsid w:val="70A21B91"/>
    <w:rsid w:val="70A24D48"/>
    <w:rsid w:val="70AB1C6A"/>
    <w:rsid w:val="70AF36AA"/>
    <w:rsid w:val="70B0102E"/>
    <w:rsid w:val="70B11B30"/>
    <w:rsid w:val="70BA64EF"/>
    <w:rsid w:val="70BD1051"/>
    <w:rsid w:val="70C853A4"/>
    <w:rsid w:val="70C900DF"/>
    <w:rsid w:val="70CB230C"/>
    <w:rsid w:val="70D5228B"/>
    <w:rsid w:val="70DE78CA"/>
    <w:rsid w:val="70F5095B"/>
    <w:rsid w:val="70F51137"/>
    <w:rsid w:val="70F80524"/>
    <w:rsid w:val="70F87CB1"/>
    <w:rsid w:val="7104137A"/>
    <w:rsid w:val="710539DE"/>
    <w:rsid w:val="71094BE2"/>
    <w:rsid w:val="710A2419"/>
    <w:rsid w:val="710C226A"/>
    <w:rsid w:val="711C5620"/>
    <w:rsid w:val="713243C3"/>
    <w:rsid w:val="71326D32"/>
    <w:rsid w:val="71335488"/>
    <w:rsid w:val="71347D5A"/>
    <w:rsid w:val="71353DE2"/>
    <w:rsid w:val="71364EB1"/>
    <w:rsid w:val="71443B44"/>
    <w:rsid w:val="714724C5"/>
    <w:rsid w:val="71494FDF"/>
    <w:rsid w:val="714C2CD0"/>
    <w:rsid w:val="71500A63"/>
    <w:rsid w:val="71512119"/>
    <w:rsid w:val="715A596A"/>
    <w:rsid w:val="7162056E"/>
    <w:rsid w:val="71777E63"/>
    <w:rsid w:val="71791D68"/>
    <w:rsid w:val="717C247D"/>
    <w:rsid w:val="717F250B"/>
    <w:rsid w:val="717F26E4"/>
    <w:rsid w:val="71801AB8"/>
    <w:rsid w:val="71816B8E"/>
    <w:rsid w:val="71832D29"/>
    <w:rsid w:val="71844CC3"/>
    <w:rsid w:val="718572BF"/>
    <w:rsid w:val="71907818"/>
    <w:rsid w:val="719179C8"/>
    <w:rsid w:val="719A0A20"/>
    <w:rsid w:val="719F1343"/>
    <w:rsid w:val="71A84095"/>
    <w:rsid w:val="71B252F9"/>
    <w:rsid w:val="71BF5724"/>
    <w:rsid w:val="71C1726B"/>
    <w:rsid w:val="71C70D25"/>
    <w:rsid w:val="71C7372B"/>
    <w:rsid w:val="71D05564"/>
    <w:rsid w:val="71D1732D"/>
    <w:rsid w:val="71D657B6"/>
    <w:rsid w:val="71D65DD3"/>
    <w:rsid w:val="71D756CE"/>
    <w:rsid w:val="71DE7634"/>
    <w:rsid w:val="71E17CBB"/>
    <w:rsid w:val="71E60A7F"/>
    <w:rsid w:val="71E95916"/>
    <w:rsid w:val="71EE7E10"/>
    <w:rsid w:val="71F1067C"/>
    <w:rsid w:val="71F268BA"/>
    <w:rsid w:val="71F321E4"/>
    <w:rsid w:val="7203413E"/>
    <w:rsid w:val="72090A0E"/>
    <w:rsid w:val="721570B9"/>
    <w:rsid w:val="721814FB"/>
    <w:rsid w:val="721866B6"/>
    <w:rsid w:val="72287836"/>
    <w:rsid w:val="724F58A2"/>
    <w:rsid w:val="7250588C"/>
    <w:rsid w:val="725B76BF"/>
    <w:rsid w:val="72640322"/>
    <w:rsid w:val="726F5278"/>
    <w:rsid w:val="72780225"/>
    <w:rsid w:val="727A4F84"/>
    <w:rsid w:val="727D53BF"/>
    <w:rsid w:val="727E786A"/>
    <w:rsid w:val="728253CD"/>
    <w:rsid w:val="728576E5"/>
    <w:rsid w:val="72887FD4"/>
    <w:rsid w:val="729055BB"/>
    <w:rsid w:val="729C39EF"/>
    <w:rsid w:val="729D1577"/>
    <w:rsid w:val="72A13B88"/>
    <w:rsid w:val="72A42E14"/>
    <w:rsid w:val="72A834E0"/>
    <w:rsid w:val="72B700B6"/>
    <w:rsid w:val="72B76C1B"/>
    <w:rsid w:val="72B914B5"/>
    <w:rsid w:val="72BA2638"/>
    <w:rsid w:val="72BD0544"/>
    <w:rsid w:val="72C02163"/>
    <w:rsid w:val="72C0472D"/>
    <w:rsid w:val="72C2329A"/>
    <w:rsid w:val="72C74D55"/>
    <w:rsid w:val="72CA2F0C"/>
    <w:rsid w:val="72CB03A1"/>
    <w:rsid w:val="72D11617"/>
    <w:rsid w:val="72D11D5C"/>
    <w:rsid w:val="72D825E8"/>
    <w:rsid w:val="72E85DAD"/>
    <w:rsid w:val="72F00AF0"/>
    <w:rsid w:val="72F22421"/>
    <w:rsid w:val="72FA0756"/>
    <w:rsid w:val="72FE170D"/>
    <w:rsid w:val="730F176E"/>
    <w:rsid w:val="731E7FAE"/>
    <w:rsid w:val="732303D9"/>
    <w:rsid w:val="73243F55"/>
    <w:rsid w:val="732C2D91"/>
    <w:rsid w:val="732F8D3C"/>
    <w:rsid w:val="733818AE"/>
    <w:rsid w:val="733A7DC3"/>
    <w:rsid w:val="73412411"/>
    <w:rsid w:val="73532CC9"/>
    <w:rsid w:val="73734595"/>
    <w:rsid w:val="73757F79"/>
    <w:rsid w:val="737FA0ED"/>
    <w:rsid w:val="73844AB9"/>
    <w:rsid w:val="73870CC5"/>
    <w:rsid w:val="738B7A3A"/>
    <w:rsid w:val="7392642C"/>
    <w:rsid w:val="739336A0"/>
    <w:rsid w:val="739577E0"/>
    <w:rsid w:val="739F35DC"/>
    <w:rsid w:val="73A86D6B"/>
    <w:rsid w:val="73B96C57"/>
    <w:rsid w:val="73C117A4"/>
    <w:rsid w:val="73D1187B"/>
    <w:rsid w:val="73D6524F"/>
    <w:rsid w:val="73D73D11"/>
    <w:rsid w:val="73DB035D"/>
    <w:rsid w:val="73E05929"/>
    <w:rsid w:val="73E11809"/>
    <w:rsid w:val="73E3796C"/>
    <w:rsid w:val="73EB3DF3"/>
    <w:rsid w:val="73EC4FBF"/>
    <w:rsid w:val="73ED2AB0"/>
    <w:rsid w:val="73FC458A"/>
    <w:rsid w:val="73FF1727"/>
    <w:rsid w:val="74041B27"/>
    <w:rsid w:val="740A1C6C"/>
    <w:rsid w:val="741363D3"/>
    <w:rsid w:val="741B2403"/>
    <w:rsid w:val="741E6FE6"/>
    <w:rsid w:val="74267292"/>
    <w:rsid w:val="742D4652"/>
    <w:rsid w:val="744228E5"/>
    <w:rsid w:val="74455F31"/>
    <w:rsid w:val="74476C28"/>
    <w:rsid w:val="744975DD"/>
    <w:rsid w:val="744A2255"/>
    <w:rsid w:val="744F5002"/>
    <w:rsid w:val="745558E8"/>
    <w:rsid w:val="745E6FDE"/>
    <w:rsid w:val="746920A5"/>
    <w:rsid w:val="746F1200"/>
    <w:rsid w:val="74750C53"/>
    <w:rsid w:val="748B0E2E"/>
    <w:rsid w:val="749134A8"/>
    <w:rsid w:val="74A1392E"/>
    <w:rsid w:val="74A7099A"/>
    <w:rsid w:val="74C01A5C"/>
    <w:rsid w:val="74C96B62"/>
    <w:rsid w:val="74CB1EDB"/>
    <w:rsid w:val="74D06143"/>
    <w:rsid w:val="74D31608"/>
    <w:rsid w:val="74DE73F5"/>
    <w:rsid w:val="74E03EAC"/>
    <w:rsid w:val="74E67714"/>
    <w:rsid w:val="74FA5557"/>
    <w:rsid w:val="75031F09"/>
    <w:rsid w:val="75091655"/>
    <w:rsid w:val="750C4CA1"/>
    <w:rsid w:val="75107E41"/>
    <w:rsid w:val="75156511"/>
    <w:rsid w:val="75160021"/>
    <w:rsid w:val="751E77AF"/>
    <w:rsid w:val="752017A3"/>
    <w:rsid w:val="75260BE5"/>
    <w:rsid w:val="752F399F"/>
    <w:rsid w:val="75365188"/>
    <w:rsid w:val="7544268D"/>
    <w:rsid w:val="75457BC2"/>
    <w:rsid w:val="757A6D52"/>
    <w:rsid w:val="757D5931"/>
    <w:rsid w:val="757FA7B4"/>
    <w:rsid w:val="75802C86"/>
    <w:rsid w:val="758331B5"/>
    <w:rsid w:val="75974691"/>
    <w:rsid w:val="75A4312B"/>
    <w:rsid w:val="75B90985"/>
    <w:rsid w:val="75BF7F8D"/>
    <w:rsid w:val="75C8117D"/>
    <w:rsid w:val="75D03F20"/>
    <w:rsid w:val="75D07F8B"/>
    <w:rsid w:val="75E55C1E"/>
    <w:rsid w:val="75E874BC"/>
    <w:rsid w:val="75E92BD3"/>
    <w:rsid w:val="75EB4F25"/>
    <w:rsid w:val="75EE1C68"/>
    <w:rsid w:val="75EE5669"/>
    <w:rsid w:val="75FB2DC9"/>
    <w:rsid w:val="760659A6"/>
    <w:rsid w:val="7608190C"/>
    <w:rsid w:val="76132F33"/>
    <w:rsid w:val="7614205F"/>
    <w:rsid w:val="76165DD7"/>
    <w:rsid w:val="7618146B"/>
    <w:rsid w:val="7618556C"/>
    <w:rsid w:val="761A1497"/>
    <w:rsid w:val="761E12A6"/>
    <w:rsid w:val="76283D5C"/>
    <w:rsid w:val="762A3631"/>
    <w:rsid w:val="762F4303"/>
    <w:rsid w:val="7635043C"/>
    <w:rsid w:val="7636D2E0"/>
    <w:rsid w:val="763E05C5"/>
    <w:rsid w:val="763E2BEB"/>
    <w:rsid w:val="76494503"/>
    <w:rsid w:val="764B4F6C"/>
    <w:rsid w:val="764C62EE"/>
    <w:rsid w:val="765C7A3C"/>
    <w:rsid w:val="76646D93"/>
    <w:rsid w:val="76704A3C"/>
    <w:rsid w:val="767E397C"/>
    <w:rsid w:val="768014A2"/>
    <w:rsid w:val="768C760A"/>
    <w:rsid w:val="768F2044"/>
    <w:rsid w:val="76957051"/>
    <w:rsid w:val="76982FF6"/>
    <w:rsid w:val="769E31B9"/>
    <w:rsid w:val="76A76A7D"/>
    <w:rsid w:val="76AB04C0"/>
    <w:rsid w:val="76AC2297"/>
    <w:rsid w:val="76AF3B36"/>
    <w:rsid w:val="76BB697E"/>
    <w:rsid w:val="76BD4232"/>
    <w:rsid w:val="76C10199"/>
    <w:rsid w:val="76C57BCB"/>
    <w:rsid w:val="76CB7891"/>
    <w:rsid w:val="76CF03AD"/>
    <w:rsid w:val="76DF3364"/>
    <w:rsid w:val="76EE28B0"/>
    <w:rsid w:val="76EF2FBC"/>
    <w:rsid w:val="76F41144"/>
    <w:rsid w:val="76F60290"/>
    <w:rsid w:val="76F77B54"/>
    <w:rsid w:val="76F927CD"/>
    <w:rsid w:val="76FBB177"/>
    <w:rsid w:val="76FC68F1"/>
    <w:rsid w:val="76FF802D"/>
    <w:rsid w:val="76FF88DB"/>
    <w:rsid w:val="76FFAABB"/>
    <w:rsid w:val="77040325"/>
    <w:rsid w:val="770666BF"/>
    <w:rsid w:val="77174C05"/>
    <w:rsid w:val="77276CA8"/>
    <w:rsid w:val="772DCF3F"/>
    <w:rsid w:val="77301974"/>
    <w:rsid w:val="77381D7D"/>
    <w:rsid w:val="77387FCF"/>
    <w:rsid w:val="773B2934"/>
    <w:rsid w:val="773C186D"/>
    <w:rsid w:val="773D7394"/>
    <w:rsid w:val="773E064E"/>
    <w:rsid w:val="7741565A"/>
    <w:rsid w:val="77432529"/>
    <w:rsid w:val="77436D88"/>
    <w:rsid w:val="77453F58"/>
    <w:rsid w:val="774D5B8F"/>
    <w:rsid w:val="774E1211"/>
    <w:rsid w:val="774E1436"/>
    <w:rsid w:val="774E15A1"/>
    <w:rsid w:val="77560ABE"/>
    <w:rsid w:val="77591598"/>
    <w:rsid w:val="776128B4"/>
    <w:rsid w:val="776143DD"/>
    <w:rsid w:val="77644920"/>
    <w:rsid w:val="7765592F"/>
    <w:rsid w:val="776F3A5B"/>
    <w:rsid w:val="77736C92"/>
    <w:rsid w:val="7777C7C8"/>
    <w:rsid w:val="7779587C"/>
    <w:rsid w:val="77797094"/>
    <w:rsid w:val="777B71D8"/>
    <w:rsid w:val="777D59E2"/>
    <w:rsid w:val="778B160C"/>
    <w:rsid w:val="778C10EB"/>
    <w:rsid w:val="778E5874"/>
    <w:rsid w:val="77925931"/>
    <w:rsid w:val="77A54D53"/>
    <w:rsid w:val="77AFA966"/>
    <w:rsid w:val="77C615CF"/>
    <w:rsid w:val="77CA4129"/>
    <w:rsid w:val="77CE32AE"/>
    <w:rsid w:val="77D73344"/>
    <w:rsid w:val="77D75F2B"/>
    <w:rsid w:val="77E0185E"/>
    <w:rsid w:val="77EEF2C9"/>
    <w:rsid w:val="77F4039A"/>
    <w:rsid w:val="77FC6767"/>
    <w:rsid w:val="77FEE175"/>
    <w:rsid w:val="77FF8EDB"/>
    <w:rsid w:val="77FFCB35"/>
    <w:rsid w:val="78022363"/>
    <w:rsid w:val="78144598"/>
    <w:rsid w:val="781A0BEC"/>
    <w:rsid w:val="78202415"/>
    <w:rsid w:val="78213FC9"/>
    <w:rsid w:val="7839549F"/>
    <w:rsid w:val="784376FF"/>
    <w:rsid w:val="78440F60"/>
    <w:rsid w:val="784B1050"/>
    <w:rsid w:val="785A4BCB"/>
    <w:rsid w:val="786048A0"/>
    <w:rsid w:val="78680440"/>
    <w:rsid w:val="786E7C65"/>
    <w:rsid w:val="78701D9C"/>
    <w:rsid w:val="78727511"/>
    <w:rsid w:val="788259A6"/>
    <w:rsid w:val="78931961"/>
    <w:rsid w:val="78A53442"/>
    <w:rsid w:val="78A82F32"/>
    <w:rsid w:val="78AB54EE"/>
    <w:rsid w:val="78AD5F33"/>
    <w:rsid w:val="78B817F5"/>
    <w:rsid w:val="78C7160B"/>
    <w:rsid w:val="78CD19BA"/>
    <w:rsid w:val="78D23339"/>
    <w:rsid w:val="78D46D79"/>
    <w:rsid w:val="78EA74C2"/>
    <w:rsid w:val="78ED7B09"/>
    <w:rsid w:val="78FA0671"/>
    <w:rsid w:val="78FBDADB"/>
    <w:rsid w:val="79026F72"/>
    <w:rsid w:val="790C4EA7"/>
    <w:rsid w:val="790E548B"/>
    <w:rsid w:val="7917065B"/>
    <w:rsid w:val="791E5E3B"/>
    <w:rsid w:val="792541F5"/>
    <w:rsid w:val="793A634F"/>
    <w:rsid w:val="793B8405"/>
    <w:rsid w:val="793C2051"/>
    <w:rsid w:val="79532E9E"/>
    <w:rsid w:val="795A0647"/>
    <w:rsid w:val="795E25FE"/>
    <w:rsid w:val="79667A4E"/>
    <w:rsid w:val="79690914"/>
    <w:rsid w:val="798635EB"/>
    <w:rsid w:val="798B71DF"/>
    <w:rsid w:val="798F6CC9"/>
    <w:rsid w:val="799301AC"/>
    <w:rsid w:val="79983F03"/>
    <w:rsid w:val="79986019"/>
    <w:rsid w:val="79A5750A"/>
    <w:rsid w:val="79A731EA"/>
    <w:rsid w:val="79B25E17"/>
    <w:rsid w:val="79BE0295"/>
    <w:rsid w:val="79CB6ED9"/>
    <w:rsid w:val="79D1209D"/>
    <w:rsid w:val="79DBEED9"/>
    <w:rsid w:val="79F14CAE"/>
    <w:rsid w:val="79F330ED"/>
    <w:rsid w:val="79F6BE3E"/>
    <w:rsid w:val="79F85291"/>
    <w:rsid w:val="79FBD08E"/>
    <w:rsid w:val="79FCC046"/>
    <w:rsid w:val="79FD0644"/>
    <w:rsid w:val="79FF5AA6"/>
    <w:rsid w:val="79FFE0A4"/>
    <w:rsid w:val="7A066163"/>
    <w:rsid w:val="7A071041"/>
    <w:rsid w:val="7A0917AF"/>
    <w:rsid w:val="7A0A149C"/>
    <w:rsid w:val="7A0C1011"/>
    <w:rsid w:val="7A0E7A81"/>
    <w:rsid w:val="7A124B07"/>
    <w:rsid w:val="7A1A1C0E"/>
    <w:rsid w:val="7A321CDB"/>
    <w:rsid w:val="7A383CAC"/>
    <w:rsid w:val="7A4A5A27"/>
    <w:rsid w:val="7A4E2A78"/>
    <w:rsid w:val="7A5544DF"/>
    <w:rsid w:val="7A567B6E"/>
    <w:rsid w:val="7A5720C5"/>
    <w:rsid w:val="7A5A3E26"/>
    <w:rsid w:val="7A5E1330"/>
    <w:rsid w:val="7A654BE4"/>
    <w:rsid w:val="7A65732D"/>
    <w:rsid w:val="7A680BCB"/>
    <w:rsid w:val="7A6E32C8"/>
    <w:rsid w:val="7A786B8E"/>
    <w:rsid w:val="7A7CEC62"/>
    <w:rsid w:val="7A81642D"/>
    <w:rsid w:val="7A8F4E0B"/>
    <w:rsid w:val="7A9E283F"/>
    <w:rsid w:val="7AAD2A82"/>
    <w:rsid w:val="7AC15AA0"/>
    <w:rsid w:val="7AC900CF"/>
    <w:rsid w:val="7AD0585A"/>
    <w:rsid w:val="7ADD6CC2"/>
    <w:rsid w:val="7ADE1118"/>
    <w:rsid w:val="7ADF2556"/>
    <w:rsid w:val="7AE2272C"/>
    <w:rsid w:val="7AEB7120"/>
    <w:rsid w:val="7AEC35AA"/>
    <w:rsid w:val="7AEE3C57"/>
    <w:rsid w:val="7AEEBFC0"/>
    <w:rsid w:val="7AEEED2C"/>
    <w:rsid w:val="7AF139CB"/>
    <w:rsid w:val="7AF45F84"/>
    <w:rsid w:val="7B052FBD"/>
    <w:rsid w:val="7B09415C"/>
    <w:rsid w:val="7B0E38BA"/>
    <w:rsid w:val="7B191EC6"/>
    <w:rsid w:val="7B1A27DF"/>
    <w:rsid w:val="7B1B79EC"/>
    <w:rsid w:val="7B2BD677"/>
    <w:rsid w:val="7B2F339C"/>
    <w:rsid w:val="7B39049D"/>
    <w:rsid w:val="7B3960C4"/>
    <w:rsid w:val="7B472447"/>
    <w:rsid w:val="7B483429"/>
    <w:rsid w:val="7B551150"/>
    <w:rsid w:val="7B570F72"/>
    <w:rsid w:val="7B587A97"/>
    <w:rsid w:val="7B5A5A6C"/>
    <w:rsid w:val="7B5C250E"/>
    <w:rsid w:val="7B5D7194"/>
    <w:rsid w:val="7B66335D"/>
    <w:rsid w:val="7B6A44CF"/>
    <w:rsid w:val="7B6C452B"/>
    <w:rsid w:val="7B6D0F87"/>
    <w:rsid w:val="7B72691F"/>
    <w:rsid w:val="7B7324BC"/>
    <w:rsid w:val="7B783FD8"/>
    <w:rsid w:val="7B7B048A"/>
    <w:rsid w:val="7B7C5344"/>
    <w:rsid w:val="7B7E4076"/>
    <w:rsid w:val="7B80796F"/>
    <w:rsid w:val="7B810197"/>
    <w:rsid w:val="7B871525"/>
    <w:rsid w:val="7B8C2A07"/>
    <w:rsid w:val="7B906CA5"/>
    <w:rsid w:val="7B950207"/>
    <w:rsid w:val="7B9A3DB8"/>
    <w:rsid w:val="7B9D6653"/>
    <w:rsid w:val="7B9F2BB7"/>
    <w:rsid w:val="7BA113AB"/>
    <w:rsid w:val="7BA7127F"/>
    <w:rsid w:val="7BCE6714"/>
    <w:rsid w:val="7BD34DAC"/>
    <w:rsid w:val="7BD52290"/>
    <w:rsid w:val="7BD568A0"/>
    <w:rsid w:val="7BDE2653"/>
    <w:rsid w:val="7BEC1388"/>
    <w:rsid w:val="7BEC3136"/>
    <w:rsid w:val="7BEF4EB5"/>
    <w:rsid w:val="7BF20E1E"/>
    <w:rsid w:val="7BF8E44F"/>
    <w:rsid w:val="7BFD5343"/>
    <w:rsid w:val="7BFDFB3C"/>
    <w:rsid w:val="7BFF69ED"/>
    <w:rsid w:val="7BFFBE7A"/>
    <w:rsid w:val="7BFFF4A8"/>
    <w:rsid w:val="7C0B5CB2"/>
    <w:rsid w:val="7C1508DF"/>
    <w:rsid w:val="7C1C1C6D"/>
    <w:rsid w:val="7C286864"/>
    <w:rsid w:val="7C29117A"/>
    <w:rsid w:val="7C353B17"/>
    <w:rsid w:val="7C442F72"/>
    <w:rsid w:val="7C503DBB"/>
    <w:rsid w:val="7C507B69"/>
    <w:rsid w:val="7C5728ED"/>
    <w:rsid w:val="7C5C52E0"/>
    <w:rsid w:val="7C642306"/>
    <w:rsid w:val="7C672EE5"/>
    <w:rsid w:val="7C7A1B52"/>
    <w:rsid w:val="7C835849"/>
    <w:rsid w:val="7C886F35"/>
    <w:rsid w:val="7C90787A"/>
    <w:rsid w:val="7C920303"/>
    <w:rsid w:val="7C9408F4"/>
    <w:rsid w:val="7CAD7E5E"/>
    <w:rsid w:val="7CB83597"/>
    <w:rsid w:val="7CB83A65"/>
    <w:rsid w:val="7CB90CC2"/>
    <w:rsid w:val="7CCB67AB"/>
    <w:rsid w:val="7CCC3693"/>
    <w:rsid w:val="7CCC5441"/>
    <w:rsid w:val="7CD4CAA2"/>
    <w:rsid w:val="7CE24C65"/>
    <w:rsid w:val="7CE427BB"/>
    <w:rsid w:val="7CE4330E"/>
    <w:rsid w:val="7CE458D1"/>
    <w:rsid w:val="7CE7A0B1"/>
    <w:rsid w:val="7CEA1D6C"/>
    <w:rsid w:val="7CF2566E"/>
    <w:rsid w:val="7CF52BFF"/>
    <w:rsid w:val="7CFB2CE9"/>
    <w:rsid w:val="7CFBCCF6"/>
    <w:rsid w:val="7D020E63"/>
    <w:rsid w:val="7D0734C3"/>
    <w:rsid w:val="7D0C34C4"/>
    <w:rsid w:val="7D133070"/>
    <w:rsid w:val="7D1D39AE"/>
    <w:rsid w:val="7D212CA5"/>
    <w:rsid w:val="7D2501CB"/>
    <w:rsid w:val="7D255EE2"/>
    <w:rsid w:val="7D2760D5"/>
    <w:rsid w:val="7D2863F0"/>
    <w:rsid w:val="7D293184"/>
    <w:rsid w:val="7D3A1185"/>
    <w:rsid w:val="7D3B6786"/>
    <w:rsid w:val="7D40373A"/>
    <w:rsid w:val="7D413F25"/>
    <w:rsid w:val="7D4A23DF"/>
    <w:rsid w:val="7D4B3EE6"/>
    <w:rsid w:val="7D4D1AE0"/>
    <w:rsid w:val="7D584F27"/>
    <w:rsid w:val="7D6112EF"/>
    <w:rsid w:val="7D6531A0"/>
    <w:rsid w:val="7D6760EF"/>
    <w:rsid w:val="7D68620F"/>
    <w:rsid w:val="7D69777E"/>
    <w:rsid w:val="7D7601E8"/>
    <w:rsid w:val="7D7A39D5"/>
    <w:rsid w:val="7D7C4F3B"/>
    <w:rsid w:val="7D7C6E9A"/>
    <w:rsid w:val="7D836818"/>
    <w:rsid w:val="7D845D1C"/>
    <w:rsid w:val="7D85293D"/>
    <w:rsid w:val="7D8570D6"/>
    <w:rsid w:val="7D910439"/>
    <w:rsid w:val="7D927DC0"/>
    <w:rsid w:val="7D9D0B8C"/>
    <w:rsid w:val="7DA47C4D"/>
    <w:rsid w:val="7DB06B11"/>
    <w:rsid w:val="7DB1DE95"/>
    <w:rsid w:val="7DB34706"/>
    <w:rsid w:val="7DBED353"/>
    <w:rsid w:val="7DDA465C"/>
    <w:rsid w:val="7DE59FBD"/>
    <w:rsid w:val="7DEC566F"/>
    <w:rsid w:val="7DEF2C7F"/>
    <w:rsid w:val="7DF37C33"/>
    <w:rsid w:val="7DFDA2DD"/>
    <w:rsid w:val="7E0C099E"/>
    <w:rsid w:val="7E160C88"/>
    <w:rsid w:val="7E1A0A9F"/>
    <w:rsid w:val="7E1C633B"/>
    <w:rsid w:val="7E1E1440"/>
    <w:rsid w:val="7E1FC5E9"/>
    <w:rsid w:val="7E3239CA"/>
    <w:rsid w:val="7E372D8F"/>
    <w:rsid w:val="7E3C401A"/>
    <w:rsid w:val="7E3D0C7E"/>
    <w:rsid w:val="7E3F7E95"/>
    <w:rsid w:val="7E407D78"/>
    <w:rsid w:val="7E5356EF"/>
    <w:rsid w:val="7E582D05"/>
    <w:rsid w:val="7E5FBFA7"/>
    <w:rsid w:val="7E641213"/>
    <w:rsid w:val="7E6769E3"/>
    <w:rsid w:val="7E7B1510"/>
    <w:rsid w:val="7E7FA550"/>
    <w:rsid w:val="7E815F22"/>
    <w:rsid w:val="7E8F0128"/>
    <w:rsid w:val="7E91296D"/>
    <w:rsid w:val="7E924469"/>
    <w:rsid w:val="7E9568C8"/>
    <w:rsid w:val="7EA171E2"/>
    <w:rsid w:val="7EA67E97"/>
    <w:rsid w:val="7EA91411"/>
    <w:rsid w:val="7EB77CE6"/>
    <w:rsid w:val="7EBE04CB"/>
    <w:rsid w:val="7EC0418C"/>
    <w:rsid w:val="7EC363D0"/>
    <w:rsid w:val="7EC87E8B"/>
    <w:rsid w:val="7ED72015"/>
    <w:rsid w:val="7ED92098"/>
    <w:rsid w:val="7EDF0BE9"/>
    <w:rsid w:val="7EE33139"/>
    <w:rsid w:val="7EE5050C"/>
    <w:rsid w:val="7EEC7D52"/>
    <w:rsid w:val="7EF05DF7"/>
    <w:rsid w:val="7EF24F07"/>
    <w:rsid w:val="7EF34773"/>
    <w:rsid w:val="7EF75AFF"/>
    <w:rsid w:val="7EF83F07"/>
    <w:rsid w:val="7EFB0677"/>
    <w:rsid w:val="7EFC7B34"/>
    <w:rsid w:val="7F075EBB"/>
    <w:rsid w:val="7F0D08DC"/>
    <w:rsid w:val="7F141322"/>
    <w:rsid w:val="7F173D26"/>
    <w:rsid w:val="7F1A5370"/>
    <w:rsid w:val="7F1B7FBA"/>
    <w:rsid w:val="7F1E3F4E"/>
    <w:rsid w:val="7F1F19CC"/>
    <w:rsid w:val="7F2161A8"/>
    <w:rsid w:val="7F27B164"/>
    <w:rsid w:val="7F2B3E31"/>
    <w:rsid w:val="7F2D52F4"/>
    <w:rsid w:val="7F34107C"/>
    <w:rsid w:val="7F362DF9"/>
    <w:rsid w:val="7F411082"/>
    <w:rsid w:val="7F42147D"/>
    <w:rsid w:val="7F44105E"/>
    <w:rsid w:val="7F484B27"/>
    <w:rsid w:val="7F5160D2"/>
    <w:rsid w:val="7F527EF2"/>
    <w:rsid w:val="7F584952"/>
    <w:rsid w:val="7F5931D8"/>
    <w:rsid w:val="7F5DC674"/>
    <w:rsid w:val="7F617DDF"/>
    <w:rsid w:val="7F666017"/>
    <w:rsid w:val="7F714EE5"/>
    <w:rsid w:val="7F7973D7"/>
    <w:rsid w:val="7F7E0744"/>
    <w:rsid w:val="7F7F2734"/>
    <w:rsid w:val="7F833DB1"/>
    <w:rsid w:val="7F8EDBCF"/>
    <w:rsid w:val="7F944AA6"/>
    <w:rsid w:val="7F97371E"/>
    <w:rsid w:val="7F9E6608"/>
    <w:rsid w:val="7FA15C0E"/>
    <w:rsid w:val="7FA63F96"/>
    <w:rsid w:val="7FA676E6"/>
    <w:rsid w:val="7FAE9EF6"/>
    <w:rsid w:val="7FAF592B"/>
    <w:rsid w:val="7FB328E9"/>
    <w:rsid w:val="7FB368D2"/>
    <w:rsid w:val="7FB9287C"/>
    <w:rsid w:val="7FBF3529"/>
    <w:rsid w:val="7FBFC35E"/>
    <w:rsid w:val="7FC9210C"/>
    <w:rsid w:val="7FCC003E"/>
    <w:rsid w:val="7FCC47FD"/>
    <w:rsid w:val="7FCF19E0"/>
    <w:rsid w:val="7FD31973"/>
    <w:rsid w:val="7FD962E8"/>
    <w:rsid w:val="7FDC1E3F"/>
    <w:rsid w:val="7FDD34C2"/>
    <w:rsid w:val="7FDE2216"/>
    <w:rsid w:val="7FE157CC"/>
    <w:rsid w:val="7FE15B01"/>
    <w:rsid w:val="7FE231CE"/>
    <w:rsid w:val="7FE608E7"/>
    <w:rsid w:val="7FE65B6D"/>
    <w:rsid w:val="7FE9455C"/>
    <w:rsid w:val="7FEC3F1F"/>
    <w:rsid w:val="7FEFEFFF"/>
    <w:rsid w:val="7FF30F37"/>
    <w:rsid w:val="7FF7AB6C"/>
    <w:rsid w:val="7FFA3A11"/>
    <w:rsid w:val="7FFB1B6E"/>
    <w:rsid w:val="7FFD3B64"/>
    <w:rsid w:val="7FFE249A"/>
    <w:rsid w:val="7FFE7630"/>
    <w:rsid w:val="7FFF300F"/>
    <w:rsid w:val="7FFFA0FF"/>
    <w:rsid w:val="7FFFE4F3"/>
    <w:rsid w:val="97D712E5"/>
    <w:rsid w:val="97DF737F"/>
    <w:rsid w:val="9B96F82A"/>
    <w:rsid w:val="9BD72B77"/>
    <w:rsid w:val="9C1B60B3"/>
    <w:rsid w:val="9DC7ACC5"/>
    <w:rsid w:val="9DFFEECC"/>
    <w:rsid w:val="9FB76CD3"/>
    <w:rsid w:val="9FEBBE71"/>
    <w:rsid w:val="9FF95891"/>
    <w:rsid w:val="9FFA1E23"/>
    <w:rsid w:val="A3B3C6E4"/>
    <w:rsid w:val="AC3DD8CF"/>
    <w:rsid w:val="AD8F0B05"/>
    <w:rsid w:val="AED98051"/>
    <w:rsid w:val="AF3EB684"/>
    <w:rsid w:val="B26B1C15"/>
    <w:rsid w:val="B36F5B4F"/>
    <w:rsid w:val="B47D6E3A"/>
    <w:rsid w:val="B5DF2FA7"/>
    <w:rsid w:val="B5FB735C"/>
    <w:rsid w:val="B6D6260B"/>
    <w:rsid w:val="B6FBFC99"/>
    <w:rsid w:val="B9F6F55D"/>
    <w:rsid w:val="B9F944A5"/>
    <w:rsid w:val="B9FFFF18"/>
    <w:rsid w:val="BA7F44B3"/>
    <w:rsid w:val="BB5D3081"/>
    <w:rsid w:val="BB7EAAFC"/>
    <w:rsid w:val="BB9ECF36"/>
    <w:rsid w:val="BBB7FCA1"/>
    <w:rsid w:val="BBBB09ED"/>
    <w:rsid w:val="BCD6E468"/>
    <w:rsid w:val="BDF6FA2D"/>
    <w:rsid w:val="BDFFD50E"/>
    <w:rsid w:val="BE3F4117"/>
    <w:rsid w:val="BF66489A"/>
    <w:rsid w:val="BF729CD6"/>
    <w:rsid w:val="BFAFA768"/>
    <w:rsid w:val="BFB73CB5"/>
    <w:rsid w:val="BFCA0146"/>
    <w:rsid w:val="BFE5AA07"/>
    <w:rsid w:val="BFE9354E"/>
    <w:rsid w:val="BFEF7202"/>
    <w:rsid w:val="BFF23BB0"/>
    <w:rsid w:val="BFF7F79E"/>
    <w:rsid w:val="BFFDFFA5"/>
    <w:rsid w:val="BFFF17FC"/>
    <w:rsid w:val="C1EF5288"/>
    <w:rsid w:val="C4FDD6EE"/>
    <w:rsid w:val="C5DB1ABC"/>
    <w:rsid w:val="CA57A0C0"/>
    <w:rsid w:val="CB1E1260"/>
    <w:rsid w:val="CB7EC77F"/>
    <w:rsid w:val="CD9ED96A"/>
    <w:rsid w:val="CDDE29AB"/>
    <w:rsid w:val="CDF66E75"/>
    <w:rsid w:val="CE75A70B"/>
    <w:rsid w:val="D4FBDA35"/>
    <w:rsid w:val="D57EDBA3"/>
    <w:rsid w:val="DA36D2E0"/>
    <w:rsid w:val="DB6A6FC0"/>
    <w:rsid w:val="DBBE93F9"/>
    <w:rsid w:val="DBFD743E"/>
    <w:rsid w:val="DBFF9188"/>
    <w:rsid w:val="DDB5CD9B"/>
    <w:rsid w:val="DDD3B388"/>
    <w:rsid w:val="DDDB8AE3"/>
    <w:rsid w:val="DDEE7589"/>
    <w:rsid w:val="DE56E60E"/>
    <w:rsid w:val="DEF9D536"/>
    <w:rsid w:val="DF0EDA6F"/>
    <w:rsid w:val="DF7F37A6"/>
    <w:rsid w:val="DFBB2E67"/>
    <w:rsid w:val="DFC26BFE"/>
    <w:rsid w:val="DFE79705"/>
    <w:rsid w:val="DFEFBB44"/>
    <w:rsid w:val="DFF54172"/>
    <w:rsid w:val="DFF68E1C"/>
    <w:rsid w:val="E17F5E8B"/>
    <w:rsid w:val="E5D35D51"/>
    <w:rsid w:val="E5FF8168"/>
    <w:rsid w:val="E6FF17C8"/>
    <w:rsid w:val="E79D517D"/>
    <w:rsid w:val="E7CFFA1A"/>
    <w:rsid w:val="E7DFCE6A"/>
    <w:rsid w:val="E7EFE179"/>
    <w:rsid w:val="E97D1D7B"/>
    <w:rsid w:val="E97FD536"/>
    <w:rsid w:val="EB3E2410"/>
    <w:rsid w:val="EB4FFA72"/>
    <w:rsid w:val="EB73825A"/>
    <w:rsid w:val="EB779625"/>
    <w:rsid w:val="EB77E458"/>
    <w:rsid w:val="EBEE61B0"/>
    <w:rsid w:val="EBFF37F0"/>
    <w:rsid w:val="ECF4A850"/>
    <w:rsid w:val="EDA7DD58"/>
    <w:rsid w:val="EDD52862"/>
    <w:rsid w:val="EDEE63D3"/>
    <w:rsid w:val="EECD7EA9"/>
    <w:rsid w:val="EF9A47E8"/>
    <w:rsid w:val="EFA8D6EA"/>
    <w:rsid w:val="EFB6A06F"/>
    <w:rsid w:val="EFC78E81"/>
    <w:rsid w:val="EFDBFDB6"/>
    <w:rsid w:val="EFDDE3D1"/>
    <w:rsid w:val="EFF7634E"/>
    <w:rsid w:val="EFF7A7D6"/>
    <w:rsid w:val="EFF80A4A"/>
    <w:rsid w:val="EFFD0A01"/>
    <w:rsid w:val="EFFDE408"/>
    <w:rsid w:val="EFFF6522"/>
    <w:rsid w:val="F0FF4E69"/>
    <w:rsid w:val="F2BEBE3A"/>
    <w:rsid w:val="F2F5715D"/>
    <w:rsid w:val="F3BBA4B6"/>
    <w:rsid w:val="F3EBFEE2"/>
    <w:rsid w:val="F3EE40B3"/>
    <w:rsid w:val="F3F560E6"/>
    <w:rsid w:val="F5DFC364"/>
    <w:rsid w:val="F5E74B70"/>
    <w:rsid w:val="F5F73BDA"/>
    <w:rsid w:val="F5FFFCE7"/>
    <w:rsid w:val="F63FC631"/>
    <w:rsid w:val="F65F02CF"/>
    <w:rsid w:val="F67F6212"/>
    <w:rsid w:val="F6ED34C3"/>
    <w:rsid w:val="F6EE22C9"/>
    <w:rsid w:val="F6EF8CAE"/>
    <w:rsid w:val="F7EE7B87"/>
    <w:rsid w:val="F7EF6738"/>
    <w:rsid w:val="F7FF7209"/>
    <w:rsid w:val="F95F9ED4"/>
    <w:rsid w:val="F9EB9C71"/>
    <w:rsid w:val="FA578648"/>
    <w:rsid w:val="FAD3B2D5"/>
    <w:rsid w:val="FAFEFB64"/>
    <w:rsid w:val="FB0929A7"/>
    <w:rsid w:val="FB3EDF3B"/>
    <w:rsid w:val="FB57C932"/>
    <w:rsid w:val="FB77670D"/>
    <w:rsid w:val="FBFFF110"/>
    <w:rsid w:val="FC5F7E68"/>
    <w:rsid w:val="FCBD0687"/>
    <w:rsid w:val="FCFF63B7"/>
    <w:rsid w:val="FCFFAE3D"/>
    <w:rsid w:val="FD75A122"/>
    <w:rsid w:val="FD7FB05D"/>
    <w:rsid w:val="FD9FF77A"/>
    <w:rsid w:val="FDBCC814"/>
    <w:rsid w:val="FDD1909F"/>
    <w:rsid w:val="FDEBBADB"/>
    <w:rsid w:val="FDF71818"/>
    <w:rsid w:val="FDFC12BF"/>
    <w:rsid w:val="FE43D0A7"/>
    <w:rsid w:val="FE7FA8E7"/>
    <w:rsid w:val="FE99D42B"/>
    <w:rsid w:val="FEDEDE08"/>
    <w:rsid w:val="FEFB11CC"/>
    <w:rsid w:val="FF385BD1"/>
    <w:rsid w:val="FF3FE0AE"/>
    <w:rsid w:val="FF5B4979"/>
    <w:rsid w:val="FF5F4091"/>
    <w:rsid w:val="FF7D82BB"/>
    <w:rsid w:val="FF7DE649"/>
    <w:rsid w:val="FF7EC21C"/>
    <w:rsid w:val="FF7EF00D"/>
    <w:rsid w:val="FF7FC83C"/>
    <w:rsid w:val="FF8B9B48"/>
    <w:rsid w:val="FF9BD202"/>
    <w:rsid w:val="FFB73B53"/>
    <w:rsid w:val="FFB7DB7F"/>
    <w:rsid w:val="FFB96590"/>
    <w:rsid w:val="FFCD1C12"/>
    <w:rsid w:val="FFCDA1B9"/>
    <w:rsid w:val="FFDFB5E3"/>
    <w:rsid w:val="FFDFB6BF"/>
    <w:rsid w:val="FFE7EEA1"/>
    <w:rsid w:val="FFEB2AAC"/>
    <w:rsid w:val="FFF6F457"/>
    <w:rsid w:val="FFF96DE8"/>
    <w:rsid w:val="FFFD7D15"/>
    <w:rsid w:val="FFFE79D1"/>
    <w:rsid w:val="FFFF8750"/>
    <w:rsid w:val="FFFFBDE3"/>
    <w:rsid w:val="FFFFD970"/>
    <w:rsid w:val="FFFFF67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5"/>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80"/>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9"/>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4"/>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5"/>
    <w:basedOn w:val="1"/>
    <w:next w:val="1"/>
    <w:semiHidden/>
    <w:unhideWhenUsed/>
    <w:qFormat/>
    <w:uiPriority w:val="0"/>
    <w:pPr>
      <w:spacing w:beforeAutospacing="1" w:afterAutospacing="1"/>
      <w:jc w:val="left"/>
      <w:outlineLvl w:val="4"/>
    </w:pPr>
    <w:rPr>
      <w:rFonts w:hint="eastAsia" w:ascii="宋体" w:hAnsi="宋体"/>
      <w:b/>
      <w:bCs/>
      <w:kern w:val="0"/>
      <w:sz w:val="20"/>
      <w:szCs w:val="20"/>
    </w:rPr>
  </w:style>
  <w:style w:type="paragraph" w:styleId="8">
    <w:name w:val="heading 6"/>
    <w:basedOn w:val="1"/>
    <w:next w:val="1"/>
    <w:link w:val="61"/>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10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83"/>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75"/>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7"/>
    <w:qFormat/>
    <w:uiPriority w:val="0"/>
    <w:pPr>
      <w:spacing w:after="120"/>
    </w:pPr>
    <w:rPr>
      <w:kern w:val="0"/>
      <w:sz w:val="20"/>
    </w:rPr>
  </w:style>
  <w:style w:type="paragraph" w:styleId="12">
    <w:name w:val="toc 7"/>
    <w:basedOn w:val="1"/>
    <w:next w:val="1"/>
    <w:qFormat/>
    <w:uiPriority w:val="39"/>
    <w:pPr>
      <w:ind w:left="1260"/>
      <w:jc w:val="left"/>
    </w:pPr>
    <w:rPr>
      <w:rFonts w:ascii="Calibri" w:hAnsi="Calibri"/>
      <w:sz w:val="18"/>
      <w:szCs w:val="18"/>
    </w:rPr>
  </w:style>
  <w:style w:type="paragraph" w:styleId="13">
    <w:name w:val="table of authorities"/>
    <w:basedOn w:val="1"/>
    <w:next w:val="1"/>
    <w:qFormat/>
    <w:uiPriority w:val="99"/>
    <w:pPr>
      <w:ind w:left="420" w:leftChars="200"/>
    </w:pPr>
  </w:style>
  <w:style w:type="paragraph" w:styleId="14">
    <w:name w:val="Normal Indent"/>
    <w:basedOn w:val="1"/>
    <w:link w:val="71"/>
    <w:qFormat/>
    <w:uiPriority w:val="0"/>
    <w:pPr>
      <w:ind w:firstLine="420" w:firstLineChars="200"/>
    </w:pPr>
  </w:style>
  <w:style w:type="paragraph" w:styleId="15">
    <w:name w:val="Document Map"/>
    <w:basedOn w:val="1"/>
    <w:link w:val="78"/>
    <w:qFormat/>
    <w:uiPriority w:val="0"/>
    <w:pPr>
      <w:shd w:val="clear" w:color="auto" w:fill="000080"/>
    </w:pPr>
    <w:rPr>
      <w:kern w:val="0"/>
      <w:sz w:val="20"/>
    </w:rPr>
  </w:style>
  <w:style w:type="paragraph" w:styleId="16">
    <w:name w:val="annotation text"/>
    <w:basedOn w:val="1"/>
    <w:link w:val="60"/>
    <w:unhideWhenUsed/>
    <w:qFormat/>
    <w:uiPriority w:val="99"/>
    <w:pPr>
      <w:jc w:val="left"/>
    </w:pPr>
    <w:rPr>
      <w:kern w:val="0"/>
      <w:sz w:val="20"/>
    </w:rPr>
  </w:style>
  <w:style w:type="paragraph" w:styleId="17">
    <w:name w:val="Body Text 3"/>
    <w:basedOn w:val="1"/>
    <w:link w:val="64"/>
    <w:qFormat/>
    <w:uiPriority w:val="0"/>
    <w:rPr>
      <w:rFonts w:ascii="宋体"/>
      <w:kern w:val="0"/>
      <w:sz w:val="24"/>
      <w:szCs w:val="20"/>
    </w:rPr>
  </w:style>
  <w:style w:type="paragraph" w:styleId="18">
    <w:name w:val="Body Text Indent"/>
    <w:basedOn w:val="1"/>
    <w:next w:val="1"/>
    <w:link w:val="77"/>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100"/>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4"/>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Balloon Text"/>
    <w:basedOn w:val="1"/>
    <w:link w:val="82"/>
    <w:qFormat/>
    <w:uiPriority w:val="0"/>
    <w:rPr>
      <w:kern w:val="0"/>
      <w:sz w:val="18"/>
      <w:szCs w:val="18"/>
    </w:rPr>
  </w:style>
  <w:style w:type="paragraph" w:styleId="27">
    <w:name w:val="footer"/>
    <w:basedOn w:val="1"/>
    <w:link w:val="96"/>
    <w:qFormat/>
    <w:uiPriority w:val="99"/>
    <w:pPr>
      <w:tabs>
        <w:tab w:val="center" w:pos="4153"/>
        <w:tab w:val="right" w:pos="8306"/>
      </w:tabs>
      <w:snapToGrid w:val="0"/>
      <w:jc w:val="left"/>
    </w:pPr>
    <w:rPr>
      <w:kern w:val="0"/>
      <w:sz w:val="18"/>
      <w:szCs w:val="18"/>
    </w:rPr>
  </w:style>
  <w:style w:type="paragraph" w:styleId="28">
    <w:name w:val="header"/>
    <w:basedOn w:val="1"/>
    <w:link w:val="74"/>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1"/>
    <w:basedOn w:val="1"/>
    <w:next w:val="1"/>
    <w:qFormat/>
    <w:uiPriority w:val="39"/>
    <w:pPr>
      <w:spacing w:before="120" w:after="120"/>
      <w:jc w:val="left"/>
    </w:pPr>
    <w:rPr>
      <w:rFonts w:ascii="Calibri" w:hAnsi="Calibri"/>
      <w:b/>
      <w:bCs/>
      <w:caps/>
      <w:sz w:val="20"/>
      <w:szCs w:val="20"/>
    </w:rPr>
  </w:style>
  <w:style w:type="paragraph" w:styleId="30">
    <w:name w:val="toc 4"/>
    <w:basedOn w:val="1"/>
    <w:next w:val="1"/>
    <w:qFormat/>
    <w:uiPriority w:val="39"/>
    <w:pPr>
      <w:ind w:left="630"/>
      <w:jc w:val="left"/>
    </w:pPr>
    <w:rPr>
      <w:rFonts w:ascii="Calibri" w:hAnsi="Calibri"/>
      <w:sz w:val="18"/>
      <w:szCs w:val="18"/>
    </w:rPr>
  </w:style>
  <w:style w:type="paragraph" w:styleId="31">
    <w:name w:val="footnote text"/>
    <w:basedOn w:val="1"/>
    <w:link w:val="68"/>
    <w:qFormat/>
    <w:uiPriority w:val="0"/>
    <w:rPr>
      <w:kern w:val="0"/>
      <w:sz w:val="20"/>
      <w:szCs w:val="20"/>
    </w:rPr>
  </w:style>
  <w:style w:type="paragraph" w:styleId="32">
    <w:name w:val="toc 6"/>
    <w:basedOn w:val="1"/>
    <w:next w:val="1"/>
    <w:qFormat/>
    <w:uiPriority w:val="39"/>
    <w:pPr>
      <w:ind w:left="1050"/>
      <w:jc w:val="left"/>
    </w:pPr>
    <w:rPr>
      <w:rFonts w:ascii="Calibri" w:hAnsi="Calibri"/>
      <w:sz w:val="18"/>
      <w:szCs w:val="18"/>
    </w:rPr>
  </w:style>
  <w:style w:type="paragraph" w:styleId="33">
    <w:name w:val="Body Text Indent 3"/>
    <w:basedOn w:val="1"/>
    <w:link w:val="88"/>
    <w:qFormat/>
    <w:uiPriority w:val="0"/>
    <w:pPr>
      <w:spacing w:after="120"/>
      <w:ind w:left="420" w:leftChars="200"/>
    </w:pPr>
    <w:rPr>
      <w:kern w:val="0"/>
      <w:sz w:val="16"/>
      <w:szCs w:val="16"/>
    </w:rPr>
  </w:style>
  <w:style w:type="paragraph" w:styleId="34">
    <w:name w:val="table of figures"/>
    <w:basedOn w:val="1"/>
    <w:next w:val="1"/>
    <w:qFormat/>
    <w:uiPriority w:val="0"/>
    <w:pPr>
      <w:ind w:left="200" w:leftChars="200" w:hanging="200" w:hangingChars="200"/>
    </w:pPr>
  </w:style>
  <w:style w:type="paragraph" w:styleId="35">
    <w:name w:val="toc 2"/>
    <w:basedOn w:val="1"/>
    <w:next w:val="1"/>
    <w:qFormat/>
    <w:uiPriority w:val="39"/>
    <w:pPr>
      <w:ind w:left="210"/>
      <w:jc w:val="left"/>
    </w:pPr>
    <w:rPr>
      <w:rFonts w:ascii="Calibri" w:hAnsi="Calibri"/>
      <w:smallCaps/>
      <w:sz w:val="20"/>
      <w:szCs w:val="20"/>
    </w:rPr>
  </w:style>
  <w:style w:type="paragraph" w:styleId="36">
    <w:name w:val="toc 9"/>
    <w:basedOn w:val="1"/>
    <w:next w:val="1"/>
    <w:qFormat/>
    <w:uiPriority w:val="39"/>
    <w:pPr>
      <w:ind w:left="1680"/>
      <w:jc w:val="left"/>
    </w:pPr>
    <w:rPr>
      <w:rFonts w:ascii="Calibri" w:hAnsi="Calibri"/>
      <w:sz w:val="18"/>
      <w:szCs w:val="18"/>
    </w:rPr>
  </w:style>
  <w:style w:type="paragraph" w:styleId="37">
    <w:name w:val="HTML Preformatted"/>
    <w:basedOn w:val="1"/>
    <w:link w:val="9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semiHidden/>
    <w:qFormat/>
    <w:uiPriority w:val="0"/>
    <w:pPr>
      <w:spacing w:line="360" w:lineRule="auto"/>
      <w:jc w:val="center"/>
    </w:pPr>
    <w:rPr>
      <w:rFonts w:ascii="宋体" w:hAnsi="Arial" w:cs="Arial"/>
      <w:b/>
      <w:color w:val="000000"/>
      <w:sz w:val="24"/>
    </w:rPr>
  </w:style>
  <w:style w:type="paragraph" w:styleId="40">
    <w:name w:val="Title"/>
    <w:basedOn w:val="1"/>
    <w:link w:val="8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1">
    <w:name w:val="annotation subject"/>
    <w:basedOn w:val="16"/>
    <w:next w:val="16"/>
    <w:link w:val="70"/>
    <w:qFormat/>
    <w:uiPriority w:val="0"/>
    <w:rPr>
      <w:b/>
      <w:bCs/>
    </w:rPr>
  </w:style>
  <w:style w:type="paragraph" w:styleId="42">
    <w:name w:val="Body Text First Indent"/>
    <w:basedOn w:val="2"/>
    <w:qFormat/>
    <w:uiPriority w:val="0"/>
    <w:pPr>
      <w:adjustRightInd w:val="0"/>
      <w:spacing w:line="275" w:lineRule="atLeast"/>
      <w:ind w:firstLine="420"/>
      <w:textAlignment w:val="baseline"/>
    </w:pPr>
    <w:rPr>
      <w:rFonts w:ascii="宋体" w:eastAsia="楷体_GB2312"/>
      <w:sz w:val="24"/>
      <w:szCs w:val="20"/>
    </w:rPr>
  </w:style>
  <w:style w:type="paragraph" w:styleId="43">
    <w:name w:val="Body Text First Indent 2"/>
    <w:basedOn w:val="18"/>
    <w:next w:val="1"/>
    <w:qFormat/>
    <w:uiPriority w:val="0"/>
    <w:pPr>
      <w:ind w:firstLine="420"/>
    </w:pPr>
    <w:rPr>
      <w:sz w:val="21"/>
    </w:rPr>
  </w:style>
  <w:style w:type="table" w:styleId="45">
    <w:name w:val="Table Grid"/>
    <w:basedOn w:val="44"/>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7">
    <w:name w:val="Strong"/>
    <w:qFormat/>
    <w:uiPriority w:val="0"/>
    <w:rPr>
      <w:b/>
      <w:bCs/>
    </w:rPr>
  </w:style>
  <w:style w:type="character" w:styleId="48">
    <w:name w:val="page number"/>
    <w:qFormat/>
    <w:uiPriority w:val="0"/>
  </w:style>
  <w:style w:type="character" w:styleId="49">
    <w:name w:val="FollowedHyperlink"/>
    <w:basedOn w:val="46"/>
    <w:qFormat/>
    <w:uiPriority w:val="0"/>
    <w:rPr>
      <w:rFonts w:hint="default" w:ascii="Arial" w:hAnsi="Arial" w:eastAsia="Arial" w:cs="Arial"/>
      <w:color w:val="333333"/>
      <w:sz w:val="21"/>
      <w:szCs w:val="21"/>
      <w:u w:val="none"/>
    </w:rPr>
  </w:style>
  <w:style w:type="character" w:styleId="50">
    <w:name w:val="Emphasis"/>
    <w:basedOn w:val="46"/>
    <w:qFormat/>
    <w:uiPriority w:val="20"/>
    <w:rPr>
      <w:i/>
    </w:rPr>
  </w:style>
  <w:style w:type="character" w:styleId="51">
    <w:name w:val="Hyperlink"/>
    <w:basedOn w:val="46"/>
    <w:qFormat/>
    <w:uiPriority w:val="99"/>
    <w:rPr>
      <w:rFonts w:ascii="Arial" w:hAnsi="Arial" w:eastAsia="Arial" w:cs="Arial"/>
      <w:color w:val="333333"/>
      <w:sz w:val="21"/>
      <w:szCs w:val="21"/>
      <w:u w:val="none"/>
    </w:rPr>
  </w:style>
  <w:style w:type="character" w:styleId="52">
    <w:name w:val="annotation reference"/>
    <w:qFormat/>
    <w:uiPriority w:val="0"/>
    <w:rPr>
      <w:sz w:val="21"/>
      <w:szCs w:val="21"/>
    </w:rPr>
  </w:style>
  <w:style w:type="character" w:styleId="53">
    <w:name w:val="footnote reference"/>
    <w:qFormat/>
    <w:uiPriority w:val="0"/>
    <w:rPr>
      <w:vertAlign w:val="superscript"/>
    </w:rPr>
  </w:style>
  <w:style w:type="paragraph" w:customStyle="1" w:styleId="54">
    <w:name w:val="样式 正文首行缩进 + 首行缩进:  2 字符1 Char Char"/>
    <w:basedOn w:val="1"/>
    <w:qFormat/>
    <w:uiPriority w:val="0"/>
    <w:pPr>
      <w:adjustRightInd w:val="0"/>
      <w:spacing w:line="400" w:lineRule="exact"/>
      <w:ind w:firstLine="480" w:firstLineChars="200"/>
    </w:pPr>
    <w:rPr>
      <w:rFonts w:hint="eastAsia" w:ascii="宋体" w:hAnsi="宋体" w:eastAsia="仿宋_GB2312"/>
      <w:color w:val="000000"/>
      <w:sz w:val="26"/>
      <w:szCs w:val="20"/>
    </w:rPr>
  </w:style>
  <w:style w:type="character" w:customStyle="1" w:styleId="55">
    <w:name w:val="apple-style-span"/>
    <w:qFormat/>
    <w:uiPriority w:val="0"/>
    <w:rPr>
      <w:rFonts w:ascii="Verdana" w:hAnsi="Verdana" w:eastAsia="宋体"/>
      <w:sz w:val="21"/>
      <w:lang w:val="en-US" w:eastAsia="en-US" w:bidi="ar-SA"/>
    </w:rPr>
  </w:style>
  <w:style w:type="character" w:customStyle="1" w:styleId="56">
    <w:name w:val="正文文本 3 Char1"/>
    <w:semiHidden/>
    <w:qFormat/>
    <w:uiPriority w:val="99"/>
    <w:rPr>
      <w:rFonts w:ascii="Times New Roman" w:hAnsi="Times New Roman" w:eastAsia="宋体" w:cs="Times New Roman"/>
      <w:sz w:val="16"/>
      <w:szCs w:val="16"/>
    </w:rPr>
  </w:style>
  <w:style w:type="character" w:customStyle="1" w:styleId="57">
    <w:name w:val="样式 宋体"/>
    <w:qFormat/>
    <w:uiPriority w:val="0"/>
    <w:rPr>
      <w:rFonts w:ascii="Times New Roman" w:hAnsi="Times New Roman" w:eastAsia="宋体"/>
      <w:sz w:val="21"/>
    </w:rPr>
  </w:style>
  <w:style w:type="character" w:customStyle="1" w:styleId="58">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9">
    <w:name w:val="标题 3 字符"/>
    <w:link w:val="5"/>
    <w:qFormat/>
    <w:uiPriority w:val="0"/>
    <w:rPr>
      <w:rFonts w:ascii="Times New Roman" w:hAnsi="Times New Roman" w:eastAsia="宋体" w:cs="Times New Roman"/>
      <w:b/>
      <w:bCs/>
      <w:sz w:val="32"/>
      <w:szCs w:val="32"/>
    </w:rPr>
  </w:style>
  <w:style w:type="character" w:customStyle="1" w:styleId="60">
    <w:name w:val="批注文字 字符"/>
    <w:link w:val="16"/>
    <w:semiHidden/>
    <w:qFormat/>
    <w:uiPriority w:val="99"/>
    <w:rPr>
      <w:rFonts w:ascii="Times New Roman" w:hAnsi="Times New Roman" w:eastAsia="宋体" w:cs="Times New Roman"/>
      <w:szCs w:val="24"/>
    </w:rPr>
  </w:style>
  <w:style w:type="character" w:customStyle="1" w:styleId="61">
    <w:name w:val="标题 6 字符"/>
    <w:link w:val="8"/>
    <w:qFormat/>
    <w:uiPriority w:val="0"/>
    <w:rPr>
      <w:rFonts w:ascii="Arial" w:hAnsi="Arial" w:eastAsia="黑体" w:cs="Times New Roman"/>
      <w:b/>
      <w:bCs/>
      <w:kern w:val="0"/>
      <w:sz w:val="24"/>
      <w:szCs w:val="24"/>
    </w:rPr>
  </w:style>
  <w:style w:type="character" w:customStyle="1" w:styleId="62">
    <w:name w:val="Char Char8"/>
    <w:qFormat/>
    <w:uiPriority w:val="0"/>
    <w:rPr>
      <w:rFonts w:ascii="Arial" w:hAnsi="Arial" w:eastAsia="黑体"/>
      <w:b/>
      <w:bCs/>
      <w:kern w:val="2"/>
      <w:sz w:val="32"/>
      <w:szCs w:val="32"/>
      <w:lang w:val="en-US" w:eastAsia="zh-CN" w:bidi="ar-SA"/>
    </w:rPr>
  </w:style>
  <w:style w:type="character" w:customStyle="1" w:styleId="63">
    <w:name w:val="脚注文本 Char1"/>
    <w:semiHidden/>
    <w:qFormat/>
    <w:uiPriority w:val="99"/>
    <w:rPr>
      <w:rFonts w:ascii="Times New Roman" w:hAnsi="Times New Roman" w:eastAsia="宋体" w:cs="Times New Roman"/>
      <w:sz w:val="18"/>
      <w:szCs w:val="18"/>
    </w:rPr>
  </w:style>
  <w:style w:type="character" w:customStyle="1" w:styleId="64">
    <w:name w:val="正文文本 3 字符"/>
    <w:link w:val="17"/>
    <w:qFormat/>
    <w:uiPriority w:val="0"/>
    <w:rPr>
      <w:rFonts w:ascii="宋体"/>
      <w:sz w:val="24"/>
    </w:rPr>
  </w:style>
  <w:style w:type="character" w:customStyle="1" w:styleId="65">
    <w:name w:val="页脚 Char1"/>
    <w:semiHidden/>
    <w:qFormat/>
    <w:uiPriority w:val="99"/>
    <w:rPr>
      <w:rFonts w:ascii="Times New Roman" w:hAnsi="Times New Roman" w:eastAsia="宋体" w:cs="Times New Roman"/>
      <w:sz w:val="18"/>
      <w:szCs w:val="18"/>
    </w:rPr>
  </w:style>
  <w:style w:type="character" w:customStyle="1" w:styleId="66">
    <w:name w:val="标题 Char1"/>
    <w:qFormat/>
    <w:uiPriority w:val="10"/>
    <w:rPr>
      <w:rFonts w:ascii="Calibri Light" w:hAnsi="Calibri Light" w:eastAsia="宋体" w:cs="Times New Roman"/>
      <w:b/>
      <w:bCs/>
      <w:sz w:val="32"/>
      <w:szCs w:val="32"/>
    </w:rPr>
  </w:style>
  <w:style w:type="character" w:customStyle="1" w:styleId="67">
    <w:name w:val="正文文本 字符"/>
    <w:link w:val="2"/>
    <w:qFormat/>
    <w:uiPriority w:val="0"/>
    <w:rPr>
      <w:rFonts w:eastAsia="宋体"/>
      <w:szCs w:val="24"/>
    </w:rPr>
  </w:style>
  <w:style w:type="character" w:customStyle="1" w:styleId="68">
    <w:name w:val="脚注文本 字符"/>
    <w:link w:val="31"/>
    <w:qFormat/>
    <w:uiPriority w:val="0"/>
    <w:rPr>
      <w:rFonts w:eastAsia="宋体"/>
    </w:rPr>
  </w:style>
  <w:style w:type="character" w:customStyle="1" w:styleId="69">
    <w:name w:val="纯文本 Char1"/>
    <w:semiHidden/>
    <w:qFormat/>
    <w:uiPriority w:val="99"/>
    <w:rPr>
      <w:rFonts w:ascii="宋体" w:hAnsi="Courier New" w:eastAsia="宋体" w:cs="Courier New"/>
      <w:szCs w:val="21"/>
    </w:rPr>
  </w:style>
  <w:style w:type="character" w:customStyle="1" w:styleId="70">
    <w:name w:val="批注主题 字符"/>
    <w:link w:val="41"/>
    <w:qFormat/>
    <w:uiPriority w:val="0"/>
    <w:rPr>
      <w:rFonts w:ascii="Times New Roman" w:hAnsi="Times New Roman" w:eastAsia="宋体" w:cs="Times New Roman"/>
      <w:b/>
      <w:bCs/>
      <w:szCs w:val="24"/>
    </w:rPr>
  </w:style>
  <w:style w:type="character" w:customStyle="1" w:styleId="71">
    <w:name w:val="正文缩进 字符"/>
    <w:link w:val="14"/>
    <w:qFormat/>
    <w:locked/>
    <w:uiPriority w:val="0"/>
    <w:rPr>
      <w:kern w:val="2"/>
      <w:sz w:val="21"/>
      <w:szCs w:val="24"/>
    </w:rPr>
  </w:style>
  <w:style w:type="character" w:customStyle="1" w:styleId="72">
    <w:name w:val="font11"/>
    <w:qFormat/>
    <w:uiPriority w:val="0"/>
    <w:rPr>
      <w:rFonts w:hint="default" w:ascii="Times New Roman" w:hAnsi="Times New Roman" w:cs="Times New Roman"/>
      <w:color w:val="000000"/>
      <w:sz w:val="22"/>
      <w:szCs w:val="22"/>
      <w:u w:val="none"/>
    </w:rPr>
  </w:style>
  <w:style w:type="character" w:customStyle="1" w:styleId="73">
    <w:name w:val="font01"/>
    <w:qFormat/>
    <w:uiPriority w:val="0"/>
    <w:rPr>
      <w:rFonts w:hint="eastAsia" w:ascii="宋体" w:hAnsi="宋体" w:eastAsia="宋体" w:cs="宋体"/>
      <w:color w:val="000000"/>
      <w:sz w:val="22"/>
      <w:szCs w:val="22"/>
      <w:u w:val="none"/>
    </w:rPr>
  </w:style>
  <w:style w:type="character" w:customStyle="1" w:styleId="74">
    <w:name w:val="页眉 字符"/>
    <w:link w:val="28"/>
    <w:qFormat/>
    <w:uiPriority w:val="0"/>
    <w:rPr>
      <w:rFonts w:ascii="Times New Roman" w:hAnsi="Times New Roman" w:eastAsia="宋体" w:cs="Times New Roman"/>
      <w:sz w:val="18"/>
      <w:szCs w:val="18"/>
    </w:rPr>
  </w:style>
  <w:style w:type="character" w:customStyle="1" w:styleId="75">
    <w:name w:val="标题 9 字符"/>
    <w:link w:val="11"/>
    <w:qFormat/>
    <w:uiPriority w:val="0"/>
    <w:rPr>
      <w:rFonts w:ascii="Arial" w:hAnsi="Arial" w:eastAsia="黑体" w:cs="Times New Roman"/>
      <w:kern w:val="0"/>
      <w:szCs w:val="21"/>
    </w:rPr>
  </w:style>
  <w:style w:type="character" w:customStyle="1" w:styleId="76">
    <w:name w:val="标题 2 Char1"/>
    <w:qFormat/>
    <w:uiPriority w:val="0"/>
    <w:rPr>
      <w:rFonts w:ascii="Arial" w:hAnsi="Arial" w:eastAsia="黑体" w:cs="Times New Roman"/>
      <w:b/>
      <w:bCs/>
      <w:sz w:val="32"/>
      <w:szCs w:val="32"/>
      <w:lang w:val="en-US" w:eastAsia="en-US" w:bidi="ar-SA"/>
    </w:rPr>
  </w:style>
  <w:style w:type="character" w:customStyle="1" w:styleId="77">
    <w:name w:val="正文文本缩进 字符"/>
    <w:link w:val="18"/>
    <w:qFormat/>
    <w:uiPriority w:val="0"/>
    <w:rPr>
      <w:szCs w:val="24"/>
    </w:rPr>
  </w:style>
  <w:style w:type="character" w:customStyle="1" w:styleId="78">
    <w:name w:val="文档结构图 字符"/>
    <w:link w:val="15"/>
    <w:qFormat/>
    <w:uiPriority w:val="0"/>
    <w:rPr>
      <w:rFonts w:ascii="Times New Roman" w:hAnsi="Times New Roman" w:eastAsia="宋体" w:cs="Times New Roman"/>
      <w:szCs w:val="24"/>
      <w:shd w:val="clear" w:color="auto" w:fill="000080"/>
    </w:rPr>
  </w:style>
  <w:style w:type="character" w:customStyle="1" w:styleId="79">
    <w:name w:val="font161"/>
    <w:qFormat/>
    <w:uiPriority w:val="0"/>
    <w:rPr>
      <w:b/>
      <w:bCs/>
      <w:sz w:val="32"/>
      <w:szCs w:val="32"/>
    </w:rPr>
  </w:style>
  <w:style w:type="character" w:customStyle="1" w:styleId="80">
    <w:name w:val="标题 2 字符"/>
    <w:link w:val="4"/>
    <w:qFormat/>
    <w:uiPriority w:val="0"/>
    <w:rPr>
      <w:rFonts w:ascii="Arial" w:hAnsi="Arial" w:eastAsia="黑体" w:cs="Times New Roman"/>
      <w:b/>
      <w:bCs/>
      <w:sz w:val="32"/>
      <w:szCs w:val="32"/>
    </w:rPr>
  </w:style>
  <w:style w:type="character" w:customStyle="1" w:styleId="81">
    <w:name w:val="标题 字符"/>
    <w:link w:val="40"/>
    <w:qFormat/>
    <w:uiPriority w:val="0"/>
    <w:rPr>
      <w:rFonts w:ascii="Arial" w:hAnsi="Arial"/>
      <w:b/>
      <w:sz w:val="32"/>
    </w:rPr>
  </w:style>
  <w:style w:type="character" w:customStyle="1" w:styleId="82">
    <w:name w:val="批注框文本 字符"/>
    <w:link w:val="26"/>
    <w:qFormat/>
    <w:uiPriority w:val="0"/>
    <w:rPr>
      <w:rFonts w:ascii="Times New Roman" w:hAnsi="Times New Roman" w:eastAsia="宋体" w:cs="Times New Roman"/>
      <w:sz w:val="18"/>
      <w:szCs w:val="18"/>
    </w:rPr>
  </w:style>
  <w:style w:type="character" w:customStyle="1" w:styleId="83">
    <w:name w:val="标题 8 字符"/>
    <w:link w:val="10"/>
    <w:qFormat/>
    <w:uiPriority w:val="0"/>
    <w:rPr>
      <w:rFonts w:ascii="Arial" w:hAnsi="Arial" w:eastAsia="黑体" w:cs="Times New Roman"/>
      <w:kern w:val="0"/>
      <w:sz w:val="24"/>
      <w:szCs w:val="24"/>
    </w:rPr>
  </w:style>
  <w:style w:type="character" w:customStyle="1" w:styleId="84">
    <w:name w:val="日期 字符"/>
    <w:link w:val="24"/>
    <w:qFormat/>
    <w:uiPriority w:val="0"/>
    <w:rPr>
      <w:rFonts w:ascii="Times New Roman" w:hAnsi="Times New Roman" w:eastAsia="宋体" w:cs="Times New Roman"/>
      <w:sz w:val="24"/>
      <w:szCs w:val="20"/>
    </w:rPr>
  </w:style>
  <w:style w:type="character" w:customStyle="1" w:styleId="85">
    <w:name w:val="标题 1 字符"/>
    <w:link w:val="3"/>
    <w:qFormat/>
    <w:uiPriority w:val="0"/>
    <w:rPr>
      <w:rFonts w:ascii="Times New Roman" w:hAnsi="Times New Roman" w:eastAsia="宋体" w:cs="Times New Roman"/>
      <w:b/>
      <w:bCs/>
      <w:kern w:val="44"/>
      <w:sz w:val="44"/>
      <w:szCs w:val="44"/>
    </w:rPr>
  </w:style>
  <w:style w:type="character" w:customStyle="1" w:styleId="86">
    <w:name w:val="招标节 Char"/>
    <w:link w:val="87"/>
    <w:qFormat/>
    <w:locked/>
    <w:uiPriority w:val="0"/>
    <w:rPr>
      <w:b/>
      <w:sz w:val="24"/>
      <w:szCs w:val="24"/>
    </w:rPr>
  </w:style>
  <w:style w:type="paragraph" w:customStyle="1" w:styleId="87">
    <w:name w:val="招标节"/>
    <w:basedOn w:val="1"/>
    <w:next w:val="1"/>
    <w:link w:val="86"/>
    <w:qFormat/>
    <w:uiPriority w:val="0"/>
    <w:pPr>
      <w:spacing w:beforeLines="50" w:afterLines="50"/>
      <w:outlineLvl w:val="1"/>
    </w:pPr>
    <w:rPr>
      <w:b/>
      <w:kern w:val="0"/>
      <w:sz w:val="24"/>
    </w:rPr>
  </w:style>
  <w:style w:type="character" w:customStyle="1" w:styleId="88">
    <w:name w:val="正文文本缩进 3 字符"/>
    <w:link w:val="33"/>
    <w:qFormat/>
    <w:uiPriority w:val="0"/>
    <w:rPr>
      <w:rFonts w:ascii="Times New Roman" w:hAnsi="Times New Roman" w:eastAsia="宋体" w:cs="Times New Roman"/>
      <w:sz w:val="16"/>
      <w:szCs w:val="16"/>
    </w:rPr>
  </w:style>
  <w:style w:type="character" w:customStyle="1" w:styleId="89">
    <w:name w:val="tpc_content1"/>
    <w:qFormat/>
    <w:uiPriority w:val="0"/>
    <w:rPr>
      <w:sz w:val="20"/>
      <w:szCs w:val="20"/>
    </w:rPr>
  </w:style>
  <w:style w:type="character" w:customStyle="1" w:styleId="90">
    <w:name w:val="Char Char"/>
    <w:qFormat/>
    <w:uiPriority w:val="0"/>
    <w:rPr>
      <w:rFonts w:ascii="Arial" w:hAnsi="Arial" w:eastAsia="黑体"/>
      <w:b/>
      <w:bCs/>
      <w:kern w:val="2"/>
      <w:sz w:val="32"/>
      <w:szCs w:val="32"/>
      <w:lang w:val="en-US" w:eastAsia="zh-CN" w:bidi="ar-SA"/>
    </w:rPr>
  </w:style>
  <w:style w:type="character" w:customStyle="1" w:styleId="91">
    <w:name w:val="正文文本 Char1"/>
    <w:semiHidden/>
    <w:qFormat/>
    <w:uiPriority w:val="99"/>
    <w:rPr>
      <w:rFonts w:ascii="Times New Roman" w:hAnsi="Times New Roman" w:eastAsia="宋体" w:cs="Times New Roman"/>
      <w:szCs w:val="24"/>
    </w:rPr>
  </w:style>
  <w:style w:type="character" w:customStyle="1" w:styleId="92">
    <w:name w:val="Char Char2"/>
    <w:qFormat/>
    <w:uiPriority w:val="0"/>
    <w:rPr>
      <w:rFonts w:eastAsia="宋体"/>
      <w:kern w:val="2"/>
      <w:sz w:val="21"/>
      <w:szCs w:val="24"/>
      <w:lang w:val="en-US" w:eastAsia="zh-CN" w:bidi="ar-SA"/>
    </w:rPr>
  </w:style>
  <w:style w:type="character" w:customStyle="1" w:styleId="93">
    <w:name w:val="apple-converted-space"/>
    <w:qFormat/>
    <w:uiPriority w:val="0"/>
  </w:style>
  <w:style w:type="character" w:customStyle="1" w:styleId="94">
    <w:name w:val="标题 4 字符"/>
    <w:link w:val="6"/>
    <w:qFormat/>
    <w:uiPriority w:val="0"/>
    <w:rPr>
      <w:rFonts w:ascii="Arial" w:hAnsi="Arial" w:eastAsia="黑体" w:cs="Times New Roman"/>
      <w:b/>
      <w:bCs/>
      <w:sz w:val="28"/>
      <w:szCs w:val="28"/>
    </w:rPr>
  </w:style>
  <w:style w:type="character" w:customStyle="1" w:styleId="95">
    <w:name w:val="正文文本缩进 Char1"/>
    <w:semiHidden/>
    <w:qFormat/>
    <w:uiPriority w:val="99"/>
    <w:rPr>
      <w:rFonts w:ascii="Times New Roman" w:hAnsi="Times New Roman" w:eastAsia="宋体" w:cs="Times New Roman"/>
      <w:szCs w:val="24"/>
    </w:rPr>
  </w:style>
  <w:style w:type="character" w:customStyle="1" w:styleId="96">
    <w:name w:val="页脚 字符"/>
    <w:link w:val="27"/>
    <w:qFormat/>
    <w:uiPriority w:val="99"/>
    <w:rPr>
      <w:sz w:val="18"/>
      <w:szCs w:val="18"/>
    </w:rPr>
  </w:style>
  <w:style w:type="character" w:customStyle="1" w:styleId="97">
    <w:name w:val="Char Char7"/>
    <w:qFormat/>
    <w:uiPriority w:val="0"/>
    <w:rPr>
      <w:rFonts w:ascii="Arial" w:hAnsi="Arial" w:eastAsia="黑体"/>
      <w:b/>
      <w:bCs/>
      <w:kern w:val="2"/>
      <w:sz w:val="32"/>
      <w:szCs w:val="32"/>
      <w:lang w:val="en-US" w:eastAsia="zh-CN" w:bidi="ar-SA"/>
    </w:rPr>
  </w:style>
  <w:style w:type="character" w:customStyle="1" w:styleId="98">
    <w:name w:val="HTML 预设格式 字符"/>
    <w:link w:val="37"/>
    <w:qFormat/>
    <w:uiPriority w:val="0"/>
    <w:rPr>
      <w:rFonts w:ascii="微软雅黑" w:hAnsi="微软雅黑" w:eastAsia="微软雅黑" w:cs="Times New Roman"/>
      <w:kern w:val="0"/>
      <w:sz w:val="24"/>
      <w:szCs w:val="24"/>
    </w:rPr>
  </w:style>
  <w:style w:type="character" w:customStyle="1" w:styleId="99">
    <w:name w:val="批注文字 Char"/>
    <w:qFormat/>
    <w:uiPriority w:val="0"/>
    <w:rPr>
      <w:rFonts w:eastAsia="宋体"/>
      <w:kern w:val="2"/>
      <w:sz w:val="21"/>
      <w:szCs w:val="24"/>
      <w:lang w:val="en-US" w:eastAsia="zh-CN" w:bidi="ar-SA"/>
    </w:rPr>
  </w:style>
  <w:style w:type="character" w:customStyle="1" w:styleId="100">
    <w:name w:val="纯文本 字符"/>
    <w:link w:val="22"/>
    <w:qFormat/>
    <w:uiPriority w:val="99"/>
    <w:rPr>
      <w:rFonts w:ascii="Courier New" w:hAnsi="Courier New"/>
    </w:rPr>
  </w:style>
  <w:style w:type="character" w:customStyle="1" w:styleId="101">
    <w:name w:val="标题 7 字符"/>
    <w:link w:val="9"/>
    <w:qFormat/>
    <w:uiPriority w:val="0"/>
    <w:rPr>
      <w:rFonts w:ascii="Times New Roman" w:hAnsi="Times New Roman" w:eastAsia="宋体" w:cs="Times New Roman"/>
      <w:b/>
      <w:bCs/>
      <w:kern w:val="0"/>
      <w:sz w:val="24"/>
      <w:szCs w:val="24"/>
    </w:rPr>
  </w:style>
  <w:style w:type="paragraph" w:customStyle="1" w:styleId="102">
    <w:name w:val="样式4"/>
    <w:basedOn w:val="5"/>
    <w:qFormat/>
    <w:uiPriority w:val="0"/>
    <w:rPr>
      <w:rFonts w:eastAsia="Arial"/>
    </w:rPr>
  </w:style>
  <w:style w:type="paragraph" w:customStyle="1" w:styleId="103">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font10"/>
    <w:basedOn w:val="1"/>
    <w:qFormat/>
    <w:uiPriority w:val="0"/>
    <w:pPr>
      <w:widowControl/>
      <w:spacing w:before="100" w:beforeAutospacing="1" w:after="100" w:afterAutospacing="1"/>
      <w:jc w:val="left"/>
    </w:pPr>
    <w:rPr>
      <w:kern w:val="0"/>
      <w:sz w:val="28"/>
      <w:szCs w:val="28"/>
    </w:rPr>
  </w:style>
  <w:style w:type="paragraph" w:customStyle="1" w:styleId="106">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样式1"/>
    <w:basedOn w:val="5"/>
    <w:qFormat/>
    <w:uiPriority w:val="0"/>
    <w:rPr>
      <w:rFonts w:eastAsia="Arial"/>
    </w:rPr>
  </w:style>
  <w:style w:type="paragraph" w:customStyle="1" w:styleId="109">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Char"/>
    <w:basedOn w:val="1"/>
    <w:qFormat/>
    <w:uiPriority w:val="0"/>
    <w:pPr>
      <w:tabs>
        <w:tab w:val="left" w:pos="360"/>
      </w:tabs>
    </w:pPr>
    <w:rPr>
      <w:sz w:val="24"/>
    </w:rPr>
  </w:style>
  <w:style w:type="paragraph" w:customStyle="1" w:styleId="112">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表格"/>
    <w:basedOn w:val="1"/>
    <w:qFormat/>
    <w:uiPriority w:val="0"/>
    <w:pPr>
      <w:jc w:val="center"/>
      <w:textAlignment w:val="center"/>
    </w:pPr>
    <w:rPr>
      <w:rFonts w:ascii="华文细黑" w:hAnsi="华文细黑"/>
      <w:kern w:val="0"/>
      <w:szCs w:val="20"/>
    </w:rPr>
  </w:style>
  <w:style w:type="paragraph" w:customStyle="1" w:styleId="114">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8">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列表段落1"/>
    <w:basedOn w:val="1"/>
    <w:qFormat/>
    <w:uiPriority w:val="34"/>
    <w:pPr>
      <w:ind w:firstLine="420" w:firstLineChars="200"/>
    </w:pPr>
    <w:rPr>
      <w:rFonts w:ascii="Calibri" w:hAnsi="Calibri"/>
      <w:szCs w:val="22"/>
    </w:rPr>
  </w:style>
  <w:style w:type="paragraph" w:customStyle="1" w:styleId="124">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5">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8">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9">
    <w:name w:val="1"/>
    <w:basedOn w:val="1"/>
    <w:next w:val="1"/>
    <w:qFormat/>
    <w:uiPriority w:val="0"/>
  </w:style>
  <w:style w:type="paragraph" w:customStyle="1" w:styleId="130">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3">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4">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5">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样式3"/>
    <w:basedOn w:val="5"/>
    <w:qFormat/>
    <w:uiPriority w:val="0"/>
    <w:rPr>
      <w:rFonts w:eastAsia="Arial"/>
    </w:rPr>
  </w:style>
  <w:style w:type="paragraph" w:customStyle="1" w:styleId="137">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40">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42">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5">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6">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7">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8">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9">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0">
    <w:name w:val="第二"/>
    <w:basedOn w:val="1"/>
    <w:qFormat/>
    <w:uiPriority w:val="0"/>
    <w:pPr>
      <w:adjustRightInd w:val="0"/>
      <w:snapToGrid w:val="0"/>
      <w:spacing w:line="360" w:lineRule="auto"/>
      <w:ind w:right="-108" w:rightChars="-45" w:firstLine="482"/>
    </w:pPr>
    <w:rPr>
      <w:b/>
    </w:rPr>
  </w:style>
  <w:style w:type="paragraph" w:customStyle="1" w:styleId="151">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5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3">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4">
    <w:name w:val="内容"/>
    <w:basedOn w:val="1"/>
    <w:qFormat/>
    <w:uiPriority w:val="0"/>
    <w:pPr>
      <w:spacing w:line="480" w:lineRule="exact"/>
      <w:ind w:firstLine="200" w:firstLineChars="200"/>
    </w:pPr>
  </w:style>
  <w:style w:type="paragraph" w:customStyle="1" w:styleId="155">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6">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7">
    <w:name w:val="列出段落1"/>
    <w:basedOn w:val="1"/>
    <w:qFormat/>
    <w:uiPriority w:val="99"/>
    <w:pPr>
      <w:ind w:firstLine="420" w:firstLineChars="200"/>
    </w:pPr>
  </w:style>
  <w:style w:type="paragraph" w:customStyle="1" w:styleId="158">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9">
    <w:name w:val="表格文字"/>
    <w:basedOn w:val="1"/>
    <w:qFormat/>
    <w:uiPriority w:val="0"/>
    <w:pPr>
      <w:adjustRightInd w:val="0"/>
      <w:spacing w:line="420" w:lineRule="atLeast"/>
      <w:jc w:val="left"/>
      <w:textAlignment w:val="baseline"/>
    </w:pPr>
    <w:rPr>
      <w:kern w:val="0"/>
      <w:szCs w:val="20"/>
    </w:rPr>
  </w:style>
  <w:style w:type="paragraph" w:customStyle="1" w:styleId="160">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61">
    <w:name w:val="样式2"/>
    <w:basedOn w:val="5"/>
    <w:qFormat/>
    <w:uiPriority w:val="0"/>
  </w:style>
  <w:style w:type="character" w:customStyle="1" w:styleId="162">
    <w:name w:val="after"/>
    <w:basedOn w:val="46"/>
    <w:qFormat/>
    <w:uiPriority w:val="0"/>
    <w:rPr>
      <w:bdr w:val="dashed" w:color="auto" w:sz="48" w:space="0"/>
    </w:rPr>
  </w:style>
  <w:style w:type="character" w:customStyle="1" w:styleId="163">
    <w:name w:val="before"/>
    <w:basedOn w:val="46"/>
    <w:qFormat/>
    <w:uiPriority w:val="0"/>
    <w:rPr>
      <w:bdr w:val="single" w:color="auto" w:sz="48" w:space="0"/>
    </w:rPr>
  </w:style>
  <w:style w:type="character" w:customStyle="1" w:styleId="164">
    <w:name w:val="hover48"/>
    <w:basedOn w:val="46"/>
    <w:qFormat/>
    <w:uiPriority w:val="0"/>
    <w:rPr>
      <w:shd w:val="clear" w:color="auto" w:fill="346AC3"/>
    </w:rPr>
  </w:style>
  <w:style w:type="character" w:customStyle="1" w:styleId="165">
    <w:name w:val="hover49"/>
    <w:basedOn w:val="46"/>
    <w:qFormat/>
    <w:uiPriority w:val="0"/>
  </w:style>
  <w:style w:type="character" w:customStyle="1" w:styleId="166">
    <w:name w:val="hover50"/>
    <w:basedOn w:val="46"/>
    <w:qFormat/>
    <w:uiPriority w:val="0"/>
    <w:rPr>
      <w:color w:val="4285F4"/>
      <w:u w:val="none"/>
    </w:rPr>
  </w:style>
  <w:style w:type="character" w:customStyle="1" w:styleId="167">
    <w:name w:val="hover51"/>
    <w:basedOn w:val="46"/>
    <w:qFormat/>
    <w:uiPriority w:val="0"/>
    <w:rPr>
      <w:color w:val="4285F4"/>
    </w:rPr>
  </w:style>
  <w:style w:type="character" w:customStyle="1" w:styleId="168">
    <w:name w:val="hover52"/>
    <w:basedOn w:val="46"/>
    <w:qFormat/>
    <w:uiPriority w:val="0"/>
    <w:rPr>
      <w:color w:val="1A85D7"/>
    </w:rPr>
  </w:style>
  <w:style w:type="character" w:customStyle="1" w:styleId="169">
    <w:name w:val="credit"/>
    <w:basedOn w:val="46"/>
    <w:qFormat/>
    <w:uiPriority w:val="0"/>
    <w:rPr>
      <w:sz w:val="18"/>
      <w:szCs w:val="18"/>
    </w:rPr>
  </w:style>
  <w:style w:type="character" w:customStyle="1" w:styleId="170">
    <w:name w:val="first-child"/>
    <w:basedOn w:val="46"/>
    <w:qFormat/>
    <w:uiPriority w:val="0"/>
  </w:style>
  <w:style w:type="character" w:customStyle="1" w:styleId="171">
    <w:name w:val="font31"/>
    <w:basedOn w:val="46"/>
    <w:qFormat/>
    <w:uiPriority w:val="0"/>
    <w:rPr>
      <w:rFonts w:hint="eastAsia" w:ascii="宋体" w:hAnsi="宋体" w:eastAsia="宋体" w:cs="宋体"/>
      <w:color w:val="000000"/>
      <w:sz w:val="24"/>
      <w:szCs w:val="24"/>
      <w:u w:val="none"/>
    </w:rPr>
  </w:style>
  <w:style w:type="paragraph" w:customStyle="1" w:styleId="172">
    <w:name w:val="样式 + 首行缩进: 2 字符"/>
    <w:basedOn w:val="1"/>
    <w:qFormat/>
    <w:uiPriority w:val="0"/>
    <w:pPr>
      <w:adjustRightInd w:val="0"/>
      <w:spacing w:line="360" w:lineRule="auto"/>
      <w:ind w:firstLine="524" w:firstLineChars="200"/>
    </w:pPr>
    <w:rPr>
      <w:rFonts w:hint="eastAsia" w:ascii="宋体" w:hAnsi="宋体"/>
      <w:spacing w:val="11"/>
      <w:kern w:val="0"/>
      <w:sz w:val="24"/>
    </w:rPr>
  </w:style>
  <w:style w:type="paragraph" w:customStyle="1" w:styleId="173">
    <w:name w:val="表格内正文，无编号"/>
    <w:basedOn w:val="1"/>
    <w:qFormat/>
    <w:uiPriority w:val="0"/>
    <w:pPr>
      <w:spacing w:line="400" w:lineRule="exact"/>
      <w:ind w:firstLine="643" w:firstLineChars="200"/>
    </w:pPr>
  </w:style>
  <w:style w:type="paragraph" w:customStyle="1" w:styleId="174">
    <w:name w:val="*正文"/>
    <w:basedOn w:val="1"/>
    <w:qFormat/>
    <w:uiPriority w:val="0"/>
    <w:pPr>
      <w:widowControl/>
      <w:ind w:firstLine="200" w:firstLineChars="200"/>
    </w:pPr>
    <w:rPr>
      <w:rFonts w:ascii="仿宋_GB2312" w:eastAsia="仿宋_GB2312" w:cstheme="minorBidi"/>
      <w:sz w:val="24"/>
      <w:szCs w:val="28"/>
    </w:rPr>
  </w:style>
  <w:style w:type="paragraph" w:customStyle="1" w:styleId="175">
    <w:name w:val="表体"/>
    <w:basedOn w:val="1"/>
    <w:next w:val="1"/>
    <w:qFormat/>
    <w:uiPriority w:val="0"/>
    <w:pPr>
      <w:snapToGrid w:val="0"/>
      <w:spacing w:line="0" w:lineRule="atLeast"/>
    </w:pPr>
    <w:rPr>
      <w:b/>
      <w:szCs w:val="20"/>
    </w:rPr>
  </w:style>
  <w:style w:type="character" w:customStyle="1" w:styleId="176">
    <w:name w:val="font21"/>
    <w:basedOn w:val="46"/>
    <w:qFormat/>
    <w:uiPriority w:val="0"/>
    <w:rPr>
      <w:rFonts w:hint="eastAsia" w:ascii="黑体" w:hAnsi="宋体" w:eastAsia="黑体" w:cs="黑体"/>
      <w:color w:val="000000"/>
      <w:sz w:val="20"/>
      <w:szCs w:val="20"/>
      <w:u w:val="none"/>
    </w:rPr>
  </w:style>
  <w:style w:type="character" w:customStyle="1" w:styleId="177">
    <w:name w:val="font61"/>
    <w:basedOn w:val="46"/>
    <w:qFormat/>
    <w:uiPriority w:val="0"/>
    <w:rPr>
      <w:rFonts w:ascii="宋体-简" w:hAnsi="宋体-简" w:eastAsia="宋体-简" w:cs="宋体-简"/>
      <w:color w:val="000000"/>
      <w:sz w:val="20"/>
      <w:szCs w:val="20"/>
      <w:u w:val="none"/>
    </w:rPr>
  </w:style>
  <w:style w:type="character" w:customStyle="1" w:styleId="178">
    <w:name w:val="font81"/>
    <w:basedOn w:val="46"/>
    <w:qFormat/>
    <w:uiPriority w:val="0"/>
    <w:rPr>
      <w:rFonts w:ascii="宋体-简" w:hAnsi="宋体-简" w:eastAsia="宋体-简" w:cs="宋体-简"/>
      <w:color w:val="000000"/>
      <w:sz w:val="20"/>
      <w:szCs w:val="20"/>
      <w:u w:val="none"/>
    </w:rPr>
  </w:style>
  <w:style w:type="paragraph" w:customStyle="1" w:styleId="179">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80">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81">
    <w:name w:val="Y正文GBK"/>
    <w:basedOn w:val="1"/>
    <w:qFormat/>
    <w:uiPriority w:val="0"/>
    <w:pPr>
      <w:spacing w:line="560" w:lineRule="exact"/>
      <w:ind w:firstLine="640"/>
    </w:pPr>
    <w:rPr>
      <w:rFonts w:ascii="方正仿宋_GBK" w:hAnsi="黑体" w:eastAsia="方正仿宋_GBK"/>
      <w:szCs w:val="32"/>
    </w:rPr>
  </w:style>
  <w:style w:type="paragraph" w:customStyle="1" w:styleId="182">
    <w:name w:val="列出段落2"/>
    <w:basedOn w:val="1"/>
    <w:qFormat/>
    <w:uiPriority w:val="1"/>
    <w:pPr>
      <w:ind w:left="100" w:firstLine="420"/>
    </w:pPr>
    <w:rPr>
      <w:rFonts w:ascii="宋体" w:hAnsi="宋体" w:cs="宋体"/>
    </w:rPr>
  </w:style>
  <w:style w:type="paragraph" w:customStyle="1" w:styleId="183">
    <w:name w:val="Table Paragraph"/>
    <w:basedOn w:val="1"/>
    <w:qFormat/>
    <w:uiPriority w:val="1"/>
  </w:style>
  <w:style w:type="paragraph" w:styleId="184">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49</Pages>
  <Words>12563</Words>
  <Characters>13357</Characters>
  <Lines>165</Lines>
  <Paragraphs>46</Paragraphs>
  <TotalTime>6</TotalTime>
  <ScaleCrop>false</ScaleCrop>
  <LinksUpToDate>false</LinksUpToDate>
  <CharactersWithSpaces>13718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2024-08-14T00:33:00Z</dcterms:created>
  <dc:creator>陈桂兰</dc:creator>
  <cp:lastModifiedBy>admin</cp:lastModifiedBy>
  <cp:lastPrinted>2024-10-26T07:34:00Z</cp:lastPrinted>
  <dcterms:modified xsi:type="dcterms:W3CDTF">2025-04-17T09:25:58Z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7FC0F59539874E7BA31BBC2B2992E8A7_13</vt:lpwstr>
  </property>
  <property fmtid="{D5CDD505-2E9C-101B-9397-08002B2CF9AE}" pid="4" name="PSLTemplateName">
    <vt:lpwstr>Normal</vt:lpwstr>
  </property>
  <property fmtid="{D5CDD505-2E9C-101B-9397-08002B2CF9AE}" pid="5" name="KSOTemplateDocerSaveRecord">
    <vt:lpwstr>eyJoZGlkIjoiMDcxZDFlMTRlMTdjNzZiZDFkZjcyMDFmYjBjNDViOTcifQ==</vt:lpwstr>
  </property>
</Properties>
</file>