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E799E">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cs="宋体"/>
          <w:b/>
          <w:color w:val="auto"/>
          <w:sz w:val="40"/>
          <w:szCs w:val="40"/>
          <w:highlight w:val="none"/>
        </w:rPr>
      </w:pPr>
      <w:r>
        <w:rPr>
          <w:rFonts w:hint="eastAsia" w:ascii="宋体" w:hAnsi="宋体" w:cs="宋体"/>
          <w:b/>
          <w:color w:val="auto"/>
          <w:sz w:val="40"/>
          <w:szCs w:val="40"/>
          <w:highlight w:val="none"/>
          <w:lang w:val="en-US" w:eastAsia="zh-CN"/>
        </w:rPr>
        <w:t>项目名称：</w:t>
      </w:r>
      <w:r>
        <w:rPr>
          <w:rFonts w:hint="eastAsia" w:ascii="宋体" w:hAnsi="宋体" w:cs="宋体"/>
          <w:b/>
          <w:color w:val="auto"/>
          <w:sz w:val="40"/>
          <w:szCs w:val="40"/>
          <w:highlight w:val="none"/>
        </w:rPr>
        <w:t>高速公路重点车辆管理的识别</w:t>
      </w:r>
    </w:p>
    <w:p w14:paraId="20794DC2">
      <w:pPr>
        <w:keepNext w:val="0"/>
        <w:keepLines w:val="0"/>
        <w:pageBreakBefore w:val="0"/>
        <w:widowControl w:val="0"/>
        <w:kinsoku/>
        <w:wordWrap/>
        <w:overflowPunct/>
        <w:topLinePunct w:val="0"/>
        <w:autoSpaceDE/>
        <w:autoSpaceDN/>
        <w:bidi w:val="0"/>
        <w:adjustRightInd/>
        <w:snapToGrid/>
        <w:spacing w:line="900" w:lineRule="exact"/>
        <w:ind w:left="420" w:leftChars="200" w:right="420" w:rightChars="200"/>
        <w:jc w:val="center"/>
        <w:textAlignment w:val="auto"/>
        <w:rPr>
          <w:rFonts w:hint="eastAsia" w:ascii="宋体" w:hAnsi="宋体" w:eastAsia="宋体" w:cs="宋体"/>
          <w:b/>
          <w:color w:val="auto"/>
          <w:sz w:val="40"/>
          <w:szCs w:val="40"/>
          <w:highlight w:val="none"/>
          <w:lang w:eastAsia="zh-CN"/>
        </w:rPr>
      </w:pPr>
      <w:r>
        <w:rPr>
          <w:rFonts w:hint="eastAsia" w:ascii="宋体" w:hAnsi="宋体" w:cs="宋体"/>
          <w:b/>
          <w:color w:val="auto"/>
          <w:sz w:val="40"/>
          <w:szCs w:val="40"/>
          <w:highlight w:val="none"/>
        </w:rPr>
        <w:t>跟踪算法研究</w:t>
      </w:r>
    </w:p>
    <w:p w14:paraId="27A0AC31">
      <w:pPr>
        <w:rPr>
          <w:rFonts w:ascii="宋体" w:hAnsi="宋体" w:cs="宋体"/>
          <w:color w:val="auto"/>
          <w:sz w:val="28"/>
          <w:szCs w:val="28"/>
          <w:highlight w:val="none"/>
        </w:rPr>
      </w:pPr>
    </w:p>
    <w:p w14:paraId="725C312D">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630CB1BD">
      <w:pPr>
        <w:jc w:val="center"/>
        <w:rPr>
          <w:rFonts w:ascii="宋体" w:hAnsi="宋体" w:cs="宋体"/>
          <w:b/>
          <w:color w:val="auto"/>
          <w:sz w:val="48"/>
          <w:szCs w:val="48"/>
          <w:highlight w:val="none"/>
        </w:rPr>
      </w:pPr>
    </w:p>
    <w:p w14:paraId="140B8CF8">
      <w:pPr>
        <w:jc w:val="center"/>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3728E3DA">
      <w:pPr>
        <w:jc w:val="center"/>
        <w:rPr>
          <w:rFonts w:ascii="宋体" w:hAnsi="宋体" w:cs="宋体"/>
          <w:b/>
          <w:color w:val="auto"/>
          <w:sz w:val="48"/>
          <w:szCs w:val="48"/>
          <w:highlight w:val="none"/>
        </w:rPr>
      </w:pPr>
    </w:p>
    <w:p w14:paraId="6D01D25C">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09C52275">
      <w:pPr>
        <w:jc w:val="center"/>
        <w:rPr>
          <w:rFonts w:ascii="宋体" w:hAnsi="宋体" w:cs="宋体"/>
          <w:b/>
          <w:color w:val="auto"/>
          <w:sz w:val="48"/>
          <w:szCs w:val="48"/>
          <w:highlight w:val="none"/>
        </w:rPr>
      </w:pPr>
    </w:p>
    <w:p w14:paraId="7F14C4F1">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74FB29F8">
      <w:pPr>
        <w:jc w:val="center"/>
        <w:rPr>
          <w:rFonts w:ascii="宋体" w:hAnsi="宋体" w:cs="宋体"/>
          <w:b/>
          <w:color w:val="auto"/>
          <w:sz w:val="48"/>
          <w:szCs w:val="48"/>
          <w:highlight w:val="none"/>
        </w:rPr>
      </w:pPr>
    </w:p>
    <w:p w14:paraId="46CF800A">
      <w:pPr>
        <w:jc w:val="center"/>
        <w:rPr>
          <w:rFonts w:hint="eastAsia" w:ascii="宋体" w:hAnsi="宋体" w:eastAsia="宋体" w:cs="宋体"/>
          <w:b/>
          <w:color w:val="auto"/>
          <w:sz w:val="48"/>
          <w:szCs w:val="48"/>
          <w:highlight w:val="none"/>
          <w:lang w:val="en-US" w:eastAsia="zh-CN"/>
        </w:rPr>
      </w:pPr>
      <w:r>
        <w:rPr>
          <w:rFonts w:hint="eastAsia" w:ascii="宋体" w:hAnsi="宋体" w:cs="宋体"/>
          <w:b/>
          <w:color w:val="auto"/>
          <w:sz w:val="48"/>
          <w:szCs w:val="48"/>
          <w:highlight w:val="none"/>
        </w:rPr>
        <w:t>选</w:t>
      </w:r>
      <w:r>
        <w:rPr>
          <w:rFonts w:hint="eastAsia" w:ascii="宋体" w:hAnsi="宋体" w:cs="宋体"/>
          <w:b/>
          <w:color w:val="auto"/>
          <w:sz w:val="48"/>
          <w:szCs w:val="48"/>
          <w:highlight w:val="none"/>
          <w:lang w:val="en-US" w:eastAsia="zh-CN"/>
        </w:rPr>
        <w:t xml:space="preserve"> </w:t>
      </w:r>
    </w:p>
    <w:p w14:paraId="39AF039D">
      <w:pPr>
        <w:jc w:val="center"/>
        <w:rPr>
          <w:rFonts w:ascii="宋体" w:hAnsi="宋体" w:cs="宋体"/>
          <w:b/>
          <w:color w:val="auto"/>
          <w:sz w:val="48"/>
          <w:szCs w:val="48"/>
          <w:highlight w:val="none"/>
        </w:rPr>
      </w:pPr>
    </w:p>
    <w:p w14:paraId="3FA356A0">
      <w:pPr>
        <w:jc w:val="center"/>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3EA44DDA">
      <w:pPr>
        <w:jc w:val="center"/>
        <w:rPr>
          <w:rFonts w:ascii="宋体" w:hAnsi="宋体" w:cs="宋体"/>
          <w:b/>
          <w:color w:val="auto"/>
          <w:sz w:val="48"/>
          <w:szCs w:val="48"/>
          <w:highlight w:val="none"/>
        </w:rPr>
      </w:pPr>
    </w:p>
    <w:p w14:paraId="545215D4">
      <w:pPr>
        <w:jc w:val="center"/>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5CBB4FEE">
      <w:pPr>
        <w:spacing w:line="400" w:lineRule="exact"/>
        <w:rPr>
          <w:rFonts w:ascii="宋体" w:hAnsi="宋体" w:cs="宋体"/>
          <w:color w:val="auto"/>
          <w:highlight w:val="none"/>
        </w:rPr>
      </w:pPr>
    </w:p>
    <w:p w14:paraId="3BAF0526">
      <w:pPr>
        <w:rPr>
          <w:color w:val="auto"/>
          <w:highlight w:val="none"/>
        </w:rPr>
      </w:pPr>
    </w:p>
    <w:p w14:paraId="3DA96605">
      <w:pPr>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采购人：重庆首讯科技股份有限公司</w:t>
      </w:r>
    </w:p>
    <w:p w14:paraId="24ABFFC7">
      <w:pPr>
        <w:jc w:val="center"/>
        <w:rPr>
          <w:rFonts w:hint="eastAsia" w:ascii="宋体" w:hAnsi="宋体" w:cs="宋体"/>
          <w:b/>
          <w:color w:val="auto"/>
          <w:sz w:val="32"/>
          <w:szCs w:val="32"/>
          <w:highlight w:val="none"/>
          <w:u w:val="single"/>
        </w:rPr>
      </w:pPr>
    </w:p>
    <w:p w14:paraId="76370CC5">
      <w:pPr>
        <w:jc w:val="center"/>
        <w:rPr>
          <w:rFonts w:ascii="宋体" w:hAnsi="宋体" w:cs="宋体"/>
          <w:b/>
          <w:color w:val="auto"/>
          <w:sz w:val="32"/>
          <w:szCs w:val="32"/>
          <w:highlight w:val="none"/>
        </w:rPr>
      </w:pPr>
      <w:bookmarkStart w:id="0" w:name="审批结束月份"/>
      <w:r>
        <w:rPr>
          <w:rFonts w:hint="eastAsia" w:ascii="宋体" w:hAnsi="宋体" w:cs="宋体"/>
          <w:b/>
          <w:color w:val="auto"/>
          <w:sz w:val="28"/>
          <w:szCs w:val="28"/>
          <w:highlight w:val="none"/>
        </w:rPr>
        <w:t>2025</w:t>
      </w:r>
      <w:r>
        <w:rPr>
          <w:rFonts w:hint="eastAsia" w:ascii="宋体" w:hAnsi="宋体" w:cs="宋体"/>
          <w:b/>
          <w:color w:val="auto"/>
          <w:sz w:val="28"/>
          <w:szCs w:val="28"/>
          <w:highlight w:val="none"/>
          <w:lang w:val="en-US" w:eastAsia="zh-CN"/>
        </w:rPr>
        <w:t>年</w:t>
      </w:r>
      <w:bookmarkEnd w:id="0"/>
      <w:r>
        <w:rPr>
          <w:rFonts w:hint="eastAsia" w:ascii="宋体" w:hAnsi="宋体" w:cs="宋体"/>
          <w:b/>
          <w:color w:val="auto"/>
          <w:sz w:val="28"/>
          <w:szCs w:val="28"/>
          <w:highlight w:val="none"/>
          <w:lang w:val="en-US" w:eastAsia="zh-CN"/>
        </w:rPr>
        <w:t>4月</w:t>
      </w:r>
    </w:p>
    <w:p w14:paraId="69FF32B6">
      <w:pPr>
        <w:pStyle w:val="29"/>
        <w:jc w:val="center"/>
        <w:rPr>
          <w:rFonts w:ascii="宋体" w:hAnsi="宋体" w:cs="宋体"/>
          <w:color w:val="auto"/>
          <w:szCs w:val="21"/>
          <w:highlight w:val="none"/>
        </w:rPr>
      </w:pPr>
      <w:r>
        <w:rPr>
          <w:color w:val="auto"/>
          <w:highlight w:val="none"/>
        </w:rPr>
        <w:br w:type="page"/>
      </w:r>
      <w:bookmarkStart w:id="1" w:name="_Toc507319889"/>
      <w:bookmarkStart w:id="2" w:name="_Toc246996898"/>
      <w:bookmarkStart w:id="3" w:name="_Toc247085669"/>
      <w:bookmarkStart w:id="4" w:name="_Toc507428442"/>
      <w:bookmarkStart w:id="5" w:name="_Toc296602400"/>
      <w:r>
        <w:rPr>
          <w:rFonts w:hint="eastAsia" w:ascii="宋体" w:hAnsi="宋体" w:cs="宋体"/>
          <w:b w:val="0"/>
          <w:color w:val="auto"/>
          <w:sz w:val="32"/>
          <w:highlight w:val="none"/>
        </w:rPr>
        <w:t>目   录</w:t>
      </w:r>
      <w:bookmarkEnd w:id="1"/>
      <w:bookmarkEnd w:id="2"/>
      <w:bookmarkEnd w:id="3"/>
      <w:bookmarkEnd w:id="4"/>
      <w:bookmarkEnd w:id="5"/>
    </w:p>
    <w:p w14:paraId="66671F09">
      <w:pPr>
        <w:pStyle w:val="29"/>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color w:val="auto"/>
          <w:highlight w:val="none"/>
        </w:rPr>
        <w:instrText xml:space="preserve"> HYPERLINK \l _Toc24365 </w:instrText>
      </w:r>
      <w:r>
        <w:rPr>
          <w:rFonts w:hint="eastAsia" w:ascii="宋体" w:hAnsi="宋体" w:cs="宋体"/>
          <w:bCs w:val="0"/>
          <w:caps w:val="0"/>
          <w:color w:val="auto"/>
          <w:highlight w:val="none"/>
        </w:rPr>
        <w:fldChar w:fldCharType="separate"/>
      </w:r>
      <w:r>
        <w:rPr>
          <w:rFonts w:hint="eastAsia" w:ascii="宋体" w:hAnsi="宋体" w:eastAsia="宋体" w:cs="宋体"/>
          <w:bCs/>
          <w:smallCaps w:val="0"/>
          <w:color w:val="auto"/>
          <w:kern w:val="44"/>
          <w:szCs w:val="44"/>
          <w:highlight w:val="none"/>
          <w:lang w:val="en-US" w:eastAsia="zh-CN" w:bidi="ar-SA"/>
        </w:rPr>
        <w:t>第一章 比选公告</w:t>
      </w:r>
      <w:r>
        <w:rPr>
          <w:color w:val="auto"/>
          <w:highlight w:val="none"/>
        </w:rPr>
        <w:tab/>
      </w:r>
      <w:r>
        <w:rPr>
          <w:color w:val="auto"/>
          <w:highlight w:val="none"/>
        </w:rPr>
        <w:fldChar w:fldCharType="begin"/>
      </w:r>
      <w:r>
        <w:rPr>
          <w:color w:val="auto"/>
          <w:highlight w:val="none"/>
        </w:rPr>
        <w:instrText xml:space="preserve"> PAGEREF _Toc24365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val="0"/>
          <w:caps w:val="0"/>
          <w:color w:val="auto"/>
          <w:highlight w:val="none"/>
        </w:rPr>
        <w:fldChar w:fldCharType="end"/>
      </w:r>
    </w:p>
    <w:p w14:paraId="079B756D">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_Toc19594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1. 比选条件</w:t>
      </w:r>
      <w:r>
        <w:rPr>
          <w:color w:val="auto"/>
          <w:highlight w:val="none"/>
        </w:rPr>
        <w:tab/>
      </w:r>
      <w:r>
        <w:rPr>
          <w:color w:val="auto"/>
          <w:highlight w:val="none"/>
        </w:rPr>
        <w:fldChar w:fldCharType="begin"/>
      </w:r>
      <w:r>
        <w:rPr>
          <w:color w:val="auto"/>
          <w:highlight w:val="none"/>
        </w:rPr>
        <w:instrText xml:space="preserve"> PAGEREF _Toc19594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3BC61DBF">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_Toc21753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2. 项目概况与比选范围</w:t>
      </w:r>
      <w:r>
        <w:rPr>
          <w:color w:val="auto"/>
          <w:highlight w:val="none"/>
        </w:rPr>
        <w:tab/>
      </w:r>
      <w:r>
        <w:rPr>
          <w:color w:val="auto"/>
          <w:highlight w:val="none"/>
        </w:rPr>
        <w:fldChar w:fldCharType="begin"/>
      </w:r>
      <w:r>
        <w:rPr>
          <w:color w:val="auto"/>
          <w:highlight w:val="none"/>
        </w:rPr>
        <w:instrText xml:space="preserve"> PAGEREF _Toc21753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4B6EC5C9">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_Toc19784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3. 报价人资格要求</w:t>
      </w:r>
      <w:r>
        <w:rPr>
          <w:color w:val="auto"/>
          <w:highlight w:val="none"/>
        </w:rPr>
        <w:tab/>
      </w:r>
      <w:r>
        <w:rPr>
          <w:color w:val="auto"/>
          <w:highlight w:val="none"/>
        </w:rPr>
        <w:fldChar w:fldCharType="begin"/>
      </w:r>
      <w:r>
        <w:rPr>
          <w:color w:val="auto"/>
          <w:highlight w:val="none"/>
        </w:rPr>
        <w:instrText xml:space="preserve"> PAGEREF _Toc19784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14:paraId="1DC0E6B2">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_Toc26106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4. 评标办法</w:t>
      </w:r>
      <w:r>
        <w:rPr>
          <w:color w:val="auto"/>
          <w:highlight w:val="none"/>
        </w:rPr>
        <w:tab/>
      </w:r>
      <w:r>
        <w:rPr>
          <w:color w:val="auto"/>
          <w:highlight w:val="none"/>
        </w:rPr>
        <w:fldChar w:fldCharType="begin"/>
      </w:r>
      <w:r>
        <w:rPr>
          <w:color w:val="auto"/>
          <w:highlight w:val="none"/>
        </w:rPr>
        <w:instrText xml:space="preserve"> PAGEREF _Toc26106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4C3F9157">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_Toc13238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r>
        <w:rPr>
          <w:color w:val="auto"/>
          <w:highlight w:val="none"/>
        </w:rPr>
        <w:tab/>
      </w:r>
      <w:r>
        <w:rPr>
          <w:color w:val="auto"/>
          <w:highlight w:val="none"/>
        </w:rPr>
        <w:fldChar w:fldCharType="begin"/>
      </w:r>
      <w:r>
        <w:rPr>
          <w:color w:val="auto"/>
          <w:highlight w:val="none"/>
        </w:rPr>
        <w:instrText xml:space="preserve"> PAGEREF _Toc13238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2A3DBA47">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_Toc27901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竞争性比选响应文件的递交及相关事宜</w:t>
      </w:r>
      <w:r>
        <w:rPr>
          <w:color w:val="auto"/>
          <w:highlight w:val="none"/>
        </w:rPr>
        <w:tab/>
      </w:r>
      <w:r>
        <w:rPr>
          <w:color w:val="auto"/>
          <w:highlight w:val="none"/>
        </w:rPr>
        <w:fldChar w:fldCharType="begin"/>
      </w:r>
      <w:r>
        <w:rPr>
          <w:color w:val="auto"/>
          <w:highlight w:val="none"/>
        </w:rPr>
        <w:instrText xml:space="preserve"> PAGEREF _Toc27901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3983DDF1">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_Toc23527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r>
        <w:rPr>
          <w:color w:val="auto"/>
          <w:highlight w:val="none"/>
        </w:rPr>
        <w:tab/>
      </w:r>
      <w:r>
        <w:rPr>
          <w:color w:val="auto"/>
          <w:highlight w:val="none"/>
        </w:rPr>
        <w:fldChar w:fldCharType="begin"/>
      </w:r>
      <w:r>
        <w:rPr>
          <w:color w:val="auto"/>
          <w:highlight w:val="none"/>
        </w:rPr>
        <w:instrText xml:space="preserve"> PAGEREF _Toc23527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bCs/>
          <w:caps/>
          <w:color w:val="auto"/>
          <w:highlight w:val="none"/>
        </w:rPr>
        <w:fldChar w:fldCharType="end"/>
      </w:r>
    </w:p>
    <w:p w14:paraId="6463DAEF">
      <w:pPr>
        <w:pStyle w:val="29"/>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_Toc30809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_Toc30809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bCs/>
          <w:caps/>
          <w:color w:val="auto"/>
          <w:highlight w:val="none"/>
        </w:rPr>
        <w:fldChar w:fldCharType="end"/>
      </w:r>
    </w:p>
    <w:p w14:paraId="5B71F6F4">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_Toc31520 </w:instrText>
      </w:r>
      <w:r>
        <w:rPr>
          <w:rFonts w:hint="eastAsia" w:ascii="宋体" w:hAnsi="宋体" w:cs="宋体"/>
          <w:bCs/>
          <w:caps/>
          <w:color w:val="auto"/>
          <w:highlight w:val="none"/>
        </w:rPr>
        <w:fldChar w:fldCharType="separate"/>
      </w:r>
      <w:r>
        <w:rPr>
          <w:rFonts w:hint="eastAsia" w:ascii="宋体" w:hAnsi="宋体" w:eastAsia="宋体" w:cs="宋体"/>
          <w:color w:val="auto"/>
          <w:szCs w:val="28"/>
          <w:highlight w:val="none"/>
        </w:rPr>
        <w:t xml:space="preserve">附录1  </w:t>
      </w:r>
      <w:r>
        <w:rPr>
          <w:rFonts w:hint="eastAsia" w:ascii="宋体" w:hAnsi="宋体" w:eastAsia="宋体" w:cs="宋体"/>
          <w:bCs w:val="0"/>
          <w:color w:val="auto"/>
          <w:szCs w:val="28"/>
          <w:highlight w:val="none"/>
        </w:rPr>
        <w:t>报价人资格要求</w:t>
      </w:r>
      <w:r>
        <w:rPr>
          <w:color w:val="auto"/>
          <w:highlight w:val="none"/>
        </w:rPr>
        <w:tab/>
      </w:r>
      <w:r>
        <w:rPr>
          <w:color w:val="auto"/>
          <w:highlight w:val="none"/>
        </w:rPr>
        <w:fldChar w:fldCharType="begin"/>
      </w:r>
      <w:r>
        <w:rPr>
          <w:color w:val="auto"/>
          <w:highlight w:val="none"/>
        </w:rPr>
        <w:instrText xml:space="preserve"> PAGEREF _Toc31520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cs="宋体"/>
          <w:bCs/>
          <w:caps/>
          <w:color w:val="auto"/>
          <w:highlight w:val="none"/>
        </w:rPr>
        <w:fldChar w:fldCharType="end"/>
      </w:r>
    </w:p>
    <w:p w14:paraId="4074B555">
      <w:pPr>
        <w:pStyle w:val="29"/>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_Toc28519 </w:instrText>
      </w:r>
      <w:r>
        <w:rPr>
          <w:rFonts w:hint="eastAsia" w:ascii="宋体" w:hAnsi="宋体" w:cs="宋体"/>
          <w:bCs/>
          <w:caps/>
          <w:color w:val="auto"/>
          <w:highlight w:val="none"/>
        </w:rPr>
        <w:fldChar w:fldCharType="separate"/>
      </w:r>
      <w:r>
        <w:rPr>
          <w:rFonts w:hint="eastAsia"/>
          <w:color w:val="auto"/>
          <w:highlight w:val="none"/>
        </w:rPr>
        <w:t xml:space="preserve">第三章 </w:t>
      </w:r>
      <w:r>
        <w:rPr>
          <w:rFonts w:hint="eastAsia" w:ascii="宋体" w:hAnsi="宋体" w:cs="宋体"/>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_Toc28519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bCs/>
          <w:caps/>
          <w:color w:val="auto"/>
          <w:highlight w:val="none"/>
        </w:rPr>
        <w:fldChar w:fldCharType="end"/>
      </w:r>
    </w:p>
    <w:p w14:paraId="4D98ED56">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_Toc19953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1.  评标方法</w:t>
      </w:r>
      <w:r>
        <w:rPr>
          <w:color w:val="auto"/>
          <w:highlight w:val="none"/>
        </w:rPr>
        <w:tab/>
      </w:r>
      <w:r>
        <w:rPr>
          <w:color w:val="auto"/>
          <w:highlight w:val="none"/>
        </w:rPr>
        <w:fldChar w:fldCharType="begin"/>
      </w:r>
      <w:r>
        <w:rPr>
          <w:color w:val="auto"/>
          <w:highlight w:val="none"/>
        </w:rPr>
        <w:instrText xml:space="preserve"> PAGEREF _Toc19953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aps/>
          <w:color w:val="auto"/>
          <w:highlight w:val="none"/>
        </w:rPr>
        <w:fldChar w:fldCharType="end"/>
      </w:r>
    </w:p>
    <w:p w14:paraId="0C44949A">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_Toc11425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2.  评审标准</w:t>
      </w:r>
      <w:r>
        <w:rPr>
          <w:color w:val="auto"/>
          <w:highlight w:val="none"/>
        </w:rPr>
        <w:tab/>
      </w:r>
      <w:r>
        <w:rPr>
          <w:color w:val="auto"/>
          <w:highlight w:val="none"/>
        </w:rPr>
        <w:fldChar w:fldCharType="begin"/>
      </w:r>
      <w:r>
        <w:rPr>
          <w:color w:val="auto"/>
          <w:highlight w:val="none"/>
        </w:rPr>
        <w:instrText xml:space="preserve"> PAGEREF _Toc11425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aps/>
          <w:color w:val="auto"/>
          <w:highlight w:val="none"/>
        </w:rPr>
        <w:fldChar w:fldCharType="end"/>
      </w:r>
    </w:p>
    <w:p w14:paraId="0D0403C0">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_Toc23638 </w:instrText>
      </w:r>
      <w:r>
        <w:rPr>
          <w:rFonts w:hint="eastAsia" w:ascii="宋体" w:hAnsi="宋体" w:cs="宋体"/>
          <w:bCs/>
          <w:caps/>
          <w:color w:val="auto"/>
          <w:highlight w:val="none"/>
        </w:rPr>
        <w:fldChar w:fldCharType="separate"/>
      </w:r>
      <w:r>
        <w:rPr>
          <w:rFonts w:hint="eastAsia" w:ascii="宋体" w:hAnsi="宋体" w:cs="宋体"/>
          <w:color w:val="auto"/>
          <w:szCs w:val="21"/>
          <w:highlight w:val="none"/>
        </w:rPr>
        <w:t>3.  评标程序</w:t>
      </w:r>
      <w:r>
        <w:rPr>
          <w:color w:val="auto"/>
          <w:highlight w:val="none"/>
        </w:rPr>
        <w:tab/>
      </w:r>
      <w:r>
        <w:rPr>
          <w:color w:val="auto"/>
          <w:highlight w:val="none"/>
        </w:rPr>
        <w:fldChar w:fldCharType="begin"/>
      </w:r>
      <w:r>
        <w:rPr>
          <w:color w:val="auto"/>
          <w:highlight w:val="none"/>
        </w:rPr>
        <w:instrText xml:space="preserve"> PAGEREF _Toc23638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cs="宋体"/>
          <w:bCs/>
          <w:caps/>
          <w:color w:val="auto"/>
          <w:highlight w:val="none"/>
        </w:rPr>
        <w:fldChar w:fldCharType="end"/>
      </w:r>
    </w:p>
    <w:p w14:paraId="23E588DE">
      <w:pPr>
        <w:pStyle w:val="29"/>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_Toc31196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color w:val="auto"/>
          <w:highlight w:val="none"/>
        </w:rPr>
        <w:tab/>
      </w:r>
      <w:r>
        <w:rPr>
          <w:color w:val="auto"/>
          <w:highlight w:val="none"/>
        </w:rPr>
        <w:fldChar w:fldCharType="begin"/>
      </w:r>
      <w:r>
        <w:rPr>
          <w:color w:val="auto"/>
          <w:highlight w:val="none"/>
        </w:rPr>
        <w:instrText xml:space="preserve"> PAGEREF _Toc31196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cs="宋体"/>
          <w:bCs/>
          <w:caps/>
          <w:color w:val="auto"/>
          <w:highlight w:val="none"/>
        </w:rPr>
        <w:fldChar w:fldCharType="end"/>
      </w:r>
    </w:p>
    <w:p w14:paraId="7B7247DF">
      <w:pPr>
        <w:pStyle w:val="29"/>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_Toc11144 </w:instrText>
      </w:r>
      <w:r>
        <w:rPr>
          <w:rFonts w:hint="eastAsia" w:ascii="宋体" w:hAnsi="宋体" w:cs="宋体"/>
          <w:bCs/>
          <w:caps/>
          <w:color w:val="auto"/>
          <w:highlight w:val="none"/>
        </w:rPr>
        <w:fldChar w:fldCharType="separate"/>
      </w:r>
      <w:r>
        <w:rPr>
          <w:rFonts w:hint="eastAsia" w:ascii="宋体" w:hAnsi="宋体" w:eastAsia="宋体" w:cs="宋体"/>
          <w:bCs/>
          <w:color w:val="auto"/>
          <w:kern w:val="44"/>
          <w:szCs w:val="44"/>
          <w:highlight w:val="none"/>
          <w:lang w:val="en-US" w:eastAsia="zh-CN" w:bidi="ar-SA"/>
        </w:rPr>
        <w:t>第五章  合同范本</w:t>
      </w:r>
      <w:r>
        <w:rPr>
          <w:color w:val="auto"/>
          <w:highlight w:val="none"/>
        </w:rPr>
        <w:tab/>
      </w:r>
      <w:r>
        <w:rPr>
          <w:color w:val="auto"/>
          <w:highlight w:val="none"/>
        </w:rPr>
        <w:fldChar w:fldCharType="begin"/>
      </w:r>
      <w:r>
        <w:rPr>
          <w:color w:val="auto"/>
          <w:highlight w:val="none"/>
        </w:rPr>
        <w:instrText xml:space="preserve"> PAGEREF _Toc11144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bCs/>
          <w:caps/>
          <w:color w:val="auto"/>
          <w:highlight w:val="none"/>
        </w:rPr>
        <w:fldChar w:fldCharType="end"/>
      </w:r>
    </w:p>
    <w:p w14:paraId="52A6F1EA">
      <w:pPr>
        <w:pStyle w:val="29"/>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_Toc1853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_Toc1853 \h </w:instrText>
      </w:r>
      <w:r>
        <w:rPr>
          <w:color w:val="auto"/>
          <w:highlight w:val="none"/>
        </w:rPr>
        <w:fldChar w:fldCharType="separate"/>
      </w:r>
      <w:r>
        <w:rPr>
          <w:color w:val="auto"/>
          <w:highlight w:val="none"/>
        </w:rPr>
        <w:t>52</w:t>
      </w:r>
      <w:r>
        <w:rPr>
          <w:color w:val="auto"/>
          <w:highlight w:val="none"/>
        </w:rPr>
        <w:fldChar w:fldCharType="end"/>
      </w:r>
      <w:r>
        <w:rPr>
          <w:rFonts w:hint="eastAsia" w:ascii="宋体" w:hAnsi="宋体" w:cs="宋体"/>
          <w:bCs/>
          <w:caps/>
          <w:color w:val="auto"/>
          <w:highlight w:val="none"/>
        </w:rPr>
        <w:fldChar w:fldCharType="end"/>
      </w:r>
    </w:p>
    <w:p w14:paraId="4D09B20A">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_Toc13218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一、 竞争比选响应声明书</w:t>
      </w:r>
      <w:r>
        <w:rPr>
          <w:color w:val="auto"/>
          <w:highlight w:val="none"/>
        </w:rPr>
        <w:tab/>
      </w:r>
      <w:r>
        <w:rPr>
          <w:color w:val="auto"/>
          <w:highlight w:val="none"/>
        </w:rPr>
        <w:fldChar w:fldCharType="begin"/>
      </w:r>
      <w:r>
        <w:rPr>
          <w:color w:val="auto"/>
          <w:highlight w:val="none"/>
        </w:rPr>
        <w:instrText xml:space="preserve"> PAGEREF _Toc13218 \h </w:instrText>
      </w:r>
      <w:r>
        <w:rPr>
          <w:color w:val="auto"/>
          <w:highlight w:val="none"/>
        </w:rPr>
        <w:fldChar w:fldCharType="separate"/>
      </w:r>
      <w:r>
        <w:rPr>
          <w:color w:val="auto"/>
          <w:highlight w:val="none"/>
        </w:rPr>
        <w:t>55</w:t>
      </w:r>
      <w:r>
        <w:rPr>
          <w:color w:val="auto"/>
          <w:highlight w:val="none"/>
        </w:rPr>
        <w:fldChar w:fldCharType="end"/>
      </w:r>
      <w:r>
        <w:rPr>
          <w:rFonts w:hint="eastAsia" w:ascii="宋体" w:hAnsi="宋体" w:cs="宋体"/>
          <w:bCs/>
          <w:caps/>
          <w:color w:val="auto"/>
          <w:highlight w:val="none"/>
        </w:rPr>
        <w:fldChar w:fldCharType="end"/>
      </w:r>
    </w:p>
    <w:p w14:paraId="00F0C369">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_Toc31442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二、 法定代表人身份证明或法定代表人授权委托书</w:t>
      </w:r>
      <w:r>
        <w:rPr>
          <w:color w:val="auto"/>
          <w:highlight w:val="none"/>
        </w:rPr>
        <w:tab/>
      </w:r>
      <w:r>
        <w:rPr>
          <w:color w:val="auto"/>
          <w:highlight w:val="none"/>
        </w:rPr>
        <w:fldChar w:fldCharType="begin"/>
      </w:r>
      <w:r>
        <w:rPr>
          <w:color w:val="auto"/>
          <w:highlight w:val="none"/>
        </w:rPr>
        <w:instrText xml:space="preserve"> PAGEREF _Toc31442 \h </w:instrText>
      </w:r>
      <w:r>
        <w:rPr>
          <w:color w:val="auto"/>
          <w:highlight w:val="none"/>
        </w:rPr>
        <w:fldChar w:fldCharType="separate"/>
      </w:r>
      <w:r>
        <w:rPr>
          <w:color w:val="auto"/>
          <w:highlight w:val="none"/>
        </w:rPr>
        <w:t>56</w:t>
      </w:r>
      <w:r>
        <w:rPr>
          <w:color w:val="auto"/>
          <w:highlight w:val="none"/>
        </w:rPr>
        <w:fldChar w:fldCharType="end"/>
      </w:r>
      <w:r>
        <w:rPr>
          <w:rFonts w:hint="eastAsia" w:ascii="宋体" w:hAnsi="宋体" w:cs="宋体"/>
          <w:bCs/>
          <w:caps/>
          <w:color w:val="auto"/>
          <w:highlight w:val="none"/>
        </w:rPr>
        <w:fldChar w:fldCharType="end"/>
      </w:r>
    </w:p>
    <w:p w14:paraId="431F32EB">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_Toc24407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三、报价一览表</w:t>
      </w:r>
      <w:r>
        <w:rPr>
          <w:color w:val="auto"/>
          <w:highlight w:val="none"/>
        </w:rPr>
        <w:tab/>
      </w:r>
      <w:r>
        <w:rPr>
          <w:color w:val="auto"/>
          <w:highlight w:val="none"/>
        </w:rPr>
        <w:fldChar w:fldCharType="begin"/>
      </w:r>
      <w:r>
        <w:rPr>
          <w:color w:val="auto"/>
          <w:highlight w:val="none"/>
        </w:rPr>
        <w:instrText xml:space="preserve"> PAGEREF _Toc24407 \h </w:instrText>
      </w:r>
      <w:r>
        <w:rPr>
          <w:color w:val="auto"/>
          <w:highlight w:val="none"/>
        </w:rPr>
        <w:fldChar w:fldCharType="separate"/>
      </w:r>
      <w:r>
        <w:rPr>
          <w:color w:val="auto"/>
          <w:highlight w:val="none"/>
        </w:rPr>
        <w:t>58</w:t>
      </w:r>
      <w:r>
        <w:rPr>
          <w:color w:val="auto"/>
          <w:highlight w:val="none"/>
        </w:rPr>
        <w:fldChar w:fldCharType="end"/>
      </w:r>
      <w:r>
        <w:rPr>
          <w:rFonts w:hint="eastAsia" w:ascii="宋体" w:hAnsi="宋体" w:cs="宋体"/>
          <w:bCs/>
          <w:caps/>
          <w:color w:val="auto"/>
          <w:highlight w:val="none"/>
        </w:rPr>
        <w:fldChar w:fldCharType="end"/>
      </w:r>
    </w:p>
    <w:p w14:paraId="4223F98E">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_Toc26104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_Toc26104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cs="宋体"/>
          <w:bCs/>
          <w:caps/>
          <w:color w:val="auto"/>
          <w:highlight w:val="none"/>
        </w:rPr>
        <w:fldChar w:fldCharType="end"/>
      </w:r>
    </w:p>
    <w:p w14:paraId="3E9FE651">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_Toc20026 </w:instrText>
      </w:r>
      <w:r>
        <w:rPr>
          <w:rFonts w:hint="eastAsia" w:ascii="宋体" w:hAnsi="宋体" w:cs="宋体"/>
          <w:bCs/>
          <w:caps/>
          <w:color w:val="auto"/>
          <w:highlight w:val="none"/>
        </w:rPr>
        <w:fldChar w:fldCharType="separate"/>
      </w:r>
      <w:r>
        <w:rPr>
          <w:rFonts w:hint="eastAsia" w:ascii="宋体" w:hAnsi="宋体" w:eastAsia="宋体" w:cs="宋体"/>
          <w:color w:val="auto"/>
          <w:highlight w:val="none"/>
        </w:rPr>
        <w:t>五、报价人承诺</w:t>
      </w:r>
      <w:r>
        <w:rPr>
          <w:color w:val="auto"/>
          <w:highlight w:val="none"/>
        </w:rPr>
        <w:tab/>
      </w:r>
      <w:r>
        <w:rPr>
          <w:color w:val="auto"/>
          <w:highlight w:val="none"/>
        </w:rPr>
        <w:fldChar w:fldCharType="begin"/>
      </w:r>
      <w:r>
        <w:rPr>
          <w:color w:val="auto"/>
          <w:highlight w:val="none"/>
        </w:rPr>
        <w:instrText xml:space="preserve"> PAGEREF _Toc20026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cs="宋体"/>
          <w:bCs/>
          <w:caps/>
          <w:color w:val="auto"/>
          <w:highlight w:val="none"/>
        </w:rPr>
        <w:fldChar w:fldCharType="end"/>
      </w:r>
    </w:p>
    <w:p w14:paraId="37BEE66F">
      <w:pPr>
        <w:pStyle w:val="35"/>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_Toc5878 </w:instrText>
      </w:r>
      <w:r>
        <w:rPr>
          <w:rFonts w:hint="eastAsia" w:ascii="宋体" w:hAnsi="宋体" w:cs="宋体"/>
          <w:bCs/>
          <w:caps/>
          <w:color w:val="auto"/>
          <w:highlight w:val="none"/>
        </w:rPr>
        <w:fldChar w:fldCharType="separate"/>
      </w:r>
      <w:r>
        <w:rPr>
          <w:rFonts w:hint="eastAsia" w:ascii="宋体" w:hAnsi="宋体" w:eastAsia="宋体" w:cs="宋体"/>
          <w:bCs/>
          <w:color w:val="auto"/>
          <w:kern w:val="0"/>
          <w:szCs w:val="32"/>
          <w:highlight w:val="none"/>
          <w:lang w:val="en-US" w:eastAsia="zh-CN" w:bidi="ar-SA"/>
        </w:rPr>
        <w:t>六、报价人其他资料</w:t>
      </w:r>
      <w:r>
        <w:rPr>
          <w:color w:val="auto"/>
          <w:highlight w:val="none"/>
        </w:rPr>
        <w:tab/>
      </w:r>
      <w:r>
        <w:rPr>
          <w:color w:val="auto"/>
          <w:highlight w:val="none"/>
        </w:rPr>
        <w:fldChar w:fldCharType="begin"/>
      </w:r>
      <w:r>
        <w:rPr>
          <w:color w:val="auto"/>
          <w:highlight w:val="none"/>
        </w:rPr>
        <w:instrText xml:space="preserve"> PAGEREF _Toc5878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cs="宋体"/>
          <w:bCs/>
          <w:caps/>
          <w:color w:val="auto"/>
          <w:highlight w:val="none"/>
        </w:rPr>
        <w:fldChar w:fldCharType="end"/>
      </w:r>
    </w:p>
    <w:p w14:paraId="1B44BA3F">
      <w:pPr>
        <w:pStyle w:val="35"/>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6" w:name="_Toc144974479"/>
      <w:bookmarkStart w:id="7" w:name="_Toc2000404"/>
      <w:bookmarkStart w:id="8" w:name="_Toc247096243"/>
      <w:bookmarkStart w:id="9" w:name="_Toc179632527"/>
      <w:bookmarkStart w:id="10" w:name="_Toc246996157"/>
      <w:bookmarkStart w:id="11" w:name="_Toc152042287"/>
      <w:bookmarkStart w:id="12" w:name="_Toc247085671"/>
      <w:bookmarkStart w:id="13" w:name="_Toc507319890"/>
      <w:bookmarkStart w:id="14" w:name="_Toc246996900"/>
      <w:bookmarkStart w:id="15" w:name="_Toc152045511"/>
    </w:p>
    <w:p w14:paraId="1F7421CD">
      <w:pPr>
        <w:pStyle w:val="35"/>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6" w:name="_Toc24365"/>
      <w:r>
        <w:rPr>
          <w:rFonts w:hint="eastAsia" w:ascii="宋体" w:hAnsi="宋体" w:eastAsia="宋体" w:cs="宋体"/>
          <w:b/>
          <w:bCs/>
          <w:smallCaps w:val="0"/>
          <w:color w:val="auto"/>
          <w:kern w:val="44"/>
          <w:sz w:val="44"/>
          <w:szCs w:val="44"/>
          <w:highlight w:val="none"/>
          <w:lang w:val="en-US" w:eastAsia="zh-CN" w:bidi="ar-SA"/>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eastAsia="宋体" w:cs="宋体"/>
          <w:b/>
          <w:bCs/>
          <w:smallCaps w:val="0"/>
          <w:color w:val="auto"/>
          <w:kern w:val="44"/>
          <w:sz w:val="44"/>
          <w:szCs w:val="44"/>
          <w:highlight w:val="none"/>
          <w:lang w:val="en-US" w:eastAsia="zh-CN" w:bidi="ar-SA"/>
        </w:rPr>
        <w:t>比选公告</w:t>
      </w:r>
      <w:bookmarkEnd w:id="16"/>
    </w:p>
    <w:p w14:paraId="544A7BAD">
      <w:pPr>
        <w:spacing w:line="440" w:lineRule="exact"/>
        <w:jc w:val="center"/>
        <w:rPr>
          <w:rFonts w:ascii="宋体" w:hAnsi="宋体" w:cs="宋体"/>
          <w:b/>
          <w:color w:val="auto"/>
          <w:sz w:val="28"/>
          <w:szCs w:val="28"/>
          <w:highlight w:val="none"/>
        </w:rPr>
      </w:pPr>
      <w:bookmarkStart w:id="17" w:name="OLE_LINK2"/>
      <w:bookmarkStart w:id="18" w:name="OLE_LINK3"/>
    </w:p>
    <w:p w14:paraId="1A6D147C">
      <w:pPr>
        <w:pStyle w:val="3"/>
        <w:spacing w:before="0" w:after="0" w:line="360" w:lineRule="auto"/>
        <w:rPr>
          <w:rFonts w:ascii="宋体" w:hAnsi="宋体" w:eastAsia="宋体" w:cs="宋体"/>
          <w:color w:val="auto"/>
          <w:highlight w:val="none"/>
        </w:rPr>
      </w:pPr>
      <w:bookmarkStart w:id="19" w:name="_Toc152045512"/>
      <w:bookmarkStart w:id="20" w:name="_Toc179632528"/>
      <w:bookmarkStart w:id="21" w:name="_Toc246996158"/>
      <w:bookmarkStart w:id="22" w:name="_Toc246996901"/>
      <w:bookmarkStart w:id="23" w:name="_Toc144974480"/>
      <w:bookmarkStart w:id="24" w:name="_Toc507319891"/>
      <w:bookmarkStart w:id="25" w:name="_Toc152042288"/>
      <w:bookmarkStart w:id="26" w:name="_Toc247085672"/>
      <w:bookmarkStart w:id="27" w:name="_Toc24874"/>
      <w:bookmarkStart w:id="28" w:name="_Toc19594"/>
      <w:bookmarkStart w:id="29" w:name="_Toc10076"/>
      <w:bookmarkStart w:id="30" w:name="_Toc11329213"/>
      <w:bookmarkStart w:id="31" w:name="_Toc6549"/>
      <w:r>
        <w:rPr>
          <w:rFonts w:hint="eastAsia" w:ascii="宋体" w:hAnsi="宋体" w:eastAsia="宋体" w:cs="宋体"/>
          <w:color w:val="auto"/>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14:paraId="655AA67D">
      <w:pPr>
        <w:spacing w:line="400" w:lineRule="exact"/>
        <w:rPr>
          <w:rFonts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val="en-US" w:eastAsia="zh-CN"/>
        </w:rPr>
        <w:t>高速公路重点车辆管理的识别跟踪算法研究</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重庆首讯科技股份有限公司</w:t>
      </w:r>
      <w:r>
        <w:rPr>
          <w:rFonts w:hint="eastAsia" w:ascii="宋体" w:hAnsi="宋体" w:cs="宋体"/>
          <w:color w:val="auto"/>
          <w:szCs w:val="21"/>
          <w:highlight w:val="none"/>
        </w:rPr>
        <w:t>，该项目已具备比选条件，现对该项目进行竞争性比选。</w:t>
      </w:r>
    </w:p>
    <w:p w14:paraId="2D240830">
      <w:pPr>
        <w:pStyle w:val="3"/>
        <w:spacing w:before="120" w:after="0" w:line="360" w:lineRule="auto"/>
        <w:rPr>
          <w:rFonts w:ascii="宋体" w:hAnsi="宋体" w:eastAsia="宋体" w:cs="宋体"/>
          <w:color w:val="auto"/>
          <w:highlight w:val="none"/>
        </w:rPr>
      </w:pPr>
      <w:bookmarkStart w:id="32" w:name="_Toc246996902"/>
      <w:bookmarkStart w:id="33" w:name="_Toc21343"/>
      <w:bookmarkStart w:id="34" w:name="_Toc152045513"/>
      <w:bookmarkStart w:id="35" w:name="_Toc152042289"/>
      <w:bookmarkStart w:id="36" w:name="_Toc18109"/>
      <w:bookmarkStart w:id="37" w:name="_Toc507319892"/>
      <w:bookmarkStart w:id="38" w:name="_Toc21753"/>
      <w:bookmarkStart w:id="39" w:name="_Toc179632529"/>
      <w:bookmarkStart w:id="40" w:name="_Toc10952"/>
      <w:bookmarkStart w:id="41" w:name="_Toc246996159"/>
      <w:bookmarkStart w:id="42" w:name="_Toc11329214"/>
      <w:bookmarkStart w:id="43" w:name="_Toc247085673"/>
      <w:bookmarkStart w:id="44" w:name="_Toc144974481"/>
      <w:r>
        <w:rPr>
          <w:rFonts w:hint="eastAsia" w:ascii="宋体" w:hAnsi="宋体" w:eastAsia="宋体" w:cs="宋体"/>
          <w:color w:val="auto"/>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14:paraId="63F95E33">
      <w:pPr>
        <w:spacing w:line="420" w:lineRule="exact"/>
        <w:ind w:firstLine="420" w:firstLineChars="200"/>
        <w:rPr>
          <w:rFonts w:hint="default" w:ascii="宋体" w:hAnsi="宋体" w:cs="宋体"/>
          <w:color w:val="auto"/>
          <w:highlight w:val="none"/>
          <w:lang w:val="en-US" w:eastAsia="zh-CN"/>
        </w:rPr>
      </w:pPr>
      <w:bookmarkStart w:id="45" w:name="_Toc265234827"/>
      <w:bookmarkStart w:id="46" w:name="_Toc382816230"/>
      <w:r>
        <w:rPr>
          <w:rFonts w:hint="eastAsia" w:ascii="宋体" w:hAnsi="宋体" w:cs="宋体"/>
          <w:color w:val="auto"/>
          <w:highlight w:val="none"/>
        </w:rPr>
        <w:t>2.</w:t>
      </w:r>
      <w:r>
        <w:rPr>
          <w:rFonts w:hint="eastAsia" w:ascii="宋体" w:hAnsi="宋体" w:cs="宋体"/>
          <w:color w:val="auto"/>
          <w:highlight w:val="none"/>
          <w:lang w:val="en-US" w:eastAsia="zh-CN"/>
        </w:rPr>
        <w:t>1服务地点：</w:t>
      </w:r>
      <w:r>
        <w:rPr>
          <w:rFonts w:hint="eastAsia" w:ascii="宋体" w:hAnsi="宋体" w:cs="宋体"/>
          <w:color w:val="auto"/>
          <w:szCs w:val="21"/>
          <w:highlight w:val="none"/>
          <w:u w:val="single"/>
          <w:lang w:val="en-US" w:eastAsia="zh-CN"/>
        </w:rPr>
        <w:t>重庆市</w:t>
      </w:r>
      <w:r>
        <w:rPr>
          <w:rFonts w:hint="eastAsia" w:ascii="宋体" w:hAnsi="宋体" w:cs="宋体"/>
          <w:color w:val="auto"/>
          <w:szCs w:val="21"/>
          <w:highlight w:val="none"/>
          <w:u w:val="none"/>
          <w:lang w:eastAsia="zh-CN"/>
        </w:rPr>
        <w:t>。</w:t>
      </w:r>
    </w:p>
    <w:p w14:paraId="21E3FD8D">
      <w:pPr>
        <w:spacing w:line="420" w:lineRule="exact"/>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2.2项目概况：</w:t>
      </w:r>
      <w:r>
        <w:rPr>
          <w:rFonts w:hint="eastAsia" w:ascii="宋体" w:hAnsi="宋体" w:cs="宋体"/>
          <w:color w:val="auto"/>
          <w:szCs w:val="21"/>
          <w:highlight w:val="none"/>
          <w:u w:val="single"/>
          <w:lang w:val="en-US" w:eastAsia="zh-CN"/>
        </w:rPr>
        <w:t>包括“面向隧道监控摄像机群的重点车辆重识别及统计算法研究”的预处理工作、“面向隧道监控摄像机群的重点车辆重识别及统计算法研究”的模型训练和功能开发工作、“面向高速公路监控摄像机的车辆变道行为检测算法研究”的预处理工作、“面向隧道监控摄像机群的重点车辆重识别及统计算法研究”的系统集成部署与优化、“面向高速公路监控摄像机的车辆变道行为检测算法研究”的模型训练和功能开发工作、“面向隧道监控摄像机群的重点车辆重识别及统计算法研究”的项目收尾和成果申报等，为算法模型的研究提供开发技术支撑</w:t>
      </w:r>
      <w:r>
        <w:rPr>
          <w:rFonts w:hint="eastAsia" w:ascii="宋体" w:hAnsi="宋体" w:cs="宋体"/>
          <w:color w:val="auto"/>
          <w:szCs w:val="21"/>
          <w:highlight w:val="none"/>
          <w:u w:val="none"/>
          <w:lang w:eastAsia="zh-CN"/>
        </w:rPr>
        <w:t>。</w:t>
      </w:r>
    </w:p>
    <w:p w14:paraId="39F8DFEC">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项目</w:t>
      </w:r>
      <w:r>
        <w:rPr>
          <w:rFonts w:hint="eastAsia" w:ascii="宋体" w:hAnsi="宋体" w:cs="宋体"/>
          <w:color w:val="auto"/>
          <w:highlight w:val="none"/>
          <w:lang w:val="en-US" w:eastAsia="zh-CN"/>
        </w:rPr>
        <w:t>规模</w:t>
      </w:r>
      <w:r>
        <w:rPr>
          <w:rFonts w:hint="eastAsia" w:ascii="宋体" w:hAnsi="宋体" w:eastAsia="宋体" w:cs="宋体"/>
          <w:color w:val="auto"/>
          <w:szCs w:val="21"/>
          <w:highlight w:val="none"/>
        </w:rPr>
        <w:t>：约</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70</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14:paraId="1A8AC368">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cs="宋体"/>
          <w:color w:val="auto"/>
          <w:highlight w:val="none"/>
          <w:lang w:val="en-US" w:eastAsia="zh-CN"/>
        </w:rPr>
        <w:t>2.4比选范围</w:t>
      </w:r>
      <w:r>
        <w:rPr>
          <w:rFonts w:hint="eastAsia" w:ascii="宋体" w:hAnsi="宋体" w:cs="宋体"/>
          <w:color w:val="auto"/>
          <w:highlight w:val="none"/>
        </w:rPr>
        <w:t>：</w:t>
      </w:r>
      <w:r>
        <w:rPr>
          <w:rFonts w:hint="eastAsia" w:ascii="宋体" w:hAnsi="宋体" w:cs="宋体"/>
          <w:color w:val="auto"/>
          <w:highlight w:val="none"/>
          <w:u w:val="single"/>
          <w:lang w:val="en-US" w:eastAsia="zh-CN"/>
        </w:rPr>
        <w:t>为本项目</w:t>
      </w:r>
      <w:r>
        <w:rPr>
          <w:rFonts w:hint="eastAsia" w:ascii="宋体" w:hAnsi="宋体" w:cs="宋体"/>
          <w:color w:val="auto"/>
          <w:szCs w:val="21"/>
          <w:highlight w:val="none"/>
          <w:u w:val="single"/>
          <w:lang w:val="en-US" w:eastAsia="zh-CN"/>
        </w:rPr>
        <w:t>高速公路重点车辆管理的识别跟踪算法提供开发服务</w:t>
      </w:r>
      <w:r>
        <w:rPr>
          <w:rFonts w:hint="eastAsia" w:ascii="宋体" w:hAnsi="宋体" w:cs="宋体"/>
          <w:color w:val="auto"/>
          <w:highlight w:val="none"/>
          <w:lang w:eastAsia="zh-CN"/>
        </w:rPr>
        <w:t>；</w:t>
      </w:r>
      <w:r>
        <w:rPr>
          <w:rFonts w:hint="eastAsia" w:ascii="宋体" w:hAnsi="宋体" w:cs="宋体"/>
          <w:color w:val="auto"/>
          <w:highlight w:val="none"/>
        </w:rPr>
        <w:t>具体详见</w:t>
      </w:r>
      <w:r>
        <w:rPr>
          <w:rFonts w:hint="eastAsia" w:ascii="宋体" w:hAnsi="宋体" w:cs="宋体"/>
          <w:color w:val="auto"/>
          <w:highlight w:val="none"/>
          <w:lang w:eastAsia="zh-CN"/>
        </w:rPr>
        <w:t>“</w:t>
      </w:r>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r>
        <w:rPr>
          <w:rFonts w:hint="eastAsia" w:ascii="宋体" w:hAnsi="宋体" w:cs="宋体"/>
          <w:color w:val="auto"/>
          <w:highlight w:val="none"/>
          <w:lang w:val="en-US" w:eastAsia="zh-CN"/>
        </w:rPr>
        <w:t>服务要求</w:t>
      </w:r>
      <w:r>
        <w:rPr>
          <w:rFonts w:hint="eastAsia" w:ascii="宋体" w:hAnsi="宋体" w:cs="宋体"/>
          <w:color w:val="auto"/>
          <w:highlight w:val="none"/>
          <w:lang w:eastAsia="zh-CN"/>
        </w:rPr>
        <w:t>”</w:t>
      </w:r>
      <w:r>
        <w:rPr>
          <w:rFonts w:hint="eastAsia" w:ascii="宋体" w:hAnsi="宋体" w:cs="宋体"/>
          <w:color w:val="auto"/>
          <w:szCs w:val="21"/>
          <w:highlight w:val="none"/>
          <w:u w:val="none"/>
          <w:lang w:eastAsia="zh-CN"/>
        </w:rPr>
        <w:t>。</w:t>
      </w:r>
    </w:p>
    <w:bookmarkEnd w:id="45"/>
    <w:bookmarkEnd w:id="46"/>
    <w:p w14:paraId="08B1CD21">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2.5服务期限：</w:t>
      </w:r>
      <w:r>
        <w:rPr>
          <w:rFonts w:hint="eastAsia" w:ascii="宋体" w:hAnsi="宋体" w:cs="宋体"/>
          <w:color w:val="auto"/>
          <w:highlight w:val="none"/>
          <w:u w:val="single"/>
        </w:rPr>
        <w:t>暂定</w:t>
      </w:r>
      <w:r>
        <w:rPr>
          <w:rFonts w:hint="eastAsia" w:ascii="宋体" w:hAnsi="宋体" w:cs="宋体"/>
          <w:color w:val="auto"/>
          <w:highlight w:val="none"/>
          <w:u w:val="single"/>
          <w:lang w:val="en-US" w:eastAsia="zh-CN"/>
        </w:rPr>
        <w:t>2026年10月30日内完成服务</w:t>
      </w:r>
      <w:r>
        <w:rPr>
          <w:rFonts w:hint="eastAsia" w:ascii="宋体" w:hAnsi="宋体" w:cs="宋体"/>
          <w:color w:val="auto"/>
          <w:highlight w:val="none"/>
          <w:u w:val="single"/>
        </w:rPr>
        <w:t>，具体按采购人要求为准</w:t>
      </w:r>
      <w:r>
        <w:rPr>
          <w:rFonts w:hint="eastAsia" w:ascii="宋体" w:hAnsi="宋体" w:cs="宋体"/>
          <w:color w:val="auto"/>
          <w:szCs w:val="21"/>
          <w:highlight w:val="none"/>
        </w:rPr>
        <w:t>。</w:t>
      </w:r>
    </w:p>
    <w:p w14:paraId="29265695">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bookmarkStart w:id="47" w:name="_Toc152042290"/>
      <w:bookmarkStart w:id="48" w:name="_Toc7065"/>
      <w:bookmarkStart w:id="49" w:name="_Toc507319893"/>
      <w:bookmarkStart w:id="50" w:name="_Toc11329215"/>
      <w:bookmarkStart w:id="51" w:name="_Toc10171"/>
      <w:bookmarkStart w:id="52" w:name="_Toc152045514"/>
      <w:bookmarkStart w:id="53" w:name="_Toc246996903"/>
      <w:bookmarkStart w:id="54" w:name="_Toc179632530"/>
      <w:bookmarkStart w:id="55" w:name="_Toc30356"/>
      <w:bookmarkStart w:id="56" w:name="_Toc246996160"/>
      <w:bookmarkStart w:id="57" w:name="_Toc144974482"/>
      <w:bookmarkStart w:id="58" w:name="_Toc247085674"/>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1 </w:t>
      </w:r>
      <w:r>
        <w:rPr>
          <w:rFonts w:hint="eastAsia" w:ascii="宋体" w:hAnsi="宋体" w:cs="宋体"/>
          <w:b w:val="0"/>
          <w:bCs w:val="0"/>
          <w:color w:val="auto"/>
          <w:kern w:val="2"/>
          <w:sz w:val="21"/>
          <w:szCs w:val="24"/>
          <w:highlight w:val="none"/>
          <w:lang w:val="en-US" w:eastAsia="zh-CN" w:bidi="ar-SA"/>
        </w:rPr>
        <w:t>个标段。</w:t>
      </w:r>
    </w:p>
    <w:p w14:paraId="584DA328">
      <w:pPr>
        <w:pStyle w:val="3"/>
        <w:spacing w:before="120" w:after="0" w:line="360" w:lineRule="auto"/>
        <w:rPr>
          <w:rFonts w:ascii="宋体" w:hAnsi="宋体" w:eastAsia="宋体" w:cs="宋体"/>
          <w:color w:val="auto"/>
          <w:highlight w:val="none"/>
        </w:rPr>
      </w:pPr>
      <w:bookmarkStart w:id="59" w:name="_Toc19784"/>
      <w:r>
        <w:rPr>
          <w:rFonts w:hint="eastAsia" w:ascii="宋体" w:hAnsi="宋体" w:eastAsia="宋体" w:cs="宋体"/>
          <w:color w:val="auto"/>
          <w:highlight w:val="none"/>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p>
    <w:p w14:paraId="2E477C73">
      <w:pPr>
        <w:pStyle w:val="12"/>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60" w:name="_Toc144974483"/>
      <w:bookmarkStart w:id="61" w:name="_Toc152042291"/>
      <w:bookmarkStart w:id="62" w:name="_Toc246996161"/>
      <w:bookmarkStart w:id="63" w:name="_Toc179632531"/>
      <w:bookmarkStart w:id="64" w:name="_Toc246996904"/>
      <w:bookmarkStart w:id="65" w:name="_Toc247085675"/>
      <w:bookmarkStart w:id="66" w:name="_Toc152045515"/>
      <w:r>
        <w:rPr>
          <w:rFonts w:hint="eastAsia" w:ascii="宋体" w:hAnsi="宋体" w:cs="宋体"/>
          <w:color w:val="auto"/>
          <w:sz w:val="21"/>
          <w:szCs w:val="21"/>
          <w:highlight w:val="none"/>
          <w:lang w:val="en-US" w:eastAsia="zh-CN"/>
        </w:rPr>
        <w:t>3.1 资质要求：报价人具有独立法人资格及有效的营业执照。</w:t>
      </w:r>
    </w:p>
    <w:p w14:paraId="128667C1">
      <w:pPr>
        <w:pStyle w:val="12"/>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lang w:val="en-US" w:eastAsia="zh-CN"/>
        </w:rPr>
        <w:t>3.2 业绩要求：2022年1月1日至竞争性比选文件发出之日（以合同签订时间为准）起至少承担一项合同金额不低于</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万元的</w:t>
      </w:r>
      <w:r>
        <w:rPr>
          <w:rFonts w:hint="eastAsia" w:ascii="宋体" w:hAnsi="宋体" w:cs="宋体"/>
          <w:color w:val="auto"/>
          <w:sz w:val="21"/>
          <w:szCs w:val="21"/>
          <w:highlight w:val="none"/>
          <w:lang w:val="en-US" w:eastAsia="zh-CN"/>
        </w:rPr>
        <w:t>数字化相关应用（平台或系统）的研究业绩</w:t>
      </w:r>
      <w:r>
        <w:rPr>
          <w:rFonts w:hint="eastAsia" w:ascii="宋体" w:hAnsi="宋体" w:eastAsia="宋体" w:cs="宋体"/>
          <w:color w:val="auto"/>
          <w:sz w:val="21"/>
          <w:szCs w:val="21"/>
          <w:highlight w:val="none"/>
          <w:lang w:val="en-US" w:eastAsia="zh-CN"/>
        </w:rPr>
        <w:t>。</w:t>
      </w:r>
    </w:p>
    <w:p w14:paraId="665B853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3.3</w:t>
      </w:r>
      <w:r>
        <w:rPr>
          <w:rFonts w:hint="eastAsia" w:ascii="宋体" w:hAnsi="宋体" w:cs="宋体"/>
          <w:color w:val="auto"/>
          <w:szCs w:val="21"/>
          <w:highlight w:val="none"/>
          <w:shd w:val="clear" w:color="auto" w:fill="FFFFFF"/>
        </w:rPr>
        <w:t>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在国家企业信用信息公示系统（http://www.gsxt.gov.cn/）中未被列入严重违法失信企业名单（黑名单）信息；在“信用中国”网站（http://www.creditchina.gov.cn/）中未被列入严重失信主体名单</w:t>
      </w:r>
      <w:r>
        <w:rPr>
          <w:rFonts w:hint="eastAsia" w:ascii="宋体" w:hAnsi="宋体" w:cs="宋体"/>
          <w:color w:val="auto"/>
          <w:sz w:val="21"/>
          <w:szCs w:val="21"/>
          <w:highlight w:val="none"/>
          <w:lang w:eastAsia="zh-CN"/>
        </w:rPr>
        <w:t>。</w:t>
      </w:r>
    </w:p>
    <w:p w14:paraId="09BD9B3C">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4</w:t>
      </w:r>
      <w:r>
        <w:rPr>
          <w:rFonts w:hint="eastAsia" w:ascii="宋体" w:hAnsi="宋体" w:cs="宋体"/>
          <w:color w:val="auto"/>
          <w:szCs w:val="21"/>
          <w:highlight w:val="none"/>
          <w:shd w:val="clear" w:color="auto" w:fill="FFFFFF"/>
        </w:rPr>
        <w:t xml:space="preserve"> 本次比选不接受联合体报价。</w:t>
      </w:r>
    </w:p>
    <w:p w14:paraId="67933456">
      <w:pPr>
        <w:spacing w:line="400" w:lineRule="exact"/>
        <w:ind w:firstLine="420" w:firstLineChars="200"/>
        <w:rPr>
          <w:rFonts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14:paraId="4865D563">
      <w:pPr>
        <w:pStyle w:val="3"/>
        <w:spacing w:before="120" w:after="0" w:line="400" w:lineRule="exact"/>
        <w:rPr>
          <w:rFonts w:hint="eastAsia" w:ascii="宋体" w:hAnsi="宋体" w:eastAsia="宋体" w:cs="宋体"/>
          <w:color w:val="auto"/>
          <w:highlight w:val="none"/>
        </w:rPr>
      </w:pPr>
      <w:bookmarkStart w:id="67" w:name="_Toc26106"/>
      <w:bookmarkStart w:id="68" w:name="_Toc25619"/>
      <w:bookmarkStart w:id="69" w:name="_Toc11329216"/>
      <w:bookmarkStart w:id="70" w:name="_Toc14361"/>
      <w:bookmarkStart w:id="71" w:name="_Toc12460"/>
      <w:bookmarkStart w:id="72" w:name="_Toc507319894"/>
      <w:r>
        <w:rPr>
          <w:rFonts w:hint="eastAsia" w:ascii="宋体" w:hAnsi="宋体" w:eastAsia="宋体" w:cs="宋体"/>
          <w:color w:val="auto"/>
          <w:highlight w:val="none"/>
        </w:rPr>
        <w:t>4. 评标办法</w:t>
      </w:r>
      <w:bookmarkEnd w:id="67"/>
    </w:p>
    <w:p w14:paraId="1EFEA646">
      <w:pPr>
        <w:keepNext/>
        <w:keepLines/>
        <w:pageBreakBefore w:val="0"/>
        <w:widowControl w:val="0"/>
        <w:kinsoku/>
        <w:wordWrap/>
        <w:overflowPunct/>
        <w:topLinePunct w:val="0"/>
        <w:autoSpaceDE/>
        <w:autoSpaceDN/>
        <w:bidi w:val="0"/>
        <w:adjustRightInd/>
        <w:snapToGrid/>
        <w:spacing w:before="120" w:after="0" w:line="400" w:lineRule="exact"/>
        <w:ind w:firstLine="420" w:firstLineChars="200"/>
        <w:textAlignment w:val="auto"/>
        <w:outlineLvl w:val="9"/>
        <w:rPr>
          <w:rFonts w:hint="default"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本项目采用</w:t>
      </w:r>
      <w:r>
        <w:rPr>
          <w:rFonts w:hint="eastAsia" w:ascii="宋体" w:hAnsi="宋体" w:cs="宋体"/>
          <w:b w:val="0"/>
          <w:bCs w:val="0"/>
          <w:color w:val="auto"/>
          <w:kern w:val="2"/>
          <w:sz w:val="21"/>
          <w:szCs w:val="24"/>
          <w:highlight w:val="none"/>
          <w:lang w:val="en-US" w:eastAsia="zh-CN" w:bidi="ar-SA"/>
        </w:rPr>
        <w:t>综合评估法</w:t>
      </w:r>
    </w:p>
    <w:p w14:paraId="1C11FD52">
      <w:pPr>
        <w:pStyle w:val="3"/>
        <w:spacing w:before="120" w:after="0" w:line="400" w:lineRule="exact"/>
        <w:rPr>
          <w:rFonts w:ascii="宋体" w:hAnsi="宋体" w:eastAsia="宋体" w:cs="宋体"/>
          <w:color w:val="auto"/>
          <w:highlight w:val="none"/>
        </w:rPr>
      </w:pPr>
      <w:bookmarkStart w:id="73" w:name="_Toc13238"/>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比选文件的获取</w:t>
      </w:r>
      <w:bookmarkEnd w:id="60"/>
      <w:bookmarkEnd w:id="61"/>
      <w:bookmarkEnd w:id="62"/>
      <w:bookmarkEnd w:id="63"/>
      <w:bookmarkEnd w:id="64"/>
      <w:bookmarkEnd w:id="65"/>
      <w:bookmarkEnd w:id="66"/>
      <w:bookmarkEnd w:id="68"/>
      <w:bookmarkEnd w:id="69"/>
      <w:bookmarkEnd w:id="70"/>
      <w:bookmarkEnd w:id="71"/>
      <w:bookmarkEnd w:id="72"/>
      <w:bookmarkEnd w:id="73"/>
    </w:p>
    <w:p w14:paraId="104A149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olor w:val="auto"/>
          <w:szCs w:val="21"/>
          <w:highlight w:val="none"/>
        </w:rPr>
      </w:pPr>
      <w:bookmarkStart w:id="74" w:name="_Toc152042292"/>
      <w:bookmarkStart w:id="75" w:name="_Toc11329217"/>
      <w:bookmarkStart w:id="76" w:name="_Toc247085676"/>
      <w:bookmarkStart w:id="77" w:name="_Toc507319895"/>
      <w:bookmarkStart w:id="78" w:name="_Toc144974484"/>
      <w:bookmarkStart w:id="79" w:name="_Toc246996905"/>
      <w:bookmarkStart w:id="80" w:name="_Toc246996162"/>
      <w:bookmarkStart w:id="81" w:name="_Toc179632532"/>
      <w:bookmarkStart w:id="82" w:name="_Toc152045516"/>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hint="eastAsia" w:ascii="宋体" w:hAnsi="宋体"/>
          <w:color w:val="auto"/>
          <w:szCs w:val="21"/>
          <w:highlight w:val="none"/>
        </w:rPr>
        <w:t>在</w:t>
      </w:r>
      <w:r>
        <w:rPr>
          <w:rFonts w:hint="eastAsia" w:ascii="宋体" w:hAnsi="宋体" w:cs="宋体"/>
          <w:color w:val="auto"/>
          <w:szCs w:val="21"/>
          <w:highlight w:val="none"/>
        </w:rPr>
        <w:t>报价截止时间</w:t>
      </w:r>
      <w:r>
        <w:rPr>
          <w:rFonts w:hint="eastAsia" w:ascii="宋体" w:hAnsi="宋体"/>
          <w:color w:val="auto"/>
          <w:szCs w:val="21"/>
          <w:highlight w:val="none"/>
        </w:rPr>
        <w:t>前在重庆高速集团官网</w:t>
      </w:r>
      <w:r>
        <w:rPr>
          <w:rFonts w:hint="eastAsia" w:ascii="宋体" w:hAnsi="宋体"/>
          <w:color w:val="auto"/>
          <w:szCs w:val="21"/>
          <w:highlight w:val="none"/>
          <w:lang w:eastAsia="zh-CN"/>
        </w:rPr>
        <w:t>（http://www.cegc.com.cn/，</w:t>
      </w:r>
      <w:r>
        <w:rPr>
          <w:rFonts w:hint="eastAsia" w:ascii="宋体" w:hAnsi="宋体"/>
          <w:color w:val="auto"/>
          <w:szCs w:val="21"/>
          <w:highlight w:val="none"/>
          <w:lang w:val="en-US" w:eastAsia="zh-CN"/>
        </w:rPr>
        <w:t>下同</w:t>
      </w:r>
      <w:r>
        <w:rPr>
          <w:rFonts w:hint="eastAsia" w:ascii="宋体" w:hAnsi="宋体"/>
          <w:color w:val="auto"/>
          <w:szCs w:val="21"/>
          <w:highlight w:val="none"/>
          <w:lang w:eastAsia="zh-CN"/>
        </w:rPr>
        <w:t>）</w:t>
      </w:r>
      <w:r>
        <w:rPr>
          <w:rFonts w:hint="eastAsia" w:ascii="宋体" w:hAnsi="宋体"/>
          <w:color w:val="auto"/>
          <w:szCs w:val="21"/>
          <w:highlight w:val="none"/>
        </w:rPr>
        <w:t>获取竞争性比选文件，各报价人应随时关注网上发布的竞争性比选文件答疑、补遗、澄清等文件内容，不管报价人是否下载，均视为已知晓竞争性比选文件的全部内容和有关事宜。</w:t>
      </w:r>
    </w:p>
    <w:p w14:paraId="2BCFB760">
      <w:pPr>
        <w:pStyle w:val="3"/>
        <w:spacing w:before="120" w:after="0" w:line="400" w:lineRule="exact"/>
        <w:rPr>
          <w:rFonts w:ascii="宋体" w:hAnsi="宋体" w:eastAsia="宋体" w:cs="宋体"/>
          <w:color w:val="auto"/>
          <w:highlight w:val="none"/>
        </w:rPr>
      </w:pPr>
      <w:bookmarkStart w:id="83" w:name="_Toc16686"/>
      <w:bookmarkStart w:id="84" w:name="_Toc9131"/>
      <w:bookmarkStart w:id="85" w:name="_Toc31493"/>
      <w:bookmarkStart w:id="86" w:name="_Toc27901"/>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74"/>
      <w:bookmarkEnd w:id="75"/>
      <w:bookmarkEnd w:id="76"/>
      <w:bookmarkEnd w:id="77"/>
      <w:bookmarkEnd w:id="78"/>
      <w:bookmarkEnd w:id="79"/>
      <w:bookmarkEnd w:id="80"/>
      <w:bookmarkEnd w:id="81"/>
      <w:bookmarkEnd w:id="82"/>
      <w:r>
        <w:rPr>
          <w:rFonts w:hint="eastAsia" w:ascii="宋体" w:hAnsi="宋体" w:eastAsia="宋体" w:cs="宋体"/>
          <w:color w:val="auto"/>
          <w:highlight w:val="none"/>
        </w:rPr>
        <w:t>及相关事宜</w:t>
      </w:r>
      <w:bookmarkEnd w:id="83"/>
      <w:bookmarkEnd w:id="84"/>
      <w:bookmarkEnd w:id="85"/>
      <w:bookmarkEnd w:id="86"/>
    </w:p>
    <w:p w14:paraId="1643FCA4">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shd w:val="clear" w:color="auto" w:fill="FFFFFF"/>
        </w:rPr>
        <w:t>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w:t>
      </w:r>
      <w:r>
        <w:rPr>
          <w:rFonts w:hint="eastAsia" w:ascii="宋体" w:hAnsi="宋体" w:cs="宋体"/>
          <w:color w:val="auto"/>
          <w:szCs w:val="21"/>
          <w:highlight w:val="none"/>
        </w:rPr>
        <w:t>（北京时间）。</w:t>
      </w:r>
    </w:p>
    <w:p w14:paraId="2A30A7F7">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.2开标时间：</w:t>
      </w:r>
      <w:r>
        <w:rPr>
          <w:rFonts w:hint="eastAsia" w:ascii="宋体" w:hAnsi="宋体" w:cs="宋体"/>
          <w:color w:val="auto"/>
          <w:szCs w:val="21"/>
          <w:highlight w:val="none"/>
          <w:lang w:val="en-US" w:eastAsia="zh-CN"/>
        </w:rPr>
        <w:t>同</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p>
    <w:p w14:paraId="43C1C4F7">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.3投标文件递交地点：</w:t>
      </w:r>
      <w:bookmarkStart w:id="87" w:name="_Hlk535257540"/>
      <w:r>
        <w:rPr>
          <w:rFonts w:hint="eastAsia" w:ascii="宋体" w:hAnsi="宋体" w:cs="宋体"/>
          <w:color w:val="auto"/>
          <w:szCs w:val="21"/>
          <w:highlight w:val="none"/>
        </w:rPr>
        <w:t>重庆市渝北区龙溪街道新南路52号</w:t>
      </w:r>
      <w:r>
        <w:rPr>
          <w:rFonts w:hint="eastAsia" w:ascii="宋体" w:hAnsi="宋体" w:cs="宋体"/>
          <w:color w:val="auto"/>
          <w:szCs w:val="21"/>
          <w:highlight w:val="none"/>
          <w:lang w:val="en-US" w:eastAsia="zh-CN"/>
        </w:rPr>
        <w:t>1楼</w:t>
      </w:r>
      <w:r>
        <w:rPr>
          <w:rFonts w:hint="eastAsia" w:ascii="宋体" w:hAnsi="宋体" w:cs="宋体"/>
          <w:color w:val="auto"/>
          <w:szCs w:val="21"/>
          <w:highlight w:val="none"/>
        </w:rPr>
        <w:t>（重庆首讯科技股份有限公司）。</w:t>
      </w:r>
      <w:bookmarkEnd w:id="87"/>
    </w:p>
    <w:p w14:paraId="630AD4B3">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采购人不组织现场踏勘，不召开报价预备会。</w:t>
      </w:r>
    </w:p>
    <w:p w14:paraId="28D8F3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逾期送达</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或未送达指定地点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或未</w:t>
      </w:r>
      <w:r>
        <w:rPr>
          <w:rFonts w:hint="eastAsia" w:ascii="宋体" w:hAnsi="宋体" w:cs="宋体"/>
          <w:color w:val="auto"/>
          <w:szCs w:val="21"/>
          <w:highlight w:val="none"/>
          <w:lang w:val="en-US" w:eastAsia="zh-CN"/>
        </w:rPr>
        <w:t>按要求</w:t>
      </w:r>
      <w:r>
        <w:rPr>
          <w:rFonts w:hint="eastAsia" w:ascii="宋体" w:hAnsi="宋体" w:cs="宋体"/>
          <w:color w:val="auto"/>
          <w:szCs w:val="21"/>
          <w:highlight w:val="none"/>
        </w:rPr>
        <w:t>密封的竞争性比选响应文件，采购人不予受理。</w:t>
      </w:r>
    </w:p>
    <w:p w14:paraId="1F83065A">
      <w:pPr>
        <w:keepNext w:val="0"/>
        <w:keepLines w:val="0"/>
        <w:pageBreakBefore w:val="0"/>
        <w:widowControl w:val="0"/>
        <w:tabs>
          <w:tab w:val="left" w:pos="360"/>
        </w:tabs>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递交方式：现场递交或邮寄，若采用现场递交方式需在竞争性比选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将竞争性比选响应文件送达并参与现场开标；若采用邮寄方式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竞争性比选</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文件递交</w:t>
      </w:r>
      <w:r>
        <w:rPr>
          <w:rFonts w:hint="eastAsia" w:ascii="宋体" w:hAnsi="宋体" w:cs="宋体"/>
          <w:color w:val="auto"/>
          <w:szCs w:val="21"/>
          <w:highlight w:val="none"/>
          <w:lang w:val="en-US" w:eastAsia="zh-CN"/>
        </w:rPr>
        <w:t>截止</w:t>
      </w:r>
      <w:r>
        <w:rPr>
          <w:rFonts w:hint="eastAsia" w:ascii="宋体" w:hAnsi="宋体" w:cs="宋体"/>
          <w:color w:val="auto"/>
          <w:szCs w:val="21"/>
          <w:highlight w:val="none"/>
        </w:rPr>
        <w:t>时间</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顺丰等快递公司</w:t>
      </w: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竞争性比选响应文件邮寄至重庆首讯科技股份有限公司（重庆市渝北区龙溪街道新南路52号东界龙湖三楼），否则采购人有权拒收，采用邮寄方式的报价人默认认可采购人的开标结果，不得由此提出任何质疑。</w:t>
      </w:r>
    </w:p>
    <w:p w14:paraId="51E648BF">
      <w:pPr>
        <w:pStyle w:val="3"/>
        <w:spacing w:before="120" w:after="0" w:line="400" w:lineRule="exact"/>
        <w:rPr>
          <w:rFonts w:ascii="宋体" w:hAnsi="宋体" w:eastAsia="宋体" w:cs="宋体"/>
          <w:color w:val="auto"/>
          <w:highlight w:val="none"/>
        </w:rPr>
      </w:pPr>
      <w:bookmarkStart w:id="88" w:name="_Toc393"/>
      <w:bookmarkStart w:id="89" w:name="_Toc152045517"/>
      <w:bookmarkStart w:id="90" w:name="_Toc507319897"/>
      <w:bookmarkStart w:id="91" w:name="_Toc247085678"/>
      <w:bookmarkStart w:id="92" w:name="_Toc179632534"/>
      <w:bookmarkStart w:id="93" w:name="_Toc21615"/>
      <w:bookmarkStart w:id="94" w:name="_Toc246996907"/>
      <w:bookmarkStart w:id="95" w:name="_Toc144974485"/>
      <w:bookmarkStart w:id="96" w:name="_Toc18402"/>
      <w:bookmarkStart w:id="97" w:name="_Toc23527"/>
      <w:bookmarkStart w:id="98" w:name="_Toc11329219"/>
      <w:bookmarkStart w:id="99" w:name="_Toc246996164"/>
      <w:bookmarkStart w:id="100" w:name="_Toc152042293"/>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88"/>
      <w:bookmarkEnd w:id="89"/>
      <w:bookmarkEnd w:id="90"/>
      <w:bookmarkEnd w:id="91"/>
      <w:bookmarkEnd w:id="92"/>
      <w:bookmarkEnd w:id="93"/>
      <w:bookmarkEnd w:id="94"/>
      <w:bookmarkEnd w:id="95"/>
      <w:bookmarkEnd w:id="96"/>
      <w:bookmarkEnd w:id="97"/>
      <w:bookmarkEnd w:id="98"/>
      <w:bookmarkEnd w:id="99"/>
      <w:bookmarkEnd w:id="100"/>
    </w:p>
    <w:tbl>
      <w:tblPr>
        <w:tblStyle w:val="43"/>
        <w:tblW w:w="9709" w:type="dxa"/>
        <w:tblInd w:w="0" w:type="dxa"/>
        <w:tblLayout w:type="fixed"/>
        <w:tblCellMar>
          <w:top w:w="0" w:type="dxa"/>
          <w:left w:w="108" w:type="dxa"/>
          <w:bottom w:w="0" w:type="dxa"/>
          <w:right w:w="108" w:type="dxa"/>
        </w:tblCellMar>
      </w:tblPr>
      <w:tblGrid>
        <w:gridCol w:w="9709"/>
      </w:tblGrid>
      <w:tr w14:paraId="6311880B">
        <w:tblPrEx>
          <w:tblCellMar>
            <w:top w:w="0" w:type="dxa"/>
            <w:left w:w="108" w:type="dxa"/>
            <w:bottom w:w="0" w:type="dxa"/>
            <w:right w:w="108" w:type="dxa"/>
          </w:tblCellMar>
        </w:tblPrEx>
        <w:trPr>
          <w:trHeight w:val="520" w:hRule="atLeast"/>
        </w:trPr>
        <w:tc>
          <w:tcPr>
            <w:tcW w:w="9709" w:type="dxa"/>
            <w:vAlign w:val="center"/>
          </w:tcPr>
          <w:p w14:paraId="7F9AD41A">
            <w:pPr>
              <w:pStyle w:val="103"/>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2DECB2CB">
        <w:tblPrEx>
          <w:tblCellMar>
            <w:top w:w="0" w:type="dxa"/>
            <w:left w:w="108" w:type="dxa"/>
            <w:bottom w:w="0" w:type="dxa"/>
            <w:right w:w="108" w:type="dxa"/>
          </w:tblCellMar>
        </w:tblPrEx>
        <w:trPr>
          <w:trHeight w:val="510" w:hRule="atLeast"/>
        </w:trPr>
        <w:tc>
          <w:tcPr>
            <w:tcW w:w="9709" w:type="dxa"/>
            <w:vAlign w:val="center"/>
          </w:tcPr>
          <w:p w14:paraId="3400CD7A">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rightChars="0"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重庆市渝北区新南路52号东界龙湖三楼</w:t>
            </w:r>
          </w:p>
        </w:tc>
      </w:tr>
      <w:tr w14:paraId="63B37614">
        <w:tblPrEx>
          <w:tblCellMar>
            <w:top w:w="0" w:type="dxa"/>
            <w:left w:w="108" w:type="dxa"/>
            <w:bottom w:w="0" w:type="dxa"/>
            <w:right w:w="108" w:type="dxa"/>
          </w:tblCellMar>
        </w:tblPrEx>
        <w:trPr>
          <w:trHeight w:val="520" w:hRule="atLeast"/>
        </w:trPr>
        <w:tc>
          <w:tcPr>
            <w:tcW w:w="9709" w:type="dxa"/>
            <w:vAlign w:val="center"/>
          </w:tcPr>
          <w:p w14:paraId="3558CBF5">
            <w:pPr>
              <w:pageBreakBefore w:val="0"/>
              <w:kinsoku/>
              <w:wordWrap/>
              <w:overflowPunct/>
              <w:topLinePunct/>
              <w:autoSpaceDE/>
              <w:autoSpaceDN/>
              <w:bidi w:val="0"/>
              <w:snapToGrid/>
              <w:spacing w:line="400" w:lineRule="exact"/>
              <w:ind w:left="0" w:leftChars="0"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color w:val="auto"/>
                <w:szCs w:val="21"/>
                <w:highlight w:val="none"/>
                <w:u w:val="single"/>
                <w:lang w:val="en-US" w:eastAsia="zh-CN"/>
              </w:rPr>
              <w:t>夏</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13883060756</w:t>
            </w:r>
          </w:p>
        </w:tc>
      </w:tr>
      <w:tr w14:paraId="1D0146B3">
        <w:tblPrEx>
          <w:tblCellMar>
            <w:top w:w="0" w:type="dxa"/>
            <w:left w:w="108" w:type="dxa"/>
            <w:bottom w:w="0" w:type="dxa"/>
            <w:right w:w="108" w:type="dxa"/>
          </w:tblCellMar>
        </w:tblPrEx>
        <w:trPr>
          <w:trHeight w:val="448" w:hRule="atLeast"/>
        </w:trPr>
        <w:tc>
          <w:tcPr>
            <w:tcW w:w="9709" w:type="dxa"/>
            <w:vAlign w:val="center"/>
          </w:tcPr>
          <w:p w14:paraId="7B982127">
            <w:pPr>
              <w:pageBreakBefore w:val="0"/>
              <w:kinsoku/>
              <w:wordWrap/>
              <w:overflowPunct/>
              <w:topLinePunct/>
              <w:autoSpaceDE/>
              <w:autoSpaceDN/>
              <w:bidi w:val="0"/>
              <w:snapToGrid/>
              <w:spacing w:line="400" w:lineRule="exact"/>
              <w:ind w:left="0" w:leftChars="0"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商务联系人：</w:t>
            </w:r>
            <w:r>
              <w:rPr>
                <w:rFonts w:hint="eastAsia" w:ascii="宋体" w:hAnsi="宋体" w:cs="宋体"/>
                <w:color w:val="auto"/>
                <w:szCs w:val="21"/>
                <w:highlight w:val="none"/>
                <w:u w:val="single"/>
                <w:lang w:val="en-US" w:eastAsia="zh-CN"/>
              </w:rPr>
              <w:t>余</w:t>
            </w:r>
            <w:r>
              <w:rPr>
                <w:rFonts w:hint="eastAsia" w:ascii="宋体" w:hAnsi="宋体" w:cs="宋体"/>
                <w:color w:val="auto"/>
                <w:szCs w:val="21"/>
                <w:highlight w:val="none"/>
                <w:lang w:val="en-US" w:eastAsia="zh-CN"/>
              </w:rPr>
              <w:t>老师</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lang w:val="en-US" w:eastAsia="zh-CN"/>
              </w:rPr>
              <w:t>13101153601</w:t>
            </w:r>
          </w:p>
        </w:tc>
      </w:tr>
    </w:tbl>
    <w:p w14:paraId="3C534318">
      <w:pPr>
        <w:rPr>
          <w:color w:val="auto"/>
          <w:highlight w:val="none"/>
        </w:rPr>
      </w:pPr>
    </w:p>
    <w:p w14:paraId="79910006">
      <w:pPr>
        <w:pStyle w:val="29"/>
        <w:rPr>
          <w:color w:val="auto"/>
          <w:highlight w:val="none"/>
        </w:rPr>
      </w:pPr>
    </w:p>
    <w:p w14:paraId="1F95391A">
      <w:pPr>
        <w:rPr>
          <w:color w:val="auto"/>
          <w:highlight w:val="none"/>
        </w:rPr>
      </w:pPr>
    </w:p>
    <w:p w14:paraId="5DA717B1">
      <w:pPr>
        <w:pStyle w:val="29"/>
        <w:rPr>
          <w:color w:val="auto"/>
          <w:highlight w:val="none"/>
        </w:rPr>
      </w:pPr>
    </w:p>
    <w:p w14:paraId="6F399958">
      <w:pPr>
        <w:pStyle w:val="29"/>
        <w:rPr>
          <w:color w:val="auto"/>
          <w:highlight w:val="none"/>
        </w:rPr>
      </w:pPr>
    </w:p>
    <w:bookmarkEnd w:id="17"/>
    <w:bookmarkEnd w:id="18"/>
    <w:p w14:paraId="096C929E">
      <w:pPr>
        <w:pStyle w:val="2"/>
        <w:spacing w:before="0" w:after="0" w:line="360" w:lineRule="auto"/>
        <w:jc w:val="center"/>
        <w:rPr>
          <w:rFonts w:ascii="宋体" w:hAnsi="宋体" w:cs="宋体"/>
          <w:color w:val="auto"/>
          <w:highlight w:val="none"/>
        </w:rPr>
      </w:pPr>
      <w:bookmarkStart w:id="101" w:name="_Toc2000405"/>
      <w:bookmarkStart w:id="102" w:name="_Toc179632544"/>
      <w:bookmarkStart w:id="103" w:name="_Toc246996916"/>
      <w:bookmarkStart w:id="104" w:name="_Toc152042303"/>
      <w:bookmarkStart w:id="105" w:name="_Toc144974495"/>
      <w:bookmarkStart w:id="106" w:name="_Toc247085687"/>
      <w:bookmarkStart w:id="107" w:name="_Toc246996173"/>
      <w:bookmarkStart w:id="108" w:name="_Toc507319898"/>
      <w:bookmarkStart w:id="109" w:name="_Toc152045527"/>
      <w:r>
        <w:rPr>
          <w:rFonts w:hint="eastAsia" w:ascii="宋体" w:hAnsi="宋体" w:cs="宋体"/>
          <w:color w:val="auto"/>
          <w:highlight w:val="none"/>
        </w:rPr>
        <w:br w:type="page"/>
      </w:r>
      <w:bookmarkStart w:id="110" w:name="_Toc30809"/>
      <w:r>
        <w:rPr>
          <w:rFonts w:hint="eastAsia" w:ascii="宋体" w:hAnsi="宋体" w:cs="宋体"/>
          <w:color w:val="auto"/>
          <w:highlight w:val="none"/>
        </w:rPr>
        <w:t>第二章 报价人须知</w:t>
      </w:r>
      <w:bookmarkEnd w:id="101"/>
      <w:bookmarkEnd w:id="102"/>
      <w:bookmarkEnd w:id="103"/>
      <w:bookmarkEnd w:id="104"/>
      <w:bookmarkEnd w:id="105"/>
      <w:bookmarkEnd w:id="106"/>
      <w:bookmarkEnd w:id="107"/>
      <w:bookmarkEnd w:id="108"/>
      <w:bookmarkEnd w:id="109"/>
      <w:bookmarkEnd w:id="110"/>
    </w:p>
    <w:tbl>
      <w:tblPr>
        <w:tblStyle w:val="43"/>
        <w:tblpPr w:leftFromText="180" w:rightFromText="180" w:vertAnchor="text" w:horzAnchor="page" w:tblpX="1102"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560F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7" w:type="dxa"/>
            <w:vAlign w:val="center"/>
          </w:tcPr>
          <w:p w14:paraId="05279AA6">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bookmarkStart w:id="111" w:name="_Toc326760840"/>
            <w:r>
              <w:rPr>
                <w:rFonts w:hint="eastAsia" w:ascii="宋体" w:hAnsi="宋体" w:cs="宋体"/>
                <w:b/>
                <w:color w:val="auto"/>
                <w:kern w:val="0"/>
                <w:szCs w:val="21"/>
                <w:highlight w:val="none"/>
              </w:rPr>
              <w:t>序号</w:t>
            </w:r>
          </w:p>
        </w:tc>
        <w:tc>
          <w:tcPr>
            <w:tcW w:w="2106" w:type="dxa"/>
            <w:vAlign w:val="center"/>
          </w:tcPr>
          <w:p w14:paraId="0C6598B9">
            <w:pPr>
              <w:keepNext w:val="0"/>
              <w:keepLines w:val="0"/>
              <w:pageBreakBefore w:val="0"/>
              <w:widowControl w:val="0"/>
              <w:kinsoku/>
              <w:wordWrap/>
              <w:overflowPunct/>
              <w:bidi w:val="0"/>
              <w:spacing w:line="400" w:lineRule="exact"/>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14:paraId="771BB8A4">
            <w:pPr>
              <w:keepNext w:val="0"/>
              <w:keepLines w:val="0"/>
              <w:pageBreakBefore w:val="0"/>
              <w:widowControl w:val="0"/>
              <w:kinsoku/>
              <w:wordWrap/>
              <w:overflowPunct/>
              <w:bidi w:val="0"/>
              <w:spacing w:line="400" w:lineRule="exact"/>
              <w:ind w:firstLine="422" w:firstLineChars="200"/>
              <w:jc w:val="center"/>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4545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604F307">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06" w:type="dxa"/>
            <w:vAlign w:val="center"/>
          </w:tcPr>
          <w:p w14:paraId="50BE655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14:paraId="64EF64C0">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3660EEB9">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址：重庆市渝北区新南路52号东界龙湖三楼</w:t>
            </w:r>
          </w:p>
          <w:p w14:paraId="7FBDD3CA">
            <w:pPr>
              <w:keepNext w:val="0"/>
              <w:keepLines w:val="0"/>
              <w:pageBreakBefore w:val="0"/>
              <w:kinsoku/>
              <w:wordWrap/>
              <w:overflowPunct/>
              <w:bidi w:val="0"/>
              <w:spacing w:line="36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u w:val="single"/>
                <w:lang w:val="en-US" w:eastAsia="zh-CN"/>
              </w:rPr>
              <w:t>余</w:t>
            </w:r>
            <w:r>
              <w:rPr>
                <w:rFonts w:hint="eastAsia" w:ascii="宋体" w:hAnsi="宋体" w:cs="宋体"/>
                <w:color w:val="auto"/>
                <w:szCs w:val="21"/>
                <w:highlight w:val="none"/>
                <w:lang w:val="en-US" w:eastAsia="zh-CN"/>
              </w:rPr>
              <w:t>老师</w:t>
            </w:r>
          </w:p>
          <w:p w14:paraId="26450043">
            <w:pPr>
              <w:keepNext w:val="0"/>
              <w:keepLines w:val="0"/>
              <w:pageBreakBefore w:val="0"/>
              <w:kinsoku/>
              <w:wordWrap/>
              <w:overflowPunct/>
              <w:topLinePunct/>
              <w:bidi w:val="0"/>
              <w:spacing w:line="360" w:lineRule="exact"/>
              <w:ind w:firstLine="420" w:firstLineChars="200"/>
              <w:jc w:val="both"/>
              <w:textAlignment w:val="auto"/>
              <w:rPr>
                <w:rFonts w:hint="default" w:eastAsia="宋体"/>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Cs w:val="21"/>
                <w:highlight w:val="none"/>
                <w:u w:val="single"/>
                <w:lang w:val="en-US" w:eastAsia="zh-CN"/>
              </w:rPr>
              <w:t>13101153601</w:t>
            </w:r>
          </w:p>
        </w:tc>
      </w:tr>
      <w:tr w14:paraId="56E8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530C107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06" w:type="dxa"/>
            <w:vAlign w:val="center"/>
          </w:tcPr>
          <w:p w14:paraId="5B672F3D">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14:paraId="59332749">
            <w:pPr>
              <w:keepNext w:val="0"/>
              <w:keepLines w:val="0"/>
              <w:pageBreakBefore w:val="0"/>
              <w:kinsoku/>
              <w:wordWrap/>
              <w:overflowPunct/>
              <w:bidi w:val="0"/>
              <w:spacing w:line="360" w:lineRule="exact"/>
              <w:ind w:firstLine="400" w:firstLineChars="200"/>
              <w:jc w:val="both"/>
              <w:textAlignment w:val="auto"/>
              <w:rPr>
                <w:rFonts w:hint="default" w:ascii="宋体" w:hAnsi="宋体" w:eastAsia="宋体" w:cs="宋体"/>
                <w:color w:val="auto"/>
                <w:szCs w:val="21"/>
                <w:highlight w:val="none"/>
                <w:lang w:val="en-US" w:eastAsia="zh-CN"/>
              </w:rPr>
            </w:pPr>
            <w:r>
              <w:rPr>
                <w:rFonts w:ascii="宋体" w:hAnsi="宋体" w:eastAsia="宋体" w:cs="宋体"/>
                <w:color w:val="auto"/>
                <w:sz w:val="20"/>
                <w:szCs w:val="20"/>
                <w:highlight w:val="none"/>
              </w:rPr>
              <w:t>高速公路重点车辆管理的识别跟踪算法研究</w:t>
            </w:r>
          </w:p>
        </w:tc>
      </w:tr>
      <w:tr w14:paraId="335B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61B1CB5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06" w:type="dxa"/>
            <w:vAlign w:val="center"/>
          </w:tcPr>
          <w:p w14:paraId="69892619">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lang w:val="en-US" w:eastAsia="zh-CN"/>
              </w:rPr>
              <w:t>服务地点</w:t>
            </w:r>
          </w:p>
        </w:tc>
        <w:tc>
          <w:tcPr>
            <w:tcW w:w="7104" w:type="dxa"/>
            <w:vAlign w:val="center"/>
          </w:tcPr>
          <w:p w14:paraId="08FD9A05">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见比选公告</w:t>
            </w:r>
          </w:p>
        </w:tc>
      </w:tr>
      <w:tr w14:paraId="6F5A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88104C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106" w:type="dxa"/>
            <w:vAlign w:val="center"/>
          </w:tcPr>
          <w:p w14:paraId="3D2609C6">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rPr>
              <w:t>项目规模</w:t>
            </w:r>
          </w:p>
        </w:tc>
        <w:tc>
          <w:tcPr>
            <w:tcW w:w="7104" w:type="dxa"/>
            <w:vAlign w:val="center"/>
          </w:tcPr>
          <w:p w14:paraId="73D2D30C">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w:t>
            </w:r>
          </w:p>
        </w:tc>
      </w:tr>
      <w:tr w14:paraId="723A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071768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106" w:type="dxa"/>
            <w:vAlign w:val="center"/>
          </w:tcPr>
          <w:p w14:paraId="3C03BB6F">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highlight w:val="none"/>
                <w:lang w:val="en-US" w:eastAsia="zh-CN"/>
              </w:rPr>
              <w:t>比选范围</w:t>
            </w:r>
          </w:p>
        </w:tc>
        <w:tc>
          <w:tcPr>
            <w:tcW w:w="7104" w:type="dxa"/>
            <w:vAlign w:val="center"/>
          </w:tcPr>
          <w:p w14:paraId="417595D9">
            <w:pPr>
              <w:keepNext w:val="0"/>
              <w:keepLines w:val="0"/>
              <w:pageBreakBefore w:val="0"/>
              <w:widowControl w:val="0"/>
              <w:tabs>
                <w:tab w:val="left" w:pos="3000"/>
                <w:tab w:val="left" w:pos="3280"/>
                <w:tab w:val="left" w:pos="6120"/>
                <w:tab w:val="left" w:pos="7540"/>
                <w:tab w:val="left" w:pos="8320"/>
              </w:tabs>
              <w:kinsoku/>
              <w:wordWrap/>
              <w:overflowPunct/>
              <w:autoSpaceDE w:val="0"/>
              <w:autoSpaceDN w:val="0"/>
              <w:bidi w:val="0"/>
              <w:adjustRightInd w:val="0"/>
              <w:spacing w:line="400" w:lineRule="exact"/>
              <w:ind w:firstLine="420" w:firstLineChars="200"/>
              <w:jc w:val="both"/>
              <w:textAlignment w:val="auto"/>
              <w:rPr>
                <w:rFonts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14:paraId="7CF3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5D07922">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106" w:type="dxa"/>
            <w:vAlign w:val="center"/>
          </w:tcPr>
          <w:p w14:paraId="57515BEB">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highlight w:val="none"/>
              </w:rPr>
              <w:t>服务期限</w:t>
            </w:r>
          </w:p>
        </w:tc>
        <w:tc>
          <w:tcPr>
            <w:tcW w:w="7104" w:type="dxa"/>
            <w:vAlign w:val="center"/>
          </w:tcPr>
          <w:p w14:paraId="26062F39">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见比选公告</w:t>
            </w:r>
          </w:p>
        </w:tc>
      </w:tr>
      <w:tr w14:paraId="0DA2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544BAE75">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2106" w:type="dxa"/>
            <w:vAlign w:val="center"/>
          </w:tcPr>
          <w:p w14:paraId="1F18DB83">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服务要求</w:t>
            </w:r>
          </w:p>
        </w:tc>
        <w:tc>
          <w:tcPr>
            <w:tcW w:w="7104" w:type="dxa"/>
            <w:vAlign w:val="center"/>
          </w:tcPr>
          <w:p w14:paraId="5D318E50">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color w:val="auto"/>
                <w:szCs w:val="21"/>
                <w:highlight w:val="none"/>
                <w:lang w:val="en-US" w:eastAsia="zh-CN"/>
              </w:rPr>
              <w:t>比选文件</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章</w:t>
            </w:r>
          </w:p>
        </w:tc>
      </w:tr>
      <w:tr w14:paraId="5529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D5E111E">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2106" w:type="dxa"/>
            <w:vAlign w:val="center"/>
          </w:tcPr>
          <w:p w14:paraId="38575585">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szCs w:val="21"/>
                <w:highlight w:val="none"/>
              </w:rPr>
              <w:t>报价人资格要求</w:t>
            </w:r>
          </w:p>
        </w:tc>
        <w:tc>
          <w:tcPr>
            <w:tcW w:w="7104" w:type="dxa"/>
            <w:vAlign w:val="center"/>
          </w:tcPr>
          <w:p w14:paraId="3814A813">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szCs w:val="21"/>
                <w:highlight w:val="none"/>
              </w:rPr>
            </w:pPr>
            <w:r>
              <w:rPr>
                <w:rFonts w:hint="eastAsia" w:ascii="宋体" w:hAnsi="宋体" w:cs="宋体"/>
                <w:color w:val="auto"/>
                <w:kern w:val="0"/>
                <w:szCs w:val="21"/>
                <w:highlight w:val="none"/>
              </w:rPr>
              <w:t>见比选公告及附录1</w:t>
            </w:r>
          </w:p>
        </w:tc>
      </w:tr>
      <w:tr w14:paraId="3530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773D993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2106" w:type="dxa"/>
            <w:vAlign w:val="center"/>
          </w:tcPr>
          <w:p w14:paraId="4E1CECFF">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是否接受</w:t>
            </w:r>
          </w:p>
          <w:p w14:paraId="6F835BD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14:paraId="7AA88675">
            <w:pPr>
              <w:keepNext w:val="0"/>
              <w:keepLines w:val="0"/>
              <w:pageBreakBefore w:val="0"/>
              <w:widowControl w:val="0"/>
              <w:kinsoku/>
              <w:wordWrap/>
              <w:overflowPunct/>
              <w:bidi w:val="0"/>
              <w:spacing w:line="400" w:lineRule="exact"/>
              <w:ind w:firstLine="420" w:firstLineChars="200"/>
              <w:jc w:val="both"/>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w:t>
            </w:r>
          </w:p>
        </w:tc>
      </w:tr>
      <w:tr w14:paraId="5484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73EA45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2106" w:type="dxa"/>
            <w:vAlign w:val="center"/>
          </w:tcPr>
          <w:p w14:paraId="2110EF0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14:paraId="03F20561">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14:paraId="0A16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93391B6">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2106" w:type="dxa"/>
            <w:vAlign w:val="center"/>
          </w:tcPr>
          <w:p w14:paraId="5B2DF300">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14:paraId="4DCE4A9F">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76F8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F82086D">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2106" w:type="dxa"/>
            <w:vAlign w:val="center"/>
          </w:tcPr>
          <w:p w14:paraId="75731954">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14:paraId="2F65B7D8">
            <w:pPr>
              <w:keepNext w:val="0"/>
              <w:keepLines w:val="0"/>
              <w:pageBreakBefore w:val="0"/>
              <w:widowControl w:val="0"/>
              <w:kinsoku/>
              <w:wordWrap/>
              <w:overflowPunct/>
              <w:bidi w:val="0"/>
              <w:spacing w:line="400" w:lineRule="exact"/>
              <w:ind w:firstLine="422" w:firstLineChars="200"/>
              <w:textAlignment w:val="auto"/>
              <w:rPr>
                <w:rFonts w:ascii="宋体" w:hAnsi="宋体" w:cs="宋体"/>
                <w:color w:val="auto"/>
                <w:kern w:val="0"/>
                <w:szCs w:val="21"/>
                <w:highlight w:val="none"/>
              </w:rPr>
            </w:pPr>
            <w:r>
              <w:rPr>
                <w:rFonts w:hint="eastAsia" w:ascii="宋体" w:hAnsi="宋体" w:cs="宋体"/>
                <w:b/>
                <w:bCs w:val="0"/>
                <w:color w:val="auto"/>
                <w:sz w:val="21"/>
                <w:szCs w:val="21"/>
                <w:highlight w:val="none"/>
                <w:lang w:eastAsia="zh-CN" w:bidi="ar"/>
              </w:rPr>
              <w:t>本项目</w:t>
            </w:r>
            <w:r>
              <w:rPr>
                <w:rFonts w:hint="eastAsia" w:ascii="宋体" w:hAnsi="宋体" w:eastAsia="宋体" w:cs="宋体"/>
                <w:b/>
                <w:bCs w:val="0"/>
                <w:color w:val="auto"/>
                <w:sz w:val="21"/>
                <w:szCs w:val="21"/>
                <w:highlight w:val="none"/>
                <w:lang w:bidi="ar"/>
              </w:rPr>
              <w:t>不允许任何负偏离。</w:t>
            </w:r>
          </w:p>
        </w:tc>
      </w:tr>
      <w:tr w14:paraId="13FF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0FFE908">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2106" w:type="dxa"/>
            <w:vAlign w:val="center"/>
          </w:tcPr>
          <w:p w14:paraId="016B6E2C">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14:paraId="5FB3274F">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14:paraId="6140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0563E27">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2106" w:type="dxa"/>
            <w:vAlign w:val="center"/>
          </w:tcPr>
          <w:p w14:paraId="739CC564">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14:paraId="320FCA78">
            <w:pPr>
              <w:pStyle w:val="150"/>
              <w:keepNext w:val="0"/>
              <w:keepLines w:val="0"/>
              <w:pageBreakBefore w:val="0"/>
              <w:widowControl w:val="0"/>
              <w:kinsoku/>
              <w:wordWrap/>
              <w:overflowPunct/>
              <w:bidi w:val="0"/>
              <w:spacing w:line="400" w:lineRule="exact"/>
              <w:ind w:firstLine="420" w:firstLineChars="200"/>
              <w:jc w:val="both"/>
              <w:textAlignment w:val="auto"/>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14:paraId="49DE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14:paraId="3922B972">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2106" w:type="dxa"/>
            <w:tcBorders>
              <w:bottom w:val="single" w:color="auto" w:sz="4" w:space="0"/>
            </w:tcBorders>
            <w:vAlign w:val="center"/>
          </w:tcPr>
          <w:p w14:paraId="67306EF8">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报价原则</w:t>
            </w:r>
          </w:p>
        </w:tc>
        <w:tc>
          <w:tcPr>
            <w:tcW w:w="7104" w:type="dxa"/>
            <w:tcBorders>
              <w:bottom w:val="single" w:color="auto" w:sz="4" w:space="0"/>
            </w:tcBorders>
          </w:tcPr>
          <w:p w14:paraId="63597D36">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1.投标报价：</w:t>
            </w:r>
          </w:p>
          <w:p w14:paraId="36F27AC0">
            <w:pPr>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本项目采用总价包干报价，</w:t>
            </w:r>
            <w:r>
              <w:rPr>
                <w:rFonts w:hint="eastAsia" w:ascii="宋体" w:hAnsi="宋体" w:cs="宋体"/>
                <w:color w:val="auto"/>
                <w:szCs w:val="21"/>
                <w:highlight w:val="none"/>
                <w:u w:val="single"/>
                <w:lang w:val="en-US" w:eastAsia="zh-CN"/>
              </w:rPr>
              <w:t>报价</w:t>
            </w:r>
            <w:r>
              <w:rPr>
                <w:rFonts w:hint="eastAsia" w:ascii="宋体" w:hAnsi="宋体" w:cs="宋体"/>
                <w:color w:val="auto"/>
                <w:szCs w:val="21"/>
                <w:highlight w:val="none"/>
                <w:u w:val="single"/>
              </w:rPr>
              <w:t>人所报投标总报价应包含但不限于完成本项目</w:t>
            </w:r>
            <w:r>
              <w:rPr>
                <w:rFonts w:hint="eastAsia" w:ascii="宋体" w:hAnsi="宋体" w:cs="宋体"/>
                <w:color w:val="auto"/>
                <w:szCs w:val="21"/>
                <w:highlight w:val="none"/>
                <w:u w:val="single"/>
                <w:lang w:val="en-US" w:eastAsia="zh-CN"/>
              </w:rPr>
              <w:t>比选</w:t>
            </w:r>
            <w:r>
              <w:rPr>
                <w:rFonts w:hint="eastAsia" w:ascii="宋体" w:hAnsi="宋体" w:cs="宋体"/>
                <w:color w:val="auto"/>
                <w:szCs w:val="21"/>
                <w:highlight w:val="none"/>
                <w:u w:val="single"/>
              </w:rPr>
              <w:t>内容全部工作内容所需的人工、材料</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服务</w:t>
            </w:r>
            <w:r>
              <w:rPr>
                <w:rFonts w:hint="eastAsia" w:ascii="宋体" w:hAnsi="宋体" w:cs="宋体"/>
                <w:color w:val="auto"/>
                <w:szCs w:val="21"/>
                <w:highlight w:val="none"/>
                <w:u w:val="single"/>
              </w:rPr>
              <w:t>、税金、管理费、利润等所有</w:t>
            </w:r>
            <w:r>
              <w:rPr>
                <w:rFonts w:hint="eastAsia" w:ascii="宋体" w:hAnsi="宋体" w:cs="宋体"/>
                <w:color w:val="auto"/>
                <w:szCs w:val="21"/>
                <w:highlight w:val="none"/>
                <w:u w:val="single"/>
                <w:lang w:val="en-US" w:eastAsia="zh-CN"/>
              </w:rPr>
              <w:t>一切</w:t>
            </w:r>
            <w:r>
              <w:rPr>
                <w:rFonts w:hint="eastAsia" w:ascii="宋体" w:hAnsi="宋体" w:cs="宋体"/>
                <w:color w:val="auto"/>
                <w:szCs w:val="21"/>
                <w:highlight w:val="none"/>
                <w:u w:val="single"/>
              </w:rPr>
              <w:t>费用，一旦中标，</w:t>
            </w:r>
            <w:r>
              <w:rPr>
                <w:rFonts w:hint="eastAsia" w:ascii="宋体" w:hAnsi="宋体" w:cs="宋体"/>
                <w:color w:val="auto"/>
                <w:szCs w:val="21"/>
                <w:highlight w:val="none"/>
                <w:u w:val="single"/>
                <w:lang w:val="en-US" w:eastAsia="zh-CN"/>
              </w:rPr>
              <w:t>采购</w:t>
            </w:r>
            <w:r>
              <w:rPr>
                <w:rFonts w:hint="eastAsia" w:ascii="宋体" w:hAnsi="宋体" w:cs="宋体"/>
                <w:color w:val="auto"/>
                <w:szCs w:val="21"/>
                <w:highlight w:val="none"/>
                <w:u w:val="single"/>
              </w:rPr>
              <w:t>人不再额外支付任何费用</w:t>
            </w:r>
            <w:r>
              <w:rPr>
                <w:rFonts w:hint="eastAsia" w:ascii="宋体" w:hAnsi="宋体" w:cs="宋体"/>
                <w:color w:val="auto"/>
                <w:szCs w:val="21"/>
                <w:highlight w:val="none"/>
              </w:rPr>
              <w:t>。</w:t>
            </w:r>
          </w:p>
          <w:p w14:paraId="00E3AA49">
            <w:pPr>
              <w:spacing w:line="420" w:lineRule="exact"/>
              <w:ind w:firstLine="308" w:firstLineChars="147"/>
              <w:rPr>
                <w:rFonts w:hint="eastAsia" w:ascii="宋体" w:hAnsi="宋体" w:cs="宋体"/>
                <w:color w:val="auto"/>
                <w:szCs w:val="21"/>
                <w:highlight w:val="none"/>
              </w:rPr>
            </w:pPr>
            <w:r>
              <w:rPr>
                <w:rFonts w:hint="eastAsia" w:ascii="宋体" w:hAnsi="宋体" w:cs="宋体"/>
                <w:color w:val="auto"/>
                <w:highlight w:val="none"/>
              </w:rPr>
              <w:t>2.报价原则</w:t>
            </w:r>
          </w:p>
          <w:p w14:paraId="1CEC4FDF">
            <w:pPr>
              <w:spacing w:line="420" w:lineRule="exact"/>
              <w:ind w:firstLine="308" w:firstLineChars="147"/>
              <w:rPr>
                <w:rFonts w:hint="eastAsia" w:ascii="宋体" w:hAnsi="宋体" w:cs="宋体"/>
                <w:color w:val="auto"/>
                <w:szCs w:val="21"/>
                <w:highlight w:val="none"/>
                <w:u w:val="single"/>
              </w:rPr>
            </w:pP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应严格根据</w:t>
            </w:r>
            <w:r>
              <w:rPr>
                <w:rFonts w:hint="eastAsia" w:ascii="宋体" w:hAnsi="宋体" w:cs="宋体"/>
                <w:color w:val="auto"/>
                <w:highlight w:val="none"/>
                <w:u w:val="single"/>
                <w:lang w:val="en-US" w:eastAsia="zh-CN"/>
              </w:rPr>
              <w:t>竞争性比选文件</w:t>
            </w:r>
            <w:r>
              <w:rPr>
                <w:rFonts w:hint="eastAsia" w:ascii="宋体" w:hAnsi="宋体" w:cs="宋体"/>
                <w:color w:val="auto"/>
                <w:highlight w:val="none"/>
                <w:u w:val="single"/>
              </w:rPr>
              <w:t>及相关资料，结合市场价格、依据企业自身实力、技术及生产管理水平等，进行自主报价；</w:t>
            </w:r>
            <w:r>
              <w:rPr>
                <w:rFonts w:hint="eastAsia" w:ascii="宋体" w:hAnsi="宋体" w:cs="宋体"/>
                <w:color w:val="auto"/>
                <w:highlight w:val="none"/>
                <w:u w:val="single"/>
                <w:lang w:eastAsia="zh-CN"/>
              </w:rPr>
              <w:t>报价人</w:t>
            </w:r>
            <w:r>
              <w:rPr>
                <w:rFonts w:hint="eastAsia" w:ascii="宋体" w:hAnsi="宋体" w:cs="宋体"/>
                <w:color w:val="auto"/>
                <w:highlight w:val="none"/>
                <w:u w:val="single"/>
              </w:rPr>
              <w:t>投标总报价只能有一个有效报价，不得提交选择性报价，否则竞争性比选响应文件将按否决报价处理。</w:t>
            </w:r>
          </w:p>
          <w:p w14:paraId="5893CF0D">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报价人按照采购人提供的报价清单填写报价</w:t>
            </w:r>
          </w:p>
          <w:p w14:paraId="44D35BEE">
            <w:pPr>
              <w:keepNext w:val="0"/>
              <w:keepLines w:val="0"/>
              <w:pageBreakBefore w:val="0"/>
              <w:widowControl w:val="0"/>
              <w:kinsoku/>
              <w:wordWrap/>
              <w:overflowPunct/>
              <w:bidi w:val="0"/>
              <w:spacing w:line="400" w:lineRule="exact"/>
              <w:ind w:firstLine="420" w:firstLineChars="200"/>
              <w:textAlignment w:val="auto"/>
              <w:rPr>
                <w:rFonts w:ascii="宋体" w:hAnsi="宋体" w:cs="宋体"/>
                <w:b w:val="0"/>
                <w:bCs/>
                <w:color w:val="auto"/>
                <w:szCs w:val="21"/>
                <w:highlight w:val="none"/>
              </w:rPr>
            </w:pP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综合单价取小数点后两位，小数点后第三位四舍五入。</w:t>
            </w:r>
          </w:p>
          <w:p w14:paraId="69B1D451">
            <w:pPr>
              <w:snapToGrid w:val="0"/>
              <w:spacing w:line="420" w:lineRule="exact"/>
              <w:ind w:firstLine="420" w:firstLineChars="200"/>
              <w:rPr>
                <w:rFonts w:hint="eastAsia" w:ascii="宋体" w:hAnsi="宋体" w:cs="宋体"/>
                <w:b w:val="0"/>
                <w:bCs w:val="0"/>
                <w:color w:val="auto"/>
                <w:highlight w:val="none"/>
              </w:rPr>
            </w:pP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本项目报价清单及说明随比选文件一并发布，详见附件。</w:t>
            </w:r>
          </w:p>
          <w:p w14:paraId="3E390058">
            <w:pPr>
              <w:snapToGrid w:val="0"/>
              <w:spacing w:line="420" w:lineRule="exact"/>
              <w:ind w:firstLine="420" w:firstLineChars="200"/>
              <w:rPr>
                <w:rFonts w:hint="eastAsia" w:ascii="宋体" w:hAnsi="宋体" w:cs="宋体"/>
                <w:b w:val="0"/>
                <w:bCs w:val="0"/>
                <w:color w:val="auto"/>
                <w:highlight w:val="none"/>
              </w:rPr>
            </w:pPr>
            <w:r>
              <w:rPr>
                <w:rFonts w:hint="eastAsia" w:ascii="宋体" w:hAnsi="宋体" w:cs="宋体"/>
                <w:b w:val="0"/>
                <w:bCs w:val="0"/>
                <w:color w:val="auto"/>
                <w:highlight w:val="none"/>
              </w:rPr>
              <w:t>特别提醒：</w:t>
            </w:r>
          </w:p>
          <w:p w14:paraId="630B2B3A">
            <w:pPr>
              <w:adjustRightInd w:val="0"/>
              <w:snapToGrid w:val="0"/>
              <w:spacing w:line="420" w:lineRule="exact"/>
              <w:ind w:firstLine="344" w:firstLineChars="164"/>
              <w:rPr>
                <w:rFonts w:hint="eastAsia" w:ascii="宋体" w:hAnsi="宋体" w:cs="宋体"/>
                <w:b w:val="0"/>
                <w:bCs w:val="0"/>
                <w:color w:val="auto"/>
                <w:highlight w:val="none"/>
              </w:rPr>
            </w:pPr>
            <w:r>
              <w:rPr>
                <w:rFonts w:hint="eastAsia" w:ascii="宋体" w:hAnsi="宋体" w:cs="宋体"/>
                <w:b w:val="0"/>
                <w:bCs w:val="0"/>
                <w:color w:val="auto"/>
                <w:szCs w:val="21"/>
                <w:highlight w:val="none"/>
              </w:rPr>
              <w:t>1.</w:t>
            </w:r>
            <w:r>
              <w:rPr>
                <w:rFonts w:hint="eastAsia" w:ascii="宋体" w:hAnsi="宋体" w:cs="宋体"/>
                <w:b w:val="0"/>
                <w:bCs w:val="0"/>
                <w:color w:val="auto"/>
                <w:highlight w:val="none"/>
                <w:u w:val="single"/>
              </w:rPr>
              <w:t>若因</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在报价时有漏报、漏项的情况发生，</w:t>
            </w:r>
            <w:r>
              <w:rPr>
                <w:rFonts w:hint="eastAsia" w:ascii="宋体" w:hAnsi="宋体" w:cs="宋体"/>
                <w:b w:val="0"/>
                <w:bCs w:val="0"/>
                <w:color w:val="auto"/>
                <w:highlight w:val="none"/>
                <w:u w:val="single"/>
                <w:lang w:eastAsia="zh-CN"/>
              </w:rPr>
              <w:t>采购人</w:t>
            </w:r>
            <w:r>
              <w:rPr>
                <w:rFonts w:hint="eastAsia" w:ascii="宋体" w:hAnsi="宋体" w:cs="宋体"/>
                <w:b w:val="0"/>
                <w:bCs w:val="0"/>
                <w:color w:val="auto"/>
                <w:highlight w:val="none"/>
                <w:u w:val="single"/>
              </w:rPr>
              <w:t>均视为</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已充分理解</w:t>
            </w:r>
            <w:r>
              <w:rPr>
                <w:rFonts w:hint="eastAsia" w:ascii="宋体" w:hAnsi="宋体" w:cs="宋体"/>
                <w:b w:val="0"/>
                <w:bCs w:val="0"/>
                <w:color w:val="auto"/>
                <w:highlight w:val="none"/>
                <w:u w:val="single"/>
                <w:lang w:val="en-US" w:eastAsia="zh-CN"/>
              </w:rPr>
              <w:t>竞争性比选</w:t>
            </w:r>
            <w:r>
              <w:rPr>
                <w:rFonts w:hint="eastAsia" w:ascii="宋体" w:hAnsi="宋体" w:cs="宋体"/>
                <w:b w:val="0"/>
                <w:bCs w:val="0"/>
                <w:color w:val="auto"/>
                <w:highlight w:val="none"/>
                <w:u w:val="single"/>
              </w:rPr>
              <w:t>文件要求，漏报、漏项部分已包含在其报价之中。该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若中标，其报价不得调整</w:t>
            </w:r>
            <w:r>
              <w:rPr>
                <w:rFonts w:hint="eastAsia" w:ascii="宋体" w:hAnsi="宋体" w:cs="宋体"/>
                <w:b w:val="0"/>
                <w:bCs w:val="0"/>
                <w:color w:val="auto"/>
                <w:highlight w:val="none"/>
              </w:rPr>
              <w:t>。</w:t>
            </w:r>
          </w:p>
          <w:p w14:paraId="48031089">
            <w:pPr>
              <w:keepNext w:val="0"/>
              <w:keepLines w:val="0"/>
              <w:pageBreakBefore w:val="0"/>
              <w:widowControl w:val="0"/>
              <w:kinsoku/>
              <w:wordWrap/>
              <w:overflowPunct/>
              <w:bidi w:val="0"/>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b w:val="0"/>
                <w:bCs w:val="0"/>
                <w:color w:val="auto"/>
                <w:szCs w:val="21"/>
                <w:highlight w:val="none"/>
              </w:rPr>
              <w:t>2.</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在报价时应充分考虑市场价格波动、人工费用上涨等不确定因素的风险，该</w:t>
            </w:r>
            <w:r>
              <w:rPr>
                <w:rFonts w:hint="eastAsia" w:ascii="宋体" w:hAnsi="宋体" w:cs="宋体"/>
                <w:b w:val="0"/>
                <w:bCs w:val="0"/>
                <w:color w:val="auto"/>
                <w:highlight w:val="none"/>
                <w:u w:val="single"/>
                <w:lang w:eastAsia="zh-CN"/>
              </w:rPr>
              <w:t>报价人</w:t>
            </w:r>
            <w:r>
              <w:rPr>
                <w:rFonts w:hint="eastAsia" w:ascii="宋体" w:hAnsi="宋体" w:cs="宋体"/>
                <w:b w:val="0"/>
                <w:bCs w:val="0"/>
                <w:color w:val="auto"/>
                <w:highlight w:val="none"/>
                <w:u w:val="single"/>
              </w:rPr>
              <w:t>若中标，其报价在服务期内不得调整</w:t>
            </w:r>
            <w:r>
              <w:rPr>
                <w:rFonts w:hint="eastAsia" w:ascii="宋体" w:hAnsi="宋体" w:cs="宋体"/>
                <w:b w:val="0"/>
                <w:bCs w:val="0"/>
                <w:color w:val="auto"/>
                <w:highlight w:val="none"/>
              </w:rPr>
              <w:t>。</w:t>
            </w:r>
          </w:p>
        </w:tc>
      </w:tr>
      <w:tr w14:paraId="44C1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bottom w:val="single" w:color="auto" w:sz="4" w:space="0"/>
            </w:tcBorders>
            <w:vAlign w:val="center"/>
          </w:tcPr>
          <w:p w14:paraId="432A816F">
            <w:pPr>
              <w:keepNext w:val="0"/>
              <w:keepLines w:val="0"/>
              <w:pageBreakBefore w:val="0"/>
              <w:widowControl w:val="0"/>
              <w:kinsoku/>
              <w:wordWrap/>
              <w:overflowPunct/>
              <w:bidi w:val="0"/>
              <w:spacing w:line="4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2106" w:type="dxa"/>
            <w:tcBorders>
              <w:bottom w:val="single" w:color="auto" w:sz="4" w:space="0"/>
            </w:tcBorders>
            <w:vAlign w:val="center"/>
          </w:tcPr>
          <w:p w14:paraId="2630A965">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最高投标限价</w:t>
            </w:r>
          </w:p>
        </w:tc>
        <w:tc>
          <w:tcPr>
            <w:tcW w:w="7104" w:type="dxa"/>
            <w:tcBorders>
              <w:bottom w:val="single" w:color="auto" w:sz="4" w:space="0"/>
            </w:tcBorders>
          </w:tcPr>
          <w:p w14:paraId="3F1DB71A">
            <w:pPr>
              <w:keepNext w:val="0"/>
              <w:keepLines w:val="0"/>
              <w:pageBreakBefore w:val="0"/>
              <w:widowControl w:val="0"/>
              <w:kinsoku/>
              <w:wordWrap/>
              <w:overflowPunct/>
              <w:bidi w:val="0"/>
              <w:spacing w:line="400" w:lineRule="exact"/>
              <w:ind w:firstLine="422" w:firstLineChars="200"/>
              <w:textAlignment w:val="auto"/>
              <w:rPr>
                <w:rFonts w:ascii="宋体" w:hAnsi="宋体"/>
                <w:color w:val="auto"/>
                <w:szCs w:val="21"/>
                <w:highlight w:val="none"/>
              </w:rPr>
            </w:pPr>
            <w:r>
              <w:rPr>
                <w:rFonts w:hint="eastAsia" w:ascii="宋体" w:hAnsi="宋体"/>
                <w:b/>
                <w:bCs/>
                <w:color w:val="auto"/>
                <w:szCs w:val="21"/>
                <w:highlight w:val="none"/>
                <w:lang w:val="en-US" w:eastAsia="zh-CN"/>
              </w:rPr>
              <w:t>本项目设置</w:t>
            </w:r>
            <w:r>
              <w:rPr>
                <w:rFonts w:hint="eastAsia" w:ascii="宋体" w:hAnsi="宋体"/>
                <w:b/>
                <w:bCs/>
                <w:color w:val="auto"/>
                <w:szCs w:val="21"/>
                <w:highlight w:val="none"/>
              </w:rPr>
              <w:t>最高限价</w:t>
            </w:r>
            <w:r>
              <w:rPr>
                <w:rFonts w:hint="eastAsia" w:ascii="宋体" w:hAnsi="宋体"/>
                <w:b/>
                <w:bCs/>
                <w:color w:val="auto"/>
                <w:szCs w:val="21"/>
                <w:highlight w:val="none"/>
                <w:lang w:val="en-US" w:eastAsia="zh-CN"/>
              </w:rPr>
              <w:t>为</w:t>
            </w:r>
            <w:r>
              <w:rPr>
                <w:rFonts w:hint="eastAsia" w:ascii="宋体" w:hAnsi="宋体"/>
                <w:b/>
                <w:bCs/>
                <w:color w:val="auto"/>
                <w:szCs w:val="21"/>
                <w:highlight w:val="none"/>
                <w:u w:val="single"/>
                <w:lang w:val="en-US" w:eastAsia="zh-CN"/>
              </w:rPr>
              <w:t>624000.00</w:t>
            </w:r>
            <w:r>
              <w:rPr>
                <w:rFonts w:hint="eastAsia" w:ascii="宋体" w:hAnsi="宋体"/>
                <w:b/>
                <w:bCs/>
                <w:color w:val="auto"/>
                <w:szCs w:val="21"/>
                <w:highlight w:val="none"/>
              </w:rPr>
              <w:t>元。</w:t>
            </w:r>
          </w:p>
          <w:p w14:paraId="2705FF53">
            <w:pPr>
              <w:keepNext w:val="0"/>
              <w:keepLines w:val="0"/>
              <w:pageBreakBefore w:val="0"/>
              <w:widowControl w:val="0"/>
              <w:kinsoku/>
              <w:wordWrap/>
              <w:overflowPunct/>
              <w:bidi w:val="0"/>
              <w:spacing w:line="400" w:lineRule="exact"/>
              <w:ind w:firstLine="420" w:firstLineChars="200"/>
              <w:textAlignment w:val="auto"/>
              <w:rPr>
                <w:rFonts w:ascii="宋体" w:hAnsi="宋体" w:cs="宋体"/>
                <w:b/>
                <w:bCs/>
                <w:color w:val="auto"/>
                <w:kern w:val="0"/>
                <w:szCs w:val="21"/>
                <w:highlight w:val="none"/>
              </w:rPr>
            </w:pPr>
            <w:r>
              <w:rPr>
                <w:rFonts w:hint="eastAsia" w:ascii="宋体" w:hAnsi="宋体" w:cs="宋体"/>
                <w:b w:val="0"/>
                <w:bCs/>
                <w:color w:val="auto"/>
                <w:szCs w:val="21"/>
                <w:highlight w:val="none"/>
              </w:rPr>
              <w:t>报价人报价不得高于采购人发布的最高限价，否则其竞争性比选响应文件视为重大偏差，竞争性比选响应文件将按否决报价处理</w:t>
            </w:r>
            <w:r>
              <w:rPr>
                <w:rFonts w:hint="eastAsia" w:ascii="宋体" w:hAnsi="宋体" w:cs="宋体"/>
                <w:b w:val="0"/>
                <w:bCs/>
                <w:color w:val="auto"/>
                <w:kern w:val="0"/>
                <w:szCs w:val="21"/>
                <w:highlight w:val="none"/>
              </w:rPr>
              <w:t>。</w:t>
            </w:r>
          </w:p>
        </w:tc>
      </w:tr>
      <w:tr w14:paraId="0A16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vAlign w:val="center"/>
          </w:tcPr>
          <w:p w14:paraId="1D342B36">
            <w:pPr>
              <w:keepNext w:val="0"/>
              <w:keepLines w:val="0"/>
              <w:pageBreakBefore w:val="0"/>
              <w:widowControl w:val="0"/>
              <w:kinsoku/>
              <w:wordWrap/>
              <w:overflowPunct/>
              <w:bidi w:val="0"/>
              <w:spacing w:line="40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14:paraId="3A2F8041">
            <w:pPr>
              <w:keepNext w:val="0"/>
              <w:keepLines w:val="0"/>
              <w:pageBreakBefore w:val="0"/>
              <w:widowControl w:val="0"/>
              <w:kinsoku/>
              <w:wordWrap/>
              <w:overflowPunct/>
              <w:bidi w:val="0"/>
              <w:spacing w:line="4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合同支付办法</w:t>
            </w:r>
          </w:p>
        </w:tc>
        <w:tc>
          <w:tcPr>
            <w:tcW w:w="7104" w:type="dxa"/>
            <w:tcBorders>
              <w:bottom w:val="single" w:color="auto" w:sz="4" w:space="0"/>
            </w:tcBorders>
            <w:vAlign w:val="center"/>
          </w:tcPr>
          <w:p w14:paraId="2BC1C5C8">
            <w:pPr>
              <w:pStyle w:val="29"/>
              <w:keepNext w:val="0"/>
              <w:keepLines w:val="0"/>
              <w:widowControl/>
              <w:suppressLineNumbers w:val="0"/>
              <w:autoSpaceDE w:val="0"/>
              <w:autoSpaceDN w:val="0"/>
              <w:adjustRightInd w:val="0"/>
              <w:snapToGrid w:val="0"/>
              <w:spacing w:before="0" w:beforeLines="0" w:beforeAutospacing="0" w:after="0" w:afterLines="0" w:afterAutospacing="0" w:line="360" w:lineRule="exact"/>
              <w:ind w:left="0" w:right="0" w:firstLineChars="20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每次支付前需由乙方提交书面支付申请、相关证明材料以及对应增值税专用发票经甲方审核无误后，按以下节点支付，因乙方原因未按时提交相关资料，导致支付延期的，非甲方违约责任：</w:t>
            </w:r>
          </w:p>
          <w:p w14:paraId="7BF20389">
            <w:pPr>
              <w:spacing w:line="400" w:lineRule="exact"/>
              <w:ind w:firstLine="420" w:firstLineChars="200"/>
              <w:rPr>
                <w:rFonts w:hint="default" w:eastAsia="宋体"/>
                <w:color w:val="auto"/>
                <w:highlight w:val="none"/>
                <w:lang w:val="en-US" w:eastAsia="zh-CN"/>
              </w:rPr>
            </w:pPr>
            <w:r>
              <w:rPr>
                <w:rFonts w:hint="eastAsia" w:ascii="宋体" w:hAnsi="宋体" w:cs="宋体"/>
                <w:color w:val="auto"/>
                <w:szCs w:val="21"/>
                <w:highlight w:val="none"/>
              </w:rPr>
              <w:t>每提交一项里程碑规定内容，经</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验收合格后</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天内支付该项</w:t>
            </w:r>
            <w:r>
              <w:rPr>
                <w:rFonts w:hint="eastAsia" w:ascii="宋体" w:hAnsi="宋体" w:cs="宋体"/>
                <w:color w:val="auto"/>
                <w:szCs w:val="21"/>
                <w:highlight w:val="none"/>
                <w:lang w:val="en-US" w:eastAsia="zh-CN"/>
              </w:rPr>
              <w:t>费用</w:t>
            </w:r>
            <w:r>
              <w:rPr>
                <w:rFonts w:hint="eastAsia" w:ascii="宋体" w:hAnsi="宋体" w:cs="宋体"/>
                <w:color w:val="auto"/>
                <w:szCs w:val="21"/>
                <w:highlight w:val="none"/>
              </w:rPr>
              <w:t>的100%。</w:t>
            </w:r>
          </w:p>
        </w:tc>
      </w:tr>
      <w:tr w14:paraId="390F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74B34707">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2106" w:type="dxa"/>
          </w:tcPr>
          <w:p w14:paraId="757AE5AF">
            <w:pPr>
              <w:keepNext w:val="0"/>
              <w:keepLines w:val="0"/>
              <w:pageBreakBefore w:val="0"/>
              <w:widowControl w:val="0"/>
              <w:kinsoku/>
              <w:wordWrap/>
              <w:overflowPunct/>
              <w:bidi w:val="0"/>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14:paraId="299CF766">
            <w:pPr>
              <w:keepNext w:val="0"/>
              <w:keepLines w:val="0"/>
              <w:pageBreakBefore w:val="0"/>
              <w:widowControl w:val="0"/>
              <w:kinsoku/>
              <w:wordWrap/>
              <w:overflowPunct/>
              <w:bidi w:val="0"/>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推荐的中标候选人数：2名。</w:t>
            </w:r>
          </w:p>
        </w:tc>
      </w:tr>
      <w:tr w14:paraId="1788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0A439A6">
            <w:pPr>
              <w:pStyle w:val="150"/>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20</w:t>
            </w:r>
          </w:p>
        </w:tc>
        <w:tc>
          <w:tcPr>
            <w:tcW w:w="2106" w:type="dxa"/>
            <w:vAlign w:val="center"/>
          </w:tcPr>
          <w:p w14:paraId="743C08ED">
            <w:pPr>
              <w:pStyle w:val="150"/>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vAlign w:val="center"/>
          </w:tcPr>
          <w:p w14:paraId="16034B4E">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14:paraId="75080ED3">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是提供投标保证金</w:t>
            </w:r>
          </w:p>
          <w:p w14:paraId="7D7159E6">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 xml:space="preserve"> 5000 </w:t>
            </w:r>
            <w:r>
              <w:rPr>
                <w:rFonts w:hint="eastAsia" w:ascii="宋体" w:hAnsi="宋体" w:eastAsia="宋体" w:cs="宋体"/>
                <w:color w:val="auto"/>
                <w:sz w:val="21"/>
                <w:szCs w:val="21"/>
                <w:highlight w:val="none"/>
              </w:rPr>
              <w:t>元，由报价人从公司基本账户将投标保证金汇至以下指定账户：</w:t>
            </w:r>
          </w:p>
          <w:p w14:paraId="7C240FC3">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14:paraId="5B4DA45E">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14:paraId="788043FE">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i/>
                <w:iCs/>
                <w:color w:val="auto"/>
                <w:sz w:val="21"/>
                <w:szCs w:val="21"/>
                <w:highlight w:val="none"/>
                <w:u w:val="single"/>
              </w:rPr>
              <w:t xml:space="preserve">             （项目名称）</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14:paraId="1156144E">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14:paraId="78FF7060">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14:paraId="35A5C705">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14:paraId="3854E9E8">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14:paraId="55F8441A">
            <w:pPr>
              <w:pStyle w:val="150"/>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14:paraId="20CF2E85">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kern w:val="2"/>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否提供履约保证金</w:t>
            </w:r>
          </w:p>
          <w:p w14:paraId="1381DE55">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7632A156">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r>
              <w:rPr>
                <w:rFonts w:hint="eastAsia" w:hAnsi="宋体"/>
                <w:color w:val="auto"/>
                <w:kern w:val="2"/>
                <w:sz w:val="21"/>
                <w:szCs w:val="21"/>
                <w:highlight w:val="none"/>
                <w:u w:val="single"/>
                <w:lang w:val="en-US" w:eastAsia="zh-CN"/>
              </w:rPr>
              <w:t xml:space="preserve">  /  </w:t>
            </w:r>
            <w:r>
              <w:rPr>
                <w:rFonts w:hint="eastAsia" w:hAnsi="宋体"/>
                <w:color w:val="auto"/>
                <w:kern w:val="2"/>
                <w:sz w:val="21"/>
                <w:szCs w:val="21"/>
                <w:highlight w:val="none"/>
                <w:lang w:val="en-US" w:eastAsia="zh-CN"/>
              </w:rPr>
              <w:t>。</w:t>
            </w:r>
          </w:p>
          <w:p w14:paraId="45A99B83">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14:paraId="6F652B69">
            <w:pPr>
              <w:pStyle w:val="150"/>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1363E0FE">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color w:val="auto"/>
                <w:sz w:val="21"/>
                <w:szCs w:val="21"/>
                <w:highlight w:val="none"/>
                <w:u w:val="single"/>
              </w:rPr>
              <w:t xml:space="preserve">             </w:t>
            </w:r>
            <w:r>
              <w:rPr>
                <w:rFonts w:hint="eastAsia" w:ascii="宋体" w:hAnsi="宋体" w:eastAsia="宋体" w:cs="宋体"/>
                <w:i/>
                <w:iCs/>
                <w:color w:val="auto"/>
                <w:sz w:val="21"/>
                <w:szCs w:val="21"/>
                <w:highlight w:val="none"/>
                <w:u w:val="single"/>
              </w:rPr>
              <w:t>（项目名称）</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14:paraId="2250491F">
            <w:pPr>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14:paraId="759EA058">
            <w:pPr>
              <w:pStyle w:val="150"/>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67907C10">
            <w:pPr>
              <w:pStyle w:val="150"/>
              <w:keepNext w:val="0"/>
              <w:keepLines w:val="0"/>
              <w:pageBreakBefore w:val="0"/>
              <w:widowControl w:val="0"/>
              <w:kinsoku/>
              <w:wordWrap/>
              <w:overflowPunct/>
              <w:topLinePunct w:val="0"/>
              <w:bidi w:val="0"/>
              <w:spacing w:line="36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14:paraId="49DACDCB">
            <w:pPr>
              <w:pStyle w:val="150"/>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r>
              <w:rPr>
                <w:rFonts w:hint="eastAsia" w:ascii="宋体" w:hAnsi="宋体" w:cs="宋体"/>
                <w:b w:val="0"/>
                <w:bCs w:val="0"/>
                <w:color w:val="auto"/>
                <w:kern w:val="0"/>
                <w:sz w:val="21"/>
                <w:szCs w:val="18"/>
                <w:highlight w:val="none"/>
                <w:lang w:val="en-US" w:eastAsia="zh-CN" w:bidi="ar"/>
              </w:rPr>
              <w:t>提供低价风险担保金</w:t>
            </w:r>
          </w:p>
          <w:p w14:paraId="0B0377A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14:paraId="4E5391D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14:paraId="2155667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14:paraId="1113499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3D135A5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14:paraId="20C947E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14:paraId="703CD96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3BE0D7D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w:t>
            </w:r>
            <w:r>
              <w:rPr>
                <w:rFonts w:hint="eastAsia" w:ascii="宋体" w:hAnsi="宋体" w:cs="宋体"/>
                <w:color w:val="auto"/>
                <w:kern w:val="0"/>
                <w:szCs w:val="21"/>
                <w:highlight w:val="none"/>
                <w:lang w:val="en-US" w:eastAsia="zh-CN" w:bidi="ar"/>
              </w:rPr>
              <w:t>提供服务</w:t>
            </w:r>
            <w:r>
              <w:rPr>
                <w:rFonts w:hint="eastAsia" w:ascii="宋体" w:hAnsi="宋体" w:cs="宋体"/>
                <w:color w:val="auto"/>
                <w:kern w:val="0"/>
                <w:szCs w:val="21"/>
                <w:highlight w:val="none"/>
                <w:lang w:bidi="ar"/>
              </w:rPr>
              <w:t>完全满足要求，经现场工程师确认后可在</w:t>
            </w:r>
            <w:r>
              <w:rPr>
                <w:rFonts w:hint="eastAsia" w:ascii="宋体" w:hAnsi="宋体" w:cs="宋体"/>
                <w:color w:val="auto"/>
                <w:kern w:val="0"/>
                <w:szCs w:val="21"/>
                <w:highlight w:val="none"/>
                <w:lang w:val="en-US" w:eastAsia="zh-CN" w:bidi="ar"/>
              </w:rPr>
              <w:t>服务合同</w:t>
            </w:r>
            <w:r>
              <w:rPr>
                <w:rFonts w:hint="eastAsia" w:ascii="宋体" w:hAnsi="宋体" w:cs="宋体"/>
                <w:color w:val="auto"/>
                <w:kern w:val="0"/>
                <w:szCs w:val="21"/>
                <w:highlight w:val="none"/>
                <w:lang w:bidi="ar"/>
              </w:rPr>
              <w:t>金额达到合同金额的一半时，可申请退还一半的低价风险担保金，剩余部分在现场工程师确认</w:t>
            </w:r>
            <w:r>
              <w:rPr>
                <w:rFonts w:hint="eastAsia" w:ascii="宋体" w:hAnsi="宋体" w:cs="宋体"/>
                <w:color w:val="auto"/>
                <w:kern w:val="0"/>
                <w:szCs w:val="21"/>
                <w:highlight w:val="none"/>
                <w:lang w:val="en-US" w:eastAsia="zh-CN" w:bidi="ar"/>
              </w:rPr>
              <w:t>服务</w:t>
            </w:r>
            <w:r>
              <w:rPr>
                <w:rFonts w:hint="eastAsia" w:ascii="宋体" w:hAnsi="宋体" w:cs="宋体"/>
                <w:color w:val="auto"/>
                <w:kern w:val="0"/>
                <w:szCs w:val="21"/>
                <w:highlight w:val="none"/>
                <w:lang w:bidi="ar"/>
              </w:rPr>
              <w:t>完成后28天内全额退还。</w:t>
            </w:r>
          </w:p>
          <w:p w14:paraId="44B15C0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1D56A57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14:paraId="0744CCBD">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14:paraId="31ADFAD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14:paraId="325F3AF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14:paraId="2480CBCD">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14:paraId="42ACEA5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14:paraId="4BDA529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2A9563A2">
            <w:pPr>
              <w:pStyle w:val="150"/>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0BBF73A0">
            <w:pPr>
              <w:pStyle w:val="150"/>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5C6A3DF4">
            <w:pPr>
              <w:pStyle w:val="150"/>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14:paraId="1F78415C">
            <w:pPr>
              <w:pStyle w:val="150"/>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3A376E06">
            <w:pPr>
              <w:pStyle w:val="150"/>
              <w:keepNext w:val="0"/>
              <w:keepLines w:val="0"/>
              <w:pageBreakBefore w:val="0"/>
              <w:widowControl w:val="0"/>
              <w:kinsoku/>
              <w:wordWrap/>
              <w:overflowPunct/>
              <w:topLinePunct w:val="0"/>
              <w:bidi w:val="0"/>
              <w:snapToGrid/>
              <w:spacing w:line="400" w:lineRule="exact"/>
              <w:ind w:firstLine="422" w:firstLineChars="200"/>
              <w:jc w:val="both"/>
              <w:textAlignment w:val="auto"/>
              <w:rPr>
                <w:rFonts w:hAnsi="宋体"/>
                <w:color w:val="auto"/>
                <w:kern w:val="2"/>
                <w:sz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3D2F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97" w:type="dxa"/>
            <w:vAlign w:val="center"/>
          </w:tcPr>
          <w:p w14:paraId="1FA66A75">
            <w:pPr>
              <w:pStyle w:val="150"/>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sz w:val="21"/>
                <w:szCs w:val="21"/>
                <w:highlight w:val="none"/>
              </w:rPr>
              <w:t>21</w:t>
            </w:r>
          </w:p>
        </w:tc>
        <w:tc>
          <w:tcPr>
            <w:tcW w:w="2106" w:type="dxa"/>
            <w:vAlign w:val="center"/>
          </w:tcPr>
          <w:p w14:paraId="531757BA">
            <w:pPr>
              <w:pStyle w:val="150"/>
              <w:keepNext w:val="0"/>
              <w:keepLines w:val="0"/>
              <w:pageBreakBefore w:val="0"/>
              <w:widowControl w:val="0"/>
              <w:kinsoku/>
              <w:wordWrap/>
              <w:overflowPunct/>
              <w:bidi w:val="0"/>
              <w:spacing w:line="400" w:lineRule="exact"/>
              <w:jc w:val="center"/>
              <w:textAlignment w:val="auto"/>
              <w:rPr>
                <w:rFonts w:hint="eastAsia" w:hAnsi="宋体"/>
                <w:color w:val="auto"/>
                <w:kern w:val="2"/>
                <w:sz w:val="21"/>
                <w:szCs w:val="21"/>
                <w:highlight w:val="none"/>
              </w:rPr>
            </w:pPr>
            <w:r>
              <w:rPr>
                <w:rFonts w:hint="eastAsia" w:hAnsi="宋体"/>
                <w:color w:val="auto"/>
                <w:kern w:val="2"/>
                <w:sz w:val="21"/>
                <w:szCs w:val="21"/>
                <w:highlight w:val="none"/>
              </w:rPr>
              <w:t>投标文件的装订、密封及标记</w:t>
            </w:r>
          </w:p>
        </w:tc>
        <w:tc>
          <w:tcPr>
            <w:tcW w:w="7104" w:type="dxa"/>
            <w:vAlign w:val="center"/>
          </w:tcPr>
          <w:p w14:paraId="13E94C4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竞争性比选响应文件提交正本1份，副本1份</w:t>
            </w:r>
            <w:r>
              <w:rPr>
                <w:rFonts w:hint="eastAsia" w:ascii="宋体" w:hAnsi="宋体" w:cs="宋体"/>
                <w:b w:val="0"/>
                <w:bCs w:val="0"/>
                <w:color w:val="auto"/>
                <w:szCs w:val="21"/>
                <w:highlight w:val="none"/>
              </w:rPr>
              <w:t>，副本可为正本的复印件，竞争性比选响应文件需装订成册；</w:t>
            </w:r>
            <w:r>
              <w:rPr>
                <w:rFonts w:hint="eastAsia" w:ascii="宋体" w:hAnsi="宋体" w:cs="宋体"/>
                <w:b/>
                <w:bCs/>
                <w:color w:val="auto"/>
                <w:szCs w:val="21"/>
                <w:highlight w:val="none"/>
              </w:rPr>
              <w:t>报价人应提供竞争性比选响应文件电子文件1份</w:t>
            </w:r>
            <w:r>
              <w:rPr>
                <w:rFonts w:hint="eastAsia" w:ascii="宋体" w:hAnsi="宋体" w:cs="宋体"/>
                <w:b w:val="0"/>
                <w:bCs w:val="0"/>
                <w:color w:val="auto"/>
                <w:szCs w:val="21"/>
                <w:highlight w:val="none"/>
              </w:rPr>
              <w:t>（U盘1份，电子文件内容须包括竞争性比选响应文件全部内容）。当电子文件与纸质版竞争性比选响应文件不一致时，以纸质版竞争性比选响应文件为准，当正本与副本不一致时，以正本为准</w:t>
            </w:r>
            <w:r>
              <w:rPr>
                <w:rFonts w:hint="eastAsia" w:ascii="宋体" w:hAnsi="宋体" w:cs="宋体"/>
                <w:b/>
                <w:bCs/>
                <w:color w:val="auto"/>
                <w:szCs w:val="21"/>
                <w:highlight w:val="none"/>
              </w:rPr>
              <w:t>。</w:t>
            </w:r>
          </w:p>
          <w:p w14:paraId="641A7E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竞争性比选响应文件的组成：竞争性比选响应声明书、法定代表人身份证明和法定代表人授权委托书、报价一览表、资格审查资料、承诺书、报价人认为需要提供的其他相关文件（注：以上所有文件均须加盖报价人的公章）。</w:t>
            </w:r>
          </w:p>
          <w:p w14:paraId="7345D69B">
            <w:pPr>
              <w:adjustRightInd w:val="0"/>
              <w:snapToGrid w:val="0"/>
              <w:spacing w:line="420" w:lineRule="exact"/>
              <w:ind w:firstLine="436" w:firstLineChars="208"/>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密封要求：竞争性比选响应文件密封到一个封袋中</w:t>
            </w:r>
            <w:r>
              <w:rPr>
                <w:rFonts w:hint="eastAsia" w:ascii="宋体" w:hAnsi="宋体" w:cs="宋体"/>
                <w:color w:val="auto"/>
                <w:szCs w:val="21"/>
                <w:highlight w:val="none"/>
                <w:lang w:eastAsia="zh-CN"/>
              </w:rPr>
              <w:t>。</w:t>
            </w:r>
          </w:p>
          <w:p w14:paraId="561B0254">
            <w:pPr>
              <w:adjustRightInd w:val="0"/>
              <w:snapToGrid w:val="0"/>
              <w:spacing w:line="420" w:lineRule="exact"/>
              <w:ind w:firstLine="436" w:firstLineChars="208"/>
              <w:rPr>
                <w:rFonts w:hint="eastAsia" w:ascii="宋体" w:hAnsi="宋体" w:cs="宋体"/>
                <w:b/>
                <w:bCs/>
                <w:color w:val="auto"/>
                <w:kern w:val="0"/>
                <w:szCs w:val="21"/>
                <w:highlight w:val="none"/>
              </w:rPr>
            </w:pPr>
            <w:r>
              <w:rPr>
                <w:rFonts w:hint="eastAsia" w:ascii="宋体" w:hAnsi="宋体" w:eastAsia="宋体" w:cs="宋体"/>
                <w:color w:val="auto"/>
                <w:szCs w:val="21"/>
                <w:highlight w:val="none"/>
                <w:u w:val="none"/>
                <w:lang w:val="en-US" w:eastAsia="zh-CN"/>
              </w:rPr>
              <w:t>4.</w:t>
            </w:r>
            <w:r>
              <w:rPr>
                <w:rFonts w:hint="eastAsia" w:ascii="宋体" w:hAnsi="宋体" w:cs="宋体"/>
                <w:color w:val="auto"/>
                <w:szCs w:val="21"/>
                <w:highlight w:val="none"/>
              </w:rPr>
              <w:t>竞争性比选响应文件</w:t>
            </w:r>
            <w:r>
              <w:rPr>
                <w:rFonts w:hint="eastAsia" w:ascii="宋体" w:hAnsi="宋体" w:eastAsia="宋体" w:cs="宋体"/>
                <w:color w:val="auto"/>
                <w:szCs w:val="21"/>
                <w:highlight w:val="none"/>
                <w:u w:val="none"/>
                <w:lang w:eastAsia="zh-CN"/>
              </w:rPr>
              <w:t>的标记</w:t>
            </w:r>
          </w:p>
          <w:p w14:paraId="1D2259EB">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rPr>
              <w:t>应在 “</w:t>
            </w:r>
            <w:r>
              <w:rPr>
                <w:rFonts w:hint="eastAsia" w:ascii="宋体" w:hAnsi="宋体" w:cs="宋体"/>
                <w:color w:val="auto"/>
                <w:szCs w:val="21"/>
                <w:highlight w:val="none"/>
              </w:rPr>
              <w:t>竞争性比选响应文件</w:t>
            </w:r>
            <w:r>
              <w:rPr>
                <w:rFonts w:hint="eastAsia" w:ascii="宋体" w:hAnsi="宋体" w:cs="宋体"/>
                <w:color w:val="auto"/>
                <w:kern w:val="0"/>
                <w:szCs w:val="21"/>
                <w:highlight w:val="none"/>
              </w:rPr>
              <w:t>”</w:t>
            </w:r>
            <w:r>
              <w:rPr>
                <w:rFonts w:hint="eastAsia" w:ascii="宋体" w:hAnsi="宋体" w:cs="宋体"/>
                <w:color w:val="auto"/>
                <w:szCs w:val="21"/>
                <w:highlight w:val="none"/>
              </w:rPr>
              <w:t>封袋</w:t>
            </w:r>
            <w:r>
              <w:rPr>
                <w:rFonts w:hint="eastAsia" w:ascii="宋体" w:hAnsi="宋体" w:cs="宋体"/>
                <w:color w:val="auto"/>
                <w:kern w:val="0"/>
                <w:szCs w:val="21"/>
                <w:highlight w:val="none"/>
              </w:rPr>
              <w:t>写明以下内容：</w:t>
            </w:r>
          </w:p>
          <w:tbl>
            <w:tblPr>
              <w:tblStyle w:val="43"/>
              <w:tblW w:w="6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2"/>
            </w:tblGrid>
            <w:tr w14:paraId="56F6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6142" w:type="dxa"/>
                  <w:noWrap w:val="0"/>
                  <w:vAlign w:val="top"/>
                </w:tcPr>
                <w:p w14:paraId="2CF6AFCF">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名称：</w:t>
                  </w:r>
                </w:p>
                <w:p w14:paraId="5B93D5F0">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（项目名称）                </w:t>
                  </w:r>
                  <w:r>
                    <w:rPr>
                      <w:rFonts w:hint="eastAsia" w:ascii="宋体" w:hAnsi="宋体" w:cs="宋体"/>
                      <w:color w:val="auto"/>
                      <w:szCs w:val="21"/>
                      <w:highlight w:val="none"/>
                    </w:rPr>
                    <w:t>响应</w:t>
                  </w:r>
                  <w:r>
                    <w:rPr>
                      <w:rFonts w:hint="eastAsia" w:ascii="宋体" w:hAnsi="宋体" w:cs="宋体"/>
                      <w:color w:val="auto"/>
                      <w:kern w:val="0"/>
                      <w:szCs w:val="21"/>
                      <w:highlight w:val="none"/>
                    </w:rPr>
                    <w:t>文件</w:t>
                  </w:r>
                </w:p>
                <w:p w14:paraId="59922AF5">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（加盖</w:t>
                  </w:r>
                  <w:r>
                    <w:rPr>
                      <w:rFonts w:hint="eastAsia" w:ascii="宋体" w:hAnsi="宋体" w:cs="宋体"/>
                      <w:color w:val="auto"/>
                      <w:kern w:val="0"/>
                      <w:szCs w:val="21"/>
                      <w:highlight w:val="none"/>
                      <w:lang w:val="en-US" w:eastAsia="zh-CN"/>
                    </w:rPr>
                    <w:t>报价</w:t>
                  </w:r>
                  <w:r>
                    <w:rPr>
                      <w:rFonts w:hint="eastAsia" w:ascii="宋体" w:hAnsi="宋体" w:cs="宋体"/>
                      <w:color w:val="auto"/>
                      <w:kern w:val="0"/>
                      <w:szCs w:val="21"/>
                      <w:highlight w:val="none"/>
                    </w:rPr>
                    <w:t>人单位</w:t>
                  </w:r>
                  <w:r>
                    <w:rPr>
                      <w:rFonts w:hint="eastAsia" w:ascii="宋体" w:hAnsi="宋体" w:cs="宋体"/>
                      <w:color w:val="auto"/>
                      <w:kern w:val="0"/>
                      <w:szCs w:val="21"/>
                      <w:highlight w:val="none"/>
                      <w:lang w:val="en-US" w:eastAsia="zh-CN"/>
                    </w:rPr>
                    <w:t>公</w:t>
                  </w:r>
                  <w:r>
                    <w:rPr>
                      <w:rFonts w:hint="eastAsia" w:ascii="宋体" w:hAnsi="宋体" w:cs="宋体"/>
                      <w:color w:val="auto"/>
                      <w:kern w:val="0"/>
                      <w:szCs w:val="21"/>
                      <w:highlight w:val="none"/>
                    </w:rPr>
                    <w:t>章）</w:t>
                  </w:r>
                </w:p>
                <w:p w14:paraId="0DF71CD5">
                  <w:pPr>
                    <w:adjustRightInd w:val="0"/>
                    <w:snapToGrid w:val="0"/>
                    <w:spacing w:line="420" w:lineRule="exact"/>
                    <w:ind w:firstLine="436" w:firstLineChars="208"/>
                    <w:rPr>
                      <w:rFonts w:hint="eastAsia" w:ascii="宋体" w:hAnsi="宋体" w:cs="宋体"/>
                      <w:color w:val="auto"/>
                      <w:kern w:val="0"/>
                      <w:szCs w:val="21"/>
                      <w:highlight w:val="none"/>
                    </w:rPr>
                  </w:pPr>
                  <w:r>
                    <w:rPr>
                      <w:rFonts w:hint="eastAsia" w:ascii="宋体" w:hAnsi="宋体" w:cs="宋体"/>
                      <w:color w:val="auto"/>
                      <w:kern w:val="0"/>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分（同</w:t>
                  </w:r>
                  <w:r>
                    <w:rPr>
                      <w:rFonts w:hint="eastAsia" w:ascii="宋体" w:hAnsi="宋体" w:cs="宋体"/>
                      <w:color w:val="auto"/>
                      <w:szCs w:val="21"/>
                      <w:highlight w:val="none"/>
                      <w:shd w:val="clear" w:color="auto" w:fill="FFFFFF"/>
                    </w:rPr>
                    <w:t>报价截止时间</w:t>
                  </w:r>
                  <w:r>
                    <w:rPr>
                      <w:rFonts w:hint="eastAsia" w:ascii="宋体" w:hAnsi="宋体" w:cs="宋体"/>
                      <w:color w:val="auto"/>
                      <w:kern w:val="0"/>
                      <w:szCs w:val="21"/>
                      <w:highlight w:val="none"/>
                    </w:rPr>
                    <w:t>）前不得开启</w:t>
                  </w:r>
                </w:p>
              </w:tc>
            </w:tr>
          </w:tbl>
          <w:p w14:paraId="236CD9AF">
            <w:pPr>
              <w:pStyle w:val="150"/>
              <w:keepNext w:val="0"/>
              <w:keepLines w:val="0"/>
              <w:pageBreakBefore w:val="0"/>
              <w:widowControl w:val="0"/>
              <w:kinsoku/>
              <w:wordWrap/>
              <w:overflowPunct/>
              <w:bidi w:val="0"/>
              <w:spacing w:line="400" w:lineRule="exact"/>
              <w:textAlignment w:val="auto"/>
              <w:rPr>
                <w:rFonts w:hint="eastAsia" w:hAnsi="宋体"/>
                <w:b/>
                <w:bCs/>
                <w:color w:val="auto"/>
                <w:kern w:val="2"/>
                <w:sz w:val="21"/>
                <w:szCs w:val="21"/>
                <w:highlight w:val="none"/>
                <w:lang w:val="en-US" w:eastAsia="zh-CN"/>
              </w:rPr>
            </w:pPr>
          </w:p>
        </w:tc>
      </w:tr>
      <w:tr w14:paraId="1555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C6F1F5F">
            <w:pPr>
              <w:pStyle w:val="150"/>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22</w:t>
            </w:r>
          </w:p>
        </w:tc>
        <w:tc>
          <w:tcPr>
            <w:tcW w:w="2106" w:type="dxa"/>
            <w:vAlign w:val="center"/>
          </w:tcPr>
          <w:p w14:paraId="00257C07">
            <w:pPr>
              <w:pStyle w:val="150"/>
              <w:keepNext w:val="0"/>
              <w:keepLines w:val="0"/>
              <w:pageBreakBefore w:val="0"/>
              <w:widowControl w:val="0"/>
              <w:kinsoku/>
              <w:wordWrap/>
              <w:overflowPunct/>
              <w:bidi w:val="0"/>
              <w:spacing w:line="400" w:lineRule="exact"/>
              <w:jc w:val="center"/>
              <w:textAlignment w:val="auto"/>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14:paraId="7D519716">
            <w:pPr>
              <w:pStyle w:val="150"/>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监督部门：重庆首讯科技股份有限公司合规监管部</w:t>
            </w:r>
          </w:p>
          <w:p w14:paraId="38351E1F">
            <w:pPr>
              <w:pStyle w:val="150"/>
              <w:keepNext w:val="0"/>
              <w:keepLines w:val="0"/>
              <w:pageBreakBefore w:val="0"/>
              <w:widowControl w:val="0"/>
              <w:kinsoku/>
              <w:wordWrap/>
              <w:overflowPunct/>
              <w:bidi w:val="0"/>
              <w:spacing w:line="400" w:lineRule="exact"/>
              <w:ind w:firstLine="420" w:firstLineChars="200"/>
              <w:textAlignment w:val="auto"/>
              <w:rPr>
                <w:rFonts w:hAnsi="宋体"/>
                <w:color w:val="auto"/>
                <w:kern w:val="2"/>
                <w:sz w:val="21"/>
                <w:szCs w:val="21"/>
                <w:highlight w:val="none"/>
              </w:rPr>
            </w:pPr>
            <w:r>
              <w:rPr>
                <w:rFonts w:hint="eastAsia" w:hAnsi="宋体"/>
                <w:color w:val="auto"/>
                <w:kern w:val="2"/>
                <w:sz w:val="21"/>
                <w:szCs w:val="21"/>
                <w:highlight w:val="none"/>
              </w:rPr>
              <w:t>地    址：重庆市渝北区龙溪街道新南路52号1幢3-1</w:t>
            </w:r>
          </w:p>
          <w:p w14:paraId="5AD24458">
            <w:pPr>
              <w:pStyle w:val="150"/>
              <w:keepNext w:val="0"/>
              <w:keepLines w:val="0"/>
              <w:pageBreakBefore w:val="0"/>
              <w:widowControl w:val="0"/>
              <w:kinsoku/>
              <w:wordWrap/>
              <w:overflowPunct/>
              <w:bidi w:val="0"/>
              <w:spacing w:line="400" w:lineRule="exact"/>
              <w:ind w:firstLine="420" w:firstLineChars="200"/>
              <w:textAlignment w:val="auto"/>
              <w:rPr>
                <w:rFonts w:hAnsi="宋体"/>
                <w:color w:val="auto"/>
                <w:sz w:val="21"/>
                <w:szCs w:val="21"/>
                <w:highlight w:val="none"/>
              </w:rPr>
            </w:pPr>
            <w:r>
              <w:rPr>
                <w:rFonts w:hint="eastAsia" w:hAnsi="宋体"/>
                <w:color w:val="auto"/>
                <w:kern w:val="2"/>
                <w:sz w:val="21"/>
                <w:szCs w:val="21"/>
                <w:highlight w:val="none"/>
              </w:rPr>
              <w:t>电    话：023-86376833</w:t>
            </w:r>
          </w:p>
        </w:tc>
      </w:tr>
      <w:tr w14:paraId="199C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6C4E7B1D">
            <w:pPr>
              <w:pStyle w:val="150"/>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hAnsi="宋体" w:cs="宋体"/>
                <w:color w:val="auto"/>
                <w:sz w:val="21"/>
                <w:szCs w:val="21"/>
                <w:highlight w:val="none"/>
                <w:lang w:val="en-US" w:eastAsia="zh-CN"/>
              </w:rPr>
              <w:t>23</w:t>
            </w:r>
          </w:p>
        </w:tc>
        <w:tc>
          <w:tcPr>
            <w:tcW w:w="2106" w:type="dxa"/>
            <w:vAlign w:val="center"/>
          </w:tcPr>
          <w:p w14:paraId="20A1F275">
            <w:pPr>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中标候选人公示</w:t>
            </w:r>
          </w:p>
        </w:tc>
        <w:tc>
          <w:tcPr>
            <w:tcW w:w="7104" w:type="dxa"/>
            <w:vAlign w:val="center"/>
          </w:tcPr>
          <w:p w14:paraId="53A55EAB">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both"/>
              <w:textAlignment w:val="auto"/>
              <w:rPr>
                <w:rFonts w:hint="eastAsia" w:hAnsi="宋体"/>
                <w:color w:val="auto"/>
                <w:kern w:val="2"/>
                <w:sz w:val="21"/>
                <w:szCs w:val="21"/>
                <w:highlight w:val="none"/>
              </w:rPr>
            </w:pPr>
            <w:r>
              <w:rPr>
                <w:rFonts w:hint="eastAsia" w:ascii="宋体" w:hAnsi="宋体" w:eastAsia="宋体" w:cs="宋体"/>
                <w:color w:val="auto"/>
                <w:sz w:val="21"/>
                <w:szCs w:val="21"/>
                <w:highlight w:val="none"/>
              </w:rPr>
              <w:t>评标结果将在</w:t>
            </w:r>
            <w:r>
              <w:rPr>
                <w:rFonts w:hint="eastAsia" w:ascii="宋体" w:hAnsi="宋体"/>
                <w:color w:val="auto"/>
                <w:szCs w:val="21"/>
                <w:highlight w:val="none"/>
              </w:rPr>
              <w:t>重庆高速集团官网</w:t>
            </w:r>
            <w:r>
              <w:rPr>
                <w:rFonts w:hint="eastAsia" w:ascii="宋体" w:hAnsi="宋体" w:eastAsia="宋体" w:cs="宋体"/>
                <w:color w:val="auto"/>
                <w:sz w:val="21"/>
                <w:szCs w:val="21"/>
                <w:highlight w:val="none"/>
              </w:rPr>
              <w:t>上进行公示，公示期为3日。公示内容包括中标候选人名称、排序、投标报价；提出异议、投诉的渠道和方式。</w:t>
            </w:r>
          </w:p>
        </w:tc>
      </w:tr>
      <w:tr w14:paraId="7DAF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97" w:type="dxa"/>
            <w:vAlign w:val="center"/>
          </w:tcPr>
          <w:p w14:paraId="026E7F50">
            <w:pPr>
              <w:pStyle w:val="150"/>
              <w:keepNext w:val="0"/>
              <w:keepLines w:val="0"/>
              <w:pageBreakBefore w:val="0"/>
              <w:kinsoku/>
              <w:wordWrap/>
              <w:overflowPunct/>
              <w:bidi w:val="0"/>
              <w:spacing w:line="360" w:lineRule="exact"/>
              <w:jc w:val="center"/>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24</w:t>
            </w:r>
          </w:p>
        </w:tc>
        <w:tc>
          <w:tcPr>
            <w:tcW w:w="2106" w:type="dxa"/>
            <w:vAlign w:val="center"/>
          </w:tcPr>
          <w:p w14:paraId="381B14CF">
            <w:pPr>
              <w:keepNext w:val="0"/>
              <w:keepLines w:val="0"/>
              <w:pageBreakBefore w:val="0"/>
              <w:kinsoku/>
              <w:wordWrap w:val="0"/>
              <w:overflowPunct/>
              <w:topLinePunct w:val="0"/>
              <w:bidi w:val="0"/>
              <w:adjustRightInd w:val="0"/>
              <w:snapToGrid w:val="0"/>
              <w:spacing w:line="42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确定中标人</w:t>
            </w:r>
          </w:p>
        </w:tc>
        <w:tc>
          <w:tcPr>
            <w:tcW w:w="7104" w:type="dxa"/>
            <w:vAlign w:val="center"/>
          </w:tcPr>
          <w:p w14:paraId="7629ADBE">
            <w:pPr>
              <w:keepNext w:val="0"/>
              <w:keepLines w:val="0"/>
              <w:pageBreakBefore w:val="0"/>
              <w:kinsoku/>
              <w:wordWrap w:val="0"/>
              <w:overflowPunct/>
              <w:topLinePunct w:val="0"/>
              <w:bidi w:val="0"/>
              <w:spacing w:line="420" w:lineRule="exact"/>
              <w:ind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r>
              <w:rPr>
                <w:rFonts w:hint="eastAsia" w:ascii="宋体" w:hAnsi="宋体" w:eastAsia="宋体" w:cs="宋体"/>
                <w:color w:val="auto"/>
                <w:sz w:val="21"/>
                <w:szCs w:val="21"/>
                <w:highlight w:val="none"/>
              </w:rPr>
              <w:t>中标候选人公示</w:t>
            </w:r>
            <w:r>
              <w:rPr>
                <w:rFonts w:hint="eastAsia" w:ascii="宋体" w:hAnsi="宋体" w:eastAsia="宋体" w:cs="宋体"/>
                <w:b w:val="0"/>
                <w:color w:val="auto"/>
                <w:sz w:val="21"/>
                <w:szCs w:val="21"/>
                <w:highlight w:val="none"/>
              </w:rPr>
              <w:t>结束且无异议的，</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确定排名第一的中标候选人为中标人。</w:t>
            </w:r>
            <w:r>
              <w:rPr>
                <w:rFonts w:hint="eastAsia" w:ascii="宋体" w:hAnsi="宋体" w:cs="宋体"/>
                <w:b w:val="0"/>
                <w:color w:val="auto"/>
                <w:sz w:val="21"/>
                <w:szCs w:val="21"/>
                <w:highlight w:val="none"/>
                <w:lang w:val="en-US" w:eastAsia="zh-CN"/>
              </w:rPr>
              <w:t>采购人</w:t>
            </w:r>
            <w:r>
              <w:rPr>
                <w:rFonts w:hint="eastAsia" w:ascii="宋体" w:hAnsi="宋体" w:eastAsia="宋体" w:cs="宋体"/>
                <w:b w:val="0"/>
                <w:color w:val="auto"/>
                <w:sz w:val="21"/>
                <w:szCs w:val="21"/>
                <w:highlight w:val="none"/>
              </w:rPr>
              <w:t>不得在中标候选人之外确定中标人。</w:t>
            </w:r>
          </w:p>
          <w:p w14:paraId="3CA4E710">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2.排名第一的中标候选人放弃中标、因不可抗力不能签订合同、不按照</w:t>
            </w:r>
            <w:r>
              <w:rPr>
                <w:rFonts w:hint="eastAsia" w:ascii="宋体" w:hAnsi="宋体" w:cs="宋体"/>
                <w:b w:val="0"/>
                <w:color w:val="auto"/>
                <w:sz w:val="21"/>
                <w:szCs w:val="21"/>
                <w:highlight w:val="none"/>
                <w:lang w:val="en-US" w:eastAsia="zh-CN"/>
              </w:rPr>
              <w:t>竞争性比选文件</w:t>
            </w:r>
            <w:r>
              <w:rPr>
                <w:rFonts w:hint="eastAsia" w:ascii="宋体" w:hAnsi="宋体" w:eastAsia="宋体" w:cs="宋体"/>
                <w:b w:val="0"/>
                <w:color w:val="auto"/>
                <w:sz w:val="21"/>
                <w:szCs w:val="21"/>
                <w:highlight w:val="none"/>
              </w:rPr>
              <w:t>要求提交履约保证金，或者被查实存在影响中标结果的违法行为等情形，不符合中标条件的，</w:t>
            </w:r>
            <w:r>
              <w:rPr>
                <w:rFonts w:hint="eastAsia" w:ascii="宋体" w:hAnsi="宋体" w:cs="宋体"/>
                <w:b w:val="0"/>
                <w:color w:val="auto"/>
                <w:sz w:val="21"/>
                <w:szCs w:val="21"/>
                <w:highlight w:val="none"/>
                <w:lang w:val="en-US" w:eastAsia="zh-CN"/>
              </w:rPr>
              <w:t>采购</w:t>
            </w:r>
            <w:r>
              <w:rPr>
                <w:rFonts w:hint="eastAsia" w:ascii="宋体" w:hAnsi="宋体" w:eastAsia="宋体" w:cs="宋体"/>
                <w:b w:val="0"/>
                <w:color w:val="auto"/>
                <w:sz w:val="21"/>
                <w:szCs w:val="21"/>
                <w:highlight w:val="none"/>
              </w:rPr>
              <w:t>人可以按照评标委员会提出的中标候选人名单排序依次确定其他中标候选人为中标人，也可以重新招标。</w:t>
            </w:r>
          </w:p>
        </w:tc>
      </w:tr>
      <w:tr w14:paraId="24DD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138CBB9C">
            <w:pPr>
              <w:pStyle w:val="150"/>
              <w:keepNext w:val="0"/>
              <w:keepLines w:val="0"/>
              <w:pageBreakBefore w:val="0"/>
              <w:kinsoku/>
              <w:wordWrap/>
              <w:overflowPunct/>
              <w:bidi w:val="0"/>
              <w:spacing w:line="360" w:lineRule="exact"/>
              <w:jc w:val="center"/>
              <w:textAlignment w:val="auto"/>
              <w:rPr>
                <w:rFonts w:hint="eastAsia" w:hAnsi="宋体" w:cs="宋体"/>
                <w:color w:val="auto"/>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14:paraId="5ACE20FF">
            <w:pPr>
              <w:keepNext w:val="0"/>
              <w:keepLines w:val="0"/>
              <w:pageBreakBefore w:val="0"/>
              <w:kinsoku/>
              <w:wordWrap w:val="0"/>
              <w:overflowPunct/>
              <w:topLinePunct w:val="0"/>
              <w:bidi w:val="0"/>
              <w:adjustRightInd w:val="0"/>
              <w:snapToGrid w:val="0"/>
              <w:spacing w:line="420" w:lineRule="exact"/>
              <w:ind w:left="0" w:leftChars="0"/>
              <w:jc w:val="center"/>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乙方违约的处理</w:t>
            </w:r>
          </w:p>
        </w:tc>
        <w:tc>
          <w:tcPr>
            <w:tcW w:w="7104" w:type="dxa"/>
            <w:vAlign w:val="center"/>
          </w:tcPr>
          <w:p w14:paraId="78C9A425">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1.乙方应在所规定的时间内完成和交付。如乙方未履行义务，应当向甲方支付违约金，违约金以及其它相关处罚的具体确定方式以及金额依照</w:t>
            </w:r>
            <w:r>
              <w:rPr>
                <w:rFonts w:hint="eastAsia" w:ascii="宋体" w:hAnsi="宋体" w:cs="宋体"/>
                <w:b w:val="0"/>
                <w:color w:val="auto"/>
                <w:sz w:val="21"/>
                <w:szCs w:val="21"/>
                <w:highlight w:val="none"/>
                <w:lang w:val="en-US" w:eastAsia="zh-CN"/>
              </w:rPr>
              <w:t>合同</w:t>
            </w:r>
            <w:r>
              <w:rPr>
                <w:rFonts w:hint="eastAsia" w:ascii="宋体" w:hAnsi="宋体" w:eastAsia="宋体" w:cs="宋体"/>
                <w:b w:val="0"/>
                <w:color w:val="auto"/>
                <w:sz w:val="21"/>
                <w:szCs w:val="21"/>
                <w:highlight w:val="none"/>
              </w:rPr>
              <w:t>附件一执行，每结算季度中产生的违约金在当期结算金额中直接扣除。</w:t>
            </w:r>
          </w:p>
          <w:p w14:paraId="639E1523">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2.如因乙方服务人员造成甲方损失且违约金不足以弥补的，乙方还必须对造成的损失按实际情况进行赔偿（具体赔偿金额可由甲乙双方认可的第三方评估机构进行实际评估计算）。</w:t>
            </w:r>
          </w:p>
          <w:p w14:paraId="6FD1EE2F">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rPr>
              <w:t>.任何一方违反本合同所规定的保密义务，违约方应按约定支付违约金。如实际损失超过该违约金的，受损失一方有权要求对方赔偿超过部分。</w:t>
            </w:r>
          </w:p>
          <w:p w14:paraId="3618698D">
            <w:pPr>
              <w:keepNext w:val="0"/>
              <w:keepLines w:val="0"/>
              <w:pageBreakBefore w:val="0"/>
              <w:kinsoku/>
              <w:wordWrap w:val="0"/>
              <w:overflowPunct/>
              <w:topLinePunct w:val="0"/>
              <w:bidi w:val="0"/>
              <w:spacing w:line="420" w:lineRule="exact"/>
              <w:ind w:left="0" w:leftChars="0" w:firstLine="420" w:firstLineChars="200"/>
              <w:textAlignment w:val="auto"/>
              <w:rPr>
                <w:rFonts w:hint="default" w:ascii="Wonder Arial" w:hAnsi="Wonder Arial" w:eastAsia="方正仿宋_GB2312" w:cs="Wonder Arial"/>
                <w:b w:val="0"/>
                <w:color w:val="auto"/>
                <w:sz w:val="21"/>
                <w:szCs w:val="21"/>
                <w:highlight w:val="none"/>
              </w:rPr>
            </w:pPr>
            <w:r>
              <w:rPr>
                <w:rFonts w:hint="eastAsia" w:ascii="宋体" w:hAnsi="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rPr>
              <w:t>.甲方有权对乙方提供的服务进行定期检查，若乙方未满足要求，每发现一次，乙方应向甲方支付2000元/次的违约金。</w:t>
            </w:r>
          </w:p>
          <w:p w14:paraId="7CFFE119">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.任何一方违反本合同所规定的其他义务，除本合同另有约定外，违约方按合同总价的5%向对方支付违约金。</w:t>
            </w:r>
          </w:p>
          <w:p w14:paraId="6E211CA9">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rPr>
              <w:t>.按本合同赔偿的违约金应在15个工作日内付清，否则，按逾期付款处理，即每迟延一日按欠付金额的0.03%支付违约金。</w:t>
            </w:r>
          </w:p>
          <w:p w14:paraId="58C16574">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rPr>
              <w:t>.以上涉及违约金或罚款的，应先扣除履约保证金，直至履约保证金扣除完后，在</w:t>
            </w:r>
            <w:r>
              <w:rPr>
                <w:rFonts w:hint="eastAsia" w:ascii="宋体" w:hAnsi="宋体" w:cs="宋体"/>
                <w:b w:val="0"/>
                <w:color w:val="auto"/>
                <w:sz w:val="21"/>
                <w:szCs w:val="21"/>
                <w:highlight w:val="none"/>
                <w:lang w:val="en-US" w:eastAsia="zh-CN"/>
              </w:rPr>
              <w:t>进度款中</w:t>
            </w:r>
            <w:r>
              <w:rPr>
                <w:rFonts w:hint="eastAsia" w:ascii="宋体" w:hAnsi="宋体" w:eastAsia="宋体" w:cs="宋体"/>
                <w:b w:val="0"/>
                <w:color w:val="auto"/>
                <w:sz w:val="21"/>
                <w:szCs w:val="21"/>
                <w:highlight w:val="none"/>
              </w:rPr>
              <w:t>扣除。</w:t>
            </w:r>
          </w:p>
          <w:p w14:paraId="25ABE0EA">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8</w:t>
            </w:r>
            <w:r>
              <w:rPr>
                <w:rFonts w:hint="eastAsia" w:ascii="宋体" w:hAnsi="宋体" w:eastAsia="宋体" w:cs="宋体"/>
                <w:b w:val="0"/>
                <w:color w:val="auto"/>
                <w:sz w:val="21"/>
                <w:szCs w:val="21"/>
                <w:highlight w:val="none"/>
              </w:rPr>
              <w:t>.因乙方服务人员造成甲方损失，乙方除应当负责配合甲方解决之外，还应当承担由此给甲方造成的一切损失。本义务不随本合同履行期限届满而结束。</w:t>
            </w:r>
          </w:p>
          <w:p w14:paraId="758A6599">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9</w:t>
            </w:r>
            <w:r>
              <w:rPr>
                <w:rFonts w:hint="eastAsia" w:ascii="宋体" w:hAnsi="宋体" w:eastAsia="宋体" w:cs="宋体"/>
                <w:b w:val="0"/>
                <w:color w:val="auto"/>
                <w:sz w:val="21"/>
                <w:szCs w:val="21"/>
                <w:highlight w:val="none"/>
              </w:rPr>
              <w:t>.因履行合同而发生的一切安全保障责任、人身伤亡事故及造成的损失均由乙方承担。</w:t>
            </w:r>
          </w:p>
          <w:p w14:paraId="5E2BD0FD">
            <w:pPr>
              <w:keepNext w:val="0"/>
              <w:keepLines w:val="0"/>
              <w:pageBreakBefore w:val="0"/>
              <w:kinsoku/>
              <w:wordWrap w:val="0"/>
              <w:overflowPunct/>
              <w:topLinePunct w:val="0"/>
              <w:bidi w:val="0"/>
              <w:spacing w:line="420" w:lineRule="exact"/>
              <w:ind w:left="0" w:leftChars="0"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10</w:t>
            </w:r>
            <w:r>
              <w:rPr>
                <w:rFonts w:hint="eastAsia" w:ascii="宋体" w:hAnsi="宋体" w:eastAsia="宋体" w:cs="宋体"/>
                <w:b w:val="0"/>
                <w:color w:val="auto"/>
                <w:sz w:val="21"/>
                <w:szCs w:val="21"/>
                <w:highlight w:val="none"/>
              </w:rPr>
              <w:t>.报价人应服从采购人供应商管理，对出现进度、质量、服务及违规问题的供应商，视违规行为的具体情形、情节轻重和危害程度，根据采购人《合格供方库管理办法》给予暂停合格供应商资格资格、终止合格供应商资格、永久取消合格供应商资格（列入入诚信黑名单）等处理。</w:t>
            </w:r>
          </w:p>
        </w:tc>
      </w:tr>
      <w:tr w14:paraId="0710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2671497B">
            <w:pPr>
              <w:pStyle w:val="150"/>
              <w:keepNext w:val="0"/>
              <w:keepLines w:val="0"/>
              <w:pageBreakBefore w:val="0"/>
              <w:widowControl w:val="0"/>
              <w:kinsoku/>
              <w:wordWrap/>
              <w:overflowPunct/>
              <w:bidi w:val="0"/>
              <w:spacing w:line="400" w:lineRule="exact"/>
              <w:jc w:val="center"/>
              <w:textAlignment w:val="auto"/>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vAlign w:val="center"/>
          </w:tcPr>
          <w:p w14:paraId="5A4A9171">
            <w:pPr>
              <w:pStyle w:val="150"/>
              <w:keepNext w:val="0"/>
              <w:keepLines w:val="0"/>
              <w:pageBreakBefore w:val="0"/>
              <w:widowControl w:val="0"/>
              <w:kinsoku/>
              <w:wordWrap/>
              <w:overflowPunct/>
              <w:bidi w:val="0"/>
              <w:spacing w:line="400" w:lineRule="exact"/>
              <w:ind w:firstLine="482" w:firstLineChars="200"/>
              <w:jc w:val="center"/>
              <w:textAlignment w:val="auto"/>
              <w:rPr>
                <w:rFonts w:hAnsi="宋体"/>
                <w:color w:val="auto"/>
                <w:kern w:val="2"/>
                <w:sz w:val="21"/>
                <w:szCs w:val="21"/>
                <w:highlight w:val="none"/>
              </w:rPr>
            </w:pPr>
            <w:r>
              <w:rPr>
                <w:rFonts w:hAnsi="宋体"/>
                <w:b/>
                <w:bCs/>
                <w:color w:val="auto"/>
                <w:szCs w:val="21"/>
                <w:highlight w:val="none"/>
              </w:rPr>
              <w:t>需要补充的其他内容</w:t>
            </w:r>
          </w:p>
        </w:tc>
      </w:tr>
      <w:tr w14:paraId="73DB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FD9E791">
            <w:pPr>
              <w:pStyle w:val="150"/>
              <w:keepNext w:val="0"/>
              <w:keepLines w:val="0"/>
              <w:pageBreakBefore w:val="0"/>
              <w:widowControl w:val="0"/>
              <w:kinsoku/>
              <w:wordWrap/>
              <w:overflowPunct/>
              <w:bidi w:val="0"/>
              <w:spacing w:line="400" w:lineRule="exact"/>
              <w:jc w:val="center"/>
              <w:textAlignment w:val="auto"/>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6</w:t>
            </w:r>
            <w:r>
              <w:rPr>
                <w:rFonts w:hint="eastAsia" w:hAnsi="宋体"/>
                <w:color w:val="auto"/>
                <w:kern w:val="2"/>
                <w:sz w:val="21"/>
                <w:szCs w:val="21"/>
                <w:highlight w:val="none"/>
              </w:rPr>
              <w:t>.1</w:t>
            </w:r>
          </w:p>
        </w:tc>
        <w:tc>
          <w:tcPr>
            <w:tcW w:w="9210" w:type="dxa"/>
            <w:gridSpan w:val="2"/>
            <w:vAlign w:val="center"/>
          </w:tcPr>
          <w:p w14:paraId="2EB2A629">
            <w:pPr>
              <w:pStyle w:val="150"/>
              <w:keepNext w:val="0"/>
              <w:keepLines w:val="0"/>
              <w:pageBreakBefore w:val="0"/>
              <w:widowControl w:val="0"/>
              <w:kinsoku/>
              <w:wordWrap/>
              <w:overflowPunct/>
              <w:bidi w:val="0"/>
              <w:spacing w:line="400" w:lineRule="exact"/>
              <w:ind w:firstLine="420" w:firstLineChars="200"/>
              <w:textAlignment w:val="auto"/>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截止竞争性比选响应文件递交时间，递交竞争性比选响应文件不足3家的不得开启竞争性比选文件。重新招标后报价人仍少于3个，按法定程序开标和评标，确定中标人。</w:t>
            </w:r>
          </w:p>
        </w:tc>
      </w:tr>
      <w:tr w14:paraId="57AB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06B37D9">
            <w:pPr>
              <w:pStyle w:val="150"/>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hAnsi="宋体" w:cs="宋体"/>
                <w:color w:val="auto"/>
                <w:kern w:val="2"/>
                <w:sz w:val="21"/>
                <w:szCs w:val="21"/>
                <w:highlight w:val="none"/>
                <w:lang w:val="en-US" w:eastAsia="zh-CN"/>
              </w:rPr>
              <w:t>26.2</w:t>
            </w:r>
          </w:p>
        </w:tc>
        <w:tc>
          <w:tcPr>
            <w:tcW w:w="9210" w:type="dxa"/>
            <w:gridSpan w:val="2"/>
            <w:vAlign w:val="center"/>
          </w:tcPr>
          <w:p w14:paraId="6E118CA3">
            <w:pPr>
              <w:pStyle w:val="150"/>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在报价时应充分考虑原料价格波动、人工费用上涨、</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人采购量波动等不确定因素的风险，该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人若中标，其报价在</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期内不得调整。</w:t>
            </w:r>
          </w:p>
          <w:p w14:paraId="6A29EF97">
            <w:pPr>
              <w:pStyle w:val="150"/>
              <w:keepNext w:val="0"/>
              <w:keepLines w:val="0"/>
              <w:pageBreakBefore w:val="0"/>
              <w:kinsoku/>
              <w:wordWrap/>
              <w:overflowPunct/>
              <w:bidi w:val="0"/>
              <w:spacing w:line="36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rPr>
              <w:t>（2）若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人对</w:t>
            </w:r>
            <w:r>
              <w:rPr>
                <w:rFonts w:hint="eastAsia"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范围有漏报、漏项的情况发生，</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人均视为</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人已充分理解</w:t>
            </w:r>
            <w:r>
              <w:rPr>
                <w:rFonts w:hint="eastAsia"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文件要求，漏报、漏项部分已包含在其投标报价之中。该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人若中标，其报价不调整。</w:t>
            </w:r>
          </w:p>
        </w:tc>
      </w:tr>
      <w:tr w14:paraId="76B2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69F087DF">
            <w:pPr>
              <w:pStyle w:val="150"/>
              <w:keepNext w:val="0"/>
              <w:keepLines w:val="0"/>
              <w:pageBreakBefore w:val="0"/>
              <w:kinsoku/>
              <w:wordWrap/>
              <w:overflowPunct/>
              <w:bidi w:val="0"/>
              <w:spacing w:line="360" w:lineRule="exact"/>
              <w:jc w:val="center"/>
              <w:textAlignment w:val="auto"/>
              <w:rPr>
                <w:rFonts w:hint="eastAsia" w:hAnsi="宋体"/>
                <w:color w:val="auto"/>
                <w:kern w:val="2"/>
                <w:sz w:val="21"/>
                <w:szCs w:val="21"/>
                <w:highlight w:val="none"/>
              </w:rPr>
            </w:pPr>
            <w:r>
              <w:rPr>
                <w:rFonts w:hint="eastAsia" w:hAnsi="宋体" w:cs="宋体"/>
                <w:color w:val="auto"/>
                <w:kern w:val="2"/>
                <w:sz w:val="21"/>
                <w:szCs w:val="21"/>
                <w:highlight w:val="none"/>
                <w:lang w:val="en-US" w:eastAsia="zh-CN"/>
              </w:rPr>
              <w:t>26.3</w:t>
            </w:r>
          </w:p>
        </w:tc>
        <w:tc>
          <w:tcPr>
            <w:tcW w:w="9210" w:type="dxa"/>
            <w:gridSpan w:val="2"/>
            <w:vAlign w:val="center"/>
          </w:tcPr>
          <w:p w14:paraId="311F4EAB">
            <w:pPr>
              <w:pStyle w:val="150"/>
              <w:keepNext w:val="0"/>
              <w:keepLines w:val="0"/>
              <w:pageBreakBefore w:val="0"/>
              <w:kinsoku/>
              <w:wordWrap/>
              <w:overflowPunct/>
              <w:bidi w:val="0"/>
              <w:spacing w:line="360" w:lineRule="exact"/>
              <w:ind w:firstLine="420" w:firstLineChars="200"/>
              <w:jc w:val="both"/>
              <w:textAlignment w:val="auto"/>
              <w:rPr>
                <w:rFonts w:hint="eastAsia" w:hAnsi="宋体"/>
                <w:color w:val="auto"/>
                <w:sz w:val="21"/>
                <w:szCs w:val="21"/>
                <w:highlight w:val="none"/>
              </w:rPr>
            </w:pPr>
            <w:r>
              <w:rPr>
                <w:rFonts w:hint="eastAsia" w:ascii="宋体" w:hAnsi="宋体" w:eastAsia="宋体" w:cs="宋体"/>
                <w:color w:val="auto"/>
                <w:sz w:val="21"/>
                <w:szCs w:val="21"/>
                <w:highlight w:val="none"/>
              </w:rPr>
              <w:t>评标委员会在</w:t>
            </w:r>
            <w:r>
              <w:rPr>
                <w:rFonts w:hint="eastAsia"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过程中，发现</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人的报价明显低于其他报价使得其报价可能低于其个别成本的，应当要求该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人作出书面说明并提供相关证明材料。</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人不能合理说明或者不能提供相关证明材料的，</w:t>
            </w:r>
            <w:r>
              <w:rPr>
                <w:rFonts w:hint="eastAsia" w:hAnsi="宋体" w:cs="宋体"/>
                <w:color w:val="auto"/>
                <w:sz w:val="21"/>
                <w:szCs w:val="21"/>
                <w:highlight w:val="none"/>
                <w:lang w:val="en-US" w:eastAsia="zh-CN"/>
              </w:rPr>
              <w:t>应</w:t>
            </w:r>
            <w:r>
              <w:rPr>
                <w:rFonts w:hint="eastAsia" w:ascii="宋体" w:hAnsi="宋体" w:eastAsia="宋体" w:cs="宋体"/>
                <w:color w:val="auto"/>
                <w:sz w:val="21"/>
                <w:szCs w:val="21"/>
                <w:highlight w:val="none"/>
              </w:rPr>
              <w:t>认定该</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人以低于成本报价竞标的，其</w:t>
            </w:r>
            <w:r>
              <w:rPr>
                <w:rFonts w:hint="eastAsia" w:hAnsi="宋体" w:cs="宋体"/>
                <w:color w:val="auto"/>
                <w:sz w:val="21"/>
                <w:szCs w:val="21"/>
                <w:highlight w:val="none"/>
                <w:lang w:val="en-US" w:eastAsia="zh-CN"/>
              </w:rPr>
              <w:t>报价</w:t>
            </w:r>
            <w:r>
              <w:rPr>
                <w:rFonts w:hint="eastAsia" w:ascii="宋体" w:hAnsi="宋体" w:eastAsia="宋体" w:cs="宋体"/>
                <w:color w:val="auto"/>
                <w:sz w:val="21"/>
                <w:szCs w:val="21"/>
                <w:highlight w:val="none"/>
              </w:rPr>
              <w:t>应作无效</w:t>
            </w:r>
            <w:r>
              <w:rPr>
                <w:rFonts w:hint="eastAsia"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p>
        </w:tc>
      </w:tr>
      <w:bookmarkEnd w:id="111"/>
    </w:tbl>
    <w:p w14:paraId="11810B92">
      <w:pPr>
        <w:rPr>
          <w:color w:val="auto"/>
          <w:highlight w:val="none"/>
        </w:rPr>
      </w:pPr>
    </w:p>
    <w:p w14:paraId="472485AF">
      <w:pPr>
        <w:spacing w:line="360" w:lineRule="auto"/>
        <w:jc w:val="center"/>
        <w:rPr>
          <w:rFonts w:ascii="宋体" w:hAnsi="宋体" w:cs="宋体"/>
          <w:b/>
          <w:color w:val="auto"/>
          <w:sz w:val="28"/>
          <w:szCs w:val="28"/>
          <w:highlight w:val="none"/>
        </w:rPr>
        <w:sectPr>
          <w:headerReference r:id="rId7" w:type="default"/>
          <w:footerReference r:id="rId8" w:type="default"/>
          <w:pgSz w:w="11906" w:h="16838"/>
          <w:pgMar w:top="1440" w:right="1803" w:bottom="1440" w:left="1803" w:header="851" w:footer="992" w:gutter="0"/>
          <w:pgNumType w:start="1"/>
          <w:cols w:space="720" w:num="1"/>
          <w:docGrid w:type="lines" w:linePitch="312" w:charSpace="0"/>
        </w:sectPr>
      </w:pPr>
      <w:bookmarkStart w:id="112" w:name="_Hlt227984024"/>
      <w:bookmarkEnd w:id="112"/>
    </w:p>
    <w:p w14:paraId="50AB5DE3">
      <w:pPr>
        <w:pStyle w:val="3"/>
        <w:jc w:val="center"/>
        <w:rPr>
          <w:rFonts w:ascii="宋体" w:hAnsi="宋体" w:eastAsia="宋体" w:cs="宋体"/>
          <w:bCs w:val="0"/>
          <w:color w:val="auto"/>
          <w:sz w:val="28"/>
          <w:szCs w:val="28"/>
          <w:highlight w:val="none"/>
        </w:rPr>
      </w:pPr>
      <w:bookmarkStart w:id="113" w:name="_Toc11329222"/>
      <w:bookmarkStart w:id="114" w:name="_Toc30198"/>
      <w:bookmarkStart w:id="115" w:name="_Toc11284"/>
      <w:bookmarkStart w:id="116" w:name="_Toc17532"/>
      <w:bookmarkStart w:id="117" w:name="_Toc31520"/>
      <w:r>
        <w:rPr>
          <w:rFonts w:hint="eastAsia" w:ascii="宋体" w:hAnsi="宋体" w:eastAsia="宋体" w:cs="宋体"/>
          <w:color w:val="auto"/>
          <w:sz w:val="28"/>
          <w:szCs w:val="28"/>
          <w:highlight w:val="none"/>
        </w:rPr>
        <w:t xml:space="preserve">附录1  </w:t>
      </w:r>
      <w:bookmarkEnd w:id="113"/>
      <w:bookmarkEnd w:id="114"/>
      <w:bookmarkEnd w:id="115"/>
      <w:bookmarkEnd w:id="116"/>
      <w:bookmarkStart w:id="118" w:name="_Toc25591"/>
      <w:bookmarkStart w:id="119" w:name="_Toc12773"/>
      <w:bookmarkStart w:id="120" w:name="_Toc11329226"/>
      <w:bookmarkStart w:id="121" w:name="_Toc27096"/>
      <w:r>
        <w:rPr>
          <w:rFonts w:hint="eastAsia" w:ascii="宋体" w:hAnsi="宋体" w:eastAsia="宋体" w:cs="宋体"/>
          <w:bCs w:val="0"/>
          <w:color w:val="auto"/>
          <w:sz w:val="28"/>
          <w:szCs w:val="28"/>
          <w:highlight w:val="none"/>
        </w:rPr>
        <w:t>报价人资格要求</w:t>
      </w:r>
      <w:bookmarkEnd w:id="117"/>
      <w:bookmarkEnd w:id="118"/>
      <w:bookmarkEnd w:id="119"/>
      <w:bookmarkEnd w:id="120"/>
      <w:bookmarkEnd w:id="121"/>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1E80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7D9E7FEA">
            <w:pPr>
              <w:spacing w:line="400" w:lineRule="exact"/>
              <w:jc w:val="center"/>
              <w:rPr>
                <w:rFonts w:ascii="宋体" w:hAnsi="宋体" w:cs="宋体"/>
                <w:color w:val="auto"/>
                <w:szCs w:val="21"/>
                <w:highlight w:val="none"/>
              </w:rPr>
            </w:pPr>
            <w:bookmarkStart w:id="122" w:name="_Toc387234996"/>
            <w:bookmarkStart w:id="123" w:name="_Toc388534043"/>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1DEFCD1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5CD17C9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1C72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64" w:type="dxa"/>
            <w:tcBorders>
              <w:top w:val="single" w:color="auto" w:sz="4" w:space="0"/>
              <w:left w:val="single" w:color="auto" w:sz="4" w:space="0"/>
              <w:bottom w:val="single" w:color="auto" w:sz="4" w:space="0"/>
              <w:right w:val="single" w:color="auto" w:sz="4" w:space="0"/>
            </w:tcBorders>
            <w:vAlign w:val="center"/>
          </w:tcPr>
          <w:p w14:paraId="6C84EE7C">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4D7E5B4B">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14:paraId="6120076E">
            <w:pPr>
              <w:spacing w:line="400" w:lineRule="exact"/>
              <w:ind w:firstLine="420" w:firstLineChars="200"/>
              <w:rPr>
                <w:rFonts w:ascii="宋体" w:hAnsi="宋体" w:cs="宋体"/>
                <w:color w:val="auto"/>
                <w:szCs w:val="21"/>
                <w:highlight w:val="none"/>
              </w:rPr>
            </w:pPr>
            <w:r>
              <w:rPr>
                <w:rFonts w:hint="eastAsia" w:ascii="宋体" w:hAnsi="宋体" w:cs="宋体"/>
                <w:color w:val="auto"/>
                <w:sz w:val="21"/>
                <w:szCs w:val="21"/>
                <w:highlight w:val="none"/>
                <w:lang w:val="en-US" w:eastAsia="zh-CN"/>
              </w:rPr>
              <w:t>报价人具有独立法人资格及有效的营业执照。</w:t>
            </w:r>
          </w:p>
        </w:tc>
      </w:tr>
      <w:tr w14:paraId="1718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2FA796C5">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43439A51">
            <w:pPr>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59776024">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2022年1月1日至竞争性比选文件发出之日（以合同签订时间为准）起至少承担一项合同金额不低于</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万元的</w:t>
            </w:r>
            <w:r>
              <w:rPr>
                <w:rFonts w:hint="eastAsia" w:ascii="宋体" w:hAnsi="宋体" w:cs="宋体"/>
                <w:color w:val="auto"/>
                <w:sz w:val="21"/>
                <w:szCs w:val="21"/>
                <w:highlight w:val="none"/>
                <w:lang w:val="en-US" w:eastAsia="zh-CN"/>
              </w:rPr>
              <w:t>数字化相关应用（平台或系统）的研究业绩</w:t>
            </w:r>
            <w:r>
              <w:rPr>
                <w:rFonts w:hint="eastAsia" w:ascii="宋体" w:hAnsi="宋体" w:eastAsia="宋体" w:cs="宋体"/>
                <w:color w:val="auto"/>
                <w:sz w:val="21"/>
                <w:szCs w:val="21"/>
                <w:highlight w:val="none"/>
                <w:lang w:val="en-US" w:eastAsia="zh-CN"/>
              </w:rPr>
              <w:t>。</w:t>
            </w:r>
          </w:p>
        </w:tc>
      </w:tr>
      <w:tr w14:paraId="1ED4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6BB8E8CF">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6F32F77D">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5CD95F17">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76BEBC9C">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w:t>
      </w:r>
      <w:r>
        <w:rPr>
          <w:rFonts w:hint="eastAsia" w:hAnsi="宋体"/>
          <w:b/>
          <w:bCs/>
          <w:color w:val="auto"/>
          <w:kern w:val="0"/>
          <w:szCs w:val="21"/>
          <w:highlight w:val="none"/>
        </w:rPr>
        <w:t>1.提供公司营业执照复印件，并加盖单位公章。</w:t>
      </w:r>
    </w:p>
    <w:p w14:paraId="34EA5AD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5684E25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7AE293AA">
      <w:pPr>
        <w:pStyle w:val="29"/>
        <w:rPr>
          <w:color w:val="auto"/>
          <w:highlight w:val="none"/>
        </w:rPr>
      </w:pPr>
    </w:p>
    <w:bookmarkEnd w:id="122"/>
    <w:bookmarkEnd w:id="123"/>
    <w:p w14:paraId="56E1C80B">
      <w:pPr>
        <w:spacing w:line="440" w:lineRule="exact"/>
        <w:ind w:firstLine="210" w:firstLineChars="100"/>
        <w:rPr>
          <w:rFonts w:ascii="宋体" w:hAnsi="宋体" w:cs="宋体"/>
          <w:color w:val="auto"/>
          <w:highlight w:val="none"/>
        </w:rPr>
      </w:pPr>
    </w:p>
    <w:p w14:paraId="596F1414">
      <w:pPr>
        <w:pStyle w:val="18"/>
        <w:rPr>
          <w:rFonts w:ascii="宋体" w:hAnsi="宋体" w:cs="宋体"/>
          <w:color w:val="auto"/>
          <w:highlight w:val="none"/>
        </w:rPr>
      </w:pPr>
    </w:p>
    <w:p w14:paraId="6EB1E87E">
      <w:pPr>
        <w:rPr>
          <w:rFonts w:ascii="宋体" w:hAnsi="宋体" w:cs="宋体"/>
          <w:color w:val="auto"/>
          <w:highlight w:val="none"/>
        </w:rPr>
      </w:pPr>
    </w:p>
    <w:p w14:paraId="7E1F8ED3">
      <w:pPr>
        <w:pStyle w:val="18"/>
        <w:rPr>
          <w:rFonts w:ascii="宋体" w:hAnsi="宋体" w:cs="宋体"/>
          <w:color w:val="auto"/>
          <w:highlight w:val="none"/>
        </w:rPr>
      </w:pPr>
    </w:p>
    <w:p w14:paraId="3F4946DE">
      <w:pPr>
        <w:rPr>
          <w:rFonts w:ascii="宋体" w:hAnsi="宋体" w:cs="宋体"/>
          <w:color w:val="auto"/>
          <w:highlight w:val="none"/>
        </w:rPr>
      </w:pPr>
    </w:p>
    <w:p w14:paraId="5DFAACBA">
      <w:pPr>
        <w:pStyle w:val="18"/>
        <w:rPr>
          <w:rFonts w:ascii="宋体" w:hAnsi="宋体" w:cs="宋体"/>
          <w:color w:val="auto"/>
          <w:highlight w:val="none"/>
        </w:rPr>
      </w:pPr>
    </w:p>
    <w:p w14:paraId="47595626">
      <w:pPr>
        <w:rPr>
          <w:rFonts w:ascii="宋体" w:hAnsi="宋体" w:cs="宋体"/>
          <w:color w:val="auto"/>
          <w:highlight w:val="none"/>
        </w:rPr>
      </w:pPr>
    </w:p>
    <w:p w14:paraId="3AD644EA">
      <w:pPr>
        <w:pStyle w:val="18"/>
        <w:rPr>
          <w:rFonts w:ascii="宋体" w:hAnsi="宋体" w:cs="宋体"/>
          <w:color w:val="auto"/>
          <w:highlight w:val="none"/>
        </w:rPr>
      </w:pPr>
    </w:p>
    <w:p w14:paraId="2D4EFE8B">
      <w:pPr>
        <w:rPr>
          <w:rFonts w:ascii="宋体" w:hAnsi="宋体" w:cs="宋体"/>
          <w:color w:val="auto"/>
          <w:highlight w:val="none"/>
        </w:rPr>
      </w:pPr>
    </w:p>
    <w:p w14:paraId="279ED41D">
      <w:pPr>
        <w:pStyle w:val="18"/>
        <w:rPr>
          <w:rFonts w:ascii="宋体" w:hAnsi="宋体" w:cs="宋体"/>
          <w:color w:val="auto"/>
          <w:highlight w:val="none"/>
        </w:rPr>
      </w:pPr>
    </w:p>
    <w:p w14:paraId="015CC49B">
      <w:pPr>
        <w:rPr>
          <w:rFonts w:ascii="宋体" w:hAnsi="宋体" w:cs="宋体"/>
          <w:color w:val="auto"/>
          <w:highlight w:val="none"/>
        </w:rPr>
      </w:pPr>
    </w:p>
    <w:p w14:paraId="56DF236F">
      <w:pPr>
        <w:pStyle w:val="18"/>
        <w:rPr>
          <w:rFonts w:ascii="宋体" w:hAnsi="宋体" w:cs="宋体"/>
          <w:color w:val="auto"/>
          <w:highlight w:val="none"/>
        </w:rPr>
      </w:pPr>
    </w:p>
    <w:p w14:paraId="38AB6304">
      <w:pPr>
        <w:rPr>
          <w:rFonts w:ascii="宋体" w:hAnsi="宋体" w:cs="宋体"/>
          <w:color w:val="auto"/>
          <w:highlight w:val="none"/>
        </w:rPr>
      </w:pPr>
    </w:p>
    <w:p w14:paraId="0F501D39">
      <w:pPr>
        <w:rPr>
          <w:color w:val="auto"/>
          <w:highlight w:val="none"/>
        </w:rPr>
      </w:pPr>
      <w:r>
        <w:rPr>
          <w:color w:val="auto"/>
          <w:highlight w:val="none"/>
        </w:rPr>
        <w:br w:type="page"/>
      </w:r>
    </w:p>
    <w:p w14:paraId="40A2561F">
      <w:pPr>
        <w:pStyle w:val="2"/>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24" w:name="_Toc31054"/>
      <w:bookmarkStart w:id="125" w:name="_Toc28519"/>
      <w:r>
        <w:rPr>
          <w:rFonts w:hint="eastAsia" w:ascii="宋体" w:hAnsi="宋体" w:cs="宋体"/>
          <w:color w:val="auto"/>
          <w:highlight w:val="none"/>
        </w:rPr>
        <w:t>评标办法（综合评估法）</w:t>
      </w:r>
      <w:bookmarkEnd w:id="124"/>
      <w:bookmarkEnd w:id="125"/>
    </w:p>
    <w:p w14:paraId="4A9C9D4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评标方法前附表</w:t>
      </w:r>
    </w:p>
    <w:tbl>
      <w:tblPr>
        <w:tblStyle w:val="43"/>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1025"/>
        <w:gridCol w:w="1144"/>
        <w:gridCol w:w="1510"/>
        <w:gridCol w:w="4627"/>
        <w:gridCol w:w="555"/>
      </w:tblGrid>
      <w:tr w14:paraId="0923E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3113" w:type="dxa"/>
            <w:gridSpan w:val="3"/>
            <w:tcBorders>
              <w:top w:val="single" w:color="auto" w:sz="4" w:space="0"/>
              <w:bottom w:val="single" w:color="auto" w:sz="4" w:space="0"/>
              <w:right w:val="single" w:color="auto" w:sz="4" w:space="0"/>
            </w:tcBorders>
            <w:vAlign w:val="center"/>
          </w:tcPr>
          <w:p w14:paraId="0165D03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510" w:type="dxa"/>
            <w:tcBorders>
              <w:top w:val="single" w:color="auto" w:sz="4" w:space="0"/>
              <w:left w:val="single" w:color="auto" w:sz="4" w:space="0"/>
              <w:bottom w:val="single" w:color="auto" w:sz="4" w:space="0"/>
              <w:right w:val="single" w:color="auto" w:sz="4" w:space="0"/>
            </w:tcBorders>
            <w:vAlign w:val="center"/>
          </w:tcPr>
          <w:p w14:paraId="4AF9506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182" w:type="dxa"/>
            <w:gridSpan w:val="2"/>
            <w:tcBorders>
              <w:top w:val="single" w:color="auto" w:sz="4" w:space="0"/>
              <w:left w:val="single" w:color="auto" w:sz="4" w:space="0"/>
              <w:bottom w:val="single" w:color="auto" w:sz="4" w:space="0"/>
            </w:tcBorders>
            <w:vAlign w:val="center"/>
          </w:tcPr>
          <w:p w14:paraId="7DF2A76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14:paraId="6E3A0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4" w:type="dxa"/>
            <w:tcBorders>
              <w:top w:val="single" w:color="auto" w:sz="4" w:space="0"/>
              <w:right w:val="single" w:color="auto" w:sz="4" w:space="0"/>
            </w:tcBorders>
            <w:vAlign w:val="center"/>
          </w:tcPr>
          <w:p w14:paraId="02016EE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169" w:type="dxa"/>
            <w:gridSpan w:val="2"/>
            <w:tcBorders>
              <w:top w:val="single" w:color="auto" w:sz="4" w:space="0"/>
              <w:left w:val="single" w:color="auto" w:sz="4" w:space="0"/>
              <w:right w:val="single" w:color="auto" w:sz="4" w:space="0"/>
            </w:tcBorders>
            <w:vAlign w:val="center"/>
          </w:tcPr>
          <w:p w14:paraId="0291389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1510" w:type="dxa"/>
            <w:tcBorders>
              <w:top w:val="single" w:color="auto" w:sz="4" w:space="0"/>
              <w:left w:val="single" w:color="auto" w:sz="4" w:space="0"/>
              <w:bottom w:val="single" w:color="auto" w:sz="4" w:space="0"/>
              <w:right w:val="single" w:color="auto" w:sz="4" w:space="0"/>
            </w:tcBorders>
            <w:vAlign w:val="center"/>
          </w:tcPr>
          <w:p w14:paraId="3395940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5182" w:type="dxa"/>
            <w:gridSpan w:val="2"/>
            <w:tcBorders>
              <w:top w:val="single" w:color="auto" w:sz="4" w:space="0"/>
              <w:left w:val="single" w:color="auto" w:sz="4" w:space="0"/>
              <w:bottom w:val="single" w:color="auto" w:sz="4" w:space="0"/>
            </w:tcBorders>
          </w:tcPr>
          <w:p w14:paraId="0E75778B">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报价人得分=A+B+C，对通过初步评审的报价人按照投标总得分（商务+技术+报价）由从高到低的先后顺序。如出现得分(精确到小数点后两位)相等时，按以下原则确定第一中标候选人：</w:t>
            </w:r>
          </w:p>
          <w:p w14:paraId="23328342">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14:paraId="257E74EA">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14:paraId="1EABE336">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14:paraId="5579B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right w:val="single" w:color="auto" w:sz="4" w:space="0"/>
            </w:tcBorders>
            <w:vAlign w:val="center"/>
          </w:tcPr>
          <w:p w14:paraId="5FDB387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2.1.1</w:t>
            </w:r>
          </w:p>
        </w:tc>
        <w:tc>
          <w:tcPr>
            <w:tcW w:w="2169" w:type="dxa"/>
            <w:gridSpan w:val="2"/>
            <w:vMerge w:val="restart"/>
            <w:tcBorders>
              <w:top w:val="single" w:color="auto" w:sz="4" w:space="0"/>
              <w:left w:val="single" w:color="auto" w:sz="4" w:space="0"/>
              <w:right w:val="single" w:color="auto" w:sz="4" w:space="0"/>
            </w:tcBorders>
            <w:vAlign w:val="center"/>
          </w:tcPr>
          <w:p w14:paraId="140BB2D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1510" w:type="dxa"/>
            <w:tcBorders>
              <w:top w:val="single" w:color="auto" w:sz="4" w:space="0"/>
              <w:left w:val="single" w:color="auto" w:sz="4" w:space="0"/>
              <w:bottom w:val="single" w:color="auto" w:sz="4" w:space="0"/>
              <w:right w:val="single" w:color="auto" w:sz="4" w:space="0"/>
            </w:tcBorders>
            <w:vAlign w:val="center"/>
          </w:tcPr>
          <w:p w14:paraId="4C0F967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5182" w:type="dxa"/>
            <w:gridSpan w:val="2"/>
            <w:tcBorders>
              <w:top w:val="single" w:color="auto" w:sz="4" w:space="0"/>
              <w:left w:val="single" w:color="auto" w:sz="4" w:space="0"/>
              <w:bottom w:val="single" w:color="auto" w:sz="4" w:space="0"/>
            </w:tcBorders>
            <w:vAlign w:val="center"/>
          </w:tcPr>
          <w:p w14:paraId="6178A54B">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与营业执照、资质证书一致。</w:t>
            </w:r>
          </w:p>
        </w:tc>
      </w:tr>
      <w:tr w14:paraId="072B4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1B15ED9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169" w:type="dxa"/>
            <w:gridSpan w:val="2"/>
            <w:vMerge w:val="continue"/>
            <w:tcBorders>
              <w:top w:val="single" w:color="auto" w:sz="4" w:space="0"/>
              <w:left w:val="single" w:color="auto" w:sz="4" w:space="0"/>
              <w:right w:val="single" w:color="auto" w:sz="4" w:space="0"/>
            </w:tcBorders>
            <w:vAlign w:val="center"/>
          </w:tcPr>
          <w:p w14:paraId="49CFE0C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14:paraId="5792D2B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5182" w:type="dxa"/>
            <w:gridSpan w:val="2"/>
            <w:tcBorders>
              <w:top w:val="single" w:color="auto" w:sz="4" w:space="0"/>
              <w:left w:val="single" w:color="auto" w:sz="4" w:space="0"/>
              <w:bottom w:val="single" w:color="auto" w:sz="4" w:space="0"/>
            </w:tcBorders>
            <w:vAlign w:val="center"/>
          </w:tcPr>
          <w:p w14:paraId="50FB9863">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或加盖单位公章。</w:t>
            </w:r>
          </w:p>
        </w:tc>
      </w:tr>
      <w:tr w14:paraId="5EC95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4575412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169" w:type="dxa"/>
            <w:gridSpan w:val="2"/>
            <w:vMerge w:val="continue"/>
            <w:tcBorders>
              <w:top w:val="single" w:color="auto" w:sz="4" w:space="0"/>
              <w:left w:val="single" w:color="auto" w:sz="4" w:space="0"/>
              <w:right w:val="single" w:color="auto" w:sz="4" w:space="0"/>
            </w:tcBorders>
            <w:vAlign w:val="center"/>
          </w:tcPr>
          <w:p w14:paraId="760A12D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14:paraId="09CCE24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5182" w:type="dxa"/>
            <w:gridSpan w:val="2"/>
            <w:tcBorders>
              <w:top w:val="single" w:color="auto" w:sz="4" w:space="0"/>
              <w:left w:val="single" w:color="auto" w:sz="4" w:space="0"/>
              <w:bottom w:val="single" w:color="auto" w:sz="4" w:space="0"/>
            </w:tcBorders>
            <w:vAlign w:val="center"/>
          </w:tcPr>
          <w:p w14:paraId="1CED6126">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color w:val="auto"/>
                <w:highlight w:val="none"/>
                <w:lang w:val="en-US" w:eastAsia="zh-CN"/>
              </w:rPr>
              <w:t>六</w:t>
            </w:r>
            <w:r>
              <w:rPr>
                <w:rFonts w:hint="eastAsia" w:asciiTheme="minorEastAsia" w:hAnsiTheme="minorEastAsia" w:eastAsiaTheme="minorEastAsia" w:cstheme="minorEastAsia"/>
                <w:color w:val="auto"/>
                <w:szCs w:val="21"/>
                <w:highlight w:val="none"/>
              </w:rPr>
              <w:t>章“竞争性比选响应文件格式”的要求，字迹清晰可辨。</w:t>
            </w:r>
          </w:p>
          <w:p w14:paraId="5F580576">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14:paraId="3ED2C846">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tr w14:paraId="7E9B7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353CFE95">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169" w:type="dxa"/>
            <w:gridSpan w:val="2"/>
            <w:vMerge w:val="continue"/>
            <w:tcBorders>
              <w:top w:val="single" w:color="auto" w:sz="4" w:space="0"/>
              <w:left w:val="single" w:color="auto" w:sz="4" w:space="0"/>
              <w:right w:val="single" w:color="auto" w:sz="4" w:space="0"/>
            </w:tcBorders>
            <w:vAlign w:val="center"/>
          </w:tcPr>
          <w:p w14:paraId="4A55A60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14:paraId="75483F9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5182" w:type="dxa"/>
            <w:gridSpan w:val="2"/>
            <w:tcBorders>
              <w:top w:val="single" w:color="auto" w:sz="4" w:space="0"/>
              <w:left w:val="single" w:color="auto" w:sz="4" w:space="0"/>
              <w:bottom w:val="single" w:color="auto" w:sz="4" w:space="0"/>
            </w:tcBorders>
            <w:vAlign w:val="center"/>
          </w:tcPr>
          <w:p w14:paraId="3ECB6FB8">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14:paraId="6F7DB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20BCD01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169" w:type="dxa"/>
            <w:gridSpan w:val="2"/>
            <w:vMerge w:val="continue"/>
            <w:tcBorders>
              <w:left w:val="single" w:color="auto" w:sz="4" w:space="0"/>
              <w:right w:val="single" w:color="auto" w:sz="4" w:space="0"/>
            </w:tcBorders>
            <w:vAlign w:val="center"/>
          </w:tcPr>
          <w:p w14:paraId="49A0C8D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510" w:type="dxa"/>
            <w:tcBorders>
              <w:top w:val="single" w:color="auto" w:sz="4" w:space="0"/>
              <w:left w:val="single" w:color="auto" w:sz="4" w:space="0"/>
              <w:right w:val="single" w:color="auto" w:sz="4" w:space="0"/>
            </w:tcBorders>
            <w:vAlign w:val="center"/>
          </w:tcPr>
          <w:p w14:paraId="15F1F93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5182" w:type="dxa"/>
            <w:gridSpan w:val="2"/>
            <w:tcBorders>
              <w:top w:val="single" w:color="auto" w:sz="4" w:space="0"/>
              <w:left w:val="single" w:color="auto" w:sz="4" w:space="0"/>
              <w:bottom w:val="single" w:color="auto" w:sz="4" w:space="0"/>
            </w:tcBorders>
            <w:vAlign w:val="center"/>
          </w:tcPr>
          <w:p w14:paraId="0FF1D65E">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14:paraId="3D525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4A9DE72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169" w:type="dxa"/>
            <w:gridSpan w:val="2"/>
            <w:vMerge w:val="continue"/>
            <w:tcBorders>
              <w:left w:val="single" w:color="auto" w:sz="4" w:space="0"/>
              <w:right w:val="single" w:color="auto" w:sz="4" w:space="0"/>
            </w:tcBorders>
            <w:vAlign w:val="center"/>
          </w:tcPr>
          <w:p w14:paraId="54200E02">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510" w:type="dxa"/>
            <w:tcBorders>
              <w:top w:val="single" w:color="auto" w:sz="4" w:space="0"/>
              <w:left w:val="single" w:color="auto" w:sz="4" w:space="0"/>
              <w:right w:val="single" w:color="auto" w:sz="4" w:space="0"/>
            </w:tcBorders>
            <w:vAlign w:val="center"/>
          </w:tcPr>
          <w:p w14:paraId="1C0C148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w:t>
            </w:r>
          </w:p>
        </w:tc>
        <w:tc>
          <w:tcPr>
            <w:tcW w:w="5182" w:type="dxa"/>
            <w:gridSpan w:val="2"/>
            <w:tcBorders>
              <w:top w:val="single" w:color="auto" w:sz="4" w:space="0"/>
              <w:left w:val="single" w:color="auto" w:sz="4" w:space="0"/>
            </w:tcBorders>
            <w:vAlign w:val="center"/>
          </w:tcPr>
          <w:p w14:paraId="18BAD5BD">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4B58F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7EEDAE8C">
            <w:pPr>
              <w:keepNext w:val="0"/>
              <w:pageBreakBefore w:val="0"/>
              <w:kinsoku/>
              <w:wordWrap/>
              <w:overflowPunct/>
              <w:topLinePunct w:val="0"/>
              <w:bidi w:val="0"/>
              <w:spacing w:beforeAutospacing="0" w:line="36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2169" w:type="dxa"/>
            <w:gridSpan w:val="2"/>
            <w:vMerge w:val="restart"/>
            <w:tcBorders>
              <w:top w:val="single" w:color="auto" w:sz="4" w:space="0"/>
              <w:left w:val="single" w:color="auto" w:sz="4" w:space="0"/>
              <w:bottom w:val="single" w:color="auto" w:sz="4" w:space="0"/>
              <w:right w:val="single" w:color="auto" w:sz="4" w:space="0"/>
            </w:tcBorders>
            <w:vAlign w:val="center"/>
          </w:tcPr>
          <w:p w14:paraId="507B50B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1510" w:type="dxa"/>
            <w:tcBorders>
              <w:top w:val="single" w:color="auto" w:sz="4" w:space="0"/>
              <w:left w:val="single" w:color="auto" w:sz="4" w:space="0"/>
              <w:bottom w:val="single" w:color="auto" w:sz="4" w:space="0"/>
              <w:right w:val="single" w:color="auto" w:sz="4" w:space="0"/>
            </w:tcBorders>
            <w:vAlign w:val="center"/>
          </w:tcPr>
          <w:p w14:paraId="0F6E9FD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资格要求</w:t>
            </w:r>
          </w:p>
        </w:tc>
        <w:tc>
          <w:tcPr>
            <w:tcW w:w="5182" w:type="dxa"/>
            <w:gridSpan w:val="2"/>
            <w:tcBorders>
              <w:top w:val="single" w:color="auto" w:sz="4" w:space="0"/>
              <w:left w:val="single" w:color="auto" w:sz="4" w:space="0"/>
              <w:bottom w:val="single" w:color="auto" w:sz="4" w:space="0"/>
            </w:tcBorders>
            <w:vAlign w:val="center"/>
          </w:tcPr>
          <w:p w14:paraId="39B08894">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1F917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1D33DCE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169" w:type="dxa"/>
            <w:gridSpan w:val="2"/>
            <w:vMerge w:val="continue"/>
            <w:tcBorders>
              <w:top w:val="single" w:color="auto" w:sz="4" w:space="0"/>
              <w:left w:val="single" w:color="auto" w:sz="4" w:space="0"/>
              <w:bottom w:val="single" w:color="auto" w:sz="4" w:space="0"/>
              <w:right w:val="single" w:color="auto" w:sz="4" w:space="0"/>
            </w:tcBorders>
            <w:vAlign w:val="center"/>
          </w:tcPr>
          <w:p w14:paraId="59DDAE1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14:paraId="17A9DB3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5182" w:type="dxa"/>
            <w:gridSpan w:val="2"/>
            <w:tcBorders>
              <w:top w:val="single" w:color="auto" w:sz="4" w:space="0"/>
              <w:left w:val="single" w:color="auto" w:sz="4" w:space="0"/>
              <w:bottom w:val="single" w:color="auto" w:sz="4" w:space="0"/>
            </w:tcBorders>
            <w:vAlign w:val="center"/>
          </w:tcPr>
          <w:p w14:paraId="58BC00C2">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7C38B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586E517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169" w:type="dxa"/>
            <w:gridSpan w:val="2"/>
            <w:vMerge w:val="continue"/>
            <w:tcBorders>
              <w:top w:val="single" w:color="auto" w:sz="4" w:space="0"/>
              <w:left w:val="single" w:color="auto" w:sz="4" w:space="0"/>
              <w:bottom w:val="single" w:color="auto" w:sz="4" w:space="0"/>
              <w:right w:val="single" w:color="auto" w:sz="4" w:space="0"/>
            </w:tcBorders>
            <w:vAlign w:val="center"/>
          </w:tcPr>
          <w:p w14:paraId="105BA6B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vAlign w:val="center"/>
          </w:tcPr>
          <w:p w14:paraId="3E6A89A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信誉要求</w:t>
            </w:r>
          </w:p>
        </w:tc>
        <w:tc>
          <w:tcPr>
            <w:tcW w:w="5182" w:type="dxa"/>
            <w:gridSpan w:val="2"/>
            <w:tcBorders>
              <w:top w:val="single" w:color="auto" w:sz="4" w:space="0"/>
              <w:left w:val="single" w:color="auto" w:sz="4" w:space="0"/>
              <w:bottom w:val="single" w:color="auto" w:sz="4" w:space="0"/>
            </w:tcBorders>
            <w:vAlign w:val="center"/>
          </w:tcPr>
          <w:p w14:paraId="18FBECF5">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jc w:val="both"/>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4714F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41D51C21">
            <w:pPr>
              <w:keepNext w:val="0"/>
              <w:pageBreakBefore w:val="0"/>
              <w:kinsoku/>
              <w:wordWrap/>
              <w:overflowPunct/>
              <w:topLinePunct w:val="0"/>
              <w:bidi w:val="0"/>
              <w:spacing w:beforeAutospacing="0" w:line="36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2169" w:type="dxa"/>
            <w:gridSpan w:val="2"/>
            <w:vMerge w:val="restart"/>
            <w:tcBorders>
              <w:top w:val="single" w:color="auto" w:sz="4" w:space="0"/>
              <w:left w:val="single" w:color="auto" w:sz="4" w:space="0"/>
              <w:bottom w:val="single" w:color="auto" w:sz="4" w:space="0"/>
              <w:right w:val="single" w:color="auto" w:sz="4" w:space="0"/>
            </w:tcBorders>
            <w:vAlign w:val="center"/>
          </w:tcPr>
          <w:p w14:paraId="732A86E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3BF8C7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lang w:val="en-US" w:eastAsia="zh-CN"/>
              </w:rPr>
              <w:t>服务地点</w:t>
            </w:r>
          </w:p>
        </w:tc>
        <w:tc>
          <w:tcPr>
            <w:tcW w:w="5182" w:type="dxa"/>
            <w:gridSpan w:val="2"/>
            <w:tcBorders>
              <w:top w:val="single" w:color="auto" w:sz="4" w:space="0"/>
              <w:left w:val="single" w:color="auto" w:sz="4" w:space="0"/>
              <w:bottom w:val="single" w:color="auto" w:sz="4" w:space="0"/>
            </w:tcBorders>
            <w:shd w:val="clear" w:color="auto" w:fill="auto"/>
            <w:vAlign w:val="center"/>
          </w:tcPr>
          <w:p w14:paraId="6E38AD09">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3</w:t>
            </w:r>
            <w:r>
              <w:rPr>
                <w:color w:val="auto"/>
                <w:highlight w:val="none"/>
              </w:rPr>
              <w:t>项规定</w:t>
            </w:r>
          </w:p>
        </w:tc>
      </w:tr>
      <w:tr w14:paraId="105A6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5470ACF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169" w:type="dxa"/>
            <w:gridSpan w:val="2"/>
            <w:vMerge w:val="continue"/>
            <w:tcBorders>
              <w:left w:val="single" w:color="auto" w:sz="4" w:space="0"/>
              <w:right w:val="single" w:color="auto" w:sz="4" w:space="0"/>
            </w:tcBorders>
            <w:vAlign w:val="center"/>
          </w:tcPr>
          <w:p w14:paraId="4AEF485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70DD7B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highlight w:val="none"/>
              </w:rPr>
              <w:t>项目规模</w:t>
            </w:r>
          </w:p>
        </w:tc>
        <w:tc>
          <w:tcPr>
            <w:tcW w:w="5182" w:type="dxa"/>
            <w:gridSpan w:val="2"/>
            <w:tcBorders>
              <w:top w:val="single" w:color="auto" w:sz="4" w:space="0"/>
              <w:left w:val="single" w:color="auto" w:sz="4" w:space="0"/>
              <w:bottom w:val="single" w:color="auto" w:sz="4" w:space="0"/>
            </w:tcBorders>
            <w:shd w:val="clear" w:color="auto" w:fill="auto"/>
            <w:vAlign w:val="center"/>
          </w:tcPr>
          <w:p w14:paraId="7F73A6F8">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14:paraId="2500A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34FA10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169" w:type="dxa"/>
            <w:gridSpan w:val="2"/>
            <w:vMerge w:val="continue"/>
            <w:tcBorders>
              <w:top w:val="single" w:color="auto" w:sz="4" w:space="0"/>
              <w:left w:val="single" w:color="auto" w:sz="4" w:space="0"/>
              <w:bottom w:val="single" w:color="auto" w:sz="4" w:space="0"/>
              <w:right w:val="single" w:color="auto" w:sz="4" w:space="0"/>
            </w:tcBorders>
            <w:vAlign w:val="center"/>
          </w:tcPr>
          <w:p w14:paraId="2CFE65B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4A8104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投标内容</w:t>
            </w:r>
          </w:p>
        </w:tc>
        <w:tc>
          <w:tcPr>
            <w:tcW w:w="5182" w:type="dxa"/>
            <w:gridSpan w:val="2"/>
            <w:tcBorders>
              <w:top w:val="single" w:color="auto" w:sz="4" w:space="0"/>
              <w:left w:val="single" w:color="auto" w:sz="4" w:space="0"/>
              <w:bottom w:val="single" w:color="auto" w:sz="4" w:space="0"/>
            </w:tcBorders>
            <w:shd w:val="clear" w:color="auto" w:fill="auto"/>
            <w:vAlign w:val="center"/>
          </w:tcPr>
          <w:p w14:paraId="6A91C63B">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14:paraId="18C64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65826D5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169" w:type="dxa"/>
            <w:gridSpan w:val="2"/>
            <w:vMerge w:val="continue"/>
            <w:tcBorders>
              <w:top w:val="single" w:color="auto" w:sz="4" w:space="0"/>
              <w:left w:val="single" w:color="auto" w:sz="4" w:space="0"/>
              <w:bottom w:val="single" w:color="auto" w:sz="4" w:space="0"/>
              <w:right w:val="single" w:color="auto" w:sz="4" w:space="0"/>
            </w:tcBorders>
            <w:vAlign w:val="center"/>
          </w:tcPr>
          <w:p w14:paraId="0FC9C67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06B1DB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服务期限</w:t>
            </w:r>
          </w:p>
        </w:tc>
        <w:tc>
          <w:tcPr>
            <w:tcW w:w="5182" w:type="dxa"/>
            <w:gridSpan w:val="2"/>
            <w:tcBorders>
              <w:top w:val="single" w:color="auto" w:sz="4" w:space="0"/>
              <w:left w:val="single" w:color="auto" w:sz="4" w:space="0"/>
              <w:bottom w:val="single" w:color="auto" w:sz="4" w:space="0"/>
            </w:tcBorders>
            <w:shd w:val="clear" w:color="auto" w:fill="auto"/>
            <w:vAlign w:val="center"/>
          </w:tcPr>
          <w:p w14:paraId="2011D1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14:paraId="44D0C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6BFF576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169" w:type="dxa"/>
            <w:gridSpan w:val="2"/>
            <w:vMerge w:val="continue"/>
            <w:tcBorders>
              <w:top w:val="single" w:color="auto" w:sz="4" w:space="0"/>
              <w:left w:val="single" w:color="auto" w:sz="4" w:space="0"/>
              <w:bottom w:val="single" w:color="auto" w:sz="4" w:space="0"/>
              <w:right w:val="single" w:color="auto" w:sz="4" w:space="0"/>
            </w:tcBorders>
            <w:vAlign w:val="center"/>
          </w:tcPr>
          <w:p w14:paraId="2B148F8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2F46BA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lang w:val="en-US" w:eastAsia="zh-CN"/>
              </w:rPr>
              <w:t>服务要求</w:t>
            </w:r>
          </w:p>
        </w:tc>
        <w:tc>
          <w:tcPr>
            <w:tcW w:w="5182" w:type="dxa"/>
            <w:gridSpan w:val="2"/>
            <w:tcBorders>
              <w:top w:val="single" w:color="auto" w:sz="4" w:space="0"/>
              <w:left w:val="single" w:color="auto" w:sz="4" w:space="0"/>
              <w:bottom w:val="single" w:color="auto" w:sz="4" w:space="0"/>
            </w:tcBorders>
            <w:shd w:val="clear" w:color="auto" w:fill="auto"/>
            <w:vAlign w:val="center"/>
          </w:tcPr>
          <w:p w14:paraId="0BFDBD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kern w:val="2"/>
                <w:sz w:val="21"/>
                <w:szCs w:val="24"/>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14:paraId="45A06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7281E2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169" w:type="dxa"/>
            <w:gridSpan w:val="2"/>
            <w:vMerge w:val="continue"/>
            <w:tcBorders>
              <w:top w:val="single" w:color="auto" w:sz="4" w:space="0"/>
              <w:left w:val="single" w:color="auto" w:sz="4" w:space="0"/>
              <w:bottom w:val="single" w:color="auto" w:sz="4" w:space="0"/>
              <w:right w:val="single" w:color="auto" w:sz="4" w:space="0"/>
            </w:tcBorders>
            <w:vAlign w:val="center"/>
          </w:tcPr>
          <w:p w14:paraId="5D9686F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5554F3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r>
              <w:rPr>
                <w:color w:val="auto"/>
                <w:highlight w:val="none"/>
              </w:rPr>
              <w:t>报价</w:t>
            </w:r>
          </w:p>
        </w:tc>
        <w:tc>
          <w:tcPr>
            <w:tcW w:w="5182" w:type="dxa"/>
            <w:gridSpan w:val="2"/>
            <w:tcBorders>
              <w:top w:val="single" w:color="auto" w:sz="4" w:space="0"/>
              <w:left w:val="single" w:color="auto" w:sz="4" w:space="0"/>
              <w:bottom w:val="single" w:color="auto" w:sz="4" w:space="0"/>
            </w:tcBorders>
            <w:shd w:val="clear" w:color="auto" w:fill="auto"/>
            <w:vAlign w:val="center"/>
          </w:tcPr>
          <w:p w14:paraId="70E08278">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14:paraId="565DD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7D4462F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169" w:type="dxa"/>
            <w:gridSpan w:val="2"/>
            <w:vMerge w:val="continue"/>
            <w:tcBorders>
              <w:top w:val="single" w:color="auto" w:sz="4" w:space="0"/>
              <w:left w:val="single" w:color="auto" w:sz="4" w:space="0"/>
              <w:bottom w:val="single" w:color="auto" w:sz="4" w:space="0"/>
              <w:right w:val="single" w:color="auto" w:sz="4" w:space="0"/>
            </w:tcBorders>
            <w:vAlign w:val="center"/>
          </w:tcPr>
          <w:p w14:paraId="729693F2">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0B57E1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偏差</w:t>
            </w:r>
          </w:p>
        </w:tc>
        <w:tc>
          <w:tcPr>
            <w:tcW w:w="5182" w:type="dxa"/>
            <w:gridSpan w:val="2"/>
            <w:tcBorders>
              <w:top w:val="single" w:color="auto" w:sz="4" w:space="0"/>
              <w:left w:val="single" w:color="auto" w:sz="4" w:space="0"/>
              <w:bottom w:val="single" w:color="auto" w:sz="4" w:space="0"/>
            </w:tcBorders>
            <w:shd w:val="clear" w:color="auto" w:fill="auto"/>
            <w:vAlign w:val="center"/>
          </w:tcPr>
          <w:p w14:paraId="031B86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13</w:t>
            </w:r>
            <w:r>
              <w:rPr>
                <w:color w:val="auto"/>
                <w:highlight w:val="none"/>
              </w:rPr>
              <w:t>项规定</w:t>
            </w:r>
          </w:p>
        </w:tc>
      </w:tr>
      <w:tr w14:paraId="4DEC3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3E2603C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169" w:type="dxa"/>
            <w:gridSpan w:val="2"/>
            <w:vMerge w:val="continue"/>
            <w:tcBorders>
              <w:top w:val="single" w:color="auto" w:sz="4" w:space="0"/>
              <w:left w:val="single" w:color="auto" w:sz="4" w:space="0"/>
              <w:bottom w:val="single" w:color="auto" w:sz="4" w:space="0"/>
              <w:right w:val="single" w:color="auto" w:sz="4" w:space="0"/>
            </w:tcBorders>
            <w:vAlign w:val="center"/>
          </w:tcPr>
          <w:p w14:paraId="4365E2D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220F5F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保证金</w:t>
            </w:r>
          </w:p>
        </w:tc>
        <w:tc>
          <w:tcPr>
            <w:tcW w:w="5182" w:type="dxa"/>
            <w:gridSpan w:val="2"/>
            <w:tcBorders>
              <w:top w:val="single" w:color="auto" w:sz="4" w:space="0"/>
              <w:left w:val="single" w:color="auto" w:sz="4" w:space="0"/>
              <w:bottom w:val="single" w:color="auto" w:sz="4" w:space="0"/>
            </w:tcBorders>
            <w:shd w:val="clear" w:color="auto" w:fill="auto"/>
            <w:vAlign w:val="center"/>
          </w:tcPr>
          <w:p w14:paraId="4167F4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20</w:t>
            </w:r>
            <w:r>
              <w:rPr>
                <w:color w:val="auto"/>
                <w:highlight w:val="none"/>
              </w:rPr>
              <w:t>项规定</w:t>
            </w:r>
          </w:p>
        </w:tc>
      </w:tr>
      <w:tr w14:paraId="2E67F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48C2DB2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2.2.1</w:t>
            </w:r>
          </w:p>
        </w:tc>
        <w:tc>
          <w:tcPr>
            <w:tcW w:w="2169" w:type="dxa"/>
            <w:gridSpan w:val="2"/>
            <w:tcBorders>
              <w:top w:val="single" w:color="auto" w:sz="4" w:space="0"/>
              <w:left w:val="single" w:color="auto" w:sz="4" w:space="0"/>
              <w:bottom w:val="single" w:color="auto" w:sz="4" w:space="0"/>
              <w:right w:val="single" w:color="auto" w:sz="4" w:space="0"/>
            </w:tcBorders>
            <w:vAlign w:val="center"/>
          </w:tcPr>
          <w:p w14:paraId="6E2ABDA1">
            <w:pPr>
              <w:keepNext w:val="0"/>
              <w:pageBreakBefore w:val="0"/>
              <w:tabs>
                <w:tab w:val="left" w:pos="1875"/>
              </w:tabs>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14:paraId="28EF71CC">
            <w:pPr>
              <w:keepNext w:val="0"/>
              <w:pageBreakBefore w:val="0"/>
              <w:tabs>
                <w:tab w:val="left" w:pos="1875"/>
              </w:tabs>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6692" w:type="dxa"/>
            <w:gridSpan w:val="3"/>
            <w:tcBorders>
              <w:top w:val="single" w:color="auto" w:sz="4" w:space="0"/>
              <w:left w:val="single" w:color="auto" w:sz="4" w:space="0"/>
              <w:bottom w:val="single" w:color="auto" w:sz="4" w:space="0"/>
            </w:tcBorders>
          </w:tcPr>
          <w:p w14:paraId="317474DF">
            <w:pPr>
              <w:keepNext w:val="0"/>
              <w:pageBreakBefore w:val="0"/>
              <w:kinsoku/>
              <w:wordWrap/>
              <w:overflowPunct/>
              <w:topLinePunct w:val="0"/>
              <w:bidi w:val="0"/>
              <w:spacing w:beforeAutospacing="0"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A：投标报价70分；</w:t>
            </w:r>
          </w:p>
          <w:p w14:paraId="14CFD494">
            <w:pPr>
              <w:keepNext w:val="0"/>
              <w:pageBreakBefore w:val="0"/>
              <w:kinsoku/>
              <w:wordWrap/>
              <w:overflowPunct/>
              <w:topLinePunct w:val="0"/>
              <w:bidi w:val="0"/>
              <w:spacing w:beforeAutospacing="0"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B：商务部分10分；</w:t>
            </w:r>
          </w:p>
          <w:p w14:paraId="69F95F81">
            <w:pPr>
              <w:keepNext w:val="0"/>
              <w:pageBreakBefore w:val="0"/>
              <w:kinsoku/>
              <w:wordWrap/>
              <w:overflowPunct/>
              <w:topLinePunct w:val="0"/>
              <w:bidi w:val="0"/>
              <w:spacing w:beforeAutospacing="0"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C：技术部分20分。</w:t>
            </w:r>
          </w:p>
        </w:tc>
      </w:tr>
      <w:tr w14:paraId="59C8D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6" w:hRule="atLeast"/>
        </w:trPr>
        <w:tc>
          <w:tcPr>
            <w:tcW w:w="944" w:type="dxa"/>
            <w:tcBorders>
              <w:top w:val="single" w:color="auto" w:sz="4" w:space="0"/>
              <w:bottom w:val="single" w:color="auto" w:sz="4" w:space="0"/>
              <w:right w:val="single" w:color="auto" w:sz="4" w:space="0"/>
            </w:tcBorders>
            <w:vAlign w:val="center"/>
          </w:tcPr>
          <w:p w14:paraId="2C00A95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2.2.2</w:t>
            </w:r>
          </w:p>
        </w:tc>
        <w:tc>
          <w:tcPr>
            <w:tcW w:w="2169" w:type="dxa"/>
            <w:gridSpan w:val="2"/>
            <w:tcBorders>
              <w:top w:val="single" w:color="auto" w:sz="4" w:space="0"/>
              <w:left w:val="single" w:color="auto" w:sz="4" w:space="0"/>
              <w:bottom w:val="single" w:color="auto" w:sz="4" w:space="0"/>
              <w:right w:val="single" w:color="auto" w:sz="4" w:space="0"/>
            </w:tcBorders>
            <w:vAlign w:val="center"/>
          </w:tcPr>
          <w:p w14:paraId="179887A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6692" w:type="dxa"/>
            <w:gridSpan w:val="3"/>
            <w:tcBorders>
              <w:top w:val="single" w:color="auto" w:sz="4" w:space="0"/>
              <w:left w:val="single" w:color="auto" w:sz="4" w:space="0"/>
              <w:bottom w:val="single" w:color="auto" w:sz="4" w:space="0"/>
            </w:tcBorders>
          </w:tcPr>
          <w:p w14:paraId="19ED5E2E">
            <w:pPr>
              <w:keepNext w:val="0"/>
              <w:keepLines/>
              <w:pageBreakBefore w:val="0"/>
              <w:kinsoku/>
              <w:wordWrap/>
              <w:overflowPunct/>
              <w:topLinePunct w:val="0"/>
              <w:bidi w:val="0"/>
              <w:adjustRightInd w:val="0"/>
              <w:snapToGrid w:val="0"/>
              <w:spacing w:beforeAutospacing="0" w:line="3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1.有效报价：系指初步评审均合格且其</w:t>
            </w:r>
            <w:r>
              <w:rPr>
                <w:rFonts w:hint="eastAsia" w:ascii="宋体" w:hAnsi="宋体" w:cs="宋体"/>
                <w:color w:val="auto"/>
                <w:szCs w:val="21"/>
                <w:highlight w:val="none"/>
                <w:lang w:val="en-US" w:eastAsia="zh-CN"/>
              </w:rPr>
              <w:t>响应</w:t>
            </w:r>
            <w:r>
              <w:rPr>
                <w:rFonts w:hint="eastAsia" w:ascii="宋体" w:hAnsi="宋体" w:eastAsia="宋体" w:cs="宋体"/>
                <w:color w:val="auto"/>
                <w:szCs w:val="21"/>
                <w:highlight w:val="none"/>
              </w:rPr>
              <w:t>内容满足</w:t>
            </w:r>
            <w:r>
              <w:rPr>
                <w:rFonts w:hint="eastAsia" w:ascii="宋体" w:hAnsi="宋体" w:cs="宋体"/>
                <w:color w:val="auto"/>
                <w:szCs w:val="21"/>
                <w:highlight w:val="none"/>
                <w:lang w:val="en-US" w:eastAsia="zh-CN"/>
              </w:rPr>
              <w:t>比选</w:t>
            </w:r>
            <w:r>
              <w:rPr>
                <w:rFonts w:hint="eastAsia" w:ascii="宋体" w:hAnsi="宋体" w:eastAsia="宋体" w:cs="宋体"/>
                <w:color w:val="auto"/>
                <w:szCs w:val="21"/>
                <w:highlight w:val="none"/>
              </w:rPr>
              <w:t>文件要求的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w:t>
            </w:r>
            <w:r>
              <w:rPr>
                <w:rFonts w:hint="eastAsia" w:ascii="宋体" w:hAnsi="宋体" w:cs="宋体"/>
                <w:color w:val="auto"/>
                <w:szCs w:val="21"/>
                <w:highlight w:val="none"/>
                <w:lang w:val="en-US" w:eastAsia="zh-CN"/>
              </w:rPr>
              <w:t>总</w:t>
            </w:r>
            <w:r>
              <w:rPr>
                <w:rFonts w:hint="eastAsia" w:ascii="宋体" w:hAnsi="宋体" w:eastAsia="宋体" w:cs="宋体"/>
                <w:color w:val="auto"/>
                <w:szCs w:val="21"/>
                <w:highlight w:val="none"/>
              </w:rPr>
              <w:t>报价。</w:t>
            </w:r>
          </w:p>
          <w:p w14:paraId="7B709863">
            <w:pPr>
              <w:pStyle w:val="121"/>
              <w:keepNext w:val="0"/>
              <w:pageBreakBefore w:val="0"/>
              <w:kinsoku/>
              <w:wordWrap/>
              <w:overflowPunct/>
              <w:topLinePunct w:val="0"/>
              <w:bidi w:val="0"/>
              <w:adjustRightInd w:val="0"/>
              <w:spacing w:beforeAutospacing="0" w:line="360" w:lineRule="exact"/>
              <w:textAlignment w:val="baseline"/>
              <w:rPr>
                <w:rFonts w:asciiTheme="minorEastAsia" w:hAnsiTheme="minorEastAsia" w:eastAsiaTheme="minorEastAsia" w:cstheme="minorEastAsia"/>
                <w:bCs/>
                <w:color w:val="auto"/>
                <w:szCs w:val="21"/>
                <w:highlight w:val="none"/>
              </w:rPr>
            </w:pPr>
            <w:r>
              <w:rPr>
                <w:rFonts w:hint="eastAsia" w:ascii="宋体" w:hAnsi="宋体" w:eastAsia="宋体" w:cs="宋体"/>
                <w:color w:val="auto"/>
                <w:szCs w:val="21"/>
                <w:highlight w:val="none"/>
              </w:rPr>
              <w:t>2.评标基准价：所有通过初步评审合格的</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人的投标报价中去掉六分之一（不能整除的按小数点前整数取整，不足六家报价则不去掉）的最低价和相同家数的最高价后的算术平均值为评标基准价。</w:t>
            </w:r>
          </w:p>
          <w:p w14:paraId="01BB261E">
            <w:pPr>
              <w:keepNext w:val="0"/>
              <w:pageBreakBefore w:val="0"/>
              <w:kinsoku/>
              <w:wordWrap/>
              <w:overflowPunct/>
              <w:topLinePunct w:val="0"/>
              <w:bidi w:val="0"/>
              <w:spacing w:beforeAutospacing="0" w:line="36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注：评标基准价以元为</w:t>
            </w:r>
            <w:r>
              <w:rPr>
                <w:rFonts w:hint="eastAsia" w:ascii="宋体" w:hAnsi="宋体" w:cs="宋体"/>
                <w:color w:val="auto"/>
                <w:szCs w:val="21"/>
                <w:highlight w:val="none"/>
              </w:rPr>
              <w:t>单位，保留2位小数，按四舍五入原则进行。确认后的评标基准价在本次整个招投标期间保持不变，不随后续评审的报价人数量发生变化。</w:t>
            </w:r>
          </w:p>
        </w:tc>
      </w:tr>
      <w:tr w14:paraId="384EE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6" w:hRule="atLeast"/>
        </w:trPr>
        <w:tc>
          <w:tcPr>
            <w:tcW w:w="944" w:type="dxa"/>
            <w:tcBorders>
              <w:top w:val="single" w:color="auto" w:sz="4" w:space="0"/>
              <w:bottom w:val="single" w:color="auto" w:sz="4" w:space="0"/>
              <w:right w:val="single" w:color="auto" w:sz="4" w:space="0"/>
            </w:tcBorders>
            <w:vAlign w:val="center"/>
          </w:tcPr>
          <w:p w14:paraId="3F0A375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2.2.3</w:t>
            </w:r>
          </w:p>
        </w:tc>
        <w:tc>
          <w:tcPr>
            <w:tcW w:w="2169" w:type="dxa"/>
            <w:gridSpan w:val="2"/>
            <w:tcBorders>
              <w:top w:val="single" w:color="auto" w:sz="4" w:space="0"/>
              <w:left w:val="single" w:color="auto" w:sz="4" w:space="0"/>
              <w:bottom w:val="single" w:color="auto" w:sz="4" w:space="0"/>
              <w:right w:val="single" w:color="auto" w:sz="4" w:space="0"/>
            </w:tcBorders>
            <w:vAlign w:val="center"/>
          </w:tcPr>
          <w:p w14:paraId="7AF584E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szCs w:val="21"/>
                <w:highlight w:val="none"/>
                <w:lang w:bidi="ar"/>
              </w:rPr>
              <w:t>评标价的偏差率计算公式</w:t>
            </w:r>
          </w:p>
        </w:tc>
        <w:tc>
          <w:tcPr>
            <w:tcW w:w="6692" w:type="dxa"/>
            <w:gridSpan w:val="3"/>
            <w:tcBorders>
              <w:top w:val="single" w:color="auto" w:sz="4" w:space="0"/>
              <w:left w:val="single" w:color="auto" w:sz="4" w:space="0"/>
              <w:bottom w:val="single" w:color="auto" w:sz="4" w:space="0"/>
            </w:tcBorders>
            <w:vAlign w:val="center"/>
          </w:tcPr>
          <w:p w14:paraId="7AA7B644">
            <w:pPr>
              <w:keepNext w:val="0"/>
              <w:pageBreakBefore w:val="0"/>
              <w:kinsoku/>
              <w:wordWrap/>
              <w:overflowPunct/>
              <w:topLinePunct w:val="0"/>
              <w:bidi w:val="0"/>
              <w:adjustRightInd w:val="0"/>
              <w:snapToGrid w:val="0"/>
              <w:spacing w:beforeAutospacing="0"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偏差率</w:t>
            </w:r>
            <w:r>
              <w:rPr>
                <w:rFonts w:hint="eastAsia" w:ascii="宋体" w:hAnsi="宋体" w:cs="宋体"/>
                <w:color w:val="auto"/>
                <w:kern w:val="0"/>
                <w:sz w:val="28"/>
                <w:szCs w:val="28"/>
                <w:highlight w:val="none"/>
              </w:rPr>
              <w:t>=</w:t>
            </w:r>
            <w:r>
              <w:rPr>
                <w:rFonts w:hint="eastAsia" w:ascii="宋体" w:hAnsi="宋体" w:cs="宋体"/>
                <w:color w:val="auto"/>
                <w:kern w:val="0"/>
                <w:highlight w:val="none"/>
              </w:rPr>
              <w:t>100％×（投标价一评标基准价）／评标基准价</w:t>
            </w:r>
          </w:p>
          <w:p w14:paraId="23F013BC">
            <w:pPr>
              <w:keepNext w:val="0"/>
              <w:pageBreakBefore w:val="0"/>
              <w:kinsoku/>
              <w:wordWrap/>
              <w:overflowPunct/>
              <w:topLinePunct w:val="0"/>
              <w:bidi w:val="0"/>
              <w:spacing w:beforeAutospacing="0" w:line="360" w:lineRule="exact"/>
              <w:jc w:val="left"/>
              <w:rPr>
                <w:rFonts w:asciiTheme="minorEastAsia" w:hAnsiTheme="minorEastAsia" w:eastAsiaTheme="minorEastAsia" w:cstheme="minorEastAsia"/>
                <w:color w:val="auto"/>
                <w:szCs w:val="21"/>
                <w:highlight w:val="none"/>
              </w:rPr>
            </w:pPr>
            <w:r>
              <w:rPr>
                <w:rFonts w:hint="eastAsia" w:ascii="宋体" w:hAnsi="宋体" w:cs="宋体"/>
                <w:color w:val="auto"/>
                <w:kern w:val="0"/>
                <w:highlight w:val="none"/>
              </w:rPr>
              <w:t>偏差率</w:t>
            </w:r>
            <w:r>
              <w:rPr>
                <w:rFonts w:hint="eastAsia" w:ascii="宋体" w:hAnsi="宋体" w:cs="宋体"/>
                <w:color w:val="auto"/>
                <w:kern w:val="0"/>
                <w:szCs w:val="21"/>
                <w:highlight w:val="none"/>
              </w:rPr>
              <w:t>计算的最终结果保留两位小数，小数点后第三位四舍五入</w:t>
            </w:r>
            <w:r>
              <w:rPr>
                <w:rFonts w:hint="eastAsia" w:asciiTheme="minorEastAsia" w:hAnsiTheme="minorEastAsia" w:eastAsiaTheme="minorEastAsia" w:cstheme="minorEastAsia"/>
                <w:bCs/>
                <w:color w:val="auto"/>
                <w:szCs w:val="21"/>
                <w:highlight w:val="none"/>
                <w:lang w:bidi="ar"/>
              </w:rPr>
              <w:t>。</w:t>
            </w:r>
          </w:p>
        </w:tc>
      </w:tr>
      <w:tr w14:paraId="30B46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52B20AB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2169" w:type="dxa"/>
            <w:gridSpan w:val="2"/>
            <w:tcBorders>
              <w:top w:val="single" w:color="auto" w:sz="4" w:space="0"/>
              <w:left w:val="single" w:color="auto" w:sz="4" w:space="0"/>
              <w:bottom w:val="single" w:color="auto" w:sz="4" w:space="0"/>
              <w:right w:val="single" w:color="auto" w:sz="4" w:space="0"/>
            </w:tcBorders>
            <w:vAlign w:val="center"/>
          </w:tcPr>
          <w:p w14:paraId="4684AE22">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6137" w:type="dxa"/>
            <w:gridSpan w:val="2"/>
            <w:tcBorders>
              <w:top w:val="single" w:color="auto" w:sz="4" w:space="0"/>
              <w:left w:val="single" w:color="auto" w:sz="4" w:space="0"/>
              <w:bottom w:val="single" w:color="auto" w:sz="4" w:space="0"/>
            </w:tcBorders>
            <w:vAlign w:val="center"/>
          </w:tcPr>
          <w:p w14:paraId="450466E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c>
          <w:tcPr>
            <w:tcW w:w="555" w:type="dxa"/>
            <w:tcBorders>
              <w:top w:val="single" w:color="auto" w:sz="4" w:space="0"/>
              <w:left w:val="single" w:color="auto" w:sz="4" w:space="0"/>
              <w:bottom w:val="single" w:color="auto" w:sz="4" w:space="0"/>
            </w:tcBorders>
            <w:vAlign w:val="center"/>
          </w:tcPr>
          <w:p w14:paraId="05B9495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备注</w:t>
            </w:r>
          </w:p>
        </w:tc>
      </w:tr>
      <w:tr w14:paraId="17169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7CB380BE">
            <w:pPr>
              <w:keepNext w:val="0"/>
              <w:pageBreakBefore w:val="0"/>
              <w:kinsoku/>
              <w:wordWrap/>
              <w:overflowPunct/>
              <w:topLinePunct w:val="0"/>
              <w:bidi w:val="0"/>
              <w:spacing w:beforeAutospacing="0"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786BCFC7">
            <w:pPr>
              <w:keepNext w:val="0"/>
              <w:pageBreakBefore w:val="0"/>
              <w:kinsoku/>
              <w:wordWrap/>
              <w:overflowPunct/>
              <w:topLinePunct w:val="0"/>
              <w:bidi w:val="0"/>
              <w:spacing w:beforeAutospacing="0" w:line="360" w:lineRule="exact"/>
              <w:jc w:val="center"/>
              <w:rPr>
                <w:rFonts w:hint="default" w:eastAsia="宋体" w:asciiTheme="minorEastAsia" w:hAnsiTheme="minorEastAsia" w:cstheme="minorEastAsia"/>
                <w:bCs/>
                <w:color w:val="auto"/>
                <w:szCs w:val="21"/>
                <w:highlight w:val="none"/>
                <w:lang w:val="en-US" w:eastAsia="zh-CN" w:bidi="ar"/>
              </w:rPr>
            </w:pPr>
            <w:r>
              <w:rPr>
                <w:rFonts w:hint="eastAsia" w:ascii="宋体" w:hAnsi="宋体" w:cs="宋体"/>
                <w:color w:val="auto"/>
                <w:szCs w:val="21"/>
                <w:highlight w:val="none"/>
                <w:lang w:val="en-US" w:eastAsia="zh-CN"/>
              </w:rPr>
              <w:t>（1）</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14:paraId="3F078AB2">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技术评分标准（20分）</w:t>
            </w:r>
          </w:p>
        </w:tc>
        <w:tc>
          <w:tcPr>
            <w:tcW w:w="7281" w:type="dxa"/>
            <w:gridSpan w:val="3"/>
            <w:tcBorders>
              <w:top w:val="single" w:color="auto" w:sz="4" w:space="0"/>
              <w:left w:val="single" w:color="auto" w:sz="4" w:space="0"/>
              <w:bottom w:val="single" w:color="auto" w:sz="4" w:space="0"/>
              <w:right w:val="single" w:color="auto" w:sz="4" w:space="0"/>
            </w:tcBorders>
            <w:vAlign w:val="center"/>
          </w:tcPr>
          <w:p w14:paraId="0B08D27F">
            <w:pPr>
              <w:keepNext w:val="0"/>
              <w:pageBreakBefore w:val="0"/>
              <w:kinsoku/>
              <w:wordWrap/>
              <w:overflowPunct/>
              <w:topLinePunct w:val="0"/>
              <w:autoSpaceDE w:val="0"/>
              <w:autoSpaceDN w:val="0"/>
              <w:bidi w:val="0"/>
              <w:spacing w:beforeAutospacing="0" w:line="36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技术部分评分分为客观评分和主观评分。</w:t>
            </w:r>
          </w:p>
          <w:p w14:paraId="159F9BB7">
            <w:pPr>
              <w:keepNext w:val="0"/>
              <w:pageBreakBefore w:val="0"/>
              <w:kinsoku/>
              <w:wordWrap/>
              <w:overflowPunct/>
              <w:topLinePunct w:val="0"/>
              <w:autoSpaceDE w:val="0"/>
              <w:autoSpaceDN w:val="0"/>
              <w:bidi w:val="0"/>
              <w:spacing w:beforeAutospacing="0" w:line="36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客观评分：评标委员会按以下各评审因素设定的分值进行评分且保证分值统一；主观评分：评标委员会成员为5人及以上时，所有评委评分算术平均值为该投标人技术部分得分。</w:t>
            </w:r>
          </w:p>
          <w:p w14:paraId="486130B7">
            <w:pPr>
              <w:keepNext w:val="0"/>
              <w:pageBreakBefore w:val="0"/>
              <w:kinsoku/>
              <w:wordWrap/>
              <w:overflowPunct/>
              <w:topLinePunct w:val="0"/>
              <w:autoSpaceDE w:val="0"/>
              <w:autoSpaceDN w:val="0"/>
              <w:bidi w:val="0"/>
              <w:spacing w:beforeAutospacing="0" w:line="36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14:paraId="697D75B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3307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4" w:type="dxa"/>
            <w:vMerge w:val="continue"/>
            <w:tcBorders>
              <w:top w:val="single" w:color="auto" w:sz="4" w:space="0"/>
              <w:bottom w:val="single" w:color="auto" w:sz="4" w:space="0"/>
              <w:right w:val="single" w:color="auto" w:sz="4" w:space="0"/>
            </w:tcBorders>
            <w:vAlign w:val="center"/>
          </w:tcPr>
          <w:p w14:paraId="06E8FAD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14:paraId="0276735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660BEF3D">
            <w:pPr>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项目整体理解</w:t>
            </w:r>
          </w:p>
          <w:p w14:paraId="575B8BB6">
            <w:pPr>
              <w:adjustRightInd w:val="0"/>
              <w:snapToGrid w:val="0"/>
              <w:spacing w:line="400" w:lineRule="exact"/>
              <w:jc w:val="center"/>
              <w:rPr>
                <w:rFonts w:hint="eastAsia" w:asciiTheme="minorEastAsia" w:hAnsiTheme="minorEastAsia" w:eastAsiaTheme="minorEastAsia" w:cstheme="minorEastAsia"/>
                <w:bCs/>
                <w:i/>
                <w:iCs/>
                <w:color w:val="auto"/>
                <w:kern w:val="2"/>
                <w:sz w:val="21"/>
                <w:szCs w:val="21"/>
                <w:highlight w:val="none"/>
                <w:lang w:val="en-US" w:eastAsia="zh-CN" w:bidi="ar-SA"/>
              </w:rPr>
            </w:pPr>
            <w:r>
              <w:rPr>
                <w:rFonts w:hint="eastAsia" w:ascii="宋体" w:hAnsi="宋体" w:cs="宋体"/>
                <w:color w:val="auto"/>
                <w:kern w:val="0"/>
                <w:szCs w:val="21"/>
                <w:highlight w:val="none"/>
              </w:rPr>
              <w:t>（5分）</w:t>
            </w:r>
          </w:p>
        </w:tc>
        <w:tc>
          <w:tcPr>
            <w:tcW w:w="6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D98216">
            <w:pPr>
              <w:snapToGrid w:val="0"/>
              <w:spacing w:line="400" w:lineRule="exact"/>
              <w:ind w:firstLine="420" w:firstLineChars="200"/>
              <w:rPr>
                <w:color w:val="auto"/>
                <w:kern w:val="0"/>
                <w:szCs w:val="21"/>
                <w:highlight w:val="none"/>
              </w:rPr>
            </w:pPr>
            <w:r>
              <w:rPr>
                <w:color w:val="auto"/>
                <w:kern w:val="0"/>
                <w:szCs w:val="21"/>
                <w:highlight w:val="none"/>
              </w:rPr>
              <w:t>1.项目概述</w:t>
            </w:r>
          </w:p>
          <w:p w14:paraId="3FBF3848">
            <w:pPr>
              <w:snapToGrid w:val="0"/>
              <w:spacing w:line="400" w:lineRule="exact"/>
              <w:ind w:firstLine="420" w:firstLineChars="200"/>
              <w:rPr>
                <w:color w:val="auto"/>
                <w:kern w:val="0"/>
                <w:szCs w:val="21"/>
                <w:highlight w:val="none"/>
              </w:rPr>
            </w:pPr>
            <w:r>
              <w:rPr>
                <w:color w:val="auto"/>
                <w:kern w:val="0"/>
                <w:szCs w:val="21"/>
                <w:highlight w:val="none"/>
              </w:rPr>
              <w:t>阐述项目建设目标、建设内容、建设周期等。对本项目总体建设目标与建设内容有充分了解。</w:t>
            </w:r>
          </w:p>
          <w:p w14:paraId="28A846C5">
            <w:pPr>
              <w:snapToGrid w:val="0"/>
              <w:spacing w:line="400" w:lineRule="exact"/>
              <w:ind w:firstLine="420" w:firstLineChars="200"/>
              <w:rPr>
                <w:color w:val="auto"/>
                <w:kern w:val="0"/>
                <w:szCs w:val="21"/>
                <w:highlight w:val="none"/>
              </w:rPr>
            </w:pPr>
            <w:r>
              <w:rPr>
                <w:color w:val="auto"/>
                <w:kern w:val="0"/>
                <w:szCs w:val="21"/>
                <w:highlight w:val="none"/>
              </w:rPr>
              <w:t>2.现状需求分析</w:t>
            </w:r>
          </w:p>
          <w:p w14:paraId="2A17EDB6">
            <w:pPr>
              <w:snapToGrid w:val="0"/>
              <w:spacing w:line="400" w:lineRule="exact"/>
              <w:ind w:firstLine="420" w:firstLineChars="200"/>
              <w:rPr>
                <w:color w:val="auto"/>
                <w:kern w:val="0"/>
                <w:szCs w:val="21"/>
                <w:highlight w:val="none"/>
              </w:rPr>
            </w:pPr>
            <w:r>
              <w:rPr>
                <w:color w:val="auto"/>
                <w:kern w:val="0"/>
                <w:szCs w:val="21"/>
                <w:highlight w:val="none"/>
              </w:rPr>
              <w:t>阐述项目背景、现状分析、项目需求分析。充分结合本项目要求，进行算法模型的调研。</w:t>
            </w:r>
          </w:p>
          <w:p w14:paraId="5BAC20E5">
            <w:pPr>
              <w:adjustRightInd w:val="0"/>
              <w:snapToGrid w:val="0"/>
              <w:spacing w:line="400" w:lineRule="exact"/>
              <w:ind w:firstLine="420" w:firstLineChars="200"/>
              <w:textAlignment w:val="baseline"/>
              <w:rPr>
                <w:rFonts w:hint="eastAsia" w:asciiTheme="minorEastAsia" w:hAnsiTheme="minorEastAsia" w:eastAsiaTheme="minorEastAsia" w:cstheme="minorEastAsia"/>
                <w:bCs/>
                <w:color w:val="auto"/>
                <w:kern w:val="2"/>
                <w:sz w:val="21"/>
                <w:szCs w:val="21"/>
                <w:highlight w:val="none"/>
                <w:lang w:val="en-US" w:eastAsia="zh-CN" w:bidi="ar-SA"/>
              </w:rPr>
            </w:pPr>
            <w:r>
              <w:rPr>
                <w:color w:val="auto"/>
                <w:kern w:val="0"/>
                <w:szCs w:val="21"/>
                <w:highlight w:val="none"/>
              </w:rPr>
              <w:t>整体阐述应清晰透彻、内容详实、贴合实际。根据编制内容优劣给分</w:t>
            </w:r>
            <w:r>
              <w:rPr>
                <w:rFonts w:hint="eastAsia"/>
                <w:color w:val="auto"/>
                <w:kern w:val="0"/>
                <w:szCs w:val="21"/>
                <w:highlight w:val="none"/>
                <w:lang w:eastAsia="zh-CN"/>
              </w:rPr>
              <w:t>，</w:t>
            </w:r>
            <w:r>
              <w:rPr>
                <w:rFonts w:hint="eastAsia"/>
                <w:color w:val="auto"/>
                <w:kern w:val="0"/>
                <w:szCs w:val="21"/>
                <w:highlight w:val="none"/>
                <w:lang w:val="en-US" w:eastAsia="zh-CN"/>
              </w:rPr>
              <w:t>优秀</w:t>
            </w:r>
            <w:r>
              <w:rPr>
                <w:color w:val="auto"/>
                <w:kern w:val="0"/>
                <w:szCs w:val="21"/>
                <w:highlight w:val="none"/>
              </w:rPr>
              <w:t>：5.0</w:t>
            </w:r>
            <w:r>
              <w:rPr>
                <w:rFonts w:hint="eastAsia"/>
                <w:color w:val="auto"/>
                <w:kern w:val="0"/>
                <w:szCs w:val="21"/>
                <w:highlight w:val="none"/>
                <w:lang w:val="en-US" w:eastAsia="zh-CN"/>
              </w:rPr>
              <w:t>-</w:t>
            </w:r>
            <w:r>
              <w:rPr>
                <w:color w:val="auto"/>
                <w:kern w:val="0"/>
                <w:szCs w:val="21"/>
                <w:highlight w:val="none"/>
              </w:rPr>
              <w:t>4.0分，</w:t>
            </w:r>
            <w:r>
              <w:rPr>
                <w:rFonts w:hint="eastAsia"/>
                <w:color w:val="auto"/>
                <w:kern w:val="0"/>
                <w:szCs w:val="21"/>
                <w:highlight w:val="none"/>
                <w:lang w:val="en-US" w:eastAsia="zh-CN"/>
              </w:rPr>
              <w:t>良好</w:t>
            </w:r>
            <w:r>
              <w:rPr>
                <w:color w:val="auto"/>
                <w:kern w:val="0"/>
                <w:szCs w:val="21"/>
                <w:highlight w:val="none"/>
              </w:rPr>
              <w:t>：4.0-3.0分，一般：3.0-0分。</w:t>
            </w:r>
          </w:p>
        </w:tc>
        <w:tc>
          <w:tcPr>
            <w:tcW w:w="555" w:type="dxa"/>
            <w:tcBorders>
              <w:top w:val="single" w:color="auto" w:sz="4" w:space="0"/>
              <w:left w:val="single" w:color="auto" w:sz="4" w:space="0"/>
              <w:bottom w:val="single" w:color="auto" w:sz="4" w:space="0"/>
            </w:tcBorders>
            <w:vAlign w:val="center"/>
          </w:tcPr>
          <w:p w14:paraId="1643083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6E681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4996C8A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14:paraId="230FB39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5175BE7E">
            <w:pPr>
              <w:adjustRightInd w:val="0"/>
              <w:snapToGrid w:val="0"/>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项目技术方案</w:t>
            </w:r>
          </w:p>
          <w:p w14:paraId="3A46AA82">
            <w:pPr>
              <w:adjustRightInd w:val="0"/>
              <w:snapToGrid w:val="0"/>
              <w:spacing w:line="400" w:lineRule="exact"/>
              <w:jc w:val="center"/>
              <w:textAlignment w:val="baseline"/>
              <w:rPr>
                <w:rFonts w:hint="eastAsia" w:asciiTheme="minorEastAsia" w:hAnsiTheme="minorEastAsia" w:eastAsiaTheme="minorEastAsia" w:cstheme="minorEastAsia"/>
                <w:bCs/>
                <w:i/>
                <w:iCs/>
                <w:color w:val="auto"/>
                <w:szCs w:val="21"/>
                <w:highlight w:val="none"/>
              </w:rPr>
            </w:pPr>
            <w:r>
              <w:rPr>
                <w:rFonts w:hint="eastAsia" w:ascii="宋体" w:hAnsi="宋体" w:cs="宋体"/>
                <w:color w:val="auto"/>
                <w:kern w:val="0"/>
                <w:szCs w:val="21"/>
                <w:highlight w:val="none"/>
              </w:rPr>
              <w:t>（10分）</w:t>
            </w:r>
          </w:p>
        </w:tc>
        <w:tc>
          <w:tcPr>
            <w:tcW w:w="6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D2A145">
            <w:pPr>
              <w:adjustRightInd w:val="0"/>
              <w:snapToGrid w:val="0"/>
              <w:spacing w:line="400" w:lineRule="exact"/>
              <w:ind w:firstLine="420" w:firstLineChars="200"/>
              <w:textAlignment w:val="baseline"/>
              <w:rPr>
                <w:color w:val="auto"/>
                <w:highlight w:val="none"/>
              </w:rPr>
            </w:pPr>
            <w:r>
              <w:rPr>
                <w:rFonts w:hint="eastAsia" w:ascii="宋体" w:hAnsi="宋体" w:cs="宋体"/>
                <w:bCs/>
                <w:color w:val="auto"/>
                <w:szCs w:val="21"/>
                <w:highlight w:val="none"/>
                <w:lang w:val="en-US" w:eastAsia="zh-CN" w:bidi="ar"/>
              </w:rPr>
              <w:t>报价</w:t>
            </w:r>
            <w:r>
              <w:rPr>
                <w:rFonts w:hint="eastAsia"/>
                <w:color w:val="auto"/>
                <w:highlight w:val="none"/>
              </w:rPr>
              <w:t>人对“第四章  服务要求”中所列需求进行响应，所选用的机器学习算法、软件开发架构和工具应具有先进性，算法功能齐全且具备扩展性；具有详细的设计；关键性环节步骤有详细的步骤描述；算法性能指标能够满足。</w:t>
            </w:r>
          </w:p>
          <w:p w14:paraId="46670FFF">
            <w:pPr>
              <w:adjustRightInd w:val="0"/>
              <w:snapToGrid w:val="0"/>
              <w:spacing w:line="400" w:lineRule="exact"/>
              <w:ind w:firstLine="420" w:firstLineChars="200"/>
              <w:textAlignment w:val="baseline"/>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color w:val="auto"/>
                <w:highlight w:val="none"/>
              </w:rPr>
              <w:t>注：以上性能满足要求得10</w:t>
            </w:r>
            <w:r>
              <w:rPr>
                <w:rFonts w:hint="eastAsia"/>
                <w:color w:val="auto"/>
                <w:highlight w:val="none"/>
                <w:lang w:val="en-US" w:eastAsia="zh-CN"/>
              </w:rPr>
              <w:t>-</w:t>
            </w:r>
            <w:r>
              <w:rPr>
                <w:rFonts w:hint="eastAsia"/>
                <w:color w:val="auto"/>
                <w:highlight w:val="none"/>
              </w:rPr>
              <w:t>8分；以上性能较为满足要求得8</w:t>
            </w:r>
            <w:r>
              <w:rPr>
                <w:rFonts w:hint="eastAsia"/>
                <w:color w:val="auto"/>
                <w:highlight w:val="none"/>
                <w:lang w:val="en-US" w:eastAsia="zh-CN"/>
              </w:rPr>
              <w:t>-</w:t>
            </w:r>
            <w:r>
              <w:rPr>
                <w:rFonts w:hint="eastAsia"/>
                <w:color w:val="auto"/>
                <w:highlight w:val="none"/>
              </w:rPr>
              <w:t>6分，以上性能不满足要求得6</w:t>
            </w:r>
            <w:r>
              <w:rPr>
                <w:rFonts w:hint="eastAsia"/>
                <w:color w:val="auto"/>
                <w:highlight w:val="none"/>
                <w:lang w:val="en-US" w:eastAsia="zh-CN"/>
              </w:rPr>
              <w:t>-</w:t>
            </w:r>
            <w:r>
              <w:rPr>
                <w:rFonts w:hint="eastAsia"/>
                <w:color w:val="auto"/>
                <w:highlight w:val="none"/>
              </w:rPr>
              <w:t>0分。</w:t>
            </w:r>
          </w:p>
        </w:tc>
        <w:tc>
          <w:tcPr>
            <w:tcW w:w="555" w:type="dxa"/>
            <w:tcBorders>
              <w:top w:val="single" w:color="auto" w:sz="4" w:space="0"/>
              <w:left w:val="single" w:color="auto" w:sz="4" w:space="0"/>
              <w:bottom w:val="single" w:color="auto" w:sz="4" w:space="0"/>
            </w:tcBorders>
            <w:vAlign w:val="center"/>
          </w:tcPr>
          <w:p w14:paraId="2801EAA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2FFCF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6" w:hRule="atLeast"/>
        </w:trPr>
        <w:tc>
          <w:tcPr>
            <w:tcW w:w="944" w:type="dxa"/>
            <w:vMerge w:val="continue"/>
            <w:tcBorders>
              <w:top w:val="single" w:color="auto" w:sz="4" w:space="0"/>
              <w:bottom w:val="single" w:color="auto" w:sz="4" w:space="0"/>
              <w:right w:val="single" w:color="auto" w:sz="4" w:space="0"/>
            </w:tcBorders>
            <w:vAlign w:val="center"/>
          </w:tcPr>
          <w:p w14:paraId="599C73E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14:paraId="18EC6E9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44" w:type="dxa"/>
            <w:tcBorders>
              <w:top w:val="single" w:color="auto" w:sz="4" w:space="0"/>
              <w:left w:val="single" w:color="auto" w:sz="4" w:space="0"/>
              <w:bottom w:val="single" w:color="auto" w:sz="4" w:space="0"/>
              <w:right w:val="single" w:color="auto" w:sz="4" w:space="0"/>
            </w:tcBorders>
            <w:vAlign w:val="center"/>
          </w:tcPr>
          <w:p w14:paraId="3503A91C">
            <w:pPr>
              <w:adjustRightInd w:val="0"/>
              <w:snapToGrid w:val="0"/>
              <w:spacing w:line="400" w:lineRule="exact"/>
              <w:jc w:val="center"/>
              <w:textAlignment w:val="baseline"/>
              <w:rPr>
                <w:rFonts w:ascii="宋体" w:hAnsi="宋体" w:cs="宋体"/>
                <w:bCs/>
                <w:color w:val="auto"/>
                <w:szCs w:val="21"/>
                <w:highlight w:val="none"/>
                <w:lang w:bidi="ar"/>
              </w:rPr>
            </w:pPr>
            <w:r>
              <w:rPr>
                <w:rFonts w:hint="eastAsia" w:ascii="宋体" w:hAnsi="宋体" w:cs="宋体"/>
                <w:bCs/>
                <w:color w:val="auto"/>
                <w:szCs w:val="21"/>
                <w:highlight w:val="none"/>
                <w:lang w:bidi="ar"/>
              </w:rPr>
              <w:t>项目实施方案</w:t>
            </w:r>
          </w:p>
          <w:p w14:paraId="470932AB">
            <w:pPr>
              <w:adjustRightInd w:val="0"/>
              <w:snapToGrid w:val="0"/>
              <w:spacing w:line="400" w:lineRule="exact"/>
              <w:jc w:val="center"/>
              <w:textAlignment w:val="baseline"/>
              <w:rPr>
                <w:rFonts w:asciiTheme="minorEastAsia" w:hAnsiTheme="minorEastAsia" w:eastAsiaTheme="minorEastAsia" w:cstheme="minorEastAsia"/>
                <w:b w:val="0"/>
                <w:i/>
                <w:iCs/>
                <w:caps w:val="0"/>
                <w:color w:val="auto"/>
                <w:sz w:val="21"/>
                <w:szCs w:val="21"/>
                <w:highlight w:val="none"/>
              </w:rPr>
            </w:pPr>
            <w:r>
              <w:rPr>
                <w:rFonts w:hint="eastAsia" w:ascii="宋体" w:hAnsi="宋体" w:cs="宋体"/>
                <w:bCs/>
                <w:color w:val="auto"/>
                <w:szCs w:val="21"/>
                <w:highlight w:val="none"/>
                <w:lang w:bidi="ar"/>
              </w:rPr>
              <w:t>（5分）</w:t>
            </w:r>
          </w:p>
        </w:tc>
        <w:tc>
          <w:tcPr>
            <w:tcW w:w="6137" w:type="dxa"/>
            <w:gridSpan w:val="2"/>
            <w:tcBorders>
              <w:top w:val="single" w:color="auto" w:sz="4" w:space="0"/>
              <w:left w:val="single" w:color="auto" w:sz="4" w:space="0"/>
              <w:bottom w:val="single" w:color="auto" w:sz="4" w:space="0"/>
              <w:right w:val="single" w:color="auto" w:sz="4" w:space="0"/>
            </w:tcBorders>
            <w:vAlign w:val="center"/>
          </w:tcPr>
          <w:p w14:paraId="796AC210">
            <w:pPr>
              <w:adjustRightInd w:val="0"/>
              <w:snapToGrid w:val="0"/>
              <w:spacing w:line="400" w:lineRule="exact"/>
              <w:ind w:firstLine="420" w:firstLineChars="200"/>
              <w:textAlignment w:val="baseline"/>
              <w:rPr>
                <w:rFonts w:ascii="宋体" w:hAnsi="宋体" w:cs="宋体"/>
                <w:bCs/>
                <w:color w:val="auto"/>
                <w:szCs w:val="21"/>
                <w:highlight w:val="none"/>
                <w:lang w:bidi="ar"/>
              </w:rPr>
            </w:pPr>
            <w:r>
              <w:rPr>
                <w:rFonts w:hint="eastAsia" w:ascii="宋体" w:hAnsi="宋体" w:cs="宋体"/>
                <w:bCs/>
                <w:color w:val="auto"/>
                <w:szCs w:val="21"/>
                <w:highlight w:val="none"/>
                <w:lang w:val="en-US" w:eastAsia="zh-CN" w:bidi="ar"/>
              </w:rPr>
              <w:t>报价</w:t>
            </w:r>
            <w:r>
              <w:rPr>
                <w:rFonts w:hint="eastAsia" w:ascii="宋体" w:hAnsi="宋体" w:cs="宋体"/>
                <w:bCs/>
                <w:color w:val="auto"/>
                <w:szCs w:val="21"/>
                <w:highlight w:val="none"/>
                <w:lang w:bidi="ar"/>
              </w:rPr>
              <w:t>人针对高速公路重点车辆管理的识别跟踪算法开发任务提供合理可行的项目实施方案，方案至少包含项目实施计划、技术方案等；实施方案内容全面、结构清晰；实施方案针对技术、资源、时间的安排合理。根据编制内容优劣给分。</w:t>
            </w:r>
          </w:p>
          <w:p w14:paraId="1693D7B6">
            <w:pPr>
              <w:adjustRightInd w:val="0"/>
              <w:snapToGrid w:val="0"/>
              <w:spacing w:line="400" w:lineRule="exact"/>
              <w:ind w:firstLine="420" w:firstLineChars="200"/>
              <w:textAlignment w:val="baseline"/>
              <w:rPr>
                <w:rFonts w:asciiTheme="minorEastAsia" w:hAnsiTheme="minorEastAsia" w:eastAsiaTheme="minorEastAsia" w:cstheme="minorEastAsia"/>
                <w:bCs/>
                <w:color w:val="auto"/>
                <w:szCs w:val="21"/>
                <w:highlight w:val="none"/>
              </w:rPr>
            </w:pPr>
            <w:r>
              <w:rPr>
                <w:rFonts w:hint="eastAsia" w:ascii="宋体" w:hAnsi="宋体" w:cs="宋体"/>
                <w:bCs/>
                <w:color w:val="auto"/>
                <w:szCs w:val="21"/>
                <w:highlight w:val="none"/>
                <w:lang w:bidi="ar"/>
              </w:rPr>
              <w:t>注：方案内容合理、可行性高、完整性好，内容全面结构清晰得5-4分；方案内容较合理性、可行性较高、完整性一般、内容全面结构一般得4-3分；方案内容应不合理性、不具有可行性、完整性较差、内容全面结构模糊得3-0分。</w:t>
            </w:r>
          </w:p>
        </w:tc>
        <w:tc>
          <w:tcPr>
            <w:tcW w:w="555" w:type="dxa"/>
            <w:tcBorders>
              <w:top w:val="single" w:color="auto" w:sz="4" w:space="0"/>
              <w:left w:val="single" w:color="auto" w:sz="4" w:space="0"/>
              <w:bottom w:val="single" w:color="auto" w:sz="4" w:space="0"/>
            </w:tcBorders>
            <w:vAlign w:val="center"/>
          </w:tcPr>
          <w:p w14:paraId="4826BFE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25361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4" w:type="dxa"/>
            <w:vMerge w:val="restart"/>
            <w:tcBorders>
              <w:top w:val="single" w:color="auto" w:sz="4" w:space="0"/>
              <w:bottom w:val="single" w:color="auto" w:sz="4" w:space="0"/>
              <w:right w:val="single" w:color="auto" w:sz="4" w:space="0"/>
            </w:tcBorders>
            <w:vAlign w:val="center"/>
          </w:tcPr>
          <w:p w14:paraId="041F2A5B">
            <w:pPr>
              <w:keepNext w:val="0"/>
              <w:pageBreakBefore w:val="0"/>
              <w:kinsoku/>
              <w:wordWrap/>
              <w:overflowPunct/>
              <w:topLinePunct w:val="0"/>
              <w:bidi w:val="0"/>
              <w:spacing w:beforeAutospacing="0"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74AB4592">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（2）</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14:paraId="535AD29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商务评分标准（10分）</w:t>
            </w:r>
          </w:p>
        </w:tc>
        <w:tc>
          <w:tcPr>
            <w:tcW w:w="7281" w:type="dxa"/>
            <w:gridSpan w:val="3"/>
            <w:tcBorders>
              <w:top w:val="single" w:color="auto" w:sz="4" w:space="0"/>
              <w:left w:val="single" w:color="auto" w:sz="4" w:space="0"/>
              <w:bottom w:val="single" w:color="auto" w:sz="4" w:space="0"/>
              <w:right w:val="single" w:color="auto" w:sz="4" w:space="0"/>
            </w:tcBorders>
            <w:vAlign w:val="center"/>
          </w:tcPr>
          <w:p w14:paraId="130548C0">
            <w:pPr>
              <w:keepNext w:val="0"/>
              <w:pageBreakBefore w:val="0"/>
              <w:kinsoku/>
              <w:wordWrap/>
              <w:overflowPunct/>
              <w:topLinePunct w:val="0"/>
              <w:bidi w:val="0"/>
              <w:spacing w:beforeAutospacing="0" w:line="360" w:lineRule="exact"/>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14:paraId="4A0DCE09">
            <w:pPr>
              <w:keepNext w:val="0"/>
              <w:pageBreakBefore w:val="0"/>
              <w:kinsoku/>
              <w:wordWrap/>
              <w:overflowPunct/>
              <w:topLinePunct w:val="0"/>
              <w:bidi w:val="0"/>
              <w:spacing w:beforeAutospacing="0" w:line="360" w:lineRule="exact"/>
              <w:ind w:firstLine="420" w:firstLineChars="0"/>
              <w:rPr>
                <w:rFonts w:hint="eastAsia" w:ascii="宋体" w:hAnsi="宋体" w:eastAsia="宋体" w:cs="宋体"/>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商务部分得分的最终结果保留两位小数，小数点后第三位四舍五入。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14:paraId="0A5F542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5AD5B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1AB650D5">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025" w:type="dxa"/>
            <w:vMerge w:val="continue"/>
            <w:tcBorders>
              <w:top w:val="single" w:color="auto" w:sz="4" w:space="0"/>
              <w:left w:val="single" w:color="auto" w:sz="4" w:space="0"/>
              <w:right w:val="single" w:color="auto" w:sz="4" w:space="0"/>
            </w:tcBorders>
            <w:vAlign w:val="center"/>
          </w:tcPr>
          <w:p w14:paraId="4F9D6CD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651310D0">
            <w:pPr>
              <w:keepNext w:val="0"/>
              <w:pageBreakBefore w:val="0"/>
              <w:widowControl/>
              <w:kinsoku/>
              <w:wordWrap/>
              <w:overflowPunct/>
              <w:topLinePunct w:val="0"/>
              <w:bidi w:val="0"/>
              <w:spacing w:beforeAutospacing="0" w:line="360" w:lineRule="exact"/>
              <w:jc w:val="center"/>
              <w:textAlignment w:val="center"/>
              <w:rPr>
                <w:rFonts w:hint="eastAsia" w:asciiTheme="minorEastAsia" w:hAnsiTheme="minorEastAsia" w:eastAsiaTheme="minorEastAsia" w:cstheme="minorEastAsia"/>
                <w:b w:val="0"/>
                <w:i/>
                <w:iCs/>
                <w:caps w:val="0"/>
                <w:color w:val="auto"/>
                <w:kern w:val="2"/>
                <w:sz w:val="21"/>
                <w:szCs w:val="21"/>
                <w:highlight w:val="none"/>
                <w:lang w:val="en-US" w:eastAsia="zh-CN" w:bidi="ar-SA"/>
              </w:rPr>
            </w:pPr>
            <w:r>
              <w:rPr>
                <w:rFonts w:hint="eastAsia" w:asciiTheme="minorEastAsia" w:hAnsiTheme="minorEastAsia" w:eastAsiaTheme="minorEastAsia" w:cstheme="minorEastAsia"/>
                <w:b w:val="0"/>
                <w:i w:val="0"/>
                <w:iCs w:val="0"/>
                <w:caps w:val="0"/>
                <w:color w:val="auto"/>
                <w:sz w:val="21"/>
                <w:szCs w:val="21"/>
                <w:highlight w:val="none"/>
                <w:lang w:val="en-US" w:eastAsia="zh-CN"/>
              </w:rPr>
              <w:t>企业实力（2分）</w:t>
            </w:r>
          </w:p>
        </w:tc>
        <w:tc>
          <w:tcPr>
            <w:tcW w:w="6137" w:type="dxa"/>
            <w:gridSpan w:val="2"/>
            <w:tcBorders>
              <w:top w:val="single" w:color="auto" w:sz="4" w:space="0"/>
              <w:left w:val="single" w:color="auto" w:sz="4" w:space="0"/>
              <w:bottom w:val="single" w:color="auto" w:sz="4" w:space="0"/>
            </w:tcBorders>
            <w:shd w:val="clear" w:color="auto" w:fill="auto"/>
            <w:vAlign w:val="center"/>
          </w:tcPr>
          <w:p w14:paraId="1F0C44C6">
            <w:pPr>
              <w:keepNext w:val="0"/>
              <w:keepLines w:val="0"/>
              <w:pageBreakBefore w:val="0"/>
              <w:widowControl w:val="0"/>
              <w:kinsoku/>
              <w:wordWrap/>
              <w:overflowPunct/>
              <w:topLinePunct w:val="0"/>
              <w:autoSpaceDE/>
              <w:autoSpaceDN/>
              <w:bidi w:val="0"/>
              <w:adjustRightInd/>
              <w:snapToGrid/>
              <w:spacing w:beforeAutospacing="0" w:line="360" w:lineRule="exact"/>
              <w:ind w:firstLine="420" w:firstLineChars="2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（1）报价人提供ISO9001质量管理体系认证得1分；</w:t>
            </w:r>
          </w:p>
          <w:p w14:paraId="7ABC52BA">
            <w:pPr>
              <w:keepNext w:val="0"/>
              <w:keepLines w:val="0"/>
              <w:pageBreakBefore w:val="0"/>
              <w:widowControl w:val="0"/>
              <w:kinsoku/>
              <w:wordWrap/>
              <w:overflowPunct/>
              <w:topLinePunct w:val="0"/>
              <w:autoSpaceDE/>
              <w:autoSpaceDN/>
              <w:bidi w:val="0"/>
              <w:adjustRightInd/>
              <w:snapToGrid/>
              <w:spacing w:beforeAutospacing="0" w:line="360"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（2）报价人提供ISO27001信息安全体系认证得1分。</w:t>
            </w:r>
          </w:p>
          <w:p w14:paraId="2DE80EE1">
            <w:pPr>
              <w:keepNext w:val="0"/>
              <w:pageBreakBefore w:val="0"/>
              <w:kinsoku/>
              <w:wordWrap/>
              <w:overflowPunct/>
              <w:topLinePunct w:val="0"/>
              <w:bidi w:val="0"/>
              <w:spacing w:beforeAutospacing="0" w:line="360" w:lineRule="exact"/>
              <w:ind w:firstLine="420" w:firstLineChars="0"/>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0"/>
                <w:szCs w:val="21"/>
                <w:highlight w:val="none"/>
                <w:shd w:val="clear" w:color="auto" w:fill="FFFFFF"/>
                <w:lang w:bidi="ar"/>
              </w:rPr>
              <w:t>注：提供</w:t>
            </w:r>
            <w:r>
              <w:rPr>
                <w:rFonts w:hint="eastAsia" w:asciiTheme="minorEastAsia" w:hAnsiTheme="minorEastAsia" w:eastAsiaTheme="minorEastAsia" w:cstheme="minorEastAsia"/>
                <w:b/>
                <w:bCs/>
                <w:color w:val="auto"/>
                <w:kern w:val="0"/>
                <w:szCs w:val="21"/>
                <w:highlight w:val="none"/>
                <w:shd w:val="clear" w:color="auto" w:fill="FFFFFF"/>
                <w:lang w:val="en-US" w:eastAsia="zh-CN" w:bidi="ar"/>
              </w:rPr>
              <w:t>上述证书</w:t>
            </w:r>
            <w:r>
              <w:rPr>
                <w:rFonts w:hint="eastAsia" w:asciiTheme="minorEastAsia" w:hAnsiTheme="minorEastAsia" w:eastAsiaTheme="minorEastAsia" w:cstheme="minorEastAsia"/>
                <w:b/>
                <w:bCs/>
                <w:color w:val="auto"/>
                <w:kern w:val="0"/>
                <w:szCs w:val="21"/>
                <w:highlight w:val="none"/>
                <w:shd w:val="clear" w:color="auto" w:fill="FFFFFF"/>
                <w:lang w:bidi="ar"/>
              </w:rPr>
              <w:t>复印件</w:t>
            </w:r>
            <w:r>
              <w:rPr>
                <w:rFonts w:hint="eastAsia" w:asciiTheme="minorEastAsia" w:hAnsiTheme="minorEastAsia" w:eastAsiaTheme="minorEastAsia" w:cstheme="minorEastAsia"/>
                <w:b/>
                <w:bCs/>
                <w:color w:val="auto"/>
                <w:kern w:val="0"/>
                <w:szCs w:val="21"/>
                <w:highlight w:val="none"/>
                <w:shd w:val="clear" w:color="auto" w:fill="FFFFFF"/>
                <w:lang w:val="en-US" w:eastAsia="zh-CN" w:bidi="ar"/>
              </w:rPr>
              <w:t>或证明资料复印件</w:t>
            </w:r>
            <w:r>
              <w:rPr>
                <w:rFonts w:hint="eastAsia" w:asciiTheme="minorEastAsia" w:hAnsiTheme="minorEastAsia" w:eastAsiaTheme="minorEastAsia" w:cstheme="minorEastAsia"/>
                <w:b/>
                <w:bCs/>
                <w:color w:val="auto"/>
                <w:kern w:val="0"/>
                <w:szCs w:val="21"/>
                <w:highlight w:val="none"/>
                <w:shd w:val="clear" w:color="auto" w:fill="FFFFFF"/>
                <w:lang w:eastAsia="zh-CN" w:bidi="ar"/>
              </w:rPr>
              <w:t>，</w:t>
            </w:r>
            <w:r>
              <w:rPr>
                <w:rFonts w:hint="eastAsia" w:asciiTheme="minorEastAsia" w:hAnsiTheme="minorEastAsia" w:eastAsiaTheme="minorEastAsia" w:cstheme="minorEastAsia"/>
                <w:b/>
                <w:bCs/>
                <w:color w:val="auto"/>
                <w:kern w:val="0"/>
                <w:szCs w:val="21"/>
                <w:highlight w:val="none"/>
                <w:shd w:val="clear" w:color="auto" w:fill="FFFFFF"/>
                <w:lang w:val="en-US" w:eastAsia="zh-CN" w:bidi="ar"/>
              </w:rPr>
              <w:t>并</w:t>
            </w:r>
            <w:r>
              <w:rPr>
                <w:rFonts w:hint="eastAsia" w:asciiTheme="minorEastAsia" w:hAnsiTheme="minorEastAsia" w:eastAsiaTheme="minorEastAsia" w:cstheme="minorEastAsia"/>
                <w:b/>
                <w:bCs/>
                <w:color w:val="auto"/>
                <w:kern w:val="0"/>
                <w:szCs w:val="21"/>
                <w:highlight w:val="none"/>
                <w:shd w:val="clear" w:color="auto" w:fill="FFFFFF"/>
                <w:lang w:bidi="ar"/>
              </w:rPr>
              <w:t>加盖</w:t>
            </w:r>
            <w:r>
              <w:rPr>
                <w:rFonts w:hint="eastAsia" w:asciiTheme="minorEastAsia" w:hAnsiTheme="minorEastAsia" w:eastAsiaTheme="minorEastAsia" w:cstheme="minorEastAsia"/>
                <w:b/>
                <w:bCs/>
                <w:color w:val="auto"/>
                <w:kern w:val="0"/>
                <w:szCs w:val="21"/>
                <w:highlight w:val="none"/>
                <w:shd w:val="clear" w:color="auto" w:fill="FFFFFF"/>
                <w:lang w:val="en-US" w:eastAsia="zh-CN" w:bidi="ar"/>
              </w:rPr>
              <w:t>单位</w:t>
            </w:r>
            <w:r>
              <w:rPr>
                <w:rFonts w:hint="eastAsia" w:asciiTheme="minorEastAsia" w:hAnsiTheme="minorEastAsia" w:eastAsiaTheme="minorEastAsia" w:cstheme="minorEastAsia"/>
                <w:b/>
                <w:bCs/>
                <w:color w:val="auto"/>
                <w:kern w:val="0"/>
                <w:szCs w:val="21"/>
                <w:highlight w:val="none"/>
                <w:shd w:val="clear" w:color="auto" w:fill="FFFFFF"/>
                <w:lang w:bidi="ar"/>
              </w:rPr>
              <w:t>公章。</w:t>
            </w:r>
          </w:p>
        </w:tc>
        <w:tc>
          <w:tcPr>
            <w:tcW w:w="555" w:type="dxa"/>
            <w:tcBorders>
              <w:top w:val="single" w:color="auto" w:sz="4" w:space="0"/>
              <w:left w:val="single" w:color="auto" w:sz="4" w:space="0"/>
              <w:bottom w:val="single" w:color="auto" w:sz="4" w:space="0"/>
            </w:tcBorders>
            <w:vAlign w:val="center"/>
          </w:tcPr>
          <w:p w14:paraId="74B4E4A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4597D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351162B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025" w:type="dxa"/>
            <w:vMerge w:val="continue"/>
            <w:tcBorders>
              <w:top w:val="single" w:color="auto" w:sz="4" w:space="0"/>
              <w:left w:val="single" w:color="auto" w:sz="4" w:space="0"/>
              <w:right w:val="single" w:color="auto" w:sz="4" w:space="0"/>
            </w:tcBorders>
            <w:vAlign w:val="center"/>
          </w:tcPr>
          <w:p w14:paraId="33BB0D9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44" w:type="dxa"/>
            <w:tcBorders>
              <w:top w:val="single" w:color="auto" w:sz="4" w:space="0"/>
              <w:left w:val="single" w:color="auto" w:sz="4" w:space="0"/>
              <w:bottom w:val="single" w:color="auto" w:sz="4" w:space="0"/>
              <w:right w:val="single" w:color="auto" w:sz="4" w:space="0"/>
            </w:tcBorders>
            <w:vAlign w:val="center"/>
          </w:tcPr>
          <w:p w14:paraId="26F8D5C3">
            <w:pPr>
              <w:keepNext w:val="0"/>
              <w:pageBreakBefore w:val="0"/>
              <w:widowControl/>
              <w:kinsoku/>
              <w:wordWrap/>
              <w:overflowPunct/>
              <w:topLinePunct w:val="0"/>
              <w:bidi w:val="0"/>
              <w:spacing w:beforeAutospacing="0" w:line="360" w:lineRule="exact"/>
              <w:jc w:val="center"/>
              <w:textAlignment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lang w:val="en-US" w:eastAsia="zh-CN"/>
              </w:rPr>
              <w:t>团队实力</w:t>
            </w:r>
            <w:r>
              <w:rPr>
                <w:rFonts w:hint="eastAsia" w:asciiTheme="minorEastAsia" w:hAnsiTheme="minorEastAsia" w:eastAsiaTheme="minorEastAsia" w:cstheme="minorEastAsia"/>
                <w:i w:val="0"/>
                <w:iCs w:val="0"/>
                <w:color w:val="auto"/>
                <w:szCs w:val="21"/>
                <w:highlight w:val="none"/>
              </w:rPr>
              <w:t>（</w:t>
            </w:r>
            <w:r>
              <w:rPr>
                <w:rFonts w:hint="eastAsia" w:asciiTheme="minorEastAsia" w:hAnsiTheme="minorEastAsia" w:eastAsiaTheme="minorEastAsia" w:cstheme="minorEastAsia"/>
                <w:i w:val="0"/>
                <w:iCs w:val="0"/>
                <w:color w:val="auto"/>
                <w:szCs w:val="21"/>
                <w:highlight w:val="none"/>
                <w:lang w:val="en-US" w:eastAsia="zh-CN"/>
              </w:rPr>
              <w:t>2</w:t>
            </w:r>
            <w:r>
              <w:rPr>
                <w:rFonts w:hint="eastAsia" w:asciiTheme="minorEastAsia" w:hAnsiTheme="minorEastAsia" w:eastAsiaTheme="minorEastAsia" w:cstheme="minorEastAsia"/>
                <w:i w:val="0"/>
                <w:iCs w:val="0"/>
                <w:color w:val="auto"/>
                <w:szCs w:val="21"/>
                <w:highlight w:val="none"/>
              </w:rPr>
              <w:t>分）</w:t>
            </w:r>
          </w:p>
        </w:tc>
        <w:tc>
          <w:tcPr>
            <w:tcW w:w="6137" w:type="dxa"/>
            <w:gridSpan w:val="2"/>
            <w:tcBorders>
              <w:top w:val="single" w:color="auto" w:sz="4" w:space="0"/>
              <w:left w:val="single" w:color="auto" w:sz="4" w:space="0"/>
              <w:bottom w:val="single" w:color="auto" w:sz="4" w:space="0"/>
            </w:tcBorders>
            <w:vAlign w:val="center"/>
          </w:tcPr>
          <w:p w14:paraId="733E333A">
            <w:pPr>
              <w:snapToGrid w:val="0"/>
              <w:spacing w:line="400" w:lineRule="exact"/>
              <w:ind w:firstLine="420" w:firstLineChars="2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报价人拟派的项目负责人</w:t>
            </w:r>
            <w:r>
              <w:rPr>
                <w:rFonts w:hint="eastAsia" w:ascii="宋体" w:hAnsi="宋体" w:cs="宋体"/>
                <w:color w:val="auto"/>
                <w:kern w:val="0"/>
                <w:szCs w:val="21"/>
                <w:highlight w:val="none"/>
                <w:lang w:val="en-US" w:eastAsia="zh-CN"/>
              </w:rPr>
              <w:t>具备以下（1）（2）任意一项要求的，得2分。</w:t>
            </w:r>
          </w:p>
          <w:p w14:paraId="14BD8ED3">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项目负责人</w:t>
            </w:r>
            <w:r>
              <w:rPr>
                <w:rFonts w:hint="eastAsia" w:ascii="宋体" w:hAnsi="宋体" w:cs="宋体"/>
                <w:color w:val="auto"/>
                <w:kern w:val="0"/>
                <w:szCs w:val="21"/>
                <w:highlight w:val="none"/>
                <w:lang w:val="en-US" w:eastAsia="zh-CN"/>
              </w:rPr>
              <w:t>具备数字化类（或计算机类、或电子类、或通信类）</w:t>
            </w:r>
            <w:r>
              <w:rPr>
                <w:rFonts w:hint="eastAsia" w:ascii="宋体" w:hAnsi="宋体" w:cs="宋体"/>
                <w:color w:val="auto"/>
                <w:kern w:val="0"/>
                <w:szCs w:val="21"/>
                <w:highlight w:val="none"/>
              </w:rPr>
              <w:t>高级</w:t>
            </w:r>
            <w:r>
              <w:rPr>
                <w:rFonts w:hint="eastAsia" w:ascii="宋体" w:hAnsi="宋体" w:cs="宋体"/>
                <w:color w:val="auto"/>
                <w:kern w:val="0"/>
                <w:szCs w:val="21"/>
                <w:highlight w:val="none"/>
                <w:lang w:val="en-US" w:eastAsia="zh-CN"/>
              </w:rPr>
              <w:t>及以上</w:t>
            </w:r>
            <w:r>
              <w:rPr>
                <w:rFonts w:hint="eastAsia" w:ascii="宋体" w:hAnsi="宋体" w:cs="宋体"/>
                <w:color w:val="auto"/>
                <w:kern w:val="0"/>
                <w:szCs w:val="21"/>
                <w:highlight w:val="none"/>
              </w:rPr>
              <w:t>职称证书</w:t>
            </w:r>
          </w:p>
          <w:p w14:paraId="1EB0B6FE">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项目负责人</w:t>
            </w:r>
            <w:r>
              <w:rPr>
                <w:rFonts w:hint="eastAsia" w:ascii="宋体" w:hAnsi="宋体" w:cs="宋体"/>
                <w:color w:val="auto"/>
                <w:kern w:val="0"/>
                <w:szCs w:val="21"/>
                <w:highlight w:val="none"/>
                <w:lang w:val="en-US" w:eastAsia="zh-CN"/>
              </w:rPr>
              <w:t>为数字化类（或计算机类、或电子类、或通信类）博士研究生的</w:t>
            </w:r>
            <w:r>
              <w:rPr>
                <w:rFonts w:hint="eastAsia" w:ascii="宋体" w:hAnsi="宋体" w:cs="宋体"/>
                <w:color w:val="auto"/>
                <w:kern w:val="0"/>
                <w:szCs w:val="21"/>
                <w:highlight w:val="none"/>
              </w:rPr>
              <w:t>。</w:t>
            </w:r>
          </w:p>
          <w:p w14:paraId="7BD48551">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exact"/>
              <w:ind w:left="0" w:leftChars="0" w:firstLine="422" w:firstLineChars="200"/>
              <w:textAlignment w:val="auto"/>
              <w:rPr>
                <w:rFonts w:hint="eastAsia"/>
                <w:color w:val="auto"/>
                <w:highlight w:val="none"/>
                <w:lang w:val="en-US" w:eastAsia="zh-CN"/>
              </w:rPr>
            </w:pPr>
            <w:r>
              <w:rPr>
                <w:rFonts w:hint="eastAsia" w:ascii="宋体" w:hAnsi="宋体" w:cs="宋体"/>
                <w:b/>
                <w:bCs/>
                <w:color w:val="auto"/>
                <w:kern w:val="0"/>
                <w:szCs w:val="21"/>
                <w:highlight w:val="none"/>
              </w:rPr>
              <w:t>注：提供以上人员职称证书复印件</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身份证</w:t>
            </w:r>
            <w:r>
              <w:rPr>
                <w:rFonts w:hint="eastAsia" w:ascii="宋体" w:hAnsi="宋体" w:cs="宋体"/>
                <w:b/>
                <w:bCs/>
                <w:color w:val="auto"/>
                <w:kern w:val="0"/>
                <w:szCs w:val="21"/>
                <w:highlight w:val="none"/>
              </w:rPr>
              <w:t>复印件</w:t>
            </w:r>
            <w:r>
              <w:rPr>
                <w:rFonts w:hint="eastAsia" w:ascii="宋体" w:hAnsi="宋体" w:cs="宋体"/>
                <w:b/>
                <w:bCs/>
                <w:color w:val="auto"/>
                <w:kern w:val="0"/>
                <w:szCs w:val="21"/>
                <w:highlight w:val="none"/>
                <w:lang w:val="en-US" w:eastAsia="zh-CN"/>
              </w:rPr>
              <w:t>以及</w:t>
            </w:r>
            <w:r>
              <w:rPr>
                <w:rFonts w:hint="eastAsia" w:ascii="宋体" w:hAnsi="宋体" w:cs="宋体"/>
                <w:b/>
                <w:bCs/>
                <w:color w:val="auto"/>
                <w:kern w:val="0"/>
                <w:szCs w:val="21"/>
                <w:highlight w:val="none"/>
              </w:rPr>
              <w:t>202</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rPr>
              <w:t>年</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月-202</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rPr>
              <w:t>年</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月报价人为其缴纳的养老保险证明材料</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ascii="宋体" w:hAnsi="宋体" w:cs="宋体"/>
                <w:b/>
                <w:bCs/>
                <w:color w:val="auto"/>
                <w:kern w:val="0"/>
                <w:szCs w:val="21"/>
                <w:highlight w:val="none"/>
                <w:lang w:bidi="ar"/>
              </w:rPr>
              <w:t>。</w:t>
            </w:r>
          </w:p>
        </w:tc>
        <w:tc>
          <w:tcPr>
            <w:tcW w:w="555" w:type="dxa"/>
            <w:tcBorders>
              <w:top w:val="single" w:color="auto" w:sz="4" w:space="0"/>
              <w:left w:val="single" w:color="auto" w:sz="4" w:space="0"/>
              <w:bottom w:val="single" w:color="auto" w:sz="4" w:space="0"/>
            </w:tcBorders>
            <w:vAlign w:val="center"/>
          </w:tcPr>
          <w:p w14:paraId="19A3052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3ADA6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6EA5967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025" w:type="dxa"/>
            <w:vMerge w:val="continue"/>
            <w:tcBorders>
              <w:top w:val="single" w:color="auto" w:sz="4" w:space="0"/>
              <w:left w:val="single" w:color="auto" w:sz="4" w:space="0"/>
              <w:right w:val="single" w:color="auto" w:sz="4" w:space="0"/>
            </w:tcBorders>
            <w:vAlign w:val="center"/>
          </w:tcPr>
          <w:p w14:paraId="5C179A7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44" w:type="dxa"/>
            <w:tcBorders>
              <w:top w:val="single" w:color="auto" w:sz="4" w:space="0"/>
              <w:left w:val="single" w:color="auto" w:sz="4" w:space="0"/>
              <w:bottom w:val="single" w:color="auto" w:sz="4" w:space="0"/>
              <w:right w:val="single" w:color="auto" w:sz="4" w:space="0"/>
            </w:tcBorders>
            <w:vAlign w:val="center"/>
          </w:tcPr>
          <w:p w14:paraId="2D9C3C07">
            <w:pPr>
              <w:keepNext w:val="0"/>
              <w:pageBreakBefore w:val="0"/>
              <w:widowControl/>
              <w:kinsoku/>
              <w:wordWrap/>
              <w:overflowPunct/>
              <w:topLinePunct w:val="0"/>
              <w:bidi w:val="0"/>
              <w:spacing w:beforeAutospacing="0" w:line="360" w:lineRule="exact"/>
              <w:jc w:val="center"/>
              <w:textAlignment w:val="center"/>
              <w:rPr>
                <w:rFonts w:hint="default" w:asciiTheme="minorEastAsia" w:hAnsiTheme="minorEastAsia" w:eastAsiaTheme="minorEastAsia" w:cstheme="minorEastAsia"/>
                <w:i w:val="0"/>
                <w:iCs w:val="0"/>
                <w:color w:val="auto"/>
                <w:szCs w:val="21"/>
                <w:highlight w:val="none"/>
                <w:lang w:val="en-US" w:eastAsia="zh-CN"/>
              </w:rPr>
            </w:pPr>
            <w:r>
              <w:rPr>
                <w:rFonts w:hint="eastAsia" w:asciiTheme="minorEastAsia" w:hAnsiTheme="minorEastAsia" w:eastAsiaTheme="minorEastAsia" w:cstheme="minorEastAsia"/>
                <w:i w:val="0"/>
                <w:iCs w:val="0"/>
                <w:color w:val="auto"/>
                <w:szCs w:val="21"/>
                <w:highlight w:val="none"/>
                <w:lang w:val="en-US" w:eastAsia="zh-CN"/>
              </w:rPr>
              <w:t>财务要求（2分）</w:t>
            </w:r>
          </w:p>
        </w:tc>
        <w:tc>
          <w:tcPr>
            <w:tcW w:w="6137" w:type="dxa"/>
            <w:gridSpan w:val="2"/>
            <w:tcBorders>
              <w:top w:val="single" w:color="auto" w:sz="4" w:space="0"/>
              <w:left w:val="single" w:color="auto" w:sz="4" w:space="0"/>
              <w:bottom w:val="single" w:color="auto" w:sz="4" w:space="0"/>
            </w:tcBorders>
            <w:vAlign w:val="center"/>
          </w:tcPr>
          <w:p w14:paraId="30B2200D">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exact"/>
              <w:ind w:left="0" w:leftChars="0" w:firstLine="420" w:firstLineChars="200"/>
              <w:textAlignment w:val="auto"/>
              <w:rPr>
                <w:rFonts w:hint="eastAsia" w:ascii="宋体" w:hAnsi="宋体" w:cs="宋体"/>
                <w:b w:val="0"/>
                <w:bCs w:val="0"/>
                <w:color w:val="auto"/>
                <w:kern w:val="0"/>
                <w:szCs w:val="21"/>
                <w:highlight w:val="none"/>
              </w:rPr>
            </w:pPr>
            <w:r>
              <w:rPr>
                <w:rFonts w:hint="eastAsia" w:ascii="宋体" w:hAnsi="宋体" w:cs="宋体"/>
                <w:b w:val="0"/>
                <w:bCs w:val="0"/>
                <w:color w:val="auto"/>
                <w:kern w:val="0"/>
                <w:szCs w:val="21"/>
                <w:highlight w:val="none"/>
                <w:lang w:val="en-US" w:eastAsia="zh-CN"/>
              </w:rPr>
              <w:t>报价人在2021、2022、2023</w:t>
            </w:r>
            <w:r>
              <w:rPr>
                <w:rFonts w:hint="eastAsia" w:ascii="宋体" w:hAnsi="宋体" w:cs="宋体"/>
                <w:b w:val="0"/>
                <w:bCs w:val="0"/>
                <w:color w:val="auto"/>
                <w:kern w:val="0"/>
                <w:szCs w:val="21"/>
                <w:highlight w:val="none"/>
              </w:rPr>
              <w:t>年的年度财务状况不亏损</w:t>
            </w:r>
            <w:r>
              <w:rPr>
                <w:rFonts w:hint="eastAsia" w:ascii="宋体" w:hAnsi="宋体" w:cs="宋体"/>
                <w:b w:val="0"/>
                <w:bCs w:val="0"/>
                <w:color w:val="auto"/>
                <w:kern w:val="0"/>
                <w:szCs w:val="21"/>
                <w:highlight w:val="none"/>
                <w:lang w:val="en-US" w:eastAsia="zh-CN"/>
              </w:rPr>
              <w:t>得2分</w:t>
            </w:r>
            <w:r>
              <w:rPr>
                <w:rFonts w:hint="eastAsia" w:ascii="宋体" w:hAnsi="宋体" w:cs="宋体"/>
                <w:b w:val="0"/>
                <w:bCs w:val="0"/>
                <w:color w:val="auto"/>
                <w:kern w:val="0"/>
                <w:szCs w:val="21"/>
                <w:highlight w:val="none"/>
              </w:rPr>
              <w:t>。</w:t>
            </w:r>
          </w:p>
          <w:p w14:paraId="074ECA35">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exact"/>
              <w:ind w:left="0" w:leftChars="0" w:firstLine="422"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注：提供</w:t>
            </w:r>
            <w:r>
              <w:rPr>
                <w:rFonts w:hint="eastAsia" w:ascii="宋体" w:hAnsi="宋体" w:cs="宋体"/>
                <w:b/>
                <w:bCs/>
                <w:color w:val="auto"/>
                <w:kern w:val="0"/>
                <w:szCs w:val="21"/>
                <w:highlight w:val="none"/>
                <w:lang w:val="en-US" w:eastAsia="zh-CN"/>
              </w:rPr>
              <w:t>2021年-2023年</w:t>
            </w:r>
            <w:r>
              <w:rPr>
                <w:rFonts w:hint="eastAsia" w:ascii="宋体" w:hAnsi="宋体" w:cs="宋体"/>
                <w:b/>
                <w:bCs/>
                <w:color w:val="auto"/>
                <w:kern w:val="0"/>
                <w:szCs w:val="21"/>
                <w:highlight w:val="none"/>
              </w:rPr>
              <w:t>经会计师事务所或审计机构出具的合法有效的财务审计报告及财务报表，财务报表须至少包括现金流量表、资产负债表、利润表。</w:t>
            </w:r>
          </w:p>
        </w:tc>
        <w:tc>
          <w:tcPr>
            <w:tcW w:w="555" w:type="dxa"/>
            <w:tcBorders>
              <w:top w:val="single" w:color="auto" w:sz="4" w:space="0"/>
              <w:left w:val="single" w:color="auto" w:sz="4" w:space="0"/>
              <w:bottom w:val="single" w:color="auto" w:sz="4" w:space="0"/>
            </w:tcBorders>
            <w:vAlign w:val="center"/>
          </w:tcPr>
          <w:p w14:paraId="6B43977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2A3D5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3B9AA16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025" w:type="dxa"/>
            <w:vMerge w:val="continue"/>
            <w:tcBorders>
              <w:top w:val="single" w:color="auto" w:sz="4" w:space="0"/>
              <w:left w:val="single" w:color="auto" w:sz="4" w:space="0"/>
              <w:right w:val="single" w:color="auto" w:sz="4" w:space="0"/>
            </w:tcBorders>
            <w:vAlign w:val="center"/>
          </w:tcPr>
          <w:p w14:paraId="1994C035">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44" w:type="dxa"/>
            <w:tcBorders>
              <w:top w:val="single" w:color="auto" w:sz="4" w:space="0"/>
              <w:left w:val="single" w:color="auto" w:sz="4" w:space="0"/>
              <w:bottom w:val="single" w:color="auto" w:sz="4" w:space="0"/>
              <w:right w:val="single" w:color="auto" w:sz="4" w:space="0"/>
            </w:tcBorders>
            <w:vAlign w:val="center"/>
          </w:tcPr>
          <w:p w14:paraId="397A7DB0">
            <w:pPr>
              <w:keepNext w:val="0"/>
              <w:pageBreakBefore w:val="0"/>
              <w:widowControl/>
              <w:kinsoku/>
              <w:wordWrap/>
              <w:overflowPunct/>
              <w:topLinePunct w:val="0"/>
              <w:bidi w:val="0"/>
              <w:spacing w:beforeAutospacing="0" w:line="360" w:lineRule="exact"/>
              <w:jc w:val="center"/>
              <w:textAlignment w:val="center"/>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lang w:eastAsia="zh-CN"/>
              </w:rPr>
              <w:t>报价人</w:t>
            </w:r>
          </w:p>
          <w:p w14:paraId="5BD3AA19">
            <w:pPr>
              <w:keepNext w:val="0"/>
              <w:pageBreakBefore w:val="0"/>
              <w:widowControl/>
              <w:kinsoku/>
              <w:wordWrap/>
              <w:overflowPunct/>
              <w:topLinePunct w:val="0"/>
              <w:bidi w:val="0"/>
              <w:spacing w:beforeAutospacing="0" w:line="360" w:lineRule="exact"/>
              <w:jc w:val="center"/>
              <w:textAlignment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业绩</w:t>
            </w:r>
          </w:p>
          <w:p w14:paraId="791CFAEF">
            <w:pPr>
              <w:keepNext w:val="0"/>
              <w:pageBreakBefore w:val="0"/>
              <w:widowControl/>
              <w:kinsoku/>
              <w:wordWrap/>
              <w:overflowPunct/>
              <w:topLinePunct w:val="0"/>
              <w:bidi w:val="0"/>
              <w:spacing w:beforeAutospacing="0" w:line="360" w:lineRule="exact"/>
              <w:jc w:val="center"/>
              <w:textAlignment w:val="center"/>
              <w:rPr>
                <w:rFonts w:hint="eastAsia" w:asciiTheme="minorEastAsia" w:hAnsiTheme="minorEastAsia" w:eastAsiaTheme="minorEastAsia" w:cstheme="minorEastAsia"/>
                <w:b w:val="0"/>
                <w:i/>
                <w:iCs/>
                <w:caps w:val="0"/>
                <w:color w:val="auto"/>
                <w:sz w:val="21"/>
                <w:szCs w:val="21"/>
                <w:highlight w:val="none"/>
                <w:lang w:val="en-US" w:eastAsia="zh-CN"/>
              </w:rPr>
            </w:pPr>
            <w:r>
              <w:rPr>
                <w:rFonts w:hint="eastAsia" w:asciiTheme="minorEastAsia" w:hAnsiTheme="minorEastAsia" w:eastAsiaTheme="minorEastAsia" w:cstheme="minorEastAsia"/>
                <w:i w:val="0"/>
                <w:iCs w:val="0"/>
                <w:color w:val="auto"/>
                <w:szCs w:val="21"/>
                <w:highlight w:val="none"/>
              </w:rPr>
              <w:t>（</w:t>
            </w:r>
            <w:r>
              <w:rPr>
                <w:rFonts w:hint="eastAsia" w:asciiTheme="minorEastAsia" w:hAnsiTheme="minorEastAsia" w:eastAsiaTheme="minorEastAsia" w:cstheme="minorEastAsia"/>
                <w:i w:val="0"/>
                <w:iCs w:val="0"/>
                <w:color w:val="auto"/>
                <w:szCs w:val="21"/>
                <w:highlight w:val="none"/>
                <w:lang w:val="en-US" w:eastAsia="zh-CN"/>
              </w:rPr>
              <w:t>4</w:t>
            </w:r>
            <w:r>
              <w:rPr>
                <w:rFonts w:hint="eastAsia" w:asciiTheme="minorEastAsia" w:hAnsiTheme="minorEastAsia" w:eastAsiaTheme="minorEastAsia" w:cstheme="minorEastAsia"/>
                <w:i w:val="0"/>
                <w:iCs w:val="0"/>
                <w:color w:val="auto"/>
                <w:szCs w:val="21"/>
                <w:highlight w:val="none"/>
              </w:rPr>
              <w:t>分）</w:t>
            </w:r>
          </w:p>
        </w:tc>
        <w:tc>
          <w:tcPr>
            <w:tcW w:w="6137" w:type="dxa"/>
            <w:gridSpan w:val="2"/>
            <w:tcBorders>
              <w:top w:val="single" w:color="auto" w:sz="4" w:space="0"/>
              <w:left w:val="single" w:color="auto" w:sz="4" w:space="0"/>
              <w:bottom w:val="single" w:color="auto" w:sz="4" w:space="0"/>
            </w:tcBorders>
            <w:vAlign w:val="center"/>
          </w:tcPr>
          <w:p w14:paraId="5ECF165E">
            <w:pPr>
              <w:pStyle w:val="121"/>
              <w:keepNext w:val="0"/>
              <w:pageBreakBefore w:val="0"/>
              <w:widowControl/>
              <w:kinsoku/>
              <w:wordWrap/>
              <w:overflowPunct/>
              <w:topLinePunct w:val="0"/>
              <w:bidi w:val="0"/>
              <w:spacing w:beforeAutospacing="0" w:line="360" w:lineRule="exact"/>
              <w:jc w:val="left"/>
              <w:rPr>
                <w:rFonts w:hint="default" w:ascii="宋体" w:hAnsi="宋体" w:eastAsia="宋体" w:cs="宋体"/>
                <w:color w:val="auto"/>
                <w:kern w:val="0"/>
                <w:szCs w:val="24"/>
                <w:highlight w:val="none"/>
                <w:lang w:val="en-US" w:eastAsia="zh-CN"/>
              </w:rPr>
            </w:pP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1</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报价人</w:t>
            </w:r>
            <w:r>
              <w:rPr>
                <w:rFonts w:hint="eastAsia" w:ascii="宋体" w:hAnsi="宋体" w:cs="宋体"/>
                <w:color w:val="auto"/>
                <w:kern w:val="0"/>
                <w:szCs w:val="24"/>
                <w:highlight w:val="none"/>
              </w:rPr>
              <w:t>满足资格</w:t>
            </w:r>
            <w:r>
              <w:rPr>
                <w:rFonts w:hint="eastAsia" w:ascii="宋体" w:hAnsi="宋体" w:cs="宋体"/>
                <w:color w:val="auto"/>
                <w:kern w:val="0"/>
                <w:szCs w:val="24"/>
                <w:highlight w:val="none"/>
                <w:lang w:val="en-US" w:eastAsia="zh-CN"/>
              </w:rPr>
              <w:t>业绩</w:t>
            </w:r>
            <w:r>
              <w:rPr>
                <w:rFonts w:hint="eastAsia" w:ascii="宋体" w:hAnsi="宋体" w:cs="宋体"/>
                <w:color w:val="auto"/>
                <w:kern w:val="0"/>
                <w:szCs w:val="24"/>
                <w:highlight w:val="none"/>
              </w:rPr>
              <w:t>要求</w:t>
            </w:r>
            <w:r>
              <w:rPr>
                <w:rFonts w:hint="eastAsia" w:ascii="宋体" w:hAnsi="宋体" w:cs="宋体"/>
                <w:color w:val="auto"/>
                <w:kern w:val="0"/>
                <w:szCs w:val="24"/>
                <w:highlight w:val="none"/>
                <w:lang w:val="en-US" w:eastAsia="zh-CN"/>
              </w:rPr>
              <w:t>的得2分</w:t>
            </w:r>
          </w:p>
          <w:p w14:paraId="30BE3EF7">
            <w:pPr>
              <w:pStyle w:val="121"/>
              <w:keepNext w:val="0"/>
              <w:pageBreakBefore w:val="0"/>
              <w:widowControl/>
              <w:kinsoku/>
              <w:wordWrap/>
              <w:overflowPunct/>
              <w:topLinePunct w:val="0"/>
              <w:bidi w:val="0"/>
              <w:spacing w:beforeAutospacing="0" w:line="360" w:lineRule="exact"/>
              <w:jc w:val="left"/>
              <w:rPr>
                <w:rFonts w:hint="eastAsia" w:asciiTheme="minorEastAsia" w:hAnsiTheme="minorEastAsia" w:eastAsiaTheme="minorEastAsia" w:cstheme="minorEastAsia"/>
                <w:bCs/>
                <w:color w:val="auto"/>
                <w:szCs w:val="21"/>
                <w:highlight w:val="none"/>
              </w:rPr>
            </w:pP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在满足资格</w:t>
            </w:r>
            <w:r>
              <w:rPr>
                <w:rFonts w:hint="eastAsia" w:ascii="宋体" w:hAnsi="宋体" w:cs="宋体"/>
                <w:color w:val="auto"/>
                <w:kern w:val="0"/>
                <w:szCs w:val="24"/>
                <w:highlight w:val="none"/>
                <w:lang w:val="en-US" w:eastAsia="zh-CN"/>
              </w:rPr>
              <w:t>业绩</w:t>
            </w:r>
            <w:r>
              <w:rPr>
                <w:rFonts w:hint="eastAsia" w:ascii="宋体" w:hAnsi="宋体" w:cs="宋体"/>
                <w:color w:val="auto"/>
                <w:kern w:val="0"/>
                <w:szCs w:val="24"/>
                <w:highlight w:val="none"/>
              </w:rPr>
              <w:t>要求</w:t>
            </w:r>
            <w:r>
              <w:rPr>
                <w:rFonts w:hint="eastAsia" w:ascii="宋体" w:hAnsi="宋体" w:cs="宋体"/>
                <w:color w:val="auto"/>
                <w:kern w:val="0"/>
                <w:szCs w:val="24"/>
                <w:highlight w:val="none"/>
                <w:lang w:val="en-US" w:eastAsia="zh-CN"/>
              </w:rPr>
              <w:t>的</w:t>
            </w:r>
            <w:r>
              <w:rPr>
                <w:rFonts w:hint="eastAsia" w:ascii="宋体" w:hAnsi="宋体" w:cs="宋体"/>
                <w:color w:val="auto"/>
                <w:kern w:val="0"/>
                <w:szCs w:val="24"/>
                <w:highlight w:val="none"/>
              </w:rPr>
              <w:t>基础上，</w:t>
            </w:r>
            <w:r>
              <w:rPr>
                <w:rFonts w:hint="eastAsia" w:asciiTheme="minorEastAsia" w:hAnsiTheme="minorEastAsia" w:eastAsiaTheme="minorEastAsia" w:cstheme="minorEastAsia"/>
                <w:bCs/>
                <w:color w:val="auto"/>
                <w:szCs w:val="21"/>
                <w:highlight w:val="none"/>
              </w:rPr>
              <w:t>报价人在</w:t>
            </w:r>
            <w:r>
              <w:rPr>
                <w:rFonts w:hint="eastAsia" w:ascii="宋体" w:hAnsi="宋体" w:cs="宋体"/>
                <w:color w:val="auto"/>
                <w:sz w:val="21"/>
                <w:szCs w:val="21"/>
                <w:highlight w:val="none"/>
                <w:u w:val="single"/>
                <w:lang w:val="en-US" w:eastAsia="zh-CN"/>
              </w:rPr>
              <w:t>2022</w:t>
            </w:r>
            <w:r>
              <w:rPr>
                <w:rFonts w:hint="eastAsia" w:ascii="宋体" w:hAnsi="宋体" w:eastAsia="宋体" w:cs="宋体"/>
                <w:color w:val="auto"/>
                <w:sz w:val="21"/>
                <w:szCs w:val="21"/>
                <w:highlight w:val="none"/>
                <w:lang w:val="en-US" w:eastAsia="zh-CN"/>
              </w:rPr>
              <w:t>年1月1日</w:t>
            </w:r>
            <w:r>
              <w:rPr>
                <w:rFonts w:hint="eastAsia" w:ascii="宋体" w:hAnsi="宋体" w:eastAsia="宋体" w:cs="宋体"/>
                <w:b w:val="0"/>
                <w:bCs w:val="0"/>
                <w:color w:val="auto"/>
                <w:sz w:val="21"/>
                <w:szCs w:val="21"/>
                <w:highlight w:val="none"/>
                <w:lang w:val="en-US" w:eastAsia="zh-CN"/>
              </w:rPr>
              <w:t>至竞争性比选文件发出之日</w:t>
            </w:r>
            <w:r>
              <w:rPr>
                <w:rFonts w:hint="eastAsia" w:ascii="宋体" w:hAnsi="宋体" w:cs="宋体"/>
                <w:color w:val="auto"/>
                <w:highlight w:val="none"/>
              </w:rPr>
              <w:t>止</w:t>
            </w:r>
            <w:r>
              <w:rPr>
                <w:rFonts w:hint="eastAsia" w:ascii="宋体" w:hAnsi="宋体" w:eastAsia="宋体" w:cs="宋体"/>
                <w:b w:val="0"/>
                <w:bCs w:val="0"/>
                <w:color w:val="auto"/>
                <w:sz w:val="21"/>
                <w:szCs w:val="21"/>
                <w:highlight w:val="none"/>
                <w:lang w:val="en-US" w:eastAsia="zh-CN"/>
              </w:rPr>
              <w:t>（以合同签订时间为准）</w:t>
            </w:r>
            <w:r>
              <w:rPr>
                <w:rFonts w:hint="eastAsia" w:ascii="宋体" w:hAnsi="宋体" w:cs="宋体"/>
                <w:b w:val="0"/>
                <w:bCs w:val="0"/>
                <w:color w:val="auto"/>
                <w:sz w:val="21"/>
                <w:szCs w:val="21"/>
                <w:highlight w:val="none"/>
                <w:lang w:val="en-US" w:eastAsia="zh-CN"/>
              </w:rPr>
              <w:t>额外</w:t>
            </w:r>
            <w:r>
              <w:rPr>
                <w:rFonts w:hint="eastAsia" w:ascii="宋体" w:hAnsi="宋体" w:eastAsia="宋体" w:cs="宋体"/>
                <w:b w:val="0"/>
                <w:bCs w:val="0"/>
                <w:color w:val="auto"/>
                <w:sz w:val="21"/>
                <w:szCs w:val="21"/>
                <w:highlight w:val="none"/>
                <w:lang w:val="en-US" w:eastAsia="zh-CN"/>
              </w:rPr>
              <w:t>承担</w:t>
            </w:r>
            <w:r>
              <w:rPr>
                <w:rFonts w:hint="eastAsia" w:ascii="宋体" w:hAnsi="宋体" w:cs="宋体"/>
                <w:b w:val="0"/>
                <w:bCs w:val="0"/>
                <w:color w:val="auto"/>
                <w:sz w:val="21"/>
                <w:szCs w:val="21"/>
                <w:highlight w:val="none"/>
                <w:lang w:val="en-US" w:eastAsia="zh-CN"/>
              </w:rPr>
              <w:t>过</w:t>
            </w:r>
            <w:r>
              <w:rPr>
                <w:rFonts w:hint="eastAsia" w:ascii="宋体" w:hAnsi="宋体" w:eastAsia="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val="en-US" w:eastAsia="zh-CN"/>
              </w:rPr>
              <w:t>项</w:t>
            </w:r>
            <w:r>
              <w:rPr>
                <w:rFonts w:hint="eastAsia" w:ascii="宋体" w:hAnsi="宋体" w:eastAsia="宋体" w:cs="宋体"/>
                <w:color w:val="auto"/>
                <w:sz w:val="21"/>
                <w:szCs w:val="21"/>
                <w:highlight w:val="none"/>
                <w:lang w:val="en-US" w:eastAsia="zh-CN"/>
              </w:rPr>
              <w:t>合同金额不低于</w:t>
            </w:r>
            <w:r>
              <w:rPr>
                <w:rFonts w:hint="eastAsia" w:ascii="宋体" w:hAnsi="宋体" w:cs="宋体"/>
                <w:color w:val="auto"/>
                <w:sz w:val="21"/>
                <w:szCs w:val="21"/>
                <w:highlight w:val="none"/>
                <w:u w:val="single"/>
                <w:lang w:val="en-US" w:eastAsia="zh-CN"/>
              </w:rPr>
              <w:t>40</w:t>
            </w:r>
            <w:r>
              <w:rPr>
                <w:rFonts w:hint="eastAsia" w:ascii="宋体" w:hAnsi="宋体" w:eastAsia="宋体" w:cs="宋体"/>
                <w:color w:val="auto"/>
                <w:sz w:val="21"/>
                <w:szCs w:val="21"/>
                <w:highlight w:val="none"/>
                <w:lang w:val="en-US" w:eastAsia="zh-CN"/>
              </w:rPr>
              <w:t>万元的</w:t>
            </w:r>
            <w:r>
              <w:rPr>
                <w:rFonts w:hint="eastAsia" w:ascii="宋体" w:hAnsi="宋体" w:cs="宋体"/>
                <w:color w:val="auto"/>
                <w:sz w:val="21"/>
                <w:szCs w:val="21"/>
                <w:highlight w:val="none"/>
                <w:lang w:val="en-US" w:eastAsia="zh-CN"/>
              </w:rPr>
              <w:t>数字化相关应用（平台或系统）的研究业绩</w:t>
            </w:r>
            <w:r>
              <w:rPr>
                <w:rFonts w:hint="eastAsia" w:ascii="宋体" w:hAnsi="宋体" w:cs="宋体"/>
                <w:b w:val="0"/>
                <w:bCs w:val="0"/>
                <w:color w:val="auto"/>
                <w:sz w:val="21"/>
                <w:szCs w:val="21"/>
                <w:highlight w:val="none"/>
                <w:lang w:val="en-US" w:eastAsia="zh-CN"/>
              </w:rPr>
              <w:t>，</w:t>
            </w:r>
            <w:r>
              <w:rPr>
                <w:rFonts w:hint="eastAsia" w:asciiTheme="minorEastAsia" w:hAnsiTheme="minorEastAsia" w:eastAsiaTheme="minorEastAsia" w:cstheme="minorEastAsia"/>
                <w:bCs/>
                <w:color w:val="auto"/>
                <w:szCs w:val="21"/>
                <w:highlight w:val="none"/>
              </w:rPr>
              <w:t>得</w:t>
            </w:r>
            <w:r>
              <w:rPr>
                <w:rFonts w:hint="eastAsia" w:asciiTheme="minorEastAsia" w:hAnsiTheme="minorEastAsia" w:eastAsiaTheme="minorEastAsia" w:cstheme="minorEastAsia"/>
                <w:bCs/>
                <w:color w:val="auto"/>
                <w:szCs w:val="21"/>
                <w:highlight w:val="none"/>
                <w:lang w:val="en-US" w:eastAsia="zh-CN"/>
              </w:rPr>
              <w:t>2</w:t>
            </w:r>
            <w:r>
              <w:rPr>
                <w:rFonts w:hint="eastAsia" w:asciiTheme="minorEastAsia" w:hAnsiTheme="minorEastAsia" w:eastAsiaTheme="minorEastAsia" w:cstheme="minorEastAsia"/>
                <w:bCs/>
                <w:color w:val="auto"/>
                <w:szCs w:val="21"/>
                <w:highlight w:val="none"/>
              </w:rPr>
              <w:t>分。</w:t>
            </w:r>
          </w:p>
          <w:p w14:paraId="33BF6329">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exact"/>
              <w:ind w:left="0" w:leftChars="0" w:firstLine="422" w:firstLineChars="200"/>
              <w:textAlignment w:val="auto"/>
              <w:rPr>
                <w:rFonts w:asciiTheme="minorEastAsia" w:hAnsiTheme="minorEastAsia" w:eastAsiaTheme="minorEastAsia" w:cstheme="minorEastAsia"/>
                <w:bCs/>
                <w:color w:val="auto"/>
                <w:szCs w:val="21"/>
                <w:highlight w:val="none"/>
              </w:rPr>
            </w:pPr>
            <w:r>
              <w:rPr>
                <w:rFonts w:hint="eastAsia"/>
                <w:b/>
                <w:bCs/>
                <w:color w:val="auto"/>
                <w:highlight w:val="none"/>
                <w:lang w:val="en-US" w:eastAsia="zh-CN"/>
              </w:rPr>
              <w:t>注：提供</w:t>
            </w:r>
            <w:r>
              <w:rPr>
                <w:b/>
                <w:bCs/>
                <w:color w:val="auto"/>
                <w:highlight w:val="none"/>
              </w:rPr>
              <w:t>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hAnsi="宋体"/>
                <w:b/>
                <w:bCs/>
                <w:color w:val="auto"/>
                <w:kern w:val="0"/>
                <w:szCs w:val="21"/>
                <w:highlight w:val="none"/>
              </w:rPr>
              <w:t>盖</w:t>
            </w:r>
            <w:r>
              <w:rPr>
                <w:rFonts w:hint="eastAsia" w:hAnsi="宋体"/>
                <w:b/>
                <w:bCs/>
                <w:color w:val="auto"/>
                <w:kern w:val="0"/>
                <w:szCs w:val="21"/>
                <w:highlight w:val="none"/>
                <w:lang w:val="en-US" w:eastAsia="zh-CN"/>
              </w:rPr>
              <w:t>单位公</w:t>
            </w:r>
            <w:r>
              <w:rPr>
                <w:rFonts w:hint="eastAsia" w:hAnsi="宋体"/>
                <w:b/>
                <w:bCs/>
                <w:color w:val="auto"/>
                <w:kern w:val="0"/>
                <w:szCs w:val="21"/>
                <w:highlight w:val="none"/>
              </w:rPr>
              <w:t>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tc>
        <w:tc>
          <w:tcPr>
            <w:tcW w:w="555" w:type="dxa"/>
            <w:tcBorders>
              <w:top w:val="single" w:color="auto" w:sz="4" w:space="0"/>
              <w:left w:val="single" w:color="auto" w:sz="4" w:space="0"/>
              <w:bottom w:val="single" w:color="auto" w:sz="4" w:space="0"/>
            </w:tcBorders>
            <w:vAlign w:val="center"/>
          </w:tcPr>
          <w:p w14:paraId="7C85E8F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32070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0" w:hRule="atLeast"/>
        </w:trPr>
        <w:tc>
          <w:tcPr>
            <w:tcW w:w="944" w:type="dxa"/>
            <w:tcBorders>
              <w:top w:val="single" w:color="auto" w:sz="4" w:space="0"/>
              <w:right w:val="single" w:color="auto" w:sz="4" w:space="0"/>
            </w:tcBorders>
            <w:vAlign w:val="center"/>
          </w:tcPr>
          <w:p w14:paraId="65B170C3">
            <w:pPr>
              <w:keepNext w:val="0"/>
              <w:pageBreakBefore w:val="0"/>
              <w:kinsoku/>
              <w:wordWrap/>
              <w:overflowPunct/>
              <w:topLinePunct w:val="0"/>
              <w:bidi w:val="0"/>
              <w:spacing w:beforeAutospacing="0"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41B9963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（3）</w:t>
            </w:r>
          </w:p>
        </w:tc>
        <w:tc>
          <w:tcPr>
            <w:tcW w:w="1025" w:type="dxa"/>
            <w:tcBorders>
              <w:top w:val="single" w:color="auto" w:sz="4" w:space="0"/>
              <w:left w:val="single" w:color="auto" w:sz="4" w:space="0"/>
              <w:right w:val="single" w:color="auto" w:sz="4" w:space="0"/>
            </w:tcBorders>
            <w:vAlign w:val="center"/>
          </w:tcPr>
          <w:p w14:paraId="1D99526B">
            <w:pPr>
              <w:pStyle w:val="38"/>
              <w:keepNext w:val="0"/>
              <w:pageBreakBefore w:val="0"/>
              <w:widowControl w:val="0"/>
              <w:kinsoku/>
              <w:wordWrap/>
              <w:overflowPunct/>
              <w:topLinePunct w:val="0"/>
              <w:bidi w:val="0"/>
              <w:adjustRightInd w:val="0"/>
              <w:spacing w:before="0" w:beforeAutospacing="0" w:after="0" w:afterAutospacing="0" w:line="360" w:lineRule="exact"/>
              <w:jc w:val="center"/>
              <w:textAlignment w:val="baseline"/>
              <w:rPr>
                <w:rFonts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评标价（70分）</w:t>
            </w:r>
          </w:p>
        </w:tc>
        <w:tc>
          <w:tcPr>
            <w:tcW w:w="1144" w:type="dxa"/>
            <w:tcBorders>
              <w:top w:val="single" w:color="auto" w:sz="4" w:space="0"/>
              <w:left w:val="single" w:color="auto" w:sz="4" w:space="0"/>
              <w:right w:val="single" w:color="auto" w:sz="4" w:space="0"/>
            </w:tcBorders>
            <w:vAlign w:val="center"/>
          </w:tcPr>
          <w:p w14:paraId="04B51FD4">
            <w:pPr>
              <w:pStyle w:val="38"/>
              <w:keepNext w:val="0"/>
              <w:pageBreakBefore w:val="0"/>
              <w:widowControl w:val="0"/>
              <w:kinsoku/>
              <w:wordWrap/>
              <w:overflowPunct/>
              <w:topLinePunct w:val="0"/>
              <w:bidi w:val="0"/>
              <w:adjustRightInd w:val="0"/>
              <w:spacing w:before="0" w:beforeAutospacing="0" w:after="0" w:afterAutospacing="0" w:line="360" w:lineRule="exact"/>
              <w:jc w:val="center"/>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6137" w:type="dxa"/>
            <w:gridSpan w:val="2"/>
            <w:tcBorders>
              <w:top w:val="single" w:color="auto" w:sz="4" w:space="0"/>
              <w:left w:val="single" w:color="auto" w:sz="4" w:space="0"/>
              <w:right w:val="single" w:color="auto" w:sz="4" w:space="0"/>
            </w:tcBorders>
            <w:vAlign w:val="center"/>
          </w:tcPr>
          <w:p w14:paraId="5E5086A6">
            <w:pPr>
              <w:pStyle w:val="38"/>
              <w:keepNext w:val="0"/>
              <w:pageBreakBefore w:val="0"/>
              <w:widowControl w:val="0"/>
              <w:kinsoku/>
              <w:wordWrap/>
              <w:overflowPunct/>
              <w:topLinePunct w:val="0"/>
              <w:bidi w:val="0"/>
              <w:adjustRightInd w:val="0"/>
              <w:spacing w:before="0" w:beforeAutospacing="0" w:after="0" w:afterAutospacing="0" w:line="360" w:lineRule="exact"/>
              <w:ind w:firstLine="420" w:firstLineChars="200"/>
              <w:jc w:val="both"/>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rPr>
              <w:t>所有通过初步评审的有效投标报价首先得基本分70分，然后与评标基准价相比较，每上浮1%扣0.</w:t>
            </w:r>
            <w:r>
              <w:rPr>
                <w:rFonts w:hint="eastAsia" w:asciiTheme="minorEastAsia" w:hAnsiTheme="minorEastAsia" w:eastAsiaTheme="minorEastAsia" w:cstheme="minorEastAsia"/>
                <w:color w:val="auto"/>
                <w:kern w:val="2"/>
                <w:sz w:val="21"/>
                <w:szCs w:val="21"/>
                <w:highlight w:val="none"/>
                <w:lang w:val="en-US" w:eastAsia="zh-CN"/>
                <w:woUserID w:val="1"/>
              </w:rPr>
              <w:t>5</w:t>
            </w:r>
            <w:r>
              <w:rPr>
                <w:rFonts w:hint="eastAsia" w:asciiTheme="minorEastAsia" w:hAnsiTheme="minorEastAsia" w:eastAsiaTheme="minorEastAsia" w:cstheme="minorEastAsia"/>
                <w:color w:val="auto"/>
                <w:kern w:val="2"/>
                <w:sz w:val="21"/>
                <w:szCs w:val="21"/>
                <w:highlight w:val="none"/>
              </w:rPr>
              <w:t>分，每下浮1%扣0.2</w:t>
            </w:r>
            <w:r>
              <w:rPr>
                <w:rFonts w:hint="eastAsia" w:asciiTheme="minorEastAsia" w:hAnsiTheme="minorEastAsia" w:eastAsiaTheme="minorEastAsia" w:cstheme="minorEastAsia"/>
                <w:color w:val="auto"/>
                <w:kern w:val="2"/>
                <w:sz w:val="21"/>
                <w:szCs w:val="21"/>
                <w:highlight w:val="none"/>
                <w:lang w:val="en-US" w:eastAsia="zh-CN"/>
              </w:rPr>
              <w:t>5</w:t>
            </w:r>
            <w:r>
              <w:rPr>
                <w:rFonts w:hint="eastAsia" w:asciiTheme="minorEastAsia" w:hAnsiTheme="minorEastAsia" w:eastAsiaTheme="minorEastAsia" w:cstheme="minorEastAsia"/>
                <w:color w:val="auto"/>
                <w:kern w:val="2"/>
                <w:sz w:val="21"/>
                <w:szCs w:val="21"/>
                <w:highlight w:val="none"/>
              </w:rPr>
              <w:t>分，</w:t>
            </w:r>
            <w:r>
              <w:rPr>
                <w:rFonts w:hint="eastAsia" w:asciiTheme="minorEastAsia" w:hAnsiTheme="minorEastAsia" w:eastAsiaTheme="minorEastAsia" w:cstheme="minorEastAsia"/>
                <w:color w:val="auto"/>
                <w:kern w:val="2"/>
                <w:sz w:val="21"/>
                <w:szCs w:val="21"/>
                <w:highlight w:val="none"/>
                <w:lang w:val="en-US" w:eastAsia="zh-CN"/>
              </w:rPr>
              <w:t>扣完为止</w:t>
            </w:r>
            <w:r>
              <w:rPr>
                <w:rFonts w:hint="eastAsia" w:asciiTheme="minorEastAsia" w:hAnsiTheme="minorEastAsia" w:eastAsiaTheme="minorEastAsia" w:cstheme="minorEastAsia"/>
                <w:color w:val="auto"/>
                <w:kern w:val="2"/>
                <w:sz w:val="21"/>
                <w:szCs w:val="21"/>
                <w:highlight w:val="none"/>
              </w:rPr>
              <w:t>。按插入法计算得分。以上计算取小数点后两位，第三位四舍五入。</w:t>
            </w:r>
          </w:p>
        </w:tc>
        <w:tc>
          <w:tcPr>
            <w:tcW w:w="555" w:type="dxa"/>
            <w:tcBorders>
              <w:top w:val="single" w:color="auto" w:sz="4" w:space="0"/>
              <w:left w:val="single" w:color="auto" w:sz="4" w:space="0"/>
              <w:bottom w:val="single" w:color="auto" w:sz="4" w:space="0"/>
            </w:tcBorders>
            <w:vAlign w:val="center"/>
          </w:tcPr>
          <w:p w14:paraId="12BD46C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lang w:bidi="ar"/>
              </w:rPr>
            </w:pPr>
          </w:p>
        </w:tc>
      </w:tr>
      <w:tr w14:paraId="7D4DE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55A583CC">
            <w:pPr>
              <w:pStyle w:val="38"/>
              <w:keepNext w:val="0"/>
              <w:pageBreakBefore w:val="0"/>
              <w:widowControl w:val="0"/>
              <w:kinsoku/>
              <w:wordWrap/>
              <w:overflowPunct/>
              <w:topLinePunct w:val="0"/>
              <w:bidi w:val="0"/>
              <w:adjustRightInd w:val="0"/>
              <w:spacing w:before="0" w:beforeAutospacing="0" w:after="0" w:afterAutospacing="0" w:line="360" w:lineRule="exact"/>
              <w:jc w:val="center"/>
              <w:textAlignment w:val="baseline"/>
              <w:rPr>
                <w:rFonts w:asciiTheme="minorEastAsia" w:hAnsiTheme="minorEastAsia" w:eastAsiaTheme="minorEastAsia" w:cstheme="minorEastAsia"/>
                <w:b/>
                <w:color w:val="auto"/>
                <w:kern w:val="2"/>
                <w:sz w:val="21"/>
                <w:szCs w:val="21"/>
                <w:highlight w:val="none"/>
                <w:lang w:bidi="ar"/>
              </w:rPr>
            </w:pPr>
            <w:r>
              <w:rPr>
                <w:rFonts w:hint="eastAsia" w:ascii="宋体" w:hAnsi="宋体" w:cs="宋体"/>
                <w:color w:val="auto"/>
                <w:sz w:val="21"/>
                <w:szCs w:val="21"/>
                <w:highlight w:val="none"/>
              </w:rPr>
              <w:t>3.2</w:t>
            </w:r>
          </w:p>
        </w:tc>
        <w:tc>
          <w:tcPr>
            <w:tcW w:w="8861" w:type="dxa"/>
            <w:gridSpan w:val="5"/>
            <w:tcBorders>
              <w:top w:val="single" w:color="auto" w:sz="4" w:space="0"/>
              <w:left w:val="single" w:color="auto" w:sz="4" w:space="0"/>
              <w:bottom w:val="single" w:color="auto" w:sz="4" w:space="0"/>
            </w:tcBorders>
            <w:vAlign w:val="bottom"/>
          </w:tcPr>
          <w:p w14:paraId="25C3A3AF">
            <w:pPr>
              <w:pStyle w:val="38"/>
              <w:keepNext w:val="0"/>
              <w:pageBreakBefore w:val="0"/>
              <w:widowControl w:val="0"/>
              <w:kinsoku/>
              <w:wordWrap/>
              <w:overflowPunct/>
              <w:topLinePunct w:val="0"/>
              <w:bidi w:val="0"/>
              <w:adjustRightInd w:val="0"/>
              <w:spacing w:before="0" w:beforeAutospacing="0" w:after="0" w:afterAutospacing="0" w:line="360" w:lineRule="exact"/>
              <w:jc w:val="both"/>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补充正文：</w:t>
            </w:r>
          </w:p>
          <w:p w14:paraId="1436259D">
            <w:pPr>
              <w:pStyle w:val="38"/>
              <w:keepNext w:val="0"/>
              <w:pageBreakBefore w:val="0"/>
              <w:widowControl w:val="0"/>
              <w:kinsoku/>
              <w:wordWrap/>
              <w:overflowPunct/>
              <w:topLinePunct w:val="0"/>
              <w:bidi w:val="0"/>
              <w:adjustRightInd w:val="0"/>
              <w:spacing w:before="0" w:beforeAutospacing="0" w:after="0" w:afterAutospacing="0" w:line="36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中标候选人推荐办法：</w:t>
            </w:r>
          </w:p>
          <w:p w14:paraId="636AD921">
            <w:pPr>
              <w:pStyle w:val="38"/>
              <w:keepNext w:val="0"/>
              <w:pageBreakBefore w:val="0"/>
              <w:widowControl w:val="0"/>
              <w:kinsoku/>
              <w:wordWrap/>
              <w:overflowPunct/>
              <w:topLinePunct w:val="0"/>
              <w:bidi w:val="0"/>
              <w:adjustRightInd w:val="0"/>
              <w:spacing w:before="0" w:beforeAutospacing="0" w:after="0" w:afterAutospacing="0" w:line="36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1.对通过评审的报价人按照综合得分（商务得分+技术得分+报价得分）由高到低排序。</w:t>
            </w:r>
          </w:p>
          <w:p w14:paraId="23E4B2CC">
            <w:pPr>
              <w:keepNext w:val="0"/>
              <w:pageBreakBefore w:val="0"/>
              <w:kinsoku/>
              <w:wordWrap/>
              <w:overflowPunct/>
              <w:topLinePunct w:val="0"/>
              <w:bidi w:val="0"/>
              <w:spacing w:beforeAutospacing="0" w:line="360" w:lineRule="exact"/>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szCs w:val="21"/>
                <w:highlight w:val="none"/>
                <w:lang w:bidi="ar"/>
              </w:rPr>
              <w:t>2.按评标综合得分由高到低排序推荐2名中标候选人。</w:t>
            </w:r>
          </w:p>
        </w:tc>
      </w:tr>
    </w:tbl>
    <w:p w14:paraId="1956ECF1">
      <w:pPr>
        <w:rPr>
          <w:color w:val="auto"/>
          <w:highlight w:val="none"/>
        </w:rPr>
      </w:pPr>
    </w:p>
    <w:p w14:paraId="5B12351E">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67A3338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26" w:name="_Toc26037"/>
      <w:bookmarkStart w:id="127" w:name="_Toc19268"/>
      <w:bookmarkStart w:id="128" w:name="_Toc19953"/>
      <w:bookmarkStart w:id="129" w:name="_Toc9238"/>
      <w:r>
        <w:rPr>
          <w:rFonts w:hint="eastAsia" w:ascii="宋体" w:hAnsi="宋体" w:cs="宋体"/>
          <w:color w:val="auto"/>
          <w:szCs w:val="21"/>
          <w:highlight w:val="none"/>
        </w:rPr>
        <w:t>1.  评标方法</w:t>
      </w:r>
      <w:bookmarkEnd w:id="126"/>
      <w:bookmarkEnd w:id="127"/>
      <w:bookmarkEnd w:id="128"/>
      <w:bookmarkEnd w:id="129"/>
    </w:p>
    <w:p w14:paraId="3F98F38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实质性要求的</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14:paraId="46F03E1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0" w:name="_Toc11425"/>
      <w:bookmarkStart w:id="131" w:name="_Toc31759"/>
      <w:bookmarkStart w:id="132" w:name="_Toc8753"/>
      <w:bookmarkStart w:id="133" w:name="_Toc22200"/>
      <w:r>
        <w:rPr>
          <w:rFonts w:hint="eastAsia" w:ascii="宋体" w:hAnsi="宋体" w:cs="宋体"/>
          <w:color w:val="auto"/>
          <w:szCs w:val="21"/>
          <w:highlight w:val="none"/>
        </w:rPr>
        <w:t>2.  评审标准</w:t>
      </w:r>
      <w:bookmarkEnd w:id="130"/>
      <w:bookmarkEnd w:id="131"/>
      <w:bookmarkEnd w:id="132"/>
      <w:bookmarkEnd w:id="133"/>
    </w:p>
    <w:p w14:paraId="244EB7B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14:paraId="7FD627C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14:paraId="6C45763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14:paraId="3C29E4B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14:paraId="628562D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14:paraId="0BF5801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14:paraId="719ED9C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14:paraId="03A06B9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14:paraId="2473BAF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14:paraId="13C16AA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14:paraId="133358C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14:paraId="161DD63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14:paraId="3E8128A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14:paraId="6E7E179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14:paraId="5F6B8F2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14:paraId="7DCE86E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14:paraId="0ADD176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）投标报价评分标准：见评标办法前附表。</w:t>
      </w:r>
    </w:p>
    <w:p w14:paraId="1CFB795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34" w:name="_Toc8345"/>
      <w:bookmarkStart w:id="135" w:name="_Toc5245"/>
      <w:bookmarkStart w:id="136" w:name="_Toc23638"/>
      <w:bookmarkStart w:id="137" w:name="_Toc11564"/>
      <w:r>
        <w:rPr>
          <w:rFonts w:hint="eastAsia" w:ascii="宋体" w:hAnsi="宋体" w:cs="宋体"/>
          <w:color w:val="auto"/>
          <w:szCs w:val="21"/>
          <w:highlight w:val="none"/>
        </w:rPr>
        <w:t>3.  评标程序</w:t>
      </w:r>
      <w:bookmarkEnd w:id="134"/>
      <w:bookmarkEnd w:id="135"/>
      <w:bookmarkEnd w:id="136"/>
      <w:bookmarkEnd w:id="137"/>
    </w:p>
    <w:p w14:paraId="7E4A599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14:paraId="65002CF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进行初步评审。有一项不符合评审标准的，作否决投标处理。（适用于未进行资格预审的）</w:t>
      </w:r>
    </w:p>
    <w:p w14:paraId="0908EF1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资格预审申请文件的内容发生重大变化时，评标委员会依据本章第2.1.1项规定的标准对其更新资料进行评审。（适用于已进行资格预审的）</w:t>
      </w:r>
    </w:p>
    <w:p w14:paraId="35E2ADB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14:paraId="22A0C33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没有对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的实质性要求和条件作出响应，或者对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的偏差超出</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规定的偏差范围或最高项数；</w:t>
      </w:r>
    </w:p>
    <w:p w14:paraId="4A70F63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14:paraId="41A677A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50684C1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14:paraId="37999D7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中的大写金额与小写金额不一致的，以大写金额为准；</w:t>
      </w:r>
    </w:p>
    <w:p w14:paraId="4205389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14:paraId="4FD20F7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14:paraId="036EF44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14:paraId="21FB0CF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14:paraId="4053B9C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14:paraId="2832CCB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14:paraId="05E8FB6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14:paraId="5953D7A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（3）按本章第 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）目规定的评审因素和分值对投标报价计算出得分 C；</w:t>
      </w:r>
    </w:p>
    <w:p w14:paraId="3B27688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14:paraId="08468EB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14:paraId="1902142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的澄清</w:t>
      </w:r>
    </w:p>
    <w:p w14:paraId="48E0D46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14:paraId="2775984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的范围且不得改变</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的实质性内容，并构成</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的组成部分。</w:t>
      </w:r>
    </w:p>
    <w:p w14:paraId="6F4D299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14:paraId="2D98B39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14:paraId="6A3D138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w:t>
      </w:r>
      <w:r>
        <w:rPr>
          <w:rFonts w:hint="eastAsia" w:ascii="宋体" w:hAnsi="宋体" w:cs="宋体"/>
          <w:color w:val="auto"/>
          <w:szCs w:val="21"/>
          <w:highlight w:val="none"/>
          <w:lang w:val="en-US" w:eastAsia="zh-CN"/>
        </w:rPr>
        <w:t>2名</w:t>
      </w:r>
      <w:r>
        <w:rPr>
          <w:rFonts w:hint="eastAsia" w:ascii="宋体" w:hAnsi="宋体" w:cs="宋体"/>
          <w:color w:val="auto"/>
          <w:szCs w:val="21"/>
          <w:highlight w:val="none"/>
        </w:rPr>
        <w:t>中标候选人，并标明排序。</w:t>
      </w:r>
    </w:p>
    <w:p w14:paraId="3B24E820">
      <w:pPr>
        <w:ind w:firstLine="420" w:firstLineChars="200"/>
        <w:rPr>
          <w:rStyle w:val="83"/>
          <w:rFonts w:hint="eastAsia"/>
          <w:color w:val="auto"/>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14:paraId="3CDC2E7A">
      <w:pPr>
        <w:rPr>
          <w:rStyle w:val="83"/>
          <w:rFonts w:hint="eastAsia"/>
          <w:color w:val="auto"/>
          <w:highlight w:val="none"/>
        </w:rPr>
      </w:pPr>
      <w:r>
        <w:rPr>
          <w:rStyle w:val="83"/>
          <w:rFonts w:hint="eastAsia"/>
          <w:color w:val="auto"/>
          <w:highlight w:val="none"/>
        </w:rPr>
        <w:br w:type="page"/>
      </w:r>
    </w:p>
    <w:p w14:paraId="583DFA38">
      <w:pPr>
        <w:pStyle w:val="2"/>
        <w:spacing w:before="0" w:after="0" w:line="360" w:lineRule="auto"/>
        <w:jc w:val="center"/>
        <w:rPr>
          <w:color w:val="auto"/>
          <w:highlight w:val="none"/>
        </w:rPr>
      </w:pPr>
      <w:bookmarkStart w:id="138" w:name="_Toc246996353"/>
      <w:bookmarkStart w:id="139" w:name="_Toc514858707"/>
      <w:bookmarkStart w:id="140" w:name="_Toc152045785"/>
      <w:bookmarkStart w:id="141" w:name="_Toc179632804"/>
      <w:bookmarkStart w:id="142" w:name="_Toc447827049"/>
      <w:bookmarkStart w:id="143" w:name="_Toc247085870"/>
      <w:bookmarkStart w:id="144" w:name="_Toc513633964"/>
      <w:bookmarkStart w:id="145" w:name="_Toc503951043"/>
      <w:bookmarkStart w:id="146" w:name="_Toc246997096"/>
      <w:bookmarkStart w:id="147" w:name="_Toc2000411"/>
      <w:bookmarkStart w:id="148" w:name="_Toc144974854"/>
      <w:bookmarkStart w:id="149" w:name="_Toc152042574"/>
      <w:bookmarkStart w:id="150" w:name="_Toc31196"/>
      <w:bookmarkStart w:id="151" w:name="_Toc247085872"/>
      <w:bookmarkStart w:id="152" w:name="_Toc144974855"/>
      <w:bookmarkStart w:id="153" w:name="_Toc246997097"/>
      <w:bookmarkStart w:id="154" w:name="_Toc246996354"/>
      <w:bookmarkStart w:id="155" w:name="_Toc152042575"/>
      <w:bookmarkStart w:id="156" w:name="_Toc179632806"/>
      <w:bookmarkStart w:id="157" w:name="_Toc152045786"/>
      <w:r>
        <w:rPr>
          <w:rFonts w:hint="eastAsia" w:ascii="宋体" w:hAnsi="宋体" w:cs="宋体"/>
          <w:color w:val="auto"/>
          <w:highlight w:val="none"/>
        </w:rPr>
        <w:t>第</w:t>
      </w:r>
      <w:r>
        <w:rPr>
          <w:rFonts w:hint="eastAsia" w:ascii="宋体" w:hAnsi="宋体" w:cs="宋体"/>
          <w:color w:val="auto"/>
          <w:highlight w:val="none"/>
          <w:lang w:val="en-US" w:eastAsia="zh-CN"/>
        </w:rPr>
        <w:t>四</w:t>
      </w:r>
      <w:r>
        <w:rPr>
          <w:rFonts w:hint="eastAsia" w:ascii="宋体" w:hAnsi="宋体" w:cs="宋体"/>
          <w:color w:val="auto"/>
          <w:highlight w:val="none"/>
        </w:rPr>
        <w:t xml:space="preserve">章  </w:t>
      </w:r>
      <w:bookmarkEnd w:id="138"/>
      <w:bookmarkEnd w:id="139"/>
      <w:bookmarkEnd w:id="140"/>
      <w:bookmarkEnd w:id="141"/>
      <w:bookmarkEnd w:id="142"/>
      <w:bookmarkEnd w:id="143"/>
      <w:bookmarkEnd w:id="144"/>
      <w:bookmarkEnd w:id="145"/>
      <w:bookmarkEnd w:id="146"/>
      <w:bookmarkEnd w:id="147"/>
      <w:bookmarkEnd w:id="148"/>
      <w:bookmarkEnd w:id="149"/>
      <w:r>
        <w:rPr>
          <w:rFonts w:hint="eastAsia" w:ascii="宋体" w:hAnsi="宋体" w:cs="宋体"/>
          <w:color w:val="auto"/>
          <w:highlight w:val="none"/>
          <w:lang w:val="en-US" w:eastAsia="zh-CN"/>
        </w:rPr>
        <w:t>服务要求</w:t>
      </w:r>
      <w:bookmarkEnd w:id="150"/>
    </w:p>
    <w:p w14:paraId="4C8C979F">
      <w:pPr>
        <w:rPr>
          <w:rFonts w:hint="default"/>
          <w:color w:val="auto"/>
          <w:highlight w:val="none"/>
          <w:lang w:val="en-US" w:eastAsia="zh-CN"/>
        </w:rPr>
      </w:pPr>
    </w:p>
    <w:p w14:paraId="559D6A52">
      <w:pPr>
        <w:rPr>
          <w:rFonts w:hint="default"/>
          <w:color w:val="auto"/>
          <w:highlight w:val="none"/>
          <w:lang w:val="en-US" w:eastAsia="zh-CN"/>
        </w:rPr>
      </w:pPr>
      <w:r>
        <w:rPr>
          <w:rFonts w:hint="eastAsia"/>
          <w:b/>
          <w:bCs/>
          <w:color w:val="auto"/>
          <w:highlight w:val="none"/>
          <w:lang w:val="en-US" w:eastAsia="zh-CN"/>
        </w:rPr>
        <w:t>一、</w:t>
      </w:r>
      <w:r>
        <w:rPr>
          <w:rFonts w:hint="default"/>
          <w:b/>
          <w:bCs/>
          <w:color w:val="auto"/>
          <w:highlight w:val="none"/>
          <w:lang w:val="en-US" w:eastAsia="zh-CN"/>
        </w:rPr>
        <w:t>模块功能及性能描述</w:t>
      </w:r>
      <w:r>
        <w:rPr>
          <w:rFonts w:hint="eastAsia"/>
          <w:b/>
          <w:bCs/>
          <w:color w:val="auto"/>
          <w:highlight w:val="none"/>
          <w:lang w:val="en-US" w:eastAsia="zh-CN"/>
        </w:rPr>
        <w:t>：</w:t>
      </w:r>
    </w:p>
    <w:bookmarkEnd w:id="151"/>
    <w:bookmarkEnd w:id="152"/>
    <w:bookmarkEnd w:id="153"/>
    <w:bookmarkEnd w:id="154"/>
    <w:bookmarkEnd w:id="155"/>
    <w:bookmarkEnd w:id="156"/>
    <w:bookmarkEnd w:id="157"/>
    <w:p w14:paraId="2EF00445">
      <w:pPr>
        <w:pStyle w:val="170"/>
        <w:numPr>
          <w:ilvl w:val="0"/>
          <w:numId w:val="3"/>
        </w:numPr>
        <w:spacing w:line="400" w:lineRule="exact"/>
        <w:ind w:firstLineChars="0"/>
        <w:rPr>
          <w:rFonts w:ascii="宋体" w:hAnsi="宋体" w:cs="宋体"/>
          <w:color w:val="auto"/>
          <w:kern w:val="0"/>
          <w:szCs w:val="21"/>
          <w:highlight w:val="none"/>
        </w:rPr>
      </w:pPr>
      <w:bookmarkStart w:id="158" w:name="_Toc514430114"/>
      <w:bookmarkStart w:id="159" w:name="_Toc514858708"/>
      <w:bookmarkStart w:id="160" w:name="_Toc2000412"/>
      <w:bookmarkStart w:id="161" w:name="_Toc246997098"/>
      <w:bookmarkStart w:id="162" w:name="_Toc507320039"/>
      <w:bookmarkStart w:id="163" w:name="_Toc247085873"/>
      <w:bookmarkStart w:id="164" w:name="_Toc246996355"/>
      <w:bookmarkStart w:id="165" w:name="_Toc179632807"/>
      <w:bookmarkStart w:id="166" w:name="_Toc144974856"/>
      <w:bookmarkStart w:id="167" w:name="_Toc152045787"/>
      <w:bookmarkStart w:id="168" w:name="_Toc152042576"/>
      <w:r>
        <w:rPr>
          <w:rFonts w:hint="eastAsia" w:ascii="宋体" w:hAnsi="宋体" w:cs="宋体"/>
          <w:color w:val="auto"/>
          <w:kern w:val="0"/>
          <w:szCs w:val="21"/>
          <w:highlight w:val="none"/>
        </w:rPr>
        <w:t>高速公路隧道监控摄像机群下的特殊类型车辆识别/重识别算法模块</w:t>
      </w:r>
    </w:p>
    <w:p w14:paraId="3A2CD0A7">
      <w:pPr>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本模块将实现一套能够在不超过30台连续隧道摄像头群下，准确识别和分类隧道内三类目标特殊类型车辆（大客车、大货车、油罐车）的算法，确保在各种交通状况下都能保持高准确率。通过深度学习模型对车辆进行分类，并针对这些特殊车辆设计专门的识别/重识别策略，在测试数据集中平均准确率(mAP, mean Average Precision)达到</w:t>
      </w:r>
      <w:r>
        <w:rPr>
          <w:rFonts w:hint="eastAsia" w:ascii="宋体" w:hAnsi="宋体" w:cs="宋体"/>
          <w:color w:val="auto"/>
          <w:kern w:val="0"/>
          <w:szCs w:val="21"/>
          <w:highlight w:val="none"/>
          <w:lang w:val="en-US" w:eastAsia="zh-CN"/>
        </w:rPr>
        <w:t>70</w:t>
      </w:r>
      <w:r>
        <w:rPr>
          <w:rFonts w:hint="eastAsia" w:ascii="宋体" w:hAnsi="宋体" w:cs="宋体"/>
          <w:color w:val="auto"/>
          <w:kern w:val="0"/>
          <w:szCs w:val="21"/>
          <w:highlight w:val="none"/>
        </w:rPr>
        <w:t>%。</w:t>
      </w:r>
    </w:p>
    <w:p w14:paraId="6E28C826">
      <w:pPr>
        <w:pStyle w:val="170"/>
        <w:numPr>
          <w:ilvl w:val="0"/>
          <w:numId w:val="4"/>
        </w:numPr>
        <w:spacing w:line="400" w:lineRule="exact"/>
        <w:ind w:firstLineChars="0"/>
        <w:rPr>
          <w:rFonts w:ascii="宋体" w:hAnsi="宋体" w:cs="宋体"/>
          <w:color w:val="auto"/>
          <w:kern w:val="0"/>
          <w:szCs w:val="21"/>
          <w:highlight w:val="none"/>
        </w:rPr>
      </w:pPr>
      <w:r>
        <w:rPr>
          <w:rFonts w:hint="eastAsia" w:ascii="宋体" w:hAnsi="宋体" w:cs="宋体"/>
          <w:color w:val="auto"/>
          <w:kern w:val="0"/>
          <w:szCs w:val="21"/>
          <w:highlight w:val="none"/>
        </w:rPr>
        <w:t>基于特殊类型车辆识别/重识别算法的高速公路隧道内行驶车辆计数统计算法模块</w:t>
      </w:r>
    </w:p>
    <w:p w14:paraId="2AE99117">
      <w:pPr>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本模块将前序识别/重识别算法与进/出隧道的目标特殊车辆进行识别整合，围绕识别结果建立并实时更新底库，实现在给定时间周期内对目标特殊车辆的计数统计功能并完成对于统计结果实时访问的支持。在测试数据集中围绕所有三种目标特种车辆的平均计数准确率到达</w:t>
      </w:r>
      <w:r>
        <w:rPr>
          <w:rFonts w:hint="eastAsia" w:ascii="宋体" w:hAnsi="宋体" w:cs="宋体"/>
          <w:color w:val="auto"/>
          <w:kern w:val="0"/>
          <w:szCs w:val="21"/>
          <w:highlight w:val="none"/>
          <w:lang w:val="en-US" w:eastAsia="zh-CN"/>
        </w:rPr>
        <w:t>70</w:t>
      </w:r>
      <w:r>
        <w:rPr>
          <w:rFonts w:hint="eastAsia" w:ascii="宋体" w:hAnsi="宋体" w:cs="宋体"/>
          <w:color w:val="auto"/>
          <w:kern w:val="0"/>
          <w:szCs w:val="21"/>
          <w:highlight w:val="none"/>
        </w:rPr>
        <w:t>%（以1.5倍平均隧道通过时间为单位计数采样时长，统计8小时内共20次时段不重叠的采样）。</w:t>
      </w:r>
    </w:p>
    <w:p w14:paraId="288BFDC4">
      <w:pPr>
        <w:pStyle w:val="170"/>
        <w:numPr>
          <w:ilvl w:val="0"/>
          <w:numId w:val="4"/>
        </w:numPr>
        <w:spacing w:line="400" w:lineRule="exact"/>
        <w:ind w:firstLineChars="0"/>
        <w:rPr>
          <w:rFonts w:ascii="宋体" w:hAnsi="宋体" w:cs="宋体"/>
          <w:color w:val="auto"/>
          <w:kern w:val="0"/>
          <w:szCs w:val="21"/>
          <w:highlight w:val="none"/>
        </w:rPr>
      </w:pPr>
      <w:r>
        <w:rPr>
          <w:rFonts w:hint="eastAsia" w:ascii="宋体" w:hAnsi="宋体" w:cs="宋体"/>
          <w:color w:val="auto"/>
          <w:kern w:val="0"/>
          <w:szCs w:val="21"/>
          <w:highlight w:val="none"/>
        </w:rPr>
        <w:t>高速公路隧道监控摄像机群下的监控演示软件模块</w:t>
      </w:r>
    </w:p>
    <w:p w14:paraId="2F6C48D7">
      <w:pPr>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本模块设计并开发一个高性能的监控系统，该系统能够处理大量视频数据，在</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秒内完成车辆计数，并力争算法推理时间不超过</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秒。同时，系统需要具备良好的硬件兼容性，能够在不超过4块GPU（如英伟达</w:t>
      </w:r>
      <w:r>
        <w:rPr>
          <w:rFonts w:hint="eastAsia" w:ascii="宋体" w:hAnsi="宋体" w:cs="宋体"/>
          <w:color w:val="auto"/>
          <w:kern w:val="0"/>
          <w:szCs w:val="21"/>
          <w:highlight w:val="none"/>
          <w:lang w:val="en-US" w:eastAsia="zh-CN"/>
        </w:rPr>
        <w:t>4090</w:t>
      </w:r>
      <w:r>
        <w:rPr>
          <w:rFonts w:hint="eastAsia" w:ascii="宋体" w:hAnsi="宋体" w:cs="宋体"/>
          <w:color w:val="auto"/>
          <w:kern w:val="0"/>
          <w:szCs w:val="21"/>
          <w:highlight w:val="none"/>
        </w:rPr>
        <w:t>）的硬件算力要求下运行，以实现成本效益和能效的最优化。在此基础上，该演示软件所有功能能在下列指定环境（表1）中运行.</w:t>
      </w:r>
    </w:p>
    <w:p w14:paraId="6435D221">
      <w:pPr>
        <w:pStyle w:val="14"/>
        <w:keepNext/>
        <w:widowControl/>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 1 软件运行环境关键配置参数</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6"/>
      </w:tblGrid>
      <w:tr w14:paraId="61D5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tcPr>
          <w:p w14:paraId="4600B80A">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参数</w:t>
            </w:r>
          </w:p>
        </w:tc>
        <w:tc>
          <w:tcPr>
            <w:tcW w:w="2766" w:type="dxa"/>
            <w:tcBorders>
              <w:top w:val="single" w:color="auto" w:sz="4" w:space="0"/>
              <w:left w:val="nil"/>
              <w:bottom w:val="single" w:color="auto" w:sz="4" w:space="0"/>
              <w:right w:val="single" w:color="auto" w:sz="4" w:space="0"/>
            </w:tcBorders>
          </w:tcPr>
          <w:p w14:paraId="427B08D0">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环境</w:t>
            </w:r>
          </w:p>
        </w:tc>
      </w:tr>
      <w:tr w14:paraId="616F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tcPr>
          <w:p w14:paraId="1DED24D2">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CPU</w:t>
            </w:r>
          </w:p>
        </w:tc>
        <w:tc>
          <w:tcPr>
            <w:tcW w:w="2766" w:type="dxa"/>
            <w:tcBorders>
              <w:top w:val="single" w:color="auto" w:sz="4" w:space="0"/>
              <w:left w:val="nil"/>
              <w:bottom w:val="single" w:color="auto" w:sz="4" w:space="0"/>
              <w:right w:val="single" w:color="auto" w:sz="4" w:space="0"/>
            </w:tcBorders>
          </w:tcPr>
          <w:p w14:paraId="3D6A6013">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英特尔Xeon</w:t>
            </w:r>
          </w:p>
        </w:tc>
      </w:tr>
      <w:tr w14:paraId="2DC8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tcPr>
          <w:p w14:paraId="6E9BA66B">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GPU</w:t>
            </w:r>
          </w:p>
        </w:tc>
        <w:tc>
          <w:tcPr>
            <w:tcW w:w="2766" w:type="dxa"/>
            <w:tcBorders>
              <w:top w:val="single" w:color="auto" w:sz="4" w:space="0"/>
              <w:left w:val="nil"/>
              <w:bottom w:val="single" w:color="auto" w:sz="4" w:space="0"/>
              <w:right w:val="single" w:color="auto" w:sz="4" w:space="0"/>
            </w:tcBorders>
          </w:tcPr>
          <w:p w14:paraId="36F7E8C2">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英伟达</w:t>
            </w:r>
            <w:r>
              <w:rPr>
                <w:rFonts w:hint="eastAsia" w:ascii="宋体" w:hAnsi="宋体" w:cs="宋体"/>
                <w:color w:val="auto"/>
                <w:kern w:val="0"/>
                <w:szCs w:val="21"/>
                <w:highlight w:val="none"/>
                <w:lang w:val="en-US" w:eastAsia="zh-CN"/>
              </w:rPr>
              <w:t>4</w:t>
            </w:r>
            <w:r>
              <w:rPr>
                <w:rFonts w:hint="eastAsia" w:ascii="宋体" w:hAnsi="宋体" w:eastAsia="Times New Roman" w:cs="宋体"/>
                <w:color w:val="auto"/>
                <w:kern w:val="0"/>
                <w:szCs w:val="21"/>
                <w:highlight w:val="none"/>
              </w:rPr>
              <w:t>090*4</w:t>
            </w:r>
          </w:p>
        </w:tc>
      </w:tr>
      <w:tr w14:paraId="2F75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tcPr>
          <w:p w14:paraId="28B9704C">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操作系统</w:t>
            </w:r>
          </w:p>
        </w:tc>
        <w:tc>
          <w:tcPr>
            <w:tcW w:w="2766" w:type="dxa"/>
            <w:tcBorders>
              <w:top w:val="single" w:color="auto" w:sz="4" w:space="0"/>
              <w:left w:val="nil"/>
              <w:bottom w:val="single" w:color="auto" w:sz="4" w:space="0"/>
              <w:right w:val="single" w:color="auto" w:sz="4" w:space="0"/>
            </w:tcBorders>
          </w:tcPr>
          <w:p w14:paraId="1EDDBB7B">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Ubuntu 20.04</w:t>
            </w:r>
          </w:p>
        </w:tc>
      </w:tr>
    </w:tbl>
    <w:p w14:paraId="37637D23">
      <w:pPr>
        <w:pStyle w:val="170"/>
        <w:numPr>
          <w:ilvl w:val="0"/>
          <w:numId w:val="4"/>
        </w:numPr>
        <w:spacing w:line="400" w:lineRule="exact"/>
        <w:ind w:firstLineChars="0"/>
        <w:rPr>
          <w:rFonts w:ascii="宋体" w:hAnsi="宋体" w:cs="宋体"/>
          <w:color w:val="auto"/>
          <w:kern w:val="0"/>
          <w:szCs w:val="21"/>
          <w:highlight w:val="none"/>
        </w:rPr>
      </w:pPr>
      <w:r>
        <w:rPr>
          <w:rFonts w:hint="eastAsia" w:ascii="宋体" w:hAnsi="宋体" w:cs="宋体"/>
          <w:color w:val="auto"/>
          <w:kern w:val="0"/>
          <w:szCs w:val="21"/>
          <w:highlight w:val="none"/>
        </w:rPr>
        <w:t>面向高速公路监控摄像机的车辆变道行为检测算法模块</w:t>
      </w:r>
    </w:p>
    <w:p w14:paraId="671CEE1E">
      <w:pPr>
        <w:keepLines w:val="0"/>
        <w:pageBreakBefore w:val="0"/>
        <w:kinsoku/>
        <w:wordWrap/>
        <w:overflowPunct/>
        <w:topLinePunct w:val="0"/>
        <w:autoSpaceDE/>
        <w:autoSpaceDN/>
        <w:bidi w:val="0"/>
        <w:adjustRightInd/>
        <w:snapToGrid/>
        <w:spacing w:line="400" w:lineRule="exact"/>
        <w:ind w:firstLine="36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本模块将实现一套在高速公路监控摄像机下能够准确识别车辆变道行为的算法，确保在各种交通状况下都能保持事件识别率达到</w:t>
      </w:r>
      <w:r>
        <w:rPr>
          <w:rFonts w:hint="eastAsia" w:ascii="宋体" w:hAnsi="宋体" w:cs="宋体"/>
          <w:color w:val="auto"/>
          <w:kern w:val="0"/>
          <w:szCs w:val="21"/>
          <w:highlight w:val="none"/>
          <w:lang w:val="en-US" w:eastAsia="zh-CN"/>
        </w:rPr>
        <w:t>80</w:t>
      </w:r>
      <w:r>
        <w:rPr>
          <w:rFonts w:hint="eastAsia" w:ascii="宋体" w:hAnsi="宋体" w:cs="宋体"/>
          <w:color w:val="auto"/>
          <w:kern w:val="0"/>
          <w:szCs w:val="21"/>
          <w:highlight w:val="none"/>
        </w:rPr>
        <w:t>%。并且模块能够在不超过1块GPU（如英伟达</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090）的硬件算力要求下运行，具有良好的兼容性。</w:t>
      </w:r>
    </w:p>
    <w:p w14:paraId="1AB7C111">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里程碑工程进度</w:t>
      </w:r>
    </w:p>
    <w:p w14:paraId="7A42720F">
      <w:pPr>
        <w:pStyle w:val="38"/>
        <w:spacing w:before="0" w:beforeAutospacing="0" w:after="0" w:afterAutospacing="0"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里程碑1：“面向隧道监控摄像机群的重点车辆重识别及统计算法研究”的预处理工作</w:t>
      </w:r>
    </w:p>
    <w:p w14:paraId="6A3A021E">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交付时间：2025年8月1日</w:t>
      </w:r>
    </w:p>
    <w:p w14:paraId="4C014410">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交付地点：重庆首讯科技股份有限公司</w:t>
      </w:r>
    </w:p>
    <w:p w14:paraId="3E64D9E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交付内容：面向隧道监控摄像机群的重点车辆重识别的数据集以及预处理工作报告1份、备选深度学习模型选择和测试方案报告1份。</w:t>
      </w:r>
    </w:p>
    <w:p w14:paraId="44A8D16B">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阶段性检查的方式与方法：查验文档。</w:t>
      </w:r>
    </w:p>
    <w:p w14:paraId="002D533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p>
    <w:p w14:paraId="74206D1D">
      <w:pPr>
        <w:pStyle w:val="38"/>
        <w:spacing w:before="0" w:beforeAutospacing="0" w:after="0" w:afterAutospacing="0"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里程碑2：“面向隧道监控摄像机群的重点车辆重识别及统计算法研究”的模型训练和功能开发工作</w:t>
      </w:r>
    </w:p>
    <w:p w14:paraId="00552D2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交付时间：2025年12月1日</w:t>
      </w:r>
    </w:p>
    <w:p w14:paraId="0170D14D">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交付地点：重庆首讯科技股份有限公司</w:t>
      </w:r>
    </w:p>
    <w:p w14:paraId="44D8A08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交付内容：算法模型训练报告和性能评估结果报告1份；模型实地部署测试优化方案1份。</w:t>
      </w:r>
    </w:p>
    <w:p w14:paraId="10B84DE5">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阶段性检查的方式与方法：查验文档。</w:t>
      </w:r>
    </w:p>
    <w:p w14:paraId="11E13642">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p>
    <w:p w14:paraId="3953783C">
      <w:pPr>
        <w:pStyle w:val="38"/>
        <w:spacing w:before="0" w:beforeAutospacing="0" w:after="0" w:afterAutospacing="0"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里程碑3：“面向高速公路监控摄像机的车辆变道行为检测算法研究”的预处理工作</w:t>
      </w:r>
    </w:p>
    <w:p w14:paraId="0922261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交付时间：2025年12月30日</w:t>
      </w:r>
    </w:p>
    <w:p w14:paraId="51853B33">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交付地点：重庆首讯科技股份有限公司</w:t>
      </w:r>
    </w:p>
    <w:p w14:paraId="1A74AB63">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交付内容：面向高速公路监控摄像机下的车辆变道行为的数据集以及预处理工作报告1份、备选深度学习模型选择和测试方案报告1份。</w:t>
      </w:r>
    </w:p>
    <w:p w14:paraId="43DB9D41">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阶段性检查的方式与方法：查验文档。</w:t>
      </w:r>
    </w:p>
    <w:p w14:paraId="03C2F7A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p>
    <w:p w14:paraId="42C8001B">
      <w:pPr>
        <w:pStyle w:val="38"/>
        <w:spacing w:before="0" w:beforeAutospacing="0" w:after="0" w:afterAutospacing="0"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里程碑4：“面向隧道监控摄像机群的重点车辆重识别及统计算法研究”的系统集成部署与优化</w:t>
      </w:r>
    </w:p>
    <w:p w14:paraId="1AA27630">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交付时间：2026年1月30日</w:t>
      </w:r>
    </w:p>
    <w:p w14:paraId="79706DD9">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交付地点：重庆首讯科技股份有限公司</w:t>
      </w:r>
    </w:p>
    <w:p w14:paraId="3CDD9CF9">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交付内容：面向隧道监控摄像机群的重点车辆重识别模块、高面向隧道监控摄像机群的重点车辆统计算法模块及测试方案、实验室和现场部署测试报告1份。</w:t>
      </w:r>
    </w:p>
    <w:p w14:paraId="79661E45">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阶段性检查的方式与方法：查验</w:t>
      </w:r>
      <w:r>
        <w:rPr>
          <w:rFonts w:hint="eastAsia" w:ascii="宋体" w:hAnsi="宋体" w:eastAsia="宋体" w:cs="宋体"/>
          <w:color w:val="auto"/>
          <w:sz w:val="21"/>
          <w:szCs w:val="21"/>
          <w:highlight w:val="none"/>
          <w:lang w:bidi="ar"/>
        </w:rPr>
        <w:t>技术文档及</w:t>
      </w:r>
      <w:r>
        <w:rPr>
          <w:rFonts w:hint="eastAsia" w:ascii="宋体" w:hAnsi="宋体" w:eastAsia="宋体" w:cs="宋体"/>
          <w:color w:val="auto"/>
          <w:sz w:val="21"/>
          <w:szCs w:val="21"/>
          <w:highlight w:val="none"/>
        </w:rPr>
        <w:t>现场查验模型运行情况。</w:t>
      </w:r>
    </w:p>
    <w:p w14:paraId="0DBCA783">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p>
    <w:p w14:paraId="3E4A6E42">
      <w:pPr>
        <w:pStyle w:val="38"/>
        <w:spacing w:before="0" w:beforeAutospacing="0" w:after="0" w:afterAutospacing="0"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里程碑5：“面向高速公路监控摄像机的车辆变道行为检测算法研究”的模型训练和功能开发工作</w:t>
      </w:r>
    </w:p>
    <w:p w14:paraId="475B9187">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交付时间：2026年3月30日</w:t>
      </w:r>
    </w:p>
    <w:p w14:paraId="5556E4A7">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交付地点：重庆首讯科技股份有限公司</w:t>
      </w:r>
    </w:p>
    <w:p w14:paraId="5F59DFE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交付内容：算法模型功能开发和性能评估结果1份；中国实用新型专利受理通知书1项；中国软件著作权受理通知书1项。</w:t>
      </w:r>
    </w:p>
    <w:p w14:paraId="41B34F7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阶段性检查的方式与方法：查验封装模型及文档。</w:t>
      </w:r>
    </w:p>
    <w:p w14:paraId="5B71E797">
      <w:pPr>
        <w:pStyle w:val="38"/>
        <w:spacing w:before="0" w:beforeAutospacing="0" w:after="0" w:afterAutospacing="0" w:line="400" w:lineRule="exact"/>
        <w:ind w:firstLine="422" w:firstLineChars="200"/>
        <w:jc w:val="both"/>
        <w:rPr>
          <w:rFonts w:hint="eastAsia" w:ascii="宋体" w:hAnsi="宋体" w:eastAsia="宋体" w:cs="宋体"/>
          <w:b/>
          <w:color w:val="auto"/>
          <w:sz w:val="21"/>
          <w:szCs w:val="21"/>
          <w:highlight w:val="none"/>
        </w:rPr>
      </w:pPr>
    </w:p>
    <w:p w14:paraId="501920BA">
      <w:pPr>
        <w:pStyle w:val="38"/>
        <w:spacing w:before="0" w:beforeAutospacing="0" w:after="0" w:afterAutospacing="0"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里程碑6：“面向隧道监控摄像机群的重点车辆重识别及统计算法研究”的项目收尾和成果申报。</w:t>
      </w:r>
    </w:p>
    <w:p w14:paraId="776D17D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交付时间：2026年10月30日</w:t>
      </w:r>
    </w:p>
    <w:p w14:paraId="5DFB0EA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交付地点：重庆首讯科技股份有限公司</w:t>
      </w:r>
    </w:p>
    <w:p w14:paraId="160EF1E7">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交付内容：项目总结报告和技术手册1份；中国实用新型专利受理通知书1项；中国软件著作权受理通知书1项；SCI期刊论文录取通知信1份。</w:t>
      </w:r>
    </w:p>
    <w:p w14:paraId="403910DC">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阶段性检查的方式与方法：查验文档。</w:t>
      </w:r>
    </w:p>
    <w:p w14:paraId="7F0C371F">
      <w:pPr>
        <w:pStyle w:val="18"/>
        <w:keepNext w:val="0"/>
        <w:keepLines w:val="0"/>
        <w:pageBreakBefore w:val="0"/>
        <w:widowControl w:val="0"/>
        <w:kinsoku/>
        <w:wordWrap/>
        <w:overflowPunct/>
        <w:topLinePunct w:val="0"/>
        <w:autoSpaceDE/>
        <w:autoSpaceDN/>
        <w:bidi w:val="0"/>
        <w:adjustRightInd/>
        <w:snapToGrid/>
        <w:spacing w:line="360" w:lineRule="auto"/>
        <w:ind w:firstLine="400" w:firstLineChars="200"/>
        <w:jc w:val="center"/>
        <w:textAlignment w:val="auto"/>
        <w:outlineLvl w:val="0"/>
        <w:rPr>
          <w:rFonts w:hAnsi="宋体" w:cs="方正小标宋_GBK"/>
          <w:b/>
          <w:color w:val="auto"/>
          <w:sz w:val="44"/>
          <w:szCs w:val="44"/>
          <w:highlight w:val="none"/>
        </w:rPr>
      </w:pPr>
      <w:r>
        <w:rPr>
          <w:rFonts w:hint="eastAsia" w:ascii="宋体" w:hAnsi="宋体" w:cs="宋体"/>
          <w:color w:val="auto"/>
          <w:highlight w:val="none"/>
        </w:rPr>
        <w:br w:type="page"/>
      </w:r>
      <w:bookmarkStart w:id="169" w:name="_Toc11144"/>
      <w:r>
        <w:rPr>
          <w:rFonts w:hint="eastAsia" w:ascii="宋体" w:hAnsi="宋体" w:eastAsia="宋体" w:cs="宋体"/>
          <w:b/>
          <w:bCs/>
          <w:color w:val="auto"/>
          <w:kern w:val="44"/>
          <w:sz w:val="44"/>
          <w:szCs w:val="44"/>
          <w:highlight w:val="none"/>
          <w:lang w:val="en-US" w:eastAsia="zh-CN" w:bidi="ar-SA"/>
        </w:rPr>
        <w:t xml:space="preserve">第五章  </w:t>
      </w:r>
      <w:bookmarkEnd w:id="158"/>
      <w:bookmarkEnd w:id="159"/>
      <w:bookmarkEnd w:id="160"/>
      <w:r>
        <w:rPr>
          <w:rFonts w:hint="eastAsia" w:ascii="宋体" w:hAnsi="宋体" w:eastAsia="宋体" w:cs="宋体"/>
          <w:b/>
          <w:bCs/>
          <w:color w:val="auto"/>
          <w:kern w:val="44"/>
          <w:sz w:val="44"/>
          <w:szCs w:val="44"/>
          <w:highlight w:val="none"/>
          <w:lang w:val="en-US" w:eastAsia="zh-CN" w:bidi="ar-SA"/>
        </w:rPr>
        <w:t>合同范本</w:t>
      </w:r>
      <w:bookmarkEnd w:id="169"/>
    </w:p>
    <w:p w14:paraId="107E856D">
      <w:pPr>
        <w:jc w:val="center"/>
        <w:rPr>
          <w:rFonts w:hint="eastAsia" w:ascii="仿宋" w:hAnsi="仿宋" w:eastAsia="仿宋" w:cs="仿宋"/>
          <w:color w:val="auto"/>
          <w:szCs w:val="21"/>
          <w:highlight w:val="none"/>
          <w:lang w:val="en-US" w:eastAsia="zh-CN"/>
        </w:rPr>
      </w:pPr>
    </w:p>
    <w:p w14:paraId="3CDD25D4">
      <w:pPr>
        <w:rPr>
          <w:rFonts w:ascii="Times New Roman" w:hAnsi="Times New Roman"/>
          <w:b/>
          <w:color w:val="auto"/>
          <w:sz w:val="44"/>
          <w:szCs w:val="44"/>
          <w:highlight w:val="none"/>
        </w:rPr>
      </w:pPr>
    </w:p>
    <w:p w14:paraId="010D8A33">
      <w:pPr>
        <w:jc w:val="center"/>
        <w:rPr>
          <w:rFonts w:ascii="Times New Roman" w:hAnsi="Times New Roman" w:eastAsia="仿宋"/>
          <w:b/>
          <w:color w:val="auto"/>
          <w:sz w:val="44"/>
          <w:szCs w:val="44"/>
          <w:highlight w:val="none"/>
        </w:rPr>
      </w:pPr>
    </w:p>
    <w:p w14:paraId="7C40C486">
      <w:pPr>
        <w:rPr>
          <w:rFonts w:ascii="Times New Roman" w:hAnsi="Times New Roman" w:eastAsia="仿宋"/>
          <w:b/>
          <w:color w:val="auto"/>
          <w:sz w:val="40"/>
          <w:szCs w:val="44"/>
          <w:highlight w:val="none"/>
        </w:rPr>
      </w:pPr>
      <w:r>
        <w:rPr>
          <w:rFonts w:ascii="Times New Roman" w:hAnsi="Times New Roman" w:eastAsia="仿宋"/>
          <w:b/>
          <w:color w:val="auto"/>
          <w:sz w:val="40"/>
          <w:szCs w:val="44"/>
          <w:highlight w:val="none"/>
        </w:rPr>
        <w:br w:type="page"/>
      </w:r>
    </w:p>
    <w:p w14:paraId="1E09EE52">
      <w:pPr>
        <w:jc w:val="center"/>
        <w:rPr>
          <w:rFonts w:hint="eastAsia" w:ascii="Times New Roman" w:hAnsi="Times New Roman" w:eastAsia="仿宋"/>
          <w:b/>
          <w:color w:val="auto"/>
          <w:sz w:val="48"/>
          <w:szCs w:val="52"/>
          <w:highlight w:val="none"/>
        </w:rPr>
      </w:pPr>
      <w:r>
        <w:rPr>
          <w:rFonts w:hint="eastAsia" w:ascii="Times New Roman" w:hAnsi="Times New Roman" w:eastAsia="仿宋"/>
          <w:b/>
          <w:color w:val="auto"/>
          <w:sz w:val="48"/>
          <w:szCs w:val="52"/>
          <w:highlight w:val="none"/>
        </w:rPr>
        <w:t>高速公路重点车辆管理的识别跟踪</w:t>
      </w:r>
    </w:p>
    <w:p w14:paraId="5C25FE51">
      <w:pPr>
        <w:jc w:val="center"/>
        <w:rPr>
          <w:rFonts w:ascii="Times New Roman" w:hAnsi="Times New Roman" w:eastAsia="仿宋"/>
          <w:b/>
          <w:color w:val="auto"/>
          <w:sz w:val="48"/>
          <w:szCs w:val="52"/>
          <w:highlight w:val="none"/>
        </w:rPr>
      </w:pPr>
      <w:r>
        <w:rPr>
          <w:rFonts w:hint="eastAsia" w:ascii="Times New Roman" w:hAnsi="Times New Roman" w:eastAsia="仿宋"/>
          <w:b/>
          <w:color w:val="auto"/>
          <w:sz w:val="48"/>
          <w:szCs w:val="52"/>
          <w:highlight w:val="none"/>
        </w:rPr>
        <w:t>算法研究</w:t>
      </w:r>
      <w:r>
        <w:rPr>
          <w:rFonts w:ascii="Times New Roman" w:hAnsi="Times New Roman" w:eastAsia="仿宋"/>
          <w:b/>
          <w:color w:val="auto"/>
          <w:sz w:val="48"/>
          <w:szCs w:val="52"/>
          <w:highlight w:val="none"/>
        </w:rPr>
        <w:t>合同</w:t>
      </w:r>
    </w:p>
    <w:p w14:paraId="6128E8FB">
      <w:pPr>
        <w:jc w:val="right"/>
        <w:rPr>
          <w:rFonts w:ascii="Times New Roman" w:hAnsi="Times New Roman" w:eastAsia="仿宋"/>
          <w:b/>
          <w:color w:val="auto"/>
          <w:sz w:val="36"/>
          <w:szCs w:val="36"/>
          <w:highlight w:val="none"/>
        </w:rPr>
      </w:pPr>
    </w:p>
    <w:p w14:paraId="77E5E296">
      <w:pPr>
        <w:jc w:val="center"/>
        <w:rPr>
          <w:rFonts w:ascii="Times New Roman" w:hAnsi="Times New Roman" w:eastAsia="仿宋"/>
          <w:b/>
          <w:color w:val="auto"/>
          <w:sz w:val="44"/>
          <w:szCs w:val="44"/>
          <w:highlight w:val="none"/>
        </w:rPr>
      </w:pPr>
    </w:p>
    <w:p w14:paraId="19C2C7B2">
      <w:pPr>
        <w:jc w:val="center"/>
        <w:rPr>
          <w:rFonts w:ascii="Times New Roman" w:hAnsi="Times New Roman" w:eastAsia="仿宋"/>
          <w:b/>
          <w:color w:val="auto"/>
          <w:sz w:val="44"/>
          <w:szCs w:val="44"/>
          <w:highlight w:val="none"/>
        </w:rPr>
      </w:pPr>
    </w:p>
    <w:p w14:paraId="6F85586F">
      <w:pPr>
        <w:jc w:val="center"/>
        <w:rPr>
          <w:rFonts w:ascii="Times New Roman" w:hAnsi="Times New Roman" w:eastAsia="仿宋"/>
          <w:b/>
          <w:color w:val="auto"/>
          <w:sz w:val="52"/>
          <w:szCs w:val="52"/>
          <w:highlight w:val="none"/>
        </w:rPr>
      </w:pPr>
      <w:r>
        <w:rPr>
          <w:rFonts w:ascii="Times New Roman" w:hAnsi="Times New Roman" w:eastAsia="仿宋"/>
          <w:b/>
          <w:color w:val="auto"/>
          <w:sz w:val="52"/>
          <w:szCs w:val="52"/>
          <w:highlight w:val="none"/>
        </w:rPr>
        <w:t>合同文件</w:t>
      </w:r>
    </w:p>
    <w:p w14:paraId="373DB95C">
      <w:pPr>
        <w:ind w:firstLine="561"/>
        <w:jc w:val="center"/>
        <w:rPr>
          <w:rFonts w:ascii="Times New Roman" w:hAnsi="Times New Roman" w:eastAsia="仿宋"/>
          <w:b/>
          <w:color w:val="auto"/>
          <w:sz w:val="28"/>
          <w:highlight w:val="none"/>
        </w:rPr>
      </w:pPr>
    </w:p>
    <w:p w14:paraId="0213E179">
      <w:pPr>
        <w:ind w:firstLine="561"/>
        <w:jc w:val="center"/>
        <w:rPr>
          <w:rFonts w:ascii="Times New Roman" w:hAnsi="Times New Roman" w:eastAsia="仿宋"/>
          <w:b/>
          <w:color w:val="auto"/>
          <w:sz w:val="28"/>
          <w:highlight w:val="none"/>
        </w:rPr>
      </w:pPr>
    </w:p>
    <w:p w14:paraId="71F4196B">
      <w:pPr>
        <w:ind w:firstLine="561"/>
        <w:jc w:val="center"/>
        <w:rPr>
          <w:rFonts w:ascii="Times New Roman" w:hAnsi="Times New Roman" w:eastAsia="仿宋"/>
          <w:b/>
          <w:color w:val="auto"/>
          <w:sz w:val="28"/>
          <w:highlight w:val="none"/>
        </w:rPr>
      </w:pPr>
    </w:p>
    <w:p w14:paraId="4D42156B">
      <w:pPr>
        <w:ind w:firstLine="2718" w:firstLineChars="967"/>
        <w:rPr>
          <w:rFonts w:ascii="Times New Roman" w:hAnsi="Times New Roman" w:eastAsia="仿宋"/>
          <w:b/>
          <w:color w:val="auto"/>
          <w:sz w:val="28"/>
          <w:highlight w:val="none"/>
          <w:u w:val="single"/>
        </w:rPr>
      </w:pPr>
      <w:r>
        <w:rPr>
          <w:rFonts w:ascii="Times New Roman" w:hAnsi="Times New Roman" w:eastAsia="仿宋"/>
          <w:b/>
          <w:color w:val="auto"/>
          <w:sz w:val="28"/>
          <w:highlight w:val="none"/>
        </w:rPr>
        <w:t xml:space="preserve">合同编号：                 </w:t>
      </w:r>
    </w:p>
    <w:p w14:paraId="285A8CE0">
      <w:pPr>
        <w:pStyle w:val="29"/>
        <w:tabs>
          <w:tab w:val="left" w:pos="1200"/>
          <w:tab w:val="right" w:leader="dot" w:pos="9730"/>
        </w:tabs>
        <w:rPr>
          <w:rFonts w:ascii="Times New Roman" w:hAnsi="Times New Roman" w:eastAsia="仿宋"/>
          <w:color w:val="auto"/>
          <w:highlight w:val="none"/>
        </w:rPr>
      </w:pPr>
    </w:p>
    <w:p w14:paraId="5E011A99">
      <w:pPr>
        <w:pStyle w:val="29"/>
        <w:tabs>
          <w:tab w:val="left" w:pos="1200"/>
          <w:tab w:val="right" w:leader="dot" w:pos="9730"/>
        </w:tabs>
        <w:rPr>
          <w:rFonts w:ascii="Times New Roman" w:hAnsi="Times New Roman" w:eastAsia="仿宋"/>
          <w:b w:val="0"/>
          <w:color w:val="auto"/>
          <w:sz w:val="44"/>
          <w:szCs w:val="44"/>
          <w:highlight w:val="none"/>
        </w:rPr>
      </w:pPr>
    </w:p>
    <w:p w14:paraId="5E257A67">
      <w:pPr>
        <w:rPr>
          <w:rFonts w:ascii="Times New Roman" w:hAnsi="Times New Roman" w:eastAsia="仿宋"/>
          <w:color w:val="auto"/>
          <w:highlight w:val="none"/>
        </w:rPr>
      </w:pPr>
    </w:p>
    <w:p w14:paraId="351AE04D">
      <w:pPr>
        <w:jc w:val="center"/>
        <w:rPr>
          <w:rFonts w:ascii="Times New Roman" w:hAnsi="Times New Roman" w:eastAsia="仿宋"/>
          <w:b/>
          <w:color w:val="auto"/>
          <w:sz w:val="84"/>
          <w:szCs w:val="84"/>
          <w:highlight w:val="none"/>
        </w:rPr>
      </w:pPr>
    </w:p>
    <w:p w14:paraId="363642F4">
      <w:pPr>
        <w:ind w:firstLine="2268" w:firstLineChars="706"/>
        <w:jc w:val="left"/>
        <w:rPr>
          <w:rFonts w:ascii="Times New Roman" w:hAnsi="Times New Roman" w:eastAsia="仿宋"/>
          <w:b/>
          <w:color w:val="auto"/>
          <w:sz w:val="32"/>
          <w:szCs w:val="32"/>
          <w:highlight w:val="none"/>
        </w:rPr>
      </w:pPr>
    </w:p>
    <w:p w14:paraId="76718522">
      <w:pPr>
        <w:jc w:val="center"/>
        <w:rPr>
          <w:rFonts w:ascii="Times New Roman" w:hAnsi="Times New Roman" w:eastAsia="仿宋"/>
          <w:b/>
          <w:color w:val="auto"/>
          <w:sz w:val="32"/>
          <w:szCs w:val="32"/>
          <w:highlight w:val="none"/>
        </w:rPr>
      </w:pPr>
      <w:r>
        <w:rPr>
          <w:rFonts w:ascii="Times New Roman" w:hAnsi="Times New Roman" w:eastAsia="仿宋"/>
          <w:b/>
          <w:color w:val="auto"/>
          <w:sz w:val="32"/>
          <w:szCs w:val="32"/>
          <w:highlight w:val="none"/>
        </w:rPr>
        <w:t>甲方：</w:t>
      </w:r>
      <w:r>
        <w:rPr>
          <w:rFonts w:ascii="Times New Roman" w:hAnsi="Times New Roman" w:eastAsia="仿宋"/>
          <w:b/>
          <w:color w:val="auto"/>
          <w:sz w:val="32"/>
          <w:szCs w:val="32"/>
          <w:highlight w:val="none"/>
          <w:u w:val="single"/>
        </w:rPr>
        <w:t>重庆首讯科技股份有限公司</w:t>
      </w:r>
    </w:p>
    <w:p w14:paraId="66C6E71B">
      <w:pPr>
        <w:ind w:firstLine="2268" w:firstLineChars="706"/>
        <w:jc w:val="left"/>
        <w:rPr>
          <w:rFonts w:ascii="Times New Roman" w:hAnsi="Times New Roman" w:eastAsia="仿宋"/>
          <w:b/>
          <w:color w:val="auto"/>
          <w:sz w:val="32"/>
          <w:szCs w:val="32"/>
          <w:highlight w:val="none"/>
        </w:rPr>
      </w:pPr>
    </w:p>
    <w:p w14:paraId="09282C16">
      <w:pPr>
        <w:keepNext w:val="0"/>
        <w:keepLines w:val="0"/>
        <w:pageBreakBefore w:val="0"/>
        <w:widowControl w:val="0"/>
        <w:kinsoku/>
        <w:wordWrap/>
        <w:overflowPunct/>
        <w:topLinePunct w:val="0"/>
        <w:autoSpaceDE/>
        <w:autoSpaceDN/>
        <w:bidi w:val="0"/>
        <w:adjustRightInd/>
        <w:snapToGrid/>
        <w:ind w:firstLine="1767" w:firstLineChars="550"/>
        <w:jc w:val="left"/>
        <w:textAlignment w:val="auto"/>
        <w:rPr>
          <w:rFonts w:ascii="Times New Roman" w:hAnsi="Times New Roman" w:eastAsia="仿宋"/>
          <w:b/>
          <w:color w:val="auto"/>
          <w:sz w:val="30"/>
          <w:highlight w:val="none"/>
        </w:rPr>
      </w:pPr>
      <w:r>
        <w:rPr>
          <w:rFonts w:ascii="Times New Roman" w:hAnsi="Times New Roman" w:eastAsia="仿宋"/>
          <w:b/>
          <w:color w:val="auto"/>
          <w:sz w:val="32"/>
          <w:szCs w:val="32"/>
          <w:highlight w:val="none"/>
        </w:rPr>
        <w:t>乙方：</w:t>
      </w:r>
      <w:r>
        <w:rPr>
          <w:rFonts w:ascii="Times New Roman" w:hAnsi="Times New Roman" w:eastAsia="仿宋"/>
          <w:b/>
          <w:color w:val="auto"/>
          <w:sz w:val="32"/>
          <w:szCs w:val="32"/>
          <w:highlight w:val="none"/>
          <w:u w:val="single"/>
        </w:rPr>
        <w:t xml:space="preserve">  </w:t>
      </w:r>
      <w:r>
        <w:rPr>
          <w:rFonts w:hint="eastAsia" w:ascii="Times New Roman" w:hAnsi="Times New Roman" w:eastAsia="仿宋"/>
          <w:b/>
          <w:color w:val="auto"/>
          <w:sz w:val="32"/>
          <w:szCs w:val="32"/>
          <w:highlight w:val="none"/>
          <w:u w:val="single"/>
          <w:lang w:val="en-US" w:eastAsia="zh-CN"/>
        </w:rPr>
        <w:t xml:space="preserve">                    </w:t>
      </w:r>
      <w:r>
        <w:rPr>
          <w:rFonts w:ascii="Times New Roman" w:hAnsi="Times New Roman" w:eastAsia="仿宋"/>
          <w:b/>
          <w:color w:val="auto"/>
          <w:sz w:val="32"/>
          <w:szCs w:val="32"/>
          <w:highlight w:val="none"/>
          <w:u w:val="single"/>
        </w:rPr>
        <w:t xml:space="preserve">  </w:t>
      </w:r>
    </w:p>
    <w:p w14:paraId="2A68817B">
      <w:pPr>
        <w:pStyle w:val="35"/>
        <w:tabs>
          <w:tab w:val="right" w:leader="dot" w:pos="8296"/>
        </w:tabs>
        <w:jc w:val="center"/>
        <w:rPr>
          <w:rFonts w:ascii="Times New Roman" w:hAnsi="Times New Roman" w:eastAsia="仿宋"/>
          <w:b w:val="0"/>
          <w:smallCaps w:val="0"/>
          <w:color w:val="auto"/>
          <w:kern w:val="0"/>
          <w:sz w:val="24"/>
          <w:highlight w:val="none"/>
        </w:rPr>
      </w:pPr>
      <w:r>
        <w:rPr>
          <w:rFonts w:ascii="Times New Roman" w:hAnsi="Times New Roman" w:eastAsia="仿宋"/>
          <w:b w:val="0"/>
          <w:smallCaps w:val="0"/>
          <w:color w:val="auto"/>
          <w:kern w:val="0"/>
          <w:sz w:val="24"/>
          <w:highlight w:val="none"/>
        </w:rPr>
        <w:br w:type="page"/>
      </w:r>
    </w:p>
    <w:p w14:paraId="04099F22">
      <w:pPr>
        <w:pStyle w:val="35"/>
        <w:tabs>
          <w:tab w:val="right" w:leader="dot" w:pos="8296"/>
        </w:tabs>
        <w:jc w:val="center"/>
        <w:rPr>
          <w:rFonts w:ascii="Times New Roman" w:hAnsi="Times New Roman" w:eastAsia="仿宋"/>
          <w:b w:val="0"/>
          <w:smallCaps w:val="0"/>
          <w:color w:val="auto"/>
          <w:kern w:val="0"/>
          <w:sz w:val="24"/>
          <w:highlight w:val="none"/>
        </w:rPr>
      </w:pPr>
      <w:r>
        <w:rPr>
          <w:rFonts w:ascii="Times New Roman" w:hAnsi="Times New Roman" w:eastAsia="仿宋"/>
          <w:b w:val="0"/>
          <w:smallCaps w:val="0"/>
          <w:color w:val="auto"/>
          <w:kern w:val="0"/>
          <w:sz w:val="24"/>
          <w:highlight w:val="none"/>
        </w:rPr>
        <w:t>目     录</w:t>
      </w:r>
    </w:p>
    <w:p w14:paraId="29E09D4D">
      <w:pPr>
        <w:pStyle w:val="35"/>
        <w:tabs>
          <w:tab w:val="right" w:leader="dot" w:pos="8296"/>
        </w:tabs>
        <w:rPr>
          <w:rFonts w:ascii="Times New Roman" w:hAnsi="Times New Roman" w:eastAsia="仿宋"/>
          <w:b w:val="0"/>
          <w:smallCaps w:val="0"/>
          <w:color w:val="auto"/>
          <w:kern w:val="0"/>
          <w:sz w:val="24"/>
          <w:highlight w:val="none"/>
        </w:rPr>
      </w:pPr>
      <w:r>
        <w:rPr>
          <w:rFonts w:ascii="Times New Roman" w:hAnsi="Times New Roman" w:eastAsia="仿宋"/>
          <w:b w:val="0"/>
          <w:smallCaps w:val="0"/>
          <w:color w:val="auto"/>
          <w:kern w:val="0"/>
          <w:sz w:val="24"/>
          <w:highlight w:val="none"/>
        </w:rPr>
        <w:fldChar w:fldCharType="begin"/>
      </w:r>
      <w:r>
        <w:rPr>
          <w:rFonts w:ascii="Times New Roman" w:hAnsi="Times New Roman" w:eastAsia="仿宋"/>
          <w:b w:val="0"/>
          <w:smallCaps w:val="0"/>
          <w:color w:val="auto"/>
          <w:kern w:val="0"/>
          <w:sz w:val="24"/>
          <w:highlight w:val="none"/>
        </w:rPr>
        <w:instrText xml:space="preserve"> TOC \o "1-3" \h \z </w:instrText>
      </w:r>
      <w:r>
        <w:rPr>
          <w:rFonts w:ascii="Times New Roman" w:hAnsi="Times New Roman" w:eastAsia="仿宋"/>
          <w:b w:val="0"/>
          <w:smallCaps w:val="0"/>
          <w:color w:val="auto"/>
          <w:kern w:val="0"/>
          <w:sz w:val="24"/>
          <w:highlight w:val="none"/>
        </w:rPr>
        <w:fldChar w:fldCharType="separate"/>
      </w:r>
      <w:r>
        <w:rPr>
          <w:color w:val="auto"/>
          <w:highlight w:val="none"/>
        </w:rPr>
        <w:fldChar w:fldCharType="begin"/>
      </w:r>
      <w:r>
        <w:rPr>
          <w:color w:val="auto"/>
          <w:highlight w:val="none"/>
        </w:rPr>
        <w:instrText xml:space="preserve"> HYPERLINK \l "_Toc513647839" </w:instrText>
      </w:r>
      <w:r>
        <w:rPr>
          <w:color w:val="auto"/>
          <w:highlight w:val="none"/>
        </w:rPr>
        <w:fldChar w:fldCharType="separate"/>
      </w:r>
      <w:r>
        <w:rPr>
          <w:rStyle w:val="50"/>
          <w:rFonts w:ascii="Times New Roman" w:hAnsi="Times New Roman" w:eastAsia="仿宋"/>
          <w:b w:val="0"/>
          <w:smallCaps w:val="0"/>
          <w:color w:val="auto"/>
          <w:kern w:val="0"/>
          <w:sz w:val="24"/>
          <w:highlight w:val="none"/>
        </w:rPr>
        <w:t>第1条 定义</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t>3</w:t>
      </w:r>
      <w:r>
        <w:rPr>
          <w:rFonts w:ascii="Times New Roman" w:hAnsi="Times New Roman" w:eastAsia="仿宋"/>
          <w:b w:val="0"/>
          <w:smallCaps w:val="0"/>
          <w:color w:val="auto"/>
          <w:kern w:val="0"/>
          <w:sz w:val="24"/>
          <w:highlight w:val="none"/>
        </w:rPr>
        <w:fldChar w:fldCharType="end"/>
      </w:r>
    </w:p>
    <w:p w14:paraId="772E95B6">
      <w:pPr>
        <w:pStyle w:val="35"/>
        <w:tabs>
          <w:tab w:val="right" w:leader="dot" w:pos="8296"/>
        </w:tabs>
        <w:rPr>
          <w:rFonts w:ascii="Times New Roman" w:hAnsi="Times New Roman" w:eastAsia="仿宋"/>
          <w:b w:val="0"/>
          <w:smallCaps w:val="0"/>
          <w:color w:val="auto"/>
          <w:kern w:val="0"/>
          <w:sz w:val="24"/>
          <w:highlight w:val="none"/>
        </w:rPr>
      </w:pPr>
      <w:r>
        <w:rPr>
          <w:color w:val="auto"/>
          <w:highlight w:val="none"/>
        </w:rPr>
        <w:fldChar w:fldCharType="begin"/>
      </w:r>
      <w:r>
        <w:rPr>
          <w:color w:val="auto"/>
          <w:highlight w:val="none"/>
        </w:rPr>
        <w:instrText xml:space="preserve"> HYPERLINK \l "_Toc513647842" </w:instrText>
      </w:r>
      <w:r>
        <w:rPr>
          <w:color w:val="auto"/>
          <w:highlight w:val="none"/>
        </w:rPr>
        <w:fldChar w:fldCharType="separate"/>
      </w:r>
      <w:r>
        <w:rPr>
          <w:rStyle w:val="50"/>
          <w:rFonts w:ascii="Times New Roman" w:hAnsi="Times New Roman" w:eastAsia="仿宋"/>
          <w:b w:val="0"/>
          <w:smallCaps w:val="0"/>
          <w:color w:val="auto"/>
          <w:kern w:val="0"/>
          <w:sz w:val="24"/>
          <w:highlight w:val="none"/>
        </w:rPr>
        <w:t>第2条 开发</w:t>
      </w:r>
      <w:r>
        <w:rPr>
          <w:rStyle w:val="50"/>
          <w:rFonts w:hint="eastAsia" w:ascii="Times New Roman" w:hAnsi="Times New Roman" w:eastAsia="仿宋"/>
          <w:b w:val="0"/>
          <w:smallCaps w:val="0"/>
          <w:color w:val="auto"/>
          <w:kern w:val="0"/>
          <w:sz w:val="24"/>
          <w:highlight w:val="none"/>
        </w:rPr>
        <w:t>模块</w:t>
      </w:r>
      <w:r>
        <w:rPr>
          <w:rStyle w:val="50"/>
          <w:rFonts w:ascii="Times New Roman" w:hAnsi="Times New Roman" w:eastAsia="仿宋"/>
          <w:b w:val="0"/>
          <w:smallCaps w:val="0"/>
          <w:color w:val="auto"/>
          <w:kern w:val="0"/>
          <w:sz w:val="24"/>
          <w:highlight w:val="none"/>
        </w:rPr>
        <w:t>描述及清单</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4</w:t>
      </w:r>
    </w:p>
    <w:p w14:paraId="07DDFA01">
      <w:pPr>
        <w:pStyle w:val="35"/>
        <w:tabs>
          <w:tab w:val="right" w:leader="dot" w:pos="8296"/>
        </w:tabs>
        <w:rPr>
          <w:rFonts w:ascii="Times New Roman" w:hAnsi="Times New Roman" w:eastAsia="仿宋"/>
          <w:b w:val="0"/>
          <w:smallCaps w:val="0"/>
          <w:color w:val="auto"/>
          <w:kern w:val="0"/>
          <w:sz w:val="24"/>
          <w:highlight w:val="none"/>
        </w:rPr>
      </w:pPr>
      <w:r>
        <w:rPr>
          <w:color w:val="auto"/>
          <w:highlight w:val="none"/>
        </w:rPr>
        <w:fldChar w:fldCharType="begin"/>
      </w:r>
      <w:r>
        <w:rPr>
          <w:color w:val="auto"/>
          <w:highlight w:val="none"/>
        </w:rPr>
        <w:instrText xml:space="preserve"> HYPERLINK \l "_Toc513647845" </w:instrText>
      </w:r>
      <w:r>
        <w:rPr>
          <w:color w:val="auto"/>
          <w:highlight w:val="none"/>
        </w:rPr>
        <w:fldChar w:fldCharType="separate"/>
      </w:r>
      <w:r>
        <w:rPr>
          <w:rStyle w:val="50"/>
          <w:rFonts w:ascii="Times New Roman" w:hAnsi="Times New Roman" w:eastAsia="仿宋"/>
          <w:b w:val="0"/>
          <w:smallCaps w:val="0"/>
          <w:color w:val="auto"/>
          <w:kern w:val="0"/>
          <w:sz w:val="24"/>
          <w:highlight w:val="none"/>
        </w:rPr>
        <w:t xml:space="preserve">第3条 </w:t>
      </w:r>
      <w:r>
        <w:rPr>
          <w:rStyle w:val="50"/>
          <w:rFonts w:hint="eastAsia" w:ascii="Times New Roman" w:hAnsi="Times New Roman" w:eastAsia="仿宋"/>
          <w:b w:val="0"/>
          <w:smallCaps w:val="0"/>
          <w:color w:val="auto"/>
          <w:kern w:val="0"/>
          <w:sz w:val="24"/>
          <w:highlight w:val="none"/>
        </w:rPr>
        <w:t>模型</w:t>
      </w:r>
      <w:r>
        <w:rPr>
          <w:rStyle w:val="50"/>
          <w:rFonts w:ascii="Times New Roman" w:hAnsi="Times New Roman" w:eastAsia="仿宋"/>
          <w:b w:val="0"/>
          <w:smallCaps w:val="0"/>
          <w:color w:val="auto"/>
          <w:kern w:val="0"/>
          <w:sz w:val="24"/>
          <w:highlight w:val="none"/>
        </w:rPr>
        <w:t>开发</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4</w:t>
      </w:r>
    </w:p>
    <w:p w14:paraId="50A6205C">
      <w:pPr>
        <w:pStyle w:val="35"/>
        <w:tabs>
          <w:tab w:val="right" w:leader="dot" w:pos="8296"/>
        </w:tabs>
        <w:rPr>
          <w:rFonts w:ascii="Times New Roman" w:hAnsi="Times New Roman" w:eastAsia="仿宋"/>
          <w:b w:val="0"/>
          <w:smallCaps w:val="0"/>
          <w:color w:val="auto"/>
          <w:kern w:val="0"/>
          <w:sz w:val="24"/>
          <w:highlight w:val="none"/>
        </w:rPr>
      </w:pPr>
      <w:r>
        <w:rPr>
          <w:color w:val="auto"/>
          <w:highlight w:val="none"/>
        </w:rPr>
        <w:fldChar w:fldCharType="begin"/>
      </w:r>
      <w:r>
        <w:rPr>
          <w:color w:val="auto"/>
          <w:highlight w:val="none"/>
        </w:rPr>
        <w:instrText xml:space="preserve"> HYPERLINK \l "_Toc513647848" </w:instrText>
      </w:r>
      <w:r>
        <w:rPr>
          <w:color w:val="auto"/>
          <w:highlight w:val="none"/>
        </w:rPr>
        <w:fldChar w:fldCharType="separate"/>
      </w:r>
      <w:r>
        <w:rPr>
          <w:rStyle w:val="50"/>
          <w:rFonts w:ascii="Times New Roman" w:hAnsi="Times New Roman" w:eastAsia="仿宋"/>
          <w:b w:val="0"/>
          <w:smallCaps w:val="0"/>
          <w:color w:val="auto"/>
          <w:kern w:val="0"/>
          <w:sz w:val="24"/>
          <w:highlight w:val="none"/>
        </w:rPr>
        <w:t>第4条 项目变更</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6</w:t>
      </w:r>
    </w:p>
    <w:p w14:paraId="46347634">
      <w:pPr>
        <w:pStyle w:val="35"/>
        <w:tabs>
          <w:tab w:val="right" w:leader="dot" w:pos="8296"/>
        </w:tabs>
        <w:rPr>
          <w:rFonts w:ascii="Times New Roman" w:hAnsi="Times New Roman" w:eastAsia="仿宋"/>
          <w:b w:val="0"/>
          <w:smallCaps w:val="0"/>
          <w:color w:val="auto"/>
          <w:kern w:val="0"/>
          <w:sz w:val="24"/>
          <w:highlight w:val="none"/>
        </w:rPr>
      </w:pPr>
      <w:r>
        <w:rPr>
          <w:color w:val="auto"/>
          <w:highlight w:val="none"/>
        </w:rPr>
        <w:fldChar w:fldCharType="begin"/>
      </w:r>
      <w:r>
        <w:rPr>
          <w:color w:val="auto"/>
          <w:highlight w:val="none"/>
        </w:rPr>
        <w:instrText xml:space="preserve"> HYPERLINK \l "_Toc513647852" </w:instrText>
      </w:r>
      <w:r>
        <w:rPr>
          <w:color w:val="auto"/>
          <w:highlight w:val="none"/>
        </w:rPr>
        <w:fldChar w:fldCharType="separate"/>
      </w:r>
      <w:r>
        <w:rPr>
          <w:rStyle w:val="50"/>
          <w:rFonts w:ascii="Times New Roman" w:hAnsi="Times New Roman" w:eastAsia="仿宋"/>
          <w:b w:val="0"/>
          <w:smallCaps w:val="0"/>
          <w:color w:val="auto"/>
          <w:kern w:val="0"/>
          <w:sz w:val="24"/>
          <w:highlight w:val="none"/>
        </w:rPr>
        <w:t>第5条 交付、领受与验收</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6</w:t>
      </w:r>
    </w:p>
    <w:p w14:paraId="7BABBD1A">
      <w:pPr>
        <w:pStyle w:val="35"/>
        <w:tabs>
          <w:tab w:val="right" w:leader="dot" w:pos="8296"/>
        </w:tabs>
        <w:rPr>
          <w:rFonts w:ascii="Times New Roman" w:hAnsi="Times New Roman" w:eastAsia="仿宋"/>
          <w:b w:val="0"/>
          <w:smallCaps w:val="0"/>
          <w:color w:val="auto"/>
          <w:kern w:val="0"/>
          <w:sz w:val="24"/>
          <w:highlight w:val="none"/>
        </w:rPr>
      </w:pPr>
      <w:r>
        <w:rPr>
          <w:color w:val="auto"/>
          <w:highlight w:val="none"/>
        </w:rPr>
        <w:fldChar w:fldCharType="begin"/>
      </w:r>
      <w:r>
        <w:rPr>
          <w:color w:val="auto"/>
          <w:highlight w:val="none"/>
        </w:rPr>
        <w:instrText xml:space="preserve"> HYPERLINK \l "_Toc513647857" </w:instrText>
      </w:r>
      <w:r>
        <w:rPr>
          <w:color w:val="auto"/>
          <w:highlight w:val="none"/>
        </w:rPr>
        <w:fldChar w:fldCharType="separate"/>
      </w:r>
      <w:r>
        <w:rPr>
          <w:rStyle w:val="50"/>
          <w:rFonts w:ascii="Times New Roman" w:hAnsi="Times New Roman" w:eastAsia="仿宋"/>
          <w:b w:val="0"/>
          <w:smallCaps w:val="0"/>
          <w:color w:val="auto"/>
          <w:kern w:val="0"/>
          <w:sz w:val="24"/>
          <w:highlight w:val="none"/>
        </w:rPr>
        <w:t>第6条 知识产权和使用权</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7</w:t>
      </w:r>
    </w:p>
    <w:p w14:paraId="378A5622">
      <w:pPr>
        <w:pStyle w:val="35"/>
        <w:tabs>
          <w:tab w:val="right" w:leader="dot" w:pos="8296"/>
        </w:tabs>
        <w:rPr>
          <w:rFonts w:ascii="Times New Roman" w:hAnsi="Times New Roman" w:eastAsia="仿宋"/>
          <w:b w:val="0"/>
          <w:smallCaps w:val="0"/>
          <w:color w:val="auto"/>
          <w:kern w:val="0"/>
          <w:sz w:val="24"/>
          <w:highlight w:val="none"/>
        </w:rPr>
      </w:pPr>
      <w:r>
        <w:rPr>
          <w:color w:val="auto"/>
          <w:highlight w:val="none"/>
        </w:rPr>
        <w:fldChar w:fldCharType="begin"/>
      </w:r>
      <w:r>
        <w:rPr>
          <w:color w:val="auto"/>
          <w:highlight w:val="none"/>
        </w:rPr>
        <w:instrText xml:space="preserve"> HYPERLINK \l "_Toc513647858" </w:instrText>
      </w:r>
      <w:r>
        <w:rPr>
          <w:color w:val="auto"/>
          <w:highlight w:val="none"/>
        </w:rPr>
        <w:fldChar w:fldCharType="separate"/>
      </w:r>
      <w:r>
        <w:rPr>
          <w:rStyle w:val="50"/>
          <w:rFonts w:ascii="Times New Roman" w:hAnsi="Times New Roman" w:eastAsia="仿宋"/>
          <w:b w:val="0"/>
          <w:smallCaps w:val="0"/>
          <w:color w:val="auto"/>
          <w:kern w:val="0"/>
          <w:sz w:val="24"/>
          <w:highlight w:val="none"/>
        </w:rPr>
        <w:t>第7条 维护和培训</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8</w:t>
      </w:r>
    </w:p>
    <w:p w14:paraId="4599E17C">
      <w:pPr>
        <w:pStyle w:val="35"/>
        <w:tabs>
          <w:tab w:val="right" w:leader="dot" w:pos="8296"/>
        </w:tabs>
        <w:rPr>
          <w:rFonts w:ascii="Times New Roman" w:hAnsi="Times New Roman" w:eastAsia="仿宋"/>
          <w:b w:val="0"/>
          <w:smallCaps w:val="0"/>
          <w:color w:val="auto"/>
          <w:kern w:val="0"/>
          <w:sz w:val="24"/>
          <w:highlight w:val="none"/>
        </w:rPr>
      </w:pPr>
      <w:r>
        <w:rPr>
          <w:color w:val="auto"/>
          <w:highlight w:val="none"/>
        </w:rPr>
        <w:fldChar w:fldCharType="begin"/>
      </w:r>
      <w:r>
        <w:rPr>
          <w:color w:val="auto"/>
          <w:highlight w:val="none"/>
        </w:rPr>
        <w:instrText xml:space="preserve"> HYPERLINK \l "_Toc513647859" </w:instrText>
      </w:r>
      <w:r>
        <w:rPr>
          <w:color w:val="auto"/>
          <w:highlight w:val="none"/>
        </w:rPr>
        <w:fldChar w:fldCharType="separate"/>
      </w:r>
      <w:r>
        <w:rPr>
          <w:rStyle w:val="50"/>
          <w:rFonts w:ascii="Times New Roman" w:hAnsi="Times New Roman" w:eastAsia="仿宋"/>
          <w:b w:val="0"/>
          <w:smallCaps w:val="0"/>
          <w:color w:val="auto"/>
          <w:kern w:val="0"/>
          <w:sz w:val="24"/>
          <w:highlight w:val="none"/>
        </w:rPr>
        <w:t>第8条 价格与付款方式</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8</w:t>
      </w:r>
    </w:p>
    <w:p w14:paraId="51C54202">
      <w:pPr>
        <w:pStyle w:val="35"/>
        <w:tabs>
          <w:tab w:val="right" w:leader="dot" w:pos="8296"/>
        </w:tabs>
        <w:rPr>
          <w:rFonts w:ascii="Times New Roman" w:hAnsi="Times New Roman" w:eastAsia="仿宋"/>
          <w:b w:val="0"/>
          <w:smallCaps w:val="0"/>
          <w:color w:val="auto"/>
          <w:kern w:val="0"/>
          <w:sz w:val="24"/>
          <w:highlight w:val="none"/>
        </w:rPr>
      </w:pPr>
      <w:r>
        <w:rPr>
          <w:color w:val="auto"/>
          <w:highlight w:val="none"/>
        </w:rPr>
        <w:fldChar w:fldCharType="begin"/>
      </w:r>
      <w:r>
        <w:rPr>
          <w:color w:val="auto"/>
          <w:highlight w:val="none"/>
        </w:rPr>
        <w:instrText xml:space="preserve"> HYPERLINK \l "_Toc513647860" </w:instrText>
      </w:r>
      <w:r>
        <w:rPr>
          <w:color w:val="auto"/>
          <w:highlight w:val="none"/>
        </w:rPr>
        <w:fldChar w:fldCharType="separate"/>
      </w:r>
      <w:r>
        <w:rPr>
          <w:rStyle w:val="50"/>
          <w:rFonts w:ascii="Times New Roman" w:hAnsi="Times New Roman" w:eastAsia="仿宋"/>
          <w:b w:val="0"/>
          <w:smallCaps w:val="0"/>
          <w:color w:val="auto"/>
          <w:kern w:val="0"/>
          <w:sz w:val="24"/>
          <w:highlight w:val="none"/>
        </w:rPr>
        <w:t>第9条 保证与免责</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9</w:t>
      </w:r>
    </w:p>
    <w:p w14:paraId="6D07D15F">
      <w:pPr>
        <w:pStyle w:val="35"/>
        <w:tabs>
          <w:tab w:val="right" w:leader="dot" w:pos="8296"/>
        </w:tabs>
        <w:rPr>
          <w:rFonts w:ascii="Times New Roman" w:hAnsi="Times New Roman" w:eastAsia="仿宋"/>
          <w:b w:val="0"/>
          <w:smallCaps w:val="0"/>
          <w:color w:val="auto"/>
          <w:kern w:val="0"/>
          <w:sz w:val="24"/>
          <w:highlight w:val="none"/>
        </w:rPr>
      </w:pPr>
      <w:r>
        <w:rPr>
          <w:color w:val="auto"/>
          <w:highlight w:val="none"/>
        </w:rPr>
        <w:fldChar w:fldCharType="begin"/>
      </w:r>
      <w:r>
        <w:rPr>
          <w:color w:val="auto"/>
          <w:highlight w:val="none"/>
        </w:rPr>
        <w:instrText xml:space="preserve"> HYPERLINK \l "_Toc513647863" </w:instrText>
      </w:r>
      <w:r>
        <w:rPr>
          <w:color w:val="auto"/>
          <w:highlight w:val="none"/>
        </w:rPr>
        <w:fldChar w:fldCharType="separate"/>
      </w:r>
      <w:r>
        <w:rPr>
          <w:rStyle w:val="50"/>
          <w:rFonts w:ascii="Times New Roman" w:hAnsi="Times New Roman" w:eastAsia="仿宋"/>
          <w:b w:val="0"/>
          <w:smallCaps w:val="0"/>
          <w:color w:val="auto"/>
          <w:kern w:val="0"/>
          <w:sz w:val="24"/>
          <w:highlight w:val="none"/>
        </w:rPr>
        <w:t>第10条 保密</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t>1</w:t>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1</w:t>
      </w:r>
    </w:p>
    <w:p w14:paraId="1CA5A81E">
      <w:pPr>
        <w:pStyle w:val="35"/>
        <w:tabs>
          <w:tab w:val="right" w:leader="dot" w:pos="8296"/>
        </w:tabs>
        <w:rPr>
          <w:rFonts w:ascii="Times New Roman" w:hAnsi="Times New Roman" w:eastAsia="仿宋"/>
          <w:b w:val="0"/>
          <w:smallCaps w:val="0"/>
          <w:color w:val="auto"/>
          <w:kern w:val="0"/>
          <w:sz w:val="24"/>
          <w:highlight w:val="none"/>
        </w:rPr>
      </w:pPr>
      <w:r>
        <w:rPr>
          <w:color w:val="auto"/>
          <w:highlight w:val="none"/>
        </w:rPr>
        <w:fldChar w:fldCharType="begin"/>
      </w:r>
      <w:r>
        <w:rPr>
          <w:color w:val="auto"/>
          <w:highlight w:val="none"/>
        </w:rPr>
        <w:instrText xml:space="preserve"> HYPERLINK \l "_Toc513647864" </w:instrText>
      </w:r>
      <w:r>
        <w:rPr>
          <w:color w:val="auto"/>
          <w:highlight w:val="none"/>
        </w:rPr>
        <w:fldChar w:fldCharType="separate"/>
      </w:r>
      <w:r>
        <w:rPr>
          <w:rStyle w:val="50"/>
          <w:rFonts w:ascii="Times New Roman" w:hAnsi="Times New Roman" w:eastAsia="仿宋"/>
          <w:b w:val="0"/>
          <w:smallCaps w:val="0"/>
          <w:color w:val="auto"/>
          <w:kern w:val="0"/>
          <w:sz w:val="24"/>
          <w:highlight w:val="none"/>
        </w:rPr>
        <w:t xml:space="preserve">第11条 </w:t>
      </w:r>
      <w:r>
        <w:rPr>
          <w:rFonts w:ascii="Times New Roman" w:hAnsi="Times New Roman" w:eastAsia="仿宋"/>
          <w:b w:val="0"/>
          <w:smallCaps w:val="0"/>
          <w:color w:val="auto"/>
          <w:kern w:val="0"/>
          <w:sz w:val="24"/>
          <w:highlight w:val="none"/>
        </w:rPr>
        <w:t>违约与赔偿责任</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t>1</w:t>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2</w:t>
      </w:r>
    </w:p>
    <w:p w14:paraId="0C1DDFE7">
      <w:pPr>
        <w:pStyle w:val="35"/>
        <w:tabs>
          <w:tab w:val="right" w:leader="dot" w:pos="8296"/>
        </w:tabs>
        <w:rPr>
          <w:rFonts w:ascii="Times New Roman" w:hAnsi="Times New Roman" w:eastAsia="仿宋"/>
          <w:b w:val="0"/>
          <w:smallCaps w:val="0"/>
          <w:color w:val="auto"/>
          <w:kern w:val="0"/>
          <w:sz w:val="24"/>
          <w:highlight w:val="none"/>
        </w:rPr>
      </w:pPr>
      <w:r>
        <w:rPr>
          <w:color w:val="auto"/>
          <w:highlight w:val="none"/>
        </w:rPr>
        <w:fldChar w:fldCharType="begin"/>
      </w:r>
      <w:r>
        <w:rPr>
          <w:color w:val="auto"/>
          <w:highlight w:val="none"/>
        </w:rPr>
        <w:instrText xml:space="preserve"> HYPERLINK \l "_Toc513647864" </w:instrText>
      </w:r>
      <w:r>
        <w:rPr>
          <w:color w:val="auto"/>
          <w:highlight w:val="none"/>
        </w:rPr>
        <w:fldChar w:fldCharType="separate"/>
      </w:r>
      <w:r>
        <w:rPr>
          <w:rFonts w:ascii="Times New Roman" w:hAnsi="Times New Roman" w:eastAsia="仿宋"/>
          <w:b w:val="0"/>
          <w:smallCaps w:val="0"/>
          <w:color w:val="auto"/>
          <w:kern w:val="0"/>
          <w:sz w:val="24"/>
          <w:highlight w:val="none"/>
        </w:rPr>
        <w:t>第12条 综合条款</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t>1</w:t>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3</w:t>
      </w:r>
    </w:p>
    <w:p w14:paraId="49EA1841">
      <w:pPr>
        <w:pStyle w:val="35"/>
        <w:tabs>
          <w:tab w:val="right" w:leader="dot" w:pos="8296"/>
        </w:tabs>
        <w:rPr>
          <w:rFonts w:ascii="Times New Roman" w:hAnsi="Times New Roman"/>
          <w:color w:val="auto"/>
          <w:highlight w:val="none"/>
        </w:rPr>
      </w:pPr>
      <w:r>
        <w:rPr>
          <w:color w:val="auto"/>
          <w:highlight w:val="none"/>
        </w:rPr>
        <w:fldChar w:fldCharType="begin"/>
      </w:r>
      <w:r>
        <w:rPr>
          <w:color w:val="auto"/>
          <w:highlight w:val="none"/>
        </w:rPr>
        <w:instrText xml:space="preserve"> HYPERLINK \l "_Toc513647865" </w:instrText>
      </w:r>
      <w:r>
        <w:rPr>
          <w:color w:val="auto"/>
          <w:highlight w:val="none"/>
        </w:rPr>
        <w:fldChar w:fldCharType="separate"/>
      </w:r>
      <w:r>
        <w:rPr>
          <w:rFonts w:ascii="Times New Roman" w:hAnsi="Times New Roman" w:eastAsia="仿宋"/>
          <w:b w:val="0"/>
          <w:smallCaps w:val="0"/>
          <w:color w:val="auto"/>
          <w:kern w:val="0"/>
          <w:sz w:val="24"/>
          <w:highlight w:val="none"/>
        </w:rPr>
        <w:t>第13条</w:t>
      </w:r>
      <w:r>
        <w:rPr>
          <w:rStyle w:val="50"/>
          <w:rFonts w:ascii="Times New Roman" w:hAnsi="Times New Roman" w:eastAsia="仿宋"/>
          <w:b w:val="0"/>
          <w:smallCaps w:val="0"/>
          <w:color w:val="auto"/>
          <w:kern w:val="0"/>
          <w:sz w:val="24"/>
          <w:highlight w:val="none"/>
        </w:rPr>
        <w:t xml:space="preserve"> 争议解决</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13</w:t>
      </w:r>
    </w:p>
    <w:p w14:paraId="0726D5B8">
      <w:pPr>
        <w:pStyle w:val="35"/>
        <w:tabs>
          <w:tab w:val="right" w:leader="dot" w:pos="8296"/>
        </w:tabs>
        <w:rPr>
          <w:rFonts w:ascii="Times New Roman" w:hAnsi="Times New Roman" w:eastAsia="仿宋"/>
          <w:b w:val="0"/>
          <w:smallCaps w:val="0"/>
          <w:color w:val="auto"/>
          <w:kern w:val="0"/>
          <w:sz w:val="24"/>
          <w:highlight w:val="none"/>
        </w:rPr>
      </w:pPr>
      <w:r>
        <w:rPr>
          <w:color w:val="auto"/>
          <w:highlight w:val="none"/>
        </w:rPr>
        <w:fldChar w:fldCharType="begin"/>
      </w:r>
      <w:r>
        <w:rPr>
          <w:color w:val="auto"/>
          <w:highlight w:val="none"/>
        </w:rPr>
        <w:instrText xml:space="preserve"> HYPERLINK \l "_Toc513647865" </w:instrText>
      </w:r>
      <w:r>
        <w:rPr>
          <w:color w:val="auto"/>
          <w:highlight w:val="none"/>
        </w:rPr>
        <w:fldChar w:fldCharType="separate"/>
      </w:r>
      <w:r>
        <w:rPr>
          <w:rFonts w:ascii="Times New Roman" w:hAnsi="Times New Roman" w:eastAsia="仿宋"/>
          <w:b w:val="0"/>
          <w:smallCaps w:val="0"/>
          <w:color w:val="auto"/>
          <w:kern w:val="0"/>
          <w:sz w:val="24"/>
          <w:highlight w:val="none"/>
        </w:rPr>
        <w:t>第</w:t>
      </w:r>
      <w:r>
        <w:rPr>
          <w:rStyle w:val="50"/>
          <w:rFonts w:ascii="Times New Roman" w:hAnsi="Times New Roman" w:eastAsia="仿宋"/>
          <w:b w:val="0"/>
          <w:smallCaps w:val="0"/>
          <w:color w:val="auto"/>
          <w:kern w:val="0"/>
          <w:sz w:val="24"/>
          <w:highlight w:val="none"/>
        </w:rPr>
        <w:t>14条 通知</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13</w:t>
      </w:r>
    </w:p>
    <w:p w14:paraId="749F1BAB">
      <w:pPr>
        <w:pStyle w:val="35"/>
        <w:tabs>
          <w:tab w:val="right" w:leader="dot" w:pos="8296"/>
        </w:tabs>
        <w:rPr>
          <w:rFonts w:ascii="Times New Roman" w:hAnsi="Times New Roman" w:eastAsia="仿宋"/>
          <w:b w:val="0"/>
          <w:smallCaps w:val="0"/>
          <w:color w:val="auto"/>
          <w:kern w:val="0"/>
          <w:sz w:val="24"/>
          <w:highlight w:val="none"/>
        </w:rPr>
      </w:pPr>
      <w:r>
        <w:rPr>
          <w:color w:val="auto"/>
          <w:highlight w:val="none"/>
        </w:rPr>
        <w:fldChar w:fldCharType="begin"/>
      </w:r>
      <w:r>
        <w:rPr>
          <w:color w:val="auto"/>
          <w:highlight w:val="none"/>
        </w:rPr>
        <w:instrText xml:space="preserve"> HYPERLINK \l "_Toc513647866" </w:instrText>
      </w:r>
      <w:r>
        <w:rPr>
          <w:color w:val="auto"/>
          <w:highlight w:val="none"/>
        </w:rPr>
        <w:fldChar w:fldCharType="separate"/>
      </w:r>
      <w:r>
        <w:rPr>
          <w:rStyle w:val="50"/>
          <w:rFonts w:ascii="Times New Roman" w:hAnsi="Times New Roman" w:eastAsia="仿宋"/>
          <w:b w:val="0"/>
          <w:smallCaps w:val="0"/>
          <w:color w:val="auto"/>
          <w:kern w:val="0"/>
          <w:sz w:val="24"/>
          <w:highlight w:val="none"/>
        </w:rPr>
        <w:t>第15条 合同的生效、变更与终止</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14</w:t>
      </w:r>
    </w:p>
    <w:p w14:paraId="547A7F72">
      <w:pPr>
        <w:pStyle w:val="35"/>
        <w:tabs>
          <w:tab w:val="right" w:leader="dot" w:pos="8296"/>
        </w:tabs>
        <w:rPr>
          <w:rFonts w:ascii="Times New Roman" w:hAnsi="Times New Roman" w:eastAsia="仿宋"/>
          <w:b w:val="0"/>
          <w:smallCaps w:val="0"/>
          <w:color w:val="auto"/>
          <w:kern w:val="0"/>
          <w:sz w:val="24"/>
          <w:highlight w:val="none"/>
        </w:rPr>
      </w:pPr>
      <w:r>
        <w:rPr>
          <w:color w:val="auto"/>
          <w:highlight w:val="none"/>
        </w:rPr>
        <w:fldChar w:fldCharType="begin"/>
      </w:r>
      <w:r>
        <w:rPr>
          <w:color w:val="auto"/>
          <w:highlight w:val="none"/>
        </w:rPr>
        <w:instrText xml:space="preserve"> HYPERLINK \l "_Toc513647866" </w:instrText>
      </w:r>
      <w:r>
        <w:rPr>
          <w:color w:val="auto"/>
          <w:highlight w:val="none"/>
        </w:rPr>
        <w:fldChar w:fldCharType="separate"/>
      </w:r>
      <w:r>
        <w:rPr>
          <w:rFonts w:ascii="Times New Roman" w:hAnsi="Times New Roman" w:eastAsia="仿宋"/>
          <w:b w:val="0"/>
          <w:smallCaps w:val="0"/>
          <w:color w:val="auto"/>
          <w:kern w:val="0"/>
          <w:sz w:val="24"/>
          <w:highlight w:val="none"/>
        </w:rPr>
        <w:t>第16条 信用</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14</w:t>
      </w:r>
    </w:p>
    <w:p w14:paraId="15CC846B">
      <w:pPr>
        <w:pStyle w:val="35"/>
        <w:tabs>
          <w:tab w:val="right" w:leader="dot" w:pos="8296"/>
        </w:tabs>
        <w:ind w:left="0"/>
        <w:rPr>
          <w:rFonts w:ascii="Times New Roman" w:hAnsi="Times New Roman" w:eastAsia="仿宋"/>
          <w:b w:val="0"/>
          <w:smallCaps w:val="0"/>
          <w:color w:val="auto"/>
          <w:kern w:val="0"/>
          <w:sz w:val="24"/>
          <w:highlight w:val="none"/>
        </w:rPr>
      </w:pPr>
      <w:r>
        <w:rPr>
          <w:rFonts w:ascii="Times New Roman" w:hAnsi="Times New Roman" w:eastAsia="仿宋"/>
          <w:b w:val="0"/>
          <w:smallCaps w:val="0"/>
          <w:color w:val="auto"/>
          <w:kern w:val="0"/>
          <w:sz w:val="24"/>
          <w:highlight w:val="none"/>
        </w:rPr>
        <w:t xml:space="preserve">  </w:t>
      </w:r>
      <w:r>
        <w:rPr>
          <w:color w:val="auto"/>
          <w:highlight w:val="none"/>
        </w:rPr>
        <w:fldChar w:fldCharType="begin"/>
      </w:r>
      <w:r>
        <w:rPr>
          <w:color w:val="auto"/>
          <w:highlight w:val="none"/>
        </w:rPr>
        <w:instrText xml:space="preserve"> HYPERLINK \l "_Toc513647866" </w:instrText>
      </w:r>
      <w:r>
        <w:rPr>
          <w:color w:val="auto"/>
          <w:highlight w:val="none"/>
        </w:rPr>
        <w:fldChar w:fldCharType="separate"/>
      </w:r>
      <w:r>
        <w:rPr>
          <w:rFonts w:ascii="Times New Roman" w:hAnsi="Times New Roman" w:eastAsia="仿宋"/>
          <w:b w:val="0"/>
          <w:smallCaps w:val="0"/>
          <w:color w:val="auto"/>
          <w:kern w:val="0"/>
          <w:sz w:val="24"/>
          <w:highlight w:val="none"/>
        </w:rPr>
        <w:t>附件</w:t>
      </w:r>
      <w:r>
        <w:rPr>
          <w:rFonts w:ascii="Times New Roman" w:hAnsi="Times New Roman" w:eastAsia="仿宋"/>
          <w:b w:val="0"/>
          <w:smallCaps w:val="0"/>
          <w:color w:val="auto"/>
          <w:kern w:val="0"/>
          <w:sz w:val="24"/>
          <w:highlight w:val="none"/>
        </w:rPr>
        <w:tab/>
      </w:r>
      <w:r>
        <w:rPr>
          <w:rFonts w:ascii="Times New Roman" w:hAnsi="Times New Roman" w:eastAsia="仿宋"/>
          <w:b w:val="0"/>
          <w:smallCaps w:val="0"/>
          <w:color w:val="auto"/>
          <w:kern w:val="0"/>
          <w:sz w:val="24"/>
          <w:highlight w:val="none"/>
        </w:rPr>
        <w:fldChar w:fldCharType="end"/>
      </w:r>
      <w:r>
        <w:rPr>
          <w:rFonts w:ascii="Times New Roman" w:hAnsi="Times New Roman" w:eastAsia="仿宋"/>
          <w:b w:val="0"/>
          <w:smallCaps w:val="0"/>
          <w:color w:val="auto"/>
          <w:kern w:val="0"/>
          <w:sz w:val="24"/>
          <w:highlight w:val="none"/>
        </w:rPr>
        <w:t>17</w:t>
      </w:r>
    </w:p>
    <w:p w14:paraId="2247101B">
      <w:pPr>
        <w:rPr>
          <w:rFonts w:ascii="Times New Roman" w:hAnsi="Times New Roman"/>
          <w:color w:val="auto"/>
          <w:highlight w:val="none"/>
        </w:rPr>
      </w:pPr>
    </w:p>
    <w:p w14:paraId="5FEF4A6C">
      <w:pPr>
        <w:pStyle w:val="38"/>
        <w:spacing w:line="500" w:lineRule="exact"/>
        <w:jc w:val="center"/>
        <w:rPr>
          <w:rFonts w:ascii="Times New Roman" w:hAnsi="Times New Roman" w:eastAsia="仿宋"/>
          <w:color w:val="auto"/>
          <w:highlight w:val="none"/>
        </w:rPr>
      </w:pPr>
      <w:r>
        <w:rPr>
          <w:rFonts w:ascii="Times New Roman" w:hAnsi="Times New Roman" w:eastAsia="仿宋"/>
          <w:color w:val="auto"/>
          <w:highlight w:val="none"/>
        </w:rPr>
        <w:fldChar w:fldCharType="end"/>
      </w:r>
    </w:p>
    <w:p w14:paraId="3F53C970">
      <w:pPr>
        <w:pStyle w:val="38"/>
        <w:spacing w:line="500" w:lineRule="exact"/>
        <w:jc w:val="center"/>
        <w:rPr>
          <w:rFonts w:ascii="Times New Roman" w:hAnsi="Times New Roman" w:eastAsia="仿宋"/>
          <w:color w:val="auto"/>
          <w:highlight w:val="none"/>
        </w:rPr>
      </w:pPr>
    </w:p>
    <w:p w14:paraId="606627E3">
      <w:pPr>
        <w:pStyle w:val="38"/>
        <w:spacing w:line="500" w:lineRule="exact"/>
        <w:jc w:val="center"/>
        <w:rPr>
          <w:rFonts w:ascii="Times New Roman" w:hAnsi="Times New Roman" w:eastAsia="仿宋"/>
          <w:color w:val="auto"/>
          <w:highlight w:val="none"/>
        </w:rPr>
      </w:pPr>
    </w:p>
    <w:p w14:paraId="41DD4297">
      <w:pPr>
        <w:pStyle w:val="38"/>
        <w:spacing w:line="500" w:lineRule="exact"/>
        <w:jc w:val="center"/>
        <w:rPr>
          <w:rFonts w:ascii="Times New Roman" w:hAnsi="Times New Roman" w:eastAsia="仿宋"/>
          <w:color w:val="auto"/>
          <w:highlight w:val="none"/>
        </w:rPr>
      </w:pPr>
    </w:p>
    <w:p w14:paraId="5E18F2C6">
      <w:pPr>
        <w:pStyle w:val="38"/>
        <w:spacing w:line="500" w:lineRule="exact"/>
        <w:jc w:val="center"/>
        <w:rPr>
          <w:rFonts w:ascii="Times New Roman" w:hAnsi="Times New Roman" w:eastAsia="仿宋"/>
          <w:color w:val="auto"/>
          <w:highlight w:val="none"/>
        </w:rPr>
      </w:pPr>
    </w:p>
    <w:p w14:paraId="0D14014F">
      <w:pPr>
        <w:rPr>
          <w:rFonts w:ascii="Times New Roman" w:hAnsi="Times New Roman" w:eastAsia="仿宋"/>
          <w:b/>
          <w:color w:val="auto"/>
          <w:kern w:val="2"/>
          <w:sz w:val="32"/>
          <w:szCs w:val="32"/>
          <w:highlight w:val="none"/>
        </w:rPr>
      </w:pPr>
      <w:r>
        <w:rPr>
          <w:rFonts w:ascii="Times New Roman" w:hAnsi="Times New Roman" w:eastAsia="仿宋"/>
          <w:b/>
          <w:color w:val="auto"/>
          <w:kern w:val="2"/>
          <w:sz w:val="32"/>
          <w:szCs w:val="32"/>
          <w:highlight w:val="none"/>
        </w:rPr>
        <w:br w:type="page"/>
      </w:r>
    </w:p>
    <w:p w14:paraId="683D70DC">
      <w:pPr>
        <w:pStyle w:val="38"/>
        <w:spacing w:line="500" w:lineRule="exact"/>
        <w:jc w:val="center"/>
        <w:rPr>
          <w:rFonts w:ascii="Times New Roman" w:hAnsi="Times New Roman" w:eastAsia="仿宋"/>
          <w:b/>
          <w:color w:val="auto"/>
          <w:kern w:val="2"/>
          <w:sz w:val="32"/>
          <w:szCs w:val="32"/>
          <w:highlight w:val="none"/>
        </w:rPr>
      </w:pPr>
      <w:r>
        <w:rPr>
          <w:rFonts w:ascii="Times New Roman" w:hAnsi="Times New Roman" w:eastAsia="仿宋"/>
          <w:b/>
          <w:color w:val="auto"/>
          <w:kern w:val="2"/>
          <w:sz w:val="32"/>
          <w:szCs w:val="32"/>
          <w:highlight w:val="none"/>
        </w:rPr>
        <w:t>重庆首讯科技股份有限公司</w:t>
      </w:r>
      <w:r>
        <w:rPr>
          <w:rFonts w:hint="eastAsia" w:ascii="Times New Roman" w:hAnsi="Times New Roman" w:eastAsia="仿宋"/>
          <w:b/>
          <w:color w:val="auto"/>
          <w:kern w:val="2"/>
          <w:sz w:val="32"/>
          <w:szCs w:val="32"/>
          <w:highlight w:val="none"/>
        </w:rPr>
        <w:t>针对高速公路重点车辆管理的识别跟踪技术开发</w:t>
      </w:r>
      <w:r>
        <w:rPr>
          <w:rFonts w:ascii="Times New Roman" w:hAnsi="Times New Roman" w:eastAsia="仿宋"/>
          <w:b/>
          <w:color w:val="auto"/>
          <w:kern w:val="2"/>
          <w:sz w:val="32"/>
          <w:szCs w:val="32"/>
          <w:highlight w:val="none"/>
        </w:rPr>
        <w:t>合同</w:t>
      </w:r>
    </w:p>
    <w:p w14:paraId="239129B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重庆首讯科技股份有限公司</w:t>
      </w:r>
    </w:p>
    <w:p w14:paraId="6D89412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地址：重庆市渝北区龙溪街道新南路 52 号 1 幢 3-1</w:t>
      </w:r>
    </w:p>
    <w:p w14:paraId="5BC5B5B8">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法定代表人：张强</w:t>
      </w:r>
    </w:p>
    <w:p w14:paraId="2DD1698E">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联系电话：（023）89021335</w:t>
      </w:r>
    </w:p>
    <w:p w14:paraId="5E9E57B0">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邮编：401120</w:t>
      </w:r>
    </w:p>
    <w:p w14:paraId="54627D60">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p>
    <w:p w14:paraId="22A5FA8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BB2A6E7">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66A63667">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4A4FCE75">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25C7314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w:t>
      </w:r>
    </w:p>
    <w:p w14:paraId="13AE74C3">
      <w:pPr>
        <w:pStyle w:val="38"/>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鉴于甲方有意委托乙方开发用于</w:t>
      </w:r>
      <w:r>
        <w:rPr>
          <w:rFonts w:hint="eastAsia" w:ascii="宋体" w:hAnsi="宋体" w:eastAsia="宋体" w:cs="宋体"/>
          <w:color w:val="auto"/>
          <w:sz w:val="21"/>
          <w:szCs w:val="21"/>
          <w:highlight w:val="none"/>
          <w:u w:val="single"/>
        </w:rPr>
        <w:t xml:space="preserve"> 高速公路重点车辆管理的识别跟踪 </w:t>
      </w:r>
      <w:r>
        <w:rPr>
          <w:rFonts w:hint="eastAsia" w:ascii="宋体" w:hAnsi="宋体" w:eastAsia="宋体" w:cs="宋体"/>
          <w:color w:val="auto"/>
          <w:sz w:val="21"/>
          <w:szCs w:val="21"/>
          <w:highlight w:val="none"/>
        </w:rPr>
        <w:t>的算法模型，双方特依据《中华人民共和国民法典》和相关的法律法规，按照平等互利的原则达成如下协议：</w:t>
      </w:r>
    </w:p>
    <w:p w14:paraId="1964421E">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第1条 定义</w:t>
      </w:r>
    </w:p>
    <w:p w14:paraId="7A37EF8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本合同中使用的下列词语具有如下含义：</w:t>
      </w:r>
    </w:p>
    <w:p w14:paraId="029F9E5D">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“模型”包括“模块”，除另有指明外，指描述于本合同附件—中的在本合同履行期内所开发和提供的当前和将来的模型版本，包括乙方为履行本合同所开发和提供的模型版本和相关的文件。</w:t>
      </w:r>
    </w:p>
    <w:p w14:paraId="072F5D6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“可交付件”指附件中指定的由乙方所交付的模块，包括源代码、安装盘、技术文档、用户指南、操作手册、安装指南和测试报告等。</w:t>
      </w:r>
    </w:p>
    <w:p w14:paraId="1F5CD2AB">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“交付”指乙方在双方规定的日期内交付约定开发的模块的行为。但是乙方完成交付行为，并不意味着乙方已经完成了本合同项下所规定的所有义务。</w:t>
      </w:r>
    </w:p>
    <w:p w14:paraId="70DD281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“规格”是指在技术或其他开发任务上所设定的技术标准、规范。</w:t>
      </w:r>
    </w:p>
    <w:p w14:paraId="24F7CFF9">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“里程碑”是指附件中所规定的由乙方在本模型开发过程中阶段性完成的，并具有相对独立性的部分模型或模块。</w:t>
      </w:r>
    </w:p>
    <w:p w14:paraId="48619B92">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“源代码”指用于该模型的源代码。其必须可为熟练的程序员理解和使用，可打印以及被机器阅读或具备其他合理而必要的形式，包括对该模型的评估、测试或其它技术文件。</w:t>
      </w:r>
    </w:p>
    <w:p w14:paraId="0AA9607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14:paraId="5DCF378B">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“工作日”指国家所规定的节假日之外的所有工作日，未指明为工作日的日期指自然顺延的日期。</w:t>
      </w:r>
    </w:p>
    <w:p w14:paraId="5A374A85">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第2条 开发模块描述及清单</w:t>
      </w:r>
    </w:p>
    <w:p w14:paraId="65D4F35A">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模块开发服务清单</w:t>
      </w:r>
    </w:p>
    <w:p w14:paraId="0A927B7E">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乙方所开发的模块为</w:t>
      </w:r>
      <w:r>
        <w:rPr>
          <w:rFonts w:hint="eastAsia" w:ascii="宋体" w:hAnsi="宋体" w:eastAsia="宋体" w:cs="宋体"/>
          <w:color w:val="auto"/>
          <w:sz w:val="21"/>
          <w:szCs w:val="21"/>
          <w:highlight w:val="none"/>
          <w:u w:val="single"/>
        </w:rPr>
        <w:t xml:space="preserve">  重庆首讯科技股份有限公司针对高速公路重点车辆管理的识别跟踪技术开发  </w:t>
      </w:r>
      <w:r>
        <w:rPr>
          <w:rFonts w:hint="eastAsia" w:ascii="宋体" w:hAnsi="宋体" w:eastAsia="宋体" w:cs="宋体"/>
          <w:color w:val="auto"/>
          <w:sz w:val="21"/>
          <w:szCs w:val="21"/>
          <w:highlight w:val="none"/>
        </w:rPr>
        <w:t>（模块名称）；</w:t>
      </w:r>
    </w:p>
    <w:tbl>
      <w:tblPr>
        <w:tblStyle w:val="43"/>
        <w:tblpPr w:leftFromText="180" w:rightFromText="180" w:vertAnchor="text" w:horzAnchor="page" w:tblpX="1537" w:tblpY="406"/>
        <w:tblOverlap w:val="never"/>
        <w:tblW w:w="52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93"/>
        <w:gridCol w:w="2943"/>
        <w:gridCol w:w="568"/>
        <w:gridCol w:w="423"/>
        <w:gridCol w:w="1010"/>
        <w:gridCol w:w="582"/>
        <w:gridCol w:w="1205"/>
      </w:tblGrid>
      <w:tr w14:paraId="1B82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01" w:type="pct"/>
            <w:vAlign w:val="center"/>
          </w:tcPr>
          <w:p w14:paraId="1D23A5B4">
            <w:pPr>
              <w:pStyle w:val="38"/>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99" w:type="pct"/>
            <w:vAlign w:val="center"/>
          </w:tcPr>
          <w:p w14:paraId="0B3A8AFF">
            <w:pPr>
              <w:pStyle w:val="38"/>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工作内容</w:t>
            </w:r>
          </w:p>
        </w:tc>
        <w:tc>
          <w:tcPr>
            <w:tcW w:w="1661" w:type="pct"/>
            <w:vAlign w:val="center"/>
          </w:tcPr>
          <w:p w14:paraId="72CC46E5">
            <w:pPr>
              <w:pStyle w:val="38"/>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320" w:type="pct"/>
            <w:vAlign w:val="center"/>
          </w:tcPr>
          <w:p w14:paraId="68FA31E5">
            <w:pPr>
              <w:pStyle w:val="38"/>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238" w:type="pct"/>
            <w:vAlign w:val="center"/>
          </w:tcPr>
          <w:p w14:paraId="7256236C">
            <w:pPr>
              <w:pStyle w:val="38"/>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570" w:type="pct"/>
            <w:vAlign w:val="center"/>
          </w:tcPr>
          <w:p w14:paraId="01C42D2C">
            <w:pPr>
              <w:pStyle w:val="38"/>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含税单价</w:t>
            </w:r>
          </w:p>
          <w:p w14:paraId="615EB711">
            <w:pPr>
              <w:pStyle w:val="38"/>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328" w:type="pct"/>
            <w:vAlign w:val="center"/>
          </w:tcPr>
          <w:p w14:paraId="5FC0BB79">
            <w:pPr>
              <w:pStyle w:val="38"/>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税率（%）</w:t>
            </w:r>
          </w:p>
        </w:tc>
        <w:tc>
          <w:tcPr>
            <w:tcW w:w="680" w:type="pct"/>
            <w:vAlign w:val="center"/>
          </w:tcPr>
          <w:p w14:paraId="78D4D820">
            <w:pPr>
              <w:pStyle w:val="38"/>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小计</w:t>
            </w:r>
          </w:p>
          <w:p w14:paraId="73C7C09F">
            <w:pPr>
              <w:pStyle w:val="38"/>
              <w:adjustRightInd w:val="0"/>
              <w:snapToGrid w:val="0"/>
              <w:spacing w:before="0" w:beforeAutospacing="0" w:after="0" w:afterAutospacing="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r>
      <w:tr w14:paraId="5DAE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01" w:type="pct"/>
            <w:vAlign w:val="center"/>
          </w:tcPr>
          <w:p w14:paraId="113B6DB5">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99" w:type="pct"/>
            <w:vAlign w:val="center"/>
          </w:tcPr>
          <w:p w14:paraId="4CBBA3BE">
            <w:pPr>
              <w:pStyle w:val="38"/>
              <w:adjustRightInd w:val="0"/>
              <w:snapToGrid w:val="0"/>
              <w:spacing w:before="0" w:beforeAutospacing="0" w:after="0" w:afterAutospacing="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里程碑1：</w:t>
            </w:r>
            <w:r>
              <w:rPr>
                <w:rFonts w:hint="eastAsia" w:ascii="宋体" w:hAnsi="宋体" w:eastAsia="宋体" w:cs="宋体"/>
                <w:bCs/>
                <w:color w:val="auto"/>
                <w:sz w:val="21"/>
                <w:szCs w:val="21"/>
                <w:highlight w:val="none"/>
              </w:rPr>
              <w:t>“面向隧道监控摄像机群的重点车辆重识别及统计算法研究”的预处理工作</w:t>
            </w:r>
          </w:p>
        </w:tc>
        <w:tc>
          <w:tcPr>
            <w:tcW w:w="1661" w:type="pct"/>
            <w:vAlign w:val="center"/>
          </w:tcPr>
          <w:p w14:paraId="637CE564">
            <w:pPr>
              <w:pStyle w:val="38"/>
              <w:keepNext w:val="0"/>
              <w:keepLines w:val="0"/>
              <w:pageBreakBefore w:val="0"/>
              <w:widowControl/>
              <w:kinsoku/>
              <w:wordWrap/>
              <w:overflowPunct/>
              <w:topLinePunct w:val="0"/>
              <w:autoSpaceDE/>
              <w:autoSpaceDN/>
              <w:bidi w:val="0"/>
              <w:adjustRightInd w:val="0"/>
              <w:snapToGrid w:val="0"/>
              <w:spacing w:beforeAutospacing="0" w:afterAutospacing="0" w:line="280" w:lineRule="exact"/>
              <w:ind w:left="0" w:firstLine="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bidi="ar"/>
              </w:rPr>
              <w:tab/>
            </w:r>
            <w:r>
              <w:rPr>
                <w:rFonts w:hint="eastAsia" w:ascii="宋体" w:hAnsi="宋体" w:eastAsia="宋体" w:cs="宋体"/>
                <w:color w:val="auto"/>
                <w:sz w:val="21"/>
                <w:szCs w:val="21"/>
                <w:highlight w:val="none"/>
                <w:lang w:bidi="ar"/>
              </w:rPr>
              <w:t>完成相关数据收集和预处理工作，形成相关完成报告1份。</w:t>
            </w:r>
          </w:p>
          <w:p w14:paraId="4E24C5DC">
            <w:pPr>
              <w:pStyle w:val="38"/>
              <w:keepNext w:val="0"/>
              <w:keepLines w:val="0"/>
              <w:pageBreakBefore w:val="0"/>
              <w:widowControl/>
              <w:kinsoku/>
              <w:wordWrap/>
              <w:overflowPunct/>
              <w:topLinePunct w:val="0"/>
              <w:autoSpaceDE/>
              <w:autoSpaceDN/>
              <w:bidi w:val="0"/>
              <w:adjustRightInd w:val="0"/>
              <w:snapToGrid w:val="0"/>
              <w:spacing w:before="0" w:beforeAutospacing="0" w:after="0" w:afterAutospacing="0" w:line="280" w:lineRule="exact"/>
              <w:ind w:left="0" w:firstLine="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bidi="ar"/>
              </w:rPr>
              <w:tab/>
            </w:r>
            <w:r>
              <w:rPr>
                <w:rFonts w:hint="eastAsia" w:ascii="宋体" w:hAnsi="宋体" w:eastAsia="宋体" w:cs="宋体"/>
                <w:color w:val="auto"/>
                <w:sz w:val="21"/>
                <w:szCs w:val="21"/>
                <w:highlight w:val="none"/>
                <w:lang w:bidi="ar"/>
              </w:rPr>
              <w:t>完成备选深度学习模型选择和测试，形成相关完成报告1份。</w:t>
            </w:r>
          </w:p>
        </w:tc>
        <w:tc>
          <w:tcPr>
            <w:tcW w:w="320" w:type="pct"/>
            <w:vAlign w:val="center"/>
          </w:tcPr>
          <w:p w14:paraId="5B2539E7">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238" w:type="pct"/>
            <w:vAlign w:val="center"/>
          </w:tcPr>
          <w:p w14:paraId="01E09F6B">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70" w:type="pct"/>
            <w:vAlign w:val="center"/>
          </w:tcPr>
          <w:p w14:paraId="5F45BDAF">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c>
          <w:tcPr>
            <w:tcW w:w="328" w:type="pct"/>
            <w:vAlign w:val="center"/>
          </w:tcPr>
          <w:p w14:paraId="46281FBF">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c>
          <w:tcPr>
            <w:tcW w:w="680" w:type="pct"/>
            <w:vAlign w:val="center"/>
          </w:tcPr>
          <w:p w14:paraId="0E7FB51E">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r>
      <w:tr w14:paraId="3A77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01" w:type="pct"/>
            <w:vAlign w:val="center"/>
          </w:tcPr>
          <w:p w14:paraId="4D69181A">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99" w:type="pct"/>
            <w:vAlign w:val="center"/>
          </w:tcPr>
          <w:p w14:paraId="010989D2">
            <w:pPr>
              <w:pStyle w:val="38"/>
              <w:adjustRightInd w:val="0"/>
              <w:snapToGrid w:val="0"/>
              <w:spacing w:before="0" w:beforeAutospacing="0" w:after="0" w:afterAutospacing="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里程碑2：</w:t>
            </w:r>
            <w:r>
              <w:rPr>
                <w:rFonts w:hint="eastAsia" w:ascii="宋体" w:hAnsi="宋体" w:eastAsia="宋体" w:cs="宋体"/>
                <w:bCs/>
                <w:color w:val="auto"/>
                <w:sz w:val="21"/>
                <w:szCs w:val="21"/>
                <w:highlight w:val="none"/>
              </w:rPr>
              <w:t>“面向隧道监控摄像机群的重点车辆重识别及统计算法研究”的模型训练和功能开发工作</w:t>
            </w:r>
          </w:p>
        </w:tc>
        <w:tc>
          <w:tcPr>
            <w:tcW w:w="1661" w:type="pct"/>
            <w:vAlign w:val="center"/>
          </w:tcPr>
          <w:p w14:paraId="74020F25">
            <w:pPr>
              <w:pStyle w:val="38"/>
              <w:keepNext w:val="0"/>
              <w:keepLines w:val="0"/>
              <w:pageBreakBefore w:val="0"/>
              <w:widowControl/>
              <w:kinsoku/>
              <w:wordWrap/>
              <w:overflowPunct/>
              <w:topLinePunct w:val="0"/>
              <w:autoSpaceDE/>
              <w:autoSpaceDN/>
              <w:bidi w:val="0"/>
              <w:adjustRightInd w:val="0"/>
              <w:snapToGrid w:val="0"/>
              <w:spacing w:beforeAutospacing="0" w:afterAutospacing="0" w:line="280" w:lineRule="exact"/>
              <w:ind w:left="0" w:firstLine="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 完成模型训练报告和性能评估结果报告1份。</w:t>
            </w:r>
          </w:p>
          <w:p w14:paraId="5129C419">
            <w:pPr>
              <w:pStyle w:val="38"/>
              <w:keepNext w:val="0"/>
              <w:keepLines w:val="0"/>
              <w:pageBreakBefore w:val="0"/>
              <w:widowControl/>
              <w:kinsoku/>
              <w:wordWrap/>
              <w:overflowPunct/>
              <w:topLinePunct w:val="0"/>
              <w:autoSpaceDE/>
              <w:autoSpaceDN/>
              <w:bidi w:val="0"/>
              <w:adjustRightInd w:val="0"/>
              <w:snapToGrid w:val="0"/>
              <w:spacing w:beforeAutospacing="0" w:afterAutospacing="0" w:line="280" w:lineRule="exact"/>
              <w:ind w:left="0" w:firstLine="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 完成模型实地部署测试优化方案1份。</w:t>
            </w:r>
          </w:p>
        </w:tc>
        <w:tc>
          <w:tcPr>
            <w:tcW w:w="320" w:type="pct"/>
            <w:vAlign w:val="center"/>
          </w:tcPr>
          <w:p w14:paraId="298A1F70">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238" w:type="pct"/>
            <w:vAlign w:val="center"/>
          </w:tcPr>
          <w:p w14:paraId="074B94FB">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70" w:type="pct"/>
            <w:vAlign w:val="center"/>
          </w:tcPr>
          <w:p w14:paraId="2DE4B35B">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c>
          <w:tcPr>
            <w:tcW w:w="328" w:type="pct"/>
            <w:vAlign w:val="center"/>
          </w:tcPr>
          <w:p w14:paraId="27C4E7CD">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c>
          <w:tcPr>
            <w:tcW w:w="680" w:type="pct"/>
            <w:vAlign w:val="center"/>
          </w:tcPr>
          <w:p w14:paraId="4074EECA">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r>
      <w:tr w14:paraId="7A48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01" w:type="pct"/>
            <w:vAlign w:val="center"/>
          </w:tcPr>
          <w:p w14:paraId="4CF9A8C2">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99" w:type="pct"/>
            <w:vAlign w:val="center"/>
          </w:tcPr>
          <w:p w14:paraId="3757AD54">
            <w:pPr>
              <w:pStyle w:val="38"/>
              <w:adjustRightInd w:val="0"/>
              <w:snapToGrid w:val="0"/>
              <w:spacing w:before="0" w:beforeAutospacing="0" w:after="0" w:afterAutospacing="0"/>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里程碑3：</w:t>
            </w:r>
            <w:r>
              <w:rPr>
                <w:rFonts w:hint="eastAsia" w:ascii="宋体" w:hAnsi="宋体" w:eastAsia="宋体" w:cs="宋体"/>
                <w:bCs/>
                <w:color w:val="auto"/>
                <w:sz w:val="21"/>
                <w:szCs w:val="21"/>
                <w:highlight w:val="none"/>
              </w:rPr>
              <w:t>“面向高速公路监控摄像机的车辆变道行为检测算法研究”的预处理工作</w:t>
            </w:r>
          </w:p>
        </w:tc>
        <w:tc>
          <w:tcPr>
            <w:tcW w:w="1661" w:type="pct"/>
            <w:vAlign w:val="center"/>
          </w:tcPr>
          <w:p w14:paraId="08F4E565">
            <w:pPr>
              <w:pStyle w:val="38"/>
              <w:keepNext w:val="0"/>
              <w:keepLines w:val="0"/>
              <w:pageBreakBefore w:val="0"/>
              <w:widowControl/>
              <w:kinsoku/>
              <w:wordWrap/>
              <w:overflowPunct/>
              <w:topLinePunct w:val="0"/>
              <w:autoSpaceDE/>
              <w:autoSpaceDN/>
              <w:bidi w:val="0"/>
              <w:adjustRightInd w:val="0"/>
              <w:snapToGrid w:val="0"/>
              <w:spacing w:beforeAutospacing="0" w:afterAutospacing="0" w:line="280" w:lineRule="exact"/>
              <w:ind w:left="0" w:firstLine="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bidi="ar"/>
              </w:rPr>
              <w:tab/>
            </w:r>
            <w:r>
              <w:rPr>
                <w:rFonts w:hint="eastAsia" w:ascii="宋体" w:hAnsi="宋体" w:eastAsia="宋体" w:cs="宋体"/>
                <w:color w:val="auto"/>
                <w:sz w:val="21"/>
                <w:szCs w:val="21"/>
                <w:highlight w:val="none"/>
                <w:lang w:bidi="ar"/>
              </w:rPr>
              <w:t>完成相关数据收集和预处理工作，形成相关完成报告1份。</w:t>
            </w:r>
          </w:p>
          <w:p w14:paraId="73948FD7">
            <w:pPr>
              <w:pStyle w:val="38"/>
              <w:keepNext w:val="0"/>
              <w:keepLines w:val="0"/>
              <w:pageBreakBefore w:val="0"/>
              <w:widowControl/>
              <w:kinsoku/>
              <w:wordWrap/>
              <w:overflowPunct/>
              <w:topLinePunct w:val="0"/>
              <w:autoSpaceDE/>
              <w:autoSpaceDN/>
              <w:bidi w:val="0"/>
              <w:adjustRightInd w:val="0"/>
              <w:snapToGrid w:val="0"/>
              <w:spacing w:before="0" w:beforeAutospacing="0" w:after="0" w:afterAutospacing="0" w:line="280" w:lineRule="exact"/>
              <w:ind w:left="0" w:firstLine="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bidi="ar"/>
              </w:rPr>
              <w:tab/>
            </w:r>
            <w:r>
              <w:rPr>
                <w:rFonts w:hint="eastAsia" w:ascii="宋体" w:hAnsi="宋体" w:eastAsia="宋体" w:cs="宋体"/>
                <w:color w:val="auto"/>
                <w:sz w:val="21"/>
                <w:szCs w:val="21"/>
                <w:highlight w:val="none"/>
                <w:lang w:bidi="ar"/>
              </w:rPr>
              <w:t>完成备选深度学习模型选择和测试，形成相关完成报告1份。</w:t>
            </w:r>
          </w:p>
        </w:tc>
        <w:tc>
          <w:tcPr>
            <w:tcW w:w="320" w:type="pct"/>
            <w:vAlign w:val="center"/>
          </w:tcPr>
          <w:p w14:paraId="18999710">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238" w:type="pct"/>
            <w:vAlign w:val="center"/>
          </w:tcPr>
          <w:p w14:paraId="42DC4289">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70" w:type="pct"/>
            <w:vAlign w:val="center"/>
          </w:tcPr>
          <w:p w14:paraId="74B752FC">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c>
          <w:tcPr>
            <w:tcW w:w="328" w:type="pct"/>
            <w:vAlign w:val="center"/>
          </w:tcPr>
          <w:p w14:paraId="4530A3E0">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c>
          <w:tcPr>
            <w:tcW w:w="680" w:type="pct"/>
            <w:vAlign w:val="center"/>
          </w:tcPr>
          <w:p w14:paraId="2FF5B1D3">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r>
      <w:tr w14:paraId="1F8C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01" w:type="pct"/>
            <w:vAlign w:val="center"/>
          </w:tcPr>
          <w:p w14:paraId="6D08BED5">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99" w:type="pct"/>
            <w:vAlign w:val="center"/>
          </w:tcPr>
          <w:p w14:paraId="57C55114">
            <w:pPr>
              <w:pStyle w:val="38"/>
              <w:adjustRightInd w:val="0"/>
              <w:snapToGrid w:val="0"/>
              <w:spacing w:before="0" w:beforeAutospacing="0" w:after="0" w:afterAutospacing="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里程碑4：</w:t>
            </w:r>
            <w:r>
              <w:rPr>
                <w:rFonts w:hint="eastAsia" w:ascii="宋体" w:hAnsi="宋体" w:eastAsia="宋体" w:cs="宋体"/>
                <w:color w:val="auto"/>
                <w:sz w:val="21"/>
                <w:szCs w:val="21"/>
                <w:highlight w:val="none"/>
                <w:lang w:bidi="ar"/>
              </w:rPr>
              <w:t>“面向隧道监控摄像机群的重点车辆重识别及统计算法研究”的系统集成部署与优化</w:t>
            </w:r>
          </w:p>
        </w:tc>
        <w:tc>
          <w:tcPr>
            <w:tcW w:w="1661" w:type="pct"/>
            <w:vAlign w:val="center"/>
          </w:tcPr>
          <w:p w14:paraId="42F0F5E0">
            <w:pPr>
              <w:pStyle w:val="38"/>
              <w:keepNext w:val="0"/>
              <w:keepLines w:val="0"/>
              <w:pageBreakBefore w:val="0"/>
              <w:widowControl/>
              <w:kinsoku/>
              <w:wordWrap/>
              <w:overflowPunct/>
              <w:topLinePunct w:val="0"/>
              <w:autoSpaceDE/>
              <w:autoSpaceDN/>
              <w:bidi w:val="0"/>
              <w:adjustRightInd w:val="0"/>
              <w:snapToGrid w:val="0"/>
              <w:spacing w:beforeAutospacing="0" w:afterAutospacing="0" w:line="280" w:lineRule="exact"/>
              <w:ind w:left="0" w:firstLine="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bidi="ar"/>
              </w:rPr>
              <w:tab/>
            </w:r>
            <w:r>
              <w:rPr>
                <w:rFonts w:hint="eastAsia" w:ascii="宋体" w:hAnsi="宋体" w:eastAsia="宋体" w:cs="宋体"/>
                <w:color w:val="auto"/>
                <w:sz w:val="21"/>
                <w:szCs w:val="21"/>
                <w:highlight w:val="none"/>
                <w:lang w:bidi="ar"/>
              </w:rPr>
              <w:t>完成系统集成和测试方案、实验室测试报告。</w:t>
            </w:r>
          </w:p>
          <w:p w14:paraId="56EB62A3">
            <w:pPr>
              <w:pStyle w:val="38"/>
              <w:keepNext w:val="0"/>
              <w:keepLines w:val="0"/>
              <w:pageBreakBefore w:val="0"/>
              <w:widowControl/>
              <w:kinsoku/>
              <w:wordWrap/>
              <w:overflowPunct/>
              <w:topLinePunct w:val="0"/>
              <w:autoSpaceDE/>
              <w:autoSpaceDN/>
              <w:bidi w:val="0"/>
              <w:adjustRightInd w:val="0"/>
              <w:snapToGrid w:val="0"/>
              <w:spacing w:before="0" w:beforeAutospacing="0" w:after="0" w:afterAutospacing="0" w:line="280" w:lineRule="exact"/>
              <w:ind w:left="0" w:firstLine="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bidi="ar"/>
              </w:rPr>
              <w:tab/>
            </w:r>
            <w:r>
              <w:rPr>
                <w:rFonts w:hint="eastAsia" w:ascii="宋体" w:hAnsi="宋体" w:eastAsia="宋体" w:cs="宋体"/>
                <w:color w:val="auto"/>
                <w:sz w:val="21"/>
                <w:szCs w:val="21"/>
                <w:highlight w:val="none"/>
                <w:lang w:bidi="ar"/>
              </w:rPr>
              <w:t>完成现场部署报告、现场测试报告和性能评估结果。</w:t>
            </w:r>
          </w:p>
        </w:tc>
        <w:tc>
          <w:tcPr>
            <w:tcW w:w="320" w:type="pct"/>
            <w:vAlign w:val="center"/>
          </w:tcPr>
          <w:p w14:paraId="5BAF026A">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238" w:type="pct"/>
            <w:vAlign w:val="center"/>
          </w:tcPr>
          <w:p w14:paraId="23DB5517">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70" w:type="pct"/>
            <w:vAlign w:val="center"/>
          </w:tcPr>
          <w:p w14:paraId="79B73631">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c>
          <w:tcPr>
            <w:tcW w:w="328" w:type="pct"/>
            <w:vAlign w:val="center"/>
          </w:tcPr>
          <w:p w14:paraId="4A6A5D77">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c>
          <w:tcPr>
            <w:tcW w:w="680" w:type="pct"/>
            <w:vAlign w:val="center"/>
          </w:tcPr>
          <w:p w14:paraId="5B6AD6A2">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r>
      <w:tr w14:paraId="722F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01" w:type="pct"/>
            <w:vAlign w:val="center"/>
          </w:tcPr>
          <w:p w14:paraId="7AB5C782">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99" w:type="pct"/>
            <w:vAlign w:val="center"/>
          </w:tcPr>
          <w:p w14:paraId="26F9CAE5">
            <w:pPr>
              <w:pStyle w:val="38"/>
              <w:adjustRightInd w:val="0"/>
              <w:snapToGrid w:val="0"/>
              <w:spacing w:before="0" w:beforeAutospacing="0" w:after="0" w:afterAutospacing="0"/>
              <w:jc w:val="both"/>
              <w:rPr>
                <w:rFonts w:hint="eastAsia" w:ascii="宋体" w:hAnsi="宋体" w:eastAsia="宋体" w:cs="宋体"/>
                <w:color w:val="auto"/>
                <w:sz w:val="21"/>
                <w:szCs w:val="21"/>
                <w:highlight w:val="none"/>
                <w:lang w:bidi="ar"/>
              </w:rPr>
            </w:pPr>
            <w:r>
              <w:rPr>
                <w:rFonts w:hint="eastAsia" w:ascii="宋体" w:hAnsi="宋体" w:eastAsia="宋体" w:cs="宋体"/>
                <w:b/>
                <w:color w:val="auto"/>
                <w:sz w:val="21"/>
                <w:szCs w:val="21"/>
                <w:highlight w:val="none"/>
              </w:rPr>
              <w:t>里程碑5：</w:t>
            </w:r>
            <w:r>
              <w:rPr>
                <w:rFonts w:hint="eastAsia" w:ascii="宋体" w:hAnsi="宋体" w:eastAsia="宋体" w:cs="宋体"/>
                <w:color w:val="auto"/>
                <w:sz w:val="21"/>
                <w:szCs w:val="21"/>
                <w:highlight w:val="none"/>
                <w:lang w:bidi="ar"/>
              </w:rPr>
              <w:t>“面向</w:t>
            </w:r>
            <w:r>
              <w:rPr>
                <w:rFonts w:hint="eastAsia" w:ascii="宋体" w:hAnsi="宋体" w:eastAsia="宋体" w:cs="宋体"/>
                <w:bCs/>
                <w:color w:val="auto"/>
                <w:sz w:val="21"/>
                <w:szCs w:val="21"/>
                <w:highlight w:val="none"/>
              </w:rPr>
              <w:t>高速公路</w:t>
            </w:r>
            <w:r>
              <w:rPr>
                <w:rFonts w:hint="eastAsia" w:ascii="宋体" w:hAnsi="宋体" w:eastAsia="宋体" w:cs="宋体"/>
                <w:color w:val="auto"/>
                <w:sz w:val="21"/>
                <w:szCs w:val="21"/>
                <w:highlight w:val="none"/>
                <w:lang w:bidi="ar"/>
              </w:rPr>
              <w:t>监控摄像机的车辆变道行为检测算法研究”的模型训练和功能开发工作</w:t>
            </w:r>
          </w:p>
        </w:tc>
        <w:tc>
          <w:tcPr>
            <w:tcW w:w="1661" w:type="pct"/>
            <w:vAlign w:val="center"/>
          </w:tcPr>
          <w:p w14:paraId="0248AAA9">
            <w:pPr>
              <w:pStyle w:val="38"/>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0" w:afterAutospacing="0" w:line="280" w:lineRule="exact"/>
              <w:ind w:left="0" w:firstLine="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完成模型功能开发和性能评估结果1份。</w:t>
            </w:r>
          </w:p>
          <w:p w14:paraId="2CDE90B4">
            <w:pPr>
              <w:pStyle w:val="38"/>
              <w:keepNext w:val="0"/>
              <w:keepLines w:val="0"/>
              <w:pageBreakBefore w:val="0"/>
              <w:widowControl/>
              <w:numPr>
                <w:ilvl w:val="0"/>
                <w:numId w:val="5"/>
              </w:numPr>
              <w:kinsoku/>
              <w:wordWrap/>
              <w:overflowPunct/>
              <w:topLinePunct w:val="0"/>
              <w:autoSpaceDE/>
              <w:autoSpaceDN/>
              <w:bidi w:val="0"/>
              <w:adjustRightInd w:val="0"/>
              <w:snapToGrid w:val="0"/>
              <w:spacing w:before="0" w:beforeAutospacing="0" w:after="0" w:afterAutospacing="0" w:line="280" w:lineRule="exact"/>
              <w:ind w:left="0" w:firstLine="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申请实用新型专利 1项、申请软件著作权 1项。</w:t>
            </w:r>
          </w:p>
        </w:tc>
        <w:tc>
          <w:tcPr>
            <w:tcW w:w="320" w:type="pct"/>
            <w:vAlign w:val="center"/>
          </w:tcPr>
          <w:p w14:paraId="5AF3C127">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238" w:type="pct"/>
            <w:vAlign w:val="center"/>
          </w:tcPr>
          <w:p w14:paraId="1DC0093B">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70" w:type="pct"/>
            <w:vAlign w:val="center"/>
          </w:tcPr>
          <w:p w14:paraId="45B3930B">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c>
          <w:tcPr>
            <w:tcW w:w="328" w:type="pct"/>
            <w:vAlign w:val="center"/>
          </w:tcPr>
          <w:p w14:paraId="42B318AD">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c>
          <w:tcPr>
            <w:tcW w:w="680" w:type="pct"/>
            <w:vAlign w:val="center"/>
          </w:tcPr>
          <w:p w14:paraId="04761495">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r>
      <w:tr w14:paraId="0A73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01" w:type="pct"/>
            <w:vAlign w:val="center"/>
          </w:tcPr>
          <w:p w14:paraId="79EE5A35">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99" w:type="pct"/>
            <w:vAlign w:val="center"/>
          </w:tcPr>
          <w:p w14:paraId="37397507">
            <w:pPr>
              <w:pStyle w:val="38"/>
              <w:adjustRightInd w:val="0"/>
              <w:snapToGrid w:val="0"/>
              <w:spacing w:before="0" w:beforeAutospacing="0" w:after="0" w:afterAutospacing="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里程碑6：</w:t>
            </w:r>
            <w:r>
              <w:rPr>
                <w:rFonts w:hint="eastAsia" w:ascii="宋体" w:hAnsi="宋体" w:eastAsia="宋体" w:cs="宋体"/>
                <w:color w:val="auto"/>
                <w:sz w:val="21"/>
                <w:szCs w:val="21"/>
                <w:highlight w:val="none"/>
                <w:lang w:bidi="ar"/>
              </w:rPr>
              <w:t>“面向隧道监控摄像机群的重点车辆重识别及统计算法研究”的项目收尾和成果申报。</w:t>
            </w:r>
          </w:p>
        </w:tc>
        <w:tc>
          <w:tcPr>
            <w:tcW w:w="1661" w:type="pct"/>
            <w:vAlign w:val="center"/>
          </w:tcPr>
          <w:p w14:paraId="2C1163C0">
            <w:pPr>
              <w:pStyle w:val="38"/>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0" w:afterAutospacing="0" w:line="280" w:lineRule="exact"/>
              <w:ind w:left="0" w:firstLine="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完成项目总结报告和技术手册1份。</w:t>
            </w:r>
          </w:p>
          <w:p w14:paraId="6751088D">
            <w:pPr>
              <w:pStyle w:val="38"/>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0" w:afterAutospacing="0" w:line="280" w:lineRule="exact"/>
              <w:ind w:left="0" w:firstLine="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申请实用新型专利 1项、申请软件著作权 1项。</w:t>
            </w:r>
          </w:p>
          <w:p w14:paraId="52C8BA75">
            <w:pPr>
              <w:pStyle w:val="38"/>
              <w:keepNext w:val="0"/>
              <w:keepLines w:val="0"/>
              <w:pageBreakBefore w:val="0"/>
              <w:widowControl/>
              <w:numPr>
                <w:ilvl w:val="0"/>
                <w:numId w:val="6"/>
              </w:numPr>
              <w:kinsoku/>
              <w:wordWrap/>
              <w:overflowPunct/>
              <w:topLinePunct w:val="0"/>
              <w:autoSpaceDE/>
              <w:autoSpaceDN/>
              <w:bidi w:val="0"/>
              <w:adjustRightInd w:val="0"/>
              <w:snapToGrid w:val="0"/>
              <w:spacing w:before="0" w:beforeAutospacing="0" w:after="0" w:afterAutospacing="0" w:line="280" w:lineRule="exact"/>
              <w:ind w:left="0" w:firstLine="0"/>
              <w:jc w:val="left"/>
              <w:textAlignment w:val="auto"/>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发表SCI论文1篇。</w:t>
            </w:r>
          </w:p>
        </w:tc>
        <w:tc>
          <w:tcPr>
            <w:tcW w:w="320" w:type="pct"/>
            <w:vAlign w:val="center"/>
          </w:tcPr>
          <w:p w14:paraId="25255C9F">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238" w:type="pct"/>
            <w:vAlign w:val="center"/>
          </w:tcPr>
          <w:p w14:paraId="5BB12537">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70" w:type="pct"/>
            <w:vAlign w:val="center"/>
          </w:tcPr>
          <w:p w14:paraId="29BA2A16">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c>
          <w:tcPr>
            <w:tcW w:w="328" w:type="pct"/>
            <w:vAlign w:val="center"/>
          </w:tcPr>
          <w:p w14:paraId="53B2E416">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c>
          <w:tcPr>
            <w:tcW w:w="680" w:type="pct"/>
            <w:vAlign w:val="center"/>
          </w:tcPr>
          <w:p w14:paraId="3081404A">
            <w:pPr>
              <w:pStyle w:val="38"/>
              <w:adjustRightInd w:val="0"/>
              <w:snapToGrid w:val="0"/>
              <w:spacing w:before="0" w:beforeAutospacing="0" w:after="0" w:afterAutospacing="0"/>
              <w:jc w:val="center"/>
              <w:rPr>
                <w:rFonts w:hint="eastAsia" w:ascii="宋体" w:hAnsi="宋体" w:eastAsia="宋体" w:cs="宋体"/>
                <w:color w:val="auto"/>
                <w:sz w:val="21"/>
                <w:szCs w:val="21"/>
                <w:highlight w:val="none"/>
              </w:rPr>
            </w:pPr>
          </w:p>
        </w:tc>
      </w:tr>
      <w:tr w14:paraId="0AB2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421" w:type="pct"/>
            <w:gridSpan w:val="5"/>
            <w:vAlign w:val="center"/>
          </w:tcPr>
          <w:p w14:paraId="1D6C5B95">
            <w:pPr>
              <w:pStyle w:val="38"/>
              <w:spacing w:before="0" w:beforeAutospacing="0" w:after="0" w:afterAutospacing="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578" w:type="pct"/>
            <w:gridSpan w:val="3"/>
            <w:vAlign w:val="center"/>
          </w:tcPr>
          <w:p w14:paraId="66707E72">
            <w:pPr>
              <w:pStyle w:val="38"/>
              <w:spacing w:before="0" w:beforeAutospacing="0" w:after="0" w:afterAutospacing="0" w:line="400" w:lineRule="exact"/>
              <w:jc w:val="center"/>
              <w:rPr>
                <w:rFonts w:hint="eastAsia" w:ascii="宋体" w:hAnsi="宋体" w:eastAsia="宋体" w:cs="宋体"/>
                <w:color w:val="auto"/>
                <w:sz w:val="21"/>
                <w:szCs w:val="21"/>
                <w:highlight w:val="none"/>
              </w:rPr>
            </w:pPr>
          </w:p>
        </w:tc>
      </w:tr>
    </w:tbl>
    <w:p w14:paraId="224F7E4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p>
    <w:p w14:paraId="3186BD9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模块开发的目标</w:t>
      </w:r>
    </w:p>
    <w:p w14:paraId="03415A9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模块整体功能符合甲方所描述的经营和管理等要求，应达到正确性、效率、安全性、可靠性、开放性、实用性等的技术指标。</w:t>
      </w:r>
    </w:p>
    <w:p w14:paraId="2BCB2695">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模块开发的交付进度和时间</w:t>
      </w:r>
    </w:p>
    <w:p w14:paraId="539B7E3A">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（1）本开发模块交付的时间为</w:t>
      </w:r>
      <w:r>
        <w:rPr>
          <w:rFonts w:hint="eastAsia" w:ascii="宋体" w:hAnsi="宋体" w:eastAsia="宋体" w:cs="宋体"/>
          <w:color w:val="auto"/>
          <w:sz w:val="21"/>
          <w:szCs w:val="21"/>
          <w:highlight w:val="none"/>
          <w:u w:val="single"/>
        </w:rPr>
        <w:t>2026</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10</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日；</w:t>
      </w:r>
    </w:p>
    <w:p w14:paraId="58C3E311">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（2）模块开发分为</w:t>
      </w:r>
      <w:r>
        <w:rPr>
          <w:rFonts w:hint="eastAsia" w:ascii="宋体" w:hAnsi="宋体" w:eastAsia="宋体" w:cs="宋体"/>
          <w:color w:val="auto"/>
          <w:sz w:val="21"/>
          <w:szCs w:val="21"/>
          <w:highlight w:val="none"/>
          <w:u w:val="single"/>
        </w:rPr>
        <w:t xml:space="preserve"> 6 </w:t>
      </w:r>
      <w:r>
        <w:rPr>
          <w:rFonts w:hint="eastAsia" w:ascii="宋体" w:hAnsi="宋体" w:eastAsia="宋体" w:cs="宋体"/>
          <w:color w:val="auto"/>
          <w:sz w:val="21"/>
          <w:szCs w:val="21"/>
          <w:highlight w:val="none"/>
        </w:rPr>
        <w:t>个里程碑阶段，每个里程碑阶段的项目完成后，均应该依据本合同附件三所列的检测标准进行检测和交付。甲方将按照本合同的第</w:t>
      </w:r>
      <w:r>
        <w:rPr>
          <w:rFonts w:hint="eastAsia" w:ascii="宋体" w:hAnsi="宋体" w:eastAsia="宋体" w:cs="宋体"/>
          <w:color w:val="auto"/>
          <w:sz w:val="21"/>
          <w:szCs w:val="21"/>
          <w:highlight w:val="none"/>
          <w:u w:val="single"/>
        </w:rPr>
        <w:t xml:space="preserve"> 8 </w:t>
      </w:r>
      <w:r>
        <w:rPr>
          <w:rFonts w:hint="eastAsia" w:ascii="宋体" w:hAnsi="宋体" w:eastAsia="宋体" w:cs="宋体"/>
          <w:color w:val="auto"/>
          <w:sz w:val="21"/>
          <w:szCs w:val="21"/>
          <w:highlight w:val="none"/>
        </w:rPr>
        <w:t>条规定进行付款。乙方开发模块或引用的检测标准不得低于企业的标准。其具体规格、检测标准、阶段和进度、交付时间与地点、付款方式等见本合同及附件。</w:t>
      </w:r>
    </w:p>
    <w:p w14:paraId="7109A383">
      <w:pPr>
        <w:tabs>
          <w:tab w:val="left" w:pos="2880"/>
          <w:tab w:val="left" w:pos="7020"/>
        </w:tabs>
        <w:spacing w:line="360" w:lineRule="auto"/>
        <w:ind w:right="178" w:rightChars="85" w:firstLine="482"/>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第3条 模块开发</w:t>
      </w:r>
    </w:p>
    <w:p w14:paraId="0EEEF93B">
      <w:pPr>
        <w:tabs>
          <w:tab w:val="left" w:pos="2880"/>
          <w:tab w:val="left" w:pos="7020"/>
        </w:tabs>
        <w:spacing w:line="360" w:lineRule="auto"/>
        <w:ind w:right="178" w:rightChars="85"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开发</w:t>
      </w:r>
    </w:p>
    <w:p w14:paraId="79CD4BCA">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自本合同签订之日起，乙方应尽力履行其在开发计划中所规定的义务，按时完成并交付每一项里程碑，其质量标准应符合附件一的规定。</w:t>
      </w:r>
    </w:p>
    <w:p w14:paraId="62EADFA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转包或分包</w:t>
      </w:r>
    </w:p>
    <w:p w14:paraId="086F375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本合同项下的项目禁止违法转包。</w:t>
      </w:r>
    </w:p>
    <w:p w14:paraId="7473C09A">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项目管理（供选择）</w:t>
      </w:r>
    </w:p>
    <w:p w14:paraId="53AE786A">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各方指派代表组成本模型开发管理小组，管理本模型的开发。管理小组成员名单和通讯方式见附件四。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甲方有权在认为必要时，要求乙方更换不符合要求的项目管理小组成员，乙方应在【5】个工作日内完成更换，并承担因更换导致的额外费用，若因乙方成员更换导致项目进度或质量受到影响，乙方应承担相应责任。</w:t>
      </w:r>
    </w:p>
    <w:p w14:paraId="4C7FD099">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信息与资料</w:t>
      </w:r>
    </w:p>
    <w:p w14:paraId="36C405E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应互相配合，充分沟通。乙方有权根据本合同的规定和项目需要，向甲方了解有关情况，调阅有关资料，向有关职能人员调查、了解甲方现有的相关数据和资料，以对该模块进行全面的研究和设计。甲方应予以积极配合，向乙方提供有关信息与资料，特别是有关甲方对开发模块的功能和目标需求方面的信息和资料。如甲方对乙方完成本合同所需的甲方所有的信息和资料不予提供，则由甲方承担不予提供的损害后果。</w:t>
      </w:r>
    </w:p>
    <w:p w14:paraId="4F9BE157">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第三方监理</w:t>
      </w:r>
    </w:p>
    <w:p w14:paraId="5213A2D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聘请第三方作为本模块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14:paraId="47090960">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第4条 项目变更</w:t>
      </w:r>
    </w:p>
    <w:p w14:paraId="07AC4A8E">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维护和兼顾各方的利益，确保开发模块的质量，在本合同签署后，甲、乙双方均有权在履行本合同的过程中合理地提出变更、扩展、替换或修改本项目的某些部分的请求，包括增加或减少模型的相应功能/提高或提升有关技术参数/变更交付或安装的时间与地点。为此，双方同意：</w:t>
      </w:r>
    </w:p>
    <w:p w14:paraId="3777C1B9">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若甲方提出部分项目的变更建议，甲方应该将变更请求以书面形式提交给乙方。乙方应当在</w:t>
      </w:r>
      <w:r>
        <w:rPr>
          <w:rFonts w:hint="eastAsia" w:ascii="宋体" w:hAnsi="宋体" w:eastAsia="宋体" w:cs="宋体"/>
          <w:color w:val="auto"/>
          <w:sz w:val="21"/>
          <w:szCs w:val="21"/>
          <w:highlight w:val="none"/>
          <w:u w:val="single"/>
        </w:rPr>
        <w:t xml:space="preserve"> 7</w:t>
      </w:r>
      <w:r>
        <w:rPr>
          <w:rFonts w:hint="eastAsia" w:ascii="宋体" w:hAnsi="宋体" w:eastAsia="宋体" w:cs="宋体"/>
          <w:color w:val="auto"/>
          <w:sz w:val="21"/>
          <w:szCs w:val="21"/>
          <w:highlight w:val="none"/>
        </w:rPr>
        <w:t>个工作日内对此作出书面回复，其内容包括该变更对合同价格、项目交付日期、模块的系统性能、项目技术参数的影响和变化以及对合同条款的影响等；若乙方未能在规定时间内回复的，则视为已回复且同意甲方提出的所有变更建议。</w:t>
      </w:r>
    </w:p>
    <w:p w14:paraId="4D27FEAD">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甲方在收到乙方的上述回复后，应在</w:t>
      </w:r>
      <w:r>
        <w:rPr>
          <w:rFonts w:hint="eastAsia" w:ascii="宋体" w:hAnsi="宋体" w:eastAsia="宋体" w:cs="宋体"/>
          <w:color w:val="auto"/>
          <w:sz w:val="21"/>
          <w:szCs w:val="21"/>
          <w:highlight w:val="none"/>
          <w:u w:val="single"/>
        </w:rPr>
        <w:t xml:space="preserve"> 7个</w:t>
      </w:r>
      <w:r>
        <w:rPr>
          <w:rFonts w:hint="eastAsia" w:ascii="宋体" w:hAnsi="宋体" w:eastAsia="宋体" w:cs="宋体"/>
          <w:color w:val="auto"/>
          <w:sz w:val="21"/>
          <w:szCs w:val="21"/>
          <w:highlight w:val="none"/>
        </w:rPr>
        <w:t>工作日内以书面方式通知乙方是否接受上述回复。如果甲方接受乙方的上述回复，则双方应对此变更以书面形式确认，并按变更后的约定履行本合同。</w:t>
      </w:r>
    </w:p>
    <w:p w14:paraId="1FB22DBD">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如果甲方不同意乙方有关合同价格变化和项目交付日期变更的回复，但上述变更如不执行，将会影响开发模块的正常使用或主要功能，则乙方应执行甲方变更要求。同时，甲、乙双方均有权按照第十三条的规定解决争议。在争议解决之前，乙方应按照甲方的书面通知要求执行。</w:t>
      </w:r>
    </w:p>
    <w:p w14:paraId="3237E63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如乙方提出部分项目的变更建议，乙方应同时详细阐明该变更对合同价格、项目交付日期、模块性能、项目技术参数的影响以及对合同条款的影响等情况。</w:t>
      </w:r>
    </w:p>
    <w:p w14:paraId="231A8EC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甲方在收到乙方的上述变更建议后，应在</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工作日内以书面形式通知乙方是否同意和接受乙方的上述变更建议。如果甲方同意乙方提出的变更建议，则双方对此变更建议以书面形式确认，双方按变更后的约定履行本合同。如甲方不同意乙方的上述建议，双方仍按原合同执行。</w:t>
      </w:r>
    </w:p>
    <w:p w14:paraId="532FAAFC">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第5条 交付、领受与验收</w:t>
      </w:r>
    </w:p>
    <w:p w14:paraId="4001C6F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交付</w:t>
      </w:r>
    </w:p>
    <w:p w14:paraId="7D2562E8">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 乙方应在进行每项交付前7个工作日内，以书面方式通知甲方。甲方应当在接到通知后的7个工作日内安排接受交付。乙方在交付前应根据本合同所列的检测标准对该交付件进行测试，以确认其符合本合同的规定。</w:t>
      </w:r>
    </w:p>
    <w:p w14:paraId="3D064AC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 如由于甲方的原因而导致交付不能按照规定的时间进行，乙方将按延期时间顺延交付。</w:t>
      </w:r>
    </w:p>
    <w:p w14:paraId="0FDF5F41">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交付内容</w:t>
      </w:r>
    </w:p>
    <w:p w14:paraId="6275EA2E">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 乙方应按照合同及其附件所约定的内容进行交付，所交付的文档与文件应当是电子版式和可供人阅读的。具体交付内容见附件一。</w:t>
      </w:r>
    </w:p>
    <w:p w14:paraId="0D0A5AB9">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5.2.2 如乙方所交付项目存在故障或问题，经甲方要求，乙方应在15个工作日内帮助处理此项故障或问题，由此而发生的费用由乙方承担。若乙方未能在规定时间内响应或解决问题，甲方有权要求乙方承担由此给甲方带来的所有损失。同时，乙方应在问题解决后的7个工作日内，根据甲方要求向甲方提交详细的问题处理报告，包括问题原因、处理过程及预防措施等。</w:t>
      </w:r>
    </w:p>
    <w:p w14:paraId="7925AA62">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领受</w:t>
      </w:r>
    </w:p>
    <w:p w14:paraId="4DA4F32D">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在领受了上述交付件后，应立即对该交付件进行测试和评估，以确认其是否符合开发模型的功能和规格。如有缺陷，乙方应立即纠正该缺陷，并再次进行测试和评估。甲、乙双方将重复此项程序直至甲方领受，或由甲方依法或依约终止本合同为止。</w:t>
      </w:r>
    </w:p>
    <w:p w14:paraId="437E081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模块试运行</w:t>
      </w:r>
    </w:p>
    <w:p w14:paraId="4DADC881">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5.4.1 自模块交付通过之日起，甲方拥有1个月试运行权利。乙方应在模型试运行期间提供持续的技术支持，在甲方提出技术问题后的7个工作日内给予响应。</w:t>
      </w:r>
    </w:p>
    <w:p w14:paraId="095357A9">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5.4.2 如由于乙方原因，模型在试运行期间出现故障或问题，乙方应及时排除该方面的故障或问题，所引起的相关费用由乙方承担。若乙方未履行上述义务，甲方有权要求乙方承担由此给甲方带来的所有损失。</w:t>
      </w:r>
    </w:p>
    <w:p w14:paraId="40FCCDE2">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5.4.3 乙方应在合理的期限内排除故障或处理问题。如以上故障或问题影响模块基本功能和目标的实现，且排除故障或处理问题的时间超过</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个工作日（自收到甲方通知之日起计），则视为乙方交付违约。</w:t>
      </w:r>
    </w:p>
    <w:p w14:paraId="0A90D7D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 模块验收</w:t>
      </w:r>
    </w:p>
    <w:p w14:paraId="177A9AA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5.5.1 模块试运行完成后，甲方应及时按规定对该模型进行验收。乙方应以书面形式向甲方递交验收申请书，甲方在收到验收申请书的7个工作日内，安排具体日期，由甲、乙双方按照本合同的规定完成模块验收。</w:t>
      </w:r>
    </w:p>
    <w:p w14:paraId="13655A5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5.5.2 如属于甲方原因致使模型未通过验收，如属甲方原有计算机系统故障原因，甲方应在合理时间内排除故障，再进行验收。</w:t>
      </w:r>
    </w:p>
    <w:p w14:paraId="3A393FD7">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第6条 知识产权和使用权</w:t>
      </w:r>
    </w:p>
    <w:p w14:paraId="15E1342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知识产权</w:t>
      </w:r>
    </w:p>
    <w:p w14:paraId="085D7040">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拥有开发模块的知识产权。乙方非经对方同意，不得以任何方式向第三方披露、转让和许可有关的技术成果、计算机软件、技术诀窍、秘密信息、技术资料和文件。除本研发工作需要之外，未得到甲方的书面许可，乙方不得以任何方式商业性地利用上述资料和技术。如乙方违反本条的规定，除立即停止违约行为外，还应支付合同总金额的20%的违约金以及赔偿甲方的损失。</w:t>
      </w:r>
    </w:p>
    <w:p w14:paraId="02CC4569">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 乙方在使用甲方提供的属于第三方软件时，应当依照甲方与第三方对该软件使用的约定进行，否则乙方需承担因其违约使用而导致甲方需承担的全部违约责任及损失赔偿责任。</w:t>
      </w:r>
    </w:p>
    <w:p w14:paraId="5E76B15B">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乙方在领受甲方提供的软件后，应严格遵守相关的知识产权及软件版权保护的法律、法规，并在本合同所规定的范围内使用本软件。乙方因非经授权而实施的商业性复制行为构成违约或侵权责任造成甲方损失的，由其承担相关责任。</w:t>
      </w:r>
    </w:p>
    <w:p w14:paraId="4F0A1B9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 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14:paraId="6068312B">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第7条 维护和培训</w:t>
      </w:r>
    </w:p>
    <w:p w14:paraId="6DC3FC6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模块的维护和支持</w:t>
      </w:r>
    </w:p>
    <w:p w14:paraId="73C72F7B">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乙方同意在本合同规定的期限内按照附件五的规定，向甲方提供模块维护和支持服务。</w:t>
      </w:r>
    </w:p>
    <w:p w14:paraId="717ACFD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项目培训</w:t>
      </w:r>
    </w:p>
    <w:p w14:paraId="196DDCC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乙方应及时对甲方的相关人员和最终用户进行培训，培训目标为受训者能够独立、熟练地完成操作，实现依据本合同所规定的模型的目标和功能。</w:t>
      </w:r>
    </w:p>
    <w:p w14:paraId="2DA7F7EE">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培训计划详见附件五。</w:t>
      </w:r>
    </w:p>
    <w:p w14:paraId="40B6578C">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第8条 价格与付款方式</w:t>
      </w:r>
    </w:p>
    <w:p w14:paraId="40D8DA88">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 价格</w:t>
      </w:r>
    </w:p>
    <w:p w14:paraId="663A819E">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8.1.1合同含税总价款为￥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），其中不含税金额为￥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），税金为￥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%的增值税专用发票。在合同执行过程中，如因国家税务政策调整，当增值税税率提高，本合同含税总价不变；当增值税税率降低，本合同不含税总价不变，并相应减少增值税金额。 </w:t>
      </w:r>
    </w:p>
    <w:p w14:paraId="7DF61610">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8.2付款方式</w:t>
      </w:r>
    </w:p>
    <w:p w14:paraId="5A6F80A9">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8.2.1乙方同意甲方每次向乙方支付的合同款的前提条件是本合同项下的相应模块验收合格，并根据本合同要求向甲方提供中华人民共和国大陆地区合法有效的等额增值税专用发票。</w:t>
      </w:r>
    </w:p>
    <w:p w14:paraId="669C8430">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 合同项下所有款额甲方向乙方在本合同中所约定的银行账户以人民币支付。</w:t>
      </w:r>
    </w:p>
    <w:p w14:paraId="2E105B88">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8.2.3 本合同的支付办法为：</w:t>
      </w:r>
    </w:p>
    <w:p w14:paraId="3FE38A12">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（1）完成里程碑1、2和3内容，并且经验收合格后1个月内支付项目总金额的30%，即人民币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9BA93EB">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（2）完成里程碑4内容，并将算法模型封装成标准组件，部署到甲方指定的运行环境成功且经验收合格后1个月内支付项目总金额的50%，即人民币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F9634DB">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（3）完成里程碑5内容，并将算法模型封装成标准组件，部署到甲方指定的运行环境成功且经验收合格后1个月内支付项目总金额的15%，即人民币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00AF6C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（4）完成里程碑6的内容，支付项目总金额的剩余5%，即人民币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C37FFB9">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 根据本合同的规定，如果乙方有赔偿和/或支付违约金的责任，则甲方有权从上述任何一笔付款中扣除相应金额。</w:t>
      </w:r>
    </w:p>
    <w:p w14:paraId="5127931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 乙方结算账号：</w:t>
      </w:r>
    </w:p>
    <w:tbl>
      <w:tblPr>
        <w:tblStyle w:val="43"/>
        <w:tblW w:w="8322" w:type="dxa"/>
        <w:jc w:val="center"/>
        <w:tblLayout w:type="fixed"/>
        <w:tblCellMar>
          <w:top w:w="0" w:type="dxa"/>
          <w:left w:w="108" w:type="dxa"/>
          <w:bottom w:w="0" w:type="dxa"/>
          <w:right w:w="108" w:type="dxa"/>
        </w:tblCellMar>
      </w:tblPr>
      <w:tblGrid>
        <w:gridCol w:w="1705"/>
        <w:gridCol w:w="6617"/>
      </w:tblGrid>
      <w:tr w14:paraId="7ACD335C">
        <w:trPr>
          <w:trHeight w:val="353" w:hRule="atLeast"/>
          <w:jc w:val="center"/>
        </w:trPr>
        <w:tc>
          <w:tcPr>
            <w:tcW w:w="1705" w:type="dxa"/>
            <w:tcBorders>
              <w:top w:val="single" w:color="auto" w:sz="6" w:space="0"/>
              <w:left w:val="single" w:color="auto" w:sz="6" w:space="0"/>
              <w:bottom w:val="single" w:color="auto" w:sz="6" w:space="0"/>
              <w:right w:val="single" w:color="auto" w:sz="6" w:space="0"/>
            </w:tcBorders>
            <w:vAlign w:val="center"/>
          </w:tcPr>
          <w:p w14:paraId="358A3F7A">
            <w:pPr>
              <w:tabs>
                <w:tab w:val="left" w:pos="40"/>
              </w:tabs>
              <w:ind w:firstLine="33" w:firstLineChars="1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开户银行</w:t>
            </w:r>
          </w:p>
        </w:tc>
        <w:tc>
          <w:tcPr>
            <w:tcW w:w="6617" w:type="dxa"/>
            <w:tcBorders>
              <w:top w:val="single" w:color="auto" w:sz="6" w:space="0"/>
              <w:left w:val="single" w:color="auto" w:sz="6" w:space="0"/>
              <w:bottom w:val="single" w:color="auto" w:sz="6" w:space="0"/>
              <w:right w:val="single" w:color="auto" w:sz="6" w:space="0"/>
            </w:tcBorders>
            <w:vAlign w:val="center"/>
          </w:tcPr>
          <w:p w14:paraId="7BFD1A16">
            <w:pPr>
              <w:widowControl/>
              <w:tabs>
                <w:tab w:val="left" w:pos="410"/>
              </w:tabs>
              <w:autoSpaceDE w:val="0"/>
              <w:autoSpaceDN w:val="0"/>
              <w:ind w:firstLine="420" w:firstLineChars="200"/>
              <w:jc w:val="left"/>
              <w:textAlignment w:val="bottom"/>
              <w:outlineLvl w:val="0"/>
              <w:rPr>
                <w:rFonts w:hint="eastAsia" w:ascii="宋体" w:hAnsi="宋体" w:eastAsia="宋体" w:cs="宋体"/>
                <w:color w:val="auto"/>
                <w:kern w:val="0"/>
                <w:sz w:val="21"/>
                <w:szCs w:val="21"/>
                <w:highlight w:val="none"/>
              </w:rPr>
            </w:pPr>
          </w:p>
        </w:tc>
      </w:tr>
      <w:tr w14:paraId="51953191">
        <w:tblPrEx>
          <w:tblCellMar>
            <w:top w:w="0" w:type="dxa"/>
            <w:left w:w="108" w:type="dxa"/>
            <w:bottom w:w="0" w:type="dxa"/>
            <w:right w:w="108" w:type="dxa"/>
          </w:tblCellMar>
        </w:tblPrEx>
        <w:trPr>
          <w:trHeight w:val="368" w:hRule="atLeast"/>
          <w:jc w:val="center"/>
        </w:trPr>
        <w:tc>
          <w:tcPr>
            <w:tcW w:w="1705" w:type="dxa"/>
            <w:tcBorders>
              <w:top w:val="single" w:color="auto" w:sz="6" w:space="0"/>
              <w:left w:val="single" w:color="auto" w:sz="6" w:space="0"/>
              <w:bottom w:val="single" w:color="auto" w:sz="6" w:space="0"/>
              <w:right w:val="single" w:color="auto" w:sz="6" w:space="0"/>
            </w:tcBorders>
            <w:vAlign w:val="center"/>
          </w:tcPr>
          <w:p w14:paraId="1CA36708">
            <w:pPr>
              <w:tabs>
                <w:tab w:val="left" w:pos="40"/>
              </w:tabs>
              <w:ind w:firstLine="33" w:firstLineChars="16"/>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银行账号</w:t>
            </w:r>
          </w:p>
        </w:tc>
        <w:tc>
          <w:tcPr>
            <w:tcW w:w="6617" w:type="dxa"/>
            <w:tcBorders>
              <w:top w:val="single" w:color="auto" w:sz="6" w:space="0"/>
              <w:left w:val="single" w:color="auto" w:sz="6" w:space="0"/>
              <w:bottom w:val="single" w:color="auto" w:sz="6" w:space="0"/>
              <w:right w:val="single" w:color="auto" w:sz="6" w:space="0"/>
            </w:tcBorders>
            <w:vAlign w:val="center"/>
          </w:tcPr>
          <w:p w14:paraId="0799EA17">
            <w:pPr>
              <w:widowControl/>
              <w:tabs>
                <w:tab w:val="left" w:pos="410"/>
              </w:tabs>
              <w:autoSpaceDE w:val="0"/>
              <w:autoSpaceDN w:val="0"/>
              <w:ind w:firstLine="420" w:firstLineChars="200"/>
              <w:jc w:val="left"/>
              <w:textAlignment w:val="bottom"/>
              <w:outlineLvl w:val="0"/>
              <w:rPr>
                <w:rFonts w:hint="eastAsia" w:ascii="宋体" w:hAnsi="宋体" w:eastAsia="宋体" w:cs="宋体"/>
                <w:color w:val="auto"/>
                <w:kern w:val="0"/>
                <w:sz w:val="21"/>
                <w:szCs w:val="21"/>
                <w:highlight w:val="none"/>
              </w:rPr>
            </w:pPr>
          </w:p>
        </w:tc>
      </w:tr>
    </w:tbl>
    <w:p w14:paraId="54900009">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乙方如需改变上述账户，应提前十日以书面通知甲方。如乙方未按时书面通知甲方变更收款信息时，甲方根据本合同约定的乙方收款信息付款，视为有效履行。</w:t>
      </w:r>
    </w:p>
    <w:p w14:paraId="6825D01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8.5乙方在每次支付</w:t>
      </w:r>
      <w:r>
        <w:rPr>
          <w:rFonts w:hint="eastAsia" w:ascii="宋体" w:hAnsi="宋体" w:eastAsia="宋体" w:cs="宋体"/>
          <w:color w:val="auto"/>
          <w:sz w:val="21"/>
          <w:szCs w:val="21"/>
          <w:highlight w:val="none"/>
          <w:u w:val="single"/>
        </w:rPr>
        <w:t xml:space="preserve"> 7</w:t>
      </w:r>
      <w:r>
        <w:rPr>
          <w:rFonts w:hint="eastAsia" w:ascii="宋体" w:hAnsi="宋体" w:eastAsia="宋体" w:cs="宋体"/>
          <w:color w:val="auto"/>
          <w:sz w:val="21"/>
          <w:szCs w:val="21"/>
          <w:highlight w:val="none"/>
        </w:rPr>
        <w:t>天前申请向甲方开具支付款等额合法有效增值税专用发票（发票金额包含用于抵扣乙方赔偿金、违约金的金额等），经甲方认可后，乙方于每次支付7日前向甲方提供合法有效的发票。因乙方未及时申请或开票造成甲方逾期付款的，甲方无需承担任何逾期付款责任。因乙方开具的发票不规范、不合法或涉嫌虚开发票引起税务问题的，乙方需依法向甲方重新开具发票，并向甲方承担赔偿责任，包括但不限于税款、滞纳金、罚款及相关损失等；因乙方未及时开具发票造成甲方无法及时认证、抵扣发票等情形的，乙方需向甲方承担赔偿责任，包括但不限于税款、滞纳金、罚款及相关损失等。</w:t>
      </w:r>
    </w:p>
    <w:p w14:paraId="61EF7C4B">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 项目增减定价</w:t>
      </w:r>
    </w:p>
    <w:p w14:paraId="68C1CE3D">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在本项目进展过程中，甲、乙双方依据本合同对项目作出任何变更或经双方同意的功能变化或模块的增减等，一方或双方将以上述规定的价格为原则，商定变更后的具体价格。</w:t>
      </w:r>
    </w:p>
    <w:p w14:paraId="4C620B02">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第9条 保证与免责</w:t>
      </w:r>
    </w:p>
    <w:p w14:paraId="1F35B6AA">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9.1乙方保证</w:t>
      </w:r>
    </w:p>
    <w:p w14:paraId="0F6E62D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9.1.1 乙方签署和履行本合同或与本合同相关的文件将不会</w:t>
      </w:r>
    </w:p>
    <w:p w14:paraId="6BCD85F7">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（1）与乙方的章程或其他适用于乙方的法律法规或判决相冲突；</w:t>
      </w:r>
    </w:p>
    <w:p w14:paraId="26B1D5DB">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（2）与乙方同第三人所签署的任何法律文件如保证协议、承诺、合同等规定的义务相冲突或导致任何违约，或使乙方的权利受到约束。</w:t>
      </w:r>
    </w:p>
    <w:p w14:paraId="546AD8E0">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乙方保证：乙方履行本合同项下的义务，授予甲方的许可权没有受到任何第三方的约束或限制，也没有承担任何约束或限制性义务。</w:t>
      </w:r>
    </w:p>
    <w:p w14:paraId="23965DF2">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9.1.3乙方保证：所提供算法模型是标准的、规范的、成熟稳定并可用的；所提供的技术文件是最新的、完备的、清晰的、正确的。</w:t>
      </w:r>
    </w:p>
    <w:p w14:paraId="6B282338">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9.1.4乙方保证：乙方所开发的模型必须符合国家有关模型产品方面的规定和模型标准规范以及甲方现行的相关体制标准的产品；如无前述体制标准，则保证其符合相关国际标准；如无国际标准，则保证其符合行业惯常标准。</w:t>
      </w:r>
    </w:p>
    <w:p w14:paraId="4679FF9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9.1.5乙方承诺：在本合同算法模型被其它算法模型替换的情况下，乙方应免费配合甲方将合同算法模型中全部用户数据置换为通用的可识别的文件。此种情况下，乙方应免费进行合同算法模型的改造及相关配合工作，以满足甲方的要求。</w:t>
      </w:r>
    </w:p>
    <w:p w14:paraId="2A6C80CB">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9.1.6乙方承诺：在甲方要求时免费配合、提供并完成与甲方其它应用系统间的互通性测试，在甲方及相关开发方与乙方签订保密协议并承担保密义务的情形下免费开放相关的接口协议，包括但不限于通信协议、协议的原语、协议中使用的消息集、由协议所交换的数据格式、系统所支持的信息模型、管理目标定义、数据库结构及其他必要的技术文件，上述文件应满足甲方能够自行开发或委托第三方开发与合同算法模型有关的应用模块的要求。乙方进行模型版本升级时应提前1个月提供上述技术文件的修改部分，并在需要时按照买方的技术规范免费修改合同模块以满足与甲方其它应用系统互通的要求。</w:t>
      </w:r>
    </w:p>
    <w:p w14:paraId="6BE7ACB8">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9.1.7 侵权与被诉</w:t>
      </w:r>
    </w:p>
    <w:p w14:paraId="1794D64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乙方保证本算法模型或其授予的权利不会侵犯任何第三人的知识产权或其他权利，也没有其他针对乙方拥有本模型权利的未决诉讼，或甲方行使乙方所授予的模型权利不会侵犯任何第三人的合法权利。</w:t>
      </w:r>
    </w:p>
    <w:p w14:paraId="291900DE">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9.1.8 在乙方所交付的算法模型中，不含任何可以自动终止或妨碍系统运作的模块。</w:t>
      </w:r>
    </w:p>
    <w:p w14:paraId="574FB968">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9.1.9如乙方所交付和许可甲方使用的模型需经国家有关部门登记、备案、审批或许可的，乙方应保证所提供的模型已完成了上述手续。</w:t>
      </w:r>
    </w:p>
    <w:p w14:paraId="1B733C3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侵权赔偿</w:t>
      </w:r>
    </w:p>
    <w:p w14:paraId="63B28D17">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 乙方同意，如有第三方声称甲方或甲方所分许可的顾客使用本算法模型侵犯了第三方的知识产权或其它财产权利，乙方将对由此而引起的任何诉讼或法律请求进行抗辩。乙方同意支付有关判决或和解所确定的赔偿金额（包括但不限于诉讼费、仲裁费、保全费、违约金、赔偿金等）。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14:paraId="4E08ED63">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9.2.2 如本算法模型或其任何部分被依法认定为侵犯第三人的合法权利，或任何依约定使用或分销该模型或行使任何由乙方授予的权利被认定为侵权，乙方应尽力用相等功能的且非侵权的模块替换本模块，或取得相关授权，以使甲方能够继续享有本合同所规定的各项权利。</w:t>
      </w:r>
    </w:p>
    <w:p w14:paraId="7F907FD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9.2.3 如果乙方经合理和具有事实根据的判断，认为本模型或其任何部分可能被依法认定为侵犯第三人合法权利的，或使用或分销该模型或甲方行使由乙方授予的权利可能被认定为侵权的，乙方可以用相类似的具有相同功能的非侵权模块替换本模块，或尽力取得必要的相关授权，以使甲方能够继续享有本合同所规定的各项权利，乙方除违约金外，还应赔偿由此给甲方造成的一切直接或间接损失。但乙方对甲方由于使用了相关的非法模块，或在本算法模型中使用了非乙方提供的模块，或该算法模型中非乙方对本模块的修改而导致的侵权不承担责任。</w:t>
      </w:r>
    </w:p>
    <w:p w14:paraId="171C70AA">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9.2.4 如果乙方及其工作人员出现的安全事故、侵权事件，遭受人身损害或财产损失等均由乙方承担全部责任和费用，与甲方无关。乙方因未履行本合同和（或）其履行不符合本合同的约定而造成安全事故、造成甲方损失和（或）第三方损失的，乙方除应承担违约责任外，还应完全赔偿给甲方和（或）第三方造成的全部损失。</w:t>
      </w:r>
    </w:p>
    <w:p w14:paraId="6668FC2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 甲方保证</w:t>
      </w:r>
    </w:p>
    <w:p w14:paraId="46717FD3">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甲方签署和履行本合同或与本合同相关的文件将不会产生冲突：</w:t>
      </w:r>
    </w:p>
    <w:p w14:paraId="0B52A95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（1）与甲方的章程或其他适用于甲方的法律法规或判决等相冲突；</w:t>
      </w:r>
    </w:p>
    <w:p w14:paraId="40FA54CE">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（2）与甲方同第三人所签署的任何法律文件如保证协议、承诺、合同等中的义务相冲突或导致任何违约，或使乙方的权利受到约束。</w:t>
      </w:r>
    </w:p>
    <w:p w14:paraId="0003A04A">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第10条 保密</w:t>
      </w:r>
    </w:p>
    <w:p w14:paraId="48BE6C58">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信息传递</w:t>
      </w:r>
    </w:p>
    <w:p w14:paraId="372F4E71">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在本合同的履行期内，任何一方可以获得与本项目相关的对方的商业秘密，对此双方皆应谨慎地进行披露和接受。</w:t>
      </w:r>
    </w:p>
    <w:p w14:paraId="026B62C5">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保密</w:t>
      </w:r>
    </w:p>
    <w:p w14:paraId="2DDACC59">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拥有信息的一方（“提供方”）根据本合同向另一方（“接受方”）提供的信息，包括但不限于技术性信息、商业性信息、文件、程序、计划、技术、图表、模型、参数、数据、标准、专有技术、业务或业务运作方法以及其他专有信息，本合同的条款和与本合同有关的其他商业信息和技术信息(以下统称“保密信息”)，只能由接受方及其人员为本合同目的而使用。除本合同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甲方关联公司。</w:t>
      </w:r>
    </w:p>
    <w:p w14:paraId="7566A752">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 提供方向接受方提供或披露的保密信息，仅可由接受方为执行本合同需要披露给指定的雇员，并且仅在为执行本合同所需的范围内进行该等披露；但是，接受方在采取一切合理的预防措施之前，不得向其雇员披露任何保密信息，该等预防措施包括但不限于告知该等雇员将要披露信息的保密性质，由该雇员做出至少与本合同保密义务一样严格的保密承诺等，以防止该雇员为个人利益使用保密信息或向任何第三方做出未经授权的任何披露。</w:t>
      </w:r>
    </w:p>
    <w:p w14:paraId="1FD8D4E5">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接受方的律师、会计师、承包商和顾问为提供专业协助而需要了解保密信息时，接受方可向其披露保密信息，但是，其应要求上述人员签订保密协议和按照有关职业道德标准履行保密义务。</w:t>
      </w:r>
    </w:p>
    <w:p w14:paraId="04A65C83">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 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合理的努力确保该等被披露的信息获得有关政府机关或机构的保密待遇。</w:t>
      </w:r>
    </w:p>
    <w:p w14:paraId="66EF4630">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 本条所规定的保密义务永久持续有效。</w:t>
      </w:r>
    </w:p>
    <w:p w14:paraId="2DBCAF1E">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 非竞争</w:t>
      </w:r>
    </w:p>
    <w:p w14:paraId="207760F5">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甲、乙双方同意，在本合同实施过程中以及本合同履行完毕后的 </w:t>
      </w:r>
      <w:r>
        <w:rPr>
          <w:rFonts w:hint="eastAsia" w:ascii="宋体" w:hAnsi="宋体" w:eastAsia="宋体" w:cs="宋体"/>
          <w:color w:val="auto"/>
          <w:sz w:val="21"/>
          <w:szCs w:val="21"/>
          <w:highlight w:val="none"/>
          <w:u w:val="single"/>
        </w:rPr>
        <w:t>3</w:t>
      </w:r>
      <w:r>
        <w:rPr>
          <w:rFonts w:hint="eastAsia" w:ascii="宋体" w:hAnsi="宋体" w:eastAsia="宋体" w:cs="宋体"/>
          <w:color w:val="auto"/>
          <w:sz w:val="21"/>
          <w:szCs w:val="21"/>
          <w:highlight w:val="none"/>
        </w:rPr>
        <w:t>年内，双方均不得使用在履行本项目过程中得到的对方商业秘密，从事与对方有竞争性的业务，也不得采取任何方式聘用本开发项目中的对方相关技术或管理人员。</w:t>
      </w:r>
    </w:p>
    <w:p w14:paraId="34B946D2">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上述保密义务不适用以下情况</w:t>
      </w:r>
    </w:p>
    <w:p w14:paraId="614BE3E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10.8.1在一方披露时，已经是公众所知的信息，或者在披露后，并非由于接受方或其雇员、律师、会计师、承包商、顾问或者其他人员的过失而成为公众所知的信息；</w:t>
      </w:r>
    </w:p>
    <w:p w14:paraId="64C1F047">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10.8.2有书面证据证明在披露时已经由接受方掌握的信息，而且信息并非直接或间接来自提供方；</w:t>
      </w:r>
    </w:p>
    <w:p w14:paraId="7CC45F2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10.8.3 获取该信息一方可以通过合法渠道获取该信息；</w:t>
      </w:r>
    </w:p>
    <w:p w14:paraId="60E99F2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10.8.4获取该信息一方从第三人处合法获取，并且不承担保密义务；</w:t>
      </w:r>
    </w:p>
    <w:p w14:paraId="2D0D2D39">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10.8.5 向第三人披露过的，且第三人不承担保密义务；</w:t>
      </w:r>
    </w:p>
    <w:p w14:paraId="7E9EE9FD">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10.8.6 独立开发或获取的信息；</w:t>
      </w:r>
    </w:p>
    <w:p w14:paraId="71D8EB3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10.8.7 法律强制披露；</w:t>
      </w:r>
    </w:p>
    <w:p w14:paraId="49C609B2">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10.8.8 经披露方书面许可。</w:t>
      </w:r>
    </w:p>
    <w:p w14:paraId="669CD00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 信息安全</w:t>
      </w:r>
    </w:p>
    <w:p w14:paraId="131BDA7D">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甲、乙双方同意采取相应的安全措施以遵守和履行上述条款所规定的义务。经一方的合理请求，该方可以检查对方所采取的安全措施是否符合上述规定的义务。</w:t>
      </w:r>
    </w:p>
    <w:p w14:paraId="7D7BF507">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10.10当本合同解除或终止时，接受方应立即停止使用且不得许可第三方使用提供方的保密信息，同时，接受方应按照提供方的书面要求，将提供方提供的保密信息退还提供方或予以删除或销毁。</w:t>
      </w:r>
    </w:p>
    <w:p w14:paraId="177946BD">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第11条 违约与赔偿责任</w:t>
      </w:r>
    </w:p>
    <w:p w14:paraId="4DAB9FD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如因甲方变更委托项目、规模、条件、或因提供基础资料错误、或因所提供资料作较大修改，造成乙方需返工时，双方除需另行商议签订补充合同（或另订合同），重新明确有关条款外，按新合同支付费用。</w:t>
      </w:r>
    </w:p>
    <w:p w14:paraId="155F420E">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本合同履行期间，如甲方因自身原因要求中途终止或解除合同，乙方有权根据已开展的实际工作量酌情收取费用。</w:t>
      </w:r>
    </w:p>
    <w:p w14:paraId="05FFBA7E">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甲方应按本合同第四条规定向乙方支付费用。如逾期超过 15 天以上时，乙方有权书面通知甲方暂停履行下阶段工作，每延误支付 1 天，按对被延误方应付费用的千分之二向被延误方支付违约金。</w:t>
      </w:r>
    </w:p>
    <w:p w14:paraId="614C51FE">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如由于乙方自身原因未按合同约定的进度和质量要求按时交付成果文件，每延误 1 天，减收乙方合同总费用的千分之二。延误时间在 90 天以上，甲方有权解除合同并要求乙方承担全部损失。</w:t>
      </w:r>
    </w:p>
    <w:p w14:paraId="4C433FFD">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本合同履行期间，如乙方因自身原因中途终止或解除合同，乙方应向甲方支付乙方项目总费用5%的违约金。</w:t>
      </w:r>
    </w:p>
    <w:p w14:paraId="4B1B6E63">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合同生效后，如乙方要求中途终止或解除合同，乙方应向甲方退回已收的全部合同费。</w:t>
      </w:r>
    </w:p>
    <w:p w14:paraId="7D764161">
      <w:pPr>
        <w:pStyle w:val="38"/>
        <w:spacing w:before="0" w:beforeAutospacing="0" w:after="0" w:afterAutospacing="0" w:line="40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11.7 </w:t>
      </w:r>
      <w:r>
        <w:rPr>
          <w:rFonts w:hint="eastAsia" w:ascii="宋体" w:hAnsi="宋体" w:eastAsia="宋体" w:cs="宋体"/>
          <w:color w:val="auto"/>
          <w:sz w:val="21"/>
          <w:szCs w:val="21"/>
          <w:highlight w:val="none"/>
        </w:rPr>
        <w:t>若乙方擅自将项目转包或分包，甲方有权立即解除合同，乙方应返还甲方已支付的款项，并支付合同总价的20%作为违约金，同时赔偿甲方因此遭受的全部损失。</w:t>
      </w:r>
    </w:p>
    <w:p w14:paraId="7AEA75A2">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p>
    <w:p w14:paraId="30A32F7D">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第12条 综合条款</w:t>
      </w:r>
    </w:p>
    <w:p w14:paraId="541A57D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如本合同附件中的条款或本合同签署之前所签署的任何文件与本合同的条款相冲突或不一致，以本合同为准。</w:t>
      </w:r>
    </w:p>
    <w:p w14:paraId="274426A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任何一方可以根据其经营需要对外披露本合同的存在或其性质，但本合同的具体条款属于保密范围，未经对方的同意，不得向第三方披露。但以下情况除外</w:t>
      </w:r>
    </w:p>
    <w:p w14:paraId="7451526B">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法院或政府有关部门的要求；</w:t>
      </w:r>
    </w:p>
    <w:p w14:paraId="5B09FA41">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法律规定；</w:t>
      </w:r>
    </w:p>
    <w:p w14:paraId="01A6A408">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12.2.3 —方向为自己服务的法律顾问披露；</w:t>
      </w:r>
    </w:p>
    <w:p w14:paraId="298C5DF3">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12.2.4 —方向为自己服务的会计、银行、其他的金融机构及其顾问（采取保密措施）披露；</w:t>
      </w:r>
    </w:p>
    <w:p w14:paraId="1AB2E5E5">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12.2.5 当事人实施收购、兼并或相类似的行为（采取保密措施）。</w:t>
      </w:r>
    </w:p>
    <w:p w14:paraId="5770D1DD">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不可抗力</w:t>
      </w:r>
    </w:p>
    <w:p w14:paraId="4C5AE6BA">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12.3.1 由于地震、台风、水灾、火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14:paraId="0DA37EF2">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12.3.2 受到不可抗力影响的一方，应尽可能地采取合理的行为和适当的措施减轻不可抗力对本合同的履行所造成的影响。没有采取适当措施致使损失扩大的，该方不得就扩大损失的部分要求免责或赔偿。</w:t>
      </w:r>
    </w:p>
    <w:p w14:paraId="224932FC">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第13条 争议解决</w:t>
      </w:r>
    </w:p>
    <w:p w14:paraId="6EE57BC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如果合同双方在履行本合同过程中发生争议，双方应首先采取友好协商的方式解决该争议。如协商不成，双方同意按下列__</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__方式予以解决。</w:t>
      </w:r>
    </w:p>
    <w:p w14:paraId="2C636E3D">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（1）向重庆仲裁委员会提起仲裁，并按其仲裁规则进行仲裁；</w:t>
      </w:r>
    </w:p>
    <w:p w14:paraId="06ED48DD">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甲方所在地人民法院提起诉讼。如因一方的违约行为导致双方发生争议，守约方通过诉讼、调解、非诉等方式向违约方主张权利所发生的一切费用，包括但不限于律师费、诉讼费、保全费、鉴定费、拍卖费、执行费等均由违约方承担。</w:t>
      </w:r>
    </w:p>
    <w:p w14:paraId="50AB3A2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如对任何争议进行仲裁或向人民法院提起诉讼，除争议事项或争议事项所涉及的条款外，双方应继续履行本合同项下的其它义务。</w:t>
      </w:r>
    </w:p>
    <w:p w14:paraId="1AF82C69">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第14条 通知</w:t>
      </w:r>
    </w:p>
    <w:p w14:paraId="56FE18F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14.1甲方确认其送达地址为：</w:t>
      </w:r>
      <w:r>
        <w:rPr>
          <w:rFonts w:hint="eastAsia" w:ascii="宋体" w:hAnsi="宋体" w:eastAsia="宋体" w:cs="宋体"/>
          <w:color w:val="auto"/>
          <w:sz w:val="21"/>
          <w:szCs w:val="21"/>
          <w:highlight w:val="none"/>
          <w:u w:val="single"/>
        </w:rPr>
        <w:t>重庆市渝北区</w:t>
      </w:r>
      <w:r>
        <w:rPr>
          <w:rFonts w:hint="eastAsia" w:ascii="宋体" w:hAnsi="宋体" w:eastAsia="宋体" w:cs="宋体"/>
          <w:color w:val="auto"/>
          <w:sz w:val="21"/>
          <w:szCs w:val="21"/>
          <w:highlight w:val="none"/>
          <w:u w:val="single"/>
          <w:lang w:val="en-US" w:eastAsia="zh-CN"/>
        </w:rPr>
        <w:t>洪湖东路财富大厦E座7楼</w:t>
      </w:r>
      <w:r>
        <w:rPr>
          <w:rFonts w:hint="eastAsia" w:ascii="宋体" w:hAnsi="宋体" w:eastAsia="宋体" w:cs="宋体"/>
          <w:color w:val="auto"/>
          <w:sz w:val="21"/>
          <w:szCs w:val="21"/>
          <w:highlight w:val="none"/>
        </w:rPr>
        <w:t>，受送达人为：</w:t>
      </w:r>
      <w:r>
        <w:rPr>
          <w:rFonts w:hint="eastAsia" w:ascii="宋体" w:hAnsi="宋体" w:eastAsia="宋体" w:cs="宋体"/>
          <w:color w:val="auto"/>
          <w:sz w:val="21"/>
          <w:szCs w:val="21"/>
          <w:highlight w:val="none"/>
          <w:u w:val="single"/>
          <w:lang w:val="en-US" w:eastAsia="zh-CN"/>
        </w:rPr>
        <w:t>夏诗曼</w:t>
      </w:r>
      <w:r>
        <w:rPr>
          <w:rFonts w:hint="eastAsia" w:ascii="宋体" w:hAnsi="宋体" w:eastAsia="宋体" w:cs="宋体"/>
          <w:color w:val="auto"/>
          <w:sz w:val="21"/>
          <w:szCs w:val="21"/>
          <w:highlight w:val="none"/>
        </w:rPr>
        <w:t>，联系方式为：</w:t>
      </w:r>
      <w:r>
        <w:rPr>
          <w:rFonts w:hint="eastAsia" w:ascii="宋体" w:hAnsi="宋体" w:eastAsia="宋体" w:cs="宋体"/>
          <w:color w:val="auto"/>
          <w:sz w:val="21"/>
          <w:szCs w:val="21"/>
          <w:highlight w:val="none"/>
          <w:u w:val="single"/>
          <w:lang w:val="en-US" w:eastAsia="zh-CN"/>
        </w:rPr>
        <w:t>13883060756</w:t>
      </w:r>
      <w:r>
        <w:rPr>
          <w:rFonts w:hint="eastAsia" w:ascii="宋体" w:hAnsi="宋体" w:eastAsia="宋体" w:cs="宋体"/>
          <w:color w:val="auto"/>
          <w:sz w:val="21"/>
          <w:szCs w:val="21"/>
          <w:highlight w:val="none"/>
        </w:rPr>
        <w:t>。</w:t>
      </w:r>
    </w:p>
    <w:p w14:paraId="0A7A3FB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乙方确认其送达地址为：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，受送达人为：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，联系方式为：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BF46F0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（若联系地址未填写，则以身份证载明的住址或工商登记的住所地为送达地址）</w:t>
      </w:r>
    </w:p>
    <w:p w14:paraId="2D421E43">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14.2以上送达地址适用范围包括但不限于各类告知书、通知书、工作联系单、协议文件、诉讼或仲裁文书，送达主体可以是合同各方、人民法院、仲裁委员会及各行政机关。                         </w:t>
      </w:r>
    </w:p>
    <w:p w14:paraId="13D0402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14.3送达主体按照上述送达地址进行送达，视为有效送达；采用邮寄送达的，以文书签收之日或退回之日视为送达之日；直接送达的，送达人当场在送达回证上记明情况之日视为送达之日。</w:t>
      </w:r>
    </w:p>
    <w:p w14:paraId="1B50C2FA">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14:paraId="69E42358">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第15条 合同的生效、变更与终止</w:t>
      </w:r>
    </w:p>
    <w:p w14:paraId="231C1118">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本合同经双方盖章后生效。</w:t>
      </w:r>
    </w:p>
    <w:p w14:paraId="6E664F53">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如发生以下情况，任何一方有权终止合同，但须以书面方式通知对方：</w:t>
      </w:r>
    </w:p>
    <w:p w14:paraId="56D4822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15.2.1 —方进入破产、撤销或已进入清算阶段，或被解散、被依法关闭；</w:t>
      </w:r>
    </w:p>
    <w:p w14:paraId="63318A9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15.2.2 —方财务状况严重恶化，不能支付到期债务；</w:t>
      </w:r>
    </w:p>
    <w:p w14:paraId="1583DCC2">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15.2.3 出现了合同规定的或法定解除事由。</w:t>
      </w:r>
    </w:p>
    <w:p w14:paraId="72F7EE35">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除本合同和法律法规另有规定外，任何一方发生上述情况，将被视作违约，另一方有权依照本合同的规定，追究该方的违约责任。</w:t>
      </w:r>
    </w:p>
    <w:p w14:paraId="429638D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 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w:t>
      </w:r>
    </w:p>
    <w:p w14:paraId="3F362D91">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如本合同在履行过程中有任何补充或修改，双方应另行签订书面协议。</w:t>
      </w:r>
    </w:p>
    <w:p w14:paraId="775F8670">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 本合同一式</w:t>
      </w:r>
      <w:r>
        <w:rPr>
          <w:rFonts w:hint="eastAsia" w:ascii="宋体" w:hAnsi="宋体" w:eastAsia="宋体" w:cs="宋体"/>
          <w:color w:val="auto"/>
          <w:sz w:val="21"/>
          <w:szCs w:val="21"/>
          <w:highlight w:val="none"/>
          <w:u w:val="single"/>
        </w:rPr>
        <w:t xml:space="preserve">  陆  </w:t>
      </w:r>
      <w:r>
        <w:rPr>
          <w:rFonts w:hint="eastAsia" w:ascii="宋体" w:hAnsi="宋体" w:eastAsia="宋体" w:cs="宋体"/>
          <w:color w:val="auto"/>
          <w:sz w:val="21"/>
          <w:szCs w:val="21"/>
          <w:highlight w:val="none"/>
        </w:rPr>
        <w:t>份，甲方执肆份，乙方执</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份。</w:t>
      </w:r>
    </w:p>
    <w:p w14:paraId="1141D5F3">
      <w:pPr>
        <w:tabs>
          <w:tab w:val="left" w:pos="2880"/>
          <w:tab w:val="left" w:pos="7020"/>
        </w:tabs>
        <w:spacing w:line="360" w:lineRule="auto"/>
        <w:ind w:right="178" w:rightChars="85"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第16条 信用</w:t>
      </w:r>
    </w:p>
    <w:p w14:paraId="4B880038">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本合同任何一方可以要求对方提供其信用报告。</w:t>
      </w:r>
    </w:p>
    <w:p w14:paraId="3265D5D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如合同双方在履行本合同过程中发生争议，并进入司法等争端解决程序，任何一方可以将生效判决提交给本市的联合征信机构。</w:t>
      </w:r>
    </w:p>
    <w:p w14:paraId="5EFFB5F5">
      <w:pPr>
        <w:pStyle w:val="38"/>
        <w:spacing w:before="0" w:beforeAutospacing="0" w:after="0" w:afterAutospacing="0" w:line="44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（以下无合同正文）</w:t>
      </w:r>
    </w:p>
    <w:p w14:paraId="174BFD00">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43"/>
        <w:tblW w:w="0" w:type="auto"/>
        <w:tblInd w:w="0" w:type="dxa"/>
        <w:tblLayout w:type="fixed"/>
        <w:tblCellMar>
          <w:top w:w="0" w:type="dxa"/>
          <w:left w:w="108" w:type="dxa"/>
          <w:bottom w:w="0" w:type="dxa"/>
          <w:right w:w="108" w:type="dxa"/>
        </w:tblCellMar>
      </w:tblPr>
      <w:tblGrid>
        <w:gridCol w:w="4896"/>
        <w:gridCol w:w="4583"/>
      </w:tblGrid>
      <w:tr w14:paraId="696A9742">
        <w:tblPrEx>
          <w:tblCellMar>
            <w:top w:w="0" w:type="dxa"/>
            <w:left w:w="108" w:type="dxa"/>
            <w:bottom w:w="0" w:type="dxa"/>
            <w:right w:w="108" w:type="dxa"/>
          </w:tblCellMar>
        </w:tblPrEx>
        <w:trPr>
          <w:trHeight w:val="572" w:hRule="atLeast"/>
        </w:trPr>
        <w:tc>
          <w:tcPr>
            <w:tcW w:w="4896" w:type="dxa"/>
          </w:tcPr>
          <w:p w14:paraId="624779C6">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甲方名称：重庆首讯科技股份有限公司（章）</w:t>
            </w:r>
          </w:p>
          <w:p w14:paraId="00F08B15">
            <w:pPr>
              <w:spacing w:line="400" w:lineRule="exact"/>
              <w:jc w:val="left"/>
              <w:rPr>
                <w:rFonts w:hint="eastAsia" w:ascii="宋体" w:hAnsi="宋体" w:eastAsia="宋体" w:cs="宋体"/>
                <w:color w:val="auto"/>
                <w:sz w:val="21"/>
                <w:szCs w:val="21"/>
                <w:highlight w:val="none"/>
              </w:rPr>
            </w:pPr>
          </w:p>
        </w:tc>
        <w:tc>
          <w:tcPr>
            <w:tcW w:w="4583" w:type="dxa"/>
          </w:tcPr>
          <w:p w14:paraId="46EB38AD">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乙方名称：（章）</w:t>
            </w:r>
          </w:p>
          <w:p w14:paraId="3C90DBF9">
            <w:pPr>
              <w:spacing w:line="400" w:lineRule="exact"/>
              <w:rPr>
                <w:rFonts w:hint="eastAsia" w:ascii="宋体" w:hAnsi="宋体" w:eastAsia="宋体" w:cs="宋体"/>
                <w:color w:val="auto"/>
                <w:sz w:val="21"/>
                <w:szCs w:val="21"/>
                <w:highlight w:val="none"/>
              </w:rPr>
            </w:pPr>
          </w:p>
        </w:tc>
      </w:tr>
      <w:tr w14:paraId="7829C02F">
        <w:tblPrEx>
          <w:tblCellMar>
            <w:top w:w="0" w:type="dxa"/>
            <w:left w:w="108" w:type="dxa"/>
            <w:bottom w:w="0" w:type="dxa"/>
            <w:right w:w="108" w:type="dxa"/>
          </w:tblCellMar>
        </w:tblPrEx>
        <w:trPr>
          <w:trHeight w:val="572" w:hRule="atLeast"/>
        </w:trPr>
        <w:tc>
          <w:tcPr>
            <w:tcW w:w="4896" w:type="dxa"/>
          </w:tcPr>
          <w:p w14:paraId="49F798B6">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单位地址：重庆市渝北区龙溪街道新南路52号1幢3-1</w:t>
            </w:r>
          </w:p>
        </w:tc>
        <w:tc>
          <w:tcPr>
            <w:tcW w:w="4583" w:type="dxa"/>
          </w:tcPr>
          <w:p w14:paraId="616A3285">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单位地址：                             </w:t>
            </w:r>
          </w:p>
        </w:tc>
      </w:tr>
      <w:tr w14:paraId="4637C068">
        <w:tblPrEx>
          <w:tblCellMar>
            <w:top w:w="0" w:type="dxa"/>
            <w:left w:w="108" w:type="dxa"/>
            <w:bottom w:w="0" w:type="dxa"/>
            <w:right w:w="108" w:type="dxa"/>
          </w:tblCellMar>
        </w:tblPrEx>
        <w:trPr>
          <w:trHeight w:val="572" w:hRule="atLeast"/>
        </w:trPr>
        <w:tc>
          <w:tcPr>
            <w:tcW w:w="4896" w:type="dxa"/>
          </w:tcPr>
          <w:p w14:paraId="1E724E23">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p>
          <w:p w14:paraId="2B29B19C">
            <w:pPr>
              <w:spacing w:line="400" w:lineRule="exact"/>
              <w:rPr>
                <w:rFonts w:hint="eastAsia" w:ascii="宋体" w:hAnsi="宋体" w:eastAsia="宋体" w:cs="宋体"/>
                <w:color w:val="auto"/>
                <w:sz w:val="21"/>
                <w:szCs w:val="21"/>
                <w:highlight w:val="none"/>
              </w:rPr>
            </w:pPr>
          </w:p>
          <w:p w14:paraId="390AF786">
            <w:pPr>
              <w:spacing w:line="400" w:lineRule="exact"/>
              <w:rPr>
                <w:rFonts w:hint="eastAsia" w:ascii="宋体" w:hAnsi="宋体" w:eastAsia="宋体" w:cs="宋体"/>
                <w:color w:val="auto"/>
                <w:sz w:val="21"/>
                <w:szCs w:val="21"/>
                <w:highlight w:val="none"/>
              </w:rPr>
            </w:pPr>
          </w:p>
        </w:tc>
        <w:tc>
          <w:tcPr>
            <w:tcW w:w="4583" w:type="dxa"/>
          </w:tcPr>
          <w:p w14:paraId="626D4210">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p>
          <w:p w14:paraId="39307E87">
            <w:pPr>
              <w:spacing w:line="400" w:lineRule="exact"/>
              <w:jc w:val="left"/>
              <w:rPr>
                <w:rFonts w:hint="eastAsia" w:ascii="宋体" w:hAnsi="宋体" w:eastAsia="宋体" w:cs="宋体"/>
                <w:color w:val="auto"/>
                <w:sz w:val="21"/>
                <w:szCs w:val="21"/>
                <w:highlight w:val="none"/>
              </w:rPr>
            </w:pPr>
          </w:p>
        </w:tc>
      </w:tr>
      <w:tr w14:paraId="411733B5">
        <w:tblPrEx>
          <w:tblCellMar>
            <w:top w:w="0" w:type="dxa"/>
            <w:left w:w="108" w:type="dxa"/>
            <w:bottom w:w="0" w:type="dxa"/>
            <w:right w:w="108" w:type="dxa"/>
          </w:tblCellMar>
        </w:tblPrEx>
        <w:trPr>
          <w:trHeight w:val="286" w:hRule="atLeast"/>
        </w:trPr>
        <w:tc>
          <w:tcPr>
            <w:tcW w:w="4896" w:type="dxa"/>
          </w:tcPr>
          <w:p w14:paraId="50C45AA0">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w:t>
            </w:r>
          </w:p>
        </w:tc>
        <w:tc>
          <w:tcPr>
            <w:tcW w:w="4583" w:type="dxa"/>
          </w:tcPr>
          <w:p w14:paraId="3ABED9B6">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w:t>
            </w:r>
          </w:p>
        </w:tc>
      </w:tr>
      <w:tr w14:paraId="3EC4DB22">
        <w:tblPrEx>
          <w:tblCellMar>
            <w:top w:w="0" w:type="dxa"/>
            <w:left w:w="108" w:type="dxa"/>
            <w:bottom w:w="0" w:type="dxa"/>
            <w:right w:w="108" w:type="dxa"/>
          </w:tblCellMar>
        </w:tblPrEx>
        <w:trPr>
          <w:trHeight w:val="286" w:hRule="atLeast"/>
        </w:trPr>
        <w:tc>
          <w:tcPr>
            <w:tcW w:w="4896" w:type="dxa"/>
          </w:tcPr>
          <w:p w14:paraId="7D27D480">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公司电话：023-86917860 </w:t>
            </w:r>
          </w:p>
        </w:tc>
        <w:tc>
          <w:tcPr>
            <w:tcW w:w="4583" w:type="dxa"/>
          </w:tcPr>
          <w:p w14:paraId="1790EDA0">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公司电话：</w:t>
            </w:r>
          </w:p>
        </w:tc>
      </w:tr>
      <w:tr w14:paraId="2B015B9E">
        <w:tblPrEx>
          <w:tblCellMar>
            <w:top w:w="0" w:type="dxa"/>
            <w:left w:w="108" w:type="dxa"/>
            <w:bottom w:w="0" w:type="dxa"/>
            <w:right w:w="108" w:type="dxa"/>
          </w:tblCellMar>
        </w:tblPrEx>
        <w:trPr>
          <w:trHeight w:val="527" w:hRule="atLeast"/>
        </w:trPr>
        <w:tc>
          <w:tcPr>
            <w:tcW w:w="4896" w:type="dxa"/>
          </w:tcPr>
          <w:p w14:paraId="13570991">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开户银行：中国光大银行股份有限公司重庆冉家坝支行</w:t>
            </w:r>
          </w:p>
        </w:tc>
        <w:tc>
          <w:tcPr>
            <w:tcW w:w="4583" w:type="dxa"/>
          </w:tcPr>
          <w:p w14:paraId="0BEEE3F4">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p>
        </w:tc>
      </w:tr>
      <w:tr w14:paraId="72E0AF53">
        <w:tblPrEx>
          <w:tblCellMar>
            <w:top w:w="0" w:type="dxa"/>
            <w:left w:w="108" w:type="dxa"/>
            <w:bottom w:w="0" w:type="dxa"/>
            <w:right w:w="108" w:type="dxa"/>
          </w:tblCellMar>
        </w:tblPrEx>
        <w:trPr>
          <w:trHeight w:val="527" w:hRule="atLeast"/>
        </w:trPr>
        <w:tc>
          <w:tcPr>
            <w:tcW w:w="4896" w:type="dxa"/>
          </w:tcPr>
          <w:p w14:paraId="20DAEA89">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银行账号：39530188000016968</w:t>
            </w:r>
          </w:p>
        </w:tc>
        <w:tc>
          <w:tcPr>
            <w:tcW w:w="4583" w:type="dxa"/>
          </w:tcPr>
          <w:p w14:paraId="6EDEF285">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银行帐号：                            </w:t>
            </w:r>
          </w:p>
        </w:tc>
      </w:tr>
      <w:tr w14:paraId="65B641A8">
        <w:tblPrEx>
          <w:tblCellMar>
            <w:top w:w="0" w:type="dxa"/>
            <w:left w:w="108" w:type="dxa"/>
            <w:bottom w:w="0" w:type="dxa"/>
            <w:right w:w="108" w:type="dxa"/>
          </w:tblCellMar>
        </w:tblPrEx>
        <w:trPr>
          <w:trHeight w:val="527" w:hRule="atLeast"/>
        </w:trPr>
        <w:tc>
          <w:tcPr>
            <w:tcW w:w="4896" w:type="dxa"/>
            <w:vAlign w:val="center"/>
          </w:tcPr>
          <w:p w14:paraId="3EBF996D">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tc>
        <w:tc>
          <w:tcPr>
            <w:tcW w:w="4583" w:type="dxa"/>
          </w:tcPr>
          <w:p w14:paraId="4246B61E">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tc>
      </w:tr>
    </w:tbl>
    <w:p w14:paraId="31AA2C50">
      <w:pPr>
        <w:pStyle w:val="38"/>
        <w:spacing w:before="0" w:beforeAutospacing="0" w:after="0" w:afterAutospacing="0" w:line="400" w:lineRule="exact"/>
        <w:ind w:firstLine="480" w:firstLineChars="200"/>
        <w:jc w:val="both"/>
        <w:rPr>
          <w:rFonts w:ascii="Times New Roman" w:hAnsi="Times New Roman" w:eastAsia="仿宋"/>
          <w:color w:val="auto"/>
          <w:highlight w:val="none"/>
        </w:rPr>
      </w:pPr>
      <w:r>
        <w:rPr>
          <w:rFonts w:ascii="Times New Roman" w:hAnsi="Times New Roman" w:eastAsia="仿宋"/>
          <w:color w:val="auto"/>
          <w:highlight w:val="none"/>
        </w:rPr>
        <w:t> </w:t>
      </w:r>
    </w:p>
    <w:p w14:paraId="2DB59108">
      <w:pPr>
        <w:jc w:val="center"/>
        <w:rPr>
          <w:rFonts w:ascii="Times New Roman" w:hAnsi="Times New Roman" w:eastAsia="仿宋"/>
          <w:b/>
          <w:color w:val="auto"/>
          <w:kern w:val="0"/>
          <w:sz w:val="32"/>
          <w:szCs w:val="32"/>
          <w:highlight w:val="none"/>
        </w:rPr>
      </w:pPr>
      <w:r>
        <w:rPr>
          <w:rFonts w:ascii="Times New Roman" w:hAnsi="Times New Roman" w:eastAsia="仿宋"/>
          <w:b/>
          <w:color w:val="auto"/>
          <w:kern w:val="0"/>
          <w:sz w:val="32"/>
          <w:szCs w:val="32"/>
          <w:highlight w:val="none"/>
        </w:rPr>
        <w:br w:type="page"/>
      </w:r>
      <w:r>
        <w:rPr>
          <w:rFonts w:ascii="Times New Roman" w:hAnsi="Times New Roman" w:eastAsia="仿宋"/>
          <w:b/>
          <w:color w:val="auto"/>
          <w:kern w:val="0"/>
          <w:sz w:val="32"/>
          <w:szCs w:val="32"/>
          <w:highlight w:val="none"/>
        </w:rPr>
        <w:t>附件一：</w:t>
      </w:r>
      <w:r>
        <w:rPr>
          <w:rFonts w:hint="eastAsia" w:ascii="Times New Roman" w:hAnsi="Times New Roman" w:eastAsia="仿宋"/>
          <w:b/>
          <w:color w:val="auto"/>
          <w:kern w:val="0"/>
          <w:sz w:val="32"/>
          <w:szCs w:val="32"/>
          <w:highlight w:val="none"/>
        </w:rPr>
        <w:t>模块</w:t>
      </w:r>
      <w:r>
        <w:rPr>
          <w:rFonts w:ascii="Times New Roman" w:hAnsi="Times New Roman" w:eastAsia="仿宋"/>
          <w:b/>
          <w:color w:val="auto"/>
          <w:kern w:val="0"/>
          <w:sz w:val="32"/>
          <w:szCs w:val="32"/>
          <w:highlight w:val="none"/>
        </w:rPr>
        <w:t>功能及性能描述</w:t>
      </w:r>
    </w:p>
    <w:p w14:paraId="304CCAAF">
      <w:pPr>
        <w:pStyle w:val="170"/>
        <w:numPr>
          <w:ilvl w:val="0"/>
          <w:numId w:val="3"/>
        </w:numPr>
        <w:spacing w:line="400" w:lineRule="exact"/>
        <w:ind w:firstLineChars="0"/>
        <w:rPr>
          <w:rFonts w:ascii="宋体" w:hAnsi="宋体" w:cs="宋体"/>
          <w:color w:val="auto"/>
          <w:kern w:val="0"/>
          <w:szCs w:val="21"/>
          <w:highlight w:val="none"/>
        </w:rPr>
      </w:pPr>
      <w:r>
        <w:rPr>
          <w:rFonts w:hint="eastAsia" w:ascii="宋体" w:hAnsi="宋体" w:cs="宋体"/>
          <w:color w:val="auto"/>
          <w:kern w:val="0"/>
          <w:szCs w:val="21"/>
          <w:highlight w:val="none"/>
        </w:rPr>
        <w:t>高速公路隧道监控摄像机群下的特殊类型车辆识别/重识别算法模块</w:t>
      </w:r>
    </w:p>
    <w:p w14:paraId="2973963F">
      <w:pPr>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本模块将实现一套能够在不超过30台连续隧道摄像头群下，准确识别和分类隧道内三类目标特殊类型车辆（大客车、大货车、油罐车）的算法，确保在各种交通状况下都能保持高准确率。通过深度学习模型对车辆进行分类，并针对这些特殊车辆设计专门的识别/重识别策略，在测试数据集中平均准确率(mAP, mean Average Precision)达到</w:t>
      </w:r>
      <w:r>
        <w:rPr>
          <w:rFonts w:hint="eastAsia" w:ascii="宋体" w:hAnsi="宋体" w:cs="宋体"/>
          <w:color w:val="auto"/>
          <w:kern w:val="0"/>
          <w:szCs w:val="21"/>
          <w:highlight w:val="none"/>
          <w:lang w:val="en-US" w:eastAsia="zh-CN"/>
        </w:rPr>
        <w:t>70</w:t>
      </w:r>
      <w:r>
        <w:rPr>
          <w:rFonts w:hint="eastAsia" w:ascii="宋体" w:hAnsi="宋体" w:cs="宋体"/>
          <w:color w:val="auto"/>
          <w:kern w:val="0"/>
          <w:szCs w:val="21"/>
          <w:highlight w:val="none"/>
        </w:rPr>
        <w:t>%。</w:t>
      </w:r>
    </w:p>
    <w:p w14:paraId="2440ADEF">
      <w:pPr>
        <w:pStyle w:val="170"/>
        <w:numPr>
          <w:ilvl w:val="0"/>
          <w:numId w:val="4"/>
        </w:numPr>
        <w:spacing w:line="400" w:lineRule="exact"/>
        <w:ind w:firstLineChars="0"/>
        <w:rPr>
          <w:rFonts w:ascii="宋体" w:hAnsi="宋体" w:cs="宋体"/>
          <w:color w:val="auto"/>
          <w:kern w:val="0"/>
          <w:szCs w:val="21"/>
          <w:highlight w:val="none"/>
        </w:rPr>
      </w:pPr>
      <w:r>
        <w:rPr>
          <w:rFonts w:hint="eastAsia" w:ascii="宋体" w:hAnsi="宋体" w:cs="宋体"/>
          <w:color w:val="auto"/>
          <w:kern w:val="0"/>
          <w:szCs w:val="21"/>
          <w:highlight w:val="none"/>
        </w:rPr>
        <w:t>基于特殊类型车辆识别/重识别算法的高速公路隧道内行驶车辆计数统计算法模块</w:t>
      </w:r>
    </w:p>
    <w:p w14:paraId="45076189">
      <w:pPr>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本模块将前序识别/重识别算法与进/出隧道的目标特殊车辆进行识别整合，围绕识别结果建立并实时更新底库，实现在给定时间周期内对目标特殊车辆的计数统计功能并完成对于统计结果实时访问的支持。在测试数据集中围绕所有三种目标特种车辆的平均计数准确率到达</w:t>
      </w:r>
      <w:r>
        <w:rPr>
          <w:rFonts w:hint="eastAsia" w:ascii="宋体" w:hAnsi="宋体" w:cs="宋体"/>
          <w:color w:val="auto"/>
          <w:kern w:val="0"/>
          <w:szCs w:val="21"/>
          <w:highlight w:val="none"/>
          <w:lang w:val="en-US" w:eastAsia="zh-CN"/>
        </w:rPr>
        <w:t>70</w:t>
      </w:r>
      <w:r>
        <w:rPr>
          <w:rFonts w:hint="eastAsia" w:ascii="宋体" w:hAnsi="宋体" w:cs="宋体"/>
          <w:color w:val="auto"/>
          <w:kern w:val="0"/>
          <w:szCs w:val="21"/>
          <w:highlight w:val="none"/>
        </w:rPr>
        <w:t>%（以1.5倍平均隧道通过时间为单位计数采样时长，统计8小时内共20次时段不重叠的采样）。</w:t>
      </w:r>
    </w:p>
    <w:p w14:paraId="375633AF">
      <w:pPr>
        <w:pStyle w:val="170"/>
        <w:numPr>
          <w:ilvl w:val="0"/>
          <w:numId w:val="4"/>
        </w:numPr>
        <w:spacing w:line="400" w:lineRule="exact"/>
        <w:ind w:firstLineChars="0"/>
        <w:rPr>
          <w:rFonts w:ascii="宋体" w:hAnsi="宋体" w:cs="宋体"/>
          <w:color w:val="auto"/>
          <w:kern w:val="0"/>
          <w:szCs w:val="21"/>
          <w:highlight w:val="none"/>
        </w:rPr>
      </w:pPr>
      <w:r>
        <w:rPr>
          <w:rFonts w:hint="eastAsia" w:ascii="宋体" w:hAnsi="宋体" w:cs="宋体"/>
          <w:color w:val="auto"/>
          <w:kern w:val="0"/>
          <w:szCs w:val="21"/>
          <w:highlight w:val="none"/>
        </w:rPr>
        <w:t>高速公路隧道监控摄像机群下的监控演示软件模块</w:t>
      </w:r>
    </w:p>
    <w:p w14:paraId="246D784F">
      <w:pPr>
        <w:spacing w:line="4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本模块设计并开发一个高性能的监控系统，该系统能够处理大量视频数据，在</w:t>
      </w:r>
      <w:r>
        <w:rPr>
          <w:rFonts w:hint="eastAsia" w:ascii="宋体" w:hAnsi="宋体" w:cs="宋体"/>
          <w:color w:val="auto"/>
          <w:kern w:val="0"/>
          <w:szCs w:val="21"/>
          <w:highlight w:val="none"/>
          <w:lang w:val="en-US" w:eastAsia="zh-CN"/>
        </w:rPr>
        <w:t>15</w:t>
      </w:r>
      <w:r>
        <w:rPr>
          <w:rFonts w:hint="eastAsia" w:ascii="宋体" w:hAnsi="宋体" w:cs="宋体"/>
          <w:color w:val="auto"/>
          <w:kern w:val="0"/>
          <w:szCs w:val="21"/>
          <w:highlight w:val="none"/>
        </w:rPr>
        <w:t>秒内完成车辆计数，并力争算法推理时间不超过</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秒。同时，系统需要具备良好的硬件兼容性，能够在不超过4块GPU（如英伟达3090）的硬件算力要求下运行，以实现成本效益和能效的最优化。在此基础上，该演示软件所有功能能在下列指定环境（表1）中运行.</w:t>
      </w:r>
    </w:p>
    <w:p w14:paraId="2A04DB3D">
      <w:pPr>
        <w:pStyle w:val="14"/>
        <w:keepNext/>
        <w:widowControl/>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 1 软件运行环境关键配置参数</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6"/>
      </w:tblGrid>
      <w:tr w14:paraId="3514F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tcPr>
          <w:p w14:paraId="085FB9E4">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参数</w:t>
            </w:r>
          </w:p>
        </w:tc>
        <w:tc>
          <w:tcPr>
            <w:tcW w:w="2766" w:type="dxa"/>
            <w:tcBorders>
              <w:top w:val="single" w:color="auto" w:sz="4" w:space="0"/>
              <w:left w:val="nil"/>
              <w:bottom w:val="single" w:color="auto" w:sz="4" w:space="0"/>
              <w:right w:val="single" w:color="auto" w:sz="4" w:space="0"/>
            </w:tcBorders>
          </w:tcPr>
          <w:p w14:paraId="516CD1F8">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环境</w:t>
            </w:r>
          </w:p>
        </w:tc>
      </w:tr>
      <w:tr w14:paraId="3D7C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tcPr>
          <w:p w14:paraId="05C1FF00">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CPU</w:t>
            </w:r>
          </w:p>
        </w:tc>
        <w:tc>
          <w:tcPr>
            <w:tcW w:w="2766" w:type="dxa"/>
            <w:tcBorders>
              <w:top w:val="single" w:color="auto" w:sz="4" w:space="0"/>
              <w:left w:val="nil"/>
              <w:bottom w:val="single" w:color="auto" w:sz="4" w:space="0"/>
              <w:right w:val="single" w:color="auto" w:sz="4" w:space="0"/>
            </w:tcBorders>
          </w:tcPr>
          <w:p w14:paraId="568ABE46">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英特尔Xeon</w:t>
            </w:r>
          </w:p>
        </w:tc>
      </w:tr>
      <w:tr w14:paraId="7736C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tcPr>
          <w:p w14:paraId="62B08E30">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GPU</w:t>
            </w:r>
          </w:p>
        </w:tc>
        <w:tc>
          <w:tcPr>
            <w:tcW w:w="2766" w:type="dxa"/>
            <w:tcBorders>
              <w:top w:val="single" w:color="auto" w:sz="4" w:space="0"/>
              <w:left w:val="nil"/>
              <w:bottom w:val="single" w:color="auto" w:sz="4" w:space="0"/>
              <w:right w:val="single" w:color="auto" w:sz="4" w:space="0"/>
            </w:tcBorders>
          </w:tcPr>
          <w:p w14:paraId="54785729">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英伟达</w:t>
            </w:r>
            <w:r>
              <w:rPr>
                <w:rFonts w:hint="eastAsia" w:ascii="宋体" w:hAnsi="宋体" w:cs="宋体"/>
                <w:color w:val="auto"/>
                <w:kern w:val="0"/>
                <w:szCs w:val="21"/>
                <w:highlight w:val="none"/>
                <w:lang w:val="en-US" w:eastAsia="zh-CN"/>
              </w:rPr>
              <w:t>4</w:t>
            </w:r>
            <w:r>
              <w:rPr>
                <w:rFonts w:hint="eastAsia" w:ascii="宋体" w:hAnsi="宋体" w:eastAsia="Times New Roman" w:cs="宋体"/>
                <w:color w:val="auto"/>
                <w:kern w:val="0"/>
                <w:szCs w:val="21"/>
                <w:highlight w:val="none"/>
              </w:rPr>
              <w:t>090*4</w:t>
            </w:r>
          </w:p>
        </w:tc>
      </w:tr>
      <w:tr w14:paraId="6689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Borders>
              <w:top w:val="single" w:color="auto" w:sz="4" w:space="0"/>
              <w:left w:val="single" w:color="auto" w:sz="4" w:space="0"/>
              <w:bottom w:val="single" w:color="auto" w:sz="4" w:space="0"/>
              <w:right w:val="single" w:color="auto" w:sz="4" w:space="0"/>
            </w:tcBorders>
          </w:tcPr>
          <w:p w14:paraId="2A2A5A75">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操作系统</w:t>
            </w:r>
          </w:p>
        </w:tc>
        <w:tc>
          <w:tcPr>
            <w:tcW w:w="2766" w:type="dxa"/>
            <w:tcBorders>
              <w:top w:val="single" w:color="auto" w:sz="4" w:space="0"/>
              <w:left w:val="nil"/>
              <w:bottom w:val="single" w:color="auto" w:sz="4" w:space="0"/>
              <w:right w:val="single" w:color="auto" w:sz="4" w:space="0"/>
            </w:tcBorders>
          </w:tcPr>
          <w:p w14:paraId="59653CA2">
            <w:pPr>
              <w:spacing w:line="400" w:lineRule="exact"/>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Ubuntu 20.04</w:t>
            </w:r>
          </w:p>
        </w:tc>
      </w:tr>
    </w:tbl>
    <w:p w14:paraId="48EACDF9">
      <w:pPr>
        <w:pStyle w:val="170"/>
        <w:numPr>
          <w:ilvl w:val="0"/>
          <w:numId w:val="4"/>
        </w:numPr>
        <w:spacing w:line="400" w:lineRule="exact"/>
        <w:ind w:firstLineChars="0"/>
        <w:rPr>
          <w:rFonts w:ascii="宋体" w:hAnsi="宋体" w:cs="宋体"/>
          <w:color w:val="auto"/>
          <w:kern w:val="0"/>
          <w:szCs w:val="21"/>
          <w:highlight w:val="none"/>
        </w:rPr>
      </w:pPr>
      <w:r>
        <w:rPr>
          <w:rFonts w:hint="eastAsia" w:ascii="宋体" w:hAnsi="宋体" w:cs="宋体"/>
          <w:color w:val="auto"/>
          <w:kern w:val="0"/>
          <w:szCs w:val="21"/>
          <w:highlight w:val="none"/>
        </w:rPr>
        <w:t>面向高速公路监控摄像机的车辆变道行为检测算法模块</w:t>
      </w:r>
    </w:p>
    <w:p w14:paraId="67B31A85">
      <w:pPr>
        <w:keepLines w:val="0"/>
        <w:pageBreakBefore w:val="0"/>
        <w:kinsoku/>
        <w:wordWrap/>
        <w:overflowPunct/>
        <w:topLinePunct w:val="0"/>
        <w:autoSpaceDE/>
        <w:autoSpaceDN/>
        <w:bidi w:val="0"/>
        <w:adjustRightInd/>
        <w:snapToGrid/>
        <w:spacing w:line="400" w:lineRule="exact"/>
        <w:ind w:firstLine="360"/>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本模块将实现一套在高速公路监控摄像机下能够准确识别车辆变道行为的算法，确保在各种交通状况下都能保持事件识别率达到</w:t>
      </w:r>
      <w:r>
        <w:rPr>
          <w:rFonts w:hint="eastAsia" w:ascii="宋体" w:hAnsi="宋体" w:cs="宋体"/>
          <w:color w:val="auto"/>
          <w:kern w:val="0"/>
          <w:szCs w:val="21"/>
          <w:highlight w:val="none"/>
          <w:lang w:val="en-US" w:eastAsia="zh-CN"/>
        </w:rPr>
        <w:t>80</w:t>
      </w:r>
      <w:r>
        <w:rPr>
          <w:rFonts w:hint="eastAsia" w:ascii="宋体" w:hAnsi="宋体" w:cs="宋体"/>
          <w:color w:val="auto"/>
          <w:kern w:val="0"/>
          <w:szCs w:val="21"/>
          <w:highlight w:val="none"/>
        </w:rPr>
        <w:t>%。并且模块能够在不超过1块GPU（如英伟达</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090）的硬件算力要求下运行，具有良好的兼容性。</w:t>
      </w:r>
    </w:p>
    <w:p w14:paraId="11837290">
      <w:pPr>
        <w:rPr>
          <w:rFonts w:cs="宋体"/>
          <w:color w:val="auto"/>
          <w:szCs w:val="21"/>
          <w:highlight w:val="none"/>
        </w:rPr>
      </w:pPr>
    </w:p>
    <w:p w14:paraId="206F66C0">
      <w:pPr>
        <w:rPr>
          <w:rFonts w:ascii="Times New Roman" w:hAnsi="Times New Roman" w:eastAsia="仿宋"/>
          <w:b/>
          <w:color w:val="auto"/>
          <w:kern w:val="0"/>
          <w:sz w:val="32"/>
          <w:szCs w:val="32"/>
          <w:highlight w:val="none"/>
        </w:rPr>
      </w:pPr>
    </w:p>
    <w:p w14:paraId="26E48F7B">
      <w:pPr>
        <w:ind w:firstLine="2570" w:firstLineChars="800"/>
        <w:rPr>
          <w:rFonts w:ascii="Times New Roman" w:hAnsi="Times New Roman" w:eastAsia="仿宋"/>
          <w:b/>
          <w:color w:val="auto"/>
          <w:kern w:val="0"/>
          <w:sz w:val="32"/>
          <w:szCs w:val="32"/>
          <w:highlight w:val="none"/>
        </w:rPr>
      </w:pPr>
      <w:r>
        <w:rPr>
          <w:rFonts w:ascii="Times New Roman" w:hAnsi="Times New Roman" w:eastAsia="仿宋"/>
          <w:b/>
          <w:color w:val="auto"/>
          <w:kern w:val="0"/>
          <w:sz w:val="32"/>
          <w:szCs w:val="32"/>
          <w:highlight w:val="none"/>
        </w:rPr>
        <w:br w:type="page"/>
      </w:r>
      <w:r>
        <w:rPr>
          <w:rFonts w:ascii="Times New Roman" w:hAnsi="Times New Roman" w:eastAsia="仿宋"/>
          <w:b/>
          <w:color w:val="auto"/>
          <w:kern w:val="0"/>
          <w:sz w:val="32"/>
          <w:szCs w:val="32"/>
          <w:highlight w:val="none"/>
        </w:rPr>
        <w:t>附件二：具体价格清单</w:t>
      </w:r>
    </w:p>
    <w:tbl>
      <w:tblPr>
        <w:tblStyle w:val="43"/>
        <w:tblpPr w:leftFromText="180" w:rightFromText="180" w:vertAnchor="text" w:horzAnchor="page" w:tblpX="1537" w:tblpY="406"/>
        <w:tblOverlap w:val="never"/>
        <w:tblW w:w="52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472"/>
        <w:gridCol w:w="2720"/>
        <w:gridCol w:w="525"/>
        <w:gridCol w:w="391"/>
        <w:gridCol w:w="1175"/>
        <w:gridCol w:w="877"/>
        <w:gridCol w:w="1205"/>
      </w:tblGrid>
      <w:tr w14:paraId="7922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79" w:type="pct"/>
            <w:vAlign w:val="center"/>
          </w:tcPr>
          <w:p w14:paraId="31865B66">
            <w:pPr>
              <w:pStyle w:val="38"/>
              <w:adjustRightInd w:val="0"/>
              <w:snapToGrid w:val="0"/>
              <w:spacing w:before="0" w:beforeAutospacing="0" w:after="0" w:afterAutospacing="0"/>
              <w:jc w:val="center"/>
              <w:rPr>
                <w:rFonts w:ascii="Times New Roman" w:hAnsi="Times New Roman" w:eastAsia="仿宋"/>
                <w:b/>
                <w:color w:val="auto"/>
                <w:highlight w:val="none"/>
              </w:rPr>
            </w:pPr>
            <w:r>
              <w:rPr>
                <w:rFonts w:hint="eastAsia" w:ascii="Times New Roman" w:hAnsi="Times New Roman" w:eastAsia="仿宋"/>
                <w:b/>
                <w:color w:val="auto"/>
                <w:highlight w:val="none"/>
              </w:rPr>
              <w:t>序号</w:t>
            </w:r>
          </w:p>
        </w:tc>
        <w:tc>
          <w:tcPr>
            <w:tcW w:w="831" w:type="pct"/>
            <w:vAlign w:val="center"/>
          </w:tcPr>
          <w:p w14:paraId="620F40FD">
            <w:pPr>
              <w:pStyle w:val="38"/>
              <w:adjustRightInd w:val="0"/>
              <w:snapToGrid w:val="0"/>
              <w:spacing w:before="0" w:beforeAutospacing="0" w:after="0" w:afterAutospacing="0"/>
              <w:jc w:val="center"/>
              <w:rPr>
                <w:rFonts w:ascii="Times New Roman" w:hAnsi="Times New Roman" w:eastAsia="仿宋"/>
                <w:b/>
                <w:color w:val="auto"/>
                <w:highlight w:val="none"/>
              </w:rPr>
            </w:pPr>
            <w:r>
              <w:rPr>
                <w:rFonts w:hint="eastAsia" w:ascii="Times New Roman" w:hAnsi="Times New Roman" w:eastAsia="仿宋"/>
                <w:b/>
                <w:color w:val="auto"/>
                <w:highlight w:val="none"/>
              </w:rPr>
              <w:t>工作内容</w:t>
            </w:r>
          </w:p>
        </w:tc>
        <w:tc>
          <w:tcPr>
            <w:tcW w:w="1535" w:type="pct"/>
            <w:vAlign w:val="center"/>
          </w:tcPr>
          <w:p w14:paraId="5CA62195">
            <w:pPr>
              <w:pStyle w:val="38"/>
              <w:adjustRightInd w:val="0"/>
              <w:snapToGrid w:val="0"/>
              <w:spacing w:before="0" w:beforeAutospacing="0" w:after="0" w:afterAutospacing="0"/>
              <w:jc w:val="center"/>
              <w:rPr>
                <w:rFonts w:ascii="Times New Roman" w:hAnsi="Times New Roman" w:eastAsia="仿宋"/>
                <w:b/>
                <w:color w:val="auto"/>
                <w:highlight w:val="none"/>
              </w:rPr>
            </w:pPr>
            <w:r>
              <w:rPr>
                <w:rFonts w:hint="eastAsia" w:ascii="Times New Roman" w:hAnsi="Times New Roman" w:eastAsia="仿宋"/>
                <w:b/>
                <w:color w:val="auto"/>
                <w:highlight w:val="none"/>
              </w:rPr>
              <w:t>服务内容</w:t>
            </w:r>
          </w:p>
        </w:tc>
        <w:tc>
          <w:tcPr>
            <w:tcW w:w="296" w:type="pct"/>
            <w:vAlign w:val="center"/>
          </w:tcPr>
          <w:p w14:paraId="26D59432">
            <w:pPr>
              <w:pStyle w:val="38"/>
              <w:adjustRightInd w:val="0"/>
              <w:snapToGrid w:val="0"/>
              <w:spacing w:before="0" w:beforeAutospacing="0" w:after="0" w:afterAutospacing="0"/>
              <w:jc w:val="center"/>
              <w:rPr>
                <w:rFonts w:ascii="Times New Roman" w:hAnsi="Times New Roman" w:eastAsia="仿宋"/>
                <w:b/>
                <w:color w:val="auto"/>
                <w:highlight w:val="none"/>
              </w:rPr>
            </w:pPr>
            <w:r>
              <w:rPr>
                <w:rFonts w:hint="eastAsia" w:ascii="Times New Roman" w:hAnsi="Times New Roman" w:eastAsia="仿宋"/>
                <w:b/>
                <w:color w:val="auto"/>
                <w:highlight w:val="none"/>
              </w:rPr>
              <w:t>单位</w:t>
            </w:r>
          </w:p>
        </w:tc>
        <w:tc>
          <w:tcPr>
            <w:tcW w:w="221" w:type="pct"/>
            <w:vAlign w:val="center"/>
          </w:tcPr>
          <w:p w14:paraId="72D7604D">
            <w:pPr>
              <w:pStyle w:val="38"/>
              <w:adjustRightInd w:val="0"/>
              <w:snapToGrid w:val="0"/>
              <w:spacing w:before="0" w:beforeAutospacing="0" w:after="0" w:afterAutospacing="0"/>
              <w:jc w:val="center"/>
              <w:rPr>
                <w:rFonts w:ascii="Times New Roman" w:hAnsi="Times New Roman" w:eastAsia="仿宋"/>
                <w:b/>
                <w:color w:val="auto"/>
                <w:highlight w:val="none"/>
              </w:rPr>
            </w:pPr>
            <w:r>
              <w:rPr>
                <w:rFonts w:hint="eastAsia" w:ascii="Times New Roman" w:hAnsi="Times New Roman" w:eastAsia="仿宋"/>
                <w:b/>
                <w:color w:val="auto"/>
                <w:highlight w:val="none"/>
              </w:rPr>
              <w:t>数量</w:t>
            </w:r>
          </w:p>
        </w:tc>
        <w:tc>
          <w:tcPr>
            <w:tcW w:w="663" w:type="pct"/>
            <w:vAlign w:val="center"/>
          </w:tcPr>
          <w:p w14:paraId="4911FE52">
            <w:pPr>
              <w:pStyle w:val="38"/>
              <w:adjustRightInd w:val="0"/>
              <w:snapToGrid w:val="0"/>
              <w:spacing w:before="0" w:beforeAutospacing="0" w:after="0" w:afterAutospacing="0"/>
              <w:jc w:val="center"/>
              <w:rPr>
                <w:rFonts w:ascii="Times New Roman" w:hAnsi="Times New Roman" w:eastAsia="仿宋"/>
                <w:b/>
                <w:color w:val="auto"/>
                <w:highlight w:val="none"/>
              </w:rPr>
            </w:pPr>
            <w:r>
              <w:rPr>
                <w:rFonts w:hint="eastAsia" w:ascii="Times New Roman" w:hAnsi="Times New Roman" w:eastAsia="仿宋"/>
                <w:b/>
                <w:color w:val="auto"/>
                <w:highlight w:val="none"/>
              </w:rPr>
              <w:t>含税单价</w:t>
            </w:r>
          </w:p>
          <w:p w14:paraId="543D7CE7">
            <w:pPr>
              <w:pStyle w:val="38"/>
              <w:adjustRightInd w:val="0"/>
              <w:snapToGrid w:val="0"/>
              <w:spacing w:before="0" w:beforeAutospacing="0" w:after="0" w:afterAutospacing="0"/>
              <w:jc w:val="center"/>
              <w:rPr>
                <w:rFonts w:ascii="Times New Roman" w:hAnsi="Times New Roman" w:eastAsia="仿宋"/>
                <w:b/>
                <w:color w:val="auto"/>
                <w:highlight w:val="none"/>
              </w:rPr>
            </w:pPr>
            <w:r>
              <w:rPr>
                <w:rFonts w:hint="eastAsia" w:ascii="Times New Roman" w:hAnsi="Times New Roman" w:eastAsia="仿宋"/>
                <w:b/>
                <w:color w:val="auto"/>
                <w:highlight w:val="none"/>
              </w:rPr>
              <w:t>（万元）</w:t>
            </w:r>
          </w:p>
        </w:tc>
        <w:tc>
          <w:tcPr>
            <w:tcW w:w="495" w:type="pct"/>
            <w:vAlign w:val="center"/>
          </w:tcPr>
          <w:p w14:paraId="34B42E0B">
            <w:pPr>
              <w:pStyle w:val="38"/>
              <w:adjustRightInd w:val="0"/>
              <w:snapToGrid w:val="0"/>
              <w:spacing w:before="0" w:beforeAutospacing="0" w:after="0" w:afterAutospacing="0"/>
              <w:jc w:val="center"/>
              <w:rPr>
                <w:rFonts w:ascii="Times New Roman" w:hAnsi="Times New Roman" w:eastAsia="仿宋"/>
                <w:b/>
                <w:color w:val="auto"/>
                <w:highlight w:val="none"/>
              </w:rPr>
            </w:pPr>
            <w:r>
              <w:rPr>
                <w:rFonts w:hint="eastAsia" w:ascii="Times New Roman" w:hAnsi="Times New Roman" w:eastAsia="仿宋"/>
                <w:b/>
                <w:color w:val="auto"/>
                <w:highlight w:val="none"/>
              </w:rPr>
              <w:t>税率（%）</w:t>
            </w:r>
          </w:p>
        </w:tc>
        <w:tc>
          <w:tcPr>
            <w:tcW w:w="681" w:type="pct"/>
            <w:vAlign w:val="center"/>
          </w:tcPr>
          <w:p w14:paraId="25B97154">
            <w:pPr>
              <w:pStyle w:val="38"/>
              <w:adjustRightInd w:val="0"/>
              <w:snapToGrid w:val="0"/>
              <w:spacing w:before="0" w:beforeAutospacing="0" w:after="0" w:afterAutospacing="0"/>
              <w:jc w:val="center"/>
              <w:rPr>
                <w:rFonts w:ascii="Times New Roman" w:hAnsi="Times New Roman" w:eastAsia="仿宋"/>
                <w:b/>
                <w:color w:val="auto"/>
                <w:highlight w:val="none"/>
              </w:rPr>
            </w:pPr>
            <w:r>
              <w:rPr>
                <w:rFonts w:hint="eastAsia" w:ascii="Times New Roman" w:hAnsi="Times New Roman" w:eastAsia="仿宋"/>
                <w:b/>
                <w:color w:val="auto"/>
                <w:highlight w:val="none"/>
              </w:rPr>
              <w:t>小计</w:t>
            </w:r>
          </w:p>
          <w:p w14:paraId="47C4A3D5">
            <w:pPr>
              <w:pStyle w:val="38"/>
              <w:adjustRightInd w:val="0"/>
              <w:snapToGrid w:val="0"/>
              <w:spacing w:before="0" w:beforeAutospacing="0" w:after="0" w:afterAutospacing="0"/>
              <w:jc w:val="center"/>
              <w:rPr>
                <w:rFonts w:ascii="Times New Roman" w:hAnsi="Times New Roman" w:eastAsia="仿宋"/>
                <w:b/>
                <w:color w:val="auto"/>
                <w:highlight w:val="none"/>
              </w:rPr>
            </w:pPr>
            <w:r>
              <w:rPr>
                <w:rFonts w:hint="eastAsia" w:ascii="Times New Roman" w:hAnsi="Times New Roman" w:eastAsia="仿宋"/>
                <w:b/>
                <w:color w:val="auto"/>
                <w:highlight w:val="none"/>
              </w:rPr>
              <w:t>（万元）</w:t>
            </w:r>
          </w:p>
        </w:tc>
      </w:tr>
      <w:tr w14:paraId="43D3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79" w:type="pct"/>
            <w:vAlign w:val="center"/>
          </w:tcPr>
          <w:p w14:paraId="7345FC7E">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1</w:t>
            </w:r>
          </w:p>
        </w:tc>
        <w:tc>
          <w:tcPr>
            <w:tcW w:w="831" w:type="pct"/>
            <w:vAlign w:val="center"/>
          </w:tcPr>
          <w:p w14:paraId="57907F62">
            <w:pPr>
              <w:pStyle w:val="38"/>
              <w:adjustRightInd w:val="0"/>
              <w:snapToGrid w:val="0"/>
              <w:spacing w:before="0" w:beforeAutospacing="0" w:after="0" w:afterAutospacing="0"/>
              <w:jc w:val="both"/>
              <w:rPr>
                <w:rFonts w:ascii="Times New Roman" w:hAnsi="Times New Roman" w:eastAsia="仿宋"/>
                <w:bCs/>
                <w:color w:val="auto"/>
                <w:highlight w:val="none"/>
              </w:rPr>
            </w:pPr>
            <w:r>
              <w:rPr>
                <w:rFonts w:ascii="Times New Roman" w:hAnsi="Times New Roman" w:eastAsia="仿宋"/>
                <w:b/>
                <w:color w:val="auto"/>
                <w:highlight w:val="none"/>
              </w:rPr>
              <w:t>里程碑</w:t>
            </w:r>
            <w:r>
              <w:rPr>
                <w:rFonts w:hint="eastAsia" w:ascii="Times New Roman" w:hAnsi="Times New Roman" w:eastAsia="仿宋"/>
                <w:b/>
                <w:color w:val="auto"/>
                <w:highlight w:val="none"/>
              </w:rPr>
              <w:t>1</w:t>
            </w:r>
            <w:r>
              <w:rPr>
                <w:rFonts w:ascii="Times New Roman" w:hAnsi="Times New Roman" w:eastAsia="仿宋"/>
                <w:b/>
                <w:color w:val="auto"/>
                <w:highlight w:val="none"/>
              </w:rPr>
              <w:t>：</w:t>
            </w:r>
            <w:r>
              <w:rPr>
                <w:rFonts w:hint="eastAsia" w:ascii="Times New Roman" w:hAnsi="Times New Roman" w:eastAsia="仿宋_GB2312"/>
                <w:bCs/>
                <w:color w:val="auto"/>
                <w:highlight w:val="none"/>
              </w:rPr>
              <w:t>“面向隧道监控摄像机群的重点车辆重识别及统计算法研究”的预处理工作</w:t>
            </w:r>
          </w:p>
        </w:tc>
        <w:tc>
          <w:tcPr>
            <w:tcW w:w="1535" w:type="pct"/>
            <w:vAlign w:val="center"/>
          </w:tcPr>
          <w:p w14:paraId="3AD8DB20">
            <w:pPr>
              <w:pStyle w:val="38"/>
              <w:adjustRightInd w:val="0"/>
              <w:snapToGrid w:val="0"/>
              <w:rPr>
                <w:rFonts w:ascii="Times New Roman" w:hAnsi="Times New Roman" w:eastAsia="仿宋"/>
                <w:color w:val="auto"/>
                <w:highlight w:val="none"/>
                <w:lang w:bidi="ar"/>
              </w:rPr>
            </w:pPr>
            <w:r>
              <w:rPr>
                <w:rFonts w:hint="eastAsia" w:ascii="Times New Roman" w:hAnsi="Times New Roman" w:eastAsia="仿宋"/>
                <w:color w:val="auto"/>
                <w:highlight w:val="none"/>
                <w:lang w:bidi="ar"/>
              </w:rPr>
              <w:t>1.</w:t>
            </w:r>
            <w:r>
              <w:rPr>
                <w:rFonts w:hint="eastAsia" w:ascii="Times New Roman" w:hAnsi="Times New Roman" w:eastAsia="仿宋"/>
                <w:color w:val="auto"/>
                <w:highlight w:val="none"/>
                <w:lang w:bidi="ar"/>
              </w:rPr>
              <w:tab/>
            </w:r>
            <w:r>
              <w:rPr>
                <w:rFonts w:hint="eastAsia" w:ascii="Times New Roman" w:hAnsi="Times New Roman" w:eastAsia="仿宋"/>
                <w:color w:val="auto"/>
                <w:highlight w:val="none"/>
                <w:lang w:bidi="ar"/>
              </w:rPr>
              <w:t>完成相关数据收集和预处理工作，形成相关完成报告1份。</w:t>
            </w:r>
          </w:p>
          <w:p w14:paraId="0796239F">
            <w:pPr>
              <w:pStyle w:val="38"/>
              <w:adjustRightInd w:val="0"/>
              <w:snapToGrid w:val="0"/>
              <w:spacing w:before="0" w:beforeAutospacing="0" w:after="0" w:afterAutospacing="0"/>
              <w:jc w:val="both"/>
              <w:rPr>
                <w:rFonts w:ascii="Times New Roman" w:hAnsi="Times New Roman" w:eastAsia="仿宋"/>
                <w:color w:val="auto"/>
                <w:highlight w:val="none"/>
                <w:lang w:bidi="ar"/>
              </w:rPr>
            </w:pPr>
            <w:r>
              <w:rPr>
                <w:rFonts w:hint="eastAsia" w:ascii="Times New Roman" w:hAnsi="Times New Roman" w:eastAsia="仿宋"/>
                <w:color w:val="auto"/>
                <w:highlight w:val="none"/>
                <w:lang w:bidi="ar"/>
              </w:rPr>
              <w:t>2.</w:t>
            </w:r>
            <w:r>
              <w:rPr>
                <w:rFonts w:hint="eastAsia" w:ascii="Times New Roman" w:hAnsi="Times New Roman" w:eastAsia="仿宋"/>
                <w:color w:val="auto"/>
                <w:highlight w:val="none"/>
                <w:lang w:bidi="ar"/>
              </w:rPr>
              <w:tab/>
            </w:r>
            <w:r>
              <w:rPr>
                <w:rFonts w:hint="eastAsia" w:ascii="Times New Roman" w:hAnsi="Times New Roman" w:eastAsia="仿宋"/>
                <w:color w:val="auto"/>
                <w:highlight w:val="none"/>
                <w:lang w:bidi="ar"/>
              </w:rPr>
              <w:t>完成备选深度学习模型选择和测试，形成相关完成报告1份。</w:t>
            </w:r>
          </w:p>
        </w:tc>
        <w:tc>
          <w:tcPr>
            <w:tcW w:w="296" w:type="pct"/>
            <w:vAlign w:val="center"/>
          </w:tcPr>
          <w:p w14:paraId="24ABFCF9">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套</w:t>
            </w:r>
          </w:p>
        </w:tc>
        <w:tc>
          <w:tcPr>
            <w:tcW w:w="221" w:type="pct"/>
            <w:vAlign w:val="center"/>
          </w:tcPr>
          <w:p w14:paraId="6C81326E">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1</w:t>
            </w:r>
          </w:p>
        </w:tc>
        <w:tc>
          <w:tcPr>
            <w:tcW w:w="663" w:type="pct"/>
            <w:vAlign w:val="center"/>
          </w:tcPr>
          <w:p w14:paraId="6E5A79E8">
            <w:pPr>
              <w:pStyle w:val="38"/>
              <w:adjustRightInd w:val="0"/>
              <w:snapToGrid w:val="0"/>
              <w:spacing w:before="0" w:beforeAutospacing="0" w:after="0" w:afterAutospacing="0"/>
              <w:jc w:val="center"/>
              <w:rPr>
                <w:rFonts w:ascii="Times New Roman" w:hAnsi="Times New Roman" w:eastAsia="宋体"/>
                <w:color w:val="auto"/>
                <w:highlight w:val="none"/>
              </w:rPr>
            </w:pPr>
          </w:p>
        </w:tc>
        <w:tc>
          <w:tcPr>
            <w:tcW w:w="495" w:type="pct"/>
            <w:vAlign w:val="center"/>
          </w:tcPr>
          <w:p w14:paraId="593BB176">
            <w:pPr>
              <w:pStyle w:val="38"/>
              <w:adjustRightInd w:val="0"/>
              <w:snapToGrid w:val="0"/>
              <w:spacing w:before="0" w:beforeAutospacing="0" w:after="0" w:afterAutospacing="0"/>
              <w:jc w:val="center"/>
              <w:rPr>
                <w:rFonts w:ascii="Times New Roman" w:hAnsi="Times New Roman" w:eastAsia="仿宋"/>
                <w:color w:val="auto"/>
                <w:highlight w:val="none"/>
              </w:rPr>
            </w:pPr>
          </w:p>
        </w:tc>
        <w:tc>
          <w:tcPr>
            <w:tcW w:w="681" w:type="pct"/>
            <w:vAlign w:val="center"/>
          </w:tcPr>
          <w:p w14:paraId="60814237">
            <w:pPr>
              <w:pStyle w:val="38"/>
              <w:adjustRightInd w:val="0"/>
              <w:snapToGrid w:val="0"/>
              <w:spacing w:before="0" w:beforeAutospacing="0" w:after="0" w:afterAutospacing="0"/>
              <w:jc w:val="center"/>
              <w:rPr>
                <w:rFonts w:ascii="Times New Roman" w:hAnsi="Times New Roman" w:eastAsia="仿宋"/>
                <w:color w:val="auto"/>
                <w:highlight w:val="none"/>
              </w:rPr>
            </w:pPr>
          </w:p>
        </w:tc>
      </w:tr>
      <w:tr w14:paraId="487AE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79" w:type="pct"/>
            <w:vAlign w:val="center"/>
          </w:tcPr>
          <w:p w14:paraId="7F72F185">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2</w:t>
            </w:r>
          </w:p>
        </w:tc>
        <w:tc>
          <w:tcPr>
            <w:tcW w:w="831" w:type="pct"/>
            <w:vAlign w:val="center"/>
          </w:tcPr>
          <w:p w14:paraId="42C01725">
            <w:pPr>
              <w:pStyle w:val="38"/>
              <w:adjustRightInd w:val="0"/>
              <w:snapToGrid w:val="0"/>
              <w:spacing w:before="0" w:beforeAutospacing="0" w:after="0" w:afterAutospacing="0"/>
              <w:jc w:val="both"/>
              <w:rPr>
                <w:rFonts w:ascii="Times New Roman" w:hAnsi="Times New Roman" w:eastAsia="仿宋"/>
                <w:bCs/>
                <w:color w:val="auto"/>
                <w:highlight w:val="none"/>
              </w:rPr>
            </w:pPr>
            <w:r>
              <w:rPr>
                <w:rFonts w:ascii="Times New Roman" w:hAnsi="Times New Roman" w:eastAsia="仿宋"/>
                <w:b/>
                <w:color w:val="auto"/>
                <w:highlight w:val="none"/>
              </w:rPr>
              <w:t>里程碑</w:t>
            </w:r>
            <w:r>
              <w:rPr>
                <w:rFonts w:hint="eastAsia" w:ascii="Times New Roman" w:hAnsi="Times New Roman" w:eastAsia="仿宋"/>
                <w:b/>
                <w:color w:val="auto"/>
                <w:highlight w:val="none"/>
              </w:rPr>
              <w:t>2</w:t>
            </w:r>
            <w:r>
              <w:rPr>
                <w:rFonts w:ascii="Times New Roman" w:hAnsi="Times New Roman" w:eastAsia="仿宋"/>
                <w:b/>
                <w:color w:val="auto"/>
                <w:highlight w:val="none"/>
              </w:rPr>
              <w:t>：</w:t>
            </w:r>
            <w:r>
              <w:rPr>
                <w:rFonts w:hint="eastAsia" w:ascii="Times New Roman" w:hAnsi="Times New Roman" w:eastAsia="仿宋_GB2312"/>
                <w:bCs/>
                <w:color w:val="auto"/>
                <w:highlight w:val="none"/>
              </w:rPr>
              <w:t>“面向隧道监控摄像机群的重点车辆重识别及统计算法研究”的模型训练和功能开发工作</w:t>
            </w:r>
          </w:p>
        </w:tc>
        <w:tc>
          <w:tcPr>
            <w:tcW w:w="1535" w:type="pct"/>
            <w:vAlign w:val="center"/>
          </w:tcPr>
          <w:p w14:paraId="517E83A4">
            <w:pPr>
              <w:pStyle w:val="38"/>
              <w:adjustRightInd w:val="0"/>
              <w:snapToGrid w:val="0"/>
              <w:rPr>
                <w:rFonts w:ascii="Times New Roman" w:hAnsi="Times New Roman" w:eastAsia="仿宋"/>
                <w:color w:val="auto"/>
                <w:highlight w:val="none"/>
                <w:lang w:bidi="ar"/>
              </w:rPr>
            </w:pPr>
            <w:r>
              <w:rPr>
                <w:rFonts w:hint="eastAsia" w:ascii="Times New Roman" w:hAnsi="Times New Roman" w:eastAsia="仿宋"/>
                <w:color w:val="auto"/>
                <w:highlight w:val="none"/>
                <w:lang w:bidi="ar"/>
              </w:rPr>
              <w:t>1</w:t>
            </w:r>
            <w:r>
              <w:rPr>
                <w:rFonts w:ascii="Times New Roman" w:hAnsi="Times New Roman" w:eastAsia="仿宋"/>
                <w:color w:val="auto"/>
                <w:highlight w:val="none"/>
                <w:lang w:bidi="ar"/>
              </w:rPr>
              <w:t xml:space="preserve">. </w:t>
            </w:r>
            <w:r>
              <w:rPr>
                <w:rFonts w:hint="eastAsia" w:ascii="Times New Roman" w:hAnsi="Times New Roman" w:eastAsia="仿宋"/>
                <w:color w:val="auto"/>
                <w:highlight w:val="none"/>
                <w:lang w:bidi="ar"/>
              </w:rPr>
              <w:t>完成模型训练报告和性能评估结果报告1份。</w:t>
            </w:r>
          </w:p>
          <w:p w14:paraId="72ADF572">
            <w:pPr>
              <w:pStyle w:val="38"/>
              <w:adjustRightInd w:val="0"/>
              <w:snapToGrid w:val="0"/>
              <w:rPr>
                <w:rFonts w:ascii="Times New Roman" w:hAnsi="Times New Roman" w:eastAsia="仿宋"/>
                <w:color w:val="auto"/>
                <w:highlight w:val="none"/>
                <w:lang w:bidi="ar"/>
              </w:rPr>
            </w:pPr>
            <w:r>
              <w:rPr>
                <w:rFonts w:hint="eastAsia" w:ascii="Times New Roman" w:hAnsi="Times New Roman" w:eastAsia="仿宋"/>
                <w:color w:val="auto"/>
                <w:highlight w:val="none"/>
                <w:lang w:bidi="ar"/>
              </w:rPr>
              <w:t>2</w:t>
            </w:r>
            <w:r>
              <w:rPr>
                <w:rFonts w:ascii="Times New Roman" w:hAnsi="Times New Roman" w:eastAsia="仿宋"/>
                <w:color w:val="auto"/>
                <w:highlight w:val="none"/>
                <w:lang w:bidi="ar"/>
              </w:rPr>
              <w:t xml:space="preserve">. </w:t>
            </w:r>
            <w:r>
              <w:rPr>
                <w:rFonts w:hint="eastAsia" w:ascii="Times New Roman" w:hAnsi="Times New Roman" w:eastAsia="仿宋"/>
                <w:color w:val="auto"/>
                <w:highlight w:val="none"/>
                <w:lang w:bidi="ar"/>
              </w:rPr>
              <w:t>完成模型实地部署测试优化方案1份。</w:t>
            </w:r>
          </w:p>
        </w:tc>
        <w:tc>
          <w:tcPr>
            <w:tcW w:w="296" w:type="pct"/>
            <w:vAlign w:val="center"/>
          </w:tcPr>
          <w:p w14:paraId="26877FD9">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套</w:t>
            </w:r>
          </w:p>
        </w:tc>
        <w:tc>
          <w:tcPr>
            <w:tcW w:w="221" w:type="pct"/>
            <w:vAlign w:val="center"/>
          </w:tcPr>
          <w:p w14:paraId="00A241B4">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1</w:t>
            </w:r>
          </w:p>
        </w:tc>
        <w:tc>
          <w:tcPr>
            <w:tcW w:w="663" w:type="pct"/>
            <w:vAlign w:val="center"/>
          </w:tcPr>
          <w:p w14:paraId="4BFDA50F">
            <w:pPr>
              <w:pStyle w:val="38"/>
              <w:adjustRightInd w:val="0"/>
              <w:snapToGrid w:val="0"/>
              <w:spacing w:before="0" w:beforeAutospacing="0" w:after="0" w:afterAutospacing="0"/>
              <w:jc w:val="center"/>
              <w:rPr>
                <w:rFonts w:ascii="Times New Roman" w:hAnsi="Times New Roman" w:eastAsia="仿宋"/>
                <w:color w:val="auto"/>
                <w:highlight w:val="none"/>
              </w:rPr>
            </w:pPr>
          </w:p>
        </w:tc>
        <w:tc>
          <w:tcPr>
            <w:tcW w:w="495" w:type="pct"/>
            <w:vAlign w:val="center"/>
          </w:tcPr>
          <w:p w14:paraId="4D60054A">
            <w:pPr>
              <w:pStyle w:val="38"/>
              <w:adjustRightInd w:val="0"/>
              <w:snapToGrid w:val="0"/>
              <w:spacing w:before="0" w:beforeAutospacing="0" w:after="0" w:afterAutospacing="0"/>
              <w:jc w:val="center"/>
              <w:rPr>
                <w:rFonts w:ascii="Times New Roman" w:hAnsi="Times New Roman" w:eastAsia="仿宋"/>
                <w:color w:val="auto"/>
                <w:highlight w:val="none"/>
              </w:rPr>
            </w:pPr>
          </w:p>
        </w:tc>
        <w:tc>
          <w:tcPr>
            <w:tcW w:w="681" w:type="pct"/>
            <w:vAlign w:val="center"/>
          </w:tcPr>
          <w:p w14:paraId="5D619EF6">
            <w:pPr>
              <w:pStyle w:val="38"/>
              <w:adjustRightInd w:val="0"/>
              <w:snapToGrid w:val="0"/>
              <w:spacing w:before="0" w:beforeAutospacing="0" w:after="0" w:afterAutospacing="0"/>
              <w:jc w:val="center"/>
              <w:rPr>
                <w:rFonts w:ascii="Times New Roman" w:hAnsi="Times New Roman" w:eastAsia="仿宋"/>
                <w:color w:val="auto"/>
                <w:highlight w:val="none"/>
              </w:rPr>
            </w:pPr>
          </w:p>
        </w:tc>
      </w:tr>
      <w:tr w14:paraId="03B2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79" w:type="pct"/>
            <w:vAlign w:val="center"/>
          </w:tcPr>
          <w:p w14:paraId="0BBB2412">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3</w:t>
            </w:r>
          </w:p>
        </w:tc>
        <w:tc>
          <w:tcPr>
            <w:tcW w:w="831" w:type="pct"/>
            <w:vAlign w:val="center"/>
          </w:tcPr>
          <w:p w14:paraId="2CFF7D53">
            <w:pPr>
              <w:pStyle w:val="38"/>
              <w:adjustRightInd w:val="0"/>
              <w:snapToGrid w:val="0"/>
              <w:spacing w:before="0" w:beforeAutospacing="0" w:after="0" w:afterAutospacing="0"/>
              <w:jc w:val="both"/>
              <w:rPr>
                <w:rFonts w:ascii="Times New Roman" w:hAnsi="Times New Roman" w:eastAsia="仿宋_GB2312"/>
                <w:bCs/>
                <w:color w:val="auto"/>
                <w:highlight w:val="none"/>
              </w:rPr>
            </w:pPr>
            <w:r>
              <w:rPr>
                <w:rFonts w:ascii="Times New Roman" w:hAnsi="Times New Roman" w:eastAsia="仿宋"/>
                <w:b/>
                <w:color w:val="auto"/>
                <w:highlight w:val="none"/>
              </w:rPr>
              <w:t>里程碑</w:t>
            </w:r>
            <w:r>
              <w:rPr>
                <w:rFonts w:hint="eastAsia" w:ascii="Times New Roman" w:hAnsi="Times New Roman" w:eastAsia="仿宋"/>
                <w:b/>
                <w:color w:val="auto"/>
                <w:highlight w:val="none"/>
              </w:rPr>
              <w:t>3</w:t>
            </w:r>
            <w:r>
              <w:rPr>
                <w:rFonts w:ascii="Times New Roman" w:hAnsi="Times New Roman" w:eastAsia="仿宋"/>
                <w:b/>
                <w:color w:val="auto"/>
                <w:highlight w:val="none"/>
              </w:rPr>
              <w:t>：</w:t>
            </w:r>
            <w:r>
              <w:rPr>
                <w:rFonts w:hint="eastAsia" w:ascii="Times New Roman" w:hAnsi="Times New Roman" w:eastAsia="仿宋_GB2312"/>
                <w:bCs/>
                <w:color w:val="auto"/>
                <w:highlight w:val="none"/>
              </w:rPr>
              <w:t>“面向高速公路监控摄像机的车辆变道行为检测算法研究”的预处理工作</w:t>
            </w:r>
          </w:p>
        </w:tc>
        <w:tc>
          <w:tcPr>
            <w:tcW w:w="1535" w:type="pct"/>
            <w:vAlign w:val="center"/>
          </w:tcPr>
          <w:p w14:paraId="406788B9">
            <w:pPr>
              <w:pStyle w:val="38"/>
              <w:adjustRightInd w:val="0"/>
              <w:snapToGrid w:val="0"/>
              <w:rPr>
                <w:rFonts w:ascii="Times New Roman" w:hAnsi="Times New Roman" w:eastAsia="仿宋"/>
                <w:color w:val="auto"/>
                <w:highlight w:val="none"/>
                <w:lang w:bidi="ar"/>
              </w:rPr>
            </w:pPr>
            <w:r>
              <w:rPr>
                <w:rFonts w:hint="eastAsia" w:ascii="Times New Roman" w:hAnsi="Times New Roman" w:eastAsia="仿宋"/>
                <w:color w:val="auto"/>
                <w:highlight w:val="none"/>
                <w:lang w:bidi="ar"/>
              </w:rPr>
              <w:t>1.</w:t>
            </w:r>
            <w:r>
              <w:rPr>
                <w:rFonts w:hint="eastAsia" w:ascii="Times New Roman" w:hAnsi="Times New Roman" w:eastAsia="仿宋"/>
                <w:color w:val="auto"/>
                <w:highlight w:val="none"/>
                <w:lang w:bidi="ar"/>
              </w:rPr>
              <w:tab/>
            </w:r>
            <w:r>
              <w:rPr>
                <w:rFonts w:hint="eastAsia" w:ascii="Times New Roman" w:hAnsi="Times New Roman" w:eastAsia="仿宋"/>
                <w:color w:val="auto"/>
                <w:highlight w:val="none"/>
                <w:lang w:bidi="ar"/>
              </w:rPr>
              <w:t>完成相关数据收集和预处理工作，形成相关完成报告1份。</w:t>
            </w:r>
          </w:p>
          <w:p w14:paraId="408C2961">
            <w:pPr>
              <w:pStyle w:val="38"/>
              <w:adjustRightInd w:val="0"/>
              <w:snapToGrid w:val="0"/>
              <w:spacing w:before="0" w:beforeAutospacing="0" w:after="0" w:afterAutospacing="0"/>
              <w:jc w:val="both"/>
              <w:rPr>
                <w:rFonts w:ascii="Times New Roman" w:hAnsi="Times New Roman" w:eastAsia="仿宋"/>
                <w:color w:val="auto"/>
                <w:highlight w:val="none"/>
                <w:lang w:bidi="ar"/>
              </w:rPr>
            </w:pPr>
            <w:r>
              <w:rPr>
                <w:rFonts w:hint="eastAsia" w:ascii="Times New Roman" w:hAnsi="Times New Roman" w:eastAsia="仿宋"/>
                <w:color w:val="auto"/>
                <w:highlight w:val="none"/>
                <w:lang w:bidi="ar"/>
              </w:rPr>
              <w:t>2.</w:t>
            </w:r>
            <w:r>
              <w:rPr>
                <w:rFonts w:hint="eastAsia" w:ascii="Times New Roman" w:hAnsi="Times New Roman" w:eastAsia="仿宋"/>
                <w:color w:val="auto"/>
                <w:highlight w:val="none"/>
                <w:lang w:bidi="ar"/>
              </w:rPr>
              <w:tab/>
            </w:r>
            <w:r>
              <w:rPr>
                <w:rFonts w:hint="eastAsia" w:ascii="Times New Roman" w:hAnsi="Times New Roman" w:eastAsia="仿宋"/>
                <w:color w:val="auto"/>
                <w:highlight w:val="none"/>
                <w:lang w:bidi="ar"/>
              </w:rPr>
              <w:t>完成备选深度学习模型选择和测试，形成相关完成报告1份。</w:t>
            </w:r>
          </w:p>
        </w:tc>
        <w:tc>
          <w:tcPr>
            <w:tcW w:w="296" w:type="pct"/>
            <w:vAlign w:val="center"/>
          </w:tcPr>
          <w:p w14:paraId="0D086BA2">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套</w:t>
            </w:r>
          </w:p>
        </w:tc>
        <w:tc>
          <w:tcPr>
            <w:tcW w:w="221" w:type="pct"/>
            <w:vAlign w:val="center"/>
          </w:tcPr>
          <w:p w14:paraId="781EE22C">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1</w:t>
            </w:r>
          </w:p>
        </w:tc>
        <w:tc>
          <w:tcPr>
            <w:tcW w:w="663" w:type="pct"/>
            <w:vAlign w:val="center"/>
          </w:tcPr>
          <w:p w14:paraId="7486BED6">
            <w:pPr>
              <w:pStyle w:val="38"/>
              <w:adjustRightInd w:val="0"/>
              <w:snapToGrid w:val="0"/>
              <w:spacing w:before="0" w:beforeAutospacing="0" w:after="0" w:afterAutospacing="0"/>
              <w:jc w:val="center"/>
              <w:rPr>
                <w:rFonts w:ascii="Times New Roman" w:hAnsi="Times New Roman" w:eastAsia="宋体"/>
                <w:color w:val="auto"/>
                <w:szCs w:val="22"/>
                <w:highlight w:val="none"/>
              </w:rPr>
            </w:pPr>
          </w:p>
        </w:tc>
        <w:tc>
          <w:tcPr>
            <w:tcW w:w="495" w:type="pct"/>
            <w:vAlign w:val="center"/>
          </w:tcPr>
          <w:p w14:paraId="075C0FCB">
            <w:pPr>
              <w:pStyle w:val="38"/>
              <w:adjustRightInd w:val="0"/>
              <w:snapToGrid w:val="0"/>
              <w:spacing w:before="0" w:beforeAutospacing="0" w:after="0" w:afterAutospacing="0"/>
              <w:jc w:val="center"/>
              <w:rPr>
                <w:rFonts w:ascii="Times New Roman" w:hAnsi="Times New Roman" w:eastAsia="仿宋"/>
                <w:color w:val="auto"/>
                <w:highlight w:val="none"/>
              </w:rPr>
            </w:pPr>
          </w:p>
        </w:tc>
        <w:tc>
          <w:tcPr>
            <w:tcW w:w="681" w:type="pct"/>
            <w:vAlign w:val="center"/>
          </w:tcPr>
          <w:p w14:paraId="5E62BD07">
            <w:pPr>
              <w:pStyle w:val="38"/>
              <w:adjustRightInd w:val="0"/>
              <w:snapToGrid w:val="0"/>
              <w:spacing w:before="0" w:beforeAutospacing="0" w:after="0" w:afterAutospacing="0"/>
              <w:jc w:val="center"/>
              <w:rPr>
                <w:rFonts w:ascii="Times New Roman" w:hAnsi="Times New Roman" w:eastAsia="宋体"/>
                <w:color w:val="auto"/>
                <w:szCs w:val="22"/>
                <w:highlight w:val="none"/>
              </w:rPr>
            </w:pPr>
          </w:p>
        </w:tc>
      </w:tr>
      <w:tr w14:paraId="2B8D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79" w:type="pct"/>
            <w:vAlign w:val="center"/>
          </w:tcPr>
          <w:p w14:paraId="2DF946D8">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4</w:t>
            </w:r>
          </w:p>
        </w:tc>
        <w:tc>
          <w:tcPr>
            <w:tcW w:w="831" w:type="pct"/>
            <w:vAlign w:val="center"/>
          </w:tcPr>
          <w:p w14:paraId="06A48DF0">
            <w:pPr>
              <w:pStyle w:val="38"/>
              <w:adjustRightInd w:val="0"/>
              <w:snapToGrid w:val="0"/>
              <w:spacing w:before="0" w:beforeAutospacing="0" w:after="0" w:afterAutospacing="0"/>
              <w:jc w:val="both"/>
              <w:rPr>
                <w:rFonts w:ascii="Times New Roman" w:hAnsi="Times New Roman" w:eastAsia="仿宋"/>
                <w:color w:val="auto"/>
                <w:highlight w:val="none"/>
              </w:rPr>
            </w:pPr>
            <w:r>
              <w:rPr>
                <w:rFonts w:ascii="Times New Roman" w:hAnsi="Times New Roman" w:eastAsia="仿宋"/>
                <w:b/>
                <w:color w:val="auto"/>
                <w:highlight w:val="none"/>
              </w:rPr>
              <w:t>里程碑</w:t>
            </w:r>
            <w:r>
              <w:rPr>
                <w:rFonts w:hint="eastAsia" w:ascii="Times New Roman" w:hAnsi="Times New Roman" w:eastAsia="仿宋"/>
                <w:b/>
                <w:color w:val="auto"/>
                <w:highlight w:val="none"/>
              </w:rPr>
              <w:t>4</w:t>
            </w:r>
            <w:r>
              <w:rPr>
                <w:rFonts w:ascii="Times New Roman" w:hAnsi="Times New Roman" w:eastAsia="仿宋"/>
                <w:b/>
                <w:color w:val="auto"/>
                <w:highlight w:val="none"/>
              </w:rPr>
              <w:t>：</w:t>
            </w:r>
            <w:r>
              <w:rPr>
                <w:rFonts w:hint="eastAsia" w:ascii="Times New Roman" w:hAnsi="Times New Roman" w:eastAsia="仿宋"/>
                <w:color w:val="auto"/>
                <w:highlight w:val="none"/>
                <w:lang w:bidi="ar"/>
              </w:rPr>
              <w:t>“面向隧道监控摄像机群的重点车辆重识别及统计算法研究”的系统集成部署与优化</w:t>
            </w:r>
          </w:p>
        </w:tc>
        <w:tc>
          <w:tcPr>
            <w:tcW w:w="1535" w:type="pct"/>
            <w:vAlign w:val="center"/>
          </w:tcPr>
          <w:p w14:paraId="767991DA">
            <w:pPr>
              <w:pStyle w:val="38"/>
              <w:adjustRightInd w:val="0"/>
              <w:snapToGrid w:val="0"/>
              <w:rPr>
                <w:rFonts w:ascii="Times New Roman" w:hAnsi="Times New Roman" w:eastAsia="仿宋"/>
                <w:color w:val="auto"/>
                <w:highlight w:val="none"/>
                <w:lang w:bidi="ar"/>
              </w:rPr>
            </w:pPr>
            <w:r>
              <w:rPr>
                <w:rFonts w:hint="eastAsia" w:ascii="Times New Roman" w:hAnsi="Times New Roman" w:eastAsia="仿宋"/>
                <w:color w:val="auto"/>
                <w:highlight w:val="none"/>
                <w:lang w:bidi="ar"/>
              </w:rPr>
              <w:t>1.</w:t>
            </w:r>
            <w:r>
              <w:rPr>
                <w:rFonts w:hint="eastAsia" w:ascii="Times New Roman" w:hAnsi="Times New Roman" w:eastAsia="仿宋"/>
                <w:color w:val="auto"/>
                <w:highlight w:val="none"/>
                <w:lang w:bidi="ar"/>
              </w:rPr>
              <w:tab/>
            </w:r>
            <w:r>
              <w:rPr>
                <w:rFonts w:hint="eastAsia" w:ascii="Times New Roman" w:hAnsi="Times New Roman" w:eastAsia="仿宋"/>
                <w:color w:val="auto"/>
                <w:highlight w:val="none"/>
                <w:lang w:bidi="ar"/>
              </w:rPr>
              <w:t>完成系统集成和测试方案、实验室测试报告。</w:t>
            </w:r>
          </w:p>
          <w:p w14:paraId="74CB9C7D">
            <w:pPr>
              <w:pStyle w:val="38"/>
              <w:adjustRightInd w:val="0"/>
              <w:snapToGrid w:val="0"/>
              <w:spacing w:before="0" w:beforeAutospacing="0" w:after="0" w:afterAutospacing="0"/>
              <w:jc w:val="both"/>
              <w:rPr>
                <w:rFonts w:ascii="Times New Roman" w:hAnsi="Times New Roman" w:eastAsia="仿宋"/>
                <w:color w:val="auto"/>
                <w:highlight w:val="none"/>
                <w:lang w:bidi="ar"/>
              </w:rPr>
            </w:pPr>
            <w:r>
              <w:rPr>
                <w:rFonts w:hint="eastAsia" w:ascii="Times New Roman" w:hAnsi="Times New Roman" w:eastAsia="仿宋"/>
                <w:color w:val="auto"/>
                <w:highlight w:val="none"/>
                <w:lang w:bidi="ar"/>
              </w:rPr>
              <w:t>2.</w:t>
            </w:r>
            <w:r>
              <w:rPr>
                <w:rFonts w:hint="eastAsia" w:ascii="Times New Roman" w:hAnsi="Times New Roman" w:eastAsia="仿宋"/>
                <w:color w:val="auto"/>
                <w:highlight w:val="none"/>
                <w:lang w:bidi="ar"/>
              </w:rPr>
              <w:tab/>
            </w:r>
            <w:r>
              <w:rPr>
                <w:rFonts w:hint="eastAsia" w:ascii="Times New Roman" w:hAnsi="Times New Roman" w:eastAsia="仿宋"/>
                <w:color w:val="auto"/>
                <w:highlight w:val="none"/>
                <w:lang w:bidi="ar"/>
              </w:rPr>
              <w:t>完成现场部署报告、现场测试报告和性能评估结果。</w:t>
            </w:r>
          </w:p>
        </w:tc>
        <w:tc>
          <w:tcPr>
            <w:tcW w:w="296" w:type="pct"/>
            <w:vAlign w:val="center"/>
          </w:tcPr>
          <w:p w14:paraId="3F661790">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套</w:t>
            </w:r>
          </w:p>
        </w:tc>
        <w:tc>
          <w:tcPr>
            <w:tcW w:w="221" w:type="pct"/>
            <w:vAlign w:val="center"/>
          </w:tcPr>
          <w:p w14:paraId="34F86E4B">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1</w:t>
            </w:r>
          </w:p>
        </w:tc>
        <w:tc>
          <w:tcPr>
            <w:tcW w:w="663" w:type="pct"/>
            <w:vAlign w:val="center"/>
          </w:tcPr>
          <w:p w14:paraId="2DAE3411">
            <w:pPr>
              <w:pStyle w:val="38"/>
              <w:adjustRightInd w:val="0"/>
              <w:snapToGrid w:val="0"/>
              <w:spacing w:before="0" w:beforeAutospacing="0" w:after="0" w:afterAutospacing="0"/>
              <w:jc w:val="center"/>
              <w:rPr>
                <w:rFonts w:ascii="Times New Roman" w:hAnsi="Times New Roman" w:eastAsia="仿宋"/>
                <w:color w:val="auto"/>
                <w:highlight w:val="none"/>
              </w:rPr>
            </w:pPr>
          </w:p>
        </w:tc>
        <w:tc>
          <w:tcPr>
            <w:tcW w:w="495" w:type="pct"/>
            <w:vAlign w:val="center"/>
          </w:tcPr>
          <w:p w14:paraId="7EA5836C">
            <w:pPr>
              <w:pStyle w:val="38"/>
              <w:adjustRightInd w:val="0"/>
              <w:snapToGrid w:val="0"/>
              <w:spacing w:before="0" w:beforeAutospacing="0" w:after="0" w:afterAutospacing="0"/>
              <w:jc w:val="center"/>
              <w:rPr>
                <w:rFonts w:ascii="Times New Roman" w:hAnsi="Times New Roman" w:eastAsia="仿宋"/>
                <w:color w:val="auto"/>
                <w:highlight w:val="none"/>
              </w:rPr>
            </w:pPr>
          </w:p>
        </w:tc>
        <w:tc>
          <w:tcPr>
            <w:tcW w:w="681" w:type="pct"/>
            <w:vAlign w:val="center"/>
          </w:tcPr>
          <w:p w14:paraId="5328555B">
            <w:pPr>
              <w:pStyle w:val="38"/>
              <w:adjustRightInd w:val="0"/>
              <w:snapToGrid w:val="0"/>
              <w:spacing w:before="0" w:beforeAutospacing="0" w:after="0" w:afterAutospacing="0"/>
              <w:jc w:val="center"/>
              <w:rPr>
                <w:rFonts w:ascii="Times New Roman" w:hAnsi="Times New Roman" w:eastAsia="仿宋"/>
                <w:color w:val="auto"/>
                <w:highlight w:val="none"/>
              </w:rPr>
            </w:pPr>
          </w:p>
        </w:tc>
      </w:tr>
      <w:tr w14:paraId="0305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79" w:type="pct"/>
            <w:vAlign w:val="center"/>
          </w:tcPr>
          <w:p w14:paraId="3D7B3B75">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5</w:t>
            </w:r>
          </w:p>
        </w:tc>
        <w:tc>
          <w:tcPr>
            <w:tcW w:w="831" w:type="pct"/>
            <w:vAlign w:val="center"/>
          </w:tcPr>
          <w:p w14:paraId="70B1F574">
            <w:pPr>
              <w:pStyle w:val="38"/>
              <w:adjustRightInd w:val="0"/>
              <w:snapToGrid w:val="0"/>
              <w:spacing w:before="0" w:beforeAutospacing="0" w:after="0" w:afterAutospacing="0"/>
              <w:jc w:val="both"/>
              <w:rPr>
                <w:rFonts w:ascii="Times New Roman" w:hAnsi="Times New Roman" w:eastAsia="仿宋"/>
                <w:color w:val="auto"/>
                <w:highlight w:val="none"/>
                <w:lang w:bidi="ar"/>
              </w:rPr>
            </w:pPr>
            <w:r>
              <w:rPr>
                <w:rFonts w:ascii="Times New Roman" w:hAnsi="Times New Roman" w:eastAsia="仿宋"/>
                <w:b/>
                <w:color w:val="auto"/>
                <w:highlight w:val="none"/>
              </w:rPr>
              <w:t>里程碑5：</w:t>
            </w:r>
            <w:r>
              <w:rPr>
                <w:rFonts w:hint="eastAsia" w:ascii="Times New Roman" w:hAnsi="Times New Roman" w:eastAsia="仿宋"/>
                <w:color w:val="auto"/>
                <w:highlight w:val="none"/>
                <w:lang w:bidi="ar"/>
              </w:rPr>
              <w:t>“面向</w:t>
            </w:r>
            <w:r>
              <w:rPr>
                <w:rFonts w:hint="eastAsia" w:ascii="Times New Roman" w:hAnsi="Times New Roman" w:eastAsia="仿宋_GB2312"/>
                <w:bCs/>
                <w:color w:val="auto"/>
                <w:highlight w:val="none"/>
              </w:rPr>
              <w:t>高速公路</w:t>
            </w:r>
            <w:r>
              <w:rPr>
                <w:rFonts w:hint="eastAsia" w:ascii="Times New Roman" w:hAnsi="Times New Roman" w:eastAsia="仿宋"/>
                <w:color w:val="auto"/>
                <w:highlight w:val="none"/>
                <w:lang w:bidi="ar"/>
              </w:rPr>
              <w:t>监控摄像机的车辆变道行为检测算法研究”的模型训练和功能开发工作</w:t>
            </w:r>
          </w:p>
        </w:tc>
        <w:tc>
          <w:tcPr>
            <w:tcW w:w="1535" w:type="pct"/>
            <w:vAlign w:val="center"/>
          </w:tcPr>
          <w:p w14:paraId="6D61BCE2">
            <w:pPr>
              <w:pStyle w:val="38"/>
              <w:numPr>
                <w:ilvl w:val="0"/>
                <w:numId w:val="5"/>
              </w:numPr>
              <w:adjustRightInd w:val="0"/>
              <w:snapToGrid w:val="0"/>
              <w:spacing w:before="0" w:beforeAutospacing="0" w:after="0" w:afterAutospacing="0"/>
              <w:jc w:val="both"/>
              <w:rPr>
                <w:rFonts w:ascii="Times New Roman" w:hAnsi="Times New Roman" w:eastAsia="仿宋"/>
                <w:color w:val="auto"/>
                <w:highlight w:val="none"/>
                <w:lang w:bidi="ar"/>
              </w:rPr>
            </w:pPr>
            <w:r>
              <w:rPr>
                <w:rFonts w:hint="eastAsia" w:ascii="Times New Roman" w:hAnsi="Times New Roman" w:eastAsia="仿宋"/>
                <w:color w:val="auto"/>
                <w:highlight w:val="none"/>
                <w:lang w:bidi="ar"/>
              </w:rPr>
              <w:t>完成模型功能开发和性能评估结果1份。</w:t>
            </w:r>
          </w:p>
          <w:p w14:paraId="35964B97">
            <w:pPr>
              <w:pStyle w:val="38"/>
              <w:numPr>
                <w:ilvl w:val="0"/>
                <w:numId w:val="5"/>
              </w:numPr>
              <w:adjustRightInd w:val="0"/>
              <w:snapToGrid w:val="0"/>
              <w:spacing w:before="0" w:beforeAutospacing="0" w:after="0" w:afterAutospacing="0"/>
              <w:jc w:val="both"/>
              <w:rPr>
                <w:rFonts w:ascii="Times New Roman" w:hAnsi="Times New Roman" w:eastAsia="仿宋"/>
                <w:color w:val="auto"/>
                <w:highlight w:val="none"/>
                <w:lang w:bidi="ar"/>
              </w:rPr>
            </w:pPr>
            <w:r>
              <w:rPr>
                <w:rFonts w:hint="eastAsia" w:ascii="Times New Roman" w:hAnsi="Times New Roman" w:eastAsia="仿宋"/>
                <w:color w:val="auto"/>
                <w:highlight w:val="none"/>
                <w:lang w:bidi="ar"/>
              </w:rPr>
              <w:t>申请实用新型专利 1项、申请软件著作权 1项。</w:t>
            </w:r>
          </w:p>
        </w:tc>
        <w:tc>
          <w:tcPr>
            <w:tcW w:w="296" w:type="pct"/>
            <w:vAlign w:val="center"/>
          </w:tcPr>
          <w:p w14:paraId="3D795606">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套</w:t>
            </w:r>
          </w:p>
        </w:tc>
        <w:tc>
          <w:tcPr>
            <w:tcW w:w="221" w:type="pct"/>
            <w:vAlign w:val="center"/>
          </w:tcPr>
          <w:p w14:paraId="0F57680A">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1</w:t>
            </w:r>
          </w:p>
        </w:tc>
        <w:tc>
          <w:tcPr>
            <w:tcW w:w="663" w:type="pct"/>
            <w:vAlign w:val="center"/>
          </w:tcPr>
          <w:p w14:paraId="6FEEB09E">
            <w:pPr>
              <w:pStyle w:val="38"/>
              <w:adjustRightInd w:val="0"/>
              <w:snapToGrid w:val="0"/>
              <w:spacing w:before="0" w:beforeAutospacing="0" w:after="0" w:afterAutospacing="0"/>
              <w:jc w:val="center"/>
              <w:rPr>
                <w:rFonts w:ascii="Times New Roman" w:hAnsi="Times New Roman" w:eastAsia="仿宋"/>
                <w:color w:val="auto"/>
                <w:highlight w:val="none"/>
              </w:rPr>
            </w:pPr>
          </w:p>
        </w:tc>
        <w:tc>
          <w:tcPr>
            <w:tcW w:w="495" w:type="pct"/>
            <w:vAlign w:val="center"/>
          </w:tcPr>
          <w:p w14:paraId="4F094E84">
            <w:pPr>
              <w:pStyle w:val="38"/>
              <w:adjustRightInd w:val="0"/>
              <w:snapToGrid w:val="0"/>
              <w:spacing w:before="0" w:beforeAutospacing="0" w:after="0" w:afterAutospacing="0"/>
              <w:jc w:val="center"/>
              <w:rPr>
                <w:rFonts w:ascii="Times New Roman" w:hAnsi="Times New Roman" w:eastAsia="仿宋"/>
                <w:color w:val="auto"/>
                <w:highlight w:val="none"/>
              </w:rPr>
            </w:pPr>
          </w:p>
        </w:tc>
        <w:tc>
          <w:tcPr>
            <w:tcW w:w="681" w:type="pct"/>
            <w:vAlign w:val="center"/>
          </w:tcPr>
          <w:p w14:paraId="7585486C">
            <w:pPr>
              <w:pStyle w:val="38"/>
              <w:adjustRightInd w:val="0"/>
              <w:snapToGrid w:val="0"/>
              <w:spacing w:before="0" w:beforeAutospacing="0" w:after="0" w:afterAutospacing="0"/>
              <w:jc w:val="center"/>
              <w:rPr>
                <w:rFonts w:ascii="Times New Roman" w:hAnsi="Times New Roman" w:eastAsia="仿宋"/>
                <w:color w:val="auto"/>
                <w:highlight w:val="none"/>
              </w:rPr>
            </w:pPr>
          </w:p>
        </w:tc>
      </w:tr>
      <w:tr w14:paraId="6D78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79" w:type="pct"/>
            <w:vAlign w:val="center"/>
          </w:tcPr>
          <w:p w14:paraId="1846EFDC">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6</w:t>
            </w:r>
          </w:p>
        </w:tc>
        <w:tc>
          <w:tcPr>
            <w:tcW w:w="831" w:type="pct"/>
            <w:vAlign w:val="center"/>
          </w:tcPr>
          <w:p w14:paraId="7F05B3FE">
            <w:pPr>
              <w:pStyle w:val="38"/>
              <w:adjustRightInd w:val="0"/>
              <w:snapToGrid w:val="0"/>
              <w:spacing w:before="0" w:beforeAutospacing="0" w:after="0" w:afterAutospacing="0"/>
              <w:jc w:val="both"/>
              <w:rPr>
                <w:rFonts w:ascii="Times New Roman" w:hAnsi="Times New Roman" w:eastAsia="仿宋"/>
                <w:b/>
                <w:color w:val="auto"/>
                <w:highlight w:val="none"/>
              </w:rPr>
            </w:pPr>
            <w:r>
              <w:rPr>
                <w:rFonts w:ascii="Times New Roman" w:hAnsi="Times New Roman" w:eastAsia="仿宋"/>
                <w:b/>
                <w:color w:val="auto"/>
                <w:highlight w:val="none"/>
              </w:rPr>
              <w:t>里程碑6：</w:t>
            </w:r>
            <w:r>
              <w:rPr>
                <w:rFonts w:hint="eastAsia" w:ascii="Times New Roman" w:hAnsi="Times New Roman" w:eastAsia="仿宋"/>
                <w:color w:val="auto"/>
                <w:highlight w:val="none"/>
                <w:lang w:bidi="ar"/>
              </w:rPr>
              <w:t>“面向隧道监控摄像机群的重点车辆重识别及统计算法研究”的项目收尾和成果申报。</w:t>
            </w:r>
          </w:p>
        </w:tc>
        <w:tc>
          <w:tcPr>
            <w:tcW w:w="1535" w:type="pct"/>
            <w:vAlign w:val="center"/>
          </w:tcPr>
          <w:p w14:paraId="1A8ED6BA">
            <w:pPr>
              <w:pStyle w:val="38"/>
              <w:numPr>
                <w:ilvl w:val="0"/>
                <w:numId w:val="6"/>
              </w:numPr>
              <w:adjustRightInd w:val="0"/>
              <w:snapToGrid w:val="0"/>
              <w:spacing w:before="0" w:beforeAutospacing="0" w:after="0" w:afterAutospacing="0"/>
              <w:jc w:val="both"/>
              <w:rPr>
                <w:rFonts w:ascii="Times New Roman" w:hAnsi="Times New Roman" w:eastAsia="仿宋"/>
                <w:color w:val="auto"/>
                <w:highlight w:val="none"/>
                <w:lang w:bidi="ar"/>
              </w:rPr>
            </w:pPr>
            <w:r>
              <w:rPr>
                <w:rFonts w:hint="eastAsia" w:ascii="Times New Roman" w:hAnsi="Times New Roman" w:eastAsia="仿宋"/>
                <w:color w:val="auto"/>
                <w:highlight w:val="none"/>
                <w:lang w:bidi="ar"/>
              </w:rPr>
              <w:t>完成项目总结报告和技术手册1份。</w:t>
            </w:r>
          </w:p>
          <w:p w14:paraId="2695628E">
            <w:pPr>
              <w:pStyle w:val="38"/>
              <w:numPr>
                <w:ilvl w:val="0"/>
                <w:numId w:val="6"/>
              </w:numPr>
              <w:adjustRightInd w:val="0"/>
              <w:snapToGrid w:val="0"/>
              <w:spacing w:before="0" w:beforeAutospacing="0" w:after="0" w:afterAutospacing="0"/>
              <w:jc w:val="both"/>
              <w:rPr>
                <w:rFonts w:ascii="Times New Roman" w:hAnsi="Times New Roman" w:eastAsia="仿宋"/>
                <w:color w:val="auto"/>
                <w:highlight w:val="none"/>
                <w:lang w:bidi="ar"/>
              </w:rPr>
            </w:pPr>
            <w:r>
              <w:rPr>
                <w:rFonts w:hint="eastAsia" w:ascii="Times New Roman" w:hAnsi="Times New Roman" w:eastAsia="仿宋"/>
                <w:color w:val="auto"/>
                <w:highlight w:val="none"/>
                <w:lang w:bidi="ar"/>
              </w:rPr>
              <w:t>申请实用新型专利</w:t>
            </w:r>
            <w:r>
              <w:rPr>
                <w:rFonts w:ascii="Times New Roman" w:hAnsi="Times New Roman" w:eastAsia="仿宋"/>
                <w:color w:val="auto"/>
                <w:highlight w:val="none"/>
                <w:lang w:bidi="ar"/>
              </w:rPr>
              <w:t xml:space="preserve"> 1项</w:t>
            </w:r>
            <w:r>
              <w:rPr>
                <w:rFonts w:hint="eastAsia" w:ascii="Times New Roman" w:hAnsi="Times New Roman" w:eastAsia="仿宋"/>
                <w:color w:val="auto"/>
                <w:highlight w:val="none"/>
                <w:lang w:bidi="ar"/>
              </w:rPr>
              <w:t>、申请软件著作权</w:t>
            </w:r>
            <w:r>
              <w:rPr>
                <w:rFonts w:ascii="Times New Roman" w:hAnsi="Times New Roman" w:eastAsia="仿宋"/>
                <w:color w:val="auto"/>
                <w:highlight w:val="none"/>
                <w:lang w:bidi="ar"/>
              </w:rPr>
              <w:t xml:space="preserve"> 1项</w:t>
            </w:r>
            <w:r>
              <w:rPr>
                <w:rFonts w:hint="eastAsia" w:ascii="Times New Roman" w:hAnsi="Times New Roman" w:eastAsia="仿宋"/>
                <w:color w:val="auto"/>
                <w:highlight w:val="none"/>
                <w:lang w:bidi="ar"/>
              </w:rPr>
              <w:t>。</w:t>
            </w:r>
          </w:p>
          <w:p w14:paraId="39DD7EAC">
            <w:pPr>
              <w:pStyle w:val="38"/>
              <w:numPr>
                <w:ilvl w:val="0"/>
                <w:numId w:val="6"/>
              </w:numPr>
              <w:adjustRightInd w:val="0"/>
              <w:snapToGrid w:val="0"/>
              <w:spacing w:before="0" w:beforeAutospacing="0" w:after="0" w:afterAutospacing="0"/>
              <w:jc w:val="both"/>
              <w:rPr>
                <w:rFonts w:ascii="Times New Roman" w:hAnsi="Times New Roman" w:eastAsia="仿宋"/>
                <w:color w:val="auto"/>
                <w:highlight w:val="none"/>
                <w:lang w:bidi="ar"/>
              </w:rPr>
            </w:pPr>
            <w:r>
              <w:rPr>
                <w:rFonts w:hint="eastAsia" w:ascii="Times New Roman" w:hAnsi="Times New Roman" w:eastAsia="仿宋"/>
                <w:color w:val="auto"/>
                <w:highlight w:val="none"/>
                <w:lang w:bidi="ar"/>
              </w:rPr>
              <w:t>发表S</w:t>
            </w:r>
            <w:r>
              <w:rPr>
                <w:rFonts w:ascii="Times New Roman" w:hAnsi="Times New Roman" w:eastAsia="仿宋"/>
                <w:color w:val="auto"/>
                <w:highlight w:val="none"/>
                <w:lang w:bidi="ar"/>
              </w:rPr>
              <w:t>CI</w:t>
            </w:r>
            <w:r>
              <w:rPr>
                <w:rFonts w:hint="eastAsia" w:ascii="Times New Roman" w:hAnsi="Times New Roman" w:eastAsia="仿宋"/>
                <w:color w:val="auto"/>
                <w:highlight w:val="none"/>
                <w:lang w:bidi="ar"/>
              </w:rPr>
              <w:t>论文1篇。</w:t>
            </w:r>
          </w:p>
        </w:tc>
        <w:tc>
          <w:tcPr>
            <w:tcW w:w="296" w:type="pct"/>
            <w:vAlign w:val="center"/>
          </w:tcPr>
          <w:p w14:paraId="67E725B3">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套</w:t>
            </w:r>
          </w:p>
        </w:tc>
        <w:tc>
          <w:tcPr>
            <w:tcW w:w="221" w:type="pct"/>
            <w:vAlign w:val="center"/>
          </w:tcPr>
          <w:p w14:paraId="3057D15F">
            <w:pPr>
              <w:pStyle w:val="38"/>
              <w:adjustRightInd w:val="0"/>
              <w:snapToGrid w:val="0"/>
              <w:spacing w:before="0" w:beforeAutospacing="0" w:after="0"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1</w:t>
            </w:r>
          </w:p>
        </w:tc>
        <w:tc>
          <w:tcPr>
            <w:tcW w:w="663" w:type="pct"/>
            <w:vAlign w:val="center"/>
          </w:tcPr>
          <w:p w14:paraId="6DA871D9">
            <w:pPr>
              <w:pStyle w:val="38"/>
              <w:adjustRightInd w:val="0"/>
              <w:snapToGrid w:val="0"/>
              <w:spacing w:before="0" w:beforeAutospacing="0" w:after="0" w:afterAutospacing="0"/>
              <w:jc w:val="center"/>
              <w:rPr>
                <w:rFonts w:ascii="Times New Roman" w:hAnsi="Times New Roman" w:eastAsia="仿宋"/>
                <w:color w:val="auto"/>
                <w:highlight w:val="none"/>
              </w:rPr>
            </w:pPr>
          </w:p>
        </w:tc>
        <w:tc>
          <w:tcPr>
            <w:tcW w:w="495" w:type="pct"/>
            <w:vAlign w:val="center"/>
          </w:tcPr>
          <w:p w14:paraId="4B6083C6">
            <w:pPr>
              <w:pStyle w:val="38"/>
              <w:adjustRightInd w:val="0"/>
              <w:snapToGrid w:val="0"/>
              <w:spacing w:before="0" w:beforeAutospacing="0" w:after="0" w:afterAutospacing="0"/>
              <w:jc w:val="center"/>
              <w:rPr>
                <w:rFonts w:ascii="Times New Roman" w:hAnsi="Times New Roman" w:eastAsia="仿宋"/>
                <w:color w:val="auto"/>
                <w:highlight w:val="none"/>
              </w:rPr>
            </w:pPr>
          </w:p>
        </w:tc>
        <w:tc>
          <w:tcPr>
            <w:tcW w:w="681" w:type="pct"/>
            <w:vAlign w:val="center"/>
          </w:tcPr>
          <w:p w14:paraId="5B16E798">
            <w:pPr>
              <w:pStyle w:val="38"/>
              <w:adjustRightInd w:val="0"/>
              <w:snapToGrid w:val="0"/>
              <w:spacing w:before="0" w:beforeAutospacing="0" w:after="0" w:afterAutospacing="0"/>
              <w:jc w:val="center"/>
              <w:rPr>
                <w:rFonts w:ascii="Times New Roman" w:hAnsi="Times New Roman" w:eastAsia="仿宋"/>
                <w:color w:val="auto"/>
                <w:highlight w:val="none"/>
              </w:rPr>
            </w:pPr>
          </w:p>
        </w:tc>
      </w:tr>
      <w:tr w14:paraId="0CC8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319" w:type="pct"/>
            <w:gridSpan w:val="7"/>
            <w:vAlign w:val="center"/>
          </w:tcPr>
          <w:p w14:paraId="4A74B857">
            <w:pPr>
              <w:pStyle w:val="38"/>
              <w:spacing w:before="0" w:beforeAutospacing="0" w:after="0" w:afterAutospacing="0" w:line="400" w:lineRule="exact"/>
              <w:jc w:val="center"/>
              <w:rPr>
                <w:rFonts w:ascii="Times New Roman" w:hAnsi="Times New Roman" w:eastAsia="仿宋"/>
                <w:color w:val="auto"/>
                <w:highlight w:val="none"/>
              </w:rPr>
            </w:pPr>
            <w:r>
              <w:rPr>
                <w:rFonts w:hint="eastAsia" w:ascii="Times New Roman" w:hAnsi="Times New Roman" w:eastAsia="仿宋"/>
                <w:color w:val="auto"/>
                <w:highlight w:val="none"/>
              </w:rPr>
              <w:t>合计：</w:t>
            </w:r>
          </w:p>
        </w:tc>
        <w:tc>
          <w:tcPr>
            <w:tcW w:w="681" w:type="pct"/>
            <w:vAlign w:val="center"/>
          </w:tcPr>
          <w:p w14:paraId="1769A7DB">
            <w:pPr>
              <w:pStyle w:val="38"/>
              <w:spacing w:before="0" w:beforeAutospacing="0" w:after="0" w:afterAutospacing="0" w:line="400" w:lineRule="exact"/>
              <w:jc w:val="center"/>
              <w:rPr>
                <w:rFonts w:ascii="Times New Roman" w:hAnsi="Times New Roman" w:eastAsia="宋体"/>
                <w:color w:val="auto"/>
                <w:szCs w:val="22"/>
                <w:highlight w:val="none"/>
              </w:rPr>
            </w:pPr>
          </w:p>
        </w:tc>
      </w:tr>
    </w:tbl>
    <w:p w14:paraId="1B7D9349">
      <w:pPr>
        <w:pStyle w:val="5"/>
        <w:rPr>
          <w:rFonts w:ascii="Times New Roman" w:hAnsi="Times New Roman"/>
          <w:color w:val="auto"/>
          <w:highlight w:val="none"/>
        </w:rPr>
      </w:pPr>
    </w:p>
    <w:p w14:paraId="1ADB4B85">
      <w:pPr>
        <w:ind w:firstLine="2570" w:firstLineChars="800"/>
        <w:rPr>
          <w:rFonts w:ascii="Times New Roman" w:hAnsi="Times New Roman" w:eastAsia="仿宋"/>
          <w:b/>
          <w:color w:val="auto"/>
          <w:kern w:val="0"/>
          <w:sz w:val="32"/>
          <w:szCs w:val="32"/>
          <w:highlight w:val="none"/>
        </w:rPr>
      </w:pPr>
      <w:r>
        <w:rPr>
          <w:rFonts w:ascii="Times New Roman" w:hAnsi="Times New Roman" w:eastAsia="仿宋"/>
          <w:b/>
          <w:color w:val="auto"/>
          <w:kern w:val="0"/>
          <w:sz w:val="32"/>
          <w:szCs w:val="32"/>
          <w:highlight w:val="none"/>
        </w:rPr>
        <w:br w:type="page"/>
      </w:r>
      <w:r>
        <w:rPr>
          <w:rFonts w:ascii="Times New Roman" w:hAnsi="Times New Roman" w:eastAsia="仿宋"/>
          <w:b/>
          <w:color w:val="auto"/>
          <w:kern w:val="0"/>
          <w:sz w:val="32"/>
          <w:szCs w:val="32"/>
          <w:highlight w:val="none"/>
        </w:rPr>
        <w:t>附件三：里程碑工程进度</w:t>
      </w:r>
    </w:p>
    <w:p w14:paraId="7246382C">
      <w:pPr>
        <w:pStyle w:val="38"/>
        <w:spacing w:before="0" w:beforeAutospacing="0" w:after="0" w:afterAutospacing="0"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里程碑1：“面向隧道监控摄像机群的重点车辆重识别及统计算法研究”的预处理工作</w:t>
      </w:r>
    </w:p>
    <w:p w14:paraId="3C52B291">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交付时间：2025年8月1日</w:t>
      </w:r>
    </w:p>
    <w:p w14:paraId="08D5753E">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交付地点：重庆首讯科技股份有限公司</w:t>
      </w:r>
    </w:p>
    <w:p w14:paraId="0DDDDAD2">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交付内容：面向隧道监控摄像机群的重点车辆重识别的数据集以及预处理工作报告1份、备选深度学习模型选择和测试方案报告1份。</w:t>
      </w:r>
    </w:p>
    <w:p w14:paraId="6112D750">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阶段性检查的方式与方法：查验文档。</w:t>
      </w:r>
    </w:p>
    <w:p w14:paraId="4F78F358">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p>
    <w:p w14:paraId="6130E945">
      <w:pPr>
        <w:pStyle w:val="38"/>
        <w:spacing w:before="0" w:beforeAutospacing="0" w:after="0" w:afterAutospacing="0"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里程碑2：“面向隧道监控摄像机群的重点车辆重识别及统计算法研究”的模型训练和功能开发工作</w:t>
      </w:r>
    </w:p>
    <w:p w14:paraId="6C3B30D8">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交付时间：2025年12月1日</w:t>
      </w:r>
    </w:p>
    <w:p w14:paraId="18E52633">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交付地点：重庆首讯科技股份有限公司</w:t>
      </w:r>
    </w:p>
    <w:p w14:paraId="59CCFB7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交付内容：算法模型训练报告和性能评估结果报告1份；模型实地部署测试优化方案1份。</w:t>
      </w:r>
    </w:p>
    <w:p w14:paraId="7364F11B">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阶段性检查的方式与方法：查验文档。</w:t>
      </w:r>
    </w:p>
    <w:p w14:paraId="3CA329EC">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p>
    <w:p w14:paraId="1ACC45C3">
      <w:pPr>
        <w:pStyle w:val="38"/>
        <w:spacing w:before="0" w:beforeAutospacing="0" w:after="0" w:afterAutospacing="0"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里程碑3：“面向高速公路监控摄像机的车辆变道行为检测算法研究”的预处理工作</w:t>
      </w:r>
    </w:p>
    <w:p w14:paraId="78108F27">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交付时间：2025年12月30日</w:t>
      </w:r>
    </w:p>
    <w:p w14:paraId="4342F2A9">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交付地点：重庆首讯科技股份有限公司</w:t>
      </w:r>
    </w:p>
    <w:p w14:paraId="178C281A">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交付内容：面向高速公路监控摄像机下的车辆变道行为的数据集以及预处理工作报告1份、备选深度学习模型选择和测试方案报告1份。</w:t>
      </w:r>
    </w:p>
    <w:p w14:paraId="4A9FFB66">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阶段性检查的方式与方法：查验文档。</w:t>
      </w:r>
    </w:p>
    <w:p w14:paraId="58632E6D">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p>
    <w:p w14:paraId="5901CE01">
      <w:pPr>
        <w:pStyle w:val="38"/>
        <w:spacing w:before="0" w:beforeAutospacing="0" w:after="0" w:afterAutospacing="0"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里程碑4：“面向隧道监控摄像机群的重点车辆重识别及统计算法研究”的系统集成部署与优化</w:t>
      </w:r>
    </w:p>
    <w:p w14:paraId="7C9FA4FD">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交付时间：2026年1月30日</w:t>
      </w:r>
    </w:p>
    <w:p w14:paraId="03999B22">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交付地点：重庆首讯科技股份有限公司</w:t>
      </w:r>
    </w:p>
    <w:p w14:paraId="6253F77F">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交付内容：面向隧道监控摄像机群的重点车辆重识别模块、高面向隧道监控摄像机群的重点车辆统计算法模块及测试方案、实验室和现场部署测试报告1份。</w:t>
      </w:r>
    </w:p>
    <w:p w14:paraId="64D3EFAD">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阶段性检查的方式与方法：查验</w:t>
      </w:r>
      <w:r>
        <w:rPr>
          <w:rFonts w:hint="eastAsia" w:ascii="宋体" w:hAnsi="宋体" w:eastAsia="宋体" w:cs="宋体"/>
          <w:color w:val="auto"/>
          <w:sz w:val="21"/>
          <w:szCs w:val="21"/>
          <w:highlight w:val="none"/>
          <w:lang w:bidi="ar"/>
        </w:rPr>
        <w:t>技术文档及</w:t>
      </w:r>
      <w:r>
        <w:rPr>
          <w:rFonts w:hint="eastAsia" w:ascii="宋体" w:hAnsi="宋体" w:eastAsia="宋体" w:cs="宋体"/>
          <w:color w:val="auto"/>
          <w:sz w:val="21"/>
          <w:szCs w:val="21"/>
          <w:highlight w:val="none"/>
        </w:rPr>
        <w:t>现场查验模型运行情况。</w:t>
      </w:r>
    </w:p>
    <w:p w14:paraId="3D414474">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p>
    <w:p w14:paraId="3F1C32FA">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p>
    <w:p w14:paraId="2453955C">
      <w:pPr>
        <w:pStyle w:val="38"/>
        <w:spacing w:before="0" w:beforeAutospacing="0" w:after="0" w:afterAutospacing="0"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里程碑5：“面向高速公路监控摄像机的车辆变道行为检测算法研究”的模型训练和功能开发工作</w:t>
      </w:r>
    </w:p>
    <w:p w14:paraId="73747BFE">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交付时间：2026年3月30日</w:t>
      </w:r>
    </w:p>
    <w:p w14:paraId="15F041A9">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交付地点：重庆首讯科技股份有限公司</w:t>
      </w:r>
    </w:p>
    <w:p w14:paraId="66EDE72B">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交付内容：算法模型功能开发和性能评估结果1份；中国实用新型专利受理通知书1项；中国软件著作权受理通知书1项。</w:t>
      </w:r>
    </w:p>
    <w:p w14:paraId="7FC76B15">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阶段性检查的方式与方法：查验封装模型及文档。</w:t>
      </w:r>
    </w:p>
    <w:p w14:paraId="3795D6FA">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p>
    <w:p w14:paraId="5C24AEDE">
      <w:pPr>
        <w:pStyle w:val="38"/>
        <w:spacing w:before="0" w:beforeAutospacing="0" w:after="0" w:afterAutospacing="0" w:line="400" w:lineRule="exact"/>
        <w:ind w:firstLine="422" w:firstLineChars="20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里程碑6：“面向隧道监控摄像机群的重点车辆重识别及统计算法研究”的项目收尾和成果申报。</w:t>
      </w:r>
    </w:p>
    <w:p w14:paraId="67125880">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交付时间：2026年10月30日</w:t>
      </w:r>
    </w:p>
    <w:p w14:paraId="22426667">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交付地点：重庆首讯科技股份有限公司</w:t>
      </w:r>
    </w:p>
    <w:p w14:paraId="697BE0F1">
      <w:pPr>
        <w:pStyle w:val="38"/>
        <w:spacing w:before="0" w:beforeAutospacing="0" w:after="0" w:afterAutospacing="0" w:line="40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交付内容：项目总结报告和技术手册1份；中国实用新型专利受理通知书1项；中国软件著作权受理通知书1项；SCI期刊论文录取通知信1份。</w:t>
      </w:r>
    </w:p>
    <w:p w14:paraId="4AFA324C">
      <w:pPr>
        <w:pStyle w:val="38"/>
        <w:spacing w:before="0" w:beforeAutospacing="0" w:after="0" w:afterAutospacing="0" w:line="400" w:lineRule="exact"/>
        <w:ind w:firstLine="420" w:firstLineChars="200"/>
        <w:jc w:val="both"/>
        <w:rPr>
          <w:rFonts w:ascii="Times New Roman" w:hAnsi="Times New Roman" w:eastAsia="仿宋"/>
          <w:color w:val="auto"/>
          <w:highlight w:val="none"/>
        </w:rPr>
      </w:pPr>
      <w:r>
        <w:rPr>
          <w:rFonts w:hint="eastAsia" w:ascii="宋体" w:hAnsi="宋体" w:eastAsia="宋体" w:cs="宋体"/>
          <w:color w:val="auto"/>
          <w:sz w:val="21"/>
          <w:szCs w:val="21"/>
          <w:highlight w:val="none"/>
        </w:rPr>
        <w:t>阶段性检查的方式与方法：查验文档。</w:t>
      </w:r>
    </w:p>
    <w:p w14:paraId="712901F0">
      <w:pPr>
        <w:pStyle w:val="38"/>
        <w:spacing w:before="0" w:beforeAutospacing="0" w:after="0" w:afterAutospacing="0" w:line="400" w:lineRule="exact"/>
        <w:ind w:firstLine="480" w:firstLineChars="200"/>
        <w:jc w:val="both"/>
        <w:rPr>
          <w:rFonts w:ascii="Times New Roman" w:hAnsi="Times New Roman" w:eastAsia="仿宋"/>
          <w:color w:val="auto"/>
          <w:highlight w:val="none"/>
        </w:rPr>
      </w:pPr>
    </w:p>
    <w:p w14:paraId="592F998B">
      <w:pPr>
        <w:pStyle w:val="38"/>
        <w:spacing w:before="0" w:beforeAutospacing="0" w:after="0" w:afterAutospacing="0" w:line="400" w:lineRule="exact"/>
        <w:ind w:firstLine="480" w:firstLineChars="200"/>
        <w:jc w:val="both"/>
        <w:rPr>
          <w:rFonts w:ascii="Times New Roman" w:hAnsi="Times New Roman" w:eastAsia="仿宋"/>
          <w:color w:val="auto"/>
          <w:highlight w:val="none"/>
        </w:rPr>
      </w:pPr>
      <w:r>
        <w:rPr>
          <w:rFonts w:ascii="Times New Roman" w:hAnsi="Times New Roman" w:eastAsia="仿宋"/>
          <w:color w:val="auto"/>
          <w:highlight w:val="none"/>
        </w:rPr>
        <w:br w:type="page"/>
      </w:r>
    </w:p>
    <w:p w14:paraId="6D2BBF54">
      <w:pPr>
        <w:jc w:val="center"/>
        <w:rPr>
          <w:rFonts w:ascii="Times New Roman" w:hAnsi="Times New Roman" w:eastAsia="仿宋"/>
          <w:b/>
          <w:color w:val="auto"/>
          <w:kern w:val="0"/>
          <w:sz w:val="32"/>
          <w:szCs w:val="32"/>
          <w:highlight w:val="none"/>
        </w:rPr>
      </w:pPr>
      <w:r>
        <w:rPr>
          <w:rFonts w:ascii="Times New Roman" w:hAnsi="Times New Roman" w:eastAsia="仿宋"/>
          <w:b/>
          <w:color w:val="auto"/>
          <w:kern w:val="0"/>
          <w:sz w:val="32"/>
          <w:szCs w:val="32"/>
          <w:highlight w:val="none"/>
        </w:rPr>
        <w:t>附件四</w:t>
      </w:r>
    </w:p>
    <w:tbl>
      <w:tblPr>
        <w:tblStyle w:val="43"/>
        <w:tblW w:w="4977"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688"/>
        <w:gridCol w:w="1185"/>
        <w:gridCol w:w="1613"/>
        <w:gridCol w:w="2812"/>
        <w:gridCol w:w="2179"/>
      </w:tblGrid>
      <w:tr w14:paraId="500F80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8943" w:type="dxa"/>
            <w:gridSpan w:val="5"/>
            <w:tcBorders>
              <w:top w:val="single" w:color="000000" w:sz="6" w:space="0"/>
              <w:left w:val="single" w:color="000000" w:sz="6" w:space="0"/>
              <w:bottom w:val="single" w:color="000000" w:sz="6" w:space="0"/>
              <w:right w:val="single" w:color="000000" w:sz="6" w:space="0"/>
            </w:tcBorders>
          </w:tcPr>
          <w:p w14:paraId="5E983DE7">
            <w:pPr>
              <w:pStyle w:val="38"/>
              <w:spacing w:before="0" w:beforeAutospacing="0" w:after="0" w:afterAutospacing="0" w:line="400" w:lineRule="exact"/>
              <w:ind w:firstLine="482" w:firstLineChars="200"/>
              <w:jc w:val="center"/>
              <w:rPr>
                <w:rFonts w:ascii="Times New Roman" w:hAnsi="Times New Roman" w:eastAsia="仿宋"/>
                <w:b/>
                <w:color w:val="auto"/>
                <w:highlight w:val="none"/>
              </w:rPr>
            </w:pPr>
            <w:r>
              <w:rPr>
                <w:rFonts w:hint="eastAsia" w:ascii="Times New Roman" w:hAnsi="Times New Roman" w:eastAsia="仿宋"/>
                <w:b/>
                <w:color w:val="auto"/>
                <w:highlight w:val="none"/>
              </w:rPr>
              <w:t>项目小组成员</w:t>
            </w:r>
          </w:p>
        </w:tc>
      </w:tr>
      <w:tr w14:paraId="41142EB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726" w:type="dxa"/>
            <w:tcBorders>
              <w:top w:val="single" w:color="000000" w:sz="6" w:space="0"/>
              <w:left w:val="single" w:color="000000" w:sz="6" w:space="0"/>
              <w:bottom w:val="single" w:color="000000" w:sz="6" w:space="0"/>
              <w:right w:val="single" w:color="000000" w:sz="6" w:space="0"/>
            </w:tcBorders>
            <w:vAlign w:val="center"/>
          </w:tcPr>
          <w:p w14:paraId="7590B8D4">
            <w:pPr>
              <w:pStyle w:val="38"/>
              <w:adjustRightInd w:val="0"/>
              <w:snapToGrid w:val="0"/>
              <w:spacing w:before="78" w:beforeLines="25" w:beforeAutospacing="0" w:after="78" w:afterLines="25" w:afterAutospacing="0"/>
              <w:jc w:val="center"/>
              <w:rPr>
                <w:rFonts w:ascii="Times New Roman" w:hAnsi="Times New Roman" w:eastAsia="仿宋"/>
                <w:b/>
                <w:color w:val="auto"/>
                <w:highlight w:val="none"/>
              </w:rPr>
            </w:pPr>
            <w:r>
              <w:rPr>
                <w:rFonts w:hint="eastAsia" w:ascii="Times New Roman" w:hAnsi="Times New Roman" w:eastAsia="仿宋"/>
                <w:b/>
                <w:color w:val="auto"/>
                <w:highlight w:val="none"/>
              </w:rPr>
              <w:t>序号</w:t>
            </w:r>
          </w:p>
        </w:tc>
        <w:tc>
          <w:tcPr>
            <w:tcW w:w="1250" w:type="dxa"/>
            <w:tcBorders>
              <w:top w:val="single" w:color="000000" w:sz="6" w:space="0"/>
              <w:left w:val="single" w:color="000000" w:sz="6" w:space="0"/>
              <w:bottom w:val="single" w:color="000000" w:sz="6" w:space="0"/>
              <w:right w:val="single" w:color="000000" w:sz="6" w:space="0"/>
            </w:tcBorders>
            <w:vAlign w:val="center"/>
          </w:tcPr>
          <w:p w14:paraId="2876116E">
            <w:pPr>
              <w:pStyle w:val="38"/>
              <w:adjustRightInd w:val="0"/>
              <w:snapToGrid w:val="0"/>
              <w:spacing w:before="78" w:beforeLines="25" w:beforeAutospacing="0" w:after="78" w:afterLines="25" w:afterAutospacing="0"/>
              <w:jc w:val="center"/>
              <w:rPr>
                <w:rFonts w:ascii="Times New Roman" w:hAnsi="Times New Roman" w:eastAsia="仿宋"/>
                <w:b/>
                <w:color w:val="auto"/>
                <w:highlight w:val="none"/>
              </w:rPr>
            </w:pPr>
            <w:r>
              <w:rPr>
                <w:rFonts w:hint="eastAsia" w:ascii="Times New Roman" w:hAnsi="Times New Roman" w:eastAsia="仿宋"/>
                <w:b/>
                <w:color w:val="auto"/>
                <w:highlight w:val="none"/>
              </w:rPr>
              <w:t>姓名</w:t>
            </w:r>
          </w:p>
        </w:tc>
        <w:tc>
          <w:tcPr>
            <w:tcW w:w="1702" w:type="dxa"/>
            <w:tcBorders>
              <w:top w:val="single" w:color="000000" w:sz="6" w:space="0"/>
              <w:left w:val="single" w:color="000000" w:sz="6" w:space="0"/>
              <w:bottom w:val="single" w:color="000000" w:sz="6" w:space="0"/>
              <w:right w:val="single" w:color="000000" w:sz="6" w:space="0"/>
            </w:tcBorders>
            <w:vAlign w:val="center"/>
          </w:tcPr>
          <w:p w14:paraId="77512A30">
            <w:pPr>
              <w:pStyle w:val="38"/>
              <w:adjustRightInd w:val="0"/>
              <w:snapToGrid w:val="0"/>
              <w:spacing w:before="78" w:beforeLines="25" w:beforeAutospacing="0" w:after="78" w:afterLines="25" w:afterAutospacing="0"/>
              <w:jc w:val="center"/>
              <w:rPr>
                <w:rFonts w:ascii="Times New Roman" w:hAnsi="Times New Roman" w:eastAsia="仿宋"/>
                <w:b/>
                <w:color w:val="auto"/>
                <w:highlight w:val="none"/>
              </w:rPr>
            </w:pPr>
            <w:r>
              <w:rPr>
                <w:rFonts w:hint="eastAsia" w:ascii="Times New Roman" w:hAnsi="Times New Roman" w:eastAsia="仿宋"/>
                <w:b/>
                <w:color w:val="auto"/>
                <w:highlight w:val="none"/>
              </w:rPr>
              <w:t>职务</w:t>
            </w:r>
          </w:p>
        </w:tc>
        <w:tc>
          <w:tcPr>
            <w:tcW w:w="2966" w:type="dxa"/>
            <w:tcBorders>
              <w:top w:val="single" w:color="000000" w:sz="6" w:space="0"/>
              <w:left w:val="single" w:color="000000" w:sz="6" w:space="0"/>
              <w:bottom w:val="single" w:color="000000" w:sz="6" w:space="0"/>
              <w:right w:val="single" w:color="000000" w:sz="6" w:space="0"/>
            </w:tcBorders>
            <w:vAlign w:val="center"/>
          </w:tcPr>
          <w:p w14:paraId="3B006FEF">
            <w:pPr>
              <w:pStyle w:val="38"/>
              <w:adjustRightInd w:val="0"/>
              <w:snapToGrid w:val="0"/>
              <w:spacing w:before="78" w:beforeLines="25" w:beforeAutospacing="0" w:after="78" w:afterLines="25" w:afterAutospacing="0"/>
              <w:jc w:val="center"/>
              <w:rPr>
                <w:rFonts w:ascii="Times New Roman" w:hAnsi="Times New Roman" w:eastAsia="仿宋"/>
                <w:b/>
                <w:color w:val="auto"/>
                <w:highlight w:val="none"/>
              </w:rPr>
            </w:pPr>
            <w:r>
              <w:rPr>
                <w:rFonts w:hint="eastAsia" w:ascii="Times New Roman" w:hAnsi="Times New Roman" w:eastAsia="仿宋"/>
                <w:b/>
                <w:color w:val="auto"/>
                <w:highlight w:val="none"/>
              </w:rPr>
              <w:t>工作内容</w:t>
            </w:r>
          </w:p>
        </w:tc>
        <w:tc>
          <w:tcPr>
            <w:tcW w:w="2299" w:type="dxa"/>
            <w:tcBorders>
              <w:top w:val="single" w:color="000000" w:sz="6" w:space="0"/>
              <w:left w:val="single" w:color="000000" w:sz="6" w:space="0"/>
              <w:bottom w:val="single" w:color="000000" w:sz="6" w:space="0"/>
              <w:right w:val="single" w:color="000000" w:sz="6" w:space="0"/>
            </w:tcBorders>
            <w:vAlign w:val="center"/>
          </w:tcPr>
          <w:p w14:paraId="73EC64F2">
            <w:pPr>
              <w:pStyle w:val="38"/>
              <w:adjustRightInd w:val="0"/>
              <w:snapToGrid w:val="0"/>
              <w:spacing w:before="78" w:beforeLines="25" w:beforeAutospacing="0" w:after="78" w:afterLines="25" w:afterAutospacing="0"/>
              <w:jc w:val="center"/>
              <w:rPr>
                <w:rFonts w:ascii="Times New Roman" w:hAnsi="Times New Roman" w:eastAsia="仿宋"/>
                <w:b/>
                <w:color w:val="auto"/>
                <w:highlight w:val="none"/>
              </w:rPr>
            </w:pPr>
            <w:r>
              <w:rPr>
                <w:rFonts w:hint="eastAsia" w:ascii="Times New Roman" w:hAnsi="Times New Roman" w:eastAsia="仿宋"/>
                <w:b/>
                <w:color w:val="auto"/>
                <w:highlight w:val="none"/>
              </w:rPr>
              <w:t>联系方式</w:t>
            </w:r>
          </w:p>
        </w:tc>
      </w:tr>
      <w:tr w14:paraId="1181521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000000" w:sz="6" w:space="0"/>
              <w:left w:val="single" w:color="000000" w:sz="6" w:space="0"/>
              <w:bottom w:val="single" w:color="000000" w:sz="6" w:space="0"/>
              <w:right w:val="single" w:color="000000" w:sz="6" w:space="0"/>
            </w:tcBorders>
            <w:vAlign w:val="center"/>
          </w:tcPr>
          <w:p w14:paraId="6A3BA02F">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1</w:t>
            </w:r>
          </w:p>
        </w:tc>
        <w:tc>
          <w:tcPr>
            <w:tcW w:w="1250" w:type="dxa"/>
            <w:tcBorders>
              <w:top w:val="single" w:color="000000" w:sz="6" w:space="0"/>
              <w:left w:val="single" w:color="000000" w:sz="6" w:space="0"/>
              <w:bottom w:val="single" w:color="000000" w:sz="6" w:space="0"/>
              <w:right w:val="single" w:color="000000" w:sz="6" w:space="0"/>
            </w:tcBorders>
            <w:vAlign w:val="center"/>
          </w:tcPr>
          <w:p w14:paraId="5081F6D1">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1702" w:type="dxa"/>
            <w:tcBorders>
              <w:top w:val="single" w:color="000000" w:sz="6" w:space="0"/>
              <w:left w:val="single" w:color="000000" w:sz="6" w:space="0"/>
              <w:bottom w:val="single" w:color="000000" w:sz="6" w:space="0"/>
              <w:right w:val="single" w:color="000000" w:sz="6" w:space="0"/>
            </w:tcBorders>
            <w:vAlign w:val="center"/>
          </w:tcPr>
          <w:p w14:paraId="6F4F8136">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966" w:type="dxa"/>
            <w:tcBorders>
              <w:top w:val="single" w:color="000000" w:sz="6" w:space="0"/>
              <w:left w:val="single" w:color="000000" w:sz="6" w:space="0"/>
              <w:bottom w:val="single" w:color="000000" w:sz="6" w:space="0"/>
              <w:right w:val="single" w:color="000000" w:sz="6" w:space="0"/>
            </w:tcBorders>
          </w:tcPr>
          <w:p w14:paraId="57DE0039">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299" w:type="dxa"/>
            <w:tcBorders>
              <w:top w:val="single" w:color="000000" w:sz="6" w:space="0"/>
              <w:left w:val="single" w:color="000000" w:sz="6" w:space="0"/>
              <w:bottom w:val="single" w:color="000000" w:sz="6" w:space="0"/>
              <w:right w:val="single" w:color="000000" w:sz="6" w:space="0"/>
            </w:tcBorders>
            <w:vAlign w:val="center"/>
          </w:tcPr>
          <w:p w14:paraId="1D6FCFF2">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r>
      <w:tr w14:paraId="2C2AC3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726" w:type="dxa"/>
            <w:tcBorders>
              <w:top w:val="single" w:color="000000" w:sz="6" w:space="0"/>
              <w:left w:val="single" w:color="000000" w:sz="6" w:space="0"/>
              <w:bottom w:val="single" w:color="000000" w:sz="6" w:space="0"/>
              <w:right w:val="single" w:color="000000" w:sz="6" w:space="0"/>
            </w:tcBorders>
            <w:vAlign w:val="center"/>
          </w:tcPr>
          <w:p w14:paraId="4302D067">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2</w:t>
            </w:r>
          </w:p>
        </w:tc>
        <w:tc>
          <w:tcPr>
            <w:tcW w:w="1250" w:type="dxa"/>
            <w:tcBorders>
              <w:top w:val="single" w:color="000000" w:sz="6" w:space="0"/>
              <w:left w:val="single" w:color="000000" w:sz="6" w:space="0"/>
              <w:bottom w:val="single" w:color="000000" w:sz="6" w:space="0"/>
              <w:right w:val="single" w:color="000000" w:sz="6" w:space="0"/>
            </w:tcBorders>
            <w:vAlign w:val="center"/>
          </w:tcPr>
          <w:p w14:paraId="17EACFBE">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1702" w:type="dxa"/>
            <w:tcBorders>
              <w:top w:val="single" w:color="000000" w:sz="6" w:space="0"/>
              <w:left w:val="single" w:color="000000" w:sz="6" w:space="0"/>
              <w:bottom w:val="single" w:color="000000" w:sz="6" w:space="0"/>
              <w:right w:val="single" w:color="000000" w:sz="6" w:space="0"/>
            </w:tcBorders>
            <w:vAlign w:val="center"/>
          </w:tcPr>
          <w:p w14:paraId="493499A9">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966" w:type="dxa"/>
            <w:tcBorders>
              <w:top w:val="single" w:color="000000" w:sz="6" w:space="0"/>
              <w:left w:val="single" w:color="000000" w:sz="6" w:space="0"/>
              <w:bottom w:val="single" w:color="000000" w:sz="6" w:space="0"/>
              <w:right w:val="single" w:color="000000" w:sz="6" w:space="0"/>
            </w:tcBorders>
          </w:tcPr>
          <w:p w14:paraId="3898B83F">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299" w:type="dxa"/>
            <w:tcBorders>
              <w:top w:val="single" w:color="000000" w:sz="6" w:space="0"/>
              <w:left w:val="single" w:color="000000" w:sz="6" w:space="0"/>
              <w:bottom w:val="single" w:color="000000" w:sz="6" w:space="0"/>
              <w:right w:val="single" w:color="000000" w:sz="6" w:space="0"/>
            </w:tcBorders>
            <w:vAlign w:val="center"/>
          </w:tcPr>
          <w:p w14:paraId="2AEC1846">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r>
      <w:tr w14:paraId="32F6F2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000000" w:sz="6" w:space="0"/>
              <w:left w:val="single" w:color="000000" w:sz="6" w:space="0"/>
              <w:bottom w:val="single" w:color="000000" w:sz="6" w:space="0"/>
              <w:right w:val="single" w:color="000000" w:sz="6" w:space="0"/>
            </w:tcBorders>
            <w:vAlign w:val="center"/>
          </w:tcPr>
          <w:p w14:paraId="2F6F59EC">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3</w:t>
            </w:r>
          </w:p>
        </w:tc>
        <w:tc>
          <w:tcPr>
            <w:tcW w:w="1250" w:type="dxa"/>
            <w:tcBorders>
              <w:top w:val="single" w:color="000000" w:sz="6" w:space="0"/>
              <w:left w:val="single" w:color="000000" w:sz="6" w:space="0"/>
              <w:bottom w:val="single" w:color="000000" w:sz="6" w:space="0"/>
              <w:right w:val="single" w:color="000000" w:sz="6" w:space="0"/>
            </w:tcBorders>
            <w:vAlign w:val="center"/>
          </w:tcPr>
          <w:p w14:paraId="3CF0BFC0">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1702" w:type="dxa"/>
            <w:tcBorders>
              <w:top w:val="single" w:color="000000" w:sz="6" w:space="0"/>
              <w:left w:val="single" w:color="000000" w:sz="6" w:space="0"/>
              <w:bottom w:val="single" w:color="000000" w:sz="6" w:space="0"/>
              <w:right w:val="single" w:color="000000" w:sz="6" w:space="0"/>
            </w:tcBorders>
            <w:vAlign w:val="center"/>
          </w:tcPr>
          <w:p w14:paraId="24042400">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966" w:type="dxa"/>
            <w:tcBorders>
              <w:top w:val="single" w:color="000000" w:sz="6" w:space="0"/>
              <w:left w:val="single" w:color="000000" w:sz="6" w:space="0"/>
              <w:bottom w:val="single" w:color="000000" w:sz="6" w:space="0"/>
              <w:right w:val="single" w:color="000000" w:sz="6" w:space="0"/>
            </w:tcBorders>
          </w:tcPr>
          <w:p w14:paraId="71DB1B30">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299" w:type="dxa"/>
            <w:tcBorders>
              <w:top w:val="single" w:color="000000" w:sz="6" w:space="0"/>
              <w:left w:val="single" w:color="000000" w:sz="6" w:space="0"/>
              <w:bottom w:val="single" w:color="000000" w:sz="6" w:space="0"/>
              <w:right w:val="single" w:color="000000" w:sz="6" w:space="0"/>
            </w:tcBorders>
            <w:vAlign w:val="center"/>
          </w:tcPr>
          <w:p w14:paraId="1706D6DA">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r>
      <w:tr w14:paraId="2C3858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000000" w:sz="6" w:space="0"/>
              <w:left w:val="single" w:color="000000" w:sz="6" w:space="0"/>
              <w:bottom w:val="single" w:color="000000" w:sz="6" w:space="0"/>
              <w:right w:val="single" w:color="000000" w:sz="6" w:space="0"/>
            </w:tcBorders>
            <w:vAlign w:val="center"/>
          </w:tcPr>
          <w:p w14:paraId="0EE40AF4">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4</w:t>
            </w:r>
          </w:p>
        </w:tc>
        <w:tc>
          <w:tcPr>
            <w:tcW w:w="1250" w:type="dxa"/>
            <w:tcBorders>
              <w:top w:val="single" w:color="000000" w:sz="6" w:space="0"/>
              <w:left w:val="single" w:color="000000" w:sz="6" w:space="0"/>
              <w:bottom w:val="single" w:color="000000" w:sz="6" w:space="0"/>
              <w:right w:val="single" w:color="000000" w:sz="6" w:space="0"/>
            </w:tcBorders>
            <w:vAlign w:val="center"/>
          </w:tcPr>
          <w:p w14:paraId="3A1A5354">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1702" w:type="dxa"/>
            <w:tcBorders>
              <w:top w:val="single" w:color="000000" w:sz="6" w:space="0"/>
              <w:left w:val="single" w:color="000000" w:sz="6" w:space="0"/>
              <w:bottom w:val="single" w:color="000000" w:sz="6" w:space="0"/>
              <w:right w:val="single" w:color="000000" w:sz="6" w:space="0"/>
            </w:tcBorders>
            <w:vAlign w:val="center"/>
          </w:tcPr>
          <w:p w14:paraId="13AA0183">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966" w:type="dxa"/>
            <w:tcBorders>
              <w:top w:val="single" w:color="000000" w:sz="6" w:space="0"/>
              <w:left w:val="single" w:color="000000" w:sz="6" w:space="0"/>
              <w:bottom w:val="single" w:color="000000" w:sz="6" w:space="0"/>
              <w:right w:val="single" w:color="000000" w:sz="6" w:space="0"/>
            </w:tcBorders>
          </w:tcPr>
          <w:p w14:paraId="74DC063A">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299" w:type="dxa"/>
            <w:tcBorders>
              <w:top w:val="single" w:color="000000" w:sz="6" w:space="0"/>
              <w:left w:val="single" w:color="000000" w:sz="6" w:space="0"/>
              <w:bottom w:val="single" w:color="000000" w:sz="6" w:space="0"/>
              <w:right w:val="single" w:color="000000" w:sz="6" w:space="0"/>
            </w:tcBorders>
            <w:vAlign w:val="center"/>
          </w:tcPr>
          <w:p w14:paraId="79356557">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r>
      <w:tr w14:paraId="01AA9A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000000" w:sz="6" w:space="0"/>
              <w:left w:val="single" w:color="000000" w:sz="6" w:space="0"/>
              <w:bottom w:val="single" w:color="000000" w:sz="6" w:space="0"/>
              <w:right w:val="single" w:color="000000" w:sz="6" w:space="0"/>
            </w:tcBorders>
            <w:vAlign w:val="center"/>
          </w:tcPr>
          <w:p w14:paraId="05E9FAF4">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5</w:t>
            </w:r>
          </w:p>
        </w:tc>
        <w:tc>
          <w:tcPr>
            <w:tcW w:w="1250" w:type="dxa"/>
            <w:tcBorders>
              <w:top w:val="single" w:color="000000" w:sz="6" w:space="0"/>
              <w:left w:val="single" w:color="000000" w:sz="6" w:space="0"/>
              <w:bottom w:val="single" w:color="000000" w:sz="6" w:space="0"/>
              <w:right w:val="single" w:color="000000" w:sz="6" w:space="0"/>
            </w:tcBorders>
            <w:vAlign w:val="center"/>
          </w:tcPr>
          <w:p w14:paraId="54BD96D5">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1702" w:type="dxa"/>
            <w:tcBorders>
              <w:top w:val="single" w:color="000000" w:sz="6" w:space="0"/>
              <w:left w:val="single" w:color="000000" w:sz="6" w:space="0"/>
              <w:bottom w:val="single" w:color="000000" w:sz="6" w:space="0"/>
              <w:right w:val="single" w:color="000000" w:sz="6" w:space="0"/>
            </w:tcBorders>
            <w:vAlign w:val="center"/>
          </w:tcPr>
          <w:p w14:paraId="5666A247">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966" w:type="dxa"/>
            <w:tcBorders>
              <w:top w:val="single" w:color="000000" w:sz="6" w:space="0"/>
              <w:left w:val="single" w:color="000000" w:sz="6" w:space="0"/>
              <w:bottom w:val="single" w:color="000000" w:sz="6" w:space="0"/>
              <w:right w:val="single" w:color="000000" w:sz="6" w:space="0"/>
            </w:tcBorders>
          </w:tcPr>
          <w:p w14:paraId="17D652CC">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299" w:type="dxa"/>
            <w:tcBorders>
              <w:top w:val="single" w:color="000000" w:sz="6" w:space="0"/>
              <w:left w:val="single" w:color="000000" w:sz="6" w:space="0"/>
              <w:bottom w:val="single" w:color="000000" w:sz="6" w:space="0"/>
              <w:right w:val="single" w:color="000000" w:sz="6" w:space="0"/>
            </w:tcBorders>
            <w:vAlign w:val="center"/>
          </w:tcPr>
          <w:p w14:paraId="4DC39FD5">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r>
      <w:tr w14:paraId="70AE8DB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000000" w:sz="6" w:space="0"/>
              <w:left w:val="single" w:color="000000" w:sz="6" w:space="0"/>
              <w:bottom w:val="single" w:color="000000" w:sz="6" w:space="0"/>
              <w:right w:val="single" w:color="000000" w:sz="6" w:space="0"/>
            </w:tcBorders>
            <w:vAlign w:val="center"/>
          </w:tcPr>
          <w:p w14:paraId="14B8463D">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6</w:t>
            </w:r>
          </w:p>
        </w:tc>
        <w:tc>
          <w:tcPr>
            <w:tcW w:w="1250" w:type="dxa"/>
            <w:tcBorders>
              <w:top w:val="single" w:color="000000" w:sz="6" w:space="0"/>
              <w:left w:val="single" w:color="000000" w:sz="6" w:space="0"/>
              <w:bottom w:val="single" w:color="000000" w:sz="6" w:space="0"/>
              <w:right w:val="single" w:color="000000" w:sz="6" w:space="0"/>
            </w:tcBorders>
            <w:vAlign w:val="center"/>
          </w:tcPr>
          <w:p w14:paraId="64BCE379">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1702" w:type="dxa"/>
            <w:tcBorders>
              <w:top w:val="single" w:color="000000" w:sz="6" w:space="0"/>
              <w:left w:val="single" w:color="000000" w:sz="6" w:space="0"/>
              <w:bottom w:val="single" w:color="000000" w:sz="6" w:space="0"/>
              <w:right w:val="single" w:color="000000" w:sz="6" w:space="0"/>
            </w:tcBorders>
            <w:vAlign w:val="center"/>
          </w:tcPr>
          <w:p w14:paraId="329E3D65">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966" w:type="dxa"/>
            <w:tcBorders>
              <w:top w:val="single" w:color="000000" w:sz="6" w:space="0"/>
              <w:left w:val="single" w:color="000000" w:sz="6" w:space="0"/>
              <w:bottom w:val="single" w:color="000000" w:sz="6" w:space="0"/>
              <w:right w:val="single" w:color="000000" w:sz="6" w:space="0"/>
            </w:tcBorders>
          </w:tcPr>
          <w:p w14:paraId="05526E52">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299" w:type="dxa"/>
            <w:tcBorders>
              <w:top w:val="single" w:color="000000" w:sz="6" w:space="0"/>
              <w:left w:val="single" w:color="000000" w:sz="6" w:space="0"/>
              <w:bottom w:val="single" w:color="000000" w:sz="6" w:space="0"/>
              <w:right w:val="single" w:color="000000" w:sz="6" w:space="0"/>
            </w:tcBorders>
            <w:vAlign w:val="center"/>
          </w:tcPr>
          <w:p w14:paraId="554F1A6F">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r>
      <w:tr w14:paraId="4ABF3C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000000" w:sz="6" w:space="0"/>
              <w:left w:val="single" w:color="000000" w:sz="6" w:space="0"/>
              <w:bottom w:val="single" w:color="000000" w:sz="6" w:space="0"/>
              <w:right w:val="single" w:color="000000" w:sz="6" w:space="0"/>
            </w:tcBorders>
            <w:vAlign w:val="center"/>
          </w:tcPr>
          <w:p w14:paraId="2107827F">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7</w:t>
            </w:r>
          </w:p>
        </w:tc>
        <w:tc>
          <w:tcPr>
            <w:tcW w:w="1250" w:type="dxa"/>
            <w:tcBorders>
              <w:top w:val="single" w:color="000000" w:sz="6" w:space="0"/>
              <w:left w:val="single" w:color="000000" w:sz="6" w:space="0"/>
              <w:bottom w:val="single" w:color="000000" w:sz="6" w:space="0"/>
              <w:right w:val="single" w:color="000000" w:sz="6" w:space="0"/>
            </w:tcBorders>
            <w:vAlign w:val="center"/>
          </w:tcPr>
          <w:p w14:paraId="69ED129A">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1702" w:type="dxa"/>
            <w:tcBorders>
              <w:top w:val="single" w:color="000000" w:sz="6" w:space="0"/>
              <w:left w:val="single" w:color="000000" w:sz="6" w:space="0"/>
              <w:bottom w:val="single" w:color="000000" w:sz="6" w:space="0"/>
              <w:right w:val="single" w:color="000000" w:sz="6" w:space="0"/>
            </w:tcBorders>
            <w:vAlign w:val="center"/>
          </w:tcPr>
          <w:p w14:paraId="75192D31">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966" w:type="dxa"/>
            <w:tcBorders>
              <w:top w:val="single" w:color="000000" w:sz="6" w:space="0"/>
              <w:left w:val="single" w:color="000000" w:sz="6" w:space="0"/>
              <w:bottom w:val="single" w:color="000000" w:sz="6" w:space="0"/>
              <w:right w:val="single" w:color="000000" w:sz="6" w:space="0"/>
            </w:tcBorders>
          </w:tcPr>
          <w:p w14:paraId="4E18B3C7">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299" w:type="dxa"/>
            <w:tcBorders>
              <w:top w:val="single" w:color="000000" w:sz="6" w:space="0"/>
              <w:left w:val="single" w:color="000000" w:sz="6" w:space="0"/>
              <w:bottom w:val="single" w:color="000000" w:sz="6" w:space="0"/>
              <w:right w:val="single" w:color="000000" w:sz="6" w:space="0"/>
            </w:tcBorders>
            <w:vAlign w:val="center"/>
          </w:tcPr>
          <w:p w14:paraId="0E0671D4">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r>
      <w:tr w14:paraId="0CFA1B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c>
          <w:tcPr>
            <w:tcW w:w="726" w:type="dxa"/>
            <w:tcBorders>
              <w:top w:val="single" w:color="000000" w:sz="6" w:space="0"/>
              <w:left w:val="single" w:color="000000" w:sz="6" w:space="0"/>
              <w:bottom w:val="single" w:color="000000" w:sz="6" w:space="0"/>
              <w:right w:val="single" w:color="000000" w:sz="6" w:space="0"/>
            </w:tcBorders>
            <w:vAlign w:val="center"/>
          </w:tcPr>
          <w:p w14:paraId="74AF01ED">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r>
              <w:rPr>
                <w:rFonts w:hint="eastAsia" w:ascii="Times New Roman" w:hAnsi="Times New Roman" w:eastAsia="仿宋"/>
                <w:color w:val="auto"/>
                <w:highlight w:val="none"/>
              </w:rPr>
              <w:t>8</w:t>
            </w:r>
          </w:p>
        </w:tc>
        <w:tc>
          <w:tcPr>
            <w:tcW w:w="1250" w:type="dxa"/>
            <w:tcBorders>
              <w:top w:val="single" w:color="000000" w:sz="6" w:space="0"/>
              <w:left w:val="single" w:color="000000" w:sz="6" w:space="0"/>
              <w:bottom w:val="single" w:color="000000" w:sz="6" w:space="0"/>
              <w:right w:val="single" w:color="000000" w:sz="6" w:space="0"/>
            </w:tcBorders>
            <w:vAlign w:val="center"/>
          </w:tcPr>
          <w:p w14:paraId="2093918C">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1702" w:type="dxa"/>
            <w:tcBorders>
              <w:top w:val="single" w:color="000000" w:sz="6" w:space="0"/>
              <w:left w:val="single" w:color="000000" w:sz="6" w:space="0"/>
              <w:bottom w:val="single" w:color="000000" w:sz="6" w:space="0"/>
              <w:right w:val="single" w:color="000000" w:sz="6" w:space="0"/>
            </w:tcBorders>
            <w:vAlign w:val="center"/>
          </w:tcPr>
          <w:p w14:paraId="5C311E59">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966" w:type="dxa"/>
            <w:tcBorders>
              <w:top w:val="single" w:color="000000" w:sz="6" w:space="0"/>
              <w:left w:val="single" w:color="000000" w:sz="6" w:space="0"/>
              <w:bottom w:val="single" w:color="000000" w:sz="6" w:space="0"/>
              <w:right w:val="single" w:color="000000" w:sz="6" w:space="0"/>
            </w:tcBorders>
          </w:tcPr>
          <w:p w14:paraId="00803D28">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c>
          <w:tcPr>
            <w:tcW w:w="2299" w:type="dxa"/>
            <w:tcBorders>
              <w:top w:val="single" w:color="000000" w:sz="6" w:space="0"/>
              <w:left w:val="single" w:color="000000" w:sz="6" w:space="0"/>
              <w:bottom w:val="single" w:color="000000" w:sz="6" w:space="0"/>
              <w:right w:val="single" w:color="000000" w:sz="6" w:space="0"/>
            </w:tcBorders>
            <w:vAlign w:val="center"/>
          </w:tcPr>
          <w:p w14:paraId="05DC782E">
            <w:pPr>
              <w:pStyle w:val="38"/>
              <w:adjustRightInd w:val="0"/>
              <w:snapToGrid w:val="0"/>
              <w:spacing w:before="78" w:beforeLines="25" w:beforeAutospacing="0" w:after="78" w:afterLines="25" w:afterAutospacing="0"/>
              <w:jc w:val="center"/>
              <w:rPr>
                <w:rFonts w:ascii="Times New Roman" w:hAnsi="Times New Roman" w:eastAsia="仿宋"/>
                <w:color w:val="auto"/>
                <w:highlight w:val="none"/>
              </w:rPr>
            </w:pPr>
          </w:p>
        </w:tc>
      </w:tr>
    </w:tbl>
    <w:p w14:paraId="53054D91">
      <w:pPr>
        <w:pStyle w:val="38"/>
        <w:spacing w:before="0" w:beforeAutospacing="0" w:after="0" w:afterAutospacing="0" w:line="440" w:lineRule="exact"/>
        <w:rPr>
          <w:rFonts w:ascii="Times New Roman" w:hAnsi="Times New Roman" w:eastAsia="仿宋"/>
          <w:color w:val="auto"/>
          <w:kern w:val="2"/>
          <w:highlight w:val="none"/>
        </w:rPr>
      </w:pPr>
    </w:p>
    <w:p w14:paraId="070575AF">
      <w:pPr>
        <w:pStyle w:val="5"/>
        <w:rPr>
          <w:rFonts w:ascii="Times New Roman" w:hAnsi="Times New Roman"/>
          <w:color w:val="auto"/>
          <w:highlight w:val="none"/>
        </w:rPr>
      </w:pPr>
      <w:r>
        <w:rPr>
          <w:color w:val="auto"/>
          <w:highlight w:val="none"/>
        </w:rPr>
        <w:br w:type="page"/>
      </w:r>
    </w:p>
    <w:p w14:paraId="03090A7F">
      <w:pPr>
        <w:widowControl/>
        <w:jc w:val="center"/>
        <w:rPr>
          <w:rFonts w:ascii="Times New Roman" w:hAnsi="Times New Roman" w:eastAsia="仿宋"/>
          <w:b/>
          <w:color w:val="auto"/>
          <w:kern w:val="0"/>
          <w:sz w:val="32"/>
          <w:szCs w:val="32"/>
          <w:highlight w:val="none"/>
        </w:rPr>
      </w:pPr>
      <w:r>
        <w:rPr>
          <w:rFonts w:ascii="Times New Roman" w:hAnsi="Times New Roman" w:eastAsia="仿宋"/>
          <w:b/>
          <w:color w:val="auto"/>
          <w:kern w:val="0"/>
          <w:sz w:val="32"/>
          <w:szCs w:val="32"/>
          <w:highlight w:val="none"/>
        </w:rPr>
        <w:t>附件五：维护</w:t>
      </w:r>
    </w:p>
    <w:p w14:paraId="56FE4367">
      <w:pPr>
        <w:pStyle w:val="5"/>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kern w:val="0"/>
          <w:sz w:val="21"/>
          <w:szCs w:val="21"/>
          <w:highlight w:val="none"/>
        </w:rPr>
        <w:t>一、维护要求：</w:t>
      </w:r>
      <w:r>
        <w:rPr>
          <w:rFonts w:hint="eastAsia" w:ascii="宋体" w:hAnsi="宋体" w:eastAsia="宋体" w:cs="宋体"/>
          <w:b w:val="0"/>
          <w:bCs w:val="0"/>
          <w:color w:val="auto"/>
          <w:kern w:val="0"/>
          <w:sz w:val="21"/>
          <w:szCs w:val="21"/>
          <w:highlight w:val="none"/>
        </w:rPr>
        <w:t>按照甲方要求对提交的算法模型进行为期 6个月的免费维护。</w:t>
      </w:r>
    </w:p>
    <w:p w14:paraId="6EA7DADF">
      <w:pPr>
        <w:widowControl/>
        <w:jc w:val="left"/>
        <w:rPr>
          <w:rFonts w:ascii="Times New Roman" w:hAnsi="Times New Roman" w:eastAsia="仿宋"/>
          <w:b/>
          <w:color w:val="auto"/>
          <w:kern w:val="0"/>
          <w:sz w:val="32"/>
          <w:szCs w:val="32"/>
          <w:highlight w:val="none"/>
        </w:rPr>
      </w:pPr>
    </w:p>
    <w:p w14:paraId="26DAF3CA">
      <w:pPr>
        <w:widowControl/>
        <w:jc w:val="left"/>
        <w:rPr>
          <w:rFonts w:ascii="Times New Roman" w:hAnsi="Times New Roman" w:eastAsia="仿宋"/>
          <w:b/>
          <w:color w:val="auto"/>
          <w:kern w:val="0"/>
          <w:sz w:val="32"/>
          <w:szCs w:val="32"/>
          <w:highlight w:val="none"/>
        </w:rPr>
      </w:pPr>
    </w:p>
    <w:p w14:paraId="59837C9A">
      <w:pPr>
        <w:widowControl/>
        <w:jc w:val="left"/>
        <w:rPr>
          <w:rFonts w:ascii="Times New Roman" w:hAnsi="Times New Roman" w:eastAsia="仿宋"/>
          <w:b/>
          <w:color w:val="auto"/>
          <w:kern w:val="0"/>
          <w:sz w:val="32"/>
          <w:szCs w:val="32"/>
          <w:highlight w:val="none"/>
        </w:rPr>
      </w:pPr>
    </w:p>
    <w:p w14:paraId="4A359D86">
      <w:pPr>
        <w:widowControl/>
        <w:jc w:val="left"/>
        <w:rPr>
          <w:rFonts w:ascii="Times New Roman" w:hAnsi="Times New Roman" w:eastAsia="仿宋"/>
          <w:b/>
          <w:color w:val="auto"/>
          <w:kern w:val="0"/>
          <w:sz w:val="32"/>
          <w:szCs w:val="32"/>
          <w:highlight w:val="none"/>
        </w:rPr>
      </w:pPr>
    </w:p>
    <w:p w14:paraId="006F1994">
      <w:pPr>
        <w:widowControl/>
        <w:jc w:val="left"/>
        <w:rPr>
          <w:rFonts w:ascii="Times New Roman" w:hAnsi="Times New Roman" w:eastAsia="仿宋"/>
          <w:b/>
          <w:color w:val="auto"/>
          <w:kern w:val="0"/>
          <w:sz w:val="32"/>
          <w:szCs w:val="32"/>
          <w:highlight w:val="none"/>
        </w:rPr>
      </w:pPr>
    </w:p>
    <w:p w14:paraId="44D1AC13">
      <w:pPr>
        <w:widowControl/>
        <w:jc w:val="left"/>
        <w:rPr>
          <w:rFonts w:ascii="Times New Roman" w:hAnsi="Times New Roman" w:eastAsia="仿宋"/>
          <w:b/>
          <w:color w:val="auto"/>
          <w:kern w:val="0"/>
          <w:sz w:val="32"/>
          <w:szCs w:val="32"/>
          <w:highlight w:val="none"/>
        </w:rPr>
      </w:pPr>
    </w:p>
    <w:p w14:paraId="19C9434C">
      <w:pPr>
        <w:widowControl/>
        <w:jc w:val="left"/>
        <w:rPr>
          <w:rFonts w:ascii="Times New Roman" w:hAnsi="Times New Roman" w:eastAsia="仿宋"/>
          <w:b/>
          <w:color w:val="auto"/>
          <w:kern w:val="0"/>
          <w:sz w:val="32"/>
          <w:szCs w:val="32"/>
          <w:highlight w:val="none"/>
        </w:rPr>
      </w:pPr>
    </w:p>
    <w:p w14:paraId="58F0FA9D">
      <w:pPr>
        <w:widowControl/>
        <w:jc w:val="left"/>
        <w:rPr>
          <w:rFonts w:ascii="Times New Roman" w:hAnsi="Times New Roman" w:eastAsia="仿宋"/>
          <w:b/>
          <w:color w:val="auto"/>
          <w:kern w:val="0"/>
          <w:sz w:val="32"/>
          <w:szCs w:val="32"/>
          <w:highlight w:val="none"/>
        </w:rPr>
      </w:pPr>
    </w:p>
    <w:p w14:paraId="47CB1656">
      <w:pPr>
        <w:widowControl/>
        <w:jc w:val="left"/>
        <w:rPr>
          <w:rFonts w:ascii="Times New Roman" w:hAnsi="Times New Roman"/>
          <w:color w:val="auto"/>
          <w:highlight w:val="none"/>
        </w:rPr>
      </w:pPr>
      <w:r>
        <w:rPr>
          <w:rFonts w:ascii="Times New Roman" w:hAnsi="Times New Roman" w:eastAsia="仿宋"/>
          <w:b/>
          <w:color w:val="auto"/>
          <w:kern w:val="0"/>
          <w:sz w:val="32"/>
          <w:szCs w:val="32"/>
          <w:highlight w:val="none"/>
        </w:rPr>
        <w:br w:type="page"/>
      </w:r>
      <w:r>
        <w:rPr>
          <w:rFonts w:ascii="Times New Roman" w:hAnsi="Times New Roman" w:eastAsia="仿宋"/>
          <w:b/>
          <w:color w:val="auto"/>
          <w:kern w:val="0"/>
          <w:sz w:val="32"/>
          <w:szCs w:val="32"/>
          <w:highlight w:val="none"/>
        </w:rPr>
        <w:t>附件六：代理人授权委托书原件</w:t>
      </w:r>
    </w:p>
    <w:p w14:paraId="361EE78F">
      <w:pPr>
        <w:widowControl/>
        <w:jc w:val="left"/>
        <w:rPr>
          <w:rFonts w:ascii="Times New Roman" w:hAnsi="Times New Roman"/>
          <w:color w:val="auto"/>
          <w:highlight w:val="none"/>
        </w:rPr>
      </w:pPr>
    </w:p>
    <w:p w14:paraId="6850AFF5">
      <w:pPr>
        <w:pStyle w:val="18"/>
        <w:rPr>
          <w:color w:val="auto"/>
          <w:highlight w:val="none"/>
        </w:rPr>
      </w:pPr>
    </w:p>
    <w:p w14:paraId="15478D0F">
      <w:pPr>
        <w:snapToGrid w:val="0"/>
        <w:spacing w:before="156" w:beforeLines="50" w:line="480" w:lineRule="auto"/>
        <w:jc w:val="center"/>
        <w:rPr>
          <w:rFonts w:ascii="Times New Roman" w:hAnsi="Times New Roman"/>
          <w:b/>
          <w:bCs/>
          <w:color w:val="auto"/>
          <w:sz w:val="36"/>
          <w:szCs w:val="36"/>
          <w:highlight w:val="none"/>
        </w:rPr>
      </w:pPr>
      <w:bookmarkStart w:id="170" w:name="_Toc60522875"/>
      <w:r>
        <w:rPr>
          <w:rFonts w:ascii="Times New Roman" w:hAnsi="Times New Roman"/>
          <w:b/>
          <w:bCs/>
          <w:color w:val="auto"/>
          <w:sz w:val="36"/>
          <w:szCs w:val="36"/>
          <w:highlight w:val="none"/>
        </w:rPr>
        <w:t>法定代表人授权委托书</w:t>
      </w:r>
      <w:bookmarkEnd w:id="170"/>
    </w:p>
    <w:p w14:paraId="592AA804">
      <w:pPr>
        <w:snapToGrid w:val="0"/>
        <w:spacing w:before="156" w:beforeLines="50" w:line="480" w:lineRule="auto"/>
        <w:ind w:firstLine="50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致：重庆首讯科技股份有限公司</w:t>
      </w:r>
    </w:p>
    <w:p w14:paraId="5FD0B9BD">
      <w:pPr>
        <w:snapToGrid w:val="0"/>
        <w:spacing w:before="156" w:beforeLines="50" w:line="480" w:lineRule="auto"/>
        <w:ind w:firstLine="50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本授权书宣告：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合法地代表我单位，授权</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为我单位代理人，该代理人有权代表我单位与你们进行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重庆首讯科技股份有限公司针对高速公路重点车辆管理的识别跟踪技术开发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的相关合同签订、签署文件和处理一切与该项目有关的事务。</w:t>
      </w:r>
    </w:p>
    <w:p w14:paraId="124D39E5">
      <w:pPr>
        <w:snapToGrid w:val="0"/>
        <w:spacing w:before="156" w:beforeLines="50" w:line="480" w:lineRule="auto"/>
        <w:ind w:firstLine="50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在整个过程中，该代理人的一切行为均代表本单位，与本单位的行为具有同等法律效力。本单位将承担该代理人行为的全部法律责任和后果。</w:t>
      </w:r>
    </w:p>
    <w:p w14:paraId="37DE32C0">
      <w:pPr>
        <w:snapToGrid w:val="0"/>
        <w:spacing w:before="156" w:beforeLines="50" w:line="480" w:lineRule="auto"/>
        <w:ind w:firstLine="50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委托期限：自出具之日起生效至此项目缺陷责任期结束 。 </w:t>
      </w:r>
    </w:p>
    <w:p w14:paraId="6C1B9B37">
      <w:pPr>
        <w:snapToGrid w:val="0"/>
        <w:spacing w:before="156" w:beforeLines="50" w:line="480" w:lineRule="auto"/>
        <w:ind w:firstLine="50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代理人无权转换代理权。特此委托。</w:t>
      </w:r>
    </w:p>
    <w:p w14:paraId="1489EC88">
      <w:pPr>
        <w:ind w:firstLine="504"/>
        <w:rPr>
          <w:rFonts w:hint="eastAsia" w:ascii="宋体" w:hAnsi="宋体" w:eastAsia="宋体" w:cs="宋体"/>
          <w:color w:val="auto"/>
          <w:sz w:val="21"/>
          <w:szCs w:val="21"/>
          <w:highlight w:val="none"/>
        </w:rPr>
      </w:pPr>
    </w:p>
    <w:p w14:paraId="4E3F78DC">
      <w:pPr>
        <w:ind w:firstLine="504"/>
        <w:rPr>
          <w:rFonts w:hint="eastAsia" w:ascii="宋体" w:hAnsi="宋体" w:eastAsia="宋体" w:cs="宋体"/>
          <w:color w:val="auto"/>
          <w:sz w:val="21"/>
          <w:szCs w:val="21"/>
          <w:highlight w:val="none"/>
        </w:rPr>
      </w:pPr>
    </w:p>
    <w:p w14:paraId="25A43E89">
      <w:pPr>
        <w:ind w:firstLine="504"/>
        <w:rPr>
          <w:rFonts w:hint="eastAsia" w:ascii="宋体" w:hAnsi="宋体" w:eastAsia="宋体" w:cs="宋体"/>
          <w:color w:val="auto"/>
          <w:sz w:val="21"/>
          <w:szCs w:val="21"/>
          <w:highlight w:val="none"/>
        </w:rPr>
      </w:pPr>
    </w:p>
    <w:p w14:paraId="193B53F8">
      <w:pPr>
        <w:spacing w:line="48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（盖章）</w:t>
      </w:r>
    </w:p>
    <w:p w14:paraId="65C43348">
      <w:pPr>
        <w:spacing w:line="480" w:lineRule="auto"/>
        <w:ind w:right="210" w:firstLine="365" w:firstLineChars="174"/>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授权人：</w:t>
      </w:r>
      <w:r>
        <w:rPr>
          <w:rFonts w:hint="eastAsia" w:ascii="宋体" w:hAnsi="宋体" w:eastAsia="宋体" w:cs="宋体"/>
          <w:color w:val="auto"/>
          <w:sz w:val="21"/>
          <w:szCs w:val="21"/>
          <w:highlight w:val="none"/>
          <w:u w:val="single"/>
        </w:rPr>
        <w:t xml:space="preserve">                    （签字或盖章）</w:t>
      </w:r>
    </w:p>
    <w:p w14:paraId="6BC88B06">
      <w:pPr>
        <w:spacing w:line="480" w:lineRule="auto"/>
        <w:ind w:right="21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被授权的代理人：</w:t>
      </w:r>
      <w:r>
        <w:rPr>
          <w:rFonts w:hint="eastAsia" w:ascii="宋体" w:hAnsi="宋体" w:eastAsia="宋体" w:cs="宋体"/>
          <w:color w:val="auto"/>
          <w:sz w:val="21"/>
          <w:szCs w:val="21"/>
          <w:highlight w:val="none"/>
          <w:u w:val="single"/>
        </w:rPr>
        <w:t xml:space="preserve">                  （签字）</w:t>
      </w:r>
    </w:p>
    <w:p w14:paraId="6C443CEE">
      <w:pPr>
        <w:spacing w:line="480" w:lineRule="auto"/>
        <w:ind w:right="1920" w:firstLine="365" w:firstLineChars="174"/>
        <w:jc w:val="center"/>
        <w:rPr>
          <w:rFonts w:ascii="Times New Roman" w:hAnsi="Times New Roman"/>
          <w:color w:val="auto"/>
          <w:highlight w:val="none"/>
        </w:rPr>
      </w:pPr>
      <w:r>
        <w:rPr>
          <w:rFonts w:hint="eastAsia" w:ascii="宋体" w:hAnsi="宋体" w:eastAsia="宋体" w:cs="宋体"/>
          <w:color w:val="auto"/>
          <w:sz w:val="21"/>
          <w:szCs w:val="21"/>
          <w:highlight w:val="none"/>
        </w:rPr>
        <w:t xml:space="preserve">                                 日    期：   年   月  日</w:t>
      </w:r>
    </w:p>
    <w:p w14:paraId="63D7B78F">
      <w:pPr>
        <w:widowControl/>
        <w:jc w:val="left"/>
        <w:rPr>
          <w:rFonts w:ascii="Times New Roman" w:hAnsi="Times New Roman" w:eastAsia="仿宋"/>
          <w:b/>
          <w:color w:val="auto"/>
          <w:kern w:val="0"/>
          <w:sz w:val="32"/>
          <w:szCs w:val="32"/>
          <w:highlight w:val="none"/>
        </w:rPr>
      </w:pPr>
    </w:p>
    <w:p w14:paraId="3F2288D8">
      <w:pPr>
        <w:widowControl/>
        <w:jc w:val="left"/>
        <w:rPr>
          <w:rFonts w:ascii="Times New Roman" w:hAnsi="Times New Roman" w:eastAsia="仿宋"/>
          <w:b/>
          <w:color w:val="auto"/>
          <w:kern w:val="0"/>
          <w:sz w:val="32"/>
          <w:szCs w:val="32"/>
          <w:highlight w:val="none"/>
        </w:rPr>
      </w:pPr>
    </w:p>
    <w:p w14:paraId="67B33E55">
      <w:pPr>
        <w:rPr>
          <w:rFonts w:ascii="Times New Roman" w:hAnsi="Times New Roman" w:eastAsia="仿宋"/>
          <w:b/>
          <w:color w:val="auto"/>
          <w:kern w:val="0"/>
          <w:sz w:val="32"/>
          <w:szCs w:val="32"/>
          <w:highlight w:val="none"/>
        </w:rPr>
      </w:pPr>
      <w:r>
        <w:rPr>
          <w:rFonts w:ascii="Times New Roman" w:hAnsi="Times New Roman" w:eastAsia="仿宋"/>
          <w:b/>
          <w:color w:val="auto"/>
          <w:kern w:val="0"/>
          <w:sz w:val="32"/>
          <w:szCs w:val="32"/>
          <w:highlight w:val="none"/>
        </w:rPr>
        <w:br w:type="page"/>
      </w:r>
    </w:p>
    <w:p w14:paraId="384BD94E">
      <w:pPr>
        <w:widowControl/>
        <w:jc w:val="left"/>
        <w:rPr>
          <w:rFonts w:ascii="Times New Roman" w:hAnsi="Times New Roman" w:eastAsia="仿宋"/>
          <w:b/>
          <w:color w:val="auto"/>
          <w:kern w:val="0"/>
          <w:sz w:val="32"/>
          <w:szCs w:val="32"/>
          <w:highlight w:val="none"/>
        </w:rPr>
      </w:pPr>
      <w:r>
        <w:rPr>
          <w:rFonts w:ascii="Times New Roman" w:hAnsi="Times New Roman" w:eastAsia="仿宋"/>
          <w:b/>
          <w:color w:val="auto"/>
          <w:kern w:val="0"/>
          <w:sz w:val="32"/>
          <w:szCs w:val="32"/>
          <w:highlight w:val="none"/>
        </w:rPr>
        <w:t>附件七：乙方（供方）营业执照复印件（盖乙方公章）</w:t>
      </w:r>
    </w:p>
    <w:p w14:paraId="3309E67B">
      <w:pPr>
        <w:widowControl/>
        <w:jc w:val="left"/>
        <w:rPr>
          <w:rFonts w:ascii="Times New Roman" w:hAnsi="Times New Roman" w:eastAsia="仿宋"/>
          <w:b/>
          <w:color w:val="auto"/>
          <w:kern w:val="0"/>
          <w:sz w:val="32"/>
          <w:szCs w:val="32"/>
          <w:highlight w:val="none"/>
        </w:rPr>
      </w:pPr>
      <w:r>
        <w:rPr>
          <w:rFonts w:ascii="Times New Roman" w:hAnsi="Times New Roman" w:eastAsia="仿宋"/>
          <w:b/>
          <w:color w:val="auto"/>
          <w:kern w:val="0"/>
          <w:sz w:val="32"/>
          <w:szCs w:val="32"/>
          <w:highlight w:val="none"/>
        </w:rPr>
        <w:br w:type="page"/>
      </w:r>
    </w:p>
    <w:p w14:paraId="2BB8E24F">
      <w:pPr>
        <w:widowControl/>
        <w:jc w:val="left"/>
        <w:rPr>
          <w:rFonts w:ascii="Times New Roman" w:hAnsi="Times New Roman" w:eastAsia="仿宋"/>
          <w:b/>
          <w:color w:val="auto"/>
          <w:kern w:val="0"/>
          <w:sz w:val="32"/>
          <w:szCs w:val="32"/>
          <w:highlight w:val="none"/>
        </w:rPr>
      </w:pPr>
      <w:r>
        <w:rPr>
          <w:rFonts w:ascii="Times New Roman" w:hAnsi="Times New Roman" w:eastAsia="仿宋"/>
          <w:b/>
          <w:color w:val="auto"/>
          <w:kern w:val="0"/>
          <w:sz w:val="32"/>
          <w:szCs w:val="32"/>
          <w:highlight w:val="none"/>
        </w:rPr>
        <w:t>附件八：廉政合同</w:t>
      </w:r>
    </w:p>
    <w:p w14:paraId="611A22B4">
      <w:pPr>
        <w:pStyle w:val="38"/>
        <w:spacing w:line="500" w:lineRule="exact"/>
        <w:jc w:val="center"/>
        <w:rPr>
          <w:rFonts w:ascii="Times New Roman" w:hAnsi="Times New Roman" w:eastAsia="仿宋"/>
          <w:b/>
          <w:color w:val="auto"/>
          <w:sz w:val="32"/>
          <w:szCs w:val="32"/>
          <w:highlight w:val="none"/>
        </w:rPr>
      </w:pPr>
      <w:r>
        <w:rPr>
          <w:rFonts w:ascii="Times New Roman" w:hAnsi="Times New Roman" w:eastAsia="仿宋"/>
          <w:b/>
          <w:color w:val="auto"/>
          <w:sz w:val="32"/>
          <w:szCs w:val="32"/>
          <w:highlight w:val="none"/>
        </w:rPr>
        <w:t>廉政合同</w:t>
      </w:r>
    </w:p>
    <w:p w14:paraId="376395F6">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甲方：重庆首讯科技股份有限公司</w:t>
      </w:r>
    </w:p>
    <w:p w14:paraId="2B298655">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6A16F8D8">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（以下称乙方），特订立如下合同。</w:t>
      </w:r>
    </w:p>
    <w:p w14:paraId="76A1F0D8">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一、甲乙双方的权利和义务</w:t>
      </w:r>
    </w:p>
    <w:p w14:paraId="07DF8B73">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（1）严格遵守党的政策规定和国家有关法律法规及交通部的有关规定。</w:t>
      </w:r>
    </w:p>
    <w:p w14:paraId="2F269687">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（2）双方的业务活动坚持公开、公正、诚信、透明的原则（除法律认定的商业秘密和合同文件另有规定之外），不得损害国家和集体利益。</w:t>
      </w:r>
    </w:p>
    <w:p w14:paraId="6E72D8F3">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（3）建立健全廉政制度，开展廉政教育，设立廉政告示牌，公布举报电话，监督并认真查处违法违纪行为。</w:t>
      </w:r>
    </w:p>
    <w:p w14:paraId="06AA693C">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（4）发现对方在业务活动中有违反廉政规定的行为，有及时提醒对方纠正的权利和义务。</w:t>
      </w:r>
    </w:p>
    <w:p w14:paraId="54DCD2F1">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（5）发现对方严重违反本合同义务条款的行为，有向上级有关部门举报、建议给予处理并要求告知处理结果的权利。</w:t>
      </w:r>
    </w:p>
    <w:p w14:paraId="726EED50">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二、甲方的义务</w:t>
      </w:r>
    </w:p>
    <w:p w14:paraId="1F61E553">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（1）甲方及其工作人员不得索要或接受乙方的礼金、有价证券和贵重物品，不得在乙方报销任何应由甲方或甲方工作人员个人支付的费用等。</w:t>
      </w:r>
    </w:p>
    <w:p w14:paraId="0DFBEC11">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（2）甲方工作人员不得参加乙方安排的超标准宴请和娱乐活动；不得接受乙方提供的通讯工具、交通工具和高档办公用品等。</w:t>
      </w:r>
    </w:p>
    <w:p w14:paraId="6054D507">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（3）甲方及其工作人员不得要求或者接受乙方为其住房装修、婚丧嫁娶活动、配偶子女的工作安排以及出国出境、旅游等提供方便等。</w:t>
      </w:r>
    </w:p>
    <w:p w14:paraId="134E2289">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（4）甲方工作人员及其配偶、子女不得从事与甲方工程有关部门的材料设备供应、工程分包、劳务等经济活动等。</w:t>
      </w:r>
    </w:p>
    <w:p w14:paraId="49322E15">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（5）甲方及其工作人员不得以任何理由向乙方推荐分包单位或推销材料，不得要求乙方购买合同规定外的材料和设备。</w:t>
      </w:r>
    </w:p>
    <w:p w14:paraId="0BB65FE6">
      <w:pPr>
        <w:spacing w:line="360" w:lineRule="auto"/>
        <w:rPr>
          <w:rFonts w:hint="eastAsia" w:ascii="宋体" w:hAnsi="宋体" w:eastAsia="宋体" w:cs="宋体"/>
          <w:b/>
          <w:bCs/>
          <w:color w:val="auto"/>
          <w:sz w:val="21"/>
          <w:szCs w:val="21"/>
          <w:highlight w:val="none"/>
        </w:rPr>
      </w:pPr>
    </w:p>
    <w:p w14:paraId="4DBEE502">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三、乙方义务</w:t>
      </w:r>
    </w:p>
    <w:p w14:paraId="0E41BEAC">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（1）乙方不得以任何理由向甲方及其工作人员行贿或馈赠礼金、有价证券、贵重物品。</w:t>
      </w:r>
    </w:p>
    <w:p w14:paraId="26ADFDCE">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（2）乙方不得以任何名义为甲方及其工作人员报销应由甲方单位或个人支付的任何费用。</w:t>
      </w:r>
    </w:p>
    <w:p w14:paraId="5511EEE5">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（3）乙方不得以任何理由邀请甲方工作人员外出旅游或安排甲方人员参加超标准宴请及娱乐活动。</w:t>
      </w:r>
    </w:p>
    <w:p w14:paraId="38DE7FF4">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（4）乙方不得为甲方单位和个人购置或提供通讯工具、交通工具和高档办公用品等。</w:t>
      </w:r>
    </w:p>
    <w:p w14:paraId="3B0FF22D">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（5）乙方及其工作人员应严格按监理规程办事，不得为谋取私利向监理人员非法行贿，私下串通，损坏甲方利益。同时必须对监理单位和工程监理人员履行向甲方承诺的上述其他廉政义务。</w:t>
      </w:r>
    </w:p>
    <w:p w14:paraId="19FD9E1B">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项目的优先邀请投标权。</w:t>
      </w:r>
    </w:p>
    <w:p w14:paraId="3E35ED93">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14:paraId="3D4BF9CF">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（1）甲方及其工作人员违反本合同第一、二条，按管理权限，依据有关部门规定给予党纪、政纪或组织处理；涉嫌犯罪的，移交司法机关追究刑事责任；给乙方单位造成经济损失的，应予以赔偿。</w:t>
      </w:r>
    </w:p>
    <w:p w14:paraId="2D3626E1">
      <w:pPr>
        <w:widowControl/>
        <w:tabs>
          <w:tab w:val="left" w:pos="3936"/>
        </w:tabs>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14:paraId="5A3CC892">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五、双方约定</w:t>
      </w:r>
      <w:r>
        <w:rPr>
          <w:rFonts w:hint="eastAsia" w:ascii="宋体" w:hAnsi="宋体" w:eastAsia="宋体" w:cs="宋体"/>
          <w:color w:val="auto"/>
          <w:sz w:val="21"/>
          <w:szCs w:val="21"/>
          <w:highlight w:val="none"/>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14:paraId="26784293">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color w:val="auto"/>
          <w:sz w:val="21"/>
          <w:szCs w:val="21"/>
          <w:highlight w:val="none"/>
        </w:rPr>
        <w:t>本合同有效期为甲乙双方签署之日起至双方履行完毕全部合同约定义务之日止。</w:t>
      </w:r>
    </w:p>
    <w:p w14:paraId="34E0F34E">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七、</w:t>
      </w:r>
      <w:r>
        <w:rPr>
          <w:rFonts w:hint="eastAsia" w:ascii="宋体" w:hAnsi="宋体" w:eastAsia="宋体" w:cs="宋体"/>
          <w:color w:val="auto"/>
          <w:sz w:val="21"/>
          <w:szCs w:val="21"/>
          <w:highlight w:val="none"/>
        </w:rPr>
        <w:t>本合同一式两份，甲、乙双方各执一份。</w:t>
      </w:r>
    </w:p>
    <w:p w14:paraId="562B17B7">
      <w:pPr>
        <w:widowControl/>
        <w:spacing w:line="400" w:lineRule="exact"/>
        <w:jc w:val="left"/>
        <w:rPr>
          <w:rFonts w:hint="eastAsia" w:ascii="宋体" w:hAnsi="宋体" w:eastAsia="宋体" w:cs="宋体"/>
          <w:color w:val="auto"/>
          <w:sz w:val="21"/>
          <w:szCs w:val="21"/>
          <w:highlight w:val="none"/>
        </w:rPr>
      </w:pPr>
    </w:p>
    <w:p w14:paraId="6C3993B3">
      <w:pPr>
        <w:widowControl/>
        <w:spacing w:line="400" w:lineRule="exact"/>
        <w:jc w:val="left"/>
        <w:rPr>
          <w:rFonts w:hint="eastAsia" w:ascii="宋体" w:hAnsi="宋体" w:eastAsia="宋体" w:cs="宋体"/>
          <w:color w:val="auto"/>
          <w:sz w:val="21"/>
          <w:szCs w:val="21"/>
          <w:highlight w:val="none"/>
        </w:rPr>
      </w:pPr>
    </w:p>
    <w:p w14:paraId="6BA2CA57">
      <w:pPr>
        <w:widowControl/>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甲方：重庆首讯科技股份有限公司（章）       乙方：（章）</w:t>
      </w:r>
    </w:p>
    <w:p w14:paraId="0F51BFB0">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公司负责人或授权代理人：                   公司负责人或授权代理人：</w:t>
      </w:r>
    </w:p>
    <w:p w14:paraId="62DF7FD0">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项目经理：</w:t>
      </w:r>
    </w:p>
    <w:p w14:paraId="5AF7188E">
      <w:pPr>
        <w:widowControl/>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                                    经办人：</w:t>
      </w:r>
    </w:p>
    <w:p w14:paraId="69C75D56">
      <w:pPr>
        <w:spacing w:line="440" w:lineRule="exact"/>
        <w:rPr>
          <w:rFonts w:ascii="Times New Roman" w:hAnsi="Times New Roman" w:eastAsia="仿宋_GB2312"/>
          <w:color w:val="auto"/>
          <w:sz w:val="30"/>
          <w:szCs w:val="30"/>
          <w:highlight w:val="none"/>
        </w:rPr>
      </w:pPr>
      <w:r>
        <w:rPr>
          <w:rFonts w:hint="eastAsia" w:ascii="宋体" w:hAnsi="宋体" w:eastAsia="宋体" w:cs="宋体"/>
          <w:color w:val="auto"/>
          <w:sz w:val="21"/>
          <w:szCs w:val="21"/>
          <w:highlight w:val="none"/>
        </w:rPr>
        <w:t xml:space="preserve">日期: </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日期:</w:t>
      </w:r>
    </w:p>
    <w:p w14:paraId="67914981">
      <w:pPr>
        <w:rPr>
          <w:rFonts w:ascii="Times New Roman" w:hAnsi="Times New Roman"/>
          <w:color w:val="auto"/>
          <w:highlight w:val="none"/>
        </w:rPr>
      </w:pPr>
    </w:p>
    <w:p w14:paraId="1FA05700">
      <w:pPr>
        <w:rPr>
          <w:rFonts w:ascii="Times New Roman" w:hAnsi="Times New Roman"/>
          <w:color w:val="auto"/>
          <w:highlight w:val="none"/>
        </w:rPr>
      </w:pPr>
    </w:p>
    <w:p w14:paraId="48C0770C">
      <w:pP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br w:type="page"/>
      </w:r>
    </w:p>
    <w:p w14:paraId="3178C11C">
      <w:pPr>
        <w:rPr>
          <w:rFonts w:ascii="宋体" w:hAnsi="宋体" w:cs="宋体"/>
          <w:color w:val="auto"/>
          <w:highlight w:val="none"/>
        </w:rPr>
      </w:pPr>
      <w:bookmarkStart w:id="171" w:name="_Toc513633965"/>
    </w:p>
    <w:p w14:paraId="642E6171">
      <w:pPr>
        <w:pStyle w:val="2"/>
        <w:spacing w:before="0" w:after="0" w:line="360" w:lineRule="auto"/>
        <w:jc w:val="center"/>
        <w:rPr>
          <w:rFonts w:ascii="宋体" w:hAnsi="宋体" w:cs="宋体"/>
          <w:color w:val="auto"/>
          <w:highlight w:val="none"/>
        </w:rPr>
      </w:pPr>
      <w:bookmarkStart w:id="172" w:name="_Toc514858709"/>
      <w:bookmarkStart w:id="173" w:name="_Toc1853"/>
      <w:bookmarkStart w:id="174" w:name="_Toc2000413"/>
      <w:r>
        <w:rPr>
          <w:rFonts w:hint="eastAsia" w:ascii="宋体" w:hAnsi="宋体" w:cs="宋体"/>
          <w:color w:val="auto"/>
          <w:highlight w:val="none"/>
        </w:rPr>
        <w:t>第</w:t>
      </w:r>
      <w:r>
        <w:rPr>
          <w:rFonts w:hint="eastAsia" w:ascii="宋体" w:hAnsi="宋体" w:cs="宋体"/>
          <w:color w:val="auto"/>
          <w:highlight w:val="none"/>
          <w:lang w:val="en-US" w:eastAsia="zh-CN"/>
        </w:rPr>
        <w:t>六</w:t>
      </w:r>
      <w:r>
        <w:rPr>
          <w:rFonts w:hint="eastAsia" w:ascii="宋体" w:hAnsi="宋体" w:cs="宋体"/>
          <w:color w:val="auto"/>
          <w:highlight w:val="none"/>
        </w:rPr>
        <w:t>章  竞争性比选响应文件格式</w:t>
      </w:r>
      <w:bookmarkEnd w:id="171"/>
      <w:bookmarkEnd w:id="172"/>
      <w:bookmarkEnd w:id="173"/>
      <w:bookmarkEnd w:id="174"/>
    </w:p>
    <w:p w14:paraId="4F3CD310">
      <w:pPr>
        <w:rPr>
          <w:rFonts w:ascii="宋体" w:hAnsi="宋体" w:cs="宋体"/>
          <w:color w:val="auto"/>
          <w:highlight w:val="none"/>
        </w:rPr>
      </w:pPr>
    </w:p>
    <w:p w14:paraId="3F1123B2">
      <w:pPr>
        <w:rPr>
          <w:rFonts w:ascii="宋体" w:hAnsi="宋体" w:cs="宋体"/>
          <w:color w:val="auto"/>
          <w:highlight w:val="none"/>
        </w:rPr>
        <w:sectPr>
          <w:footerReference r:id="rId9" w:type="default"/>
          <w:pgSz w:w="11906" w:h="16838"/>
          <w:pgMar w:top="1440" w:right="1803" w:bottom="1440" w:left="1803" w:header="851" w:footer="992" w:gutter="0"/>
          <w:cols w:space="720" w:num="1"/>
          <w:titlePg/>
          <w:docGrid w:type="lines" w:linePitch="319" w:charSpace="0"/>
        </w:sectPr>
      </w:pPr>
    </w:p>
    <w:p w14:paraId="2D95A4B2">
      <w:pPr>
        <w:rPr>
          <w:rFonts w:ascii="宋体" w:hAnsi="宋体" w:cs="宋体"/>
          <w:color w:val="auto"/>
          <w:highlight w:val="none"/>
        </w:rPr>
      </w:pPr>
    </w:p>
    <w:p w14:paraId="5FA5C903">
      <w:pPr>
        <w:jc w:val="center"/>
        <w:rPr>
          <w:rFonts w:ascii="宋体" w:hAnsi="宋体" w:cs="宋体"/>
          <w:color w:val="auto"/>
          <w:sz w:val="52"/>
          <w:szCs w:val="52"/>
          <w:highlight w:val="none"/>
          <w:u w:val="single"/>
        </w:rPr>
      </w:pPr>
      <w:bookmarkStart w:id="175" w:name="_Toc513646738"/>
      <w:bookmarkStart w:id="176" w:name="_Toc514858710"/>
      <w:bookmarkStart w:id="177" w:name="_Toc503951046"/>
      <w:bookmarkStart w:id="178" w:name="_Toc503971829"/>
      <w:bookmarkStart w:id="179" w:name="_Toc513633967"/>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75"/>
      <w:bookmarkEnd w:id="176"/>
      <w:bookmarkEnd w:id="177"/>
      <w:bookmarkEnd w:id="178"/>
      <w:bookmarkEnd w:id="179"/>
      <w:r>
        <w:rPr>
          <w:rFonts w:hint="eastAsia" w:ascii="宋体" w:hAnsi="宋体" w:cs="宋体"/>
          <w:color w:val="auto"/>
          <w:sz w:val="52"/>
          <w:szCs w:val="52"/>
          <w:highlight w:val="none"/>
          <w:u w:val="single"/>
        </w:rPr>
        <w:t xml:space="preserve"> </w:t>
      </w:r>
    </w:p>
    <w:p w14:paraId="672347A0">
      <w:pPr>
        <w:rPr>
          <w:rFonts w:ascii="宋体" w:hAnsi="宋体" w:cs="宋体"/>
          <w:color w:val="auto"/>
          <w:sz w:val="20"/>
          <w:szCs w:val="20"/>
          <w:highlight w:val="none"/>
        </w:rPr>
      </w:pPr>
    </w:p>
    <w:p w14:paraId="1D9BA5B1">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1CEA5D90">
      <w:pPr>
        <w:rPr>
          <w:rFonts w:ascii="宋体" w:hAnsi="宋体" w:cs="宋体"/>
          <w:color w:val="auto"/>
          <w:sz w:val="28"/>
          <w:szCs w:val="28"/>
          <w:highlight w:val="none"/>
        </w:rPr>
      </w:pPr>
    </w:p>
    <w:p w14:paraId="79AFAB12">
      <w:pPr>
        <w:rPr>
          <w:rFonts w:ascii="宋体" w:hAnsi="宋体" w:cs="宋体"/>
          <w:color w:val="auto"/>
          <w:sz w:val="28"/>
          <w:szCs w:val="28"/>
          <w:highlight w:val="none"/>
        </w:rPr>
      </w:pPr>
    </w:p>
    <w:p w14:paraId="578F0D83">
      <w:pPr>
        <w:rPr>
          <w:rFonts w:ascii="宋体" w:hAnsi="宋体" w:cs="宋体"/>
          <w:color w:val="auto"/>
          <w:sz w:val="28"/>
          <w:szCs w:val="28"/>
          <w:highlight w:val="none"/>
        </w:rPr>
      </w:pPr>
    </w:p>
    <w:p w14:paraId="60B2B3DF">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06FCEADF">
      <w:pPr>
        <w:jc w:val="center"/>
        <w:rPr>
          <w:rFonts w:ascii="宋体" w:hAnsi="宋体" w:cs="宋体"/>
          <w:b/>
          <w:color w:val="auto"/>
          <w:sz w:val="32"/>
          <w:szCs w:val="32"/>
          <w:highlight w:val="none"/>
        </w:rPr>
      </w:pPr>
    </w:p>
    <w:p w14:paraId="168AD139">
      <w:pPr>
        <w:rPr>
          <w:rFonts w:ascii="宋体" w:hAnsi="宋体" w:cs="宋体"/>
          <w:color w:val="auto"/>
          <w:sz w:val="28"/>
          <w:szCs w:val="28"/>
          <w:highlight w:val="none"/>
        </w:rPr>
      </w:pPr>
    </w:p>
    <w:p w14:paraId="5FCC3E09">
      <w:pPr>
        <w:rPr>
          <w:rFonts w:ascii="宋体" w:hAnsi="宋体" w:cs="宋体"/>
          <w:color w:val="auto"/>
          <w:sz w:val="28"/>
          <w:szCs w:val="28"/>
          <w:highlight w:val="none"/>
        </w:rPr>
      </w:pPr>
    </w:p>
    <w:p w14:paraId="3B338355">
      <w:pPr>
        <w:rPr>
          <w:rFonts w:ascii="宋体" w:hAnsi="宋体" w:cs="宋体"/>
          <w:color w:val="auto"/>
          <w:sz w:val="28"/>
          <w:szCs w:val="28"/>
          <w:highlight w:val="none"/>
        </w:rPr>
      </w:pPr>
    </w:p>
    <w:p w14:paraId="7229DF94">
      <w:pPr>
        <w:rPr>
          <w:rFonts w:ascii="宋体" w:hAnsi="宋体" w:cs="宋体"/>
          <w:color w:val="auto"/>
          <w:sz w:val="28"/>
          <w:szCs w:val="28"/>
          <w:highlight w:val="none"/>
        </w:rPr>
      </w:pPr>
    </w:p>
    <w:p w14:paraId="54E3CC9E">
      <w:pPr>
        <w:rPr>
          <w:rFonts w:ascii="宋体" w:hAnsi="宋体" w:cs="宋体"/>
          <w:color w:val="auto"/>
          <w:sz w:val="28"/>
          <w:szCs w:val="28"/>
          <w:highlight w:val="none"/>
        </w:rPr>
      </w:pPr>
    </w:p>
    <w:p w14:paraId="2522CAA4">
      <w:pPr>
        <w:pStyle w:val="29"/>
        <w:rPr>
          <w:color w:val="auto"/>
          <w:highlight w:val="none"/>
        </w:rPr>
      </w:pPr>
    </w:p>
    <w:p w14:paraId="3A29BF3A">
      <w:pPr>
        <w:rPr>
          <w:color w:val="auto"/>
          <w:highlight w:val="none"/>
        </w:rPr>
      </w:pPr>
    </w:p>
    <w:p w14:paraId="58DF459C">
      <w:pPr>
        <w:pStyle w:val="29"/>
        <w:rPr>
          <w:color w:val="auto"/>
          <w:highlight w:val="none"/>
        </w:rPr>
      </w:pPr>
    </w:p>
    <w:p w14:paraId="54B52D9F">
      <w:pPr>
        <w:rPr>
          <w:color w:val="auto"/>
          <w:highlight w:val="none"/>
        </w:rPr>
      </w:pPr>
    </w:p>
    <w:p w14:paraId="65B48B56">
      <w:pPr>
        <w:pStyle w:val="29"/>
        <w:rPr>
          <w:color w:val="auto"/>
          <w:highlight w:val="none"/>
        </w:rPr>
      </w:pPr>
    </w:p>
    <w:p w14:paraId="1F78AB98">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705D5122">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lang w:val="en-US" w:eastAsia="zh-CN"/>
        </w:rPr>
        <w:t>或盖章</w:t>
      </w:r>
      <w:r>
        <w:rPr>
          <w:rFonts w:hint="eastAsia" w:ascii="宋体" w:hAnsi="宋体" w:cs="宋体"/>
          <w:color w:val="auto"/>
          <w:sz w:val="28"/>
          <w:szCs w:val="28"/>
          <w:highlight w:val="none"/>
        </w:rPr>
        <w:t>）</w:t>
      </w:r>
    </w:p>
    <w:p w14:paraId="06ACE1FD">
      <w:pPr>
        <w:jc w:val="center"/>
        <w:rPr>
          <w:rFonts w:ascii="宋体" w:hAnsi="宋体" w:cs="宋体"/>
          <w:color w:val="auto"/>
          <w:sz w:val="20"/>
          <w:szCs w:val="20"/>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0C43E9AD">
      <w:pPr>
        <w:spacing w:line="400" w:lineRule="exact"/>
        <w:rPr>
          <w:rFonts w:ascii="宋体" w:hAnsi="宋体" w:cs="宋体"/>
          <w:color w:val="auto"/>
          <w:highlight w:val="none"/>
        </w:rPr>
      </w:pPr>
    </w:p>
    <w:p w14:paraId="067B32FA">
      <w:pPr>
        <w:spacing w:line="400" w:lineRule="exact"/>
        <w:rPr>
          <w:rFonts w:ascii="宋体" w:hAnsi="宋体" w:cs="宋体"/>
          <w:color w:val="auto"/>
          <w:highlight w:val="none"/>
        </w:rPr>
      </w:pPr>
    </w:p>
    <w:p w14:paraId="7E33B25F">
      <w:pPr>
        <w:spacing w:line="400" w:lineRule="exact"/>
        <w:rPr>
          <w:rFonts w:ascii="宋体" w:hAnsi="宋体" w:cs="宋体"/>
          <w:color w:val="auto"/>
          <w:highlight w:val="none"/>
        </w:rPr>
      </w:pPr>
    </w:p>
    <w:p w14:paraId="57C1695C">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ascii="宋体" w:hAnsi="宋体" w:eastAsia="宋体" w:cs="宋体"/>
          <w:color w:val="auto"/>
          <w:sz w:val="32"/>
          <w:szCs w:val="40"/>
          <w:highlight w:val="none"/>
        </w:rPr>
      </w:pPr>
      <w:bookmarkStart w:id="180" w:name="_Toc11329273"/>
      <w:bookmarkStart w:id="181" w:name="_Toc1368"/>
      <w:bookmarkStart w:id="182" w:name="_Toc5459"/>
      <w:bookmarkStart w:id="183" w:name="_Toc28780"/>
      <w:r>
        <w:rPr>
          <w:rFonts w:hint="eastAsia" w:ascii="宋体" w:hAnsi="宋体" w:eastAsia="宋体" w:cs="宋体"/>
          <w:color w:val="auto"/>
          <w:sz w:val="32"/>
          <w:szCs w:val="40"/>
          <w:highlight w:val="none"/>
        </w:rPr>
        <w:t>目    录</w:t>
      </w:r>
      <w:bookmarkEnd w:id="161"/>
      <w:bookmarkEnd w:id="162"/>
      <w:bookmarkEnd w:id="163"/>
      <w:bookmarkEnd w:id="164"/>
      <w:bookmarkEnd w:id="165"/>
      <w:bookmarkEnd w:id="166"/>
      <w:bookmarkEnd w:id="167"/>
      <w:bookmarkEnd w:id="168"/>
      <w:bookmarkEnd w:id="180"/>
      <w:bookmarkEnd w:id="181"/>
      <w:bookmarkEnd w:id="182"/>
      <w:bookmarkEnd w:id="183"/>
    </w:p>
    <w:p w14:paraId="5455A70E">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一、</w:t>
      </w:r>
      <w:r>
        <w:rPr>
          <w:rFonts w:hint="eastAsia" w:ascii="宋体" w:hAnsi="宋体" w:cs="宋体"/>
          <w:color w:val="auto"/>
          <w:highlight w:val="none"/>
        </w:rPr>
        <w:t>竞争性响应声明书</w:t>
      </w:r>
    </w:p>
    <w:p w14:paraId="2168A007">
      <w:pPr>
        <w:numPr>
          <w:ilvl w:val="0"/>
          <w:numId w:val="0"/>
        </w:numPr>
        <w:spacing w:line="400" w:lineRule="exact"/>
        <w:rPr>
          <w:rFonts w:ascii="宋体" w:hAnsi="宋体" w:cs="宋体"/>
          <w:color w:val="auto"/>
          <w:highlight w:val="none"/>
        </w:rPr>
      </w:pPr>
      <w:r>
        <w:rPr>
          <w:rFonts w:hint="eastAsia" w:ascii="宋体" w:hAnsi="宋体" w:cs="宋体"/>
          <w:color w:val="auto"/>
          <w:highlight w:val="none"/>
          <w:lang w:val="en-US" w:eastAsia="zh-CN"/>
        </w:rPr>
        <w:t>二、</w:t>
      </w:r>
      <w:r>
        <w:rPr>
          <w:rFonts w:ascii="宋体" w:hAnsi="宋体" w:cs="宋体"/>
          <w:color w:val="auto"/>
          <w:highlight w:val="none"/>
        </w:rPr>
        <w:t>法定代表人身份证明或法定代表人授权委托书</w:t>
      </w:r>
    </w:p>
    <w:p w14:paraId="423A8068">
      <w:pPr>
        <w:spacing w:line="400" w:lineRule="exact"/>
        <w:rPr>
          <w:rFonts w:ascii="宋体" w:hAnsi="宋体" w:cs="宋体"/>
          <w:color w:val="auto"/>
          <w:highlight w:val="none"/>
        </w:rPr>
      </w:pPr>
      <w:r>
        <w:rPr>
          <w:rFonts w:hint="eastAsia" w:ascii="宋体" w:hAnsi="宋体" w:cs="宋体"/>
          <w:color w:val="auto"/>
          <w:highlight w:val="none"/>
        </w:rPr>
        <w:t>三、报价一览表</w:t>
      </w:r>
    </w:p>
    <w:p w14:paraId="28065927">
      <w:pPr>
        <w:spacing w:line="400" w:lineRule="exact"/>
        <w:rPr>
          <w:rFonts w:ascii="宋体" w:hAnsi="宋体" w:cs="宋体"/>
          <w:color w:val="auto"/>
          <w:highlight w:val="none"/>
        </w:rPr>
      </w:pPr>
      <w:r>
        <w:rPr>
          <w:rFonts w:hint="eastAsia" w:ascii="宋体" w:hAnsi="宋体" w:cs="宋体"/>
          <w:color w:val="auto"/>
          <w:highlight w:val="none"/>
        </w:rPr>
        <w:t>四、资格审查资料</w:t>
      </w:r>
    </w:p>
    <w:p w14:paraId="2D343F74">
      <w:pPr>
        <w:spacing w:line="400" w:lineRule="exact"/>
        <w:rPr>
          <w:rFonts w:hint="eastAsia"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14:paraId="0D070EEC">
      <w:pPr>
        <w:spacing w:line="400" w:lineRule="exact"/>
        <w:rPr>
          <w:rFonts w:ascii="宋体" w:hAnsi="宋体" w:cs="宋体"/>
          <w:color w:val="auto"/>
          <w:szCs w:val="21"/>
          <w:highlight w:val="none"/>
        </w:rPr>
      </w:pPr>
      <w:r>
        <w:rPr>
          <w:rFonts w:hint="eastAsia" w:ascii="宋体" w:hAnsi="宋体" w:cs="宋体"/>
          <w:color w:val="auto"/>
          <w:szCs w:val="21"/>
          <w:highlight w:val="none"/>
        </w:rPr>
        <w:t>六、报价人其他资料</w:t>
      </w:r>
    </w:p>
    <w:p w14:paraId="02984B32">
      <w:pPr>
        <w:spacing w:line="400" w:lineRule="exact"/>
        <w:rPr>
          <w:rFonts w:ascii="宋体" w:hAnsi="宋体" w:cs="宋体"/>
          <w:color w:val="auto"/>
          <w:highlight w:val="none"/>
        </w:rPr>
      </w:pPr>
    </w:p>
    <w:p w14:paraId="3C8B695F">
      <w:pPr>
        <w:spacing w:line="400" w:lineRule="exact"/>
        <w:rPr>
          <w:rFonts w:ascii="宋体" w:hAnsi="宋体" w:cs="宋体"/>
          <w:color w:val="auto"/>
          <w:highlight w:val="none"/>
        </w:rPr>
      </w:pPr>
    </w:p>
    <w:p w14:paraId="3FC4753D">
      <w:pPr>
        <w:spacing w:line="400" w:lineRule="exact"/>
        <w:rPr>
          <w:rFonts w:ascii="宋体" w:hAnsi="宋体" w:cs="宋体"/>
          <w:color w:val="auto"/>
          <w:highlight w:val="none"/>
        </w:rPr>
      </w:pPr>
    </w:p>
    <w:p w14:paraId="7B0437A2">
      <w:pPr>
        <w:spacing w:line="400" w:lineRule="exact"/>
        <w:rPr>
          <w:rFonts w:ascii="宋体" w:hAnsi="宋体" w:cs="宋体"/>
          <w:color w:val="auto"/>
          <w:highlight w:val="none"/>
        </w:rPr>
      </w:pPr>
    </w:p>
    <w:p w14:paraId="2D323367">
      <w:pPr>
        <w:spacing w:line="400" w:lineRule="exact"/>
        <w:rPr>
          <w:rFonts w:ascii="宋体" w:hAnsi="宋体" w:cs="宋体"/>
          <w:color w:val="auto"/>
          <w:highlight w:val="none"/>
        </w:rPr>
      </w:pPr>
    </w:p>
    <w:p w14:paraId="137E6000">
      <w:pPr>
        <w:spacing w:line="400" w:lineRule="exact"/>
        <w:rPr>
          <w:rFonts w:ascii="宋体" w:hAnsi="宋体" w:cs="宋体"/>
          <w:color w:val="auto"/>
          <w:highlight w:val="none"/>
        </w:rPr>
      </w:pPr>
    </w:p>
    <w:p w14:paraId="39D6D641">
      <w:pPr>
        <w:spacing w:line="400" w:lineRule="exact"/>
        <w:rPr>
          <w:rFonts w:ascii="宋体" w:hAnsi="宋体" w:cs="宋体"/>
          <w:color w:val="auto"/>
          <w:highlight w:val="none"/>
        </w:rPr>
      </w:pPr>
    </w:p>
    <w:p w14:paraId="2DF007ED">
      <w:pPr>
        <w:spacing w:line="400" w:lineRule="exact"/>
        <w:rPr>
          <w:rFonts w:ascii="宋体" w:hAnsi="宋体" w:cs="宋体"/>
          <w:color w:val="auto"/>
          <w:highlight w:val="none"/>
        </w:rPr>
      </w:pPr>
    </w:p>
    <w:p w14:paraId="30141B5E">
      <w:pPr>
        <w:spacing w:line="400" w:lineRule="exact"/>
        <w:rPr>
          <w:rFonts w:ascii="宋体" w:hAnsi="宋体" w:cs="宋体"/>
          <w:color w:val="auto"/>
          <w:highlight w:val="none"/>
        </w:rPr>
      </w:pPr>
    </w:p>
    <w:p w14:paraId="51108746">
      <w:pPr>
        <w:spacing w:line="400" w:lineRule="exact"/>
        <w:rPr>
          <w:rFonts w:ascii="宋体" w:hAnsi="宋体" w:cs="宋体"/>
          <w:color w:val="auto"/>
          <w:highlight w:val="none"/>
        </w:rPr>
      </w:pPr>
    </w:p>
    <w:p w14:paraId="6F7CBB60">
      <w:pPr>
        <w:spacing w:line="400" w:lineRule="exact"/>
        <w:rPr>
          <w:rFonts w:ascii="宋体" w:hAnsi="宋体" w:cs="宋体"/>
          <w:color w:val="auto"/>
          <w:highlight w:val="none"/>
        </w:rPr>
      </w:pPr>
    </w:p>
    <w:p w14:paraId="228DCE8C">
      <w:pPr>
        <w:spacing w:line="400" w:lineRule="exact"/>
        <w:rPr>
          <w:rFonts w:ascii="宋体" w:hAnsi="宋体" w:cs="宋体"/>
          <w:color w:val="auto"/>
          <w:highlight w:val="none"/>
        </w:rPr>
      </w:pPr>
    </w:p>
    <w:p w14:paraId="50456B2F">
      <w:pPr>
        <w:spacing w:line="400" w:lineRule="exact"/>
        <w:rPr>
          <w:rFonts w:ascii="宋体" w:hAnsi="宋体" w:cs="宋体"/>
          <w:color w:val="auto"/>
          <w:highlight w:val="none"/>
        </w:rPr>
      </w:pPr>
    </w:p>
    <w:p w14:paraId="2565421D">
      <w:pPr>
        <w:spacing w:line="400" w:lineRule="exact"/>
        <w:rPr>
          <w:rFonts w:ascii="宋体" w:hAnsi="宋体" w:cs="宋体"/>
          <w:color w:val="auto"/>
          <w:highlight w:val="none"/>
        </w:rPr>
      </w:pPr>
    </w:p>
    <w:p w14:paraId="6EA57F31">
      <w:pPr>
        <w:spacing w:line="400" w:lineRule="exact"/>
        <w:rPr>
          <w:rFonts w:ascii="宋体" w:hAnsi="宋体" w:cs="宋体"/>
          <w:color w:val="auto"/>
          <w:highlight w:val="none"/>
        </w:rPr>
      </w:pPr>
    </w:p>
    <w:p w14:paraId="0AABB339">
      <w:pPr>
        <w:spacing w:line="400" w:lineRule="exact"/>
        <w:rPr>
          <w:rFonts w:ascii="宋体" w:hAnsi="宋体" w:cs="宋体"/>
          <w:color w:val="auto"/>
          <w:highlight w:val="none"/>
        </w:rPr>
      </w:pPr>
    </w:p>
    <w:p w14:paraId="0C9EFC24">
      <w:pPr>
        <w:spacing w:line="400" w:lineRule="exact"/>
        <w:rPr>
          <w:rFonts w:ascii="宋体" w:hAnsi="宋体" w:cs="宋体"/>
          <w:color w:val="auto"/>
          <w:highlight w:val="none"/>
        </w:rPr>
      </w:pPr>
    </w:p>
    <w:p w14:paraId="64E7D073">
      <w:pPr>
        <w:spacing w:line="400" w:lineRule="exact"/>
        <w:rPr>
          <w:rFonts w:ascii="宋体" w:hAnsi="宋体" w:cs="宋体"/>
          <w:color w:val="auto"/>
          <w:highlight w:val="none"/>
        </w:rPr>
      </w:pPr>
    </w:p>
    <w:p w14:paraId="171AFA52">
      <w:pPr>
        <w:spacing w:line="400" w:lineRule="exact"/>
        <w:rPr>
          <w:rFonts w:ascii="宋体" w:hAnsi="宋体" w:cs="宋体"/>
          <w:color w:val="auto"/>
          <w:highlight w:val="none"/>
        </w:rPr>
      </w:pPr>
    </w:p>
    <w:p w14:paraId="1642DA03">
      <w:pPr>
        <w:spacing w:line="400" w:lineRule="exact"/>
        <w:rPr>
          <w:rFonts w:ascii="宋体" w:hAnsi="宋体" w:cs="宋体"/>
          <w:color w:val="auto"/>
          <w:highlight w:val="none"/>
        </w:rPr>
      </w:pPr>
    </w:p>
    <w:p w14:paraId="748E14F6">
      <w:pPr>
        <w:spacing w:line="400" w:lineRule="exact"/>
        <w:rPr>
          <w:rFonts w:ascii="宋体" w:hAnsi="宋体" w:cs="宋体"/>
          <w:color w:val="auto"/>
          <w:highlight w:val="none"/>
        </w:rPr>
      </w:pPr>
      <w:r>
        <w:rPr>
          <w:rFonts w:ascii="宋体" w:hAnsi="宋体" w:cs="宋体"/>
          <w:color w:val="auto"/>
          <w:highlight w:val="none"/>
        </w:rPr>
        <w:br w:type="page"/>
      </w:r>
    </w:p>
    <w:p w14:paraId="229ACF8F">
      <w:pPr>
        <w:pStyle w:val="3"/>
        <w:numPr>
          <w:ilvl w:val="0"/>
          <w:numId w:val="7"/>
        </w:numPr>
        <w:spacing w:before="0" w:after="0" w:line="360" w:lineRule="auto"/>
        <w:jc w:val="center"/>
        <w:rPr>
          <w:rFonts w:ascii="宋体" w:hAnsi="宋体" w:eastAsia="宋体" w:cs="宋体"/>
          <w:color w:val="auto"/>
          <w:sz w:val="28"/>
          <w:highlight w:val="none"/>
        </w:rPr>
      </w:pPr>
      <w:bookmarkStart w:id="184" w:name="_Toc15863"/>
      <w:bookmarkStart w:id="185" w:name="_Toc13218"/>
      <w:bookmarkStart w:id="186" w:name="_Toc29547"/>
      <w:bookmarkStart w:id="187" w:name="_Toc25874"/>
      <w:bookmarkStart w:id="188" w:name="_Toc513633969"/>
      <w:bookmarkStart w:id="189" w:name="_Toc503951048"/>
      <w:bookmarkStart w:id="190" w:name="_Toc447827053"/>
      <w:r>
        <w:rPr>
          <w:rFonts w:hint="eastAsia" w:ascii="宋体" w:hAnsi="宋体" w:eastAsia="宋体" w:cs="宋体"/>
          <w:color w:val="auto"/>
          <w:sz w:val="28"/>
          <w:highlight w:val="none"/>
        </w:rPr>
        <w:t>竞争比选响应声明书</w:t>
      </w:r>
      <w:bookmarkEnd w:id="184"/>
      <w:bookmarkEnd w:id="185"/>
      <w:bookmarkEnd w:id="186"/>
      <w:bookmarkEnd w:id="187"/>
    </w:p>
    <w:p w14:paraId="4E39DD57">
      <w:pPr>
        <w:rPr>
          <w:color w:val="auto"/>
          <w:highlight w:val="none"/>
        </w:rPr>
      </w:pPr>
    </w:p>
    <w:p w14:paraId="5F9BACF5">
      <w:pPr>
        <w:tabs>
          <w:tab w:val="left" w:pos="900"/>
        </w:tabs>
        <w:spacing w:line="360" w:lineRule="auto"/>
        <w:rPr>
          <w:rFonts w:ascii="Arial" w:hAnsi="Arial" w:cs="Arial"/>
          <w:b/>
          <w:bCs/>
          <w:color w:val="auto"/>
          <w:sz w:val="24"/>
          <w:highlight w:val="none"/>
          <w:u w:val="single"/>
        </w:rPr>
      </w:pP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5DDC8CD5">
      <w:pPr>
        <w:keepNext w:val="0"/>
        <w:keepLines w:val="0"/>
        <w:pageBreakBefore w:val="0"/>
        <w:widowControl w:val="0"/>
        <w:kinsoku/>
        <w:wordWrap w:val="0"/>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我方收到</w:t>
      </w:r>
      <w:r>
        <w:rPr>
          <w:rFonts w:hint="eastAsia" w:asciiTheme="minorEastAsia" w:hAnsiTheme="minorEastAsia" w:eastAsiaTheme="minorEastAsia" w:cstheme="minorEastAsia"/>
          <w:b/>
          <w:bCs/>
          <w:color w:val="auto"/>
          <w:sz w:val="24"/>
          <w:highlight w:val="none"/>
          <w:u w:val="single"/>
          <w:lang w:val="en-US" w:eastAsia="zh-CN"/>
        </w:rPr>
        <w:t xml:space="preserve">             （项目名称）</w:t>
      </w:r>
      <w:r>
        <w:rPr>
          <w:rFonts w:hint="eastAsia" w:asciiTheme="minorEastAsia" w:hAnsiTheme="minorEastAsia" w:eastAsiaTheme="minorEastAsia" w:cstheme="minorEastAsia"/>
          <w:color w:val="auto"/>
          <w:sz w:val="24"/>
          <w:highlight w:val="none"/>
        </w:rPr>
        <w:t>的竞争性比选文件，经详细研究，决定参加该项目的</w:t>
      </w:r>
      <w:r>
        <w:rPr>
          <w:rFonts w:hint="eastAsia" w:asciiTheme="minorEastAsia" w:hAnsiTheme="minorEastAsia" w:eastAsiaTheme="minorEastAsia" w:cstheme="minorEastAsia"/>
          <w:color w:val="auto"/>
          <w:sz w:val="24"/>
          <w:highlight w:val="none"/>
          <w:lang w:eastAsia="zh-CN"/>
        </w:rPr>
        <w:t>比选</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w:t>
      </w:r>
      <w:r>
        <w:rPr>
          <w:rFonts w:hint="eastAsia" w:asciiTheme="minorEastAsia" w:hAnsiTheme="minorEastAsia" w:eastAsiaTheme="minorEastAsia" w:cstheme="minorEastAsia"/>
          <w:b/>
          <w:bCs/>
          <w:color w:val="auto"/>
          <w:sz w:val="24"/>
          <w:highlight w:val="none"/>
          <w:u w:val="single"/>
        </w:rPr>
        <w:t xml:space="preserve">          （全名、职务）</w:t>
      </w:r>
      <w:r>
        <w:rPr>
          <w:rFonts w:hint="eastAsia" w:asciiTheme="minorEastAsia" w:hAnsiTheme="minorEastAsia" w:eastAsiaTheme="minorEastAsia" w:cstheme="minorEastAsia"/>
          <w:color w:val="auto"/>
          <w:sz w:val="24"/>
          <w:highlight w:val="none"/>
        </w:rPr>
        <w:t>经正式授权并代表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b/>
          <w:bCs/>
          <w:color w:val="auto"/>
          <w:sz w:val="24"/>
          <w:highlight w:val="none"/>
          <w:u w:val="single"/>
          <w:lang w:eastAsia="zh-CN"/>
        </w:rPr>
        <w:t>竞争性比选</w:t>
      </w:r>
      <w:r>
        <w:rPr>
          <w:rFonts w:hint="eastAsia" w:asciiTheme="minorEastAsia" w:hAnsiTheme="minorEastAsia" w:eastAsiaTheme="minorEastAsia" w:cstheme="minorEastAsia"/>
          <w:b/>
          <w:bCs/>
          <w:color w:val="auto"/>
          <w:sz w:val="24"/>
          <w:highlight w:val="none"/>
          <w:u w:val="single"/>
        </w:rPr>
        <w:t xml:space="preserve">响应单位名称） </w:t>
      </w:r>
      <w:r>
        <w:rPr>
          <w:rFonts w:hint="eastAsia" w:asciiTheme="minorEastAsia" w:hAnsiTheme="minorEastAsia" w:eastAsiaTheme="minorEastAsia" w:cstheme="minorEastAsia"/>
          <w:color w:val="auto"/>
          <w:sz w:val="24"/>
          <w:highlight w:val="none"/>
        </w:rPr>
        <w:t>提交报价文件。</w:t>
      </w:r>
    </w:p>
    <w:p w14:paraId="102E1392">
      <w:pPr>
        <w:keepNext w:val="0"/>
        <w:keepLines w:val="0"/>
        <w:pageBreakBefore w:val="0"/>
        <w:widowControl w:val="0"/>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我方愿以：</w:t>
      </w:r>
      <w:r>
        <w:rPr>
          <w:rFonts w:hint="eastAsia" w:asciiTheme="minorEastAsia" w:hAnsiTheme="minorEastAsia" w:eastAsiaTheme="minorEastAsia" w:cstheme="minorEastAsia"/>
          <w:b/>
          <w:bCs/>
          <w:color w:val="auto"/>
          <w:sz w:val="24"/>
          <w:highlight w:val="none"/>
          <w:u w:val="single"/>
          <w:lang w:val="en-US" w:eastAsia="zh-CN"/>
        </w:rPr>
        <w:t>￥</w:t>
      </w:r>
      <w:r>
        <w:rPr>
          <w:rFonts w:hint="eastAsia" w:asciiTheme="minorEastAsia" w:hAnsiTheme="minorEastAsia" w:eastAsiaTheme="minorEastAsia" w:cstheme="minorEastAsia"/>
          <w:b/>
          <w:bCs/>
          <w:color w:val="auto"/>
          <w:sz w:val="24"/>
          <w:highlight w:val="none"/>
          <w:u w:val="single"/>
        </w:rPr>
        <w:t xml:space="preserve">           （大写：</w:t>
      </w:r>
      <w:r>
        <w:rPr>
          <w:rFonts w:hint="eastAsia" w:asciiTheme="minorEastAsia" w:hAnsiTheme="minorEastAsia" w:eastAsiaTheme="minorEastAsia" w:cstheme="minorEastAsia"/>
          <w:b/>
          <w:bCs/>
          <w:color w:val="auto"/>
          <w:sz w:val="24"/>
          <w:highlight w:val="none"/>
          <w:u w:val="single"/>
          <w:lang w:val="en-US" w:eastAsia="zh-CN"/>
        </w:rPr>
        <w:t xml:space="preserve">    </w:t>
      </w:r>
      <w:r>
        <w:rPr>
          <w:rFonts w:hint="eastAsia" w:asciiTheme="minorEastAsia" w:hAnsiTheme="minorEastAsia" w:eastAsiaTheme="minorEastAsia" w:cstheme="minorEastAsia"/>
          <w:b/>
          <w:bCs/>
          <w:color w:val="auto"/>
          <w:sz w:val="24"/>
          <w:highlight w:val="none"/>
          <w:u w:val="single"/>
        </w:rPr>
        <w:t>）</w:t>
      </w:r>
      <w:r>
        <w:rPr>
          <w:rFonts w:hint="eastAsia" w:asciiTheme="minorEastAsia" w:hAnsiTheme="minorEastAsia" w:eastAsiaTheme="minorEastAsia" w:cstheme="minorEastAsia"/>
          <w:color w:val="auto"/>
          <w:sz w:val="24"/>
          <w:highlight w:val="none"/>
          <w:u w:val="single"/>
        </w:rPr>
        <w:t>的报价按照</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文件的要求，提供本次</w:t>
      </w:r>
      <w:r>
        <w:rPr>
          <w:rFonts w:hint="eastAsia" w:asciiTheme="minorEastAsia" w:hAnsiTheme="minorEastAsia" w:eastAsiaTheme="minorEastAsia" w:cstheme="minorEastAsia"/>
          <w:color w:val="auto"/>
          <w:sz w:val="24"/>
          <w:highlight w:val="none"/>
          <w:u w:val="single"/>
          <w:lang w:eastAsia="zh-CN"/>
        </w:rPr>
        <w:t>竞争性比选</w:t>
      </w:r>
      <w:r>
        <w:rPr>
          <w:rFonts w:hint="eastAsia" w:asciiTheme="minorEastAsia" w:hAnsiTheme="minorEastAsia" w:eastAsiaTheme="minorEastAsia" w:cstheme="minorEastAsia"/>
          <w:color w:val="auto"/>
          <w:sz w:val="24"/>
          <w:highlight w:val="none"/>
          <w:u w:val="single"/>
        </w:rPr>
        <w:t>文件要求的</w:t>
      </w:r>
      <w:r>
        <w:rPr>
          <w:rFonts w:hint="eastAsia" w:asciiTheme="minorEastAsia" w:hAnsiTheme="minorEastAsia" w:eastAsiaTheme="minorEastAsia" w:cstheme="minorEastAsia"/>
          <w:color w:val="auto"/>
          <w:sz w:val="24"/>
          <w:highlight w:val="none"/>
          <w:u w:val="single"/>
          <w:lang w:val="en-US" w:eastAsia="zh-CN"/>
        </w:rPr>
        <w:t>服务内容。服务地点达到竞争性比选文件要求，服务期限达到竞争性比选文件要求，服务要求达到竞争性比选文件要求</w:t>
      </w:r>
      <w:r>
        <w:rPr>
          <w:rFonts w:hint="eastAsia" w:asciiTheme="minorEastAsia" w:hAnsiTheme="minorEastAsia" w:eastAsiaTheme="minorEastAsia" w:cstheme="minorEastAsia"/>
          <w:color w:val="auto"/>
          <w:sz w:val="24"/>
          <w:highlight w:val="none"/>
          <w:u w:val="single"/>
        </w:rPr>
        <w:t>。</w:t>
      </w:r>
    </w:p>
    <w:p w14:paraId="1BC23270">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w:t>
      </w:r>
      <w:r>
        <w:rPr>
          <w:rFonts w:hint="eastAsia" w:asciiTheme="minorEastAsia" w:hAnsiTheme="minorEastAsia" w:eastAsiaTheme="minorEastAsia" w:cstheme="minorEastAsia"/>
          <w:color w:val="auto"/>
          <w:sz w:val="24"/>
          <w:highlight w:val="none"/>
          <w:lang w:eastAsia="zh-CN"/>
        </w:rPr>
        <w:t>签名</w:t>
      </w:r>
      <w:r>
        <w:rPr>
          <w:rFonts w:hint="eastAsia" w:asciiTheme="minorEastAsia" w:hAnsiTheme="minorEastAsia" w:eastAsiaTheme="minorEastAsia" w:cstheme="minorEastAsia"/>
          <w:color w:val="auto"/>
          <w:sz w:val="24"/>
          <w:highlight w:val="none"/>
        </w:rPr>
        <w:t>代表宣布同意如下：</w:t>
      </w:r>
    </w:p>
    <w:p w14:paraId="77D82028">
      <w:pPr>
        <w:keepNext w:val="0"/>
        <w:keepLines w:val="0"/>
        <w:pageBreakBefore w:val="0"/>
        <w:widowControl w:val="0"/>
        <w:tabs>
          <w:tab w:val="left" w:pos="540"/>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响应单位将按</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文件规定履行合同责任和义务。</w:t>
      </w:r>
    </w:p>
    <w:p w14:paraId="7032A081">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响应单位已详细审查全部</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文件，包括修改文件（如有的话）以及全部参考资料和相关附件。我们完全理解并同意放弃对这方面有不明及误解的权利。</w:t>
      </w:r>
    </w:p>
    <w:p w14:paraId="28324FFE">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响应单位同意提供采购人可能要求的与其</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响应文件有关的一切数据或资料，完全理解采购人不一定要接受最低报价的</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响应或收到的任何报价。</w:t>
      </w:r>
    </w:p>
    <w:p w14:paraId="7C6F98AF">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outlineLvl w:val="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w:t>
      </w: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响应有关的一切正式往来通讯请寄：</w:t>
      </w:r>
    </w:p>
    <w:p w14:paraId="50693A92">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none"/>
          <w:lang w:val="en-US" w:eastAsia="zh-CN"/>
        </w:rPr>
        <w:t xml:space="preserve">      </w:t>
      </w:r>
      <w:r>
        <w:rPr>
          <w:rFonts w:hint="eastAsia" w:asciiTheme="minorEastAsia" w:hAnsiTheme="minorEastAsia" w:eastAsiaTheme="minorEastAsia" w:cstheme="minorEastAsia"/>
          <w:color w:val="auto"/>
          <w:sz w:val="24"/>
          <w:highlight w:val="none"/>
        </w:rPr>
        <w:t xml:space="preserve">   邮编：</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 xml:space="preserve">  </w:t>
      </w:r>
    </w:p>
    <w:p w14:paraId="05260213">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传真：</w:t>
      </w:r>
      <w:r>
        <w:rPr>
          <w:rFonts w:hint="eastAsia" w:asciiTheme="minorEastAsia" w:hAnsiTheme="minorEastAsia" w:eastAsiaTheme="minorEastAsia" w:cstheme="minorEastAsia"/>
          <w:color w:val="auto"/>
          <w:sz w:val="24"/>
          <w:highlight w:val="none"/>
          <w:u w:val="single"/>
        </w:rPr>
        <w:t xml:space="preserve">            </w:t>
      </w:r>
    </w:p>
    <w:p w14:paraId="78019ED7">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w:t>
      </w:r>
      <w:r>
        <w:rPr>
          <w:rFonts w:hint="eastAsia" w:asciiTheme="minorEastAsia" w:hAnsiTheme="minorEastAsia" w:eastAsiaTheme="minorEastAsia" w:cstheme="minorEastAsia"/>
          <w:color w:val="auto"/>
          <w:sz w:val="24"/>
          <w:highlight w:val="none"/>
          <w:lang w:eastAsia="zh-CN"/>
        </w:rPr>
        <w:t>签名或盖章</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48F1C073">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响应单位法定代表人或授权代表人职务：</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0C739944">
      <w:pPr>
        <w:keepNext w:val="0"/>
        <w:keepLines w:val="0"/>
        <w:pageBreakBefore w:val="0"/>
        <w:widowControl w:val="0"/>
        <w:tabs>
          <w:tab w:val="left" w:pos="900"/>
        </w:tabs>
        <w:kinsoku/>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竞争性比选</w:t>
      </w:r>
      <w:r>
        <w:rPr>
          <w:rFonts w:hint="eastAsia" w:asciiTheme="minorEastAsia" w:hAnsiTheme="minorEastAsia" w:eastAsiaTheme="minorEastAsia" w:cstheme="minorEastAsia"/>
          <w:color w:val="auto"/>
          <w:sz w:val="24"/>
          <w:highlight w:val="none"/>
        </w:rPr>
        <w:t>响应单位名称（加盖</w:t>
      </w:r>
      <w:r>
        <w:rPr>
          <w:rFonts w:hint="eastAsia" w:asciiTheme="minorEastAsia" w:hAnsiTheme="minorEastAsia" w:eastAsiaTheme="minorEastAsia" w:cstheme="minorEastAsia"/>
          <w:color w:val="auto"/>
          <w:sz w:val="24"/>
          <w:highlight w:val="none"/>
          <w:lang w:val="en-US" w:eastAsia="zh-CN"/>
        </w:rPr>
        <w:t>单位</w:t>
      </w:r>
      <w:r>
        <w:rPr>
          <w:rFonts w:hint="eastAsia" w:asciiTheme="minorEastAsia" w:hAnsiTheme="minorEastAsia" w:eastAsiaTheme="minorEastAsia" w:cstheme="minorEastAsia"/>
          <w:color w:val="auto"/>
          <w:sz w:val="24"/>
          <w:highlight w:val="none"/>
        </w:rPr>
        <w:t>公章）：</w:t>
      </w:r>
      <w:r>
        <w:rPr>
          <w:rFonts w:hint="eastAsia" w:asciiTheme="minorEastAsia" w:hAnsiTheme="minorEastAsia" w:eastAsiaTheme="minorEastAsia" w:cstheme="minorEastAsia"/>
          <w:color w:val="auto"/>
          <w:sz w:val="24"/>
          <w:highlight w:val="none"/>
          <w:u w:val="single"/>
        </w:rPr>
        <w:t xml:space="preserve">                       </w:t>
      </w:r>
    </w:p>
    <w:p w14:paraId="264B1ECE">
      <w:pPr>
        <w:keepNext w:val="0"/>
        <w:keepLines w:val="0"/>
        <w:pageBreakBefore w:val="0"/>
        <w:widowControl w:val="0"/>
        <w:tabs>
          <w:tab w:val="left" w:pos="900"/>
        </w:tabs>
        <w:kinsoku/>
        <w:wordWrap/>
        <w:overflowPunct/>
        <w:topLinePunct w:val="0"/>
        <w:autoSpaceDE/>
        <w:autoSpaceDN/>
        <w:bidi w:val="0"/>
        <w:adjustRightInd/>
        <w:snapToGrid/>
        <w:spacing w:line="400" w:lineRule="exact"/>
        <w:ind w:firstLine="480" w:firstLineChars="200"/>
        <w:textAlignment w:val="auto"/>
        <w:rPr>
          <w:color w:val="auto"/>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bookmarkStart w:id="191" w:name="_Toc27815"/>
      <w:bookmarkStart w:id="192" w:name="_Toc491883232"/>
    </w:p>
    <w:p w14:paraId="7C2AC9E4">
      <w:pPr>
        <w:pStyle w:val="42"/>
        <w:rPr>
          <w:color w:val="auto"/>
          <w:highlight w:val="none"/>
        </w:rPr>
      </w:pPr>
    </w:p>
    <w:p w14:paraId="3EA3272C">
      <w:pPr>
        <w:pStyle w:val="42"/>
        <w:rPr>
          <w:color w:val="auto"/>
          <w:highlight w:val="none"/>
        </w:rPr>
      </w:pPr>
    </w:p>
    <w:p w14:paraId="19DA0E0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8821D1C">
      <w:pPr>
        <w:pStyle w:val="3"/>
        <w:numPr>
          <w:ilvl w:val="0"/>
          <w:numId w:val="7"/>
        </w:numPr>
        <w:spacing w:before="0" w:after="0" w:line="360" w:lineRule="auto"/>
        <w:jc w:val="center"/>
        <w:rPr>
          <w:rFonts w:hint="eastAsia" w:ascii="宋体" w:hAnsi="宋体" w:eastAsia="宋体" w:cs="宋体"/>
          <w:color w:val="auto"/>
          <w:sz w:val="28"/>
          <w:highlight w:val="none"/>
        </w:rPr>
      </w:pPr>
      <w:bookmarkStart w:id="193" w:name="_Toc31442"/>
      <w:r>
        <w:rPr>
          <w:rFonts w:hint="eastAsia" w:ascii="宋体" w:hAnsi="宋体" w:eastAsia="宋体" w:cs="宋体"/>
          <w:color w:val="auto"/>
          <w:sz w:val="28"/>
          <w:highlight w:val="none"/>
        </w:rPr>
        <w:t>法定代表人身份证明或法定代表人授权委托书</w:t>
      </w:r>
      <w:bookmarkEnd w:id="191"/>
      <w:bookmarkEnd w:id="193"/>
    </w:p>
    <w:bookmarkEnd w:id="192"/>
    <w:p w14:paraId="519961CD">
      <w:pPr>
        <w:pStyle w:val="3"/>
        <w:spacing w:line="480" w:lineRule="auto"/>
        <w:jc w:val="center"/>
        <w:outlineLvl w:val="2"/>
        <w:rPr>
          <w:rFonts w:ascii="宋体" w:hAnsi="宋体" w:eastAsia="宋体" w:cs="宋体"/>
          <w:color w:val="auto"/>
          <w:sz w:val="24"/>
          <w:szCs w:val="24"/>
          <w:highlight w:val="none"/>
        </w:rPr>
      </w:pPr>
      <w:bookmarkStart w:id="194" w:name="_Toc20985"/>
      <w:bookmarkStart w:id="195" w:name="_Toc14141"/>
      <w:r>
        <w:rPr>
          <w:rFonts w:hint="eastAsia" w:ascii="宋体" w:hAnsi="宋体" w:eastAsia="宋体" w:cs="宋体"/>
          <w:color w:val="auto"/>
          <w:sz w:val="24"/>
          <w:szCs w:val="24"/>
          <w:highlight w:val="none"/>
        </w:rPr>
        <w:t>（一）法定代表人身份证明</w:t>
      </w:r>
      <w:bookmarkEnd w:id="194"/>
      <w:bookmarkEnd w:id="195"/>
    </w:p>
    <w:p w14:paraId="635EDC86">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4EF233C1">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196" w:name="_Toc352691662"/>
      <w:bookmarkStart w:id="197" w:name="_Toc27897"/>
      <w:bookmarkStart w:id="198" w:name="_Toc369531698"/>
      <w:r>
        <w:rPr>
          <w:rFonts w:ascii="宋体" w:hAnsi="宋体"/>
          <w:color w:val="auto"/>
          <w:highlight w:val="none"/>
          <w:u w:val="single"/>
        </w:rPr>
        <w:t xml:space="preserve">        </w:t>
      </w:r>
      <w:r>
        <w:rPr>
          <w:rFonts w:ascii="宋体" w:hAnsi="宋体"/>
          <w:color w:val="auto"/>
          <w:highlight w:val="none"/>
        </w:rPr>
        <w:t>年</w:t>
      </w:r>
      <w:bookmarkEnd w:id="196"/>
      <w:bookmarkEnd w:id="197"/>
      <w:bookmarkEnd w:id="198"/>
      <w:r>
        <w:rPr>
          <w:rFonts w:ascii="宋体" w:hAnsi="宋体"/>
          <w:color w:val="auto"/>
          <w:highlight w:val="none"/>
        </w:rPr>
        <w:t>龄</w:t>
      </w:r>
      <w:bookmarkStart w:id="199" w:name="_Toc152042578"/>
      <w:bookmarkStart w:id="200" w:name="_Toc152045789"/>
      <w:bookmarkStart w:id="201" w:name="_Toc384308377"/>
      <w:bookmarkStart w:id="202" w:name="_Toc15573"/>
      <w:bookmarkStart w:id="203" w:name="_Toc247514248"/>
      <w:bookmarkStart w:id="204" w:name="_Toc369531699"/>
      <w:bookmarkStart w:id="205" w:name="_Toc361508754"/>
      <w:bookmarkStart w:id="206" w:name="_Toc247527829"/>
      <w:bookmarkStart w:id="207" w:name="_Toc352691663"/>
      <w:bookmarkStart w:id="208" w:name="_Toc144974858"/>
      <w:bookmarkStart w:id="209" w:name="_Toc300835211"/>
      <w:r>
        <w:rPr>
          <w:rFonts w:ascii="宋体" w:hAnsi="宋体"/>
          <w:color w:val="auto"/>
          <w:highlight w:val="none"/>
        </w:rPr>
        <w:t>：</w:t>
      </w:r>
      <w:bookmarkEnd w:id="199"/>
      <w:bookmarkEnd w:id="200"/>
      <w:bookmarkEnd w:id="201"/>
      <w:bookmarkEnd w:id="202"/>
      <w:bookmarkEnd w:id="203"/>
      <w:bookmarkEnd w:id="204"/>
      <w:bookmarkEnd w:id="205"/>
      <w:bookmarkEnd w:id="206"/>
      <w:bookmarkEnd w:id="207"/>
      <w:bookmarkEnd w:id="208"/>
      <w:bookmarkEnd w:id="209"/>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406ADA0D">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4F29DA88">
      <w:pPr>
        <w:spacing w:line="480" w:lineRule="auto"/>
        <w:ind w:firstLine="420" w:firstLineChars="200"/>
        <w:rPr>
          <w:rFonts w:ascii="宋体" w:hAnsi="宋体"/>
          <w:color w:val="auto"/>
          <w:highlight w:val="none"/>
        </w:rPr>
      </w:pPr>
      <w:r>
        <w:rPr>
          <w:rFonts w:ascii="宋体" w:hAnsi="宋体"/>
          <w:color w:val="auto"/>
          <w:highlight w:val="none"/>
        </w:rPr>
        <w:t>特此证明。</w:t>
      </w:r>
    </w:p>
    <w:p w14:paraId="1F8B8B93">
      <w:pPr>
        <w:spacing w:line="480" w:lineRule="auto"/>
        <w:rPr>
          <w:rFonts w:ascii="宋体" w:hAnsi="宋体"/>
          <w:color w:val="auto"/>
          <w:highlight w:val="none"/>
        </w:rPr>
      </w:pPr>
    </w:p>
    <w:p w14:paraId="7202D82D">
      <w:pPr>
        <w:spacing w:line="480" w:lineRule="auto"/>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-126365</wp:posOffset>
                </wp:positionH>
                <wp:positionV relativeFrom="paragraph">
                  <wp:posOffset>-216535</wp:posOffset>
                </wp:positionV>
                <wp:extent cx="6045835" cy="1850390"/>
                <wp:effectExtent l="4445" t="4445" r="7620" b="1206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AC9790">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45A8DE95">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3360;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14:paraId="20AC9790">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45A8DE95">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14:paraId="45C2B073">
      <w:pPr>
        <w:spacing w:line="480" w:lineRule="auto"/>
        <w:rPr>
          <w:rFonts w:ascii="宋体" w:hAnsi="宋体"/>
          <w:color w:val="auto"/>
          <w:highlight w:val="none"/>
        </w:rPr>
      </w:pPr>
    </w:p>
    <w:p w14:paraId="64A9F356">
      <w:pPr>
        <w:spacing w:line="440" w:lineRule="exact"/>
        <w:rPr>
          <w:rFonts w:ascii="宋体" w:hAnsi="宋体"/>
          <w:color w:val="auto"/>
          <w:highlight w:val="none"/>
        </w:rPr>
      </w:pPr>
    </w:p>
    <w:p w14:paraId="68254985">
      <w:pPr>
        <w:spacing w:line="440" w:lineRule="exact"/>
        <w:rPr>
          <w:rFonts w:ascii="宋体" w:hAnsi="宋体"/>
          <w:color w:val="auto"/>
          <w:highlight w:val="none"/>
        </w:rPr>
      </w:pPr>
    </w:p>
    <w:p w14:paraId="6A12B18C">
      <w:pPr>
        <w:spacing w:line="440" w:lineRule="exact"/>
        <w:rPr>
          <w:rFonts w:ascii="宋体" w:hAnsi="宋体"/>
          <w:color w:val="auto"/>
          <w:highlight w:val="none"/>
        </w:rPr>
      </w:pPr>
    </w:p>
    <w:p w14:paraId="65F02826">
      <w:pPr>
        <w:spacing w:line="440" w:lineRule="exact"/>
        <w:rPr>
          <w:rFonts w:ascii="宋体" w:hAnsi="宋体"/>
          <w:color w:val="auto"/>
          <w:highlight w:val="none"/>
        </w:rPr>
      </w:pPr>
    </w:p>
    <w:p w14:paraId="236AC704">
      <w:pPr>
        <w:spacing w:line="440" w:lineRule="exact"/>
        <w:rPr>
          <w:rFonts w:ascii="宋体" w:hAnsi="宋体"/>
          <w:color w:val="auto"/>
          <w:highlight w:val="none"/>
        </w:rPr>
      </w:pPr>
    </w:p>
    <w:p w14:paraId="76F2057A">
      <w:pPr>
        <w:spacing w:line="440" w:lineRule="exact"/>
        <w:rPr>
          <w:rFonts w:ascii="宋体" w:hAnsi="宋体"/>
          <w:color w:val="auto"/>
          <w:highlight w:val="none"/>
        </w:rPr>
      </w:pPr>
    </w:p>
    <w:p w14:paraId="0C6DB93D">
      <w:pPr>
        <w:spacing w:line="440" w:lineRule="exact"/>
        <w:rPr>
          <w:rFonts w:ascii="宋体" w:hAnsi="宋体"/>
          <w:color w:val="auto"/>
          <w:highlight w:val="none"/>
        </w:rPr>
      </w:pPr>
    </w:p>
    <w:p w14:paraId="0D573EE8">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520C21B1">
      <w:pPr>
        <w:spacing w:line="440" w:lineRule="exact"/>
        <w:rPr>
          <w:rFonts w:ascii="宋体" w:hAnsi="宋体"/>
          <w:color w:val="auto"/>
          <w:highlight w:val="none"/>
        </w:rPr>
      </w:pPr>
    </w:p>
    <w:p w14:paraId="42F199FA">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31027A82">
      <w:pPr>
        <w:rPr>
          <w:rFonts w:ascii="宋体" w:hAnsi="宋体"/>
          <w:color w:val="auto"/>
          <w:highlight w:val="none"/>
        </w:rPr>
      </w:pPr>
    </w:p>
    <w:p w14:paraId="62F19EE5">
      <w:pPr>
        <w:rPr>
          <w:rFonts w:ascii="宋体" w:hAnsi="宋体"/>
          <w:color w:val="auto"/>
          <w:highlight w:val="none"/>
        </w:rPr>
      </w:pPr>
    </w:p>
    <w:p w14:paraId="2CB96C4B">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41472FE5">
      <w:pPr>
        <w:spacing w:line="440" w:lineRule="exact"/>
        <w:rPr>
          <w:rFonts w:ascii="宋体" w:hAnsi="宋体"/>
          <w:color w:val="auto"/>
          <w:sz w:val="20"/>
          <w:highlight w:val="none"/>
        </w:rPr>
      </w:pPr>
    </w:p>
    <w:p w14:paraId="0A7FA273">
      <w:pPr>
        <w:spacing w:line="20" w:lineRule="exact"/>
        <w:jc w:val="center"/>
        <w:rPr>
          <w:rFonts w:ascii="宋体" w:hAnsi="宋体"/>
          <w:color w:val="auto"/>
          <w:sz w:val="20"/>
          <w:highlight w:val="none"/>
        </w:rPr>
      </w:pPr>
      <w:r>
        <w:rPr>
          <w:rFonts w:ascii="宋体" w:hAnsi="宋体"/>
          <w:color w:val="auto"/>
          <w:sz w:val="20"/>
          <w:highlight w:val="none"/>
        </w:rPr>
        <w:br w:type="page"/>
      </w:r>
    </w:p>
    <w:p w14:paraId="238FD921">
      <w:pPr>
        <w:pStyle w:val="3"/>
        <w:spacing w:line="480" w:lineRule="auto"/>
        <w:jc w:val="center"/>
        <w:outlineLvl w:val="2"/>
        <w:rPr>
          <w:rFonts w:ascii="宋体" w:hAnsi="宋体"/>
          <w:color w:val="auto"/>
          <w:sz w:val="28"/>
          <w:szCs w:val="28"/>
          <w:highlight w:val="none"/>
        </w:rPr>
      </w:pPr>
      <w:bookmarkStart w:id="210" w:name="_Toc491883233"/>
      <w:bookmarkStart w:id="211" w:name="_Toc58"/>
      <w:bookmarkStart w:id="212" w:name="_Toc3882"/>
      <w:r>
        <w:rPr>
          <w:rFonts w:hint="eastAsia" w:ascii="宋体" w:hAnsi="宋体" w:eastAsia="宋体" w:cs="宋体"/>
          <w:color w:val="auto"/>
          <w:sz w:val="24"/>
          <w:szCs w:val="24"/>
          <w:highlight w:val="none"/>
        </w:rPr>
        <w:t>（二）</w:t>
      </w:r>
      <w:bookmarkEnd w:id="210"/>
      <w:r>
        <w:rPr>
          <w:rFonts w:hint="eastAsia" w:ascii="宋体" w:hAnsi="宋体" w:eastAsia="宋体" w:cs="宋体"/>
          <w:color w:val="auto"/>
          <w:sz w:val="24"/>
          <w:szCs w:val="24"/>
          <w:highlight w:val="none"/>
        </w:rPr>
        <w:t>法定代表人授权委托书</w:t>
      </w:r>
      <w:bookmarkEnd w:id="211"/>
      <w:bookmarkEnd w:id="212"/>
    </w:p>
    <w:p w14:paraId="264278AD">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4640346F">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5B45D9A4">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14:paraId="3A9F4F68">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14:paraId="66186378">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0</wp:posOffset>
                </wp:positionV>
                <wp:extent cx="6045835" cy="1850390"/>
                <wp:effectExtent l="4445" t="4445" r="7620" b="1206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ACEA3D">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0DBC3C0B">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1312;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14:paraId="3DACEA3D">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0DBC3C0B">
                      <w:pPr>
                        <w:snapToGrid w:val="0"/>
                        <w:spacing w:line="360" w:lineRule="auto"/>
                        <w:rPr>
                          <w:highlight w:val="none"/>
                        </w:rPr>
                      </w:pPr>
                    </w:p>
                  </w:txbxContent>
                </v:textbox>
              </v:shape>
            </w:pict>
          </mc:Fallback>
        </mc:AlternateContent>
      </w:r>
    </w:p>
    <w:p w14:paraId="608C7AF4">
      <w:pPr>
        <w:spacing w:line="440" w:lineRule="exact"/>
        <w:rPr>
          <w:rFonts w:ascii="宋体" w:hAnsi="宋体"/>
          <w:color w:val="auto"/>
          <w:highlight w:val="none"/>
        </w:rPr>
      </w:pPr>
    </w:p>
    <w:p w14:paraId="5BC95494">
      <w:pPr>
        <w:spacing w:line="440" w:lineRule="exact"/>
        <w:rPr>
          <w:rFonts w:ascii="宋体" w:hAnsi="宋体"/>
          <w:color w:val="auto"/>
          <w:highlight w:val="none"/>
        </w:rPr>
      </w:pPr>
      <w:r>
        <w:rPr>
          <w:rFonts w:ascii="宋体" w:hAnsi="宋体"/>
          <w:color w:val="auto"/>
          <w:highlight w:val="none"/>
        </w:rPr>
        <w:t>委托代理人身份证复印件</w:t>
      </w:r>
    </w:p>
    <w:p w14:paraId="4CE495CA">
      <w:pPr>
        <w:spacing w:line="440" w:lineRule="exact"/>
        <w:rPr>
          <w:rFonts w:ascii="宋体" w:hAnsi="宋体"/>
          <w:color w:val="auto"/>
          <w:highlight w:val="none"/>
        </w:rPr>
      </w:pPr>
    </w:p>
    <w:p w14:paraId="30938C30">
      <w:pPr>
        <w:spacing w:line="440" w:lineRule="exact"/>
        <w:rPr>
          <w:rFonts w:ascii="宋体" w:hAnsi="宋体"/>
          <w:color w:val="auto"/>
          <w:highlight w:val="none"/>
        </w:rPr>
      </w:pPr>
    </w:p>
    <w:p w14:paraId="331B7ED9">
      <w:pPr>
        <w:spacing w:line="440" w:lineRule="exact"/>
        <w:rPr>
          <w:rFonts w:ascii="宋体" w:hAnsi="宋体"/>
          <w:color w:val="auto"/>
          <w:highlight w:val="none"/>
        </w:rPr>
      </w:pPr>
    </w:p>
    <w:p w14:paraId="600C0298">
      <w:pPr>
        <w:spacing w:line="440" w:lineRule="exact"/>
        <w:rPr>
          <w:rFonts w:ascii="宋体" w:hAnsi="宋体"/>
          <w:color w:val="auto"/>
          <w:highlight w:val="none"/>
        </w:rPr>
      </w:pPr>
    </w:p>
    <w:p w14:paraId="223214B2">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21590</wp:posOffset>
                </wp:positionV>
                <wp:extent cx="6066790" cy="1953260"/>
                <wp:effectExtent l="5080" t="4445" r="11430" b="1079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21D471">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289E2FD4">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2336;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14:paraId="2021D471">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289E2FD4">
                      <w:pPr>
                        <w:spacing w:line="360" w:lineRule="auto"/>
                        <w:jc w:val="center"/>
                        <w:rPr>
                          <w:highlight w:val="none"/>
                        </w:rPr>
                      </w:pPr>
                    </w:p>
                  </w:txbxContent>
                </v:textbox>
              </v:shape>
            </w:pict>
          </mc:Fallback>
        </mc:AlternateContent>
      </w:r>
    </w:p>
    <w:p w14:paraId="33A9AB4B">
      <w:pPr>
        <w:spacing w:line="440" w:lineRule="exact"/>
        <w:ind w:firstLine="2692" w:firstLineChars="1282"/>
        <w:rPr>
          <w:rFonts w:hint="eastAsia" w:ascii="宋体" w:hAnsi="宋体"/>
          <w:color w:val="auto"/>
          <w:highlight w:val="none"/>
        </w:rPr>
      </w:pPr>
    </w:p>
    <w:p w14:paraId="02CACB04">
      <w:pPr>
        <w:spacing w:line="440" w:lineRule="exact"/>
        <w:ind w:firstLine="2692" w:firstLineChars="1282"/>
        <w:rPr>
          <w:rFonts w:hint="eastAsia" w:ascii="宋体" w:hAnsi="宋体"/>
          <w:color w:val="auto"/>
          <w:highlight w:val="none"/>
        </w:rPr>
      </w:pPr>
    </w:p>
    <w:p w14:paraId="0ED883D6">
      <w:pPr>
        <w:spacing w:line="440" w:lineRule="exact"/>
        <w:ind w:firstLine="2692" w:firstLineChars="1282"/>
        <w:rPr>
          <w:rFonts w:hint="eastAsia" w:ascii="宋体" w:hAnsi="宋体"/>
          <w:color w:val="auto"/>
          <w:highlight w:val="none"/>
        </w:rPr>
      </w:pPr>
    </w:p>
    <w:p w14:paraId="133D186E">
      <w:pPr>
        <w:spacing w:line="440" w:lineRule="exact"/>
        <w:ind w:firstLine="2692" w:firstLineChars="1282"/>
        <w:rPr>
          <w:rFonts w:hint="eastAsia" w:ascii="宋体" w:hAnsi="宋体"/>
          <w:color w:val="auto"/>
          <w:highlight w:val="none"/>
        </w:rPr>
      </w:pPr>
    </w:p>
    <w:p w14:paraId="5333D5C0">
      <w:pPr>
        <w:spacing w:line="440" w:lineRule="exact"/>
        <w:ind w:firstLine="2692" w:firstLineChars="1282"/>
        <w:rPr>
          <w:rFonts w:hint="eastAsia" w:ascii="宋体" w:hAnsi="宋体"/>
          <w:color w:val="auto"/>
          <w:highlight w:val="none"/>
        </w:rPr>
      </w:pPr>
    </w:p>
    <w:p w14:paraId="72BF8648">
      <w:pPr>
        <w:spacing w:line="440" w:lineRule="exact"/>
        <w:ind w:firstLine="2692" w:firstLineChars="1282"/>
        <w:rPr>
          <w:rFonts w:hint="eastAsia" w:ascii="宋体" w:hAnsi="宋体"/>
          <w:color w:val="auto"/>
          <w:highlight w:val="none"/>
        </w:rPr>
      </w:pPr>
    </w:p>
    <w:p w14:paraId="0D4E6087">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712ED462">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73086010">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62646402">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6A3ADD5B">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5B2D9451">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66CC9278">
      <w:pPr>
        <w:rPr>
          <w:rFonts w:ascii="宋体" w:hAnsi="宋体"/>
          <w:color w:val="auto"/>
          <w:highlight w:val="none"/>
        </w:rPr>
      </w:pPr>
    </w:p>
    <w:p w14:paraId="28D8AAF6">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r>
        <w:rPr>
          <w:rFonts w:hint="eastAsia" w:ascii="宋体" w:hAnsi="宋体"/>
          <w:color w:val="auto"/>
          <w:highlight w:val="none"/>
          <w:lang w:val="en-US" w:eastAsia="zh-CN"/>
        </w:rPr>
        <w:t>名。</w:t>
      </w:r>
    </w:p>
    <w:p w14:paraId="636DDF79">
      <w:pPr>
        <w:pStyle w:val="29"/>
        <w:pageBreakBefore w:val="0"/>
        <w:widowControl w:val="0"/>
        <w:kinsoku/>
        <w:wordWrap/>
        <w:overflowPunct/>
        <w:autoSpaceDE/>
        <w:autoSpaceDN/>
        <w:bidi w:val="0"/>
        <w:adjustRightInd/>
        <w:snapToGrid/>
        <w:textAlignment w:val="auto"/>
        <w:outlineLvl w:val="9"/>
        <w:rPr>
          <w:color w:val="auto"/>
          <w:highlight w:val="none"/>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p>
    <w:p w14:paraId="30C51368">
      <w:pPr>
        <w:rPr>
          <w:rFonts w:ascii="宋体" w:hAnsi="宋体" w:cs="宋体"/>
          <w:snapToGrid w:val="0"/>
          <w:color w:val="auto"/>
          <w:kern w:val="0"/>
          <w:szCs w:val="21"/>
          <w:highlight w:val="none"/>
        </w:rPr>
      </w:pPr>
    </w:p>
    <w:p w14:paraId="5871264A">
      <w:pPr>
        <w:pStyle w:val="3"/>
        <w:spacing w:before="0" w:after="0" w:line="360" w:lineRule="auto"/>
        <w:jc w:val="center"/>
        <w:rPr>
          <w:rFonts w:ascii="宋体" w:hAnsi="宋体" w:eastAsia="宋体" w:cs="宋体"/>
          <w:color w:val="auto"/>
          <w:sz w:val="28"/>
          <w:highlight w:val="none"/>
        </w:rPr>
      </w:pPr>
      <w:bookmarkStart w:id="213" w:name="_Toc11329275"/>
      <w:bookmarkStart w:id="214" w:name="_Toc24407"/>
      <w:r>
        <w:rPr>
          <w:rFonts w:hint="eastAsia" w:ascii="宋体" w:hAnsi="宋体" w:eastAsia="宋体" w:cs="宋体"/>
          <w:color w:val="auto"/>
          <w:sz w:val="28"/>
          <w:highlight w:val="none"/>
        </w:rPr>
        <w:t>三、</w:t>
      </w:r>
      <w:bookmarkEnd w:id="188"/>
      <w:bookmarkEnd w:id="189"/>
      <w:bookmarkEnd w:id="190"/>
      <w:bookmarkEnd w:id="213"/>
      <w:r>
        <w:rPr>
          <w:rFonts w:hint="eastAsia" w:ascii="宋体" w:hAnsi="宋体" w:eastAsia="宋体" w:cs="宋体"/>
          <w:color w:val="auto"/>
          <w:sz w:val="28"/>
          <w:highlight w:val="none"/>
        </w:rPr>
        <w:t>报价一览表</w:t>
      </w:r>
      <w:bookmarkEnd w:id="214"/>
    </w:p>
    <w:p w14:paraId="0F680E15">
      <w:pPr>
        <w:ind w:left="765"/>
        <w:jc w:val="center"/>
        <w:rPr>
          <w:rFonts w:ascii="宋体" w:hAnsi="宋体" w:cs="宋体"/>
          <w:color w:val="auto"/>
          <w:szCs w:val="21"/>
          <w:highlight w:val="none"/>
        </w:rPr>
      </w:pPr>
    </w:p>
    <w:p w14:paraId="4D4C456D">
      <w:pPr>
        <w:pStyle w:val="39"/>
        <w:spacing w:line="480" w:lineRule="auto"/>
        <w:jc w:val="both"/>
        <w:rPr>
          <w:rFonts w:hAnsi="宋体"/>
          <w:color w:val="auto"/>
          <w:highlight w:val="none"/>
        </w:rPr>
      </w:pPr>
      <w:r>
        <w:rPr>
          <w:rFonts w:hint="eastAsia" w:hAnsi="宋体"/>
          <w:color w:val="auto"/>
          <w:highlight w:val="none"/>
        </w:rPr>
        <w:t>重庆首讯科技股份有限公司：</w:t>
      </w:r>
    </w:p>
    <w:p w14:paraId="1418AE67">
      <w:pPr>
        <w:spacing w:line="480" w:lineRule="auto"/>
        <w:ind w:firstLine="420" w:firstLineChars="200"/>
        <w:jc w:val="left"/>
        <w:rPr>
          <w:rFonts w:ascii="宋体" w:hAnsi="宋体"/>
          <w:b/>
          <w:color w:val="auto"/>
          <w:szCs w:val="21"/>
          <w:highlight w:val="none"/>
        </w:rPr>
      </w:pPr>
      <w:bookmarkStart w:id="215" w:name="_Toc11329278"/>
      <w:bookmarkStart w:id="216" w:name="_Toc503951050"/>
      <w:bookmarkStart w:id="217" w:name="_Toc513633971"/>
      <w:bookmarkStart w:id="218" w:name="_Toc152045803"/>
      <w:bookmarkStart w:id="219" w:name="_Toc246997112"/>
      <w:bookmarkStart w:id="220" w:name="_Toc246996369"/>
      <w:bookmarkStart w:id="221" w:name="_Toc144974871"/>
      <w:bookmarkStart w:id="222" w:name="_Toc447827058"/>
      <w:bookmarkStart w:id="223" w:name="_Toc152042592"/>
      <w:bookmarkStart w:id="224" w:name="_Toc179632823"/>
      <w:bookmarkStart w:id="225" w:name="_Toc247085887"/>
      <w:r>
        <w:rPr>
          <w:rFonts w:hint="eastAsia" w:ascii="宋体" w:hAnsi="宋体"/>
          <w:color w:val="auto"/>
          <w:szCs w:val="21"/>
          <w:highlight w:val="none"/>
        </w:rPr>
        <w:t>在研究了竞争比选文件中所有文件后，我司对</w:t>
      </w:r>
      <w:r>
        <w:rPr>
          <w:rFonts w:hint="eastAsia" w:ascii="Arial" w:hAnsi="Arial" w:cs="Arial"/>
          <w:color w:val="auto"/>
          <w:szCs w:val="21"/>
          <w:highlight w:val="none"/>
          <w:u w:val="single"/>
          <w:lang w:val="en-US" w:eastAsia="zh-CN"/>
        </w:rPr>
        <w:t>本项目</w:t>
      </w:r>
      <w:r>
        <w:rPr>
          <w:rFonts w:hint="eastAsia" w:ascii="宋体" w:hAnsi="宋体"/>
          <w:color w:val="auto"/>
          <w:szCs w:val="21"/>
          <w:highlight w:val="none"/>
        </w:rPr>
        <w:t>竞</w:t>
      </w:r>
      <w:r>
        <w:rPr>
          <w:rFonts w:hint="eastAsia" w:ascii="Arial" w:hAnsi="Arial" w:cs="Arial"/>
          <w:color w:val="auto"/>
          <w:szCs w:val="21"/>
          <w:highlight w:val="none"/>
        </w:rPr>
        <w:t>争比选响应</w:t>
      </w:r>
      <w:r>
        <w:rPr>
          <w:rFonts w:hint="eastAsia" w:ascii="宋体" w:hAnsi="宋体"/>
          <w:color w:val="auto"/>
          <w:szCs w:val="21"/>
          <w:highlight w:val="none"/>
        </w:rPr>
        <w:t>报价如下：</w:t>
      </w:r>
      <w:r>
        <w:rPr>
          <w:rFonts w:hint="eastAsia" w:ascii="宋体" w:hAnsi="宋体"/>
          <w:b/>
          <w:color w:val="auto"/>
          <w:szCs w:val="21"/>
          <w:highlight w:val="none"/>
        </w:rPr>
        <w:t xml:space="preserve"> </w:t>
      </w:r>
    </w:p>
    <w:tbl>
      <w:tblPr>
        <w:tblStyle w:val="43"/>
        <w:tblW w:w="4998" w:type="pct"/>
        <w:tblInd w:w="0" w:type="dxa"/>
        <w:tblLayout w:type="fixed"/>
        <w:tblCellMar>
          <w:top w:w="0" w:type="dxa"/>
          <w:left w:w="108" w:type="dxa"/>
          <w:bottom w:w="0" w:type="dxa"/>
          <w:right w:w="108" w:type="dxa"/>
        </w:tblCellMar>
      </w:tblPr>
      <w:tblGrid>
        <w:gridCol w:w="637"/>
        <w:gridCol w:w="1601"/>
        <w:gridCol w:w="2074"/>
        <w:gridCol w:w="712"/>
        <w:gridCol w:w="875"/>
        <w:gridCol w:w="800"/>
        <w:gridCol w:w="913"/>
        <w:gridCol w:w="907"/>
      </w:tblGrid>
      <w:tr w14:paraId="647E344F">
        <w:tblPrEx>
          <w:tblCellMar>
            <w:top w:w="0" w:type="dxa"/>
            <w:left w:w="108" w:type="dxa"/>
            <w:bottom w:w="0" w:type="dxa"/>
            <w:right w:w="108" w:type="dxa"/>
          </w:tblCellMar>
        </w:tblPrEx>
        <w:trPr>
          <w:trHeight w:val="585" w:hRule="atLeast"/>
        </w:trPr>
        <w:tc>
          <w:tcPr>
            <w:tcW w:w="373" w:type="pct"/>
            <w:tcBorders>
              <w:top w:val="single" w:color="000000" w:sz="8" w:space="0"/>
              <w:left w:val="single" w:color="000000" w:sz="8" w:space="0"/>
              <w:bottom w:val="single" w:color="000000" w:sz="8" w:space="0"/>
              <w:right w:val="single" w:color="000000" w:sz="8" w:space="0"/>
            </w:tcBorders>
            <w:vAlign w:val="center"/>
          </w:tcPr>
          <w:p w14:paraId="26FEC2B7">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序号</w:t>
            </w:r>
          </w:p>
        </w:tc>
        <w:tc>
          <w:tcPr>
            <w:tcW w:w="939" w:type="pct"/>
            <w:tcBorders>
              <w:top w:val="single" w:color="000000" w:sz="8" w:space="0"/>
              <w:left w:val="nil"/>
              <w:bottom w:val="single" w:color="auto" w:sz="4" w:space="0"/>
              <w:right w:val="single" w:color="000000" w:sz="8" w:space="0"/>
            </w:tcBorders>
            <w:vAlign w:val="center"/>
          </w:tcPr>
          <w:p w14:paraId="40E97A92">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服务项目</w:t>
            </w:r>
          </w:p>
        </w:tc>
        <w:tc>
          <w:tcPr>
            <w:tcW w:w="1217" w:type="pct"/>
            <w:tcBorders>
              <w:top w:val="single" w:color="000000" w:sz="8" w:space="0"/>
              <w:left w:val="nil"/>
              <w:bottom w:val="single" w:color="auto" w:sz="4" w:space="0"/>
              <w:right w:val="single" w:color="000000" w:sz="8" w:space="0"/>
            </w:tcBorders>
            <w:vAlign w:val="center"/>
          </w:tcPr>
          <w:p w14:paraId="08DA1899">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服务内容</w:t>
            </w:r>
          </w:p>
        </w:tc>
        <w:tc>
          <w:tcPr>
            <w:tcW w:w="417" w:type="pct"/>
            <w:tcBorders>
              <w:top w:val="single" w:color="000000" w:sz="8" w:space="0"/>
              <w:left w:val="nil"/>
              <w:bottom w:val="single" w:color="000000" w:sz="8" w:space="0"/>
              <w:right w:val="single" w:color="auto" w:sz="4" w:space="0"/>
            </w:tcBorders>
            <w:vAlign w:val="center"/>
          </w:tcPr>
          <w:p w14:paraId="6DADE222">
            <w:pPr>
              <w:widowControl/>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bidi="ar"/>
              </w:rPr>
              <w:t>单位</w:t>
            </w:r>
          </w:p>
        </w:tc>
        <w:tc>
          <w:tcPr>
            <w:tcW w:w="513" w:type="pct"/>
            <w:tcBorders>
              <w:top w:val="single" w:color="000000" w:sz="8" w:space="0"/>
              <w:left w:val="single" w:color="auto" w:sz="4" w:space="0"/>
              <w:bottom w:val="single" w:color="000000" w:sz="8" w:space="0"/>
              <w:right w:val="single" w:color="000000" w:sz="8" w:space="0"/>
            </w:tcBorders>
            <w:shd w:val="clear" w:color="auto" w:fill="auto"/>
            <w:vAlign w:val="center"/>
          </w:tcPr>
          <w:p w14:paraId="361700C6">
            <w:pPr>
              <w:widowControl/>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数量</w:t>
            </w:r>
          </w:p>
        </w:tc>
        <w:tc>
          <w:tcPr>
            <w:tcW w:w="469" w:type="pct"/>
            <w:tcBorders>
              <w:top w:val="single" w:color="000000" w:sz="8" w:space="0"/>
              <w:left w:val="nil"/>
              <w:bottom w:val="single" w:color="000000" w:sz="8" w:space="0"/>
              <w:right w:val="single" w:color="000000" w:sz="8" w:space="0"/>
            </w:tcBorders>
            <w:shd w:val="clear" w:color="auto" w:fill="auto"/>
            <w:vAlign w:val="center"/>
          </w:tcPr>
          <w:p w14:paraId="68C33F83">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535" w:type="pct"/>
            <w:tcBorders>
              <w:top w:val="single" w:color="000000" w:sz="8" w:space="0"/>
              <w:left w:val="nil"/>
              <w:bottom w:val="single" w:color="000000" w:sz="8" w:space="0"/>
              <w:right w:val="single" w:color="000000" w:sz="8" w:space="0"/>
            </w:tcBorders>
            <w:shd w:val="clear" w:color="auto" w:fill="auto"/>
            <w:vAlign w:val="center"/>
          </w:tcPr>
          <w:p w14:paraId="184D1222">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合价（元）</w:t>
            </w:r>
          </w:p>
        </w:tc>
        <w:tc>
          <w:tcPr>
            <w:tcW w:w="532" w:type="pct"/>
            <w:tcBorders>
              <w:top w:val="single" w:color="000000" w:sz="8" w:space="0"/>
              <w:left w:val="nil"/>
              <w:bottom w:val="single" w:color="000000" w:sz="8" w:space="0"/>
              <w:right w:val="single" w:color="000000" w:sz="8" w:space="0"/>
            </w:tcBorders>
            <w:vAlign w:val="center"/>
          </w:tcPr>
          <w:p w14:paraId="693F2F78">
            <w:pPr>
              <w:widowControl/>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14:paraId="179903E9">
        <w:tblPrEx>
          <w:tblCellMar>
            <w:top w:w="0" w:type="dxa"/>
            <w:left w:w="108" w:type="dxa"/>
            <w:bottom w:w="0" w:type="dxa"/>
            <w:right w:w="108" w:type="dxa"/>
          </w:tblCellMar>
        </w:tblPrEx>
        <w:trPr>
          <w:trHeight w:val="985" w:hRule="atLeast"/>
        </w:trPr>
        <w:tc>
          <w:tcPr>
            <w:tcW w:w="373" w:type="pct"/>
            <w:tcBorders>
              <w:top w:val="nil"/>
              <w:left w:val="single" w:color="000000" w:sz="8" w:space="0"/>
              <w:bottom w:val="single" w:color="000000" w:sz="8" w:space="0"/>
              <w:right w:val="single" w:color="auto" w:sz="4" w:space="0"/>
            </w:tcBorders>
            <w:vAlign w:val="center"/>
          </w:tcPr>
          <w:p w14:paraId="48DD95B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939" w:type="pct"/>
            <w:tcBorders>
              <w:top w:val="single" w:color="auto" w:sz="4" w:space="0"/>
              <w:left w:val="single" w:color="auto" w:sz="4" w:space="0"/>
              <w:bottom w:val="single" w:color="000000" w:sz="8" w:space="0"/>
              <w:right w:val="single" w:color="000000" w:sz="8" w:space="0"/>
            </w:tcBorders>
            <w:vAlign w:val="center"/>
          </w:tcPr>
          <w:p w14:paraId="1639BF02">
            <w:pPr>
              <w:pStyle w:val="38"/>
              <w:adjustRightInd w:val="0"/>
              <w:snapToGrid w:val="0"/>
              <w:spacing w:before="0" w:beforeAutospacing="0" w:after="0" w:afterAutospacing="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里程碑1：</w:t>
            </w:r>
            <w:r>
              <w:rPr>
                <w:rFonts w:hint="eastAsia" w:ascii="宋体" w:hAnsi="宋体" w:eastAsia="宋体" w:cs="宋体"/>
                <w:bCs/>
                <w:color w:val="auto"/>
                <w:sz w:val="21"/>
                <w:szCs w:val="21"/>
                <w:highlight w:val="none"/>
              </w:rPr>
              <w:t>“面向隧道监控摄像机群的重点车辆重识别及统计算法研究”的预处理工作</w:t>
            </w:r>
          </w:p>
        </w:tc>
        <w:tc>
          <w:tcPr>
            <w:tcW w:w="1217" w:type="pct"/>
            <w:tcBorders>
              <w:top w:val="single" w:color="auto" w:sz="4" w:space="0"/>
              <w:left w:val="nil"/>
              <w:bottom w:val="single" w:color="000000" w:sz="8" w:space="0"/>
              <w:right w:val="single" w:color="auto" w:sz="4" w:space="0"/>
            </w:tcBorders>
            <w:vAlign w:val="center"/>
          </w:tcPr>
          <w:p w14:paraId="55221235">
            <w:pP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rPr>
              <w:tab/>
            </w:r>
            <w:r>
              <w:rPr>
                <w:rFonts w:hint="eastAsia" w:ascii="宋体" w:hAnsi="宋体" w:eastAsia="宋体" w:cs="宋体"/>
                <w:color w:val="auto"/>
                <w:highlight w:val="none"/>
              </w:rPr>
              <w:t>完成相关数据收集和预处理工作，形成相关完成报告1份。</w:t>
            </w:r>
          </w:p>
          <w:p w14:paraId="48D8518F">
            <w:pPr>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rPr>
              <w:tab/>
            </w:r>
            <w:r>
              <w:rPr>
                <w:rFonts w:hint="eastAsia" w:ascii="宋体" w:hAnsi="宋体" w:eastAsia="宋体" w:cs="宋体"/>
                <w:color w:val="auto"/>
                <w:highlight w:val="none"/>
              </w:rPr>
              <w:t>完成备选深度学习模型选择和测试，形成相关完成报告1份。</w:t>
            </w:r>
          </w:p>
        </w:tc>
        <w:tc>
          <w:tcPr>
            <w:tcW w:w="417" w:type="pct"/>
            <w:tcBorders>
              <w:top w:val="nil"/>
              <w:left w:val="single" w:color="auto" w:sz="4" w:space="0"/>
              <w:bottom w:val="single" w:color="000000" w:sz="8" w:space="0"/>
              <w:right w:val="single" w:color="auto" w:sz="4" w:space="0"/>
            </w:tcBorders>
            <w:vAlign w:val="center"/>
          </w:tcPr>
          <w:p w14:paraId="7DB4F1AC">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套</w:t>
            </w:r>
          </w:p>
        </w:tc>
        <w:tc>
          <w:tcPr>
            <w:tcW w:w="513" w:type="pct"/>
            <w:tcBorders>
              <w:top w:val="nil"/>
              <w:left w:val="single" w:color="auto" w:sz="4" w:space="0"/>
              <w:bottom w:val="single" w:color="000000" w:sz="8" w:space="0"/>
              <w:right w:val="single" w:color="000000" w:sz="8" w:space="0"/>
            </w:tcBorders>
            <w:vAlign w:val="center"/>
          </w:tcPr>
          <w:p w14:paraId="70D67AC1">
            <w:pPr>
              <w:widowControl/>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469" w:type="pct"/>
            <w:tcBorders>
              <w:top w:val="nil"/>
              <w:left w:val="nil"/>
              <w:bottom w:val="single" w:color="000000" w:sz="8" w:space="0"/>
              <w:right w:val="single" w:color="000000" w:sz="8" w:space="0"/>
            </w:tcBorders>
            <w:vAlign w:val="center"/>
          </w:tcPr>
          <w:p w14:paraId="579D8A97">
            <w:pPr>
              <w:rPr>
                <w:rFonts w:hint="eastAsia" w:ascii="宋体" w:hAnsi="宋体" w:eastAsia="宋体" w:cs="宋体"/>
                <w:color w:val="auto"/>
                <w:sz w:val="21"/>
                <w:szCs w:val="21"/>
                <w:highlight w:val="none"/>
              </w:rPr>
            </w:pPr>
          </w:p>
        </w:tc>
        <w:tc>
          <w:tcPr>
            <w:tcW w:w="535" w:type="pct"/>
            <w:tcBorders>
              <w:top w:val="nil"/>
              <w:left w:val="nil"/>
              <w:bottom w:val="single" w:color="000000" w:sz="8" w:space="0"/>
              <w:right w:val="single" w:color="000000" w:sz="8" w:space="0"/>
            </w:tcBorders>
            <w:vAlign w:val="center"/>
          </w:tcPr>
          <w:p w14:paraId="3ECF2438">
            <w:pPr>
              <w:jc w:val="center"/>
              <w:rPr>
                <w:rFonts w:hint="eastAsia" w:ascii="宋体" w:hAnsi="宋体" w:eastAsia="宋体" w:cs="宋体"/>
                <w:color w:val="auto"/>
                <w:sz w:val="21"/>
                <w:szCs w:val="21"/>
                <w:highlight w:val="none"/>
                <w:lang w:val="en-US" w:eastAsia="zh-CN"/>
              </w:rPr>
            </w:pPr>
          </w:p>
        </w:tc>
        <w:tc>
          <w:tcPr>
            <w:tcW w:w="532" w:type="pct"/>
            <w:tcBorders>
              <w:top w:val="nil"/>
              <w:left w:val="nil"/>
              <w:bottom w:val="single" w:color="000000" w:sz="8" w:space="0"/>
              <w:right w:val="single" w:color="000000" w:sz="8" w:space="0"/>
            </w:tcBorders>
            <w:vAlign w:val="center"/>
          </w:tcPr>
          <w:p w14:paraId="1AB1C802">
            <w:pPr>
              <w:jc w:val="center"/>
              <w:rPr>
                <w:rFonts w:hint="eastAsia" w:ascii="宋体" w:hAnsi="宋体" w:eastAsia="宋体" w:cs="宋体"/>
                <w:color w:val="auto"/>
                <w:sz w:val="21"/>
                <w:szCs w:val="21"/>
                <w:highlight w:val="none"/>
              </w:rPr>
            </w:pPr>
          </w:p>
        </w:tc>
      </w:tr>
      <w:tr w14:paraId="787B4807">
        <w:tblPrEx>
          <w:tblCellMar>
            <w:top w:w="0" w:type="dxa"/>
            <w:left w:w="108" w:type="dxa"/>
            <w:bottom w:w="0" w:type="dxa"/>
            <w:right w:w="108" w:type="dxa"/>
          </w:tblCellMar>
        </w:tblPrEx>
        <w:trPr>
          <w:trHeight w:val="1035" w:hRule="atLeast"/>
        </w:trPr>
        <w:tc>
          <w:tcPr>
            <w:tcW w:w="373" w:type="pct"/>
            <w:tcBorders>
              <w:top w:val="nil"/>
              <w:left w:val="single" w:color="000000" w:sz="8" w:space="0"/>
              <w:bottom w:val="single" w:color="000000" w:sz="8" w:space="0"/>
              <w:right w:val="single" w:color="auto" w:sz="4" w:space="0"/>
            </w:tcBorders>
            <w:vAlign w:val="center"/>
          </w:tcPr>
          <w:p w14:paraId="7D635AD7">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939" w:type="pct"/>
            <w:tcBorders>
              <w:top w:val="nil"/>
              <w:left w:val="single" w:color="auto" w:sz="4" w:space="0"/>
              <w:bottom w:val="single" w:color="000000" w:sz="8" w:space="0"/>
              <w:right w:val="single" w:color="000000" w:sz="8" w:space="0"/>
            </w:tcBorders>
            <w:vAlign w:val="center"/>
          </w:tcPr>
          <w:p w14:paraId="71578D2A">
            <w:pPr>
              <w:pStyle w:val="38"/>
              <w:adjustRightInd w:val="0"/>
              <w:snapToGrid w:val="0"/>
              <w:spacing w:before="0" w:beforeAutospacing="0" w:after="0" w:afterAutospacing="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里程碑2：</w:t>
            </w:r>
            <w:r>
              <w:rPr>
                <w:rFonts w:hint="eastAsia" w:ascii="宋体" w:hAnsi="宋体" w:eastAsia="宋体" w:cs="宋体"/>
                <w:bCs/>
                <w:color w:val="auto"/>
                <w:sz w:val="21"/>
                <w:szCs w:val="21"/>
                <w:highlight w:val="none"/>
              </w:rPr>
              <w:t>“面向隧道监控摄像机群的重点车辆重识别及统计算法研究”的模型训练和功能开发工作</w:t>
            </w:r>
          </w:p>
        </w:tc>
        <w:tc>
          <w:tcPr>
            <w:tcW w:w="1217" w:type="pct"/>
            <w:tcBorders>
              <w:top w:val="nil"/>
              <w:left w:val="nil"/>
              <w:bottom w:val="single" w:color="000000" w:sz="8" w:space="0"/>
              <w:right w:val="single" w:color="auto" w:sz="4" w:space="0"/>
            </w:tcBorders>
            <w:vAlign w:val="center"/>
          </w:tcPr>
          <w:p w14:paraId="7D0E754A">
            <w:pPr>
              <w:rPr>
                <w:rFonts w:hint="eastAsia" w:ascii="宋体" w:hAnsi="宋体" w:eastAsia="宋体" w:cs="宋体"/>
                <w:color w:val="auto"/>
                <w:highlight w:val="none"/>
              </w:rPr>
            </w:pPr>
            <w:r>
              <w:rPr>
                <w:rFonts w:hint="eastAsia" w:ascii="宋体" w:hAnsi="宋体" w:eastAsia="宋体" w:cs="宋体"/>
                <w:color w:val="auto"/>
                <w:highlight w:val="none"/>
              </w:rPr>
              <w:t>1. 完成模型训练报告和性能评估结果报告1份。</w:t>
            </w:r>
          </w:p>
          <w:p w14:paraId="5ABD0594">
            <w:pPr>
              <w:rPr>
                <w:rFonts w:hint="eastAsia" w:ascii="宋体" w:hAnsi="宋体" w:eastAsia="宋体" w:cs="宋体"/>
                <w:color w:val="auto"/>
                <w:highlight w:val="none"/>
              </w:rPr>
            </w:pPr>
            <w:r>
              <w:rPr>
                <w:rFonts w:hint="eastAsia" w:ascii="宋体" w:hAnsi="宋体" w:eastAsia="宋体" w:cs="宋体"/>
                <w:color w:val="auto"/>
                <w:highlight w:val="none"/>
              </w:rPr>
              <w:t>2. 完成模型实地部署测试优化方案1份。</w:t>
            </w:r>
          </w:p>
        </w:tc>
        <w:tc>
          <w:tcPr>
            <w:tcW w:w="417" w:type="pct"/>
            <w:tcBorders>
              <w:top w:val="nil"/>
              <w:left w:val="single" w:color="auto" w:sz="4" w:space="0"/>
              <w:bottom w:val="single" w:color="000000" w:sz="8" w:space="0"/>
              <w:right w:val="single" w:color="auto" w:sz="4" w:space="0"/>
            </w:tcBorders>
            <w:vAlign w:val="center"/>
          </w:tcPr>
          <w:p w14:paraId="15A54A64">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套</w:t>
            </w:r>
          </w:p>
        </w:tc>
        <w:tc>
          <w:tcPr>
            <w:tcW w:w="513" w:type="pct"/>
            <w:tcBorders>
              <w:top w:val="nil"/>
              <w:left w:val="single" w:color="auto" w:sz="4" w:space="0"/>
              <w:bottom w:val="single" w:color="000000" w:sz="8" w:space="0"/>
              <w:right w:val="single" w:color="000000" w:sz="8" w:space="0"/>
            </w:tcBorders>
            <w:vAlign w:val="center"/>
          </w:tcPr>
          <w:p w14:paraId="14F617AF">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469" w:type="pct"/>
            <w:tcBorders>
              <w:top w:val="nil"/>
              <w:left w:val="nil"/>
              <w:bottom w:val="single" w:color="000000" w:sz="8" w:space="0"/>
              <w:right w:val="single" w:color="000000" w:sz="8" w:space="0"/>
            </w:tcBorders>
            <w:vAlign w:val="center"/>
          </w:tcPr>
          <w:p w14:paraId="5D93B01C">
            <w:pPr>
              <w:rPr>
                <w:rFonts w:hint="eastAsia" w:ascii="宋体" w:hAnsi="宋体" w:eastAsia="宋体" w:cs="宋体"/>
                <w:color w:val="auto"/>
                <w:sz w:val="21"/>
                <w:szCs w:val="21"/>
                <w:highlight w:val="none"/>
              </w:rPr>
            </w:pPr>
          </w:p>
        </w:tc>
        <w:tc>
          <w:tcPr>
            <w:tcW w:w="535" w:type="pct"/>
            <w:tcBorders>
              <w:top w:val="nil"/>
              <w:left w:val="nil"/>
              <w:bottom w:val="single" w:color="000000" w:sz="8" w:space="0"/>
              <w:right w:val="single" w:color="000000" w:sz="8" w:space="0"/>
            </w:tcBorders>
            <w:vAlign w:val="center"/>
          </w:tcPr>
          <w:p w14:paraId="75072A0C">
            <w:pPr>
              <w:jc w:val="center"/>
              <w:rPr>
                <w:rFonts w:hint="eastAsia" w:ascii="宋体" w:hAnsi="宋体" w:eastAsia="宋体" w:cs="宋体"/>
                <w:color w:val="auto"/>
                <w:sz w:val="21"/>
                <w:szCs w:val="21"/>
                <w:highlight w:val="none"/>
                <w:lang w:val="en-US" w:eastAsia="zh-CN"/>
              </w:rPr>
            </w:pPr>
          </w:p>
        </w:tc>
        <w:tc>
          <w:tcPr>
            <w:tcW w:w="532" w:type="pct"/>
            <w:tcBorders>
              <w:top w:val="nil"/>
              <w:left w:val="nil"/>
              <w:bottom w:val="single" w:color="000000" w:sz="8" w:space="0"/>
              <w:right w:val="single" w:color="000000" w:sz="8" w:space="0"/>
            </w:tcBorders>
            <w:vAlign w:val="center"/>
          </w:tcPr>
          <w:p w14:paraId="59F6F322">
            <w:pPr>
              <w:jc w:val="center"/>
              <w:rPr>
                <w:rFonts w:hint="eastAsia" w:ascii="宋体" w:hAnsi="宋体" w:eastAsia="宋体" w:cs="宋体"/>
                <w:color w:val="auto"/>
                <w:sz w:val="21"/>
                <w:szCs w:val="21"/>
                <w:highlight w:val="none"/>
              </w:rPr>
            </w:pPr>
          </w:p>
        </w:tc>
      </w:tr>
      <w:tr w14:paraId="2E0B6566">
        <w:tblPrEx>
          <w:tblCellMar>
            <w:top w:w="0" w:type="dxa"/>
            <w:left w:w="108" w:type="dxa"/>
            <w:bottom w:w="0" w:type="dxa"/>
            <w:right w:w="108" w:type="dxa"/>
          </w:tblCellMar>
        </w:tblPrEx>
        <w:trPr>
          <w:trHeight w:val="1035" w:hRule="atLeast"/>
        </w:trPr>
        <w:tc>
          <w:tcPr>
            <w:tcW w:w="373" w:type="pct"/>
            <w:tcBorders>
              <w:top w:val="nil"/>
              <w:left w:val="single" w:color="000000" w:sz="8" w:space="0"/>
              <w:bottom w:val="single" w:color="000000" w:sz="8" w:space="0"/>
              <w:right w:val="single" w:color="auto" w:sz="4" w:space="0"/>
            </w:tcBorders>
            <w:vAlign w:val="center"/>
          </w:tcPr>
          <w:p w14:paraId="2179EA49">
            <w:pPr>
              <w:widowControl/>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939" w:type="pct"/>
            <w:tcBorders>
              <w:top w:val="nil"/>
              <w:left w:val="single" w:color="auto" w:sz="4" w:space="0"/>
              <w:bottom w:val="single" w:color="000000" w:sz="8" w:space="0"/>
              <w:right w:val="single" w:color="000000" w:sz="8" w:space="0"/>
            </w:tcBorders>
            <w:vAlign w:val="center"/>
          </w:tcPr>
          <w:p w14:paraId="62A8041C">
            <w:pPr>
              <w:pStyle w:val="38"/>
              <w:adjustRightInd w:val="0"/>
              <w:snapToGrid w:val="0"/>
              <w:spacing w:before="0" w:beforeAutospacing="0" w:after="0" w:afterAutospacing="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里程碑3：</w:t>
            </w:r>
            <w:r>
              <w:rPr>
                <w:rFonts w:hint="eastAsia" w:ascii="宋体" w:hAnsi="宋体" w:eastAsia="宋体" w:cs="宋体"/>
                <w:bCs/>
                <w:color w:val="auto"/>
                <w:sz w:val="21"/>
                <w:szCs w:val="21"/>
                <w:highlight w:val="none"/>
              </w:rPr>
              <w:t>“面向高速公路监控摄像机的车辆变道行为检测算法研究”的预处理工作</w:t>
            </w:r>
          </w:p>
        </w:tc>
        <w:tc>
          <w:tcPr>
            <w:tcW w:w="1217" w:type="pct"/>
            <w:tcBorders>
              <w:top w:val="nil"/>
              <w:left w:val="nil"/>
              <w:bottom w:val="single" w:color="000000" w:sz="8" w:space="0"/>
              <w:right w:val="single" w:color="auto" w:sz="4" w:space="0"/>
            </w:tcBorders>
            <w:vAlign w:val="center"/>
          </w:tcPr>
          <w:p w14:paraId="40F82062">
            <w:pP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rPr>
              <w:tab/>
            </w:r>
            <w:r>
              <w:rPr>
                <w:rFonts w:hint="eastAsia" w:ascii="宋体" w:hAnsi="宋体" w:eastAsia="宋体" w:cs="宋体"/>
                <w:color w:val="auto"/>
                <w:highlight w:val="none"/>
              </w:rPr>
              <w:t>完成相关数据收集和预处理工作，形成相关完成报告1份。</w:t>
            </w:r>
          </w:p>
          <w:p w14:paraId="00B954EB">
            <w:pPr>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rPr>
              <w:tab/>
            </w:r>
            <w:r>
              <w:rPr>
                <w:rFonts w:hint="eastAsia" w:ascii="宋体" w:hAnsi="宋体" w:eastAsia="宋体" w:cs="宋体"/>
                <w:color w:val="auto"/>
                <w:highlight w:val="none"/>
              </w:rPr>
              <w:t>完成备选深度学习模型选择和测试，形成相关完成报告1份。</w:t>
            </w:r>
          </w:p>
        </w:tc>
        <w:tc>
          <w:tcPr>
            <w:tcW w:w="417" w:type="pct"/>
            <w:tcBorders>
              <w:top w:val="nil"/>
              <w:left w:val="single" w:color="auto" w:sz="4" w:space="0"/>
              <w:bottom w:val="single" w:color="000000" w:sz="8" w:space="0"/>
              <w:right w:val="single" w:color="auto" w:sz="4" w:space="0"/>
            </w:tcBorders>
            <w:vAlign w:val="center"/>
          </w:tcPr>
          <w:p w14:paraId="1A20D8F4">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套</w:t>
            </w:r>
          </w:p>
        </w:tc>
        <w:tc>
          <w:tcPr>
            <w:tcW w:w="513" w:type="pct"/>
            <w:tcBorders>
              <w:top w:val="nil"/>
              <w:left w:val="single" w:color="auto" w:sz="4" w:space="0"/>
              <w:bottom w:val="single" w:color="000000" w:sz="8" w:space="0"/>
              <w:right w:val="single" w:color="000000" w:sz="8" w:space="0"/>
            </w:tcBorders>
            <w:vAlign w:val="center"/>
          </w:tcPr>
          <w:p w14:paraId="525AABB8">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469" w:type="pct"/>
            <w:tcBorders>
              <w:top w:val="nil"/>
              <w:left w:val="nil"/>
              <w:bottom w:val="single" w:color="000000" w:sz="8" w:space="0"/>
              <w:right w:val="single" w:color="000000" w:sz="8" w:space="0"/>
            </w:tcBorders>
            <w:vAlign w:val="center"/>
          </w:tcPr>
          <w:p w14:paraId="1DF87423">
            <w:pPr>
              <w:rPr>
                <w:rFonts w:hint="eastAsia" w:ascii="宋体" w:hAnsi="宋体" w:eastAsia="宋体" w:cs="宋体"/>
                <w:color w:val="auto"/>
                <w:sz w:val="21"/>
                <w:szCs w:val="21"/>
                <w:highlight w:val="none"/>
              </w:rPr>
            </w:pPr>
          </w:p>
        </w:tc>
        <w:tc>
          <w:tcPr>
            <w:tcW w:w="535" w:type="pct"/>
            <w:tcBorders>
              <w:top w:val="nil"/>
              <w:left w:val="nil"/>
              <w:bottom w:val="single" w:color="000000" w:sz="8" w:space="0"/>
              <w:right w:val="single" w:color="000000" w:sz="8" w:space="0"/>
            </w:tcBorders>
            <w:vAlign w:val="center"/>
          </w:tcPr>
          <w:p w14:paraId="42084F3B">
            <w:pPr>
              <w:jc w:val="center"/>
              <w:rPr>
                <w:rFonts w:hint="eastAsia" w:ascii="宋体" w:hAnsi="宋体" w:eastAsia="宋体" w:cs="宋体"/>
                <w:color w:val="auto"/>
                <w:sz w:val="21"/>
                <w:szCs w:val="21"/>
                <w:highlight w:val="none"/>
                <w:lang w:val="en-US" w:eastAsia="zh-CN"/>
              </w:rPr>
            </w:pPr>
          </w:p>
        </w:tc>
        <w:tc>
          <w:tcPr>
            <w:tcW w:w="532" w:type="pct"/>
            <w:tcBorders>
              <w:top w:val="nil"/>
              <w:left w:val="nil"/>
              <w:bottom w:val="single" w:color="000000" w:sz="8" w:space="0"/>
              <w:right w:val="single" w:color="000000" w:sz="8" w:space="0"/>
            </w:tcBorders>
            <w:vAlign w:val="center"/>
          </w:tcPr>
          <w:p w14:paraId="756C688E">
            <w:pPr>
              <w:jc w:val="center"/>
              <w:rPr>
                <w:rFonts w:hint="eastAsia" w:ascii="宋体" w:hAnsi="宋体" w:eastAsia="宋体" w:cs="宋体"/>
                <w:color w:val="auto"/>
                <w:sz w:val="21"/>
                <w:szCs w:val="21"/>
                <w:highlight w:val="none"/>
              </w:rPr>
            </w:pPr>
          </w:p>
        </w:tc>
      </w:tr>
      <w:tr w14:paraId="4F66FD24">
        <w:tblPrEx>
          <w:tblCellMar>
            <w:top w:w="0" w:type="dxa"/>
            <w:left w:w="108" w:type="dxa"/>
            <w:bottom w:w="0" w:type="dxa"/>
            <w:right w:w="108" w:type="dxa"/>
          </w:tblCellMar>
        </w:tblPrEx>
        <w:trPr>
          <w:trHeight w:val="1035" w:hRule="atLeast"/>
        </w:trPr>
        <w:tc>
          <w:tcPr>
            <w:tcW w:w="373" w:type="pct"/>
            <w:tcBorders>
              <w:top w:val="nil"/>
              <w:left w:val="single" w:color="000000" w:sz="8" w:space="0"/>
              <w:bottom w:val="single" w:color="000000" w:sz="8" w:space="0"/>
              <w:right w:val="single" w:color="auto" w:sz="4" w:space="0"/>
            </w:tcBorders>
            <w:vAlign w:val="center"/>
          </w:tcPr>
          <w:p w14:paraId="2F52563E">
            <w:pPr>
              <w:widowControl/>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tc>
        <w:tc>
          <w:tcPr>
            <w:tcW w:w="939" w:type="pct"/>
            <w:tcBorders>
              <w:top w:val="nil"/>
              <w:left w:val="single" w:color="auto" w:sz="4" w:space="0"/>
              <w:bottom w:val="single" w:color="000000" w:sz="8" w:space="0"/>
              <w:right w:val="single" w:color="000000" w:sz="8" w:space="0"/>
            </w:tcBorders>
            <w:vAlign w:val="center"/>
          </w:tcPr>
          <w:p w14:paraId="772ABE95">
            <w:pPr>
              <w:pStyle w:val="38"/>
              <w:adjustRightInd w:val="0"/>
              <w:snapToGrid w:val="0"/>
              <w:spacing w:before="0" w:beforeAutospacing="0" w:after="0" w:afterAutospacing="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里程碑4：</w:t>
            </w:r>
            <w:r>
              <w:rPr>
                <w:rFonts w:hint="eastAsia" w:ascii="宋体" w:hAnsi="宋体" w:eastAsia="宋体" w:cs="宋体"/>
                <w:color w:val="auto"/>
                <w:sz w:val="21"/>
                <w:szCs w:val="21"/>
                <w:highlight w:val="none"/>
                <w:lang w:bidi="ar"/>
              </w:rPr>
              <w:t>“面向隧道监控摄像机群的重点车辆重识别及统计算法研究”的系统集成部署与优化</w:t>
            </w:r>
          </w:p>
        </w:tc>
        <w:tc>
          <w:tcPr>
            <w:tcW w:w="1217" w:type="pct"/>
            <w:tcBorders>
              <w:top w:val="nil"/>
              <w:left w:val="nil"/>
              <w:bottom w:val="single" w:color="000000" w:sz="8" w:space="0"/>
              <w:right w:val="single" w:color="auto" w:sz="4" w:space="0"/>
            </w:tcBorders>
            <w:vAlign w:val="center"/>
          </w:tcPr>
          <w:p w14:paraId="5543E3B8">
            <w:pP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rPr>
              <w:tab/>
            </w:r>
            <w:r>
              <w:rPr>
                <w:rFonts w:hint="eastAsia" w:ascii="宋体" w:hAnsi="宋体" w:eastAsia="宋体" w:cs="宋体"/>
                <w:color w:val="auto"/>
                <w:highlight w:val="none"/>
              </w:rPr>
              <w:t>完成系统集成和测试方案、实验室测试报告。</w:t>
            </w:r>
          </w:p>
          <w:p w14:paraId="2C840D58">
            <w:pPr>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rPr>
              <w:tab/>
            </w:r>
            <w:r>
              <w:rPr>
                <w:rFonts w:hint="eastAsia" w:ascii="宋体" w:hAnsi="宋体" w:eastAsia="宋体" w:cs="宋体"/>
                <w:color w:val="auto"/>
                <w:highlight w:val="none"/>
              </w:rPr>
              <w:t>完成现场部署报告、现场测试报告和性能评估结果。</w:t>
            </w:r>
          </w:p>
        </w:tc>
        <w:tc>
          <w:tcPr>
            <w:tcW w:w="417" w:type="pct"/>
            <w:tcBorders>
              <w:top w:val="nil"/>
              <w:left w:val="single" w:color="auto" w:sz="4" w:space="0"/>
              <w:bottom w:val="single" w:color="000000" w:sz="8" w:space="0"/>
              <w:right w:val="single" w:color="auto" w:sz="4" w:space="0"/>
            </w:tcBorders>
            <w:vAlign w:val="center"/>
          </w:tcPr>
          <w:p w14:paraId="68996E5E">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套</w:t>
            </w:r>
          </w:p>
        </w:tc>
        <w:tc>
          <w:tcPr>
            <w:tcW w:w="513" w:type="pct"/>
            <w:tcBorders>
              <w:top w:val="nil"/>
              <w:left w:val="single" w:color="auto" w:sz="4" w:space="0"/>
              <w:bottom w:val="single" w:color="000000" w:sz="8" w:space="0"/>
              <w:right w:val="single" w:color="000000" w:sz="8" w:space="0"/>
            </w:tcBorders>
            <w:vAlign w:val="center"/>
          </w:tcPr>
          <w:p w14:paraId="4829ADA0">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469" w:type="pct"/>
            <w:tcBorders>
              <w:top w:val="nil"/>
              <w:left w:val="nil"/>
              <w:bottom w:val="single" w:color="000000" w:sz="8" w:space="0"/>
              <w:right w:val="single" w:color="000000" w:sz="8" w:space="0"/>
            </w:tcBorders>
            <w:vAlign w:val="center"/>
          </w:tcPr>
          <w:p w14:paraId="6CF47BE9">
            <w:pPr>
              <w:rPr>
                <w:rFonts w:hint="eastAsia" w:ascii="宋体" w:hAnsi="宋体" w:eastAsia="宋体" w:cs="宋体"/>
                <w:color w:val="auto"/>
                <w:sz w:val="21"/>
                <w:szCs w:val="21"/>
                <w:highlight w:val="none"/>
              </w:rPr>
            </w:pPr>
          </w:p>
        </w:tc>
        <w:tc>
          <w:tcPr>
            <w:tcW w:w="535" w:type="pct"/>
            <w:tcBorders>
              <w:top w:val="nil"/>
              <w:left w:val="nil"/>
              <w:bottom w:val="single" w:color="000000" w:sz="8" w:space="0"/>
              <w:right w:val="single" w:color="000000" w:sz="8" w:space="0"/>
            </w:tcBorders>
            <w:vAlign w:val="center"/>
          </w:tcPr>
          <w:p w14:paraId="7284C0DE">
            <w:pPr>
              <w:jc w:val="center"/>
              <w:rPr>
                <w:rFonts w:hint="eastAsia" w:ascii="宋体" w:hAnsi="宋体" w:eastAsia="宋体" w:cs="宋体"/>
                <w:color w:val="auto"/>
                <w:sz w:val="21"/>
                <w:szCs w:val="21"/>
                <w:highlight w:val="none"/>
                <w:lang w:val="en-US" w:eastAsia="zh-CN"/>
              </w:rPr>
            </w:pPr>
          </w:p>
        </w:tc>
        <w:tc>
          <w:tcPr>
            <w:tcW w:w="532" w:type="pct"/>
            <w:tcBorders>
              <w:top w:val="nil"/>
              <w:left w:val="nil"/>
              <w:bottom w:val="single" w:color="000000" w:sz="8" w:space="0"/>
              <w:right w:val="single" w:color="000000" w:sz="8" w:space="0"/>
            </w:tcBorders>
            <w:vAlign w:val="center"/>
          </w:tcPr>
          <w:p w14:paraId="6023123F">
            <w:pPr>
              <w:jc w:val="center"/>
              <w:rPr>
                <w:rFonts w:hint="eastAsia" w:ascii="宋体" w:hAnsi="宋体" w:eastAsia="宋体" w:cs="宋体"/>
                <w:color w:val="auto"/>
                <w:sz w:val="21"/>
                <w:szCs w:val="21"/>
                <w:highlight w:val="none"/>
              </w:rPr>
            </w:pPr>
          </w:p>
        </w:tc>
      </w:tr>
      <w:tr w14:paraId="1538B669">
        <w:tblPrEx>
          <w:tblCellMar>
            <w:top w:w="0" w:type="dxa"/>
            <w:left w:w="108" w:type="dxa"/>
            <w:bottom w:w="0" w:type="dxa"/>
            <w:right w:w="108" w:type="dxa"/>
          </w:tblCellMar>
        </w:tblPrEx>
        <w:trPr>
          <w:trHeight w:val="347" w:hRule="atLeast"/>
        </w:trPr>
        <w:tc>
          <w:tcPr>
            <w:tcW w:w="373" w:type="pct"/>
            <w:tcBorders>
              <w:top w:val="nil"/>
              <w:left w:val="single" w:color="000000" w:sz="8" w:space="0"/>
              <w:bottom w:val="single" w:color="auto" w:sz="4" w:space="0"/>
              <w:right w:val="single" w:color="auto" w:sz="4" w:space="0"/>
            </w:tcBorders>
            <w:vAlign w:val="center"/>
          </w:tcPr>
          <w:p w14:paraId="1565D968">
            <w:pPr>
              <w:widowControl/>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tc>
        <w:tc>
          <w:tcPr>
            <w:tcW w:w="939" w:type="pct"/>
            <w:tcBorders>
              <w:top w:val="nil"/>
              <w:left w:val="single" w:color="auto" w:sz="4" w:space="0"/>
              <w:bottom w:val="single" w:color="auto" w:sz="4" w:space="0"/>
              <w:right w:val="single" w:color="000000" w:sz="8" w:space="0"/>
            </w:tcBorders>
            <w:vAlign w:val="center"/>
          </w:tcPr>
          <w:p w14:paraId="006E1151">
            <w:pPr>
              <w:pStyle w:val="38"/>
              <w:adjustRightInd w:val="0"/>
              <w:snapToGrid w:val="0"/>
              <w:spacing w:before="0" w:beforeAutospacing="0" w:after="0" w:afterAutospacing="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里程碑5：</w:t>
            </w:r>
            <w:r>
              <w:rPr>
                <w:rFonts w:hint="eastAsia" w:ascii="宋体" w:hAnsi="宋体" w:eastAsia="宋体" w:cs="宋体"/>
                <w:color w:val="auto"/>
                <w:sz w:val="21"/>
                <w:szCs w:val="21"/>
                <w:highlight w:val="none"/>
                <w:lang w:bidi="ar"/>
              </w:rPr>
              <w:t>“面向</w:t>
            </w:r>
            <w:r>
              <w:rPr>
                <w:rFonts w:hint="eastAsia" w:ascii="宋体" w:hAnsi="宋体" w:eastAsia="宋体" w:cs="宋体"/>
                <w:bCs/>
                <w:color w:val="auto"/>
                <w:sz w:val="21"/>
                <w:szCs w:val="21"/>
                <w:highlight w:val="none"/>
              </w:rPr>
              <w:t>高速公路</w:t>
            </w:r>
            <w:r>
              <w:rPr>
                <w:rFonts w:hint="eastAsia" w:ascii="宋体" w:hAnsi="宋体" w:eastAsia="宋体" w:cs="宋体"/>
                <w:color w:val="auto"/>
                <w:sz w:val="21"/>
                <w:szCs w:val="21"/>
                <w:highlight w:val="none"/>
                <w:lang w:bidi="ar"/>
              </w:rPr>
              <w:t>监控摄像机的车辆变道行为检测算法研究”的模型训练和功能开发工作</w:t>
            </w:r>
          </w:p>
        </w:tc>
        <w:tc>
          <w:tcPr>
            <w:tcW w:w="1217" w:type="pct"/>
            <w:tcBorders>
              <w:top w:val="nil"/>
              <w:left w:val="nil"/>
              <w:bottom w:val="single" w:color="auto" w:sz="4" w:space="0"/>
              <w:right w:val="single" w:color="auto" w:sz="4" w:space="0"/>
            </w:tcBorders>
            <w:vAlign w:val="center"/>
          </w:tcPr>
          <w:p w14:paraId="6FD37153">
            <w:pPr>
              <w:rPr>
                <w:rFonts w:hint="eastAsia" w:ascii="宋体" w:hAnsi="宋体" w:eastAsia="宋体" w:cs="宋体"/>
                <w:color w:val="auto"/>
                <w:highlight w:val="none"/>
              </w:rPr>
            </w:pPr>
            <w:r>
              <w:rPr>
                <w:rFonts w:hint="eastAsia" w:ascii="宋体" w:hAnsi="宋体" w:eastAsia="宋体" w:cs="宋体"/>
                <w:color w:val="auto"/>
                <w:highlight w:val="none"/>
              </w:rPr>
              <w:t>完成模型功能开发和性能评估结果1份。</w:t>
            </w:r>
          </w:p>
          <w:p w14:paraId="47AF20D1">
            <w:pPr>
              <w:rPr>
                <w:rFonts w:hint="eastAsia" w:ascii="宋体" w:hAnsi="宋体" w:eastAsia="宋体" w:cs="宋体"/>
                <w:color w:val="auto"/>
                <w:highlight w:val="none"/>
              </w:rPr>
            </w:pPr>
            <w:r>
              <w:rPr>
                <w:rFonts w:hint="eastAsia" w:ascii="宋体" w:hAnsi="宋体" w:eastAsia="宋体" w:cs="宋体"/>
                <w:color w:val="auto"/>
                <w:highlight w:val="none"/>
              </w:rPr>
              <w:t>申请实用新型专利 1项、申请软件著作权 1项。</w:t>
            </w:r>
          </w:p>
        </w:tc>
        <w:tc>
          <w:tcPr>
            <w:tcW w:w="417" w:type="pct"/>
            <w:tcBorders>
              <w:top w:val="nil"/>
              <w:left w:val="single" w:color="auto" w:sz="4" w:space="0"/>
              <w:bottom w:val="single" w:color="auto" w:sz="4" w:space="0"/>
              <w:right w:val="single" w:color="auto" w:sz="4" w:space="0"/>
            </w:tcBorders>
            <w:vAlign w:val="center"/>
          </w:tcPr>
          <w:p w14:paraId="7F2B88B1">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套</w:t>
            </w:r>
          </w:p>
        </w:tc>
        <w:tc>
          <w:tcPr>
            <w:tcW w:w="513" w:type="pct"/>
            <w:tcBorders>
              <w:top w:val="nil"/>
              <w:left w:val="single" w:color="auto" w:sz="4" w:space="0"/>
              <w:bottom w:val="single" w:color="auto" w:sz="4" w:space="0"/>
              <w:right w:val="single" w:color="000000" w:sz="8" w:space="0"/>
            </w:tcBorders>
            <w:vAlign w:val="center"/>
          </w:tcPr>
          <w:p w14:paraId="76FB81C7">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469" w:type="pct"/>
            <w:tcBorders>
              <w:top w:val="nil"/>
              <w:left w:val="nil"/>
              <w:bottom w:val="single" w:color="auto" w:sz="4" w:space="0"/>
              <w:right w:val="single" w:color="000000" w:sz="8" w:space="0"/>
            </w:tcBorders>
            <w:vAlign w:val="center"/>
          </w:tcPr>
          <w:p w14:paraId="2BAEBC32">
            <w:pPr>
              <w:rPr>
                <w:rFonts w:hint="eastAsia" w:ascii="宋体" w:hAnsi="宋体" w:eastAsia="宋体" w:cs="宋体"/>
                <w:color w:val="auto"/>
                <w:sz w:val="21"/>
                <w:szCs w:val="21"/>
                <w:highlight w:val="none"/>
              </w:rPr>
            </w:pPr>
          </w:p>
        </w:tc>
        <w:tc>
          <w:tcPr>
            <w:tcW w:w="535" w:type="pct"/>
            <w:tcBorders>
              <w:top w:val="nil"/>
              <w:left w:val="nil"/>
              <w:bottom w:val="single" w:color="auto" w:sz="4" w:space="0"/>
              <w:right w:val="single" w:color="000000" w:sz="8" w:space="0"/>
            </w:tcBorders>
            <w:vAlign w:val="center"/>
          </w:tcPr>
          <w:p w14:paraId="0E12075B">
            <w:pPr>
              <w:jc w:val="center"/>
              <w:rPr>
                <w:rFonts w:hint="eastAsia" w:ascii="宋体" w:hAnsi="宋体" w:eastAsia="宋体" w:cs="宋体"/>
                <w:color w:val="auto"/>
                <w:sz w:val="21"/>
                <w:szCs w:val="21"/>
                <w:highlight w:val="none"/>
                <w:lang w:val="en-US" w:eastAsia="zh-CN"/>
              </w:rPr>
            </w:pPr>
          </w:p>
        </w:tc>
        <w:tc>
          <w:tcPr>
            <w:tcW w:w="532" w:type="pct"/>
            <w:tcBorders>
              <w:top w:val="nil"/>
              <w:left w:val="nil"/>
              <w:bottom w:val="single" w:color="auto" w:sz="4" w:space="0"/>
              <w:right w:val="single" w:color="000000" w:sz="8" w:space="0"/>
            </w:tcBorders>
            <w:vAlign w:val="center"/>
          </w:tcPr>
          <w:p w14:paraId="4F105D86">
            <w:pPr>
              <w:jc w:val="center"/>
              <w:rPr>
                <w:rFonts w:hint="eastAsia" w:ascii="宋体" w:hAnsi="宋体" w:eastAsia="宋体" w:cs="宋体"/>
                <w:color w:val="auto"/>
                <w:sz w:val="21"/>
                <w:szCs w:val="21"/>
                <w:highlight w:val="none"/>
              </w:rPr>
            </w:pPr>
          </w:p>
        </w:tc>
      </w:tr>
      <w:tr w14:paraId="55B5818E">
        <w:tblPrEx>
          <w:tblCellMar>
            <w:top w:w="0" w:type="dxa"/>
            <w:left w:w="108" w:type="dxa"/>
            <w:bottom w:w="0" w:type="dxa"/>
            <w:right w:w="108" w:type="dxa"/>
          </w:tblCellMar>
        </w:tblPrEx>
        <w:trPr>
          <w:trHeight w:val="1035" w:hRule="atLeast"/>
        </w:trPr>
        <w:tc>
          <w:tcPr>
            <w:tcW w:w="373" w:type="pct"/>
            <w:tcBorders>
              <w:top w:val="single" w:color="auto" w:sz="4" w:space="0"/>
              <w:left w:val="single" w:color="auto" w:sz="4" w:space="0"/>
              <w:bottom w:val="single" w:color="auto" w:sz="4" w:space="0"/>
              <w:right w:val="single" w:color="auto" w:sz="4" w:space="0"/>
            </w:tcBorders>
            <w:vAlign w:val="center"/>
          </w:tcPr>
          <w:p w14:paraId="668EACA6">
            <w:pPr>
              <w:widowControl/>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6</w:t>
            </w:r>
          </w:p>
        </w:tc>
        <w:tc>
          <w:tcPr>
            <w:tcW w:w="939" w:type="pct"/>
            <w:tcBorders>
              <w:top w:val="single" w:color="auto" w:sz="4" w:space="0"/>
              <w:left w:val="single" w:color="auto" w:sz="4" w:space="0"/>
              <w:bottom w:val="single" w:color="auto" w:sz="4" w:space="0"/>
              <w:right w:val="single" w:color="000000" w:sz="8" w:space="0"/>
            </w:tcBorders>
            <w:vAlign w:val="center"/>
          </w:tcPr>
          <w:p w14:paraId="5B6BA109">
            <w:pPr>
              <w:pStyle w:val="38"/>
              <w:adjustRightInd w:val="0"/>
              <w:snapToGrid w:val="0"/>
              <w:spacing w:before="0" w:beforeAutospacing="0" w:after="0" w:afterAutospacing="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里程碑6：</w:t>
            </w:r>
            <w:r>
              <w:rPr>
                <w:rFonts w:hint="eastAsia" w:ascii="宋体" w:hAnsi="宋体" w:eastAsia="宋体" w:cs="宋体"/>
                <w:color w:val="auto"/>
                <w:sz w:val="21"/>
                <w:szCs w:val="21"/>
                <w:highlight w:val="none"/>
                <w:lang w:bidi="ar"/>
              </w:rPr>
              <w:t>“面向隧道监控摄像机群的重点车辆重识别及统计算法研究”的项目收尾和成果申报。</w:t>
            </w:r>
          </w:p>
        </w:tc>
        <w:tc>
          <w:tcPr>
            <w:tcW w:w="1217" w:type="pct"/>
            <w:tcBorders>
              <w:top w:val="single" w:color="auto" w:sz="4" w:space="0"/>
              <w:left w:val="nil"/>
              <w:bottom w:val="single" w:color="auto" w:sz="4" w:space="0"/>
              <w:right w:val="single" w:color="auto" w:sz="4" w:space="0"/>
            </w:tcBorders>
            <w:vAlign w:val="center"/>
          </w:tcPr>
          <w:p w14:paraId="03BC3CF9">
            <w:pPr>
              <w:rPr>
                <w:rFonts w:hint="eastAsia" w:ascii="宋体" w:hAnsi="宋体" w:eastAsia="宋体" w:cs="宋体"/>
                <w:color w:val="auto"/>
                <w:highlight w:val="none"/>
              </w:rPr>
            </w:pPr>
            <w:r>
              <w:rPr>
                <w:rFonts w:hint="eastAsia" w:ascii="宋体" w:hAnsi="宋体" w:eastAsia="宋体" w:cs="宋体"/>
                <w:color w:val="auto"/>
                <w:highlight w:val="none"/>
              </w:rPr>
              <w:t>完成项目总结报告和技术手册1份。</w:t>
            </w:r>
          </w:p>
          <w:p w14:paraId="1C8E4977">
            <w:pPr>
              <w:rPr>
                <w:rFonts w:hint="eastAsia" w:ascii="宋体" w:hAnsi="宋体" w:eastAsia="宋体" w:cs="宋体"/>
                <w:color w:val="auto"/>
                <w:highlight w:val="none"/>
              </w:rPr>
            </w:pPr>
            <w:r>
              <w:rPr>
                <w:rFonts w:hint="eastAsia" w:ascii="宋体" w:hAnsi="宋体" w:eastAsia="宋体" w:cs="宋体"/>
                <w:color w:val="auto"/>
                <w:highlight w:val="none"/>
              </w:rPr>
              <w:t>申请实用新型专利 1项、申请软件著作权 1项。</w:t>
            </w:r>
          </w:p>
          <w:p w14:paraId="1630B164">
            <w:pPr>
              <w:rPr>
                <w:rFonts w:hint="eastAsia" w:ascii="宋体" w:hAnsi="宋体" w:eastAsia="宋体" w:cs="宋体"/>
                <w:color w:val="auto"/>
                <w:highlight w:val="none"/>
              </w:rPr>
            </w:pPr>
            <w:r>
              <w:rPr>
                <w:rFonts w:hint="eastAsia" w:ascii="宋体" w:hAnsi="宋体" w:eastAsia="宋体" w:cs="宋体"/>
                <w:color w:val="auto"/>
                <w:highlight w:val="none"/>
              </w:rPr>
              <w:t>发表SCI论文1篇。</w:t>
            </w:r>
          </w:p>
        </w:tc>
        <w:tc>
          <w:tcPr>
            <w:tcW w:w="417" w:type="pct"/>
            <w:tcBorders>
              <w:top w:val="single" w:color="auto" w:sz="4" w:space="0"/>
              <w:left w:val="single" w:color="auto" w:sz="4" w:space="0"/>
              <w:bottom w:val="single" w:color="auto" w:sz="4" w:space="0"/>
              <w:right w:val="single" w:color="auto" w:sz="4" w:space="0"/>
            </w:tcBorders>
            <w:vAlign w:val="center"/>
          </w:tcPr>
          <w:p w14:paraId="22F8CBF4">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套</w:t>
            </w:r>
          </w:p>
        </w:tc>
        <w:tc>
          <w:tcPr>
            <w:tcW w:w="513" w:type="pct"/>
            <w:tcBorders>
              <w:top w:val="single" w:color="auto" w:sz="4" w:space="0"/>
              <w:left w:val="single" w:color="auto" w:sz="4" w:space="0"/>
              <w:bottom w:val="single" w:color="auto" w:sz="4" w:space="0"/>
              <w:right w:val="single" w:color="000000" w:sz="8" w:space="0"/>
            </w:tcBorders>
            <w:vAlign w:val="center"/>
          </w:tcPr>
          <w:p w14:paraId="455540A3">
            <w:pPr>
              <w:widowControl/>
              <w:jc w:val="center"/>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469" w:type="pct"/>
            <w:tcBorders>
              <w:top w:val="single" w:color="auto" w:sz="4" w:space="0"/>
              <w:left w:val="nil"/>
              <w:bottom w:val="single" w:color="auto" w:sz="4" w:space="0"/>
              <w:right w:val="single" w:color="000000" w:sz="8" w:space="0"/>
            </w:tcBorders>
            <w:vAlign w:val="center"/>
          </w:tcPr>
          <w:p w14:paraId="11B23440">
            <w:pPr>
              <w:rPr>
                <w:rFonts w:hint="eastAsia" w:ascii="宋体" w:hAnsi="宋体" w:eastAsia="宋体" w:cs="宋体"/>
                <w:color w:val="auto"/>
                <w:sz w:val="21"/>
                <w:szCs w:val="21"/>
                <w:highlight w:val="none"/>
              </w:rPr>
            </w:pPr>
          </w:p>
        </w:tc>
        <w:tc>
          <w:tcPr>
            <w:tcW w:w="535" w:type="pct"/>
            <w:tcBorders>
              <w:top w:val="single" w:color="auto" w:sz="4" w:space="0"/>
              <w:left w:val="nil"/>
              <w:bottom w:val="single" w:color="auto" w:sz="4" w:space="0"/>
              <w:right w:val="single" w:color="000000" w:sz="8" w:space="0"/>
            </w:tcBorders>
            <w:vAlign w:val="center"/>
          </w:tcPr>
          <w:p w14:paraId="5EF5FA52">
            <w:pPr>
              <w:jc w:val="center"/>
              <w:rPr>
                <w:rFonts w:hint="eastAsia" w:ascii="宋体" w:hAnsi="宋体" w:eastAsia="宋体" w:cs="宋体"/>
                <w:color w:val="auto"/>
                <w:sz w:val="21"/>
                <w:szCs w:val="21"/>
                <w:highlight w:val="none"/>
                <w:lang w:val="en-US" w:eastAsia="zh-CN"/>
              </w:rPr>
            </w:pPr>
          </w:p>
        </w:tc>
        <w:tc>
          <w:tcPr>
            <w:tcW w:w="532" w:type="pct"/>
            <w:tcBorders>
              <w:top w:val="single" w:color="auto" w:sz="4" w:space="0"/>
              <w:left w:val="nil"/>
              <w:bottom w:val="single" w:color="auto" w:sz="4" w:space="0"/>
              <w:right w:val="single" w:color="auto" w:sz="4" w:space="0"/>
            </w:tcBorders>
            <w:vAlign w:val="center"/>
          </w:tcPr>
          <w:p w14:paraId="64F2AF1E">
            <w:pPr>
              <w:jc w:val="center"/>
              <w:rPr>
                <w:rFonts w:hint="eastAsia" w:ascii="宋体" w:hAnsi="宋体" w:eastAsia="宋体" w:cs="宋体"/>
                <w:color w:val="auto"/>
                <w:sz w:val="21"/>
                <w:szCs w:val="21"/>
                <w:highlight w:val="none"/>
              </w:rPr>
            </w:pPr>
          </w:p>
        </w:tc>
      </w:tr>
      <w:tr w14:paraId="456B5234">
        <w:tblPrEx>
          <w:tblCellMar>
            <w:top w:w="0" w:type="dxa"/>
            <w:left w:w="108" w:type="dxa"/>
            <w:bottom w:w="0" w:type="dxa"/>
            <w:right w:w="108" w:type="dxa"/>
          </w:tblCellMar>
        </w:tblPrEx>
        <w:trPr>
          <w:trHeight w:val="510" w:hRule="atLeast"/>
        </w:trPr>
        <w:tc>
          <w:tcPr>
            <w:tcW w:w="2530" w:type="pct"/>
            <w:gridSpan w:val="3"/>
            <w:tcBorders>
              <w:top w:val="single" w:color="auto" w:sz="4" w:space="0"/>
              <w:left w:val="single" w:color="000000" w:sz="8" w:space="0"/>
              <w:bottom w:val="single" w:color="000000" w:sz="8" w:space="0"/>
              <w:right w:val="single" w:color="000000" w:sz="8" w:space="0"/>
            </w:tcBorders>
            <w:vAlign w:val="center"/>
          </w:tcPr>
          <w:p w14:paraId="1BC48836">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税率（%）</w:t>
            </w:r>
          </w:p>
        </w:tc>
        <w:tc>
          <w:tcPr>
            <w:tcW w:w="2469" w:type="pct"/>
            <w:gridSpan w:val="5"/>
            <w:tcBorders>
              <w:top w:val="single" w:color="auto" w:sz="4" w:space="0"/>
              <w:left w:val="nil"/>
              <w:bottom w:val="single" w:color="000000" w:sz="8" w:space="0"/>
              <w:right w:val="single" w:color="000000" w:sz="8" w:space="0"/>
            </w:tcBorders>
            <w:vAlign w:val="center"/>
          </w:tcPr>
          <w:p w14:paraId="269D3703">
            <w:pPr>
              <w:jc w:val="center"/>
              <w:rPr>
                <w:rFonts w:hint="eastAsia" w:ascii="宋体" w:hAnsi="宋体" w:eastAsia="宋体" w:cs="宋体"/>
                <w:color w:val="auto"/>
                <w:sz w:val="21"/>
                <w:szCs w:val="21"/>
                <w:highlight w:val="none"/>
              </w:rPr>
            </w:pPr>
            <w:bookmarkStart w:id="234" w:name="_GoBack"/>
            <w:bookmarkEnd w:id="234"/>
          </w:p>
        </w:tc>
      </w:tr>
      <w:tr w14:paraId="78ABBD96">
        <w:tblPrEx>
          <w:tblCellMar>
            <w:top w:w="0" w:type="dxa"/>
            <w:left w:w="108" w:type="dxa"/>
            <w:bottom w:w="0" w:type="dxa"/>
            <w:right w:w="108" w:type="dxa"/>
          </w:tblCellMar>
        </w:tblPrEx>
        <w:trPr>
          <w:trHeight w:val="450" w:hRule="atLeast"/>
        </w:trPr>
        <w:tc>
          <w:tcPr>
            <w:tcW w:w="2530" w:type="pct"/>
            <w:gridSpan w:val="3"/>
            <w:tcBorders>
              <w:top w:val="nil"/>
              <w:left w:val="single" w:color="000000" w:sz="8" w:space="0"/>
              <w:bottom w:val="single" w:color="000000" w:sz="8" w:space="0"/>
              <w:right w:val="single" w:color="000000" w:sz="8" w:space="0"/>
            </w:tcBorders>
            <w:vAlign w:val="center"/>
          </w:tcPr>
          <w:p w14:paraId="4C7C7E6F">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含税总报价（元）</w:t>
            </w:r>
          </w:p>
        </w:tc>
        <w:tc>
          <w:tcPr>
            <w:tcW w:w="2469" w:type="pct"/>
            <w:gridSpan w:val="5"/>
            <w:tcBorders>
              <w:top w:val="nil"/>
              <w:left w:val="nil"/>
              <w:bottom w:val="single" w:color="000000" w:sz="8" w:space="0"/>
              <w:right w:val="single" w:color="000000" w:sz="8" w:space="0"/>
            </w:tcBorders>
            <w:vAlign w:val="center"/>
          </w:tcPr>
          <w:p w14:paraId="02045E8B">
            <w:pPr>
              <w:jc w:val="center"/>
              <w:rPr>
                <w:rFonts w:hint="eastAsia" w:ascii="宋体" w:hAnsi="宋体" w:eastAsia="宋体" w:cs="宋体"/>
                <w:color w:val="auto"/>
                <w:sz w:val="21"/>
                <w:szCs w:val="21"/>
                <w:highlight w:val="none"/>
              </w:rPr>
            </w:pPr>
          </w:p>
        </w:tc>
      </w:tr>
    </w:tbl>
    <w:p w14:paraId="34611B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注：1</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含税</w:t>
      </w:r>
      <w:r>
        <w:rPr>
          <w:rFonts w:hint="eastAsia" w:ascii="宋体" w:hAnsi="宋体" w:eastAsia="宋体" w:cs="宋体"/>
          <w:b w:val="0"/>
          <w:bCs w:val="0"/>
          <w:color w:val="auto"/>
          <w:sz w:val="21"/>
          <w:szCs w:val="21"/>
          <w:highlight w:val="none"/>
        </w:rPr>
        <w:t>总报价应与</w:t>
      </w:r>
      <w:r>
        <w:rPr>
          <w:rFonts w:hint="eastAsia" w:ascii="宋体" w:hAnsi="宋体" w:eastAsia="宋体" w:cs="宋体"/>
          <w:b w:val="0"/>
          <w:bCs w:val="0"/>
          <w:color w:val="auto"/>
          <w:sz w:val="21"/>
          <w:szCs w:val="21"/>
          <w:highlight w:val="none"/>
          <w:lang w:eastAsia="zh-CN"/>
        </w:rPr>
        <w:t>竞争性比选</w:t>
      </w:r>
      <w:r>
        <w:rPr>
          <w:rFonts w:hint="eastAsia" w:ascii="宋体" w:hAnsi="宋体" w:eastAsia="宋体" w:cs="宋体"/>
          <w:b w:val="0"/>
          <w:bCs w:val="0"/>
          <w:color w:val="auto"/>
          <w:sz w:val="21"/>
          <w:szCs w:val="21"/>
          <w:highlight w:val="none"/>
        </w:rPr>
        <w:t>响应声明书中的报价一致；所有价格均系用人民币表示，单位为“元”，报价最多精确到小数点后两位。</w:t>
      </w:r>
    </w:p>
    <w:p w14:paraId="0B101B3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s="Times New Roman"/>
          <w:b w:val="0"/>
          <w:bCs w:val="0"/>
          <w:color w:val="auto"/>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人应仔细核实</w:t>
      </w:r>
      <w:r>
        <w:rPr>
          <w:rFonts w:hint="eastAsia" w:ascii="宋体" w:hAnsi="宋体" w:eastAsia="宋体" w:cs="宋体"/>
          <w:b w:val="0"/>
          <w:bCs w:val="0"/>
          <w:color w:val="auto"/>
          <w:sz w:val="21"/>
          <w:szCs w:val="21"/>
          <w:highlight w:val="none"/>
          <w:lang w:val="en-US" w:eastAsia="zh-CN"/>
        </w:rPr>
        <w:t>比选</w:t>
      </w:r>
      <w:r>
        <w:rPr>
          <w:rFonts w:hint="eastAsia" w:ascii="宋体" w:hAnsi="宋体" w:eastAsia="宋体" w:cs="宋体"/>
          <w:b w:val="0"/>
          <w:bCs w:val="0"/>
          <w:color w:val="auto"/>
          <w:sz w:val="21"/>
          <w:szCs w:val="21"/>
          <w:highlight w:val="none"/>
        </w:rPr>
        <w:t>范围内所包含的所有计费项目，未报及漏报的项目将视为是</w:t>
      </w:r>
      <w:r>
        <w:rPr>
          <w:rFonts w:hint="eastAsia" w:ascii="宋体" w:hAnsi="宋体" w:eastAsia="宋体" w:cs="宋体"/>
          <w:b w:val="0"/>
          <w:bCs w:val="0"/>
          <w:color w:val="auto"/>
          <w:sz w:val="21"/>
          <w:szCs w:val="21"/>
          <w:highlight w:val="none"/>
          <w:lang w:val="en-US" w:eastAsia="zh-CN"/>
        </w:rPr>
        <w:t>报价</w:t>
      </w:r>
      <w:r>
        <w:rPr>
          <w:rFonts w:hint="eastAsia" w:ascii="宋体" w:hAnsi="宋体" w:eastAsia="宋体" w:cs="宋体"/>
          <w:b w:val="0"/>
          <w:bCs w:val="0"/>
          <w:color w:val="auto"/>
          <w:sz w:val="21"/>
          <w:szCs w:val="21"/>
          <w:highlight w:val="none"/>
        </w:rPr>
        <w:t>人对</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人进行优惠，结算时不再进行增加。</w:t>
      </w:r>
    </w:p>
    <w:p w14:paraId="54AC7E68">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b w:val="0"/>
          <w:bCs w:val="0"/>
          <w:color w:val="auto"/>
          <w:sz w:val="24"/>
          <w:highlight w:val="none"/>
        </w:rPr>
      </w:pPr>
    </w:p>
    <w:p w14:paraId="31A59ECC">
      <w:pPr>
        <w:tabs>
          <w:tab w:val="left" w:pos="7140"/>
          <w:tab w:val="left" w:pos="7560"/>
          <w:tab w:val="left" w:pos="8300"/>
        </w:tabs>
        <w:autoSpaceDE w:val="0"/>
        <w:autoSpaceDN w:val="0"/>
        <w:adjustRightInd w:val="0"/>
        <w:ind w:firstLine="420" w:firstLineChars="200"/>
        <w:jc w:val="right"/>
        <w:rPr>
          <w:rFonts w:hint="eastAsia" w:ascii="宋体" w:hAnsi="宋体"/>
          <w:b w:val="0"/>
          <w:bCs w:val="0"/>
          <w:color w:val="auto"/>
          <w:kern w:val="0"/>
          <w:szCs w:val="21"/>
          <w:highlight w:val="none"/>
          <w:lang w:val="en-US" w:eastAsia="zh-CN"/>
        </w:rPr>
      </w:pPr>
    </w:p>
    <w:p w14:paraId="58BF5CA4">
      <w:pPr>
        <w:tabs>
          <w:tab w:val="left" w:pos="7140"/>
          <w:tab w:val="left" w:pos="7560"/>
          <w:tab w:val="left" w:pos="8300"/>
        </w:tabs>
        <w:autoSpaceDE w:val="0"/>
        <w:autoSpaceDN w:val="0"/>
        <w:adjustRightInd w:val="0"/>
        <w:ind w:firstLine="420" w:firstLineChars="200"/>
        <w:jc w:val="right"/>
        <w:rPr>
          <w:rFonts w:hint="eastAsia" w:ascii="宋体" w:hAnsi="宋体"/>
          <w:b w:val="0"/>
          <w:bCs w:val="0"/>
          <w:snapToGrid w:val="0"/>
          <w:color w:val="auto"/>
          <w:kern w:val="0"/>
          <w:szCs w:val="21"/>
          <w:highlight w:val="none"/>
        </w:rPr>
      </w:pPr>
      <w:r>
        <w:rPr>
          <w:rFonts w:hint="eastAsia" w:ascii="宋体" w:hAnsi="宋体"/>
          <w:b w:val="0"/>
          <w:bCs w:val="0"/>
          <w:color w:val="auto"/>
          <w:kern w:val="0"/>
          <w:szCs w:val="21"/>
          <w:highlight w:val="none"/>
          <w:lang w:val="en-US" w:eastAsia="zh-CN"/>
        </w:rPr>
        <w:t>报价</w:t>
      </w:r>
      <w:r>
        <w:rPr>
          <w:rFonts w:ascii="宋体" w:hAnsi="宋体"/>
          <w:b w:val="0"/>
          <w:bCs w:val="0"/>
          <w:color w:val="auto"/>
          <w:kern w:val="0"/>
          <w:szCs w:val="21"/>
          <w:highlight w:val="none"/>
        </w:rPr>
        <w:t>人：</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lang w:val="en-US" w:eastAsia="zh-CN"/>
        </w:rPr>
        <w:t xml:space="preserve">  </w:t>
      </w:r>
      <w:r>
        <w:rPr>
          <w:rFonts w:ascii="宋体" w:hAnsi="宋体"/>
          <w:b w:val="0"/>
          <w:bCs w:val="0"/>
          <w:color w:val="auto"/>
          <w:w w:val="200"/>
          <w:kern w:val="0"/>
          <w:szCs w:val="21"/>
          <w:highlight w:val="none"/>
          <w:u w:val="single"/>
        </w:rPr>
        <w:t xml:space="preserve"> </w:t>
      </w:r>
      <w:r>
        <w:rPr>
          <w:rFonts w:hint="eastAsia" w:ascii="宋体" w:hAnsi="宋体"/>
          <w:b w:val="0"/>
          <w:bCs w:val="0"/>
          <w:color w:val="auto"/>
          <w:w w:val="200"/>
          <w:kern w:val="0"/>
          <w:szCs w:val="21"/>
          <w:highlight w:val="none"/>
          <w:u w:val="single"/>
        </w:rPr>
        <w:t xml:space="preserve"> </w:t>
      </w:r>
      <w:r>
        <w:rPr>
          <w:rFonts w:ascii="宋体" w:hAnsi="宋体"/>
          <w:b w:val="0"/>
          <w:bCs w:val="0"/>
          <w:color w:val="auto"/>
          <w:kern w:val="0"/>
          <w:szCs w:val="21"/>
          <w:highlight w:val="none"/>
        </w:rPr>
        <w:t>（</w:t>
      </w:r>
      <w:r>
        <w:rPr>
          <w:rFonts w:ascii="宋体" w:hAnsi="宋体"/>
          <w:b w:val="0"/>
          <w:bCs w:val="0"/>
          <w:color w:val="auto"/>
          <w:spacing w:val="-1"/>
          <w:kern w:val="0"/>
          <w:szCs w:val="21"/>
          <w:highlight w:val="none"/>
        </w:rPr>
        <w:t>盖单位</w:t>
      </w:r>
      <w:r>
        <w:rPr>
          <w:rFonts w:hint="eastAsia" w:ascii="宋体" w:hAnsi="宋体"/>
          <w:b w:val="0"/>
          <w:bCs w:val="0"/>
          <w:color w:val="auto"/>
          <w:spacing w:val="-1"/>
          <w:kern w:val="0"/>
          <w:szCs w:val="21"/>
          <w:highlight w:val="none"/>
        </w:rPr>
        <w:t>公</w:t>
      </w:r>
      <w:r>
        <w:rPr>
          <w:rFonts w:ascii="宋体" w:hAnsi="宋体"/>
          <w:b w:val="0"/>
          <w:bCs w:val="0"/>
          <w:color w:val="auto"/>
          <w:spacing w:val="-1"/>
          <w:kern w:val="0"/>
          <w:szCs w:val="21"/>
          <w:highlight w:val="none"/>
        </w:rPr>
        <w:t>章</w:t>
      </w:r>
      <w:r>
        <w:rPr>
          <w:rFonts w:ascii="宋体" w:hAnsi="宋体"/>
          <w:b w:val="0"/>
          <w:bCs w:val="0"/>
          <w:color w:val="auto"/>
          <w:kern w:val="0"/>
          <w:szCs w:val="21"/>
          <w:highlight w:val="none"/>
        </w:rPr>
        <w:t>）</w:t>
      </w:r>
    </w:p>
    <w:p w14:paraId="2211DE7F">
      <w:pPr>
        <w:jc w:val="right"/>
        <w:rPr>
          <w:rFonts w:hint="eastAsia" w:ascii="宋体" w:hAnsi="宋体"/>
          <w:b w:val="0"/>
          <w:bCs w:val="0"/>
          <w:color w:val="auto"/>
          <w:kern w:val="0"/>
          <w:szCs w:val="21"/>
          <w:highlight w:val="none"/>
          <w:u w:val="single"/>
        </w:rPr>
      </w:pPr>
    </w:p>
    <w:p w14:paraId="6C96DC43">
      <w:pPr>
        <w:jc w:val="right"/>
        <w:rPr>
          <w:rFonts w:hint="eastAsia" w:ascii="宋体" w:hAnsi="宋体"/>
          <w:b/>
          <w:bCs/>
          <w:color w:val="auto"/>
          <w:kern w:val="0"/>
          <w:szCs w:val="21"/>
          <w:highlight w:val="none"/>
        </w:rPr>
      </w:pP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年</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月</w:t>
      </w:r>
      <w:r>
        <w:rPr>
          <w:rFonts w:hint="eastAsia" w:ascii="宋体" w:hAnsi="宋体"/>
          <w:b w:val="0"/>
          <w:bCs w:val="0"/>
          <w:color w:val="auto"/>
          <w:kern w:val="0"/>
          <w:szCs w:val="21"/>
          <w:highlight w:val="none"/>
          <w:u w:val="single"/>
        </w:rPr>
        <w:t xml:space="preserve">    </w:t>
      </w:r>
      <w:r>
        <w:rPr>
          <w:rFonts w:ascii="宋体" w:hAnsi="宋体"/>
          <w:b w:val="0"/>
          <w:bCs w:val="0"/>
          <w:color w:val="auto"/>
          <w:kern w:val="0"/>
          <w:szCs w:val="21"/>
          <w:highlight w:val="none"/>
        </w:rPr>
        <w:t>日</w:t>
      </w:r>
    </w:p>
    <w:p w14:paraId="077C5DFE">
      <w:pPr>
        <w:pStyle w:val="3"/>
        <w:spacing w:before="0" w:after="0" w:line="360" w:lineRule="auto"/>
        <w:jc w:val="center"/>
        <w:rPr>
          <w:rFonts w:ascii="宋体" w:hAnsi="宋体" w:eastAsia="宋体" w:cs="宋体"/>
          <w:color w:val="auto"/>
          <w:sz w:val="28"/>
          <w:highlight w:val="none"/>
        </w:rPr>
      </w:pPr>
      <w:r>
        <w:rPr>
          <w:rFonts w:hint="eastAsia" w:ascii="宋体" w:hAnsi="宋体" w:eastAsia="宋体" w:cs="宋体"/>
          <w:color w:val="auto"/>
          <w:sz w:val="28"/>
          <w:highlight w:val="none"/>
        </w:rPr>
        <w:br w:type="page"/>
      </w:r>
      <w:bookmarkStart w:id="226" w:name="_Toc11961"/>
      <w:bookmarkStart w:id="227" w:name="_Toc12910"/>
      <w:bookmarkStart w:id="228" w:name="_Toc26104"/>
      <w:bookmarkStart w:id="229" w:name="_Toc18757"/>
      <w:r>
        <w:rPr>
          <w:rFonts w:hint="eastAsia" w:ascii="宋体" w:hAnsi="宋体" w:eastAsia="宋体" w:cs="宋体"/>
          <w:color w:val="auto"/>
          <w:sz w:val="28"/>
          <w:highlight w:val="none"/>
        </w:rPr>
        <w:t>四、资格审查资料</w:t>
      </w:r>
      <w:bookmarkEnd w:id="215"/>
      <w:bookmarkEnd w:id="216"/>
      <w:bookmarkEnd w:id="217"/>
      <w:bookmarkEnd w:id="226"/>
      <w:bookmarkEnd w:id="227"/>
      <w:bookmarkEnd w:id="228"/>
      <w:bookmarkEnd w:id="229"/>
    </w:p>
    <w:bookmarkEnd w:id="218"/>
    <w:bookmarkEnd w:id="219"/>
    <w:bookmarkEnd w:id="220"/>
    <w:bookmarkEnd w:id="221"/>
    <w:bookmarkEnd w:id="222"/>
    <w:bookmarkEnd w:id="223"/>
    <w:bookmarkEnd w:id="224"/>
    <w:bookmarkEnd w:id="225"/>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5EBA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30B1888E">
            <w:pPr>
              <w:spacing w:line="400" w:lineRule="exact"/>
              <w:jc w:val="center"/>
              <w:rPr>
                <w:rFonts w:ascii="宋体" w:hAnsi="宋体" w:cs="宋体"/>
                <w:color w:val="auto"/>
                <w:szCs w:val="21"/>
                <w:highlight w:val="none"/>
              </w:rPr>
            </w:pPr>
            <w:bookmarkStart w:id="230" w:name="_Toc503951058"/>
            <w:bookmarkStart w:id="231" w:name="_Toc513633974"/>
            <w:r>
              <w:rPr>
                <w:rFonts w:hint="eastAsia" w:ascii="宋体" w:hAnsi="宋体" w:cs="宋体"/>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5C58196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230483E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5619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64" w:type="dxa"/>
            <w:tcBorders>
              <w:top w:val="single" w:color="auto" w:sz="4" w:space="0"/>
              <w:left w:val="single" w:color="auto" w:sz="4" w:space="0"/>
              <w:bottom w:val="single" w:color="auto" w:sz="4" w:space="0"/>
              <w:right w:val="single" w:color="auto" w:sz="4" w:space="0"/>
            </w:tcBorders>
            <w:vAlign w:val="center"/>
          </w:tcPr>
          <w:p w14:paraId="54F2882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6CAEDCD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14:paraId="768AD641">
            <w:pPr>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报价人具有独立法人资格及有效的营业执照。</w:t>
            </w:r>
          </w:p>
        </w:tc>
      </w:tr>
      <w:tr w14:paraId="6CE1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664" w:type="dxa"/>
            <w:tcBorders>
              <w:top w:val="single" w:color="auto" w:sz="4" w:space="0"/>
              <w:left w:val="single" w:color="auto" w:sz="4" w:space="0"/>
              <w:bottom w:val="single" w:color="auto" w:sz="4" w:space="0"/>
              <w:right w:val="single" w:color="auto" w:sz="4" w:space="0"/>
            </w:tcBorders>
            <w:vAlign w:val="center"/>
          </w:tcPr>
          <w:p w14:paraId="2107CC7A">
            <w:pPr>
              <w:spacing w:line="4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14:paraId="2FB9B6D8">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14:paraId="24E4E353">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eastAsia="宋体" w:cs="宋体"/>
                <w:color w:val="auto"/>
                <w:sz w:val="21"/>
                <w:szCs w:val="21"/>
                <w:highlight w:val="none"/>
                <w:lang w:val="en-US" w:eastAsia="zh-CN"/>
              </w:rPr>
              <w:t>2022年1月1日至竞争性比选文件发出之日（以合同签订时间为准）起至少承担一项合同金额不低于</w:t>
            </w:r>
            <w:r>
              <w:rPr>
                <w:rFonts w:hint="eastAsia" w:ascii="宋体" w:hAnsi="宋体" w:cs="宋体"/>
                <w:color w:val="auto"/>
                <w:sz w:val="21"/>
                <w:szCs w:val="21"/>
                <w:highlight w:val="none"/>
                <w:lang w:val="en-US" w:eastAsia="zh-CN"/>
              </w:rPr>
              <w:t>40</w:t>
            </w:r>
            <w:r>
              <w:rPr>
                <w:rFonts w:hint="eastAsia" w:ascii="宋体" w:hAnsi="宋体" w:eastAsia="宋体" w:cs="宋体"/>
                <w:color w:val="auto"/>
                <w:sz w:val="21"/>
                <w:szCs w:val="21"/>
                <w:highlight w:val="none"/>
                <w:lang w:val="en-US" w:eastAsia="zh-CN"/>
              </w:rPr>
              <w:t>万元的</w:t>
            </w:r>
            <w:r>
              <w:rPr>
                <w:rFonts w:hint="eastAsia" w:ascii="宋体" w:hAnsi="宋体" w:cs="宋体"/>
                <w:color w:val="auto"/>
                <w:sz w:val="21"/>
                <w:szCs w:val="21"/>
                <w:highlight w:val="none"/>
                <w:lang w:val="en-US" w:eastAsia="zh-CN"/>
              </w:rPr>
              <w:t>数字化相关应用（平台或系统）的研究业绩</w:t>
            </w:r>
            <w:r>
              <w:rPr>
                <w:rFonts w:hint="eastAsia" w:ascii="宋体" w:hAnsi="宋体" w:eastAsia="宋体" w:cs="宋体"/>
                <w:color w:val="auto"/>
                <w:sz w:val="21"/>
                <w:szCs w:val="21"/>
                <w:highlight w:val="none"/>
                <w:lang w:val="en-US" w:eastAsia="zh-CN"/>
              </w:rPr>
              <w:t>。</w:t>
            </w:r>
          </w:p>
        </w:tc>
      </w:tr>
      <w:tr w14:paraId="2A7C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14:paraId="03B60717">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14:paraId="1D0F257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2AA8AB38">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6DE8D8ED">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Ansi="宋体"/>
          <w:b/>
          <w:bCs/>
          <w:color w:val="auto"/>
          <w:sz w:val="21"/>
          <w:szCs w:val="21"/>
          <w:highlight w:val="none"/>
        </w:rPr>
      </w:pPr>
      <w:r>
        <w:rPr>
          <w:rFonts w:hint="eastAsia" w:hAnsi="宋体"/>
          <w:b/>
          <w:bCs/>
          <w:color w:val="auto"/>
          <w:sz w:val="21"/>
          <w:szCs w:val="21"/>
          <w:highlight w:val="none"/>
        </w:rPr>
        <w:t>注：1.提供营业执照复印件，并加盖</w:t>
      </w:r>
      <w:r>
        <w:rPr>
          <w:rFonts w:hint="eastAsia" w:hAnsi="宋体"/>
          <w:b/>
          <w:bCs/>
          <w:color w:val="auto"/>
          <w:sz w:val="21"/>
          <w:szCs w:val="21"/>
          <w:highlight w:val="none"/>
          <w:lang w:val="en-US" w:eastAsia="zh-CN"/>
        </w:rPr>
        <w:t>公</w:t>
      </w:r>
      <w:r>
        <w:rPr>
          <w:rFonts w:hint="eastAsia" w:hAnsi="宋体"/>
          <w:b/>
          <w:bCs/>
          <w:color w:val="auto"/>
          <w:sz w:val="21"/>
          <w:szCs w:val="21"/>
          <w:highlight w:val="none"/>
        </w:rPr>
        <w:t>章。</w:t>
      </w:r>
    </w:p>
    <w:p w14:paraId="1E0D0126">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eastAsia="宋体"/>
          <w:b/>
          <w:bCs/>
          <w:color w:val="auto"/>
          <w:sz w:val="21"/>
          <w:szCs w:val="21"/>
          <w:highlight w:val="none"/>
          <w:lang w:val="en-US" w:eastAsia="zh-CN"/>
        </w:rPr>
      </w:pPr>
      <w:r>
        <w:rPr>
          <w:rFonts w:hint="eastAsia"/>
          <w:b/>
          <w:bCs/>
          <w:color w:val="auto"/>
          <w:highlight w:val="none"/>
          <w:lang w:val="en-US" w:eastAsia="zh-CN"/>
        </w:rPr>
        <w:t>2.业绩证明资料</w:t>
      </w:r>
      <w:r>
        <w:rPr>
          <w:b/>
          <w:bCs/>
          <w:color w:val="auto"/>
          <w:highlight w:val="none"/>
        </w:rPr>
        <w:t>提供合同</w:t>
      </w:r>
      <w:r>
        <w:rPr>
          <w:rFonts w:hint="eastAsia" w:ascii="宋体" w:hAnsi="宋体" w:cs="宋体"/>
          <w:b/>
          <w:bCs/>
          <w:color w:val="auto"/>
          <w:szCs w:val="21"/>
          <w:highlight w:val="none"/>
          <w:shd w:val="clear" w:color="auto" w:fill="FFFFFF"/>
        </w:rPr>
        <w:t>复印件</w:t>
      </w:r>
      <w:r>
        <w:rPr>
          <w:b/>
          <w:bCs/>
          <w:color w:val="auto"/>
          <w:highlight w:val="none"/>
        </w:rPr>
        <w:t>（合同需清晰反映上述业绩要求的主要内容，包括但不限于合同签订时间、合同金额及合同内容）</w:t>
      </w:r>
      <w:r>
        <w:rPr>
          <w:rFonts w:hint="eastAsia"/>
          <w:b/>
          <w:bCs/>
          <w:color w:val="auto"/>
          <w:highlight w:val="none"/>
        </w:rPr>
        <w:t>，</w:t>
      </w:r>
      <w:r>
        <w:rPr>
          <w:rFonts w:hint="eastAsia"/>
          <w:b/>
          <w:bCs/>
          <w:color w:val="auto"/>
          <w:highlight w:val="none"/>
          <w:lang w:val="en-US" w:eastAsia="zh-CN"/>
        </w:rPr>
        <w:t>并</w:t>
      </w:r>
      <w:r>
        <w:rPr>
          <w:rFonts w:hint="eastAsia" w:hAnsi="宋体"/>
          <w:b/>
          <w:bCs/>
          <w:color w:val="auto"/>
          <w:kern w:val="0"/>
          <w:szCs w:val="21"/>
          <w:highlight w:val="none"/>
        </w:rPr>
        <w:t>盖单位公章。若合同中无法体现上述内容的，则还需出具</w:t>
      </w:r>
      <w:r>
        <w:rPr>
          <w:rFonts w:hint="eastAsia" w:hAnsi="宋体"/>
          <w:b/>
          <w:bCs/>
          <w:color w:val="auto"/>
          <w:kern w:val="0"/>
          <w:szCs w:val="21"/>
          <w:highlight w:val="none"/>
          <w:lang w:val="en-US" w:eastAsia="zh-CN"/>
        </w:rPr>
        <w:t>加盖</w:t>
      </w:r>
      <w:r>
        <w:rPr>
          <w:rFonts w:hint="eastAsia" w:hAnsi="宋体"/>
          <w:b/>
          <w:bCs/>
          <w:color w:val="auto"/>
          <w:kern w:val="0"/>
          <w:szCs w:val="21"/>
          <w:highlight w:val="none"/>
        </w:rPr>
        <w:t>业主</w:t>
      </w:r>
      <w:r>
        <w:rPr>
          <w:rFonts w:hint="eastAsia" w:hAnsi="宋体"/>
          <w:b/>
          <w:bCs/>
          <w:color w:val="auto"/>
          <w:kern w:val="0"/>
          <w:szCs w:val="21"/>
          <w:highlight w:val="none"/>
          <w:lang w:val="en-US" w:eastAsia="zh-CN"/>
        </w:rPr>
        <w:t>公章的业主</w:t>
      </w:r>
      <w:r>
        <w:rPr>
          <w:rFonts w:hint="eastAsia" w:hAnsi="宋体"/>
          <w:b/>
          <w:bCs/>
          <w:color w:val="auto"/>
          <w:kern w:val="0"/>
          <w:szCs w:val="21"/>
          <w:highlight w:val="none"/>
        </w:rPr>
        <w:t>证明材料。</w:t>
      </w:r>
    </w:p>
    <w:p w14:paraId="31547A6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b/>
          <w:bCs/>
          <w:color w:val="auto"/>
          <w:sz w:val="21"/>
          <w:szCs w:val="21"/>
          <w:highlight w:val="none"/>
        </w:rPr>
      </w:pPr>
      <w:r>
        <w:rPr>
          <w:rFonts w:hint="eastAsia"/>
          <w:b/>
          <w:bCs/>
          <w:color w:val="auto"/>
          <w:sz w:val="21"/>
          <w:szCs w:val="21"/>
          <w:highlight w:val="none"/>
          <w:lang w:val="en-US" w:eastAsia="zh-CN"/>
        </w:rPr>
        <w:t>3.信誉要求报价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2CE28A43">
      <w:pPr>
        <w:rPr>
          <w:color w:val="auto"/>
          <w:highlight w:val="none"/>
        </w:rPr>
      </w:pPr>
    </w:p>
    <w:p w14:paraId="1D9B9772">
      <w:pPr>
        <w:pStyle w:val="4"/>
        <w:jc w:val="center"/>
        <w:rPr>
          <w:rFonts w:ascii="宋体" w:hAnsi="宋体" w:cs="宋体"/>
          <w:color w:val="auto"/>
          <w:sz w:val="28"/>
          <w:highlight w:val="none"/>
        </w:rPr>
      </w:pPr>
    </w:p>
    <w:p w14:paraId="4B2D4456">
      <w:pPr>
        <w:rPr>
          <w:rFonts w:ascii="宋体" w:hAnsi="宋体" w:cs="宋体"/>
          <w:color w:val="auto"/>
          <w:sz w:val="28"/>
          <w:highlight w:val="none"/>
        </w:rPr>
      </w:pPr>
    </w:p>
    <w:p w14:paraId="3F5696F0">
      <w:pPr>
        <w:pStyle w:val="18"/>
        <w:rPr>
          <w:rFonts w:ascii="宋体" w:hAnsi="宋体" w:cs="宋体"/>
          <w:color w:val="auto"/>
          <w:sz w:val="28"/>
          <w:highlight w:val="none"/>
        </w:rPr>
      </w:pPr>
    </w:p>
    <w:p w14:paraId="50CF1403">
      <w:pPr>
        <w:rPr>
          <w:rFonts w:ascii="宋体" w:hAnsi="宋体" w:cs="宋体"/>
          <w:color w:val="auto"/>
          <w:sz w:val="28"/>
          <w:highlight w:val="none"/>
        </w:rPr>
      </w:pPr>
    </w:p>
    <w:p w14:paraId="5B048FE4">
      <w:pPr>
        <w:pStyle w:val="18"/>
        <w:rPr>
          <w:rFonts w:ascii="宋体" w:hAnsi="宋体" w:cs="宋体"/>
          <w:color w:val="auto"/>
          <w:sz w:val="28"/>
          <w:highlight w:val="none"/>
        </w:rPr>
      </w:pPr>
    </w:p>
    <w:p w14:paraId="73E09FCB">
      <w:pPr>
        <w:rPr>
          <w:rFonts w:ascii="宋体" w:hAnsi="宋体" w:cs="宋体"/>
          <w:color w:val="auto"/>
          <w:sz w:val="28"/>
          <w:highlight w:val="none"/>
        </w:rPr>
      </w:pPr>
    </w:p>
    <w:p w14:paraId="1144A2EE">
      <w:pPr>
        <w:pStyle w:val="18"/>
        <w:rPr>
          <w:rFonts w:ascii="宋体" w:hAnsi="宋体" w:cs="宋体"/>
          <w:color w:val="auto"/>
          <w:sz w:val="28"/>
          <w:highlight w:val="none"/>
        </w:rPr>
      </w:pPr>
    </w:p>
    <w:p w14:paraId="5F051B0B">
      <w:pPr>
        <w:rPr>
          <w:rFonts w:hint="eastAsia" w:ascii="宋体" w:hAnsi="宋体" w:eastAsia="宋体" w:cs="宋体"/>
          <w:color w:val="auto"/>
          <w:sz w:val="28"/>
          <w:highlight w:val="none"/>
        </w:rPr>
      </w:pPr>
      <w:r>
        <w:rPr>
          <w:rFonts w:hint="eastAsia" w:ascii="宋体" w:hAnsi="宋体" w:eastAsia="宋体" w:cs="宋体"/>
          <w:color w:val="auto"/>
          <w:sz w:val="28"/>
          <w:highlight w:val="none"/>
        </w:rPr>
        <w:br w:type="page"/>
      </w:r>
    </w:p>
    <w:p w14:paraId="3DDEC0CF">
      <w:pPr>
        <w:pStyle w:val="3"/>
        <w:spacing w:before="0" w:after="0" w:line="360" w:lineRule="auto"/>
        <w:jc w:val="center"/>
        <w:rPr>
          <w:rFonts w:ascii="宋体" w:hAnsi="宋体" w:eastAsia="宋体" w:cs="宋体"/>
          <w:color w:val="auto"/>
          <w:sz w:val="28"/>
          <w:highlight w:val="none"/>
        </w:rPr>
      </w:pPr>
      <w:bookmarkStart w:id="232" w:name="_Toc20026"/>
      <w:r>
        <w:rPr>
          <w:rFonts w:hint="eastAsia" w:ascii="宋体" w:hAnsi="宋体" w:eastAsia="宋体" w:cs="宋体"/>
          <w:color w:val="auto"/>
          <w:sz w:val="28"/>
          <w:highlight w:val="none"/>
        </w:rPr>
        <w:t>五、报价人承诺</w:t>
      </w:r>
      <w:bookmarkEnd w:id="232"/>
    </w:p>
    <w:p w14:paraId="3DAF5562">
      <w:pPr>
        <w:pStyle w:val="18"/>
        <w:rPr>
          <w:color w:val="auto"/>
          <w:highlight w:val="none"/>
        </w:rPr>
      </w:pPr>
    </w:p>
    <w:p w14:paraId="6DC01C82">
      <w:pPr>
        <w:pStyle w:val="39"/>
        <w:spacing w:line="480" w:lineRule="auto"/>
        <w:jc w:val="both"/>
        <w:rPr>
          <w:rFonts w:hAnsi="宋体"/>
          <w:color w:val="auto"/>
          <w:highlight w:val="none"/>
        </w:rPr>
      </w:pPr>
      <w:r>
        <w:rPr>
          <w:rFonts w:hint="eastAsia" w:hAnsi="宋体"/>
          <w:color w:val="auto"/>
          <w:highlight w:val="none"/>
        </w:rPr>
        <w:t>致：</w:t>
      </w:r>
      <w:r>
        <w:rPr>
          <w:rFonts w:hint="eastAsia" w:hAnsi="宋体"/>
          <w:color w:val="auto"/>
          <w:highlight w:val="none"/>
          <w:u w:val="single"/>
        </w:rPr>
        <w:t>重庆首讯科技股份有限公司</w:t>
      </w:r>
    </w:p>
    <w:p w14:paraId="377D92B6">
      <w:pPr>
        <w:rPr>
          <w:color w:val="auto"/>
          <w:highlight w:val="none"/>
        </w:rPr>
      </w:pPr>
    </w:p>
    <w:p w14:paraId="78432E6C">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auto"/>
          <w:sz w:val="24"/>
          <w:highlight w:val="none"/>
        </w:rPr>
      </w:pPr>
      <w:r>
        <w:rPr>
          <w:rFonts w:hint="eastAsia" w:ascii="宋体" w:hAnsi="宋体"/>
          <w:color w:val="auto"/>
          <w:sz w:val="24"/>
          <w:highlight w:val="none"/>
        </w:rPr>
        <w:t>在研究</w:t>
      </w:r>
      <w:r>
        <w:rPr>
          <w:rFonts w:hint="eastAsia" w:ascii="Arial" w:hAnsi="Arial" w:cs="Arial"/>
          <w:color w:val="auto"/>
          <w:sz w:val="24"/>
          <w:highlight w:val="none"/>
          <w:u w:val="single"/>
          <w:lang w:val="en-US" w:eastAsia="zh-CN"/>
        </w:rPr>
        <w:t xml:space="preserve">            （项目名称）</w:t>
      </w:r>
      <w:r>
        <w:rPr>
          <w:rFonts w:hint="eastAsia" w:ascii="Arial" w:hAnsi="Arial" w:cs="Arial"/>
          <w:color w:val="auto"/>
          <w:sz w:val="24"/>
          <w:highlight w:val="none"/>
        </w:rPr>
        <w:t>项目</w:t>
      </w:r>
      <w:r>
        <w:rPr>
          <w:rFonts w:hint="eastAsia" w:ascii="宋体" w:hAnsi="宋体"/>
          <w:color w:val="auto"/>
          <w:sz w:val="24"/>
          <w:highlight w:val="none"/>
        </w:rPr>
        <w:t>竞争比选文件后，在此郑重承诺我司满足本项目一切报价内容、报价、服务期限及质量标准等相关要求，响应比选函的一切内容，同时申明将按照自行给出的商务、技术方案组建服务团队、履行服务义务。若我司中标本项目且无法满足业主相关需求，我司愿承担由此给采购人造成的一切损失。</w:t>
      </w:r>
    </w:p>
    <w:p w14:paraId="2BD6EAA7">
      <w:pPr>
        <w:tabs>
          <w:tab w:val="left" w:pos="1680"/>
          <w:tab w:val="left" w:pos="4215"/>
          <w:tab w:val="left" w:pos="4305"/>
          <w:tab w:val="left" w:pos="8000"/>
        </w:tabs>
        <w:autoSpaceDE w:val="0"/>
        <w:autoSpaceDN w:val="0"/>
        <w:adjustRightInd w:val="0"/>
        <w:snapToGrid w:val="0"/>
        <w:spacing w:line="480" w:lineRule="auto"/>
        <w:ind w:firstLine="480" w:firstLineChars="200"/>
        <w:rPr>
          <w:rFonts w:hint="eastAsia" w:ascii="宋体" w:hAnsi="宋体"/>
          <w:color w:val="auto"/>
          <w:szCs w:val="21"/>
          <w:highlight w:val="none"/>
        </w:rPr>
      </w:pPr>
      <w:r>
        <w:rPr>
          <w:rFonts w:hint="eastAsia" w:ascii="宋体" w:hAnsi="宋体"/>
          <w:color w:val="auto"/>
          <w:sz w:val="24"/>
          <w:highlight w:val="none"/>
          <w:lang w:val="en-US" w:eastAsia="zh-CN"/>
        </w:rPr>
        <w:t>我公司</w:t>
      </w:r>
      <w:r>
        <w:rPr>
          <w:rFonts w:hint="eastAsia" w:ascii="宋体" w:hAnsi="宋体"/>
          <w:color w:val="auto"/>
          <w:sz w:val="24"/>
          <w:highlight w:val="none"/>
        </w:rPr>
        <w:t>在此承诺</w:t>
      </w:r>
      <w:r>
        <w:rPr>
          <w:rFonts w:hint="eastAsia" w:ascii="宋体" w:hAnsi="宋体"/>
          <w:color w:val="auto"/>
          <w:sz w:val="24"/>
          <w:highlight w:val="none"/>
          <w:lang w:eastAsia="zh-CN"/>
        </w:rPr>
        <w:t>：</w:t>
      </w:r>
      <w:r>
        <w:rPr>
          <w:rFonts w:hint="eastAsia" w:ascii="宋体" w:hAnsi="宋体"/>
          <w:color w:val="auto"/>
          <w:sz w:val="24"/>
          <w:highlight w:val="none"/>
        </w:rPr>
        <w:t>我公司具有良好的商业信誉，在国家企业信用信息公示系统（http://www.gsxt.gov.cn/）中未被列入严重违法失信企业名单（黑名单）信息；在“信用中国”网站（http://www.creditchina.gov.cn/）中未被列入严重失信主体名单。</w:t>
      </w:r>
    </w:p>
    <w:p w14:paraId="4C12D6DA">
      <w:pPr>
        <w:pStyle w:val="18"/>
        <w:spacing w:line="480" w:lineRule="auto"/>
        <w:rPr>
          <w:rFonts w:ascii="宋体" w:hAnsi="宋体"/>
          <w:color w:val="auto"/>
          <w:sz w:val="24"/>
          <w:highlight w:val="none"/>
        </w:rPr>
      </w:pPr>
    </w:p>
    <w:p w14:paraId="5CAB45EE">
      <w:pPr>
        <w:spacing w:line="480" w:lineRule="auto"/>
        <w:rPr>
          <w:rFonts w:ascii="宋体" w:hAnsi="宋体"/>
          <w:color w:val="auto"/>
          <w:sz w:val="24"/>
          <w:highlight w:val="none"/>
        </w:rPr>
      </w:pPr>
    </w:p>
    <w:p w14:paraId="6D4D6BC6">
      <w:pPr>
        <w:pStyle w:val="18"/>
        <w:spacing w:line="480" w:lineRule="auto"/>
        <w:rPr>
          <w:rFonts w:ascii="宋体" w:hAnsi="宋体"/>
          <w:b/>
          <w:bCs/>
          <w:color w:val="auto"/>
          <w:sz w:val="24"/>
          <w:highlight w:val="none"/>
        </w:rPr>
      </w:pPr>
    </w:p>
    <w:p w14:paraId="4861F6C6">
      <w:pPr>
        <w:tabs>
          <w:tab w:val="left" w:pos="7140"/>
          <w:tab w:val="left" w:pos="7560"/>
          <w:tab w:val="left" w:pos="8300"/>
        </w:tabs>
        <w:autoSpaceDE w:val="0"/>
        <w:autoSpaceDN w:val="0"/>
        <w:adjustRightInd w:val="0"/>
        <w:spacing w:line="360" w:lineRule="auto"/>
        <w:ind w:left="4620" w:leftChars="2200" w:right="210" w:firstLine="277" w:firstLineChars="132"/>
        <w:rPr>
          <w:rFonts w:ascii="宋体" w:hAnsi="宋体"/>
          <w:b w:val="0"/>
          <w:bCs w:val="0"/>
          <w:snapToGrid w:val="0"/>
          <w:color w:val="auto"/>
          <w:kern w:val="0"/>
          <w:szCs w:val="21"/>
          <w:highlight w:val="none"/>
        </w:rPr>
      </w:pPr>
      <w:r>
        <w:rPr>
          <w:rFonts w:hint="eastAsia" w:ascii="宋体" w:hAnsi="宋体"/>
          <w:b w:val="0"/>
          <w:bCs w:val="0"/>
          <w:snapToGrid w:val="0"/>
          <w:color w:val="auto"/>
          <w:kern w:val="0"/>
          <w:szCs w:val="21"/>
          <w:highlight w:val="none"/>
          <w:lang w:val="en-US" w:eastAsia="zh-CN"/>
        </w:rPr>
        <w:t>承诺</w:t>
      </w:r>
      <w:r>
        <w:rPr>
          <w:rFonts w:ascii="宋体" w:hAnsi="宋体"/>
          <w:b w:val="0"/>
          <w:bCs w:val="0"/>
          <w:snapToGrid w:val="0"/>
          <w:color w:val="auto"/>
          <w:kern w:val="0"/>
          <w:szCs w:val="21"/>
          <w:highlight w:val="none"/>
        </w:rPr>
        <w:t>人：</w:t>
      </w:r>
      <w:r>
        <w:rPr>
          <w:rFonts w:ascii="宋体" w:hAnsi="宋体"/>
          <w:b w:val="0"/>
          <w:bCs w:val="0"/>
          <w:snapToGrid w:val="0"/>
          <w:color w:val="auto"/>
          <w:kern w:val="0"/>
          <w:szCs w:val="21"/>
          <w:highlight w:val="none"/>
          <w:u w:val="single"/>
        </w:rPr>
        <w:t xml:space="preserve">    </w:t>
      </w:r>
      <w:r>
        <w:rPr>
          <w:rFonts w:hint="eastAsia" w:ascii="宋体" w:hAnsi="宋体"/>
          <w:b w:val="0"/>
          <w:bCs w:val="0"/>
          <w:snapToGrid w:val="0"/>
          <w:color w:val="auto"/>
          <w:kern w:val="0"/>
          <w:szCs w:val="21"/>
          <w:highlight w:val="none"/>
          <w:u w:val="single"/>
        </w:rPr>
        <w:t xml:space="preserve">    </w:t>
      </w:r>
      <w:r>
        <w:rPr>
          <w:rFonts w:ascii="宋体" w:hAnsi="宋体"/>
          <w:b w:val="0"/>
          <w:bCs w:val="0"/>
          <w:snapToGrid w:val="0"/>
          <w:color w:val="auto"/>
          <w:kern w:val="0"/>
          <w:szCs w:val="21"/>
          <w:highlight w:val="none"/>
          <w:u w:val="single"/>
        </w:rPr>
        <w:t xml:space="preserve">  </w:t>
      </w:r>
      <w:r>
        <w:rPr>
          <w:rFonts w:ascii="宋体" w:hAnsi="宋体"/>
          <w:b w:val="0"/>
          <w:bCs w:val="0"/>
          <w:snapToGrid w:val="0"/>
          <w:color w:val="auto"/>
          <w:kern w:val="0"/>
          <w:szCs w:val="21"/>
          <w:highlight w:val="none"/>
        </w:rPr>
        <w:t>（盖单位</w:t>
      </w:r>
      <w:r>
        <w:rPr>
          <w:rFonts w:hint="eastAsia" w:ascii="宋体" w:hAnsi="宋体"/>
          <w:b w:val="0"/>
          <w:bCs w:val="0"/>
          <w:snapToGrid w:val="0"/>
          <w:color w:val="auto"/>
          <w:kern w:val="0"/>
          <w:szCs w:val="21"/>
          <w:highlight w:val="none"/>
          <w:lang w:val="en-US" w:eastAsia="zh-CN"/>
        </w:rPr>
        <w:t>公</w:t>
      </w:r>
      <w:r>
        <w:rPr>
          <w:rFonts w:ascii="宋体" w:hAnsi="宋体"/>
          <w:b w:val="0"/>
          <w:bCs w:val="0"/>
          <w:snapToGrid w:val="0"/>
          <w:color w:val="auto"/>
          <w:kern w:val="0"/>
          <w:szCs w:val="21"/>
          <w:highlight w:val="none"/>
        </w:rPr>
        <w:t xml:space="preserve">章） </w:t>
      </w:r>
    </w:p>
    <w:p w14:paraId="310330CC">
      <w:pPr>
        <w:jc w:val="right"/>
        <w:rPr>
          <w:rFonts w:hint="eastAsia"/>
          <w:b w:val="0"/>
          <w:bCs w:val="0"/>
          <w:color w:val="auto"/>
          <w:highlight w:val="none"/>
          <w:lang w:val="en-US" w:eastAsia="zh-CN"/>
        </w:rPr>
      </w:pPr>
    </w:p>
    <w:p w14:paraId="76D1C73D">
      <w:pPr>
        <w:jc w:val="right"/>
        <w:rPr>
          <w:rFonts w:hint="eastAsia"/>
          <w:b w:val="0"/>
          <w:bCs w:val="0"/>
          <w:color w:val="auto"/>
          <w:highlight w:val="none"/>
          <w:lang w:val="en-US" w:eastAsia="zh-CN"/>
        </w:rPr>
      </w:pPr>
    </w:p>
    <w:p w14:paraId="51EC89A4">
      <w:pPr>
        <w:jc w:val="center"/>
        <w:rPr>
          <w:rFonts w:hint="eastAsia" w:ascii="宋体" w:hAnsi="宋体"/>
          <w:b/>
          <w:bCs/>
          <w:color w:val="auto"/>
          <w:kern w:val="0"/>
          <w:szCs w:val="21"/>
          <w:highlight w:val="none"/>
        </w:rPr>
      </w:pPr>
      <w:r>
        <w:rPr>
          <w:rFonts w:hint="eastAsia"/>
          <w:b w:val="0"/>
          <w:bCs w:val="0"/>
          <w:color w:val="auto"/>
          <w:highlight w:val="none"/>
          <w:lang w:val="en-US" w:eastAsia="zh-CN"/>
        </w:rPr>
        <w:t xml:space="preserve">                                                 日期：</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年</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月</w:t>
      </w:r>
      <w:r>
        <w:rPr>
          <w:rFonts w:hint="eastAsia"/>
          <w:b w:val="0"/>
          <w:bCs w:val="0"/>
          <w:color w:val="auto"/>
          <w:highlight w:val="none"/>
          <w:u w:val="single"/>
          <w:lang w:val="en-US" w:eastAsia="zh-CN"/>
        </w:rPr>
        <w:t xml:space="preserve">   </w:t>
      </w:r>
      <w:r>
        <w:rPr>
          <w:rFonts w:hint="eastAsia"/>
          <w:b w:val="0"/>
          <w:bCs w:val="0"/>
          <w:color w:val="auto"/>
          <w:highlight w:val="none"/>
          <w:u w:val="none"/>
          <w:lang w:val="en-US" w:eastAsia="zh-CN"/>
        </w:rPr>
        <w:t>日</w:t>
      </w:r>
    </w:p>
    <w:p w14:paraId="7EB61A58">
      <w:pPr>
        <w:rPr>
          <w:rFonts w:hint="eastAsia" w:ascii="宋体" w:hAnsi="宋体"/>
          <w:b/>
          <w:bCs/>
          <w:color w:val="auto"/>
          <w:sz w:val="24"/>
          <w:highlight w:val="none"/>
        </w:rPr>
      </w:pPr>
      <w:r>
        <w:rPr>
          <w:rFonts w:hint="eastAsia" w:ascii="宋体" w:hAnsi="宋体"/>
          <w:b/>
          <w:bCs/>
          <w:color w:val="auto"/>
          <w:sz w:val="24"/>
          <w:highlight w:val="none"/>
        </w:rPr>
        <w:br w:type="page"/>
      </w:r>
    </w:p>
    <w:p w14:paraId="04DC4506">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宋体" w:hAnsi="宋体" w:eastAsia="宋体" w:cs="宋体"/>
          <w:b/>
          <w:bCs/>
          <w:color w:val="auto"/>
          <w:kern w:val="0"/>
          <w:sz w:val="28"/>
          <w:szCs w:val="32"/>
          <w:highlight w:val="none"/>
          <w:lang w:val="en-US" w:eastAsia="zh-CN" w:bidi="ar-SA"/>
        </w:rPr>
      </w:pPr>
      <w:bookmarkStart w:id="233" w:name="_Toc5878"/>
      <w:r>
        <w:rPr>
          <w:rFonts w:hint="eastAsia" w:ascii="宋体" w:hAnsi="宋体" w:eastAsia="宋体" w:cs="宋体"/>
          <w:b/>
          <w:bCs/>
          <w:color w:val="auto"/>
          <w:kern w:val="0"/>
          <w:sz w:val="28"/>
          <w:szCs w:val="32"/>
          <w:highlight w:val="none"/>
          <w:lang w:val="en-US" w:eastAsia="zh-CN" w:bidi="ar-SA"/>
        </w:rPr>
        <w:t>六、报价人其他资料</w:t>
      </w:r>
      <w:bookmarkEnd w:id="233"/>
    </w:p>
    <w:p w14:paraId="39DA3B1A">
      <w:pPr>
        <w:pStyle w:val="18"/>
        <w:rPr>
          <w:rFonts w:ascii="宋体" w:hAnsi="宋体"/>
          <w:color w:val="auto"/>
          <w:sz w:val="24"/>
          <w:highlight w:val="none"/>
        </w:rPr>
      </w:pPr>
    </w:p>
    <w:p w14:paraId="02C784A6">
      <w:pPr>
        <w:pStyle w:val="4"/>
        <w:spacing w:before="0" w:after="0" w:line="360" w:lineRule="auto"/>
        <w:jc w:val="center"/>
        <w:rPr>
          <w:color w:val="auto"/>
          <w:sz w:val="28"/>
          <w:szCs w:val="28"/>
          <w:highlight w:val="none"/>
        </w:rPr>
      </w:pPr>
      <w:r>
        <w:rPr>
          <w:rFonts w:hint="eastAsia"/>
          <w:color w:val="auto"/>
          <w:sz w:val="28"/>
          <w:szCs w:val="28"/>
          <w:highlight w:val="none"/>
        </w:rPr>
        <w:t>（一）报价人基本信息表</w:t>
      </w:r>
    </w:p>
    <w:p w14:paraId="1E27FE0E">
      <w:pPr>
        <w:pStyle w:val="27"/>
        <w:rPr>
          <w:color w:val="auto"/>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4C179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476C64D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680DEE1A">
            <w:pPr>
              <w:topLinePunct/>
              <w:spacing w:line="440" w:lineRule="exact"/>
              <w:jc w:val="center"/>
              <w:rPr>
                <w:rFonts w:ascii="宋体" w:hAnsi="宋体" w:cs="宋体"/>
                <w:color w:val="auto"/>
                <w:szCs w:val="21"/>
                <w:highlight w:val="none"/>
              </w:rPr>
            </w:pPr>
          </w:p>
        </w:tc>
      </w:tr>
      <w:tr w14:paraId="690CD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63C906C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14:paraId="1DA668A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2FC7171">
            <w:pPr>
              <w:topLinePunct/>
              <w:spacing w:line="440" w:lineRule="exact"/>
              <w:jc w:val="center"/>
              <w:rPr>
                <w:rFonts w:ascii="宋体" w:hAnsi="宋体" w:cs="宋体"/>
                <w:color w:val="auto"/>
                <w:szCs w:val="21"/>
                <w:highlight w:val="none"/>
              </w:rPr>
            </w:pPr>
          </w:p>
        </w:tc>
      </w:tr>
      <w:tr w14:paraId="05952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5C9EE96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4F00E05A">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96DAF7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B37F663">
            <w:pPr>
              <w:topLinePunct/>
              <w:spacing w:line="440" w:lineRule="exact"/>
              <w:jc w:val="center"/>
              <w:rPr>
                <w:rFonts w:ascii="宋体" w:hAnsi="宋体" w:cs="宋体"/>
                <w:color w:val="auto"/>
                <w:szCs w:val="21"/>
                <w:highlight w:val="none"/>
              </w:rPr>
            </w:pPr>
          </w:p>
        </w:tc>
      </w:tr>
      <w:tr w14:paraId="7E106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1F16418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3A89042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B384755">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56E184E">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012C8A0">
            <w:pPr>
              <w:topLinePunct/>
              <w:spacing w:line="440" w:lineRule="exact"/>
              <w:jc w:val="center"/>
              <w:rPr>
                <w:rFonts w:ascii="宋体" w:hAnsi="宋体" w:cs="宋体"/>
                <w:color w:val="auto"/>
                <w:szCs w:val="21"/>
                <w:highlight w:val="none"/>
              </w:rPr>
            </w:pPr>
          </w:p>
        </w:tc>
      </w:tr>
      <w:tr w14:paraId="27D0A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6C58D907">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6A77832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18D1F079">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5DBEED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B7FA1AF">
            <w:pPr>
              <w:topLinePunct/>
              <w:spacing w:line="440" w:lineRule="exact"/>
              <w:jc w:val="center"/>
              <w:rPr>
                <w:rFonts w:ascii="宋体" w:hAnsi="宋体" w:cs="宋体"/>
                <w:color w:val="auto"/>
                <w:szCs w:val="21"/>
                <w:highlight w:val="none"/>
              </w:rPr>
            </w:pPr>
          </w:p>
        </w:tc>
      </w:tr>
      <w:tr w14:paraId="6F76A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2404F598">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126BEF06">
            <w:pPr>
              <w:topLinePunct/>
              <w:spacing w:line="440" w:lineRule="exact"/>
              <w:jc w:val="center"/>
              <w:rPr>
                <w:rFonts w:ascii="宋体" w:hAnsi="宋体" w:cs="宋体"/>
                <w:color w:val="auto"/>
                <w:szCs w:val="21"/>
                <w:highlight w:val="none"/>
              </w:rPr>
            </w:pPr>
          </w:p>
        </w:tc>
      </w:tr>
      <w:tr w14:paraId="7306A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5BA3FCE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01E5454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0EA6C03">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2E41371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31E7DC1E">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D209C5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020B41B5">
            <w:pPr>
              <w:topLinePunct/>
              <w:spacing w:line="440" w:lineRule="exact"/>
              <w:jc w:val="center"/>
              <w:rPr>
                <w:rFonts w:ascii="宋体" w:hAnsi="宋体" w:cs="宋体"/>
                <w:color w:val="auto"/>
                <w:szCs w:val="21"/>
                <w:highlight w:val="none"/>
              </w:rPr>
            </w:pPr>
          </w:p>
        </w:tc>
      </w:tr>
      <w:tr w14:paraId="7B4BB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19B4B03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0971C4A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51472DE0">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680187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175B6F15">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5C14BE8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5EF5C99A">
            <w:pPr>
              <w:topLinePunct/>
              <w:spacing w:line="440" w:lineRule="exact"/>
              <w:jc w:val="center"/>
              <w:rPr>
                <w:rFonts w:ascii="宋体" w:hAnsi="宋体" w:cs="宋体"/>
                <w:color w:val="auto"/>
                <w:szCs w:val="21"/>
                <w:highlight w:val="none"/>
              </w:rPr>
            </w:pPr>
          </w:p>
        </w:tc>
      </w:tr>
      <w:tr w14:paraId="1BADB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0EEA4ED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94E06C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033482C5">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0EAC4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72522E6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D82D185">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2226224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4635C4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D38846D">
            <w:pPr>
              <w:topLinePunct/>
              <w:spacing w:line="440" w:lineRule="exact"/>
              <w:jc w:val="center"/>
              <w:rPr>
                <w:rFonts w:ascii="宋体" w:hAnsi="宋体" w:cs="宋体"/>
                <w:color w:val="auto"/>
                <w:szCs w:val="21"/>
                <w:highlight w:val="none"/>
              </w:rPr>
            </w:pPr>
          </w:p>
        </w:tc>
      </w:tr>
      <w:tr w14:paraId="7A10D0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4E65508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70CFA66F">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328A4C2">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0890FE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81E46E3">
            <w:pPr>
              <w:topLinePunct/>
              <w:spacing w:line="440" w:lineRule="exact"/>
              <w:jc w:val="center"/>
              <w:rPr>
                <w:rFonts w:ascii="宋体" w:hAnsi="宋体" w:cs="宋体"/>
                <w:color w:val="auto"/>
                <w:szCs w:val="21"/>
                <w:highlight w:val="none"/>
              </w:rPr>
            </w:pPr>
          </w:p>
        </w:tc>
      </w:tr>
      <w:tr w14:paraId="0D8AA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3FD882A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02363F7">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54BB985B">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5D06CEF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402C731">
            <w:pPr>
              <w:topLinePunct/>
              <w:spacing w:line="440" w:lineRule="exact"/>
              <w:jc w:val="center"/>
              <w:rPr>
                <w:rFonts w:ascii="宋体" w:hAnsi="宋体" w:cs="宋体"/>
                <w:color w:val="auto"/>
                <w:szCs w:val="21"/>
                <w:highlight w:val="none"/>
              </w:rPr>
            </w:pPr>
          </w:p>
        </w:tc>
      </w:tr>
      <w:tr w14:paraId="50E53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3366E39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0E794087">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78468C6D">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987B84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EAFFA20">
            <w:pPr>
              <w:topLinePunct/>
              <w:spacing w:line="440" w:lineRule="exact"/>
              <w:jc w:val="center"/>
              <w:rPr>
                <w:rFonts w:ascii="宋体" w:hAnsi="宋体" w:cs="宋体"/>
                <w:color w:val="auto"/>
                <w:szCs w:val="21"/>
                <w:highlight w:val="none"/>
              </w:rPr>
            </w:pPr>
          </w:p>
        </w:tc>
      </w:tr>
      <w:tr w14:paraId="66152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1E7F23D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AB55D85">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40FFB43A">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10DBCDE2">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5FDB43A1">
            <w:pPr>
              <w:topLinePunct/>
              <w:spacing w:line="440" w:lineRule="exact"/>
              <w:jc w:val="center"/>
              <w:rPr>
                <w:rFonts w:ascii="宋体" w:hAnsi="宋体" w:cs="宋体"/>
                <w:color w:val="auto"/>
                <w:szCs w:val="21"/>
                <w:highlight w:val="none"/>
              </w:rPr>
            </w:pPr>
          </w:p>
        </w:tc>
      </w:tr>
      <w:tr w14:paraId="643A6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17A23D8E">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4165C34C">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14:paraId="6F181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569289E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0337C09C">
            <w:pPr>
              <w:topLinePunct/>
              <w:spacing w:line="440" w:lineRule="exact"/>
              <w:jc w:val="center"/>
              <w:rPr>
                <w:rFonts w:ascii="宋体" w:hAnsi="宋体" w:cs="宋体"/>
                <w:color w:val="auto"/>
                <w:szCs w:val="21"/>
                <w:highlight w:val="none"/>
              </w:rPr>
            </w:pPr>
          </w:p>
        </w:tc>
      </w:tr>
    </w:tbl>
    <w:p w14:paraId="16705A82">
      <w:pPr>
        <w:pStyle w:val="18"/>
        <w:rPr>
          <w:rFonts w:hint="eastAsia" w:ascii="宋体" w:hAnsi="宋体" w:cs="宋体"/>
          <w:color w:val="auto"/>
          <w:sz w:val="28"/>
          <w:highlight w:val="none"/>
          <w:lang w:eastAsia="zh-CN"/>
        </w:rPr>
      </w:pPr>
    </w:p>
    <w:p w14:paraId="610D9184">
      <w:pPr>
        <w:pStyle w:val="18"/>
        <w:rPr>
          <w:rFonts w:hint="eastAsia" w:ascii="宋体" w:hAnsi="宋体" w:cs="宋体"/>
          <w:color w:val="auto"/>
          <w:sz w:val="28"/>
          <w:highlight w:val="none"/>
          <w:lang w:eastAsia="zh-CN"/>
        </w:rPr>
      </w:pPr>
    </w:p>
    <w:p w14:paraId="6052BE5D">
      <w:pPr>
        <w:rPr>
          <w:rFonts w:hint="eastAsia" w:ascii="宋体" w:hAnsi="宋体" w:cs="宋体"/>
          <w:b/>
          <w:bCs/>
          <w:color w:val="auto"/>
          <w:sz w:val="28"/>
          <w:highlight w:val="none"/>
          <w:lang w:eastAsia="zh-CN"/>
        </w:rPr>
      </w:pPr>
    </w:p>
    <w:p w14:paraId="415AE79E">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rPr>
        <w:t>）技术部分</w:t>
      </w:r>
    </w:p>
    <w:p w14:paraId="4D400074">
      <w:pPr>
        <w:pStyle w:val="3"/>
        <w:spacing w:before="0" w:after="0" w:line="360" w:lineRule="auto"/>
        <w:jc w:val="center"/>
        <w:outlineLvl w:val="9"/>
        <w:rPr>
          <w:rFonts w:ascii="宋体" w:hAnsi="宋体" w:eastAsia="宋体" w:cs="宋体"/>
          <w:color w:val="auto"/>
          <w:sz w:val="28"/>
          <w:highlight w:val="none"/>
        </w:rPr>
      </w:pPr>
    </w:p>
    <w:p w14:paraId="793656CF">
      <w:pPr>
        <w:wordWrap w:val="0"/>
        <w:adjustRightInd w:val="0"/>
        <w:snapToGrid w:val="0"/>
        <w:spacing w:line="460" w:lineRule="exact"/>
        <w:ind w:firstLine="422" w:firstLineChars="200"/>
        <w:jc w:val="left"/>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bidi="ar"/>
        </w:rPr>
        <w:t>[提示：</w:t>
      </w:r>
      <w:r>
        <w:rPr>
          <w:rFonts w:hint="eastAsia" w:asciiTheme="minorEastAsia" w:hAnsiTheme="minorEastAsia" w:eastAsiaTheme="minorEastAsia" w:cstheme="minorEastAsia"/>
          <w:b/>
          <w:color w:val="auto"/>
          <w:kern w:val="0"/>
          <w:szCs w:val="21"/>
          <w:highlight w:val="none"/>
          <w:lang w:val="en-US" w:eastAsia="zh-CN" w:bidi="ar"/>
        </w:rPr>
        <w:t>当竞争性比选文件采用综合评估法时，“第三章 评标办法”</w:t>
      </w:r>
      <w:r>
        <w:rPr>
          <w:rFonts w:hint="eastAsia" w:asciiTheme="minorEastAsia" w:hAnsiTheme="minorEastAsia" w:eastAsiaTheme="minorEastAsia" w:cstheme="minorEastAsia"/>
          <w:b/>
          <w:color w:val="auto"/>
          <w:kern w:val="0"/>
          <w:szCs w:val="21"/>
          <w:highlight w:val="none"/>
          <w:lang w:bidi="ar"/>
        </w:rPr>
        <w:t>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14:paraId="52EA9B9D">
      <w:pP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14:paraId="6F81F75E">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商务</w:t>
      </w:r>
      <w:r>
        <w:rPr>
          <w:rFonts w:hint="eastAsia" w:ascii="宋体" w:hAnsi="宋体" w:cs="宋体"/>
          <w:b/>
          <w:bCs/>
          <w:color w:val="auto"/>
          <w:kern w:val="0"/>
          <w:sz w:val="28"/>
          <w:szCs w:val="32"/>
          <w:highlight w:val="none"/>
        </w:rPr>
        <w:t>部分</w:t>
      </w:r>
    </w:p>
    <w:p w14:paraId="5E4ADE6A">
      <w:pPr>
        <w:pStyle w:val="3"/>
        <w:spacing w:before="0" w:after="0" w:line="360" w:lineRule="auto"/>
        <w:jc w:val="center"/>
        <w:outlineLvl w:val="9"/>
        <w:rPr>
          <w:rFonts w:hint="eastAsia" w:ascii="宋体" w:hAnsi="宋体" w:eastAsia="宋体" w:cs="宋体"/>
          <w:color w:val="auto"/>
          <w:sz w:val="21"/>
          <w:szCs w:val="21"/>
          <w:highlight w:val="none"/>
        </w:rPr>
      </w:pPr>
    </w:p>
    <w:p w14:paraId="0C167060">
      <w:pPr>
        <w:pStyle w:val="18"/>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lang w:bidi="ar"/>
        </w:rPr>
        <w:t>[提示：</w:t>
      </w:r>
      <w:r>
        <w:rPr>
          <w:rFonts w:hint="eastAsia" w:ascii="宋体" w:hAnsi="宋体" w:eastAsia="宋体" w:cs="宋体"/>
          <w:b/>
          <w:color w:val="auto"/>
          <w:kern w:val="0"/>
          <w:sz w:val="21"/>
          <w:szCs w:val="21"/>
          <w:highlight w:val="none"/>
          <w:lang w:val="en-US" w:eastAsia="zh-CN" w:bidi="ar"/>
        </w:rPr>
        <w:t>当竞争性比选文件采用综合评估法时，“第三章 评标办法”</w:t>
      </w:r>
      <w:r>
        <w:rPr>
          <w:rFonts w:hint="eastAsia" w:ascii="宋体" w:hAnsi="宋体" w:eastAsia="宋体" w:cs="宋体"/>
          <w:b/>
          <w:color w:val="auto"/>
          <w:kern w:val="0"/>
          <w:sz w:val="21"/>
          <w:szCs w:val="21"/>
          <w:highlight w:val="none"/>
          <w:lang w:bidi="ar"/>
        </w:rPr>
        <w:t>商务部分评分标准所涉及的内容及相关佐证资料由投标人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14:paraId="7C62F149">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p w14:paraId="183E32F1">
      <w:pPr>
        <w:pStyle w:val="18"/>
        <w:jc w:val="center"/>
        <w:rPr>
          <w:rFonts w:ascii="宋体" w:hAnsi="宋体"/>
          <w:b/>
          <w:bCs/>
          <w:color w:val="auto"/>
          <w:sz w:val="24"/>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四</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其他材料</w:t>
      </w:r>
    </w:p>
    <w:p w14:paraId="5AF6D3F8">
      <w:pPr>
        <w:numPr>
          <w:ilvl w:val="0"/>
          <w:numId w:val="0"/>
        </w:num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投标保证金（以转账形式交纳投标保证金的，须提供投标保证金交纳凭证）；</w:t>
      </w:r>
    </w:p>
    <w:p w14:paraId="69C724ED">
      <w:pPr>
        <w:numPr>
          <w:ilvl w:val="0"/>
          <w:numId w:val="0"/>
        </w:numPr>
        <w:wordWrap w:val="0"/>
        <w:adjustRightInd w:val="0"/>
        <w:snapToGrid w:val="0"/>
        <w:spacing w:line="460" w:lineRule="exact"/>
        <w:jc w:val="left"/>
        <w:rPr>
          <w:rFonts w:ascii="宋体" w:hAnsi="宋体" w:cs="宋体"/>
          <w:color w:val="auto"/>
          <w:szCs w:val="21"/>
          <w:highlight w:val="none"/>
          <w:lang w:bidi="ar"/>
        </w:rPr>
      </w:pPr>
      <w:r>
        <w:rPr>
          <w:rFonts w:hint="eastAsia" w:ascii="宋体" w:hAnsi="宋体" w:cs="宋体"/>
          <w:color w:val="auto"/>
          <w:szCs w:val="21"/>
          <w:highlight w:val="none"/>
          <w:lang w:bidi="ar"/>
        </w:rPr>
        <w:t>2.在满足</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文件实质性要求的基础上，</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人可以提出比</w:t>
      </w:r>
      <w:r>
        <w:rPr>
          <w:rFonts w:hint="eastAsia" w:ascii="宋体" w:hAnsi="宋体" w:cs="宋体"/>
          <w:color w:val="auto"/>
          <w:szCs w:val="21"/>
          <w:highlight w:val="none"/>
          <w:lang w:val="en-US" w:eastAsia="zh-CN" w:bidi="ar"/>
        </w:rPr>
        <w:t>竞争性比选</w:t>
      </w:r>
      <w:r>
        <w:rPr>
          <w:rFonts w:hint="eastAsia" w:ascii="宋体" w:hAnsi="宋体" w:cs="宋体"/>
          <w:color w:val="auto"/>
          <w:szCs w:val="21"/>
          <w:highlight w:val="none"/>
          <w:lang w:bidi="ar"/>
        </w:rPr>
        <w:t>文件要求更有利于</w:t>
      </w:r>
      <w:r>
        <w:rPr>
          <w:rFonts w:hint="eastAsia" w:ascii="宋体" w:hAnsi="宋体" w:cs="宋体"/>
          <w:color w:val="auto"/>
          <w:szCs w:val="21"/>
          <w:highlight w:val="none"/>
          <w:lang w:val="en-US" w:eastAsia="zh-CN" w:bidi="ar"/>
        </w:rPr>
        <w:t>采购</w:t>
      </w:r>
      <w:r>
        <w:rPr>
          <w:rFonts w:hint="eastAsia" w:ascii="宋体" w:hAnsi="宋体" w:cs="宋体"/>
          <w:color w:val="auto"/>
          <w:szCs w:val="21"/>
          <w:highlight w:val="none"/>
          <w:lang w:bidi="ar"/>
        </w:rPr>
        <w:t>人的承诺（格式自拟）；</w:t>
      </w:r>
    </w:p>
    <w:p w14:paraId="045FD6EA">
      <w:pPr>
        <w:wordWrap w:val="0"/>
        <w:adjustRightInd w:val="0"/>
        <w:snapToGrid w:val="0"/>
        <w:spacing w:line="460" w:lineRule="exact"/>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3.</w:t>
      </w:r>
      <w:r>
        <w:rPr>
          <w:rFonts w:hint="eastAsia" w:ascii="宋体" w:hAnsi="宋体" w:cs="宋体"/>
          <w:color w:val="auto"/>
          <w:szCs w:val="21"/>
          <w:highlight w:val="none"/>
          <w:lang w:val="en-US" w:eastAsia="zh-CN" w:bidi="ar"/>
        </w:rPr>
        <w:t>报价</w:t>
      </w:r>
      <w:r>
        <w:rPr>
          <w:rFonts w:hint="eastAsia" w:ascii="宋体" w:hAnsi="宋体" w:cs="宋体"/>
          <w:color w:val="auto"/>
          <w:szCs w:val="21"/>
          <w:highlight w:val="none"/>
          <w:lang w:bidi="ar"/>
        </w:rPr>
        <w:t>人认为有必要提供的资料，标明其内容且格式自拟。</w:t>
      </w:r>
    </w:p>
    <w:p w14:paraId="20B2FA6E">
      <w:pPr>
        <w:wordWrap w:val="0"/>
        <w:adjustRightInd w:val="0"/>
        <w:snapToGrid w:val="0"/>
        <w:spacing w:line="460" w:lineRule="exact"/>
        <w:jc w:val="left"/>
        <w:rPr>
          <w:rFonts w:hint="eastAsia" w:ascii="宋体" w:hAnsi="宋体" w:cs="宋体"/>
          <w:color w:val="auto"/>
          <w:szCs w:val="21"/>
          <w:highlight w:val="none"/>
          <w:lang w:bidi="ar"/>
        </w:rPr>
      </w:pPr>
    </w:p>
    <w:p w14:paraId="71FB0E9D">
      <w:pPr>
        <w:pStyle w:val="18"/>
        <w:rPr>
          <w:color w:val="auto"/>
          <w:highlight w:val="none"/>
        </w:rPr>
      </w:pPr>
    </w:p>
    <w:p w14:paraId="7CF62028">
      <w:pPr>
        <w:rPr>
          <w:rFonts w:ascii="宋体" w:hAnsi="宋体" w:cs="宋体"/>
          <w:color w:val="auto"/>
          <w:sz w:val="28"/>
          <w:highlight w:val="none"/>
        </w:rPr>
      </w:pPr>
    </w:p>
    <w:bookmarkEnd w:id="230"/>
    <w:bookmarkEnd w:id="231"/>
    <w:p w14:paraId="69C7D969">
      <w:pPr>
        <w:rPr>
          <w:color w:val="auto"/>
          <w:highlight w:val="none"/>
        </w:rPr>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CA6754B-0FDB-4C45-9B5B-59EE9A9CB72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2" w:fontKey="{C0F192C4-EAEF-42F4-A74C-DE4CB9C3222E}"/>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Wonder Arial">
    <w:panose1 w:val="00000500000000000000"/>
    <w:charset w:val="00"/>
    <w:family w:val="auto"/>
    <w:pitch w:val="default"/>
    <w:sig w:usb0="00000003" w:usb1="00000000" w:usb2="00000000" w:usb3="00000000" w:csb0="00000011" w:csb1="00000000"/>
    <w:embedRegular r:id="rId3" w:fontKey="{21070495-D132-4D6D-A71A-3891AEEB2F38}"/>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2000000000000000000"/>
    <w:charset w:val="86"/>
    <w:family w:val="script"/>
    <w:pitch w:val="default"/>
    <w:sig w:usb0="00000001" w:usb1="080E0000" w:usb2="00000000" w:usb3="00000000" w:csb0="00040000" w:csb1="00000000"/>
    <w:embedRegular r:id="rId4" w:fontKey="{B1AFDF65-B8D3-4F5A-8F41-37A563BA8ABE}"/>
  </w:font>
  <w:font w:name="仿宋">
    <w:panose1 w:val="02010609060101010101"/>
    <w:charset w:val="86"/>
    <w:family w:val="modern"/>
    <w:pitch w:val="default"/>
    <w:sig w:usb0="800002BF" w:usb1="38CF7CFA" w:usb2="00000016" w:usb3="00000000" w:csb0="00040001" w:csb1="00000000"/>
    <w:embedRegular r:id="rId5" w:fontKey="{30E2ADA9-EBD5-480A-8285-6E29233CF18E}"/>
  </w:font>
  <w:font w:name="仿宋_GB2312">
    <w:panose1 w:val="02010609030101010101"/>
    <w:charset w:val="86"/>
    <w:family w:val="modern"/>
    <w:pitch w:val="default"/>
    <w:sig w:usb0="00000001" w:usb1="080E0000" w:usb2="00000000" w:usb3="00000000" w:csb0="00040000" w:csb1="00000000"/>
    <w:embedRegular r:id="rId6" w:fontKey="{DD204F09-75E3-484D-B6BB-4978C411BB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1E90C">
    <w:pPr>
      <w:pStyle w:val="27"/>
      <w:jc w:val="center"/>
    </w:pPr>
  </w:p>
  <w:p w14:paraId="6487B552">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93354">
    <w:pPr>
      <w:pStyle w:val="27"/>
      <w:framePr w:wrap="around" w:vAnchor="text" w:hAnchor="margin" w:xAlign="center" w:y="1"/>
      <w:rPr>
        <w:rStyle w:val="47"/>
      </w:rPr>
    </w:pPr>
    <w:r>
      <w:fldChar w:fldCharType="begin"/>
    </w:r>
    <w:r>
      <w:rPr>
        <w:rStyle w:val="47"/>
      </w:rPr>
      <w:instrText xml:space="preserve">PAGE  </w:instrText>
    </w:r>
    <w:r>
      <w:fldChar w:fldCharType="end"/>
    </w:r>
  </w:p>
  <w:p w14:paraId="28F974B8">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1E25">
    <w:pPr>
      <w:pStyle w:val="27"/>
      <w:jc w:val="center"/>
    </w:pPr>
    <w:r>
      <w:fldChar w:fldCharType="begin"/>
    </w:r>
    <w:r>
      <w:instrText xml:space="preserve">PAGE   \* MERGEFORMAT</w:instrText>
    </w:r>
    <w:r>
      <w:fldChar w:fldCharType="separate"/>
    </w:r>
    <w:r>
      <w:rPr>
        <w:lang w:val="zh-CN"/>
      </w:rPr>
      <w:t>79</w:t>
    </w:r>
    <w:r>
      <w:fldChar w:fldCharType="end"/>
    </w:r>
  </w:p>
  <w:p w14:paraId="5A653BC5">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D274">
    <w:pPr>
      <w:pStyle w:val="27"/>
      <w:jc w:val="center"/>
    </w:pPr>
    <w:r>
      <w:fldChar w:fldCharType="begin"/>
    </w:r>
    <w:r>
      <w:instrText xml:space="preserve">PAGE   \* MERGEFORMAT</w:instrText>
    </w:r>
    <w:r>
      <w:fldChar w:fldCharType="separate"/>
    </w:r>
    <w:r>
      <w:rPr>
        <w:lang w:val="zh-CN"/>
      </w:rPr>
      <w:t>35</w:t>
    </w:r>
    <w:r>
      <w:fldChar w:fldCharType="end"/>
    </w:r>
  </w:p>
  <w:p w14:paraId="4392C7E3">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0FAB">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14:paraId="2F4A02BB">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A4B5">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631EA2">
                          <w:pPr>
                            <w:pStyle w:val="27"/>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0F631EA2">
                    <w:pPr>
                      <w:pStyle w:val="27"/>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AE060">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48E000">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2548E000">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FA96E">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0BF020">
                          <w:pPr>
                            <w:pStyle w:val="27"/>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7A0BF020">
                    <w:pPr>
                      <w:pStyle w:val="27"/>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2551">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8C1A2B">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38C1A2B">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F6A7">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6945">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12678"/>
    <w:multiLevelType w:val="singleLevel"/>
    <w:tmpl w:val="C6A12678"/>
    <w:lvl w:ilvl="0" w:tentative="0">
      <w:start w:val="1"/>
      <w:numFmt w:val="chineseCounting"/>
      <w:suff w:val="nothing"/>
      <w:lvlText w:val="%1、"/>
      <w:lvlJc w:val="left"/>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24020E96"/>
    <w:multiLevelType w:val="multilevel"/>
    <w:tmpl w:val="24020E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C6D0772"/>
    <w:multiLevelType w:val="multilevel"/>
    <w:tmpl w:val="2C6D077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EEA323C"/>
    <w:multiLevelType w:val="multilevel"/>
    <w:tmpl w:val="4EEA32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C2C081B"/>
    <w:multiLevelType w:val="multilevel"/>
    <w:tmpl w:val="7C2C081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TM5ZTUxMWVlMGRjMWIxNjJhYzcwYmE2Yjk4Ym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9409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BB1"/>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0FE8"/>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351"/>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32A"/>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17FC0"/>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5468"/>
    <w:rsid w:val="008D63E7"/>
    <w:rsid w:val="008D73C7"/>
    <w:rsid w:val="008E0572"/>
    <w:rsid w:val="008E1519"/>
    <w:rsid w:val="008E287D"/>
    <w:rsid w:val="008E45A7"/>
    <w:rsid w:val="008F3C41"/>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08B5"/>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00A2"/>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CF9"/>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5731"/>
    <w:rsid w:val="00C07B2A"/>
    <w:rsid w:val="00C11F6E"/>
    <w:rsid w:val="00C13F63"/>
    <w:rsid w:val="00C15831"/>
    <w:rsid w:val="00C168B7"/>
    <w:rsid w:val="00C20F3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E7A03"/>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6E"/>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081040"/>
    <w:rsid w:val="015D18DC"/>
    <w:rsid w:val="01852BD3"/>
    <w:rsid w:val="018A6C3C"/>
    <w:rsid w:val="01A8609A"/>
    <w:rsid w:val="02195A53"/>
    <w:rsid w:val="023B0129"/>
    <w:rsid w:val="029D41FE"/>
    <w:rsid w:val="02A800C5"/>
    <w:rsid w:val="02C6499B"/>
    <w:rsid w:val="02C91CAA"/>
    <w:rsid w:val="03346615"/>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A1FA9"/>
    <w:rsid w:val="05871A0A"/>
    <w:rsid w:val="05A42E7B"/>
    <w:rsid w:val="05A70EA9"/>
    <w:rsid w:val="05D55D36"/>
    <w:rsid w:val="060C2525"/>
    <w:rsid w:val="062756FD"/>
    <w:rsid w:val="065F7A31"/>
    <w:rsid w:val="067C53E7"/>
    <w:rsid w:val="06820F5E"/>
    <w:rsid w:val="06951992"/>
    <w:rsid w:val="06AE2ABA"/>
    <w:rsid w:val="06C75DF5"/>
    <w:rsid w:val="06DD02BB"/>
    <w:rsid w:val="06E43F57"/>
    <w:rsid w:val="06E71F51"/>
    <w:rsid w:val="06F965AD"/>
    <w:rsid w:val="07050666"/>
    <w:rsid w:val="071C4DB7"/>
    <w:rsid w:val="07362674"/>
    <w:rsid w:val="073B54B2"/>
    <w:rsid w:val="07537EF9"/>
    <w:rsid w:val="07815EE7"/>
    <w:rsid w:val="08170505"/>
    <w:rsid w:val="081748AE"/>
    <w:rsid w:val="08635851"/>
    <w:rsid w:val="089D43E6"/>
    <w:rsid w:val="08C2359B"/>
    <w:rsid w:val="09041814"/>
    <w:rsid w:val="092D7BDC"/>
    <w:rsid w:val="09332D2B"/>
    <w:rsid w:val="093E2D64"/>
    <w:rsid w:val="09472203"/>
    <w:rsid w:val="0950680C"/>
    <w:rsid w:val="098B1DA7"/>
    <w:rsid w:val="09907951"/>
    <w:rsid w:val="099F43E4"/>
    <w:rsid w:val="09A31A61"/>
    <w:rsid w:val="09BA7A85"/>
    <w:rsid w:val="09BF594F"/>
    <w:rsid w:val="09DE1094"/>
    <w:rsid w:val="09E2475B"/>
    <w:rsid w:val="0A3F34B7"/>
    <w:rsid w:val="0A4B11BE"/>
    <w:rsid w:val="0A7B4003"/>
    <w:rsid w:val="0A8E5B8D"/>
    <w:rsid w:val="0AA240FA"/>
    <w:rsid w:val="0AAC0CBB"/>
    <w:rsid w:val="0ABA5513"/>
    <w:rsid w:val="0AD84BD3"/>
    <w:rsid w:val="0AE941D3"/>
    <w:rsid w:val="0B1061C6"/>
    <w:rsid w:val="0B2B08D5"/>
    <w:rsid w:val="0BA35012"/>
    <w:rsid w:val="0BB47FE1"/>
    <w:rsid w:val="0BB825ED"/>
    <w:rsid w:val="0BC0647C"/>
    <w:rsid w:val="0BD7624B"/>
    <w:rsid w:val="0BF26817"/>
    <w:rsid w:val="0C22464A"/>
    <w:rsid w:val="0C2B72AE"/>
    <w:rsid w:val="0C5C6F5A"/>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3416B8"/>
    <w:rsid w:val="0F4C19DA"/>
    <w:rsid w:val="0F4C7D05"/>
    <w:rsid w:val="0F4F31AF"/>
    <w:rsid w:val="0F5F17BD"/>
    <w:rsid w:val="0F90531D"/>
    <w:rsid w:val="0FAD64B5"/>
    <w:rsid w:val="0FB21FD4"/>
    <w:rsid w:val="0FFF5930"/>
    <w:rsid w:val="10A265EF"/>
    <w:rsid w:val="10DF2B28"/>
    <w:rsid w:val="10EC4A0F"/>
    <w:rsid w:val="11156FC6"/>
    <w:rsid w:val="11366ED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065285"/>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B71B24"/>
    <w:rsid w:val="15E63361"/>
    <w:rsid w:val="160B0227"/>
    <w:rsid w:val="16430805"/>
    <w:rsid w:val="16864176"/>
    <w:rsid w:val="16E04880"/>
    <w:rsid w:val="16E33BB8"/>
    <w:rsid w:val="16F86032"/>
    <w:rsid w:val="17081A7A"/>
    <w:rsid w:val="17292C0C"/>
    <w:rsid w:val="172A43B2"/>
    <w:rsid w:val="176F50FE"/>
    <w:rsid w:val="17D10049"/>
    <w:rsid w:val="17DD0B49"/>
    <w:rsid w:val="17F1563C"/>
    <w:rsid w:val="17F23C73"/>
    <w:rsid w:val="180F3B80"/>
    <w:rsid w:val="181B1411"/>
    <w:rsid w:val="181C1400"/>
    <w:rsid w:val="18223BBF"/>
    <w:rsid w:val="18406E44"/>
    <w:rsid w:val="185C1918"/>
    <w:rsid w:val="186039EF"/>
    <w:rsid w:val="1880349D"/>
    <w:rsid w:val="188F046D"/>
    <w:rsid w:val="18D435BC"/>
    <w:rsid w:val="18E261BC"/>
    <w:rsid w:val="19193365"/>
    <w:rsid w:val="19261639"/>
    <w:rsid w:val="1935660C"/>
    <w:rsid w:val="195D5C0E"/>
    <w:rsid w:val="19B64CC2"/>
    <w:rsid w:val="19BA69A5"/>
    <w:rsid w:val="19DF6D3F"/>
    <w:rsid w:val="19E24459"/>
    <w:rsid w:val="1A305FF4"/>
    <w:rsid w:val="1A3D7EBE"/>
    <w:rsid w:val="1A4353A0"/>
    <w:rsid w:val="1A4E6302"/>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EA13A6"/>
    <w:rsid w:val="1EF77A6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2E74EE"/>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0F46F5"/>
    <w:rsid w:val="283962F8"/>
    <w:rsid w:val="285F2F19"/>
    <w:rsid w:val="287A36F4"/>
    <w:rsid w:val="288458E7"/>
    <w:rsid w:val="28A33A20"/>
    <w:rsid w:val="28A47F17"/>
    <w:rsid w:val="290212C1"/>
    <w:rsid w:val="290D5ED8"/>
    <w:rsid w:val="29656DCE"/>
    <w:rsid w:val="296E75F6"/>
    <w:rsid w:val="298B4B23"/>
    <w:rsid w:val="29B71FDB"/>
    <w:rsid w:val="29CF18DD"/>
    <w:rsid w:val="29D65D23"/>
    <w:rsid w:val="29D875FE"/>
    <w:rsid w:val="29E259F5"/>
    <w:rsid w:val="29F232B2"/>
    <w:rsid w:val="2A0B100E"/>
    <w:rsid w:val="2A0F3808"/>
    <w:rsid w:val="2A194E5D"/>
    <w:rsid w:val="2A21554B"/>
    <w:rsid w:val="2A594BC2"/>
    <w:rsid w:val="2A9F7561"/>
    <w:rsid w:val="2AA90FA0"/>
    <w:rsid w:val="2AB31CE2"/>
    <w:rsid w:val="2AB55266"/>
    <w:rsid w:val="2B487382"/>
    <w:rsid w:val="2B552F60"/>
    <w:rsid w:val="2B7841A6"/>
    <w:rsid w:val="2BB367B9"/>
    <w:rsid w:val="2BC45071"/>
    <w:rsid w:val="2C13380B"/>
    <w:rsid w:val="2C184D47"/>
    <w:rsid w:val="2C796A89"/>
    <w:rsid w:val="2CBD3A96"/>
    <w:rsid w:val="2CC74339"/>
    <w:rsid w:val="2CCC23F7"/>
    <w:rsid w:val="2CCE1414"/>
    <w:rsid w:val="2CF93ABF"/>
    <w:rsid w:val="2D1E27A3"/>
    <w:rsid w:val="2D394FF5"/>
    <w:rsid w:val="2D623014"/>
    <w:rsid w:val="2D766528"/>
    <w:rsid w:val="2E173684"/>
    <w:rsid w:val="2E1751F9"/>
    <w:rsid w:val="2E6A704D"/>
    <w:rsid w:val="2E8A6255"/>
    <w:rsid w:val="2EF80ED7"/>
    <w:rsid w:val="2F0B1048"/>
    <w:rsid w:val="2F141AAA"/>
    <w:rsid w:val="2F9A6191"/>
    <w:rsid w:val="2FCA4353"/>
    <w:rsid w:val="2FE55D75"/>
    <w:rsid w:val="2FF23F99"/>
    <w:rsid w:val="300A288E"/>
    <w:rsid w:val="30236367"/>
    <w:rsid w:val="30331BC6"/>
    <w:rsid w:val="303E7E03"/>
    <w:rsid w:val="304A182B"/>
    <w:rsid w:val="30700C52"/>
    <w:rsid w:val="30757C00"/>
    <w:rsid w:val="307D5D65"/>
    <w:rsid w:val="30B34CE3"/>
    <w:rsid w:val="30CB1C83"/>
    <w:rsid w:val="30ED2830"/>
    <w:rsid w:val="31116EA7"/>
    <w:rsid w:val="316B2857"/>
    <w:rsid w:val="31832D29"/>
    <w:rsid w:val="319D5339"/>
    <w:rsid w:val="319F2F47"/>
    <w:rsid w:val="31A974F8"/>
    <w:rsid w:val="31D20CDE"/>
    <w:rsid w:val="31F37E23"/>
    <w:rsid w:val="31FE689A"/>
    <w:rsid w:val="32223DC6"/>
    <w:rsid w:val="325A02A1"/>
    <w:rsid w:val="32827D75"/>
    <w:rsid w:val="329032EF"/>
    <w:rsid w:val="329970EF"/>
    <w:rsid w:val="32B35AAA"/>
    <w:rsid w:val="33135210"/>
    <w:rsid w:val="3326373F"/>
    <w:rsid w:val="334459AC"/>
    <w:rsid w:val="33705A64"/>
    <w:rsid w:val="33A055AF"/>
    <w:rsid w:val="33A51E80"/>
    <w:rsid w:val="33EE589E"/>
    <w:rsid w:val="33F03D7B"/>
    <w:rsid w:val="340329A9"/>
    <w:rsid w:val="342645AD"/>
    <w:rsid w:val="342B057B"/>
    <w:rsid w:val="342E1467"/>
    <w:rsid w:val="34335C8F"/>
    <w:rsid w:val="34617CD8"/>
    <w:rsid w:val="346925DA"/>
    <w:rsid w:val="34753860"/>
    <w:rsid w:val="34A61339"/>
    <w:rsid w:val="34CC3006"/>
    <w:rsid w:val="34F3793E"/>
    <w:rsid w:val="35574E9C"/>
    <w:rsid w:val="35712E34"/>
    <w:rsid w:val="35C10F67"/>
    <w:rsid w:val="35ED793B"/>
    <w:rsid w:val="35F84740"/>
    <w:rsid w:val="36383125"/>
    <w:rsid w:val="366C082D"/>
    <w:rsid w:val="368C388A"/>
    <w:rsid w:val="36C90DD1"/>
    <w:rsid w:val="374634AB"/>
    <w:rsid w:val="374B6987"/>
    <w:rsid w:val="37704489"/>
    <w:rsid w:val="37710026"/>
    <w:rsid w:val="37925427"/>
    <w:rsid w:val="37A55DCC"/>
    <w:rsid w:val="37CA04FF"/>
    <w:rsid w:val="37D30771"/>
    <w:rsid w:val="37EC0BB8"/>
    <w:rsid w:val="38995839"/>
    <w:rsid w:val="39265074"/>
    <w:rsid w:val="392B274A"/>
    <w:rsid w:val="394C4C39"/>
    <w:rsid w:val="394C68A5"/>
    <w:rsid w:val="395E479A"/>
    <w:rsid w:val="39675804"/>
    <w:rsid w:val="39A36C2D"/>
    <w:rsid w:val="39AA29B9"/>
    <w:rsid w:val="39E71AEC"/>
    <w:rsid w:val="39F60058"/>
    <w:rsid w:val="3A0948D8"/>
    <w:rsid w:val="3A104089"/>
    <w:rsid w:val="3A8217DE"/>
    <w:rsid w:val="3A822B01"/>
    <w:rsid w:val="3AB8426E"/>
    <w:rsid w:val="3ACF765C"/>
    <w:rsid w:val="3AD278CD"/>
    <w:rsid w:val="3AFA4BE5"/>
    <w:rsid w:val="3B2A44B8"/>
    <w:rsid w:val="3B2B6476"/>
    <w:rsid w:val="3BBC038E"/>
    <w:rsid w:val="3BFE3F02"/>
    <w:rsid w:val="3C2972FD"/>
    <w:rsid w:val="3C5B4444"/>
    <w:rsid w:val="3C612DB4"/>
    <w:rsid w:val="3C852047"/>
    <w:rsid w:val="3CA13116"/>
    <w:rsid w:val="3CA925AE"/>
    <w:rsid w:val="3CF877AB"/>
    <w:rsid w:val="3D306CB2"/>
    <w:rsid w:val="3D32729D"/>
    <w:rsid w:val="3D485E54"/>
    <w:rsid w:val="3D667959"/>
    <w:rsid w:val="3D8230F2"/>
    <w:rsid w:val="3D886E2C"/>
    <w:rsid w:val="3DAA5519"/>
    <w:rsid w:val="3DC413E8"/>
    <w:rsid w:val="3DCA34BB"/>
    <w:rsid w:val="3DD83D60"/>
    <w:rsid w:val="3DD86A9B"/>
    <w:rsid w:val="3E044CAE"/>
    <w:rsid w:val="3E12201C"/>
    <w:rsid w:val="3E427218"/>
    <w:rsid w:val="3EA72ABE"/>
    <w:rsid w:val="3EAD4174"/>
    <w:rsid w:val="3EAD7F9C"/>
    <w:rsid w:val="3EB32892"/>
    <w:rsid w:val="3EBC3336"/>
    <w:rsid w:val="3EDE79C6"/>
    <w:rsid w:val="3EF65530"/>
    <w:rsid w:val="3EF9D3F1"/>
    <w:rsid w:val="3F064AE9"/>
    <w:rsid w:val="3F3B0C43"/>
    <w:rsid w:val="3F431BA8"/>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4337DE"/>
    <w:rsid w:val="416C142E"/>
    <w:rsid w:val="41976EDF"/>
    <w:rsid w:val="41FD121E"/>
    <w:rsid w:val="421A7627"/>
    <w:rsid w:val="4233112B"/>
    <w:rsid w:val="42401E98"/>
    <w:rsid w:val="42872311"/>
    <w:rsid w:val="428B5762"/>
    <w:rsid w:val="42D47C2B"/>
    <w:rsid w:val="42D8334B"/>
    <w:rsid w:val="42DA32B5"/>
    <w:rsid w:val="433543AC"/>
    <w:rsid w:val="43420FE8"/>
    <w:rsid w:val="434513F0"/>
    <w:rsid w:val="43702851"/>
    <w:rsid w:val="43CA4F48"/>
    <w:rsid w:val="4424604A"/>
    <w:rsid w:val="442967DE"/>
    <w:rsid w:val="443F6CBF"/>
    <w:rsid w:val="444E1852"/>
    <w:rsid w:val="445014AB"/>
    <w:rsid w:val="44A446C0"/>
    <w:rsid w:val="44CE660D"/>
    <w:rsid w:val="45360A7B"/>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0703F1"/>
    <w:rsid w:val="471B3499"/>
    <w:rsid w:val="4730142A"/>
    <w:rsid w:val="474608B5"/>
    <w:rsid w:val="478E4BD2"/>
    <w:rsid w:val="47DD756D"/>
    <w:rsid w:val="48037A8A"/>
    <w:rsid w:val="482303E2"/>
    <w:rsid w:val="48377D23"/>
    <w:rsid w:val="486634EE"/>
    <w:rsid w:val="48807890"/>
    <w:rsid w:val="48A64B98"/>
    <w:rsid w:val="48BC156D"/>
    <w:rsid w:val="48F765BE"/>
    <w:rsid w:val="490445F2"/>
    <w:rsid w:val="490935A0"/>
    <w:rsid w:val="49320F23"/>
    <w:rsid w:val="4944230E"/>
    <w:rsid w:val="49DD73AE"/>
    <w:rsid w:val="49F95BD6"/>
    <w:rsid w:val="4A14705F"/>
    <w:rsid w:val="4AA73240"/>
    <w:rsid w:val="4AB72272"/>
    <w:rsid w:val="4AD703A4"/>
    <w:rsid w:val="4B305E1B"/>
    <w:rsid w:val="4B5279C2"/>
    <w:rsid w:val="4B9B43F1"/>
    <w:rsid w:val="4BB92D8E"/>
    <w:rsid w:val="4BD07B58"/>
    <w:rsid w:val="4BE87BA5"/>
    <w:rsid w:val="4C3176AB"/>
    <w:rsid w:val="4C415DC1"/>
    <w:rsid w:val="4C6E278E"/>
    <w:rsid w:val="4CFF538B"/>
    <w:rsid w:val="4D4D7800"/>
    <w:rsid w:val="4D7251FF"/>
    <w:rsid w:val="4DDF3E76"/>
    <w:rsid w:val="4DE50C0B"/>
    <w:rsid w:val="4E11105D"/>
    <w:rsid w:val="4E16225A"/>
    <w:rsid w:val="4E253AB8"/>
    <w:rsid w:val="4E472C92"/>
    <w:rsid w:val="4E824D97"/>
    <w:rsid w:val="4E9D5C2D"/>
    <w:rsid w:val="4EBA57C1"/>
    <w:rsid w:val="4EEA14D6"/>
    <w:rsid w:val="4F047E0A"/>
    <w:rsid w:val="4F477F24"/>
    <w:rsid w:val="4FA91AAC"/>
    <w:rsid w:val="4FBD0FF5"/>
    <w:rsid w:val="4FC854D7"/>
    <w:rsid w:val="50142DE1"/>
    <w:rsid w:val="5015687B"/>
    <w:rsid w:val="501926CA"/>
    <w:rsid w:val="503109FF"/>
    <w:rsid w:val="505E3D68"/>
    <w:rsid w:val="508F700E"/>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564F4"/>
    <w:rsid w:val="53EE1101"/>
    <w:rsid w:val="53FC4E8E"/>
    <w:rsid w:val="541717DC"/>
    <w:rsid w:val="54271D5C"/>
    <w:rsid w:val="546535D1"/>
    <w:rsid w:val="54976AA9"/>
    <w:rsid w:val="549A3F89"/>
    <w:rsid w:val="54DE0134"/>
    <w:rsid w:val="553C46BA"/>
    <w:rsid w:val="55494082"/>
    <w:rsid w:val="557D5B60"/>
    <w:rsid w:val="55834A19"/>
    <w:rsid w:val="55A26752"/>
    <w:rsid w:val="55F27046"/>
    <w:rsid w:val="55F526C6"/>
    <w:rsid w:val="56066DC9"/>
    <w:rsid w:val="564E1228"/>
    <w:rsid w:val="56A6131D"/>
    <w:rsid w:val="56A82B00"/>
    <w:rsid w:val="56BC5AD0"/>
    <w:rsid w:val="56D00C68"/>
    <w:rsid w:val="57022BD1"/>
    <w:rsid w:val="57212B27"/>
    <w:rsid w:val="572809C2"/>
    <w:rsid w:val="572F0264"/>
    <w:rsid w:val="57480C4D"/>
    <w:rsid w:val="574C27F3"/>
    <w:rsid w:val="576F5440"/>
    <w:rsid w:val="57895A45"/>
    <w:rsid w:val="57C5313B"/>
    <w:rsid w:val="57D807D4"/>
    <w:rsid w:val="57EA7969"/>
    <w:rsid w:val="57F740F4"/>
    <w:rsid w:val="57FA3D86"/>
    <w:rsid w:val="58263B5F"/>
    <w:rsid w:val="58750691"/>
    <w:rsid w:val="58AB575D"/>
    <w:rsid w:val="58BC728D"/>
    <w:rsid w:val="58DD0763"/>
    <w:rsid w:val="59445F91"/>
    <w:rsid w:val="59815208"/>
    <w:rsid w:val="59F001A4"/>
    <w:rsid w:val="5A1E2DE7"/>
    <w:rsid w:val="5A20427A"/>
    <w:rsid w:val="5A395FB6"/>
    <w:rsid w:val="5A436A2D"/>
    <w:rsid w:val="5AEB4FF2"/>
    <w:rsid w:val="5B0A066E"/>
    <w:rsid w:val="5B123FA7"/>
    <w:rsid w:val="5B21789B"/>
    <w:rsid w:val="5B5E18A4"/>
    <w:rsid w:val="5B613C0E"/>
    <w:rsid w:val="5B955E96"/>
    <w:rsid w:val="5B9B3675"/>
    <w:rsid w:val="5BA26571"/>
    <w:rsid w:val="5BCA6564"/>
    <w:rsid w:val="5BD66D67"/>
    <w:rsid w:val="5C107D40"/>
    <w:rsid w:val="5C1E3775"/>
    <w:rsid w:val="5C381264"/>
    <w:rsid w:val="5C672644"/>
    <w:rsid w:val="5C8132C7"/>
    <w:rsid w:val="5CA23A25"/>
    <w:rsid w:val="5CB00EB7"/>
    <w:rsid w:val="5CC26330"/>
    <w:rsid w:val="5CD67F41"/>
    <w:rsid w:val="5CDF760E"/>
    <w:rsid w:val="5CF93D1F"/>
    <w:rsid w:val="5D017C51"/>
    <w:rsid w:val="5D4165A3"/>
    <w:rsid w:val="5D463591"/>
    <w:rsid w:val="5D4F2A78"/>
    <w:rsid w:val="5D5A5DCC"/>
    <w:rsid w:val="5D792AE4"/>
    <w:rsid w:val="5DC25C67"/>
    <w:rsid w:val="5DD97571"/>
    <w:rsid w:val="5E2F58D3"/>
    <w:rsid w:val="5E5A06FD"/>
    <w:rsid w:val="5E9342EC"/>
    <w:rsid w:val="5EA27CF7"/>
    <w:rsid w:val="5EBC3C1E"/>
    <w:rsid w:val="5F3815EE"/>
    <w:rsid w:val="5F5C32D6"/>
    <w:rsid w:val="5F762886"/>
    <w:rsid w:val="5F853E5C"/>
    <w:rsid w:val="5FA870CA"/>
    <w:rsid w:val="5FA92D9F"/>
    <w:rsid w:val="5FAC2DE4"/>
    <w:rsid w:val="5FB10E83"/>
    <w:rsid w:val="5FB70ABF"/>
    <w:rsid w:val="600E788A"/>
    <w:rsid w:val="6011673F"/>
    <w:rsid w:val="604130CF"/>
    <w:rsid w:val="60663C94"/>
    <w:rsid w:val="60794FD4"/>
    <w:rsid w:val="60814FEF"/>
    <w:rsid w:val="60AE4E89"/>
    <w:rsid w:val="60C21C76"/>
    <w:rsid w:val="60D23EEC"/>
    <w:rsid w:val="60D32F5A"/>
    <w:rsid w:val="610E2B4C"/>
    <w:rsid w:val="61561E7C"/>
    <w:rsid w:val="619945D7"/>
    <w:rsid w:val="61C24BFD"/>
    <w:rsid w:val="61DE43D4"/>
    <w:rsid w:val="61E06967"/>
    <w:rsid w:val="61ED083B"/>
    <w:rsid w:val="621F1FA5"/>
    <w:rsid w:val="624216A0"/>
    <w:rsid w:val="626343A0"/>
    <w:rsid w:val="626736F9"/>
    <w:rsid w:val="626B4082"/>
    <w:rsid w:val="626B6B00"/>
    <w:rsid w:val="628E1BE9"/>
    <w:rsid w:val="62D06FF9"/>
    <w:rsid w:val="62D765EB"/>
    <w:rsid w:val="636B22CC"/>
    <w:rsid w:val="636C198B"/>
    <w:rsid w:val="63A84D2D"/>
    <w:rsid w:val="63B65AC7"/>
    <w:rsid w:val="63D7428B"/>
    <w:rsid w:val="640C4C0D"/>
    <w:rsid w:val="642D54CF"/>
    <w:rsid w:val="643B5584"/>
    <w:rsid w:val="645830D7"/>
    <w:rsid w:val="64675414"/>
    <w:rsid w:val="647258C3"/>
    <w:rsid w:val="64AA2E73"/>
    <w:rsid w:val="64B8434A"/>
    <w:rsid w:val="64C5008F"/>
    <w:rsid w:val="64CF58CF"/>
    <w:rsid w:val="64E8446E"/>
    <w:rsid w:val="65376B47"/>
    <w:rsid w:val="654042F5"/>
    <w:rsid w:val="65F66C79"/>
    <w:rsid w:val="660447CA"/>
    <w:rsid w:val="665622BC"/>
    <w:rsid w:val="6660772E"/>
    <w:rsid w:val="66653739"/>
    <w:rsid w:val="666C4EE6"/>
    <w:rsid w:val="66792487"/>
    <w:rsid w:val="66FB0FDC"/>
    <w:rsid w:val="66FC5AFF"/>
    <w:rsid w:val="6709462E"/>
    <w:rsid w:val="67615E61"/>
    <w:rsid w:val="6777196F"/>
    <w:rsid w:val="678A1ED0"/>
    <w:rsid w:val="67AB61F8"/>
    <w:rsid w:val="67BA7741"/>
    <w:rsid w:val="67BD2A93"/>
    <w:rsid w:val="67E6170C"/>
    <w:rsid w:val="680D0CA5"/>
    <w:rsid w:val="68A45648"/>
    <w:rsid w:val="68A5668C"/>
    <w:rsid w:val="68B20836"/>
    <w:rsid w:val="68D27297"/>
    <w:rsid w:val="68FC7232"/>
    <w:rsid w:val="6911241F"/>
    <w:rsid w:val="69B67115"/>
    <w:rsid w:val="69B82DF4"/>
    <w:rsid w:val="69EE20B7"/>
    <w:rsid w:val="69EF53B4"/>
    <w:rsid w:val="6A126DD2"/>
    <w:rsid w:val="6A420E56"/>
    <w:rsid w:val="6A924E32"/>
    <w:rsid w:val="6A94008C"/>
    <w:rsid w:val="6A9E4A45"/>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0333AE"/>
    <w:rsid w:val="6D135E16"/>
    <w:rsid w:val="6D1C168A"/>
    <w:rsid w:val="6D282CEC"/>
    <w:rsid w:val="6D347A31"/>
    <w:rsid w:val="6D3668DD"/>
    <w:rsid w:val="6D471CAB"/>
    <w:rsid w:val="6DAC0977"/>
    <w:rsid w:val="6DB941BD"/>
    <w:rsid w:val="6DC60F63"/>
    <w:rsid w:val="6E0E4B39"/>
    <w:rsid w:val="6E151E87"/>
    <w:rsid w:val="6E351C40"/>
    <w:rsid w:val="6E4C770B"/>
    <w:rsid w:val="6E5F1098"/>
    <w:rsid w:val="6E6F2793"/>
    <w:rsid w:val="6E703D8E"/>
    <w:rsid w:val="6E84323D"/>
    <w:rsid w:val="6E942A76"/>
    <w:rsid w:val="6EA41FA2"/>
    <w:rsid w:val="6EB44AD4"/>
    <w:rsid w:val="6EF2F120"/>
    <w:rsid w:val="6F2B00E0"/>
    <w:rsid w:val="6F313FE8"/>
    <w:rsid w:val="6F381CAC"/>
    <w:rsid w:val="6F6128C1"/>
    <w:rsid w:val="6F9C6902"/>
    <w:rsid w:val="6FA0729C"/>
    <w:rsid w:val="6FEF4FB0"/>
    <w:rsid w:val="700A492A"/>
    <w:rsid w:val="70100CA2"/>
    <w:rsid w:val="70393572"/>
    <w:rsid w:val="707A7026"/>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CF00B7"/>
    <w:rsid w:val="72D11D5C"/>
    <w:rsid w:val="72E85DAD"/>
    <w:rsid w:val="732303D9"/>
    <w:rsid w:val="73532CC9"/>
    <w:rsid w:val="736F4591"/>
    <w:rsid w:val="73D37E0A"/>
    <w:rsid w:val="73D73D11"/>
    <w:rsid w:val="73D937EE"/>
    <w:rsid w:val="744975DD"/>
    <w:rsid w:val="746920A5"/>
    <w:rsid w:val="74CB1EDB"/>
    <w:rsid w:val="74DE73F5"/>
    <w:rsid w:val="751E77AF"/>
    <w:rsid w:val="75D07F8B"/>
    <w:rsid w:val="75EE5669"/>
    <w:rsid w:val="76957051"/>
    <w:rsid w:val="76966F18"/>
    <w:rsid w:val="76BD4232"/>
    <w:rsid w:val="76C10199"/>
    <w:rsid w:val="76C57BCB"/>
    <w:rsid w:val="76F927CD"/>
    <w:rsid w:val="773B2934"/>
    <w:rsid w:val="773E064E"/>
    <w:rsid w:val="774E1211"/>
    <w:rsid w:val="777B71D8"/>
    <w:rsid w:val="77A54D53"/>
    <w:rsid w:val="77D75F2B"/>
    <w:rsid w:val="77FC6767"/>
    <w:rsid w:val="781A0BEC"/>
    <w:rsid w:val="78202415"/>
    <w:rsid w:val="78213FC9"/>
    <w:rsid w:val="78513353"/>
    <w:rsid w:val="78701D9C"/>
    <w:rsid w:val="789B4D29"/>
    <w:rsid w:val="78FA0671"/>
    <w:rsid w:val="793A634F"/>
    <w:rsid w:val="79515378"/>
    <w:rsid w:val="798635EB"/>
    <w:rsid w:val="79A5750A"/>
    <w:rsid w:val="79F87A3D"/>
    <w:rsid w:val="7A0C1011"/>
    <w:rsid w:val="7A0E7A81"/>
    <w:rsid w:val="7A321CDB"/>
    <w:rsid w:val="7A567B6E"/>
    <w:rsid w:val="7A6E32C8"/>
    <w:rsid w:val="7ABE4C8F"/>
    <w:rsid w:val="7AC900CF"/>
    <w:rsid w:val="7B052FBD"/>
    <w:rsid w:val="7B5A5A6C"/>
    <w:rsid w:val="7B5C250E"/>
    <w:rsid w:val="7B6D0F87"/>
    <w:rsid w:val="7B72691F"/>
    <w:rsid w:val="7B783FD8"/>
    <w:rsid w:val="7B9A3DB8"/>
    <w:rsid w:val="7BA113AB"/>
    <w:rsid w:val="7BD52290"/>
    <w:rsid w:val="7BD568A0"/>
    <w:rsid w:val="7BEF4EB5"/>
    <w:rsid w:val="7BF20E1E"/>
    <w:rsid w:val="7C1524F7"/>
    <w:rsid w:val="7C456120"/>
    <w:rsid w:val="7C5728ED"/>
    <w:rsid w:val="7C82779C"/>
    <w:rsid w:val="7C9408F4"/>
    <w:rsid w:val="7CB4634A"/>
    <w:rsid w:val="7CB83597"/>
    <w:rsid w:val="7CB90CC2"/>
    <w:rsid w:val="7CFB2CE9"/>
    <w:rsid w:val="7D0C34C4"/>
    <w:rsid w:val="7D212CA5"/>
    <w:rsid w:val="7D255EE2"/>
    <w:rsid w:val="7D293184"/>
    <w:rsid w:val="7D4B3EE6"/>
    <w:rsid w:val="7D6112EF"/>
    <w:rsid w:val="7D68620F"/>
    <w:rsid w:val="7D69777E"/>
    <w:rsid w:val="7D927DC0"/>
    <w:rsid w:val="7D971DB1"/>
    <w:rsid w:val="7DB34706"/>
    <w:rsid w:val="7E1A0A9F"/>
    <w:rsid w:val="7E3C401A"/>
    <w:rsid w:val="7E641213"/>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DFE460DC"/>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99"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3"/>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78"/>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7"/>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92"/>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8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3"/>
    <w:link w:val="69"/>
    <w:qFormat/>
    <w:uiPriority w:val="0"/>
    <w:pPr>
      <w:ind w:firstLine="420" w:firstLineChars="200"/>
    </w:pPr>
  </w:style>
  <w:style w:type="paragraph" w:styleId="13">
    <w:name w:val="Balloon Text"/>
    <w:basedOn w:val="1"/>
    <w:link w:val="80"/>
    <w:qFormat/>
    <w:uiPriority w:val="0"/>
    <w:rPr>
      <w:kern w:val="0"/>
      <w:sz w:val="18"/>
      <w:szCs w:val="18"/>
    </w:rPr>
  </w:style>
  <w:style w:type="paragraph" w:styleId="14">
    <w:name w:val="caption"/>
    <w:basedOn w:val="1"/>
    <w:next w:val="1"/>
    <w:qFormat/>
    <w:uiPriority w:val="99"/>
    <w:rPr>
      <w:rFonts w:ascii="等线 Light" w:hAnsi="等线 Light" w:eastAsia="黑体" w:cs="Times New Roman"/>
      <w:sz w:val="20"/>
      <w:szCs w:val="20"/>
    </w:rPr>
  </w:style>
  <w:style w:type="paragraph" w:styleId="15">
    <w:name w:val="Document Map"/>
    <w:basedOn w:val="1"/>
    <w:link w:val="76"/>
    <w:qFormat/>
    <w:uiPriority w:val="0"/>
    <w:pPr>
      <w:shd w:val="clear" w:color="auto" w:fill="000080"/>
    </w:pPr>
    <w:rPr>
      <w:kern w:val="0"/>
      <w:sz w:val="20"/>
    </w:rPr>
  </w:style>
  <w:style w:type="paragraph" w:styleId="16">
    <w:name w:val="annotation text"/>
    <w:basedOn w:val="1"/>
    <w:link w:val="58"/>
    <w:unhideWhenUsed/>
    <w:qFormat/>
    <w:uiPriority w:val="99"/>
    <w:pPr>
      <w:jc w:val="left"/>
    </w:pPr>
    <w:rPr>
      <w:kern w:val="0"/>
      <w:sz w:val="20"/>
    </w:rPr>
  </w:style>
  <w:style w:type="paragraph" w:styleId="17">
    <w:name w:val="Body Text 3"/>
    <w:basedOn w:val="1"/>
    <w:link w:val="62"/>
    <w:qFormat/>
    <w:uiPriority w:val="0"/>
    <w:rPr>
      <w:rFonts w:ascii="宋体"/>
      <w:kern w:val="0"/>
      <w:sz w:val="24"/>
      <w:szCs w:val="20"/>
    </w:rPr>
  </w:style>
  <w:style w:type="paragraph" w:styleId="18">
    <w:name w:val="Body Text"/>
    <w:basedOn w:val="1"/>
    <w:next w:val="1"/>
    <w:link w:val="65"/>
    <w:qFormat/>
    <w:uiPriority w:val="0"/>
    <w:pPr>
      <w:spacing w:after="120"/>
    </w:pPr>
    <w:rPr>
      <w:kern w:val="0"/>
      <w:sz w:val="20"/>
    </w:rPr>
  </w:style>
  <w:style w:type="paragraph" w:styleId="19">
    <w:name w:val="Body Text Indent"/>
    <w:basedOn w:val="1"/>
    <w:link w:val="75"/>
    <w:qFormat/>
    <w:uiPriority w:val="0"/>
    <w:pPr>
      <w:spacing w:after="120"/>
      <w:ind w:left="420" w:leftChars="200"/>
    </w:pPr>
    <w:rPr>
      <w:kern w:val="0"/>
      <w:sz w:val="20"/>
    </w:r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方正仿宋_GB2312"/>
      <w:sz w:val="72"/>
    </w:rPr>
  </w:style>
  <w:style w:type="paragraph" w:styleId="21">
    <w:name w:val="toc 5"/>
    <w:basedOn w:val="1"/>
    <w:next w:val="1"/>
    <w:qFormat/>
    <w:uiPriority w:val="39"/>
    <w:pPr>
      <w:ind w:left="840"/>
      <w:jc w:val="left"/>
    </w:pPr>
    <w:rPr>
      <w:rFonts w:ascii="Calibri" w:hAnsi="Calibri"/>
      <w:sz w:val="18"/>
      <w:szCs w:val="18"/>
    </w:rPr>
  </w:style>
  <w:style w:type="paragraph" w:styleId="22">
    <w:name w:val="toc 3"/>
    <w:basedOn w:val="1"/>
    <w:next w:val="1"/>
    <w:qFormat/>
    <w:uiPriority w:val="39"/>
    <w:pPr>
      <w:ind w:left="420"/>
      <w:jc w:val="left"/>
    </w:pPr>
    <w:rPr>
      <w:rFonts w:ascii="Calibri" w:hAnsi="Calibri"/>
      <w:i/>
      <w:iCs/>
      <w:sz w:val="20"/>
      <w:szCs w:val="20"/>
    </w:rPr>
  </w:style>
  <w:style w:type="paragraph" w:styleId="23">
    <w:name w:val="Plain Text"/>
    <w:basedOn w:val="1"/>
    <w:link w:val="98"/>
    <w:qFormat/>
    <w:uiPriority w:val="99"/>
    <w:rPr>
      <w:rFonts w:ascii="Courier New" w:hAnsi="Courier New"/>
      <w:kern w:val="0"/>
      <w:sz w:val="20"/>
      <w:szCs w:val="20"/>
    </w:rPr>
  </w:style>
  <w:style w:type="paragraph" w:styleId="24">
    <w:name w:val="toc 8"/>
    <w:basedOn w:val="1"/>
    <w:next w:val="1"/>
    <w:qFormat/>
    <w:uiPriority w:val="39"/>
    <w:pPr>
      <w:ind w:left="1470"/>
      <w:jc w:val="left"/>
    </w:pPr>
    <w:rPr>
      <w:rFonts w:ascii="Calibri" w:hAnsi="Calibri"/>
      <w:sz w:val="18"/>
      <w:szCs w:val="18"/>
    </w:rPr>
  </w:style>
  <w:style w:type="paragraph" w:styleId="25">
    <w:name w:val="Date"/>
    <w:basedOn w:val="1"/>
    <w:next w:val="1"/>
    <w:link w:val="82"/>
    <w:qFormat/>
    <w:uiPriority w:val="0"/>
    <w:rPr>
      <w:kern w:val="0"/>
      <w:sz w:val="24"/>
      <w:szCs w:val="20"/>
    </w:rPr>
  </w:style>
  <w:style w:type="paragraph" w:styleId="26">
    <w:name w:val="Body Text Indent 2"/>
    <w:basedOn w:val="1"/>
    <w:qFormat/>
    <w:uiPriority w:val="0"/>
    <w:pPr>
      <w:spacing w:after="120" w:line="480" w:lineRule="auto"/>
      <w:ind w:left="420" w:leftChars="200"/>
    </w:pPr>
  </w:style>
  <w:style w:type="paragraph" w:styleId="27">
    <w:name w:val="footer"/>
    <w:basedOn w:val="1"/>
    <w:link w:val="94"/>
    <w:qFormat/>
    <w:uiPriority w:val="99"/>
    <w:pPr>
      <w:tabs>
        <w:tab w:val="center" w:pos="4153"/>
        <w:tab w:val="right" w:pos="8306"/>
      </w:tabs>
      <w:snapToGrid w:val="0"/>
      <w:jc w:val="left"/>
    </w:pPr>
    <w:rPr>
      <w:kern w:val="0"/>
      <w:sz w:val="18"/>
      <w:szCs w:val="18"/>
    </w:rPr>
  </w:style>
  <w:style w:type="paragraph" w:styleId="28">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6"/>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6"/>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8"/>
    <w:qFormat/>
    <w:uiPriority w:val="0"/>
    <w:rPr>
      <w:b/>
      <w:bCs/>
    </w:rPr>
  </w:style>
  <w:style w:type="paragraph" w:styleId="42">
    <w:name w:val="Body Text First Indent 2"/>
    <w:basedOn w:val="19"/>
    <w:qFormat/>
    <w:uiPriority w:val="0"/>
    <w:pPr>
      <w:ind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Emphasis"/>
    <w:basedOn w:val="45"/>
    <w:qFormat/>
    <w:uiPriority w:val="20"/>
    <w:rPr>
      <w:i/>
    </w:rPr>
  </w:style>
  <w:style w:type="character" w:styleId="50">
    <w:name w:val="Hyperlink"/>
    <w:basedOn w:val="45"/>
    <w:qFormat/>
    <w:uiPriority w:val="99"/>
    <w:rPr>
      <w:rFonts w:ascii="Arial" w:hAnsi="Arial" w:eastAsia="Arial" w:cs="Arial"/>
      <w:color w:val="333333"/>
      <w:sz w:val="21"/>
      <w:szCs w:val="21"/>
      <w:u w:val="non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apple-style-span"/>
    <w:qFormat/>
    <w:uiPriority w:val="0"/>
    <w:rPr>
      <w:rFonts w:ascii="Verdana" w:hAnsi="Verdana" w:eastAsia="宋体"/>
      <w:sz w:val="21"/>
      <w:lang w:val="en-US" w:eastAsia="en-US" w:bidi="ar-SA"/>
    </w:rPr>
  </w:style>
  <w:style w:type="character" w:customStyle="1" w:styleId="54">
    <w:name w:val="正文文本 3 Char1"/>
    <w:semiHidden/>
    <w:qFormat/>
    <w:uiPriority w:val="99"/>
    <w:rPr>
      <w:rFonts w:ascii="Times New Roman" w:hAnsi="Times New Roman" w:eastAsia="宋体" w:cs="Times New Roman"/>
      <w:sz w:val="16"/>
      <w:szCs w:val="16"/>
    </w:rPr>
  </w:style>
  <w:style w:type="character" w:customStyle="1" w:styleId="55">
    <w:name w:val="样式 宋体"/>
    <w:qFormat/>
    <w:uiPriority w:val="0"/>
    <w:rPr>
      <w:rFonts w:ascii="Times New Roman" w:hAnsi="Times New Roman" w:eastAsia="宋体"/>
      <w:sz w:val="21"/>
    </w:rPr>
  </w:style>
  <w:style w:type="character" w:customStyle="1" w:styleId="56">
    <w:name w:val="正文文本 (2) + 9.5 pt"/>
    <w:qFormat/>
    <w:uiPriority w:val="0"/>
    <w:rPr>
      <w:rFonts w:ascii="MingLiU-ExtB" w:hAnsi="MingLiU-ExtB" w:eastAsia="MingLiU-ExtB" w:cs="MingLiU-ExtB"/>
      <w:color w:val="000000"/>
      <w:spacing w:val="0"/>
      <w:w w:val="100"/>
      <w:position w:val="0"/>
      <w:sz w:val="19"/>
      <w:szCs w:val="19"/>
      <w:u w:val="none"/>
      <w:lang w:val="zh-TW" w:eastAsia="zh-TW" w:bidi="zh-TW"/>
    </w:rPr>
  </w:style>
  <w:style w:type="character" w:customStyle="1" w:styleId="57">
    <w:name w:val="标题 3 字符"/>
    <w:link w:val="4"/>
    <w:qFormat/>
    <w:uiPriority w:val="0"/>
    <w:rPr>
      <w:rFonts w:ascii="Times New Roman" w:hAnsi="Times New Roman" w:eastAsia="宋体" w:cs="Times New Roman"/>
      <w:b/>
      <w:bCs/>
      <w:sz w:val="32"/>
      <w:szCs w:val="32"/>
    </w:rPr>
  </w:style>
  <w:style w:type="character" w:customStyle="1" w:styleId="58">
    <w:name w:val="批注文字 字符"/>
    <w:link w:val="16"/>
    <w:semiHidden/>
    <w:qFormat/>
    <w:uiPriority w:val="99"/>
    <w:rPr>
      <w:rFonts w:ascii="Times New Roman" w:hAnsi="Times New Roman" w:eastAsia="宋体" w:cs="Times New Roman"/>
      <w:szCs w:val="24"/>
    </w:rPr>
  </w:style>
  <w:style w:type="character" w:customStyle="1" w:styleId="59">
    <w:name w:val="标题 6 字符"/>
    <w:link w:val="6"/>
    <w:qFormat/>
    <w:uiPriority w:val="0"/>
    <w:rPr>
      <w:rFonts w:ascii="Arial" w:hAnsi="Arial" w:eastAsia="黑体" w:cs="Times New Roman"/>
      <w:b/>
      <w:bCs/>
      <w:kern w:val="0"/>
      <w:sz w:val="24"/>
      <w:szCs w:val="24"/>
    </w:rPr>
  </w:style>
  <w:style w:type="character" w:customStyle="1" w:styleId="60">
    <w:name w:val="Char Char8"/>
    <w:qFormat/>
    <w:uiPriority w:val="0"/>
    <w:rPr>
      <w:rFonts w:ascii="Arial" w:hAnsi="Arial" w:eastAsia="黑体"/>
      <w:b/>
      <w:bCs/>
      <w:kern w:val="2"/>
      <w:sz w:val="32"/>
      <w:szCs w:val="32"/>
      <w:lang w:val="en-US" w:eastAsia="zh-CN" w:bidi="ar-SA"/>
    </w:rPr>
  </w:style>
  <w:style w:type="character" w:customStyle="1" w:styleId="61">
    <w:name w:val="脚注文本 Char1"/>
    <w:semiHidden/>
    <w:qFormat/>
    <w:uiPriority w:val="99"/>
    <w:rPr>
      <w:rFonts w:ascii="Times New Roman" w:hAnsi="Times New Roman" w:eastAsia="宋体" w:cs="Times New Roman"/>
      <w:sz w:val="18"/>
      <w:szCs w:val="18"/>
    </w:rPr>
  </w:style>
  <w:style w:type="character" w:customStyle="1" w:styleId="62">
    <w:name w:val="正文文本 3 字符"/>
    <w:link w:val="17"/>
    <w:qFormat/>
    <w:uiPriority w:val="0"/>
    <w:rPr>
      <w:rFonts w:ascii="宋体"/>
      <w:sz w:val="24"/>
    </w:rPr>
  </w:style>
  <w:style w:type="character" w:customStyle="1" w:styleId="63">
    <w:name w:val="页脚 Char1"/>
    <w:semiHidden/>
    <w:qFormat/>
    <w:uiPriority w:val="99"/>
    <w:rPr>
      <w:rFonts w:ascii="Times New Roman" w:hAnsi="Times New Roman" w:eastAsia="宋体" w:cs="Times New Roman"/>
      <w:sz w:val="18"/>
      <w:szCs w:val="18"/>
    </w:rPr>
  </w:style>
  <w:style w:type="character" w:customStyle="1" w:styleId="64">
    <w:name w:val="标题 Char1"/>
    <w:qFormat/>
    <w:uiPriority w:val="10"/>
    <w:rPr>
      <w:rFonts w:ascii="Calibri Light" w:hAnsi="Calibri Light" w:eastAsia="宋体" w:cs="Times New Roman"/>
      <w:b/>
      <w:bCs/>
      <w:sz w:val="32"/>
      <w:szCs w:val="32"/>
    </w:rPr>
  </w:style>
  <w:style w:type="character" w:customStyle="1" w:styleId="65">
    <w:name w:val="正文文本 字符"/>
    <w:link w:val="18"/>
    <w:qFormat/>
    <w:uiPriority w:val="0"/>
    <w:rPr>
      <w:rFonts w:eastAsia="宋体"/>
      <w:szCs w:val="24"/>
    </w:rPr>
  </w:style>
  <w:style w:type="character" w:customStyle="1" w:styleId="66">
    <w:name w:val="脚注文本 字符"/>
    <w:link w:val="31"/>
    <w:qFormat/>
    <w:uiPriority w:val="0"/>
    <w:rPr>
      <w:rFonts w:eastAsia="宋体"/>
    </w:rPr>
  </w:style>
  <w:style w:type="character" w:customStyle="1" w:styleId="67">
    <w:name w:val="纯文本 Char1"/>
    <w:semiHidden/>
    <w:qFormat/>
    <w:uiPriority w:val="99"/>
    <w:rPr>
      <w:rFonts w:ascii="宋体" w:hAnsi="Courier New" w:eastAsia="宋体" w:cs="Courier New"/>
      <w:szCs w:val="21"/>
    </w:rPr>
  </w:style>
  <w:style w:type="character" w:customStyle="1" w:styleId="68">
    <w:name w:val="批注主题 字符"/>
    <w:link w:val="41"/>
    <w:qFormat/>
    <w:uiPriority w:val="0"/>
    <w:rPr>
      <w:rFonts w:ascii="Times New Roman" w:hAnsi="Times New Roman" w:eastAsia="宋体" w:cs="Times New Roman"/>
      <w:b/>
      <w:bCs/>
      <w:szCs w:val="24"/>
    </w:rPr>
  </w:style>
  <w:style w:type="character" w:customStyle="1" w:styleId="69">
    <w:name w:val="正文缩进 字符"/>
    <w:link w:val="12"/>
    <w:qFormat/>
    <w:locked/>
    <w:uiPriority w:val="0"/>
    <w:rPr>
      <w:kern w:val="2"/>
      <w:sz w:val="21"/>
      <w:szCs w:val="24"/>
    </w:rPr>
  </w:style>
  <w:style w:type="character" w:customStyle="1" w:styleId="70">
    <w:name w:val="font11"/>
    <w:qFormat/>
    <w:uiPriority w:val="0"/>
    <w:rPr>
      <w:rFonts w:hint="default" w:ascii="Times New Roman" w:hAnsi="Times New Roman" w:cs="Times New Roman"/>
      <w:color w:val="000000"/>
      <w:sz w:val="22"/>
      <w:szCs w:val="22"/>
      <w:u w:val="none"/>
    </w:rPr>
  </w:style>
  <w:style w:type="character" w:customStyle="1" w:styleId="71">
    <w:name w:val="font01"/>
    <w:qFormat/>
    <w:uiPriority w:val="0"/>
    <w:rPr>
      <w:rFonts w:hint="eastAsia" w:ascii="宋体" w:hAnsi="宋体" w:eastAsia="宋体" w:cs="宋体"/>
      <w:color w:val="000000"/>
      <w:sz w:val="22"/>
      <w:szCs w:val="22"/>
      <w:u w:val="none"/>
    </w:rPr>
  </w:style>
  <w:style w:type="character" w:customStyle="1" w:styleId="72">
    <w:name w:val="页眉 字符"/>
    <w:link w:val="28"/>
    <w:qFormat/>
    <w:uiPriority w:val="0"/>
    <w:rPr>
      <w:rFonts w:ascii="Times New Roman" w:hAnsi="Times New Roman" w:eastAsia="宋体" w:cs="Times New Roman"/>
      <w:sz w:val="18"/>
      <w:szCs w:val="18"/>
    </w:rPr>
  </w:style>
  <w:style w:type="character" w:customStyle="1" w:styleId="73">
    <w:name w:val="标题 9 字符"/>
    <w:link w:val="9"/>
    <w:qFormat/>
    <w:uiPriority w:val="0"/>
    <w:rPr>
      <w:rFonts w:ascii="Arial" w:hAnsi="Arial" w:eastAsia="黑体" w:cs="Times New Roman"/>
      <w:kern w:val="0"/>
      <w:szCs w:val="21"/>
    </w:rPr>
  </w:style>
  <w:style w:type="character" w:customStyle="1" w:styleId="74">
    <w:name w:val="标题 2 Char1"/>
    <w:qFormat/>
    <w:uiPriority w:val="0"/>
    <w:rPr>
      <w:rFonts w:ascii="Arial" w:hAnsi="Arial" w:eastAsia="黑体" w:cs="Times New Roman"/>
      <w:b/>
      <w:bCs/>
      <w:sz w:val="32"/>
      <w:szCs w:val="32"/>
      <w:lang w:val="en-US" w:eastAsia="en-US" w:bidi="ar-SA"/>
    </w:rPr>
  </w:style>
  <w:style w:type="character" w:customStyle="1" w:styleId="75">
    <w:name w:val="正文文本缩进 字符"/>
    <w:link w:val="19"/>
    <w:qFormat/>
    <w:uiPriority w:val="0"/>
    <w:rPr>
      <w:szCs w:val="24"/>
    </w:rPr>
  </w:style>
  <w:style w:type="character" w:customStyle="1" w:styleId="76">
    <w:name w:val="文档结构图 字符"/>
    <w:link w:val="15"/>
    <w:qFormat/>
    <w:uiPriority w:val="0"/>
    <w:rPr>
      <w:rFonts w:ascii="Times New Roman" w:hAnsi="Times New Roman" w:eastAsia="宋体" w:cs="Times New Roman"/>
      <w:szCs w:val="24"/>
      <w:shd w:val="clear" w:color="auto" w:fill="000080"/>
    </w:rPr>
  </w:style>
  <w:style w:type="character" w:customStyle="1" w:styleId="77">
    <w:name w:val="font161"/>
    <w:qFormat/>
    <w:uiPriority w:val="0"/>
    <w:rPr>
      <w:b/>
      <w:bCs/>
      <w:sz w:val="32"/>
      <w:szCs w:val="32"/>
    </w:rPr>
  </w:style>
  <w:style w:type="character" w:customStyle="1" w:styleId="78">
    <w:name w:val="标题 2 字符"/>
    <w:link w:val="3"/>
    <w:qFormat/>
    <w:uiPriority w:val="0"/>
    <w:rPr>
      <w:rFonts w:ascii="Arial" w:hAnsi="Arial" w:eastAsia="黑体" w:cs="Times New Roman"/>
      <w:b/>
      <w:bCs/>
      <w:sz w:val="32"/>
      <w:szCs w:val="32"/>
    </w:rPr>
  </w:style>
  <w:style w:type="character" w:customStyle="1" w:styleId="79">
    <w:name w:val="标题 字符"/>
    <w:link w:val="40"/>
    <w:qFormat/>
    <w:uiPriority w:val="0"/>
    <w:rPr>
      <w:rFonts w:ascii="Arial" w:hAnsi="Arial"/>
      <w:b/>
      <w:sz w:val="32"/>
    </w:rPr>
  </w:style>
  <w:style w:type="character" w:customStyle="1" w:styleId="80">
    <w:name w:val="批注框文本 字符"/>
    <w:link w:val="13"/>
    <w:qFormat/>
    <w:uiPriority w:val="0"/>
    <w:rPr>
      <w:rFonts w:ascii="Times New Roman" w:hAnsi="Times New Roman" w:eastAsia="宋体" w:cs="Times New Roman"/>
      <w:sz w:val="18"/>
      <w:szCs w:val="18"/>
    </w:rPr>
  </w:style>
  <w:style w:type="character" w:customStyle="1" w:styleId="81">
    <w:name w:val="标题 8 字符"/>
    <w:link w:val="8"/>
    <w:qFormat/>
    <w:uiPriority w:val="0"/>
    <w:rPr>
      <w:rFonts w:ascii="Arial" w:hAnsi="Arial" w:eastAsia="黑体" w:cs="Times New Roman"/>
      <w:kern w:val="0"/>
      <w:sz w:val="24"/>
      <w:szCs w:val="24"/>
    </w:rPr>
  </w:style>
  <w:style w:type="character" w:customStyle="1" w:styleId="82">
    <w:name w:val="日期 字符"/>
    <w:link w:val="25"/>
    <w:qFormat/>
    <w:uiPriority w:val="0"/>
    <w:rPr>
      <w:rFonts w:ascii="Times New Roman" w:hAnsi="Times New Roman" w:eastAsia="宋体" w:cs="Times New Roman"/>
      <w:sz w:val="24"/>
      <w:szCs w:val="20"/>
    </w:rPr>
  </w:style>
  <w:style w:type="character" w:customStyle="1" w:styleId="83">
    <w:name w:val="标题 1 字符"/>
    <w:link w:val="2"/>
    <w:qFormat/>
    <w:uiPriority w:val="0"/>
    <w:rPr>
      <w:rFonts w:ascii="Times New Roman" w:hAnsi="Times New Roman" w:eastAsia="宋体" w:cs="Times New Roman"/>
      <w:b/>
      <w:bCs/>
      <w:kern w:val="44"/>
      <w:sz w:val="44"/>
      <w:szCs w:val="44"/>
    </w:rPr>
  </w:style>
  <w:style w:type="character" w:customStyle="1" w:styleId="84">
    <w:name w:val="招标节 Char"/>
    <w:link w:val="85"/>
    <w:qFormat/>
    <w:locked/>
    <w:uiPriority w:val="0"/>
    <w:rPr>
      <w:b/>
      <w:sz w:val="24"/>
      <w:szCs w:val="24"/>
    </w:rPr>
  </w:style>
  <w:style w:type="paragraph" w:customStyle="1" w:styleId="85">
    <w:name w:val="招标节"/>
    <w:basedOn w:val="1"/>
    <w:next w:val="1"/>
    <w:link w:val="84"/>
    <w:qFormat/>
    <w:uiPriority w:val="0"/>
    <w:pPr>
      <w:spacing w:beforeLines="50" w:afterLines="50"/>
      <w:outlineLvl w:val="1"/>
    </w:pPr>
    <w:rPr>
      <w:b/>
      <w:kern w:val="0"/>
      <w:sz w:val="24"/>
    </w:rPr>
  </w:style>
  <w:style w:type="character" w:customStyle="1" w:styleId="86">
    <w:name w:val="正文文本缩进 3 字符"/>
    <w:link w:val="33"/>
    <w:qFormat/>
    <w:uiPriority w:val="0"/>
    <w:rPr>
      <w:rFonts w:ascii="Times New Roman" w:hAnsi="Times New Roman" w:eastAsia="宋体" w:cs="Times New Roman"/>
      <w:sz w:val="16"/>
      <w:szCs w:val="16"/>
    </w:rPr>
  </w:style>
  <w:style w:type="character" w:customStyle="1" w:styleId="87">
    <w:name w:val="tpc_content1"/>
    <w:qFormat/>
    <w:uiPriority w:val="0"/>
    <w:rPr>
      <w:sz w:val="20"/>
      <w:szCs w:val="20"/>
    </w:rPr>
  </w:style>
  <w:style w:type="character" w:customStyle="1" w:styleId="88">
    <w:name w:val="Char Char"/>
    <w:qFormat/>
    <w:uiPriority w:val="0"/>
    <w:rPr>
      <w:rFonts w:ascii="Arial" w:hAnsi="Arial" w:eastAsia="黑体"/>
      <w:b/>
      <w:bCs/>
      <w:kern w:val="2"/>
      <w:sz w:val="32"/>
      <w:szCs w:val="32"/>
      <w:lang w:val="en-US" w:eastAsia="zh-CN" w:bidi="ar-SA"/>
    </w:rPr>
  </w:style>
  <w:style w:type="character" w:customStyle="1" w:styleId="89">
    <w:name w:val="正文文本 Char1"/>
    <w:semiHidden/>
    <w:qFormat/>
    <w:uiPriority w:val="99"/>
    <w:rPr>
      <w:rFonts w:ascii="Times New Roman" w:hAnsi="Times New Roman" w:eastAsia="宋体" w:cs="Times New Roman"/>
      <w:szCs w:val="24"/>
    </w:rPr>
  </w:style>
  <w:style w:type="character" w:customStyle="1" w:styleId="90">
    <w:name w:val="Char Char2"/>
    <w:qFormat/>
    <w:uiPriority w:val="0"/>
    <w:rPr>
      <w:rFonts w:eastAsia="宋体"/>
      <w:kern w:val="2"/>
      <w:sz w:val="21"/>
      <w:szCs w:val="24"/>
      <w:lang w:val="en-US" w:eastAsia="zh-CN" w:bidi="ar-SA"/>
    </w:rPr>
  </w:style>
  <w:style w:type="character" w:customStyle="1" w:styleId="91">
    <w:name w:val="apple-converted-space"/>
    <w:qFormat/>
    <w:uiPriority w:val="0"/>
  </w:style>
  <w:style w:type="character" w:customStyle="1" w:styleId="92">
    <w:name w:val="标题 4 字符"/>
    <w:link w:val="5"/>
    <w:qFormat/>
    <w:uiPriority w:val="0"/>
    <w:rPr>
      <w:rFonts w:ascii="Arial" w:hAnsi="Arial" w:eastAsia="黑体" w:cs="Times New Roman"/>
      <w:b/>
      <w:bCs/>
      <w:sz w:val="28"/>
      <w:szCs w:val="28"/>
    </w:rPr>
  </w:style>
  <w:style w:type="character" w:customStyle="1" w:styleId="93">
    <w:name w:val="正文文本缩进 Char1"/>
    <w:semiHidden/>
    <w:qFormat/>
    <w:uiPriority w:val="99"/>
    <w:rPr>
      <w:rFonts w:ascii="Times New Roman" w:hAnsi="Times New Roman" w:eastAsia="宋体" w:cs="Times New Roman"/>
      <w:szCs w:val="24"/>
    </w:rPr>
  </w:style>
  <w:style w:type="character" w:customStyle="1" w:styleId="94">
    <w:name w:val="页脚 字符"/>
    <w:link w:val="27"/>
    <w:qFormat/>
    <w:uiPriority w:val="99"/>
    <w:rPr>
      <w:sz w:val="18"/>
      <w:szCs w:val="18"/>
    </w:rPr>
  </w:style>
  <w:style w:type="character" w:customStyle="1" w:styleId="95">
    <w:name w:val="Char Char7"/>
    <w:qFormat/>
    <w:uiPriority w:val="0"/>
    <w:rPr>
      <w:rFonts w:ascii="Arial" w:hAnsi="Arial" w:eastAsia="黑体"/>
      <w:b/>
      <w:bCs/>
      <w:kern w:val="2"/>
      <w:sz w:val="32"/>
      <w:szCs w:val="32"/>
      <w:lang w:val="en-US" w:eastAsia="zh-CN" w:bidi="ar-SA"/>
    </w:rPr>
  </w:style>
  <w:style w:type="character" w:customStyle="1" w:styleId="96">
    <w:name w:val="HTML 预设格式 字符"/>
    <w:link w:val="37"/>
    <w:qFormat/>
    <w:uiPriority w:val="0"/>
    <w:rPr>
      <w:rFonts w:ascii="微软雅黑" w:hAnsi="微软雅黑" w:eastAsia="微软雅黑" w:cs="Times New Roman"/>
      <w:kern w:val="0"/>
      <w:sz w:val="24"/>
      <w:szCs w:val="24"/>
    </w:rPr>
  </w:style>
  <w:style w:type="character" w:customStyle="1" w:styleId="97">
    <w:name w:val="批注文字 Char"/>
    <w:qFormat/>
    <w:uiPriority w:val="0"/>
    <w:rPr>
      <w:rFonts w:eastAsia="宋体"/>
      <w:kern w:val="2"/>
      <w:sz w:val="21"/>
      <w:szCs w:val="24"/>
      <w:lang w:val="en-US" w:eastAsia="zh-CN" w:bidi="ar-SA"/>
    </w:rPr>
  </w:style>
  <w:style w:type="character" w:customStyle="1" w:styleId="98">
    <w:name w:val="纯文本 字符"/>
    <w:link w:val="23"/>
    <w:qFormat/>
    <w:uiPriority w:val="99"/>
    <w:rPr>
      <w:rFonts w:ascii="Courier New" w:hAnsi="Courier New"/>
    </w:rPr>
  </w:style>
  <w:style w:type="character" w:customStyle="1" w:styleId="99">
    <w:name w:val="标题 7 字符"/>
    <w:link w:val="7"/>
    <w:qFormat/>
    <w:uiPriority w:val="0"/>
    <w:rPr>
      <w:rFonts w:ascii="Times New Roman" w:hAnsi="Times New Roman" w:eastAsia="宋体" w:cs="Times New Roman"/>
      <w:b/>
      <w:bCs/>
      <w:kern w:val="0"/>
      <w:sz w:val="24"/>
      <w:szCs w:val="24"/>
    </w:rPr>
  </w:style>
  <w:style w:type="paragraph" w:customStyle="1" w:styleId="100">
    <w:name w:val="样式4"/>
    <w:basedOn w:val="4"/>
    <w:qFormat/>
    <w:uiPriority w:val="0"/>
    <w:rPr>
      <w:rFonts w:eastAsia="Arial"/>
    </w:rPr>
  </w:style>
  <w:style w:type="paragraph" w:customStyle="1" w:styleId="101">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font10"/>
    <w:basedOn w:val="1"/>
    <w:qFormat/>
    <w:uiPriority w:val="0"/>
    <w:pPr>
      <w:widowControl/>
      <w:spacing w:before="100" w:beforeAutospacing="1" w:after="100" w:afterAutospacing="1"/>
      <w:jc w:val="left"/>
    </w:pPr>
    <w:rPr>
      <w:kern w:val="0"/>
      <w:sz w:val="28"/>
      <w:szCs w:val="28"/>
    </w:rPr>
  </w:style>
  <w:style w:type="paragraph" w:customStyle="1" w:styleId="104">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样式1"/>
    <w:basedOn w:val="4"/>
    <w:qFormat/>
    <w:uiPriority w:val="0"/>
    <w:rPr>
      <w:rFonts w:eastAsia="Arial"/>
    </w:rPr>
  </w:style>
  <w:style w:type="paragraph" w:customStyle="1" w:styleId="107">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Char"/>
    <w:basedOn w:val="1"/>
    <w:qFormat/>
    <w:uiPriority w:val="0"/>
    <w:pPr>
      <w:tabs>
        <w:tab w:val="left" w:pos="360"/>
      </w:tabs>
    </w:pPr>
    <w:rPr>
      <w:sz w:val="24"/>
    </w:rPr>
  </w:style>
  <w:style w:type="paragraph" w:customStyle="1" w:styleId="110">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表格"/>
    <w:basedOn w:val="1"/>
    <w:qFormat/>
    <w:uiPriority w:val="0"/>
    <w:pPr>
      <w:jc w:val="center"/>
      <w:textAlignment w:val="center"/>
    </w:pPr>
    <w:rPr>
      <w:rFonts w:ascii="华文细黑" w:hAnsi="华文细黑"/>
      <w:kern w:val="0"/>
      <w:szCs w:val="20"/>
    </w:rPr>
  </w:style>
  <w:style w:type="paragraph" w:customStyle="1" w:styleId="112">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6">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列表段落1"/>
    <w:basedOn w:val="1"/>
    <w:qFormat/>
    <w:uiPriority w:val="34"/>
    <w:pPr>
      <w:ind w:firstLine="420" w:firstLineChars="200"/>
    </w:pPr>
    <w:rPr>
      <w:rFonts w:ascii="Calibri" w:hAnsi="Calibri"/>
      <w:szCs w:val="22"/>
    </w:rPr>
  </w:style>
  <w:style w:type="paragraph" w:customStyle="1" w:styleId="122">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23">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27">
    <w:name w:val="1"/>
    <w:basedOn w:val="1"/>
    <w:next w:val="1"/>
    <w:qFormat/>
    <w:uiPriority w:val="0"/>
  </w:style>
  <w:style w:type="paragraph" w:customStyle="1" w:styleId="128">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规范文本"/>
    <w:basedOn w:val="23"/>
    <w:qFormat/>
    <w:uiPriority w:val="0"/>
    <w:pPr>
      <w:adjustRightInd w:val="0"/>
      <w:snapToGrid w:val="0"/>
      <w:spacing w:line="360" w:lineRule="exact"/>
      <w:ind w:firstLine="420"/>
    </w:pPr>
    <w:rPr>
      <w:rFonts w:ascii="宋体"/>
      <w:snapToGrid w:val="0"/>
      <w:szCs w:val="21"/>
    </w:rPr>
  </w:style>
  <w:style w:type="paragraph" w:customStyle="1" w:styleId="131">
    <w:name w:val="样式 标题 2 + Times New Roman 四号 非加粗 行距: 单倍行距"/>
    <w:basedOn w:val="3"/>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2">
    <w:name w:val="节"/>
    <w:basedOn w:val="23"/>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3">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样式3"/>
    <w:basedOn w:val="4"/>
    <w:qFormat/>
    <w:uiPriority w:val="0"/>
    <w:rPr>
      <w:rFonts w:eastAsia="Arial"/>
    </w:rPr>
  </w:style>
  <w:style w:type="paragraph" w:customStyle="1" w:styleId="135">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8">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15)"/>
    <w:basedOn w:val="1"/>
    <w:qFormat/>
    <w:uiPriority w:val="0"/>
    <w:pPr>
      <w:shd w:val="clear" w:color="auto" w:fill="FFFFFF"/>
      <w:spacing w:line="0" w:lineRule="atLeast"/>
      <w:jc w:val="left"/>
    </w:pPr>
    <w:rPr>
      <w:rFonts w:ascii="MingLiU-ExtB" w:hAnsi="MingLiU-ExtB" w:eastAsia="MingLiU-ExtB"/>
      <w:spacing w:val="10"/>
      <w:kern w:val="0"/>
      <w:sz w:val="19"/>
      <w:szCs w:val="19"/>
    </w:rPr>
  </w:style>
  <w:style w:type="paragraph" w:customStyle="1" w:styleId="140">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正文文本 (2)"/>
    <w:basedOn w:val="1"/>
    <w:qFormat/>
    <w:uiPriority w:val="0"/>
    <w:pPr>
      <w:shd w:val="clear" w:color="auto" w:fill="FFFFFF"/>
      <w:spacing w:before="300" w:line="439" w:lineRule="exact"/>
      <w:jc w:val="distribute"/>
    </w:pPr>
    <w:rPr>
      <w:rFonts w:ascii="MingLiU-ExtB" w:hAnsi="MingLiU-ExtB" w:eastAsia="MingLiU-ExtB"/>
      <w:kern w:val="0"/>
      <w:sz w:val="22"/>
      <w:szCs w:val="22"/>
    </w:rPr>
  </w:style>
  <w:style w:type="paragraph" w:customStyle="1" w:styleId="143">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4">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6">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8">
    <w:name w:val="第二"/>
    <w:basedOn w:val="1"/>
    <w:qFormat/>
    <w:uiPriority w:val="0"/>
    <w:pPr>
      <w:adjustRightInd w:val="0"/>
      <w:snapToGrid w:val="0"/>
      <w:spacing w:line="360" w:lineRule="auto"/>
      <w:ind w:right="-108" w:rightChars="-45" w:firstLine="482"/>
    </w:pPr>
    <w:rPr>
      <w:b/>
    </w:rPr>
  </w:style>
  <w:style w:type="paragraph" w:customStyle="1" w:styleId="14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1">
    <w:name w:val="xl27"/>
    <w:basedOn w:val="1"/>
    <w:qFormat/>
    <w:uiPriority w:val="0"/>
    <w:pPr>
      <w:widowControl/>
      <w:spacing w:before="100" w:beforeAutospacing="1" w:after="100" w:afterAutospacing="1"/>
      <w:jc w:val="center"/>
      <w:textAlignment w:val="center"/>
    </w:pPr>
    <w:rPr>
      <w:rFonts w:ascii="Wonder Arial" w:hAnsi="Wonder Arial" w:eastAsia="Wonder Arial"/>
      <w:kern w:val="0"/>
      <w:sz w:val="24"/>
    </w:rPr>
  </w:style>
  <w:style w:type="paragraph" w:customStyle="1" w:styleId="152">
    <w:name w:val="内容"/>
    <w:basedOn w:val="1"/>
    <w:qFormat/>
    <w:uiPriority w:val="0"/>
    <w:pPr>
      <w:spacing w:line="480" w:lineRule="exact"/>
      <w:ind w:firstLine="200" w:firstLineChars="200"/>
    </w:pPr>
  </w:style>
  <w:style w:type="paragraph" w:customStyle="1" w:styleId="153">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列出段落1"/>
    <w:basedOn w:val="1"/>
    <w:qFormat/>
    <w:uiPriority w:val="99"/>
    <w:pPr>
      <w:ind w:firstLine="420" w:firstLineChars="200"/>
    </w:pPr>
  </w:style>
  <w:style w:type="paragraph" w:customStyle="1" w:styleId="156">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7">
    <w:name w:val="表格文字"/>
    <w:basedOn w:val="1"/>
    <w:qFormat/>
    <w:uiPriority w:val="0"/>
    <w:pPr>
      <w:adjustRightInd w:val="0"/>
      <w:spacing w:line="420" w:lineRule="atLeast"/>
      <w:jc w:val="left"/>
      <w:textAlignment w:val="baseline"/>
    </w:pPr>
    <w:rPr>
      <w:kern w:val="0"/>
      <w:szCs w:val="20"/>
    </w:rPr>
  </w:style>
  <w:style w:type="paragraph" w:customStyle="1" w:styleId="158">
    <w:name w:val="须知内容"/>
    <w:qFormat/>
    <w:uiPriority w:val="0"/>
    <w:pPr>
      <w:tabs>
        <w:tab w:val="left" w:pos="5140"/>
        <w:tab w:val="left" w:pos="8520"/>
      </w:tabs>
      <w:adjustRightInd w:val="0"/>
      <w:snapToGrid w:val="0"/>
      <w:spacing w:line="320" w:lineRule="atLeast"/>
    </w:pPr>
    <w:rPr>
      <w:rFonts w:ascii="方正仿宋_GB2312" w:hAnsi="宋体" w:eastAsia="方正仿宋_GB2312" w:cs="Times New Roman"/>
      <w:kern w:val="2"/>
      <w:sz w:val="21"/>
      <w:szCs w:val="21"/>
      <w:lang w:val="en-US" w:eastAsia="zh-CN" w:bidi="ar-SA"/>
    </w:rPr>
  </w:style>
  <w:style w:type="paragraph" w:customStyle="1" w:styleId="159">
    <w:name w:val="样式2"/>
    <w:basedOn w:val="4"/>
    <w:qFormat/>
    <w:uiPriority w:val="0"/>
  </w:style>
  <w:style w:type="character" w:customStyle="1" w:styleId="160">
    <w:name w:val="after"/>
    <w:basedOn w:val="45"/>
    <w:qFormat/>
    <w:uiPriority w:val="0"/>
    <w:rPr>
      <w:bdr w:val="dashed" w:color="auto" w:sz="48" w:space="0"/>
    </w:rPr>
  </w:style>
  <w:style w:type="character" w:customStyle="1" w:styleId="161">
    <w:name w:val="before"/>
    <w:basedOn w:val="45"/>
    <w:qFormat/>
    <w:uiPriority w:val="0"/>
    <w:rPr>
      <w:bdr w:val="single" w:color="auto" w:sz="48" w:space="0"/>
    </w:rPr>
  </w:style>
  <w:style w:type="character" w:customStyle="1" w:styleId="162">
    <w:name w:val="hover48"/>
    <w:basedOn w:val="45"/>
    <w:qFormat/>
    <w:uiPriority w:val="0"/>
    <w:rPr>
      <w:shd w:val="clear" w:color="auto" w:fill="346AC3"/>
    </w:rPr>
  </w:style>
  <w:style w:type="character" w:customStyle="1" w:styleId="163">
    <w:name w:val="hover49"/>
    <w:basedOn w:val="45"/>
    <w:qFormat/>
    <w:uiPriority w:val="0"/>
  </w:style>
  <w:style w:type="character" w:customStyle="1" w:styleId="164">
    <w:name w:val="hover50"/>
    <w:basedOn w:val="45"/>
    <w:qFormat/>
    <w:uiPriority w:val="0"/>
    <w:rPr>
      <w:color w:val="4285F4"/>
      <w:u w:val="none"/>
    </w:rPr>
  </w:style>
  <w:style w:type="character" w:customStyle="1" w:styleId="165">
    <w:name w:val="hover51"/>
    <w:basedOn w:val="45"/>
    <w:qFormat/>
    <w:uiPriority w:val="0"/>
    <w:rPr>
      <w:color w:val="4285F4"/>
    </w:rPr>
  </w:style>
  <w:style w:type="character" w:customStyle="1" w:styleId="166">
    <w:name w:val="hover52"/>
    <w:basedOn w:val="45"/>
    <w:qFormat/>
    <w:uiPriority w:val="0"/>
    <w:rPr>
      <w:color w:val="1A85D7"/>
    </w:rPr>
  </w:style>
  <w:style w:type="character" w:customStyle="1" w:styleId="167">
    <w:name w:val="credit"/>
    <w:basedOn w:val="45"/>
    <w:qFormat/>
    <w:uiPriority w:val="0"/>
    <w:rPr>
      <w:sz w:val="18"/>
      <w:szCs w:val="18"/>
    </w:rPr>
  </w:style>
  <w:style w:type="character" w:customStyle="1" w:styleId="168">
    <w:name w:val="first-child"/>
    <w:basedOn w:val="45"/>
    <w:qFormat/>
    <w:uiPriority w:val="0"/>
  </w:style>
  <w:style w:type="paragraph" w:customStyle="1" w:styleId="169">
    <w:name w:val="_Style 6"/>
    <w:basedOn w:val="1"/>
    <w:next w:val="1"/>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styleId="170">
    <w:name w:val="List Paragraph"/>
    <w:basedOn w:val="1"/>
    <w:qFormat/>
    <w:uiPriority w:val="34"/>
    <w:pPr>
      <w:ind w:firstLine="420" w:firstLineChars="200"/>
    </w:pPr>
    <w:rPr>
      <w:rFonts w:ascii="等线" w:hAnsi="等线" w:cs="Times New Roman"/>
      <w:szCs w:val="22"/>
    </w:rPr>
  </w:style>
  <w:style w:type="paragraph" w:customStyle="1" w:styleId="171">
    <w:name w:val="页脚1"/>
    <w:qFormat/>
    <w:uiPriority w:val="0"/>
    <w:pPr>
      <w:widowControl w:val="0"/>
      <w:tabs>
        <w:tab w:val="center" w:pos="4153"/>
        <w:tab w:val="right" w:pos="8306"/>
      </w:tabs>
    </w:pPr>
    <w:rPr>
      <w:rFonts w:hint="eastAsia" w:ascii="Arial Unicode MS" w:hAnsi="Arial Unicode MS" w:eastAsia="Times New Roman" w:cs="Arial Unicode MS"/>
      <w:color w:val="000000"/>
      <w:kern w:val="2"/>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63</Pages>
  <Words>9974</Words>
  <Characters>10526</Characters>
  <Lines>116</Lines>
  <Paragraphs>32</Paragraphs>
  <TotalTime>14</TotalTime>
  <ScaleCrop>false</ScaleCrop>
  <LinksUpToDate>false</LinksUpToDate>
  <CharactersWithSpaces>10752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Kevin</cp:lastModifiedBy>
  <cp:lastPrinted>2022-06-07T10:51:00Z</cp:lastPrinted>
  <dcterms:modified xsi:type="dcterms:W3CDTF">2025-04-21T07:54:29Z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CA9229BF7F204DA08DD95BC61990121B</vt:lpwstr>
  </property>
  <property fmtid="{D5CDD505-2E9C-101B-9397-08002B2CF9AE}" pid="4" name="KSOTemplateDocerSaveRecord">
    <vt:lpwstr>eyJoZGlkIjoiNTFiYTlhNmFlMzNlNjk5MWE5YmIyYzY3YzU0OWRmN2QiLCJ1c2VySWQiOiI0Mzk5MTQwNTcifQ==</vt:lpwstr>
  </property>
</Properties>
</file>