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渝湘复线高速公路项目隧道照明策略设计服务采购</w:t>
      </w:r>
      <w:bookmarkEnd w:id="0"/>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年7月</w:t>
      </w:r>
    </w:p>
    <w:p>
      <w:pPr>
        <w:pStyle w:val="28"/>
        <w:jc w:val="center"/>
        <w:rPr>
          <w:rFonts w:ascii="宋体" w:hAnsi="宋体" w:cs="宋体"/>
          <w:color w:val="auto"/>
          <w:szCs w:val="21"/>
          <w:highlight w:val="none"/>
        </w:rPr>
      </w:pPr>
      <w:r>
        <w:rPr>
          <w:color w:val="auto"/>
          <w:highlight w:val="none"/>
        </w:rPr>
        <w:br w:type="page"/>
      </w:r>
      <w:bookmarkStart w:id="1" w:name="_Toc247085669"/>
      <w:bookmarkStart w:id="2" w:name="_Toc507319889"/>
      <w:bookmarkStart w:id="3" w:name="_Toc296602400"/>
      <w:r>
        <w:rPr>
          <w:rFonts w:hint="eastAsia" w:ascii="宋体" w:hAnsi="宋体" w:cs="宋体"/>
          <w:b w:val="0"/>
          <w:color w:val="auto"/>
          <w:sz w:val="32"/>
          <w:highlight w:val="none"/>
        </w:rPr>
        <w:t>目   录</w:t>
      </w:r>
      <w:bookmarkEnd w:id="1"/>
      <w:bookmarkEnd w:id="2"/>
      <w:bookmarkEnd w:id="3"/>
    </w:p>
    <w:p>
      <w:pPr>
        <w:pStyle w:val="28"/>
        <w:tabs>
          <w:tab w:val="right" w:leader="dot" w:pos="9638"/>
        </w:tabs>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_Toc10142 </w:instrText>
      </w:r>
      <w:r>
        <w:rPr>
          <w:rFonts w:hint="eastAsia" w:ascii="宋体" w:hAnsi="宋体" w:cs="宋体"/>
          <w:bCs w:val="0"/>
          <w:caps w:val="0"/>
          <w:highlight w:val="none"/>
        </w:rPr>
        <w:fldChar w:fldCharType="separate"/>
      </w:r>
      <w:r>
        <w:rPr>
          <w:rFonts w:hint="eastAsia" w:ascii="宋体" w:hAnsi="宋体" w:eastAsia="宋体" w:cs="宋体"/>
          <w:bCs/>
          <w:smallCaps w:val="0"/>
          <w:kern w:val="44"/>
          <w:szCs w:val="44"/>
          <w:highlight w:val="none"/>
          <w:lang w:val="en-US" w:eastAsia="zh-CN" w:bidi="ar-SA"/>
        </w:rPr>
        <w:t>第一章 比选公告</w:t>
      </w:r>
      <w:r>
        <w:tab/>
      </w:r>
      <w:r>
        <w:fldChar w:fldCharType="begin"/>
      </w:r>
      <w:r>
        <w:instrText xml:space="preserve"> PAGEREF _Toc10142 \h </w:instrText>
      </w:r>
      <w:r>
        <w:fldChar w:fldCharType="separate"/>
      </w:r>
      <w:r>
        <w:t>1</w:t>
      </w:r>
      <w:r>
        <w:fldChar w:fldCharType="end"/>
      </w:r>
      <w:r>
        <w:rPr>
          <w:rFonts w:hint="eastAsia" w:ascii="宋体" w:hAnsi="宋体" w:cs="宋体"/>
          <w:bCs w:val="0"/>
          <w:caps w:val="0"/>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_Toc13849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_Toc13849 \h </w:instrText>
      </w:r>
      <w:r>
        <w:fldChar w:fldCharType="separate"/>
      </w:r>
      <w:r>
        <w:t>1</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_Toc7760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tab/>
      </w:r>
      <w:r>
        <w:fldChar w:fldCharType="begin"/>
      </w:r>
      <w:r>
        <w:instrText xml:space="preserve"> PAGEREF _Toc7760 \h </w:instrText>
      </w:r>
      <w:r>
        <w:fldChar w:fldCharType="separate"/>
      </w:r>
      <w:r>
        <w:t>1</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_Toc13092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_Toc13092 \h </w:instrText>
      </w:r>
      <w:r>
        <w:fldChar w:fldCharType="separate"/>
      </w:r>
      <w:r>
        <w:t>1</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_Toc13035 </w:instrText>
      </w:r>
      <w:r>
        <w:rPr>
          <w:rFonts w:hint="eastAsia" w:ascii="宋体" w:hAnsi="宋体" w:cs="宋体"/>
          <w:bCs/>
          <w:caps/>
          <w:highlight w:val="none"/>
        </w:rPr>
        <w:fldChar w:fldCharType="separate"/>
      </w:r>
      <w:r>
        <w:rPr>
          <w:rFonts w:hint="eastAsia" w:ascii="宋体" w:hAnsi="宋体" w:eastAsia="宋体" w:cs="宋体"/>
          <w:highlight w:val="none"/>
        </w:rPr>
        <w:t>4. 评标办法</w:t>
      </w:r>
      <w:r>
        <w:tab/>
      </w:r>
      <w:r>
        <w:fldChar w:fldCharType="begin"/>
      </w:r>
      <w:r>
        <w:instrText xml:space="preserve"> PAGEREF _Toc13035 \h </w:instrText>
      </w:r>
      <w:r>
        <w:fldChar w:fldCharType="separate"/>
      </w:r>
      <w:r>
        <w:t>1</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_Toc17600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比选文件的获取</w:t>
      </w:r>
      <w:r>
        <w:tab/>
      </w:r>
      <w:r>
        <w:fldChar w:fldCharType="begin"/>
      </w:r>
      <w:r>
        <w:instrText xml:space="preserve"> PAGEREF _Toc17600 \h </w:instrText>
      </w:r>
      <w:r>
        <w:fldChar w:fldCharType="separate"/>
      </w:r>
      <w:r>
        <w:t>1</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_Toc14325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tab/>
      </w:r>
      <w:r>
        <w:fldChar w:fldCharType="begin"/>
      </w:r>
      <w:r>
        <w:instrText xml:space="preserve"> PAGEREF _Toc14325 \h </w:instrText>
      </w:r>
      <w:r>
        <w:fldChar w:fldCharType="separate"/>
      </w:r>
      <w:r>
        <w:t>1</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_Toc4010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tab/>
      </w:r>
      <w:r>
        <w:fldChar w:fldCharType="begin"/>
      </w:r>
      <w:r>
        <w:instrText xml:space="preserve"> PAGEREF _Toc4010 \h </w:instrText>
      </w:r>
      <w:r>
        <w:fldChar w:fldCharType="separate"/>
      </w:r>
      <w:r>
        <w:t>2</w:t>
      </w:r>
      <w:r>
        <w:fldChar w:fldCharType="end"/>
      </w:r>
      <w:r>
        <w:rPr>
          <w:rFonts w:hint="eastAsia" w:ascii="宋体" w:hAnsi="宋体" w:cs="宋体"/>
          <w:bCs/>
          <w:caps/>
          <w:color w:val="auto"/>
          <w:highlight w:val="none"/>
        </w:rPr>
        <w:fldChar w:fldCharType="end"/>
      </w:r>
    </w:p>
    <w:p>
      <w:pPr>
        <w:pStyle w:val="28"/>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_Toc12865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_Toc12865 \h </w:instrText>
      </w:r>
      <w:r>
        <w:fldChar w:fldCharType="separate"/>
      </w:r>
      <w:r>
        <w:t>3</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_Toc21580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_Toc21580 \h </w:instrText>
      </w:r>
      <w:r>
        <w:fldChar w:fldCharType="separate"/>
      </w:r>
      <w:r>
        <w:t>10</w:t>
      </w:r>
      <w:r>
        <w:fldChar w:fldCharType="end"/>
      </w:r>
      <w:r>
        <w:rPr>
          <w:rFonts w:hint="eastAsia" w:ascii="宋体" w:hAnsi="宋体" w:cs="宋体"/>
          <w:bCs/>
          <w:caps/>
          <w:color w:val="auto"/>
          <w:highlight w:val="none"/>
        </w:rPr>
        <w:fldChar w:fldCharType="end"/>
      </w:r>
    </w:p>
    <w:p>
      <w:pPr>
        <w:pStyle w:val="28"/>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_Toc31719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评标办法（综合评估法）</w:t>
      </w:r>
      <w:r>
        <w:tab/>
      </w:r>
      <w:r>
        <w:fldChar w:fldCharType="begin"/>
      </w:r>
      <w:r>
        <w:instrText xml:space="preserve"> PAGEREF _Toc31719 \h </w:instrText>
      </w:r>
      <w:r>
        <w:fldChar w:fldCharType="separate"/>
      </w:r>
      <w:r>
        <w:t>12</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_Toc6735 </w:instrText>
      </w:r>
      <w:r>
        <w:rPr>
          <w:rFonts w:hint="eastAsia" w:ascii="宋体" w:hAnsi="宋体" w:cs="宋体"/>
          <w:bCs/>
          <w:caps/>
          <w:highlight w:val="none"/>
        </w:rPr>
        <w:fldChar w:fldCharType="separate"/>
      </w:r>
      <w:r>
        <w:rPr>
          <w:rFonts w:hint="eastAsia" w:ascii="宋体" w:hAnsi="宋体" w:cs="宋体"/>
          <w:szCs w:val="21"/>
          <w:highlight w:val="none"/>
        </w:rPr>
        <w:t>1.  评标方法</w:t>
      </w:r>
      <w:r>
        <w:tab/>
      </w:r>
      <w:r>
        <w:fldChar w:fldCharType="begin"/>
      </w:r>
      <w:r>
        <w:instrText xml:space="preserve"> PAGEREF _Toc6735 \h </w:instrText>
      </w:r>
      <w:r>
        <w:fldChar w:fldCharType="separate"/>
      </w:r>
      <w:r>
        <w:t>15</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_Toc1052 </w:instrText>
      </w:r>
      <w:r>
        <w:rPr>
          <w:rFonts w:hint="eastAsia" w:ascii="宋体" w:hAnsi="宋体" w:cs="宋体"/>
          <w:bCs/>
          <w:caps/>
          <w:highlight w:val="none"/>
        </w:rPr>
        <w:fldChar w:fldCharType="separate"/>
      </w:r>
      <w:r>
        <w:rPr>
          <w:rFonts w:hint="eastAsia" w:ascii="宋体" w:hAnsi="宋体" w:cs="宋体"/>
          <w:szCs w:val="21"/>
          <w:highlight w:val="none"/>
        </w:rPr>
        <w:t>2.  评审标准</w:t>
      </w:r>
      <w:r>
        <w:tab/>
      </w:r>
      <w:r>
        <w:fldChar w:fldCharType="begin"/>
      </w:r>
      <w:r>
        <w:instrText xml:space="preserve"> PAGEREF _Toc1052 \h </w:instrText>
      </w:r>
      <w:r>
        <w:fldChar w:fldCharType="separate"/>
      </w:r>
      <w:r>
        <w:t>15</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_Toc10650 </w:instrText>
      </w:r>
      <w:r>
        <w:rPr>
          <w:rFonts w:hint="eastAsia" w:ascii="宋体" w:hAnsi="宋体" w:cs="宋体"/>
          <w:bCs/>
          <w:caps/>
          <w:highlight w:val="none"/>
        </w:rPr>
        <w:fldChar w:fldCharType="separate"/>
      </w:r>
      <w:r>
        <w:rPr>
          <w:rFonts w:hint="eastAsia" w:ascii="宋体" w:hAnsi="宋体" w:cs="宋体"/>
          <w:szCs w:val="21"/>
          <w:highlight w:val="none"/>
        </w:rPr>
        <w:t>3.  评标程序</w:t>
      </w:r>
      <w:r>
        <w:tab/>
      </w:r>
      <w:r>
        <w:fldChar w:fldCharType="begin"/>
      </w:r>
      <w:r>
        <w:instrText xml:space="preserve"> PAGEREF _Toc10650 \h </w:instrText>
      </w:r>
      <w:r>
        <w:fldChar w:fldCharType="separate"/>
      </w:r>
      <w:r>
        <w:t>15</w:t>
      </w:r>
      <w: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_Toc15010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四</w:t>
      </w:r>
      <w:r>
        <w:rPr>
          <w:rFonts w:hint="eastAsia" w:ascii="宋体" w:hAnsi="宋体" w:cs="宋体"/>
          <w:highlight w:val="none"/>
        </w:rPr>
        <w:t xml:space="preserve">章  </w:t>
      </w:r>
      <w:r>
        <w:rPr>
          <w:rFonts w:hint="eastAsia" w:ascii="宋体" w:hAnsi="宋体" w:cs="宋体"/>
          <w:highlight w:val="none"/>
          <w:lang w:val="en-US" w:eastAsia="zh-CN"/>
        </w:rPr>
        <w:t>服务要求</w:t>
      </w:r>
      <w:r>
        <w:rPr>
          <w:highlight w:val="none"/>
        </w:rPr>
        <w:tab/>
      </w:r>
      <w:r>
        <w:rPr>
          <w:highlight w:val="none"/>
        </w:rPr>
        <w:fldChar w:fldCharType="begin"/>
      </w:r>
      <w:r>
        <w:rPr>
          <w:highlight w:val="none"/>
        </w:rPr>
        <w:instrText xml:space="preserve"> PAGEREF _Toc15010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_Toc17525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第五章  合同范本</w:t>
      </w:r>
      <w:r>
        <w:tab/>
      </w:r>
      <w:r>
        <w:fldChar w:fldCharType="begin"/>
      </w:r>
      <w:r>
        <w:instrText xml:space="preserve"> PAGEREF _Toc17525 \h </w:instrText>
      </w:r>
      <w:r>
        <w:fldChar w:fldCharType="separate"/>
      </w:r>
      <w:r>
        <w:t>18</w:t>
      </w:r>
      <w:r>
        <w:fldChar w:fldCharType="end"/>
      </w:r>
      <w:r>
        <w:rPr>
          <w:rFonts w:hint="eastAsia" w:ascii="宋体" w:hAnsi="宋体" w:cs="宋体"/>
          <w:bCs/>
          <w:caps/>
          <w:color w:val="auto"/>
          <w:highlight w:val="none"/>
        </w:rPr>
        <w:fldChar w:fldCharType="end"/>
      </w:r>
    </w:p>
    <w:p>
      <w:pPr>
        <w:pStyle w:val="28"/>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_Toc27626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竞争性比选响应文件格式</w:t>
      </w:r>
      <w:r>
        <w:tab/>
      </w:r>
      <w:r>
        <w:fldChar w:fldCharType="begin"/>
      </w:r>
      <w:r>
        <w:instrText xml:space="preserve"> PAGEREF _Toc27626 \h </w:instrText>
      </w:r>
      <w:r>
        <w:fldChar w:fldCharType="separate"/>
      </w:r>
      <w:r>
        <w:t>23</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_Toc29615 </w:instrText>
      </w:r>
      <w:r>
        <w:rPr>
          <w:rFonts w:hint="eastAsia" w:ascii="宋体" w:hAnsi="宋体" w:cs="宋体"/>
          <w:bCs/>
          <w:caps/>
          <w:highlight w:val="none"/>
        </w:rPr>
        <w:fldChar w:fldCharType="separate"/>
      </w:r>
      <w:r>
        <w:rPr>
          <w:rFonts w:hint="eastAsia" w:ascii="宋体" w:hAnsi="宋体" w:eastAsia="宋体" w:cs="宋体"/>
        </w:rPr>
        <w:t xml:space="preserve">一、 </w:t>
      </w:r>
      <w:r>
        <w:rPr>
          <w:rFonts w:hint="eastAsia" w:ascii="宋体" w:hAnsi="宋体" w:eastAsia="宋体" w:cs="宋体"/>
          <w:highlight w:val="none"/>
        </w:rPr>
        <w:t>竞争比选响应声明书</w:t>
      </w:r>
      <w:r>
        <w:tab/>
      </w:r>
      <w:r>
        <w:fldChar w:fldCharType="begin"/>
      </w:r>
      <w:r>
        <w:instrText xml:space="preserve"> PAGEREF _Toc29615 \h </w:instrText>
      </w:r>
      <w:r>
        <w:fldChar w:fldCharType="separate"/>
      </w:r>
      <w:r>
        <w:t>26</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_Toc15139 </w:instrText>
      </w:r>
      <w:r>
        <w:rPr>
          <w:rFonts w:hint="eastAsia" w:ascii="宋体" w:hAnsi="宋体" w:cs="宋体"/>
          <w:bCs/>
          <w:caps/>
          <w:highlight w:val="none"/>
        </w:rPr>
        <w:fldChar w:fldCharType="separate"/>
      </w:r>
      <w:r>
        <w:rPr>
          <w:rFonts w:hint="eastAsia" w:ascii="宋体" w:hAnsi="宋体" w:eastAsia="宋体" w:cs="宋体"/>
        </w:rPr>
        <w:t xml:space="preserve">二、 </w:t>
      </w:r>
      <w:r>
        <w:rPr>
          <w:rFonts w:hint="eastAsia" w:ascii="宋体" w:hAnsi="宋体" w:eastAsia="宋体" w:cs="宋体"/>
          <w:highlight w:val="none"/>
        </w:rPr>
        <w:t>法定代表人身份证明或法定代表人授权委托书</w:t>
      </w:r>
      <w:r>
        <w:tab/>
      </w:r>
      <w:r>
        <w:fldChar w:fldCharType="begin"/>
      </w:r>
      <w:r>
        <w:instrText xml:space="preserve"> PAGEREF _Toc15139 \h </w:instrText>
      </w:r>
      <w:r>
        <w:fldChar w:fldCharType="separate"/>
      </w:r>
      <w:r>
        <w:t>27</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_Toc31983 </w:instrText>
      </w:r>
      <w:r>
        <w:rPr>
          <w:rFonts w:hint="eastAsia" w:ascii="宋体" w:hAnsi="宋体" w:cs="宋体"/>
          <w:bCs/>
          <w:caps/>
          <w:highlight w:val="none"/>
        </w:rPr>
        <w:fldChar w:fldCharType="separate"/>
      </w:r>
      <w:r>
        <w:rPr>
          <w:rFonts w:hint="eastAsia" w:ascii="宋体" w:hAnsi="宋体" w:eastAsia="宋体" w:cs="宋体"/>
          <w:highlight w:val="none"/>
        </w:rPr>
        <w:t>三、报价一览表</w:t>
      </w:r>
      <w:r>
        <w:tab/>
      </w:r>
      <w:r>
        <w:fldChar w:fldCharType="begin"/>
      </w:r>
      <w:r>
        <w:instrText xml:space="preserve"> PAGEREF _Toc31983 \h </w:instrText>
      </w:r>
      <w:r>
        <w:fldChar w:fldCharType="separate"/>
      </w:r>
      <w:r>
        <w:t>29</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_Toc4544 </w:instrText>
      </w:r>
      <w:r>
        <w:rPr>
          <w:rFonts w:hint="eastAsia" w:ascii="宋体" w:hAnsi="宋体" w:cs="宋体"/>
          <w:bCs/>
          <w:caps/>
          <w:highlight w:val="none"/>
        </w:rPr>
        <w:fldChar w:fldCharType="separate"/>
      </w:r>
      <w:r>
        <w:rPr>
          <w:rFonts w:hint="eastAsia" w:ascii="宋体" w:hAnsi="宋体" w:eastAsia="宋体" w:cs="宋体"/>
          <w:highlight w:val="none"/>
        </w:rPr>
        <w:t>四、资格审查资料</w:t>
      </w:r>
      <w:r>
        <w:tab/>
      </w:r>
      <w:r>
        <w:fldChar w:fldCharType="begin"/>
      </w:r>
      <w:r>
        <w:instrText xml:space="preserve"> PAGEREF _Toc4544 \h </w:instrText>
      </w:r>
      <w:r>
        <w:fldChar w:fldCharType="separate"/>
      </w:r>
      <w:r>
        <w:t>30</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_Toc7326 </w:instrText>
      </w:r>
      <w:r>
        <w:rPr>
          <w:rFonts w:hint="eastAsia" w:ascii="宋体" w:hAnsi="宋体" w:cs="宋体"/>
          <w:bCs/>
          <w:caps/>
          <w:highlight w:val="none"/>
        </w:rPr>
        <w:fldChar w:fldCharType="separate"/>
      </w:r>
      <w:r>
        <w:rPr>
          <w:rFonts w:hint="eastAsia" w:ascii="宋体" w:hAnsi="宋体" w:eastAsia="宋体" w:cs="宋体"/>
          <w:highlight w:val="none"/>
        </w:rPr>
        <w:t>五、报价人承诺</w:t>
      </w:r>
      <w:r>
        <w:tab/>
      </w:r>
      <w:r>
        <w:fldChar w:fldCharType="begin"/>
      </w:r>
      <w:r>
        <w:instrText xml:space="preserve"> PAGEREF _Toc7326 \h </w:instrText>
      </w:r>
      <w:r>
        <w:fldChar w:fldCharType="separate"/>
      </w:r>
      <w:r>
        <w:t>33</w:t>
      </w:r>
      <w:r>
        <w:fldChar w:fldCharType="end"/>
      </w:r>
      <w:r>
        <w:rPr>
          <w:rFonts w:hint="eastAsia" w:ascii="宋体" w:hAnsi="宋体" w:cs="宋体"/>
          <w:bCs/>
          <w:caps/>
          <w:color w:val="auto"/>
          <w:highlight w:val="none"/>
        </w:rPr>
        <w:fldChar w:fldCharType="end"/>
      </w:r>
    </w:p>
    <w:p>
      <w:pPr>
        <w:pStyle w:val="34"/>
        <w:tabs>
          <w:tab w:val="right" w:leader="dot" w:pos="9638"/>
        </w:tabs>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_Toc22594 </w:instrText>
      </w:r>
      <w:r>
        <w:rPr>
          <w:rFonts w:hint="eastAsia" w:ascii="宋体" w:hAnsi="宋体" w:cs="宋体"/>
          <w:bCs/>
          <w:caps/>
          <w:highlight w:val="none"/>
        </w:rPr>
        <w:fldChar w:fldCharType="separate"/>
      </w:r>
      <w:r>
        <w:rPr>
          <w:rFonts w:hint="eastAsia" w:ascii="宋体" w:hAnsi="宋体" w:eastAsia="宋体" w:cs="宋体"/>
          <w:bCs/>
          <w:kern w:val="0"/>
          <w:szCs w:val="32"/>
          <w:highlight w:val="none"/>
          <w:lang w:val="en-US" w:eastAsia="zh-CN" w:bidi="ar-SA"/>
        </w:rPr>
        <w:t>六、报价人其他资料</w:t>
      </w:r>
      <w:r>
        <w:tab/>
      </w:r>
      <w:r>
        <w:fldChar w:fldCharType="begin"/>
      </w:r>
      <w:r>
        <w:instrText xml:space="preserve"> PAGEREF _Toc22594 \h </w:instrText>
      </w:r>
      <w:r>
        <w:fldChar w:fldCharType="separate"/>
      </w:r>
      <w:r>
        <w:t>34</w:t>
      </w:r>
      <w: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4" w:name="_Toc144974479"/>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5" w:name="_Toc10142"/>
      <w:r>
        <w:rPr>
          <w:rFonts w:hint="eastAsia" w:ascii="宋体" w:hAnsi="宋体" w:eastAsia="宋体" w:cs="宋体"/>
          <w:b/>
          <w:bCs/>
          <w:smallCaps w:val="0"/>
          <w:color w:val="auto"/>
          <w:kern w:val="44"/>
          <w:sz w:val="44"/>
          <w:szCs w:val="44"/>
          <w:highlight w:val="none"/>
          <w:lang w:val="en-US" w:eastAsia="zh-CN" w:bidi="ar-SA"/>
        </w:rPr>
        <w:t xml:space="preserve">第一章 </w:t>
      </w:r>
      <w:bookmarkEnd w:id="4"/>
      <w:r>
        <w:rPr>
          <w:rFonts w:hint="eastAsia" w:ascii="宋体" w:hAnsi="宋体" w:eastAsia="宋体" w:cs="宋体"/>
          <w:b/>
          <w:bCs/>
          <w:smallCaps w:val="0"/>
          <w:color w:val="auto"/>
          <w:kern w:val="44"/>
          <w:sz w:val="44"/>
          <w:szCs w:val="44"/>
          <w:highlight w:val="none"/>
          <w:lang w:val="en-US" w:eastAsia="zh-CN" w:bidi="ar-SA"/>
        </w:rPr>
        <w:t>比选公告</w:t>
      </w:r>
      <w:bookmarkEnd w:id="5"/>
    </w:p>
    <w:p>
      <w:pPr>
        <w:spacing w:line="440" w:lineRule="exact"/>
        <w:jc w:val="center"/>
        <w:rPr>
          <w:rFonts w:ascii="宋体" w:hAnsi="宋体" w:cs="宋体"/>
          <w:b/>
          <w:color w:val="auto"/>
          <w:sz w:val="28"/>
          <w:szCs w:val="28"/>
          <w:highlight w:val="none"/>
        </w:rPr>
      </w:pPr>
    </w:p>
    <w:p>
      <w:pPr>
        <w:pStyle w:val="4"/>
        <w:spacing w:before="0" w:after="0" w:line="360" w:lineRule="auto"/>
        <w:rPr>
          <w:rFonts w:ascii="宋体" w:hAnsi="宋体" w:eastAsia="宋体" w:cs="宋体"/>
          <w:color w:val="auto"/>
          <w:highlight w:val="none"/>
        </w:rPr>
      </w:pPr>
      <w:bookmarkStart w:id="6" w:name="_Toc13849"/>
      <w:bookmarkStart w:id="7" w:name="_Toc152045512"/>
      <w:bookmarkStart w:id="8" w:name="_Toc10076"/>
      <w:bookmarkStart w:id="9" w:name="_Toc507319891"/>
      <w:bookmarkStart w:id="10" w:name="_Toc152042288"/>
      <w:bookmarkStart w:id="11" w:name="_Toc246996901"/>
      <w:bookmarkStart w:id="12" w:name="_Toc24874"/>
      <w:bookmarkStart w:id="13" w:name="_Toc247085672"/>
      <w:bookmarkStart w:id="14" w:name="_Toc144974480"/>
      <w:bookmarkStart w:id="15" w:name="_Toc179632528"/>
      <w:bookmarkStart w:id="16" w:name="_Toc6549"/>
      <w:bookmarkStart w:id="17" w:name="_Toc11329213"/>
      <w:r>
        <w:rPr>
          <w:rFonts w:hint="eastAsia" w:ascii="宋体" w:hAnsi="宋体" w:eastAsia="宋体" w:cs="宋体"/>
          <w:color w:val="auto"/>
          <w:highlight w:val="none"/>
        </w:rPr>
        <w:t>1. 比选条件</w:t>
      </w:r>
      <w:bookmarkEnd w:id="6"/>
      <w:bookmarkEnd w:id="7"/>
      <w:bookmarkEnd w:id="8"/>
      <w:bookmarkEnd w:id="9"/>
      <w:bookmarkEnd w:id="10"/>
      <w:bookmarkEnd w:id="11"/>
      <w:bookmarkEnd w:id="12"/>
      <w:bookmarkEnd w:id="13"/>
      <w:bookmarkEnd w:id="14"/>
      <w:bookmarkEnd w:id="15"/>
      <w:bookmarkEnd w:id="16"/>
      <w:bookmarkEnd w:id="17"/>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18" w:name="单据名称1"/>
      <w:bookmarkStart w:id="19" w:name="OLE_LINK1"/>
      <w:r>
        <w:rPr>
          <w:rFonts w:hint="eastAsia" w:ascii="宋体" w:hAnsi="宋体" w:cs="宋体"/>
          <w:color w:val="auto"/>
          <w:szCs w:val="21"/>
          <w:highlight w:val="none"/>
          <w:u w:val="single"/>
          <w:lang w:val="en-US" w:eastAsia="zh-CN"/>
        </w:rPr>
        <w:t>渝湘复线高速公路项目隧道照明策略设计服务采购</w:t>
      </w:r>
      <w:bookmarkEnd w:id="18"/>
      <w:r>
        <w:rPr>
          <w:rFonts w:hint="eastAsia" w:ascii="宋体" w:hAnsi="宋体" w:cs="宋体"/>
          <w:color w:val="auto"/>
          <w:szCs w:val="21"/>
          <w:highlight w:val="none"/>
        </w:rPr>
        <w:t>，</w:t>
      </w:r>
      <w:bookmarkEnd w:id="19"/>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20" w:name="_Toc144974481"/>
      <w:bookmarkStart w:id="21" w:name="_Toc152042289"/>
      <w:bookmarkStart w:id="22" w:name="_Toc179632529"/>
      <w:bookmarkStart w:id="23" w:name="_Toc246996902"/>
      <w:bookmarkStart w:id="24" w:name="_Toc152045513"/>
      <w:bookmarkStart w:id="25" w:name="_Toc507319892"/>
      <w:bookmarkStart w:id="26" w:name="_Toc247085673"/>
      <w:bookmarkStart w:id="27" w:name="_Toc18109"/>
      <w:bookmarkStart w:id="28" w:name="_Toc11329214"/>
      <w:bookmarkStart w:id="29" w:name="_Toc21343"/>
      <w:bookmarkStart w:id="30" w:name="_Toc10952"/>
      <w:bookmarkStart w:id="31" w:name="_Toc246996159"/>
      <w:bookmarkStart w:id="32" w:name="_Toc7760"/>
      <w:r>
        <w:rPr>
          <w:rFonts w:hint="eastAsia" w:ascii="宋体" w:hAnsi="宋体" w:eastAsia="宋体" w:cs="宋体"/>
          <w:color w:val="auto"/>
          <w:highlight w:val="none"/>
        </w:rPr>
        <w:t>2. 项目概况与比选范围</w:t>
      </w:r>
      <w:bookmarkEnd w:id="20"/>
      <w:bookmarkEnd w:id="21"/>
      <w:bookmarkEnd w:id="22"/>
      <w:bookmarkEnd w:id="23"/>
      <w:bookmarkEnd w:id="24"/>
      <w:bookmarkEnd w:id="25"/>
      <w:bookmarkEnd w:id="26"/>
      <w:bookmarkEnd w:id="27"/>
      <w:bookmarkEnd w:id="28"/>
      <w:bookmarkEnd w:id="29"/>
      <w:bookmarkEnd w:id="30"/>
      <w:bookmarkEnd w:id="31"/>
      <w:bookmarkEnd w:id="32"/>
    </w:p>
    <w:p>
      <w:pPr>
        <w:spacing w:line="420" w:lineRule="exact"/>
        <w:ind w:firstLine="420" w:firstLineChars="200"/>
        <w:rPr>
          <w:rFonts w:hint="default" w:ascii="宋体" w:hAnsi="宋体" w:cs="宋体"/>
          <w:color w:val="auto"/>
          <w:highlight w:val="none"/>
          <w:lang w:val="en-US" w:eastAsia="zh-CN"/>
        </w:rPr>
      </w:pPr>
      <w:bookmarkStart w:id="33" w:name="_Toc382816230"/>
      <w:bookmarkStart w:id="34" w:name="_Toc265234827"/>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35" w:name="交货地点"/>
      <w:r>
        <w:rPr>
          <w:rFonts w:hint="eastAsia" w:ascii="宋体" w:hAnsi="宋体" w:cs="宋体"/>
          <w:color w:val="auto"/>
          <w:szCs w:val="21"/>
          <w:highlight w:val="none"/>
          <w:u w:val="single"/>
          <w:lang w:val="en-US" w:eastAsia="zh-CN"/>
        </w:rPr>
        <w:t>重庆市</w:t>
      </w:r>
      <w:bookmarkEnd w:id="35"/>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36" w:name="项目概况"/>
      <w:r>
        <w:rPr>
          <w:rFonts w:hint="eastAsia" w:ascii="宋体" w:hAnsi="宋体" w:cs="宋体"/>
          <w:color w:val="auto"/>
          <w:szCs w:val="21"/>
          <w:highlight w:val="none"/>
          <w:u w:val="single"/>
          <w:lang w:val="en-US" w:eastAsia="zh-CN"/>
        </w:rPr>
        <w:t>渝湘复线高速公路项目线路总里程约为285.03km，涉及的高速公路分别为巴南至彭水，彭水至酉阳和武隆至道真共三段，巴南至彭水段隧道148km/52座（单洞计），彭水至酉阳段隧道12.14km/52座（单洞计），武隆至道真隧道18.82km/20座（单洞计）。</w:t>
      </w:r>
      <w:bookmarkEnd w:id="36"/>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bookmarkStart w:id="37" w:name="预算金额"/>
      <w:r>
        <w:rPr>
          <w:rFonts w:hint="eastAsia" w:ascii="宋体" w:hAnsi="宋体" w:cs="宋体"/>
          <w:color w:val="auto"/>
          <w:szCs w:val="21"/>
          <w:highlight w:val="none"/>
          <w:u w:val="single"/>
          <w:lang w:val="en-US" w:eastAsia="zh-CN"/>
        </w:rPr>
        <w:t>116.25</w:t>
      </w:r>
      <w:bookmarkEnd w:id="37"/>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lang w:val="en-US" w:eastAsia="zh-CN"/>
        </w:rPr>
        <w:t>2.4</w:t>
      </w:r>
      <w:r>
        <w:rPr>
          <w:rFonts w:hint="eastAsia" w:ascii="宋体" w:hAnsi="宋体" w:cs="宋体"/>
          <w:color w:val="auto"/>
          <w:highlight w:val="none"/>
          <w:lang w:val="en-US" w:eastAsia="zh-CN"/>
        </w:rPr>
        <w:t>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渝湘复线62座（双洞）隧道照明精细化控制策略以及无级调光控制策略，提供相应的控制软件模块并持续调整服务至2027年底</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33"/>
    <w:bookmarkEnd w:id="34"/>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38" w:name="工期、货期要求"/>
      <w:r>
        <w:rPr>
          <w:rFonts w:hint="eastAsia" w:ascii="宋体" w:hAnsi="宋体" w:eastAsia="宋体" w:cs="宋体"/>
          <w:color w:val="auto"/>
          <w:szCs w:val="21"/>
          <w:highlight w:val="none"/>
          <w:u w:val="single"/>
        </w:rPr>
        <w:t>预计2025年7月至2027年12月31日，具体开始日期以现场需求为准。</w:t>
      </w:r>
      <w:bookmarkEnd w:id="38"/>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39" w:name="_Toc152045514"/>
      <w:bookmarkStart w:id="40" w:name="_Toc10171"/>
      <w:bookmarkStart w:id="41" w:name="_Toc11329215"/>
      <w:bookmarkStart w:id="42" w:name="_Toc507319893"/>
      <w:bookmarkStart w:id="43" w:name="_Toc30356"/>
      <w:bookmarkStart w:id="44" w:name="_Toc246996903"/>
      <w:bookmarkStart w:id="45" w:name="_Toc246996160"/>
      <w:bookmarkStart w:id="46" w:name="_Toc152042290"/>
      <w:bookmarkStart w:id="47" w:name="_Toc144974482"/>
      <w:bookmarkStart w:id="48" w:name="_Toc247085674"/>
      <w:bookmarkStart w:id="49" w:name="_Toc179632530"/>
      <w:bookmarkStart w:id="50" w:name="_Toc7065"/>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u w:val="single"/>
          <w:lang w:val="en-US" w:eastAsia="zh-CN" w:bidi="ar-SA"/>
        </w:rPr>
        <w:t>本项目划分为</w:t>
      </w:r>
      <w:bookmarkStart w:id="51" w:name="标段划分"/>
      <w:r>
        <w:rPr>
          <w:rFonts w:hint="eastAsia" w:ascii="宋体" w:hAnsi="宋体" w:cs="宋体"/>
          <w:b w:val="0"/>
          <w:bCs w:val="0"/>
          <w:color w:val="auto"/>
          <w:kern w:val="2"/>
          <w:sz w:val="21"/>
          <w:szCs w:val="24"/>
          <w:highlight w:val="none"/>
          <w:u w:val="single"/>
          <w:lang w:val="en-US" w:eastAsia="zh-CN" w:bidi="ar-SA"/>
        </w:rPr>
        <w:t>1</w:t>
      </w:r>
      <w:bookmarkEnd w:id="51"/>
      <w:r>
        <w:rPr>
          <w:rFonts w:hint="eastAsia" w:ascii="宋体" w:hAnsi="宋体" w:cs="宋体"/>
          <w:b w:val="0"/>
          <w:bCs w:val="0"/>
          <w:color w:val="auto"/>
          <w:kern w:val="2"/>
          <w:sz w:val="21"/>
          <w:szCs w:val="24"/>
          <w:highlight w:val="none"/>
          <w:u w:val="single"/>
          <w:lang w:val="en-US" w:eastAsia="zh-CN" w:bidi="ar-SA"/>
        </w:rPr>
        <w:t>个标段</w:t>
      </w:r>
      <w:r>
        <w:rPr>
          <w:rFonts w:hint="eastAsia" w:ascii="宋体" w:hAnsi="宋体" w:cs="宋体"/>
          <w:b w:val="0"/>
          <w:bCs w:val="0"/>
          <w:color w:val="auto"/>
          <w:kern w:val="2"/>
          <w:sz w:val="21"/>
          <w:szCs w:val="24"/>
          <w:highlight w:val="none"/>
          <w:lang w:val="en-US" w:eastAsia="zh-CN" w:bidi="ar-SA"/>
        </w:rPr>
        <w:t>。</w:t>
      </w:r>
    </w:p>
    <w:p>
      <w:pPr>
        <w:pStyle w:val="4"/>
        <w:spacing w:before="120" w:after="0" w:line="360" w:lineRule="auto"/>
        <w:rPr>
          <w:rFonts w:ascii="宋体" w:hAnsi="宋体" w:eastAsia="宋体" w:cs="宋体"/>
          <w:color w:val="auto"/>
          <w:highlight w:val="none"/>
        </w:rPr>
      </w:pPr>
      <w:bookmarkStart w:id="52" w:name="_Toc13092"/>
      <w:r>
        <w:rPr>
          <w:rFonts w:hint="eastAsia" w:ascii="宋体" w:hAnsi="宋体" w:eastAsia="宋体" w:cs="宋体"/>
          <w:color w:val="auto"/>
          <w:highlight w:val="none"/>
        </w:rPr>
        <w:t>3. 报价人资格要求</w:t>
      </w:r>
      <w:bookmarkEnd w:id="39"/>
      <w:bookmarkEnd w:id="40"/>
      <w:bookmarkEnd w:id="41"/>
      <w:bookmarkEnd w:id="42"/>
      <w:bookmarkEnd w:id="43"/>
      <w:bookmarkEnd w:id="44"/>
      <w:bookmarkEnd w:id="45"/>
      <w:bookmarkEnd w:id="46"/>
      <w:bookmarkEnd w:id="47"/>
      <w:bookmarkEnd w:id="48"/>
      <w:bookmarkEnd w:id="49"/>
      <w:bookmarkEnd w:id="50"/>
      <w:bookmarkEnd w:id="52"/>
    </w:p>
    <w:p>
      <w:pPr>
        <w:pStyle w:val="12"/>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53" w:name="_Toc152045515"/>
      <w:bookmarkStart w:id="54" w:name="_Toc144974483"/>
      <w:bookmarkStart w:id="55" w:name="_Toc246996161"/>
      <w:bookmarkStart w:id="56" w:name="_Toc152042291"/>
      <w:bookmarkStart w:id="57" w:name="_Toc247085675"/>
      <w:bookmarkStart w:id="58" w:name="_Toc179632531"/>
      <w:bookmarkStart w:id="59" w:name="_Toc246996904"/>
      <w:r>
        <w:rPr>
          <w:rFonts w:hint="eastAsia" w:ascii="宋体" w:hAnsi="宋体" w:cs="宋体"/>
          <w:color w:val="auto"/>
          <w:sz w:val="21"/>
          <w:szCs w:val="21"/>
          <w:highlight w:val="none"/>
          <w:lang w:val="en-US" w:eastAsia="zh-CN"/>
        </w:rPr>
        <w:t>3.1 资质要求：</w:t>
      </w:r>
      <w:bookmarkStart w:id="60" w:name="资质要求"/>
      <w:r>
        <w:rPr>
          <w:rFonts w:hint="eastAsia" w:ascii="宋体" w:hAnsi="宋体" w:cs="宋体"/>
          <w:color w:val="auto"/>
          <w:sz w:val="21"/>
          <w:szCs w:val="21"/>
          <w:highlight w:val="none"/>
          <w:lang w:val="en-US" w:eastAsia="zh-CN"/>
        </w:rPr>
        <w:t>1.具有独立法人资格，具有有效营业执照。 2.具备工程设计综合甲级资质或公路行业甲级资质。</w:t>
      </w:r>
      <w:bookmarkEnd w:id="60"/>
    </w:p>
    <w:p>
      <w:pPr>
        <w:pStyle w:val="12"/>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61" w:name="业绩要求"/>
      <w:r>
        <w:rPr>
          <w:rFonts w:hint="eastAsia" w:ascii="宋体" w:hAnsi="宋体" w:eastAsia="宋体" w:cs="宋体"/>
          <w:color w:val="auto"/>
          <w:sz w:val="21"/>
          <w:szCs w:val="21"/>
          <w:highlight w:val="none"/>
          <w:lang w:val="en-US" w:eastAsia="zh-CN"/>
        </w:rPr>
        <w:t>在2022年1月1日至投标截止时间止(以合同签订时间为准)至少承担一项合同金额50万以上高速公路含机电工程的设计业绩。</w:t>
      </w:r>
      <w:bookmarkEnd w:id="61"/>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62" w:name="_Toc13035"/>
      <w:bookmarkStart w:id="63" w:name="_Toc12460"/>
      <w:bookmarkStart w:id="64" w:name="_Toc11329216"/>
      <w:bookmarkStart w:id="65" w:name="_Toc25619"/>
      <w:bookmarkStart w:id="66" w:name="_Toc507319894"/>
      <w:bookmarkStart w:id="67" w:name="_Toc14361"/>
      <w:r>
        <w:rPr>
          <w:rFonts w:hint="eastAsia" w:ascii="宋体" w:hAnsi="宋体" w:eastAsia="宋体" w:cs="宋体"/>
          <w:color w:val="auto"/>
          <w:highlight w:val="none"/>
        </w:rPr>
        <w:t>4. 评标办法</w:t>
      </w:r>
      <w:bookmarkEnd w:id="62"/>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pPr>
        <w:pStyle w:val="4"/>
        <w:spacing w:before="120" w:after="0" w:line="400" w:lineRule="exact"/>
        <w:rPr>
          <w:rFonts w:ascii="宋体" w:hAnsi="宋体" w:eastAsia="宋体" w:cs="宋体"/>
          <w:color w:val="auto"/>
          <w:highlight w:val="none"/>
        </w:rPr>
      </w:pPr>
      <w:bookmarkStart w:id="68" w:name="_Toc1760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3"/>
      <w:bookmarkEnd w:id="54"/>
      <w:bookmarkEnd w:id="55"/>
      <w:bookmarkEnd w:id="56"/>
      <w:bookmarkEnd w:id="57"/>
      <w:bookmarkEnd w:id="58"/>
      <w:bookmarkEnd w:id="59"/>
      <w:bookmarkEnd w:id="63"/>
      <w:bookmarkEnd w:id="64"/>
      <w:bookmarkEnd w:id="65"/>
      <w:bookmarkEnd w:id="66"/>
      <w:bookmarkEnd w:id="67"/>
      <w:bookmarkEnd w:id="68"/>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69" w:name="_Toc152042292"/>
      <w:bookmarkStart w:id="70" w:name="_Toc507319895"/>
      <w:bookmarkStart w:id="71" w:name="_Toc11329217"/>
      <w:bookmarkStart w:id="72" w:name="_Toc179632532"/>
      <w:bookmarkStart w:id="73" w:name="_Toc152045516"/>
      <w:bookmarkStart w:id="74" w:name="_Toc144974484"/>
      <w:bookmarkStart w:id="75" w:name="_Toc247085676"/>
      <w:bookmarkStart w:id="76" w:name="_Toc246996162"/>
      <w:bookmarkStart w:id="77" w:name="_Toc246996905"/>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78" w:name="_Toc14325"/>
      <w:bookmarkStart w:id="79" w:name="_Toc31493"/>
      <w:bookmarkStart w:id="80" w:name="_Toc16686"/>
      <w:bookmarkStart w:id="81" w:name="_Toc91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69"/>
      <w:bookmarkEnd w:id="70"/>
      <w:bookmarkEnd w:id="71"/>
      <w:bookmarkEnd w:id="72"/>
      <w:bookmarkEnd w:id="73"/>
      <w:bookmarkEnd w:id="74"/>
      <w:bookmarkEnd w:id="75"/>
      <w:bookmarkEnd w:id="76"/>
      <w:bookmarkEnd w:id="77"/>
      <w:r>
        <w:rPr>
          <w:rFonts w:hint="eastAsia" w:ascii="宋体" w:hAnsi="宋体" w:eastAsia="宋体" w:cs="宋体"/>
          <w:color w:val="auto"/>
          <w:highlight w:val="none"/>
        </w:rPr>
        <w:t>及相关事宜</w:t>
      </w:r>
      <w:bookmarkEnd w:id="78"/>
      <w:bookmarkEnd w:id="79"/>
      <w:bookmarkEnd w:id="80"/>
      <w:bookmarkEnd w:id="81"/>
    </w:p>
    <w:p>
      <w:pPr>
        <w:spacing w:line="420" w:lineRule="exact"/>
        <w:ind w:firstLine="420" w:firstLineChars="200"/>
        <w:rPr>
          <w:rFonts w:hint="eastAsia" w:ascii="宋体" w:hAnsi="宋体" w:cs="宋体"/>
          <w:color w:val="auto"/>
          <w:szCs w:val="21"/>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w:t>
      </w:r>
      <w:r>
        <w:rPr>
          <w:rFonts w:hint="eastAsia" w:ascii="宋体" w:hAnsi="宋体" w:cs="宋体"/>
          <w:color w:val="auto"/>
          <w:szCs w:val="21"/>
        </w:rPr>
        <w:t>时间）。</w:t>
      </w:r>
    </w:p>
    <w:p>
      <w:pPr>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.2开标时间：</w:t>
      </w:r>
      <w:r>
        <w:rPr>
          <w:rFonts w:hint="eastAsia" w:ascii="宋体" w:hAnsi="宋体" w:cs="宋体"/>
          <w:color w:val="auto"/>
          <w:szCs w:val="21"/>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lang w:val="en-US" w:eastAsia="zh-CN"/>
        </w:rPr>
        <w:t>6</w:t>
      </w:r>
      <w:r>
        <w:rPr>
          <w:rFonts w:hint="eastAsia" w:ascii="宋体" w:hAnsi="宋体" w:cs="宋体"/>
          <w:color w:val="auto"/>
          <w:szCs w:val="21"/>
        </w:rPr>
        <w:t>.3</w:t>
      </w:r>
      <w:r>
        <w:rPr>
          <w:rFonts w:hint="eastAsia" w:ascii="宋体" w:hAnsi="宋体" w:cs="宋体"/>
          <w:color w:val="auto"/>
          <w:szCs w:val="21"/>
          <w:lang w:val="en-US" w:eastAsia="zh-CN"/>
        </w:rPr>
        <w:t>竞争性比选响应文件</w:t>
      </w:r>
      <w:r>
        <w:rPr>
          <w:rFonts w:hint="eastAsia" w:ascii="宋体" w:hAnsi="宋体" w:cs="宋体"/>
          <w:color w:val="auto"/>
          <w:szCs w:val="21"/>
        </w:rPr>
        <w:t>递交地点：</w:t>
      </w:r>
      <w:bookmarkStart w:id="82"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r>
        <w:rPr>
          <w:rFonts w:hint="eastAsia" w:ascii="宋体" w:hAnsi="宋体" w:cs="宋体"/>
          <w:color w:val="auto"/>
          <w:szCs w:val="21"/>
        </w:rPr>
        <w:t>。</w:t>
      </w:r>
      <w:bookmarkEnd w:id="82"/>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83" w:name="_Toc144974485"/>
      <w:bookmarkStart w:id="84" w:name="_Toc246996907"/>
      <w:bookmarkStart w:id="85" w:name="_Toc179632534"/>
      <w:bookmarkStart w:id="86" w:name="_Toc21615"/>
      <w:bookmarkStart w:id="87" w:name="_Toc11329219"/>
      <w:bookmarkStart w:id="88" w:name="_Toc18402"/>
      <w:bookmarkStart w:id="89" w:name="_Toc152045517"/>
      <w:bookmarkStart w:id="90" w:name="_Toc247085678"/>
      <w:bookmarkStart w:id="91" w:name="_Toc4010"/>
      <w:bookmarkStart w:id="92" w:name="_Toc507319897"/>
      <w:bookmarkStart w:id="93" w:name="_Toc152042293"/>
      <w:bookmarkStart w:id="94" w:name="_Toc246996164"/>
      <w:bookmarkStart w:id="95" w:name="_Toc393"/>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3"/>
      <w:bookmarkEnd w:id="84"/>
      <w:bookmarkEnd w:id="85"/>
      <w:bookmarkEnd w:id="86"/>
      <w:bookmarkEnd w:id="87"/>
      <w:bookmarkEnd w:id="88"/>
      <w:bookmarkEnd w:id="89"/>
      <w:bookmarkEnd w:id="90"/>
      <w:bookmarkEnd w:id="91"/>
      <w:bookmarkEnd w:id="92"/>
      <w:bookmarkEnd w:id="93"/>
      <w:bookmarkEnd w:id="94"/>
      <w:bookmarkEnd w:id="95"/>
    </w:p>
    <w:tbl>
      <w:tblPr>
        <w:tblStyle w:val="43"/>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3"/>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tblPrEx>
          <w:tblCellMar>
            <w:top w:w="0" w:type="dxa"/>
            <w:left w:w="108" w:type="dxa"/>
            <w:bottom w:w="0" w:type="dxa"/>
            <w:right w:w="108" w:type="dxa"/>
          </w:tblCellMar>
        </w:tblPrEx>
        <w:trPr>
          <w:trHeight w:val="520"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 xml:space="preserve"> 鄢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 xml:space="preserve">18048191350 </w:t>
            </w:r>
          </w:p>
        </w:tc>
      </w:tr>
      <w:tr>
        <w:tblPrEx>
          <w:tblCellMar>
            <w:top w:w="0" w:type="dxa"/>
            <w:left w:w="108" w:type="dxa"/>
            <w:bottom w:w="0" w:type="dxa"/>
            <w:right w:w="108" w:type="dxa"/>
          </w:tblCellMar>
        </w:tblPrEx>
        <w:trPr>
          <w:trHeight w:val="448"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 xml:space="preserve"> 蒋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17783017837</w:t>
            </w:r>
          </w:p>
        </w:tc>
      </w:tr>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3"/>
        <w:spacing w:before="0" w:after="0" w:line="360" w:lineRule="auto"/>
        <w:jc w:val="center"/>
        <w:rPr>
          <w:rFonts w:ascii="宋体" w:hAnsi="宋体" w:cs="宋体"/>
          <w:color w:val="auto"/>
          <w:highlight w:val="none"/>
        </w:rPr>
      </w:pPr>
      <w:bookmarkStart w:id="96" w:name="_Toc152045527"/>
      <w:bookmarkStart w:id="97" w:name="_Toc246996173"/>
      <w:bookmarkStart w:id="98" w:name="_Toc247085687"/>
      <w:bookmarkStart w:id="99" w:name="_Toc246996916"/>
      <w:bookmarkStart w:id="100" w:name="_Toc2000405"/>
      <w:bookmarkStart w:id="101" w:name="_Toc179632544"/>
      <w:bookmarkStart w:id="102" w:name="_Toc144974495"/>
      <w:bookmarkStart w:id="103" w:name="_Toc152042303"/>
      <w:bookmarkStart w:id="104" w:name="_Toc507319898"/>
      <w:r>
        <w:rPr>
          <w:rFonts w:hint="eastAsia" w:ascii="宋体" w:hAnsi="宋体" w:cs="宋体"/>
          <w:color w:val="auto"/>
          <w:highlight w:val="none"/>
        </w:rPr>
        <w:br w:type="page"/>
      </w:r>
      <w:bookmarkStart w:id="105" w:name="_Toc12865"/>
      <w:r>
        <w:rPr>
          <w:rFonts w:hint="eastAsia" w:ascii="宋体" w:hAnsi="宋体" w:cs="宋体"/>
          <w:color w:val="auto"/>
          <w:highlight w:val="none"/>
        </w:rPr>
        <w:t>第二章 报价人须知</w:t>
      </w:r>
      <w:bookmarkEnd w:id="96"/>
      <w:bookmarkEnd w:id="97"/>
      <w:bookmarkEnd w:id="98"/>
      <w:bookmarkEnd w:id="99"/>
      <w:bookmarkEnd w:id="100"/>
      <w:bookmarkEnd w:id="101"/>
      <w:bookmarkEnd w:id="102"/>
      <w:bookmarkEnd w:id="103"/>
      <w:bookmarkEnd w:id="104"/>
      <w:bookmarkEnd w:id="105"/>
    </w:p>
    <w:tbl>
      <w:tblPr>
        <w:tblStyle w:val="43"/>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06"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single"/>
                <w:lang w:val="en-US" w:eastAsia="zh-CN"/>
              </w:rPr>
              <w:t xml:space="preserve">  蒋  </w:t>
            </w:r>
            <w:r>
              <w:rPr>
                <w:rFonts w:hint="eastAsia" w:ascii="宋体" w:hAnsi="宋体" w:cs="宋体"/>
                <w:color w:val="auto"/>
                <w:szCs w:val="21"/>
                <w:highlight w:val="none"/>
                <w:lang w:val="en-US" w:eastAsia="zh-CN"/>
              </w:rPr>
              <w:t>老师</w:t>
            </w:r>
          </w:p>
          <w:p>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u w:val="single"/>
                <w:lang w:val="en-US" w:eastAsia="zh-CN"/>
              </w:rPr>
              <w:t>17783017837</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07" w:name="单据名称2"/>
            <w:r>
              <w:rPr>
                <w:rFonts w:hint="eastAsia" w:ascii="宋体" w:hAnsi="宋体" w:cs="宋体"/>
                <w:i w:val="0"/>
                <w:iCs w:val="0"/>
                <w:color w:val="auto"/>
                <w:szCs w:val="21"/>
                <w:highlight w:val="none"/>
                <w:u w:val="single"/>
                <w:lang w:val="en-US" w:eastAsia="zh-CN"/>
              </w:rPr>
              <w:t>渝湘复线高速公路项目隧道照明策略设计服务采购</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50"/>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1.投标报价：</w:t>
            </w:r>
          </w:p>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u w:val="single"/>
              </w:rPr>
              <w:t>本</w:t>
            </w:r>
            <w:r>
              <w:rPr>
                <w:rFonts w:hint="eastAsia" w:ascii="宋体" w:hAnsi="宋体" w:cs="宋体"/>
                <w:color w:val="auto"/>
                <w:szCs w:val="21"/>
                <w:highlight w:val="none"/>
                <w:u w:val="single"/>
              </w:rPr>
              <w:t>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w:t>
            </w:r>
            <w:r>
              <w:rPr>
                <w:rFonts w:hint="eastAsia" w:ascii="宋体" w:hAnsi="宋体" w:cs="宋体"/>
                <w:color w:val="auto"/>
                <w:szCs w:val="21"/>
                <w:u w:val="single"/>
              </w:rPr>
              <w:t>报投标报价应包含但不限于完成本项目</w:t>
            </w:r>
            <w:r>
              <w:rPr>
                <w:rFonts w:hint="eastAsia" w:ascii="宋体" w:hAnsi="宋体" w:cs="宋体"/>
                <w:color w:val="auto"/>
                <w:szCs w:val="21"/>
                <w:u w:val="single"/>
                <w:lang w:val="en-US" w:eastAsia="zh-CN"/>
              </w:rPr>
              <w:t>比选</w:t>
            </w:r>
            <w:r>
              <w:rPr>
                <w:rFonts w:hint="eastAsia" w:ascii="宋体" w:hAnsi="宋体" w:cs="宋体"/>
                <w:color w:val="auto"/>
                <w:szCs w:val="21"/>
                <w:u w:val="single"/>
              </w:rPr>
              <w:t>内容全部工作内容所需的人工、材料</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服务</w:t>
            </w:r>
            <w:r>
              <w:rPr>
                <w:rFonts w:hint="eastAsia" w:ascii="宋体" w:hAnsi="宋体" w:cs="宋体"/>
                <w:color w:val="auto"/>
                <w:szCs w:val="21"/>
                <w:u w:val="single"/>
              </w:rPr>
              <w:t>、税金、管理费、利润等所有</w:t>
            </w:r>
            <w:r>
              <w:rPr>
                <w:rFonts w:hint="eastAsia" w:ascii="宋体" w:hAnsi="宋体" w:cs="宋体"/>
                <w:color w:val="auto"/>
                <w:szCs w:val="21"/>
                <w:u w:val="single"/>
                <w:lang w:val="en-US" w:eastAsia="zh-CN"/>
              </w:rPr>
              <w:t>一切</w:t>
            </w:r>
            <w:r>
              <w:rPr>
                <w:rFonts w:hint="eastAsia" w:ascii="宋体" w:hAnsi="宋体" w:cs="宋体"/>
                <w:color w:val="auto"/>
                <w:szCs w:val="21"/>
                <w:u w:val="single"/>
              </w:rPr>
              <w:t>费用，一旦中标，</w:t>
            </w:r>
            <w:r>
              <w:rPr>
                <w:rFonts w:hint="eastAsia" w:ascii="宋体" w:hAnsi="宋体" w:cs="宋体"/>
                <w:color w:val="auto"/>
                <w:szCs w:val="21"/>
                <w:u w:val="single"/>
                <w:lang w:val="en-US" w:eastAsia="zh-CN"/>
              </w:rPr>
              <w:t>采购</w:t>
            </w:r>
            <w:r>
              <w:rPr>
                <w:rFonts w:hint="eastAsia" w:ascii="宋体" w:hAnsi="宋体" w:cs="宋体"/>
                <w:color w:val="auto"/>
                <w:szCs w:val="21"/>
                <w:u w:val="single"/>
              </w:rPr>
              <w:t>人不再额外支付任何费用</w:t>
            </w:r>
            <w:r>
              <w:rPr>
                <w:rFonts w:hint="eastAsia" w:ascii="宋体" w:hAnsi="宋体" w:cs="宋体"/>
                <w:color w:val="auto"/>
                <w:szCs w:val="21"/>
              </w:rPr>
              <w:t>。</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rPr>
            </w:pPr>
            <w:r>
              <w:rPr>
                <w:rFonts w:hint="eastAsia" w:ascii="宋体" w:hAnsi="宋体" w:cs="宋体"/>
                <w:color w:val="auto"/>
              </w:rPr>
              <w:t>2.报价原则</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u w:val="single"/>
              </w:rPr>
            </w:pPr>
            <w:r>
              <w:rPr>
                <w:rFonts w:hint="eastAsia" w:ascii="宋体" w:hAnsi="宋体" w:cs="宋体"/>
                <w:color w:val="auto"/>
                <w:u w:val="single"/>
                <w:lang w:eastAsia="zh-CN"/>
              </w:rPr>
              <w:t>报价人</w:t>
            </w:r>
            <w:r>
              <w:rPr>
                <w:rFonts w:hint="eastAsia" w:ascii="宋体" w:hAnsi="宋体" w:cs="宋体"/>
                <w:color w:val="auto"/>
                <w:u w:val="single"/>
              </w:rPr>
              <w:t>应严格根据</w:t>
            </w:r>
            <w:r>
              <w:rPr>
                <w:rFonts w:hint="eastAsia" w:ascii="宋体" w:hAnsi="宋体" w:cs="宋体"/>
                <w:color w:val="auto"/>
                <w:u w:val="single"/>
                <w:lang w:val="en-US" w:eastAsia="zh-CN"/>
              </w:rPr>
              <w:t>竞争性比选文件</w:t>
            </w:r>
            <w:r>
              <w:rPr>
                <w:rFonts w:hint="eastAsia" w:ascii="宋体" w:hAnsi="宋体" w:cs="宋体"/>
                <w:color w:val="auto"/>
                <w:u w:val="single"/>
              </w:rPr>
              <w:t>及相关资料，结合市场价格、依据企业自身实力、技术及生产管理水平等，进行自主报价；</w:t>
            </w:r>
            <w:r>
              <w:rPr>
                <w:rFonts w:hint="eastAsia" w:ascii="宋体" w:hAnsi="宋体" w:cs="宋体"/>
                <w:color w:val="auto"/>
                <w:u w:val="single"/>
                <w:lang w:eastAsia="zh-CN"/>
              </w:rPr>
              <w:t>报价人</w:t>
            </w:r>
            <w:r>
              <w:rPr>
                <w:rFonts w:hint="eastAsia" w:ascii="宋体" w:hAnsi="宋体" w:cs="宋体"/>
                <w:color w:val="auto"/>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rPr>
            </w:pPr>
            <w:r>
              <w:rPr>
                <w:rFonts w:hint="eastAsia" w:ascii="宋体" w:hAnsi="宋体" w:cs="宋体"/>
                <w:b w:val="0"/>
                <w:bCs w:val="0"/>
                <w:color w:val="auto"/>
              </w:rPr>
              <w:t>特别提醒：</w:t>
            </w:r>
          </w:p>
          <w:p>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rPr>
            </w:pPr>
            <w:r>
              <w:rPr>
                <w:rFonts w:hint="eastAsia" w:ascii="宋体" w:hAnsi="宋体" w:cs="宋体"/>
                <w:b w:val="0"/>
                <w:bCs w:val="0"/>
                <w:color w:val="auto"/>
                <w:szCs w:val="21"/>
              </w:rPr>
              <w:t>1.</w:t>
            </w:r>
            <w:r>
              <w:rPr>
                <w:rFonts w:hint="eastAsia" w:ascii="宋体" w:hAnsi="宋体" w:cs="宋体"/>
                <w:b w:val="0"/>
                <w:bCs w:val="0"/>
                <w:color w:val="auto"/>
                <w:u w:val="single"/>
              </w:rPr>
              <w:t>若因</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在报价时有漏报、漏项的情况发生，</w:t>
            </w:r>
            <w:r>
              <w:rPr>
                <w:rFonts w:hint="eastAsia" w:ascii="宋体" w:hAnsi="宋体" w:cs="宋体"/>
                <w:b w:val="0"/>
                <w:bCs w:val="0"/>
                <w:color w:val="auto"/>
                <w:u w:val="single"/>
                <w:lang w:eastAsia="zh-CN"/>
              </w:rPr>
              <w:t>采购人</w:t>
            </w:r>
            <w:r>
              <w:rPr>
                <w:rFonts w:hint="eastAsia" w:ascii="宋体" w:hAnsi="宋体" w:cs="宋体"/>
                <w:b w:val="0"/>
                <w:bCs w:val="0"/>
                <w:color w:val="auto"/>
                <w:u w:val="single"/>
              </w:rPr>
              <w:t>均视为</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已充分理解</w:t>
            </w:r>
            <w:r>
              <w:rPr>
                <w:rFonts w:hint="eastAsia" w:ascii="宋体" w:hAnsi="宋体" w:cs="宋体"/>
                <w:b w:val="0"/>
                <w:bCs w:val="0"/>
                <w:color w:val="auto"/>
                <w:u w:val="single"/>
                <w:lang w:val="en-US" w:eastAsia="zh-CN"/>
              </w:rPr>
              <w:t>竞争性比选</w:t>
            </w:r>
            <w:r>
              <w:rPr>
                <w:rFonts w:hint="eastAsia" w:ascii="宋体" w:hAnsi="宋体" w:cs="宋体"/>
                <w:b w:val="0"/>
                <w:bCs w:val="0"/>
                <w:color w:val="auto"/>
                <w:u w:val="single"/>
              </w:rPr>
              <w:t>文件要求，漏报、漏项部分已包含在其报价之中。该</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若中标，其报价不得调整</w:t>
            </w:r>
            <w:r>
              <w:rPr>
                <w:rFonts w:hint="eastAsia" w:ascii="宋体" w:hAnsi="宋体" w:cs="宋体"/>
                <w:b w:val="0"/>
                <w:bCs w:val="0"/>
                <w:color w:val="auto"/>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rPr>
              <w:t>2.</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在报价时应充分考虑市场价格波动、人工费用上涨等不确定因素的风险，该</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若中标，其报价在服务期内不得调整</w:t>
            </w:r>
            <w:r>
              <w:rPr>
                <w:rFonts w:hint="eastAsia" w:ascii="宋体" w:hAnsi="宋体" w:cs="宋体"/>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960000.00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bookmarkStart w:id="108" w:name="支付方式"/>
            <w:r>
              <w:rPr>
                <w:rFonts w:hint="eastAsia" w:ascii="宋体" w:hAnsi="宋体" w:cs="宋体"/>
                <w:b w:val="0"/>
                <w:bCs w:val="0"/>
                <w:color w:val="auto"/>
                <w:sz w:val="21"/>
                <w:szCs w:val="21"/>
                <w:highlight w:val="none"/>
                <w:lang w:val="en-US" w:eastAsia="zh-CN"/>
              </w:rPr>
              <w:t>按年度支付，2025年按照工程进度要求完成相关服务内容后30日内支付至合同金额的40%，2026年按照工程进度要求完成相关服务内容后30日内支付至合同金额的70%，2027年按照工程进度要求完成相关服务内容后30日内支付至合同金额的100%。</w:t>
            </w:r>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50"/>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09" w:name="是否提供投标保证金"/>
            <w:r>
              <w:rPr>
                <w:rFonts w:hint="eastAsia" w:hAnsi="宋体" w:cs="宋体"/>
                <w:b w:val="0"/>
                <w:bCs w:val="0"/>
                <w:color w:val="auto"/>
                <w:kern w:val="0"/>
                <w:sz w:val="21"/>
                <w:szCs w:val="18"/>
                <w:highlight w:val="none"/>
                <w:lang w:val="en-US" w:eastAsia="zh-CN" w:bidi="ar"/>
              </w:rPr>
              <w:t>是</w:t>
            </w:r>
            <w:bookmarkEnd w:id="109"/>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10" w:name="投标保证金"/>
            <w:r>
              <w:rPr>
                <w:rFonts w:hint="eastAsia" w:hAnsi="宋体" w:cs="宋体"/>
                <w:color w:val="auto"/>
                <w:sz w:val="21"/>
                <w:szCs w:val="21"/>
                <w:highlight w:val="none"/>
                <w:u w:val="single"/>
                <w:lang w:val="en-US" w:eastAsia="zh-CN"/>
              </w:rPr>
              <w:t>10000.00</w:t>
            </w:r>
            <w:bookmarkEnd w:id="110"/>
            <w:r>
              <w:rPr>
                <w:rFonts w:hint="eastAsia" w:ascii="宋体" w:hAnsi="宋体" w:eastAsia="宋体" w:cs="宋体"/>
                <w:color w:val="auto"/>
                <w:sz w:val="21"/>
                <w:szCs w:val="21"/>
                <w:highlight w:val="none"/>
              </w:rPr>
              <w:t>元，由报价人从公司基本账户将投标保证金汇至以下指定账户：</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11" w:name="单据名称3"/>
            <w:r>
              <w:rPr>
                <w:rFonts w:hint="eastAsia" w:ascii="宋体" w:hAnsi="宋体" w:eastAsia="宋体" w:cs="宋体"/>
                <w:i w:val="0"/>
                <w:iCs w:val="0"/>
                <w:color w:val="auto"/>
                <w:sz w:val="21"/>
                <w:szCs w:val="21"/>
                <w:highlight w:val="none"/>
                <w:u w:val="single"/>
              </w:rPr>
              <w:t>渝湘复线高速公路项目隧道照明策略设计服务采购</w:t>
            </w:r>
            <w:bookmarkEnd w:id="111"/>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3、若本项目“第一次”采购失败，采购人发布“第二次”采购后，报价人可沿用“第一次”采购递交的投标保证金，无需重复递交投标保证金。</w:t>
            </w:r>
          </w:p>
          <w:p>
            <w:pPr>
              <w:pStyle w:val="150"/>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12" w:name="是否提供履约保证金"/>
            <w:r>
              <w:rPr>
                <w:rFonts w:hint="eastAsia" w:hAnsi="宋体" w:cs="宋体"/>
                <w:b w:val="0"/>
                <w:bCs w:val="0"/>
                <w:color w:val="auto"/>
                <w:kern w:val="0"/>
                <w:sz w:val="21"/>
                <w:szCs w:val="18"/>
                <w:highlight w:val="none"/>
                <w:lang w:val="en-US" w:eastAsia="zh-CN" w:bidi="ar"/>
              </w:rPr>
              <w:t>否</w:t>
            </w:r>
            <w:bookmarkEnd w:id="112"/>
          </w:p>
          <w:p>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13" w:name="履约保证金"/>
            <w:bookmarkEnd w:id="113"/>
          </w:p>
          <w:p>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14" w:name="单据名称4"/>
            <w:r>
              <w:rPr>
                <w:rFonts w:hint="eastAsia" w:ascii="宋体" w:hAnsi="宋体" w:eastAsia="宋体" w:cs="宋体"/>
                <w:i w:val="0"/>
                <w:iCs w:val="0"/>
                <w:color w:val="auto"/>
                <w:sz w:val="21"/>
                <w:szCs w:val="21"/>
                <w:highlight w:val="none"/>
                <w:u w:val="single"/>
              </w:rPr>
              <w:t>渝湘复线高速公路项目隧道照明策略设计服务采购</w:t>
            </w:r>
            <w:bookmarkEnd w:id="114"/>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50"/>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15" w:name="是否提供低价风险担保金"/>
            <w:r>
              <w:rPr>
                <w:rFonts w:hint="eastAsia" w:ascii="宋体" w:hAnsi="宋体" w:cs="宋体"/>
                <w:b w:val="0"/>
                <w:bCs w:val="0"/>
                <w:color w:val="auto"/>
                <w:kern w:val="0"/>
                <w:sz w:val="21"/>
                <w:szCs w:val="18"/>
                <w:highlight w:val="none"/>
                <w:lang w:val="en-US" w:eastAsia="zh-CN" w:bidi="ar"/>
              </w:rPr>
              <w:t>否</w:t>
            </w:r>
            <w:bookmarkEnd w:id="115"/>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50"/>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50"/>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50"/>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pPr>
              <w:pStyle w:val="150"/>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50"/>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50"/>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rPr>
            </w:pPr>
            <w:r>
              <w:rPr>
                <w:rFonts w:hint="eastAsia" w:ascii="宋体" w:hAnsi="宋体" w:cs="宋体"/>
                <w:color w:val="auto"/>
                <w:kern w:val="0"/>
                <w:szCs w:val="21"/>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rPr>
              <w:t>”</w:t>
            </w:r>
            <w:r>
              <w:rPr>
                <w:rFonts w:hint="eastAsia" w:ascii="宋体" w:hAnsi="宋体" w:cs="宋体"/>
                <w:color w:val="auto"/>
                <w:szCs w:val="21"/>
                <w:highlight w:val="none"/>
              </w:rPr>
              <w:t>封袋</w:t>
            </w:r>
            <w:r>
              <w:rPr>
                <w:rFonts w:hint="eastAsia" w:ascii="宋体" w:hAnsi="宋体" w:cs="宋体"/>
                <w:color w:val="auto"/>
                <w:kern w:val="0"/>
                <w:szCs w:val="21"/>
              </w:rPr>
              <w:t>写明以下内容：</w:t>
            </w:r>
          </w:p>
          <w:tbl>
            <w:tblPr>
              <w:tblStyle w:val="43"/>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rPr>
                  </w:pPr>
                  <w:r>
                    <w:rPr>
                      <w:rFonts w:hint="eastAsia" w:ascii="宋体" w:hAnsi="宋体" w:cs="宋体"/>
                      <w:color w:val="auto"/>
                      <w:kern w:val="0"/>
                      <w:szCs w:val="21"/>
                      <w:lang w:eastAsia="zh-CN"/>
                    </w:rPr>
                    <w:t>采购人</w:t>
                  </w:r>
                  <w:r>
                    <w:rPr>
                      <w:rFonts w:hint="eastAsia" w:ascii="宋体" w:hAnsi="宋体" w:cs="宋体"/>
                      <w:color w:val="auto"/>
                      <w:kern w:val="0"/>
                      <w:szCs w:val="21"/>
                    </w:rPr>
                    <w:t>名称：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rPr>
                  </w:pPr>
                  <w:r>
                    <w:rPr>
                      <w:rFonts w:hint="eastAsia" w:ascii="宋体" w:hAnsi="宋体" w:cs="宋体"/>
                      <w:color w:val="auto"/>
                      <w:kern w:val="0"/>
                      <w:szCs w:val="21"/>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rPr>
                    <w:t>文件</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报价</w:t>
                  </w:r>
                  <w:r>
                    <w:rPr>
                      <w:rFonts w:hint="eastAsia" w:ascii="宋体" w:hAnsi="宋体" w:cs="宋体"/>
                      <w:color w:val="auto"/>
                      <w:kern w:val="0"/>
                      <w:szCs w:val="21"/>
                    </w:rPr>
                    <w:t>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（加盖</w:t>
                  </w:r>
                  <w:r>
                    <w:rPr>
                      <w:rFonts w:hint="eastAsia" w:ascii="宋体" w:hAnsi="宋体" w:cs="宋体"/>
                      <w:color w:val="auto"/>
                      <w:kern w:val="0"/>
                      <w:szCs w:val="21"/>
                      <w:lang w:val="en-US" w:eastAsia="zh-CN"/>
                    </w:rPr>
                    <w:t>报价</w:t>
                  </w:r>
                  <w:r>
                    <w:rPr>
                      <w:rFonts w:hint="eastAsia" w:ascii="宋体" w:hAnsi="宋体" w:cs="宋体"/>
                      <w:color w:val="auto"/>
                      <w:kern w:val="0"/>
                      <w:szCs w:val="21"/>
                    </w:rPr>
                    <w:t>人单位</w:t>
                  </w:r>
                  <w:r>
                    <w:rPr>
                      <w:rFonts w:hint="eastAsia" w:ascii="宋体" w:hAnsi="宋体" w:cs="宋体"/>
                      <w:color w:val="auto"/>
                      <w:kern w:val="0"/>
                      <w:szCs w:val="21"/>
                      <w:lang w:val="en-US" w:eastAsia="zh-CN"/>
                    </w:rPr>
                    <w:t>公</w:t>
                  </w:r>
                  <w:r>
                    <w:rPr>
                      <w:rFonts w:hint="eastAsia" w:ascii="宋体" w:hAnsi="宋体" w:cs="宋体"/>
                      <w:color w:val="auto"/>
                      <w:kern w:val="0"/>
                      <w:szCs w:val="21"/>
                    </w:rPr>
                    <w:t>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rPr>
                  </w:pPr>
                  <w:r>
                    <w:rPr>
                      <w:rFonts w:hint="eastAsia" w:ascii="宋体" w:hAnsi="宋体" w:cs="宋体"/>
                      <w:color w:val="auto"/>
                      <w:kern w:val="0"/>
                      <w:szCs w:val="21"/>
                    </w:rPr>
                    <w:t>在</w:t>
                  </w:r>
                  <w:r>
                    <w:rPr>
                      <w:rFonts w:hint="eastAsia" w:ascii="宋体" w:hAnsi="宋体" w:cs="宋体"/>
                      <w:color w:val="auto"/>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rPr>
                    <w:t>）前不得开启</w:t>
                  </w:r>
                </w:p>
              </w:tc>
            </w:tr>
          </w:tbl>
          <w:p>
            <w:pPr>
              <w:pStyle w:val="150"/>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50"/>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50"/>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50"/>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50"/>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50"/>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pPr>
              <w:pStyle w:val="150"/>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50"/>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pPr>
              <w:pStyle w:val="150"/>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50"/>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pPr>
              <w:pStyle w:val="150"/>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pPr>
              <w:pStyle w:val="150"/>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50"/>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06"/>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6" w:name="_Hlt227984024"/>
      <w:bookmarkEnd w:id="116"/>
    </w:p>
    <w:p>
      <w:pPr>
        <w:pStyle w:val="4"/>
        <w:jc w:val="center"/>
        <w:rPr>
          <w:rFonts w:ascii="宋体" w:hAnsi="宋体" w:eastAsia="宋体" w:cs="宋体"/>
          <w:bCs w:val="0"/>
          <w:color w:val="auto"/>
          <w:sz w:val="28"/>
          <w:szCs w:val="28"/>
          <w:highlight w:val="none"/>
        </w:rPr>
      </w:pPr>
      <w:bookmarkStart w:id="117" w:name="_Toc17532"/>
      <w:bookmarkStart w:id="118" w:name="_Toc30198"/>
      <w:bookmarkStart w:id="119" w:name="_Toc11329222"/>
      <w:bookmarkStart w:id="120" w:name="_Toc11284"/>
      <w:bookmarkStart w:id="121" w:name="_Toc21580"/>
      <w:r>
        <w:rPr>
          <w:rFonts w:hint="eastAsia" w:ascii="宋体" w:hAnsi="宋体" w:eastAsia="宋体" w:cs="宋体"/>
          <w:color w:val="auto"/>
          <w:sz w:val="28"/>
          <w:szCs w:val="28"/>
          <w:highlight w:val="none"/>
        </w:rPr>
        <w:t xml:space="preserve">附录1  </w:t>
      </w:r>
      <w:bookmarkEnd w:id="117"/>
      <w:bookmarkEnd w:id="118"/>
      <w:bookmarkEnd w:id="119"/>
      <w:bookmarkEnd w:id="120"/>
      <w:bookmarkStart w:id="122" w:name="_Toc11329226"/>
      <w:bookmarkStart w:id="123" w:name="_Toc27096"/>
      <w:bookmarkStart w:id="124" w:name="_Toc12773"/>
      <w:bookmarkStart w:id="125" w:name="_Toc25591"/>
      <w:r>
        <w:rPr>
          <w:rFonts w:hint="eastAsia" w:ascii="宋体" w:hAnsi="宋体" w:eastAsia="宋体" w:cs="宋体"/>
          <w:bCs w:val="0"/>
          <w:color w:val="auto"/>
          <w:sz w:val="28"/>
          <w:szCs w:val="28"/>
          <w:highlight w:val="none"/>
        </w:rPr>
        <w:t>报价人资格要求</w:t>
      </w:r>
      <w:bookmarkEnd w:id="121"/>
      <w:bookmarkEnd w:id="122"/>
      <w:bookmarkEnd w:id="123"/>
      <w:bookmarkEnd w:id="124"/>
      <w:bookmarkEnd w:id="125"/>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26" w:name="_Toc387234996"/>
            <w:bookmarkStart w:id="127"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bookmarkStart w:id="128" w:name="资质要求1"/>
            <w:r>
              <w:rPr>
                <w:rFonts w:hint="eastAsia" w:ascii="宋体" w:hAnsi="宋体" w:eastAsia="宋体" w:cs="宋体"/>
                <w:i w:val="0"/>
                <w:iCs w:val="0"/>
                <w:caps w:val="0"/>
                <w:color w:val="auto"/>
                <w:spacing w:val="0"/>
                <w:sz w:val="21"/>
                <w:szCs w:val="21"/>
                <w:highlight w:val="none"/>
                <w:shd w:val="clear" w:fill="FCFCFC"/>
              </w:rPr>
              <w:t>1.具有独立法人资格，具有有效营业执照。 2.具备工程设计综合甲级资质或公路行业甲级资质。</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129" w:name="业绩要求1"/>
            <w:r>
              <w:rPr>
                <w:rFonts w:hint="eastAsia" w:ascii="宋体" w:hAnsi="宋体" w:eastAsia="宋体" w:cs="宋体"/>
                <w:color w:val="auto"/>
                <w:sz w:val="21"/>
                <w:szCs w:val="21"/>
                <w:highlight w:val="none"/>
                <w:lang w:val="en-US" w:eastAsia="zh-CN"/>
              </w:rPr>
              <w:t>在2022年1月1日至投标截止时间止(以合同签订时间为准)至少承担一项合同金额50万以上高速公路含机电工程的设计业绩。</w:t>
            </w:r>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30" w:name="主要管理人员要求"/>
            <w:r>
              <w:rPr>
                <w:rFonts w:hint="eastAsia" w:ascii="宋体" w:hAnsi="宋体" w:eastAsia="宋体" w:cs="宋体"/>
                <w:color w:val="auto"/>
                <w:sz w:val="21"/>
                <w:szCs w:val="21"/>
                <w:highlight w:val="none"/>
                <w:lang w:val="en-US" w:eastAsia="zh-CN"/>
              </w:rPr>
              <w:t>项目负责人1名，具有交通工程或机电工程或电气工程高级工程师及以上技术职称；技术负责人1人，具备机电工程或电气工程高级工程师及以上技术职称。</w:t>
            </w:r>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31" w:name="其他人员要求"/>
            <w:r>
              <w:rPr>
                <w:rFonts w:hint="eastAsia" w:ascii="宋体" w:hAnsi="宋体" w:cs="宋体"/>
                <w:b w:val="0"/>
                <w:bCs w:val="0"/>
                <w:color w:val="auto"/>
                <w:szCs w:val="21"/>
                <w:highlight w:val="none"/>
                <w:lang w:val="en-US" w:eastAsia="zh-CN"/>
              </w:rPr>
              <w:t>团队其它成员4人。</w:t>
            </w:r>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3.提供参与项目人员名单，项目经理及技术负责人提供相应职称证书、身份证复印件以及2025年4月至-6月社保证明复印件，并盖单位公章，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4.信誉要求报价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bookmarkEnd w:id="126"/>
    <w:bookmarkEnd w:id="127"/>
    <w:p>
      <w:pPr>
        <w:rPr>
          <w:rFonts w:ascii="宋体" w:hAnsi="宋体" w:cs="宋体"/>
          <w:color w:val="auto"/>
          <w:highlight w:val="none"/>
        </w:rPr>
      </w:pPr>
    </w:p>
    <w:p>
      <w:pPr>
        <w:pStyle w:val="16"/>
        <w:rPr>
          <w:rFonts w:ascii="宋体" w:hAnsi="宋体" w:cs="宋体"/>
          <w:color w:val="auto"/>
          <w:highlight w:val="none"/>
        </w:rPr>
      </w:pPr>
    </w:p>
    <w:p>
      <w:pPr>
        <w:rPr>
          <w:rFonts w:ascii="宋体" w:hAnsi="宋体" w:cs="宋体"/>
          <w:color w:val="auto"/>
          <w:highlight w:val="none"/>
        </w:rPr>
      </w:pPr>
    </w:p>
    <w:p>
      <w:pPr>
        <w:pStyle w:val="16"/>
        <w:rPr>
          <w:rFonts w:ascii="宋体" w:hAnsi="宋体" w:cs="宋体"/>
          <w:color w:val="auto"/>
          <w:highlight w:val="none"/>
        </w:rPr>
      </w:pPr>
    </w:p>
    <w:p>
      <w:pPr>
        <w:rPr>
          <w:rFonts w:ascii="宋体" w:hAnsi="宋体" w:cs="宋体"/>
          <w:color w:val="auto"/>
          <w:highlight w:val="none"/>
        </w:rPr>
      </w:pPr>
    </w:p>
    <w:p>
      <w:pPr>
        <w:pStyle w:val="16"/>
        <w:rPr>
          <w:rFonts w:ascii="宋体" w:hAnsi="宋体" w:cs="宋体"/>
          <w:color w:val="auto"/>
          <w:highlight w:val="none"/>
        </w:rPr>
      </w:pPr>
    </w:p>
    <w:p>
      <w:pPr>
        <w:rPr>
          <w:rFonts w:ascii="宋体" w:hAnsi="宋体" w:cs="宋体"/>
          <w:color w:val="auto"/>
          <w:highlight w:val="none"/>
        </w:rPr>
      </w:pPr>
    </w:p>
    <w:p>
      <w:pPr>
        <w:pStyle w:val="16"/>
        <w:rPr>
          <w:rFonts w:ascii="宋体" w:hAnsi="宋体" w:cs="宋体"/>
          <w:color w:val="auto"/>
          <w:highlight w:val="none"/>
        </w:rPr>
      </w:pPr>
    </w:p>
    <w:p>
      <w:pPr>
        <w:rPr>
          <w:color w:val="auto"/>
          <w:highlight w:val="none"/>
        </w:rPr>
      </w:pPr>
      <w:r>
        <w:rPr>
          <w:color w:val="auto"/>
          <w:highlight w:val="none"/>
        </w:rPr>
        <w:br w:type="page"/>
      </w:r>
    </w:p>
    <w:p>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32" w:name="_Toc31719"/>
      <w:bookmarkStart w:id="133" w:name="_Toc31054"/>
      <w:r>
        <w:rPr>
          <w:rFonts w:hint="eastAsia" w:ascii="宋体" w:hAnsi="宋体" w:cs="宋体"/>
          <w:color w:val="auto"/>
          <w:highlight w:val="none"/>
        </w:rPr>
        <w:t>评标办法（综合评估法）</w:t>
      </w:r>
      <w:bookmarkEnd w:id="132"/>
      <w:bookmarkEnd w:id="133"/>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970" w:type="dxa"/>
            <w:gridSpan w:val="3"/>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主要管理人员要求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其他人员要求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pPr>
              <w:keepNext w:val="0"/>
              <w:keepLines/>
              <w:pageBreakBefore w:val="0"/>
              <w:kinsoku/>
              <w:wordWrap/>
              <w:overflowPunct/>
              <w:topLinePunct w:val="0"/>
              <w:bidi w:val="0"/>
              <w:adjustRightInd w:val="0"/>
              <w:snapToGrid w:val="0"/>
              <w:spacing w:beforeAutospacing="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pPr>
              <w:pStyle w:val="121"/>
              <w:keepNext w:val="0"/>
              <w:pageBreakBefore w:val="0"/>
              <w:kinsoku/>
              <w:wordWrap/>
              <w:overflowPunct/>
              <w:topLinePunct w:val="0"/>
              <w:bidi w:val="0"/>
              <w:adjustRightInd w:val="0"/>
              <w:spacing w:beforeAutospacing="0" w:line="40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pPr>
              <w:keepNext w:val="0"/>
              <w:pageBreakBefore w:val="0"/>
              <w:kinsoku/>
              <w:wordWrap/>
              <w:overflowPunct/>
              <w:topLinePunct w:val="0"/>
              <w:bidi w:val="0"/>
              <w:spacing w:beforeAutospacing="0"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3"/>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adjustRightInd w:val="0"/>
              <w:snapToGrid w:val="0"/>
              <w:spacing w:beforeAutospacing="0"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pPr>
              <w:keepNext w:val="0"/>
              <w:pageBreakBefore w:val="0"/>
              <w:kinsoku/>
              <w:wordWrap/>
              <w:overflowPunct/>
              <w:topLinePunct w:val="0"/>
              <w:bidi w:val="0"/>
              <w:spacing w:beforeAutospacing="0" w:line="40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p>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p>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p>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p>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p>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p>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p>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客观评分：评标委员会按以下各评审因素设定的分值进行评分且保证分值统一；主观评分：评标委员会成员为5人及以上时，所有评委评分算术平均值为该报价人技术部分得分。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kinsoku/>
              <w:wordWrap/>
              <w:overflowPunct/>
              <w:topLinePunct w:val="0"/>
              <w:autoSpaceDE w:val="0"/>
              <w:autoSpaceDN w:val="0"/>
              <w:bidi w:val="0"/>
              <w:spacing w:beforeAutospacing="0" w:line="400" w:lineRule="exact"/>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总体方案（4分）</w:t>
            </w: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对比选文件设计的理解和总体设计思路。</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宋体" w:hAnsi="宋体" w:eastAsia="宋体" w:cs="宋体"/>
                <w:b w:val="0"/>
                <w:bCs w:val="0"/>
                <w:kern w:val="2"/>
                <w:sz w:val="21"/>
                <w:szCs w:val="21"/>
              </w:rPr>
              <w:t>根据</w:t>
            </w:r>
            <w:r>
              <w:rPr>
                <w:rFonts w:hint="eastAsia" w:ascii="宋体" w:hAnsi="宋体" w:eastAsia="宋体" w:cs="宋体"/>
                <w:b w:val="0"/>
                <w:bCs w:val="0"/>
                <w:kern w:val="2"/>
                <w:sz w:val="21"/>
                <w:szCs w:val="21"/>
                <w:lang w:val="en-US" w:eastAsia="zh-CN"/>
              </w:rPr>
              <w:t>总体设计思路</w:t>
            </w:r>
            <w:r>
              <w:rPr>
                <w:rFonts w:hint="eastAsia" w:ascii="宋体" w:hAnsi="宋体" w:eastAsia="宋体" w:cs="宋体"/>
                <w:b w:val="0"/>
                <w:bCs w:val="0"/>
                <w:kern w:val="2"/>
                <w:sz w:val="21"/>
                <w:szCs w:val="21"/>
              </w:rPr>
              <w:t>合理性进行评分，</w:t>
            </w:r>
            <w:r>
              <w:rPr>
                <w:rFonts w:hint="eastAsia" w:ascii="宋体" w:hAnsi="宋体" w:eastAsia="宋体" w:cs="宋体"/>
                <w:b w:val="0"/>
                <w:bCs w:val="0"/>
                <w:kern w:val="2"/>
                <w:sz w:val="21"/>
                <w:szCs w:val="21"/>
                <w:lang w:eastAsia="zh-CN"/>
              </w:rPr>
              <w:t>总体设计思路</w:t>
            </w:r>
            <w:r>
              <w:rPr>
                <w:rFonts w:hint="eastAsia" w:ascii="宋体" w:hAnsi="宋体" w:eastAsia="宋体" w:cs="宋体"/>
                <w:b w:val="0"/>
                <w:bCs w:val="0"/>
                <w:kern w:val="2"/>
                <w:sz w:val="21"/>
                <w:szCs w:val="21"/>
              </w:rPr>
              <w:t>合理可实施性强得4~3.2分，</w:t>
            </w:r>
            <w:r>
              <w:rPr>
                <w:rFonts w:hint="eastAsia" w:ascii="宋体" w:hAnsi="宋体" w:eastAsia="宋体" w:cs="宋体"/>
                <w:b w:val="0"/>
                <w:bCs w:val="0"/>
                <w:kern w:val="2"/>
                <w:sz w:val="21"/>
                <w:szCs w:val="21"/>
                <w:lang w:eastAsia="zh-CN"/>
              </w:rPr>
              <w:t>总体设计思路</w:t>
            </w:r>
            <w:r>
              <w:rPr>
                <w:rFonts w:hint="eastAsia" w:ascii="宋体" w:hAnsi="宋体" w:eastAsia="宋体" w:cs="宋体"/>
                <w:b w:val="0"/>
                <w:bCs w:val="0"/>
                <w:kern w:val="2"/>
                <w:sz w:val="21"/>
                <w:szCs w:val="21"/>
              </w:rPr>
              <w:t>较合理可实施性较强得3.2~2.4分，</w:t>
            </w:r>
            <w:r>
              <w:rPr>
                <w:rFonts w:hint="eastAsia" w:ascii="宋体" w:hAnsi="宋体" w:eastAsia="宋体" w:cs="宋体"/>
                <w:b w:val="0"/>
                <w:bCs w:val="0"/>
                <w:kern w:val="2"/>
                <w:sz w:val="21"/>
                <w:szCs w:val="21"/>
                <w:lang w:eastAsia="zh-CN"/>
              </w:rPr>
              <w:t>总体设计思路</w:t>
            </w:r>
            <w:r>
              <w:rPr>
                <w:rFonts w:hint="eastAsia" w:ascii="宋体" w:hAnsi="宋体" w:eastAsia="宋体" w:cs="宋体"/>
                <w:b w:val="0"/>
                <w:bCs w:val="0"/>
                <w:kern w:val="2"/>
                <w:sz w:val="21"/>
                <w:szCs w:val="21"/>
              </w:rPr>
              <w:t>不合理可实施性差得2.4~0分。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pStyle w:val="28"/>
              <w:keepNext w:val="0"/>
              <w:pageBreakBefore w:val="0"/>
              <w:tabs>
                <w:tab w:val="right" w:leader="dot" w:pos="9174"/>
              </w:tabs>
              <w:kinsoku/>
              <w:wordWrap/>
              <w:overflowPunct/>
              <w:topLinePunct w:val="0"/>
              <w:bidi w:val="0"/>
              <w:spacing w:before="0" w:beforeAutospacing="0" w:after="0" w:line="400" w:lineRule="exact"/>
              <w:jc w:val="center"/>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设计策略（4分）</w:t>
            </w:r>
          </w:p>
        </w:tc>
        <w:tc>
          <w:tcPr>
            <w:tcW w:w="6280" w:type="dxa"/>
            <w:gridSpan w:val="2"/>
            <w:tcBorders>
              <w:top w:val="single" w:color="auto" w:sz="4" w:space="0"/>
              <w:left w:val="single" w:color="auto" w:sz="4" w:space="0"/>
              <w:bottom w:val="single" w:color="auto" w:sz="4" w:space="0"/>
              <w:right w:val="single" w:color="auto" w:sz="4" w:space="0"/>
            </w:tcBorders>
            <w:vAlign w:val="center"/>
          </w:tcPr>
          <w:p>
            <w:pPr>
              <w:pStyle w:val="121"/>
              <w:keepNext w:val="0"/>
              <w:pageBreakBefore w:val="0"/>
              <w:kinsoku/>
              <w:wordWrap/>
              <w:overflowPunct/>
              <w:topLinePunct w:val="0"/>
              <w:bidi w:val="0"/>
              <w:adjustRightInd w:val="0"/>
              <w:spacing w:beforeAutospacing="0" w:line="400" w:lineRule="exact"/>
              <w:textAlignment w:val="baseline"/>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对项目的特点及关键问题的对策。根据对项目特点、关键技术问题的把握程度和设计应着重解决的技术问题所提出处理措施的可行性程度进行评分。</w:t>
            </w:r>
          </w:p>
          <w:p>
            <w:pPr>
              <w:pStyle w:val="121"/>
              <w:keepNext w:val="0"/>
              <w:pageBreakBefore w:val="0"/>
              <w:kinsoku/>
              <w:wordWrap/>
              <w:overflowPunct/>
              <w:topLinePunct w:val="0"/>
              <w:bidi w:val="0"/>
              <w:adjustRightInd w:val="0"/>
              <w:spacing w:beforeAutospacing="0" w:line="400" w:lineRule="exact"/>
              <w:textAlignment w:val="baseline"/>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宋体" w:hAnsi="宋体" w:cs="宋体"/>
                <w:szCs w:val="21"/>
              </w:rPr>
              <w:t>根据</w:t>
            </w:r>
            <w:r>
              <w:rPr>
                <w:rFonts w:hint="eastAsia" w:ascii="宋体" w:hAnsi="宋体" w:cs="宋体"/>
                <w:color w:val="000000"/>
                <w:kern w:val="0"/>
                <w:szCs w:val="21"/>
                <w:lang w:eastAsia="zh-CN"/>
              </w:rPr>
              <w:t>设计策略</w:t>
            </w:r>
            <w:r>
              <w:rPr>
                <w:rFonts w:hint="eastAsia" w:ascii="宋体" w:hAnsi="宋体" w:cs="宋体"/>
                <w:szCs w:val="21"/>
              </w:rPr>
              <w:t>合理性进行评分，</w:t>
            </w:r>
            <w:r>
              <w:rPr>
                <w:rFonts w:hint="eastAsia" w:ascii="宋体" w:hAnsi="宋体" w:cs="宋体"/>
                <w:color w:val="000000"/>
                <w:kern w:val="0"/>
                <w:szCs w:val="21"/>
                <w:lang w:eastAsia="zh-CN"/>
              </w:rPr>
              <w:t>设计策略</w:t>
            </w:r>
            <w:r>
              <w:rPr>
                <w:rFonts w:hint="eastAsia" w:ascii="宋体" w:hAnsi="宋体" w:cs="宋体"/>
                <w:szCs w:val="21"/>
              </w:rPr>
              <w:t>合理可实施性强得4~3.2分，</w:t>
            </w:r>
            <w:r>
              <w:rPr>
                <w:rFonts w:hint="eastAsia" w:ascii="宋体" w:hAnsi="宋体" w:cs="宋体"/>
                <w:color w:val="000000"/>
                <w:kern w:val="0"/>
                <w:szCs w:val="21"/>
                <w:lang w:eastAsia="zh-CN"/>
              </w:rPr>
              <w:t>设计策略</w:t>
            </w:r>
            <w:r>
              <w:rPr>
                <w:rFonts w:hint="eastAsia" w:ascii="宋体" w:hAnsi="宋体" w:cs="宋体"/>
                <w:szCs w:val="21"/>
              </w:rPr>
              <w:t>较合理可实施性较强得3.2~2.4分，</w:t>
            </w:r>
            <w:r>
              <w:rPr>
                <w:rFonts w:hint="eastAsia" w:ascii="宋体" w:hAnsi="宋体" w:cs="宋体"/>
                <w:color w:val="000000"/>
                <w:kern w:val="0"/>
                <w:szCs w:val="21"/>
                <w:lang w:eastAsia="zh-CN"/>
              </w:rPr>
              <w:t>设计策略</w:t>
            </w:r>
            <w:r>
              <w:rPr>
                <w:rFonts w:hint="eastAsia" w:ascii="宋体" w:hAnsi="宋体" w:cs="宋体"/>
                <w:szCs w:val="21"/>
              </w:rPr>
              <w:t>不合理可实施性差得2.4~0分。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pStyle w:val="28"/>
              <w:keepNext w:val="0"/>
              <w:pageBreakBefore w:val="0"/>
              <w:tabs>
                <w:tab w:val="right" w:leader="dot" w:pos="9174"/>
              </w:tabs>
              <w:kinsoku/>
              <w:wordWrap/>
              <w:overflowPunct/>
              <w:topLinePunct w:val="0"/>
              <w:bidi w:val="0"/>
              <w:spacing w:before="0" w:beforeAutospacing="0" w:after="0" w:line="400" w:lineRule="exact"/>
              <w:jc w:val="center"/>
              <w:rPr>
                <w:rFonts w:hint="default"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项目进度（4分）</w:t>
            </w:r>
          </w:p>
        </w:tc>
        <w:tc>
          <w:tcPr>
            <w:tcW w:w="6280" w:type="dxa"/>
            <w:gridSpan w:val="2"/>
            <w:tcBorders>
              <w:top w:val="single" w:color="auto" w:sz="4" w:space="0"/>
              <w:left w:val="single" w:color="auto" w:sz="4" w:space="0"/>
              <w:bottom w:val="single" w:color="auto" w:sz="4" w:space="0"/>
              <w:right w:val="single" w:color="auto" w:sz="4" w:space="0"/>
            </w:tcBorders>
            <w:vAlign w:val="center"/>
          </w:tcPr>
          <w:p>
            <w:pPr>
              <w:pStyle w:val="121"/>
              <w:keepNext w:val="0"/>
              <w:pageBreakBefore w:val="0"/>
              <w:kinsoku/>
              <w:wordWrap/>
              <w:overflowPunct/>
              <w:topLinePunct w:val="0"/>
              <w:bidi w:val="0"/>
              <w:adjustRightInd w:val="0"/>
              <w:spacing w:beforeAutospacing="0" w:line="400" w:lineRule="exact"/>
              <w:textAlignment w:val="baseline"/>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根据业主里程碑要求，对设计工作量进行合理划分并进行进度集合。根据工作计划实施、安排的合理程度进行评分。</w:t>
            </w:r>
          </w:p>
          <w:p>
            <w:pPr>
              <w:pStyle w:val="121"/>
              <w:keepNext w:val="0"/>
              <w:pageBreakBefore w:val="0"/>
              <w:kinsoku/>
              <w:wordWrap/>
              <w:overflowPunct/>
              <w:topLinePunct w:val="0"/>
              <w:bidi w:val="0"/>
              <w:adjustRightInd w:val="0"/>
              <w:spacing w:beforeAutospacing="0" w:line="400" w:lineRule="exact"/>
              <w:textAlignment w:val="baseline"/>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宋体" w:hAnsi="宋体" w:cs="宋体"/>
                <w:szCs w:val="21"/>
              </w:rPr>
              <w:t>根据</w:t>
            </w:r>
            <w:r>
              <w:rPr>
                <w:rFonts w:hint="eastAsia" w:ascii="宋体" w:hAnsi="宋体" w:cs="宋体"/>
                <w:color w:val="000000"/>
                <w:kern w:val="0"/>
                <w:szCs w:val="21"/>
                <w:lang w:eastAsia="zh-CN"/>
              </w:rPr>
              <w:t>项目进度</w:t>
            </w:r>
            <w:r>
              <w:rPr>
                <w:rFonts w:hint="eastAsia" w:ascii="宋体" w:hAnsi="宋体" w:cs="宋体"/>
                <w:szCs w:val="21"/>
              </w:rPr>
              <w:t>合理性进行评分，</w:t>
            </w:r>
            <w:r>
              <w:rPr>
                <w:rFonts w:hint="eastAsia" w:ascii="宋体" w:hAnsi="宋体" w:cs="宋体"/>
                <w:color w:val="000000"/>
                <w:kern w:val="0"/>
                <w:szCs w:val="21"/>
                <w:lang w:eastAsia="zh-CN"/>
              </w:rPr>
              <w:t>项目进度</w:t>
            </w:r>
            <w:r>
              <w:rPr>
                <w:rFonts w:hint="eastAsia" w:ascii="宋体" w:hAnsi="宋体" w:cs="宋体"/>
                <w:szCs w:val="21"/>
              </w:rPr>
              <w:t>合理可实施性强得4~3.2分，</w:t>
            </w:r>
            <w:r>
              <w:rPr>
                <w:rFonts w:hint="eastAsia" w:ascii="宋体" w:hAnsi="宋体" w:cs="宋体"/>
                <w:color w:val="000000"/>
                <w:kern w:val="0"/>
                <w:szCs w:val="21"/>
                <w:lang w:eastAsia="zh-CN"/>
              </w:rPr>
              <w:t>项目进度</w:t>
            </w:r>
            <w:r>
              <w:rPr>
                <w:rFonts w:hint="eastAsia" w:ascii="宋体" w:hAnsi="宋体" w:cs="宋体"/>
                <w:szCs w:val="21"/>
              </w:rPr>
              <w:t>较合理可实施性较强得3.2~2.4分，</w:t>
            </w:r>
            <w:r>
              <w:rPr>
                <w:rFonts w:hint="eastAsia" w:ascii="宋体" w:hAnsi="宋体" w:cs="宋体"/>
                <w:color w:val="000000"/>
                <w:kern w:val="0"/>
                <w:szCs w:val="21"/>
                <w:lang w:eastAsia="zh-CN"/>
              </w:rPr>
              <w:t>项目进度</w:t>
            </w:r>
            <w:r>
              <w:rPr>
                <w:rFonts w:hint="eastAsia" w:ascii="宋体" w:hAnsi="宋体" w:cs="宋体"/>
                <w:szCs w:val="21"/>
              </w:rPr>
              <w:t>不合理可实施性差得2.4~0分。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pStyle w:val="28"/>
              <w:keepNext w:val="0"/>
              <w:pageBreakBefore w:val="0"/>
              <w:tabs>
                <w:tab w:val="right" w:leader="dot" w:pos="9174"/>
              </w:tabs>
              <w:kinsoku/>
              <w:wordWrap/>
              <w:overflowPunct/>
              <w:topLinePunct w:val="0"/>
              <w:bidi w:val="0"/>
              <w:spacing w:before="0" w:beforeAutospacing="0" w:after="0" w:line="400" w:lineRule="exact"/>
              <w:jc w:val="center"/>
              <w:rPr>
                <w:rFonts w:hint="default"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质量保障（4分）</w:t>
            </w:r>
          </w:p>
        </w:tc>
        <w:tc>
          <w:tcPr>
            <w:tcW w:w="628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420" w:firstLineChars="200"/>
              <w:jc w:val="both"/>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根据业主对隧道照明控制的需求，提出合理的设计的质量保证措施，确保最终成果满足业主要求，构建随车流量动态调节的照明控制模型。</w:t>
            </w:r>
          </w:p>
          <w:p>
            <w:pPr>
              <w:numPr>
                <w:ilvl w:val="0"/>
                <w:numId w:val="0"/>
              </w:numPr>
              <w:spacing w:line="240" w:lineRule="auto"/>
              <w:ind w:left="0" w:leftChars="0" w:firstLine="420" w:firstLineChars="200"/>
              <w:jc w:val="both"/>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宋体" w:hAnsi="宋体" w:cs="宋体"/>
                <w:szCs w:val="21"/>
              </w:rPr>
              <w:t>根据</w:t>
            </w:r>
            <w:r>
              <w:rPr>
                <w:rFonts w:hint="eastAsia" w:ascii="宋体" w:hAnsi="宋体" w:cs="宋体"/>
                <w:color w:val="000000"/>
                <w:kern w:val="0"/>
                <w:szCs w:val="21"/>
                <w:lang w:eastAsia="zh-CN"/>
              </w:rPr>
              <w:t>质量保障</w:t>
            </w:r>
            <w:r>
              <w:rPr>
                <w:rFonts w:hint="eastAsia" w:ascii="宋体" w:hAnsi="宋体" w:cs="宋体"/>
                <w:color w:val="000000"/>
                <w:kern w:val="0"/>
                <w:szCs w:val="21"/>
              </w:rPr>
              <w:t>方案</w:t>
            </w:r>
            <w:r>
              <w:rPr>
                <w:rFonts w:hint="eastAsia" w:ascii="宋体" w:hAnsi="宋体" w:cs="宋体"/>
                <w:szCs w:val="21"/>
              </w:rPr>
              <w:t>合理性进行评分，</w:t>
            </w:r>
            <w:r>
              <w:rPr>
                <w:rFonts w:hint="eastAsia" w:ascii="宋体" w:hAnsi="宋体" w:cs="宋体"/>
                <w:color w:val="000000"/>
                <w:kern w:val="0"/>
                <w:szCs w:val="21"/>
                <w:lang w:eastAsia="zh-CN"/>
              </w:rPr>
              <w:t>质量保障</w:t>
            </w:r>
            <w:r>
              <w:rPr>
                <w:rFonts w:hint="eastAsia" w:ascii="宋体" w:hAnsi="宋体" w:cs="宋体"/>
                <w:color w:val="000000"/>
                <w:kern w:val="0"/>
                <w:szCs w:val="21"/>
              </w:rPr>
              <w:t>方案</w:t>
            </w:r>
            <w:r>
              <w:rPr>
                <w:rFonts w:hint="eastAsia" w:ascii="宋体" w:hAnsi="宋体" w:cs="宋体"/>
                <w:szCs w:val="21"/>
              </w:rPr>
              <w:t>合理可实施性强得4~3.2分，</w:t>
            </w:r>
            <w:r>
              <w:rPr>
                <w:rFonts w:hint="eastAsia" w:ascii="宋体" w:hAnsi="宋体" w:cs="宋体"/>
                <w:color w:val="000000"/>
                <w:kern w:val="0"/>
                <w:szCs w:val="21"/>
                <w:lang w:eastAsia="zh-CN"/>
              </w:rPr>
              <w:t>质量保障</w:t>
            </w:r>
            <w:r>
              <w:rPr>
                <w:rFonts w:hint="eastAsia" w:ascii="宋体" w:hAnsi="宋体" w:cs="宋体"/>
                <w:color w:val="000000"/>
                <w:kern w:val="0"/>
                <w:szCs w:val="21"/>
              </w:rPr>
              <w:t>方案</w:t>
            </w:r>
            <w:r>
              <w:rPr>
                <w:rFonts w:hint="eastAsia" w:ascii="宋体" w:hAnsi="宋体" w:cs="宋体"/>
                <w:szCs w:val="21"/>
              </w:rPr>
              <w:t>较合理可实施性较强得3.2~2.4分，</w:t>
            </w:r>
            <w:r>
              <w:rPr>
                <w:rFonts w:hint="eastAsia" w:ascii="宋体" w:hAnsi="宋体" w:cs="宋体"/>
                <w:color w:val="000000"/>
                <w:kern w:val="0"/>
                <w:szCs w:val="21"/>
                <w:lang w:eastAsia="zh-CN"/>
              </w:rPr>
              <w:t>质量保障</w:t>
            </w:r>
            <w:r>
              <w:rPr>
                <w:rFonts w:hint="eastAsia" w:ascii="宋体" w:hAnsi="宋体" w:cs="宋体"/>
                <w:color w:val="000000"/>
                <w:kern w:val="0"/>
                <w:szCs w:val="21"/>
              </w:rPr>
              <w:t>方案</w:t>
            </w:r>
            <w:r>
              <w:rPr>
                <w:rFonts w:hint="eastAsia" w:ascii="宋体" w:hAnsi="宋体" w:cs="宋体"/>
                <w:szCs w:val="21"/>
              </w:rPr>
              <w:t>不合理可实施性差得2.4~0分。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pStyle w:val="28"/>
              <w:keepNext w:val="0"/>
              <w:pageBreakBefore w:val="0"/>
              <w:tabs>
                <w:tab w:val="right" w:leader="dot" w:pos="9174"/>
              </w:tabs>
              <w:kinsoku/>
              <w:wordWrap/>
              <w:overflowPunct/>
              <w:topLinePunct w:val="0"/>
              <w:bidi w:val="0"/>
              <w:spacing w:before="0" w:beforeAutospacing="0" w:after="0" w:line="400" w:lineRule="exact"/>
              <w:jc w:val="center"/>
              <w:rPr>
                <w:rFonts w:hint="default"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售后保障（4分）</w:t>
            </w:r>
          </w:p>
        </w:tc>
        <w:tc>
          <w:tcPr>
            <w:tcW w:w="628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420" w:firstLineChars="200"/>
              <w:jc w:val="both"/>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后续根据车流、光照等情况动态调整策略，服务到期移交成果后的可持续调整性的相关保障措施。</w:t>
            </w:r>
          </w:p>
          <w:p>
            <w:pPr>
              <w:numPr>
                <w:ilvl w:val="0"/>
                <w:numId w:val="0"/>
              </w:numPr>
              <w:spacing w:line="240" w:lineRule="auto"/>
              <w:ind w:left="0" w:leftChars="0" w:firstLine="420" w:firstLineChars="200"/>
              <w:jc w:val="both"/>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宋体" w:hAnsi="宋体" w:cs="宋体"/>
                <w:szCs w:val="21"/>
              </w:rPr>
              <w:t>根据</w:t>
            </w:r>
            <w:r>
              <w:rPr>
                <w:rFonts w:hint="eastAsia" w:ascii="宋体" w:hAnsi="宋体" w:cs="宋体"/>
                <w:color w:val="000000"/>
                <w:kern w:val="0"/>
                <w:szCs w:val="21"/>
                <w:lang w:eastAsia="zh-CN"/>
              </w:rPr>
              <w:t>售后保障</w:t>
            </w:r>
            <w:r>
              <w:rPr>
                <w:rFonts w:hint="eastAsia" w:ascii="宋体" w:hAnsi="宋体" w:cs="宋体"/>
                <w:color w:val="000000"/>
                <w:kern w:val="0"/>
                <w:szCs w:val="21"/>
              </w:rPr>
              <w:t>方案</w:t>
            </w:r>
            <w:r>
              <w:rPr>
                <w:rFonts w:hint="eastAsia" w:ascii="宋体" w:hAnsi="宋体" w:cs="宋体"/>
                <w:szCs w:val="21"/>
              </w:rPr>
              <w:t>合理性进行评分，</w:t>
            </w:r>
            <w:r>
              <w:rPr>
                <w:rFonts w:hint="eastAsia" w:ascii="宋体" w:hAnsi="宋体" w:cs="宋体"/>
                <w:color w:val="000000"/>
                <w:kern w:val="0"/>
                <w:szCs w:val="21"/>
                <w:lang w:eastAsia="zh-CN"/>
              </w:rPr>
              <w:t>售后保障</w:t>
            </w:r>
            <w:r>
              <w:rPr>
                <w:rFonts w:hint="eastAsia" w:ascii="宋体" w:hAnsi="宋体" w:cs="宋体"/>
                <w:color w:val="000000"/>
                <w:kern w:val="0"/>
                <w:szCs w:val="21"/>
              </w:rPr>
              <w:t>方案</w:t>
            </w:r>
            <w:r>
              <w:rPr>
                <w:rFonts w:hint="eastAsia" w:ascii="宋体" w:hAnsi="宋体" w:cs="宋体"/>
                <w:szCs w:val="21"/>
              </w:rPr>
              <w:t>合理可实施性强得4~3.2分，</w:t>
            </w:r>
            <w:r>
              <w:rPr>
                <w:rFonts w:hint="eastAsia" w:ascii="宋体" w:hAnsi="宋体" w:cs="宋体"/>
                <w:color w:val="000000"/>
                <w:kern w:val="0"/>
                <w:szCs w:val="21"/>
                <w:lang w:eastAsia="zh-CN"/>
              </w:rPr>
              <w:t>售后保障</w:t>
            </w:r>
            <w:r>
              <w:rPr>
                <w:rFonts w:hint="eastAsia" w:ascii="宋体" w:hAnsi="宋体" w:cs="宋体"/>
                <w:color w:val="000000"/>
                <w:kern w:val="0"/>
                <w:szCs w:val="21"/>
              </w:rPr>
              <w:t>方案</w:t>
            </w:r>
            <w:r>
              <w:rPr>
                <w:rFonts w:hint="eastAsia" w:ascii="宋体" w:hAnsi="宋体" w:cs="宋体"/>
                <w:szCs w:val="21"/>
              </w:rPr>
              <w:t>较合理可实施性较强得3.2~2.4分，</w:t>
            </w:r>
            <w:r>
              <w:rPr>
                <w:rFonts w:hint="eastAsia" w:ascii="宋体" w:hAnsi="宋体" w:cs="宋体"/>
                <w:color w:val="000000"/>
                <w:kern w:val="0"/>
                <w:szCs w:val="21"/>
                <w:lang w:eastAsia="zh-CN"/>
              </w:rPr>
              <w:t>售后保障</w:t>
            </w:r>
            <w:r>
              <w:rPr>
                <w:rFonts w:hint="eastAsia" w:ascii="宋体" w:hAnsi="宋体" w:cs="宋体"/>
                <w:color w:val="000000"/>
                <w:kern w:val="0"/>
                <w:szCs w:val="21"/>
              </w:rPr>
              <w:t>方案</w:t>
            </w:r>
            <w:r>
              <w:rPr>
                <w:rFonts w:hint="eastAsia" w:ascii="宋体" w:hAnsi="宋体" w:cs="宋体"/>
                <w:szCs w:val="21"/>
              </w:rPr>
              <w:t>不合理可实施性差得2.4~0分。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hint="eastAsia" w:asciiTheme="minorEastAsia" w:hAnsiTheme="minorEastAsia" w:eastAsiaTheme="minorEastAsia" w:cstheme="minorEastAsia"/>
                <w:bCs/>
                <w:color w:val="auto"/>
                <w:szCs w:val="21"/>
                <w:highlight w:val="none"/>
                <w:lang w:bidi="ar"/>
              </w:rPr>
            </w:pP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w:t>
            </w:r>
            <w:r>
              <w:rPr>
                <w:rFonts w:hint="eastAsia" w:asciiTheme="minorEastAsia" w:hAnsiTheme="minorEastAsia" w:eastAsiaTheme="minorEastAsia" w:cstheme="minorEastAsia"/>
                <w:bCs/>
                <w:color w:val="auto"/>
                <w:szCs w:val="21"/>
                <w:highlight w:val="none"/>
                <w:lang w:val="en-US" w:eastAsia="zh-CN" w:bidi="ar"/>
              </w:rPr>
              <w:t>2</w:t>
            </w:r>
            <w:r>
              <w:rPr>
                <w:rFonts w:hint="eastAsia" w:asciiTheme="minorEastAsia" w:hAnsiTheme="minorEastAsia" w:eastAsiaTheme="minorEastAsia" w:cstheme="minorEastAsia"/>
                <w:bCs/>
                <w:color w:val="auto"/>
                <w:szCs w:val="21"/>
                <w:highlight w:val="none"/>
                <w:lang w:bidi="ar"/>
              </w:rPr>
              <w:t>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人员实力（10分）</w:t>
            </w:r>
          </w:p>
        </w:tc>
        <w:tc>
          <w:tcPr>
            <w:tcW w:w="6280" w:type="dxa"/>
            <w:gridSpan w:val="2"/>
            <w:tcBorders>
              <w:top w:val="single" w:color="auto" w:sz="4" w:space="0"/>
              <w:left w:val="single" w:color="auto" w:sz="4" w:space="0"/>
              <w:bottom w:val="single" w:color="auto" w:sz="4" w:space="0"/>
            </w:tcBorders>
            <w:shd w:val="clear" w:color="auto" w:fill="auto"/>
            <w:vAlign w:val="center"/>
          </w:tcPr>
          <w:p>
            <w:pPr>
              <w:spacing w:line="360" w:lineRule="exact"/>
              <w:ind w:firstLine="420"/>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1.业绩满足资格要求得6分；</w:t>
            </w:r>
          </w:p>
          <w:p>
            <w:pPr>
              <w:pStyle w:val="41"/>
              <w:keepNext w:val="0"/>
              <w:keepLines w:val="0"/>
              <w:pageBreakBefore w:val="0"/>
              <w:widowControl w:val="0"/>
              <w:numPr>
                <w:ilvl w:val="0"/>
                <w:numId w:val="0"/>
              </w:numPr>
              <w:kinsoku/>
              <w:wordWrap/>
              <w:overflowPunct/>
              <w:topLinePunct w:val="0"/>
              <w:autoSpaceDE/>
              <w:autoSpaceDN/>
              <w:bidi w:val="0"/>
              <w:snapToGrid/>
              <w:spacing w:after="0" w:line="240" w:lineRule="auto"/>
              <w:ind w:firstLine="420" w:firstLineChars="200"/>
              <w:jc w:val="both"/>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2.在满足资格要求的基础上，项目负责人在2022年1月1日至投标截止时间止(以合同签订时间为准)作为项目负责人或技术负责人承担过一个合同金额50万元以上的高速公路机电工程相关设计业绩的得1分,本项满分2分。</w:t>
            </w:r>
          </w:p>
          <w:p>
            <w:pPr>
              <w:pStyle w:val="41"/>
              <w:keepNext w:val="0"/>
              <w:keepLines w:val="0"/>
              <w:pageBreakBefore w:val="0"/>
              <w:widowControl w:val="0"/>
              <w:numPr>
                <w:ilvl w:val="0"/>
                <w:numId w:val="0"/>
              </w:numPr>
              <w:kinsoku/>
              <w:wordWrap/>
              <w:overflowPunct/>
              <w:topLinePunct w:val="0"/>
              <w:autoSpaceDE/>
              <w:autoSpaceDN/>
              <w:bidi w:val="0"/>
              <w:snapToGrid/>
              <w:spacing w:after="0" w:line="240" w:lineRule="auto"/>
              <w:ind w:firstLine="420" w:firstLineChars="200"/>
              <w:jc w:val="both"/>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3.技术负责人在2022年1月1日至投标截止时间止(以合同签订时间为准)作为项目负责人或技术负责人承担过一个合同金额50万元以上的高速公路机电工程相关设计业绩的得1分，本项满分1分。</w:t>
            </w:r>
          </w:p>
          <w:p>
            <w:pPr>
              <w:pStyle w:val="41"/>
              <w:keepNext w:val="0"/>
              <w:keepLines w:val="0"/>
              <w:pageBreakBefore w:val="0"/>
              <w:widowControl w:val="0"/>
              <w:numPr>
                <w:ilvl w:val="0"/>
                <w:numId w:val="0"/>
              </w:numPr>
              <w:kinsoku/>
              <w:wordWrap/>
              <w:overflowPunct/>
              <w:topLinePunct w:val="0"/>
              <w:autoSpaceDE/>
              <w:autoSpaceDN/>
              <w:bidi w:val="0"/>
              <w:snapToGrid/>
              <w:spacing w:after="0" w:line="240" w:lineRule="auto"/>
              <w:ind w:firstLine="420" w:firstLineChars="200"/>
              <w:jc w:val="both"/>
              <w:rPr>
                <w:rFonts w:hint="default"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4.其他成员每具备一个机电工程或电气工程正高级工程师技术职称的得1分，本项满分1分。</w:t>
            </w:r>
          </w:p>
          <w:p>
            <w:pPr>
              <w:keepNext w:val="0"/>
              <w:pageBreakBefore w:val="0"/>
              <w:kinsoku/>
              <w:wordWrap/>
              <w:overflowPunct/>
              <w:topLinePunct w:val="0"/>
              <w:bidi w:val="0"/>
              <w:spacing w:beforeAutospacing="0" w:line="400" w:lineRule="exact"/>
              <w:ind w:firstLine="420" w:firstLineChars="0"/>
              <w:rPr>
                <w:rFonts w:hint="default" w:asciiTheme="minorEastAsia" w:hAnsiTheme="minorEastAsia" w:eastAsiaTheme="minorEastAsia" w:cstheme="minorEastAsia"/>
                <w:b/>
                <w:bCs w:val="0"/>
                <w:caps w:val="0"/>
                <w:color w:val="auto"/>
                <w:kern w:val="2"/>
                <w:sz w:val="21"/>
                <w:szCs w:val="21"/>
                <w:highlight w:val="none"/>
                <w:lang w:val="en-US" w:eastAsia="zh-CN" w:bidi="ar-SA"/>
              </w:rPr>
            </w:pPr>
            <w:r>
              <w:rPr>
                <w:rFonts w:hint="eastAsia" w:asciiTheme="minorEastAsia" w:hAnsiTheme="minorEastAsia" w:eastAsiaTheme="minorEastAsia" w:cstheme="minorEastAsia"/>
                <w:b/>
                <w:bCs w:val="0"/>
                <w:caps w:val="0"/>
                <w:color w:val="auto"/>
                <w:kern w:val="2"/>
                <w:sz w:val="21"/>
                <w:szCs w:val="21"/>
                <w:highlight w:val="none"/>
                <w:lang w:val="en-US" w:eastAsia="zh-CN" w:bidi="ar-SA"/>
              </w:rPr>
              <w:t>注：1.提供业绩相关证明材料，并加盖单位公章。</w:t>
            </w:r>
          </w:p>
          <w:p>
            <w:pPr>
              <w:keepNext w:val="0"/>
              <w:pageBreakBefore w:val="0"/>
              <w:kinsoku/>
              <w:wordWrap/>
              <w:overflowPunct/>
              <w:topLinePunct w:val="0"/>
              <w:bidi w:val="0"/>
              <w:spacing w:beforeAutospacing="0" w:line="400" w:lineRule="exact"/>
              <w:ind w:firstLine="420" w:firstLineChars="0"/>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bCs w:val="0"/>
                <w:caps w:val="0"/>
                <w:color w:val="auto"/>
                <w:kern w:val="2"/>
                <w:sz w:val="21"/>
                <w:szCs w:val="21"/>
                <w:highlight w:val="none"/>
                <w:lang w:val="en-US" w:eastAsia="zh-CN" w:bidi="ar-SA"/>
              </w:rPr>
              <w:t>2.提供上述证书复印件，并加盖单位公章。</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报价人</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业绩</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（10分）</w:t>
            </w:r>
          </w:p>
        </w:tc>
        <w:tc>
          <w:tcPr>
            <w:tcW w:w="6280" w:type="dxa"/>
            <w:gridSpan w:val="2"/>
            <w:tcBorders>
              <w:top w:val="single" w:color="auto" w:sz="4" w:space="0"/>
              <w:left w:val="single" w:color="auto" w:sz="4" w:space="0"/>
              <w:bottom w:val="single" w:color="auto" w:sz="4" w:space="0"/>
            </w:tcBorders>
            <w:vAlign w:val="center"/>
          </w:tcPr>
          <w:p>
            <w:pPr>
              <w:spacing w:line="360" w:lineRule="exact"/>
              <w:ind w:firstLine="420"/>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1.业绩满足资格要求得6分；</w:t>
            </w:r>
          </w:p>
          <w:p>
            <w:pPr>
              <w:spacing w:line="360" w:lineRule="exact"/>
              <w:ind w:firstLine="420"/>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1.在2022年1月1日至投标截止时间止(以合同签订时间为准)每额外承担一项合同金额50万元以上的高速公路机电专项设计业绩的得1分，本项满分2分。</w:t>
            </w:r>
          </w:p>
          <w:p>
            <w:pPr>
              <w:spacing w:line="360" w:lineRule="exact"/>
              <w:ind w:firstLine="420"/>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val="0"/>
                <w:bCs/>
                <w:caps w:val="0"/>
                <w:color w:val="auto"/>
                <w:kern w:val="2"/>
                <w:sz w:val="21"/>
                <w:szCs w:val="21"/>
                <w:highlight w:val="none"/>
                <w:lang w:val="en-US" w:eastAsia="zh-CN" w:bidi="ar-SA"/>
              </w:rPr>
              <w:t>2.2022年1月1日投标截止时间止(以合同签订时间为准)每完成1个合同金额50万元以上公路隧道照明或隧道智慧管控技术产品的相关业绩（包含系统或软件研发、产品或软件销售)业绩得1分，本项满分2分。</w:t>
            </w:r>
          </w:p>
          <w:p>
            <w:pPr>
              <w:spacing w:line="360" w:lineRule="exact"/>
              <w:ind w:firstLine="420"/>
              <w:rPr>
                <w:rFonts w:hint="eastAsia" w:asciiTheme="minorEastAsia" w:hAnsiTheme="minorEastAsia" w:eastAsiaTheme="minorEastAsia" w:cstheme="minorEastAsia"/>
                <w:b w:val="0"/>
                <w:bCs/>
                <w:caps w:val="0"/>
                <w:color w:val="auto"/>
                <w:kern w:val="2"/>
                <w:sz w:val="21"/>
                <w:szCs w:val="21"/>
                <w:highlight w:val="none"/>
                <w:lang w:val="en-US" w:eastAsia="zh-CN" w:bidi="ar-SA"/>
              </w:rPr>
            </w:pPr>
            <w:r>
              <w:rPr>
                <w:rFonts w:hint="eastAsia" w:asciiTheme="minorEastAsia" w:hAnsiTheme="minorEastAsia" w:eastAsiaTheme="minorEastAsia" w:cstheme="minorEastAsia"/>
                <w:b/>
                <w:bCs w:val="0"/>
                <w:caps w:val="0"/>
                <w:color w:val="auto"/>
                <w:kern w:val="2"/>
                <w:sz w:val="21"/>
                <w:szCs w:val="21"/>
                <w:highlight w:val="none"/>
                <w:lang w:val="en-US" w:eastAsia="zh-CN" w:bidi="ar-SA"/>
              </w:rPr>
              <w:t>注：提供合同复印件（合同需清晰反映上述业绩要求的主要内容，包括但不限于合同签订时间、合同金额及合同内容），盖单位公章。若合同中无法体现上述内容的，则还需出具加盖业主公章的业主证明材料。</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w:t>
            </w:r>
            <w:r>
              <w:rPr>
                <w:rFonts w:hint="eastAsia" w:asciiTheme="minorEastAsia" w:hAnsiTheme="minorEastAsia" w:eastAsiaTheme="minorEastAsia" w:cstheme="minorEastAsia"/>
                <w:bCs/>
                <w:color w:val="auto"/>
                <w:kern w:val="2"/>
                <w:sz w:val="21"/>
                <w:szCs w:val="21"/>
                <w:highlight w:val="none"/>
                <w:lang w:val="en-US" w:eastAsia="zh-CN" w:bidi="ar"/>
              </w:rPr>
              <w:t>6</w:t>
            </w:r>
            <w:r>
              <w:rPr>
                <w:rFonts w:hint="eastAsia" w:asciiTheme="minorEastAsia" w:hAnsiTheme="minorEastAsia" w:eastAsiaTheme="minorEastAsia" w:cstheme="minorEastAsia"/>
                <w:bCs/>
                <w:color w:val="auto"/>
                <w:kern w:val="2"/>
                <w:sz w:val="21"/>
                <w:szCs w:val="21"/>
                <w:highlight w:val="none"/>
                <w:lang w:bidi="ar"/>
              </w:rPr>
              <w:t>0分）</w:t>
            </w:r>
          </w:p>
        </w:tc>
        <w:tc>
          <w:tcPr>
            <w:tcW w:w="1129"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0分，然后与评标基准价相比较，每上浮1%扣0.</w:t>
            </w: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rPr>
              <w:t>分，每下浮1%扣0.2</w:t>
            </w: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pPr>
        <w:rPr>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4" w:name="_Toc6735"/>
      <w:bookmarkStart w:id="135" w:name="_Toc26037"/>
      <w:bookmarkStart w:id="136" w:name="_Toc19268"/>
      <w:r>
        <w:rPr>
          <w:rFonts w:hint="eastAsia" w:ascii="宋体" w:hAnsi="宋体" w:cs="宋体"/>
          <w:color w:val="auto"/>
          <w:szCs w:val="21"/>
          <w:highlight w:val="none"/>
        </w:rPr>
        <w:t>1.  评标方法</w:t>
      </w:r>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7" w:name="_Toc31759"/>
      <w:bookmarkStart w:id="138" w:name="_Toc8753"/>
      <w:bookmarkStart w:id="139" w:name="_Toc1052"/>
      <w:bookmarkStart w:id="140" w:name="_Toc22200"/>
      <w:r>
        <w:rPr>
          <w:rFonts w:hint="eastAsia" w:ascii="宋体" w:hAnsi="宋体" w:cs="宋体"/>
          <w:color w:val="auto"/>
          <w:szCs w:val="21"/>
          <w:highlight w:val="none"/>
        </w:rPr>
        <w:t>2.  评审标准</w:t>
      </w:r>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41" w:name="_Toc10650"/>
      <w:bookmarkStart w:id="142" w:name="_Toc8345"/>
      <w:bookmarkStart w:id="143" w:name="_Toc11564"/>
      <w:bookmarkStart w:id="144" w:name="_Toc5245"/>
      <w:r>
        <w:rPr>
          <w:rFonts w:hint="eastAsia" w:ascii="宋体" w:hAnsi="宋体" w:cs="宋体"/>
          <w:color w:val="auto"/>
          <w:szCs w:val="21"/>
          <w:highlight w:val="none"/>
        </w:rPr>
        <w:t>3.  评标程序</w:t>
      </w:r>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pPr>
        <w:ind w:firstLine="420" w:firstLineChars="200"/>
        <w:rPr>
          <w:rStyle w:val="83"/>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rPr>
          <w:rStyle w:val="83"/>
          <w:rFonts w:hint="eastAsia"/>
          <w:color w:val="auto"/>
          <w:highlight w:val="none"/>
        </w:rPr>
      </w:pPr>
      <w:r>
        <w:rPr>
          <w:rStyle w:val="83"/>
          <w:rFonts w:hint="eastAsia"/>
          <w:color w:val="auto"/>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45" w:name="_Toc247085870"/>
      <w:bookmarkStart w:id="146" w:name="_Toc2000411"/>
      <w:bookmarkStart w:id="147" w:name="_Toc246997096"/>
      <w:bookmarkStart w:id="148" w:name="_Toc144974854"/>
      <w:bookmarkStart w:id="149" w:name="_Toc152045785"/>
      <w:bookmarkStart w:id="150" w:name="_Toc152042574"/>
      <w:bookmarkStart w:id="151" w:name="_Toc513633964"/>
      <w:bookmarkStart w:id="152" w:name="_Toc514858707"/>
      <w:bookmarkStart w:id="153" w:name="_Toc447827049"/>
      <w:bookmarkStart w:id="154" w:name="_Toc246996353"/>
      <w:bookmarkStart w:id="155" w:name="_Toc503951043"/>
      <w:bookmarkStart w:id="156" w:name="_Toc179632804"/>
      <w:bookmarkStart w:id="157" w:name="_Toc15010"/>
      <w:bookmarkStart w:id="158" w:name="_Toc246996354"/>
      <w:bookmarkStart w:id="159" w:name="_Toc152042575"/>
      <w:bookmarkStart w:id="160" w:name="_Toc179632806"/>
      <w:bookmarkStart w:id="161" w:name="_Toc246997097"/>
      <w:bookmarkStart w:id="162" w:name="_Toc152045786"/>
      <w:bookmarkStart w:id="163" w:name="_Toc144974855"/>
      <w:bookmarkStart w:id="164" w:name="_Toc247085872"/>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45"/>
      <w:bookmarkEnd w:id="146"/>
      <w:bookmarkEnd w:id="147"/>
      <w:bookmarkEnd w:id="148"/>
      <w:bookmarkEnd w:id="149"/>
      <w:bookmarkEnd w:id="150"/>
      <w:bookmarkEnd w:id="151"/>
      <w:bookmarkEnd w:id="152"/>
      <w:bookmarkEnd w:id="153"/>
      <w:bookmarkEnd w:id="154"/>
      <w:bookmarkEnd w:id="155"/>
      <w:bookmarkEnd w:id="156"/>
      <w:r>
        <w:rPr>
          <w:rFonts w:hint="eastAsia" w:ascii="宋体" w:hAnsi="宋体" w:cs="宋体"/>
          <w:color w:val="auto"/>
          <w:highlight w:val="none"/>
          <w:lang w:val="en-US" w:eastAsia="zh-CN"/>
        </w:rPr>
        <w:t>服务要求</w:t>
      </w:r>
      <w:bookmarkEnd w:id="157"/>
    </w:p>
    <w:bookmarkEnd w:id="158"/>
    <w:bookmarkEnd w:id="159"/>
    <w:bookmarkEnd w:id="160"/>
    <w:bookmarkEnd w:id="161"/>
    <w:bookmarkEnd w:id="162"/>
    <w:bookmarkEnd w:id="163"/>
    <w:bookmarkEnd w:id="164"/>
    <w:p>
      <w:pPr>
        <w:pStyle w:val="3"/>
        <w:rPr>
          <w:rFonts w:hint="eastAsia" w:ascii="方正仿宋_GBK" w:hAnsi="方正仿宋_GBK" w:eastAsia="方正仿宋_GBK" w:cs="方正仿宋_GBK"/>
          <w:b/>
          <w:bCs w:val="0"/>
          <w:color w:val="000000" w:themeColor="text1"/>
          <w:sz w:val="28"/>
          <w:szCs w:val="28"/>
          <w14:textFill>
            <w14:solidFill>
              <w14:schemeClr w14:val="tx1"/>
            </w14:solidFill>
          </w14:textFill>
        </w:rPr>
      </w:pPr>
      <w:bookmarkStart w:id="165" w:name="_Toc2000412"/>
      <w:bookmarkStart w:id="166" w:name="_Toc514858708"/>
      <w:bookmarkStart w:id="167" w:name="_Toc514430114"/>
      <w:bookmarkStart w:id="168" w:name="_Toc247085873"/>
      <w:bookmarkStart w:id="169" w:name="_Toc507320039"/>
      <w:bookmarkStart w:id="170" w:name="_Toc144974856"/>
      <w:bookmarkStart w:id="171" w:name="_Toc246997098"/>
      <w:bookmarkStart w:id="172" w:name="_Toc152045787"/>
      <w:bookmarkStart w:id="173" w:name="_Toc179632807"/>
      <w:bookmarkStart w:id="174" w:name="_Toc152042576"/>
      <w:bookmarkStart w:id="175" w:name="_Toc246996355"/>
      <w:r>
        <w:rPr>
          <w:rFonts w:hint="eastAsia" w:ascii="方正仿宋_GBK" w:hAnsi="方正仿宋_GBK" w:eastAsia="方正仿宋_GBK" w:cs="方正仿宋_GBK"/>
          <w:b/>
          <w:bCs w:val="0"/>
          <w:color w:val="000000" w:themeColor="text1"/>
          <w:sz w:val="28"/>
          <w:szCs w:val="28"/>
          <w14:textFill>
            <w14:solidFill>
              <w14:schemeClr w14:val="tx1"/>
            </w14:solidFill>
          </w14:textFill>
        </w:rPr>
        <w:t>一、采购需求描述</w:t>
      </w:r>
    </w:p>
    <w:p>
      <w:pPr>
        <w:pStyle w:val="170"/>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本次采购内容包括渝湘复线 62个隧道照明精细化控制策略以及无级调光控制策略，提供相应的控制软件模块，项目服务期至 2027年 12月 31日。</w:t>
      </w:r>
    </w:p>
    <w:p>
      <w:pPr>
        <w:pStyle w:val="16"/>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隧道照明控制策略应充分考虑车流量、亮度、天气、季节、节假日、山体遮挡等条件，实现隧道照明控制“一隧一策”。确保隧道照明在所有工况下均符合《公路隧道照明设计细则（JTG/T D70/2-01-2014）》的要求。</w:t>
      </w:r>
    </w:p>
    <w:p>
      <w:pPr>
        <w:pStyle w:val="16"/>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为完成隧道照明控制策略，</w:t>
      </w:r>
      <w:r>
        <w:rPr>
          <w:rFonts w:hint="eastAsia" w:ascii="方正仿宋_GBK" w:hAnsi="方正仿宋_GBK" w:eastAsia="方正仿宋_GBK" w:cs="方正仿宋_GBK"/>
          <w:sz w:val="24"/>
          <w:szCs w:val="24"/>
          <w:lang w:eastAsia="zh-CN"/>
        </w:rPr>
        <w:t>报价人</w:t>
      </w:r>
      <w:r>
        <w:rPr>
          <w:rFonts w:hint="eastAsia" w:ascii="方正仿宋_GBK" w:hAnsi="方正仿宋_GBK" w:eastAsia="方正仿宋_GBK" w:cs="方正仿宋_GBK"/>
          <w:sz w:val="24"/>
          <w:szCs w:val="24"/>
        </w:rPr>
        <w:t>应自行收集每座隧道交通量数据、设计文件等基础文件；收集每个隧道洞口的日出时间、日落时间、天亮时间、天黑时间等天文数据；收集每座隧道过去 10年日照时间等气象数据。</w:t>
      </w:r>
      <w:r>
        <w:rPr>
          <w:rFonts w:hint="eastAsia" w:ascii="方正仿宋_GBK" w:hAnsi="方正仿宋_GBK" w:eastAsia="方正仿宋_GBK" w:cs="方正仿宋_GBK"/>
          <w:sz w:val="24"/>
          <w:szCs w:val="24"/>
          <w:lang w:eastAsia="zh-CN"/>
        </w:rPr>
        <w:t>报价人</w:t>
      </w:r>
      <w:r>
        <w:rPr>
          <w:rFonts w:hint="eastAsia" w:ascii="方正仿宋_GBK" w:hAnsi="方正仿宋_GBK" w:eastAsia="方正仿宋_GBK" w:cs="方正仿宋_GBK"/>
          <w:sz w:val="24"/>
          <w:szCs w:val="24"/>
        </w:rPr>
        <w:t>应根据收集的资料完成隧道全年洞口阴影动态模型，确定隧道口在每天的阴影遮挡情况，为隧道照明控制策略做支撑。</w:t>
      </w:r>
    </w:p>
    <w:p>
      <w:pPr>
        <w:pStyle w:val="16"/>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报价人</w:t>
      </w:r>
      <w:r>
        <w:rPr>
          <w:rFonts w:hint="eastAsia" w:ascii="方正仿宋_GBK" w:hAnsi="方正仿宋_GBK" w:eastAsia="方正仿宋_GBK" w:cs="方正仿宋_GBK"/>
          <w:sz w:val="24"/>
          <w:szCs w:val="24"/>
        </w:rPr>
        <w:t>在服务期间，应根据照明检测结果调整控制策略。</w:t>
      </w:r>
    </w:p>
    <w:p>
      <w:pPr>
        <w:pStyle w:val="16"/>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报价人</w:t>
      </w:r>
      <w:r>
        <w:rPr>
          <w:rFonts w:hint="eastAsia" w:ascii="方正仿宋_GBK" w:hAnsi="方正仿宋_GBK" w:eastAsia="方正仿宋_GBK" w:cs="方正仿宋_GBK"/>
          <w:sz w:val="24"/>
          <w:szCs w:val="24"/>
        </w:rPr>
        <w:t>应构建无级调光软件模型，开发无级调光软件模块，配合首讯公司部署调试。</w:t>
      </w:r>
    </w:p>
    <w:p>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报价人</w:t>
      </w:r>
      <w:r>
        <w:rPr>
          <w:rFonts w:hint="eastAsia" w:ascii="方正仿宋_GBK" w:hAnsi="方正仿宋_GBK" w:eastAsia="方正仿宋_GBK" w:cs="方正仿宋_GBK"/>
          <w:sz w:val="24"/>
          <w:szCs w:val="24"/>
        </w:rPr>
        <w:t>应构建随车流量动态调节的照明控制模型，提交给首讯公司部署调试。</w:t>
      </w:r>
    </w:p>
    <w:p>
      <w:pPr>
        <w:pStyle w:val="18"/>
        <w:rPr>
          <w:sz w:val="28"/>
          <w:szCs w:val="28"/>
        </w:rPr>
      </w:pPr>
    </w:p>
    <w:p>
      <w:pPr>
        <w:pStyle w:val="18"/>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sz w:val="28"/>
          <w:szCs w:val="28"/>
        </w:rPr>
        <w:t> </w:t>
      </w:r>
      <w:bookmarkStart w:id="176" w:name="X98fd9200f9ade6af69a579a1ea1027461d15750"/>
      <w:r>
        <w:rPr>
          <w:rFonts w:hint="eastAsia" w:ascii="方正仿宋_GBK" w:hAnsi="方正仿宋_GBK" w:eastAsia="方正仿宋_GBK" w:cs="方正仿宋_GBK"/>
          <w:b/>
          <w:bCs w:val="0"/>
          <w:color w:val="000000" w:themeColor="text1"/>
          <w:sz w:val="28"/>
          <w:szCs w:val="28"/>
          <w14:textFill>
            <w14:solidFill>
              <w14:schemeClr w14:val="tx1"/>
            </w14:solidFill>
          </w14:textFill>
        </w:rPr>
        <w:t>二、具体清单</w:t>
      </w:r>
    </w:p>
    <w:tbl>
      <w:tblPr>
        <w:tblStyle w:val="1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793"/>
        <w:gridCol w:w="3795"/>
        <w:gridCol w:w="782"/>
        <w:gridCol w:w="737"/>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70"/>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47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w:t>
            </w:r>
          </w:p>
        </w:tc>
        <w:tc>
          <w:tcPr>
            <w:tcW w:w="37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工作内容</w:t>
            </w:r>
          </w:p>
        </w:tc>
        <w:tc>
          <w:tcPr>
            <w:tcW w:w="78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单位</w:t>
            </w:r>
          </w:p>
        </w:tc>
        <w:tc>
          <w:tcPr>
            <w:tcW w:w="73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数量</w:t>
            </w:r>
          </w:p>
        </w:tc>
        <w:tc>
          <w:tcPr>
            <w:tcW w:w="0" w:type="auto"/>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47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数据收集</w:t>
            </w:r>
          </w:p>
        </w:tc>
        <w:tc>
          <w:tcPr>
            <w:tcW w:w="3795" w:type="dxa"/>
            <w:vAlign w:val="center"/>
          </w:tcPr>
          <w:p>
            <w:pPr>
              <w:pStyle w:val="16"/>
              <w:keepNext w:val="0"/>
              <w:keepLines w:val="0"/>
              <w:pageBreakBefore w:val="0"/>
              <w:widowControl/>
              <w:numPr>
                <w:ilvl w:val="0"/>
                <w:numId w:val="3"/>
              </w:numPr>
              <w:kinsoku/>
              <w:wordWrap/>
              <w:overflowPunct/>
              <w:topLinePunct w:val="0"/>
              <w:autoSpaceDE/>
              <w:autoSpaceDN/>
              <w:bidi w:val="0"/>
              <w:adjustRightInd/>
              <w:snapToGrid/>
              <w:spacing w:before="0" w:after="0" w:line="240" w:lineRule="auto"/>
              <w:ind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收集每个隧道交通量数据、设计文件</w:t>
            </w:r>
          </w:p>
          <w:p>
            <w:pPr>
              <w:pStyle w:val="16"/>
              <w:keepNext w:val="0"/>
              <w:keepLines w:val="0"/>
              <w:pageBreakBefore w:val="0"/>
              <w:widowControl/>
              <w:numPr>
                <w:ilvl w:val="0"/>
                <w:numId w:val="3"/>
              </w:numPr>
              <w:kinsoku/>
              <w:wordWrap/>
              <w:overflowPunct/>
              <w:topLinePunct w:val="0"/>
              <w:autoSpaceDE/>
              <w:autoSpaceDN/>
              <w:bidi w:val="0"/>
              <w:adjustRightInd/>
              <w:snapToGrid/>
              <w:spacing w:before="0" w:after="0" w:line="240" w:lineRule="auto"/>
              <w:ind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收集每个隧道洞口的日出时间、日落时间、天亮时间、天黑时间</w:t>
            </w:r>
          </w:p>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3.收集每座隧道过去 10年日照时间</w:t>
            </w:r>
          </w:p>
        </w:tc>
        <w:tc>
          <w:tcPr>
            <w:tcW w:w="78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73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62</w:t>
            </w:r>
          </w:p>
        </w:tc>
        <w:tc>
          <w:tcPr>
            <w:tcW w:w="0" w:type="auto"/>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62个隧道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47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洞口建模</w:t>
            </w:r>
          </w:p>
        </w:tc>
        <w:tc>
          <w:tcPr>
            <w:tcW w:w="37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每座隧道全年洞口阴影动态建模，确定隧道口在每天的阴影遮挡情况，为隧道照明运营预案做支撑。</w:t>
            </w:r>
          </w:p>
        </w:tc>
        <w:tc>
          <w:tcPr>
            <w:tcW w:w="78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73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124</w:t>
            </w:r>
          </w:p>
        </w:tc>
        <w:tc>
          <w:tcPr>
            <w:tcW w:w="0" w:type="auto"/>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每座隧道洞口单独建模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47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隧道照明控制策略（2025）</w:t>
            </w:r>
          </w:p>
        </w:tc>
        <w:tc>
          <w:tcPr>
            <w:tcW w:w="37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编制隧道照明控制策略，其中隧道照明精细化控制策略考虑车流量、亮度、天气、季节、节假日、山体遮挡等条件，实现隧道照明控制“一隧一策”。</w:t>
            </w:r>
          </w:p>
        </w:tc>
        <w:tc>
          <w:tcPr>
            <w:tcW w:w="78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73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62</w:t>
            </w:r>
          </w:p>
        </w:tc>
        <w:tc>
          <w:tcPr>
            <w:tcW w:w="0" w:type="auto"/>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每座隧道单独设计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47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隧道照明控制策略</w:t>
            </w:r>
          </w:p>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（2026-2027）</w:t>
            </w:r>
          </w:p>
        </w:tc>
        <w:tc>
          <w:tcPr>
            <w:tcW w:w="37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根据运营期交通量、节能跟踪情况调整年度照明策略确保符合《公路隧道照明设计细则（JTG/T D70/2-01-2014）》，如标准修订应符合最新标准要求。</w:t>
            </w:r>
          </w:p>
        </w:tc>
        <w:tc>
          <w:tcPr>
            <w:tcW w:w="78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73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62</w:t>
            </w:r>
          </w:p>
        </w:tc>
        <w:tc>
          <w:tcPr>
            <w:tcW w:w="0" w:type="auto"/>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服务期2年、每座隧道单独设计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47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无级调光软件模块</w:t>
            </w:r>
          </w:p>
        </w:tc>
        <w:tc>
          <w:tcPr>
            <w:tcW w:w="37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构建无级调光软件模型，开发无级调光软件模块，配合首讯公司部署调试</w:t>
            </w:r>
          </w:p>
        </w:tc>
        <w:tc>
          <w:tcPr>
            <w:tcW w:w="78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73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62</w:t>
            </w:r>
          </w:p>
        </w:tc>
        <w:tc>
          <w:tcPr>
            <w:tcW w:w="0" w:type="auto"/>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62个隧道部署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47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随车流量动态调节的照明控制模型</w:t>
            </w:r>
          </w:p>
        </w:tc>
        <w:tc>
          <w:tcPr>
            <w:tcW w:w="37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构建并提交随车流量动态调节的照明控制模型</w:t>
            </w:r>
          </w:p>
        </w:tc>
        <w:tc>
          <w:tcPr>
            <w:tcW w:w="78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w:t>
            </w:r>
          </w:p>
        </w:tc>
        <w:tc>
          <w:tcPr>
            <w:tcW w:w="737"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0" w:type="auto"/>
            <w:vAlign w:val="center"/>
          </w:tcPr>
          <w:p>
            <w:pPr>
              <w:pStyle w:val="172"/>
              <w:keepNext w:val="0"/>
              <w:keepLines w:val="0"/>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仿宋_GBK" w:hAnsi="方正仿宋_GBK" w:eastAsia="方正仿宋_GBK" w:cs="方正仿宋_GBK"/>
                <w:sz w:val="24"/>
                <w:szCs w:val="24"/>
              </w:rPr>
            </w:pPr>
          </w:p>
        </w:tc>
      </w:tr>
      <w:bookmarkEnd w:id="176"/>
    </w:tbl>
    <w:p>
      <w:pPr>
        <w:pStyle w:val="16"/>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outlineLvl w:val="0"/>
        <w:rPr>
          <w:rFonts w:hint="eastAsia" w:ascii="宋体" w:hAnsi="宋体" w:cs="宋体"/>
          <w:color w:val="auto"/>
          <w:highlight w:val="none"/>
        </w:rPr>
      </w:pPr>
    </w:p>
    <w:p>
      <w:pPr>
        <w:pStyle w:val="18"/>
        <w:keepNext w:val="0"/>
        <w:widowControl/>
        <w:kinsoku/>
        <w:wordWrap/>
        <w:overflowPunct/>
        <w:topLinePunct w:val="0"/>
        <w:autoSpaceDE/>
        <w:autoSpaceDN/>
        <w:bidi w:val="0"/>
        <w:adjustRightInd/>
        <w:snapToGrid/>
        <w:spacing w:before="0" w:after="0" w:line="336" w:lineRule="auto"/>
        <w:textAlignment w:val="auto"/>
        <w:rPr>
          <w:rFonts w:hint="eastAsia" w:ascii="方正仿宋_GBK" w:hAnsi="方正仿宋_GBK" w:eastAsia="方正仿宋_GBK" w:cs="方正仿宋_GBK"/>
          <w:b/>
          <w:bCs w:val="0"/>
          <w:color w:val="000000" w:themeColor="text1"/>
          <w:sz w:val="28"/>
          <w:szCs w:val="28"/>
          <w14:textFill>
            <w14:solidFill>
              <w14:schemeClr w14:val="tx1"/>
            </w14:solidFill>
          </w14:textFill>
        </w:rPr>
      </w:pPr>
      <w:r>
        <w:rPr>
          <w:rFonts w:hint="eastAsia"/>
          <w:sz w:val="28"/>
          <w:szCs w:val="28"/>
        </w:rPr>
        <w:t>三</w:t>
      </w:r>
      <w:r>
        <w:rPr>
          <w:rFonts w:hint="eastAsia"/>
          <w:sz w:val="28"/>
          <w:szCs w:val="28"/>
          <w:lang w:eastAsia="zh-CN"/>
        </w:rPr>
        <w:t>、</w:t>
      </w:r>
      <w:r>
        <w:rPr>
          <w:rFonts w:hint="eastAsia" w:ascii="方正仿宋_GBK" w:hAnsi="方正仿宋_GBK" w:eastAsia="方正仿宋_GBK" w:cs="方正仿宋_GBK"/>
          <w:b/>
          <w:bCs w:val="0"/>
          <w:color w:val="000000" w:themeColor="text1"/>
          <w:sz w:val="28"/>
          <w:szCs w:val="28"/>
          <w14:textFill>
            <w14:solidFill>
              <w14:schemeClr w14:val="tx1"/>
            </w14:solidFill>
          </w14:textFill>
        </w:rPr>
        <w:t>里程碑工程进度</w:t>
      </w:r>
    </w:p>
    <w:p>
      <w:pPr>
        <w:pStyle w:val="170"/>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b/>
          <w:bCs/>
          <w:sz w:val="24"/>
          <w:szCs w:val="24"/>
          <w:lang w:val="en-US" w:eastAsia="en-US" w:bidi="ar-SA"/>
        </w:rPr>
      </w:pPr>
      <w:r>
        <w:rPr>
          <w:rFonts w:hint="eastAsia" w:ascii="方正仿宋_GBK" w:hAnsi="方正仿宋_GBK" w:eastAsia="方正仿宋_GBK" w:cs="方正仿宋_GBK"/>
          <w:b/>
          <w:bCs/>
          <w:sz w:val="24"/>
          <w:szCs w:val="24"/>
          <w:lang w:val="en-US" w:eastAsia="en-US" w:bidi="ar-SA"/>
        </w:rPr>
        <w:t>里程碑 1：62个隧道照明精细化控制策略设计及无级调光控制模块开发</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交付时间：2025年 12月 30日前</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交付地点：重庆首讯科技股份有限公司</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default" w:ascii="方正仿宋_GBK" w:hAnsi="方正仿宋_GBK" w:eastAsia="方正仿宋_GBK" w:cs="方正仿宋_GBK"/>
          <w:sz w:val="24"/>
          <w:szCs w:val="24"/>
          <w:lang w:val="en-US" w:eastAsia="zh-CN" w:bidi="ar-SA"/>
        </w:rPr>
      </w:pPr>
      <w:r>
        <w:rPr>
          <w:rFonts w:hint="eastAsia" w:ascii="方正仿宋_GBK" w:hAnsi="方正仿宋_GBK" w:eastAsia="方正仿宋_GBK" w:cs="方正仿宋_GBK"/>
          <w:sz w:val="24"/>
          <w:szCs w:val="24"/>
          <w:lang w:val="en-US" w:eastAsia="en-US" w:bidi="ar-SA"/>
        </w:rPr>
        <w:t>交付内容：62个隧道</w:t>
      </w:r>
      <w:r>
        <w:rPr>
          <w:rFonts w:hint="eastAsia" w:ascii="方正仿宋_GBK" w:hAnsi="方正仿宋_GBK" w:eastAsia="方正仿宋_GBK" w:cs="方正仿宋_GBK"/>
          <w:sz w:val="24"/>
          <w:szCs w:val="24"/>
          <w:lang w:val="en-US" w:eastAsia="zh-CN" w:bidi="ar-SA"/>
        </w:rPr>
        <w:t>照明控制策略</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阶段性检查的方式与方法：隧道照明精细化控制策略 1份、隧道阴影动态模型 124个、无级调光软件模块 1个、隧道照明自动控制软件模块 1份</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b/>
          <w:bCs/>
          <w:sz w:val="24"/>
          <w:szCs w:val="24"/>
          <w:lang w:val="en-US" w:eastAsia="en-US" w:bidi="ar-SA"/>
        </w:rPr>
      </w:pPr>
      <w:r>
        <w:rPr>
          <w:rFonts w:hint="eastAsia" w:ascii="方正仿宋_GBK" w:hAnsi="方正仿宋_GBK" w:eastAsia="方正仿宋_GBK" w:cs="方正仿宋_GBK"/>
          <w:b/>
          <w:bCs/>
          <w:sz w:val="24"/>
          <w:szCs w:val="24"/>
          <w:lang w:val="en-US" w:eastAsia="en-US" w:bidi="ar-SA"/>
        </w:rPr>
        <w:t>里程碑 2：2026年 62个隧道照明精细化控制策略设计</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交付时间：2026年 12月 30日前</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交付地点：重庆首讯科技股份有限公司</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交付内容：根据 2026年交付时间前的运营车流量调整更新照明精细化控制策略</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阶段性检查的方式与方法：隧道照明精细化控制策略 1份</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b/>
          <w:bCs/>
          <w:sz w:val="24"/>
          <w:szCs w:val="24"/>
          <w:lang w:val="en-US" w:eastAsia="en-US" w:bidi="ar-SA"/>
        </w:rPr>
      </w:pPr>
      <w:r>
        <w:rPr>
          <w:rFonts w:hint="eastAsia" w:ascii="方正仿宋_GBK" w:hAnsi="方正仿宋_GBK" w:eastAsia="方正仿宋_GBK" w:cs="方正仿宋_GBK"/>
          <w:b/>
          <w:bCs/>
          <w:sz w:val="24"/>
          <w:szCs w:val="24"/>
          <w:lang w:val="en-US" w:eastAsia="en-US" w:bidi="ar-SA"/>
        </w:rPr>
        <w:t>里程碑 3：2027年 62个隧道照明精细化控制策略设计</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交付时间：2027年 12月 30日前</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交付地点：重庆首讯科技股份有限公司</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交付内容：根据 2027年交付时间前的运营车流量调整更新照明精细化控制策略</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sz w:val="24"/>
          <w:szCs w:val="24"/>
          <w:lang w:val="en-US" w:eastAsia="en-US" w:bidi="ar-SA"/>
        </w:rPr>
      </w:pPr>
      <w:r>
        <w:rPr>
          <w:rFonts w:hint="eastAsia" w:ascii="方正仿宋_GBK" w:hAnsi="方正仿宋_GBK" w:eastAsia="方正仿宋_GBK" w:cs="方正仿宋_GBK"/>
          <w:sz w:val="24"/>
          <w:szCs w:val="24"/>
          <w:lang w:val="en-US" w:eastAsia="en-US" w:bidi="ar-SA"/>
        </w:rPr>
        <w:t>阶段性检查的方式与方法：照明精细化控制策略 1份、随车流量照明调整模型 1个</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77" w:name="_Toc17525"/>
      <w:r>
        <w:rPr>
          <w:rFonts w:hint="eastAsia" w:ascii="宋体" w:hAnsi="宋体" w:eastAsia="宋体" w:cs="宋体"/>
          <w:b/>
          <w:bCs/>
          <w:color w:val="auto"/>
          <w:kern w:val="44"/>
          <w:sz w:val="44"/>
          <w:szCs w:val="44"/>
          <w:highlight w:val="none"/>
          <w:lang w:val="en-US" w:eastAsia="zh-CN" w:bidi="ar-SA"/>
        </w:rPr>
        <w:t xml:space="preserve">第五章  </w:t>
      </w:r>
      <w:bookmarkEnd w:id="165"/>
      <w:bookmarkEnd w:id="166"/>
      <w:bookmarkEnd w:id="167"/>
      <w:r>
        <w:rPr>
          <w:rFonts w:hint="eastAsia" w:ascii="宋体" w:hAnsi="宋体" w:eastAsia="宋体" w:cs="宋体"/>
          <w:b/>
          <w:bCs/>
          <w:color w:val="auto"/>
          <w:kern w:val="44"/>
          <w:sz w:val="44"/>
          <w:szCs w:val="44"/>
          <w:highlight w:val="none"/>
          <w:lang w:val="en-US" w:eastAsia="zh-CN" w:bidi="ar-SA"/>
        </w:rPr>
        <w:t>合同范本</w:t>
      </w:r>
      <w:bookmarkEnd w:id="177"/>
    </w:p>
    <w:p>
      <w:pPr>
        <w:jc w:val="center"/>
        <w:rPr>
          <w:rFonts w:hint="eastAsia" w:ascii="仿宋" w:hAnsi="仿宋" w:eastAsia="仿宋" w:cs="仿宋"/>
          <w:color w:val="auto"/>
          <w:szCs w:val="21"/>
          <w:highlight w:val="none"/>
          <w:lang w:val="en-US" w:eastAsia="zh-CN"/>
        </w:rPr>
      </w:pPr>
    </w:p>
    <w:p>
      <w:pPr>
        <w:adjustRightInd w:val="0"/>
        <w:snapToGrid w:val="0"/>
        <w:spacing w:line="360" w:lineRule="auto"/>
        <w:jc w:val="center"/>
        <w:rPr>
          <w:rFonts w:hint="eastAsia" w:ascii="仿宋_GB2312" w:hAnsi="Times New Roman" w:eastAsia="仿宋_GB2312" w:cs="Times New Roman"/>
          <w:b/>
          <w:bCs/>
          <w:color w:val="000000"/>
          <w:spacing w:val="12"/>
          <w:sz w:val="36"/>
          <w:szCs w:val="36"/>
          <w:lang w:eastAsia="zh-CN"/>
        </w:rPr>
      </w:pPr>
    </w:p>
    <w:p>
      <w:pPr>
        <w:adjustRightInd w:val="0"/>
        <w:snapToGrid w:val="0"/>
        <w:spacing w:line="360" w:lineRule="auto"/>
        <w:jc w:val="center"/>
        <w:rPr>
          <w:rFonts w:hint="eastAsia" w:ascii="仿宋_GB2312" w:hAnsi="Times New Roman" w:eastAsia="仿宋_GB2312" w:cs="Times New Roman"/>
          <w:b/>
          <w:bCs/>
          <w:color w:val="000000"/>
          <w:spacing w:val="12"/>
          <w:sz w:val="36"/>
          <w:szCs w:val="36"/>
          <w:lang w:eastAsia="zh-CN"/>
        </w:rPr>
      </w:pPr>
    </w:p>
    <w:p>
      <w:pPr>
        <w:adjustRightInd w:val="0"/>
        <w:snapToGrid w:val="0"/>
        <w:spacing w:line="360" w:lineRule="auto"/>
        <w:jc w:val="center"/>
        <w:rPr>
          <w:rFonts w:hint="eastAsia" w:ascii="仿宋_GB2312" w:hAnsi="Times New Roman" w:eastAsia="仿宋_GB2312" w:cs="Times New Roman"/>
          <w:b/>
          <w:bCs/>
          <w:color w:val="000000"/>
          <w:spacing w:val="12"/>
          <w:sz w:val="36"/>
          <w:szCs w:val="36"/>
          <w:lang w:eastAsia="zh-CN"/>
        </w:rPr>
      </w:pPr>
    </w:p>
    <w:p>
      <w:pPr>
        <w:adjustRightInd w:val="0"/>
        <w:snapToGrid w:val="0"/>
        <w:spacing w:line="360" w:lineRule="auto"/>
        <w:jc w:val="center"/>
        <w:rPr>
          <w:rFonts w:hint="eastAsia" w:ascii="仿宋_GB2312" w:hAnsi="Times New Roman" w:eastAsia="仿宋_GB2312" w:cs="Times New Roman"/>
          <w:b/>
          <w:bCs/>
          <w:color w:val="000000"/>
          <w:spacing w:val="12"/>
          <w:sz w:val="36"/>
          <w:szCs w:val="36"/>
          <w:lang w:eastAsia="zh-CN"/>
        </w:rPr>
      </w:pPr>
      <w:r>
        <w:rPr>
          <w:rFonts w:hint="eastAsia" w:ascii="仿宋_GB2312" w:hAnsi="Times New Roman" w:eastAsia="仿宋_GB2312" w:cs="Times New Roman"/>
          <w:b/>
          <w:bCs/>
          <w:color w:val="000000"/>
          <w:spacing w:val="12"/>
          <w:sz w:val="36"/>
          <w:szCs w:val="36"/>
          <w:lang w:eastAsia="zh-CN"/>
        </w:rPr>
        <w:t>渝湘复线高速公路项目隧道照明策略设计服务</w:t>
      </w:r>
    </w:p>
    <w:p>
      <w:pPr>
        <w:adjustRightInd w:val="0"/>
        <w:snapToGrid w:val="0"/>
        <w:spacing w:line="360" w:lineRule="auto"/>
        <w:jc w:val="center"/>
        <w:rPr>
          <w:rFonts w:ascii="仿宋_GB2312" w:eastAsia="仿宋_GB2312"/>
          <w:b/>
          <w:bCs/>
          <w:color w:val="000000"/>
          <w:sz w:val="24"/>
        </w:rPr>
      </w:pPr>
      <w:r>
        <w:rPr>
          <w:rFonts w:hint="eastAsia" w:ascii="仿宋_GB2312" w:hAnsi="Times New Roman" w:eastAsia="仿宋_GB2312" w:cs="Times New Roman"/>
          <w:b/>
          <w:bCs/>
          <w:color w:val="000000"/>
          <w:spacing w:val="12"/>
          <w:sz w:val="36"/>
          <w:szCs w:val="36"/>
          <w:lang w:eastAsia="zh-CN"/>
        </w:rPr>
        <w:t>合同</w:t>
      </w:r>
      <w:r>
        <w:rPr>
          <w:rFonts w:hint="eastAsia" w:ascii="仿宋_GB2312" w:eastAsia="仿宋_GB2312"/>
          <w:b/>
          <w:bCs/>
          <w:color w:val="000000"/>
          <w:sz w:val="24"/>
        </w:rPr>
        <w:t xml:space="preserve">   </w:t>
      </w:r>
    </w:p>
    <w:p>
      <w:pPr>
        <w:adjustRightInd w:val="0"/>
        <w:snapToGrid w:val="0"/>
        <w:spacing w:line="360" w:lineRule="auto"/>
        <w:rPr>
          <w:rFonts w:hint="eastAsia" w:ascii="仿宋_GB2312" w:eastAsia="仿宋_GB2312"/>
          <w:color w:val="000000"/>
          <w:sz w:val="32"/>
          <w:szCs w:val="32"/>
        </w:rPr>
      </w:pPr>
    </w:p>
    <w:p>
      <w:pPr>
        <w:adjustRightInd w:val="0"/>
        <w:snapToGrid w:val="0"/>
        <w:spacing w:line="360" w:lineRule="auto"/>
        <w:ind w:left="2230" w:leftChars="1062" w:firstLine="320" w:firstLineChars="100"/>
        <w:rPr>
          <w:rFonts w:ascii="宋体"/>
          <w:color w:val="000000"/>
          <w:sz w:val="32"/>
          <w:szCs w:val="32"/>
          <w:u w:val="single"/>
        </w:rPr>
      </w:pPr>
    </w:p>
    <w:p>
      <w:pPr>
        <w:adjustRightInd w:val="0"/>
        <w:snapToGrid w:val="0"/>
        <w:spacing w:line="760" w:lineRule="exact"/>
        <w:ind w:left="2788" w:leftChars="128" w:hanging="2519" w:hangingChars="656"/>
        <w:rPr>
          <w:rFonts w:hint="eastAsia" w:ascii="仿宋_GB2312" w:eastAsia="仿宋_GB2312"/>
          <w:color w:val="000000"/>
          <w:sz w:val="32"/>
          <w:szCs w:val="32"/>
          <w:u w:val="single"/>
        </w:rPr>
      </w:pPr>
      <w:r>
        <w:rPr>
          <w:rFonts w:hint="eastAsia" w:ascii="仿宋_GB2312" w:eastAsia="仿宋_GB2312"/>
          <w:color w:val="000000"/>
          <w:spacing w:val="12"/>
          <w:sz w:val="36"/>
          <w:szCs w:val="36"/>
        </w:rPr>
        <w:t>工 程 地 点</w:t>
      </w:r>
      <w:r>
        <w:rPr>
          <w:rFonts w:hint="eastAsia" w:ascii="仿宋_GB2312" w:eastAsia="仿宋_GB2312"/>
          <w:color w:val="000000"/>
          <w:sz w:val="36"/>
          <w:szCs w:val="36"/>
        </w:rPr>
        <w:t>：</w:t>
      </w:r>
      <w:r>
        <w:rPr>
          <w:rFonts w:hint="eastAsia" w:ascii="仿宋_GB2312" w:eastAsia="仿宋_GB2312"/>
          <w:color w:val="000000"/>
          <w:sz w:val="32"/>
          <w:szCs w:val="32"/>
          <w:u w:val="single"/>
        </w:rPr>
        <w:t xml:space="preserve">重庆市                            </w:t>
      </w:r>
    </w:p>
    <w:p>
      <w:pPr>
        <w:adjustRightInd w:val="0"/>
        <w:snapToGrid w:val="0"/>
        <w:spacing w:line="760" w:lineRule="exact"/>
        <w:ind w:left="2788" w:leftChars="128" w:hanging="2519" w:hangingChars="656"/>
        <w:outlineLvl w:val="0"/>
        <w:rPr>
          <w:rFonts w:hint="eastAsia" w:ascii="仿宋_GB2312" w:eastAsia="仿宋_GB2312"/>
          <w:color w:val="000000"/>
          <w:spacing w:val="12"/>
          <w:sz w:val="36"/>
          <w:szCs w:val="36"/>
        </w:rPr>
      </w:pPr>
    </w:p>
    <w:p>
      <w:pPr>
        <w:adjustRightInd w:val="0"/>
        <w:snapToGrid w:val="0"/>
        <w:spacing w:line="760" w:lineRule="exact"/>
        <w:ind w:left="2788" w:leftChars="128" w:hanging="2519" w:hangingChars="656"/>
        <w:outlineLvl w:val="0"/>
        <w:rPr>
          <w:rFonts w:ascii="仿宋_GB2312" w:eastAsia="仿宋_GB2312"/>
          <w:color w:val="000000"/>
          <w:sz w:val="24"/>
        </w:rPr>
      </w:pPr>
      <w:r>
        <w:rPr>
          <w:rFonts w:hint="eastAsia" w:ascii="仿宋_GB2312" w:eastAsia="仿宋_GB2312"/>
          <w:color w:val="000000"/>
          <w:spacing w:val="12"/>
          <w:sz w:val="36"/>
          <w:szCs w:val="36"/>
        </w:rPr>
        <w:t>合 同 编 号</w:t>
      </w:r>
      <w:r>
        <w:rPr>
          <w:rFonts w:hint="eastAsia" w:ascii="仿宋_GB2312" w:eastAsia="仿宋_GB2312"/>
          <w:color w:val="000000"/>
          <w:sz w:val="36"/>
          <w:szCs w:val="36"/>
        </w:rPr>
        <w:t>：</w:t>
      </w:r>
      <w:r>
        <w:rPr>
          <w:rFonts w:hint="eastAsia" w:ascii="仿宋_GB2312" w:eastAsia="仿宋_GB2312"/>
          <w:color w:val="000000"/>
          <w:sz w:val="36"/>
          <w:szCs w:val="36"/>
          <w:u w:val="single"/>
        </w:rPr>
        <w:t xml:space="preserve">                      </w:t>
      </w:r>
    </w:p>
    <w:p>
      <w:pPr>
        <w:adjustRightInd w:val="0"/>
        <w:snapToGrid w:val="0"/>
        <w:spacing w:line="760" w:lineRule="exact"/>
        <w:ind w:left="2630" w:leftChars="128" w:hanging="2361" w:hangingChars="656"/>
        <w:rPr>
          <w:rFonts w:hint="eastAsia" w:ascii="仿宋_GB2312" w:eastAsia="仿宋_GB2312"/>
          <w:color w:val="000000"/>
          <w:sz w:val="36"/>
          <w:szCs w:val="36"/>
        </w:rPr>
      </w:pPr>
    </w:p>
    <w:p>
      <w:pPr>
        <w:adjustRightInd w:val="0"/>
        <w:snapToGrid w:val="0"/>
        <w:spacing w:line="760" w:lineRule="exact"/>
        <w:ind w:left="2630" w:leftChars="128" w:hanging="2361" w:hangingChars="656"/>
        <w:rPr>
          <w:rFonts w:hint="eastAsia" w:ascii="仿宋_GB2312" w:eastAsia="仿宋_GB2312"/>
          <w:color w:val="000000"/>
          <w:w w:val="97"/>
          <w:kern w:val="20"/>
          <w:sz w:val="32"/>
          <w:szCs w:val="32"/>
          <w:u w:val="single"/>
        </w:rPr>
      </w:pPr>
      <w:r>
        <w:rPr>
          <w:rFonts w:hint="eastAsia" w:ascii="仿宋_GB2312" w:eastAsia="仿宋_GB2312"/>
          <w:color w:val="000000"/>
          <w:sz w:val="36"/>
          <w:szCs w:val="36"/>
        </w:rPr>
        <w:t>甲        方：</w:t>
      </w:r>
      <w:r>
        <w:rPr>
          <w:rFonts w:hint="eastAsia" w:ascii="仿宋_GB2312" w:eastAsia="仿宋_GB2312"/>
          <w:color w:val="000000"/>
          <w:w w:val="97"/>
          <w:kern w:val="20"/>
          <w:sz w:val="32"/>
          <w:szCs w:val="32"/>
          <w:u w:val="single"/>
          <w:lang w:eastAsia="zh-CN"/>
        </w:rPr>
        <w:t>重庆首讯科技股份有限公司</w:t>
      </w:r>
      <w:r>
        <w:rPr>
          <w:rFonts w:hint="eastAsia" w:ascii="仿宋_GB2312" w:eastAsia="仿宋_GB2312"/>
          <w:color w:val="000000"/>
          <w:w w:val="97"/>
          <w:kern w:val="20"/>
          <w:sz w:val="32"/>
          <w:szCs w:val="32"/>
          <w:u w:val="single"/>
        </w:rPr>
        <w:t xml:space="preserve">     </w:t>
      </w:r>
    </w:p>
    <w:p>
      <w:pPr>
        <w:adjustRightInd w:val="0"/>
        <w:snapToGrid w:val="0"/>
        <w:spacing w:line="760" w:lineRule="exact"/>
        <w:ind w:left="2630" w:leftChars="128" w:hanging="2361" w:hangingChars="656"/>
        <w:rPr>
          <w:rFonts w:hint="eastAsia" w:ascii="仿宋_GB2312" w:eastAsia="仿宋_GB2312"/>
          <w:color w:val="000000"/>
          <w:sz w:val="36"/>
          <w:szCs w:val="36"/>
        </w:rPr>
      </w:pPr>
    </w:p>
    <w:p>
      <w:pPr>
        <w:adjustRightInd w:val="0"/>
        <w:snapToGrid w:val="0"/>
        <w:spacing w:line="760" w:lineRule="exact"/>
        <w:ind w:left="2630" w:leftChars="128" w:hanging="2361" w:hangingChars="656"/>
        <w:rPr>
          <w:rFonts w:hint="eastAsia" w:ascii="仿宋_GB2312" w:eastAsia="仿宋_GB2312"/>
          <w:color w:val="000000"/>
          <w:w w:val="97"/>
          <w:kern w:val="20"/>
          <w:sz w:val="32"/>
          <w:szCs w:val="32"/>
          <w:u w:val="single"/>
        </w:rPr>
      </w:pPr>
      <w:r>
        <w:rPr>
          <w:rFonts w:hint="eastAsia" w:ascii="仿宋_GB2312" w:eastAsia="仿宋_GB2312"/>
          <w:color w:val="000000"/>
          <w:sz w:val="36"/>
          <w:szCs w:val="36"/>
        </w:rPr>
        <w:t>乙        方：</w:t>
      </w:r>
      <w:r>
        <w:rPr>
          <w:rFonts w:hint="eastAsia" w:ascii="仿宋_GB2312" w:eastAsia="仿宋_GB2312"/>
          <w:color w:val="000000"/>
          <w:w w:val="97"/>
          <w:kern w:val="20"/>
          <w:sz w:val="32"/>
          <w:szCs w:val="32"/>
          <w:u w:val="single"/>
        </w:rPr>
        <w:t xml:space="preserve">  </w:t>
      </w:r>
      <w:r>
        <w:rPr>
          <w:rFonts w:hint="eastAsia" w:ascii="仿宋_GB2312" w:eastAsia="仿宋_GB2312"/>
          <w:color w:val="000000"/>
          <w:w w:val="97"/>
          <w:kern w:val="20"/>
          <w:sz w:val="32"/>
          <w:szCs w:val="32"/>
          <w:u w:val="single"/>
          <w:lang w:val="en-US" w:eastAsia="zh-CN"/>
        </w:rPr>
        <w:t xml:space="preserve">                           </w:t>
      </w:r>
      <w:r>
        <w:rPr>
          <w:rFonts w:hint="eastAsia" w:ascii="仿宋_GB2312" w:eastAsia="仿宋_GB2312"/>
          <w:color w:val="000000"/>
          <w:w w:val="97"/>
          <w:kern w:val="20"/>
          <w:sz w:val="32"/>
          <w:szCs w:val="32"/>
          <w:u w:val="single"/>
        </w:rPr>
        <w:t xml:space="preserve"> </w:t>
      </w:r>
    </w:p>
    <w:p>
      <w:pPr>
        <w:adjustRightInd w:val="0"/>
        <w:snapToGrid w:val="0"/>
        <w:spacing w:line="760" w:lineRule="exact"/>
        <w:ind w:left="2788" w:leftChars="128" w:hanging="2519" w:hangingChars="656"/>
        <w:rPr>
          <w:rFonts w:hint="eastAsia" w:ascii="仿宋_GB2312" w:eastAsia="仿宋_GB2312"/>
          <w:color w:val="000000"/>
          <w:spacing w:val="12"/>
          <w:sz w:val="36"/>
          <w:szCs w:val="36"/>
        </w:rPr>
      </w:pPr>
    </w:p>
    <w:p>
      <w:pPr>
        <w:adjustRightInd w:val="0"/>
        <w:snapToGrid w:val="0"/>
        <w:spacing w:line="760" w:lineRule="exact"/>
        <w:ind w:left="2788" w:leftChars="128" w:hanging="2519" w:hangingChars="656"/>
        <w:rPr>
          <w:rFonts w:hint="eastAsia" w:ascii="仿宋_GB2312" w:eastAsia="仿宋_GB2312"/>
          <w:color w:val="000000"/>
          <w:sz w:val="32"/>
          <w:szCs w:val="32"/>
          <w:u w:val="single"/>
        </w:rPr>
      </w:pPr>
      <w:r>
        <w:rPr>
          <w:rFonts w:hint="eastAsia" w:ascii="仿宋_GB2312" w:eastAsia="仿宋_GB2312"/>
          <w:color w:val="000000"/>
          <w:spacing w:val="12"/>
          <w:sz w:val="36"/>
          <w:szCs w:val="36"/>
        </w:rPr>
        <w:t>签 订 日 期：</w:t>
      </w:r>
      <w:r>
        <w:rPr>
          <w:rFonts w:hint="eastAsia" w:ascii="仿宋_GB2312" w:eastAsia="仿宋_GB2312"/>
          <w:color w:val="000000"/>
          <w:w w:val="97"/>
          <w:kern w:val="20"/>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p>
    <w:p>
      <w:pPr>
        <w:adjustRightInd w:val="0"/>
        <w:snapToGrid w:val="0"/>
        <w:spacing w:line="360" w:lineRule="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p>
    <w:p>
      <w:pPr>
        <w:adjustRightInd w:val="0"/>
        <w:snapToGrid w:val="0"/>
        <w:spacing w:line="480" w:lineRule="auto"/>
        <w:rPr>
          <w:rFonts w:hint="eastAsia" w:ascii="仿宋_GB2312" w:hAnsi="宋体" w:eastAsia="仿宋_GB2312"/>
          <w:b/>
          <w:color w:val="000000"/>
          <w:szCs w:val="28"/>
          <w:u w:val="single"/>
        </w:rPr>
      </w:pPr>
      <w:r>
        <w:rPr>
          <w:rFonts w:hint="eastAsia" w:ascii="仿宋_GB2312" w:hAnsi="宋体" w:eastAsia="仿宋_GB2312"/>
          <w:b/>
          <w:color w:val="000000"/>
          <w:szCs w:val="28"/>
          <w:u w:val="single"/>
        </w:rPr>
        <w:br w:type="page"/>
      </w:r>
      <w:r>
        <w:rPr>
          <w:rFonts w:hint="eastAsia" w:ascii="仿宋_GB2312" w:hAnsi="宋体" w:eastAsia="仿宋_GB2312"/>
          <w:b/>
          <w:color w:val="000000"/>
          <w:szCs w:val="28"/>
          <w:u w:val="single"/>
        </w:rPr>
        <w:t>甲方：</w:t>
      </w:r>
      <w:r>
        <w:rPr>
          <w:rFonts w:hint="eastAsia" w:ascii="仿宋_GB2312" w:hAnsi="宋体" w:eastAsia="仿宋_GB2312"/>
          <w:b/>
          <w:color w:val="000000"/>
          <w:szCs w:val="28"/>
          <w:u w:val="single"/>
          <w:lang w:eastAsia="zh-CN"/>
        </w:rPr>
        <w:t>重庆首讯科技股份有限公司</w:t>
      </w:r>
      <w:r>
        <w:rPr>
          <w:rFonts w:hint="eastAsia" w:ascii="仿宋_GB2312" w:hAnsi="宋体" w:eastAsia="仿宋_GB2312"/>
          <w:b/>
          <w:color w:val="000000"/>
          <w:szCs w:val="28"/>
          <w:u w:val="single"/>
        </w:rPr>
        <w:t xml:space="preserve">（下简称：甲方） </w:t>
      </w:r>
    </w:p>
    <w:p>
      <w:pPr>
        <w:adjustRightInd w:val="0"/>
        <w:snapToGrid w:val="0"/>
        <w:spacing w:line="480" w:lineRule="auto"/>
        <w:rPr>
          <w:rFonts w:hint="eastAsia" w:ascii="仿宋_GB2312" w:hAnsi="宋体" w:eastAsia="仿宋_GB2312"/>
          <w:color w:val="000000"/>
          <w:szCs w:val="28"/>
          <w:u w:val="single"/>
        </w:rPr>
      </w:pPr>
      <w:r>
        <w:rPr>
          <w:rFonts w:hint="eastAsia" w:ascii="仿宋_GB2312" w:hAnsi="宋体" w:eastAsia="仿宋_GB2312"/>
          <w:b/>
          <w:color w:val="000000"/>
          <w:szCs w:val="28"/>
          <w:u w:val="single"/>
        </w:rPr>
        <w:t>乙方：</w:t>
      </w:r>
      <w:r>
        <w:rPr>
          <w:rFonts w:hint="eastAsia" w:ascii="仿宋_GB2312" w:hAnsi="宋体" w:eastAsia="仿宋_GB2312"/>
          <w:b/>
          <w:color w:val="000000"/>
          <w:szCs w:val="28"/>
          <w:u w:val="single"/>
          <w:lang w:val="en-US" w:eastAsia="zh-CN"/>
        </w:rPr>
        <w:t xml:space="preserve">    </w:t>
      </w:r>
      <w:r>
        <w:rPr>
          <w:rFonts w:hint="eastAsia" w:ascii="仿宋_GB2312" w:hAnsi="宋体" w:eastAsia="仿宋_GB2312"/>
          <w:b/>
          <w:color w:val="000000"/>
          <w:szCs w:val="28"/>
          <w:u w:val="single"/>
        </w:rPr>
        <w:t xml:space="preserve">（下简称：乙方） </w:t>
      </w:r>
    </w:p>
    <w:p>
      <w:pPr>
        <w:adjustRightInd w:val="0"/>
        <w:snapToGrid w:val="0"/>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甲方委托乙方</w:t>
      </w:r>
      <w:r>
        <w:rPr>
          <w:rFonts w:hint="eastAsia" w:ascii="仿宋_GB2312" w:hAnsi="宋体" w:eastAsia="仿宋_GB2312"/>
          <w:color w:val="000000"/>
          <w:sz w:val="24"/>
          <w:lang w:val="en-US" w:eastAsia="zh-CN"/>
        </w:rPr>
        <w:t>对</w:t>
      </w:r>
      <w:r>
        <w:rPr>
          <w:rFonts w:hint="eastAsia" w:ascii="仿宋_GB2312" w:hAnsi="宋体" w:eastAsia="仿宋_GB2312"/>
          <w:color w:val="000000"/>
          <w:sz w:val="24"/>
        </w:rPr>
        <w:t>渝湘复线 62个隧道</w:t>
      </w:r>
      <w:r>
        <w:rPr>
          <w:rFonts w:hint="eastAsia" w:ascii="仿宋_GB2312" w:hAnsi="宋体" w:eastAsia="仿宋_GB2312"/>
          <w:color w:val="000000"/>
          <w:sz w:val="24"/>
          <w:lang w:val="en-US" w:eastAsia="zh-CN"/>
        </w:rPr>
        <w:t>进行</w:t>
      </w:r>
      <w:r>
        <w:rPr>
          <w:rFonts w:hint="eastAsia" w:ascii="仿宋_GB2312" w:hAnsi="宋体" w:eastAsia="仿宋_GB2312"/>
          <w:color w:val="000000"/>
          <w:sz w:val="24"/>
        </w:rPr>
        <w:t>照明精细化控制策略以及无级调光控制策略，提供相应的控制软件模块。根据《中华人民共和国合同法》有关规定，结合本项目的具体情况，经双方协商达成如下一致条款，供双方共同遵守和履行。</w:t>
      </w:r>
    </w:p>
    <w:p>
      <w:pPr>
        <w:adjustRightInd w:val="0"/>
        <w:snapToGrid w:val="0"/>
        <w:spacing w:line="360" w:lineRule="auto"/>
        <w:ind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 xml:space="preserve">第一条 </w:t>
      </w:r>
      <w:r>
        <w:rPr>
          <w:rFonts w:hint="eastAsia" w:ascii="仿宋_GB2312" w:hAnsi="宋体" w:eastAsia="仿宋_GB2312"/>
          <w:color w:val="000000"/>
          <w:sz w:val="24"/>
        </w:rPr>
        <w:t>本合同签订依据</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1.1 《中华人民共和国合同法》。</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1.2 国家及地方有关建设工程勘察编制管理法规和规章。</w:t>
      </w:r>
    </w:p>
    <w:p>
      <w:pPr>
        <w:adjustRightInd w:val="0"/>
        <w:snapToGrid w:val="0"/>
        <w:spacing w:line="360" w:lineRule="auto"/>
        <w:ind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第二条</w:t>
      </w:r>
      <w:r>
        <w:rPr>
          <w:rFonts w:hint="eastAsia" w:ascii="仿宋_GB2312" w:hAnsi="宋体" w:eastAsia="仿宋_GB2312"/>
          <w:color w:val="000000"/>
          <w:sz w:val="24"/>
        </w:rPr>
        <w:t xml:space="preserve"> 编制依据</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2.1 甲方提供的基础资料。</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2.2 交通运输部、（原）邮电部、信息产业部、（原）电力部和建设部颁布的现行有关标准；</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2.3 按重庆市交委、高速集团编制的有关标准、文件；</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2.4 甲方提出的有关技术要求。</w:t>
      </w:r>
    </w:p>
    <w:p>
      <w:pPr>
        <w:adjustRightInd w:val="0"/>
        <w:snapToGrid w:val="0"/>
        <w:spacing w:line="360" w:lineRule="auto"/>
        <w:ind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第三条</w:t>
      </w:r>
      <w:r>
        <w:rPr>
          <w:rFonts w:hint="eastAsia" w:ascii="仿宋_GB2312" w:hAnsi="宋体" w:eastAsia="仿宋_GB2312"/>
          <w:color w:val="000000"/>
          <w:sz w:val="24"/>
        </w:rPr>
        <w:t xml:space="preserve"> 合同文件的优先次序</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构成本合同的文件可视为是能互相说明的，如果合同文件存在歧义或不一致，则根据如下优先次序来判断：</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3.1 合同书。</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3.2 甲方提供的基础资料。</w:t>
      </w:r>
    </w:p>
    <w:p>
      <w:pPr>
        <w:adjustRightInd w:val="0"/>
        <w:snapToGrid w:val="0"/>
        <w:spacing w:line="360" w:lineRule="auto"/>
        <w:ind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 xml:space="preserve">第四条 </w:t>
      </w:r>
      <w:r>
        <w:rPr>
          <w:rFonts w:hint="eastAsia" w:ascii="仿宋_GB2312" w:hAnsi="宋体" w:eastAsia="仿宋_GB2312"/>
          <w:color w:val="000000"/>
          <w:sz w:val="24"/>
        </w:rPr>
        <w:t>本合同项目的名称、阶段及编制内容。</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4.1 项目名称：</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4.2 编制内容：</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4.2.1 乙方对渝湘复线高速公路项目隧道照明策略设计服务</w:t>
      </w:r>
      <w:r>
        <w:rPr>
          <w:rFonts w:ascii="仿宋_GB2312" w:hAnsi="宋体" w:eastAsia="仿宋_GB2312"/>
          <w:sz w:val="24"/>
        </w:rPr>
        <w:t>。</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4.3 工作要求</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4.3.1乙方的编制文件应</w:t>
      </w:r>
      <w:r>
        <w:rPr>
          <w:rFonts w:hint="eastAsia" w:ascii="仿宋_GB2312" w:hAnsi="宋体" w:eastAsia="仿宋_GB2312"/>
          <w:color w:val="000000"/>
          <w:sz w:val="24"/>
          <w:lang w:val="en-US" w:eastAsia="zh-CN"/>
        </w:rPr>
        <w:t>根据比选文件要求进行</w:t>
      </w:r>
      <w:r>
        <w:rPr>
          <w:rFonts w:hint="eastAsia" w:ascii="仿宋_GB2312" w:hAnsi="宋体" w:eastAsia="仿宋_GB2312"/>
          <w:color w:val="000000"/>
          <w:sz w:val="24"/>
        </w:rPr>
        <w:t>，结合实际情况编制渝湘复线高速公路项目隧道照明策略。</w:t>
      </w:r>
    </w:p>
    <w:p>
      <w:pPr>
        <w:pStyle w:val="16"/>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仿宋_GB2312" w:hAnsi="宋体" w:eastAsia="仿宋_GB2312"/>
          <w:sz w:val="24"/>
        </w:rPr>
      </w:pPr>
      <w:r>
        <w:rPr>
          <w:rFonts w:hint="eastAsia" w:ascii="仿宋_GB2312" w:hAnsi="宋体" w:eastAsia="仿宋_GB2312"/>
          <w:sz w:val="24"/>
        </w:rPr>
        <w:t>4.3.2 根据项目实施计划表提交相关编制资料，202</w:t>
      </w:r>
      <w:r>
        <w:rPr>
          <w:rFonts w:hint="eastAsia" w:ascii="仿宋_GB2312" w:hAnsi="宋体" w:eastAsia="仿宋_GB2312"/>
          <w:sz w:val="24"/>
          <w:lang w:val="en-US" w:eastAsia="zh-CN"/>
        </w:rPr>
        <w:t>5</w:t>
      </w:r>
      <w:r>
        <w:rPr>
          <w:rFonts w:hint="eastAsia" w:ascii="仿宋_GB2312" w:hAnsi="宋体" w:eastAsia="仿宋_GB2312"/>
          <w:sz w:val="24"/>
        </w:rPr>
        <w:t>年1</w:t>
      </w:r>
      <w:r>
        <w:rPr>
          <w:rFonts w:hint="eastAsia" w:ascii="仿宋_GB2312" w:hAnsi="宋体" w:eastAsia="仿宋_GB2312"/>
          <w:sz w:val="24"/>
          <w:lang w:val="en-US" w:eastAsia="zh-CN"/>
        </w:rPr>
        <w:t>2</w:t>
      </w:r>
      <w:r>
        <w:rPr>
          <w:rFonts w:hint="eastAsia" w:ascii="仿宋_GB2312" w:hAnsi="宋体" w:eastAsia="仿宋_GB2312"/>
          <w:sz w:val="24"/>
        </w:rPr>
        <w:t>月30日</w:t>
      </w:r>
      <w:r>
        <w:rPr>
          <w:rFonts w:hint="eastAsia" w:ascii="仿宋_GB2312" w:hAnsi="宋体" w:eastAsia="仿宋_GB2312"/>
          <w:sz w:val="24"/>
          <w:lang w:val="en-US" w:eastAsia="zh-CN"/>
        </w:rPr>
        <w:t>至</w:t>
      </w:r>
      <w:r>
        <w:rPr>
          <w:rFonts w:hint="eastAsia" w:ascii="方正仿宋_GBK" w:hAnsi="方正仿宋_GBK" w:eastAsia="方正仿宋_GBK" w:cs="方正仿宋_GBK"/>
          <w:sz w:val="24"/>
          <w:szCs w:val="24"/>
          <w:lang w:val="en-US" w:eastAsia="en-US" w:bidi="ar-SA"/>
        </w:rPr>
        <w:t>2027年 12月 30日</w:t>
      </w:r>
      <w:r>
        <w:rPr>
          <w:rFonts w:hint="eastAsia" w:ascii="仿宋_GB2312" w:hAnsi="宋体" w:eastAsia="仿宋_GB2312"/>
          <w:sz w:val="24"/>
        </w:rPr>
        <w:t>前提交</w:t>
      </w:r>
      <w:r>
        <w:rPr>
          <w:rFonts w:hint="eastAsia" w:ascii="仿宋_GB2312" w:hAnsi="宋体" w:eastAsia="仿宋_GB2312"/>
          <w:sz w:val="24"/>
          <w:lang w:val="en-US" w:eastAsia="zh-CN"/>
        </w:rPr>
        <w:t>相关文件</w:t>
      </w:r>
      <w:r>
        <w:rPr>
          <w:rFonts w:hint="eastAsia" w:ascii="仿宋_GB2312" w:hAnsi="宋体" w:eastAsia="仿宋_GB2312"/>
          <w:sz w:val="24"/>
        </w:rPr>
        <w:t>（含可编辑电子版文件）。</w:t>
      </w:r>
    </w:p>
    <w:p>
      <w:pPr>
        <w:adjustRightInd w:val="0"/>
        <w:snapToGrid w:val="0"/>
        <w:spacing w:line="360" w:lineRule="auto"/>
        <w:ind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 xml:space="preserve">第五条 </w:t>
      </w:r>
      <w:r>
        <w:rPr>
          <w:rFonts w:hint="eastAsia" w:ascii="仿宋_GB2312" w:hAnsi="宋体" w:eastAsia="仿宋_GB2312"/>
          <w:color w:val="000000"/>
          <w:sz w:val="24"/>
        </w:rPr>
        <w:t>乙方向甲方交付的编制文件、份数、地点及时间</w:t>
      </w:r>
    </w:p>
    <w:p>
      <w:pPr>
        <w:pStyle w:val="23"/>
        <w:adjustRightInd w:val="0"/>
        <w:snapToGrid w:val="0"/>
        <w:spacing w:line="360" w:lineRule="auto"/>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5.1 依据甲方的安排，乙方在规定的时间内，按照甲方要求提供</w:t>
      </w: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lang w:eastAsia="zh-CN"/>
        </w:rPr>
        <w:t>份成果</w:t>
      </w:r>
      <w:r>
        <w:rPr>
          <w:rFonts w:hint="eastAsia" w:ascii="仿宋_GB2312" w:hAnsi="宋体" w:eastAsia="仿宋_GB2312"/>
          <w:color w:val="000000"/>
          <w:sz w:val="24"/>
          <w:szCs w:val="24"/>
        </w:rPr>
        <w:t>文件。</w:t>
      </w:r>
    </w:p>
    <w:p>
      <w:pPr>
        <w:adjustRightInd w:val="0"/>
        <w:snapToGrid w:val="0"/>
        <w:spacing w:line="360" w:lineRule="auto"/>
        <w:ind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第六条</w:t>
      </w:r>
      <w:r>
        <w:rPr>
          <w:rFonts w:hint="eastAsia" w:ascii="仿宋_GB2312" w:hAnsi="宋体" w:eastAsia="仿宋_GB2312"/>
          <w:color w:val="000000"/>
          <w:sz w:val="24"/>
        </w:rPr>
        <w:t xml:space="preserve"> 合同费用</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6.1</w:t>
      </w:r>
      <w:r>
        <w:rPr>
          <w:rFonts w:hint="eastAsia" w:ascii="仿宋_GB2312" w:hAnsi="宋体" w:eastAsia="仿宋_GB2312"/>
          <w:color w:val="000000"/>
          <w:sz w:val="24"/>
        </w:rPr>
        <w:t>经双方友好协商，</w:t>
      </w:r>
      <w:r>
        <w:rPr>
          <w:rFonts w:hint="eastAsia" w:ascii="仿宋_GB2312" w:hAnsi="宋体" w:eastAsia="仿宋_GB2312"/>
          <w:sz w:val="24"/>
        </w:rPr>
        <w:t>编制费用为</w:t>
      </w:r>
      <w:r>
        <w:rPr>
          <w:rFonts w:ascii="Arial" w:hAnsi="Arial" w:eastAsia="仿宋_GB2312" w:cs="Arial"/>
          <w:sz w:val="24"/>
        </w:rPr>
        <w:t>¥</w:t>
      </w:r>
      <w:r>
        <w:rPr>
          <w:rFonts w:hint="eastAsia" w:ascii="仿宋_GB2312" w:hAnsi="宋体" w:eastAsia="仿宋_GB2312"/>
          <w:sz w:val="24"/>
          <w:lang w:val="en-US" w:eastAsia="zh-CN"/>
        </w:rPr>
        <w:t xml:space="preserve">    </w:t>
      </w:r>
      <w:r>
        <w:rPr>
          <w:rFonts w:hint="eastAsia" w:ascii="仿宋_GB2312" w:hAnsi="宋体" w:eastAsia="仿宋_GB2312"/>
          <w:sz w:val="24"/>
        </w:rPr>
        <w:t>元(大写：</w:t>
      </w:r>
      <w:r>
        <w:rPr>
          <w:rFonts w:hint="eastAsia" w:ascii="仿宋_GB2312" w:hAnsi="宋体" w:eastAsia="仿宋_GB2312"/>
          <w:sz w:val="24"/>
          <w:lang w:val="en-US" w:eastAsia="zh-CN"/>
        </w:rPr>
        <w:t xml:space="preserve">  </w:t>
      </w:r>
      <w:r>
        <w:rPr>
          <w:rFonts w:hint="eastAsia" w:ascii="仿宋_GB2312" w:hAnsi="宋体" w:eastAsia="仿宋_GB2312"/>
          <w:sz w:val="24"/>
        </w:rPr>
        <w:t>)。</w:t>
      </w:r>
      <w:r>
        <w:rPr>
          <w:rFonts w:hint="eastAsia" w:ascii="仿宋_GB2312" w:hAnsi="宋体" w:eastAsia="仿宋_GB2312"/>
          <w:sz w:val="24"/>
          <w:lang w:val="en-US" w:eastAsia="zh-CN"/>
        </w:rPr>
        <w:t>合同费用</w:t>
      </w:r>
      <w:r>
        <w:rPr>
          <w:rFonts w:hint="eastAsia" w:ascii="仿宋_GB2312" w:hAnsi="宋体" w:eastAsia="仿宋_GB2312"/>
          <w:sz w:val="24"/>
        </w:rPr>
        <w:t>应包含但不限于完成本项目比选内容全部工作内容所需的人工、材料、服务、税金、管理费、利润等所有一切费用，一旦中标，采购人不再额外支付任何费用。</w:t>
      </w:r>
    </w:p>
    <w:p>
      <w:pPr>
        <w:adjustRightInd w:val="0"/>
        <w:snapToGrid w:val="0"/>
        <w:spacing w:line="360" w:lineRule="auto"/>
        <w:ind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第七条</w:t>
      </w:r>
      <w:r>
        <w:rPr>
          <w:rFonts w:hint="eastAsia" w:ascii="仿宋_GB2312" w:hAnsi="宋体" w:eastAsia="仿宋_GB2312"/>
          <w:color w:val="000000"/>
          <w:sz w:val="24"/>
        </w:rPr>
        <w:t xml:space="preserve"> 支付方式</w:t>
      </w:r>
    </w:p>
    <w:p>
      <w:pPr>
        <w:adjustRightInd w:val="0"/>
        <w:snapToGrid w:val="0"/>
        <w:spacing w:line="324" w:lineRule="auto"/>
        <w:ind w:firstLine="480" w:firstLineChars="200"/>
        <w:rPr>
          <w:rFonts w:hint="eastAsia" w:ascii="仿宋_GB2312" w:hAnsi="宋体" w:eastAsia="仿宋_GB2312"/>
          <w:sz w:val="24"/>
        </w:rPr>
      </w:pPr>
      <w:r>
        <w:rPr>
          <w:rFonts w:hint="eastAsia" w:ascii="仿宋_GB2312" w:hAnsi="宋体" w:eastAsia="仿宋_GB2312"/>
          <w:sz w:val="24"/>
        </w:rPr>
        <w:t>7.1 每次支付前需由乙方提交书面支付申请、相关证明材料以及对应增值税专用发票经甲方审核无误后，按以下节点支付，因乙方原因未按时提交相关资料，导致支付延期的，非甲方违约责任：</w:t>
      </w:r>
    </w:p>
    <w:p>
      <w:pPr>
        <w:adjustRightInd w:val="0"/>
        <w:snapToGrid w:val="0"/>
        <w:spacing w:line="324" w:lineRule="auto"/>
        <w:ind w:firstLine="480" w:firstLineChars="200"/>
        <w:rPr>
          <w:rFonts w:hint="eastAsia" w:ascii="仿宋_GB2312" w:hAnsi="宋体" w:eastAsia="仿宋_GB2312"/>
          <w:sz w:val="24"/>
        </w:rPr>
      </w:pPr>
      <w:r>
        <w:rPr>
          <w:rFonts w:hint="eastAsia" w:ascii="仿宋_GB2312" w:hAnsi="宋体" w:eastAsia="仿宋_GB2312"/>
          <w:sz w:val="24"/>
        </w:rPr>
        <w:t>按年度支付，2025年按照工程进度要求完成相关服务内容后30日内支付至合同金额的40%，2026年按照工程进度要求完成相关服务内容后30日内支付至合同金额的70%，2027年按照工程进度要求完成相关服务内容后30日内支付至合同金额的100%。</w:t>
      </w:r>
    </w:p>
    <w:p>
      <w:pPr>
        <w:adjustRightInd w:val="0"/>
        <w:snapToGrid w:val="0"/>
        <w:spacing w:line="360" w:lineRule="auto"/>
        <w:ind w:firstLine="506" w:firstLineChars="210"/>
        <w:rPr>
          <w:rFonts w:hint="eastAsia" w:ascii="仿宋_GB2312" w:hAnsi="宋体" w:eastAsia="仿宋_GB2312"/>
          <w:color w:val="000000"/>
          <w:sz w:val="24"/>
        </w:rPr>
      </w:pPr>
      <w:r>
        <w:rPr>
          <w:rFonts w:hint="eastAsia" w:ascii="仿宋_GB2312" w:hAnsi="宋体" w:eastAsia="仿宋_GB2312"/>
          <w:b/>
          <w:color w:val="000000"/>
          <w:sz w:val="24"/>
        </w:rPr>
        <w:t>第八条</w:t>
      </w:r>
      <w:r>
        <w:rPr>
          <w:rFonts w:hint="eastAsia" w:ascii="仿宋_GB2312" w:hAnsi="宋体" w:eastAsia="仿宋_GB2312"/>
          <w:color w:val="000000"/>
          <w:sz w:val="24"/>
        </w:rPr>
        <w:t xml:space="preserve">  双方责任</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8.1 甲方责任：</w:t>
      </w:r>
    </w:p>
    <w:p>
      <w:pPr>
        <w:snapToGrid w:val="0"/>
        <w:spacing w:line="33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8.1.1提供本项目工程编制所需的相关资料；</w:t>
      </w:r>
      <w:r>
        <w:rPr>
          <w:rFonts w:ascii="仿宋_GB2312" w:hAnsi="宋体" w:eastAsia="仿宋_GB2312"/>
          <w:color w:val="000000"/>
          <w:sz w:val="24"/>
        </w:rPr>
        <w:t xml:space="preserve"> </w:t>
      </w:r>
    </w:p>
    <w:p>
      <w:pPr>
        <w:snapToGrid w:val="0"/>
        <w:spacing w:line="33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8.1.2负责协调解决乙方在工作中的问题；</w:t>
      </w:r>
    </w:p>
    <w:p>
      <w:pPr>
        <w:snapToGrid w:val="0"/>
        <w:spacing w:line="33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8.1.3负责协调与编制所需相关单位的关系；</w:t>
      </w:r>
    </w:p>
    <w:p>
      <w:pPr>
        <w:snapToGrid w:val="0"/>
        <w:spacing w:line="33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8.1.4按时支付乙方的编制费用。</w:t>
      </w:r>
    </w:p>
    <w:p>
      <w:pPr>
        <w:snapToGrid w:val="0"/>
        <w:spacing w:line="33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8.1.5合同生效后，甲方如终止合同，应赔偿乙方实际完成任务的费用；</w:t>
      </w:r>
    </w:p>
    <w:p>
      <w:pPr>
        <w:snapToGrid w:val="0"/>
        <w:spacing w:line="33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8.1.6由于甲方原因，造成编制部分和全部返工，由甲方按实际发生的费用支付给乙方，并顺延工期；</w:t>
      </w:r>
    </w:p>
    <w:p>
      <w:pPr>
        <w:snapToGrid w:val="0"/>
        <w:spacing w:line="33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8.1.9由于甲方的责任不能按合同约定的付款期付款时，每逾一个工作日，甲方按合同金额的千分之五向乙方支付罚款。</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8.2 乙方责任：</w:t>
      </w:r>
    </w:p>
    <w:p>
      <w:pPr>
        <w:snapToGrid w:val="0"/>
        <w:spacing w:line="33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8.2.1严格执行有关交通工程的编制规范和标准，按时完成甲方委托的任务；</w:t>
      </w:r>
    </w:p>
    <w:p>
      <w:pPr>
        <w:snapToGrid w:val="0"/>
        <w:spacing w:line="33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8.2.2确保隧道照明在所有工况下均符合《公路隧道照明设计细则（JTG/T D70/2-01-2014）》的要求。</w:t>
      </w:r>
    </w:p>
    <w:p>
      <w:pPr>
        <w:snapToGrid w:val="0"/>
        <w:spacing w:line="33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8.2.</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由于乙方的责任造成乙方无法根据约定时间提交编制文件，每逾一个工作日，乙方按合同金额的千分之五向甲方支付罚款；</w:t>
      </w:r>
    </w:p>
    <w:p>
      <w:pPr>
        <w:snapToGrid w:val="0"/>
        <w:spacing w:line="33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8.2.5 因编制缺陷导致的责任均由乙方承担。</w:t>
      </w:r>
    </w:p>
    <w:p>
      <w:pPr>
        <w:adjustRightInd w:val="0"/>
        <w:snapToGrid w:val="0"/>
        <w:spacing w:line="360" w:lineRule="auto"/>
        <w:ind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第九条</w:t>
      </w:r>
      <w:r>
        <w:rPr>
          <w:rFonts w:hint="eastAsia" w:ascii="仿宋_GB2312" w:hAnsi="宋体" w:eastAsia="仿宋_GB2312"/>
          <w:color w:val="000000"/>
          <w:sz w:val="24"/>
        </w:rPr>
        <w:t xml:space="preserve">  保密</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双方均应保护对方的知识产权，未经对方书面同意，任何一方均不得对对方的资料及文件擅自修改、复制或向第三人转让或用于本合同项目外的项目。如发生以上情况，泄密方承担一切由此引起的后果并承担赔偿责任。</w:t>
      </w:r>
    </w:p>
    <w:p>
      <w:pPr>
        <w:adjustRightInd w:val="0"/>
        <w:snapToGrid w:val="0"/>
        <w:spacing w:line="360" w:lineRule="auto"/>
        <w:ind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 xml:space="preserve">第十条 </w:t>
      </w:r>
      <w:r>
        <w:rPr>
          <w:rFonts w:hint="eastAsia" w:ascii="仿宋_GB2312" w:hAnsi="宋体" w:eastAsia="仿宋_GB2312"/>
          <w:color w:val="000000"/>
          <w:sz w:val="24"/>
        </w:rPr>
        <w:t>仲裁</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本建设工程编制合同发生争议，甲方与乙方应及时协商解决。也可由当地建设行政主管部门调解，调解不成时，双方当事人同意由重庆仲裁委员会仲裁。</w:t>
      </w:r>
    </w:p>
    <w:p>
      <w:pPr>
        <w:adjustRightInd w:val="0"/>
        <w:snapToGrid w:val="0"/>
        <w:spacing w:line="360" w:lineRule="auto"/>
        <w:ind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第十一条</w:t>
      </w:r>
      <w:r>
        <w:rPr>
          <w:rFonts w:hint="eastAsia" w:ascii="仿宋_GB2312" w:hAnsi="宋体" w:eastAsia="仿宋_GB2312"/>
          <w:color w:val="000000"/>
          <w:sz w:val="24"/>
        </w:rPr>
        <w:t xml:space="preserve"> 合同生效及其他</w:t>
      </w:r>
    </w:p>
    <w:p>
      <w:pPr>
        <w:adjustRightInd w:val="0"/>
        <w:snapToGrid w:val="0"/>
        <w:spacing w:line="360" w:lineRule="auto"/>
        <w:ind w:firstLine="480" w:firstLineChars="200"/>
        <w:outlineLvl w:val="0"/>
        <w:rPr>
          <w:rFonts w:hint="eastAsia" w:ascii="仿宋_GB2312" w:hAnsi="宋体" w:eastAsia="仿宋_GB2312"/>
          <w:color w:val="000000"/>
          <w:sz w:val="24"/>
        </w:rPr>
      </w:pPr>
      <w:r>
        <w:rPr>
          <w:rFonts w:hint="eastAsia" w:ascii="仿宋_GB2312" w:hAnsi="宋体" w:eastAsia="仿宋_GB2312"/>
          <w:color w:val="000000"/>
          <w:sz w:val="24"/>
        </w:rPr>
        <w:t>11.1 由于不可抗力因素致使合同无法履行时，双方应及时协商解决。</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11.2 本合同双方签字盖章即生效，一式</w:t>
      </w:r>
      <w:r>
        <w:rPr>
          <w:rFonts w:hint="eastAsia" w:ascii="仿宋_GB2312" w:hAnsi="宋体" w:eastAsia="仿宋_GB2312"/>
          <w:color w:val="000000"/>
          <w:sz w:val="24"/>
          <w:u w:val="single"/>
        </w:rPr>
        <w:t xml:space="preserve"> 八 </w:t>
      </w:r>
      <w:r>
        <w:rPr>
          <w:rFonts w:hint="eastAsia" w:ascii="仿宋_GB2312" w:hAnsi="宋体" w:eastAsia="仿宋_GB2312"/>
          <w:color w:val="000000"/>
          <w:sz w:val="24"/>
        </w:rPr>
        <w:t>份，甲方</w:t>
      </w:r>
      <w:r>
        <w:rPr>
          <w:rFonts w:hint="eastAsia" w:ascii="仿宋_GB2312" w:hAnsi="宋体" w:eastAsia="仿宋_GB2312"/>
          <w:color w:val="000000"/>
          <w:sz w:val="24"/>
          <w:u w:val="single"/>
        </w:rPr>
        <w:t xml:space="preserve"> 四 </w:t>
      </w:r>
      <w:r>
        <w:rPr>
          <w:rFonts w:hint="eastAsia" w:ascii="仿宋_GB2312" w:hAnsi="宋体" w:eastAsia="仿宋_GB2312"/>
          <w:color w:val="000000"/>
          <w:sz w:val="24"/>
        </w:rPr>
        <w:t>份，乙方</w:t>
      </w:r>
      <w:r>
        <w:rPr>
          <w:rFonts w:hint="eastAsia" w:ascii="仿宋_GB2312" w:hAnsi="宋体" w:eastAsia="仿宋_GB2312"/>
          <w:color w:val="000000"/>
          <w:sz w:val="24"/>
          <w:u w:val="single"/>
        </w:rPr>
        <w:t>四</w:t>
      </w:r>
      <w:r>
        <w:rPr>
          <w:rFonts w:hint="eastAsia" w:ascii="仿宋_GB2312" w:hAnsi="宋体" w:eastAsia="仿宋_GB2312"/>
          <w:color w:val="000000"/>
          <w:sz w:val="24"/>
        </w:rPr>
        <w:t>份。</w:t>
      </w:r>
    </w:p>
    <w:p>
      <w:pPr>
        <w:adjustRightInd w:val="0"/>
        <w:snapToGrid w:val="0"/>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11.</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 xml:space="preserve"> 未尽事宜，经双方协商一致，签订补充协议，补充协议与本合同具有同等效力。</w:t>
      </w:r>
    </w:p>
    <w:p>
      <w:pPr>
        <w:adjustRightInd w:val="0"/>
        <w:snapToGrid w:val="0"/>
        <w:spacing w:line="360" w:lineRule="auto"/>
        <w:ind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附件一：授权委托书</w:t>
      </w:r>
    </w:p>
    <w:p>
      <w:pPr>
        <w:adjustRightInd w:val="0"/>
        <w:snapToGrid w:val="0"/>
        <w:spacing w:line="360" w:lineRule="auto"/>
        <w:ind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附件二：服务要求</w:t>
      </w:r>
    </w:p>
    <w:p>
      <w:pPr>
        <w:adjustRightInd w:val="0"/>
        <w:snapToGrid w:val="0"/>
        <w:spacing w:line="360" w:lineRule="auto"/>
        <w:ind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附件三：廉政合同</w:t>
      </w:r>
    </w:p>
    <w:p>
      <w:pPr>
        <w:pStyle w:val="5"/>
        <w:rPr>
          <w:rFonts w:hint="eastAsia"/>
        </w:rPr>
      </w:pPr>
    </w:p>
    <w:p>
      <w:pPr>
        <w:pStyle w:val="5"/>
        <w:rPr>
          <w:rFonts w:hint="eastAsia" w:ascii="仿宋_GB2312" w:hAnsi="宋体" w:eastAsia="仿宋_GB2312"/>
          <w:color w:val="000000"/>
          <w:sz w:val="24"/>
        </w:rPr>
      </w:pPr>
    </w:p>
    <w:p>
      <w:pPr>
        <w:rPr>
          <w:rFonts w:hint="eastAsia" w:ascii="仿宋_GB2312" w:hAnsi="宋体" w:eastAsia="仿宋_GB2312"/>
          <w:color w:val="000000"/>
          <w:sz w:val="24"/>
        </w:rPr>
      </w:pPr>
    </w:p>
    <w:p>
      <w:pPr>
        <w:pStyle w:val="5"/>
        <w:rPr>
          <w:rFonts w:hint="eastAsia"/>
        </w:rPr>
      </w:pPr>
    </w:p>
    <w:p>
      <w:pPr>
        <w:adjustRightInd w:val="0"/>
        <w:snapToGrid w:val="0"/>
        <w:spacing w:line="360" w:lineRule="auto"/>
        <w:ind w:firstLine="480" w:firstLineChars="200"/>
        <w:rPr>
          <w:rFonts w:hint="eastAsia" w:ascii="仿宋_GB2312" w:hAnsi="宋体" w:eastAsia="仿宋_GB2312"/>
          <w:color w:val="000000"/>
          <w:sz w:val="24"/>
        </w:rPr>
      </w:pPr>
    </w:p>
    <w:p>
      <w:pPr>
        <w:adjustRightInd w:val="0"/>
        <w:snapToGrid w:val="0"/>
        <w:spacing w:line="360" w:lineRule="auto"/>
        <w:ind w:firstLine="480" w:firstLineChars="200"/>
        <w:rPr>
          <w:rFonts w:ascii="仿宋_GB2312" w:hAnsi="宋体" w:eastAsia="仿宋_GB2312"/>
          <w:color w:val="000000"/>
          <w:sz w:val="24"/>
        </w:rPr>
        <w:sectPr>
          <w:headerReference r:id="rId10" w:type="first"/>
          <w:footerReference r:id="rId12" w:type="first"/>
          <w:headerReference r:id="rId9" w:type="default"/>
          <w:footerReference r:id="rId11" w:type="default"/>
          <w:pgSz w:w="11906" w:h="16838"/>
          <w:pgMar w:top="1440" w:right="1797" w:bottom="1440" w:left="1797" w:header="720" w:footer="720" w:gutter="0"/>
          <w:pgNumType w:start="1"/>
          <w:cols w:space="720" w:num="1"/>
          <w:titlePg/>
          <w:docGrid w:type="lines" w:linePitch="440" w:charSpace="-5735"/>
        </w:sectPr>
      </w:pPr>
    </w:p>
    <w:p>
      <w:pPr>
        <w:adjustRightInd w:val="0"/>
        <w:snapToGrid w:val="0"/>
        <w:spacing w:line="360" w:lineRule="auto"/>
        <w:rPr>
          <w:rFonts w:hint="eastAsia" w:ascii="仿宋_GB2312" w:hAnsi="宋体" w:eastAsia="仿宋_GB2312"/>
          <w:b/>
          <w:bCs/>
          <w:color w:val="000000"/>
          <w:sz w:val="24"/>
        </w:rPr>
      </w:pPr>
      <w:r>
        <w:rPr>
          <w:rFonts w:hint="eastAsia" w:ascii="仿宋_GB2312" w:hAnsi="宋体" w:eastAsia="仿宋_GB2312"/>
          <w:b/>
          <w:bCs/>
          <w:color w:val="000000"/>
          <w:sz w:val="24"/>
        </w:rPr>
        <w:t>此页为签署页</w:t>
      </w:r>
    </w:p>
    <w:p>
      <w:pPr>
        <w:adjustRightInd w:val="0"/>
        <w:snapToGrid w:val="0"/>
        <w:spacing w:line="360" w:lineRule="auto"/>
        <w:rPr>
          <w:rFonts w:hint="eastAsia" w:ascii="仿宋_GB2312" w:hAnsi="宋体" w:eastAsia="仿宋_GB2312"/>
          <w:b/>
          <w:color w:val="000000"/>
          <w:sz w:val="24"/>
          <w:lang w:eastAsia="zh-CN"/>
        </w:rPr>
      </w:pPr>
      <w:r>
        <w:rPr>
          <w:rFonts w:hint="eastAsia" w:ascii="仿宋_GB2312" w:hAnsi="宋体" w:eastAsia="仿宋_GB2312"/>
          <w:b/>
          <w:bCs/>
          <w:color w:val="000000"/>
          <w:sz w:val="24"/>
        </w:rPr>
        <w:t>甲方：</w:t>
      </w:r>
      <w:r>
        <w:rPr>
          <w:rFonts w:hint="eastAsia" w:ascii="仿宋_GB2312" w:hAnsi="宋体" w:eastAsia="仿宋_GB2312"/>
          <w:b/>
          <w:color w:val="000000"/>
          <w:sz w:val="24"/>
        </w:rPr>
        <w:tab/>
      </w:r>
      <w:r>
        <w:rPr>
          <w:rFonts w:hint="eastAsia" w:ascii="仿宋_GB2312" w:hAnsi="宋体" w:eastAsia="仿宋_GB2312"/>
          <w:b/>
          <w:color w:val="000000"/>
          <w:sz w:val="24"/>
          <w:lang w:eastAsia="zh-CN"/>
        </w:rPr>
        <w:t>重庆首讯科技股份有限公司</w:t>
      </w:r>
    </w:p>
    <w:p>
      <w:pPr>
        <w:adjustRightInd w:val="0"/>
        <w:snapToGrid w:val="0"/>
        <w:spacing w:line="360" w:lineRule="auto"/>
        <w:rPr>
          <w:rFonts w:hint="eastAsia" w:ascii="仿宋_GB2312" w:hAnsi="宋体" w:eastAsia="仿宋_GB2312"/>
          <w:color w:val="000000"/>
          <w:sz w:val="24"/>
        </w:rPr>
      </w:pP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z w:val="24"/>
        </w:rPr>
        <w:t xml:space="preserve">公司负责人或授权人：    </w:t>
      </w: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z w:val="24"/>
        </w:rPr>
        <w:t xml:space="preserve">联系人：                  </w:t>
      </w:r>
    </w:p>
    <w:p>
      <w:pPr>
        <w:adjustRightInd w:val="0"/>
        <w:snapToGrid w:val="0"/>
        <w:spacing w:line="360" w:lineRule="auto"/>
        <w:rPr>
          <w:rFonts w:hint="eastAsia" w:ascii="仿宋_GB2312" w:hAnsi="宋体" w:eastAsia="仿宋_GB2312"/>
          <w:color w:val="000000"/>
          <w:spacing w:val="24"/>
          <w:sz w:val="24"/>
        </w:rPr>
      </w:pPr>
      <w:r>
        <w:rPr>
          <w:rFonts w:hint="eastAsia" w:ascii="仿宋_GB2312" w:hAnsi="宋体" w:eastAsia="仿宋_GB2312"/>
          <w:color w:val="000000"/>
          <w:spacing w:val="24"/>
          <w:sz w:val="24"/>
        </w:rPr>
        <w:t xml:space="preserve">地址：      </w:t>
      </w: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pacing w:val="24"/>
          <w:sz w:val="24"/>
        </w:rPr>
        <w:t>电话</w:t>
      </w:r>
      <w:r>
        <w:rPr>
          <w:rFonts w:hint="eastAsia" w:ascii="仿宋_GB2312" w:hAnsi="宋体" w:eastAsia="仿宋_GB2312"/>
          <w:color w:val="000000"/>
          <w:sz w:val="24"/>
        </w:rPr>
        <w:t>：</w:t>
      </w:r>
      <w:r>
        <w:rPr>
          <w:rFonts w:hint="eastAsia" w:ascii="仿宋_GB2312" w:hAnsi="宋体" w:eastAsia="仿宋_GB2312"/>
          <w:color w:val="000000"/>
          <w:spacing w:val="-20"/>
          <w:sz w:val="24"/>
        </w:rPr>
        <w:t xml:space="preserve"> </w:t>
      </w:r>
      <w:r>
        <w:rPr>
          <w:rFonts w:hint="eastAsia" w:ascii="仿宋_GB2312" w:hAnsi="宋体" w:eastAsia="仿宋_GB2312"/>
          <w:color w:val="000000"/>
          <w:sz w:val="24"/>
        </w:rPr>
        <w:t xml:space="preserve">          </w:t>
      </w: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pacing w:val="32"/>
          <w:sz w:val="24"/>
        </w:rPr>
        <w:t>签字日期：</w:t>
      </w:r>
      <w:r>
        <w:rPr>
          <w:rFonts w:hint="eastAsia" w:ascii="仿宋_GB2312" w:hAnsi="宋体" w:eastAsia="仿宋_GB2312"/>
          <w:color w:val="000000"/>
          <w:sz w:val="24"/>
        </w:rPr>
        <w:t xml:space="preserve"> </w:t>
      </w:r>
    </w:p>
    <w:p>
      <w:pPr>
        <w:adjustRightInd w:val="0"/>
        <w:snapToGrid w:val="0"/>
        <w:spacing w:line="360" w:lineRule="auto"/>
        <w:rPr>
          <w:rFonts w:ascii="仿宋_GB2312" w:hAnsi="宋体" w:eastAsia="仿宋_GB2312"/>
          <w:color w:val="000000"/>
          <w:sz w:val="24"/>
        </w:rPr>
      </w:pPr>
    </w:p>
    <w:p>
      <w:pPr>
        <w:adjustRightInd w:val="0"/>
        <w:snapToGrid w:val="0"/>
        <w:spacing w:line="360" w:lineRule="auto"/>
        <w:rPr>
          <w:rFonts w:hint="eastAsia" w:ascii="仿宋_GB2312" w:hAnsi="宋体" w:eastAsia="仿宋_GB2312"/>
          <w:b/>
          <w:bCs/>
          <w:color w:val="000000"/>
          <w:sz w:val="24"/>
          <w:lang w:eastAsia="zh-CN"/>
        </w:rPr>
      </w:pPr>
      <w:r>
        <w:rPr>
          <w:rFonts w:hint="eastAsia" w:ascii="仿宋_GB2312" w:hAnsi="宋体" w:eastAsia="仿宋_GB2312"/>
          <w:b/>
          <w:bCs/>
          <w:color w:val="000000"/>
          <w:sz w:val="24"/>
        </w:rPr>
        <w:t>乙方:</w:t>
      </w:r>
    </w:p>
    <w:p>
      <w:pPr>
        <w:adjustRightInd w:val="0"/>
        <w:snapToGrid w:val="0"/>
        <w:spacing w:line="360" w:lineRule="auto"/>
        <w:rPr>
          <w:rFonts w:hint="eastAsia" w:ascii="仿宋_GB2312" w:hAnsi="宋体" w:eastAsia="仿宋_GB2312"/>
          <w:b/>
          <w:bCs/>
          <w:color w:val="000000"/>
          <w:sz w:val="24"/>
        </w:rPr>
      </w:pP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z w:val="24"/>
        </w:rPr>
        <w:t>公司负责人或授权人：</w:t>
      </w:r>
    </w:p>
    <w:p>
      <w:pPr>
        <w:adjustRightInd w:val="0"/>
        <w:snapToGrid w:val="0"/>
        <w:spacing w:line="360" w:lineRule="auto"/>
        <w:rPr>
          <w:rFonts w:hint="eastAsia" w:ascii="仿宋_GB2312" w:hAnsi="宋体" w:eastAsia="仿宋_GB2312"/>
          <w:color w:val="000000"/>
          <w:sz w:val="24"/>
        </w:rPr>
      </w:pP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z w:val="24"/>
        </w:rPr>
        <w:t xml:space="preserve">联系人：           </w:t>
      </w:r>
    </w:p>
    <w:p>
      <w:pPr>
        <w:adjustRightInd w:val="0"/>
        <w:snapToGrid w:val="0"/>
        <w:spacing w:line="360" w:lineRule="auto"/>
        <w:rPr>
          <w:rFonts w:hint="eastAsia" w:ascii="仿宋_GB2312" w:hAnsi="宋体" w:eastAsia="仿宋_GB2312"/>
          <w:color w:val="000000"/>
          <w:spacing w:val="24"/>
          <w:sz w:val="24"/>
        </w:rPr>
      </w:pPr>
      <w:r>
        <w:rPr>
          <w:rFonts w:hint="eastAsia" w:ascii="仿宋_GB2312" w:hAnsi="宋体" w:eastAsia="仿宋_GB2312"/>
          <w:color w:val="000000"/>
          <w:spacing w:val="24"/>
          <w:sz w:val="24"/>
        </w:rPr>
        <w:t>地址：</w:t>
      </w: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pacing w:val="24"/>
          <w:sz w:val="24"/>
        </w:rPr>
        <w:t>电话</w:t>
      </w:r>
      <w:r>
        <w:rPr>
          <w:rFonts w:hint="eastAsia" w:ascii="仿宋_GB2312" w:hAnsi="宋体" w:eastAsia="仿宋_GB2312"/>
          <w:color w:val="000000"/>
          <w:sz w:val="24"/>
        </w:rPr>
        <w:t>：</w:t>
      </w: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pacing w:val="32"/>
          <w:sz w:val="24"/>
        </w:rPr>
        <w:t>开户银行</w:t>
      </w:r>
      <w:r>
        <w:rPr>
          <w:rFonts w:hint="eastAsia" w:ascii="仿宋_GB2312" w:hAnsi="宋体" w:eastAsia="仿宋_GB2312"/>
          <w:color w:val="000000"/>
          <w:sz w:val="24"/>
        </w:rPr>
        <w:t>：</w:t>
      </w:r>
    </w:p>
    <w:p>
      <w:pPr>
        <w:adjustRightInd w:val="0"/>
        <w:snapToGrid w:val="0"/>
        <w:spacing w:line="360" w:lineRule="auto"/>
        <w:rPr>
          <w:rFonts w:hint="eastAsia"/>
        </w:rPr>
      </w:pPr>
      <w:r>
        <w:rPr>
          <w:rFonts w:hint="eastAsia" w:ascii="仿宋_GB2312" w:hAnsi="宋体" w:eastAsia="仿宋_GB2312"/>
          <w:color w:val="000000"/>
          <w:spacing w:val="32"/>
          <w:sz w:val="24"/>
        </w:rPr>
        <w:t>银行账号</w:t>
      </w:r>
      <w:r>
        <w:rPr>
          <w:rFonts w:hint="eastAsia" w:ascii="仿宋_GB2312" w:hAnsi="宋体" w:eastAsia="仿宋_GB2312"/>
          <w:color w:val="000000"/>
          <w:sz w:val="24"/>
        </w:rPr>
        <w:t>：</w:t>
      </w:r>
    </w:p>
    <w:p>
      <w:pPr>
        <w:adjustRightInd w:val="0"/>
        <w:snapToGrid w:val="0"/>
        <w:spacing w:line="360" w:lineRule="auto"/>
        <w:rPr>
          <w:rFonts w:hAnsi="宋体"/>
        </w:rPr>
      </w:pPr>
      <w:r>
        <w:rPr>
          <w:rFonts w:hint="eastAsia" w:ascii="仿宋_GB2312" w:hAnsi="宋体" w:eastAsia="仿宋_GB2312"/>
          <w:color w:val="000000"/>
          <w:spacing w:val="32"/>
          <w:sz w:val="24"/>
        </w:rPr>
        <w:t>签字日期：</w:t>
      </w:r>
      <w:r>
        <w:rPr>
          <w:rFonts w:hint="eastAsia" w:ascii="仿宋_GB2312" w:hAnsi="宋体" w:eastAsia="仿宋_GB2312"/>
          <w:color w:val="000000"/>
          <w:sz w:val="24"/>
        </w:rPr>
        <w:t xml:space="preserve"> </w:t>
      </w:r>
    </w:p>
    <w:p>
      <w:pPr>
        <w:rPr>
          <w:rFonts w:ascii="宋体"/>
          <w:b/>
          <w:sz w:val="30"/>
          <w:szCs w:val="30"/>
        </w:rPr>
      </w:pPr>
    </w:p>
    <w:p/>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widowControl/>
        <w:spacing w:line="240" w:lineRule="auto"/>
        <w:jc w:val="left"/>
        <w:rPr>
          <w:rFonts w:hint="default" w:ascii="仿宋" w:hAnsi="仿宋" w:eastAsia="仿宋" w:cs="仿宋"/>
          <w:b/>
          <w:kern w:val="0"/>
          <w:sz w:val="32"/>
          <w:szCs w:val="32"/>
          <w:lang w:val="en-US" w:bidi="ar-SA"/>
        </w:rPr>
      </w:pPr>
      <w:r>
        <w:rPr>
          <w:rFonts w:hint="eastAsia" w:ascii="仿宋" w:hAnsi="仿宋" w:eastAsia="仿宋" w:cs="仿宋"/>
          <w:b/>
          <w:kern w:val="0"/>
          <w:sz w:val="32"/>
          <w:szCs w:val="32"/>
          <w:lang w:val="en-US" w:eastAsia="zh-CN" w:bidi="ar-SA"/>
        </w:rPr>
        <w:t>附件一：授权委托书</w:t>
      </w:r>
    </w:p>
    <w:p>
      <w:pPr>
        <w:widowControl/>
        <w:spacing w:line="240" w:lineRule="auto"/>
        <w:jc w:val="left"/>
        <w:rPr>
          <w:rFonts w:hint="eastAsia" w:ascii="仿宋" w:hAnsi="仿宋" w:eastAsia="仿宋" w:cs="仿宋"/>
          <w:b/>
          <w:kern w:val="0"/>
          <w:sz w:val="32"/>
          <w:szCs w:val="32"/>
          <w:lang w:val="en-US" w:eastAsia="zh-CN" w:bidi="ar-SA"/>
        </w:rPr>
      </w:pPr>
      <w:r>
        <w:rPr>
          <w:highlight w:val="none"/>
        </w:rPr>
        <w:drawing>
          <wp:anchor distT="0" distB="0" distL="114300" distR="114300" simplePos="0" relativeHeight="251664384" behindDoc="0" locked="0" layoutInCell="1" allowOverlap="1">
            <wp:simplePos x="0" y="0"/>
            <wp:positionH relativeFrom="column">
              <wp:posOffset>-358775</wp:posOffset>
            </wp:positionH>
            <wp:positionV relativeFrom="paragraph">
              <wp:posOffset>230505</wp:posOffset>
            </wp:positionV>
            <wp:extent cx="6407785" cy="7519035"/>
            <wp:effectExtent l="0" t="0" r="12065" b="571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6407785" cy="7519035"/>
                    </a:xfrm>
                    <a:prstGeom prst="rect">
                      <a:avLst/>
                    </a:prstGeom>
                    <a:noFill/>
                    <a:ln>
                      <a:noFill/>
                    </a:ln>
                  </pic:spPr>
                </pic:pic>
              </a:graphicData>
            </a:graphic>
          </wp:anchor>
        </w:drawing>
      </w:r>
    </w:p>
    <w:p>
      <w:pPr>
        <w:widowControl/>
        <w:spacing w:line="240" w:lineRule="auto"/>
        <w:jc w:val="left"/>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附件二：服务要求</w:t>
      </w:r>
    </w:p>
    <w:p>
      <w:pPr>
        <w:pStyle w:val="2"/>
        <w:rPr>
          <w:rFonts w:hint="default"/>
          <w:lang w:val="en-US" w:eastAsia="zh-CN"/>
        </w:rPr>
      </w:pPr>
      <w:r>
        <w:rPr>
          <w:rFonts w:hint="eastAsia" w:ascii="仿宋" w:hAnsi="仿宋" w:eastAsia="仿宋" w:cs="仿宋"/>
          <w:b/>
          <w:kern w:val="0"/>
          <w:sz w:val="32"/>
          <w:szCs w:val="32"/>
          <w:lang w:val="en-US" w:eastAsia="zh-CN" w:bidi="ar-SA"/>
        </w:rPr>
        <w:t>详见竞争性比选文件第四章。</w:t>
      </w:r>
    </w:p>
    <w:p>
      <w:pPr>
        <w:rPr>
          <w:rFonts w:hint="eastAsia" w:ascii="仿宋" w:hAnsi="仿宋" w:eastAsia="仿宋" w:cs="仿宋"/>
          <w:b/>
          <w:kern w:val="0"/>
          <w:sz w:val="32"/>
          <w:szCs w:val="32"/>
          <w:lang w:val="en-US" w:eastAsia="zh-CN" w:bidi="ar-SA"/>
        </w:rPr>
      </w:pPr>
      <w:bookmarkStart w:id="243" w:name="_GoBack"/>
      <w:r>
        <w:rPr>
          <w:rFonts w:hint="eastAsia" w:ascii="仿宋" w:hAnsi="仿宋" w:eastAsia="仿宋" w:cs="仿宋"/>
          <w:b/>
          <w:kern w:val="0"/>
          <w:sz w:val="32"/>
          <w:szCs w:val="32"/>
          <w:lang w:val="en-US" w:eastAsia="zh-CN" w:bidi="ar-SA"/>
        </w:rPr>
        <w:br w:type="page"/>
      </w:r>
    </w:p>
    <w:bookmarkEnd w:id="243"/>
    <w:p>
      <w:pPr>
        <w:widowControl/>
        <w:spacing w:line="240" w:lineRule="auto"/>
        <w:jc w:val="left"/>
        <w:rPr>
          <w:rFonts w:hint="eastAsia" w:ascii="仿宋" w:hAnsi="仿宋" w:eastAsia="仿宋" w:cs="仿宋"/>
          <w:b/>
          <w:kern w:val="0"/>
          <w:sz w:val="32"/>
          <w:szCs w:val="32"/>
          <w:lang w:bidi="ar-SA"/>
        </w:rPr>
      </w:pPr>
      <w:r>
        <w:rPr>
          <w:rFonts w:hint="eastAsia" w:ascii="仿宋" w:hAnsi="仿宋" w:eastAsia="仿宋" w:cs="仿宋"/>
          <w:b/>
          <w:kern w:val="0"/>
          <w:sz w:val="32"/>
          <w:szCs w:val="32"/>
          <w:lang w:val="en-US" w:eastAsia="zh-CN" w:bidi="ar-SA"/>
        </w:rPr>
        <w:t>附件三：</w:t>
      </w:r>
      <w:r>
        <w:rPr>
          <w:rFonts w:hint="default" w:ascii="仿宋" w:hAnsi="仿宋" w:eastAsia="仿宋" w:cs="仿宋"/>
          <w:b/>
          <w:kern w:val="0"/>
          <w:sz w:val="32"/>
          <w:szCs w:val="32"/>
          <w:lang w:bidi="ar-SA"/>
        </w:rPr>
        <w:t>廉政合同</w:t>
      </w:r>
    </w:p>
    <w:p>
      <w:pPr>
        <w:pStyle w:val="37"/>
        <w:spacing w:line="500" w:lineRule="exact"/>
        <w:jc w:val="center"/>
        <w:rPr>
          <w:rFonts w:ascii="仿宋" w:hAnsi="仿宋" w:eastAsia="仿宋" w:cs="仿宋"/>
          <w:b/>
          <w:sz w:val="32"/>
          <w:szCs w:val="32"/>
        </w:rPr>
      </w:pPr>
      <w:r>
        <w:rPr>
          <w:rFonts w:hint="eastAsia" w:ascii="仿宋" w:hAnsi="仿宋" w:eastAsia="仿宋" w:cs="仿宋"/>
          <w:b/>
          <w:sz w:val="32"/>
          <w:szCs w:val="32"/>
        </w:rPr>
        <w:t>廉政合同</w:t>
      </w:r>
    </w:p>
    <w:p>
      <w:pPr>
        <w:widowControl/>
        <w:spacing w:line="400" w:lineRule="exact"/>
        <w:jc w:val="left"/>
        <w:rPr>
          <w:rFonts w:ascii="仿宋" w:hAnsi="仿宋" w:eastAsia="仿宋" w:cs="仿宋"/>
          <w:sz w:val="24"/>
        </w:rPr>
      </w:pPr>
      <w:r>
        <w:rPr>
          <w:rFonts w:hint="eastAsia" w:ascii="仿宋" w:hAnsi="仿宋" w:eastAsia="仿宋" w:cs="仿宋"/>
          <w:sz w:val="24"/>
        </w:rPr>
        <w:t>甲方：重庆首讯科技股份有限公司</w:t>
      </w:r>
    </w:p>
    <w:p>
      <w:pPr>
        <w:widowControl/>
        <w:tabs>
          <w:tab w:val="left" w:pos="3936"/>
        </w:tabs>
        <w:spacing w:line="400" w:lineRule="exact"/>
        <w:jc w:val="left"/>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color w:val="FF0000"/>
          <w:sz w:val="24"/>
        </w:rPr>
        <w:t>XXX</w:t>
      </w:r>
      <w:r>
        <w:rPr>
          <w:rFonts w:hint="eastAsia" w:ascii="仿宋" w:hAnsi="仿宋" w:eastAsia="仿宋" w:cs="仿宋"/>
          <w:sz w:val="24"/>
        </w:rPr>
        <w:t>公司</w:t>
      </w:r>
    </w:p>
    <w:p>
      <w:pPr>
        <w:spacing w:line="400" w:lineRule="exact"/>
        <w:ind w:firstLine="480" w:firstLineChars="200"/>
        <w:rPr>
          <w:rFonts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sz w:val="24"/>
          <w:u w:val="none"/>
        </w:rPr>
        <w:t>重庆首讯科技股份有限公司</w:t>
      </w:r>
      <w:r>
        <w:rPr>
          <w:rFonts w:hint="eastAsia" w:ascii="仿宋" w:hAnsi="仿宋" w:eastAsia="仿宋" w:cs="仿宋"/>
          <w:sz w:val="24"/>
        </w:rPr>
        <w:t>（以下称甲方）与</w:t>
      </w:r>
      <w:r>
        <w:rPr>
          <w:rFonts w:hint="eastAsia" w:ascii="仿宋" w:hAnsi="仿宋" w:eastAsia="仿宋" w:cs="仿宋"/>
          <w:color w:val="FF0000"/>
          <w:sz w:val="24"/>
        </w:rPr>
        <w:t>XXX</w:t>
      </w:r>
      <w:r>
        <w:rPr>
          <w:rFonts w:hint="eastAsia" w:ascii="仿宋" w:hAnsi="仿宋" w:eastAsia="仿宋" w:cs="仿宋"/>
          <w:sz w:val="24"/>
        </w:rPr>
        <w:t>公司（以下称乙方），特订立如下合同。</w:t>
      </w:r>
    </w:p>
    <w:p>
      <w:pPr>
        <w:spacing w:line="360" w:lineRule="auto"/>
        <w:rPr>
          <w:rFonts w:ascii="仿宋" w:hAnsi="仿宋" w:eastAsia="仿宋" w:cs="仿宋"/>
          <w:b/>
          <w:bCs/>
          <w:sz w:val="24"/>
        </w:rPr>
      </w:pPr>
      <w:r>
        <w:rPr>
          <w:rFonts w:hint="eastAsia" w:ascii="仿宋" w:hAnsi="仿宋" w:eastAsia="仿宋" w:cs="仿宋"/>
          <w:b/>
          <w:bCs/>
          <w:sz w:val="24"/>
        </w:rPr>
        <w:t>一、甲乙双方的权利和义务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rPr>
        <w:t>二、甲方的义务</w:t>
      </w:r>
    </w:p>
    <w:p>
      <w:pPr>
        <w:widowControl/>
        <w:tabs>
          <w:tab w:val="left" w:pos="3936"/>
        </w:tabs>
        <w:spacing w:line="400" w:lineRule="exact"/>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rPr>
        <w:t>三、乙方义务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sz w:val="24"/>
        </w:rPr>
      </w:pPr>
      <w:r>
        <w:rPr>
          <w:rFonts w:hint="eastAsia" w:ascii="仿宋" w:hAnsi="仿宋" w:eastAsia="仿宋" w:cs="仿宋"/>
          <w:b/>
          <w:bCs/>
          <w:sz w:val="24"/>
        </w:rPr>
        <w:t>四、违约责任</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sz w:val="24"/>
        </w:rPr>
      </w:pPr>
      <w:r>
        <w:rPr>
          <w:rFonts w:hint="eastAsia" w:ascii="仿宋" w:hAnsi="仿宋" w:eastAsia="仿宋" w:cs="仿宋"/>
          <w:b/>
          <w:bCs/>
          <w:sz w:val="24"/>
        </w:rPr>
        <w:t>五、双方约定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sz w:val="24"/>
        </w:rPr>
      </w:pPr>
      <w:r>
        <w:rPr>
          <w:rFonts w:hint="eastAsia" w:ascii="仿宋" w:hAnsi="仿宋" w:eastAsia="仿宋" w:cs="仿宋"/>
          <w:b/>
          <w:bCs/>
          <w:sz w:val="24"/>
        </w:rPr>
        <w:t>六、</w:t>
      </w:r>
      <w:r>
        <w:rPr>
          <w:rFonts w:hint="eastAsia" w:ascii="仿宋" w:hAnsi="仿宋" w:eastAsia="仿宋" w:cs="仿宋"/>
          <w:sz w:val="24"/>
        </w:rPr>
        <w:t>本合同有效期为甲乙双方签署之日起至该工程项目竣工后止。</w:t>
      </w:r>
    </w:p>
    <w:p>
      <w:pPr>
        <w:widowControl/>
        <w:spacing w:line="400" w:lineRule="exact"/>
        <w:jc w:val="left"/>
        <w:rPr>
          <w:rFonts w:ascii="仿宋" w:hAnsi="仿宋" w:eastAsia="仿宋" w:cs="仿宋"/>
          <w:szCs w:val="21"/>
        </w:rPr>
      </w:pPr>
      <w:r>
        <w:rPr>
          <w:rFonts w:hint="eastAsia" w:ascii="仿宋" w:hAnsi="仿宋" w:eastAsia="仿宋" w:cs="仿宋"/>
          <w:b/>
          <w:bCs/>
          <w:sz w:val="24"/>
        </w:rPr>
        <w:t>七、</w:t>
      </w:r>
      <w:r>
        <w:rPr>
          <w:rFonts w:hint="eastAsia" w:ascii="仿宋" w:hAnsi="仿宋" w:eastAsia="仿宋" w:cs="仿宋"/>
          <w:sz w:val="24"/>
        </w:rPr>
        <w:t>本合同一式两份，甲、乙双方各执一份。</w:t>
      </w: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FF0000"/>
          <w:sz w:val="24"/>
          <w:lang w:val="en-US" w:eastAsia="zh-CN"/>
        </w:rPr>
        <w:t>XXXXXX</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13" w:type="default"/>
          <w:pgSz w:w="11906" w:h="16838"/>
          <w:pgMar w:top="1440" w:right="1803" w:bottom="1440" w:left="1803" w:header="851" w:footer="992" w:gutter="0"/>
          <w:cols w:space="720" w:num="1"/>
          <w:titlePg/>
          <w:docGrid w:type="lines" w:linePitch="319" w:charSpace="0"/>
        </w:sectPr>
      </w:pPr>
      <w:bookmarkStart w:id="178" w:name="_Toc513633965"/>
    </w:p>
    <w:p>
      <w:pPr>
        <w:rPr>
          <w:rFonts w:ascii="宋体" w:hAnsi="宋体" w:cs="宋体"/>
          <w:color w:val="auto"/>
          <w:highlight w:val="none"/>
        </w:rPr>
      </w:pPr>
    </w:p>
    <w:p>
      <w:pPr>
        <w:pStyle w:val="3"/>
        <w:spacing w:before="0" w:after="0" w:line="360" w:lineRule="auto"/>
        <w:jc w:val="center"/>
        <w:rPr>
          <w:rFonts w:ascii="宋体" w:hAnsi="宋体" w:cs="宋体"/>
          <w:color w:val="auto"/>
          <w:highlight w:val="none"/>
        </w:rPr>
      </w:pPr>
      <w:bookmarkStart w:id="179" w:name="_Toc2000413"/>
      <w:bookmarkStart w:id="180" w:name="_Toc27626"/>
      <w:bookmarkStart w:id="181"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78"/>
      <w:bookmarkEnd w:id="179"/>
      <w:bookmarkEnd w:id="180"/>
      <w:bookmarkEnd w:id="181"/>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182" w:name="_Toc513633967"/>
      <w:bookmarkStart w:id="183" w:name="_Toc513646738"/>
      <w:bookmarkStart w:id="184" w:name="_Toc514858710"/>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82"/>
      <w:bookmarkEnd w:id="183"/>
      <w:bookmarkEnd w:id="184"/>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85" w:name="_Toc11329273"/>
      <w:bookmarkStart w:id="186" w:name="_Toc5459"/>
      <w:bookmarkStart w:id="187" w:name="_Toc1368"/>
      <w:bookmarkStart w:id="188" w:name="_Toc28780"/>
      <w:r>
        <w:rPr>
          <w:rFonts w:hint="eastAsia" w:ascii="宋体" w:hAnsi="宋体" w:eastAsia="宋体" w:cs="宋体"/>
          <w:color w:val="auto"/>
          <w:sz w:val="32"/>
          <w:szCs w:val="40"/>
          <w:highlight w:val="none"/>
        </w:rPr>
        <w:t>目    录</w:t>
      </w:r>
      <w:bookmarkEnd w:id="168"/>
      <w:bookmarkEnd w:id="169"/>
      <w:bookmarkEnd w:id="170"/>
      <w:bookmarkEnd w:id="171"/>
      <w:bookmarkEnd w:id="172"/>
      <w:bookmarkEnd w:id="173"/>
      <w:bookmarkEnd w:id="174"/>
      <w:bookmarkEnd w:id="175"/>
      <w:bookmarkEnd w:id="185"/>
      <w:bookmarkEnd w:id="186"/>
      <w:bookmarkEnd w:id="187"/>
      <w:bookmarkEnd w:id="188"/>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4"/>
        </w:numPr>
        <w:spacing w:before="0" w:after="0" w:line="360" w:lineRule="auto"/>
        <w:jc w:val="center"/>
        <w:rPr>
          <w:rFonts w:ascii="宋体" w:hAnsi="宋体" w:eastAsia="宋体" w:cs="宋体"/>
          <w:color w:val="auto"/>
          <w:sz w:val="28"/>
          <w:highlight w:val="none"/>
        </w:rPr>
      </w:pPr>
      <w:bookmarkStart w:id="189" w:name="_Toc15863"/>
      <w:bookmarkStart w:id="190" w:name="_Toc25874"/>
      <w:bookmarkStart w:id="191" w:name="_Toc29547"/>
      <w:bookmarkStart w:id="192" w:name="_Toc29615"/>
      <w:bookmarkStart w:id="193" w:name="_Toc503951048"/>
      <w:bookmarkStart w:id="194" w:name="_Toc513633969"/>
      <w:bookmarkStart w:id="195" w:name="_Toc447827053"/>
      <w:r>
        <w:rPr>
          <w:rFonts w:hint="eastAsia" w:ascii="宋体" w:hAnsi="宋体" w:eastAsia="宋体" w:cs="宋体"/>
          <w:color w:val="auto"/>
          <w:sz w:val="28"/>
          <w:highlight w:val="none"/>
        </w:rPr>
        <w:t>竞争比选响应声明书</w:t>
      </w:r>
      <w:bookmarkEnd w:id="189"/>
      <w:bookmarkEnd w:id="190"/>
      <w:bookmarkEnd w:id="191"/>
      <w:bookmarkEnd w:id="192"/>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96" w:name="_Toc27815"/>
      <w:bookmarkStart w:id="197" w:name="_Toc491883232"/>
    </w:p>
    <w:p>
      <w:pPr>
        <w:pStyle w:val="42"/>
        <w:rPr>
          <w:color w:val="auto"/>
          <w:highlight w:val="none"/>
        </w:rPr>
      </w:pPr>
    </w:p>
    <w:p>
      <w:pPr>
        <w:pStyle w:val="42"/>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4"/>
        </w:numPr>
        <w:spacing w:before="0" w:after="0" w:line="360" w:lineRule="auto"/>
        <w:jc w:val="center"/>
        <w:rPr>
          <w:rFonts w:hint="eastAsia" w:ascii="宋体" w:hAnsi="宋体" w:eastAsia="宋体" w:cs="宋体"/>
          <w:color w:val="auto"/>
          <w:sz w:val="28"/>
          <w:highlight w:val="none"/>
        </w:rPr>
      </w:pPr>
      <w:bookmarkStart w:id="198" w:name="_Toc15139"/>
      <w:r>
        <w:rPr>
          <w:rFonts w:hint="eastAsia" w:ascii="宋体" w:hAnsi="宋体" w:eastAsia="宋体" w:cs="宋体"/>
          <w:color w:val="auto"/>
          <w:sz w:val="28"/>
          <w:highlight w:val="none"/>
        </w:rPr>
        <w:t>法定代表人身份证明或法定代表人授权委托书</w:t>
      </w:r>
      <w:bookmarkEnd w:id="196"/>
      <w:bookmarkEnd w:id="198"/>
    </w:p>
    <w:bookmarkEnd w:id="197"/>
    <w:p>
      <w:pPr>
        <w:pStyle w:val="4"/>
        <w:spacing w:line="480" w:lineRule="auto"/>
        <w:jc w:val="center"/>
        <w:outlineLvl w:val="2"/>
        <w:rPr>
          <w:rFonts w:ascii="宋体" w:hAnsi="宋体" w:eastAsia="宋体" w:cs="宋体"/>
          <w:color w:val="auto"/>
          <w:sz w:val="24"/>
          <w:szCs w:val="24"/>
          <w:highlight w:val="none"/>
        </w:rPr>
      </w:pPr>
      <w:bookmarkStart w:id="199" w:name="_Toc20985"/>
      <w:bookmarkStart w:id="200" w:name="_Toc14141"/>
      <w:r>
        <w:rPr>
          <w:rFonts w:hint="eastAsia" w:ascii="宋体" w:hAnsi="宋体" w:eastAsia="宋体" w:cs="宋体"/>
          <w:color w:val="auto"/>
          <w:sz w:val="24"/>
          <w:szCs w:val="24"/>
          <w:highlight w:val="none"/>
        </w:rPr>
        <w:t>（一）法定代表人身份证明</w:t>
      </w:r>
      <w:bookmarkEnd w:id="199"/>
      <w:bookmarkEnd w:id="200"/>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01" w:name="_Toc352691662"/>
      <w:bookmarkStart w:id="202" w:name="_Toc27897"/>
      <w:bookmarkStart w:id="203" w:name="_Toc369531698"/>
      <w:r>
        <w:rPr>
          <w:rFonts w:ascii="宋体" w:hAnsi="宋体"/>
          <w:color w:val="auto"/>
          <w:highlight w:val="none"/>
          <w:u w:val="single"/>
        </w:rPr>
        <w:t xml:space="preserve">        </w:t>
      </w:r>
      <w:r>
        <w:rPr>
          <w:rFonts w:ascii="宋体" w:hAnsi="宋体"/>
          <w:color w:val="auto"/>
          <w:highlight w:val="none"/>
        </w:rPr>
        <w:t>年</w:t>
      </w:r>
      <w:bookmarkEnd w:id="201"/>
      <w:bookmarkEnd w:id="202"/>
      <w:bookmarkEnd w:id="203"/>
      <w:r>
        <w:rPr>
          <w:rFonts w:ascii="宋体" w:hAnsi="宋体"/>
          <w:color w:val="auto"/>
          <w:highlight w:val="none"/>
        </w:rPr>
        <w:t>龄</w:t>
      </w:r>
      <w:bookmarkStart w:id="204" w:name="_Toc352691663"/>
      <w:bookmarkStart w:id="205" w:name="_Toc144974858"/>
      <w:bookmarkStart w:id="206" w:name="_Toc247514248"/>
      <w:bookmarkStart w:id="207" w:name="_Toc247527829"/>
      <w:bookmarkStart w:id="208" w:name="_Toc369531699"/>
      <w:bookmarkStart w:id="209" w:name="_Toc15573"/>
      <w:bookmarkStart w:id="210" w:name="_Toc152045789"/>
      <w:bookmarkStart w:id="211" w:name="_Toc384308377"/>
      <w:bookmarkStart w:id="212" w:name="_Toc152042578"/>
      <w:bookmarkStart w:id="213" w:name="_Toc300835211"/>
      <w:bookmarkStart w:id="214" w:name="_Toc361508754"/>
      <w:r>
        <w:rPr>
          <w:rFonts w:ascii="宋体" w:hAnsi="宋体"/>
          <w:color w:val="auto"/>
          <w:highlight w:val="none"/>
        </w:rPr>
        <w:t>：</w:t>
      </w:r>
      <w:bookmarkEnd w:id="204"/>
      <w:bookmarkEnd w:id="205"/>
      <w:bookmarkEnd w:id="206"/>
      <w:bookmarkEnd w:id="207"/>
      <w:bookmarkEnd w:id="208"/>
      <w:bookmarkEnd w:id="209"/>
      <w:bookmarkEnd w:id="210"/>
      <w:bookmarkEnd w:id="211"/>
      <w:bookmarkEnd w:id="212"/>
      <w:bookmarkEnd w:id="213"/>
      <w:bookmarkEnd w:id="214"/>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15" w:name="_Toc491883233"/>
      <w:bookmarkStart w:id="216" w:name="_Toc3882"/>
      <w:bookmarkStart w:id="217" w:name="_Toc58"/>
      <w:r>
        <w:rPr>
          <w:rFonts w:hint="eastAsia" w:ascii="宋体" w:hAnsi="宋体" w:eastAsia="宋体" w:cs="宋体"/>
          <w:color w:val="auto"/>
          <w:sz w:val="24"/>
          <w:szCs w:val="24"/>
          <w:highlight w:val="none"/>
        </w:rPr>
        <w:t>（二）</w:t>
      </w:r>
      <w:bookmarkEnd w:id="215"/>
      <w:r>
        <w:rPr>
          <w:rFonts w:hint="eastAsia" w:ascii="宋体" w:hAnsi="宋体" w:eastAsia="宋体" w:cs="宋体"/>
          <w:color w:val="auto"/>
          <w:sz w:val="24"/>
          <w:szCs w:val="24"/>
          <w:highlight w:val="none"/>
        </w:rPr>
        <w:t>法定代表人授权委托书</w:t>
      </w:r>
      <w:bookmarkEnd w:id="216"/>
      <w:bookmarkEnd w:id="217"/>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5" w:type="first"/>
          <w:footerReference r:id="rId14"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4"/>
        <w:spacing w:before="0" w:after="0" w:line="360" w:lineRule="auto"/>
        <w:jc w:val="center"/>
        <w:rPr>
          <w:rFonts w:ascii="宋体" w:hAnsi="宋体" w:eastAsia="宋体" w:cs="宋体"/>
          <w:color w:val="auto"/>
          <w:sz w:val="28"/>
          <w:highlight w:val="none"/>
        </w:rPr>
      </w:pPr>
      <w:bookmarkStart w:id="218" w:name="_Toc11329275"/>
      <w:bookmarkStart w:id="219" w:name="_Toc31983"/>
      <w:r>
        <w:rPr>
          <w:rFonts w:hint="eastAsia" w:ascii="宋体" w:hAnsi="宋体" w:eastAsia="宋体" w:cs="宋体"/>
          <w:color w:val="auto"/>
          <w:sz w:val="28"/>
          <w:highlight w:val="none"/>
        </w:rPr>
        <w:t>三、</w:t>
      </w:r>
      <w:bookmarkEnd w:id="193"/>
      <w:bookmarkEnd w:id="194"/>
      <w:bookmarkEnd w:id="195"/>
      <w:bookmarkEnd w:id="218"/>
      <w:r>
        <w:rPr>
          <w:rFonts w:hint="eastAsia" w:ascii="宋体" w:hAnsi="宋体" w:eastAsia="宋体" w:cs="宋体"/>
          <w:color w:val="auto"/>
          <w:sz w:val="28"/>
          <w:highlight w:val="none"/>
        </w:rPr>
        <w:t>报价一览表</w:t>
      </w:r>
      <w:bookmarkEnd w:id="219"/>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20" w:name="_Toc503951050"/>
      <w:bookmarkStart w:id="221" w:name="_Toc513633971"/>
      <w:bookmarkStart w:id="222" w:name="_Toc11329278"/>
      <w:bookmarkStart w:id="223" w:name="_Toc247085887"/>
      <w:bookmarkStart w:id="224" w:name="_Toc144974871"/>
      <w:bookmarkStart w:id="225" w:name="_Toc152045803"/>
      <w:bookmarkStart w:id="226" w:name="_Toc246997112"/>
      <w:bookmarkStart w:id="227" w:name="_Toc246996369"/>
      <w:bookmarkStart w:id="228" w:name="_Toc447827058"/>
      <w:bookmarkStart w:id="229" w:name="_Toc179632823"/>
      <w:bookmarkStart w:id="230" w:name="_Toc152042592"/>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3"/>
        <w:tblW w:w="8519" w:type="dxa"/>
        <w:tblInd w:w="0" w:type="dxa"/>
        <w:tblLayout w:type="fixed"/>
        <w:tblCellMar>
          <w:top w:w="0" w:type="dxa"/>
          <w:left w:w="108" w:type="dxa"/>
          <w:bottom w:w="0" w:type="dxa"/>
          <w:right w:w="108" w:type="dxa"/>
        </w:tblCellMar>
      </w:tblPr>
      <w:tblGrid>
        <w:gridCol w:w="637"/>
        <w:gridCol w:w="1307"/>
        <w:gridCol w:w="1493"/>
        <w:gridCol w:w="774"/>
        <w:gridCol w:w="813"/>
        <w:gridCol w:w="637"/>
        <w:gridCol w:w="1266"/>
        <w:gridCol w:w="1050"/>
        <w:gridCol w:w="542"/>
      </w:tblGrid>
      <w:tr>
        <w:tblPrEx>
          <w:tblCellMar>
            <w:top w:w="0" w:type="dxa"/>
            <w:left w:w="108" w:type="dxa"/>
            <w:bottom w:w="0" w:type="dxa"/>
            <w:right w:w="108" w:type="dxa"/>
          </w:tblCellMar>
        </w:tblPrEx>
        <w:trPr>
          <w:trHeight w:val="585" w:hRule="atLeast"/>
        </w:trPr>
        <w:tc>
          <w:tcPr>
            <w:tcW w:w="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30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267"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813" w:type="dxa"/>
            <w:tcBorders>
              <w:top w:val="single" w:color="000000" w:sz="8" w:space="0"/>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637"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126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bidi="ar"/>
              </w:rPr>
              <w:t>含税</w:t>
            </w:r>
            <w:r>
              <w:rPr>
                <w:rFonts w:hint="eastAsia" w:ascii="宋体" w:hAnsi="宋体" w:eastAsia="宋体" w:cs="宋体"/>
                <w:b/>
                <w:bCs/>
                <w:color w:val="auto"/>
                <w:kern w:val="0"/>
                <w:sz w:val="21"/>
                <w:szCs w:val="21"/>
                <w:highlight w:val="none"/>
                <w:lang w:bidi="ar"/>
              </w:rPr>
              <w:t>单价（元）</w:t>
            </w:r>
          </w:p>
        </w:tc>
        <w:tc>
          <w:tcPr>
            <w:tcW w:w="10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bidi="ar"/>
              </w:rPr>
              <w:t>含税</w:t>
            </w:r>
            <w:r>
              <w:rPr>
                <w:rFonts w:hint="eastAsia" w:ascii="宋体" w:hAnsi="宋体" w:eastAsia="宋体" w:cs="宋体"/>
                <w:b/>
                <w:bCs/>
                <w:color w:val="auto"/>
                <w:kern w:val="0"/>
                <w:sz w:val="21"/>
                <w:szCs w:val="21"/>
                <w:highlight w:val="none"/>
                <w:lang w:bidi="ar"/>
              </w:rPr>
              <w:t>合价（元）</w:t>
            </w:r>
          </w:p>
        </w:tc>
        <w:tc>
          <w:tcPr>
            <w:tcW w:w="54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tblPrEx>
          <w:tblCellMar>
            <w:top w:w="0" w:type="dxa"/>
            <w:left w:w="108" w:type="dxa"/>
            <w:bottom w:w="0" w:type="dxa"/>
            <w:right w:w="108" w:type="dxa"/>
          </w:tblCellMar>
        </w:tblPrEx>
        <w:trPr>
          <w:trHeight w:val="98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7" w:type="dxa"/>
            <w:tcBorders>
              <w:top w:val="nil"/>
              <w:left w:val="nil"/>
              <w:bottom w:val="single" w:color="000000" w:sz="8" w:space="0"/>
              <w:right w:val="single" w:color="000000" w:sz="8"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渝湘复线</w:t>
            </w:r>
          </w:p>
        </w:tc>
        <w:tc>
          <w:tcPr>
            <w:tcW w:w="2267" w:type="dxa"/>
            <w:gridSpan w:val="2"/>
            <w:tcBorders>
              <w:top w:val="nil"/>
              <w:left w:val="nil"/>
              <w:bottom w:val="single" w:color="000000" w:sz="8" w:space="0"/>
              <w:right w:val="single" w:color="000000" w:sz="8" w:space="0"/>
            </w:tcBorders>
            <w:vAlign w:val="center"/>
          </w:tcPr>
          <w:p>
            <w:pPr>
              <w:widowControl/>
              <w:jc w:val="both"/>
              <w:textAlignment w:val="center"/>
              <w:rPr>
                <w:rFonts w:hint="eastAsia" w:ascii="宋体" w:hAnsi="宋体" w:eastAsia="宋体" w:cs="宋体"/>
                <w:color w:val="auto"/>
                <w:sz w:val="21"/>
                <w:szCs w:val="21"/>
                <w:highlight w:val="none"/>
              </w:rPr>
            </w:pPr>
            <w:r>
              <w:rPr>
                <w:rFonts w:hint="eastAsia" w:ascii="宋体" w:hAnsi="宋体" w:cs="宋体"/>
                <w:color w:val="auto"/>
                <w:szCs w:val="21"/>
                <w:highlight w:val="none"/>
                <w:u w:val="none"/>
                <w:lang w:val="en-US" w:eastAsia="zh-CN"/>
              </w:rPr>
              <w:t>渝湘复线高速公路项目隧道照明策略设计服务</w:t>
            </w:r>
          </w:p>
        </w:tc>
        <w:tc>
          <w:tcPr>
            <w:tcW w:w="813"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637"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266"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1050"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542"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10" w:hRule="atLeast"/>
        </w:trPr>
        <w:tc>
          <w:tcPr>
            <w:tcW w:w="3437"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5082" w:type="dxa"/>
            <w:gridSpan w:val="6"/>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0" w:hRule="atLeast"/>
        </w:trPr>
        <w:tc>
          <w:tcPr>
            <w:tcW w:w="3437"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5082" w:type="dxa"/>
            <w:gridSpan w:val="6"/>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pPr>
        <w:jc w:val="right"/>
        <w:rPr>
          <w:rFonts w:hint="eastAsia" w:ascii="宋体" w:hAnsi="宋体"/>
          <w:b w:val="0"/>
          <w:bCs w:val="0"/>
          <w:color w:val="auto"/>
          <w:kern w:val="0"/>
          <w:szCs w:val="21"/>
          <w:highlight w:val="none"/>
          <w:u w:val="single"/>
        </w:rPr>
      </w:pPr>
    </w:p>
    <w:p>
      <w:pPr>
        <w:jc w:val="right"/>
        <w:rPr>
          <w:rFonts w:hint="eastAsia" w:ascii="宋体" w:hAnsi="宋体"/>
          <w:b/>
          <w:bCs/>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31" w:name="_Toc4544"/>
      <w:bookmarkStart w:id="232" w:name="_Toc18757"/>
      <w:bookmarkStart w:id="233" w:name="_Toc11961"/>
      <w:bookmarkStart w:id="234" w:name="_Toc12910"/>
      <w:r>
        <w:rPr>
          <w:rFonts w:hint="eastAsia" w:ascii="宋体" w:hAnsi="宋体" w:eastAsia="宋体" w:cs="宋体"/>
          <w:color w:val="auto"/>
          <w:sz w:val="28"/>
          <w:highlight w:val="none"/>
        </w:rPr>
        <w:t>四、资格审查资料</w:t>
      </w:r>
      <w:bookmarkEnd w:id="220"/>
      <w:bookmarkEnd w:id="221"/>
      <w:bookmarkEnd w:id="222"/>
      <w:bookmarkEnd w:id="231"/>
      <w:bookmarkEnd w:id="232"/>
      <w:bookmarkEnd w:id="233"/>
      <w:bookmarkEnd w:id="234"/>
    </w:p>
    <w:bookmarkEnd w:id="223"/>
    <w:bookmarkEnd w:id="224"/>
    <w:bookmarkEnd w:id="225"/>
    <w:bookmarkEnd w:id="226"/>
    <w:bookmarkEnd w:id="227"/>
    <w:bookmarkEnd w:id="228"/>
    <w:bookmarkEnd w:id="229"/>
    <w:bookmarkEnd w:id="230"/>
    <w:p>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35" w:name="_Toc503951058"/>
      <w:bookmarkStart w:id="236" w:name="_Toc513633974"/>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val="en-US" w:eastAsia="zh-CN"/>
              </w:rPr>
            </w:pPr>
            <w:bookmarkStart w:id="237" w:name="资质要求2"/>
            <w:r>
              <w:rPr>
                <w:rFonts w:hint="eastAsia" w:ascii="宋体" w:hAnsi="宋体" w:eastAsia="宋体" w:cs="宋体"/>
                <w:i w:val="0"/>
                <w:iCs w:val="0"/>
                <w:caps w:val="0"/>
                <w:color w:val="auto"/>
                <w:spacing w:val="0"/>
                <w:sz w:val="21"/>
                <w:szCs w:val="21"/>
                <w:highlight w:val="none"/>
                <w:shd w:val="clear" w:fill="FCFCFC"/>
              </w:rPr>
              <w:t>1.具有独立法人资格，具有有效营业执照。 2.具备工程设计综合甲级资质或公路行业甲级资质。</w:t>
            </w:r>
            <w:bookmark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238" w:name="业绩要求2"/>
            <w:r>
              <w:rPr>
                <w:rFonts w:hint="eastAsia" w:ascii="宋体" w:hAnsi="宋体" w:eastAsia="宋体" w:cs="宋体"/>
                <w:color w:val="auto"/>
                <w:sz w:val="21"/>
                <w:szCs w:val="21"/>
                <w:highlight w:val="none"/>
                <w:lang w:val="en-US" w:eastAsia="zh-CN"/>
              </w:rPr>
              <w:t>在2022年1月1日至投标截止时间止(以合同签订时间为准)至少承担一项合同金额50万以上高速公路含机电工程的设计业绩。</w:t>
            </w:r>
            <w:bookmarkEnd w:id="2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9" w:name="主要管理人员要求1"/>
            <w:r>
              <w:rPr>
                <w:rFonts w:hint="eastAsia" w:ascii="宋体" w:hAnsi="宋体" w:eastAsia="宋体" w:cs="宋体"/>
                <w:color w:val="auto"/>
                <w:sz w:val="21"/>
                <w:szCs w:val="21"/>
                <w:highlight w:val="none"/>
                <w:lang w:val="en-US" w:eastAsia="zh-CN"/>
              </w:rPr>
              <w:t>项目负责人1名，具有交通工程或机电工程或电气工程高级工程师及以上技术职称；技术负责人1人，具备机电工程或电气工程高级工程师及以上技术职称。</w:t>
            </w:r>
            <w:bookmarkEnd w:id="2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40" w:name="其他人员要求1"/>
            <w:r>
              <w:rPr>
                <w:rFonts w:hint="eastAsia" w:ascii="宋体" w:hAnsi="宋体" w:cs="宋体"/>
                <w:b w:val="0"/>
                <w:bCs w:val="0"/>
                <w:color w:val="auto"/>
                <w:szCs w:val="21"/>
                <w:highlight w:val="none"/>
                <w:lang w:val="en-US" w:eastAsia="zh-CN"/>
              </w:rPr>
              <w:t>团队其它成员4人。</w:t>
            </w:r>
            <w:bookmarkEnd w:id="2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3.提供参与项目人员名单，项目经理及技术负责人提供相应职称证书、身份证复印件以及2025年4月至-6月社保证明复印件，并盖单位公章，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4.信誉要求报价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p>
    <w:p>
      <w:pPr>
        <w:rPr>
          <w:color w:val="auto"/>
          <w:highlight w:val="none"/>
        </w:rPr>
      </w:pPr>
    </w:p>
    <w:p>
      <w:pPr>
        <w:pStyle w:val="5"/>
        <w:jc w:val="center"/>
        <w:rPr>
          <w:rFonts w:ascii="宋体" w:hAnsi="宋体" w:cs="宋体"/>
          <w:color w:val="auto"/>
          <w:sz w:val="28"/>
          <w:highlight w:val="none"/>
        </w:rPr>
      </w:pPr>
    </w:p>
    <w:p>
      <w:pPr>
        <w:rPr>
          <w:rFonts w:ascii="宋体" w:hAnsi="宋体" w:cs="宋体"/>
          <w:color w:val="auto"/>
          <w:sz w:val="28"/>
          <w:highlight w:val="none"/>
        </w:rPr>
      </w:pPr>
    </w:p>
    <w:p>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pPr>
        <w:jc w:val="center"/>
        <w:rPr>
          <w:rFonts w:hint="eastAsia" w:ascii="宋体" w:hAnsi="宋体" w:cs="宋体"/>
          <w:b/>
          <w:bCs/>
          <w:color w:val="auto"/>
          <w:kern w:val="0"/>
          <w:sz w:val="28"/>
          <w:szCs w:val="20"/>
          <w:highlight w:val="none"/>
          <w:lang w:eastAsia="zh-CN"/>
        </w:rPr>
      </w:pPr>
    </w:p>
    <w:tbl>
      <w:tblPr>
        <w:tblStyle w:val="43"/>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bl>
    <w:p>
      <w:pPr>
        <w:adjustRightInd w:val="0"/>
        <w:snapToGrid w:val="0"/>
        <w:spacing w:line="460" w:lineRule="exact"/>
        <w:ind w:firstLine="422"/>
        <w:rPr>
          <w:rFonts w:hint="eastAsia" w:ascii="宋体" w:hAnsi="宋体"/>
          <w:b/>
          <w:color w:val="auto"/>
          <w:szCs w:val="21"/>
          <w:highlight w:val="none"/>
        </w:rPr>
      </w:pPr>
    </w:p>
    <w:p>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pPr>
        <w:adjustRightInd w:val="0"/>
        <w:snapToGrid w:val="0"/>
        <w:spacing w:line="460" w:lineRule="exact"/>
        <w:ind w:firstLine="422"/>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pPr>
        <w:spacing w:line="360" w:lineRule="auto"/>
        <w:jc w:val="left"/>
        <w:rPr>
          <w:rFonts w:ascii="宋体" w:hAnsi="宋体" w:eastAsia="宋体" w:cs="Times New Roman"/>
          <w:color w:val="auto"/>
          <w:szCs w:val="21"/>
          <w:highlight w:val="none"/>
        </w:rPr>
      </w:pPr>
    </w:p>
    <w:tbl>
      <w:tblPr>
        <w:tblStyle w:val="43"/>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bl>
    <w:p>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pPr>
        <w:adjustRightInd w:val="0"/>
        <w:snapToGrid w:val="0"/>
        <w:spacing w:line="460" w:lineRule="exact"/>
        <w:ind w:firstLine="422"/>
        <w:rPr>
          <w:rFonts w:ascii="宋体" w:hAnsi="宋体"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pPr>
        <w:pStyle w:val="16"/>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pPr>
        <w:rPr>
          <w:rFonts w:ascii="宋体" w:hAnsi="宋体" w:cs="宋体"/>
          <w:color w:val="auto"/>
          <w:sz w:val="28"/>
          <w:highlight w:val="none"/>
        </w:rPr>
      </w:pPr>
    </w:p>
    <w:p>
      <w:pPr>
        <w:pStyle w:val="16"/>
        <w:rPr>
          <w:rFonts w:ascii="宋体" w:hAnsi="宋体" w:cs="宋体"/>
          <w:color w:val="auto"/>
          <w:sz w:val="28"/>
          <w:highlight w:val="none"/>
        </w:rPr>
      </w:pPr>
    </w:p>
    <w:p>
      <w:pPr>
        <w:rPr>
          <w:rFonts w:ascii="宋体" w:hAnsi="宋体" w:cs="宋体"/>
          <w:color w:val="auto"/>
          <w:sz w:val="28"/>
          <w:highlight w:val="none"/>
        </w:rPr>
      </w:pPr>
    </w:p>
    <w:p>
      <w:pPr>
        <w:pStyle w:val="16"/>
        <w:rPr>
          <w:rFonts w:ascii="宋体" w:hAnsi="宋体" w:cs="宋体"/>
          <w:color w:val="auto"/>
          <w:sz w:val="28"/>
          <w:highlight w:val="none"/>
        </w:rPr>
      </w:pP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41" w:name="_Toc7326"/>
      <w:r>
        <w:rPr>
          <w:rFonts w:hint="eastAsia" w:ascii="宋体" w:hAnsi="宋体" w:eastAsia="宋体" w:cs="宋体"/>
          <w:color w:val="auto"/>
          <w:sz w:val="28"/>
          <w:highlight w:val="none"/>
        </w:rPr>
        <w:t>五、报价人承诺</w:t>
      </w:r>
      <w:bookmarkEnd w:id="241"/>
    </w:p>
    <w:p>
      <w:pPr>
        <w:pStyle w:val="16"/>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yellow"/>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pPr>
        <w:rPr>
          <w:rFonts w:hint="eastAsia" w:ascii="宋体" w:hAnsi="宋体"/>
          <w:b/>
          <w:bCs/>
          <w:color w:val="auto"/>
          <w:sz w:val="24"/>
          <w:highlight w:val="none"/>
        </w:rPr>
      </w:pPr>
      <w:r>
        <w:rPr>
          <w:rFonts w:hint="eastAsia" w:ascii="宋体" w:hAnsi="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42" w:name="_Toc22594"/>
      <w:r>
        <w:rPr>
          <w:rFonts w:hint="eastAsia" w:ascii="宋体" w:hAnsi="宋体" w:eastAsia="宋体" w:cs="宋体"/>
          <w:b/>
          <w:bCs/>
          <w:color w:val="auto"/>
          <w:kern w:val="0"/>
          <w:sz w:val="28"/>
          <w:szCs w:val="32"/>
          <w:highlight w:val="none"/>
          <w:lang w:val="en-US" w:eastAsia="zh-CN" w:bidi="ar-SA"/>
        </w:rPr>
        <w:t>六、报价人其他资料</w:t>
      </w:r>
      <w:bookmarkEnd w:id="242"/>
    </w:p>
    <w:p>
      <w:pPr>
        <w:pStyle w:val="16"/>
        <w:rPr>
          <w:rFonts w:ascii="宋体" w:hAnsi="宋体"/>
          <w:color w:val="auto"/>
          <w:sz w:val="24"/>
          <w:highlight w:val="none"/>
        </w:rPr>
      </w:pPr>
    </w:p>
    <w:p>
      <w:pPr>
        <w:pStyle w:val="5"/>
        <w:spacing w:before="0" w:after="0" w:line="360" w:lineRule="auto"/>
        <w:jc w:val="center"/>
        <w:rPr>
          <w:color w:val="auto"/>
          <w:sz w:val="28"/>
          <w:szCs w:val="28"/>
          <w:highlight w:val="none"/>
        </w:rPr>
      </w:pPr>
      <w:r>
        <w:rPr>
          <w:rFonts w:hint="eastAsia"/>
          <w:color w:val="auto"/>
          <w:sz w:val="28"/>
          <w:szCs w:val="28"/>
          <w:highlight w:val="none"/>
        </w:rPr>
        <w:t>（一）报价人基本信息表</w:t>
      </w:r>
    </w:p>
    <w:p>
      <w:pPr>
        <w:pStyle w:val="26"/>
        <w:rPr>
          <w:color w:val="auto"/>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16"/>
        <w:rPr>
          <w:rFonts w:hint="eastAsia" w:ascii="宋体" w:hAnsi="宋体" w:cs="宋体"/>
          <w:color w:val="auto"/>
          <w:sz w:val="28"/>
          <w:highlight w:val="none"/>
          <w:lang w:eastAsia="zh-CN"/>
        </w:rPr>
      </w:pPr>
    </w:p>
    <w:p>
      <w:pPr>
        <w:pStyle w:val="16"/>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pPr>
        <w:pStyle w:val="4"/>
        <w:spacing w:before="0" w:after="0" w:line="360" w:lineRule="auto"/>
        <w:jc w:val="center"/>
        <w:outlineLvl w:val="9"/>
        <w:rPr>
          <w:rFonts w:ascii="宋体" w:hAnsi="宋体" w:eastAsia="宋体" w:cs="宋体"/>
          <w:color w:val="auto"/>
          <w:sz w:val="28"/>
          <w:highlight w:val="none"/>
        </w:rPr>
      </w:pPr>
    </w:p>
    <w:p>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pPr>
        <w:pStyle w:val="4"/>
        <w:spacing w:before="0" w:after="0" w:line="360" w:lineRule="auto"/>
        <w:jc w:val="center"/>
        <w:outlineLvl w:val="9"/>
        <w:rPr>
          <w:rFonts w:hint="eastAsia" w:ascii="宋体" w:hAnsi="宋体" w:eastAsia="宋体" w:cs="宋体"/>
          <w:color w:val="auto"/>
          <w:sz w:val="21"/>
          <w:szCs w:val="21"/>
          <w:highlight w:val="none"/>
        </w:rPr>
      </w:pPr>
    </w:p>
    <w:p>
      <w:pPr>
        <w:pStyle w:val="16"/>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kern w:val="0"/>
          <w:sz w:val="21"/>
          <w:szCs w:val="21"/>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lang w:bidi="ar"/>
        </w:rPr>
        <w:t>商务部分评分标准所涉及的内容及相关佐证资料由</w:t>
      </w:r>
      <w:r>
        <w:rPr>
          <w:rFonts w:hint="eastAsia" w:ascii="宋体" w:hAnsi="宋体" w:cs="宋体"/>
          <w:b/>
          <w:color w:val="auto"/>
          <w:kern w:val="0"/>
          <w:sz w:val="21"/>
          <w:szCs w:val="21"/>
          <w:lang w:eastAsia="zh-CN" w:bidi="ar"/>
        </w:rPr>
        <w:t>报价人</w:t>
      </w:r>
      <w:r>
        <w:rPr>
          <w:rFonts w:hint="eastAsia" w:ascii="宋体" w:hAnsi="宋体" w:eastAsia="宋体" w:cs="宋体"/>
          <w:b/>
          <w:color w:val="auto"/>
          <w:kern w:val="0"/>
          <w:sz w:val="21"/>
          <w:szCs w:val="21"/>
          <w:lang w:bidi="ar"/>
        </w:rPr>
        <w:t>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pPr>
        <w:rPr>
          <w:rFonts w:hint="eastAsia" w:ascii="宋体" w:hAnsi="宋体" w:cs="宋体"/>
          <w:b/>
          <w:bCs/>
          <w:color w:val="auto"/>
          <w:sz w:val="28"/>
          <w:lang w:eastAsia="zh-CN"/>
        </w:rPr>
      </w:pPr>
      <w:r>
        <w:rPr>
          <w:rFonts w:hint="eastAsia" w:ascii="宋体" w:hAnsi="宋体" w:cs="宋体"/>
          <w:b/>
          <w:bCs/>
          <w:color w:val="auto"/>
          <w:sz w:val="28"/>
          <w:lang w:eastAsia="zh-CN"/>
        </w:rPr>
        <w:br w:type="page"/>
      </w:r>
    </w:p>
    <w:p>
      <w:pPr>
        <w:pStyle w:val="16"/>
        <w:jc w:val="center"/>
        <w:rPr>
          <w:rFonts w:ascii="宋体" w:hAnsi="宋体"/>
          <w:b/>
          <w:bCs/>
          <w:color w:val="auto"/>
          <w:sz w:val="24"/>
          <w:highlight w:val="none"/>
        </w:rPr>
      </w:pPr>
      <w:r>
        <w:rPr>
          <w:rFonts w:hint="eastAsia" w:ascii="宋体" w:hAnsi="宋体" w:cs="宋体"/>
          <w:b/>
          <w:bCs/>
          <w:color w:val="auto"/>
          <w:sz w:val="28"/>
          <w:lang w:eastAsia="zh-CN"/>
        </w:rPr>
        <w:t>（</w:t>
      </w:r>
      <w:r>
        <w:rPr>
          <w:rFonts w:hint="eastAsia" w:ascii="宋体" w:hAnsi="宋体" w:cs="宋体"/>
          <w:b/>
          <w:bCs/>
          <w:color w:val="auto"/>
          <w:sz w:val="28"/>
          <w:lang w:val="en-US" w:eastAsia="zh-CN"/>
        </w:rPr>
        <w:t>五</w:t>
      </w:r>
      <w:r>
        <w:rPr>
          <w:rFonts w:hint="eastAsia" w:ascii="宋体" w:hAnsi="宋体" w:cs="宋体"/>
          <w:b/>
          <w:bCs/>
          <w:color w:val="auto"/>
          <w:sz w:val="28"/>
          <w:lang w:eastAsia="zh-CN"/>
        </w:rPr>
        <w:t>）</w:t>
      </w:r>
      <w:r>
        <w:rPr>
          <w:rFonts w:hint="eastAsia" w:ascii="宋体" w:hAnsi="宋体" w:cs="宋体"/>
          <w:b/>
          <w:bCs/>
          <w:color w:val="auto"/>
          <w:sz w:val="28"/>
        </w:rPr>
        <w:t>其他材料</w:t>
      </w:r>
    </w:p>
    <w:p>
      <w:pPr>
        <w:numPr>
          <w:ilvl w:val="0"/>
          <w:numId w:val="0"/>
        </w:numPr>
        <w:wordWrap w:val="0"/>
        <w:adjustRightInd w:val="0"/>
        <w:snapToGrid w:val="0"/>
        <w:spacing w:line="460" w:lineRule="exact"/>
        <w:jc w:val="left"/>
        <w:rPr>
          <w:rFonts w:hint="eastAsia" w:ascii="宋体" w:hAnsi="宋体" w:cs="宋体"/>
          <w:color w:val="auto"/>
          <w:szCs w:val="21"/>
          <w:lang w:bidi="ar"/>
        </w:rPr>
      </w:pPr>
      <w:r>
        <w:rPr>
          <w:rFonts w:hint="eastAsia" w:ascii="宋体" w:hAnsi="宋体" w:cs="宋体"/>
          <w:color w:val="auto"/>
          <w:szCs w:val="21"/>
          <w:lang w:val="en-US" w:eastAsia="zh-CN" w:bidi="ar"/>
        </w:rPr>
        <w:t>1.</w:t>
      </w:r>
      <w:r>
        <w:rPr>
          <w:rFonts w:hint="eastAsia" w:ascii="宋体" w:hAnsi="宋体" w:cs="宋体"/>
          <w:color w:val="auto"/>
          <w:szCs w:val="21"/>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lang w:bidi="ar"/>
        </w:rPr>
      </w:pPr>
      <w:r>
        <w:rPr>
          <w:rFonts w:hint="eastAsia" w:ascii="宋体" w:hAnsi="宋体" w:cs="宋体"/>
          <w:color w:val="auto"/>
          <w:szCs w:val="21"/>
          <w:lang w:bidi="ar"/>
        </w:rPr>
        <w:t>2.在满足</w:t>
      </w:r>
      <w:r>
        <w:rPr>
          <w:rFonts w:hint="eastAsia" w:ascii="宋体" w:hAnsi="宋体" w:cs="宋体"/>
          <w:color w:val="auto"/>
          <w:szCs w:val="21"/>
          <w:lang w:val="en-US" w:eastAsia="zh-CN" w:bidi="ar"/>
        </w:rPr>
        <w:t>竞争性比选</w:t>
      </w:r>
      <w:r>
        <w:rPr>
          <w:rFonts w:hint="eastAsia" w:ascii="宋体" w:hAnsi="宋体" w:cs="宋体"/>
          <w:color w:val="auto"/>
          <w:szCs w:val="21"/>
          <w:lang w:bidi="ar"/>
        </w:rPr>
        <w:t>文件实质性要求的基础上，</w:t>
      </w:r>
      <w:r>
        <w:rPr>
          <w:rFonts w:hint="eastAsia" w:ascii="宋体" w:hAnsi="宋体" w:cs="宋体"/>
          <w:color w:val="auto"/>
          <w:szCs w:val="21"/>
          <w:lang w:val="en-US" w:eastAsia="zh-CN" w:bidi="ar"/>
        </w:rPr>
        <w:t>报价</w:t>
      </w:r>
      <w:r>
        <w:rPr>
          <w:rFonts w:hint="eastAsia" w:ascii="宋体" w:hAnsi="宋体" w:cs="宋体"/>
          <w:color w:val="auto"/>
          <w:szCs w:val="21"/>
          <w:lang w:bidi="ar"/>
        </w:rPr>
        <w:t>人可以提出比</w:t>
      </w:r>
      <w:r>
        <w:rPr>
          <w:rFonts w:hint="eastAsia" w:ascii="宋体" w:hAnsi="宋体" w:cs="宋体"/>
          <w:color w:val="auto"/>
          <w:szCs w:val="21"/>
          <w:lang w:val="en-US" w:eastAsia="zh-CN" w:bidi="ar"/>
        </w:rPr>
        <w:t>竞争性比选</w:t>
      </w:r>
      <w:r>
        <w:rPr>
          <w:rFonts w:hint="eastAsia" w:ascii="宋体" w:hAnsi="宋体" w:cs="宋体"/>
          <w:color w:val="auto"/>
          <w:szCs w:val="21"/>
          <w:lang w:bidi="ar"/>
        </w:rPr>
        <w:t>文件要求更有利于</w:t>
      </w:r>
      <w:r>
        <w:rPr>
          <w:rFonts w:hint="eastAsia" w:ascii="宋体" w:hAnsi="宋体" w:cs="宋体"/>
          <w:color w:val="auto"/>
          <w:szCs w:val="21"/>
          <w:lang w:val="en-US" w:eastAsia="zh-CN" w:bidi="ar"/>
        </w:rPr>
        <w:t>采购</w:t>
      </w:r>
      <w:r>
        <w:rPr>
          <w:rFonts w:hint="eastAsia" w:ascii="宋体" w:hAnsi="宋体" w:cs="宋体"/>
          <w:color w:val="auto"/>
          <w:szCs w:val="21"/>
          <w:lang w:bidi="ar"/>
        </w:rPr>
        <w:t>人的承诺（格式自拟）；</w:t>
      </w:r>
    </w:p>
    <w:p>
      <w:pPr>
        <w:wordWrap w:val="0"/>
        <w:adjustRightInd w:val="0"/>
        <w:snapToGrid w:val="0"/>
        <w:spacing w:line="460" w:lineRule="exact"/>
        <w:jc w:val="left"/>
        <w:rPr>
          <w:rFonts w:hint="eastAsia" w:ascii="宋体" w:hAnsi="宋体" w:cs="宋体"/>
          <w:color w:val="auto"/>
          <w:szCs w:val="21"/>
          <w:lang w:bidi="ar"/>
        </w:rPr>
      </w:pPr>
      <w:r>
        <w:rPr>
          <w:rFonts w:hint="eastAsia" w:ascii="宋体" w:hAnsi="宋体" w:cs="宋体"/>
          <w:color w:val="auto"/>
          <w:szCs w:val="21"/>
          <w:lang w:bidi="ar"/>
        </w:rPr>
        <w:t>3.</w:t>
      </w:r>
      <w:r>
        <w:rPr>
          <w:rFonts w:hint="eastAsia" w:ascii="宋体" w:hAnsi="宋体" w:cs="宋体"/>
          <w:color w:val="auto"/>
          <w:szCs w:val="21"/>
          <w:lang w:val="en-US" w:eastAsia="zh-CN" w:bidi="ar"/>
        </w:rPr>
        <w:t>报价</w:t>
      </w:r>
      <w:r>
        <w:rPr>
          <w:rFonts w:hint="eastAsia" w:ascii="宋体" w:hAnsi="宋体" w:cs="宋体"/>
          <w:color w:val="auto"/>
          <w:szCs w:val="21"/>
          <w:lang w:bidi="ar"/>
        </w:rPr>
        <w:t>人认为有必要提供的资料，标明其内容且格式自拟。</w:t>
      </w:r>
    </w:p>
    <w:p>
      <w:pPr>
        <w:wordWrap w:val="0"/>
        <w:adjustRightInd w:val="0"/>
        <w:snapToGrid w:val="0"/>
        <w:spacing w:line="460" w:lineRule="exact"/>
        <w:jc w:val="left"/>
        <w:rPr>
          <w:rFonts w:hint="eastAsia" w:ascii="宋体" w:hAnsi="宋体" w:cs="宋体"/>
          <w:color w:val="auto"/>
          <w:szCs w:val="21"/>
          <w:highlight w:val="none"/>
          <w:lang w:bidi="ar"/>
        </w:rPr>
      </w:pPr>
    </w:p>
    <w:p>
      <w:pPr>
        <w:pStyle w:val="16"/>
        <w:rPr>
          <w:color w:val="auto"/>
          <w:highlight w:val="none"/>
        </w:rPr>
      </w:pPr>
    </w:p>
    <w:p>
      <w:pPr>
        <w:rPr>
          <w:rFonts w:ascii="宋体" w:hAnsi="宋体" w:cs="宋体"/>
          <w:color w:val="auto"/>
          <w:sz w:val="28"/>
          <w:highlight w:val="none"/>
        </w:rPr>
      </w:pPr>
    </w:p>
    <w:bookmarkEnd w:id="235"/>
    <w:bookmarkEnd w:id="236"/>
    <w:p>
      <w:pPr>
        <w:rPr>
          <w:color w:val="auto"/>
          <w:highlight w:val="none"/>
        </w:rPr>
      </w:pPr>
    </w:p>
    <w:sectPr>
      <w:footerReference r:id="rId17" w:type="first"/>
      <w:footerReference r:id="rId16"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0BAFAD-C1E9-4E47-AA2B-89E0F76A95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AA354CF2-B889-409A-A4F3-0C9BCE3CFFA6}"/>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1678E684-75F5-48C9-81CA-E51012098D8F}"/>
  </w:font>
  <w:font w:name="方正小标宋_GBK">
    <w:panose1 w:val="03000509000000000000"/>
    <w:charset w:val="86"/>
    <w:family w:val="script"/>
    <w:pitch w:val="default"/>
    <w:sig w:usb0="00000001" w:usb1="080E0000" w:usb2="00000000" w:usb3="00000000" w:csb0="00040000" w:csb1="00000000"/>
    <w:embedRegular r:id="rId4" w:fontKey="{007E468C-5970-4B61-BEE2-827E33A20758}"/>
  </w:font>
  <w:font w:name="仿宋">
    <w:panose1 w:val="02010609060101010101"/>
    <w:charset w:val="86"/>
    <w:family w:val="modern"/>
    <w:pitch w:val="default"/>
    <w:sig w:usb0="800002BF" w:usb1="38CF7CFA" w:usb2="00000016" w:usb3="00000000" w:csb0="00040001" w:csb1="00000000"/>
    <w:embedRegular r:id="rId5" w:fontKey="{281D38A0-456B-4D0E-B94C-E8F9590333EC}"/>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embedRegular r:id="rId6" w:fontKey="{CDBB9C2A-9197-4115-A376-A4D96BA12350}"/>
  </w:font>
  <w:font w:name="仿宋_GB2312">
    <w:altName w:val="仿宋"/>
    <w:panose1 w:val="02010609030101010101"/>
    <w:charset w:val="86"/>
    <w:family w:val="modern"/>
    <w:pitch w:val="default"/>
    <w:sig w:usb0="00000000" w:usb1="00000000" w:usb2="00000010" w:usb3="00000000" w:csb0="00040000" w:csb1="00000000"/>
    <w:embedRegular r:id="rId7" w:fontKey="{9AF7B755-8C68-41AA-9884-94213600CBA7}"/>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rPr>
    </w:pPr>
    <w:r>
      <w:fldChar w:fldCharType="begin"/>
    </w:r>
    <w:r>
      <w:rPr>
        <w:rStyle w:val="47"/>
      </w:rPr>
      <w:instrText xml:space="preserve"> PAGE </w:instrText>
    </w:r>
    <w:r>
      <w:fldChar w:fldCharType="separate"/>
    </w:r>
    <w:r>
      <w:rPr>
        <w:rStyle w:val="47"/>
      </w:rPr>
      <w:t>1</w: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rPr>
    </w:pPr>
    <w:r>
      <w:fldChar w:fldCharType="begin"/>
    </w:r>
    <w:r>
      <w:rPr>
        <w:rStyle w:val="47"/>
      </w:rPr>
      <w:instrText xml:space="preserve"> PAGE </w:instrText>
    </w:r>
    <w:r>
      <w:fldChar w:fldCharType="separate"/>
    </w:r>
    <w:r>
      <w:rPr>
        <w:rStyle w:val="47"/>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55D285C0"/>
    <w:multiLevelType w:val="singleLevel"/>
    <w:tmpl w:val="55D285C0"/>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 w:name="KGWebUrl" w:val="http://113.250.85.227:8081/weaver/weaver.file.FileDownloadForNews?uuid=4fa64b3c-f312-420e-b0b4-317b26e7d909&amp;fileid=261253&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9D41FE"/>
    <w:rsid w:val="02A800C5"/>
    <w:rsid w:val="02C6499B"/>
    <w:rsid w:val="02C91CAA"/>
    <w:rsid w:val="033E10C9"/>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C76C7A"/>
    <w:rsid w:val="06DD02BB"/>
    <w:rsid w:val="06E43F57"/>
    <w:rsid w:val="06E71F51"/>
    <w:rsid w:val="06F965AD"/>
    <w:rsid w:val="07050666"/>
    <w:rsid w:val="071C4DB7"/>
    <w:rsid w:val="07362674"/>
    <w:rsid w:val="073B54B2"/>
    <w:rsid w:val="07537EF9"/>
    <w:rsid w:val="07815EE7"/>
    <w:rsid w:val="07C66F31"/>
    <w:rsid w:val="08170505"/>
    <w:rsid w:val="081748AE"/>
    <w:rsid w:val="08635851"/>
    <w:rsid w:val="08C2359B"/>
    <w:rsid w:val="09041814"/>
    <w:rsid w:val="092D7BDC"/>
    <w:rsid w:val="09332D2B"/>
    <w:rsid w:val="093E2D64"/>
    <w:rsid w:val="09472203"/>
    <w:rsid w:val="094E590C"/>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5C6F5A"/>
    <w:rsid w:val="0C623EAC"/>
    <w:rsid w:val="0C946488"/>
    <w:rsid w:val="0CA67A67"/>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3160E"/>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7F03EA"/>
    <w:rsid w:val="1B8E5EC0"/>
    <w:rsid w:val="1BBE4697"/>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876CA0"/>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C64455"/>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9FA4AED"/>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DBB39E2"/>
    <w:rsid w:val="2E173684"/>
    <w:rsid w:val="2E1751F9"/>
    <w:rsid w:val="2E6A704D"/>
    <w:rsid w:val="2E8A6255"/>
    <w:rsid w:val="2F0B1048"/>
    <w:rsid w:val="2F141AAA"/>
    <w:rsid w:val="2F9A6191"/>
    <w:rsid w:val="2FCA4353"/>
    <w:rsid w:val="2FE55D75"/>
    <w:rsid w:val="2FF23F99"/>
    <w:rsid w:val="300A288E"/>
    <w:rsid w:val="30236367"/>
    <w:rsid w:val="30331BC6"/>
    <w:rsid w:val="303E7E03"/>
    <w:rsid w:val="304A182B"/>
    <w:rsid w:val="306939C3"/>
    <w:rsid w:val="30700C52"/>
    <w:rsid w:val="30757C00"/>
    <w:rsid w:val="307D5D65"/>
    <w:rsid w:val="30B34CE3"/>
    <w:rsid w:val="30CB1C83"/>
    <w:rsid w:val="30ED2830"/>
    <w:rsid w:val="31116EA7"/>
    <w:rsid w:val="312F0338"/>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3C59B9"/>
    <w:rsid w:val="35574E9C"/>
    <w:rsid w:val="35712E34"/>
    <w:rsid w:val="35C10F67"/>
    <w:rsid w:val="35ED793B"/>
    <w:rsid w:val="35F84740"/>
    <w:rsid w:val="36383125"/>
    <w:rsid w:val="366C082D"/>
    <w:rsid w:val="368C388A"/>
    <w:rsid w:val="36C90DD1"/>
    <w:rsid w:val="37335AE2"/>
    <w:rsid w:val="374634AB"/>
    <w:rsid w:val="374B6987"/>
    <w:rsid w:val="37704489"/>
    <w:rsid w:val="37710026"/>
    <w:rsid w:val="37925427"/>
    <w:rsid w:val="37A55DCC"/>
    <w:rsid w:val="37CA04FF"/>
    <w:rsid w:val="37D30771"/>
    <w:rsid w:val="37EC0BB8"/>
    <w:rsid w:val="38995839"/>
    <w:rsid w:val="39265074"/>
    <w:rsid w:val="392B274A"/>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A446C0"/>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9735C1"/>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A74EBA"/>
    <w:rsid w:val="53D43855"/>
    <w:rsid w:val="53D6214F"/>
    <w:rsid w:val="53E564F4"/>
    <w:rsid w:val="53EE1101"/>
    <w:rsid w:val="53FC4E8E"/>
    <w:rsid w:val="541717DC"/>
    <w:rsid w:val="54271D5C"/>
    <w:rsid w:val="546535D1"/>
    <w:rsid w:val="54976AA9"/>
    <w:rsid w:val="549A3F89"/>
    <w:rsid w:val="54DE0134"/>
    <w:rsid w:val="553C46BA"/>
    <w:rsid w:val="55494082"/>
    <w:rsid w:val="554F368F"/>
    <w:rsid w:val="557D5B60"/>
    <w:rsid w:val="55834A19"/>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8FB1E50"/>
    <w:rsid w:val="59445F91"/>
    <w:rsid w:val="59815208"/>
    <w:rsid w:val="59F001A4"/>
    <w:rsid w:val="5A1E2DE7"/>
    <w:rsid w:val="5A20427A"/>
    <w:rsid w:val="5A395FB6"/>
    <w:rsid w:val="5A436A2D"/>
    <w:rsid w:val="5A767910"/>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013C4C"/>
    <w:rsid w:val="5F3815EE"/>
    <w:rsid w:val="5F5C32D6"/>
    <w:rsid w:val="5F762886"/>
    <w:rsid w:val="5F853E5C"/>
    <w:rsid w:val="5FA870CA"/>
    <w:rsid w:val="5FA92D9F"/>
    <w:rsid w:val="5FAC2DE4"/>
    <w:rsid w:val="5FB10E83"/>
    <w:rsid w:val="5FB70ABF"/>
    <w:rsid w:val="600E788A"/>
    <w:rsid w:val="6011673F"/>
    <w:rsid w:val="604130CF"/>
    <w:rsid w:val="60485450"/>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6652C"/>
    <w:rsid w:val="626343A0"/>
    <w:rsid w:val="626736F9"/>
    <w:rsid w:val="626B4082"/>
    <w:rsid w:val="626B6B00"/>
    <w:rsid w:val="628E1BE9"/>
    <w:rsid w:val="62D06FF9"/>
    <w:rsid w:val="62D765EB"/>
    <w:rsid w:val="636B22CC"/>
    <w:rsid w:val="636C198B"/>
    <w:rsid w:val="63B65AC7"/>
    <w:rsid w:val="63D7428B"/>
    <w:rsid w:val="640C4C0D"/>
    <w:rsid w:val="642D54CF"/>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9F2FF2"/>
    <w:rsid w:val="67AB61F8"/>
    <w:rsid w:val="67BA7741"/>
    <w:rsid w:val="67BD2A93"/>
    <w:rsid w:val="67E6170C"/>
    <w:rsid w:val="680D0CA5"/>
    <w:rsid w:val="68A45648"/>
    <w:rsid w:val="68A5668C"/>
    <w:rsid w:val="68B20836"/>
    <w:rsid w:val="68D27297"/>
    <w:rsid w:val="6911241F"/>
    <w:rsid w:val="695E7EED"/>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AF0D17"/>
    <w:rsid w:val="6DB941BD"/>
    <w:rsid w:val="6DC60F63"/>
    <w:rsid w:val="6DEF6D4C"/>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437390"/>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32303D9"/>
    <w:rsid w:val="73532CC9"/>
    <w:rsid w:val="736F4591"/>
    <w:rsid w:val="73993FFB"/>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29438A"/>
    <w:rsid w:val="7C456120"/>
    <w:rsid w:val="7C5728ED"/>
    <w:rsid w:val="7C82779C"/>
    <w:rsid w:val="7C9408F4"/>
    <w:rsid w:val="7CB4634A"/>
    <w:rsid w:val="7CB83597"/>
    <w:rsid w:val="7CB90CC2"/>
    <w:rsid w:val="7CFB2CE9"/>
    <w:rsid w:val="7D035EB5"/>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5364F"/>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link w:val="69"/>
    <w:qFormat/>
    <w:uiPriority w:val="0"/>
    <w:pPr>
      <w:ind w:firstLine="420" w:firstLineChars="200"/>
    </w:pPr>
  </w:style>
  <w:style w:type="paragraph" w:styleId="13">
    <w:name w:val="Document Map"/>
    <w:basedOn w:val="1"/>
    <w:link w:val="76"/>
    <w:qFormat/>
    <w:uiPriority w:val="0"/>
    <w:pPr>
      <w:shd w:val="clear" w:color="auto" w:fill="000080"/>
    </w:pPr>
    <w:rPr>
      <w:kern w:val="0"/>
      <w:sz w:val="20"/>
    </w:rPr>
  </w:style>
  <w:style w:type="paragraph" w:styleId="14">
    <w:name w:val="annotation text"/>
    <w:basedOn w:val="1"/>
    <w:link w:val="58"/>
    <w:unhideWhenUsed/>
    <w:qFormat/>
    <w:uiPriority w:val="99"/>
    <w:pPr>
      <w:jc w:val="left"/>
    </w:pPr>
    <w:rPr>
      <w:kern w:val="0"/>
      <w:sz w:val="20"/>
    </w:rPr>
  </w:style>
  <w:style w:type="paragraph" w:styleId="15">
    <w:name w:val="Body Text 3"/>
    <w:basedOn w:val="1"/>
    <w:link w:val="62"/>
    <w:qFormat/>
    <w:uiPriority w:val="0"/>
    <w:rPr>
      <w:rFonts w:ascii="宋体"/>
      <w:kern w:val="0"/>
      <w:sz w:val="24"/>
      <w:szCs w:val="20"/>
    </w:rPr>
  </w:style>
  <w:style w:type="paragraph" w:styleId="16">
    <w:name w:val="Body Text"/>
    <w:basedOn w:val="12"/>
    <w:next w:val="1"/>
    <w:link w:val="65"/>
    <w:qFormat/>
    <w:uiPriority w:val="0"/>
    <w:pPr>
      <w:spacing w:after="120"/>
    </w:pPr>
    <w:rPr>
      <w:kern w:val="0"/>
      <w:sz w:val="20"/>
    </w:rPr>
  </w:style>
  <w:style w:type="paragraph" w:styleId="17">
    <w:name w:val="Body Text Indent"/>
    <w:basedOn w:val="1"/>
    <w:link w:val="75"/>
    <w:qFormat/>
    <w:uiPriority w:val="0"/>
    <w:pPr>
      <w:spacing w:after="120"/>
      <w:ind w:left="420" w:leftChars="200"/>
    </w:pPr>
    <w:rPr>
      <w:kern w:val="0"/>
      <w:sz w:val="20"/>
    </w:rPr>
  </w:style>
  <w:style w:type="paragraph" w:styleId="18">
    <w:name w:val="Block Text"/>
    <w:basedOn w:val="16"/>
    <w:next w:val="16"/>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8"/>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2"/>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80"/>
    <w:qFormat/>
    <w:uiPriority w:val="0"/>
    <w:rPr>
      <w:kern w:val="0"/>
      <w:sz w:val="18"/>
      <w:szCs w:val="18"/>
    </w:rPr>
  </w:style>
  <w:style w:type="paragraph" w:styleId="26">
    <w:name w:val="footer"/>
    <w:basedOn w:val="1"/>
    <w:link w:val="94"/>
    <w:qFormat/>
    <w:uiPriority w:val="99"/>
    <w:pPr>
      <w:tabs>
        <w:tab w:val="center" w:pos="4153"/>
        <w:tab w:val="right" w:pos="8306"/>
      </w:tabs>
      <w:snapToGrid w:val="0"/>
      <w:jc w:val="left"/>
    </w:pPr>
    <w:rPr>
      <w:kern w:val="0"/>
      <w:sz w:val="18"/>
      <w:szCs w:val="18"/>
    </w:rPr>
  </w:style>
  <w:style w:type="paragraph" w:styleId="27">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6"/>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6"/>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8"/>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Emphasis"/>
    <w:basedOn w:val="45"/>
    <w:qFormat/>
    <w:uiPriority w:val="20"/>
    <w:rPr>
      <w:i/>
    </w:rPr>
  </w:style>
  <w:style w:type="character" w:styleId="50">
    <w:name w:val="Hyperlink"/>
    <w:basedOn w:val="45"/>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批注文字 字符"/>
    <w:link w:val="14"/>
    <w:semiHidden/>
    <w:qFormat/>
    <w:uiPriority w:val="99"/>
    <w:rPr>
      <w:rFonts w:ascii="Times New Roman" w:hAnsi="Times New Roman" w:eastAsia="宋体" w:cs="Times New Roman"/>
      <w:szCs w:val="24"/>
    </w:rPr>
  </w:style>
  <w:style w:type="character" w:customStyle="1" w:styleId="59">
    <w:name w:val="标题 6 字符"/>
    <w:link w:val="6"/>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5"/>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6"/>
    <w:qFormat/>
    <w:uiPriority w:val="0"/>
    <w:rPr>
      <w:rFonts w:eastAsia="宋体"/>
      <w:szCs w:val="24"/>
    </w:rPr>
  </w:style>
  <w:style w:type="character" w:customStyle="1" w:styleId="66">
    <w:name w:val="脚注文本 字符"/>
    <w:link w:val="30"/>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0"/>
    <w:qFormat/>
    <w:uiPriority w:val="0"/>
    <w:rPr>
      <w:rFonts w:ascii="Times New Roman" w:hAnsi="Times New Roman" w:eastAsia="宋体" w:cs="Times New Roman"/>
      <w:b/>
      <w:bCs/>
      <w:szCs w:val="24"/>
    </w:rPr>
  </w:style>
  <w:style w:type="character" w:customStyle="1" w:styleId="69">
    <w:name w:val="正文缩进 字符"/>
    <w:link w:val="12"/>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7"/>
    <w:qFormat/>
    <w:uiPriority w:val="0"/>
    <w:rPr>
      <w:rFonts w:ascii="Times New Roman" w:hAnsi="Times New Roman" w:eastAsia="宋体" w:cs="Times New Roman"/>
      <w:sz w:val="18"/>
      <w:szCs w:val="18"/>
    </w:rPr>
  </w:style>
  <w:style w:type="character" w:customStyle="1" w:styleId="73">
    <w:name w:val="标题 9 字符"/>
    <w:link w:val="9"/>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7"/>
    <w:qFormat/>
    <w:uiPriority w:val="0"/>
    <w:rPr>
      <w:szCs w:val="24"/>
    </w:rPr>
  </w:style>
  <w:style w:type="character" w:customStyle="1" w:styleId="76">
    <w:name w:val="文档结构图 字符"/>
    <w:link w:val="13"/>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黑体" w:cs="Times New Roman"/>
      <w:b/>
      <w:bCs/>
      <w:sz w:val="32"/>
      <w:szCs w:val="32"/>
    </w:rPr>
  </w:style>
  <w:style w:type="character" w:customStyle="1" w:styleId="79">
    <w:name w:val="标题 字符"/>
    <w:link w:val="39"/>
    <w:qFormat/>
    <w:uiPriority w:val="0"/>
    <w:rPr>
      <w:rFonts w:ascii="Arial" w:hAnsi="Arial"/>
      <w:b/>
      <w:sz w:val="32"/>
    </w:rPr>
  </w:style>
  <w:style w:type="character" w:customStyle="1" w:styleId="80">
    <w:name w:val="批注框文本 字符"/>
    <w:link w:val="25"/>
    <w:qFormat/>
    <w:uiPriority w:val="0"/>
    <w:rPr>
      <w:rFonts w:ascii="Times New Roman" w:hAnsi="Times New Roman" w:eastAsia="宋体" w:cs="Times New Roman"/>
      <w:sz w:val="18"/>
      <w:szCs w:val="18"/>
    </w:rPr>
  </w:style>
  <w:style w:type="character" w:customStyle="1" w:styleId="81">
    <w:name w:val="标题 8 字符"/>
    <w:link w:val="8"/>
    <w:qFormat/>
    <w:uiPriority w:val="0"/>
    <w:rPr>
      <w:rFonts w:ascii="Arial" w:hAnsi="Arial" w:eastAsia="黑体" w:cs="Times New Roman"/>
      <w:kern w:val="0"/>
      <w:sz w:val="24"/>
      <w:szCs w:val="24"/>
    </w:rPr>
  </w:style>
  <w:style w:type="character" w:customStyle="1" w:styleId="82">
    <w:name w:val="日期 字符"/>
    <w:link w:val="23"/>
    <w:qFormat/>
    <w:uiPriority w:val="0"/>
    <w:rPr>
      <w:rFonts w:ascii="Times New Roman" w:hAnsi="Times New Roman" w:eastAsia="宋体" w:cs="Times New Roman"/>
      <w:sz w:val="24"/>
      <w:szCs w:val="20"/>
    </w:rPr>
  </w:style>
  <w:style w:type="character" w:customStyle="1" w:styleId="83">
    <w:name w:val="标题 1 字符"/>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2"/>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2"/>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6"/>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6"/>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1"/>
    <w:qFormat/>
    <w:uiPriority w:val="99"/>
    <w:rPr>
      <w:rFonts w:ascii="Courier New" w:hAnsi="Courier New"/>
    </w:rPr>
  </w:style>
  <w:style w:type="character" w:customStyle="1" w:styleId="99">
    <w:name w:val="标题 7 字符"/>
    <w:link w:val="7"/>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5"/>
    <w:qFormat/>
    <w:uiPriority w:val="0"/>
    <w:rPr>
      <w:bdr w:val="dashed" w:color="auto" w:sz="48" w:space="0"/>
    </w:rPr>
  </w:style>
  <w:style w:type="character" w:customStyle="1" w:styleId="161">
    <w:name w:val="before"/>
    <w:basedOn w:val="45"/>
    <w:qFormat/>
    <w:uiPriority w:val="0"/>
    <w:rPr>
      <w:bdr w:val="single" w:color="auto" w:sz="48" w:space="0"/>
    </w:rPr>
  </w:style>
  <w:style w:type="character" w:customStyle="1" w:styleId="162">
    <w:name w:val="hover48"/>
    <w:basedOn w:val="45"/>
    <w:qFormat/>
    <w:uiPriority w:val="0"/>
    <w:rPr>
      <w:shd w:val="clear" w:color="auto" w:fill="346AC3"/>
    </w:rPr>
  </w:style>
  <w:style w:type="character" w:customStyle="1" w:styleId="163">
    <w:name w:val="hover49"/>
    <w:basedOn w:val="45"/>
    <w:qFormat/>
    <w:uiPriority w:val="0"/>
  </w:style>
  <w:style w:type="character" w:customStyle="1" w:styleId="164">
    <w:name w:val="hover50"/>
    <w:basedOn w:val="45"/>
    <w:qFormat/>
    <w:uiPriority w:val="0"/>
    <w:rPr>
      <w:color w:val="4285F4"/>
      <w:u w:val="none"/>
    </w:rPr>
  </w:style>
  <w:style w:type="character" w:customStyle="1" w:styleId="165">
    <w:name w:val="hover51"/>
    <w:basedOn w:val="45"/>
    <w:qFormat/>
    <w:uiPriority w:val="0"/>
    <w:rPr>
      <w:color w:val="4285F4"/>
    </w:rPr>
  </w:style>
  <w:style w:type="character" w:customStyle="1" w:styleId="166">
    <w:name w:val="hover52"/>
    <w:basedOn w:val="45"/>
    <w:qFormat/>
    <w:uiPriority w:val="0"/>
    <w:rPr>
      <w:color w:val="1A85D7"/>
    </w:rPr>
  </w:style>
  <w:style w:type="character" w:customStyle="1" w:styleId="167">
    <w:name w:val="credit"/>
    <w:basedOn w:val="45"/>
    <w:qFormat/>
    <w:uiPriority w:val="0"/>
    <w:rPr>
      <w:sz w:val="18"/>
      <w:szCs w:val="18"/>
    </w:rPr>
  </w:style>
  <w:style w:type="character" w:customStyle="1" w:styleId="168">
    <w:name w:val="first-child"/>
    <w:basedOn w:val="45"/>
    <w:qFormat/>
    <w:uiPriority w:val="0"/>
  </w:style>
  <w:style w:type="paragraph" w:customStyle="1" w:styleId="169">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70">
    <w:name w:val="First Paragraph"/>
    <w:basedOn w:val="16"/>
    <w:next w:val="16"/>
    <w:qFormat/>
    <w:uiPriority w:val="0"/>
  </w:style>
  <w:style w:type="table" w:customStyle="1" w:styleId="171">
    <w:name w:val="Table"/>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172">
    <w:name w:val="Compact"/>
    <w:basedOn w:val="16"/>
    <w:qFormat/>
    <w:uiPriority w:val="0"/>
    <w:pPr>
      <w:spacing w:before="36" w:after="36"/>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40</Pages>
  <Words>13391</Words>
  <Characters>13921</Characters>
  <Lines>116</Lines>
  <Paragraphs>32</Paragraphs>
  <TotalTime>1</TotalTime>
  <ScaleCrop>false</ScaleCrop>
  <LinksUpToDate>false</LinksUpToDate>
  <CharactersWithSpaces>15562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蒋淇</cp:lastModifiedBy>
  <cp:lastPrinted>2022-06-07T10:51:00Z</cp:lastPrinted>
  <dcterms:modified xsi:type="dcterms:W3CDTF">2025-07-11T05:54:44Z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1E664FC71AE547E9862D7164993E47B4_13</vt:lpwstr>
  </property>
  <property fmtid="{D5CDD505-2E9C-101B-9397-08002B2CF9AE}" pid="4" name="KSOTemplateDocerSaveRecord">
    <vt:lpwstr>eyJoZGlkIjoiYmVmM2YyMGI5NzFhNjA2NzYzOTM4MzYyYzYxYjM3MTciLCJ1c2VySWQiOiI5ODk3ODM1NDAifQ==</vt:lpwstr>
  </property>
</Properties>
</file>