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bookmarkStart w:id="0" w:name="单据名称"/>
      <w:r>
        <w:rPr>
          <w:rFonts w:hint="eastAsia" w:ascii="宋体" w:hAnsi="宋体" w:cs="宋体"/>
          <w:b/>
          <w:color w:val="auto"/>
          <w:sz w:val="40"/>
          <w:szCs w:val="40"/>
          <w:highlight w:val="none"/>
        </w:rPr>
        <w:t>首讯公司IPO内控体系建设与执行专项工作咨询服务</w:t>
      </w:r>
      <w:bookmarkEnd w:id="0"/>
    </w:p>
    <w:p>
      <w:pPr>
        <w:rPr>
          <w:rFonts w:ascii="宋体" w:hAnsi="宋体" w:cs="宋体"/>
          <w:color w:val="auto"/>
          <w:sz w:val="28"/>
          <w:szCs w:val="2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pPr>
        <w:jc w:val="center"/>
        <w:rPr>
          <w:rFonts w:ascii="宋体" w:hAnsi="宋体" w:cs="宋体"/>
          <w:b/>
          <w:color w:val="auto"/>
          <w:sz w:val="48"/>
          <w:szCs w:val="48"/>
          <w:highlight w:val="none"/>
        </w:rPr>
      </w:pPr>
    </w:p>
    <w:p>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pPr>
        <w:jc w:val="center"/>
        <w:rPr>
          <w:rFonts w:ascii="宋体" w:hAnsi="宋体" w:cs="宋体"/>
          <w:b/>
          <w:color w:val="auto"/>
          <w:sz w:val="48"/>
          <w:szCs w:val="48"/>
          <w:highlight w:val="none"/>
        </w:rPr>
      </w:pPr>
    </w:p>
    <w:p>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pPr>
        <w:spacing w:line="400" w:lineRule="exact"/>
        <w:rPr>
          <w:rFonts w:ascii="宋体" w:hAnsi="宋体" w:cs="宋体"/>
          <w:color w:val="auto"/>
          <w:highlight w:val="none"/>
        </w:rPr>
      </w:pPr>
    </w:p>
    <w:p>
      <w:pPr>
        <w:rPr>
          <w:color w:val="auto"/>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pPr>
        <w:jc w:val="center"/>
        <w:rPr>
          <w:rFonts w:hint="eastAsia" w:ascii="宋体" w:hAnsi="宋体" w:cs="宋体"/>
          <w:b/>
          <w:color w:val="auto"/>
          <w:sz w:val="32"/>
          <w:szCs w:val="32"/>
          <w:highlight w:val="none"/>
          <w:u w:val="single"/>
        </w:rPr>
      </w:pPr>
    </w:p>
    <w:p>
      <w:pPr>
        <w:jc w:val="center"/>
        <w:rPr>
          <w:rFonts w:ascii="宋体" w:hAnsi="宋体" w:cs="宋体"/>
          <w:b/>
          <w:color w:val="auto"/>
          <w:sz w:val="32"/>
          <w:szCs w:val="32"/>
          <w:highlight w:val="none"/>
        </w:rPr>
      </w:pPr>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年7月</w:t>
      </w:r>
    </w:p>
    <w:p>
      <w:pPr>
        <w:pStyle w:val="28"/>
        <w:jc w:val="center"/>
        <w:rPr>
          <w:rFonts w:ascii="宋体" w:hAnsi="宋体" w:cs="宋体"/>
          <w:color w:val="auto"/>
          <w:szCs w:val="21"/>
          <w:highlight w:val="none"/>
        </w:rPr>
      </w:pPr>
      <w:r>
        <w:rPr>
          <w:color w:val="auto"/>
          <w:highlight w:val="none"/>
        </w:rPr>
        <w:br w:type="page"/>
      </w:r>
      <w:bookmarkStart w:id="1" w:name="_Toc507319889"/>
      <w:bookmarkStart w:id="2" w:name="_Toc296602400"/>
      <w:bookmarkStart w:id="3" w:name="_Toc247085669"/>
      <w:r>
        <w:rPr>
          <w:rFonts w:hint="eastAsia" w:ascii="宋体" w:hAnsi="宋体" w:cs="宋体"/>
          <w:b w:val="0"/>
          <w:color w:val="auto"/>
          <w:sz w:val="32"/>
          <w:highlight w:val="none"/>
        </w:rPr>
        <w:t>目   录</w:t>
      </w:r>
      <w:bookmarkEnd w:id="1"/>
      <w:bookmarkEnd w:id="2"/>
      <w:bookmarkEnd w:id="3"/>
    </w:p>
    <w:p>
      <w:pPr>
        <w:pStyle w:val="28"/>
        <w:tabs>
          <w:tab w:val="right" w:leader="dot" w:pos="9638"/>
        </w:tabs>
        <w:rPr>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highlight w:val="none"/>
        </w:rPr>
        <w:instrText xml:space="preserve"> HYPERLINK \l _Toc10142 </w:instrText>
      </w:r>
      <w:r>
        <w:rPr>
          <w:rFonts w:hint="eastAsia" w:ascii="宋体" w:hAnsi="宋体" w:cs="宋体"/>
          <w:bCs w:val="0"/>
          <w:caps w:val="0"/>
          <w:highlight w:val="none"/>
        </w:rPr>
        <w:fldChar w:fldCharType="separate"/>
      </w:r>
      <w:r>
        <w:rPr>
          <w:rFonts w:hint="eastAsia" w:ascii="宋体" w:hAnsi="宋体" w:eastAsia="宋体" w:cs="宋体"/>
          <w:bCs/>
          <w:smallCaps w:val="0"/>
          <w:kern w:val="44"/>
          <w:szCs w:val="44"/>
          <w:highlight w:val="none"/>
          <w:lang w:val="en-US" w:eastAsia="zh-CN" w:bidi="ar-SA"/>
        </w:rPr>
        <w:t>第一章 比选公告</w:t>
      </w:r>
      <w:r>
        <w:rPr>
          <w:highlight w:val="none"/>
        </w:rPr>
        <w:tab/>
      </w:r>
      <w:r>
        <w:rPr>
          <w:highlight w:val="none"/>
        </w:rPr>
        <w:fldChar w:fldCharType="begin"/>
      </w:r>
      <w:r>
        <w:rPr>
          <w:highlight w:val="none"/>
        </w:rPr>
        <w:instrText xml:space="preserve"> PAGEREF _Toc10142 \h </w:instrText>
      </w:r>
      <w:r>
        <w:rPr>
          <w:highlight w:val="none"/>
        </w:rPr>
        <w:fldChar w:fldCharType="separate"/>
      </w:r>
      <w:r>
        <w:rPr>
          <w:highlight w:val="none"/>
        </w:rPr>
        <w:t>1</w:t>
      </w:r>
      <w:r>
        <w:rPr>
          <w:highlight w:val="none"/>
        </w:rPr>
        <w:fldChar w:fldCharType="end"/>
      </w:r>
      <w:r>
        <w:rPr>
          <w:rFonts w:hint="eastAsia" w:ascii="宋体" w:hAnsi="宋体" w:cs="宋体"/>
          <w:bCs w:val="0"/>
          <w:caps w:val="0"/>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_Toc13849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rPr>
          <w:highlight w:val="none"/>
        </w:rPr>
        <w:tab/>
      </w:r>
      <w:r>
        <w:rPr>
          <w:highlight w:val="none"/>
        </w:rPr>
        <w:fldChar w:fldCharType="begin"/>
      </w:r>
      <w:r>
        <w:rPr>
          <w:highlight w:val="none"/>
        </w:rPr>
        <w:instrText xml:space="preserve"> PAGEREF _Toc13849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_Toc7760 </w:instrText>
      </w:r>
      <w:r>
        <w:rPr>
          <w:rFonts w:hint="eastAsia" w:ascii="宋体" w:hAnsi="宋体" w:cs="宋体"/>
          <w:bCs/>
          <w:caps/>
          <w:highlight w:val="none"/>
        </w:rPr>
        <w:fldChar w:fldCharType="separate"/>
      </w:r>
      <w:r>
        <w:rPr>
          <w:rFonts w:hint="eastAsia" w:ascii="宋体" w:hAnsi="宋体" w:eastAsia="宋体" w:cs="宋体"/>
          <w:highlight w:val="none"/>
        </w:rPr>
        <w:t>2. 项目概况与比选范围</w:t>
      </w:r>
      <w:r>
        <w:rPr>
          <w:highlight w:val="none"/>
        </w:rPr>
        <w:tab/>
      </w:r>
      <w:r>
        <w:rPr>
          <w:highlight w:val="none"/>
        </w:rPr>
        <w:fldChar w:fldCharType="begin"/>
      </w:r>
      <w:r>
        <w:rPr>
          <w:highlight w:val="none"/>
        </w:rPr>
        <w:instrText xml:space="preserve"> PAGEREF _Toc7760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_Toc13092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rPr>
          <w:highlight w:val="none"/>
        </w:rPr>
        <w:tab/>
      </w:r>
      <w:r>
        <w:rPr>
          <w:highlight w:val="none"/>
        </w:rPr>
        <w:fldChar w:fldCharType="begin"/>
      </w:r>
      <w:r>
        <w:rPr>
          <w:highlight w:val="none"/>
        </w:rPr>
        <w:instrText xml:space="preserve"> PAGEREF _Toc13092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_Toc13035 </w:instrText>
      </w:r>
      <w:r>
        <w:rPr>
          <w:rFonts w:hint="eastAsia" w:ascii="宋体" w:hAnsi="宋体" w:cs="宋体"/>
          <w:bCs/>
          <w:caps/>
          <w:highlight w:val="none"/>
        </w:rPr>
        <w:fldChar w:fldCharType="separate"/>
      </w:r>
      <w:r>
        <w:rPr>
          <w:rFonts w:hint="eastAsia" w:ascii="宋体" w:hAnsi="宋体" w:eastAsia="宋体" w:cs="宋体"/>
          <w:highlight w:val="none"/>
        </w:rPr>
        <w:t>4. 评标办法</w:t>
      </w:r>
      <w:r>
        <w:rPr>
          <w:highlight w:val="none"/>
        </w:rPr>
        <w:tab/>
      </w:r>
      <w:r>
        <w:rPr>
          <w:highlight w:val="none"/>
        </w:rPr>
        <w:fldChar w:fldCharType="begin"/>
      </w:r>
      <w:r>
        <w:rPr>
          <w:highlight w:val="none"/>
        </w:rPr>
        <w:instrText xml:space="preserve"> PAGEREF _Toc13035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_Toc17600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5.</w:t>
      </w:r>
      <w:r>
        <w:rPr>
          <w:rFonts w:hint="eastAsia" w:ascii="宋体" w:hAnsi="宋体" w:eastAsia="宋体" w:cs="宋体"/>
          <w:highlight w:val="none"/>
        </w:rPr>
        <w:t>比选文件的获取</w:t>
      </w:r>
      <w:r>
        <w:rPr>
          <w:highlight w:val="none"/>
        </w:rPr>
        <w:tab/>
      </w:r>
      <w:r>
        <w:rPr>
          <w:highlight w:val="none"/>
        </w:rPr>
        <w:fldChar w:fldCharType="begin"/>
      </w:r>
      <w:r>
        <w:rPr>
          <w:highlight w:val="none"/>
        </w:rPr>
        <w:instrText xml:space="preserve"> PAGEREF _Toc17600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_Toc14325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竞争性比选响应文件的递交及相关事宜</w:t>
      </w:r>
      <w:r>
        <w:rPr>
          <w:highlight w:val="none"/>
        </w:rPr>
        <w:tab/>
      </w:r>
      <w:r>
        <w:rPr>
          <w:highlight w:val="none"/>
        </w:rPr>
        <w:fldChar w:fldCharType="begin"/>
      </w:r>
      <w:r>
        <w:rPr>
          <w:highlight w:val="none"/>
        </w:rPr>
        <w:instrText xml:space="preserve"> PAGEREF _Toc14325 \h </w:instrText>
      </w:r>
      <w:r>
        <w:rPr>
          <w:highlight w:val="none"/>
        </w:rPr>
        <w:fldChar w:fldCharType="separate"/>
      </w:r>
      <w:r>
        <w:rPr>
          <w:highlight w:val="none"/>
        </w:rPr>
        <w:t>2</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_Toc4010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7</w:t>
      </w:r>
      <w:r>
        <w:rPr>
          <w:rFonts w:hint="eastAsia" w:ascii="宋体" w:hAnsi="宋体" w:eastAsia="宋体" w:cs="宋体"/>
          <w:highlight w:val="none"/>
        </w:rPr>
        <w:t>. 联系方式</w:t>
      </w:r>
      <w:r>
        <w:rPr>
          <w:highlight w:val="none"/>
        </w:rPr>
        <w:tab/>
      </w:r>
      <w:r>
        <w:rPr>
          <w:highlight w:val="none"/>
        </w:rPr>
        <w:fldChar w:fldCharType="begin"/>
      </w:r>
      <w:r>
        <w:rPr>
          <w:highlight w:val="none"/>
        </w:rPr>
        <w:instrText xml:space="preserve"> PAGEREF _Toc4010 \h </w:instrText>
      </w:r>
      <w:r>
        <w:rPr>
          <w:highlight w:val="none"/>
        </w:rPr>
        <w:fldChar w:fldCharType="separate"/>
      </w:r>
      <w:r>
        <w:rPr>
          <w:highlight w:val="none"/>
        </w:rPr>
        <w:t>2</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_Toc12865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_Toc12865 \h </w:instrText>
      </w:r>
      <w:r>
        <w:rPr>
          <w:highlight w:val="none"/>
        </w:rPr>
        <w:fldChar w:fldCharType="separate"/>
      </w:r>
      <w:r>
        <w:rPr>
          <w:highlight w:val="none"/>
        </w:rPr>
        <w:t>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_Toc21580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rPr>
          <w:highlight w:val="none"/>
        </w:rPr>
        <w:tab/>
      </w:r>
      <w:r>
        <w:rPr>
          <w:highlight w:val="none"/>
        </w:rPr>
        <w:fldChar w:fldCharType="begin"/>
      </w:r>
      <w:r>
        <w:rPr>
          <w:highlight w:val="none"/>
        </w:rPr>
        <w:instrText xml:space="preserve"> PAGEREF _Toc21580 \h </w:instrText>
      </w:r>
      <w:r>
        <w:rPr>
          <w:highlight w:val="none"/>
        </w:rPr>
        <w:fldChar w:fldCharType="separate"/>
      </w:r>
      <w:r>
        <w:rPr>
          <w:highlight w:val="none"/>
        </w:rPr>
        <w:t>11</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_Toc31719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rPr>
        <w:t>评标办法（综合评估法）</w:t>
      </w:r>
      <w:r>
        <w:rPr>
          <w:highlight w:val="none"/>
        </w:rPr>
        <w:tab/>
      </w:r>
      <w:r>
        <w:rPr>
          <w:highlight w:val="none"/>
        </w:rPr>
        <w:fldChar w:fldCharType="begin"/>
      </w:r>
      <w:r>
        <w:rPr>
          <w:highlight w:val="none"/>
        </w:rPr>
        <w:instrText xml:space="preserve"> PAGEREF _Toc31719 \h </w:instrText>
      </w:r>
      <w:r>
        <w:rPr>
          <w:highlight w:val="none"/>
        </w:rPr>
        <w:fldChar w:fldCharType="separate"/>
      </w:r>
      <w:r>
        <w:rPr>
          <w:highlight w:val="none"/>
        </w:rPr>
        <w:t>13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_Toc6735 </w:instrText>
      </w:r>
      <w:r>
        <w:rPr>
          <w:rFonts w:hint="eastAsia" w:ascii="宋体" w:hAnsi="宋体" w:cs="宋体"/>
          <w:bCs/>
          <w:caps/>
          <w:highlight w:val="none"/>
        </w:rPr>
        <w:fldChar w:fldCharType="separate"/>
      </w:r>
      <w:r>
        <w:rPr>
          <w:rFonts w:hint="eastAsia" w:ascii="宋体" w:hAnsi="宋体" w:cs="宋体"/>
          <w:szCs w:val="21"/>
          <w:highlight w:val="none"/>
        </w:rPr>
        <w:t>1.  评标方法</w:t>
      </w:r>
      <w:r>
        <w:rPr>
          <w:highlight w:val="none"/>
        </w:rPr>
        <w:tab/>
      </w:r>
      <w:r>
        <w:rPr>
          <w:highlight w:val="none"/>
        </w:rPr>
        <w:fldChar w:fldCharType="begin"/>
      </w:r>
      <w:r>
        <w:rPr>
          <w:highlight w:val="none"/>
        </w:rPr>
        <w:instrText xml:space="preserve"> PAGEREF _Toc6735 \h </w:instrText>
      </w:r>
      <w:r>
        <w:rPr>
          <w:highlight w:val="none"/>
        </w:rPr>
        <w:fldChar w:fldCharType="separate"/>
      </w:r>
      <w:r>
        <w:rPr>
          <w:highlight w:val="none"/>
        </w:rPr>
        <w:t>17</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_Toc1052 </w:instrText>
      </w:r>
      <w:r>
        <w:rPr>
          <w:rFonts w:hint="eastAsia" w:ascii="宋体" w:hAnsi="宋体" w:cs="宋体"/>
          <w:bCs/>
          <w:caps/>
          <w:highlight w:val="none"/>
        </w:rPr>
        <w:fldChar w:fldCharType="separate"/>
      </w:r>
      <w:r>
        <w:rPr>
          <w:rFonts w:hint="eastAsia" w:ascii="宋体" w:hAnsi="宋体" w:cs="宋体"/>
          <w:szCs w:val="21"/>
          <w:highlight w:val="none"/>
        </w:rPr>
        <w:t>2.  评审标准</w:t>
      </w:r>
      <w:r>
        <w:rPr>
          <w:highlight w:val="none"/>
        </w:rPr>
        <w:tab/>
      </w:r>
      <w:r>
        <w:rPr>
          <w:highlight w:val="none"/>
        </w:rPr>
        <w:fldChar w:fldCharType="begin"/>
      </w:r>
      <w:r>
        <w:rPr>
          <w:highlight w:val="none"/>
        </w:rPr>
        <w:instrText xml:space="preserve"> PAGEREF _Toc1052 \h </w:instrText>
      </w:r>
      <w:r>
        <w:rPr>
          <w:highlight w:val="none"/>
        </w:rPr>
        <w:fldChar w:fldCharType="separate"/>
      </w:r>
      <w:r>
        <w:rPr>
          <w:highlight w:val="none"/>
        </w:rPr>
        <w:t>17</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_Toc10650 </w:instrText>
      </w:r>
      <w:r>
        <w:rPr>
          <w:rFonts w:hint="eastAsia" w:ascii="宋体" w:hAnsi="宋体" w:cs="宋体"/>
          <w:bCs/>
          <w:caps/>
          <w:highlight w:val="none"/>
        </w:rPr>
        <w:fldChar w:fldCharType="separate"/>
      </w:r>
      <w:r>
        <w:rPr>
          <w:rFonts w:hint="eastAsia" w:ascii="宋体" w:hAnsi="宋体" w:cs="宋体"/>
          <w:szCs w:val="21"/>
          <w:highlight w:val="none"/>
        </w:rPr>
        <w:t>3.  评标程序</w:t>
      </w:r>
      <w:r>
        <w:rPr>
          <w:highlight w:val="none"/>
        </w:rPr>
        <w:tab/>
      </w:r>
      <w:r>
        <w:rPr>
          <w:highlight w:val="none"/>
        </w:rPr>
        <w:fldChar w:fldCharType="begin"/>
      </w:r>
      <w:r>
        <w:rPr>
          <w:highlight w:val="none"/>
        </w:rPr>
        <w:instrText xml:space="preserve"> PAGEREF _Toc10650 \h </w:instrText>
      </w:r>
      <w:r>
        <w:rPr>
          <w:highlight w:val="none"/>
        </w:rPr>
        <w:fldChar w:fldCharType="separate"/>
      </w:r>
      <w:r>
        <w:rPr>
          <w:highlight w:val="none"/>
        </w:rPr>
        <w:t>17</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_Toc15010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四</w:t>
      </w:r>
      <w:r>
        <w:rPr>
          <w:rFonts w:hint="eastAsia" w:ascii="宋体" w:hAnsi="宋体" w:cs="宋体"/>
          <w:highlight w:val="none"/>
        </w:rPr>
        <w:t xml:space="preserve">章  </w:t>
      </w:r>
      <w:r>
        <w:rPr>
          <w:rFonts w:hint="eastAsia" w:ascii="宋体" w:hAnsi="宋体" w:cs="宋体"/>
          <w:highlight w:val="none"/>
          <w:lang w:val="en-US" w:eastAsia="zh-CN"/>
        </w:rPr>
        <w:t>服务要求</w:t>
      </w:r>
      <w:r>
        <w:rPr>
          <w:highlight w:val="none"/>
        </w:rPr>
        <w:tab/>
      </w:r>
      <w:r>
        <w:rPr>
          <w:highlight w:val="none"/>
        </w:rPr>
        <w:fldChar w:fldCharType="begin"/>
      </w:r>
      <w:r>
        <w:rPr>
          <w:highlight w:val="none"/>
        </w:rPr>
        <w:instrText xml:space="preserve"> PAGEREF _Toc15010 \h </w:instrText>
      </w:r>
      <w:r>
        <w:rPr>
          <w:highlight w:val="none"/>
        </w:rPr>
        <w:fldChar w:fldCharType="separate"/>
      </w:r>
      <w:r>
        <w:rPr>
          <w:highlight w:val="none"/>
        </w:rPr>
        <w:t>19</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_Toc17525 </w:instrText>
      </w:r>
      <w:r>
        <w:rPr>
          <w:rFonts w:hint="eastAsia" w:ascii="宋体" w:hAnsi="宋体" w:cs="宋体"/>
          <w:bCs/>
          <w:caps/>
          <w:highlight w:val="none"/>
        </w:rPr>
        <w:fldChar w:fldCharType="separate"/>
      </w:r>
      <w:r>
        <w:rPr>
          <w:rFonts w:hint="eastAsia" w:ascii="宋体" w:hAnsi="宋体" w:eastAsia="宋体" w:cs="宋体"/>
          <w:bCs/>
          <w:kern w:val="44"/>
          <w:szCs w:val="44"/>
          <w:highlight w:val="none"/>
          <w:lang w:val="en-US" w:eastAsia="zh-CN" w:bidi="ar-SA"/>
        </w:rPr>
        <w:t>第五章  合同范本</w:t>
      </w:r>
      <w:r>
        <w:rPr>
          <w:highlight w:val="none"/>
        </w:rPr>
        <w:tab/>
      </w:r>
      <w:r>
        <w:rPr>
          <w:highlight w:val="none"/>
        </w:rPr>
        <w:fldChar w:fldCharType="begin"/>
      </w:r>
      <w:r>
        <w:rPr>
          <w:highlight w:val="none"/>
        </w:rPr>
        <w:instrText xml:space="preserve"> PAGEREF _Toc17525 \h </w:instrText>
      </w:r>
      <w:r>
        <w:rPr>
          <w:highlight w:val="none"/>
        </w:rPr>
        <w:fldChar w:fldCharType="separate"/>
      </w:r>
      <w:r>
        <w:rPr>
          <w:highlight w:val="none"/>
        </w:rPr>
        <w:t>20</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_Toc27626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竞争性比选响应文件格式</w:t>
      </w:r>
      <w:r>
        <w:rPr>
          <w:highlight w:val="none"/>
        </w:rPr>
        <w:tab/>
      </w:r>
      <w:r>
        <w:rPr>
          <w:highlight w:val="none"/>
        </w:rPr>
        <w:fldChar w:fldCharType="begin"/>
      </w:r>
      <w:r>
        <w:rPr>
          <w:highlight w:val="none"/>
        </w:rPr>
        <w:instrText xml:space="preserve"> PAGEREF _Toc27626 \h </w:instrText>
      </w:r>
      <w:r>
        <w:rPr>
          <w:highlight w:val="none"/>
        </w:rPr>
        <w:fldChar w:fldCharType="separate"/>
      </w:r>
      <w:r>
        <w:rPr>
          <w:highlight w:val="none"/>
        </w:rPr>
        <w:t>25</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_Toc29615 </w:instrText>
      </w:r>
      <w:r>
        <w:rPr>
          <w:rFonts w:hint="eastAsia" w:ascii="宋体" w:hAnsi="宋体" w:cs="宋体"/>
          <w:bCs/>
          <w:caps/>
          <w:highlight w:val="none"/>
        </w:rPr>
        <w:fldChar w:fldCharType="separate"/>
      </w:r>
      <w:r>
        <w:rPr>
          <w:rFonts w:hint="eastAsia" w:ascii="宋体" w:hAnsi="宋体" w:eastAsia="宋体" w:cs="宋体"/>
          <w:highlight w:val="none"/>
        </w:rPr>
        <w:t>一、 竞争比选响应声明书</w:t>
      </w:r>
      <w:r>
        <w:rPr>
          <w:highlight w:val="none"/>
        </w:rPr>
        <w:tab/>
      </w:r>
      <w:r>
        <w:rPr>
          <w:highlight w:val="none"/>
        </w:rPr>
        <w:fldChar w:fldCharType="begin"/>
      </w:r>
      <w:r>
        <w:rPr>
          <w:highlight w:val="none"/>
        </w:rPr>
        <w:instrText xml:space="preserve"> PAGEREF _Toc29615 \h </w:instrText>
      </w:r>
      <w:r>
        <w:rPr>
          <w:highlight w:val="none"/>
        </w:rPr>
        <w:fldChar w:fldCharType="separate"/>
      </w:r>
      <w:r>
        <w:rPr>
          <w:highlight w:val="none"/>
        </w:rPr>
        <w:t>28</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_Toc15139 </w:instrText>
      </w:r>
      <w:r>
        <w:rPr>
          <w:rFonts w:hint="eastAsia" w:ascii="宋体" w:hAnsi="宋体" w:cs="宋体"/>
          <w:bCs/>
          <w:caps/>
          <w:highlight w:val="none"/>
        </w:rPr>
        <w:fldChar w:fldCharType="separate"/>
      </w:r>
      <w:r>
        <w:rPr>
          <w:rFonts w:hint="eastAsia" w:ascii="宋体" w:hAnsi="宋体" w:eastAsia="宋体" w:cs="宋体"/>
          <w:highlight w:val="none"/>
        </w:rPr>
        <w:t>二、 法定代表人身份证明或法定代表人授权委托书</w:t>
      </w:r>
      <w:r>
        <w:rPr>
          <w:highlight w:val="none"/>
        </w:rPr>
        <w:tab/>
      </w:r>
      <w:r>
        <w:rPr>
          <w:highlight w:val="none"/>
        </w:rPr>
        <w:fldChar w:fldCharType="begin"/>
      </w:r>
      <w:r>
        <w:rPr>
          <w:highlight w:val="none"/>
        </w:rPr>
        <w:instrText xml:space="preserve"> PAGEREF _Toc15139 \h </w:instrText>
      </w:r>
      <w:r>
        <w:rPr>
          <w:highlight w:val="none"/>
        </w:rPr>
        <w:fldChar w:fldCharType="separate"/>
      </w:r>
      <w:r>
        <w:rPr>
          <w:highlight w:val="none"/>
        </w:rPr>
        <w:t>29</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_Toc31983 </w:instrText>
      </w:r>
      <w:r>
        <w:rPr>
          <w:rFonts w:hint="eastAsia" w:ascii="宋体" w:hAnsi="宋体" w:cs="宋体"/>
          <w:bCs/>
          <w:caps/>
          <w:highlight w:val="none"/>
        </w:rPr>
        <w:fldChar w:fldCharType="separate"/>
      </w:r>
      <w:r>
        <w:rPr>
          <w:rFonts w:hint="eastAsia" w:ascii="宋体" w:hAnsi="宋体" w:eastAsia="宋体" w:cs="宋体"/>
          <w:highlight w:val="none"/>
        </w:rPr>
        <w:t>三、报价一览表</w:t>
      </w:r>
      <w:r>
        <w:rPr>
          <w:highlight w:val="none"/>
        </w:rPr>
        <w:tab/>
      </w:r>
      <w:r>
        <w:rPr>
          <w:highlight w:val="none"/>
        </w:rPr>
        <w:fldChar w:fldCharType="begin"/>
      </w:r>
      <w:r>
        <w:rPr>
          <w:highlight w:val="none"/>
        </w:rPr>
        <w:instrText xml:space="preserve"> PAGEREF _Toc31983 \h </w:instrText>
      </w:r>
      <w:r>
        <w:rPr>
          <w:highlight w:val="none"/>
        </w:rPr>
        <w:fldChar w:fldCharType="separate"/>
      </w:r>
      <w:r>
        <w:rPr>
          <w:highlight w:val="none"/>
        </w:rPr>
        <w:t>31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_Toc4544 </w:instrText>
      </w:r>
      <w:r>
        <w:rPr>
          <w:rFonts w:hint="eastAsia" w:ascii="宋体" w:hAnsi="宋体" w:cs="宋体"/>
          <w:bCs/>
          <w:caps/>
          <w:highlight w:val="none"/>
        </w:rPr>
        <w:fldChar w:fldCharType="separate"/>
      </w:r>
      <w:r>
        <w:rPr>
          <w:rFonts w:hint="eastAsia" w:ascii="宋体" w:hAnsi="宋体" w:eastAsia="宋体" w:cs="宋体"/>
          <w:highlight w:val="none"/>
        </w:rPr>
        <w:t>四、资格审查资料</w:t>
      </w:r>
      <w:r>
        <w:rPr>
          <w:highlight w:val="none"/>
        </w:rPr>
        <w:tab/>
      </w:r>
      <w:r>
        <w:rPr>
          <w:highlight w:val="none"/>
        </w:rPr>
        <w:fldChar w:fldCharType="begin"/>
      </w:r>
      <w:r>
        <w:rPr>
          <w:highlight w:val="none"/>
        </w:rPr>
        <w:instrText xml:space="preserve"> PAGEREF _Toc4544 \h </w:instrText>
      </w:r>
      <w:r>
        <w:rPr>
          <w:highlight w:val="none"/>
        </w:rPr>
        <w:fldChar w:fldCharType="separate"/>
      </w:r>
      <w:r>
        <w:rPr>
          <w:highlight w:val="none"/>
        </w:rPr>
        <w:t>32</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_Toc7326 </w:instrText>
      </w:r>
      <w:r>
        <w:rPr>
          <w:rFonts w:hint="eastAsia" w:ascii="宋体" w:hAnsi="宋体" w:cs="宋体"/>
          <w:bCs/>
          <w:caps/>
          <w:highlight w:val="none"/>
        </w:rPr>
        <w:fldChar w:fldCharType="separate"/>
      </w:r>
      <w:r>
        <w:rPr>
          <w:rFonts w:hint="eastAsia" w:ascii="宋体" w:hAnsi="宋体" w:eastAsia="宋体" w:cs="宋体"/>
          <w:highlight w:val="none"/>
        </w:rPr>
        <w:t>五、报价人承诺</w:t>
      </w:r>
      <w:r>
        <w:rPr>
          <w:highlight w:val="none"/>
        </w:rPr>
        <w:tab/>
      </w:r>
      <w:r>
        <w:rPr>
          <w:highlight w:val="none"/>
        </w:rPr>
        <w:fldChar w:fldCharType="begin"/>
      </w:r>
      <w:r>
        <w:rPr>
          <w:highlight w:val="none"/>
        </w:rPr>
        <w:instrText xml:space="preserve"> PAGEREF _Toc7326 \h </w:instrText>
      </w:r>
      <w:r>
        <w:rPr>
          <w:highlight w:val="none"/>
        </w:rPr>
        <w:fldChar w:fldCharType="separate"/>
      </w:r>
      <w:r>
        <w:rPr>
          <w:highlight w:val="none"/>
        </w:rPr>
        <w:t>36</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_Toc22594 </w:instrText>
      </w:r>
      <w:r>
        <w:rPr>
          <w:rFonts w:hint="eastAsia" w:ascii="宋体" w:hAnsi="宋体" w:cs="宋体"/>
          <w:bCs/>
          <w:caps/>
          <w:highlight w:val="none"/>
        </w:rPr>
        <w:fldChar w:fldCharType="separate"/>
      </w:r>
      <w:r>
        <w:rPr>
          <w:rFonts w:hint="eastAsia" w:ascii="宋体" w:hAnsi="宋体" w:eastAsia="宋体" w:cs="宋体"/>
          <w:bCs/>
          <w:kern w:val="0"/>
          <w:szCs w:val="32"/>
          <w:highlight w:val="none"/>
          <w:lang w:val="en-US" w:eastAsia="zh-CN" w:bidi="ar-SA"/>
        </w:rPr>
        <w:t>六、报价人其他资料</w:t>
      </w:r>
      <w:r>
        <w:rPr>
          <w:highlight w:val="none"/>
        </w:rPr>
        <w:tab/>
      </w:r>
      <w:r>
        <w:rPr>
          <w:highlight w:val="none"/>
        </w:rPr>
        <w:fldChar w:fldCharType="begin"/>
      </w:r>
      <w:r>
        <w:rPr>
          <w:highlight w:val="none"/>
        </w:rPr>
        <w:instrText xml:space="preserve"> PAGEREF _Toc22594 \h </w:instrText>
      </w:r>
      <w:r>
        <w:rPr>
          <w:highlight w:val="none"/>
        </w:rPr>
        <w:fldChar w:fldCharType="separate"/>
      </w:r>
      <w:r>
        <w:rPr>
          <w:highlight w:val="none"/>
        </w:rPr>
        <w:t>37</w:t>
      </w:r>
      <w:r>
        <w:rPr>
          <w:highlight w:val="none"/>
        </w:rPr>
        <w:fldChar w:fldCharType="end"/>
      </w:r>
      <w:r>
        <w:rPr>
          <w:rFonts w:hint="eastAsia" w:ascii="宋体" w:hAnsi="宋体" w:cs="宋体"/>
          <w:bCs/>
          <w:caps/>
          <w:color w:val="auto"/>
          <w:highlight w:val="none"/>
        </w:rPr>
        <w:fldChar w:fldCharType="end"/>
      </w:r>
    </w:p>
    <w:p>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4" w:name="_Toc144974479"/>
    </w:p>
    <w:p>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5" w:name="_Toc10142"/>
      <w:r>
        <w:rPr>
          <w:rFonts w:hint="eastAsia" w:ascii="宋体" w:hAnsi="宋体" w:eastAsia="宋体" w:cs="宋体"/>
          <w:b/>
          <w:bCs/>
          <w:smallCaps w:val="0"/>
          <w:color w:val="auto"/>
          <w:kern w:val="44"/>
          <w:sz w:val="44"/>
          <w:szCs w:val="44"/>
          <w:highlight w:val="none"/>
          <w:lang w:val="en-US" w:eastAsia="zh-CN" w:bidi="ar-SA"/>
        </w:rPr>
        <w:t xml:space="preserve">第一章 </w:t>
      </w:r>
      <w:bookmarkEnd w:id="4"/>
      <w:r>
        <w:rPr>
          <w:rFonts w:hint="eastAsia" w:ascii="宋体" w:hAnsi="宋体" w:eastAsia="宋体" w:cs="宋体"/>
          <w:b/>
          <w:bCs/>
          <w:smallCaps w:val="0"/>
          <w:color w:val="auto"/>
          <w:kern w:val="44"/>
          <w:sz w:val="44"/>
          <w:szCs w:val="44"/>
          <w:highlight w:val="none"/>
          <w:lang w:val="en-US" w:eastAsia="zh-CN" w:bidi="ar-SA"/>
        </w:rPr>
        <w:t>比选公告</w:t>
      </w:r>
      <w:bookmarkEnd w:id="5"/>
    </w:p>
    <w:p>
      <w:pPr>
        <w:spacing w:line="440" w:lineRule="exact"/>
        <w:jc w:val="center"/>
        <w:rPr>
          <w:rFonts w:ascii="宋体" w:hAnsi="宋体" w:cs="宋体"/>
          <w:b/>
          <w:color w:val="auto"/>
          <w:sz w:val="28"/>
          <w:szCs w:val="28"/>
          <w:highlight w:val="none"/>
        </w:rPr>
      </w:pPr>
    </w:p>
    <w:p>
      <w:pPr>
        <w:pStyle w:val="4"/>
        <w:spacing w:before="0" w:after="0" w:line="360" w:lineRule="auto"/>
        <w:rPr>
          <w:rFonts w:ascii="宋体" w:hAnsi="宋体" w:eastAsia="宋体" w:cs="宋体"/>
          <w:color w:val="auto"/>
          <w:highlight w:val="none"/>
        </w:rPr>
      </w:pPr>
      <w:bookmarkStart w:id="6" w:name="_Toc11329213"/>
      <w:bookmarkStart w:id="7" w:name="_Toc152042288"/>
      <w:bookmarkStart w:id="8" w:name="_Toc507319891"/>
      <w:bookmarkStart w:id="9" w:name="_Toc10076"/>
      <w:bookmarkStart w:id="10" w:name="_Toc13849"/>
      <w:bookmarkStart w:id="11" w:name="_Toc6549"/>
      <w:bookmarkStart w:id="12" w:name="_Toc246996901"/>
      <w:bookmarkStart w:id="13" w:name="_Toc247085672"/>
      <w:bookmarkStart w:id="14" w:name="_Toc179632528"/>
      <w:bookmarkStart w:id="15" w:name="_Toc144974480"/>
      <w:bookmarkStart w:id="16" w:name="_Toc24874"/>
      <w:bookmarkStart w:id="17" w:name="_Toc152045512"/>
      <w:r>
        <w:rPr>
          <w:rFonts w:hint="eastAsia" w:ascii="宋体" w:hAnsi="宋体" w:eastAsia="宋体" w:cs="宋体"/>
          <w:color w:val="auto"/>
          <w:highlight w:val="none"/>
        </w:rPr>
        <w:t>1. 比选条件</w:t>
      </w:r>
      <w:bookmarkEnd w:id="6"/>
      <w:bookmarkEnd w:id="7"/>
      <w:bookmarkEnd w:id="8"/>
      <w:bookmarkEnd w:id="9"/>
      <w:bookmarkEnd w:id="10"/>
      <w:bookmarkEnd w:id="11"/>
      <w:bookmarkEnd w:id="12"/>
      <w:bookmarkEnd w:id="13"/>
      <w:bookmarkEnd w:id="14"/>
      <w:bookmarkEnd w:id="15"/>
      <w:bookmarkEnd w:id="16"/>
      <w:bookmarkEnd w:id="17"/>
    </w:p>
    <w:p>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bookmarkStart w:id="18" w:name="单据名称1"/>
      <w:r>
        <w:rPr>
          <w:rFonts w:hint="eastAsia" w:ascii="宋体" w:hAnsi="宋体" w:cs="宋体"/>
          <w:color w:val="auto"/>
          <w:szCs w:val="21"/>
          <w:highlight w:val="none"/>
          <w:u w:val="single"/>
          <w:lang w:val="en-US" w:eastAsia="zh-CN"/>
        </w:rPr>
        <w:t>首讯公司IPO内控体系建设与执行专项工作咨询服务</w:t>
      </w:r>
      <w:bookmarkEnd w:id="18"/>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pPr>
        <w:pStyle w:val="4"/>
        <w:spacing w:before="120" w:after="0" w:line="360" w:lineRule="auto"/>
        <w:rPr>
          <w:rFonts w:ascii="宋体" w:hAnsi="宋体" w:eastAsia="宋体" w:cs="宋体"/>
          <w:color w:val="auto"/>
          <w:highlight w:val="none"/>
        </w:rPr>
      </w:pPr>
      <w:bookmarkStart w:id="19" w:name="_Toc247085673"/>
      <w:bookmarkStart w:id="20" w:name="_Toc10952"/>
      <w:bookmarkStart w:id="21" w:name="_Toc144974481"/>
      <w:bookmarkStart w:id="22" w:name="_Toc246996159"/>
      <w:bookmarkStart w:id="23" w:name="_Toc18109"/>
      <w:bookmarkStart w:id="24" w:name="_Toc179632529"/>
      <w:bookmarkStart w:id="25" w:name="_Toc246996902"/>
      <w:bookmarkStart w:id="26" w:name="_Toc21343"/>
      <w:bookmarkStart w:id="27" w:name="_Toc7760"/>
      <w:bookmarkStart w:id="28" w:name="_Toc11329214"/>
      <w:bookmarkStart w:id="29" w:name="_Toc152045513"/>
      <w:bookmarkStart w:id="30" w:name="_Toc507319892"/>
      <w:bookmarkStart w:id="31" w:name="_Toc152042289"/>
      <w:r>
        <w:rPr>
          <w:rFonts w:hint="eastAsia" w:ascii="宋体" w:hAnsi="宋体" w:eastAsia="宋体" w:cs="宋体"/>
          <w:color w:val="auto"/>
          <w:highlight w:val="none"/>
        </w:rPr>
        <w:t>2. 项目概况与比选范围</w:t>
      </w:r>
      <w:bookmarkEnd w:id="19"/>
      <w:bookmarkEnd w:id="20"/>
      <w:bookmarkEnd w:id="21"/>
      <w:bookmarkEnd w:id="22"/>
      <w:bookmarkEnd w:id="23"/>
      <w:bookmarkEnd w:id="24"/>
      <w:bookmarkEnd w:id="25"/>
      <w:bookmarkEnd w:id="26"/>
      <w:bookmarkEnd w:id="27"/>
      <w:bookmarkEnd w:id="28"/>
      <w:bookmarkEnd w:id="29"/>
      <w:bookmarkEnd w:id="30"/>
      <w:bookmarkEnd w:id="31"/>
    </w:p>
    <w:p>
      <w:pPr>
        <w:spacing w:line="420" w:lineRule="exact"/>
        <w:ind w:firstLine="420" w:firstLineChars="200"/>
        <w:rPr>
          <w:rFonts w:hint="default" w:ascii="宋体" w:hAnsi="宋体" w:cs="宋体"/>
          <w:color w:val="auto"/>
          <w:highlight w:val="none"/>
          <w:lang w:val="en-US" w:eastAsia="zh-CN"/>
        </w:rPr>
      </w:pPr>
      <w:bookmarkStart w:id="32" w:name="_Toc382816230"/>
      <w:bookmarkStart w:id="33" w:name="_Toc265234827"/>
      <w:r>
        <w:rPr>
          <w:rFonts w:hint="eastAsia" w:ascii="宋体" w:hAnsi="宋体" w:cs="宋体"/>
          <w:color w:val="auto"/>
          <w:highlight w:val="none"/>
        </w:rPr>
        <w:t>2.</w:t>
      </w:r>
      <w:r>
        <w:rPr>
          <w:rFonts w:hint="eastAsia" w:ascii="宋体" w:hAnsi="宋体" w:cs="宋体"/>
          <w:color w:val="auto"/>
          <w:highlight w:val="none"/>
          <w:lang w:val="en-US" w:eastAsia="zh-CN"/>
        </w:rPr>
        <w:t>1服务地点：</w:t>
      </w:r>
      <w:bookmarkStart w:id="34" w:name="交货地点"/>
      <w:r>
        <w:rPr>
          <w:rFonts w:hint="eastAsia" w:ascii="宋体" w:hAnsi="宋体" w:cs="宋体"/>
          <w:color w:val="auto"/>
          <w:szCs w:val="21"/>
          <w:highlight w:val="none"/>
          <w:u w:val="single"/>
          <w:lang w:val="en-US" w:eastAsia="zh-CN"/>
        </w:rPr>
        <w:t>重庆市</w:t>
      </w:r>
      <w:bookmarkEnd w:id="34"/>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bookmarkStart w:id="35" w:name="项目概况"/>
      <w:r>
        <w:rPr>
          <w:rFonts w:hint="eastAsia" w:ascii="宋体" w:hAnsi="宋体" w:cs="宋体"/>
          <w:color w:val="auto"/>
          <w:szCs w:val="21"/>
          <w:highlight w:val="none"/>
          <w:u w:val="single"/>
          <w:lang w:val="en-US" w:eastAsia="zh-CN"/>
        </w:rPr>
        <w:t>以IPO合规为目标，满足内控手册、公司制度及实际执行的一致性；对内部管理流程进行优化，管理制度进行修订、新增等；对首讯公司数字技术开发事业部、技术创新中心的专项内控整改等相关服务内容。</w:t>
      </w:r>
      <w:bookmarkEnd w:id="35"/>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r>
        <w:rPr>
          <w:rFonts w:hint="eastAsia" w:ascii="宋体" w:hAnsi="宋体" w:cs="宋体"/>
          <w:color w:val="auto"/>
          <w:szCs w:val="21"/>
          <w:highlight w:val="none"/>
          <w:u w:val="single"/>
          <w:lang w:val="en-US" w:eastAsia="zh-CN"/>
        </w:rPr>
        <w:t xml:space="preserve"> 90.00 </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服务内容详见清单 </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32"/>
    <w:bookmarkEnd w:id="33"/>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bookmarkStart w:id="36" w:name="工期、货期要求"/>
      <w:r>
        <w:rPr>
          <w:rFonts w:hint="eastAsia" w:ascii="宋体" w:hAnsi="宋体" w:eastAsia="宋体" w:cs="宋体"/>
          <w:color w:val="auto"/>
          <w:szCs w:val="21"/>
          <w:highlight w:val="none"/>
          <w:u w:val="single"/>
        </w:rPr>
        <w:t>预计服务期为3个月。</w:t>
      </w:r>
      <w:bookmarkEnd w:id="36"/>
    </w:p>
    <w:p>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37" w:name="_Toc179632530"/>
      <w:bookmarkStart w:id="38" w:name="_Toc246996903"/>
      <w:bookmarkStart w:id="39" w:name="_Toc144974482"/>
      <w:bookmarkStart w:id="40" w:name="_Toc246996160"/>
      <w:bookmarkStart w:id="41" w:name="_Toc10171"/>
      <w:bookmarkStart w:id="42" w:name="_Toc11329215"/>
      <w:bookmarkStart w:id="43" w:name="_Toc507319893"/>
      <w:bookmarkStart w:id="44" w:name="_Toc247085674"/>
      <w:bookmarkStart w:id="45" w:name="_Toc152045514"/>
      <w:bookmarkStart w:id="46" w:name="_Toc152042290"/>
      <w:bookmarkStart w:id="47" w:name="_Toc30356"/>
      <w:bookmarkStart w:id="48" w:name="_Toc7065"/>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bookmarkStart w:id="49" w:name="标段划分"/>
      <w:r>
        <w:rPr>
          <w:rFonts w:hint="eastAsia" w:ascii="宋体" w:hAnsi="宋体" w:cs="宋体"/>
          <w:b w:val="0"/>
          <w:bCs w:val="0"/>
          <w:color w:val="auto"/>
          <w:kern w:val="2"/>
          <w:sz w:val="21"/>
          <w:szCs w:val="24"/>
          <w:highlight w:val="none"/>
          <w:u w:val="single"/>
          <w:lang w:val="en-US" w:eastAsia="zh-CN" w:bidi="ar-SA"/>
        </w:rPr>
        <w:t>1</w:t>
      </w:r>
      <w:bookmarkEnd w:id="49"/>
      <w:r>
        <w:rPr>
          <w:rFonts w:hint="eastAsia" w:ascii="宋体" w:hAnsi="宋体" w:cs="宋体"/>
          <w:b w:val="0"/>
          <w:bCs w:val="0"/>
          <w:color w:val="auto"/>
          <w:kern w:val="2"/>
          <w:sz w:val="21"/>
          <w:szCs w:val="24"/>
          <w:highlight w:val="none"/>
          <w:lang w:val="en-US" w:eastAsia="zh-CN" w:bidi="ar-SA"/>
        </w:rPr>
        <w:t>个标段。</w:t>
      </w:r>
    </w:p>
    <w:p>
      <w:pPr>
        <w:pStyle w:val="4"/>
        <w:spacing w:before="120" w:after="0" w:line="360" w:lineRule="auto"/>
        <w:rPr>
          <w:rFonts w:ascii="宋体" w:hAnsi="宋体" w:eastAsia="宋体" w:cs="宋体"/>
          <w:color w:val="auto"/>
          <w:highlight w:val="none"/>
        </w:rPr>
      </w:pPr>
      <w:bookmarkStart w:id="50" w:name="_Toc13092"/>
      <w:r>
        <w:rPr>
          <w:rFonts w:hint="eastAsia" w:ascii="宋体" w:hAnsi="宋体" w:eastAsia="宋体" w:cs="宋体"/>
          <w:color w:val="auto"/>
          <w:highlight w:val="none"/>
        </w:rPr>
        <w:t>3. 报价人资格要求</w:t>
      </w:r>
      <w:bookmarkEnd w:id="37"/>
      <w:bookmarkEnd w:id="38"/>
      <w:bookmarkEnd w:id="39"/>
      <w:bookmarkEnd w:id="40"/>
      <w:bookmarkEnd w:id="41"/>
      <w:bookmarkEnd w:id="42"/>
      <w:bookmarkEnd w:id="43"/>
      <w:bookmarkEnd w:id="44"/>
      <w:bookmarkEnd w:id="45"/>
      <w:bookmarkEnd w:id="46"/>
      <w:bookmarkEnd w:id="47"/>
      <w:bookmarkEnd w:id="48"/>
      <w:bookmarkEnd w:id="50"/>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51" w:name="_Toc152045515"/>
      <w:bookmarkStart w:id="52" w:name="_Toc179632531"/>
      <w:bookmarkStart w:id="53" w:name="_Toc247085675"/>
      <w:bookmarkStart w:id="54" w:name="_Toc246996161"/>
      <w:bookmarkStart w:id="55" w:name="_Toc152042291"/>
      <w:bookmarkStart w:id="56" w:name="_Toc246996904"/>
      <w:bookmarkStart w:id="57" w:name="_Toc144974483"/>
      <w:r>
        <w:rPr>
          <w:rFonts w:hint="eastAsia" w:ascii="宋体" w:hAnsi="宋体" w:cs="宋体"/>
          <w:color w:val="auto"/>
          <w:sz w:val="21"/>
          <w:szCs w:val="21"/>
          <w:highlight w:val="none"/>
          <w:lang w:val="en-US" w:eastAsia="zh-CN"/>
        </w:rPr>
        <w:t>3.1 资质要求：</w:t>
      </w:r>
      <w:bookmarkStart w:id="58" w:name="资质要求"/>
      <w:r>
        <w:rPr>
          <w:rFonts w:hint="eastAsia" w:ascii="宋体" w:hAnsi="宋体" w:cs="宋体"/>
          <w:color w:val="auto"/>
          <w:sz w:val="21"/>
          <w:szCs w:val="21"/>
          <w:highlight w:val="none"/>
          <w:lang w:val="en-US" w:eastAsia="zh-CN"/>
        </w:rPr>
        <w:t>报价人具有独立法人资格和有效的营业执照</w:t>
      </w:r>
      <w:bookmarkEnd w:id="58"/>
      <w:r>
        <w:rPr>
          <w:rFonts w:hint="eastAsia" w:ascii="宋体" w:hAnsi="宋体" w:cs="宋体"/>
          <w:color w:val="auto"/>
          <w:sz w:val="21"/>
          <w:szCs w:val="21"/>
          <w:highlight w:val="none"/>
          <w:lang w:val="en-US" w:eastAsia="zh-CN"/>
        </w:rPr>
        <w:t>。</w:t>
      </w:r>
    </w:p>
    <w:p>
      <w:pPr>
        <w:pStyle w:val="13"/>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业绩要求：202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年1月1日至报价截止日（以合同签订时间为准）具有一项服务上市企业的内控</w:t>
      </w:r>
      <w:r>
        <w:rPr>
          <w:rFonts w:hint="eastAsia" w:ascii="宋体" w:hAnsi="宋体" w:cs="宋体"/>
          <w:color w:val="auto"/>
          <w:sz w:val="21"/>
          <w:szCs w:val="21"/>
          <w:highlight w:val="none"/>
          <w:lang w:val="en-US" w:eastAsia="zh-CN"/>
        </w:rPr>
        <w:t>咨询</w:t>
      </w:r>
      <w:r>
        <w:rPr>
          <w:rFonts w:hint="eastAsia" w:ascii="宋体" w:hAnsi="宋体" w:eastAsia="宋体" w:cs="宋体"/>
          <w:color w:val="auto"/>
          <w:sz w:val="21"/>
          <w:szCs w:val="21"/>
          <w:highlight w:val="none"/>
          <w:lang w:val="en-US" w:eastAsia="zh-CN"/>
        </w:rPr>
        <w:t>相关的</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业绩（提供合同复印件、结算发票、股票代码截</w:t>
      </w:r>
      <w:r>
        <w:rPr>
          <w:rFonts w:hint="eastAsia" w:ascii="宋体" w:hAnsi="宋体" w:cs="宋体"/>
          <w:color w:val="auto"/>
          <w:sz w:val="21"/>
          <w:szCs w:val="21"/>
          <w:highlight w:val="none"/>
          <w:lang w:val="en-US" w:eastAsia="zh-CN"/>
        </w:rPr>
        <w:t>图</w:t>
      </w:r>
      <w:r>
        <w:rPr>
          <w:rFonts w:hint="eastAsia" w:ascii="宋体" w:hAnsi="宋体" w:eastAsia="宋体" w:cs="宋体"/>
          <w:color w:val="auto"/>
          <w:sz w:val="21"/>
          <w:szCs w:val="21"/>
          <w:highlight w:val="none"/>
          <w:lang w:val="en-US" w:eastAsia="zh-CN"/>
        </w:rPr>
        <w:t>或上市成功</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网页截图资料）</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color w:val="auto"/>
          <w:highlight w:val="none"/>
        </w:rPr>
      </w:pPr>
      <w:bookmarkStart w:id="59" w:name="_Toc13035"/>
      <w:bookmarkStart w:id="60" w:name="_Toc12460"/>
      <w:bookmarkStart w:id="61" w:name="_Toc11329216"/>
      <w:bookmarkStart w:id="62" w:name="_Toc14361"/>
      <w:bookmarkStart w:id="63" w:name="_Toc507319894"/>
      <w:bookmarkStart w:id="64" w:name="_Toc25619"/>
      <w:r>
        <w:rPr>
          <w:rFonts w:hint="eastAsia" w:ascii="宋体" w:hAnsi="宋体" w:eastAsia="宋体" w:cs="宋体"/>
          <w:color w:val="auto"/>
          <w:highlight w:val="none"/>
        </w:rPr>
        <w:t>4. 评标办法</w:t>
      </w:r>
      <w:bookmarkEnd w:id="59"/>
    </w:p>
    <w:p>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综合评估法。</w:t>
      </w:r>
    </w:p>
    <w:p>
      <w:pPr>
        <w:pStyle w:val="4"/>
        <w:spacing w:before="120" w:after="0" w:line="400" w:lineRule="exact"/>
        <w:rPr>
          <w:rFonts w:ascii="宋体" w:hAnsi="宋体" w:eastAsia="宋体" w:cs="宋体"/>
          <w:color w:val="auto"/>
          <w:highlight w:val="none"/>
        </w:rPr>
      </w:pPr>
      <w:bookmarkStart w:id="65" w:name="_Toc17600"/>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51"/>
      <w:bookmarkEnd w:id="52"/>
      <w:bookmarkEnd w:id="53"/>
      <w:bookmarkEnd w:id="54"/>
      <w:bookmarkEnd w:id="55"/>
      <w:bookmarkEnd w:id="56"/>
      <w:bookmarkEnd w:id="57"/>
      <w:bookmarkEnd w:id="60"/>
      <w:bookmarkEnd w:id="61"/>
      <w:bookmarkEnd w:id="62"/>
      <w:bookmarkEnd w:id="63"/>
      <w:bookmarkEnd w:id="64"/>
      <w:bookmarkEnd w:id="65"/>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66" w:name="_Toc246996905"/>
      <w:bookmarkStart w:id="67" w:name="_Toc144974484"/>
      <w:bookmarkStart w:id="68" w:name="_Toc11329217"/>
      <w:bookmarkStart w:id="69" w:name="_Toc247085676"/>
      <w:bookmarkStart w:id="70" w:name="_Toc179632532"/>
      <w:bookmarkStart w:id="71" w:name="_Toc507319895"/>
      <w:bookmarkStart w:id="72" w:name="_Toc152042292"/>
      <w:bookmarkStart w:id="73" w:name="_Toc246996162"/>
      <w:bookmarkStart w:id="74" w:name="_Toc152045516"/>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color w:val="auto"/>
          <w:highlight w:val="none"/>
        </w:rPr>
      </w:pPr>
      <w:bookmarkStart w:id="75" w:name="_Toc16686"/>
      <w:bookmarkStart w:id="76" w:name="_Toc14325"/>
      <w:bookmarkStart w:id="77" w:name="_Toc31493"/>
      <w:bookmarkStart w:id="78" w:name="_Toc9131"/>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66"/>
      <w:bookmarkEnd w:id="67"/>
      <w:bookmarkEnd w:id="68"/>
      <w:bookmarkEnd w:id="69"/>
      <w:bookmarkEnd w:id="70"/>
      <w:bookmarkEnd w:id="71"/>
      <w:bookmarkEnd w:id="72"/>
      <w:bookmarkEnd w:id="73"/>
      <w:bookmarkEnd w:id="74"/>
      <w:r>
        <w:rPr>
          <w:rFonts w:hint="eastAsia" w:ascii="宋体" w:hAnsi="宋体" w:eastAsia="宋体" w:cs="宋体"/>
          <w:color w:val="auto"/>
          <w:highlight w:val="none"/>
        </w:rPr>
        <w:t>及相关事宜</w:t>
      </w:r>
      <w:bookmarkEnd w:id="75"/>
      <w:bookmarkEnd w:id="76"/>
      <w:bookmarkEnd w:id="77"/>
      <w:bookmarkEnd w:id="78"/>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18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shd w:val="clear" w:color="auto" w:fill="FFFFFF"/>
        </w:rPr>
        <w:t>午1</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bookmarkStart w:id="238" w:name="_GoBack"/>
      <w:bookmarkEnd w:id="238"/>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递交地点：</w:t>
      </w:r>
      <w:bookmarkStart w:id="79"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79"/>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正规快递公司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竞争性比选响应文件邮寄至重庆首讯科技股份有限公司（邮寄地址同6.3递交地点），否则采购人有权拒收，采用邮寄方式的报价人默认认可采购人的开标结果，不得由此提出任何质疑。</w:t>
      </w:r>
    </w:p>
    <w:p>
      <w:pPr>
        <w:pStyle w:val="4"/>
        <w:spacing w:before="120" w:after="0" w:line="400" w:lineRule="exact"/>
        <w:rPr>
          <w:rFonts w:ascii="宋体" w:hAnsi="宋体" w:eastAsia="宋体" w:cs="宋体"/>
          <w:color w:val="auto"/>
          <w:highlight w:val="none"/>
        </w:rPr>
      </w:pPr>
      <w:bookmarkStart w:id="80" w:name="_Toc144974485"/>
      <w:bookmarkStart w:id="81" w:name="_Toc247085678"/>
      <w:bookmarkStart w:id="82" w:name="_Toc18402"/>
      <w:bookmarkStart w:id="83" w:name="_Toc246996907"/>
      <w:bookmarkStart w:id="84" w:name="_Toc393"/>
      <w:bookmarkStart w:id="85" w:name="_Toc4010"/>
      <w:bookmarkStart w:id="86" w:name="_Toc179632534"/>
      <w:bookmarkStart w:id="87" w:name="_Toc11329219"/>
      <w:bookmarkStart w:id="88" w:name="_Toc152042293"/>
      <w:bookmarkStart w:id="89" w:name="_Toc152045517"/>
      <w:bookmarkStart w:id="90" w:name="_Toc21615"/>
      <w:bookmarkStart w:id="91" w:name="_Toc246996164"/>
      <w:bookmarkStart w:id="92" w:name="_Toc507319897"/>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0"/>
      <w:bookmarkEnd w:id="81"/>
      <w:bookmarkEnd w:id="82"/>
      <w:bookmarkEnd w:id="83"/>
      <w:bookmarkEnd w:id="84"/>
      <w:bookmarkEnd w:id="85"/>
      <w:bookmarkEnd w:id="86"/>
      <w:bookmarkEnd w:id="87"/>
      <w:bookmarkEnd w:id="88"/>
      <w:bookmarkEnd w:id="89"/>
      <w:bookmarkEnd w:id="90"/>
      <w:bookmarkEnd w:id="91"/>
      <w:bookmarkEnd w:id="92"/>
    </w:p>
    <w:tbl>
      <w:tblPr>
        <w:tblStyle w:val="42"/>
        <w:tblW w:w="9709" w:type="dxa"/>
        <w:tblInd w:w="0" w:type="dxa"/>
        <w:tblLayout w:type="fixed"/>
        <w:tblCellMar>
          <w:top w:w="0" w:type="dxa"/>
          <w:left w:w="108" w:type="dxa"/>
          <w:bottom w:w="0" w:type="dxa"/>
          <w:right w:w="108" w:type="dxa"/>
        </w:tblCellMar>
      </w:tblPr>
      <w:tblGrid>
        <w:gridCol w:w="9709"/>
      </w:tblGrid>
      <w:tr>
        <w:tblPrEx>
          <w:tblCellMar>
            <w:top w:w="0" w:type="dxa"/>
            <w:left w:w="108" w:type="dxa"/>
            <w:bottom w:w="0" w:type="dxa"/>
            <w:right w:w="108" w:type="dxa"/>
          </w:tblCellMar>
        </w:tblPrEx>
        <w:trPr>
          <w:trHeight w:val="520" w:hRule="atLeast"/>
        </w:trPr>
        <w:tc>
          <w:tcPr>
            <w:tcW w:w="9709" w:type="dxa"/>
            <w:vAlign w:val="center"/>
          </w:tcPr>
          <w:p>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tblPrEx>
          <w:tblCellMar>
            <w:top w:w="0" w:type="dxa"/>
            <w:left w:w="108" w:type="dxa"/>
            <w:bottom w:w="0" w:type="dxa"/>
            <w:right w:w="108" w:type="dxa"/>
          </w:tblCellMar>
        </w:tblPrEx>
        <w:trPr>
          <w:trHeight w:val="510" w:hRule="atLeast"/>
        </w:trPr>
        <w:tc>
          <w:tcPr>
            <w:tcW w:w="9709" w:type="dxa"/>
            <w:vAlign w:val="center"/>
          </w:tcPr>
          <w:p>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tblPrEx>
          <w:tblCellMar>
            <w:top w:w="0" w:type="dxa"/>
            <w:left w:w="108" w:type="dxa"/>
            <w:bottom w:w="0" w:type="dxa"/>
            <w:right w:w="108" w:type="dxa"/>
          </w:tblCellMar>
        </w:tblPrEx>
        <w:trPr>
          <w:trHeight w:val="520" w:hRule="atLeast"/>
        </w:trPr>
        <w:tc>
          <w:tcPr>
            <w:tcW w:w="9709" w:type="dxa"/>
            <w:vAlign w:val="center"/>
          </w:tcPr>
          <w:p>
            <w:pPr>
              <w:pageBreakBefore w:val="0"/>
              <w:kinsoku/>
              <w:wordWrap/>
              <w:overflowPunct/>
              <w:topLinePunct/>
              <w:autoSpaceDE/>
              <w:autoSpaceDN/>
              <w:bidi w:val="0"/>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bookmarkStart w:id="93" w:name="OLE_LINK1" w:colFirst="0" w:colLast="0"/>
            <w:r>
              <w:rPr>
                <w:rFonts w:hint="eastAsia" w:ascii="宋体" w:hAnsi="宋体" w:cs="宋体"/>
                <w:color w:val="auto"/>
                <w:szCs w:val="21"/>
                <w:highlight w:val="none"/>
              </w:rPr>
              <w:t>技术联系人：</w:t>
            </w:r>
            <w:r>
              <w:rPr>
                <w:rFonts w:hint="eastAsia" w:ascii="宋体" w:hAnsi="宋体" w:cs="宋体"/>
                <w:color w:val="auto"/>
                <w:szCs w:val="21"/>
                <w:highlight w:val="none"/>
                <w:u w:val="single"/>
                <w:lang w:val="en-US" w:eastAsia="zh-CN"/>
              </w:rPr>
              <w:t xml:space="preserve"> 张 </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none"/>
                <w:lang w:val="en-US" w:eastAsia="zh-CN"/>
              </w:rPr>
              <w:t>15736057227</w:t>
            </w:r>
          </w:p>
        </w:tc>
      </w:tr>
      <w:tr>
        <w:tblPrEx>
          <w:tblCellMar>
            <w:top w:w="0" w:type="dxa"/>
            <w:left w:w="108" w:type="dxa"/>
            <w:bottom w:w="0" w:type="dxa"/>
            <w:right w:w="108" w:type="dxa"/>
          </w:tblCellMar>
        </w:tblPrEx>
        <w:trPr>
          <w:trHeight w:val="448" w:hRule="atLeast"/>
        </w:trPr>
        <w:tc>
          <w:tcPr>
            <w:tcW w:w="9709" w:type="dxa"/>
            <w:vAlign w:val="center"/>
          </w:tcPr>
          <w:p>
            <w:pPr>
              <w:pageBreakBefore w:val="0"/>
              <w:kinsoku/>
              <w:wordWrap/>
              <w:overflowPunct/>
              <w:topLinePunct/>
              <w:autoSpaceDE/>
              <w:autoSpaceDN/>
              <w:bidi w:val="0"/>
              <w:snapToGrid/>
              <w:spacing w:line="400" w:lineRule="exact"/>
              <w:ind w:left="0" w:leftChars="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auto"/>
                <w:szCs w:val="21"/>
                <w:highlight w:val="none"/>
                <w:u w:val="single"/>
                <w:lang w:val="en-US" w:eastAsia="zh-CN"/>
              </w:rPr>
              <w:t xml:space="preserve"> 刘 </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szCs w:val="21"/>
                <w:highlight w:val="none"/>
                <w:lang w:val="en-US" w:eastAsia="zh-CN"/>
              </w:rPr>
              <w:t>18623655450</w:t>
            </w:r>
          </w:p>
        </w:tc>
      </w:tr>
      <w:bookmarkEnd w:id="93"/>
    </w:tbl>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pStyle w:val="28"/>
        <w:rPr>
          <w:color w:val="auto"/>
          <w:highlight w:val="none"/>
        </w:rPr>
      </w:pPr>
    </w:p>
    <w:p>
      <w:pPr>
        <w:pStyle w:val="3"/>
        <w:spacing w:before="0" w:after="0" w:line="360" w:lineRule="auto"/>
        <w:jc w:val="center"/>
        <w:rPr>
          <w:rFonts w:ascii="宋体" w:hAnsi="宋体" w:cs="宋体"/>
          <w:color w:val="auto"/>
          <w:highlight w:val="none"/>
        </w:rPr>
      </w:pPr>
      <w:bookmarkStart w:id="94" w:name="_Toc247085687"/>
      <w:bookmarkStart w:id="95" w:name="_Toc152042303"/>
      <w:bookmarkStart w:id="96" w:name="_Toc246996173"/>
      <w:bookmarkStart w:id="97" w:name="_Toc179632544"/>
      <w:bookmarkStart w:id="98" w:name="_Toc2000405"/>
      <w:bookmarkStart w:id="99" w:name="_Toc152045527"/>
      <w:bookmarkStart w:id="100" w:name="_Toc507319898"/>
      <w:bookmarkStart w:id="101" w:name="_Toc144974495"/>
      <w:bookmarkStart w:id="102" w:name="_Toc246996916"/>
      <w:r>
        <w:rPr>
          <w:rFonts w:hint="eastAsia" w:ascii="宋体" w:hAnsi="宋体" w:cs="宋体"/>
          <w:color w:val="auto"/>
          <w:highlight w:val="none"/>
        </w:rPr>
        <w:br w:type="page"/>
      </w:r>
      <w:bookmarkStart w:id="103" w:name="_Toc12865"/>
      <w:r>
        <w:rPr>
          <w:rFonts w:hint="eastAsia" w:ascii="宋体" w:hAnsi="宋体" w:cs="宋体"/>
          <w:color w:val="auto"/>
          <w:highlight w:val="none"/>
        </w:rPr>
        <w:t>第二章 报价人须知</w:t>
      </w:r>
      <w:bookmarkEnd w:id="94"/>
      <w:bookmarkEnd w:id="95"/>
      <w:bookmarkEnd w:id="96"/>
      <w:bookmarkEnd w:id="97"/>
      <w:bookmarkEnd w:id="98"/>
      <w:bookmarkEnd w:id="99"/>
      <w:bookmarkEnd w:id="100"/>
      <w:bookmarkEnd w:id="101"/>
      <w:bookmarkEnd w:id="102"/>
      <w:bookmarkEnd w:id="103"/>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04" w:name="_Toc326760840"/>
            <w:r>
              <w:rPr>
                <w:rFonts w:hint="eastAsia" w:ascii="宋体" w:hAnsi="宋体" w:cs="宋体"/>
                <w:b/>
                <w:color w:val="auto"/>
                <w:kern w:val="0"/>
                <w:szCs w:val="21"/>
                <w:highlight w:val="none"/>
              </w:rPr>
              <w:t>序号</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pPr>
              <w:spacing w:line="40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ascii="宋体" w:hAnsi="宋体" w:cs="宋体"/>
                <w:color w:val="000000" w:themeColor="text1"/>
                <w:szCs w:val="21"/>
                <w:highlight w:val="none"/>
                <w:lang w:val="en-US" w:eastAsia="zh-CN"/>
                <w14:textFill>
                  <w14:solidFill>
                    <w14:schemeClr w14:val="tx1"/>
                  </w14:solidFill>
                </w14:textFill>
              </w:rPr>
              <w:t>刘老师</w:t>
            </w:r>
          </w:p>
          <w:p>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lang w:val="en-US" w:eastAsia="zh-CN"/>
                <w14:textFill>
                  <w14:solidFill>
                    <w14:schemeClr w14:val="tx1"/>
                  </w14:solidFill>
                </w14:textFill>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bookmarkStart w:id="105" w:name="单据名称2"/>
            <w:r>
              <w:rPr>
                <w:rFonts w:hint="eastAsia" w:ascii="宋体" w:hAnsi="宋体" w:cs="宋体"/>
                <w:i w:val="0"/>
                <w:iCs w:val="0"/>
                <w:color w:val="auto"/>
                <w:szCs w:val="21"/>
                <w:highlight w:val="none"/>
                <w:u w:val="single"/>
                <w:lang w:val="en-US" w:eastAsia="zh-CN"/>
              </w:rPr>
              <w:t>首讯公司IPO内控体系建设与执行专项工作咨询服务</w:t>
            </w:r>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keepNext w:val="0"/>
              <w:keepLines w:val="0"/>
              <w:pageBreakBefore w:val="0"/>
              <w:widowControl w:val="0"/>
              <w:kinsoku/>
              <w:wordWrap/>
              <w:overflowPunct/>
              <w:bidi w:val="0"/>
              <w:spacing w:line="400" w:lineRule="exact"/>
              <w:ind w:firstLine="422" w:firstLineChars="200"/>
              <w:textAlignment w:val="auto"/>
              <w:rPr>
                <w:rFonts w:ascii="宋体" w:hAnsi="宋体" w:cs="宋体"/>
                <w:color w:val="auto"/>
                <w:kern w:val="0"/>
                <w:szCs w:val="21"/>
                <w:highlight w:val="none"/>
              </w:rPr>
            </w:pPr>
            <w:r>
              <w:rPr>
                <w:rFonts w:hint="eastAsia" w:ascii="宋体" w:hAnsi="宋体" w:cs="宋体"/>
                <w:b/>
                <w:bCs w:val="0"/>
                <w:color w:val="auto"/>
                <w:sz w:val="21"/>
                <w:szCs w:val="21"/>
                <w:highlight w:val="none"/>
                <w:lang w:eastAsia="zh-CN" w:bidi="ar"/>
              </w:rPr>
              <w:t>本项目</w:t>
            </w:r>
            <w:r>
              <w:rPr>
                <w:rFonts w:hint="eastAsia" w:ascii="宋体" w:hAnsi="宋体" w:eastAsia="宋体" w:cs="宋体"/>
                <w:b/>
                <w:bCs w:val="0"/>
                <w:color w:val="auto"/>
                <w:sz w:val="21"/>
                <w:szCs w:val="21"/>
                <w:highlight w:val="none"/>
                <w:lang w:bidi="ar"/>
              </w:rPr>
              <w:t>不允许任何负偏离。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1.投标报价：</w:t>
            </w:r>
          </w:p>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rPr>
            </w:pPr>
            <w:r>
              <w:rPr>
                <w:rFonts w:hint="eastAsia" w:ascii="宋体" w:hAnsi="宋体" w:cs="宋体"/>
                <w:color w:val="auto"/>
                <w:highlight w:val="none"/>
              </w:rPr>
              <w:t>2.报价原则</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 xml:space="preserve"> 900000.00 </w:t>
            </w:r>
            <w:r>
              <w:rPr>
                <w:rFonts w:hint="eastAsia" w:ascii="宋体" w:hAnsi="宋体"/>
                <w:b/>
                <w:bCs/>
                <w:color w:val="auto"/>
                <w:szCs w:val="21"/>
                <w:highlight w:val="none"/>
              </w:rPr>
              <w:t>元。</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次服务根据服务内容，前三项作为服务子项（一），第四项单独作为服务子项（二）。每次支付前需由乙方提交书面支付申请、相关证明材料以及对应增值税专用发票经甲方审核无误后，按以下节点支付，因乙方原因未按时提交相关资料，导致支付延期的，非甲方违约责任：</w:t>
            </w:r>
          </w:p>
          <w:p>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服务子项一按以下节点支付：</w:t>
            </w:r>
          </w:p>
          <w:p>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right="0" w:firstLine="422" w:firstLineChars="200"/>
              <w:jc w:val="both"/>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lang w:eastAsia="zh-CN"/>
              </w:rPr>
              <w:t>1.合同签订完成，进场提交服务子项（一）的工作方案并经甲方审核合格后，甲方向乙方支付服务子项（一）合同金额的10%。</w:t>
            </w:r>
            <w:r>
              <w:rPr>
                <w:rFonts w:hint="eastAsia" w:ascii="宋体" w:hAnsi="宋体" w:eastAsia="宋体" w:cs="宋体"/>
                <w:color w:val="auto"/>
                <w:sz w:val="21"/>
                <w:szCs w:val="21"/>
                <w:highlight w:val="none"/>
                <w:lang w:eastAsia="zh-CN"/>
              </w:rPr>
              <w:br w:type="textWrapping"/>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2.研发与数开业务完成专项成果交付并验收合格（验收合格指经过券商、会所、律所等审核通过），甲方向乙方支付服务子项（一）合同金额的20%。</w:t>
            </w:r>
            <w:r>
              <w:rPr>
                <w:rFonts w:hint="eastAsia" w:ascii="宋体" w:hAnsi="宋体" w:eastAsia="宋体" w:cs="宋体"/>
                <w:color w:val="auto"/>
                <w:sz w:val="21"/>
                <w:szCs w:val="21"/>
                <w:highlight w:val="none"/>
                <w:lang w:eastAsia="zh-CN"/>
              </w:rPr>
              <w:br w:type="textWrapping"/>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3.内控手册完成更新成果交付并验收合格（验收合格指经过券商、会所、律所等审核通过），甲方向乙方支付服务子项（一）合同金额的30%。</w:t>
            </w:r>
            <w:r>
              <w:rPr>
                <w:rFonts w:hint="eastAsia" w:ascii="宋体" w:hAnsi="宋体" w:eastAsia="宋体" w:cs="宋体"/>
                <w:color w:val="auto"/>
                <w:sz w:val="21"/>
                <w:szCs w:val="21"/>
                <w:highlight w:val="none"/>
                <w:lang w:eastAsia="zh-CN"/>
              </w:rPr>
              <w:br w:type="textWrapping"/>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4.制度专项完成交付并验收合格，甲方向乙方支付服务子项（一）合同金额的25%。</w:t>
            </w:r>
            <w:r>
              <w:rPr>
                <w:rFonts w:hint="eastAsia" w:ascii="宋体" w:hAnsi="宋体" w:eastAsia="宋体" w:cs="宋体"/>
                <w:color w:val="auto"/>
                <w:sz w:val="21"/>
                <w:szCs w:val="21"/>
                <w:highlight w:val="none"/>
                <w:lang w:eastAsia="zh-CN"/>
              </w:rPr>
              <w:br w:type="textWrapping"/>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5.满足审核需求，完成项目整体验收，甲方向乙方支付服务子项（一）合同金额的15%。</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服务子项（二）按以下节点支付：</w:t>
            </w:r>
            <w:r>
              <w:rPr>
                <w:rFonts w:hint="eastAsia" w:ascii="宋体" w:hAnsi="宋体" w:eastAsia="宋体" w:cs="宋体"/>
                <w:color w:val="auto"/>
                <w:sz w:val="21"/>
                <w:szCs w:val="21"/>
                <w:highlight w:val="none"/>
                <w:lang w:eastAsia="zh-CN"/>
              </w:rPr>
              <w:br w:type="textWrapping"/>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1.在服务子项（一）的服务内容全部完成后，乙方向甲方提交服务子项（二）的工作方案支付服务金额的50%。</w:t>
            </w:r>
            <w:r>
              <w:rPr>
                <w:rFonts w:hint="eastAsia" w:ascii="宋体" w:hAnsi="宋体" w:eastAsia="宋体" w:cs="宋体"/>
                <w:color w:val="auto"/>
                <w:sz w:val="21"/>
                <w:szCs w:val="21"/>
                <w:highlight w:val="none"/>
                <w:lang w:eastAsia="zh-CN"/>
              </w:rPr>
              <w:br w:type="textWrapping"/>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2.完成内控评价报告经验收确认，甲方向乙方支付服务子项（二）合同金额剩下的50%</w:t>
            </w:r>
            <w:bookmarkStart w:id="106" w:name="支付方式"/>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bookmarkStart w:id="107" w:name="是否提供投标保证金"/>
            <w:r>
              <w:rPr>
                <w:rFonts w:hint="eastAsia" w:hAnsi="宋体" w:cs="宋体"/>
                <w:b w:val="0"/>
                <w:bCs w:val="0"/>
                <w:color w:val="auto"/>
                <w:kern w:val="0"/>
                <w:sz w:val="21"/>
                <w:szCs w:val="18"/>
                <w:highlight w:val="none"/>
                <w:lang w:val="en-US" w:eastAsia="zh-CN" w:bidi="ar"/>
              </w:rPr>
              <w:t>是</w:t>
            </w:r>
            <w:bookmarkEnd w:id="107"/>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bookmarkStart w:id="108" w:name="投标保证金"/>
            <w:r>
              <w:rPr>
                <w:rFonts w:hint="eastAsia" w:hAnsi="宋体" w:cs="宋体"/>
                <w:color w:val="auto"/>
                <w:sz w:val="21"/>
                <w:szCs w:val="21"/>
                <w:highlight w:val="none"/>
                <w:u w:val="single"/>
                <w:lang w:val="en-US" w:eastAsia="zh-CN"/>
              </w:rPr>
              <w:t>10000.00</w:t>
            </w:r>
            <w:bookmarkEnd w:id="108"/>
            <w:r>
              <w:rPr>
                <w:rFonts w:hint="eastAsia" w:ascii="宋体" w:hAnsi="宋体" w:eastAsia="宋体" w:cs="宋体"/>
                <w:color w:val="auto"/>
                <w:sz w:val="21"/>
                <w:szCs w:val="21"/>
                <w:highlight w:val="none"/>
              </w:rPr>
              <w:t>元，由报价人从公司基本账户将投标保证金汇至以下指定账户：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bookmarkStart w:id="109" w:name="单据名称3"/>
            <w:r>
              <w:rPr>
                <w:rFonts w:hint="eastAsia" w:ascii="宋体" w:hAnsi="宋体" w:eastAsia="宋体" w:cs="宋体"/>
                <w:i w:val="0"/>
                <w:iCs w:val="0"/>
                <w:color w:val="auto"/>
                <w:sz w:val="21"/>
                <w:szCs w:val="21"/>
                <w:highlight w:val="none"/>
                <w:u w:val="single"/>
              </w:rPr>
              <w:t>首讯公司IPO内控体系建设与执行专项工作咨询服务</w:t>
            </w:r>
            <w:bookmarkEnd w:id="109"/>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3、若本项目“第一次”采购失败，采购人发布“第二次”采购后，报价人可沿用“第一次”采购递交的投标保证金，无需重复递交投标保证金。</w:t>
            </w:r>
          </w:p>
          <w:p>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bookmarkStart w:id="110" w:name="是否提供履约保证金"/>
            <w:r>
              <w:rPr>
                <w:rFonts w:hint="eastAsia" w:hAnsi="宋体" w:cs="宋体"/>
                <w:b w:val="0"/>
                <w:bCs w:val="0"/>
                <w:color w:val="auto"/>
                <w:kern w:val="0"/>
                <w:sz w:val="21"/>
                <w:szCs w:val="18"/>
                <w:highlight w:val="none"/>
                <w:lang w:val="en-US" w:eastAsia="zh-CN" w:bidi="ar"/>
              </w:rPr>
              <w:t>是</w:t>
            </w:r>
            <w:bookmarkEnd w:id="110"/>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bookmarkStart w:id="111" w:name="履约保证金"/>
            <w:r>
              <w:rPr>
                <w:rFonts w:hint="eastAsia" w:hAnsi="宋体"/>
                <w:color w:val="auto"/>
                <w:kern w:val="2"/>
                <w:sz w:val="21"/>
                <w:szCs w:val="21"/>
                <w:highlight w:val="none"/>
                <w:u w:val="single"/>
                <w:lang w:val="en-US" w:eastAsia="zh-CN"/>
              </w:rPr>
              <w:t>合同金额的10%</w:t>
            </w:r>
            <w:bookmarkEnd w:id="111"/>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bookmarkStart w:id="112" w:name="单据名称4"/>
            <w:r>
              <w:rPr>
                <w:rFonts w:hint="eastAsia" w:ascii="宋体" w:hAnsi="宋体" w:eastAsia="宋体" w:cs="宋体"/>
                <w:i w:val="0"/>
                <w:iCs w:val="0"/>
                <w:color w:val="auto"/>
                <w:sz w:val="21"/>
                <w:szCs w:val="21"/>
                <w:highlight w:val="none"/>
                <w:u w:val="single"/>
              </w:rPr>
              <w:t>首讯公司IPO内控体系建设与执行专项工作咨询服务</w:t>
            </w:r>
            <w:bookmarkEnd w:id="112"/>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pPr>
              <w:pStyle w:val="149"/>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bookmarkStart w:id="113" w:name="是否提供低价风险担保金"/>
            <w:r>
              <w:rPr>
                <w:rFonts w:hint="eastAsia" w:ascii="宋体" w:hAnsi="宋体" w:cs="宋体"/>
                <w:b w:val="0"/>
                <w:bCs w:val="0"/>
                <w:color w:val="auto"/>
                <w:kern w:val="0"/>
                <w:sz w:val="21"/>
                <w:szCs w:val="18"/>
                <w:highlight w:val="none"/>
                <w:lang w:val="en-US" w:eastAsia="zh-CN" w:bidi="ar"/>
              </w:rPr>
              <w:t>否</w:t>
            </w:r>
            <w:bookmarkEnd w:id="113"/>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开户银行：兴业银行股份有限公司重庆空港支行</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pPr>
              <w:keepNext w:val="0"/>
              <w:keepLines w:val="0"/>
              <w:pageBreakBefore w:val="0"/>
              <w:widowControl w:val="0"/>
              <w:kinsoku/>
              <w:wordWrap w:val="0"/>
              <w:overflowPunct/>
              <w:topLinePunct w:val="0"/>
              <w:bidi w:val="0"/>
              <w:adjustRightInd/>
              <w:snapToGrid/>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.任何一方违反本合同所规定的保密义务，违约方应按约定支付违约金。如实际损失超过该违约金的，受损失一方有权要求对方赔偿超过部分。</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.甲方有权对乙方提供的服务进行定期检查，若乙方未满足要求，每发现一次，乙方应向甲方支付2000元/次的违约金。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.任何一方违反本合同所规定的其他义务，除本合同另有约定外，违约方按合同总价的5%向对方支付违约金。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.按本合同赔偿的违约金应在15个工作日内付清，否则，按逾期付款处理，即每迟延一日按欠付金额的0.03%支付违约金。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.因乙方服务人员造成甲方损失，乙方除应当负责配合甲方解决之外，还应当承担由此给甲方造成的一切损失。本义务不随本合同履行期限届满而结束。</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.因履行合同而发生的一切安全保障责任、人身伤亡事故及造成的损失均由乙方承担。</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.1</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lang w:val="en-US" w:eastAsia="zh-CN"/>
              </w:rPr>
              <w:t>需提供投标保证金银行回执（如有）。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kern w:val="2"/>
                <w:sz w:val="21"/>
                <w:szCs w:val="21"/>
                <w:highlight w:val="none"/>
                <w:lang w:val="en-US" w:eastAsia="zh-CN"/>
              </w:rPr>
              <w:t>26.3</w:t>
            </w:r>
          </w:p>
        </w:tc>
        <w:tc>
          <w:tcPr>
            <w:tcW w:w="9210" w:type="dxa"/>
            <w:gridSpan w:val="2"/>
            <w:vAlign w:val="center"/>
          </w:tcPr>
          <w:p>
            <w:pPr>
              <w:pStyle w:val="149"/>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pPr>
              <w:pStyle w:val="149"/>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26.4</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报价人须承诺竞争性</w:t>
            </w:r>
            <w:r>
              <w:rPr>
                <w:rFonts w:hint="eastAsia" w:ascii="宋体" w:hAnsi="宋体" w:eastAsia="宋体" w:cs="宋体"/>
                <w:color w:val="auto"/>
                <w:sz w:val="21"/>
                <w:szCs w:val="21"/>
                <w:highlight w:val="none"/>
              </w:rPr>
              <w:t>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不存在资质挂靠或参与串标、围标情形。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w:t>
            </w:r>
            <w:r>
              <w:rPr>
                <w:rFonts w:hint="eastAsia" w:ascii="宋体" w:hAnsi="宋体" w:cs="宋体"/>
                <w:color w:val="auto"/>
                <w:sz w:val="21"/>
                <w:szCs w:val="21"/>
                <w:highlight w:val="none"/>
                <w:lang w:val="en-US" w:eastAsia="zh-CN"/>
              </w:rPr>
              <w:t>及支付方式</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一切</w:t>
            </w:r>
            <w:r>
              <w:rPr>
                <w:rFonts w:hint="eastAsia" w:ascii="宋体" w:hAnsi="宋体" w:eastAsia="宋体" w:cs="宋体"/>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承诺绝不向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工作人员、评标委员会成员等提供或变相提供现金、回扣、有价证券、旅游等形式的利益输送，并自愿配合贵司或第三方机构对项目进行廉政审查。</w:t>
            </w:r>
          </w:p>
          <w:p>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报价人须承诺完全服从采购人《合格供方库管理办法》（详见相关附件）的管理要求，对出现进度、质量、服务及违规问题的供应商，视违规行为的具体情形、情节轻重和危害程度，采购人可依据《合格供方库管理办法》给予暂停合格供应商资格、终止合格供应商资格、永久取消合格供应商资格（列入诚信黑名单）等处理。</w:t>
            </w:r>
          </w:p>
          <w:p>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知悉并愿意接受</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违反上述承诺，隐瞒、提供虚假资料或不按竞争性比选文件要求组织实施，被</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发现或被他人举报查实，无条件接受贵司的处罚，对造成的损失，任何法律和经济责任完全由</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26.5</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bookmarkEnd w:id="104"/>
    </w:tbl>
    <w:p>
      <w:pPr>
        <w:rPr>
          <w:color w:val="auto"/>
          <w:highlight w:val="none"/>
        </w:rPr>
      </w:pPr>
    </w:p>
    <w:p>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14" w:name="_Hlt227984024"/>
      <w:bookmarkEnd w:id="114"/>
    </w:p>
    <w:p>
      <w:pPr>
        <w:pStyle w:val="4"/>
        <w:jc w:val="center"/>
        <w:rPr>
          <w:rFonts w:ascii="宋体" w:hAnsi="宋体" w:eastAsia="宋体" w:cs="宋体"/>
          <w:bCs w:val="0"/>
          <w:color w:val="auto"/>
          <w:sz w:val="28"/>
          <w:szCs w:val="28"/>
          <w:highlight w:val="none"/>
        </w:rPr>
      </w:pPr>
      <w:bookmarkStart w:id="115" w:name="_Toc17532"/>
      <w:bookmarkStart w:id="116" w:name="_Toc30198"/>
      <w:bookmarkStart w:id="117" w:name="_Toc11329222"/>
      <w:bookmarkStart w:id="118" w:name="_Toc11284"/>
      <w:bookmarkStart w:id="119" w:name="_Toc21580"/>
      <w:r>
        <w:rPr>
          <w:rFonts w:hint="eastAsia" w:ascii="宋体" w:hAnsi="宋体" w:eastAsia="宋体" w:cs="宋体"/>
          <w:color w:val="auto"/>
          <w:sz w:val="28"/>
          <w:szCs w:val="28"/>
          <w:highlight w:val="none"/>
        </w:rPr>
        <w:t xml:space="preserve">附录1  </w:t>
      </w:r>
      <w:bookmarkEnd w:id="115"/>
      <w:bookmarkEnd w:id="116"/>
      <w:bookmarkEnd w:id="117"/>
      <w:bookmarkEnd w:id="118"/>
      <w:bookmarkStart w:id="120" w:name="_Toc25591"/>
      <w:bookmarkStart w:id="121" w:name="_Toc11329226"/>
      <w:bookmarkStart w:id="122" w:name="_Toc12773"/>
      <w:bookmarkStart w:id="123" w:name="_Toc27096"/>
      <w:r>
        <w:rPr>
          <w:rFonts w:hint="eastAsia" w:ascii="宋体" w:hAnsi="宋体" w:eastAsia="宋体" w:cs="宋体"/>
          <w:bCs w:val="0"/>
          <w:color w:val="auto"/>
          <w:sz w:val="28"/>
          <w:szCs w:val="28"/>
          <w:highlight w:val="none"/>
        </w:rPr>
        <w:t>报价人资格要求</w:t>
      </w:r>
      <w:bookmarkEnd w:id="119"/>
      <w:bookmarkEnd w:id="120"/>
      <w:bookmarkEnd w:id="121"/>
      <w:bookmarkEnd w:id="122"/>
      <w:bookmarkEnd w:id="123"/>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bookmarkStart w:id="124" w:name="_Toc387234996"/>
            <w:bookmarkStart w:id="125" w:name="_Toc388534043"/>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highlight w:val="none"/>
                <w:lang w:eastAsia="zh-CN"/>
              </w:rPr>
            </w:pPr>
            <w:bookmarkStart w:id="126" w:name="资质要求1"/>
            <w:r>
              <w:rPr>
                <w:rFonts w:hint="eastAsia" w:ascii="宋体" w:hAnsi="宋体" w:eastAsia="宋体" w:cs="宋体"/>
                <w:i w:val="0"/>
                <w:iCs w:val="0"/>
                <w:caps w:val="0"/>
                <w:color w:val="auto"/>
                <w:spacing w:val="0"/>
                <w:sz w:val="21"/>
                <w:szCs w:val="21"/>
                <w:highlight w:val="none"/>
                <w:shd w:val="clear" w:fill="FCFCFC"/>
              </w:rPr>
              <w:t>报价人具有独立法人资格和有效的营业执照</w:t>
            </w:r>
            <w:bookmarkEnd w:id="126"/>
            <w:r>
              <w:rPr>
                <w:rFonts w:hint="eastAsia" w:ascii="宋体" w:hAnsi="宋体" w:cs="宋体"/>
                <w:i w:val="0"/>
                <w:iCs w:val="0"/>
                <w:caps w:val="0"/>
                <w:color w:val="auto"/>
                <w:spacing w:val="0"/>
                <w:sz w:val="21"/>
                <w:szCs w:val="21"/>
                <w:highlight w:val="none"/>
                <w:shd w:val="clear" w:fill="FCFCFC"/>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年1月1日至报价截止日（以合同签订时间为准）具有一项服务上市企业的内控</w:t>
            </w:r>
            <w:r>
              <w:rPr>
                <w:rFonts w:hint="eastAsia" w:ascii="宋体" w:hAnsi="宋体" w:cs="宋体"/>
                <w:color w:val="auto"/>
                <w:sz w:val="21"/>
                <w:szCs w:val="21"/>
                <w:highlight w:val="none"/>
                <w:lang w:val="en-US" w:eastAsia="zh-CN"/>
              </w:rPr>
              <w:t>咨询</w:t>
            </w:r>
            <w:r>
              <w:rPr>
                <w:rFonts w:hint="eastAsia" w:ascii="宋体" w:hAnsi="宋体" w:eastAsia="宋体" w:cs="宋体"/>
                <w:color w:val="auto"/>
                <w:sz w:val="21"/>
                <w:szCs w:val="21"/>
                <w:highlight w:val="none"/>
                <w:lang w:val="en-US" w:eastAsia="zh-CN"/>
              </w:rPr>
              <w:t>相关的</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业绩（提供合同复印件、结算发票、股票代码截</w:t>
            </w:r>
            <w:r>
              <w:rPr>
                <w:rFonts w:hint="eastAsia" w:ascii="宋体" w:hAnsi="宋体" w:cs="宋体"/>
                <w:color w:val="auto"/>
                <w:sz w:val="21"/>
                <w:szCs w:val="21"/>
                <w:highlight w:val="none"/>
                <w:lang w:val="en-US" w:eastAsia="zh-CN"/>
              </w:rPr>
              <w:t>图</w:t>
            </w:r>
            <w:r>
              <w:rPr>
                <w:rFonts w:hint="eastAsia" w:ascii="宋体" w:hAnsi="宋体" w:eastAsia="宋体" w:cs="宋体"/>
                <w:color w:val="auto"/>
                <w:sz w:val="21"/>
                <w:szCs w:val="21"/>
                <w:highlight w:val="none"/>
                <w:lang w:val="en-US" w:eastAsia="zh-CN"/>
              </w:rPr>
              <w:t>或上市成功网页截图资料）</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127" w:name="主要管理人员要求"/>
            <w:r>
              <w:rPr>
                <w:rFonts w:hint="eastAsia" w:ascii="宋体" w:hAnsi="宋体" w:eastAsia="宋体" w:cs="宋体"/>
                <w:color w:val="auto"/>
                <w:sz w:val="21"/>
                <w:szCs w:val="21"/>
                <w:highlight w:val="none"/>
                <w:lang w:val="en-US" w:eastAsia="zh-CN"/>
              </w:rPr>
              <w:t>项目负责人1人；具有主持内控体系建设咨询的经验（提供主持内控体系建设咨询经验业绩资料</w:t>
            </w:r>
            <w:r>
              <w:rPr>
                <w:rFonts w:hint="eastAsia" w:ascii="宋体" w:hAnsi="宋体" w:cs="宋体"/>
                <w:color w:val="auto"/>
                <w:sz w:val="21"/>
                <w:szCs w:val="21"/>
                <w:highlight w:val="none"/>
                <w:lang w:val="en-US" w:eastAsia="zh-CN"/>
              </w:rPr>
              <w:t>（自主承诺）</w:t>
            </w:r>
            <w:r>
              <w:rPr>
                <w:rFonts w:hint="eastAsia" w:ascii="宋体" w:hAnsi="宋体" w:eastAsia="宋体" w:cs="宋体"/>
                <w:color w:val="auto"/>
                <w:sz w:val="21"/>
                <w:szCs w:val="21"/>
                <w:highlight w:val="none"/>
                <w:lang w:val="en-US" w:eastAsia="zh-CN"/>
              </w:rPr>
              <w:t>）。</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128" w:name="其他人员要求"/>
            <w:r>
              <w:rPr>
                <w:rFonts w:hint="eastAsia" w:ascii="宋体" w:hAnsi="宋体" w:cs="宋体"/>
                <w:b w:val="0"/>
                <w:bCs w:val="0"/>
                <w:color w:val="auto"/>
                <w:szCs w:val="21"/>
                <w:highlight w:val="none"/>
                <w:lang w:val="en-US" w:eastAsia="zh-CN"/>
              </w:rPr>
              <w:t>根据项目进度、质量和实际需求情况随时补充相关人员。</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4.提供人员资格要求的资料。</w:t>
      </w:r>
    </w:p>
    <w:bookmarkEnd w:id="124"/>
    <w:bookmarkEnd w:id="125"/>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color w:val="auto"/>
          <w:highlight w:val="none"/>
        </w:rPr>
      </w:pPr>
      <w:r>
        <w:rPr>
          <w:color w:val="auto"/>
          <w:highlight w:val="none"/>
        </w:rPr>
        <w:br w:type="page"/>
      </w:r>
    </w:p>
    <w:p>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29" w:name="_Toc31719"/>
      <w:bookmarkStart w:id="130" w:name="_Toc31054"/>
      <w:r>
        <w:rPr>
          <w:rFonts w:hint="eastAsia" w:ascii="宋体" w:hAnsi="宋体" w:cs="宋体"/>
          <w:color w:val="auto"/>
          <w:highlight w:val="none"/>
        </w:rPr>
        <w:t>评标办法（综合评估法）</w:t>
      </w:r>
      <w:bookmarkEnd w:id="129"/>
      <w:bookmarkEnd w:id="130"/>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897"/>
        <w:gridCol w:w="1129"/>
        <w:gridCol w:w="1653"/>
        <w:gridCol w:w="4627"/>
        <w:gridCol w:w="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2970" w:type="dxa"/>
            <w:gridSpan w:val="3"/>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182" w:type="dxa"/>
            <w:gridSpan w:val="2"/>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26" w:type="dxa"/>
            <w:gridSpan w:val="2"/>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5182" w:type="dxa"/>
            <w:gridSpan w:val="2"/>
            <w:tcBorders>
              <w:top w:val="single" w:color="auto" w:sz="4" w:space="0"/>
              <w:left w:val="single" w:color="auto" w:sz="4" w:space="0"/>
              <w:bottom w:val="single" w:color="auto" w:sz="4" w:space="0"/>
            </w:tcBorders>
          </w:tcPr>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2.1.1</w:t>
            </w:r>
          </w:p>
        </w:tc>
        <w:tc>
          <w:tcPr>
            <w:tcW w:w="2026" w:type="dxa"/>
            <w:gridSpan w:val="2"/>
            <w:vMerge w:val="restart"/>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color w:val="auto"/>
                <w:highlight w:val="none"/>
                <w:lang w:val="en-US" w:eastAsia="zh-CN"/>
              </w:rPr>
              <w:t>六</w:t>
            </w:r>
            <w:r>
              <w:rPr>
                <w:rFonts w:hint="eastAsia" w:asciiTheme="minorEastAsia" w:hAnsiTheme="minorEastAsia" w:eastAsiaTheme="minorEastAsia" w:cstheme="minorEastAsia"/>
                <w:color w:val="auto"/>
                <w:szCs w:val="21"/>
                <w:highlight w:val="none"/>
              </w:rPr>
              <w:t>章“竞争性比选响应文件格式”的要求，字迹清晰可辨。</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w:t>
            </w:r>
          </w:p>
        </w:tc>
        <w:tc>
          <w:tcPr>
            <w:tcW w:w="5182" w:type="dxa"/>
            <w:gridSpan w:val="2"/>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资格要求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主要管理人员要求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其他人员要求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信誉要求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jc w:val="both"/>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lang w:val="en-US" w:eastAsia="zh-CN"/>
              </w:rPr>
              <w:t>服务地点</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rPr>
              <w:t>项目规模</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投标内容</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服务期限</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服务要求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r>
              <w:rPr>
                <w:color w:val="auto"/>
                <w:highlight w:val="none"/>
              </w:rPr>
              <w:t>报价</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偏差</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保证金</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2.2.1</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6835" w:type="dxa"/>
            <w:gridSpan w:val="3"/>
            <w:tcBorders>
              <w:top w:val="single" w:color="auto" w:sz="4" w:space="0"/>
              <w:left w:val="single" w:color="auto" w:sz="4" w:space="0"/>
              <w:bottom w:val="single" w:color="auto" w:sz="4" w:space="0"/>
            </w:tcBorders>
          </w:tcPr>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0分；</w:t>
            </w:r>
          </w:p>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0分；</w:t>
            </w:r>
          </w:p>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2.2.2</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6835" w:type="dxa"/>
            <w:gridSpan w:val="3"/>
            <w:tcBorders>
              <w:top w:val="single" w:color="auto" w:sz="4" w:space="0"/>
              <w:left w:val="single" w:color="auto" w:sz="4" w:space="0"/>
              <w:bottom w:val="single" w:color="auto" w:sz="4" w:space="0"/>
            </w:tcBorders>
          </w:tcPr>
          <w:p>
            <w:pPr>
              <w:keepNext w:val="0"/>
              <w:keepLines/>
              <w:pageBreakBefore w:val="0"/>
              <w:kinsoku/>
              <w:wordWrap/>
              <w:overflowPunct/>
              <w:topLinePunct w:val="0"/>
              <w:bidi w:val="0"/>
              <w:adjustRightInd w:val="0"/>
              <w:snapToGrid w:val="0"/>
              <w:spacing w:beforeAutospacing="0"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1.有效报价：系指初步评审均合格且其</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内容满足</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w:t>
            </w:r>
          </w:p>
          <w:p>
            <w:pPr>
              <w:pStyle w:val="120"/>
              <w:keepNext w:val="0"/>
              <w:pageBreakBefore w:val="0"/>
              <w:kinsoku/>
              <w:wordWrap/>
              <w:overflowPunct/>
              <w:topLinePunct w:val="0"/>
              <w:bidi w:val="0"/>
              <w:adjustRightInd w:val="0"/>
              <w:spacing w:beforeAutospacing="0" w:line="400" w:lineRule="exact"/>
              <w:textAlignment w:val="baseline"/>
              <w:rPr>
                <w:rFonts w:asciiTheme="minorEastAsia" w:hAnsiTheme="minorEastAsia" w:eastAsiaTheme="minorEastAsia" w:cstheme="minorEastAsia"/>
                <w:bCs/>
                <w:color w:val="auto"/>
                <w:szCs w:val="21"/>
                <w:highlight w:val="none"/>
              </w:rPr>
            </w:pPr>
            <w:r>
              <w:rPr>
                <w:rFonts w:hint="eastAsia" w:ascii="宋体" w:hAnsi="宋体" w:eastAsia="宋体" w:cs="宋体"/>
                <w:color w:val="auto"/>
                <w:szCs w:val="21"/>
                <w:highlight w:val="none"/>
              </w:rPr>
              <w:t>2.评标基准价：所有通过初步评审合格的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人的投标报价中去掉六分之一（不能整除的按小数点前整数取整，不足六家报价则不去掉）的最低价和相同家数的最高价后的算术平均值为评标基准价。</w:t>
            </w:r>
          </w:p>
          <w:p>
            <w:pPr>
              <w:keepNext w:val="0"/>
              <w:pageBreakBefore w:val="0"/>
              <w:kinsoku/>
              <w:wordWrap/>
              <w:overflowPunct/>
              <w:topLinePunct w:val="0"/>
              <w:bidi w:val="0"/>
              <w:spacing w:beforeAutospacing="0"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注：评标基准价以元为</w:t>
            </w:r>
            <w:r>
              <w:rPr>
                <w:rFonts w:hint="eastAsia" w:ascii="宋体" w:hAnsi="宋体" w:cs="宋体"/>
                <w:color w:val="auto"/>
                <w:szCs w:val="21"/>
                <w:highlight w:val="none"/>
              </w:rPr>
              <w:t>单位，保留2位小数，按四舍五入原则进行。确认后的评标基准价在本次整个招投标期间保持不变，不随后续评审的报价人数量发生变化。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2.2.3</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6835" w:type="dxa"/>
            <w:gridSpan w:val="3"/>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adjustRightInd w:val="0"/>
              <w:snapToGrid w:val="0"/>
              <w:spacing w:beforeAutospacing="0"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100％×（投标价一评标基准价）／评标基准价</w:t>
            </w:r>
          </w:p>
          <w:p>
            <w:pPr>
              <w:keepNext w:val="0"/>
              <w:pageBreakBefore w:val="0"/>
              <w:kinsoku/>
              <w:wordWrap/>
              <w:overflowPunct/>
              <w:topLinePunct w:val="0"/>
              <w:bidi w:val="0"/>
              <w:spacing w:beforeAutospacing="0" w:line="400" w:lineRule="exact"/>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6280" w:type="dxa"/>
            <w:gridSpan w:val="2"/>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hint="default" w:eastAsia="宋体" w:asciiTheme="minorEastAsia" w:hAnsiTheme="minorEastAsia" w:cstheme="minorEastAsia"/>
                <w:bCs/>
                <w:color w:val="auto"/>
                <w:szCs w:val="21"/>
                <w:highlight w:val="none"/>
                <w:lang w:val="en-US" w:eastAsia="zh-CN" w:bidi="ar"/>
              </w:rPr>
            </w:pPr>
            <w:r>
              <w:rPr>
                <w:rFonts w:hint="eastAsia" w:ascii="宋体" w:hAnsi="宋体" w:cs="宋体"/>
                <w:color w:val="auto"/>
                <w:szCs w:val="21"/>
                <w:highlight w:val="none"/>
                <w:lang w:val="en-US" w:eastAsia="zh-CN"/>
              </w:rPr>
              <w:t>（1）</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技术评分标准（20分）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技术部分评分分为客观评分和主观评分。</w:t>
            </w:r>
          </w:p>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客观评分：评标委员会按以下各评审因素设定的分值进行评分且保证分值统一；主观评分：评标委员会成员为5人及以上时，所有评委评分算术平均值为该投标人技术部分得分。</w:t>
            </w:r>
          </w:p>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00" w:lineRule="exact"/>
              <w:jc w:val="center"/>
              <w:rPr>
                <w:rFonts w:hint="eastAsia" w:ascii="宋体" w:hAnsi="宋体" w:eastAsia="宋体" w:cs="宋体"/>
                <w:i/>
                <w:iCs/>
                <w:color w:val="auto"/>
                <w:szCs w:val="21"/>
                <w:highlight w:val="none"/>
                <w:lang w:val="en-US" w:eastAsia="zh-CN"/>
              </w:rPr>
            </w:pPr>
            <w:r>
              <w:rPr>
                <w:rFonts w:hint="eastAsia" w:ascii="宋体" w:hAnsi="宋体" w:eastAsia="宋体" w:cs="宋体"/>
                <w:i/>
                <w:iCs/>
                <w:color w:val="auto"/>
                <w:szCs w:val="21"/>
                <w:highlight w:val="none"/>
                <w:lang w:val="en-US" w:eastAsia="zh-CN"/>
              </w:rPr>
              <w:t>项目实施方案（10分）</w:t>
            </w:r>
          </w:p>
        </w:tc>
        <w:tc>
          <w:tcPr>
            <w:tcW w:w="6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ind w:firstLine="420" w:firstLineChars="200"/>
              <w:textAlignment w:val="baseline"/>
              <w:rPr>
                <w:rFonts w:hint="eastAsia" w:ascii="宋体" w:hAnsi="宋体" w:cs="宋体"/>
                <w:bCs/>
                <w:szCs w:val="21"/>
                <w:highlight w:val="none"/>
                <w:lang w:bidi="ar"/>
              </w:rPr>
            </w:pPr>
            <w:r>
              <w:rPr>
                <w:rFonts w:hint="eastAsia" w:ascii="宋体" w:hAnsi="宋体" w:cs="宋体"/>
                <w:bCs/>
                <w:szCs w:val="21"/>
                <w:highlight w:val="none"/>
                <w:lang w:bidi="ar"/>
              </w:rPr>
              <w:t>结合本项目的采购范围、采购内容，对本项目提出合理的总体设计方案，横向比较，综合评审，工作方案包括对项目理解、项目计划、项目实施方案、项目质量保障措施、其他工作安排等内容：</w:t>
            </w:r>
          </w:p>
          <w:p>
            <w:pPr>
              <w:adjustRightInd w:val="0"/>
              <w:snapToGrid w:val="0"/>
              <w:spacing w:line="400" w:lineRule="exact"/>
              <w:ind w:firstLine="420" w:firstLineChars="200"/>
              <w:textAlignment w:val="baseline"/>
              <w:rPr>
                <w:rFonts w:hint="eastAsia" w:ascii="宋体" w:hAnsi="宋体" w:cs="宋体"/>
                <w:bCs/>
                <w:szCs w:val="21"/>
                <w:highlight w:val="none"/>
                <w:lang w:bidi="ar"/>
              </w:rPr>
            </w:pPr>
            <w:r>
              <w:rPr>
                <w:rFonts w:hint="eastAsia" w:ascii="宋体" w:hAnsi="宋体" w:cs="宋体"/>
                <w:bCs/>
                <w:szCs w:val="21"/>
                <w:highlight w:val="none"/>
                <w:lang w:bidi="ar"/>
              </w:rPr>
              <w:t>1.总体设计方案思路清晰、科学合理、切实可行，得</w:t>
            </w:r>
            <w:r>
              <w:rPr>
                <w:rFonts w:hint="eastAsia" w:ascii="宋体" w:hAnsi="宋体" w:cs="宋体"/>
                <w:bCs/>
                <w:szCs w:val="21"/>
                <w:highlight w:val="none"/>
                <w:lang w:val="en-US" w:eastAsia="zh-CN" w:bidi="ar"/>
              </w:rPr>
              <w:t>10</w:t>
            </w:r>
            <w:r>
              <w:rPr>
                <w:rFonts w:hint="eastAsia" w:ascii="宋体" w:hAnsi="宋体" w:cs="宋体"/>
                <w:bCs/>
                <w:szCs w:val="21"/>
                <w:highlight w:val="none"/>
                <w:lang w:bidi="ar"/>
              </w:rPr>
              <w:t>-</w:t>
            </w:r>
            <w:r>
              <w:rPr>
                <w:rFonts w:hint="eastAsia" w:ascii="宋体" w:hAnsi="宋体" w:cs="宋体"/>
                <w:bCs/>
                <w:szCs w:val="21"/>
                <w:highlight w:val="none"/>
                <w:lang w:val="en-US" w:eastAsia="zh-CN" w:bidi="ar"/>
              </w:rPr>
              <w:t>8</w:t>
            </w:r>
            <w:r>
              <w:rPr>
                <w:rFonts w:hint="eastAsia" w:ascii="宋体" w:hAnsi="宋体" w:cs="宋体"/>
                <w:bCs/>
                <w:szCs w:val="21"/>
                <w:highlight w:val="none"/>
                <w:lang w:bidi="ar"/>
              </w:rPr>
              <w:t xml:space="preserve">分； </w:t>
            </w:r>
          </w:p>
          <w:p>
            <w:pPr>
              <w:adjustRightInd w:val="0"/>
              <w:snapToGrid w:val="0"/>
              <w:spacing w:line="400" w:lineRule="exact"/>
              <w:ind w:firstLine="420" w:firstLineChars="200"/>
              <w:textAlignment w:val="baseline"/>
              <w:rPr>
                <w:rFonts w:hint="eastAsia" w:ascii="宋体" w:hAnsi="宋体" w:cs="宋体"/>
                <w:bCs/>
                <w:szCs w:val="21"/>
                <w:highlight w:val="none"/>
                <w:lang w:bidi="ar"/>
              </w:rPr>
            </w:pPr>
            <w:r>
              <w:rPr>
                <w:rFonts w:hint="eastAsia" w:ascii="宋体" w:hAnsi="宋体" w:cs="宋体"/>
                <w:bCs/>
                <w:szCs w:val="21"/>
                <w:highlight w:val="none"/>
                <w:lang w:bidi="ar"/>
              </w:rPr>
              <w:t>2.总体设计方案较完善，可实施性较强，得</w:t>
            </w:r>
            <w:r>
              <w:rPr>
                <w:rFonts w:hint="eastAsia" w:ascii="宋体" w:hAnsi="宋体" w:cs="宋体"/>
                <w:bCs/>
                <w:szCs w:val="21"/>
                <w:highlight w:val="none"/>
                <w:lang w:val="en-US" w:eastAsia="zh-CN" w:bidi="ar"/>
              </w:rPr>
              <w:t>8-6</w:t>
            </w:r>
            <w:r>
              <w:rPr>
                <w:rFonts w:hint="eastAsia" w:ascii="宋体" w:hAnsi="宋体" w:cs="宋体"/>
                <w:bCs/>
                <w:szCs w:val="21"/>
                <w:highlight w:val="none"/>
                <w:lang w:bidi="ar"/>
              </w:rPr>
              <w:t>分；</w:t>
            </w:r>
          </w:p>
          <w:p>
            <w:pPr>
              <w:adjustRightInd w:val="0"/>
              <w:snapToGrid w:val="0"/>
              <w:spacing w:line="400" w:lineRule="exact"/>
              <w:ind w:firstLine="420" w:firstLineChars="200"/>
              <w:textAlignment w:val="baseline"/>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cs="宋体"/>
                <w:bCs/>
                <w:szCs w:val="21"/>
                <w:highlight w:val="none"/>
                <w:lang w:bidi="ar"/>
              </w:rPr>
              <w:t>3.总体设计方案内容简单空泛，可实施性一般，得</w:t>
            </w:r>
            <w:r>
              <w:rPr>
                <w:rFonts w:hint="eastAsia" w:ascii="宋体" w:hAnsi="宋体" w:cs="宋体"/>
                <w:bCs/>
                <w:szCs w:val="21"/>
                <w:highlight w:val="none"/>
                <w:lang w:val="en-US" w:eastAsia="zh-CN" w:bidi="ar"/>
              </w:rPr>
              <w:t>6</w:t>
            </w:r>
            <w:r>
              <w:rPr>
                <w:rFonts w:hint="eastAsia" w:ascii="宋体" w:hAnsi="宋体" w:cs="宋体"/>
                <w:bCs/>
                <w:szCs w:val="21"/>
                <w:highlight w:val="none"/>
                <w:lang w:bidi="ar"/>
              </w:rPr>
              <w:t>-</w:t>
            </w:r>
            <w:r>
              <w:rPr>
                <w:rFonts w:hint="eastAsia" w:ascii="宋体" w:hAnsi="宋体" w:cs="宋体"/>
                <w:bCs/>
                <w:szCs w:val="21"/>
                <w:highlight w:val="none"/>
                <w:lang w:val="en-US" w:eastAsia="zh-CN" w:bidi="ar"/>
              </w:rPr>
              <w:t>0</w:t>
            </w:r>
            <w:r>
              <w:rPr>
                <w:rFonts w:hint="eastAsia" w:ascii="宋体" w:hAnsi="宋体" w:cs="宋体"/>
                <w:bCs/>
                <w:szCs w:val="21"/>
                <w:highlight w:val="none"/>
                <w:lang w:bidi="ar"/>
              </w:rPr>
              <w:t>分。</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i/>
                <w:iCs/>
                <w:color w:val="auto"/>
                <w:szCs w:val="21"/>
                <w:highlight w:val="none"/>
                <w:lang w:val="en-US" w:eastAsia="zh-CN"/>
              </w:rPr>
            </w:pPr>
            <w:r>
              <w:rPr>
                <w:rFonts w:hint="eastAsia" w:ascii="宋体" w:hAnsi="宋体" w:eastAsia="宋体" w:cs="宋体"/>
                <w:i/>
                <w:iCs/>
                <w:color w:val="auto"/>
                <w:szCs w:val="21"/>
                <w:highlight w:val="none"/>
                <w:lang w:val="en-US" w:eastAsia="zh-CN"/>
              </w:rPr>
              <w:t>重点难点分析及合理化建议 （10分）</w:t>
            </w:r>
          </w:p>
        </w:tc>
        <w:tc>
          <w:tcPr>
            <w:tcW w:w="62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20" w:firstLineChars="200"/>
              <w:jc w:val="left"/>
              <w:textAlignment w:val="center"/>
              <w:rPr>
                <w:rFonts w:hint="eastAsia" w:ascii="宋体" w:hAnsi="宋体" w:cs="宋体"/>
                <w:bCs/>
                <w:szCs w:val="21"/>
                <w:highlight w:val="none"/>
                <w:lang w:val="en-US" w:eastAsia="zh-CN" w:bidi="ar"/>
              </w:rPr>
            </w:pPr>
            <w:r>
              <w:rPr>
                <w:rFonts w:hint="eastAsia" w:ascii="宋体" w:hAnsi="宋体" w:cs="宋体"/>
                <w:bCs/>
                <w:szCs w:val="21"/>
                <w:highlight w:val="none"/>
                <w:lang w:val="en-US" w:eastAsia="zh-CN" w:bidi="ar"/>
              </w:rPr>
              <w:t>对本项目的重点难点进行分析并提出合理化建议，评审委员会根据重点难点分析及合理化建议的科学性、合理性，针对性和可操作性以及对本项目是否具有建设性意义，横向比较，综合评审：</w:t>
            </w:r>
          </w:p>
          <w:p>
            <w:pPr>
              <w:keepNext w:val="0"/>
              <w:keepLines w:val="0"/>
              <w:widowControl/>
              <w:numPr>
                <w:ilvl w:val="0"/>
                <w:numId w:val="3"/>
              </w:numPr>
              <w:suppressLineNumbers w:val="0"/>
              <w:ind w:firstLine="420" w:firstLineChars="200"/>
              <w:jc w:val="left"/>
              <w:textAlignment w:val="center"/>
              <w:rPr>
                <w:rFonts w:hint="eastAsia" w:ascii="宋体" w:hAnsi="宋体" w:cs="宋体"/>
                <w:bCs/>
                <w:szCs w:val="21"/>
                <w:highlight w:val="none"/>
                <w:lang w:val="en-US" w:eastAsia="zh-CN" w:bidi="ar"/>
              </w:rPr>
            </w:pPr>
            <w:r>
              <w:rPr>
                <w:rFonts w:hint="eastAsia" w:ascii="宋体" w:hAnsi="宋体" w:cs="宋体"/>
                <w:bCs/>
                <w:szCs w:val="21"/>
                <w:highlight w:val="none"/>
                <w:lang w:val="en-US" w:eastAsia="zh-CN" w:bidi="ar"/>
              </w:rPr>
              <w:t>合理化建议的科学性、合理性，针对性和可操作性强，对本项目有重要的建设性意义，得10-8分；</w:t>
            </w:r>
          </w:p>
          <w:p>
            <w:pPr>
              <w:keepNext w:val="0"/>
              <w:keepLines w:val="0"/>
              <w:widowControl/>
              <w:numPr>
                <w:ilvl w:val="0"/>
                <w:numId w:val="3"/>
              </w:numPr>
              <w:suppressLineNumbers w:val="0"/>
              <w:ind w:firstLine="420" w:firstLineChars="200"/>
              <w:jc w:val="left"/>
              <w:textAlignment w:val="center"/>
              <w:rPr>
                <w:rFonts w:hint="eastAsia" w:ascii="宋体" w:hAnsi="宋体" w:cs="宋体"/>
                <w:bCs/>
                <w:szCs w:val="21"/>
                <w:highlight w:val="none"/>
                <w:lang w:val="en-US" w:eastAsia="zh-CN" w:bidi="ar"/>
              </w:rPr>
            </w:pPr>
            <w:r>
              <w:rPr>
                <w:rFonts w:hint="eastAsia" w:ascii="宋体" w:hAnsi="宋体" w:cs="宋体"/>
                <w:bCs/>
                <w:szCs w:val="21"/>
                <w:highlight w:val="none"/>
                <w:lang w:val="en-US" w:eastAsia="zh-CN" w:bidi="ar"/>
              </w:rPr>
              <w:t>合理化建议的科学性、合理性，针对性和可操作性较强，对本项目有一定的建设性意义，得8-6分；</w:t>
            </w:r>
          </w:p>
          <w:p>
            <w:pPr>
              <w:keepNext w:val="0"/>
              <w:keepLines w:val="0"/>
              <w:widowControl/>
              <w:numPr>
                <w:ilvl w:val="0"/>
                <w:numId w:val="3"/>
              </w:numPr>
              <w:suppressLineNumbers w:val="0"/>
              <w:ind w:firstLine="420" w:firstLineChars="200"/>
              <w:jc w:val="left"/>
              <w:textAlignment w:val="center"/>
              <w:rPr>
                <w:rFonts w:asciiTheme="minorEastAsia" w:hAnsiTheme="minorEastAsia" w:eastAsiaTheme="minorEastAsia" w:cstheme="minorEastAsia"/>
                <w:bCs/>
                <w:color w:val="auto"/>
                <w:szCs w:val="21"/>
                <w:highlight w:val="none"/>
              </w:rPr>
            </w:pPr>
            <w:r>
              <w:rPr>
                <w:rFonts w:hint="eastAsia" w:ascii="宋体" w:hAnsi="宋体" w:cs="宋体"/>
                <w:bCs/>
                <w:szCs w:val="21"/>
                <w:highlight w:val="none"/>
                <w:lang w:val="en-US" w:eastAsia="zh-CN" w:bidi="ar"/>
              </w:rPr>
              <w:t>合理化建议的科学性、合理性，针对性和可操作性一般，对本项目的建设性意义一般，得6-0分。</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（2）</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商务评分标准（</w:t>
            </w:r>
            <w:r>
              <w:rPr>
                <w:rFonts w:hint="eastAsia" w:asciiTheme="minorEastAsia" w:hAnsiTheme="minorEastAsia" w:eastAsiaTheme="minorEastAsia" w:cstheme="minorEastAsia"/>
                <w:bCs/>
                <w:color w:val="auto"/>
                <w:szCs w:val="21"/>
                <w:highlight w:val="none"/>
                <w:lang w:val="en-US" w:eastAsia="zh-CN" w:bidi="ar"/>
              </w:rPr>
              <w:t>2</w:t>
            </w:r>
            <w:r>
              <w:rPr>
                <w:rFonts w:hint="eastAsia" w:asciiTheme="minorEastAsia" w:hAnsiTheme="minorEastAsia" w:eastAsiaTheme="minorEastAsia" w:cstheme="minorEastAsia"/>
                <w:bCs/>
                <w:color w:val="auto"/>
                <w:szCs w:val="21"/>
                <w:highlight w:val="none"/>
                <w:lang w:bidi="ar"/>
              </w:rPr>
              <w:t>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商务部分得分的最终结果保留两位小数，小数点后第三位四舍五入。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00" w:lineRule="exact"/>
              <w:jc w:val="center"/>
              <w:rPr>
                <w:rFonts w:hint="eastAsia" w:asciiTheme="minorEastAsia" w:hAnsiTheme="minorEastAsia" w:eastAsiaTheme="minorEastAsia" w:cstheme="minorEastAsia"/>
                <w:b w:val="0"/>
                <w:i/>
                <w:iCs/>
                <w:caps w:val="0"/>
                <w:color w:val="auto"/>
                <w:kern w:val="2"/>
                <w:sz w:val="21"/>
                <w:szCs w:val="21"/>
                <w:highlight w:val="none"/>
                <w:lang w:val="en-US" w:eastAsia="zh-CN" w:bidi="ar-SA"/>
              </w:rPr>
            </w:pPr>
            <w:r>
              <w:rPr>
                <w:rFonts w:hint="eastAsia" w:ascii="宋体" w:hAnsi="宋体" w:eastAsia="宋体" w:cs="宋体"/>
                <w:i/>
                <w:iCs/>
                <w:color w:val="auto"/>
                <w:szCs w:val="21"/>
                <w:highlight w:val="none"/>
                <w:lang w:val="en-US" w:eastAsia="zh-CN"/>
              </w:rPr>
              <w:t>项目团队（8分）</w:t>
            </w:r>
          </w:p>
        </w:tc>
        <w:tc>
          <w:tcPr>
            <w:tcW w:w="6280" w:type="dxa"/>
            <w:gridSpan w:val="2"/>
            <w:tcBorders>
              <w:top w:val="single" w:color="auto" w:sz="4" w:space="0"/>
              <w:left w:val="single" w:color="auto" w:sz="4" w:space="0"/>
              <w:bottom w:val="single" w:color="auto" w:sz="4" w:space="0"/>
            </w:tcBorders>
            <w:shd w:val="clear" w:color="auto" w:fill="auto"/>
            <w:vAlign w:val="center"/>
          </w:tcPr>
          <w:p>
            <w:pPr>
              <w:widowControl/>
              <w:snapToGrid w:val="0"/>
              <w:spacing w:line="400" w:lineRule="exact"/>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lang w:bidi="ar"/>
              </w:rPr>
              <w:t>1、项目负责人满足资格条件的要求，且具备注册会计师职业执业资格得4分</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具备高级会计师资格得</w:t>
            </w: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bidi="ar"/>
              </w:rPr>
              <w:t>分，</w:t>
            </w:r>
            <w:r>
              <w:rPr>
                <w:rFonts w:hint="eastAsia" w:ascii="宋体" w:hAnsi="宋体" w:cs="宋体"/>
                <w:kern w:val="0"/>
                <w:szCs w:val="24"/>
                <w:highlight w:val="none"/>
              </w:rPr>
              <w:t>本项</w:t>
            </w:r>
            <w:r>
              <w:rPr>
                <w:rFonts w:hint="eastAsia" w:ascii="宋体" w:hAnsi="宋体" w:cs="宋体"/>
                <w:kern w:val="0"/>
                <w:szCs w:val="21"/>
                <w:highlight w:val="none"/>
                <w:lang w:val="en-US" w:eastAsia="zh-CN" w:bidi="ar"/>
              </w:rPr>
              <w:t>满分为4分</w:t>
            </w:r>
            <w:r>
              <w:rPr>
                <w:rFonts w:hint="eastAsia" w:ascii="宋体" w:hAnsi="宋体" w:cs="宋体"/>
                <w:kern w:val="0"/>
                <w:szCs w:val="21"/>
                <w:highlight w:val="none"/>
                <w:lang w:bidi="ar"/>
              </w:rPr>
              <w:t>；</w:t>
            </w:r>
          </w:p>
          <w:p>
            <w:pPr>
              <w:widowControl/>
              <w:snapToGrid w:val="0"/>
              <w:spacing w:line="400" w:lineRule="exact"/>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lang w:bidi="ar"/>
              </w:rPr>
              <w:t>2、项目团队其他人员具有注册会计师执业资格</w:t>
            </w:r>
            <w:r>
              <w:rPr>
                <w:rFonts w:hint="eastAsia" w:ascii="宋体" w:hAnsi="宋体" w:cs="宋体"/>
                <w:kern w:val="0"/>
                <w:szCs w:val="21"/>
                <w:highlight w:val="none"/>
                <w:lang w:val="en-US" w:eastAsia="zh-CN" w:bidi="ar"/>
              </w:rPr>
              <w:t>的得3分；</w:t>
            </w:r>
            <w:r>
              <w:rPr>
                <w:rFonts w:hint="eastAsia" w:ascii="宋体" w:hAnsi="宋体" w:cs="宋体"/>
                <w:kern w:val="0"/>
                <w:szCs w:val="21"/>
                <w:highlight w:val="none"/>
                <w:lang w:bidi="ar"/>
              </w:rPr>
              <w:t>具备高级会计师职称</w:t>
            </w:r>
            <w:r>
              <w:rPr>
                <w:rFonts w:hint="eastAsia" w:ascii="宋体" w:hAnsi="宋体" w:cs="宋体"/>
                <w:kern w:val="0"/>
                <w:szCs w:val="21"/>
                <w:highlight w:val="none"/>
                <w:lang w:val="en-US" w:eastAsia="zh-CN" w:bidi="ar"/>
              </w:rPr>
              <w:t>的得</w:t>
            </w:r>
            <w:r>
              <w:rPr>
                <w:rFonts w:hint="eastAsia" w:ascii="宋体" w:hAnsi="宋体" w:cs="宋体"/>
                <w:kern w:val="0"/>
                <w:szCs w:val="21"/>
                <w:highlight w:val="none"/>
                <w:lang w:bidi="ar"/>
              </w:rPr>
              <w:t>2</w:t>
            </w:r>
            <w:r>
              <w:rPr>
                <w:rFonts w:hint="eastAsia" w:ascii="宋体" w:hAnsi="宋体" w:cs="宋体"/>
                <w:kern w:val="0"/>
                <w:szCs w:val="21"/>
                <w:highlight w:val="none"/>
                <w:lang w:val="en-US" w:eastAsia="zh-CN" w:bidi="ar"/>
              </w:rPr>
              <w:t>分；</w:t>
            </w:r>
            <w:r>
              <w:rPr>
                <w:rFonts w:hint="eastAsia" w:ascii="宋体" w:hAnsi="宋体" w:cs="宋体"/>
                <w:kern w:val="0"/>
                <w:szCs w:val="21"/>
                <w:highlight w:val="none"/>
                <w:lang w:bidi="ar"/>
              </w:rPr>
              <w:t>具有中级会计师</w:t>
            </w:r>
            <w:r>
              <w:rPr>
                <w:rFonts w:hint="eastAsia" w:ascii="宋体" w:hAnsi="宋体" w:cs="宋体"/>
                <w:kern w:val="0"/>
                <w:szCs w:val="21"/>
                <w:highlight w:val="none"/>
                <w:lang w:val="en-US" w:eastAsia="zh-CN" w:bidi="ar"/>
              </w:rPr>
              <w:t>职称的得</w:t>
            </w:r>
            <w:r>
              <w:rPr>
                <w:rFonts w:hint="eastAsia" w:ascii="宋体" w:hAnsi="宋体" w:cs="宋体"/>
                <w:kern w:val="0"/>
                <w:szCs w:val="21"/>
                <w:highlight w:val="none"/>
                <w:lang w:bidi="ar"/>
              </w:rPr>
              <w:t>1分（此项最多加2分），</w:t>
            </w:r>
            <w:r>
              <w:rPr>
                <w:rFonts w:hint="eastAsia" w:ascii="宋体" w:hAnsi="宋体" w:cs="宋体"/>
                <w:kern w:val="0"/>
                <w:szCs w:val="24"/>
                <w:highlight w:val="none"/>
              </w:rPr>
              <w:t>本项</w:t>
            </w:r>
            <w:r>
              <w:rPr>
                <w:rFonts w:hint="eastAsia" w:ascii="宋体" w:hAnsi="宋体" w:cs="宋体"/>
                <w:kern w:val="0"/>
                <w:szCs w:val="21"/>
                <w:highlight w:val="none"/>
                <w:lang w:val="en-US" w:eastAsia="zh-CN" w:bidi="ar"/>
              </w:rPr>
              <w:t>满分为4分</w:t>
            </w:r>
            <w:r>
              <w:rPr>
                <w:rFonts w:hint="eastAsia" w:ascii="宋体" w:hAnsi="宋体" w:cs="宋体"/>
                <w:kern w:val="0"/>
                <w:szCs w:val="21"/>
                <w:highlight w:val="none"/>
                <w:lang w:bidi="ar"/>
              </w:rPr>
              <w:t>。</w:t>
            </w:r>
          </w:p>
          <w:p>
            <w:pPr>
              <w:widowControl/>
              <w:snapToGrid w:val="0"/>
              <w:spacing w:line="400" w:lineRule="exact"/>
              <w:ind w:firstLine="422" w:firstLineChars="200"/>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
                <w:bCs/>
                <w:kern w:val="0"/>
                <w:szCs w:val="21"/>
                <w:highlight w:val="none"/>
                <w:shd w:val="clear" w:color="auto" w:fill="FFFFFF"/>
                <w:lang w:bidi="ar"/>
              </w:rPr>
              <w:t>提供：提供人员名单，身份证复印件，职称、注册会计师执业资格等证书；并加盖报价单位法人章</w:t>
            </w:r>
            <w:r>
              <w:rPr>
                <w:rFonts w:hint="eastAsia" w:asciiTheme="minorEastAsia" w:hAnsiTheme="minorEastAsia" w:eastAsiaTheme="minorEastAsia" w:cstheme="minorEastAsia"/>
                <w:b/>
                <w:bCs/>
                <w:kern w:val="0"/>
                <w:szCs w:val="21"/>
                <w:highlight w:val="none"/>
                <w:shd w:val="clear" w:color="auto" w:fill="FFFFFF"/>
                <w:lang w:eastAsia="zh-CN" w:bidi="ar"/>
              </w:rPr>
              <w:t>，</w:t>
            </w:r>
            <w:r>
              <w:rPr>
                <w:rFonts w:hint="eastAsia" w:asciiTheme="minorEastAsia" w:hAnsiTheme="minorEastAsia" w:eastAsiaTheme="minorEastAsia" w:cstheme="minorEastAsia"/>
                <w:b/>
                <w:bCs/>
                <w:kern w:val="0"/>
                <w:szCs w:val="21"/>
                <w:highlight w:val="none"/>
                <w:shd w:val="clear" w:color="auto" w:fill="FFFFFF"/>
                <w:lang w:val="en-US" w:eastAsia="zh-CN" w:bidi="ar"/>
              </w:rPr>
              <w:t>每个人只计算一次得分</w:t>
            </w:r>
            <w:r>
              <w:rPr>
                <w:rFonts w:hint="eastAsia" w:asciiTheme="minorEastAsia" w:hAnsiTheme="minorEastAsia" w:eastAsiaTheme="minorEastAsia" w:cstheme="minorEastAsia"/>
                <w:b/>
                <w:bCs/>
                <w:kern w:val="0"/>
                <w:szCs w:val="21"/>
                <w:highlight w:val="none"/>
                <w:shd w:val="clear" w:color="auto" w:fill="FFFFFF"/>
                <w:lang w:bidi="ar"/>
              </w:rPr>
              <w:t>。</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pacing w:line="320" w:lineRule="exact"/>
              <w:jc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宋体" w:hAnsi="宋体" w:eastAsia="宋体" w:cs="宋体"/>
                <w:i/>
                <w:iCs/>
                <w:color w:val="auto"/>
                <w:szCs w:val="21"/>
                <w:highlight w:val="none"/>
                <w:lang w:val="en-US" w:eastAsia="zh-CN"/>
              </w:rPr>
              <w:t>财务要求</w:t>
            </w:r>
            <w:r>
              <w:rPr>
                <w:rFonts w:hint="eastAsia" w:ascii="宋体" w:hAnsi="宋体" w:eastAsia="宋体" w:cs="宋体"/>
                <w:i/>
                <w:iCs/>
                <w:color w:val="auto"/>
                <w:szCs w:val="21"/>
                <w:highlight w:val="none"/>
              </w:rPr>
              <w:t>（</w:t>
            </w:r>
            <w:r>
              <w:rPr>
                <w:rFonts w:hint="eastAsia" w:ascii="宋体" w:hAnsi="宋体" w:cs="宋体"/>
                <w:i/>
                <w:iCs/>
                <w:color w:val="auto"/>
                <w:szCs w:val="21"/>
                <w:highlight w:val="none"/>
                <w:lang w:val="en-US" w:eastAsia="zh-CN"/>
              </w:rPr>
              <w:t>2</w:t>
            </w:r>
            <w:r>
              <w:rPr>
                <w:rFonts w:hint="eastAsia" w:ascii="宋体" w:hAnsi="宋体" w:eastAsia="宋体" w:cs="宋体"/>
                <w:i/>
                <w:iCs/>
                <w:color w:val="auto"/>
                <w:szCs w:val="21"/>
                <w:highlight w:val="none"/>
              </w:rPr>
              <w:t>分）</w:t>
            </w:r>
          </w:p>
        </w:tc>
        <w:tc>
          <w:tcPr>
            <w:tcW w:w="6280" w:type="dxa"/>
            <w:gridSpan w:val="2"/>
            <w:tcBorders>
              <w:top w:val="single" w:color="auto" w:sz="4" w:space="0"/>
              <w:left w:val="single" w:color="auto" w:sz="4" w:space="0"/>
              <w:bottom w:val="single" w:color="auto" w:sz="4" w:space="0"/>
            </w:tcBorders>
            <w:shd w:val="clear" w:color="auto" w:fill="auto"/>
            <w:vAlign w:val="center"/>
          </w:tcPr>
          <w:p>
            <w:pPr>
              <w:pageBreakBefore w:val="0"/>
              <w:kinsoku/>
              <w:wordWrap/>
              <w:overflowPunct/>
              <w:topLinePunct w:val="0"/>
              <w:bidi w:val="0"/>
              <w:spacing w:line="32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lang w:val="en-US" w:eastAsia="zh-CN"/>
              </w:rPr>
              <w:t>人202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年、202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年以及202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年经营状况良好，3年连续不亏损得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default" w:ascii="宋体" w:hAnsi="宋体" w:eastAsia="宋体" w:cs="宋体"/>
                <w:color w:val="auto"/>
                <w:szCs w:val="21"/>
                <w:highlight w:val="none"/>
                <w:lang w:eastAsia="zh-CN"/>
              </w:rPr>
              <w:t>，本项</w:t>
            </w:r>
            <w:r>
              <w:rPr>
                <w:rFonts w:hint="default" w:ascii="宋体" w:hAnsi="宋体" w:eastAsia="宋体" w:cs="宋体"/>
                <w:color w:val="auto"/>
                <w:szCs w:val="21"/>
                <w:highlight w:val="none"/>
                <w:lang w:val="en-US" w:eastAsia="zh-CN"/>
              </w:rPr>
              <w:t>满分为</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pPr>
              <w:keepNext w:val="0"/>
              <w:pageBreakBefore w:val="0"/>
              <w:kinsoku/>
              <w:wordWrap/>
              <w:overflowPunct/>
              <w:topLinePunct w:val="0"/>
              <w:bidi w:val="0"/>
              <w:spacing w:beforeAutospacing="0" w:line="320" w:lineRule="exact"/>
              <w:ind w:firstLine="422" w:firstLineChars="200"/>
              <w:jc w:val="left"/>
              <w:rPr>
                <w:rFonts w:hint="eastAsia" w:asciiTheme="minorEastAsia" w:hAnsiTheme="minorEastAsia" w:eastAsiaTheme="minorEastAsia" w:cstheme="minorEastAsia"/>
                <w:b/>
                <w:bCs/>
                <w:color w:val="auto"/>
                <w:kern w:val="0"/>
                <w:szCs w:val="21"/>
                <w:highlight w:val="none"/>
                <w:shd w:val="clear" w:color="auto" w:fill="FFFFFF"/>
                <w:lang w:bidi="ar"/>
              </w:rPr>
            </w:pPr>
            <w:r>
              <w:rPr>
                <w:rFonts w:hint="eastAsia" w:ascii="宋体" w:hAnsi="宋体" w:eastAsia="宋体" w:cs="宋体"/>
                <w:b/>
                <w:bCs/>
                <w:color w:val="auto"/>
                <w:szCs w:val="21"/>
                <w:highlight w:val="none"/>
                <w:lang w:val="en-US" w:eastAsia="zh-CN"/>
              </w:rPr>
              <w:t>注：提供202</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val="en-US" w:eastAsia="zh-CN"/>
              </w:rPr>
              <w:t>年-202</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lang w:val="en-US" w:eastAsia="zh-CN"/>
              </w:rPr>
              <w:t>年第三方审计机构出具的审计报告复印件，并加盖单位</w:t>
            </w:r>
            <w:r>
              <w:rPr>
                <w:rFonts w:hint="eastAsia" w:ascii="宋体" w:hAnsi="宋体" w:cs="宋体"/>
                <w:b/>
                <w:bCs/>
                <w:color w:val="auto"/>
                <w:szCs w:val="21"/>
                <w:highlight w:val="none"/>
                <w:lang w:val="en-US" w:eastAsia="zh-CN"/>
              </w:rPr>
              <w:t>公</w:t>
            </w:r>
            <w:r>
              <w:rPr>
                <w:rFonts w:hint="eastAsia" w:ascii="宋体" w:hAnsi="宋体" w:eastAsia="宋体" w:cs="宋体"/>
                <w:b/>
                <w:bCs/>
                <w:color w:val="auto"/>
                <w:szCs w:val="21"/>
                <w:highlight w:val="none"/>
                <w:lang w:val="en-US" w:eastAsia="zh-CN"/>
              </w:rPr>
              <w:t>章。</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20" w:lineRule="exact"/>
              <w:jc w:val="center"/>
              <w:rPr>
                <w:rFonts w:hint="eastAsia" w:ascii="宋体" w:hAnsi="宋体" w:eastAsia="宋体" w:cs="宋体"/>
                <w:i/>
                <w:iCs/>
                <w:color w:val="auto"/>
                <w:szCs w:val="21"/>
                <w:highlight w:val="none"/>
                <w:lang w:val="en-US" w:eastAsia="zh-CN"/>
              </w:rPr>
            </w:pPr>
            <w:r>
              <w:rPr>
                <w:rFonts w:hint="eastAsia" w:ascii="宋体" w:hAnsi="宋体" w:eastAsia="宋体" w:cs="宋体"/>
                <w:i/>
                <w:iCs/>
                <w:color w:val="auto"/>
                <w:szCs w:val="21"/>
                <w:highlight w:val="none"/>
                <w:lang w:val="en-US" w:eastAsia="zh-CN"/>
              </w:rPr>
              <w:t>报价人</w:t>
            </w:r>
          </w:p>
          <w:p>
            <w:pPr>
              <w:pageBreakBefore w:val="0"/>
              <w:kinsoku/>
              <w:wordWrap/>
              <w:overflowPunct/>
              <w:topLinePunct w:val="0"/>
              <w:bidi w:val="0"/>
              <w:spacing w:line="320" w:lineRule="exact"/>
              <w:jc w:val="center"/>
              <w:rPr>
                <w:rFonts w:hint="eastAsia" w:ascii="宋体" w:hAnsi="宋体" w:eastAsia="宋体" w:cs="宋体"/>
                <w:i/>
                <w:iCs/>
                <w:color w:val="auto"/>
                <w:szCs w:val="21"/>
                <w:highlight w:val="none"/>
                <w:lang w:val="en-US" w:eastAsia="zh-CN"/>
              </w:rPr>
            </w:pPr>
            <w:r>
              <w:rPr>
                <w:rFonts w:hint="eastAsia" w:ascii="宋体" w:hAnsi="宋体" w:eastAsia="宋体" w:cs="宋体"/>
                <w:i/>
                <w:iCs/>
                <w:color w:val="auto"/>
                <w:szCs w:val="21"/>
                <w:highlight w:val="none"/>
                <w:lang w:val="en-US" w:eastAsia="zh-CN"/>
              </w:rPr>
              <w:t>业绩</w:t>
            </w:r>
          </w:p>
          <w:p>
            <w:pPr>
              <w:pageBreakBefore w:val="0"/>
              <w:kinsoku/>
              <w:wordWrap/>
              <w:overflowPunct/>
              <w:topLinePunct w:val="0"/>
              <w:bidi w:val="0"/>
              <w:spacing w:line="320" w:lineRule="exact"/>
              <w:jc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宋体" w:hAnsi="宋体" w:eastAsia="宋体" w:cs="宋体"/>
                <w:i/>
                <w:iCs/>
                <w:color w:val="auto"/>
                <w:szCs w:val="21"/>
                <w:highlight w:val="none"/>
                <w:lang w:val="en-US" w:eastAsia="zh-CN"/>
              </w:rPr>
              <w:t>（10分）</w:t>
            </w:r>
          </w:p>
        </w:tc>
        <w:tc>
          <w:tcPr>
            <w:tcW w:w="6280" w:type="dxa"/>
            <w:gridSpan w:val="2"/>
            <w:tcBorders>
              <w:top w:val="single" w:color="auto" w:sz="4" w:space="0"/>
              <w:left w:val="single" w:color="auto" w:sz="4" w:space="0"/>
              <w:bottom w:val="single" w:color="auto" w:sz="4" w:space="0"/>
            </w:tcBorders>
            <w:vAlign w:val="center"/>
          </w:tcPr>
          <w:p>
            <w:pPr>
              <w:widowControl/>
              <w:snapToGrid w:val="0"/>
              <w:spacing w:line="400" w:lineRule="exact"/>
              <w:ind w:firstLine="420" w:firstLineChars="200"/>
              <w:jc w:val="left"/>
              <w:rPr>
                <w:rFonts w:hint="eastAsia" w:ascii="宋体" w:hAnsi="宋体" w:cs="宋体"/>
                <w:kern w:val="0"/>
                <w:szCs w:val="21"/>
                <w:highlight w:val="none"/>
                <w:lang w:bidi="ar"/>
              </w:rPr>
            </w:pPr>
            <w:r>
              <w:rPr>
                <w:rFonts w:ascii="宋体" w:hAnsi="宋体" w:cs="宋体"/>
                <w:kern w:val="0"/>
                <w:szCs w:val="21"/>
                <w:highlight w:val="none"/>
                <w:lang w:bidi="ar"/>
              </w:rPr>
              <w:t>1.满足资格</w:t>
            </w:r>
            <w:r>
              <w:rPr>
                <w:rFonts w:hint="eastAsia" w:ascii="宋体" w:hAnsi="宋体" w:cs="宋体"/>
                <w:kern w:val="0"/>
                <w:szCs w:val="21"/>
                <w:highlight w:val="none"/>
                <w:lang w:val="en-US" w:eastAsia="zh-CN" w:bidi="ar"/>
              </w:rPr>
              <w:t>业绩</w:t>
            </w:r>
            <w:r>
              <w:rPr>
                <w:rFonts w:ascii="宋体" w:hAnsi="宋体" w:cs="宋体"/>
                <w:kern w:val="0"/>
                <w:szCs w:val="21"/>
                <w:highlight w:val="none"/>
                <w:lang w:bidi="ar"/>
              </w:rPr>
              <w:t>要求</w:t>
            </w:r>
            <w:r>
              <w:rPr>
                <w:rFonts w:hint="eastAsia" w:ascii="宋体" w:hAnsi="宋体" w:cs="宋体"/>
                <w:kern w:val="0"/>
                <w:szCs w:val="21"/>
                <w:highlight w:val="none"/>
                <w:lang w:val="en-US" w:eastAsia="zh-CN" w:bidi="ar"/>
              </w:rPr>
              <w:t>的</w:t>
            </w:r>
            <w:r>
              <w:rPr>
                <w:rFonts w:ascii="宋体" w:hAnsi="宋体" w:cs="宋体"/>
                <w:kern w:val="0"/>
                <w:szCs w:val="21"/>
                <w:highlight w:val="none"/>
                <w:lang w:bidi="ar"/>
              </w:rPr>
              <w:t>得</w:t>
            </w:r>
            <w:r>
              <w:rPr>
                <w:rFonts w:hint="eastAsia" w:ascii="宋体" w:hAnsi="宋体" w:cs="宋体"/>
                <w:kern w:val="0"/>
                <w:szCs w:val="21"/>
                <w:highlight w:val="none"/>
                <w:lang w:val="en-US" w:eastAsia="zh-CN" w:bidi="ar"/>
              </w:rPr>
              <w:t>4</w:t>
            </w:r>
            <w:r>
              <w:rPr>
                <w:rFonts w:ascii="宋体" w:hAnsi="宋体" w:cs="宋体"/>
                <w:kern w:val="0"/>
                <w:szCs w:val="21"/>
                <w:highlight w:val="none"/>
                <w:lang w:bidi="ar"/>
              </w:rPr>
              <w:t>分；</w:t>
            </w:r>
          </w:p>
          <w:p>
            <w:pPr>
              <w:pStyle w:val="120"/>
              <w:widowControl/>
              <w:spacing w:line="400" w:lineRule="exact"/>
              <w:jc w:val="left"/>
              <w:rPr>
                <w:rFonts w:hint="eastAsia" w:asciiTheme="minorEastAsia" w:hAnsiTheme="minorEastAsia" w:eastAsiaTheme="minorEastAsia" w:cstheme="minorEastAsia"/>
                <w:bCs/>
                <w:szCs w:val="21"/>
                <w:highlight w:val="none"/>
              </w:rPr>
            </w:pPr>
            <w:r>
              <w:rPr>
                <w:rFonts w:hint="eastAsia" w:ascii="宋体" w:hAnsi="宋体" w:cs="宋体"/>
                <w:kern w:val="0"/>
                <w:szCs w:val="24"/>
                <w:highlight w:val="none"/>
              </w:rPr>
              <w:t>2.在满足资格业绩要求的基础上，报价人每增加一个2020年1月1日至报价截止日（以合同签订时间为准）具有一项服务于IPO项目实现成功上市企业的内控</w:t>
            </w:r>
            <w:r>
              <w:rPr>
                <w:rFonts w:hint="eastAsia" w:ascii="宋体" w:hAnsi="宋体" w:cs="宋体"/>
                <w:kern w:val="0"/>
                <w:szCs w:val="24"/>
                <w:highlight w:val="none"/>
                <w:lang w:val="en-US" w:eastAsia="zh-CN"/>
              </w:rPr>
              <w:t>咨询</w:t>
            </w:r>
            <w:r>
              <w:rPr>
                <w:rFonts w:hint="eastAsia" w:ascii="宋体" w:hAnsi="宋体" w:cs="宋体"/>
                <w:kern w:val="0"/>
                <w:szCs w:val="24"/>
                <w:highlight w:val="none"/>
              </w:rPr>
              <w:t>相关的服务业绩</w:t>
            </w:r>
            <w:r>
              <w:rPr>
                <w:rFonts w:hint="eastAsia" w:ascii="宋体" w:hAnsi="宋体" w:cs="宋体"/>
                <w:szCs w:val="21"/>
                <w:highlight w:val="none"/>
              </w:rPr>
              <w:t>，</w:t>
            </w:r>
            <w:r>
              <w:rPr>
                <w:rFonts w:hint="eastAsia" w:asciiTheme="minorEastAsia" w:hAnsiTheme="minorEastAsia" w:eastAsiaTheme="minorEastAsia" w:cstheme="minorEastAsia"/>
                <w:bCs/>
                <w:szCs w:val="21"/>
                <w:highlight w:val="none"/>
              </w:rPr>
              <w:t>得</w:t>
            </w:r>
            <w:r>
              <w:rPr>
                <w:rFonts w:hint="eastAsia" w:asciiTheme="minorEastAsia" w:hAnsiTheme="minorEastAsia" w:eastAsiaTheme="minorEastAsia" w:cstheme="minorEastAsia"/>
                <w:bCs/>
                <w:szCs w:val="21"/>
                <w:highlight w:val="none"/>
                <w:lang w:val="en-US" w:eastAsia="zh-CN"/>
              </w:rPr>
              <w:t>3</w:t>
            </w:r>
            <w:r>
              <w:rPr>
                <w:rFonts w:hint="eastAsia" w:asciiTheme="minorEastAsia" w:hAnsiTheme="minorEastAsia" w:eastAsiaTheme="minorEastAsia" w:cstheme="minorEastAsia"/>
                <w:bCs/>
                <w:szCs w:val="21"/>
                <w:highlight w:val="none"/>
              </w:rPr>
              <w:t>分</w:t>
            </w:r>
            <w:r>
              <w:rPr>
                <w:rFonts w:hint="eastAsia" w:ascii="宋体" w:hAnsi="宋体" w:cs="宋体"/>
                <w:kern w:val="0"/>
                <w:szCs w:val="24"/>
                <w:highlight w:val="none"/>
              </w:rPr>
              <w:t>，本项</w:t>
            </w:r>
            <w:r>
              <w:rPr>
                <w:rFonts w:hint="eastAsia" w:asciiTheme="minorEastAsia" w:hAnsiTheme="minorEastAsia" w:eastAsiaTheme="minorEastAsia" w:cstheme="minorEastAsia"/>
                <w:kern w:val="0"/>
                <w:szCs w:val="21"/>
                <w:highlight w:val="none"/>
                <w:shd w:val="clear" w:color="auto" w:fill="FFFFFF"/>
                <w:lang w:bidi="ar"/>
              </w:rPr>
              <w:t>最多得</w:t>
            </w:r>
            <w:r>
              <w:rPr>
                <w:rFonts w:hint="eastAsia" w:asciiTheme="minorEastAsia" w:hAnsiTheme="minorEastAsia" w:eastAsiaTheme="minorEastAsia" w:cstheme="minorEastAsia"/>
                <w:kern w:val="0"/>
                <w:szCs w:val="21"/>
                <w:highlight w:val="none"/>
                <w:shd w:val="clear" w:color="auto" w:fill="FFFFFF"/>
                <w:lang w:val="en-US" w:eastAsia="zh-CN" w:bidi="ar"/>
              </w:rPr>
              <w:t>6</w:t>
            </w:r>
            <w:r>
              <w:rPr>
                <w:rFonts w:hint="eastAsia" w:asciiTheme="minorEastAsia" w:hAnsiTheme="minorEastAsia" w:eastAsiaTheme="minorEastAsia" w:cstheme="minorEastAsia"/>
                <w:kern w:val="0"/>
                <w:szCs w:val="21"/>
                <w:highlight w:val="none"/>
                <w:shd w:val="clear" w:color="auto" w:fill="FFFFFF"/>
                <w:lang w:bidi="ar"/>
              </w:rPr>
              <w:t>分</w:t>
            </w:r>
            <w:r>
              <w:rPr>
                <w:rFonts w:hint="eastAsia" w:asciiTheme="minorEastAsia" w:hAnsiTheme="minorEastAsia" w:eastAsiaTheme="minorEastAsia" w:cstheme="minorEastAsia"/>
                <w:kern w:val="0"/>
                <w:szCs w:val="21"/>
                <w:highlight w:val="none"/>
                <w:shd w:val="clear" w:color="auto" w:fill="FFFFFF"/>
                <w:lang w:eastAsia="zh-CN" w:bidi="ar"/>
              </w:rPr>
              <w:t>（</w:t>
            </w:r>
            <w:r>
              <w:rPr>
                <w:rFonts w:hint="eastAsia" w:asciiTheme="minorEastAsia" w:hAnsiTheme="minorEastAsia" w:eastAsiaTheme="minorEastAsia" w:cstheme="minorEastAsia"/>
                <w:b/>
                <w:bCs/>
                <w:kern w:val="0"/>
                <w:szCs w:val="21"/>
                <w:highlight w:val="none"/>
                <w:shd w:val="clear" w:color="auto" w:fill="FFFFFF"/>
                <w:lang w:val="en-US" w:eastAsia="zh-CN" w:bidi="ar"/>
              </w:rPr>
              <w:t>提供服务合同复印件、</w:t>
            </w:r>
            <w:r>
              <w:rPr>
                <w:rFonts w:hint="eastAsia"/>
                <w:b/>
                <w:bCs/>
                <w:highlight w:val="none"/>
                <w:lang w:val="en-US" w:eastAsia="zh-CN"/>
              </w:rPr>
              <w:t>结算发票、</w:t>
            </w:r>
            <w:r>
              <w:rPr>
                <w:rFonts w:hint="eastAsia" w:asciiTheme="minorEastAsia" w:hAnsiTheme="minorEastAsia" w:eastAsiaTheme="minorEastAsia" w:cstheme="minorEastAsia"/>
                <w:b/>
                <w:bCs/>
                <w:kern w:val="0"/>
                <w:szCs w:val="21"/>
                <w:highlight w:val="none"/>
                <w:shd w:val="clear" w:color="auto" w:fill="FFFFFF"/>
                <w:lang w:val="en-US" w:eastAsia="zh-CN" w:bidi="ar"/>
              </w:rPr>
              <w:t>服务单位于2020年以后成功上市的网页截图、股票代码截图等资料</w:t>
            </w:r>
            <w:r>
              <w:rPr>
                <w:rFonts w:hint="eastAsia" w:asciiTheme="minorEastAsia" w:hAnsiTheme="minorEastAsia" w:eastAsiaTheme="minorEastAsia" w:cstheme="minorEastAsia"/>
                <w:kern w:val="0"/>
                <w:szCs w:val="21"/>
                <w:highlight w:val="none"/>
                <w:shd w:val="clear" w:color="auto" w:fill="FFFFFF"/>
                <w:lang w:eastAsia="zh-CN" w:bidi="ar"/>
              </w:rPr>
              <w:t>）</w:t>
            </w:r>
            <w:r>
              <w:rPr>
                <w:rFonts w:hint="eastAsia" w:asciiTheme="minorEastAsia" w:hAnsiTheme="minorEastAsia" w:eastAsiaTheme="minorEastAsia" w:cstheme="minorEastAsia"/>
                <w:bCs/>
                <w:szCs w:val="21"/>
                <w:highlight w:val="none"/>
              </w:rPr>
              <w:t>。</w:t>
            </w:r>
          </w:p>
          <w:p>
            <w:pPr>
              <w:spacing w:line="400" w:lineRule="exact"/>
              <w:ind w:firstLine="422" w:firstLineChars="200"/>
              <w:rPr>
                <w:rFonts w:asciiTheme="minorEastAsia" w:hAnsiTheme="minorEastAsia" w:eastAsiaTheme="minorEastAsia" w:cstheme="minorEastAsia"/>
                <w:bCs/>
                <w:color w:val="auto"/>
                <w:szCs w:val="21"/>
                <w:highlight w:val="none"/>
              </w:rPr>
            </w:pPr>
            <w:r>
              <w:rPr>
                <w:rFonts w:hint="eastAsia"/>
                <w:b/>
                <w:bCs/>
                <w:highlight w:val="none"/>
              </w:rPr>
              <w:t>注：提供</w:t>
            </w:r>
            <w:r>
              <w:rPr>
                <w:b/>
                <w:bCs/>
                <w:highlight w:val="none"/>
              </w:rPr>
              <w:t>合同</w:t>
            </w:r>
            <w:r>
              <w:rPr>
                <w:rFonts w:hint="eastAsia" w:ascii="宋体" w:hAnsi="宋体" w:cs="宋体"/>
                <w:b/>
                <w:bCs/>
                <w:szCs w:val="21"/>
                <w:highlight w:val="none"/>
                <w:shd w:val="clear" w:color="auto" w:fill="FFFFFF"/>
              </w:rPr>
              <w:t>复印件</w:t>
            </w:r>
            <w:r>
              <w:rPr>
                <w:b/>
                <w:bCs/>
                <w:highlight w:val="none"/>
              </w:rPr>
              <w:t>（合同需清晰反映上述业绩要求的主要内容，包括但不限于合同签订时间、合同金额及合同内容）</w:t>
            </w:r>
            <w:r>
              <w:rPr>
                <w:rFonts w:hint="eastAsia"/>
                <w:b/>
                <w:bCs/>
                <w:highlight w:val="none"/>
                <w:lang w:eastAsia="zh-CN"/>
              </w:rPr>
              <w:t>、</w:t>
            </w:r>
            <w:r>
              <w:rPr>
                <w:rFonts w:hint="eastAsia"/>
                <w:b/>
                <w:bCs/>
                <w:highlight w:val="none"/>
                <w:lang w:val="en-US" w:eastAsia="zh-CN"/>
              </w:rPr>
              <w:t>结算发票、股票代码截图及其他资料</w:t>
            </w:r>
            <w:r>
              <w:rPr>
                <w:rFonts w:hint="eastAsia"/>
                <w:b/>
                <w:bCs/>
                <w:highlight w:val="none"/>
              </w:rPr>
              <w:t>，</w:t>
            </w:r>
            <w:r>
              <w:rPr>
                <w:rFonts w:hint="eastAsia" w:hAnsi="宋体"/>
                <w:b/>
                <w:bCs/>
                <w:kern w:val="0"/>
                <w:szCs w:val="21"/>
                <w:highlight w:val="none"/>
              </w:rPr>
              <w:t>盖单位公章。若合同中无法体现上述内容的，则还需出具加盖业主公章的业主证明材料</w:t>
            </w:r>
            <w:r>
              <w:rPr>
                <w:rFonts w:hint="eastAsia" w:hAnsi="宋体"/>
                <w:b/>
                <w:bCs/>
                <w:kern w:val="0"/>
                <w:szCs w:val="21"/>
                <w:highlight w:val="none"/>
                <w:lang w:eastAsia="zh-CN"/>
              </w:rPr>
              <w:t>（</w:t>
            </w:r>
            <w:r>
              <w:rPr>
                <w:rFonts w:hint="eastAsia" w:hAnsi="宋体"/>
                <w:b/>
                <w:bCs/>
                <w:kern w:val="0"/>
                <w:szCs w:val="21"/>
                <w:highlight w:val="none"/>
                <w:lang w:val="en-US" w:eastAsia="zh-CN"/>
              </w:rPr>
              <w:t>若提供的业绩，服务对象存在为</w:t>
            </w:r>
            <w:r>
              <w:rPr>
                <w:rFonts w:hint="eastAsia" w:hAnsi="宋体"/>
                <w:b/>
                <w:bCs/>
                <w:kern w:val="0"/>
                <w:szCs w:val="21"/>
                <w:highlight w:val="none"/>
                <w:lang w:eastAsia="zh-CN"/>
              </w:rPr>
              <w:t>同一</w:t>
            </w:r>
            <w:r>
              <w:rPr>
                <w:rFonts w:hint="eastAsia" w:hAnsi="宋体"/>
                <w:b/>
                <w:bCs/>
                <w:kern w:val="0"/>
                <w:szCs w:val="21"/>
                <w:highlight w:val="none"/>
                <w:lang w:val="en-US" w:eastAsia="zh-CN"/>
              </w:rPr>
              <w:t>家</w:t>
            </w:r>
            <w:r>
              <w:rPr>
                <w:rFonts w:hint="eastAsia" w:hAnsi="宋体"/>
                <w:b/>
                <w:bCs/>
                <w:kern w:val="0"/>
                <w:szCs w:val="21"/>
                <w:highlight w:val="none"/>
                <w:lang w:eastAsia="zh-CN"/>
              </w:rPr>
              <w:t>公司</w:t>
            </w:r>
            <w:r>
              <w:rPr>
                <w:rFonts w:hint="eastAsia" w:hAnsi="宋体"/>
                <w:b/>
                <w:bCs/>
                <w:kern w:val="0"/>
                <w:szCs w:val="21"/>
                <w:highlight w:val="none"/>
                <w:lang w:val="en-US" w:eastAsia="zh-CN"/>
              </w:rPr>
              <w:t>的情况，只计算</w:t>
            </w:r>
            <w:r>
              <w:rPr>
                <w:rFonts w:hint="eastAsia" w:hAnsi="宋体"/>
                <w:b/>
                <w:bCs/>
                <w:kern w:val="0"/>
                <w:szCs w:val="21"/>
                <w:highlight w:val="none"/>
                <w:lang w:eastAsia="zh-CN"/>
              </w:rPr>
              <w:t>一</w:t>
            </w:r>
            <w:r>
              <w:rPr>
                <w:rFonts w:hint="eastAsia" w:hAnsi="宋体"/>
                <w:b/>
                <w:bCs/>
                <w:kern w:val="0"/>
                <w:szCs w:val="21"/>
                <w:highlight w:val="none"/>
                <w:lang w:val="en-US" w:eastAsia="zh-CN"/>
              </w:rPr>
              <w:t>次得分</w:t>
            </w:r>
            <w:r>
              <w:rPr>
                <w:rFonts w:hint="eastAsia" w:hAnsi="宋体"/>
                <w:b/>
                <w:bCs/>
                <w:kern w:val="0"/>
                <w:szCs w:val="21"/>
                <w:highlight w:val="none"/>
                <w:lang w:eastAsia="zh-CN"/>
              </w:rPr>
              <w:t>）</w:t>
            </w:r>
            <w:r>
              <w:rPr>
                <w:rFonts w:hint="eastAsia" w:hAnsi="宋体"/>
                <w:b/>
                <w:bCs/>
                <w:kern w:val="0"/>
                <w:szCs w:val="21"/>
                <w:highlight w:val="none"/>
              </w:rPr>
              <w:t>。</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（3）</w:t>
            </w:r>
          </w:p>
        </w:tc>
        <w:tc>
          <w:tcPr>
            <w:tcW w:w="897" w:type="dxa"/>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评标价（</w:t>
            </w:r>
            <w:r>
              <w:rPr>
                <w:rFonts w:hint="eastAsia" w:asciiTheme="minorEastAsia" w:hAnsiTheme="minorEastAsia" w:eastAsiaTheme="minorEastAsia" w:cstheme="minorEastAsia"/>
                <w:bCs/>
                <w:color w:val="auto"/>
                <w:kern w:val="2"/>
                <w:sz w:val="21"/>
                <w:szCs w:val="21"/>
                <w:highlight w:val="none"/>
                <w:lang w:val="en-US" w:eastAsia="zh-CN" w:bidi="ar"/>
              </w:rPr>
              <w:t>6</w:t>
            </w:r>
            <w:r>
              <w:rPr>
                <w:rFonts w:hint="eastAsia" w:asciiTheme="minorEastAsia" w:hAnsiTheme="minorEastAsia" w:eastAsiaTheme="minorEastAsia" w:cstheme="minorEastAsia"/>
                <w:bCs/>
                <w:color w:val="auto"/>
                <w:kern w:val="2"/>
                <w:sz w:val="21"/>
                <w:szCs w:val="21"/>
                <w:highlight w:val="none"/>
                <w:lang w:bidi="ar"/>
              </w:rPr>
              <w:t>0分）</w:t>
            </w:r>
          </w:p>
        </w:tc>
        <w:tc>
          <w:tcPr>
            <w:tcW w:w="1129" w:type="dxa"/>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6280" w:type="dxa"/>
            <w:gridSpan w:val="2"/>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ind w:firstLine="420" w:firstLineChars="200"/>
              <w:jc w:val="both"/>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所有通过初步评审的有效投标报价首先得基本分</w:t>
            </w:r>
            <w:r>
              <w:rPr>
                <w:rFonts w:hint="eastAsia" w:asciiTheme="minorEastAsia" w:hAnsiTheme="minorEastAsia" w:eastAsiaTheme="minorEastAsia" w:cstheme="minorEastAsia"/>
                <w:color w:val="auto"/>
                <w:kern w:val="2"/>
                <w:sz w:val="21"/>
                <w:szCs w:val="21"/>
                <w:highlight w:val="none"/>
                <w:lang w:val="en-US" w:eastAsia="zh-CN"/>
              </w:rPr>
              <w:t>6</w:t>
            </w:r>
            <w:r>
              <w:rPr>
                <w:rFonts w:hint="eastAsia" w:asciiTheme="minorEastAsia" w:hAnsiTheme="minorEastAsia" w:eastAsiaTheme="minorEastAsia" w:cstheme="minorEastAsia"/>
                <w:color w:val="auto"/>
                <w:kern w:val="2"/>
                <w:sz w:val="21"/>
                <w:szCs w:val="21"/>
                <w:highlight w:val="none"/>
              </w:rPr>
              <w:t>0分，然后与评标基准价相比较，每上浮1%扣</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rPr>
              <w:t>分，每下浮1%扣0.</w:t>
            </w:r>
            <w:r>
              <w:rPr>
                <w:rFonts w:hint="eastAsia" w:asciiTheme="minorEastAsia" w:hAnsiTheme="minorEastAsia" w:eastAsiaTheme="minorEastAsia" w:cstheme="minorEastAsia"/>
                <w:color w:val="auto"/>
                <w:kern w:val="2"/>
                <w:sz w:val="21"/>
                <w:szCs w:val="21"/>
                <w:highlight w:val="none"/>
                <w:lang w:val="en-US" w:eastAsia="zh-CN"/>
              </w:rPr>
              <w:t>5</w:t>
            </w:r>
            <w:r>
              <w:rPr>
                <w:rFonts w:hint="eastAsia" w:asciiTheme="minorEastAsia" w:hAnsiTheme="minorEastAsia" w:eastAsiaTheme="minorEastAsia" w:cstheme="minorEastAsia"/>
                <w:color w:val="auto"/>
                <w:kern w:val="2"/>
                <w:sz w:val="21"/>
                <w:szCs w:val="21"/>
                <w:highlight w:val="none"/>
              </w:rPr>
              <w:t>分，</w:t>
            </w:r>
            <w:r>
              <w:rPr>
                <w:rFonts w:hint="eastAsia" w:asciiTheme="minorEastAsia" w:hAnsiTheme="minorEastAsia" w:eastAsiaTheme="minorEastAsia" w:cstheme="minorEastAsia"/>
                <w:color w:val="auto"/>
                <w:kern w:val="2"/>
                <w:sz w:val="21"/>
                <w:szCs w:val="21"/>
                <w:highlight w:val="none"/>
                <w:lang w:val="en-US" w:eastAsia="zh-CN"/>
              </w:rPr>
              <w:t>扣完为止</w:t>
            </w:r>
            <w:r>
              <w:rPr>
                <w:rFonts w:hint="eastAsia" w:asciiTheme="minorEastAsia" w:hAnsiTheme="minorEastAsia" w:eastAsiaTheme="minorEastAsia" w:cstheme="minorEastAsia"/>
                <w:color w:val="auto"/>
                <w:kern w:val="2"/>
                <w:sz w:val="21"/>
                <w:szCs w:val="21"/>
                <w:highlight w:val="none"/>
              </w:rPr>
              <w:t>。按插入法计算得分。以上计算取小数点后两位，第三位四舍五入。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
                <w:color w:val="auto"/>
                <w:kern w:val="2"/>
                <w:sz w:val="21"/>
                <w:szCs w:val="21"/>
                <w:highlight w:val="none"/>
                <w:lang w:bidi="ar"/>
              </w:rPr>
            </w:pPr>
            <w:r>
              <w:rPr>
                <w:rFonts w:hint="eastAsia" w:ascii="宋体" w:hAnsi="宋体" w:cs="宋体"/>
                <w:color w:val="auto"/>
                <w:sz w:val="21"/>
                <w:szCs w:val="21"/>
                <w:highlight w:val="none"/>
              </w:rPr>
              <w:t>3.2</w:t>
            </w:r>
          </w:p>
        </w:tc>
        <w:tc>
          <w:tcPr>
            <w:tcW w:w="8861" w:type="dxa"/>
            <w:gridSpan w:val="5"/>
            <w:tcBorders>
              <w:top w:val="single" w:color="auto" w:sz="4" w:space="0"/>
              <w:left w:val="single" w:color="auto" w:sz="4" w:space="0"/>
              <w:bottom w:val="single" w:color="auto" w:sz="4" w:space="0"/>
            </w:tcBorders>
            <w:vAlign w:val="bottom"/>
          </w:tcPr>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补充正文：</w:t>
            </w:r>
          </w:p>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中标候选人推荐办法：</w:t>
            </w:r>
          </w:p>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1.对通过评审的报价人按照综合得分（商务得分+技术得分+报价得分）由高到低排序。</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szCs w:val="21"/>
                <w:highlight w:val="none"/>
                <w:lang w:bidi="ar"/>
              </w:rPr>
              <w:t>2.按评标综合得分由高到低排序推荐2名中标候选人。</w:t>
            </w:r>
          </w:p>
        </w:tc>
      </w:tr>
    </w:tbl>
    <w:p>
      <w:pPr>
        <w:rPr>
          <w:color w:val="auto"/>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1" w:name="_Toc6735"/>
      <w:bookmarkStart w:id="132" w:name="_Toc26037"/>
      <w:bookmarkStart w:id="133" w:name="_Toc19268"/>
      <w:r>
        <w:rPr>
          <w:rFonts w:hint="eastAsia" w:ascii="宋体" w:hAnsi="宋体" w:cs="宋体"/>
          <w:color w:val="auto"/>
          <w:szCs w:val="21"/>
          <w:highlight w:val="none"/>
        </w:rPr>
        <w:t>1.  评标方法</w:t>
      </w:r>
      <w:bookmarkEnd w:id="131"/>
      <w:bookmarkEnd w:id="132"/>
      <w:bookmarkEnd w:id="133"/>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实质性要求的</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4" w:name="_Toc1052"/>
      <w:bookmarkStart w:id="135" w:name="_Toc22200"/>
      <w:bookmarkStart w:id="136" w:name="_Toc31759"/>
      <w:bookmarkStart w:id="137" w:name="_Toc8753"/>
      <w:r>
        <w:rPr>
          <w:rFonts w:hint="eastAsia" w:ascii="宋体" w:hAnsi="宋体" w:cs="宋体"/>
          <w:color w:val="auto"/>
          <w:szCs w:val="21"/>
          <w:highlight w:val="none"/>
        </w:rPr>
        <w:t>2.  评审标准</w:t>
      </w:r>
      <w:bookmarkEnd w:id="134"/>
      <w:bookmarkEnd w:id="135"/>
      <w:bookmarkEnd w:id="136"/>
      <w:bookmarkEnd w:id="137"/>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）投标报价评分标准：见评标办法前附表。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8" w:name="_Toc11564"/>
      <w:bookmarkStart w:id="139" w:name="_Toc8345"/>
      <w:bookmarkStart w:id="140" w:name="_Toc5245"/>
      <w:bookmarkStart w:id="141" w:name="_Toc10650"/>
      <w:r>
        <w:rPr>
          <w:rFonts w:hint="eastAsia" w:ascii="宋体" w:hAnsi="宋体" w:cs="宋体"/>
          <w:color w:val="auto"/>
          <w:szCs w:val="21"/>
          <w:highlight w:val="none"/>
        </w:rPr>
        <w:t>3.  评标程序</w:t>
      </w:r>
      <w:bookmarkEnd w:id="138"/>
      <w:bookmarkEnd w:id="139"/>
      <w:bookmarkEnd w:id="140"/>
      <w:bookmarkEnd w:id="141"/>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没有对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的实质性要求和条件作出响应，或者对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的偏差超出</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规定的偏差范围或最高项数；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（3）按本章第 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）目规定的评审因素和分值对投标报价计算出得分 C；</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的澄清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的范围且不得改变</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的实质性内容，并构成</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的组成部分。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w:t>
      </w:r>
      <w:r>
        <w:rPr>
          <w:rFonts w:hint="eastAsia" w:ascii="宋体" w:hAnsi="宋体" w:cs="宋体"/>
          <w:color w:val="auto"/>
          <w:szCs w:val="21"/>
          <w:highlight w:val="none"/>
          <w:lang w:val="en-US" w:eastAsia="zh-CN"/>
        </w:rPr>
        <w:t>2名</w:t>
      </w:r>
      <w:r>
        <w:rPr>
          <w:rFonts w:hint="eastAsia" w:ascii="宋体" w:hAnsi="宋体" w:cs="宋体"/>
          <w:color w:val="auto"/>
          <w:szCs w:val="21"/>
          <w:highlight w:val="none"/>
        </w:rPr>
        <w:t>中标候选人，并标明排序。</w:t>
      </w:r>
    </w:p>
    <w:p>
      <w:pPr>
        <w:ind w:firstLine="420" w:firstLineChars="200"/>
        <w:rPr>
          <w:rStyle w:val="82"/>
          <w:rFonts w:hint="eastAsia"/>
          <w:color w:val="auto"/>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pPr>
        <w:rPr>
          <w:rStyle w:val="82"/>
          <w:rFonts w:hint="eastAsia"/>
          <w:color w:val="auto"/>
          <w:highlight w:val="none"/>
        </w:rPr>
      </w:pPr>
      <w:r>
        <w:rPr>
          <w:rStyle w:val="82"/>
          <w:rFonts w:hint="eastAsia"/>
          <w:color w:val="auto"/>
          <w:highlight w:val="none"/>
        </w:rPr>
        <w:br w:type="page"/>
      </w:r>
    </w:p>
    <w:p>
      <w:pPr>
        <w:pStyle w:val="3"/>
        <w:spacing w:before="0" w:after="0" w:line="360" w:lineRule="auto"/>
        <w:jc w:val="center"/>
        <w:rPr>
          <w:rFonts w:hint="default" w:ascii="宋体" w:hAnsi="宋体" w:eastAsia="宋体" w:cs="宋体"/>
          <w:color w:val="auto"/>
          <w:highlight w:val="none"/>
          <w:lang w:val="en-US" w:eastAsia="zh-CN"/>
        </w:rPr>
      </w:pPr>
      <w:bookmarkStart w:id="142" w:name="_Toc247085870"/>
      <w:bookmarkStart w:id="143" w:name="_Toc447827049"/>
      <w:bookmarkStart w:id="144" w:name="_Toc503951043"/>
      <w:bookmarkStart w:id="145" w:name="_Toc179632804"/>
      <w:bookmarkStart w:id="146" w:name="_Toc246996353"/>
      <w:bookmarkStart w:id="147" w:name="_Toc152045785"/>
      <w:bookmarkStart w:id="148" w:name="_Toc152042574"/>
      <w:bookmarkStart w:id="149" w:name="_Toc514858707"/>
      <w:bookmarkStart w:id="150" w:name="_Toc144974854"/>
      <w:bookmarkStart w:id="151" w:name="_Toc2000411"/>
      <w:bookmarkStart w:id="152" w:name="_Toc246997096"/>
      <w:bookmarkStart w:id="153" w:name="_Toc513633964"/>
      <w:bookmarkStart w:id="154" w:name="_Toc15010"/>
      <w:bookmarkStart w:id="155" w:name="_Toc152045786"/>
      <w:bookmarkStart w:id="156" w:name="_Toc152042575"/>
      <w:bookmarkStart w:id="157" w:name="_Toc246996354"/>
      <w:bookmarkStart w:id="158" w:name="_Toc247085872"/>
      <w:bookmarkStart w:id="159" w:name="_Toc179632806"/>
      <w:bookmarkStart w:id="160" w:name="_Toc246997097"/>
      <w:bookmarkStart w:id="161" w:name="_Toc144974855"/>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42"/>
      <w:bookmarkEnd w:id="143"/>
      <w:bookmarkEnd w:id="144"/>
      <w:bookmarkEnd w:id="145"/>
      <w:bookmarkEnd w:id="146"/>
      <w:bookmarkEnd w:id="147"/>
      <w:bookmarkEnd w:id="148"/>
      <w:bookmarkEnd w:id="149"/>
      <w:bookmarkEnd w:id="150"/>
      <w:bookmarkEnd w:id="151"/>
      <w:bookmarkEnd w:id="152"/>
      <w:bookmarkEnd w:id="153"/>
      <w:r>
        <w:rPr>
          <w:rFonts w:hint="eastAsia" w:ascii="宋体" w:hAnsi="宋体" w:cs="宋体"/>
          <w:color w:val="auto"/>
          <w:highlight w:val="none"/>
          <w:lang w:val="en-US" w:eastAsia="zh-CN"/>
        </w:rPr>
        <w:t>服务要求</w:t>
      </w:r>
      <w:bookmarkEnd w:id="154"/>
    </w:p>
    <w:bookmarkEnd w:id="155"/>
    <w:bookmarkEnd w:id="156"/>
    <w:bookmarkEnd w:id="157"/>
    <w:bookmarkEnd w:id="158"/>
    <w:bookmarkEnd w:id="159"/>
    <w:bookmarkEnd w:id="160"/>
    <w:bookmarkEnd w:id="161"/>
    <w:p>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int="eastAsia" w:ascii="宋体" w:hAnsi="宋体" w:cs="宋体"/>
          <w:color w:val="auto"/>
          <w:highlight w:val="none"/>
        </w:rPr>
      </w:pPr>
      <w:bookmarkStart w:id="162" w:name="_Toc2000412"/>
      <w:bookmarkStart w:id="163" w:name="_Toc514430114"/>
      <w:bookmarkStart w:id="164" w:name="_Toc514858708"/>
      <w:bookmarkStart w:id="165" w:name="_Toc152042576"/>
      <w:bookmarkStart w:id="166" w:name="_Toc246997098"/>
      <w:bookmarkStart w:id="167" w:name="_Toc507320039"/>
      <w:bookmarkStart w:id="168" w:name="_Toc144974856"/>
      <w:bookmarkStart w:id="169" w:name="_Toc152045787"/>
      <w:bookmarkStart w:id="170" w:name="_Toc247085873"/>
      <w:bookmarkStart w:id="171" w:name="_Toc246996355"/>
      <w:bookmarkStart w:id="172" w:name="_Toc179632807"/>
    </w:p>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详见随竞争性比选文件一同发布的附件服务要求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Ansi="宋体" w:cs="方正小标宋_GBK"/>
          <w:b/>
          <w:color w:val="auto"/>
          <w:sz w:val="44"/>
          <w:szCs w:val="44"/>
          <w:highlight w:val="none"/>
        </w:rPr>
      </w:pPr>
      <w:r>
        <w:rPr>
          <w:rFonts w:hint="eastAsia" w:ascii="宋体" w:hAnsi="宋体" w:cs="宋体"/>
          <w:color w:val="auto"/>
          <w:highlight w:val="none"/>
        </w:rPr>
        <w:br w:type="page"/>
      </w:r>
      <w:bookmarkStart w:id="173" w:name="_Toc17525"/>
      <w:r>
        <w:rPr>
          <w:rFonts w:hint="eastAsia" w:ascii="宋体" w:hAnsi="宋体" w:eastAsia="宋体" w:cs="宋体"/>
          <w:b/>
          <w:bCs/>
          <w:color w:val="auto"/>
          <w:kern w:val="44"/>
          <w:sz w:val="44"/>
          <w:szCs w:val="44"/>
          <w:highlight w:val="none"/>
          <w:lang w:val="en-US" w:eastAsia="zh-CN" w:bidi="ar-SA"/>
        </w:rPr>
        <w:t xml:space="preserve">第五章  </w:t>
      </w:r>
      <w:bookmarkEnd w:id="162"/>
      <w:bookmarkEnd w:id="163"/>
      <w:bookmarkEnd w:id="164"/>
      <w:r>
        <w:rPr>
          <w:rFonts w:hint="eastAsia" w:ascii="宋体" w:hAnsi="宋体" w:eastAsia="宋体" w:cs="宋体"/>
          <w:b/>
          <w:bCs/>
          <w:color w:val="auto"/>
          <w:kern w:val="44"/>
          <w:sz w:val="44"/>
          <w:szCs w:val="44"/>
          <w:highlight w:val="none"/>
          <w:lang w:val="en-US" w:eastAsia="zh-CN" w:bidi="ar-SA"/>
        </w:rPr>
        <w:t>合同范本</w:t>
      </w:r>
      <w:bookmarkEnd w:id="173"/>
    </w:p>
    <w:p>
      <w:pPr>
        <w:jc w:val="center"/>
        <w:rPr>
          <w:rFonts w:hint="eastAsia" w:ascii="仿宋" w:hAnsi="仿宋" w:eastAsia="仿宋" w:cs="仿宋"/>
          <w:color w:val="auto"/>
          <w:szCs w:val="21"/>
          <w:highlight w:val="none"/>
          <w:lang w:val="en-US" w:eastAsia="zh-CN"/>
        </w:rPr>
      </w:pPr>
    </w:p>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jc w:val="right"/>
        <w:rPr>
          <w:rFonts w:hint="eastAsia" w:ascii="宋体" w:hAnsi="宋体" w:eastAsia="宋体" w:cs="宋体"/>
          <w:color w:val="auto"/>
          <w:kern w:val="2"/>
          <w:sz w:val="21"/>
          <w:szCs w:val="21"/>
          <w:highlight w:val="none"/>
        </w:rPr>
      </w:pPr>
    </w:p>
    <w:p>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pPr>
        <w:pStyle w:val="2"/>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pPr>
        <w:pStyle w:val="2"/>
        <w:numPr>
          <w:ilvl w:val="0"/>
          <w:numId w:val="4"/>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pPr>
        <w:jc w:val="center"/>
        <w:rPr>
          <w:rFonts w:hint="eastAsia" w:ascii="仿宋" w:hAnsi="仿宋" w:eastAsia="仿宋" w:cs="仿宋"/>
          <w:b/>
          <w:bCs/>
          <w:color w:val="auto"/>
          <w:szCs w:val="21"/>
          <w:highlight w:val="none"/>
          <w:lang w:val="en-US" w:eastAsia="zh-CN"/>
        </w:rPr>
      </w:pPr>
    </w:p>
    <w:p>
      <w:pPr>
        <w:rPr>
          <w:rFonts w:ascii="宋体" w:hAnsi="宋体" w:cs="宋体"/>
          <w:color w:val="auto"/>
          <w:highlight w:val="none"/>
        </w:rPr>
      </w:pPr>
    </w:p>
    <w:p>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174" w:name="_Toc513633965"/>
    </w:p>
    <w:p>
      <w:pPr>
        <w:rPr>
          <w:rFonts w:ascii="宋体" w:hAnsi="宋体" w:cs="宋体"/>
          <w:color w:val="auto"/>
          <w:highlight w:val="none"/>
        </w:rPr>
      </w:pPr>
    </w:p>
    <w:p>
      <w:pPr>
        <w:pStyle w:val="3"/>
        <w:spacing w:before="0" w:after="0" w:line="360" w:lineRule="auto"/>
        <w:jc w:val="center"/>
        <w:rPr>
          <w:rFonts w:ascii="宋体" w:hAnsi="宋体" w:cs="宋体"/>
          <w:color w:val="auto"/>
          <w:highlight w:val="none"/>
        </w:rPr>
      </w:pPr>
      <w:bookmarkStart w:id="175" w:name="_Toc27626"/>
      <w:bookmarkStart w:id="176" w:name="_Toc2000413"/>
      <w:bookmarkStart w:id="177" w:name="_Toc514858709"/>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74"/>
      <w:bookmarkEnd w:id="175"/>
      <w:bookmarkEnd w:id="176"/>
      <w:bookmarkEnd w:id="177"/>
    </w:p>
    <w:p>
      <w:pPr>
        <w:rPr>
          <w:rFonts w:ascii="宋体" w:hAnsi="宋体" w:cs="宋体"/>
          <w:color w:val="auto"/>
          <w:highlight w:val="none"/>
        </w:rPr>
      </w:pPr>
    </w:p>
    <w:p>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color w:val="auto"/>
          <w:highlight w:val="none"/>
        </w:rPr>
      </w:pPr>
    </w:p>
    <w:p>
      <w:pPr>
        <w:jc w:val="center"/>
        <w:rPr>
          <w:rFonts w:ascii="宋体" w:hAnsi="宋体" w:cs="宋体"/>
          <w:color w:val="auto"/>
          <w:sz w:val="52"/>
          <w:szCs w:val="52"/>
          <w:highlight w:val="none"/>
          <w:u w:val="single"/>
        </w:rPr>
      </w:pPr>
      <w:bookmarkStart w:id="178" w:name="_Toc513646738"/>
      <w:bookmarkStart w:id="179" w:name="_Toc513633967"/>
      <w:bookmarkStart w:id="180" w:name="_Toc514858710"/>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78"/>
      <w:bookmarkEnd w:id="179"/>
      <w:bookmarkEnd w:id="180"/>
      <w:r>
        <w:rPr>
          <w:rFonts w:hint="eastAsia" w:ascii="宋体" w:hAnsi="宋体" w:cs="宋体"/>
          <w:color w:val="auto"/>
          <w:sz w:val="52"/>
          <w:szCs w:val="52"/>
          <w:highlight w:val="none"/>
          <w:u w:val="single"/>
        </w:rPr>
        <w:t xml:space="preserve"> </w:t>
      </w:r>
    </w:p>
    <w:p>
      <w:pPr>
        <w:rPr>
          <w:rFonts w:ascii="宋体" w:hAnsi="宋体" w:cs="宋体"/>
          <w:color w:val="auto"/>
          <w:sz w:val="20"/>
          <w:szCs w:val="20"/>
          <w:highlight w:val="none"/>
        </w:rPr>
      </w:pP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jc w:val="center"/>
        <w:rPr>
          <w:rFonts w:ascii="宋体" w:hAnsi="宋体" w:cs="宋体"/>
          <w:b/>
          <w:color w:val="auto"/>
          <w:sz w:val="32"/>
          <w:szCs w:val="32"/>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81" w:name="_Toc11329273"/>
      <w:bookmarkStart w:id="182" w:name="_Toc28780"/>
      <w:bookmarkStart w:id="183" w:name="_Toc5459"/>
      <w:bookmarkStart w:id="184" w:name="_Toc1368"/>
      <w:r>
        <w:rPr>
          <w:rFonts w:hint="eastAsia" w:ascii="宋体" w:hAnsi="宋体" w:eastAsia="宋体" w:cs="宋体"/>
          <w:color w:val="auto"/>
          <w:sz w:val="32"/>
          <w:szCs w:val="40"/>
          <w:highlight w:val="none"/>
        </w:rPr>
        <w:t>目    录</w:t>
      </w:r>
      <w:bookmarkEnd w:id="165"/>
      <w:bookmarkEnd w:id="166"/>
      <w:bookmarkEnd w:id="167"/>
      <w:bookmarkEnd w:id="168"/>
      <w:bookmarkEnd w:id="169"/>
      <w:bookmarkEnd w:id="170"/>
      <w:bookmarkEnd w:id="171"/>
      <w:bookmarkEnd w:id="172"/>
      <w:bookmarkEnd w:id="181"/>
      <w:bookmarkEnd w:id="182"/>
      <w:bookmarkEnd w:id="183"/>
      <w:bookmarkEnd w:id="184"/>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pPr>
        <w:spacing w:line="400" w:lineRule="exact"/>
        <w:rPr>
          <w:rFonts w:ascii="宋体" w:hAnsi="宋体" w:cs="宋体"/>
          <w:color w:val="auto"/>
          <w:highlight w:val="none"/>
        </w:rPr>
      </w:pPr>
      <w:r>
        <w:rPr>
          <w:rFonts w:hint="eastAsia" w:ascii="宋体" w:hAnsi="宋体" w:cs="宋体"/>
          <w:color w:val="auto"/>
          <w:highlight w:val="none"/>
        </w:rPr>
        <w:t>三、报价一览表</w:t>
      </w:r>
    </w:p>
    <w:p>
      <w:pPr>
        <w:spacing w:line="400" w:lineRule="exact"/>
        <w:rPr>
          <w:rFonts w:ascii="宋体" w:hAnsi="宋体" w:cs="宋体"/>
          <w:color w:val="auto"/>
          <w:highlight w:val="none"/>
        </w:rPr>
      </w:pPr>
      <w:r>
        <w:rPr>
          <w:rFonts w:hint="eastAsia" w:ascii="宋体" w:hAnsi="宋体" w:cs="宋体"/>
          <w:color w:val="auto"/>
          <w:highlight w:val="none"/>
        </w:rPr>
        <w:t>四、资格审查资料</w:t>
      </w:r>
    </w:p>
    <w:p>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r>
        <w:rPr>
          <w:rFonts w:ascii="宋体" w:hAnsi="宋体" w:cs="宋体"/>
          <w:color w:val="auto"/>
          <w:highlight w:val="none"/>
        </w:rPr>
        <w:br w:type="page"/>
      </w:r>
    </w:p>
    <w:p>
      <w:pPr>
        <w:pStyle w:val="4"/>
        <w:numPr>
          <w:ilvl w:val="0"/>
          <w:numId w:val="5"/>
        </w:numPr>
        <w:spacing w:before="0" w:after="0" w:line="360" w:lineRule="auto"/>
        <w:jc w:val="center"/>
        <w:rPr>
          <w:rFonts w:ascii="宋体" w:hAnsi="宋体" w:eastAsia="宋体" w:cs="宋体"/>
          <w:color w:val="auto"/>
          <w:sz w:val="28"/>
          <w:highlight w:val="none"/>
        </w:rPr>
      </w:pPr>
      <w:bookmarkStart w:id="185" w:name="_Toc29615"/>
      <w:bookmarkStart w:id="186" w:name="_Toc15863"/>
      <w:bookmarkStart w:id="187" w:name="_Toc29547"/>
      <w:bookmarkStart w:id="188" w:name="_Toc25874"/>
      <w:bookmarkStart w:id="189" w:name="_Toc513633969"/>
      <w:bookmarkStart w:id="190" w:name="_Toc503951048"/>
      <w:bookmarkStart w:id="191" w:name="_Toc447827053"/>
      <w:r>
        <w:rPr>
          <w:rFonts w:hint="eastAsia" w:ascii="宋体" w:hAnsi="宋体" w:eastAsia="宋体" w:cs="宋体"/>
          <w:color w:val="auto"/>
          <w:sz w:val="28"/>
          <w:highlight w:val="none"/>
        </w:rPr>
        <w:t>竞争比选响应声明书</w:t>
      </w:r>
      <w:bookmarkEnd w:id="185"/>
      <w:bookmarkEnd w:id="186"/>
      <w:bookmarkEnd w:id="187"/>
      <w:bookmarkEnd w:id="188"/>
    </w:p>
    <w:p>
      <w:pPr>
        <w:rPr>
          <w:color w:val="auto"/>
          <w:highlight w:val="none"/>
        </w:rPr>
      </w:pPr>
    </w:p>
    <w:p>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rPr>
          <w:color w:val="auto"/>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bookmarkStart w:id="192" w:name="_Toc27815"/>
      <w:bookmarkStart w:id="193" w:name="_Toc491883232"/>
    </w:p>
    <w:p>
      <w:pPr>
        <w:pStyle w:val="41"/>
        <w:rPr>
          <w:color w:val="auto"/>
          <w:highlight w:val="none"/>
        </w:rPr>
      </w:pPr>
    </w:p>
    <w:p>
      <w:pPr>
        <w:pStyle w:val="41"/>
        <w:rPr>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numPr>
          <w:ilvl w:val="0"/>
          <w:numId w:val="5"/>
        </w:numPr>
        <w:spacing w:before="0" w:after="0" w:line="360" w:lineRule="auto"/>
        <w:jc w:val="center"/>
        <w:rPr>
          <w:rFonts w:hint="eastAsia" w:ascii="宋体" w:hAnsi="宋体" w:eastAsia="宋体" w:cs="宋体"/>
          <w:color w:val="auto"/>
          <w:sz w:val="28"/>
          <w:highlight w:val="none"/>
        </w:rPr>
      </w:pPr>
      <w:bookmarkStart w:id="194" w:name="_Toc15139"/>
      <w:r>
        <w:rPr>
          <w:rFonts w:hint="eastAsia" w:ascii="宋体" w:hAnsi="宋体" w:eastAsia="宋体" w:cs="宋体"/>
          <w:color w:val="auto"/>
          <w:sz w:val="28"/>
          <w:highlight w:val="none"/>
        </w:rPr>
        <w:t>法定代表人身份证明或法定代表人授权委托书</w:t>
      </w:r>
      <w:bookmarkEnd w:id="192"/>
      <w:bookmarkEnd w:id="194"/>
    </w:p>
    <w:bookmarkEnd w:id="193"/>
    <w:p>
      <w:pPr>
        <w:pStyle w:val="4"/>
        <w:spacing w:line="480" w:lineRule="auto"/>
        <w:jc w:val="center"/>
        <w:outlineLvl w:val="2"/>
        <w:rPr>
          <w:rFonts w:ascii="宋体" w:hAnsi="宋体" w:eastAsia="宋体" w:cs="宋体"/>
          <w:color w:val="auto"/>
          <w:sz w:val="24"/>
          <w:szCs w:val="24"/>
          <w:highlight w:val="none"/>
        </w:rPr>
      </w:pPr>
      <w:bookmarkStart w:id="195" w:name="_Toc20985"/>
      <w:bookmarkStart w:id="196" w:name="_Toc14141"/>
      <w:r>
        <w:rPr>
          <w:rFonts w:hint="eastAsia" w:ascii="宋体" w:hAnsi="宋体" w:eastAsia="宋体" w:cs="宋体"/>
          <w:color w:val="auto"/>
          <w:sz w:val="24"/>
          <w:szCs w:val="24"/>
          <w:highlight w:val="none"/>
        </w:rPr>
        <w:t>（一）法定代表人身份证明</w:t>
      </w:r>
      <w:bookmarkEnd w:id="195"/>
      <w:bookmarkEnd w:id="196"/>
    </w:p>
    <w:p>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197" w:name="_Toc27897"/>
      <w:bookmarkStart w:id="198" w:name="_Toc352691662"/>
      <w:bookmarkStart w:id="199" w:name="_Toc369531698"/>
      <w:r>
        <w:rPr>
          <w:rFonts w:ascii="宋体" w:hAnsi="宋体"/>
          <w:color w:val="auto"/>
          <w:highlight w:val="none"/>
          <w:u w:val="single"/>
        </w:rPr>
        <w:t xml:space="preserve">        </w:t>
      </w:r>
      <w:r>
        <w:rPr>
          <w:rFonts w:ascii="宋体" w:hAnsi="宋体"/>
          <w:color w:val="auto"/>
          <w:highlight w:val="none"/>
        </w:rPr>
        <w:t>年</w:t>
      </w:r>
      <w:bookmarkEnd w:id="197"/>
      <w:bookmarkEnd w:id="198"/>
      <w:bookmarkEnd w:id="199"/>
      <w:r>
        <w:rPr>
          <w:rFonts w:ascii="宋体" w:hAnsi="宋体"/>
          <w:color w:val="auto"/>
          <w:highlight w:val="none"/>
        </w:rPr>
        <w:t>龄</w:t>
      </w:r>
      <w:bookmarkStart w:id="200" w:name="_Toc152045789"/>
      <w:bookmarkStart w:id="201" w:name="_Toc15573"/>
      <w:bookmarkStart w:id="202" w:name="_Toc300835211"/>
      <w:bookmarkStart w:id="203" w:name="_Toc247514248"/>
      <w:bookmarkStart w:id="204" w:name="_Toc247527829"/>
      <w:bookmarkStart w:id="205" w:name="_Toc361508754"/>
      <w:bookmarkStart w:id="206" w:name="_Toc144974858"/>
      <w:bookmarkStart w:id="207" w:name="_Toc384308377"/>
      <w:bookmarkStart w:id="208" w:name="_Toc152042578"/>
      <w:bookmarkStart w:id="209" w:name="_Toc369531699"/>
      <w:bookmarkStart w:id="210" w:name="_Toc352691663"/>
      <w:r>
        <w:rPr>
          <w:rFonts w:ascii="宋体" w:hAnsi="宋体"/>
          <w:color w:val="auto"/>
          <w:highlight w:val="none"/>
        </w:rPr>
        <w:t>：</w:t>
      </w:r>
      <w:bookmarkEnd w:id="200"/>
      <w:bookmarkEnd w:id="201"/>
      <w:bookmarkEnd w:id="202"/>
      <w:bookmarkEnd w:id="203"/>
      <w:bookmarkEnd w:id="204"/>
      <w:bookmarkEnd w:id="205"/>
      <w:bookmarkEnd w:id="206"/>
      <w:bookmarkEnd w:id="207"/>
      <w:bookmarkEnd w:id="208"/>
      <w:bookmarkEnd w:id="209"/>
      <w:bookmarkEnd w:id="210"/>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pPr>
        <w:spacing w:line="480" w:lineRule="auto"/>
        <w:ind w:firstLine="420" w:firstLineChars="200"/>
        <w:rPr>
          <w:rFonts w:ascii="宋体" w:hAnsi="宋体"/>
          <w:color w:val="auto"/>
          <w:highlight w:val="none"/>
        </w:rPr>
      </w:pPr>
      <w:r>
        <w:rPr>
          <w:rFonts w:ascii="宋体" w:hAnsi="宋体"/>
          <w:color w:val="auto"/>
          <w:highlight w:val="none"/>
        </w:rPr>
        <w:t>特此证明。</w:t>
      </w:r>
    </w:p>
    <w:p>
      <w:pPr>
        <w:spacing w:line="480" w:lineRule="auto"/>
        <w:rPr>
          <w:rFonts w:ascii="宋体" w:hAnsi="宋体"/>
          <w:color w:val="auto"/>
          <w:highlight w:val="none"/>
        </w:rPr>
      </w:pPr>
    </w:p>
    <w:p>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pPr>
        <w:spacing w:line="480" w:lineRule="auto"/>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sz w:val="20"/>
          <w:highlight w:val="none"/>
        </w:rPr>
      </w:pPr>
    </w:p>
    <w:p>
      <w:pPr>
        <w:spacing w:line="20" w:lineRule="exact"/>
        <w:jc w:val="center"/>
        <w:rPr>
          <w:rFonts w:ascii="宋体" w:hAnsi="宋体"/>
          <w:color w:val="auto"/>
          <w:sz w:val="20"/>
          <w:highlight w:val="none"/>
        </w:rPr>
      </w:pPr>
      <w:r>
        <w:rPr>
          <w:rFonts w:ascii="宋体" w:hAnsi="宋体"/>
          <w:color w:val="auto"/>
          <w:sz w:val="20"/>
          <w:highlight w:val="none"/>
        </w:rPr>
        <w:br w:type="page"/>
      </w:r>
    </w:p>
    <w:p>
      <w:pPr>
        <w:pStyle w:val="4"/>
        <w:spacing w:line="480" w:lineRule="auto"/>
        <w:jc w:val="center"/>
        <w:outlineLvl w:val="2"/>
        <w:rPr>
          <w:rFonts w:ascii="宋体" w:hAnsi="宋体"/>
          <w:color w:val="auto"/>
          <w:sz w:val="28"/>
          <w:szCs w:val="28"/>
          <w:highlight w:val="none"/>
        </w:rPr>
      </w:pPr>
      <w:bookmarkStart w:id="211" w:name="_Toc491883233"/>
      <w:bookmarkStart w:id="212" w:name="_Toc58"/>
      <w:bookmarkStart w:id="213" w:name="_Toc3882"/>
      <w:r>
        <w:rPr>
          <w:rFonts w:hint="eastAsia" w:ascii="宋体" w:hAnsi="宋体" w:eastAsia="宋体" w:cs="宋体"/>
          <w:color w:val="auto"/>
          <w:sz w:val="24"/>
          <w:szCs w:val="24"/>
          <w:highlight w:val="none"/>
        </w:rPr>
        <w:t>（二）</w:t>
      </w:r>
      <w:bookmarkEnd w:id="211"/>
      <w:r>
        <w:rPr>
          <w:rFonts w:hint="eastAsia" w:ascii="宋体" w:hAnsi="宋体" w:eastAsia="宋体" w:cs="宋体"/>
          <w:color w:val="auto"/>
          <w:sz w:val="24"/>
          <w:szCs w:val="24"/>
          <w:highlight w:val="none"/>
        </w:rPr>
        <w:t>法定代表人授权委托书</w:t>
      </w:r>
      <w:bookmarkEnd w:id="212"/>
      <w:bookmarkEnd w:id="213"/>
    </w:p>
    <w:p>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委托代理人身份证复印件</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v:textbox>
              </v:shape>
            </w:pict>
          </mc:Fallback>
        </mc:AlternateContent>
      </w: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pPr>
        <w:rPr>
          <w:rFonts w:ascii="宋体" w:hAnsi="宋体" w:cs="宋体"/>
          <w:snapToGrid w:val="0"/>
          <w:color w:val="auto"/>
          <w:kern w:val="0"/>
          <w:szCs w:val="21"/>
          <w:highlight w:val="none"/>
        </w:rPr>
      </w:pPr>
    </w:p>
    <w:p>
      <w:pPr>
        <w:pStyle w:val="4"/>
        <w:spacing w:before="0" w:after="0" w:line="360" w:lineRule="auto"/>
        <w:jc w:val="center"/>
        <w:rPr>
          <w:rFonts w:ascii="宋体" w:hAnsi="宋体" w:eastAsia="宋体" w:cs="宋体"/>
          <w:color w:val="auto"/>
          <w:sz w:val="28"/>
          <w:highlight w:val="none"/>
        </w:rPr>
      </w:pPr>
      <w:bookmarkStart w:id="214" w:name="_Toc11329275"/>
      <w:bookmarkStart w:id="215" w:name="_Toc31983"/>
      <w:r>
        <w:rPr>
          <w:rFonts w:hint="eastAsia" w:ascii="宋体" w:hAnsi="宋体" w:eastAsia="宋体" w:cs="宋体"/>
          <w:color w:val="auto"/>
          <w:sz w:val="28"/>
          <w:highlight w:val="none"/>
        </w:rPr>
        <w:t>三、</w:t>
      </w:r>
      <w:bookmarkEnd w:id="189"/>
      <w:bookmarkEnd w:id="190"/>
      <w:bookmarkEnd w:id="191"/>
      <w:bookmarkEnd w:id="214"/>
      <w:r>
        <w:rPr>
          <w:rFonts w:hint="eastAsia" w:ascii="宋体" w:hAnsi="宋体" w:eastAsia="宋体" w:cs="宋体"/>
          <w:color w:val="auto"/>
          <w:sz w:val="28"/>
          <w:highlight w:val="none"/>
        </w:rPr>
        <w:t>报价一览表</w:t>
      </w:r>
      <w:bookmarkEnd w:id="215"/>
    </w:p>
    <w:p>
      <w:pPr>
        <w:ind w:left="765"/>
        <w:jc w:val="center"/>
        <w:rPr>
          <w:rFonts w:ascii="宋体" w:hAnsi="宋体" w:cs="宋体"/>
          <w:color w:val="auto"/>
          <w:szCs w:val="21"/>
          <w:highlight w:val="none"/>
        </w:rPr>
      </w:pPr>
    </w:p>
    <w:p>
      <w:pPr>
        <w:pStyle w:val="38"/>
        <w:spacing w:line="480" w:lineRule="auto"/>
        <w:jc w:val="both"/>
        <w:rPr>
          <w:rFonts w:hAnsi="宋体"/>
          <w:color w:val="auto"/>
          <w:highlight w:val="none"/>
        </w:rPr>
      </w:pPr>
      <w:r>
        <w:rPr>
          <w:rFonts w:hint="eastAsia" w:hAnsi="宋体"/>
          <w:color w:val="auto"/>
          <w:highlight w:val="none"/>
        </w:rPr>
        <w:t>重庆首讯科技股份有限公司：</w:t>
      </w:r>
    </w:p>
    <w:p>
      <w:pPr>
        <w:spacing w:line="480" w:lineRule="auto"/>
        <w:ind w:firstLine="420" w:firstLineChars="200"/>
        <w:jc w:val="left"/>
        <w:rPr>
          <w:rFonts w:ascii="宋体" w:hAnsi="宋体"/>
          <w:b/>
          <w:color w:val="auto"/>
          <w:szCs w:val="21"/>
          <w:highlight w:val="none"/>
        </w:rPr>
      </w:pPr>
      <w:bookmarkStart w:id="216" w:name="_Toc503951050"/>
      <w:bookmarkStart w:id="217" w:name="_Toc513633971"/>
      <w:bookmarkStart w:id="218" w:name="_Toc11329278"/>
      <w:bookmarkStart w:id="219" w:name="_Toc144974871"/>
      <w:bookmarkStart w:id="220" w:name="_Toc247085887"/>
      <w:bookmarkStart w:id="221" w:name="_Toc246997112"/>
      <w:bookmarkStart w:id="222" w:name="_Toc246996369"/>
      <w:bookmarkStart w:id="223" w:name="_Toc152045803"/>
      <w:bookmarkStart w:id="224" w:name="_Toc152042592"/>
      <w:bookmarkStart w:id="225" w:name="_Toc179632823"/>
      <w:bookmarkStart w:id="226" w:name="_Toc447827058"/>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8519" w:type="dxa"/>
        <w:tblInd w:w="0" w:type="dxa"/>
        <w:tblLayout w:type="fixed"/>
        <w:tblCellMar>
          <w:top w:w="0" w:type="dxa"/>
          <w:left w:w="108" w:type="dxa"/>
          <w:bottom w:w="0" w:type="dxa"/>
          <w:right w:w="108" w:type="dxa"/>
        </w:tblCellMar>
      </w:tblPr>
      <w:tblGrid>
        <w:gridCol w:w="637"/>
        <w:gridCol w:w="1273"/>
        <w:gridCol w:w="2402"/>
        <w:gridCol w:w="712"/>
        <w:gridCol w:w="875"/>
        <w:gridCol w:w="800"/>
        <w:gridCol w:w="913"/>
        <w:gridCol w:w="907"/>
      </w:tblGrid>
      <w:tr>
        <w:tblPrEx>
          <w:tblCellMar>
            <w:top w:w="0" w:type="dxa"/>
            <w:left w:w="108" w:type="dxa"/>
            <w:bottom w:w="0" w:type="dxa"/>
            <w:right w:w="108" w:type="dxa"/>
          </w:tblCellMar>
        </w:tblPrEx>
        <w:trPr>
          <w:trHeight w:val="585" w:hRule="atLeast"/>
        </w:trPr>
        <w:tc>
          <w:tcPr>
            <w:tcW w:w="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273"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240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服务内容</w:t>
            </w:r>
          </w:p>
        </w:tc>
        <w:tc>
          <w:tcPr>
            <w:tcW w:w="712" w:type="dxa"/>
            <w:tcBorders>
              <w:top w:val="single" w:color="000000" w:sz="8" w:space="0"/>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875"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数量</w:t>
            </w:r>
          </w:p>
        </w:tc>
        <w:tc>
          <w:tcPr>
            <w:tcW w:w="80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91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合价（元）</w:t>
            </w:r>
          </w:p>
        </w:tc>
        <w:tc>
          <w:tcPr>
            <w:tcW w:w="907"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tblPrEx>
          <w:tblCellMar>
            <w:top w:w="0" w:type="dxa"/>
            <w:left w:w="108" w:type="dxa"/>
            <w:bottom w:w="0" w:type="dxa"/>
            <w:right w:w="108" w:type="dxa"/>
          </w:tblCellMar>
        </w:tblPrEx>
        <w:trPr>
          <w:trHeight w:val="985" w:hRule="atLeast"/>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一</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内控手册更新</w:t>
            </w:r>
          </w:p>
        </w:tc>
        <w:tc>
          <w:tcPr>
            <w:tcW w:w="240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以IPO合规为目标，满足内控手册、公司制度及实际执行的一致性。</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二</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研发/数开专项内控整改</w:t>
            </w:r>
          </w:p>
        </w:tc>
        <w:tc>
          <w:tcPr>
            <w:tcW w:w="240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确保申报期内研发资料合规、确保申报期内数开业务内控资料合规</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三</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内控制度专项</w:t>
            </w:r>
          </w:p>
        </w:tc>
        <w:tc>
          <w:tcPr>
            <w:tcW w:w="240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结合内控、IPO以及内部管理流程优化目标，对管理制度进行修订、新增。</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四</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内控评价检查</w:t>
            </w:r>
          </w:p>
        </w:tc>
        <w:tc>
          <w:tcPr>
            <w:tcW w:w="240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年度内部控制评价</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10" w:hRule="atLeast"/>
        </w:trPr>
        <w:tc>
          <w:tcPr>
            <w:tcW w:w="4312" w:type="dxa"/>
            <w:gridSpan w:val="3"/>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税率（%）</w:t>
            </w:r>
          </w:p>
        </w:tc>
        <w:tc>
          <w:tcPr>
            <w:tcW w:w="4207" w:type="dxa"/>
            <w:gridSpan w:val="5"/>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0" w:hRule="atLeast"/>
        </w:trPr>
        <w:tc>
          <w:tcPr>
            <w:tcW w:w="4312" w:type="dxa"/>
            <w:gridSpan w:val="3"/>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含税总报价（元）</w:t>
            </w:r>
          </w:p>
        </w:tc>
        <w:tc>
          <w:tcPr>
            <w:tcW w:w="4207" w:type="dxa"/>
            <w:gridSpan w:val="5"/>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pPr>
        <w:jc w:val="right"/>
        <w:rPr>
          <w:rFonts w:hint="eastAsia" w:ascii="宋体" w:hAnsi="宋体"/>
          <w:b w:val="0"/>
          <w:bCs w:val="0"/>
          <w:color w:val="auto"/>
          <w:kern w:val="0"/>
          <w:szCs w:val="21"/>
          <w:highlight w:val="none"/>
          <w:u w:val="single"/>
        </w:rPr>
      </w:pPr>
    </w:p>
    <w:p>
      <w:pPr>
        <w:jc w:val="right"/>
        <w:rPr>
          <w:rFonts w:hint="eastAsia" w:ascii="宋体" w:hAnsi="宋体"/>
          <w:b/>
          <w:bCs/>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pPr>
        <w:pStyle w:val="4"/>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27" w:name="_Toc18757"/>
      <w:bookmarkStart w:id="228" w:name="_Toc12910"/>
      <w:bookmarkStart w:id="229" w:name="_Toc4544"/>
      <w:bookmarkStart w:id="230" w:name="_Toc11961"/>
      <w:r>
        <w:rPr>
          <w:rFonts w:hint="eastAsia" w:ascii="宋体" w:hAnsi="宋体" w:eastAsia="宋体" w:cs="宋体"/>
          <w:color w:val="auto"/>
          <w:sz w:val="28"/>
          <w:highlight w:val="none"/>
        </w:rPr>
        <w:t>四、资格审查资料</w:t>
      </w:r>
      <w:bookmarkEnd w:id="216"/>
      <w:bookmarkEnd w:id="217"/>
      <w:bookmarkEnd w:id="218"/>
      <w:bookmarkEnd w:id="227"/>
      <w:bookmarkEnd w:id="228"/>
      <w:bookmarkEnd w:id="229"/>
      <w:bookmarkEnd w:id="230"/>
    </w:p>
    <w:bookmarkEnd w:id="219"/>
    <w:bookmarkEnd w:id="220"/>
    <w:bookmarkEnd w:id="221"/>
    <w:bookmarkEnd w:id="222"/>
    <w:bookmarkEnd w:id="223"/>
    <w:bookmarkEnd w:id="224"/>
    <w:bookmarkEnd w:id="225"/>
    <w:bookmarkEnd w:id="226"/>
    <w:p>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bookmarkStart w:id="231" w:name="_Toc513633974"/>
      <w:bookmarkStart w:id="232" w:name="_Toc503951058"/>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highlight w:val="none"/>
                <w:lang w:val="en-US" w:eastAsia="zh-CN"/>
              </w:rPr>
            </w:pPr>
            <w:bookmarkStart w:id="233" w:name="资质要求2"/>
            <w:r>
              <w:rPr>
                <w:rFonts w:hint="eastAsia" w:ascii="宋体" w:hAnsi="宋体" w:eastAsia="宋体" w:cs="宋体"/>
                <w:i w:val="0"/>
                <w:iCs w:val="0"/>
                <w:caps w:val="0"/>
                <w:color w:val="auto"/>
                <w:spacing w:val="0"/>
                <w:sz w:val="21"/>
                <w:szCs w:val="21"/>
                <w:highlight w:val="none"/>
                <w:shd w:val="clear" w:fill="FCFCFC"/>
              </w:rPr>
              <w:t>报价人具有独立法人资格和有效的营业执照</w:t>
            </w:r>
            <w:bookmarkEnd w:id="2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年1月1日至报价截止日（以合同签订时间为准）具有一项服务上市企业的内控</w:t>
            </w:r>
            <w:r>
              <w:rPr>
                <w:rFonts w:hint="eastAsia" w:ascii="宋体" w:hAnsi="宋体" w:cs="宋体"/>
                <w:color w:val="auto"/>
                <w:sz w:val="21"/>
                <w:szCs w:val="21"/>
                <w:highlight w:val="none"/>
                <w:lang w:val="en-US" w:eastAsia="zh-CN"/>
              </w:rPr>
              <w:t>咨询</w:t>
            </w:r>
            <w:r>
              <w:rPr>
                <w:rFonts w:hint="eastAsia" w:ascii="宋体" w:hAnsi="宋体" w:eastAsia="宋体" w:cs="宋体"/>
                <w:color w:val="auto"/>
                <w:sz w:val="21"/>
                <w:szCs w:val="21"/>
                <w:highlight w:val="none"/>
                <w:lang w:val="en-US" w:eastAsia="zh-CN"/>
              </w:rPr>
              <w:t>相关的服务业绩（提供合同复印件、结算发票、股票代码截或上市成功网页截图资料）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234" w:name="主要管理人员要求1"/>
            <w:r>
              <w:rPr>
                <w:rFonts w:hint="eastAsia" w:ascii="宋体" w:hAnsi="宋体" w:eastAsia="宋体" w:cs="宋体"/>
                <w:color w:val="auto"/>
                <w:sz w:val="21"/>
                <w:szCs w:val="21"/>
                <w:highlight w:val="none"/>
                <w:lang w:val="en-US" w:eastAsia="zh-CN"/>
              </w:rPr>
              <w:t>项目负责人1人；具有主持内控体系建设咨询的经验（提供主持内控体系建设咨询经验业绩资料</w:t>
            </w:r>
            <w:r>
              <w:rPr>
                <w:rFonts w:hint="eastAsia" w:ascii="宋体" w:hAnsi="宋体" w:cs="宋体"/>
                <w:color w:val="auto"/>
                <w:sz w:val="21"/>
                <w:szCs w:val="21"/>
                <w:highlight w:val="none"/>
                <w:lang w:val="en-US" w:eastAsia="zh-CN"/>
              </w:rPr>
              <w:t>（自主承诺）</w:t>
            </w:r>
            <w:r>
              <w:rPr>
                <w:rFonts w:hint="eastAsia" w:ascii="宋体" w:hAnsi="宋体" w:eastAsia="宋体" w:cs="宋体"/>
                <w:color w:val="auto"/>
                <w:sz w:val="21"/>
                <w:szCs w:val="21"/>
                <w:highlight w:val="none"/>
                <w:lang w:val="en-US" w:eastAsia="zh-CN"/>
              </w:rPr>
              <w:t>）。</w:t>
            </w:r>
            <w:bookmarkEnd w:id="2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235" w:name="其他人员要求1"/>
            <w:r>
              <w:rPr>
                <w:rFonts w:hint="eastAsia" w:ascii="宋体" w:hAnsi="宋体" w:cs="宋体"/>
                <w:b w:val="0"/>
                <w:bCs w:val="0"/>
                <w:color w:val="auto"/>
                <w:szCs w:val="21"/>
                <w:highlight w:val="none"/>
                <w:lang w:val="en-US" w:eastAsia="zh-CN"/>
              </w:rPr>
              <w:t>根据项目进度、质量和实际需求情况随时补充相关人员。</w:t>
            </w:r>
            <w:bookmarkEnd w:id="2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4.提供人员资格要求的资料。</w:t>
      </w:r>
    </w:p>
    <w:p>
      <w:pPr>
        <w:pStyle w:val="6"/>
        <w:rPr>
          <w:highlight w:val="none"/>
        </w:rPr>
      </w:pPr>
    </w:p>
    <w:p>
      <w:pPr>
        <w:rPr>
          <w:color w:val="auto"/>
          <w:highlight w:val="none"/>
        </w:rPr>
      </w:pPr>
    </w:p>
    <w:p>
      <w:pPr>
        <w:pStyle w:val="5"/>
        <w:jc w:val="center"/>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pPr>
        <w:jc w:val="center"/>
        <w:rPr>
          <w:rFonts w:hint="eastAsia" w:ascii="宋体" w:hAnsi="宋体" w:cs="宋体"/>
          <w:b/>
          <w:bCs/>
          <w:color w:val="auto"/>
          <w:kern w:val="0"/>
          <w:sz w:val="28"/>
          <w:szCs w:val="20"/>
          <w:highlight w:val="none"/>
          <w:lang w:eastAsia="zh-CN"/>
        </w:rPr>
      </w:pPr>
    </w:p>
    <w:tbl>
      <w:tblPr>
        <w:tblStyle w:val="4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bl>
    <w:p>
      <w:pPr>
        <w:adjustRightInd w:val="0"/>
        <w:snapToGrid w:val="0"/>
        <w:spacing w:line="460" w:lineRule="exact"/>
        <w:ind w:firstLine="422"/>
        <w:rPr>
          <w:rFonts w:hint="eastAsia" w:ascii="宋体" w:hAnsi="宋体"/>
          <w:b/>
          <w:color w:val="auto"/>
          <w:szCs w:val="21"/>
          <w:highlight w:val="none"/>
        </w:rPr>
      </w:pPr>
    </w:p>
    <w:p>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pPr>
        <w:adjustRightInd w:val="0"/>
        <w:snapToGrid w:val="0"/>
        <w:spacing w:line="460" w:lineRule="exact"/>
        <w:ind w:firstLine="422"/>
        <w:rPr>
          <w:rFonts w:hint="eastAsia"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pPr>
        <w:keepNext w:val="0"/>
        <w:keepLines w:val="0"/>
        <w:pageBreakBefore w:val="0"/>
        <w:widowControl w:val="0"/>
        <w:kinsoku/>
        <w:wordWrap/>
        <w:overflowPunct/>
        <w:topLinePunct w:val="0"/>
        <w:autoSpaceDE/>
        <w:autoSpaceDN/>
        <w:bidi w:val="0"/>
        <w:spacing w:line="600" w:lineRule="exact"/>
        <w:ind w:firstLine="630" w:firstLineChars="300"/>
        <w:jc w:val="left"/>
        <w:textAlignment w:val="auto"/>
        <w:rPr>
          <w:rFonts w:cs="宋体"/>
          <w:b/>
          <w:bCs/>
          <w:color w:val="auto"/>
          <w:highlight w:val="none"/>
        </w:rPr>
      </w:pPr>
      <w:r>
        <w:rPr>
          <w:rFonts w:hint="eastAsia" w:ascii="宋体" w:hAnsi="宋体"/>
          <w:color w:val="auto"/>
          <w:szCs w:val="21"/>
          <w:highlight w:val="none"/>
        </w:rPr>
        <w:t>2、报价人承诺“所有商务部分负偏离项均已填写在本表，除此之外的商务条款均无偏离。”视作对无偏离商务条款的响应。</w:t>
      </w:r>
    </w:p>
    <w:p>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pPr>
        <w:spacing w:line="360" w:lineRule="auto"/>
        <w:jc w:val="left"/>
        <w:rPr>
          <w:rFonts w:ascii="宋体" w:hAnsi="宋体" w:eastAsia="宋体" w:cs="Times New Roman"/>
          <w:color w:val="auto"/>
          <w:szCs w:val="21"/>
          <w:highlight w:val="none"/>
        </w:rPr>
      </w:pPr>
    </w:p>
    <w:tbl>
      <w:tblPr>
        <w:tblStyle w:val="4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bl>
    <w:p>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pPr>
        <w:adjustRightInd w:val="0"/>
        <w:snapToGrid w:val="0"/>
        <w:spacing w:line="460" w:lineRule="exact"/>
        <w:ind w:firstLine="422"/>
        <w:rPr>
          <w:rFonts w:ascii="宋体" w:hAnsi="宋体" w:eastAsia="宋体" w:cs="Times New Roman"/>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pPr>
        <w:pStyle w:val="2"/>
        <w:keepNext w:val="0"/>
        <w:keepLines w:val="0"/>
        <w:pageBreakBefore w:val="0"/>
        <w:widowControl w:val="0"/>
        <w:kinsoku/>
        <w:wordWrap/>
        <w:overflowPunct/>
        <w:topLinePunct w:val="0"/>
        <w:autoSpaceDE/>
        <w:autoSpaceDN/>
        <w:bidi w:val="0"/>
        <w:spacing w:line="600" w:lineRule="exact"/>
        <w:ind w:firstLine="630" w:firstLineChars="300"/>
        <w:textAlignment w:val="auto"/>
        <w:rPr>
          <w:color w:val="auto"/>
          <w:sz w:val="21"/>
          <w:szCs w:val="21"/>
          <w:highlight w:val="none"/>
        </w:rPr>
      </w:pPr>
      <w:r>
        <w:rPr>
          <w:rFonts w:hint="eastAsia" w:ascii="宋体" w:hAnsi="宋体" w:eastAsia="宋体" w:cs="Arial"/>
          <w:bCs/>
          <w:color w:val="auto"/>
          <w:kern w:val="0"/>
          <w:sz w:val="21"/>
          <w:szCs w:val="21"/>
          <w:highlight w:val="none"/>
          <w:lang w:val="en-US" w:eastAsia="zh-CN"/>
        </w:rPr>
        <w:t>2</w:t>
      </w:r>
      <w:r>
        <w:rPr>
          <w:rFonts w:hint="eastAsia" w:ascii="宋体" w:hAnsi="宋体" w:eastAsia="宋体" w:cs="Arial"/>
          <w:bCs/>
          <w:color w:val="auto"/>
          <w:kern w:val="0"/>
          <w:sz w:val="21"/>
          <w:szCs w:val="21"/>
          <w:highlight w:val="none"/>
        </w:rPr>
        <w:t>、</w:t>
      </w: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pStyle w:val="4"/>
        <w:spacing w:before="0" w:after="0" w:line="360" w:lineRule="auto"/>
        <w:jc w:val="center"/>
        <w:rPr>
          <w:rFonts w:ascii="宋体" w:hAnsi="宋体" w:eastAsia="宋体" w:cs="宋体"/>
          <w:color w:val="auto"/>
          <w:sz w:val="28"/>
          <w:highlight w:val="none"/>
        </w:rPr>
      </w:pPr>
      <w:bookmarkStart w:id="236" w:name="_Toc7326"/>
      <w:r>
        <w:rPr>
          <w:rFonts w:hint="eastAsia" w:ascii="宋体" w:hAnsi="宋体" w:eastAsia="宋体" w:cs="宋体"/>
          <w:color w:val="auto"/>
          <w:sz w:val="28"/>
          <w:highlight w:val="none"/>
        </w:rPr>
        <w:t>五、报价人承诺</w:t>
      </w:r>
      <w:bookmarkEnd w:id="236"/>
    </w:p>
    <w:p>
      <w:pPr>
        <w:pStyle w:val="2"/>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致：重庆首讯科技股份有限公司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竞争性比选文件中要求内容完全响应做出以下承诺：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2、我公司不存在资质挂靠或参与串标、围标情形。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、我公司承诺绝不向贵司工作人员、评标委员会成员等提供或变相提供现金、回扣、有价证券、旅游等形式的利益输送，并自愿配合贵司或第三方机构对项目进行廉政审查。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我公司在此承诺：</w:t>
      </w:r>
      <w:r>
        <w:rPr>
          <w:rFonts w:hint="eastAsia" w:ascii="宋体" w:hAnsi="宋体" w:cs="宋体"/>
          <w:color w:val="auto"/>
          <w:sz w:val="21"/>
          <w:szCs w:val="21"/>
          <w:highlight w:val="none"/>
          <w:lang w:val="en-US" w:eastAsia="zh-CN"/>
        </w:rPr>
        <w:t>若</w:t>
      </w:r>
      <w:r>
        <w:rPr>
          <w:rFonts w:hint="eastAsia" w:hAnsi="宋体" w:cs="宋体"/>
          <w:color w:val="auto"/>
          <w:sz w:val="21"/>
          <w:szCs w:val="21"/>
          <w:highlight w:val="none"/>
          <w:lang w:val="en-US" w:eastAsia="zh-CN"/>
        </w:rPr>
        <w:t>我公司中标，将完全</w:t>
      </w:r>
      <w:r>
        <w:rPr>
          <w:rFonts w:hint="eastAsia" w:ascii="宋体" w:hAnsi="宋体" w:cs="宋体"/>
          <w:color w:val="auto"/>
          <w:sz w:val="21"/>
          <w:szCs w:val="21"/>
          <w:highlight w:val="none"/>
          <w:lang w:val="en-US" w:eastAsia="zh-CN"/>
        </w:rPr>
        <w:t>服从</w:t>
      </w:r>
      <w:r>
        <w:rPr>
          <w:rFonts w:hint="eastAsia" w:hAnsi="宋体" w:cs="宋体"/>
          <w:color w:val="auto"/>
          <w:sz w:val="21"/>
          <w:szCs w:val="21"/>
          <w:highlight w:val="none"/>
          <w:lang w:val="en-US" w:eastAsia="zh-CN"/>
        </w:rPr>
        <w:t>采购人《合格供方库管理办法》的管理要求，在合同执行过程中，对出现进度、质量、服务及违规等问题，采购人可视违规行为的具体情形、情节轻重和危害程度，依据《合格供方库管理办法》给予暂停合格供应商资格、终止合格供应商资格、永久取消合格供应商资格（列入诚信黑名单）等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、我公司知悉并愿意接受贵司监督部门对本次竞争性比选活动的监督，积极配合相关工作，如实提供所需信息和资料。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、如我公司违反上述承诺，隐瞒、提供虚假资料或不按竞争性比选文件要求组织实施，被贵方发现或被他人举报查实，无条件接受贵司的处罚，对造成的损失，任何法律和经济责任完全由我方承担。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FF0000"/>
          <w:sz w:val="21"/>
          <w:szCs w:val="21"/>
          <w:highlight w:val="none"/>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承</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诺</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color w:val="auto"/>
          <w:kern w:val="0"/>
          <w:szCs w:val="21"/>
          <w:highlight w:val="none"/>
        </w:rPr>
      </w:pPr>
      <w:r>
        <w:rPr>
          <w:rFonts w:hint="eastAsia" w:ascii="宋体" w:hAnsi="宋体" w:eastAsia="宋体" w:cs="宋体"/>
          <w:b/>
          <w:bCs/>
          <w:color w:val="auto"/>
          <w:sz w:val="21"/>
          <w:szCs w:val="21"/>
          <w:highlight w:val="none"/>
          <w:lang w:val="en-US" w:eastAsia="zh-CN"/>
        </w:rPr>
        <w:t xml:space="preserve">                         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年</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月</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日</w:t>
      </w:r>
    </w:p>
    <w:p>
      <w:pPr>
        <w:rPr>
          <w:rFonts w:hint="eastAsia" w:ascii="宋体" w:hAnsi="宋体"/>
          <w:b/>
          <w:bCs/>
          <w:color w:val="auto"/>
          <w:sz w:val="24"/>
          <w:highlight w:val="none"/>
        </w:rPr>
      </w:pPr>
      <w:r>
        <w:rPr>
          <w:rFonts w:hint="eastAsia" w:ascii="宋体" w:hAnsi="宋体"/>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37" w:name="_Toc22594"/>
      <w:r>
        <w:rPr>
          <w:rFonts w:hint="eastAsia" w:ascii="宋体" w:hAnsi="宋体" w:eastAsia="宋体" w:cs="宋体"/>
          <w:b/>
          <w:bCs/>
          <w:color w:val="auto"/>
          <w:kern w:val="0"/>
          <w:sz w:val="28"/>
          <w:szCs w:val="32"/>
          <w:highlight w:val="none"/>
          <w:lang w:val="en-US" w:eastAsia="zh-CN" w:bidi="ar-SA"/>
        </w:rPr>
        <w:t>六、报价人其他资料</w:t>
      </w:r>
      <w:bookmarkEnd w:id="237"/>
    </w:p>
    <w:p>
      <w:pPr>
        <w:pStyle w:val="2"/>
        <w:rPr>
          <w:rFonts w:ascii="宋体" w:hAnsi="宋体"/>
          <w:color w:val="auto"/>
          <w:sz w:val="24"/>
          <w:highlight w:val="none"/>
        </w:rPr>
      </w:pPr>
    </w:p>
    <w:p>
      <w:pPr>
        <w:pStyle w:val="5"/>
        <w:spacing w:before="0" w:after="0" w:line="360" w:lineRule="auto"/>
        <w:jc w:val="center"/>
        <w:rPr>
          <w:color w:val="auto"/>
          <w:sz w:val="28"/>
          <w:szCs w:val="28"/>
          <w:highlight w:val="none"/>
        </w:rPr>
      </w:pPr>
      <w:r>
        <w:rPr>
          <w:rFonts w:hint="eastAsia"/>
          <w:color w:val="auto"/>
          <w:sz w:val="28"/>
          <w:szCs w:val="28"/>
          <w:highlight w:val="none"/>
        </w:rPr>
        <w:t>（一）报价人基本信息表</w:t>
      </w:r>
    </w:p>
    <w:p>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bl>
    <w:p>
      <w:pPr>
        <w:pStyle w:val="2"/>
        <w:rPr>
          <w:rFonts w:hint="eastAsia" w:ascii="宋体" w:hAnsi="宋体" w:cs="宋体"/>
          <w:color w:val="auto"/>
          <w:sz w:val="28"/>
          <w:highlight w:val="none"/>
          <w:lang w:eastAsia="zh-CN"/>
        </w:rPr>
      </w:pPr>
    </w:p>
    <w:p>
      <w:pPr>
        <w:pStyle w:val="2"/>
        <w:rPr>
          <w:rFonts w:hint="eastAsia" w:ascii="宋体" w:hAnsi="宋体" w:cs="宋体"/>
          <w:color w:val="auto"/>
          <w:sz w:val="28"/>
          <w:highlight w:val="none"/>
          <w:lang w:eastAsia="zh-CN"/>
        </w:rPr>
      </w:pPr>
    </w:p>
    <w:p>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pPr>
        <w:rPr>
          <w:color w:val="auto"/>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5250" w:firstLineChars="25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tabs>
          <w:tab w:val="left" w:pos="7140"/>
          <w:tab w:val="left" w:pos="7560"/>
          <w:tab w:val="left" w:pos="8300"/>
        </w:tabs>
        <w:autoSpaceDE w:val="0"/>
        <w:autoSpaceDN w:val="0"/>
        <w:adjustRightInd w:val="0"/>
        <w:ind w:firstLine="420" w:firstLineChars="200"/>
        <w:rPr>
          <w:rFonts w:hint="eastAsia" w:ascii="宋体" w:hAnsi="宋体"/>
          <w:snapToGrid w:val="0"/>
          <w:color w:val="auto"/>
          <w:kern w:val="0"/>
          <w:szCs w:val="21"/>
          <w:highlight w:val="none"/>
        </w:rPr>
      </w:pPr>
    </w:p>
    <w:p>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rFonts w:hint="eastAsia"/>
          <w:color w:val="auto"/>
          <w:highlight w:val="none"/>
        </w:rPr>
      </w:pP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）技术部分</w:t>
      </w:r>
    </w:p>
    <w:p>
      <w:pPr>
        <w:pStyle w:val="4"/>
        <w:spacing w:before="0" w:after="0" w:line="360" w:lineRule="auto"/>
        <w:jc w:val="center"/>
        <w:outlineLvl w:val="9"/>
        <w:rPr>
          <w:rFonts w:ascii="宋体" w:hAnsi="宋体" w:eastAsia="宋体" w:cs="宋体"/>
          <w:color w:val="auto"/>
          <w:sz w:val="28"/>
          <w:highlight w:val="none"/>
        </w:rPr>
      </w:pPr>
    </w:p>
    <w:p>
      <w:pPr>
        <w:wordWrap w:val="0"/>
        <w:adjustRightInd w:val="0"/>
        <w:snapToGrid w:val="0"/>
        <w:spacing w:line="460" w:lineRule="exact"/>
        <w:ind w:firstLine="422" w:firstLineChars="200"/>
        <w:jc w:val="left"/>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bidi="ar"/>
        </w:rPr>
        <w:t>[提示：</w:t>
      </w:r>
      <w:r>
        <w:rPr>
          <w:rFonts w:hint="eastAsia" w:asciiTheme="minorEastAsia" w:hAnsiTheme="minorEastAsia" w:eastAsiaTheme="minorEastAsia" w:cstheme="minorEastAsia"/>
          <w:b/>
          <w:color w:val="auto"/>
          <w:kern w:val="0"/>
          <w:szCs w:val="21"/>
          <w:highlight w:val="none"/>
          <w:lang w:val="en-US" w:eastAsia="zh-CN" w:bidi="ar"/>
        </w:rPr>
        <w:t>当竞争性比选文件采用综合评估法时，“第三章 评标办法”</w:t>
      </w:r>
      <w:r>
        <w:rPr>
          <w:rFonts w:hint="eastAsia" w:asciiTheme="minorEastAsia" w:hAnsiTheme="minorEastAsia" w:eastAsiaTheme="minorEastAsia" w:cstheme="minorEastAsia"/>
          <w:b/>
          <w:color w:val="auto"/>
          <w:kern w:val="0"/>
          <w:szCs w:val="21"/>
          <w:highlight w:val="none"/>
          <w:lang w:bidi="ar"/>
        </w:rPr>
        <w:t>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pP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四</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商务</w:t>
      </w:r>
      <w:r>
        <w:rPr>
          <w:rFonts w:hint="eastAsia" w:ascii="宋体" w:hAnsi="宋体" w:cs="宋体"/>
          <w:b/>
          <w:bCs/>
          <w:color w:val="auto"/>
          <w:kern w:val="0"/>
          <w:sz w:val="28"/>
          <w:szCs w:val="32"/>
          <w:highlight w:val="none"/>
        </w:rPr>
        <w:t>部分</w:t>
      </w:r>
    </w:p>
    <w:p>
      <w:pPr>
        <w:pStyle w:val="4"/>
        <w:spacing w:before="0" w:after="0" w:line="360" w:lineRule="auto"/>
        <w:jc w:val="center"/>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[提示：</w:t>
      </w:r>
      <w:r>
        <w:rPr>
          <w:rFonts w:hint="eastAsia" w:ascii="宋体" w:hAnsi="宋体" w:eastAsia="宋体" w:cs="宋体"/>
          <w:b/>
          <w:color w:val="auto"/>
          <w:kern w:val="0"/>
          <w:sz w:val="21"/>
          <w:szCs w:val="21"/>
          <w:highlight w:val="none"/>
          <w:lang w:val="en-US" w:eastAsia="zh-CN" w:bidi="ar"/>
        </w:rPr>
        <w:t>当竞争性比选文件采用综合评估法时，“第三章 评标办法”</w:t>
      </w:r>
      <w:r>
        <w:rPr>
          <w:rFonts w:hint="eastAsia" w:ascii="宋体" w:hAnsi="宋体" w:eastAsia="宋体" w:cs="宋体"/>
          <w:b/>
          <w:color w:val="auto"/>
          <w:kern w:val="0"/>
          <w:sz w:val="21"/>
          <w:szCs w:val="21"/>
          <w:highlight w:val="none"/>
          <w:lang w:bidi="ar"/>
        </w:rPr>
        <w:t>商务部分评分标准所涉及的内容及相关佐证资料由投标人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五</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pPr>
        <w:wordWrap w:val="0"/>
        <w:adjustRightInd w:val="0"/>
        <w:snapToGrid w:val="0"/>
        <w:spacing w:line="460" w:lineRule="exact"/>
        <w:jc w:val="left"/>
        <w:rPr>
          <w:rFonts w:hint="eastAsia" w:ascii="宋体" w:hAnsi="宋体" w:cs="宋体"/>
          <w:color w:val="auto"/>
          <w:szCs w:val="21"/>
          <w:highlight w:val="none"/>
          <w:lang w:bidi="ar"/>
        </w:rPr>
      </w:pPr>
    </w:p>
    <w:p>
      <w:pPr>
        <w:pStyle w:val="2"/>
        <w:rPr>
          <w:color w:val="auto"/>
          <w:highlight w:val="none"/>
        </w:rPr>
      </w:pPr>
    </w:p>
    <w:p>
      <w:pPr>
        <w:rPr>
          <w:rFonts w:ascii="宋体" w:hAnsi="宋体" w:cs="宋体"/>
          <w:color w:val="auto"/>
          <w:sz w:val="28"/>
          <w:highlight w:val="none"/>
        </w:rPr>
      </w:pPr>
    </w:p>
    <w:bookmarkEnd w:id="231"/>
    <w:bookmarkEnd w:id="232"/>
    <w:p>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935FED9-1398-4C38-9489-A24EAA9884E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BA4C38C3-5B67-4649-8D1F-3953A5F70FE6}"/>
  </w:font>
  <w:font w:name="微软雅黑">
    <w:panose1 w:val="020B0503020204020204"/>
    <w:charset w:val="86"/>
    <w:family w:val="swiss"/>
    <w:pitch w:val="default"/>
    <w:sig w:usb0="80000287" w:usb1="2ACF3C50" w:usb2="00000016" w:usb3="00000000" w:csb0="0004001F" w:csb1="00000000"/>
    <w:embedRegular r:id="rId3" w:fontKey="{39D9AA70-E76A-4E15-83BB-1456C0A218AE}"/>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4" w:fontKey="{DAC5B988-CC41-4ED2-B212-9CDBE187BDB8}"/>
  </w:font>
  <w:font w:name="仿宋">
    <w:panose1 w:val="02010609060101010101"/>
    <w:charset w:val="86"/>
    <w:family w:val="auto"/>
    <w:pitch w:val="default"/>
    <w:sig w:usb0="800002BF" w:usb1="38CF7CFA" w:usb2="00000016" w:usb3="00000000" w:csb0="00040001" w:csb1="00000000"/>
    <w:embedRegular r:id="rId5" w:fontKey="{CB83556B-578F-4849-982A-3811065F39C9}"/>
  </w:font>
  <w:font w:name="方正小标宋_GBK">
    <w:panose1 w:val="03000509000000000000"/>
    <w:charset w:val="86"/>
    <w:family w:val="script"/>
    <w:pitch w:val="default"/>
    <w:sig w:usb0="00000001" w:usb1="080E0000" w:usb2="00000000" w:usb3="00000000" w:csb0="00040000" w:csb1="00000000"/>
    <w:embedRegular r:id="rId6" w:fontKey="{271CE0CA-64C4-42A5-8BA8-B4BDF196AA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2DE59"/>
    <w:multiLevelType w:val="singleLevel"/>
    <w:tmpl w:val="BF92DE59"/>
    <w:lvl w:ilvl="0" w:tentative="0">
      <w:start w:val="1"/>
      <w:numFmt w:val="decimal"/>
      <w:lvlText w:val="%1."/>
      <w:lvlJc w:val="left"/>
      <w:pPr>
        <w:tabs>
          <w:tab w:val="left" w:pos="312"/>
        </w:tabs>
      </w:pPr>
    </w:lvl>
  </w:abstractNum>
  <w:abstractNum w:abstractNumId="1">
    <w:nsid w:val="C6A12678"/>
    <w:multiLevelType w:val="singleLevel"/>
    <w:tmpl w:val="C6A12678"/>
    <w:lvl w:ilvl="0" w:tentative="0">
      <w:start w:val="1"/>
      <w:numFmt w:val="chineseCounting"/>
      <w:suff w:val="nothing"/>
      <w:lvlText w:val="%1、"/>
      <w:lvlJc w:val="left"/>
      <w:rPr>
        <w:rFonts w:hint="eastAsia"/>
      </w:rPr>
    </w:lvl>
  </w:abstractNum>
  <w:abstractNum w:abstractNumId="2">
    <w:nsid w:val="C87D13C6"/>
    <w:multiLevelType w:val="singleLevel"/>
    <w:tmpl w:val="C87D13C6"/>
    <w:lvl w:ilvl="0" w:tentative="0">
      <w:start w:val="3"/>
      <w:numFmt w:val="chineseCounting"/>
      <w:suff w:val="space"/>
      <w:lvlText w:val="第%1章"/>
      <w:lvlJc w:val="left"/>
      <w:rPr>
        <w:rFonts w:hint="eastAsia"/>
      </w:rPr>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61027DAC"/>
    <w:multiLevelType w:val="singleLevel"/>
    <w:tmpl w:val="61027DAC"/>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 w:name="KGWebUrl" w:val="http://113.250.85.227:8081/weaver/weaver.file.FileDownloadForNews?uuid=4fa64b3c-f312-420e-b0b4-317b26e7d909&amp;fileid=261253&amp;type=document&amp;isofficeview=0&amp;requestid=undefined&amp;authStr=undefined&amp;authSignatureStr=undefined&amp;f_weaver_belongto_userid=undefined&amp;isrequest=1&amp;download=1&amp;f_weaver_belongto_usertype=0"/>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26771"/>
    <w:rsid w:val="01A8609A"/>
    <w:rsid w:val="02195A53"/>
    <w:rsid w:val="023B0129"/>
    <w:rsid w:val="029D41FE"/>
    <w:rsid w:val="02A800C5"/>
    <w:rsid w:val="02C6499B"/>
    <w:rsid w:val="02C91CAA"/>
    <w:rsid w:val="033E10C9"/>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7C53E7"/>
    <w:rsid w:val="06820F5E"/>
    <w:rsid w:val="06951992"/>
    <w:rsid w:val="06AE2ABA"/>
    <w:rsid w:val="06C75DF5"/>
    <w:rsid w:val="06C76C7A"/>
    <w:rsid w:val="06DD02BB"/>
    <w:rsid w:val="06E43F57"/>
    <w:rsid w:val="06E71F51"/>
    <w:rsid w:val="06F965AD"/>
    <w:rsid w:val="07050666"/>
    <w:rsid w:val="071C4DB7"/>
    <w:rsid w:val="07362674"/>
    <w:rsid w:val="073B54B2"/>
    <w:rsid w:val="07537EF9"/>
    <w:rsid w:val="075E37B5"/>
    <w:rsid w:val="07815EE7"/>
    <w:rsid w:val="07C66F31"/>
    <w:rsid w:val="08170505"/>
    <w:rsid w:val="081748AE"/>
    <w:rsid w:val="08635851"/>
    <w:rsid w:val="08C2359B"/>
    <w:rsid w:val="09041814"/>
    <w:rsid w:val="092D7BDC"/>
    <w:rsid w:val="09332D2B"/>
    <w:rsid w:val="093E2D64"/>
    <w:rsid w:val="09472203"/>
    <w:rsid w:val="094E590C"/>
    <w:rsid w:val="0950680C"/>
    <w:rsid w:val="098B1DA7"/>
    <w:rsid w:val="09907951"/>
    <w:rsid w:val="099F43E4"/>
    <w:rsid w:val="09A31A61"/>
    <w:rsid w:val="09BA7A85"/>
    <w:rsid w:val="09BF594F"/>
    <w:rsid w:val="09DE1094"/>
    <w:rsid w:val="09E2475B"/>
    <w:rsid w:val="0A3F34B7"/>
    <w:rsid w:val="0A4B11BE"/>
    <w:rsid w:val="0A7B4003"/>
    <w:rsid w:val="0A8E5B8D"/>
    <w:rsid w:val="0AA240FA"/>
    <w:rsid w:val="0AAC0CBB"/>
    <w:rsid w:val="0ABA5513"/>
    <w:rsid w:val="0AD84BD3"/>
    <w:rsid w:val="0AE941D3"/>
    <w:rsid w:val="0B1061C6"/>
    <w:rsid w:val="0B2B08D5"/>
    <w:rsid w:val="0BA35012"/>
    <w:rsid w:val="0BB47FE1"/>
    <w:rsid w:val="0BB825ED"/>
    <w:rsid w:val="0BC0647C"/>
    <w:rsid w:val="0BD7624B"/>
    <w:rsid w:val="0BF26817"/>
    <w:rsid w:val="0C22464A"/>
    <w:rsid w:val="0C2B72AE"/>
    <w:rsid w:val="0C3408AF"/>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90531D"/>
    <w:rsid w:val="0FAD64B5"/>
    <w:rsid w:val="0FB21FD4"/>
    <w:rsid w:val="0FFF5930"/>
    <w:rsid w:val="10A265EF"/>
    <w:rsid w:val="10DF2B28"/>
    <w:rsid w:val="10EC4A0F"/>
    <w:rsid w:val="11156FC6"/>
    <w:rsid w:val="11366ED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7B0620"/>
    <w:rsid w:val="138B4634"/>
    <w:rsid w:val="138F1214"/>
    <w:rsid w:val="13BF412F"/>
    <w:rsid w:val="13D101C7"/>
    <w:rsid w:val="1400440E"/>
    <w:rsid w:val="14065285"/>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B71B24"/>
    <w:rsid w:val="15E63361"/>
    <w:rsid w:val="160B0227"/>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67066F"/>
    <w:rsid w:val="1B7229E4"/>
    <w:rsid w:val="1B7A5EC7"/>
    <w:rsid w:val="1B7F03EA"/>
    <w:rsid w:val="1B8E5EC0"/>
    <w:rsid w:val="1BBE4697"/>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876CA0"/>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C64455"/>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0F46F5"/>
    <w:rsid w:val="283962F8"/>
    <w:rsid w:val="285F2F19"/>
    <w:rsid w:val="287A36F4"/>
    <w:rsid w:val="288458E7"/>
    <w:rsid w:val="28A33A20"/>
    <w:rsid w:val="28A47F17"/>
    <w:rsid w:val="290212C1"/>
    <w:rsid w:val="290D5B09"/>
    <w:rsid w:val="290D5ED8"/>
    <w:rsid w:val="29656DCE"/>
    <w:rsid w:val="296E75F6"/>
    <w:rsid w:val="298B4B23"/>
    <w:rsid w:val="29B71FDB"/>
    <w:rsid w:val="29CF18DD"/>
    <w:rsid w:val="29D65D23"/>
    <w:rsid w:val="29D875FE"/>
    <w:rsid w:val="29E259F5"/>
    <w:rsid w:val="29F232B2"/>
    <w:rsid w:val="29FA4AED"/>
    <w:rsid w:val="2A0B100E"/>
    <w:rsid w:val="2A0F3808"/>
    <w:rsid w:val="2A194E5D"/>
    <w:rsid w:val="2A21554B"/>
    <w:rsid w:val="2A594BC2"/>
    <w:rsid w:val="2A9F7561"/>
    <w:rsid w:val="2AA90FA0"/>
    <w:rsid w:val="2AB31CE2"/>
    <w:rsid w:val="2AB55266"/>
    <w:rsid w:val="2B487382"/>
    <w:rsid w:val="2B552F60"/>
    <w:rsid w:val="2B7841A6"/>
    <w:rsid w:val="2BB367B9"/>
    <w:rsid w:val="2BC45071"/>
    <w:rsid w:val="2C066FA7"/>
    <w:rsid w:val="2C13380B"/>
    <w:rsid w:val="2C184D47"/>
    <w:rsid w:val="2C796A89"/>
    <w:rsid w:val="2CBD3A96"/>
    <w:rsid w:val="2CC74339"/>
    <w:rsid w:val="2CCC23F7"/>
    <w:rsid w:val="2CCE1414"/>
    <w:rsid w:val="2CF93ABF"/>
    <w:rsid w:val="2D1E27A3"/>
    <w:rsid w:val="2D394FF5"/>
    <w:rsid w:val="2D623014"/>
    <w:rsid w:val="2D766528"/>
    <w:rsid w:val="2DBB39E2"/>
    <w:rsid w:val="2E173684"/>
    <w:rsid w:val="2E1751F9"/>
    <w:rsid w:val="2E6A704D"/>
    <w:rsid w:val="2E8A6255"/>
    <w:rsid w:val="2F0B1048"/>
    <w:rsid w:val="2F141AAA"/>
    <w:rsid w:val="2F9A6191"/>
    <w:rsid w:val="2FA84EF1"/>
    <w:rsid w:val="2FCA4353"/>
    <w:rsid w:val="2FE55D75"/>
    <w:rsid w:val="2FF23F99"/>
    <w:rsid w:val="300A288E"/>
    <w:rsid w:val="30236367"/>
    <w:rsid w:val="30331BC6"/>
    <w:rsid w:val="303E7E03"/>
    <w:rsid w:val="304A182B"/>
    <w:rsid w:val="306939C3"/>
    <w:rsid w:val="30700C52"/>
    <w:rsid w:val="30757C00"/>
    <w:rsid w:val="307D5D65"/>
    <w:rsid w:val="30B34CE3"/>
    <w:rsid w:val="30CB1C83"/>
    <w:rsid w:val="30ED2830"/>
    <w:rsid w:val="31116EA7"/>
    <w:rsid w:val="312F0338"/>
    <w:rsid w:val="316B2857"/>
    <w:rsid w:val="31832D29"/>
    <w:rsid w:val="319D5339"/>
    <w:rsid w:val="319F2F47"/>
    <w:rsid w:val="31A974F8"/>
    <w:rsid w:val="31D20CDE"/>
    <w:rsid w:val="31F37E23"/>
    <w:rsid w:val="31FE689A"/>
    <w:rsid w:val="32223DC6"/>
    <w:rsid w:val="325A02A1"/>
    <w:rsid w:val="32827D75"/>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6925DA"/>
    <w:rsid w:val="34753860"/>
    <w:rsid w:val="34A61339"/>
    <w:rsid w:val="34CC3006"/>
    <w:rsid w:val="34F3793E"/>
    <w:rsid w:val="353C59B9"/>
    <w:rsid w:val="35574E9C"/>
    <w:rsid w:val="35712E34"/>
    <w:rsid w:val="35C10F67"/>
    <w:rsid w:val="35ED793B"/>
    <w:rsid w:val="35F84740"/>
    <w:rsid w:val="36383125"/>
    <w:rsid w:val="366C082D"/>
    <w:rsid w:val="368C388A"/>
    <w:rsid w:val="36C90DD1"/>
    <w:rsid w:val="37335AE2"/>
    <w:rsid w:val="374634AB"/>
    <w:rsid w:val="374B6987"/>
    <w:rsid w:val="37704489"/>
    <w:rsid w:val="37710026"/>
    <w:rsid w:val="37925427"/>
    <w:rsid w:val="37A55DCC"/>
    <w:rsid w:val="37CA04FF"/>
    <w:rsid w:val="37D30771"/>
    <w:rsid w:val="37EC0BB8"/>
    <w:rsid w:val="38995839"/>
    <w:rsid w:val="39265074"/>
    <w:rsid w:val="392B274A"/>
    <w:rsid w:val="394C4C39"/>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DD86A9B"/>
    <w:rsid w:val="3E044CAE"/>
    <w:rsid w:val="3E12201C"/>
    <w:rsid w:val="3E427218"/>
    <w:rsid w:val="3EA72ABE"/>
    <w:rsid w:val="3EAD4174"/>
    <w:rsid w:val="3EAD7F9C"/>
    <w:rsid w:val="3EB32892"/>
    <w:rsid w:val="3EBC3336"/>
    <w:rsid w:val="3EDE79C6"/>
    <w:rsid w:val="3EF65530"/>
    <w:rsid w:val="3EF9D3F1"/>
    <w:rsid w:val="3F064AE9"/>
    <w:rsid w:val="3F3B0C43"/>
    <w:rsid w:val="3F431BA8"/>
    <w:rsid w:val="3F4C62B0"/>
    <w:rsid w:val="3F713308"/>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5014AB"/>
    <w:rsid w:val="44A446C0"/>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0703F1"/>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9B43F1"/>
    <w:rsid w:val="4BB92D8E"/>
    <w:rsid w:val="4BD07B58"/>
    <w:rsid w:val="4BE87BA5"/>
    <w:rsid w:val="4C3176AB"/>
    <w:rsid w:val="4C415DC1"/>
    <w:rsid w:val="4C6E278E"/>
    <w:rsid w:val="4CFF538B"/>
    <w:rsid w:val="4D4D7800"/>
    <w:rsid w:val="4D7251FF"/>
    <w:rsid w:val="4DDF3E76"/>
    <w:rsid w:val="4DE50C0B"/>
    <w:rsid w:val="4E11105D"/>
    <w:rsid w:val="4E16225A"/>
    <w:rsid w:val="4E253AB8"/>
    <w:rsid w:val="4E472C92"/>
    <w:rsid w:val="4E824D97"/>
    <w:rsid w:val="4E992864"/>
    <w:rsid w:val="4E9D5C2D"/>
    <w:rsid w:val="4EBA57C1"/>
    <w:rsid w:val="4EEA14D6"/>
    <w:rsid w:val="4F047E0A"/>
    <w:rsid w:val="4F477F24"/>
    <w:rsid w:val="4FA91AAC"/>
    <w:rsid w:val="4FBD0FF5"/>
    <w:rsid w:val="4FC854D7"/>
    <w:rsid w:val="50142DE1"/>
    <w:rsid w:val="5015687B"/>
    <w:rsid w:val="501926CA"/>
    <w:rsid w:val="503109FF"/>
    <w:rsid w:val="505E3D68"/>
    <w:rsid w:val="508F700E"/>
    <w:rsid w:val="509735C1"/>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4F368F"/>
    <w:rsid w:val="557D5B60"/>
    <w:rsid w:val="55834A19"/>
    <w:rsid w:val="559A2800"/>
    <w:rsid w:val="55F27046"/>
    <w:rsid w:val="55F526C6"/>
    <w:rsid w:val="56066DC9"/>
    <w:rsid w:val="564E1228"/>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750691"/>
    <w:rsid w:val="58AB575D"/>
    <w:rsid w:val="58BC728D"/>
    <w:rsid w:val="58DD0763"/>
    <w:rsid w:val="59445F91"/>
    <w:rsid w:val="59815208"/>
    <w:rsid w:val="59F001A4"/>
    <w:rsid w:val="5A1E2DE7"/>
    <w:rsid w:val="5A20427A"/>
    <w:rsid w:val="5A395FB6"/>
    <w:rsid w:val="5A436A2D"/>
    <w:rsid w:val="5A767910"/>
    <w:rsid w:val="5AEB4FF2"/>
    <w:rsid w:val="5B0A066E"/>
    <w:rsid w:val="5B123FA7"/>
    <w:rsid w:val="5B21789B"/>
    <w:rsid w:val="5B5E18A4"/>
    <w:rsid w:val="5B613C0E"/>
    <w:rsid w:val="5B955E96"/>
    <w:rsid w:val="5B9B3675"/>
    <w:rsid w:val="5BA26571"/>
    <w:rsid w:val="5BCA6564"/>
    <w:rsid w:val="5BD66D67"/>
    <w:rsid w:val="5C107D40"/>
    <w:rsid w:val="5C1E3775"/>
    <w:rsid w:val="5C381264"/>
    <w:rsid w:val="5C672644"/>
    <w:rsid w:val="5C8132C7"/>
    <w:rsid w:val="5CA23A25"/>
    <w:rsid w:val="5CB00EB7"/>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013C4C"/>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46652C"/>
    <w:rsid w:val="626343A0"/>
    <w:rsid w:val="626736F9"/>
    <w:rsid w:val="626B4082"/>
    <w:rsid w:val="626B6B00"/>
    <w:rsid w:val="628E1BE9"/>
    <w:rsid w:val="62D06FF9"/>
    <w:rsid w:val="62D765EB"/>
    <w:rsid w:val="636B22CC"/>
    <w:rsid w:val="636C198B"/>
    <w:rsid w:val="63B65AC7"/>
    <w:rsid w:val="63D7428B"/>
    <w:rsid w:val="640C4C0D"/>
    <w:rsid w:val="642D54CF"/>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A1ED0"/>
    <w:rsid w:val="679F2FF2"/>
    <w:rsid w:val="67AB61F8"/>
    <w:rsid w:val="67BA7741"/>
    <w:rsid w:val="67BD2A93"/>
    <w:rsid w:val="67E6170C"/>
    <w:rsid w:val="680D0CA5"/>
    <w:rsid w:val="68A45648"/>
    <w:rsid w:val="68A5668C"/>
    <w:rsid w:val="68B20836"/>
    <w:rsid w:val="68D27297"/>
    <w:rsid w:val="6911241F"/>
    <w:rsid w:val="695E7EED"/>
    <w:rsid w:val="69B67115"/>
    <w:rsid w:val="69B82DF4"/>
    <w:rsid w:val="69EE20B7"/>
    <w:rsid w:val="69EF53B4"/>
    <w:rsid w:val="6A126DD2"/>
    <w:rsid w:val="6A420E56"/>
    <w:rsid w:val="6A924E32"/>
    <w:rsid w:val="6A94008C"/>
    <w:rsid w:val="6A9E4A45"/>
    <w:rsid w:val="6AC635A8"/>
    <w:rsid w:val="6AE60947"/>
    <w:rsid w:val="6AEF6EB8"/>
    <w:rsid w:val="6B0B374F"/>
    <w:rsid w:val="6B0E6D92"/>
    <w:rsid w:val="6B17074E"/>
    <w:rsid w:val="6B1F0CCB"/>
    <w:rsid w:val="6B6234E5"/>
    <w:rsid w:val="6BBD11F5"/>
    <w:rsid w:val="6BCE1834"/>
    <w:rsid w:val="6BD12800"/>
    <w:rsid w:val="6BFF086D"/>
    <w:rsid w:val="6C022DB1"/>
    <w:rsid w:val="6C5E02FC"/>
    <w:rsid w:val="6C721812"/>
    <w:rsid w:val="6C8B0F52"/>
    <w:rsid w:val="6CDD0DD0"/>
    <w:rsid w:val="6CFA7DB1"/>
    <w:rsid w:val="6D0127E4"/>
    <w:rsid w:val="6D0333AE"/>
    <w:rsid w:val="6D135E16"/>
    <w:rsid w:val="6D1C168A"/>
    <w:rsid w:val="6D282CEC"/>
    <w:rsid w:val="6D347A31"/>
    <w:rsid w:val="6D3668DD"/>
    <w:rsid w:val="6D471CAB"/>
    <w:rsid w:val="6DAC0977"/>
    <w:rsid w:val="6DAF0D17"/>
    <w:rsid w:val="6DB941BD"/>
    <w:rsid w:val="6DC60F63"/>
    <w:rsid w:val="6DEF6D4C"/>
    <w:rsid w:val="6E0E4B39"/>
    <w:rsid w:val="6E151E87"/>
    <w:rsid w:val="6E351C40"/>
    <w:rsid w:val="6E4C770B"/>
    <w:rsid w:val="6E5F1098"/>
    <w:rsid w:val="6E6F2793"/>
    <w:rsid w:val="6E703D8E"/>
    <w:rsid w:val="6E84323D"/>
    <w:rsid w:val="6E942A76"/>
    <w:rsid w:val="6EA41FA2"/>
    <w:rsid w:val="6EB44AD4"/>
    <w:rsid w:val="6EF2F120"/>
    <w:rsid w:val="6F313FE8"/>
    <w:rsid w:val="6F381CAC"/>
    <w:rsid w:val="6F5751FD"/>
    <w:rsid w:val="6F6128C1"/>
    <w:rsid w:val="6F9C6902"/>
    <w:rsid w:val="6FA0729C"/>
    <w:rsid w:val="6FEF4FB0"/>
    <w:rsid w:val="700A492A"/>
    <w:rsid w:val="70100CA2"/>
    <w:rsid w:val="70393572"/>
    <w:rsid w:val="70437390"/>
    <w:rsid w:val="707A7026"/>
    <w:rsid w:val="70A24D48"/>
    <w:rsid w:val="70BA64EF"/>
    <w:rsid w:val="70C900DF"/>
    <w:rsid w:val="70F80524"/>
    <w:rsid w:val="710A2419"/>
    <w:rsid w:val="71326D32"/>
    <w:rsid w:val="714C2CD0"/>
    <w:rsid w:val="715A596A"/>
    <w:rsid w:val="7165637B"/>
    <w:rsid w:val="717C247D"/>
    <w:rsid w:val="717F26E4"/>
    <w:rsid w:val="71816B8E"/>
    <w:rsid w:val="71832D29"/>
    <w:rsid w:val="71907818"/>
    <w:rsid w:val="71B252F9"/>
    <w:rsid w:val="71E95916"/>
    <w:rsid w:val="7203413E"/>
    <w:rsid w:val="7250588C"/>
    <w:rsid w:val="726F5278"/>
    <w:rsid w:val="727E786A"/>
    <w:rsid w:val="72887FD4"/>
    <w:rsid w:val="72BD0544"/>
    <w:rsid w:val="72C0472D"/>
    <w:rsid w:val="72CF00B7"/>
    <w:rsid w:val="72D11D5C"/>
    <w:rsid w:val="72E85DAD"/>
    <w:rsid w:val="732303D9"/>
    <w:rsid w:val="73532CC9"/>
    <w:rsid w:val="736F4591"/>
    <w:rsid w:val="73993FFB"/>
    <w:rsid w:val="73D37E0A"/>
    <w:rsid w:val="73D73D11"/>
    <w:rsid w:val="73D937EE"/>
    <w:rsid w:val="744975DD"/>
    <w:rsid w:val="746920A5"/>
    <w:rsid w:val="74CB1EDB"/>
    <w:rsid w:val="74DE73F5"/>
    <w:rsid w:val="751E77AF"/>
    <w:rsid w:val="75D07F8B"/>
    <w:rsid w:val="75EE5669"/>
    <w:rsid w:val="76957051"/>
    <w:rsid w:val="76966F18"/>
    <w:rsid w:val="76BD4232"/>
    <w:rsid w:val="76C10199"/>
    <w:rsid w:val="76C57BCB"/>
    <w:rsid w:val="76F927CD"/>
    <w:rsid w:val="773B2934"/>
    <w:rsid w:val="773E064E"/>
    <w:rsid w:val="774E1211"/>
    <w:rsid w:val="777B71D8"/>
    <w:rsid w:val="77A54D53"/>
    <w:rsid w:val="77D75F2B"/>
    <w:rsid w:val="77FC6767"/>
    <w:rsid w:val="781A0BEC"/>
    <w:rsid w:val="78202415"/>
    <w:rsid w:val="78213FC9"/>
    <w:rsid w:val="78513353"/>
    <w:rsid w:val="78701D9C"/>
    <w:rsid w:val="789B4D29"/>
    <w:rsid w:val="78FA0671"/>
    <w:rsid w:val="793A634F"/>
    <w:rsid w:val="79515378"/>
    <w:rsid w:val="798635EB"/>
    <w:rsid w:val="79A5750A"/>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29438A"/>
    <w:rsid w:val="7C456120"/>
    <w:rsid w:val="7C5728ED"/>
    <w:rsid w:val="7C82779C"/>
    <w:rsid w:val="7C9408F4"/>
    <w:rsid w:val="7CB4634A"/>
    <w:rsid w:val="7CB83597"/>
    <w:rsid w:val="7CB90CC2"/>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F05364F"/>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DFE460DC"/>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4"/>
    <w:link w:val="68"/>
    <w:qFormat/>
    <w:uiPriority w:val="0"/>
    <w:pPr>
      <w:ind w:firstLine="420" w:firstLineChars="200"/>
    </w:pPr>
  </w:style>
  <w:style w:type="paragraph" w:styleId="14">
    <w:name w:val="Balloon Text"/>
    <w:basedOn w:val="1"/>
    <w:link w:val="79"/>
    <w:qFormat/>
    <w:uiPriority w:val="0"/>
    <w:rPr>
      <w:kern w:val="0"/>
      <w:sz w:val="18"/>
      <w:szCs w:val="18"/>
    </w:r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Indent"/>
    <w:basedOn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6"/>
    <w:next w:val="16"/>
    <w:link w:val="67"/>
    <w:qFormat/>
    <w:uiPriority w:val="0"/>
    <w:rPr>
      <w:b/>
      <w:bCs/>
    </w:rPr>
  </w:style>
  <w:style w:type="paragraph" w:styleId="41">
    <w:name w:val="Body Text First Indent 2"/>
    <w:basedOn w:val="18"/>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14"/>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40</Pages>
  <Words>13391</Words>
  <Characters>13921</Characters>
  <Lines>116</Lines>
  <Paragraphs>32</Paragraphs>
  <TotalTime>6</TotalTime>
  <ScaleCrop>false</ScaleCrop>
  <LinksUpToDate>false</LinksUpToDate>
  <CharactersWithSpaces>15562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Kevin</cp:lastModifiedBy>
  <cp:lastPrinted>2025-07-09T03:35:00Z</cp:lastPrinted>
  <dcterms:modified xsi:type="dcterms:W3CDTF">2025-07-15T01:14:43Z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1E664FC71AE547E9862D7164993E47B4_13</vt:lpwstr>
  </property>
  <property fmtid="{D5CDD505-2E9C-101B-9397-08002B2CF9AE}" pid="4" name="KSOTemplateDocerSaveRecord">
    <vt:lpwstr>eyJoZGlkIjoiYmVmM2YyMGI5NzFhNjA2NzYzOTM4MzYyYzYxYjM3MTciLCJ1c2VySWQiOiI5ODk3ODM1NDAifQ==</vt:lpwstr>
  </property>
</Properties>
</file>