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bookmarkStart w:id="0" w:name="单据名称"/>
      <w:r>
        <w:rPr>
          <w:rFonts w:hint="eastAsia" w:ascii="宋体" w:hAnsi="宋体" w:cs="宋体"/>
          <w:b/>
          <w:color w:val="auto"/>
          <w:sz w:val="40"/>
          <w:szCs w:val="40"/>
          <w:highlight w:val="none"/>
        </w:rPr>
        <w:t>语音外呼功能集成及应用平台智能化升级开发服务</w:t>
      </w:r>
      <w:bookmarkEnd w:id="0"/>
    </w:p>
    <w:p>
      <w:pPr>
        <w:rPr>
          <w:rFonts w:ascii="宋体" w:hAnsi="宋体" w:cs="宋体"/>
          <w:color w:val="auto"/>
          <w:sz w:val="28"/>
          <w:szCs w:val="2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pPr>
        <w:jc w:val="center"/>
        <w:rPr>
          <w:rFonts w:ascii="宋体" w:hAnsi="宋体" w:cs="宋体"/>
          <w:b/>
          <w:color w:val="auto"/>
          <w:sz w:val="48"/>
          <w:szCs w:val="48"/>
          <w:highlight w:val="none"/>
        </w:rPr>
      </w:pPr>
    </w:p>
    <w:p>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pPr>
        <w:jc w:val="center"/>
        <w:rPr>
          <w:rFonts w:ascii="宋体" w:hAnsi="宋体" w:cs="宋体"/>
          <w:b/>
          <w:color w:val="auto"/>
          <w:sz w:val="48"/>
          <w:szCs w:val="48"/>
          <w:highlight w:val="none"/>
        </w:rPr>
      </w:pPr>
    </w:p>
    <w:p>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pPr>
        <w:spacing w:line="400" w:lineRule="exact"/>
        <w:rPr>
          <w:rFonts w:ascii="宋体" w:hAnsi="宋体" w:cs="宋体"/>
          <w:color w:val="auto"/>
          <w:highlight w:val="none"/>
        </w:rPr>
      </w:pPr>
    </w:p>
    <w:p>
      <w:pPr>
        <w:rPr>
          <w:color w:val="auto"/>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pPr>
        <w:jc w:val="center"/>
        <w:rPr>
          <w:rFonts w:hint="eastAsia" w:ascii="宋体" w:hAnsi="宋体" w:cs="宋体"/>
          <w:b/>
          <w:color w:val="auto"/>
          <w:sz w:val="32"/>
          <w:szCs w:val="32"/>
          <w:highlight w:val="none"/>
          <w:u w:val="single"/>
        </w:rPr>
      </w:pPr>
    </w:p>
    <w:p>
      <w:pPr>
        <w:jc w:val="center"/>
        <w:rPr>
          <w:rFonts w:ascii="宋体" w:hAnsi="宋体" w:cs="宋体"/>
          <w:b/>
          <w:color w:val="auto"/>
          <w:sz w:val="32"/>
          <w:szCs w:val="32"/>
          <w:highlight w:val="none"/>
        </w:rPr>
      </w:pPr>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年7月</w:t>
      </w:r>
    </w:p>
    <w:p>
      <w:pPr>
        <w:pStyle w:val="28"/>
        <w:jc w:val="center"/>
        <w:rPr>
          <w:rFonts w:ascii="宋体" w:hAnsi="宋体" w:cs="宋体"/>
          <w:color w:val="auto"/>
          <w:szCs w:val="21"/>
          <w:highlight w:val="none"/>
        </w:rPr>
      </w:pPr>
      <w:r>
        <w:rPr>
          <w:color w:val="auto"/>
          <w:highlight w:val="none"/>
        </w:rPr>
        <w:br w:type="page"/>
      </w:r>
      <w:bookmarkStart w:id="1" w:name="_Toc507319889"/>
      <w:bookmarkStart w:id="2" w:name="_Toc247085669"/>
      <w:bookmarkStart w:id="3" w:name="_Toc296602400"/>
      <w:r>
        <w:rPr>
          <w:rFonts w:hint="eastAsia" w:ascii="宋体" w:hAnsi="宋体" w:cs="宋体"/>
          <w:b w:val="0"/>
          <w:color w:val="auto"/>
          <w:sz w:val="32"/>
          <w:highlight w:val="none"/>
        </w:rPr>
        <w:t>目   录</w:t>
      </w:r>
      <w:bookmarkEnd w:id="1"/>
      <w:bookmarkEnd w:id="2"/>
      <w:bookmarkEnd w:id="3"/>
    </w:p>
    <w:p>
      <w:pPr>
        <w:pStyle w:val="28"/>
        <w:tabs>
          <w:tab w:val="right" w:leader="dot" w:pos="9638"/>
        </w:tabs>
        <w:rPr>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highlight w:val="none"/>
        </w:rPr>
        <w:instrText xml:space="preserve"> HYPERLINK \l _Toc10142 </w:instrText>
      </w:r>
      <w:r>
        <w:rPr>
          <w:rFonts w:hint="eastAsia" w:ascii="宋体" w:hAnsi="宋体" w:cs="宋体"/>
          <w:bCs w:val="0"/>
          <w:caps w:val="0"/>
          <w:highlight w:val="none"/>
        </w:rPr>
        <w:fldChar w:fldCharType="separate"/>
      </w:r>
      <w:r>
        <w:rPr>
          <w:rFonts w:hint="eastAsia" w:ascii="宋体" w:hAnsi="宋体" w:eastAsia="宋体" w:cs="宋体"/>
          <w:bCs/>
          <w:smallCaps w:val="0"/>
          <w:kern w:val="44"/>
          <w:szCs w:val="44"/>
          <w:highlight w:val="none"/>
          <w:lang w:val="en-US" w:eastAsia="zh-CN" w:bidi="ar-SA"/>
        </w:rPr>
        <w:t>第一章 比选公告</w:t>
      </w:r>
      <w:r>
        <w:rPr>
          <w:highlight w:val="none"/>
        </w:rPr>
        <w:tab/>
      </w:r>
      <w:r>
        <w:rPr>
          <w:highlight w:val="none"/>
        </w:rPr>
        <w:fldChar w:fldCharType="begin"/>
      </w:r>
      <w:r>
        <w:rPr>
          <w:highlight w:val="none"/>
        </w:rPr>
        <w:instrText xml:space="preserve"> PAGEREF _Toc10142 \h </w:instrText>
      </w:r>
      <w:r>
        <w:rPr>
          <w:highlight w:val="none"/>
        </w:rPr>
        <w:fldChar w:fldCharType="separate"/>
      </w:r>
      <w:r>
        <w:rPr>
          <w:highlight w:val="none"/>
        </w:rPr>
        <w:t>1</w:t>
      </w:r>
      <w:r>
        <w:rPr>
          <w:highlight w:val="none"/>
        </w:rPr>
        <w:fldChar w:fldCharType="end"/>
      </w:r>
      <w:r>
        <w:rPr>
          <w:rFonts w:hint="eastAsia" w:ascii="宋体" w:hAnsi="宋体" w:cs="宋体"/>
          <w:bCs w:val="0"/>
          <w:caps w:val="0"/>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_Toc13849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rPr>
          <w:highlight w:val="none"/>
        </w:rPr>
        <w:tab/>
      </w:r>
      <w:r>
        <w:rPr>
          <w:highlight w:val="none"/>
        </w:rPr>
        <w:fldChar w:fldCharType="begin"/>
      </w:r>
      <w:r>
        <w:rPr>
          <w:highlight w:val="none"/>
        </w:rPr>
        <w:instrText xml:space="preserve"> PAGEREF _Toc13849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_Toc7760 </w:instrText>
      </w:r>
      <w:r>
        <w:rPr>
          <w:rFonts w:hint="eastAsia" w:ascii="宋体" w:hAnsi="宋体" w:cs="宋体"/>
          <w:bCs/>
          <w:caps/>
          <w:highlight w:val="none"/>
        </w:rPr>
        <w:fldChar w:fldCharType="separate"/>
      </w:r>
      <w:r>
        <w:rPr>
          <w:rFonts w:hint="eastAsia" w:ascii="宋体" w:hAnsi="宋体" w:eastAsia="宋体" w:cs="宋体"/>
          <w:highlight w:val="none"/>
        </w:rPr>
        <w:t>2. 项目概况与比选范围</w:t>
      </w:r>
      <w:r>
        <w:rPr>
          <w:highlight w:val="none"/>
        </w:rPr>
        <w:tab/>
      </w:r>
      <w:r>
        <w:rPr>
          <w:highlight w:val="none"/>
        </w:rPr>
        <w:fldChar w:fldCharType="begin"/>
      </w:r>
      <w:r>
        <w:rPr>
          <w:highlight w:val="none"/>
        </w:rPr>
        <w:instrText xml:space="preserve"> PAGEREF _Toc7760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_Toc13092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rPr>
          <w:highlight w:val="none"/>
        </w:rPr>
        <w:tab/>
      </w:r>
      <w:r>
        <w:rPr>
          <w:highlight w:val="none"/>
        </w:rPr>
        <w:fldChar w:fldCharType="begin"/>
      </w:r>
      <w:r>
        <w:rPr>
          <w:highlight w:val="none"/>
        </w:rPr>
        <w:instrText xml:space="preserve"> PAGEREF _Toc13092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_Toc13035 </w:instrText>
      </w:r>
      <w:r>
        <w:rPr>
          <w:rFonts w:hint="eastAsia" w:ascii="宋体" w:hAnsi="宋体" w:cs="宋体"/>
          <w:bCs/>
          <w:caps/>
          <w:highlight w:val="none"/>
        </w:rPr>
        <w:fldChar w:fldCharType="separate"/>
      </w:r>
      <w:r>
        <w:rPr>
          <w:rFonts w:hint="eastAsia" w:ascii="宋体" w:hAnsi="宋体" w:eastAsia="宋体" w:cs="宋体"/>
          <w:highlight w:val="none"/>
        </w:rPr>
        <w:t>4. 评标办法</w:t>
      </w:r>
      <w:r>
        <w:rPr>
          <w:highlight w:val="none"/>
        </w:rPr>
        <w:tab/>
      </w:r>
      <w:r>
        <w:rPr>
          <w:highlight w:val="none"/>
        </w:rPr>
        <w:fldChar w:fldCharType="begin"/>
      </w:r>
      <w:r>
        <w:rPr>
          <w:highlight w:val="none"/>
        </w:rPr>
        <w:instrText xml:space="preserve"> PAGEREF _Toc13035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_Toc17600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5.</w:t>
      </w:r>
      <w:r>
        <w:rPr>
          <w:rFonts w:hint="eastAsia" w:ascii="宋体" w:hAnsi="宋体" w:eastAsia="宋体" w:cs="宋体"/>
          <w:highlight w:val="none"/>
        </w:rPr>
        <w:t>比选文件的获取</w:t>
      </w:r>
      <w:r>
        <w:rPr>
          <w:highlight w:val="none"/>
        </w:rPr>
        <w:tab/>
      </w:r>
      <w:r>
        <w:rPr>
          <w:highlight w:val="none"/>
        </w:rPr>
        <w:fldChar w:fldCharType="begin"/>
      </w:r>
      <w:r>
        <w:rPr>
          <w:highlight w:val="none"/>
        </w:rPr>
        <w:instrText xml:space="preserve"> PAGEREF _Toc17600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_Toc14325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竞争性比选响应文件的递交及相关事宜</w:t>
      </w:r>
      <w:r>
        <w:rPr>
          <w:highlight w:val="none"/>
        </w:rPr>
        <w:tab/>
      </w:r>
      <w:r>
        <w:rPr>
          <w:highlight w:val="none"/>
        </w:rPr>
        <w:fldChar w:fldCharType="begin"/>
      </w:r>
      <w:r>
        <w:rPr>
          <w:highlight w:val="none"/>
        </w:rPr>
        <w:instrText xml:space="preserve"> PAGEREF _Toc14325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_Toc4010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7</w:t>
      </w:r>
      <w:r>
        <w:rPr>
          <w:rFonts w:hint="eastAsia" w:ascii="宋体" w:hAnsi="宋体" w:eastAsia="宋体" w:cs="宋体"/>
          <w:highlight w:val="none"/>
        </w:rPr>
        <w:t>. 联系方式</w:t>
      </w:r>
      <w:r>
        <w:rPr>
          <w:highlight w:val="none"/>
        </w:rPr>
        <w:tab/>
      </w:r>
      <w:r>
        <w:rPr>
          <w:highlight w:val="none"/>
        </w:rPr>
        <w:fldChar w:fldCharType="begin"/>
      </w:r>
      <w:r>
        <w:rPr>
          <w:highlight w:val="none"/>
        </w:rPr>
        <w:instrText xml:space="preserve"> PAGEREF _Toc4010 \h </w:instrText>
      </w:r>
      <w:r>
        <w:rPr>
          <w:highlight w:val="none"/>
        </w:rPr>
        <w:fldChar w:fldCharType="separate"/>
      </w:r>
      <w:r>
        <w:rPr>
          <w:highlight w:val="none"/>
        </w:rPr>
        <w:t>2</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_Toc12865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_Toc12865 \h </w:instrText>
      </w:r>
      <w:r>
        <w:rPr>
          <w:highlight w:val="none"/>
        </w:rPr>
        <w:fldChar w:fldCharType="separate"/>
      </w:r>
      <w:r>
        <w:rPr>
          <w:highlight w:val="none"/>
        </w:rPr>
        <w:t>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_Toc21580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rPr>
          <w:highlight w:val="none"/>
        </w:rPr>
        <w:tab/>
      </w:r>
      <w:r>
        <w:rPr>
          <w:highlight w:val="none"/>
        </w:rPr>
        <w:fldChar w:fldCharType="begin"/>
      </w:r>
      <w:r>
        <w:rPr>
          <w:highlight w:val="none"/>
        </w:rPr>
        <w:instrText xml:space="preserve"> PAGEREF _Toc21580 \h </w:instrText>
      </w:r>
      <w:r>
        <w:rPr>
          <w:highlight w:val="none"/>
        </w:rPr>
        <w:fldChar w:fldCharType="separate"/>
      </w:r>
      <w:r>
        <w:rPr>
          <w:highlight w:val="none"/>
        </w:rPr>
        <w:t>10</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_Toc31719 </w:instrText>
      </w:r>
      <w:r>
        <w:rPr>
          <w:rFonts w:hint="eastAsia" w:ascii="宋体" w:hAnsi="宋体" w:cs="宋体"/>
          <w:bCs/>
          <w:caps/>
          <w:highlight w:val="none"/>
        </w:rPr>
        <w:fldChar w:fldCharType="separate"/>
      </w:r>
      <w:r>
        <w:rPr>
          <w:rFonts w:hint="eastAsia"/>
          <w:highlight w:val="none"/>
        </w:rPr>
        <w:t xml:space="preserve">第三章 </w:t>
      </w:r>
      <w:r>
        <w:rPr>
          <w:rFonts w:hint="eastAsia" w:ascii="宋体" w:hAnsi="宋体" w:cs="宋体"/>
          <w:highlight w:val="none"/>
        </w:rPr>
        <w:t>评标办法（综合评估法）</w:t>
      </w:r>
      <w:r>
        <w:rPr>
          <w:highlight w:val="none"/>
        </w:rPr>
        <w:tab/>
      </w:r>
      <w:r>
        <w:rPr>
          <w:highlight w:val="none"/>
        </w:rPr>
        <w:fldChar w:fldCharType="begin"/>
      </w:r>
      <w:r>
        <w:rPr>
          <w:highlight w:val="none"/>
        </w:rPr>
        <w:instrText xml:space="preserve"> PAGEREF _Toc31719 \h </w:instrText>
      </w:r>
      <w:r>
        <w:rPr>
          <w:highlight w:val="none"/>
        </w:rPr>
        <w:fldChar w:fldCharType="separate"/>
      </w:r>
      <w:r>
        <w:rPr>
          <w:highlight w:val="none"/>
        </w:rPr>
        <w:t>12</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_Toc6735 </w:instrText>
      </w:r>
      <w:r>
        <w:rPr>
          <w:rFonts w:hint="eastAsia" w:ascii="宋体" w:hAnsi="宋体" w:cs="宋体"/>
          <w:bCs/>
          <w:caps/>
          <w:highlight w:val="none"/>
        </w:rPr>
        <w:fldChar w:fldCharType="separate"/>
      </w:r>
      <w:r>
        <w:rPr>
          <w:rFonts w:hint="eastAsia" w:ascii="宋体" w:hAnsi="宋体" w:cs="宋体"/>
          <w:szCs w:val="21"/>
          <w:highlight w:val="none"/>
        </w:rPr>
        <w:t>1.  评标方法</w:t>
      </w:r>
      <w:r>
        <w:rPr>
          <w:highlight w:val="none"/>
        </w:rPr>
        <w:tab/>
      </w:r>
      <w:r>
        <w:rPr>
          <w:highlight w:val="none"/>
        </w:rPr>
        <w:fldChar w:fldCharType="begin"/>
      </w:r>
      <w:r>
        <w:rPr>
          <w:highlight w:val="none"/>
        </w:rPr>
        <w:instrText xml:space="preserve"> PAGEREF _Toc6735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_Toc1052 </w:instrText>
      </w:r>
      <w:r>
        <w:rPr>
          <w:rFonts w:hint="eastAsia" w:ascii="宋体" w:hAnsi="宋体" w:cs="宋体"/>
          <w:bCs/>
          <w:caps/>
          <w:highlight w:val="none"/>
        </w:rPr>
        <w:fldChar w:fldCharType="separate"/>
      </w:r>
      <w:r>
        <w:rPr>
          <w:rFonts w:hint="eastAsia" w:ascii="宋体" w:hAnsi="宋体" w:cs="宋体"/>
          <w:szCs w:val="21"/>
          <w:highlight w:val="none"/>
        </w:rPr>
        <w:t>2.  评审标准</w:t>
      </w:r>
      <w:r>
        <w:rPr>
          <w:highlight w:val="none"/>
        </w:rPr>
        <w:tab/>
      </w:r>
      <w:r>
        <w:rPr>
          <w:highlight w:val="none"/>
        </w:rPr>
        <w:fldChar w:fldCharType="begin"/>
      </w:r>
      <w:r>
        <w:rPr>
          <w:highlight w:val="none"/>
        </w:rPr>
        <w:instrText xml:space="preserve"> PAGEREF _Toc1052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_Toc10650 </w:instrText>
      </w:r>
      <w:r>
        <w:rPr>
          <w:rFonts w:hint="eastAsia" w:ascii="宋体" w:hAnsi="宋体" w:cs="宋体"/>
          <w:bCs/>
          <w:caps/>
          <w:highlight w:val="none"/>
        </w:rPr>
        <w:fldChar w:fldCharType="separate"/>
      </w:r>
      <w:r>
        <w:rPr>
          <w:rFonts w:hint="eastAsia" w:ascii="宋体" w:hAnsi="宋体" w:cs="宋体"/>
          <w:szCs w:val="21"/>
          <w:highlight w:val="none"/>
        </w:rPr>
        <w:t>3.  评标程序</w:t>
      </w:r>
      <w:r>
        <w:rPr>
          <w:highlight w:val="none"/>
        </w:rPr>
        <w:tab/>
      </w:r>
      <w:r>
        <w:rPr>
          <w:highlight w:val="none"/>
        </w:rPr>
        <w:fldChar w:fldCharType="begin"/>
      </w:r>
      <w:r>
        <w:rPr>
          <w:highlight w:val="none"/>
        </w:rPr>
        <w:instrText xml:space="preserve"> PAGEREF _Toc10650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_Toc15010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四</w:t>
      </w:r>
      <w:r>
        <w:rPr>
          <w:rFonts w:hint="eastAsia" w:ascii="宋体" w:hAnsi="宋体" w:cs="宋体"/>
          <w:highlight w:val="none"/>
        </w:rPr>
        <w:t xml:space="preserve">章  </w:t>
      </w:r>
      <w:r>
        <w:rPr>
          <w:rFonts w:hint="eastAsia" w:ascii="宋体" w:hAnsi="宋体" w:cs="宋体"/>
          <w:highlight w:val="none"/>
          <w:lang w:val="en-US" w:eastAsia="zh-CN"/>
        </w:rPr>
        <w:t>服务要求</w:t>
      </w:r>
      <w:r>
        <w:rPr>
          <w:highlight w:val="none"/>
        </w:rPr>
        <w:tab/>
      </w:r>
      <w:r>
        <w:rPr>
          <w:highlight w:val="none"/>
        </w:rPr>
        <w:fldChar w:fldCharType="begin"/>
      </w:r>
      <w:r>
        <w:rPr>
          <w:highlight w:val="none"/>
        </w:rPr>
        <w:instrText xml:space="preserve"> PAGEREF _Toc15010 \h </w:instrText>
      </w:r>
      <w:r>
        <w:rPr>
          <w:highlight w:val="none"/>
        </w:rPr>
        <w:fldChar w:fldCharType="separate"/>
      </w:r>
      <w:r>
        <w:rPr>
          <w:highlight w:val="none"/>
        </w:rPr>
        <w:t>17</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_Toc17525 </w:instrText>
      </w:r>
      <w:r>
        <w:rPr>
          <w:rFonts w:hint="eastAsia" w:ascii="宋体" w:hAnsi="宋体" w:cs="宋体"/>
          <w:bCs/>
          <w:caps/>
          <w:highlight w:val="none"/>
        </w:rPr>
        <w:fldChar w:fldCharType="separate"/>
      </w:r>
      <w:r>
        <w:rPr>
          <w:rFonts w:hint="eastAsia" w:ascii="宋体" w:hAnsi="宋体" w:eastAsia="宋体" w:cs="宋体"/>
          <w:bCs/>
          <w:kern w:val="44"/>
          <w:szCs w:val="44"/>
          <w:highlight w:val="none"/>
          <w:lang w:val="en-US" w:eastAsia="zh-CN" w:bidi="ar-SA"/>
        </w:rPr>
        <w:t>第五章  合同范本</w:t>
      </w:r>
      <w:r>
        <w:rPr>
          <w:highlight w:val="none"/>
        </w:rPr>
        <w:tab/>
      </w:r>
      <w:r>
        <w:rPr>
          <w:highlight w:val="none"/>
        </w:rPr>
        <w:fldChar w:fldCharType="begin"/>
      </w:r>
      <w:r>
        <w:rPr>
          <w:highlight w:val="none"/>
        </w:rPr>
        <w:instrText xml:space="preserve"> PAGEREF _Toc17525 \h </w:instrText>
      </w:r>
      <w:r>
        <w:rPr>
          <w:highlight w:val="none"/>
        </w:rPr>
        <w:fldChar w:fldCharType="separate"/>
      </w:r>
      <w:r>
        <w:rPr>
          <w:highlight w:val="none"/>
        </w:rPr>
        <w:t>18</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_Toc27626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竞争性比选响应文件格式</w:t>
      </w:r>
      <w:r>
        <w:rPr>
          <w:highlight w:val="none"/>
        </w:rPr>
        <w:tab/>
      </w:r>
      <w:r>
        <w:rPr>
          <w:highlight w:val="none"/>
        </w:rPr>
        <w:fldChar w:fldCharType="begin"/>
      </w:r>
      <w:r>
        <w:rPr>
          <w:highlight w:val="none"/>
        </w:rPr>
        <w:instrText xml:space="preserve"> PAGEREF _Toc27626 \h </w:instrText>
      </w:r>
      <w:r>
        <w:rPr>
          <w:highlight w:val="none"/>
        </w:rPr>
        <w:fldChar w:fldCharType="separate"/>
      </w:r>
      <w:r>
        <w:rPr>
          <w:highlight w:val="none"/>
        </w:rPr>
        <w:t>23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_Toc29615 </w:instrText>
      </w:r>
      <w:r>
        <w:rPr>
          <w:rFonts w:hint="eastAsia" w:ascii="宋体" w:hAnsi="宋体" w:cs="宋体"/>
          <w:bCs/>
          <w:caps/>
          <w:highlight w:val="none"/>
        </w:rPr>
        <w:fldChar w:fldCharType="separate"/>
      </w:r>
      <w:r>
        <w:rPr>
          <w:rFonts w:hint="eastAsia" w:ascii="宋体" w:hAnsi="宋体" w:eastAsia="宋体" w:cs="宋体"/>
          <w:highlight w:val="none"/>
        </w:rPr>
        <w:t>一、 竞争比选响应声明书</w:t>
      </w:r>
      <w:r>
        <w:rPr>
          <w:highlight w:val="none"/>
        </w:rPr>
        <w:tab/>
      </w:r>
      <w:r>
        <w:rPr>
          <w:highlight w:val="none"/>
        </w:rPr>
        <w:fldChar w:fldCharType="begin"/>
      </w:r>
      <w:r>
        <w:rPr>
          <w:highlight w:val="none"/>
        </w:rPr>
        <w:instrText xml:space="preserve"> PAGEREF _Toc29615 \h </w:instrText>
      </w:r>
      <w:r>
        <w:rPr>
          <w:highlight w:val="none"/>
        </w:rPr>
        <w:fldChar w:fldCharType="separate"/>
      </w:r>
      <w:r>
        <w:rPr>
          <w:highlight w:val="none"/>
        </w:rPr>
        <w:t>26</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_Toc15139 </w:instrText>
      </w:r>
      <w:r>
        <w:rPr>
          <w:rFonts w:hint="eastAsia" w:ascii="宋体" w:hAnsi="宋体" w:cs="宋体"/>
          <w:bCs/>
          <w:caps/>
          <w:highlight w:val="none"/>
        </w:rPr>
        <w:fldChar w:fldCharType="separate"/>
      </w:r>
      <w:r>
        <w:rPr>
          <w:rFonts w:hint="eastAsia" w:ascii="宋体" w:hAnsi="宋体" w:eastAsia="宋体" w:cs="宋体"/>
          <w:highlight w:val="none"/>
        </w:rPr>
        <w:t>二、 法定代表人身份证明或法定代表人授权委托书</w:t>
      </w:r>
      <w:r>
        <w:rPr>
          <w:highlight w:val="none"/>
        </w:rPr>
        <w:tab/>
      </w:r>
      <w:r>
        <w:rPr>
          <w:highlight w:val="none"/>
        </w:rPr>
        <w:fldChar w:fldCharType="begin"/>
      </w:r>
      <w:r>
        <w:rPr>
          <w:highlight w:val="none"/>
        </w:rPr>
        <w:instrText xml:space="preserve"> PAGEREF _Toc15139 \h </w:instrText>
      </w:r>
      <w:r>
        <w:rPr>
          <w:highlight w:val="none"/>
        </w:rPr>
        <w:fldChar w:fldCharType="separate"/>
      </w:r>
      <w:r>
        <w:rPr>
          <w:highlight w:val="none"/>
        </w:rPr>
        <w:t>27</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_Toc31983 </w:instrText>
      </w:r>
      <w:r>
        <w:rPr>
          <w:rFonts w:hint="eastAsia" w:ascii="宋体" w:hAnsi="宋体" w:cs="宋体"/>
          <w:bCs/>
          <w:caps/>
          <w:highlight w:val="none"/>
        </w:rPr>
        <w:fldChar w:fldCharType="separate"/>
      </w:r>
      <w:r>
        <w:rPr>
          <w:rFonts w:hint="eastAsia" w:ascii="宋体" w:hAnsi="宋体" w:eastAsia="宋体" w:cs="宋体"/>
          <w:highlight w:val="none"/>
        </w:rPr>
        <w:t>三、报价一览表</w:t>
      </w:r>
      <w:r>
        <w:rPr>
          <w:highlight w:val="none"/>
        </w:rPr>
        <w:tab/>
      </w:r>
      <w:r>
        <w:rPr>
          <w:highlight w:val="none"/>
        </w:rPr>
        <w:fldChar w:fldCharType="begin"/>
      </w:r>
      <w:r>
        <w:rPr>
          <w:highlight w:val="none"/>
        </w:rPr>
        <w:instrText xml:space="preserve"> PAGEREF _Toc31983 \h </w:instrText>
      </w:r>
      <w:r>
        <w:rPr>
          <w:highlight w:val="none"/>
        </w:rPr>
        <w:fldChar w:fldCharType="separate"/>
      </w:r>
      <w:r>
        <w:rPr>
          <w:highlight w:val="none"/>
        </w:rPr>
        <w:t>29</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_Toc4544 </w:instrText>
      </w:r>
      <w:r>
        <w:rPr>
          <w:rFonts w:hint="eastAsia" w:ascii="宋体" w:hAnsi="宋体" w:cs="宋体"/>
          <w:bCs/>
          <w:caps/>
          <w:highlight w:val="none"/>
        </w:rPr>
        <w:fldChar w:fldCharType="separate"/>
      </w:r>
      <w:r>
        <w:rPr>
          <w:rFonts w:hint="eastAsia" w:ascii="宋体" w:hAnsi="宋体" w:eastAsia="宋体" w:cs="宋体"/>
          <w:highlight w:val="none"/>
        </w:rPr>
        <w:t>四、资格审查资料</w:t>
      </w:r>
      <w:r>
        <w:rPr>
          <w:highlight w:val="none"/>
        </w:rPr>
        <w:tab/>
      </w:r>
      <w:r>
        <w:rPr>
          <w:highlight w:val="none"/>
        </w:rPr>
        <w:fldChar w:fldCharType="begin"/>
      </w:r>
      <w:r>
        <w:rPr>
          <w:highlight w:val="none"/>
        </w:rPr>
        <w:instrText xml:space="preserve"> PAGEREF _Toc4544 \h </w:instrText>
      </w:r>
      <w:r>
        <w:rPr>
          <w:highlight w:val="none"/>
        </w:rPr>
        <w:fldChar w:fldCharType="separate"/>
      </w:r>
      <w:r>
        <w:rPr>
          <w:highlight w:val="none"/>
        </w:rPr>
        <w:t>30</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_Toc7326 </w:instrText>
      </w:r>
      <w:r>
        <w:rPr>
          <w:rFonts w:hint="eastAsia" w:ascii="宋体" w:hAnsi="宋体" w:cs="宋体"/>
          <w:bCs/>
          <w:caps/>
          <w:highlight w:val="none"/>
        </w:rPr>
        <w:fldChar w:fldCharType="separate"/>
      </w:r>
      <w:r>
        <w:rPr>
          <w:rFonts w:hint="eastAsia" w:ascii="宋体" w:hAnsi="宋体" w:eastAsia="宋体" w:cs="宋体"/>
          <w:highlight w:val="none"/>
        </w:rPr>
        <w:t>五、报价人承诺</w:t>
      </w:r>
      <w:r>
        <w:rPr>
          <w:highlight w:val="none"/>
        </w:rPr>
        <w:tab/>
      </w:r>
      <w:r>
        <w:rPr>
          <w:highlight w:val="none"/>
        </w:rPr>
        <w:fldChar w:fldCharType="begin"/>
      </w:r>
      <w:r>
        <w:rPr>
          <w:highlight w:val="none"/>
        </w:rPr>
        <w:instrText xml:space="preserve"> PAGEREF _Toc7326 \h </w:instrText>
      </w:r>
      <w:r>
        <w:rPr>
          <w:highlight w:val="none"/>
        </w:rPr>
        <w:fldChar w:fldCharType="separate"/>
      </w:r>
      <w:r>
        <w:rPr>
          <w:highlight w:val="none"/>
        </w:rPr>
        <w:t>33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_Toc22594 </w:instrText>
      </w:r>
      <w:r>
        <w:rPr>
          <w:rFonts w:hint="eastAsia" w:ascii="宋体" w:hAnsi="宋体" w:cs="宋体"/>
          <w:bCs/>
          <w:caps/>
          <w:highlight w:val="none"/>
        </w:rPr>
        <w:fldChar w:fldCharType="separate"/>
      </w:r>
      <w:r>
        <w:rPr>
          <w:rFonts w:hint="eastAsia" w:ascii="宋体" w:hAnsi="宋体" w:eastAsia="宋体" w:cs="宋体"/>
          <w:bCs/>
          <w:kern w:val="0"/>
          <w:szCs w:val="32"/>
          <w:highlight w:val="none"/>
          <w:lang w:val="en-US" w:eastAsia="zh-CN" w:bidi="ar-SA"/>
        </w:rPr>
        <w:t>六、报价人其他资料</w:t>
      </w:r>
      <w:r>
        <w:rPr>
          <w:highlight w:val="none"/>
        </w:rPr>
        <w:tab/>
      </w:r>
      <w:r>
        <w:rPr>
          <w:highlight w:val="none"/>
        </w:rPr>
        <w:fldChar w:fldCharType="begin"/>
      </w:r>
      <w:r>
        <w:rPr>
          <w:highlight w:val="none"/>
        </w:rPr>
        <w:instrText xml:space="preserve"> PAGEREF _Toc22594 \h </w:instrText>
      </w:r>
      <w:r>
        <w:rPr>
          <w:highlight w:val="none"/>
        </w:rPr>
        <w:fldChar w:fldCharType="separate"/>
      </w:r>
      <w:r>
        <w:rPr>
          <w:highlight w:val="none"/>
        </w:rPr>
        <w:t>34</w:t>
      </w:r>
      <w:r>
        <w:rPr>
          <w:highlight w:val="none"/>
        </w:rPr>
        <w:fldChar w:fldCharType="end"/>
      </w:r>
      <w:r>
        <w:rPr>
          <w:rFonts w:hint="eastAsia" w:ascii="宋体" w:hAnsi="宋体" w:cs="宋体"/>
          <w:bCs/>
          <w:caps/>
          <w:color w:val="auto"/>
          <w:highlight w:val="none"/>
        </w:rPr>
        <w:fldChar w:fldCharType="end"/>
      </w:r>
    </w:p>
    <w:p>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4" w:name="_Toc144974479"/>
    </w:p>
    <w:p>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5" w:name="_Toc10142"/>
      <w:r>
        <w:rPr>
          <w:rFonts w:hint="eastAsia" w:ascii="宋体" w:hAnsi="宋体" w:eastAsia="宋体" w:cs="宋体"/>
          <w:b/>
          <w:bCs/>
          <w:smallCaps w:val="0"/>
          <w:color w:val="auto"/>
          <w:kern w:val="44"/>
          <w:sz w:val="44"/>
          <w:szCs w:val="44"/>
          <w:highlight w:val="none"/>
          <w:lang w:val="en-US" w:eastAsia="zh-CN" w:bidi="ar-SA"/>
        </w:rPr>
        <w:t xml:space="preserve">第一章 </w:t>
      </w:r>
      <w:bookmarkEnd w:id="4"/>
      <w:r>
        <w:rPr>
          <w:rFonts w:hint="eastAsia" w:ascii="宋体" w:hAnsi="宋体" w:eastAsia="宋体" w:cs="宋体"/>
          <w:b/>
          <w:bCs/>
          <w:smallCaps w:val="0"/>
          <w:color w:val="auto"/>
          <w:kern w:val="44"/>
          <w:sz w:val="44"/>
          <w:szCs w:val="44"/>
          <w:highlight w:val="none"/>
          <w:lang w:val="en-US" w:eastAsia="zh-CN" w:bidi="ar-SA"/>
        </w:rPr>
        <w:t>比选公告</w:t>
      </w:r>
      <w:bookmarkEnd w:id="5"/>
    </w:p>
    <w:p>
      <w:pPr>
        <w:spacing w:line="440" w:lineRule="exact"/>
        <w:jc w:val="center"/>
        <w:rPr>
          <w:rFonts w:ascii="宋体" w:hAnsi="宋体" w:cs="宋体"/>
          <w:b/>
          <w:color w:val="auto"/>
          <w:sz w:val="28"/>
          <w:szCs w:val="28"/>
          <w:highlight w:val="none"/>
        </w:rPr>
      </w:pPr>
    </w:p>
    <w:p>
      <w:pPr>
        <w:pStyle w:val="4"/>
        <w:spacing w:before="0" w:after="0" w:line="360" w:lineRule="auto"/>
        <w:rPr>
          <w:rFonts w:ascii="宋体" w:hAnsi="宋体" w:eastAsia="宋体" w:cs="宋体"/>
          <w:color w:val="auto"/>
          <w:highlight w:val="none"/>
        </w:rPr>
      </w:pPr>
      <w:bookmarkStart w:id="6" w:name="_Toc152042288"/>
      <w:bookmarkStart w:id="7" w:name="_Toc179632528"/>
      <w:bookmarkStart w:id="8" w:name="_Toc11329213"/>
      <w:bookmarkStart w:id="9" w:name="_Toc507319891"/>
      <w:bookmarkStart w:id="10" w:name="_Toc246996901"/>
      <w:bookmarkStart w:id="11" w:name="_Toc13849"/>
      <w:bookmarkStart w:id="12" w:name="_Toc144974480"/>
      <w:bookmarkStart w:id="13" w:name="_Toc24874"/>
      <w:bookmarkStart w:id="14" w:name="_Toc247085672"/>
      <w:bookmarkStart w:id="15" w:name="_Toc152045512"/>
      <w:bookmarkStart w:id="16" w:name="_Toc6549"/>
      <w:bookmarkStart w:id="17" w:name="_Toc10076"/>
      <w:r>
        <w:rPr>
          <w:rFonts w:hint="eastAsia" w:ascii="宋体" w:hAnsi="宋体" w:eastAsia="宋体" w:cs="宋体"/>
          <w:color w:val="auto"/>
          <w:highlight w:val="none"/>
        </w:rPr>
        <w:t>1. 比选条件</w:t>
      </w:r>
      <w:bookmarkEnd w:id="6"/>
      <w:bookmarkEnd w:id="7"/>
      <w:bookmarkEnd w:id="8"/>
      <w:bookmarkEnd w:id="9"/>
      <w:bookmarkEnd w:id="10"/>
      <w:bookmarkEnd w:id="11"/>
      <w:bookmarkEnd w:id="12"/>
      <w:bookmarkEnd w:id="13"/>
      <w:bookmarkEnd w:id="14"/>
      <w:bookmarkEnd w:id="15"/>
      <w:bookmarkEnd w:id="16"/>
      <w:bookmarkEnd w:id="17"/>
    </w:p>
    <w:p>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bookmarkStart w:id="18" w:name="单据名称1"/>
      <w:r>
        <w:rPr>
          <w:rFonts w:hint="eastAsia" w:ascii="宋体" w:hAnsi="宋体" w:cs="宋体"/>
          <w:color w:val="auto"/>
          <w:szCs w:val="21"/>
          <w:highlight w:val="none"/>
          <w:u w:val="single"/>
          <w:lang w:val="en-US" w:eastAsia="zh-CN"/>
        </w:rPr>
        <w:t>语音外呼功能集成及应用平台智能化升级开发服务</w:t>
      </w:r>
      <w:bookmarkEnd w:id="18"/>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pPr>
        <w:pStyle w:val="4"/>
        <w:spacing w:before="120" w:after="0" w:line="360" w:lineRule="auto"/>
        <w:rPr>
          <w:rFonts w:ascii="宋体" w:hAnsi="宋体" w:eastAsia="宋体" w:cs="宋体"/>
          <w:color w:val="auto"/>
          <w:highlight w:val="none"/>
        </w:rPr>
      </w:pPr>
      <w:bookmarkStart w:id="19" w:name="_Toc10952"/>
      <w:bookmarkStart w:id="20" w:name="_Toc152042289"/>
      <w:bookmarkStart w:id="21" w:name="_Toc247085673"/>
      <w:bookmarkStart w:id="22" w:name="_Toc11329214"/>
      <w:bookmarkStart w:id="23" w:name="_Toc507319892"/>
      <w:bookmarkStart w:id="24" w:name="_Toc246996159"/>
      <w:bookmarkStart w:id="25" w:name="_Toc152045513"/>
      <w:bookmarkStart w:id="26" w:name="_Toc246996902"/>
      <w:bookmarkStart w:id="27" w:name="_Toc179632529"/>
      <w:bookmarkStart w:id="28" w:name="_Toc7760"/>
      <w:bookmarkStart w:id="29" w:name="_Toc144974481"/>
      <w:bookmarkStart w:id="30" w:name="_Toc21343"/>
      <w:bookmarkStart w:id="31" w:name="_Toc18109"/>
      <w:r>
        <w:rPr>
          <w:rFonts w:hint="eastAsia" w:ascii="宋体" w:hAnsi="宋体" w:eastAsia="宋体" w:cs="宋体"/>
          <w:color w:val="auto"/>
          <w:highlight w:val="none"/>
        </w:rPr>
        <w:t>2. 项目概况与比选范围</w:t>
      </w:r>
      <w:bookmarkEnd w:id="19"/>
      <w:bookmarkEnd w:id="20"/>
      <w:bookmarkEnd w:id="21"/>
      <w:bookmarkEnd w:id="22"/>
      <w:bookmarkEnd w:id="23"/>
      <w:bookmarkEnd w:id="24"/>
      <w:bookmarkEnd w:id="25"/>
      <w:bookmarkEnd w:id="26"/>
      <w:bookmarkEnd w:id="27"/>
      <w:bookmarkEnd w:id="28"/>
      <w:bookmarkEnd w:id="29"/>
      <w:bookmarkEnd w:id="30"/>
      <w:bookmarkEnd w:id="31"/>
    </w:p>
    <w:p>
      <w:pPr>
        <w:spacing w:line="420" w:lineRule="exact"/>
        <w:ind w:firstLine="420" w:firstLineChars="200"/>
        <w:rPr>
          <w:rFonts w:hint="default" w:ascii="宋体" w:hAnsi="宋体" w:cs="宋体"/>
          <w:color w:val="auto"/>
          <w:highlight w:val="none"/>
          <w:lang w:val="en-US" w:eastAsia="zh-CN"/>
        </w:rPr>
      </w:pPr>
      <w:bookmarkStart w:id="32" w:name="_Toc265234827"/>
      <w:bookmarkStart w:id="33" w:name="_Toc382816230"/>
      <w:r>
        <w:rPr>
          <w:rFonts w:hint="eastAsia" w:ascii="宋体" w:hAnsi="宋体" w:cs="宋体"/>
          <w:color w:val="auto"/>
          <w:highlight w:val="none"/>
        </w:rPr>
        <w:t>2.</w:t>
      </w:r>
      <w:r>
        <w:rPr>
          <w:rFonts w:hint="eastAsia" w:ascii="宋体" w:hAnsi="宋体" w:cs="宋体"/>
          <w:color w:val="auto"/>
          <w:highlight w:val="none"/>
          <w:lang w:val="en-US" w:eastAsia="zh-CN"/>
        </w:rPr>
        <w:t>1服务地点：</w:t>
      </w:r>
      <w:bookmarkStart w:id="34" w:name="交货地点"/>
      <w:r>
        <w:rPr>
          <w:rFonts w:hint="eastAsia" w:ascii="宋体" w:hAnsi="宋体" w:cs="宋体"/>
          <w:color w:val="auto"/>
          <w:szCs w:val="21"/>
          <w:highlight w:val="none"/>
          <w:u w:val="single"/>
          <w:lang w:val="en-US" w:eastAsia="zh-CN"/>
        </w:rPr>
        <w:t>重庆市</w:t>
      </w:r>
      <w:bookmarkEnd w:id="34"/>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bookmarkStart w:id="35" w:name="项目概况"/>
      <w:r>
        <w:rPr>
          <w:rFonts w:hint="eastAsia" w:ascii="宋体" w:hAnsi="宋体" w:cs="宋体"/>
          <w:color w:val="auto"/>
          <w:szCs w:val="21"/>
          <w:highlight w:val="none"/>
          <w:u w:val="single"/>
          <w:lang w:val="en-US" w:eastAsia="zh-CN"/>
        </w:rPr>
        <w:t>语音外呼功能集成及应用平台智能化升级相关工作，包含应用平台智能化升级、语音外呼功能集成等功能。</w:t>
      </w:r>
      <w:bookmarkEnd w:id="35"/>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r>
        <w:rPr>
          <w:rFonts w:hint="eastAsia" w:ascii="宋体" w:hAnsi="宋体" w:cs="宋体"/>
          <w:color w:val="auto"/>
          <w:szCs w:val="21"/>
          <w:highlight w:val="none"/>
          <w:u w:val="single"/>
          <w:lang w:val="en-US" w:eastAsia="zh-CN"/>
        </w:rPr>
        <w:t>38.68</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技术开发</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32"/>
    <w:bookmarkEnd w:id="33"/>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bookmarkStart w:id="36" w:name="工期、货期要求"/>
      <w:r>
        <w:rPr>
          <w:rFonts w:hint="eastAsia" w:ascii="宋体" w:hAnsi="宋体" w:eastAsia="宋体" w:cs="宋体"/>
          <w:color w:val="auto"/>
          <w:szCs w:val="21"/>
          <w:highlight w:val="none"/>
          <w:u w:val="single"/>
        </w:rPr>
        <w:t>预计工期为6个月</w:t>
      </w:r>
      <w:bookmarkEnd w:id="36"/>
    </w:p>
    <w:p>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37" w:name="_Toc246996903"/>
      <w:bookmarkStart w:id="38" w:name="_Toc152045514"/>
      <w:bookmarkStart w:id="39" w:name="_Toc246996160"/>
      <w:bookmarkStart w:id="40" w:name="_Toc7065"/>
      <w:bookmarkStart w:id="41" w:name="_Toc30356"/>
      <w:bookmarkStart w:id="42" w:name="_Toc10171"/>
      <w:bookmarkStart w:id="43" w:name="_Toc144974482"/>
      <w:bookmarkStart w:id="44" w:name="_Toc179632530"/>
      <w:bookmarkStart w:id="45" w:name="_Toc152042290"/>
      <w:bookmarkStart w:id="46" w:name="_Toc11329215"/>
      <w:bookmarkStart w:id="47" w:name="_Toc247085674"/>
      <w:bookmarkStart w:id="48" w:name="_Toc507319893"/>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bookmarkStart w:id="49" w:name="标段划分"/>
      <w:r>
        <w:rPr>
          <w:rFonts w:hint="eastAsia" w:ascii="宋体" w:hAnsi="宋体" w:cs="宋体"/>
          <w:b w:val="0"/>
          <w:bCs w:val="0"/>
          <w:color w:val="auto"/>
          <w:kern w:val="2"/>
          <w:sz w:val="21"/>
          <w:szCs w:val="24"/>
          <w:highlight w:val="none"/>
          <w:u w:val="single"/>
          <w:lang w:val="en-US" w:eastAsia="zh-CN" w:bidi="ar-SA"/>
        </w:rPr>
        <w:t>1</w:t>
      </w:r>
      <w:bookmarkEnd w:id="49"/>
      <w:r>
        <w:rPr>
          <w:rFonts w:hint="eastAsia" w:ascii="宋体" w:hAnsi="宋体" w:cs="宋体"/>
          <w:b w:val="0"/>
          <w:bCs w:val="0"/>
          <w:color w:val="auto"/>
          <w:kern w:val="2"/>
          <w:sz w:val="21"/>
          <w:szCs w:val="24"/>
          <w:highlight w:val="none"/>
          <w:lang w:val="en-US" w:eastAsia="zh-CN" w:bidi="ar-SA"/>
        </w:rPr>
        <w:t>个标段。</w:t>
      </w:r>
    </w:p>
    <w:p>
      <w:pPr>
        <w:pStyle w:val="4"/>
        <w:spacing w:before="120" w:after="0" w:line="360" w:lineRule="auto"/>
        <w:rPr>
          <w:rFonts w:ascii="宋体" w:hAnsi="宋体" w:eastAsia="宋体" w:cs="宋体"/>
          <w:color w:val="auto"/>
          <w:highlight w:val="none"/>
        </w:rPr>
      </w:pPr>
      <w:bookmarkStart w:id="50" w:name="_Toc13092"/>
      <w:r>
        <w:rPr>
          <w:rFonts w:hint="eastAsia" w:ascii="宋体" w:hAnsi="宋体" w:eastAsia="宋体" w:cs="宋体"/>
          <w:color w:val="auto"/>
          <w:highlight w:val="none"/>
        </w:rPr>
        <w:t>3. 报价人资格要求</w:t>
      </w:r>
      <w:bookmarkEnd w:id="37"/>
      <w:bookmarkEnd w:id="38"/>
      <w:bookmarkEnd w:id="39"/>
      <w:bookmarkEnd w:id="40"/>
      <w:bookmarkEnd w:id="41"/>
      <w:bookmarkEnd w:id="42"/>
      <w:bookmarkEnd w:id="43"/>
      <w:bookmarkEnd w:id="44"/>
      <w:bookmarkEnd w:id="45"/>
      <w:bookmarkEnd w:id="46"/>
      <w:bookmarkEnd w:id="47"/>
      <w:bookmarkEnd w:id="48"/>
      <w:bookmarkEnd w:id="50"/>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51" w:name="_Toc144974483"/>
      <w:bookmarkStart w:id="52" w:name="_Toc152045515"/>
      <w:bookmarkStart w:id="53" w:name="_Toc246996904"/>
      <w:bookmarkStart w:id="54" w:name="_Toc246996161"/>
      <w:bookmarkStart w:id="55" w:name="_Toc247085675"/>
      <w:bookmarkStart w:id="56" w:name="_Toc179632531"/>
      <w:bookmarkStart w:id="57" w:name="_Toc152042291"/>
      <w:r>
        <w:rPr>
          <w:rFonts w:hint="eastAsia" w:ascii="宋体" w:hAnsi="宋体" w:cs="宋体"/>
          <w:color w:val="auto"/>
          <w:sz w:val="21"/>
          <w:szCs w:val="21"/>
          <w:highlight w:val="none"/>
          <w:lang w:val="en-US" w:eastAsia="zh-CN"/>
        </w:rPr>
        <w:t>3.1 资质要求：</w:t>
      </w:r>
      <w:bookmarkStart w:id="58" w:name="资质要求"/>
      <w:r>
        <w:rPr>
          <w:rFonts w:hint="eastAsia" w:ascii="宋体" w:hAnsi="宋体" w:cs="宋体"/>
          <w:color w:val="auto"/>
          <w:sz w:val="21"/>
          <w:szCs w:val="21"/>
          <w:highlight w:val="none"/>
          <w:lang w:val="en-US" w:eastAsia="zh-CN"/>
        </w:rPr>
        <w:t>报价人具有独立法人资格和有效的营业执照</w:t>
      </w:r>
      <w:bookmarkEnd w:id="58"/>
    </w:p>
    <w:p>
      <w:pPr>
        <w:pStyle w:val="13"/>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w:t>
      </w:r>
      <w:bookmarkStart w:id="59" w:name="业绩要求"/>
      <w:r>
        <w:rPr>
          <w:rFonts w:hint="eastAsia" w:ascii="宋体" w:hAnsi="宋体" w:eastAsia="宋体" w:cs="宋体"/>
          <w:color w:val="auto"/>
          <w:sz w:val="21"/>
          <w:szCs w:val="21"/>
          <w:highlight w:val="none"/>
          <w:lang w:val="en-US" w:eastAsia="zh-CN"/>
        </w:rPr>
        <w:t>2022年1月1日至报价截止日期（以合同签订时间为准）至少独立完成一项合同金额不低于25万元的软件开发或技术服务业绩（提供合同扫描件）</w:t>
      </w:r>
      <w:bookmarkEnd w:id="59"/>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color w:val="auto"/>
          <w:highlight w:val="none"/>
        </w:rPr>
      </w:pPr>
      <w:bookmarkStart w:id="60" w:name="_Toc13035"/>
      <w:bookmarkStart w:id="61" w:name="_Toc507319894"/>
      <w:bookmarkStart w:id="62" w:name="_Toc25619"/>
      <w:bookmarkStart w:id="63" w:name="_Toc14361"/>
      <w:bookmarkStart w:id="64" w:name="_Toc12460"/>
      <w:bookmarkStart w:id="65" w:name="_Toc11329216"/>
      <w:r>
        <w:rPr>
          <w:rFonts w:hint="eastAsia" w:ascii="宋体" w:hAnsi="宋体" w:eastAsia="宋体" w:cs="宋体"/>
          <w:color w:val="auto"/>
          <w:highlight w:val="none"/>
        </w:rPr>
        <w:t>4. 评标办法</w:t>
      </w:r>
      <w:bookmarkEnd w:id="60"/>
    </w:p>
    <w:p>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综合评估法。</w:t>
      </w:r>
    </w:p>
    <w:p>
      <w:pPr>
        <w:pStyle w:val="4"/>
        <w:spacing w:before="120" w:after="0" w:line="400" w:lineRule="exact"/>
        <w:rPr>
          <w:rFonts w:ascii="宋体" w:hAnsi="宋体" w:eastAsia="宋体" w:cs="宋体"/>
          <w:color w:val="auto"/>
          <w:highlight w:val="none"/>
        </w:rPr>
      </w:pPr>
      <w:bookmarkStart w:id="66" w:name="_Toc17600"/>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51"/>
      <w:bookmarkEnd w:id="52"/>
      <w:bookmarkEnd w:id="53"/>
      <w:bookmarkEnd w:id="54"/>
      <w:bookmarkEnd w:id="55"/>
      <w:bookmarkEnd w:id="56"/>
      <w:bookmarkEnd w:id="57"/>
      <w:bookmarkEnd w:id="61"/>
      <w:bookmarkEnd w:id="62"/>
      <w:bookmarkEnd w:id="63"/>
      <w:bookmarkEnd w:id="64"/>
      <w:bookmarkEnd w:id="65"/>
      <w:bookmarkEnd w:id="66"/>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67" w:name="_Toc144974484"/>
      <w:bookmarkStart w:id="68" w:name="_Toc152042292"/>
      <w:bookmarkStart w:id="69" w:name="_Toc246996905"/>
      <w:bookmarkStart w:id="70" w:name="_Toc152045516"/>
      <w:bookmarkStart w:id="71" w:name="_Toc507319895"/>
      <w:bookmarkStart w:id="72" w:name="_Toc246996162"/>
      <w:bookmarkStart w:id="73" w:name="_Toc11329217"/>
      <w:bookmarkStart w:id="74" w:name="_Toc179632532"/>
      <w:bookmarkStart w:id="75" w:name="_Toc247085676"/>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color w:val="auto"/>
          <w:highlight w:val="none"/>
        </w:rPr>
      </w:pPr>
      <w:bookmarkStart w:id="76" w:name="_Toc16686"/>
      <w:bookmarkStart w:id="77" w:name="_Toc9131"/>
      <w:bookmarkStart w:id="78" w:name="_Toc31493"/>
      <w:bookmarkStart w:id="79" w:name="_Toc14325"/>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color w:val="auto"/>
          <w:highlight w:val="none"/>
        </w:rPr>
        <w:t>及相关事宜</w:t>
      </w:r>
      <w:bookmarkEnd w:id="76"/>
      <w:bookmarkEnd w:id="77"/>
      <w:bookmarkEnd w:id="78"/>
      <w:bookmarkEnd w:id="79"/>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18</w:t>
      </w:r>
      <w:bookmarkStart w:id="240" w:name="_GoBack"/>
      <w:bookmarkEnd w:id="240"/>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递交地点：</w:t>
      </w:r>
      <w:bookmarkStart w:id="80"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80"/>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正规快递公司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竞争性比选响应文件邮寄至重庆首讯科技股份有限公司（邮寄地址同6.3递交地点），否则采购人有权拒收，采用邮寄方式的报价人默认认可采购人的开标结果，不得由此提出任何质疑。</w:t>
      </w:r>
    </w:p>
    <w:p>
      <w:pPr>
        <w:pStyle w:val="4"/>
        <w:spacing w:before="120" w:after="0" w:line="400" w:lineRule="exact"/>
        <w:rPr>
          <w:rFonts w:ascii="宋体" w:hAnsi="宋体" w:eastAsia="宋体" w:cs="宋体"/>
          <w:color w:val="auto"/>
          <w:highlight w:val="none"/>
        </w:rPr>
      </w:pPr>
      <w:bookmarkStart w:id="81" w:name="_Toc179632534"/>
      <w:bookmarkStart w:id="82" w:name="_Toc507319897"/>
      <w:bookmarkStart w:id="83" w:name="_Toc11329219"/>
      <w:bookmarkStart w:id="84" w:name="_Toc247085678"/>
      <w:bookmarkStart w:id="85" w:name="_Toc393"/>
      <w:bookmarkStart w:id="86" w:name="_Toc152045517"/>
      <w:bookmarkStart w:id="87" w:name="_Toc246996164"/>
      <w:bookmarkStart w:id="88" w:name="_Toc246996907"/>
      <w:bookmarkStart w:id="89" w:name="_Toc144974485"/>
      <w:bookmarkStart w:id="90" w:name="_Toc4010"/>
      <w:bookmarkStart w:id="91" w:name="_Toc152042293"/>
      <w:bookmarkStart w:id="92" w:name="_Toc21615"/>
      <w:bookmarkStart w:id="93" w:name="_Toc18402"/>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1"/>
      <w:bookmarkEnd w:id="82"/>
      <w:bookmarkEnd w:id="83"/>
      <w:bookmarkEnd w:id="84"/>
      <w:bookmarkEnd w:id="85"/>
      <w:bookmarkEnd w:id="86"/>
      <w:bookmarkEnd w:id="87"/>
      <w:bookmarkEnd w:id="88"/>
      <w:bookmarkEnd w:id="89"/>
      <w:bookmarkEnd w:id="90"/>
      <w:bookmarkEnd w:id="91"/>
      <w:bookmarkEnd w:id="92"/>
      <w:bookmarkEnd w:id="93"/>
    </w:p>
    <w:tbl>
      <w:tblPr>
        <w:tblStyle w:val="42"/>
        <w:tblW w:w="9709" w:type="dxa"/>
        <w:tblInd w:w="0" w:type="dxa"/>
        <w:tblLayout w:type="fixed"/>
        <w:tblCellMar>
          <w:top w:w="0" w:type="dxa"/>
          <w:left w:w="108" w:type="dxa"/>
          <w:bottom w:w="0" w:type="dxa"/>
          <w:right w:w="108" w:type="dxa"/>
        </w:tblCellMar>
      </w:tblPr>
      <w:tblGrid>
        <w:gridCol w:w="9709"/>
      </w:tblGrid>
      <w:tr>
        <w:tblPrEx>
          <w:tblCellMar>
            <w:top w:w="0" w:type="dxa"/>
            <w:left w:w="108" w:type="dxa"/>
            <w:bottom w:w="0" w:type="dxa"/>
            <w:right w:w="108" w:type="dxa"/>
          </w:tblCellMar>
        </w:tblPrEx>
        <w:trPr>
          <w:trHeight w:val="520" w:hRule="atLeast"/>
        </w:trPr>
        <w:tc>
          <w:tcPr>
            <w:tcW w:w="9709" w:type="dxa"/>
            <w:vAlign w:val="center"/>
          </w:tcPr>
          <w:p>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tblPrEx>
          <w:tblCellMar>
            <w:top w:w="0" w:type="dxa"/>
            <w:left w:w="108" w:type="dxa"/>
            <w:bottom w:w="0" w:type="dxa"/>
            <w:right w:w="108" w:type="dxa"/>
          </w:tblCellMar>
        </w:tblPrEx>
        <w:trPr>
          <w:trHeight w:val="510" w:hRule="atLeast"/>
        </w:trPr>
        <w:tc>
          <w:tcPr>
            <w:tcW w:w="9709" w:type="dxa"/>
            <w:vAlign w:val="center"/>
          </w:tcPr>
          <w:p>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重庆市渝北区新南路52号东界龙湖3楼</w:t>
            </w:r>
          </w:p>
        </w:tc>
      </w:tr>
      <w:tr>
        <w:tblPrEx>
          <w:tblCellMar>
            <w:top w:w="0" w:type="dxa"/>
            <w:left w:w="108" w:type="dxa"/>
            <w:bottom w:w="0" w:type="dxa"/>
            <w:right w:w="108" w:type="dxa"/>
          </w:tblCellMar>
        </w:tblPrEx>
        <w:trPr>
          <w:trHeight w:val="520" w:hRule="atLeast"/>
        </w:trPr>
        <w:tc>
          <w:tcPr>
            <w:tcW w:w="9709" w:type="dxa"/>
            <w:vAlign w:val="center"/>
          </w:tcPr>
          <w:p>
            <w:pPr>
              <w:topLinePunct/>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000000" w:themeColor="text1"/>
                <w:szCs w:val="21"/>
                <w:highlight w:val="none"/>
                <w:lang w:val="en-US" w:eastAsia="zh-CN"/>
                <w14:textFill>
                  <w14:solidFill>
                    <w14:schemeClr w14:val="tx1"/>
                  </w14:solidFill>
                </w14:textFill>
              </w:rPr>
              <w:t>技术联系人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邹老师</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电 话：</w:t>
            </w:r>
            <w:r>
              <w:rPr>
                <w:rFonts w:hint="eastAsia" w:ascii="宋体" w:hAnsi="宋体" w:cs="宋体"/>
                <w:color w:val="000000" w:themeColor="text1"/>
                <w:szCs w:val="21"/>
                <w:highlight w:val="none"/>
                <w:lang w:val="en-US" w:eastAsia="zh-CN"/>
                <w14:textFill>
                  <w14:solidFill>
                    <w14:schemeClr w14:val="tx1"/>
                  </w14:solidFill>
                </w14:textFill>
              </w:rPr>
              <w:t>17623719773</w:t>
            </w:r>
          </w:p>
        </w:tc>
      </w:tr>
      <w:tr>
        <w:tblPrEx>
          <w:tblCellMar>
            <w:top w:w="0" w:type="dxa"/>
            <w:left w:w="108" w:type="dxa"/>
            <w:bottom w:w="0" w:type="dxa"/>
            <w:right w:w="108" w:type="dxa"/>
          </w:tblCellMar>
        </w:tblPrEx>
        <w:trPr>
          <w:trHeight w:val="448" w:hRule="atLeast"/>
        </w:trPr>
        <w:tc>
          <w:tcPr>
            <w:tcW w:w="9709" w:type="dxa"/>
            <w:vAlign w:val="center"/>
          </w:tcPr>
          <w:p>
            <w:pPr>
              <w:topLinePunct/>
              <w:spacing w:line="420" w:lineRule="exact"/>
              <w:ind w:firstLine="420" w:firstLineChars="200"/>
              <w:rPr>
                <w:rFonts w:hint="default" w:eastAsia="宋体"/>
                <w:color w:val="auto"/>
                <w:highlight w:val="none"/>
                <w:lang w:val="en-US" w:eastAsia="zh-CN"/>
              </w:rPr>
            </w:pPr>
            <w:r>
              <w:rPr>
                <w:rFonts w:hint="eastAsia" w:ascii="宋体" w:hAnsi="宋体" w:cs="宋体"/>
                <w:szCs w:val="21"/>
                <w:highlight w:val="none"/>
              </w:rPr>
              <w:t>商务联系人：</w:t>
            </w:r>
            <w:r>
              <w:rPr>
                <w:rFonts w:hint="eastAsia" w:ascii="宋体" w:hAnsi="宋体" w:cs="宋体"/>
                <w:szCs w:val="21"/>
                <w:highlight w:val="none"/>
                <w:lang w:val="en-US" w:eastAsia="zh-CN"/>
              </w:rPr>
              <w:t>刘</w:t>
            </w:r>
            <w:r>
              <w:rPr>
                <w:rFonts w:hint="eastAsia" w:ascii="宋体" w:hAnsi="宋体" w:cs="宋体"/>
                <w:szCs w:val="21"/>
                <w:highlight w:val="none"/>
              </w:rPr>
              <w:t xml:space="preserve">老师  </w:t>
            </w:r>
            <w:r>
              <w:rPr>
                <w:rFonts w:hint="eastAsia" w:ascii="宋体" w:hAnsi="宋体" w:cs="宋体"/>
                <w:szCs w:val="21"/>
                <w:highlight w:val="none"/>
                <w:lang w:val="en-US" w:eastAsia="zh-CN"/>
              </w:rPr>
              <w:t xml:space="preserve">     </w:t>
            </w:r>
            <w:r>
              <w:rPr>
                <w:rFonts w:hint="eastAsia" w:ascii="宋体" w:hAnsi="宋体" w:cs="宋体"/>
                <w:szCs w:val="21"/>
                <w:highlight w:val="none"/>
              </w:rPr>
              <w:t>电 话：</w:t>
            </w:r>
            <w:r>
              <w:rPr>
                <w:rFonts w:hint="eastAsia" w:ascii="宋体" w:hAnsi="宋体" w:cs="宋体"/>
                <w:szCs w:val="21"/>
                <w:highlight w:val="none"/>
                <w:lang w:val="en-US" w:eastAsia="zh-CN"/>
              </w:rPr>
              <w:t>18623655450</w:t>
            </w:r>
          </w:p>
        </w:tc>
      </w:tr>
    </w:tbl>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pStyle w:val="28"/>
        <w:rPr>
          <w:color w:val="auto"/>
          <w:highlight w:val="none"/>
        </w:rPr>
      </w:pPr>
    </w:p>
    <w:p>
      <w:pPr>
        <w:pStyle w:val="3"/>
        <w:spacing w:before="0" w:after="0" w:line="360" w:lineRule="auto"/>
        <w:jc w:val="center"/>
        <w:rPr>
          <w:rFonts w:ascii="宋体" w:hAnsi="宋体" w:cs="宋体"/>
          <w:color w:val="auto"/>
          <w:highlight w:val="none"/>
        </w:rPr>
      </w:pPr>
      <w:bookmarkStart w:id="94" w:name="_Toc179632544"/>
      <w:bookmarkStart w:id="95" w:name="_Toc247085687"/>
      <w:bookmarkStart w:id="96" w:name="_Toc2000405"/>
      <w:bookmarkStart w:id="97" w:name="_Toc246996173"/>
      <w:bookmarkStart w:id="98" w:name="_Toc144974495"/>
      <w:bookmarkStart w:id="99" w:name="_Toc507319898"/>
      <w:bookmarkStart w:id="100" w:name="_Toc246996916"/>
      <w:bookmarkStart w:id="101" w:name="_Toc152045527"/>
      <w:bookmarkStart w:id="102" w:name="_Toc152042303"/>
      <w:r>
        <w:rPr>
          <w:rFonts w:hint="eastAsia" w:ascii="宋体" w:hAnsi="宋体" w:cs="宋体"/>
          <w:color w:val="auto"/>
          <w:highlight w:val="none"/>
        </w:rPr>
        <w:br w:type="page"/>
      </w:r>
      <w:bookmarkStart w:id="103" w:name="_Toc12865"/>
      <w:r>
        <w:rPr>
          <w:rFonts w:hint="eastAsia" w:ascii="宋体" w:hAnsi="宋体" w:cs="宋体"/>
          <w:color w:val="auto"/>
          <w:highlight w:val="none"/>
        </w:rPr>
        <w:t>第二章 报价人须知</w:t>
      </w:r>
      <w:bookmarkEnd w:id="94"/>
      <w:bookmarkEnd w:id="95"/>
      <w:bookmarkEnd w:id="96"/>
      <w:bookmarkEnd w:id="97"/>
      <w:bookmarkEnd w:id="98"/>
      <w:bookmarkEnd w:id="99"/>
      <w:bookmarkEnd w:id="100"/>
      <w:bookmarkEnd w:id="101"/>
      <w:bookmarkEnd w:id="102"/>
      <w:bookmarkEnd w:id="103"/>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04" w:name="_Toc326760840"/>
            <w:r>
              <w:rPr>
                <w:rFonts w:hint="eastAsia" w:ascii="宋体" w:hAnsi="宋体" w:cs="宋体"/>
                <w:b/>
                <w:color w:val="auto"/>
                <w:kern w:val="0"/>
                <w:szCs w:val="21"/>
                <w:highlight w:val="none"/>
              </w:rPr>
              <w:t>序号</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楼</w:t>
            </w:r>
          </w:p>
          <w:p>
            <w:pPr>
              <w:spacing w:line="40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ascii="宋体" w:hAnsi="宋体" w:cs="宋体"/>
                <w:color w:val="000000" w:themeColor="text1"/>
                <w:szCs w:val="21"/>
                <w:highlight w:val="none"/>
                <w:lang w:val="en-US" w:eastAsia="zh-CN"/>
                <w14:textFill>
                  <w14:solidFill>
                    <w14:schemeClr w14:val="tx1"/>
                  </w14:solidFill>
                </w14:textFill>
              </w:rPr>
              <w:t>刘老师</w:t>
            </w:r>
          </w:p>
          <w:p>
            <w:pPr>
              <w:keepNext w:val="0"/>
              <w:keepLines w:val="0"/>
              <w:pageBreakBefore w:val="0"/>
              <w:kinsoku/>
              <w:wordWrap/>
              <w:overflowPunct/>
              <w:topLine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lang w:val="en-US" w:eastAsia="zh-CN"/>
                <w14:textFill>
                  <w14:solidFill>
                    <w14:schemeClr w14:val="tx1"/>
                  </w14:solidFill>
                </w14:textFill>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Cs w:val="21"/>
                <w:highlight w:val="none"/>
                <w:lang w:val="en-US" w:eastAsia="zh-CN"/>
              </w:rPr>
            </w:pPr>
            <w:bookmarkStart w:id="105" w:name="单据名称2"/>
            <w:r>
              <w:rPr>
                <w:rFonts w:hint="eastAsia" w:ascii="宋体" w:hAnsi="宋体" w:cs="宋体"/>
                <w:i w:val="0"/>
                <w:iCs w:val="0"/>
                <w:color w:val="auto"/>
                <w:szCs w:val="21"/>
                <w:highlight w:val="none"/>
                <w:u w:val="single"/>
                <w:lang w:val="en-US" w:eastAsia="zh-CN"/>
              </w:rPr>
              <w:t>语音外呼功能集成及应用平台智能化升级开发服务</w:t>
            </w:r>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 xml:space="preserve">竞争性比选文件 </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pPr>
              <w:keepNext w:val="0"/>
              <w:keepLines w:val="0"/>
              <w:pageBreakBefore w:val="0"/>
              <w:widowControl w:val="0"/>
              <w:kinsoku/>
              <w:wordWrap/>
              <w:overflowPunct/>
              <w:bidi w:val="0"/>
              <w:spacing w:line="400" w:lineRule="exact"/>
              <w:ind w:firstLine="422" w:firstLineChars="200"/>
              <w:textAlignment w:val="auto"/>
              <w:rPr>
                <w:rFonts w:ascii="宋体" w:hAnsi="宋体" w:cs="宋体"/>
                <w:color w:val="auto"/>
                <w:kern w:val="0"/>
                <w:szCs w:val="21"/>
                <w:highlight w:val="none"/>
              </w:rPr>
            </w:pPr>
            <w:r>
              <w:rPr>
                <w:rFonts w:hint="eastAsia" w:ascii="宋体" w:hAnsi="宋体" w:cs="宋体"/>
                <w:b/>
                <w:bCs w:val="0"/>
                <w:color w:val="auto"/>
                <w:sz w:val="21"/>
                <w:szCs w:val="21"/>
                <w:highlight w:val="none"/>
                <w:lang w:eastAsia="zh-CN" w:bidi="ar"/>
              </w:rPr>
              <w:t>本项目</w:t>
            </w:r>
            <w:r>
              <w:rPr>
                <w:rFonts w:hint="eastAsia" w:ascii="宋体" w:hAnsi="宋体" w:eastAsia="宋体" w:cs="宋体"/>
                <w:b/>
                <w:bCs w:val="0"/>
                <w:color w:val="auto"/>
                <w:sz w:val="21"/>
                <w:szCs w:val="21"/>
                <w:highlight w:val="none"/>
                <w:lang w:bidi="ar"/>
              </w:rPr>
              <w:t>不允许任何负偏离。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1.投标报价：</w:t>
            </w:r>
          </w:p>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rPr>
            </w:pPr>
            <w:r>
              <w:rPr>
                <w:rFonts w:hint="eastAsia" w:ascii="宋体" w:hAnsi="宋体" w:cs="宋体"/>
                <w:color w:val="auto"/>
                <w:highlight w:val="none"/>
              </w:rPr>
              <w:t>2.报价原则</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4.投标报价</w:t>
            </w:r>
            <w:r>
              <w:rPr>
                <w:rFonts w:hint="eastAsia" w:ascii="宋体" w:hAnsi="宋体" w:cs="宋体"/>
                <w:b w:val="0"/>
                <w:bCs/>
                <w:color w:val="auto"/>
                <w:szCs w:val="21"/>
                <w:highlight w:val="none"/>
              </w:rPr>
              <w:t>取小数点后两位，小数点后第三位四舍五入。</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pPr>
              <w:keepNext w:val="0"/>
              <w:keepLines w:val="0"/>
              <w:pageBreakBefore w:val="0"/>
              <w:kinsoku/>
              <w:overflowPunct/>
              <w:bidi w:val="0"/>
              <w:adjustRightInd w:val="0"/>
              <w:snapToGrid w:val="0"/>
              <w:spacing w:line="400" w:lineRule="exact"/>
              <w:ind w:firstLine="344" w:firstLineChars="164"/>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 xml:space="preserve"> 386810.00 </w:t>
            </w:r>
            <w:r>
              <w:rPr>
                <w:rFonts w:hint="eastAsia" w:ascii="宋体" w:hAnsi="宋体"/>
                <w:b/>
                <w:bCs/>
                <w:color w:val="auto"/>
                <w:szCs w:val="21"/>
                <w:highlight w:val="none"/>
              </w:rPr>
              <w:t>元。</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bookmarkStart w:id="106" w:name="支付方式"/>
            <w:r>
              <w:rPr>
                <w:rFonts w:hint="eastAsia" w:ascii="宋体" w:hAnsi="宋体" w:cs="宋体"/>
                <w:b w:val="0"/>
                <w:bCs w:val="0"/>
                <w:color w:val="auto"/>
                <w:sz w:val="21"/>
                <w:szCs w:val="21"/>
                <w:highlight w:val="none"/>
                <w:lang w:val="en-US" w:eastAsia="zh-CN"/>
              </w:rPr>
              <w:t>每次支付前需由乙方提交书面支付申请、相关证明材料以及对应增值税专用发票经甲方审核无误后，按以下节点支付： （1）乙方完成独立模块功能开发后，经甲方验收合格后20个工作日内，甲方向乙方支付至合同金额的50%。 （2）乙方完成全部功能模块开发并经甲方终验合格后20个工作日内，甲方向乙方支付支付结算金额的100%。</w:t>
            </w:r>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2106" w:type="dxa"/>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bookmarkStart w:id="107" w:name="是否提供投标保证金"/>
            <w:r>
              <w:rPr>
                <w:rFonts w:hint="eastAsia" w:hAnsi="宋体" w:cs="宋体"/>
                <w:b w:val="0"/>
                <w:bCs w:val="0"/>
                <w:color w:val="auto"/>
                <w:kern w:val="0"/>
                <w:sz w:val="21"/>
                <w:szCs w:val="18"/>
                <w:highlight w:val="none"/>
                <w:lang w:val="en-US" w:eastAsia="zh-CN" w:bidi="ar"/>
              </w:rPr>
              <w:t>是</w:t>
            </w:r>
            <w:bookmarkEnd w:id="107"/>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bookmarkStart w:id="108" w:name="投标保证金"/>
            <w:r>
              <w:rPr>
                <w:rFonts w:hint="eastAsia" w:hAnsi="宋体" w:cs="宋体"/>
                <w:color w:val="auto"/>
                <w:sz w:val="21"/>
                <w:szCs w:val="21"/>
                <w:highlight w:val="none"/>
                <w:u w:val="single"/>
                <w:lang w:val="en-US" w:eastAsia="zh-CN"/>
              </w:rPr>
              <w:t>3000.00</w:t>
            </w:r>
            <w:bookmarkEnd w:id="108"/>
            <w:r>
              <w:rPr>
                <w:rFonts w:hint="eastAsia" w:ascii="宋体" w:hAnsi="宋体" w:eastAsia="宋体" w:cs="宋体"/>
                <w:color w:val="auto"/>
                <w:sz w:val="21"/>
                <w:szCs w:val="21"/>
                <w:highlight w:val="none"/>
              </w:rPr>
              <w:t>元，由报价人从公司基本账户将投标保证金汇至以下指定账户：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bookmarkStart w:id="109" w:name="单据名称3"/>
            <w:r>
              <w:rPr>
                <w:rFonts w:hint="eastAsia" w:ascii="宋体" w:hAnsi="宋体" w:eastAsia="宋体" w:cs="宋体"/>
                <w:i w:val="0"/>
                <w:iCs w:val="0"/>
                <w:color w:val="auto"/>
                <w:sz w:val="21"/>
                <w:szCs w:val="21"/>
                <w:highlight w:val="none"/>
                <w:u w:val="single"/>
              </w:rPr>
              <w:t>语音外呼功能集成及应用平台智能化升级开发服务</w:t>
            </w:r>
            <w:bookmarkEnd w:id="109"/>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bookmarkStart w:id="110" w:name="是否提供履约保证金"/>
            <w:r>
              <w:rPr>
                <w:rFonts w:hint="eastAsia" w:hAnsi="宋体" w:cs="宋体"/>
                <w:b w:val="0"/>
                <w:bCs w:val="0"/>
                <w:color w:val="auto"/>
                <w:kern w:val="0"/>
                <w:sz w:val="21"/>
                <w:szCs w:val="18"/>
                <w:highlight w:val="none"/>
                <w:lang w:val="en-US" w:eastAsia="zh-CN" w:bidi="ar"/>
              </w:rPr>
              <w:t>是</w:t>
            </w:r>
            <w:bookmarkEnd w:id="110"/>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bookmarkStart w:id="111" w:name="履约保证金"/>
            <w:r>
              <w:rPr>
                <w:rFonts w:hint="eastAsia" w:hAnsi="宋体"/>
                <w:color w:val="auto"/>
                <w:kern w:val="2"/>
                <w:sz w:val="21"/>
                <w:szCs w:val="21"/>
                <w:highlight w:val="none"/>
                <w:u w:val="single"/>
                <w:lang w:val="en-US" w:eastAsia="zh-CN"/>
              </w:rPr>
              <w:t>合同金额的10%</w:t>
            </w:r>
            <w:bookmarkEnd w:id="111"/>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bookmarkStart w:id="112" w:name="单据名称4"/>
            <w:r>
              <w:rPr>
                <w:rFonts w:hint="eastAsia" w:ascii="宋体" w:hAnsi="宋体" w:eastAsia="宋体" w:cs="宋体"/>
                <w:i w:val="0"/>
                <w:iCs w:val="0"/>
                <w:color w:val="auto"/>
                <w:sz w:val="21"/>
                <w:szCs w:val="21"/>
                <w:highlight w:val="none"/>
                <w:u w:val="single"/>
              </w:rPr>
              <w:t>语音外呼功能集成及应用平台智能化升级开发服务</w:t>
            </w:r>
            <w:bookmarkEnd w:id="112"/>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pPr>
              <w:keepNext w:val="0"/>
              <w:keepLines w:val="0"/>
              <w:pageBreakBefore w:val="0"/>
              <w:suppressLineNumbers w:val="0"/>
              <w:kinsoku/>
              <w:overflowPunct/>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pPr>
              <w:pStyle w:val="149"/>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bookmarkStart w:id="113" w:name="是否提供低价风险担保金"/>
            <w:r>
              <w:rPr>
                <w:rFonts w:hint="eastAsia" w:ascii="宋体" w:hAnsi="宋体" w:cs="宋体"/>
                <w:b w:val="0"/>
                <w:bCs w:val="0"/>
                <w:color w:val="auto"/>
                <w:kern w:val="0"/>
                <w:sz w:val="21"/>
                <w:szCs w:val="18"/>
                <w:highlight w:val="none"/>
                <w:lang w:val="en-US" w:eastAsia="zh-CN" w:bidi="ar"/>
              </w:rPr>
              <w:t>否</w:t>
            </w:r>
            <w:bookmarkEnd w:id="113"/>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开户银行：兴业银行股份有限公司重庆空港支行</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pPr>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pPr>
              <w:keepNext w:val="0"/>
              <w:keepLines w:val="0"/>
              <w:pageBreakBefore w:val="0"/>
              <w:widowControl w:val="0"/>
              <w:kinsoku/>
              <w:wordWrap w:val="0"/>
              <w:overflowPunct/>
              <w:topLinePunct w:val="0"/>
              <w:bidi w:val="0"/>
              <w:adjustRightInd/>
              <w:snapToGrid/>
              <w:spacing w:line="40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.任何一方违反本合同所规定的保密义务，违约方应按约定支付违约金。如实际损失超过该违约金的，受损失一方有权要求对方赔偿超过部分。</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.甲方有权对乙方提供的服务进行定期检查，若乙方未满足要求，每发现一次，乙方应向甲方支付2000元/次的违约金。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.任何一方违反本合同所规定的其他义务，除本合同另有约定外，违约方按合同总价的5%向对方支付违约金。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.按本合同赔偿的违约金应在15个工作日内付清，否则，按逾期付款处理，即每迟延一日按欠付金额的0.03%支付违约金。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.因乙方服务人员造成甲方损失，乙方除应当负责配合甲方解决之外，还应当承担由此给甲方造成的一切损失。本义务不随本合同履行期限届满而结束。</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.因履行合同而发生的一切安全保障责任、人身伤亡事故及造成的损失均由乙方承担。</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报价人应服从采购人供应商管理，对出现进度、质量、服务及违规问题的供应商，视违规行为的具体情形、情节轻重和危害程度，根据采购人《合格供方库管理办法》给予暂停合格供应商资格、终止合格供应商资格、永久取消合格供应商资格（列入诚信黑名单）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.1</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lang w:val="en-US" w:eastAsia="zh-CN"/>
              </w:rPr>
              <w:t>需提供投标保证金银行回执（如有）。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kern w:val="2"/>
                <w:sz w:val="21"/>
                <w:szCs w:val="21"/>
                <w:highlight w:val="none"/>
                <w:lang w:val="en-US" w:eastAsia="zh-CN"/>
              </w:rPr>
              <w:t>26.3</w:t>
            </w:r>
          </w:p>
        </w:tc>
        <w:tc>
          <w:tcPr>
            <w:tcW w:w="9210" w:type="dxa"/>
            <w:gridSpan w:val="2"/>
            <w:vAlign w:val="center"/>
          </w:tcPr>
          <w:p>
            <w:pPr>
              <w:pStyle w:val="149"/>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pPr>
              <w:pStyle w:val="149"/>
              <w:keepNext w:val="0"/>
              <w:keepLines w:val="0"/>
              <w:pageBreakBefore w:val="0"/>
              <w:kinsoku/>
              <w:wordWrap/>
              <w:overflowPunct/>
              <w:bidi w:val="0"/>
              <w:spacing w:line="40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26.4</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报价人须承诺竞争性</w:t>
            </w:r>
            <w:r>
              <w:rPr>
                <w:rFonts w:hint="eastAsia" w:ascii="宋体" w:hAnsi="宋体" w:eastAsia="宋体" w:cs="宋体"/>
                <w:color w:val="auto"/>
                <w:sz w:val="21"/>
                <w:szCs w:val="21"/>
                <w:highlight w:val="none"/>
              </w:rPr>
              <w:t>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不存在资质挂靠或参与串标、围标情形。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w:t>
            </w:r>
            <w:r>
              <w:rPr>
                <w:rFonts w:hint="eastAsia" w:ascii="宋体" w:hAnsi="宋体" w:cs="宋体"/>
                <w:color w:val="auto"/>
                <w:sz w:val="21"/>
                <w:szCs w:val="21"/>
                <w:highlight w:val="none"/>
                <w:lang w:val="en-US" w:eastAsia="zh-CN"/>
              </w:rPr>
              <w:t>及支付方式</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val="en-US" w:eastAsia="zh-CN"/>
              </w:rPr>
              <w:t>一切</w:t>
            </w:r>
            <w:r>
              <w:rPr>
                <w:rFonts w:hint="eastAsia" w:ascii="宋体" w:hAnsi="宋体" w:eastAsia="宋体" w:cs="宋体"/>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承诺绝不向</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工作人员、评标委员会成员等提供或变相提供现金、回扣、有价证券、旅游等形式的利益输送，并自愿配合贵司或第三方机构对项目进行廉政审查。</w:t>
            </w:r>
          </w:p>
          <w:p>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报价人须承诺完全服从采购人《合格供方库管理办法》（详见相关附件）的管理要求，对出现进度、质量、服务及违规问题的供应商，视违规行为的具体情形、情节轻重和危害程度，采购人可依据《合格供方库管理办法》给予暂停合格供应商资格、终止合格供应商资格、永久取消合格供应商资格（列入诚信黑名单）等处理。</w:t>
            </w:r>
          </w:p>
          <w:p>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知悉并愿意接受</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监督部门对本次竞争性比选活动的监督，积极配合相关工作，如实提供所需信息和资料。</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违反上述承诺，隐瞒、提供虚假资料或不按竞争性比选文件要求组织实施，被</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发现或被他人举报查实，无条件接受贵司的处罚，对造成的损失，任何法律和经济责任完全由</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26.5</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bookmarkEnd w:id="104"/>
    </w:tbl>
    <w:p>
      <w:pPr>
        <w:rPr>
          <w:color w:val="auto"/>
          <w:highlight w:val="none"/>
        </w:rPr>
      </w:pPr>
    </w:p>
    <w:p>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14" w:name="_Hlt227984024"/>
      <w:bookmarkEnd w:id="114"/>
    </w:p>
    <w:p>
      <w:pPr>
        <w:pStyle w:val="4"/>
        <w:jc w:val="center"/>
        <w:rPr>
          <w:rFonts w:ascii="宋体" w:hAnsi="宋体" w:eastAsia="宋体" w:cs="宋体"/>
          <w:bCs w:val="0"/>
          <w:color w:val="auto"/>
          <w:sz w:val="28"/>
          <w:szCs w:val="28"/>
          <w:highlight w:val="none"/>
        </w:rPr>
      </w:pPr>
      <w:bookmarkStart w:id="115" w:name="_Toc11329222"/>
      <w:bookmarkStart w:id="116" w:name="_Toc17532"/>
      <w:bookmarkStart w:id="117" w:name="_Toc30198"/>
      <w:bookmarkStart w:id="118" w:name="_Toc11284"/>
      <w:bookmarkStart w:id="119" w:name="_Toc21580"/>
      <w:r>
        <w:rPr>
          <w:rFonts w:hint="eastAsia" w:ascii="宋体" w:hAnsi="宋体" w:eastAsia="宋体" w:cs="宋体"/>
          <w:color w:val="auto"/>
          <w:sz w:val="28"/>
          <w:szCs w:val="28"/>
          <w:highlight w:val="none"/>
        </w:rPr>
        <w:t xml:space="preserve">附录1  </w:t>
      </w:r>
      <w:bookmarkEnd w:id="115"/>
      <w:bookmarkEnd w:id="116"/>
      <w:bookmarkEnd w:id="117"/>
      <w:bookmarkEnd w:id="118"/>
      <w:bookmarkStart w:id="120" w:name="_Toc25591"/>
      <w:bookmarkStart w:id="121" w:name="_Toc27096"/>
      <w:bookmarkStart w:id="122" w:name="_Toc11329226"/>
      <w:bookmarkStart w:id="123" w:name="_Toc12773"/>
      <w:r>
        <w:rPr>
          <w:rFonts w:hint="eastAsia" w:ascii="宋体" w:hAnsi="宋体" w:eastAsia="宋体" w:cs="宋体"/>
          <w:bCs w:val="0"/>
          <w:color w:val="auto"/>
          <w:sz w:val="28"/>
          <w:szCs w:val="28"/>
          <w:highlight w:val="none"/>
        </w:rPr>
        <w:t>报价人资格要求</w:t>
      </w:r>
      <w:bookmarkEnd w:id="119"/>
      <w:bookmarkEnd w:id="120"/>
      <w:bookmarkEnd w:id="121"/>
      <w:bookmarkEnd w:id="122"/>
      <w:bookmarkEnd w:id="123"/>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bookmarkStart w:id="124" w:name="_Toc388534043"/>
            <w:bookmarkStart w:id="125" w:name="_Toc387234996"/>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bookmarkStart w:id="126" w:name="资质要求1"/>
            <w:r>
              <w:rPr>
                <w:rFonts w:hint="eastAsia" w:ascii="宋体" w:hAnsi="宋体" w:eastAsia="宋体" w:cs="宋体"/>
                <w:i w:val="0"/>
                <w:iCs w:val="0"/>
                <w:caps w:val="0"/>
                <w:color w:val="auto"/>
                <w:spacing w:val="0"/>
                <w:sz w:val="21"/>
                <w:szCs w:val="21"/>
                <w:highlight w:val="none"/>
                <w:shd w:val="clear" w:fill="FCFCFC"/>
              </w:rPr>
              <w:t>报价人具有独立法人资格和有效的营业执照</w:t>
            </w:r>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bookmarkStart w:id="127" w:name="业绩要求1"/>
            <w:r>
              <w:rPr>
                <w:rFonts w:hint="eastAsia" w:ascii="宋体" w:hAnsi="宋体" w:eastAsia="宋体" w:cs="宋体"/>
                <w:color w:val="auto"/>
                <w:sz w:val="21"/>
                <w:szCs w:val="21"/>
                <w:highlight w:val="none"/>
                <w:lang w:val="en-US" w:eastAsia="zh-CN"/>
              </w:rPr>
              <w:t>2022年1月1日至报价截止日期（以合同签订时间为准）至少独立完成一项合同金额不低于25万元的软件开发或技术服务业绩（提供合同扫描件）</w:t>
            </w:r>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128" w:name="主要管理人员要求"/>
            <w:r>
              <w:rPr>
                <w:rFonts w:hint="eastAsia" w:ascii="宋体" w:hAnsi="宋体" w:eastAsia="宋体" w:cs="宋体"/>
                <w:color w:val="auto"/>
                <w:sz w:val="21"/>
                <w:szCs w:val="21"/>
                <w:highlight w:val="none"/>
                <w:lang w:val="en-US" w:eastAsia="zh-CN"/>
              </w:rPr>
              <w:t>项目负责人，1人，具有3年以上工作经验，为计算机、通信、数据处理相关专业人员。</w:t>
            </w:r>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129" w:name="其他人员要求"/>
            <w:r>
              <w:rPr>
                <w:rFonts w:hint="eastAsia" w:ascii="宋体" w:hAnsi="宋体" w:cs="宋体"/>
                <w:b w:val="0"/>
                <w:bCs w:val="0"/>
                <w:color w:val="auto"/>
                <w:szCs w:val="21"/>
                <w:highlight w:val="none"/>
                <w:lang w:val="en-US" w:eastAsia="zh-CN"/>
              </w:rPr>
              <w:t>根据项目实际进度情况及时增加人员。</w:t>
            </w:r>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4.提供人员资格要求的资料。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p>
    <w:p>
      <w:pPr>
        <w:pStyle w:val="28"/>
        <w:rPr>
          <w:color w:val="auto"/>
          <w:highlight w:val="none"/>
        </w:rPr>
      </w:pPr>
    </w:p>
    <w:bookmarkEnd w:id="124"/>
    <w:bookmarkEnd w:id="125"/>
    <w:p>
      <w:pPr>
        <w:spacing w:line="440" w:lineRule="exact"/>
        <w:ind w:firstLine="210" w:firstLineChars="100"/>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color w:val="auto"/>
          <w:highlight w:val="none"/>
        </w:rPr>
      </w:pPr>
      <w:r>
        <w:rPr>
          <w:color w:val="auto"/>
          <w:highlight w:val="none"/>
        </w:rPr>
        <w:br w:type="page"/>
      </w:r>
    </w:p>
    <w:p>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30" w:name="_Toc31054"/>
      <w:bookmarkStart w:id="131" w:name="_Toc31719"/>
      <w:r>
        <w:rPr>
          <w:rFonts w:hint="eastAsia" w:ascii="宋体" w:hAnsi="宋体" w:cs="宋体"/>
          <w:color w:val="auto"/>
          <w:highlight w:val="none"/>
        </w:rPr>
        <w:t>评标办法（综合评估法）</w:t>
      </w:r>
      <w:bookmarkEnd w:id="130"/>
      <w:bookmarkEnd w:id="131"/>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897"/>
        <w:gridCol w:w="1129"/>
        <w:gridCol w:w="1653"/>
        <w:gridCol w:w="4627"/>
        <w:gridCol w:w="5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2970" w:type="dxa"/>
            <w:gridSpan w:val="3"/>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182" w:type="dxa"/>
            <w:gridSpan w:val="2"/>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26" w:type="dxa"/>
            <w:gridSpan w:val="2"/>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5182" w:type="dxa"/>
            <w:gridSpan w:val="2"/>
            <w:tcBorders>
              <w:top w:val="single" w:color="auto" w:sz="4" w:space="0"/>
              <w:left w:val="single" w:color="auto" w:sz="4" w:space="0"/>
              <w:bottom w:val="single" w:color="auto" w:sz="4" w:space="0"/>
            </w:tcBorders>
          </w:tcPr>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2.1.1</w:t>
            </w:r>
          </w:p>
        </w:tc>
        <w:tc>
          <w:tcPr>
            <w:tcW w:w="2026" w:type="dxa"/>
            <w:gridSpan w:val="2"/>
            <w:vMerge w:val="restart"/>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盖章</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或加盖单位公章。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w:t>
            </w:r>
            <w:r>
              <w:rPr>
                <w:rFonts w:hint="eastAsia"/>
                <w:color w:val="auto"/>
                <w:highlight w:val="none"/>
                <w:lang w:val="en-US" w:eastAsia="zh-CN"/>
              </w:rPr>
              <w:t>六</w:t>
            </w:r>
            <w:r>
              <w:rPr>
                <w:rFonts w:hint="eastAsia" w:asciiTheme="minorEastAsia" w:hAnsiTheme="minorEastAsia" w:eastAsiaTheme="minorEastAsia" w:cstheme="minorEastAsia"/>
                <w:color w:val="auto"/>
                <w:szCs w:val="21"/>
                <w:highlight w:val="none"/>
              </w:rPr>
              <w:t>章“竞争性比选响应文件格式”的要求，字迹清晰可辨。</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w:t>
            </w:r>
          </w:p>
        </w:tc>
        <w:tc>
          <w:tcPr>
            <w:tcW w:w="5182" w:type="dxa"/>
            <w:gridSpan w:val="2"/>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资格要求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信誉要求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jc w:val="both"/>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lang w:val="en-US" w:eastAsia="zh-CN"/>
              </w:rPr>
              <w:t>服务地点</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rPr>
              <w:t>项目规模</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投标内容</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服务期限</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服务要求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lang w:val="en-US" w:eastAsia="zh-CN"/>
              </w:rPr>
            </w:pPr>
            <w:r>
              <w:rPr>
                <w:color w:val="auto"/>
                <w:highlight w:val="none"/>
              </w:rPr>
              <w:t>报价</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偏差</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保证金</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2.2.1</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6835" w:type="dxa"/>
            <w:gridSpan w:val="3"/>
            <w:tcBorders>
              <w:top w:val="single" w:color="auto" w:sz="4" w:space="0"/>
              <w:left w:val="single" w:color="auto" w:sz="4" w:space="0"/>
              <w:bottom w:val="single" w:color="auto" w:sz="4" w:space="0"/>
            </w:tcBorders>
          </w:tcPr>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A：投标报价70分；</w:t>
            </w:r>
          </w:p>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B：商务部分10分；</w:t>
            </w:r>
          </w:p>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2.2.2</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6835" w:type="dxa"/>
            <w:gridSpan w:val="3"/>
            <w:tcBorders>
              <w:top w:val="single" w:color="auto" w:sz="4" w:space="0"/>
              <w:left w:val="single" w:color="auto" w:sz="4" w:space="0"/>
              <w:bottom w:val="single" w:color="auto" w:sz="4" w:space="0"/>
            </w:tcBorders>
          </w:tcPr>
          <w:p>
            <w:pPr>
              <w:keepNext w:val="0"/>
              <w:keepLines/>
              <w:pageBreakBefore w:val="0"/>
              <w:kinsoku/>
              <w:wordWrap/>
              <w:overflowPunct/>
              <w:topLinePunct w:val="0"/>
              <w:bidi w:val="0"/>
              <w:adjustRightInd w:val="0"/>
              <w:snapToGrid w:val="0"/>
              <w:spacing w:beforeAutospacing="0"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1.有效报价：系指初步评审均合格且其</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内容满足</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报价。</w:t>
            </w:r>
          </w:p>
          <w:p>
            <w:pPr>
              <w:pStyle w:val="120"/>
              <w:keepNext w:val="0"/>
              <w:pageBreakBefore w:val="0"/>
              <w:kinsoku/>
              <w:wordWrap/>
              <w:overflowPunct/>
              <w:topLinePunct w:val="0"/>
              <w:bidi w:val="0"/>
              <w:adjustRightInd w:val="0"/>
              <w:spacing w:beforeAutospacing="0" w:line="400" w:lineRule="exact"/>
              <w:textAlignment w:val="baseline"/>
              <w:rPr>
                <w:rFonts w:asciiTheme="minorEastAsia" w:hAnsiTheme="minorEastAsia" w:eastAsiaTheme="minorEastAsia" w:cstheme="minorEastAsia"/>
                <w:bCs/>
                <w:color w:val="auto"/>
                <w:szCs w:val="21"/>
                <w:highlight w:val="none"/>
              </w:rPr>
            </w:pPr>
            <w:r>
              <w:rPr>
                <w:rFonts w:hint="eastAsia" w:ascii="宋体" w:hAnsi="宋体" w:eastAsia="宋体" w:cs="宋体"/>
                <w:color w:val="auto"/>
                <w:szCs w:val="21"/>
                <w:highlight w:val="none"/>
              </w:rPr>
              <w:t>2.评标基准价：所有通过初步评审合格的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人的投标报价中去掉六分之一（不能整除的按小数点前整数取整，不足六家报价则不去掉）的最低价和相同家数的最高价后的算术平均值为评标基准价。</w:t>
            </w:r>
          </w:p>
          <w:p>
            <w:pPr>
              <w:keepNext w:val="0"/>
              <w:pageBreakBefore w:val="0"/>
              <w:kinsoku/>
              <w:wordWrap/>
              <w:overflowPunct/>
              <w:topLinePunct w:val="0"/>
              <w:bidi w:val="0"/>
              <w:spacing w:beforeAutospacing="0"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注：评标基准价以元为</w:t>
            </w:r>
            <w:r>
              <w:rPr>
                <w:rFonts w:hint="eastAsia" w:ascii="宋体" w:hAnsi="宋体" w:cs="宋体"/>
                <w:color w:val="auto"/>
                <w:szCs w:val="21"/>
                <w:highlight w:val="none"/>
              </w:rPr>
              <w:t>单位，保留2位小数，按四舍五入原则进行。确认后的评标基准价在本次整个招投标期间保持不变，不随后续评审的报价人数量发生变化。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2.2.3</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6835" w:type="dxa"/>
            <w:gridSpan w:val="3"/>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adjustRightInd w:val="0"/>
              <w:snapToGrid w:val="0"/>
              <w:spacing w:beforeAutospacing="0"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100％×（投标价一评标基准价）／评标基准价</w:t>
            </w:r>
          </w:p>
          <w:p>
            <w:pPr>
              <w:keepNext w:val="0"/>
              <w:pageBreakBefore w:val="0"/>
              <w:kinsoku/>
              <w:wordWrap/>
              <w:overflowPunct/>
              <w:topLinePunct w:val="0"/>
              <w:bidi w:val="0"/>
              <w:spacing w:beforeAutospacing="0" w:line="400" w:lineRule="exact"/>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6280" w:type="dxa"/>
            <w:gridSpan w:val="2"/>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hint="default" w:eastAsia="宋体" w:asciiTheme="minorEastAsia" w:hAnsiTheme="minorEastAsia" w:cstheme="minorEastAsia"/>
                <w:bCs/>
                <w:color w:val="auto"/>
                <w:szCs w:val="21"/>
                <w:highlight w:val="none"/>
                <w:lang w:val="en-US" w:eastAsia="zh-CN" w:bidi="ar"/>
              </w:rPr>
            </w:pPr>
            <w:r>
              <w:rPr>
                <w:rFonts w:hint="eastAsia" w:ascii="宋体" w:hAnsi="宋体" w:cs="宋体"/>
                <w:color w:val="auto"/>
                <w:szCs w:val="21"/>
                <w:highlight w:val="none"/>
                <w:lang w:val="en-US" w:eastAsia="zh-CN"/>
              </w:rPr>
              <w:t>（1）</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技术评分标准（20分）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技术部分评分分为客观评分和主观评分。</w:t>
            </w:r>
          </w:p>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客观评分：评标委员会按以下各评审因素设定的分值进行评分且保证分值统一；主观评分：评标委员会成员为5人及以上时，所有评委评分算术平均值为该投标人技术部分得分。</w:t>
            </w:r>
          </w:p>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textAlignment w:val="baseline"/>
              <w:rPr>
                <w:rFonts w:hint="eastAsia" w:asciiTheme="minorEastAsia" w:hAnsiTheme="minorEastAsia" w:eastAsiaTheme="minorEastAsia" w:cstheme="minorEastAsia"/>
                <w:bCs/>
                <w:i/>
                <w:iCs/>
                <w:color w:val="auto"/>
                <w:kern w:val="2"/>
                <w:sz w:val="21"/>
                <w:szCs w:val="21"/>
                <w:highlight w:val="none"/>
                <w:lang w:val="en-US" w:eastAsia="zh-CN" w:bidi="ar-SA"/>
              </w:rPr>
            </w:pPr>
            <w:r>
              <w:rPr>
                <w:rFonts w:hint="eastAsia" w:ascii="宋体" w:hAnsi="宋体" w:cs="宋体"/>
                <w:bCs/>
                <w:szCs w:val="21"/>
                <w:highlight w:val="none"/>
                <w:lang w:bidi="ar"/>
              </w:rPr>
              <w:t>项目实施方案（20分）</w:t>
            </w:r>
          </w:p>
        </w:tc>
        <w:tc>
          <w:tcPr>
            <w:tcW w:w="6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ind w:firstLine="420" w:firstLineChars="200"/>
              <w:textAlignment w:val="baseline"/>
              <w:rPr>
                <w:rFonts w:hint="eastAsia" w:ascii="宋体" w:hAnsi="宋体" w:cs="宋体"/>
                <w:bCs/>
                <w:szCs w:val="21"/>
                <w:highlight w:val="none"/>
                <w:lang w:bidi="ar"/>
              </w:rPr>
            </w:pPr>
            <w:r>
              <w:rPr>
                <w:rFonts w:hint="eastAsia" w:ascii="宋体" w:hAnsi="宋体" w:cs="宋体"/>
                <w:bCs/>
                <w:szCs w:val="21"/>
                <w:highlight w:val="none"/>
                <w:lang w:bidi="ar"/>
              </w:rPr>
              <w:t>投标人针对项目实施方案，方案至少包含项目实施人员配置、实施车辆配置、项目实施计划、风险管理等；实施方案内容全面、结构清晰；实施方案针对技术、资源、时间的安排合理。根据编制内容优劣给分：</w:t>
            </w:r>
          </w:p>
          <w:p>
            <w:pPr>
              <w:adjustRightInd w:val="0"/>
              <w:snapToGrid w:val="0"/>
              <w:spacing w:line="400" w:lineRule="exact"/>
              <w:ind w:firstLine="420" w:firstLineChars="200"/>
              <w:textAlignment w:val="baseline"/>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cs="宋体"/>
                <w:bCs/>
                <w:szCs w:val="21"/>
                <w:highlight w:val="none"/>
                <w:lang w:bidi="ar"/>
              </w:rPr>
              <w:t>注：方案内容合理、可行性高、完整性好，内容全面结构清晰得2</w:t>
            </w:r>
            <w:r>
              <w:rPr>
                <w:rFonts w:hint="eastAsia" w:ascii="宋体" w:hAnsi="宋体" w:cs="宋体"/>
                <w:highlight w:val="none"/>
              </w:rPr>
              <w:t>0~1</w:t>
            </w:r>
            <w:r>
              <w:rPr>
                <w:rFonts w:hint="eastAsia" w:ascii="宋体" w:hAnsi="宋体" w:cs="宋体"/>
                <w:highlight w:val="none"/>
                <w:lang w:val="en-US" w:eastAsia="zh-CN"/>
              </w:rPr>
              <w:t>6</w:t>
            </w:r>
            <w:r>
              <w:rPr>
                <w:rFonts w:hint="eastAsia" w:ascii="宋体" w:hAnsi="宋体" w:cs="宋体"/>
                <w:bCs/>
                <w:szCs w:val="21"/>
                <w:highlight w:val="none"/>
                <w:lang w:bidi="ar"/>
              </w:rPr>
              <w:t>分；方案内容较合理性、可行性较高、完整性一般、内容全面结构一般得1</w:t>
            </w:r>
            <w:r>
              <w:rPr>
                <w:rFonts w:hint="eastAsia" w:ascii="宋体" w:hAnsi="宋体" w:cs="宋体"/>
                <w:bCs/>
                <w:szCs w:val="21"/>
                <w:highlight w:val="none"/>
                <w:lang w:val="en-US" w:eastAsia="zh-CN" w:bidi="ar"/>
              </w:rPr>
              <w:t>6</w:t>
            </w: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bCs/>
                <w:szCs w:val="21"/>
                <w:highlight w:val="none"/>
                <w:lang w:bidi="ar"/>
              </w:rPr>
              <w:t>分；方案内容应不合理性、不具有可行性、完整性较差、内容全面结构模糊得1</w:t>
            </w:r>
            <w:r>
              <w:rPr>
                <w:rFonts w:hint="eastAsia" w:ascii="宋体" w:hAnsi="宋体" w:cs="宋体"/>
                <w:bCs/>
                <w:szCs w:val="21"/>
                <w:highlight w:val="none"/>
                <w:lang w:val="en-US" w:eastAsia="zh-CN" w:bidi="ar"/>
              </w:rPr>
              <w:t>2</w:t>
            </w:r>
            <w:r>
              <w:rPr>
                <w:rFonts w:hint="eastAsia" w:ascii="宋体" w:hAnsi="宋体" w:cs="宋体"/>
                <w:highlight w:val="none"/>
              </w:rPr>
              <w:t>~0</w:t>
            </w:r>
            <w:r>
              <w:rPr>
                <w:rFonts w:hint="eastAsia" w:ascii="宋体" w:hAnsi="宋体" w:cs="宋体"/>
                <w:bCs/>
                <w:szCs w:val="21"/>
                <w:highlight w:val="none"/>
                <w:lang w:bidi="ar"/>
              </w:rPr>
              <w:t>分。</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（2）</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商务评分标准（10分）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商务部分得分的最终结果保留两位小数，小数点后第三位四舍五入。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400" w:lineRule="exact"/>
              <w:jc w:val="center"/>
              <w:rPr>
                <w:rFonts w:hint="eastAsia" w:asciiTheme="minorEastAsia" w:hAnsiTheme="minorEastAsia" w:eastAsiaTheme="minorEastAsia" w:cstheme="minorEastAsia"/>
                <w:b w:val="0"/>
                <w:i/>
                <w:iCs/>
                <w:caps w:val="0"/>
                <w:color w:val="auto"/>
                <w:kern w:val="2"/>
                <w:sz w:val="21"/>
                <w:szCs w:val="21"/>
                <w:highlight w:val="none"/>
                <w:lang w:val="en-US" w:eastAsia="zh-CN" w:bidi="ar-SA"/>
              </w:rPr>
            </w:pPr>
            <w:r>
              <w:rPr>
                <w:rFonts w:hint="eastAsia" w:ascii="宋体" w:hAnsi="宋体" w:cs="宋体"/>
                <w:kern w:val="0"/>
                <w:szCs w:val="21"/>
                <w:highlight w:val="none"/>
                <w:lang w:bidi="ar"/>
              </w:rPr>
              <w:t>项目团队（4</w:t>
            </w:r>
            <w:r>
              <w:rPr>
                <w:rFonts w:ascii="宋体" w:hAnsi="宋体" w:cs="宋体"/>
                <w:kern w:val="0"/>
                <w:szCs w:val="21"/>
                <w:highlight w:val="none"/>
                <w:lang w:bidi="ar"/>
              </w:rPr>
              <w:t>分）</w:t>
            </w:r>
          </w:p>
        </w:tc>
        <w:tc>
          <w:tcPr>
            <w:tcW w:w="6280" w:type="dxa"/>
            <w:gridSpan w:val="2"/>
            <w:tcBorders>
              <w:top w:val="single" w:color="auto" w:sz="4" w:space="0"/>
              <w:left w:val="single" w:color="auto" w:sz="4" w:space="0"/>
              <w:bottom w:val="single" w:color="auto" w:sz="4" w:space="0"/>
            </w:tcBorders>
            <w:shd w:val="clear" w:color="auto" w:fill="auto"/>
            <w:vAlign w:val="center"/>
          </w:tcPr>
          <w:p>
            <w:pPr>
              <w:widowControl/>
              <w:snapToGrid w:val="0"/>
              <w:spacing w:line="400" w:lineRule="exact"/>
              <w:ind w:firstLine="420" w:firstLineChars="200"/>
              <w:jc w:val="left"/>
              <w:rPr>
                <w:rFonts w:hint="eastAsia" w:ascii="宋体" w:hAnsi="宋体" w:cs="宋体"/>
                <w:kern w:val="0"/>
                <w:szCs w:val="21"/>
                <w:highlight w:val="none"/>
                <w:lang w:bidi="ar"/>
              </w:rPr>
            </w:pPr>
            <w:r>
              <w:rPr>
                <w:rFonts w:ascii="宋体" w:hAnsi="宋体" w:cs="宋体"/>
                <w:kern w:val="0"/>
                <w:szCs w:val="21"/>
                <w:highlight w:val="none"/>
                <w:lang w:bidi="ar"/>
              </w:rPr>
              <w:t>1.满足资格条件的资质要求得2分；</w:t>
            </w:r>
          </w:p>
          <w:p>
            <w:pPr>
              <w:widowControl/>
              <w:snapToGrid w:val="0"/>
              <w:spacing w:line="400" w:lineRule="exact"/>
              <w:ind w:firstLine="420" w:firstLineChars="200"/>
              <w:jc w:val="left"/>
              <w:rPr>
                <w:rFonts w:hint="eastAsia" w:ascii="宋体" w:hAnsi="宋体" w:cs="宋体"/>
                <w:kern w:val="0"/>
                <w:szCs w:val="21"/>
                <w:highlight w:val="none"/>
                <w:lang w:bidi="ar"/>
              </w:rPr>
            </w:pPr>
            <w:r>
              <w:rPr>
                <w:rFonts w:hint="eastAsia" w:ascii="宋体" w:hAnsi="宋体" w:cs="宋体"/>
                <w:kern w:val="0"/>
                <w:szCs w:val="21"/>
                <w:highlight w:val="none"/>
                <w:lang w:bidi="ar"/>
              </w:rPr>
              <w:t>2. 报价人拟派的项目团队成员具备国家工业或信息化部，中国人力资源和社会保障部颁发的中级及以上职业资格或能力证书的，每人得2分，本项最多得2分。</w:t>
            </w:r>
          </w:p>
          <w:p>
            <w:pPr>
              <w:widowControl/>
              <w:snapToGrid w:val="0"/>
              <w:spacing w:line="400" w:lineRule="exact"/>
              <w:ind w:firstLine="422" w:firstLineChars="200"/>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
                <w:bCs/>
                <w:kern w:val="0"/>
                <w:szCs w:val="21"/>
                <w:highlight w:val="none"/>
                <w:shd w:val="clear" w:color="auto" w:fill="FFFFFF"/>
                <w:lang w:bidi="ar"/>
              </w:rPr>
              <w:t>提供：证书复印件并加盖报价单位法人章。</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hint="eastAsia" w:asciiTheme="minorEastAsia" w:hAnsiTheme="minorEastAsia" w:eastAsiaTheme="minorEastAsia" w:cstheme="minorEastAsia"/>
                <w:i/>
                <w:iCs/>
                <w:szCs w:val="21"/>
                <w:highlight w:val="none"/>
              </w:rPr>
            </w:pPr>
            <w:r>
              <w:rPr>
                <w:rFonts w:hint="eastAsia" w:asciiTheme="minorEastAsia" w:hAnsiTheme="minorEastAsia" w:eastAsiaTheme="minorEastAsia" w:cstheme="minorEastAsia"/>
                <w:i/>
                <w:iCs/>
                <w:szCs w:val="21"/>
                <w:highlight w:val="none"/>
              </w:rPr>
              <w:t>报价人</w:t>
            </w:r>
          </w:p>
          <w:p>
            <w:pPr>
              <w:widowControl/>
              <w:spacing w:line="400" w:lineRule="exact"/>
              <w:jc w:val="center"/>
              <w:textAlignment w:val="center"/>
              <w:rPr>
                <w:rFonts w:hint="eastAsia" w:asciiTheme="minorEastAsia" w:hAnsiTheme="minorEastAsia" w:eastAsiaTheme="minorEastAsia" w:cstheme="minorEastAsia"/>
                <w:i/>
                <w:iCs/>
                <w:szCs w:val="21"/>
                <w:highlight w:val="none"/>
              </w:rPr>
            </w:pPr>
            <w:r>
              <w:rPr>
                <w:rFonts w:hint="eastAsia" w:asciiTheme="minorEastAsia" w:hAnsiTheme="minorEastAsia" w:eastAsiaTheme="minorEastAsia" w:cstheme="minorEastAsia"/>
                <w:i/>
                <w:iCs/>
                <w:szCs w:val="21"/>
                <w:highlight w:val="none"/>
              </w:rPr>
              <w:t>业绩</w:t>
            </w:r>
          </w:p>
          <w:p>
            <w:pPr>
              <w:widowControl/>
              <w:spacing w:line="400" w:lineRule="exact"/>
              <w:jc w:val="center"/>
              <w:textAlignment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Theme="minorEastAsia" w:hAnsiTheme="minorEastAsia" w:eastAsiaTheme="minorEastAsia" w:cstheme="minorEastAsia"/>
                <w:i/>
                <w:iCs/>
                <w:szCs w:val="21"/>
                <w:highlight w:val="none"/>
              </w:rPr>
              <w:t>（6分）</w:t>
            </w:r>
          </w:p>
        </w:tc>
        <w:tc>
          <w:tcPr>
            <w:tcW w:w="6280" w:type="dxa"/>
            <w:gridSpan w:val="2"/>
            <w:tcBorders>
              <w:top w:val="single" w:color="auto" w:sz="4" w:space="0"/>
              <w:left w:val="single" w:color="auto" w:sz="4" w:space="0"/>
              <w:bottom w:val="single" w:color="auto" w:sz="4" w:space="0"/>
            </w:tcBorders>
            <w:shd w:val="clear" w:color="auto" w:fill="auto"/>
            <w:vAlign w:val="center"/>
          </w:tcPr>
          <w:p>
            <w:pPr>
              <w:widowControl/>
              <w:snapToGrid w:val="0"/>
              <w:spacing w:line="400" w:lineRule="exact"/>
              <w:ind w:firstLine="420" w:firstLineChars="200"/>
              <w:jc w:val="left"/>
              <w:rPr>
                <w:rFonts w:hint="eastAsia" w:ascii="宋体" w:hAnsi="宋体" w:cs="宋体"/>
                <w:kern w:val="0"/>
                <w:szCs w:val="21"/>
                <w:highlight w:val="none"/>
                <w:lang w:bidi="ar"/>
              </w:rPr>
            </w:pPr>
            <w:r>
              <w:rPr>
                <w:rFonts w:ascii="宋体" w:hAnsi="宋体" w:cs="宋体"/>
                <w:kern w:val="0"/>
                <w:szCs w:val="21"/>
                <w:highlight w:val="none"/>
                <w:lang w:bidi="ar"/>
              </w:rPr>
              <w:t>1.满足资格条件的资质要求得2分；</w:t>
            </w:r>
          </w:p>
          <w:p>
            <w:pPr>
              <w:pStyle w:val="120"/>
              <w:widowControl/>
              <w:spacing w:line="400" w:lineRule="exact"/>
              <w:jc w:val="left"/>
              <w:rPr>
                <w:rFonts w:hint="eastAsia" w:asciiTheme="minorEastAsia" w:hAnsiTheme="minorEastAsia" w:eastAsiaTheme="minorEastAsia" w:cstheme="minorEastAsia"/>
                <w:bCs/>
                <w:szCs w:val="21"/>
                <w:highlight w:val="none"/>
              </w:rPr>
            </w:pPr>
            <w:r>
              <w:rPr>
                <w:rFonts w:hint="eastAsia" w:ascii="宋体" w:hAnsi="宋体" w:cs="宋体"/>
                <w:kern w:val="0"/>
                <w:szCs w:val="24"/>
                <w:highlight w:val="none"/>
              </w:rPr>
              <w:t>2.在满足资格</w:t>
            </w:r>
            <w:r>
              <w:rPr>
                <w:rFonts w:hint="eastAsia" w:ascii="宋体" w:hAnsi="宋体" w:cs="宋体"/>
                <w:kern w:val="0"/>
                <w:szCs w:val="24"/>
                <w:highlight w:val="none"/>
                <w:u w:val="none"/>
              </w:rPr>
              <w:t>业绩要求的基础上，</w:t>
            </w:r>
            <w:r>
              <w:rPr>
                <w:rFonts w:hint="eastAsia" w:asciiTheme="minorEastAsia" w:hAnsiTheme="minorEastAsia" w:eastAsiaTheme="minorEastAsia" w:cstheme="minorEastAsia"/>
                <w:bCs/>
                <w:szCs w:val="21"/>
                <w:highlight w:val="none"/>
                <w:u w:val="none"/>
              </w:rPr>
              <w:t>报价人在</w:t>
            </w:r>
            <w:r>
              <w:rPr>
                <w:rFonts w:hint="eastAsia" w:ascii="宋体" w:hAnsi="宋体" w:cs="宋体"/>
                <w:szCs w:val="21"/>
                <w:highlight w:val="none"/>
                <w:u w:val="none"/>
              </w:rPr>
              <w:t>2022年1月1日至竞争性比选文件发出之日</w:t>
            </w:r>
            <w:r>
              <w:rPr>
                <w:rFonts w:hint="eastAsia" w:ascii="宋体" w:hAnsi="宋体" w:cs="宋体"/>
                <w:highlight w:val="none"/>
                <w:u w:val="none"/>
              </w:rPr>
              <w:t>止</w:t>
            </w:r>
            <w:r>
              <w:rPr>
                <w:rFonts w:hint="eastAsia" w:ascii="宋体" w:hAnsi="宋体" w:cs="宋体"/>
                <w:szCs w:val="21"/>
                <w:highlight w:val="none"/>
                <w:u w:val="none"/>
              </w:rPr>
              <w:t>（以合同签订时间为准）每承担过一项合同金额不低于25</w:t>
            </w:r>
            <w:r>
              <w:rPr>
                <w:rFonts w:hint="eastAsia" w:ascii="宋体" w:hAnsi="宋体" w:cs="宋体"/>
                <w:szCs w:val="21"/>
                <w:highlight w:val="none"/>
              </w:rPr>
              <w:t>万元的软件开发或技术服务业绩，</w:t>
            </w:r>
            <w:r>
              <w:rPr>
                <w:rFonts w:hint="eastAsia" w:asciiTheme="minorEastAsia" w:hAnsiTheme="minorEastAsia" w:eastAsiaTheme="minorEastAsia" w:cstheme="minorEastAsia"/>
                <w:bCs/>
                <w:szCs w:val="21"/>
                <w:highlight w:val="none"/>
              </w:rPr>
              <w:t>得</w:t>
            </w:r>
            <w:r>
              <w:rPr>
                <w:rFonts w:asciiTheme="minorEastAsia" w:hAnsiTheme="minorEastAsia" w:eastAsiaTheme="minorEastAsia" w:cstheme="minorEastAsia"/>
                <w:bCs/>
                <w:szCs w:val="21"/>
                <w:highlight w:val="none"/>
              </w:rPr>
              <w:t>2</w:t>
            </w:r>
            <w:r>
              <w:rPr>
                <w:rFonts w:hint="eastAsia" w:asciiTheme="minorEastAsia" w:hAnsiTheme="minorEastAsia" w:eastAsiaTheme="minorEastAsia" w:cstheme="minorEastAsia"/>
                <w:bCs/>
                <w:szCs w:val="21"/>
                <w:highlight w:val="none"/>
              </w:rPr>
              <w:t>分</w:t>
            </w:r>
            <w:r>
              <w:rPr>
                <w:rFonts w:hint="eastAsia" w:ascii="宋体" w:hAnsi="宋体" w:cs="宋体"/>
                <w:kern w:val="0"/>
                <w:szCs w:val="24"/>
                <w:highlight w:val="none"/>
              </w:rPr>
              <w:t>，本项</w:t>
            </w:r>
            <w:r>
              <w:rPr>
                <w:rFonts w:hint="eastAsia" w:asciiTheme="minorEastAsia" w:hAnsiTheme="minorEastAsia" w:eastAsiaTheme="minorEastAsia" w:cstheme="minorEastAsia"/>
                <w:kern w:val="0"/>
                <w:szCs w:val="21"/>
                <w:highlight w:val="none"/>
                <w:shd w:val="clear" w:color="auto" w:fill="FFFFFF"/>
                <w:lang w:bidi="ar"/>
              </w:rPr>
              <w:t>最多得4分</w:t>
            </w:r>
            <w:r>
              <w:rPr>
                <w:rFonts w:hint="eastAsia" w:asciiTheme="minorEastAsia" w:hAnsiTheme="minorEastAsia" w:eastAsiaTheme="minorEastAsia" w:cstheme="minorEastAsia"/>
                <w:bCs/>
                <w:szCs w:val="21"/>
                <w:highlight w:val="none"/>
              </w:rPr>
              <w:t>。</w:t>
            </w:r>
          </w:p>
          <w:p>
            <w:pPr>
              <w:spacing w:line="400" w:lineRule="exact"/>
              <w:ind w:firstLine="422" w:firstLineChars="200"/>
              <w:rPr>
                <w:rFonts w:hint="eastAsia" w:asciiTheme="minorEastAsia" w:hAnsiTheme="minorEastAsia" w:eastAsiaTheme="minorEastAsia" w:cstheme="minorEastAsia"/>
                <w:b/>
                <w:bCs/>
                <w:color w:val="auto"/>
                <w:kern w:val="0"/>
                <w:szCs w:val="21"/>
                <w:highlight w:val="none"/>
                <w:shd w:val="clear" w:color="auto" w:fill="FFFFFF"/>
                <w:lang w:bidi="ar"/>
              </w:rPr>
            </w:pPr>
            <w:r>
              <w:rPr>
                <w:rFonts w:hint="eastAsia"/>
                <w:b/>
                <w:bCs/>
                <w:highlight w:val="none"/>
              </w:rPr>
              <w:t>注：提供</w:t>
            </w:r>
            <w:r>
              <w:rPr>
                <w:b/>
                <w:bCs/>
                <w:highlight w:val="none"/>
              </w:rPr>
              <w:t>合同</w:t>
            </w:r>
            <w:r>
              <w:rPr>
                <w:rFonts w:hint="eastAsia" w:ascii="宋体" w:hAnsi="宋体" w:cs="宋体"/>
                <w:b/>
                <w:bCs/>
                <w:szCs w:val="21"/>
                <w:highlight w:val="none"/>
                <w:shd w:val="clear" w:color="auto" w:fill="FFFFFF"/>
              </w:rPr>
              <w:t>复印件</w:t>
            </w:r>
            <w:r>
              <w:rPr>
                <w:b/>
                <w:bCs/>
                <w:highlight w:val="none"/>
              </w:rPr>
              <w:t>（合同需清晰反映上述业绩要求的主要内容，包括但不限于合同签订时间、合同金额及合同内容）</w:t>
            </w:r>
            <w:r>
              <w:rPr>
                <w:rFonts w:hint="eastAsia"/>
                <w:b/>
                <w:bCs/>
                <w:highlight w:val="none"/>
              </w:rPr>
              <w:t>，</w:t>
            </w:r>
            <w:r>
              <w:rPr>
                <w:rFonts w:hint="eastAsia" w:hAnsi="宋体"/>
                <w:b/>
                <w:bCs/>
                <w:kern w:val="0"/>
                <w:szCs w:val="21"/>
                <w:highlight w:val="none"/>
              </w:rPr>
              <w:t>盖单位公章。若合同中无法体现上述内容的，则还需出具加盖业主公章的业主证明材料。</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（3）</w:t>
            </w:r>
          </w:p>
        </w:tc>
        <w:tc>
          <w:tcPr>
            <w:tcW w:w="897" w:type="dxa"/>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Cs/>
                <w:color w:val="auto"/>
                <w:kern w:val="2"/>
                <w:sz w:val="21"/>
                <w:szCs w:val="21"/>
                <w:highlight w:val="none"/>
                <w:lang w:bidi="ar"/>
              </w:rPr>
            </w:pPr>
            <w:r>
              <w:rPr>
                <w:rFonts w:hint="eastAsia" w:asciiTheme="minorEastAsia" w:hAnsiTheme="minorEastAsia" w:eastAsiaTheme="minorEastAsia" w:cstheme="minorEastAsia"/>
                <w:bCs/>
                <w:color w:val="auto"/>
                <w:kern w:val="2"/>
                <w:sz w:val="21"/>
                <w:szCs w:val="21"/>
                <w:highlight w:val="none"/>
                <w:lang w:bidi="ar"/>
              </w:rPr>
              <w:t>评标价（70分）</w:t>
            </w:r>
          </w:p>
        </w:tc>
        <w:tc>
          <w:tcPr>
            <w:tcW w:w="1129" w:type="dxa"/>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6280" w:type="dxa"/>
            <w:gridSpan w:val="2"/>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ind w:firstLine="420" w:firstLineChars="200"/>
              <w:jc w:val="both"/>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所有通过初步评审的有效投标报价首先得基本分70分，然后与评标基准价相比较，每上浮1%扣</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rPr>
              <w:t>分，每下浮1%扣</w:t>
            </w:r>
            <w:r>
              <w:rPr>
                <w:rFonts w:hint="eastAsia" w:asciiTheme="minorEastAsia" w:hAnsiTheme="minorEastAsia" w:eastAsiaTheme="minorEastAsia" w:cstheme="minorEastAsia"/>
                <w:color w:val="auto"/>
                <w:kern w:val="2"/>
                <w:sz w:val="21"/>
                <w:szCs w:val="21"/>
                <w:highlight w:val="none"/>
                <w:lang w:val="en-US" w:eastAsia="zh-CN"/>
              </w:rPr>
              <w:t>0.5</w:t>
            </w:r>
            <w:r>
              <w:rPr>
                <w:rFonts w:hint="eastAsia" w:asciiTheme="minorEastAsia" w:hAnsiTheme="minorEastAsia" w:eastAsiaTheme="minorEastAsia" w:cstheme="minorEastAsia"/>
                <w:color w:val="auto"/>
                <w:kern w:val="2"/>
                <w:sz w:val="21"/>
                <w:szCs w:val="21"/>
                <w:highlight w:val="none"/>
              </w:rPr>
              <w:t>分，</w:t>
            </w:r>
            <w:r>
              <w:rPr>
                <w:rFonts w:hint="eastAsia" w:asciiTheme="minorEastAsia" w:hAnsiTheme="minorEastAsia" w:eastAsiaTheme="minorEastAsia" w:cstheme="minorEastAsia"/>
                <w:color w:val="auto"/>
                <w:kern w:val="2"/>
                <w:sz w:val="21"/>
                <w:szCs w:val="21"/>
                <w:highlight w:val="none"/>
                <w:lang w:val="en-US" w:eastAsia="zh-CN"/>
              </w:rPr>
              <w:t>扣完为止</w:t>
            </w:r>
            <w:r>
              <w:rPr>
                <w:rFonts w:hint="eastAsia" w:asciiTheme="minorEastAsia" w:hAnsiTheme="minorEastAsia" w:eastAsiaTheme="minorEastAsia" w:cstheme="minorEastAsia"/>
                <w:color w:val="auto"/>
                <w:kern w:val="2"/>
                <w:sz w:val="21"/>
                <w:szCs w:val="21"/>
                <w:highlight w:val="none"/>
              </w:rPr>
              <w:t>。按插入法计算得分。以上计算取小数点后两位，第三位四舍五入。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
                <w:color w:val="auto"/>
                <w:kern w:val="2"/>
                <w:sz w:val="21"/>
                <w:szCs w:val="21"/>
                <w:highlight w:val="none"/>
                <w:lang w:bidi="ar"/>
              </w:rPr>
            </w:pPr>
            <w:r>
              <w:rPr>
                <w:rFonts w:hint="eastAsia" w:ascii="宋体" w:hAnsi="宋体" w:cs="宋体"/>
                <w:color w:val="auto"/>
                <w:sz w:val="21"/>
                <w:szCs w:val="21"/>
                <w:highlight w:val="none"/>
              </w:rPr>
              <w:t>3.2</w:t>
            </w:r>
          </w:p>
        </w:tc>
        <w:tc>
          <w:tcPr>
            <w:tcW w:w="8861" w:type="dxa"/>
            <w:gridSpan w:val="5"/>
            <w:tcBorders>
              <w:top w:val="single" w:color="auto" w:sz="4" w:space="0"/>
              <w:left w:val="single" w:color="auto" w:sz="4" w:space="0"/>
              <w:bottom w:val="single" w:color="auto" w:sz="4" w:space="0"/>
            </w:tcBorders>
            <w:vAlign w:val="bottom"/>
          </w:tcPr>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补充正文：</w:t>
            </w:r>
          </w:p>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中标候选人推荐办法：</w:t>
            </w:r>
          </w:p>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1.对通过评审的报价人按照综合得分（商务得分+技术得分+报价得分）由高到低排序。</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szCs w:val="21"/>
                <w:highlight w:val="none"/>
                <w:lang w:bidi="ar"/>
              </w:rPr>
              <w:t>2.按评标综合得分由高到低排序推荐2名中标候选人。</w:t>
            </w:r>
          </w:p>
        </w:tc>
      </w:tr>
    </w:tbl>
    <w:p>
      <w:pPr>
        <w:rPr>
          <w:color w:val="auto"/>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2" w:name="_Toc6735"/>
      <w:bookmarkStart w:id="133" w:name="_Toc26037"/>
      <w:bookmarkStart w:id="134" w:name="_Toc19268"/>
      <w:r>
        <w:rPr>
          <w:rFonts w:hint="eastAsia" w:ascii="宋体" w:hAnsi="宋体" w:cs="宋体"/>
          <w:color w:val="auto"/>
          <w:szCs w:val="21"/>
          <w:highlight w:val="none"/>
        </w:rPr>
        <w:t>1.  评标方法</w:t>
      </w:r>
      <w:bookmarkEnd w:id="132"/>
      <w:bookmarkEnd w:id="133"/>
      <w:bookmarkEnd w:id="134"/>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实质性要求的</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，按照本章规定的评分标准进行评分，并按得分由高到低顺序推荐中标候选人，或根据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授权直接确定中标人。综合评分相等时，以评标办法前附表约定的原则确定中标候选人顺序。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5" w:name="_Toc31759"/>
      <w:bookmarkStart w:id="136" w:name="_Toc22200"/>
      <w:bookmarkStart w:id="137" w:name="_Toc1052"/>
      <w:bookmarkStart w:id="138" w:name="_Toc8753"/>
      <w:r>
        <w:rPr>
          <w:rFonts w:hint="eastAsia" w:ascii="宋体" w:hAnsi="宋体" w:cs="宋体"/>
          <w:color w:val="auto"/>
          <w:szCs w:val="21"/>
          <w:highlight w:val="none"/>
        </w:rPr>
        <w:t>2.  评审标准</w:t>
      </w:r>
      <w:bookmarkEnd w:id="135"/>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2.2.1  分值构成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2.2.4  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）投标报价评分标准：见评标办法前附表。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9" w:name="_Toc11564"/>
      <w:bookmarkStart w:id="140" w:name="_Toc10650"/>
      <w:bookmarkStart w:id="141" w:name="_Toc5245"/>
      <w:bookmarkStart w:id="142" w:name="_Toc8345"/>
      <w:r>
        <w:rPr>
          <w:rFonts w:hint="eastAsia" w:ascii="宋体" w:hAnsi="宋体" w:cs="宋体"/>
          <w:color w:val="auto"/>
          <w:szCs w:val="21"/>
          <w:highlight w:val="none"/>
        </w:rPr>
        <w:t>3.  评标程序</w:t>
      </w:r>
      <w:bookmarkEnd w:id="139"/>
      <w:bookmarkEnd w:id="140"/>
      <w:bookmarkEnd w:id="141"/>
      <w:bookmarkEnd w:id="142"/>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3.1  初步评审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 2.1 款规定的标准对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进行初步评审。有一项不符合评审标准的，作否决投标处理。（适用于未进行资格预审的）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进行初步评审。有一项不符合评审标准的，作否决投标处理。当</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资格预审申请文件的内容发生重大变化时，评标委员会依据本章第2.1.1项规定的标准对其更新资料进行评审。（适用于已进行资格预审的）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3.1.2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有以下情形之一的，其投标作否决投标处理：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没有对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的实质性要求和条件作出响应，或者对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的偏差超出</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规定的偏差范围或最高项数；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对投标报价进行修正，并要求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书面澄清确认。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拒不澄清确认的，评标委员会应当否决其投标：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3.2  详细评审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（3）按本章第 2.2.4（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）目规定的评审因素和分值对投标报价计算出得分 C；</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得分=A+B+C。</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 xml:space="preserve">3.3  </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的澄清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中含义不明确、对同类问题表述不一致或者有明显文字和计算错误的内容作必要的澄清、说明或补正。澄清、说明或补正应以书面方式进行。评标委员会不接受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  澄清、说明或补正不得超出</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的范围且不得改变</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的实质性内容，并构成</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的组成部分。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3.4  评标结果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3.4.1  除第二章“</w:t>
      </w:r>
      <w:r>
        <w:rPr>
          <w:rFonts w:hint="eastAsia" w:ascii="宋体" w:hAnsi="宋体" w:cs="宋体"/>
          <w:color w:val="auto"/>
          <w:szCs w:val="21"/>
          <w:highlight w:val="none"/>
          <w:lang w:eastAsia="zh-CN"/>
        </w:rPr>
        <w:t>报价人须知</w:t>
      </w:r>
      <w:r>
        <w:rPr>
          <w:rFonts w:hint="eastAsia" w:ascii="宋体" w:hAnsi="宋体" w:cs="宋体"/>
          <w:color w:val="auto"/>
          <w:szCs w:val="21"/>
          <w:highlight w:val="none"/>
        </w:rPr>
        <w:t>”前附表授权直接确定中标人外，评标委员会按照得分由高到低的顺序推荐</w:t>
      </w:r>
      <w:r>
        <w:rPr>
          <w:rFonts w:hint="eastAsia" w:ascii="宋体" w:hAnsi="宋体" w:cs="宋体"/>
          <w:color w:val="auto"/>
          <w:szCs w:val="21"/>
          <w:highlight w:val="none"/>
          <w:lang w:val="en-US" w:eastAsia="zh-CN"/>
        </w:rPr>
        <w:t>2名</w:t>
      </w:r>
      <w:r>
        <w:rPr>
          <w:rFonts w:hint="eastAsia" w:ascii="宋体" w:hAnsi="宋体" w:cs="宋体"/>
          <w:color w:val="auto"/>
          <w:szCs w:val="21"/>
          <w:highlight w:val="none"/>
        </w:rPr>
        <w:t>中标候选人，并标明排序。</w:t>
      </w:r>
    </w:p>
    <w:p>
      <w:pPr>
        <w:ind w:firstLine="420" w:firstLineChars="200"/>
        <w:rPr>
          <w:rStyle w:val="82"/>
          <w:rFonts w:hint="eastAsia"/>
          <w:color w:val="auto"/>
          <w:highlight w:val="none"/>
        </w:rPr>
      </w:pPr>
      <w:r>
        <w:rPr>
          <w:rFonts w:hint="eastAsia" w:ascii="宋体" w:hAnsi="宋体" w:cs="宋体"/>
          <w:color w:val="auto"/>
          <w:szCs w:val="21"/>
          <w:highlight w:val="none"/>
        </w:rPr>
        <w:t>3.4.2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pPr>
        <w:rPr>
          <w:rStyle w:val="82"/>
          <w:rFonts w:hint="eastAsia"/>
          <w:color w:val="auto"/>
          <w:highlight w:val="none"/>
        </w:rPr>
      </w:pPr>
      <w:r>
        <w:rPr>
          <w:rStyle w:val="82"/>
          <w:rFonts w:hint="eastAsia"/>
          <w:color w:val="auto"/>
          <w:highlight w:val="none"/>
        </w:rPr>
        <w:br w:type="page"/>
      </w:r>
    </w:p>
    <w:p>
      <w:pPr>
        <w:pStyle w:val="3"/>
        <w:spacing w:before="0" w:after="0" w:line="360" w:lineRule="auto"/>
        <w:jc w:val="center"/>
        <w:rPr>
          <w:rFonts w:hint="default" w:ascii="宋体" w:hAnsi="宋体" w:eastAsia="宋体" w:cs="宋体"/>
          <w:color w:val="auto"/>
          <w:highlight w:val="none"/>
          <w:lang w:val="en-US" w:eastAsia="zh-CN"/>
        </w:rPr>
      </w:pPr>
      <w:bookmarkStart w:id="143" w:name="_Toc2000411"/>
      <w:bookmarkStart w:id="144" w:name="_Toc179632804"/>
      <w:bookmarkStart w:id="145" w:name="_Toc144974854"/>
      <w:bookmarkStart w:id="146" w:name="_Toc246997096"/>
      <w:bookmarkStart w:id="147" w:name="_Toc447827049"/>
      <w:bookmarkStart w:id="148" w:name="_Toc152042574"/>
      <w:bookmarkStart w:id="149" w:name="_Toc246996353"/>
      <w:bookmarkStart w:id="150" w:name="_Toc152045785"/>
      <w:bookmarkStart w:id="151" w:name="_Toc503951043"/>
      <w:bookmarkStart w:id="152" w:name="_Toc514858707"/>
      <w:bookmarkStart w:id="153" w:name="_Toc513633964"/>
      <w:bookmarkStart w:id="154" w:name="_Toc247085870"/>
      <w:bookmarkStart w:id="155" w:name="_Toc15010"/>
      <w:bookmarkStart w:id="156" w:name="_Toc144974855"/>
      <w:bookmarkStart w:id="157" w:name="_Toc179632806"/>
      <w:bookmarkStart w:id="158" w:name="_Toc246997097"/>
      <w:bookmarkStart w:id="159" w:name="_Toc246996354"/>
      <w:bookmarkStart w:id="160" w:name="_Toc152042575"/>
      <w:bookmarkStart w:id="161" w:name="_Toc152045786"/>
      <w:bookmarkStart w:id="162" w:name="_Toc247085872"/>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43"/>
      <w:bookmarkEnd w:id="144"/>
      <w:bookmarkEnd w:id="145"/>
      <w:bookmarkEnd w:id="146"/>
      <w:bookmarkEnd w:id="147"/>
      <w:bookmarkEnd w:id="148"/>
      <w:bookmarkEnd w:id="149"/>
      <w:bookmarkEnd w:id="150"/>
      <w:bookmarkEnd w:id="151"/>
      <w:bookmarkEnd w:id="152"/>
      <w:bookmarkEnd w:id="153"/>
      <w:bookmarkEnd w:id="154"/>
      <w:r>
        <w:rPr>
          <w:rFonts w:hint="eastAsia" w:ascii="宋体" w:hAnsi="宋体" w:cs="宋体"/>
          <w:color w:val="auto"/>
          <w:highlight w:val="none"/>
          <w:lang w:val="en-US" w:eastAsia="zh-CN"/>
        </w:rPr>
        <w:t>服务要求</w:t>
      </w:r>
      <w:bookmarkEnd w:id="155"/>
    </w:p>
    <w:bookmarkEnd w:id="156"/>
    <w:bookmarkEnd w:id="157"/>
    <w:bookmarkEnd w:id="158"/>
    <w:bookmarkEnd w:id="159"/>
    <w:bookmarkEnd w:id="160"/>
    <w:bookmarkEnd w:id="161"/>
    <w:bookmarkEnd w:id="162"/>
    <w:p>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int="eastAsia" w:ascii="宋体" w:hAnsi="宋体" w:cs="宋体"/>
          <w:color w:val="auto"/>
          <w:highlight w:val="none"/>
        </w:rPr>
      </w:pPr>
      <w:bookmarkStart w:id="163" w:name="_Toc514430114"/>
      <w:bookmarkStart w:id="164" w:name="_Toc514858708"/>
      <w:bookmarkStart w:id="165" w:name="_Toc2000412"/>
      <w:bookmarkStart w:id="166" w:name="_Toc246996355"/>
      <w:bookmarkStart w:id="167" w:name="_Toc144974856"/>
      <w:bookmarkStart w:id="168" w:name="_Toc246997098"/>
      <w:bookmarkStart w:id="169" w:name="_Toc152045787"/>
      <w:bookmarkStart w:id="170" w:name="_Toc179632807"/>
      <w:bookmarkStart w:id="171" w:name="_Toc152042576"/>
      <w:bookmarkStart w:id="172" w:name="_Toc507320039"/>
      <w:bookmarkStart w:id="173" w:name="_Toc247085873"/>
    </w:p>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详见随竞争性比选文件一同发布的附件服务要求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Ansi="宋体" w:cs="方正小标宋_GBK"/>
          <w:b/>
          <w:color w:val="auto"/>
          <w:sz w:val="44"/>
          <w:szCs w:val="44"/>
          <w:highlight w:val="none"/>
        </w:rPr>
      </w:pPr>
      <w:r>
        <w:rPr>
          <w:rFonts w:hint="eastAsia" w:ascii="宋体" w:hAnsi="宋体" w:cs="宋体"/>
          <w:color w:val="auto"/>
          <w:highlight w:val="none"/>
        </w:rPr>
        <w:br w:type="page"/>
      </w:r>
      <w:bookmarkStart w:id="174" w:name="_Toc17525"/>
      <w:r>
        <w:rPr>
          <w:rFonts w:hint="eastAsia" w:ascii="宋体" w:hAnsi="宋体" w:eastAsia="宋体" w:cs="宋体"/>
          <w:b/>
          <w:bCs/>
          <w:color w:val="auto"/>
          <w:kern w:val="44"/>
          <w:sz w:val="44"/>
          <w:szCs w:val="44"/>
          <w:highlight w:val="none"/>
          <w:lang w:val="en-US" w:eastAsia="zh-CN" w:bidi="ar-SA"/>
        </w:rPr>
        <w:t xml:space="preserve">第五章  </w:t>
      </w:r>
      <w:bookmarkEnd w:id="163"/>
      <w:bookmarkEnd w:id="164"/>
      <w:bookmarkEnd w:id="165"/>
      <w:r>
        <w:rPr>
          <w:rFonts w:hint="eastAsia" w:ascii="宋体" w:hAnsi="宋体" w:eastAsia="宋体" w:cs="宋体"/>
          <w:b/>
          <w:bCs/>
          <w:color w:val="auto"/>
          <w:kern w:val="44"/>
          <w:sz w:val="44"/>
          <w:szCs w:val="44"/>
          <w:highlight w:val="none"/>
          <w:lang w:val="en-US" w:eastAsia="zh-CN" w:bidi="ar-SA"/>
        </w:rPr>
        <w:t>合同范本</w:t>
      </w:r>
      <w:bookmarkEnd w:id="174"/>
    </w:p>
    <w:p>
      <w:pPr>
        <w:jc w:val="center"/>
        <w:rPr>
          <w:rFonts w:hint="eastAsia" w:ascii="仿宋" w:hAnsi="仿宋" w:eastAsia="仿宋" w:cs="仿宋"/>
          <w:color w:val="auto"/>
          <w:szCs w:val="21"/>
          <w:highlight w:val="none"/>
          <w:lang w:val="en-US" w:eastAsia="zh-CN"/>
        </w:rPr>
      </w:pPr>
    </w:p>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详见随竞争性比选文件一同发布的附件合同</w:t>
      </w:r>
    </w:p>
    <w:p>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jc w:val="right"/>
        <w:rPr>
          <w:rFonts w:hint="eastAsia" w:ascii="宋体" w:hAnsi="宋体" w:eastAsia="宋体" w:cs="宋体"/>
          <w:color w:val="auto"/>
          <w:kern w:val="2"/>
          <w:sz w:val="21"/>
          <w:szCs w:val="21"/>
          <w:highlight w:val="none"/>
        </w:rPr>
      </w:pPr>
    </w:p>
    <w:p>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pPr>
        <w:pStyle w:val="2"/>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pPr>
        <w:pStyle w:val="2"/>
        <w:numPr>
          <w:ilvl w:val="0"/>
          <w:numId w:val="3"/>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pPr>
        <w:jc w:val="center"/>
        <w:rPr>
          <w:rFonts w:hint="eastAsia" w:ascii="仿宋" w:hAnsi="仿宋" w:eastAsia="仿宋" w:cs="仿宋"/>
          <w:b/>
          <w:bCs/>
          <w:color w:val="auto"/>
          <w:szCs w:val="21"/>
          <w:highlight w:val="none"/>
          <w:lang w:val="en-US" w:eastAsia="zh-CN"/>
        </w:rPr>
      </w:pPr>
    </w:p>
    <w:p>
      <w:pPr>
        <w:rPr>
          <w:rFonts w:ascii="宋体" w:hAnsi="宋体" w:cs="宋体"/>
          <w:color w:val="auto"/>
          <w:highlight w:val="none"/>
        </w:rPr>
      </w:pPr>
    </w:p>
    <w:p>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175" w:name="_Toc513633965"/>
    </w:p>
    <w:p>
      <w:pPr>
        <w:rPr>
          <w:rFonts w:ascii="宋体" w:hAnsi="宋体" w:cs="宋体"/>
          <w:color w:val="auto"/>
          <w:highlight w:val="none"/>
        </w:rPr>
      </w:pPr>
    </w:p>
    <w:p>
      <w:pPr>
        <w:pStyle w:val="3"/>
        <w:spacing w:before="0" w:after="0" w:line="360" w:lineRule="auto"/>
        <w:jc w:val="center"/>
        <w:rPr>
          <w:rFonts w:ascii="宋体" w:hAnsi="宋体" w:cs="宋体"/>
          <w:color w:val="auto"/>
          <w:highlight w:val="none"/>
        </w:rPr>
      </w:pPr>
      <w:bookmarkStart w:id="176" w:name="_Toc514858709"/>
      <w:bookmarkStart w:id="177" w:name="_Toc2000413"/>
      <w:bookmarkStart w:id="178" w:name="_Toc27626"/>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75"/>
      <w:bookmarkEnd w:id="176"/>
      <w:bookmarkEnd w:id="177"/>
      <w:bookmarkEnd w:id="178"/>
    </w:p>
    <w:p>
      <w:pPr>
        <w:rPr>
          <w:rFonts w:ascii="宋体" w:hAnsi="宋体" w:cs="宋体"/>
          <w:color w:val="auto"/>
          <w:highlight w:val="none"/>
        </w:rPr>
      </w:pPr>
    </w:p>
    <w:p>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color w:val="auto"/>
          <w:highlight w:val="none"/>
        </w:rPr>
      </w:pPr>
    </w:p>
    <w:p>
      <w:pPr>
        <w:jc w:val="center"/>
        <w:rPr>
          <w:rFonts w:ascii="宋体" w:hAnsi="宋体" w:cs="宋体"/>
          <w:color w:val="auto"/>
          <w:sz w:val="52"/>
          <w:szCs w:val="52"/>
          <w:highlight w:val="none"/>
          <w:u w:val="single"/>
        </w:rPr>
      </w:pPr>
      <w:bookmarkStart w:id="179" w:name="_Toc513646738"/>
      <w:bookmarkStart w:id="180" w:name="_Toc514858710"/>
      <w:bookmarkStart w:id="181" w:name="_Toc513633967"/>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79"/>
      <w:bookmarkEnd w:id="180"/>
      <w:bookmarkEnd w:id="181"/>
      <w:r>
        <w:rPr>
          <w:rFonts w:hint="eastAsia" w:ascii="宋体" w:hAnsi="宋体" w:cs="宋体"/>
          <w:color w:val="auto"/>
          <w:sz w:val="52"/>
          <w:szCs w:val="52"/>
          <w:highlight w:val="none"/>
          <w:u w:val="single"/>
        </w:rPr>
        <w:t xml:space="preserve"> </w:t>
      </w:r>
    </w:p>
    <w:p>
      <w:pPr>
        <w:rPr>
          <w:rFonts w:ascii="宋体" w:hAnsi="宋体" w:cs="宋体"/>
          <w:color w:val="auto"/>
          <w:sz w:val="20"/>
          <w:szCs w:val="20"/>
          <w:highlight w:val="none"/>
        </w:rPr>
      </w:pP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pPr>
        <w:jc w:val="center"/>
        <w:rPr>
          <w:rFonts w:ascii="宋体" w:hAnsi="宋体" w:cs="宋体"/>
          <w:b/>
          <w:color w:val="auto"/>
          <w:sz w:val="32"/>
          <w:szCs w:val="32"/>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82" w:name="_Toc5459"/>
      <w:bookmarkStart w:id="183" w:name="_Toc11329273"/>
      <w:bookmarkStart w:id="184" w:name="_Toc1368"/>
      <w:bookmarkStart w:id="185" w:name="_Toc28780"/>
      <w:r>
        <w:rPr>
          <w:rFonts w:hint="eastAsia" w:ascii="宋体" w:hAnsi="宋体" w:eastAsia="宋体" w:cs="宋体"/>
          <w:color w:val="auto"/>
          <w:sz w:val="32"/>
          <w:szCs w:val="40"/>
          <w:highlight w:val="none"/>
        </w:rPr>
        <w:t>目    录</w:t>
      </w:r>
      <w:bookmarkEnd w:id="166"/>
      <w:bookmarkEnd w:id="167"/>
      <w:bookmarkEnd w:id="168"/>
      <w:bookmarkEnd w:id="169"/>
      <w:bookmarkEnd w:id="170"/>
      <w:bookmarkEnd w:id="171"/>
      <w:bookmarkEnd w:id="172"/>
      <w:bookmarkEnd w:id="173"/>
      <w:bookmarkEnd w:id="182"/>
      <w:bookmarkEnd w:id="183"/>
      <w:bookmarkEnd w:id="184"/>
      <w:bookmarkEnd w:id="185"/>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pPr>
        <w:spacing w:line="400" w:lineRule="exact"/>
        <w:rPr>
          <w:rFonts w:ascii="宋体" w:hAnsi="宋体" w:cs="宋体"/>
          <w:color w:val="auto"/>
          <w:highlight w:val="none"/>
        </w:rPr>
      </w:pPr>
      <w:r>
        <w:rPr>
          <w:rFonts w:hint="eastAsia" w:ascii="宋体" w:hAnsi="宋体" w:cs="宋体"/>
          <w:color w:val="auto"/>
          <w:highlight w:val="none"/>
        </w:rPr>
        <w:t>三、报价一览表</w:t>
      </w:r>
    </w:p>
    <w:p>
      <w:pPr>
        <w:spacing w:line="400" w:lineRule="exact"/>
        <w:rPr>
          <w:rFonts w:ascii="宋体" w:hAnsi="宋体" w:cs="宋体"/>
          <w:color w:val="auto"/>
          <w:highlight w:val="none"/>
        </w:rPr>
      </w:pPr>
      <w:r>
        <w:rPr>
          <w:rFonts w:hint="eastAsia" w:ascii="宋体" w:hAnsi="宋体" w:cs="宋体"/>
          <w:color w:val="auto"/>
          <w:highlight w:val="none"/>
        </w:rPr>
        <w:t>四、资格审查资料</w:t>
      </w:r>
    </w:p>
    <w:p>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r>
        <w:rPr>
          <w:rFonts w:ascii="宋体" w:hAnsi="宋体" w:cs="宋体"/>
          <w:color w:val="auto"/>
          <w:highlight w:val="none"/>
        </w:rPr>
        <w:br w:type="page"/>
      </w:r>
    </w:p>
    <w:p>
      <w:pPr>
        <w:pStyle w:val="4"/>
        <w:numPr>
          <w:ilvl w:val="0"/>
          <w:numId w:val="4"/>
        </w:numPr>
        <w:spacing w:before="0" w:after="0" w:line="360" w:lineRule="auto"/>
        <w:jc w:val="center"/>
        <w:rPr>
          <w:rFonts w:ascii="宋体" w:hAnsi="宋体" w:eastAsia="宋体" w:cs="宋体"/>
          <w:color w:val="auto"/>
          <w:sz w:val="28"/>
          <w:highlight w:val="none"/>
        </w:rPr>
      </w:pPr>
      <w:bookmarkStart w:id="186" w:name="_Toc29615"/>
      <w:bookmarkStart w:id="187" w:name="_Toc15863"/>
      <w:bookmarkStart w:id="188" w:name="_Toc29547"/>
      <w:bookmarkStart w:id="189" w:name="_Toc25874"/>
      <w:bookmarkStart w:id="190" w:name="_Toc513633969"/>
      <w:bookmarkStart w:id="191" w:name="_Toc447827053"/>
      <w:bookmarkStart w:id="192" w:name="_Toc503951048"/>
      <w:r>
        <w:rPr>
          <w:rFonts w:hint="eastAsia" w:ascii="宋体" w:hAnsi="宋体" w:eastAsia="宋体" w:cs="宋体"/>
          <w:color w:val="auto"/>
          <w:sz w:val="28"/>
          <w:highlight w:val="none"/>
        </w:rPr>
        <w:t>竞争比选响应声明书</w:t>
      </w:r>
      <w:bookmarkEnd w:id="186"/>
      <w:bookmarkEnd w:id="187"/>
      <w:bookmarkEnd w:id="188"/>
      <w:bookmarkEnd w:id="189"/>
    </w:p>
    <w:p>
      <w:pPr>
        <w:rPr>
          <w:color w:val="auto"/>
          <w:highlight w:val="none"/>
        </w:rPr>
      </w:pPr>
    </w:p>
    <w:p>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rPr>
          <w:color w:val="auto"/>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bookmarkStart w:id="193" w:name="_Toc27815"/>
      <w:bookmarkStart w:id="194" w:name="_Toc491883232"/>
    </w:p>
    <w:p>
      <w:pPr>
        <w:pStyle w:val="41"/>
        <w:rPr>
          <w:color w:val="auto"/>
          <w:highlight w:val="none"/>
        </w:rPr>
      </w:pPr>
    </w:p>
    <w:p>
      <w:pPr>
        <w:pStyle w:val="41"/>
        <w:rPr>
          <w:color w:val="auto"/>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numPr>
          <w:ilvl w:val="0"/>
          <w:numId w:val="4"/>
        </w:numPr>
        <w:spacing w:before="0" w:after="0" w:line="360" w:lineRule="auto"/>
        <w:jc w:val="center"/>
        <w:rPr>
          <w:rFonts w:hint="eastAsia" w:ascii="宋体" w:hAnsi="宋体" w:eastAsia="宋体" w:cs="宋体"/>
          <w:color w:val="auto"/>
          <w:sz w:val="28"/>
          <w:highlight w:val="none"/>
        </w:rPr>
      </w:pPr>
      <w:bookmarkStart w:id="195" w:name="_Toc15139"/>
      <w:r>
        <w:rPr>
          <w:rFonts w:hint="eastAsia" w:ascii="宋体" w:hAnsi="宋体" w:eastAsia="宋体" w:cs="宋体"/>
          <w:color w:val="auto"/>
          <w:sz w:val="28"/>
          <w:highlight w:val="none"/>
        </w:rPr>
        <w:t>法定代表人身份证明或法定代表人授权委托书</w:t>
      </w:r>
      <w:bookmarkEnd w:id="193"/>
      <w:bookmarkEnd w:id="195"/>
    </w:p>
    <w:bookmarkEnd w:id="194"/>
    <w:p>
      <w:pPr>
        <w:pStyle w:val="4"/>
        <w:spacing w:line="480" w:lineRule="auto"/>
        <w:jc w:val="center"/>
        <w:outlineLvl w:val="2"/>
        <w:rPr>
          <w:rFonts w:ascii="宋体" w:hAnsi="宋体" w:eastAsia="宋体" w:cs="宋体"/>
          <w:color w:val="auto"/>
          <w:sz w:val="24"/>
          <w:szCs w:val="24"/>
          <w:highlight w:val="none"/>
        </w:rPr>
      </w:pPr>
      <w:bookmarkStart w:id="196" w:name="_Toc20985"/>
      <w:bookmarkStart w:id="197" w:name="_Toc14141"/>
      <w:r>
        <w:rPr>
          <w:rFonts w:hint="eastAsia" w:ascii="宋体" w:hAnsi="宋体" w:eastAsia="宋体" w:cs="宋体"/>
          <w:color w:val="auto"/>
          <w:sz w:val="24"/>
          <w:szCs w:val="24"/>
          <w:highlight w:val="none"/>
        </w:rPr>
        <w:t>（一）法定代表人身份证明</w:t>
      </w:r>
      <w:bookmarkEnd w:id="196"/>
      <w:bookmarkEnd w:id="197"/>
    </w:p>
    <w:p>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198" w:name="_Toc352691662"/>
      <w:bookmarkStart w:id="199" w:name="_Toc27897"/>
      <w:bookmarkStart w:id="200" w:name="_Toc369531698"/>
      <w:r>
        <w:rPr>
          <w:rFonts w:ascii="宋体" w:hAnsi="宋体"/>
          <w:color w:val="auto"/>
          <w:highlight w:val="none"/>
          <w:u w:val="single"/>
        </w:rPr>
        <w:t xml:space="preserve">        </w:t>
      </w:r>
      <w:r>
        <w:rPr>
          <w:rFonts w:ascii="宋体" w:hAnsi="宋体"/>
          <w:color w:val="auto"/>
          <w:highlight w:val="none"/>
        </w:rPr>
        <w:t>年</w:t>
      </w:r>
      <w:bookmarkEnd w:id="198"/>
      <w:bookmarkEnd w:id="199"/>
      <w:bookmarkEnd w:id="200"/>
      <w:r>
        <w:rPr>
          <w:rFonts w:ascii="宋体" w:hAnsi="宋体"/>
          <w:color w:val="auto"/>
          <w:highlight w:val="none"/>
        </w:rPr>
        <w:t>龄</w:t>
      </w:r>
      <w:bookmarkStart w:id="201" w:name="_Toc361508754"/>
      <w:bookmarkStart w:id="202" w:name="_Toc352691663"/>
      <w:bookmarkStart w:id="203" w:name="_Toc300835211"/>
      <w:bookmarkStart w:id="204" w:name="_Toc144974858"/>
      <w:bookmarkStart w:id="205" w:name="_Toc152045789"/>
      <w:bookmarkStart w:id="206" w:name="_Toc369531699"/>
      <w:bookmarkStart w:id="207" w:name="_Toc247514248"/>
      <w:bookmarkStart w:id="208" w:name="_Toc384308377"/>
      <w:bookmarkStart w:id="209" w:name="_Toc247527829"/>
      <w:bookmarkStart w:id="210" w:name="_Toc152042578"/>
      <w:bookmarkStart w:id="211" w:name="_Toc15573"/>
      <w:r>
        <w:rPr>
          <w:rFonts w:ascii="宋体" w:hAnsi="宋体"/>
          <w:color w:val="auto"/>
          <w:highlight w:val="none"/>
        </w:rPr>
        <w:t>：</w:t>
      </w:r>
      <w:bookmarkEnd w:id="201"/>
      <w:bookmarkEnd w:id="202"/>
      <w:bookmarkEnd w:id="203"/>
      <w:bookmarkEnd w:id="204"/>
      <w:bookmarkEnd w:id="205"/>
      <w:bookmarkEnd w:id="206"/>
      <w:bookmarkEnd w:id="207"/>
      <w:bookmarkEnd w:id="208"/>
      <w:bookmarkEnd w:id="209"/>
      <w:bookmarkEnd w:id="210"/>
      <w:bookmarkEnd w:id="211"/>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pPr>
        <w:spacing w:line="480" w:lineRule="auto"/>
        <w:ind w:firstLine="420" w:firstLineChars="200"/>
        <w:rPr>
          <w:rFonts w:ascii="宋体" w:hAnsi="宋体"/>
          <w:color w:val="auto"/>
          <w:highlight w:val="none"/>
        </w:rPr>
      </w:pPr>
      <w:r>
        <w:rPr>
          <w:rFonts w:ascii="宋体" w:hAnsi="宋体"/>
          <w:color w:val="auto"/>
          <w:highlight w:val="none"/>
        </w:rPr>
        <w:t>特此证明。</w:t>
      </w:r>
    </w:p>
    <w:p>
      <w:pPr>
        <w:spacing w:line="480" w:lineRule="auto"/>
        <w:rPr>
          <w:rFonts w:ascii="宋体" w:hAnsi="宋体"/>
          <w:color w:val="auto"/>
          <w:highlight w:val="none"/>
        </w:rPr>
      </w:pPr>
    </w:p>
    <w:p>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pPr>
        <w:spacing w:line="480" w:lineRule="auto"/>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highlight w:val="none"/>
        </w:rPr>
      </w:pPr>
    </w:p>
    <w:p>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sz w:val="20"/>
          <w:highlight w:val="none"/>
        </w:rPr>
      </w:pPr>
    </w:p>
    <w:p>
      <w:pPr>
        <w:spacing w:line="20" w:lineRule="exact"/>
        <w:jc w:val="center"/>
        <w:rPr>
          <w:rFonts w:ascii="宋体" w:hAnsi="宋体"/>
          <w:color w:val="auto"/>
          <w:sz w:val="20"/>
          <w:highlight w:val="none"/>
        </w:rPr>
      </w:pPr>
      <w:r>
        <w:rPr>
          <w:rFonts w:ascii="宋体" w:hAnsi="宋体"/>
          <w:color w:val="auto"/>
          <w:sz w:val="20"/>
          <w:highlight w:val="none"/>
        </w:rPr>
        <w:br w:type="page"/>
      </w:r>
    </w:p>
    <w:p>
      <w:pPr>
        <w:pStyle w:val="4"/>
        <w:spacing w:line="480" w:lineRule="auto"/>
        <w:jc w:val="center"/>
        <w:outlineLvl w:val="2"/>
        <w:rPr>
          <w:rFonts w:ascii="宋体" w:hAnsi="宋体"/>
          <w:color w:val="auto"/>
          <w:sz w:val="28"/>
          <w:szCs w:val="28"/>
          <w:highlight w:val="none"/>
        </w:rPr>
      </w:pPr>
      <w:bookmarkStart w:id="212" w:name="_Toc491883233"/>
      <w:bookmarkStart w:id="213" w:name="_Toc3882"/>
      <w:bookmarkStart w:id="214" w:name="_Toc58"/>
      <w:r>
        <w:rPr>
          <w:rFonts w:hint="eastAsia" w:ascii="宋体" w:hAnsi="宋体" w:eastAsia="宋体" w:cs="宋体"/>
          <w:color w:val="auto"/>
          <w:sz w:val="24"/>
          <w:szCs w:val="24"/>
          <w:highlight w:val="none"/>
        </w:rPr>
        <w:t>（二）</w:t>
      </w:r>
      <w:bookmarkEnd w:id="212"/>
      <w:r>
        <w:rPr>
          <w:rFonts w:hint="eastAsia" w:ascii="宋体" w:hAnsi="宋体" w:eastAsia="宋体" w:cs="宋体"/>
          <w:color w:val="auto"/>
          <w:sz w:val="24"/>
          <w:szCs w:val="24"/>
          <w:highlight w:val="none"/>
        </w:rPr>
        <w:t>法定代表人授权委托书</w:t>
      </w:r>
      <w:bookmarkEnd w:id="213"/>
      <w:bookmarkEnd w:id="214"/>
    </w:p>
    <w:p>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委托代理人身份证复印件</w:t>
      </w: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v:textbox>
              </v:shape>
            </w:pict>
          </mc:Fallback>
        </mc:AlternateContent>
      </w: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pPr>
        <w:rPr>
          <w:rFonts w:ascii="宋体" w:hAnsi="宋体" w:cs="宋体"/>
          <w:snapToGrid w:val="0"/>
          <w:color w:val="auto"/>
          <w:kern w:val="0"/>
          <w:szCs w:val="21"/>
          <w:highlight w:val="none"/>
        </w:rPr>
      </w:pPr>
    </w:p>
    <w:p>
      <w:pPr>
        <w:pStyle w:val="4"/>
        <w:spacing w:before="0" w:after="0" w:line="360" w:lineRule="auto"/>
        <w:jc w:val="center"/>
        <w:rPr>
          <w:rFonts w:ascii="宋体" w:hAnsi="宋体" w:eastAsia="宋体" w:cs="宋体"/>
          <w:color w:val="auto"/>
          <w:sz w:val="28"/>
          <w:highlight w:val="none"/>
        </w:rPr>
      </w:pPr>
      <w:bookmarkStart w:id="215" w:name="_Toc11329275"/>
      <w:bookmarkStart w:id="216" w:name="_Toc31983"/>
      <w:r>
        <w:rPr>
          <w:rFonts w:hint="eastAsia" w:ascii="宋体" w:hAnsi="宋体" w:eastAsia="宋体" w:cs="宋体"/>
          <w:color w:val="auto"/>
          <w:sz w:val="28"/>
          <w:highlight w:val="none"/>
        </w:rPr>
        <w:t>三、</w:t>
      </w:r>
      <w:bookmarkEnd w:id="190"/>
      <w:bookmarkEnd w:id="191"/>
      <w:bookmarkEnd w:id="192"/>
      <w:bookmarkEnd w:id="215"/>
      <w:r>
        <w:rPr>
          <w:rFonts w:hint="eastAsia" w:ascii="宋体" w:hAnsi="宋体" w:eastAsia="宋体" w:cs="宋体"/>
          <w:color w:val="auto"/>
          <w:sz w:val="28"/>
          <w:highlight w:val="none"/>
        </w:rPr>
        <w:t>报价一览表</w:t>
      </w:r>
      <w:bookmarkEnd w:id="216"/>
    </w:p>
    <w:p>
      <w:pPr>
        <w:ind w:left="765"/>
        <w:jc w:val="center"/>
        <w:rPr>
          <w:rFonts w:ascii="宋体" w:hAnsi="宋体" w:cs="宋体"/>
          <w:color w:val="auto"/>
          <w:szCs w:val="21"/>
          <w:highlight w:val="none"/>
        </w:rPr>
      </w:pPr>
    </w:p>
    <w:p>
      <w:pPr>
        <w:pStyle w:val="38"/>
        <w:spacing w:line="480" w:lineRule="auto"/>
        <w:jc w:val="both"/>
        <w:rPr>
          <w:rFonts w:hAnsi="宋体"/>
          <w:color w:val="auto"/>
          <w:highlight w:val="none"/>
        </w:rPr>
      </w:pPr>
      <w:r>
        <w:rPr>
          <w:rFonts w:hint="eastAsia" w:hAnsi="宋体"/>
          <w:color w:val="auto"/>
          <w:highlight w:val="none"/>
        </w:rPr>
        <w:t>重庆首讯科技股份有限公司：</w:t>
      </w:r>
    </w:p>
    <w:p>
      <w:pPr>
        <w:spacing w:line="480" w:lineRule="auto"/>
        <w:ind w:firstLine="420" w:firstLineChars="200"/>
        <w:jc w:val="left"/>
        <w:rPr>
          <w:rFonts w:ascii="宋体" w:hAnsi="宋体"/>
          <w:b/>
          <w:color w:val="auto"/>
          <w:szCs w:val="21"/>
          <w:highlight w:val="none"/>
        </w:rPr>
      </w:pPr>
      <w:bookmarkStart w:id="217" w:name="_Toc503951050"/>
      <w:bookmarkStart w:id="218" w:name="_Toc11329278"/>
      <w:bookmarkStart w:id="219" w:name="_Toc513633971"/>
      <w:bookmarkStart w:id="220" w:name="_Toc152045803"/>
      <w:bookmarkStart w:id="221" w:name="_Toc246996369"/>
      <w:bookmarkStart w:id="222" w:name="_Toc246997112"/>
      <w:bookmarkStart w:id="223" w:name="_Toc152042592"/>
      <w:bookmarkStart w:id="224" w:name="_Toc247085887"/>
      <w:bookmarkStart w:id="225" w:name="_Toc144974871"/>
      <w:bookmarkStart w:id="226" w:name="_Toc179632823"/>
      <w:bookmarkStart w:id="227" w:name="_Toc447827058"/>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8519" w:type="dxa"/>
        <w:tblInd w:w="0" w:type="dxa"/>
        <w:tblLayout w:type="fixed"/>
        <w:tblCellMar>
          <w:top w:w="0" w:type="dxa"/>
          <w:left w:w="108" w:type="dxa"/>
          <w:bottom w:w="0" w:type="dxa"/>
          <w:right w:w="108" w:type="dxa"/>
        </w:tblCellMar>
      </w:tblPr>
      <w:tblGrid>
        <w:gridCol w:w="637"/>
        <w:gridCol w:w="1273"/>
        <w:gridCol w:w="1527"/>
        <w:gridCol w:w="875"/>
        <w:gridCol w:w="712"/>
        <w:gridCol w:w="875"/>
        <w:gridCol w:w="800"/>
        <w:gridCol w:w="913"/>
        <w:gridCol w:w="907"/>
      </w:tblGrid>
      <w:tr>
        <w:tblPrEx>
          <w:tblCellMar>
            <w:top w:w="0" w:type="dxa"/>
            <w:left w:w="108" w:type="dxa"/>
            <w:bottom w:w="0" w:type="dxa"/>
            <w:right w:w="108" w:type="dxa"/>
          </w:tblCellMar>
        </w:tblPrEx>
        <w:trPr>
          <w:trHeight w:val="585" w:hRule="atLeast"/>
        </w:trPr>
        <w:tc>
          <w:tcPr>
            <w:tcW w:w="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273"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2402" w:type="dxa"/>
            <w:gridSpan w:val="2"/>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服务内容</w:t>
            </w:r>
          </w:p>
        </w:tc>
        <w:tc>
          <w:tcPr>
            <w:tcW w:w="712" w:type="dxa"/>
            <w:tcBorders>
              <w:top w:val="single" w:color="000000" w:sz="8" w:space="0"/>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875"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数量</w:t>
            </w:r>
          </w:p>
        </w:tc>
        <w:tc>
          <w:tcPr>
            <w:tcW w:w="80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91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合价（元）</w:t>
            </w:r>
          </w:p>
        </w:tc>
        <w:tc>
          <w:tcPr>
            <w:tcW w:w="907"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平台首页</w:t>
            </w:r>
          </w:p>
        </w:tc>
        <w:tc>
          <w:tcPr>
            <w:tcW w:w="2402"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改造监控视频流底座，集成自研视频融合平台，升级车载视频车辆查看，布控球机位置查看，施工点位查看等功能点</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日周月清单</w:t>
            </w:r>
          </w:p>
        </w:tc>
        <w:tc>
          <w:tcPr>
            <w:tcW w:w="2402"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增强工作日志隐患排查，工作量自动统计功能，并在数据大屏中实时展示隐患信息</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重点关注点位</w:t>
            </w:r>
          </w:p>
        </w:tc>
        <w:tc>
          <w:tcPr>
            <w:tcW w:w="2402"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公司重点关注点位管理，并在数据大屏中展示重点关注点位信息</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隐患排查治理</w:t>
            </w:r>
          </w:p>
        </w:tc>
        <w:tc>
          <w:tcPr>
            <w:tcW w:w="2402"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接入集团隐患排查治理模块，简化隐患排查治理流程，在数据大屏同步展示隐患排查点位和相关统计信息</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安全环保检查表</w:t>
            </w:r>
          </w:p>
        </w:tc>
        <w:tc>
          <w:tcPr>
            <w:tcW w:w="2402"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接入集团安环检查模块，重新整理当前需要的检查表，强化远程检查表相关功能</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项目管理</w:t>
            </w:r>
          </w:p>
        </w:tc>
        <w:tc>
          <w:tcPr>
            <w:tcW w:w="2402"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调整项目填报相关审批流程，可由施工负责人填报施工信息，管理人员只需审核即可，减少管理人员工作量，相关审核环节需钉钉推送消息到责任人</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施工计划</w:t>
            </w:r>
          </w:p>
        </w:tc>
        <w:tc>
          <w:tcPr>
            <w:tcW w:w="2402"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增加施工转场，取消施工（记录取消原因）等操作补足当前管理的缺失环节，对施工进行全过程管理，关联相关检查表便于查看统计。</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施工人员档案构建</w:t>
            </w:r>
          </w:p>
        </w:tc>
        <w:tc>
          <w:tcPr>
            <w:tcW w:w="2402"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强化施工人员档案管理，为施工人员建立一人一档，构建完善的施工人员管理模块</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视频监控和事件</w:t>
            </w:r>
          </w:p>
        </w:tc>
        <w:tc>
          <w:tcPr>
            <w:tcW w:w="2402"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接入自研视频融合平台，自动同步管理布控球机，执法记录仪，无人机，车载监控设备，实时增删改同步设备，加强视频监控查看等使用体验</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应急处置</w:t>
            </w:r>
          </w:p>
        </w:tc>
        <w:tc>
          <w:tcPr>
            <w:tcW w:w="2402"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按要求梳理应急处置相关流程，实现应急处置生命周期管理，记录</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视频融合平台</w:t>
            </w:r>
          </w:p>
        </w:tc>
        <w:tc>
          <w:tcPr>
            <w:tcW w:w="2402"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进一步强化视频融合平台和安环系统的紧密集成，提高监控视频播放易用性和可靠性。</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手机端</w:t>
            </w:r>
          </w:p>
        </w:tc>
        <w:tc>
          <w:tcPr>
            <w:tcW w:w="2402"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强化各模块在手机端的管理功能，如可手机端进行施工计划上报，施工监控（布控球机，执法记录仪，无人机，施工车辆）实时查看等功能，可在手机端对施工全过程进行管理等功能</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13</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语音外呼功能集成</w:t>
            </w:r>
          </w:p>
        </w:tc>
        <w:tc>
          <w:tcPr>
            <w:tcW w:w="2402"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各模块集成语音外呼功能，附加钉钉和短信通知，实现消息分级通知能力</w:t>
            </w: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10" w:hRule="atLeast"/>
        </w:trPr>
        <w:tc>
          <w:tcPr>
            <w:tcW w:w="3437" w:type="dxa"/>
            <w:gridSpan w:val="3"/>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税率（%）</w:t>
            </w:r>
          </w:p>
        </w:tc>
        <w:tc>
          <w:tcPr>
            <w:tcW w:w="5082" w:type="dxa"/>
            <w:gridSpan w:val="6"/>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0" w:hRule="atLeast"/>
        </w:trPr>
        <w:tc>
          <w:tcPr>
            <w:tcW w:w="3437" w:type="dxa"/>
            <w:gridSpan w:val="3"/>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含税总报价（元）</w:t>
            </w:r>
          </w:p>
        </w:tc>
        <w:tc>
          <w:tcPr>
            <w:tcW w:w="5082" w:type="dxa"/>
            <w:gridSpan w:val="6"/>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snapToGrid w:val="0"/>
          <w:color w:val="auto"/>
          <w:kern w:val="0"/>
          <w:szCs w:val="21"/>
          <w:highlight w:val="none"/>
        </w:rPr>
      </w:pPr>
      <w:r>
        <w:rPr>
          <w:rFonts w:hint="eastAsia" w:ascii="宋体" w:hAnsi="宋体"/>
          <w:b w:val="0"/>
          <w:bCs w:val="0"/>
          <w:color w:val="auto"/>
          <w:kern w:val="0"/>
          <w:szCs w:val="21"/>
          <w:highlight w:val="none"/>
          <w:lang w:val="en-US" w:eastAsia="zh-CN"/>
        </w:rPr>
        <w:t>报价</w:t>
      </w:r>
      <w:r>
        <w:rPr>
          <w:rFonts w:ascii="宋体" w:hAnsi="宋体"/>
          <w:b w:val="0"/>
          <w:bCs w:val="0"/>
          <w:color w:val="auto"/>
          <w:kern w:val="0"/>
          <w:szCs w:val="21"/>
          <w:highlight w:val="none"/>
        </w:rPr>
        <w:t>人：</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lang w:val="en-US" w:eastAsia="zh-CN"/>
        </w:rPr>
        <w:t xml:space="preserve">  </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rPr>
        <w:t xml:space="preserve"> </w:t>
      </w:r>
      <w:r>
        <w:rPr>
          <w:rFonts w:ascii="宋体" w:hAnsi="宋体"/>
          <w:b w:val="0"/>
          <w:bCs w:val="0"/>
          <w:color w:val="auto"/>
          <w:kern w:val="0"/>
          <w:szCs w:val="21"/>
          <w:highlight w:val="none"/>
        </w:rPr>
        <w:t>（</w:t>
      </w:r>
      <w:r>
        <w:rPr>
          <w:rFonts w:ascii="宋体" w:hAnsi="宋体"/>
          <w:b w:val="0"/>
          <w:bCs w:val="0"/>
          <w:color w:val="auto"/>
          <w:spacing w:val="-1"/>
          <w:kern w:val="0"/>
          <w:szCs w:val="21"/>
          <w:highlight w:val="none"/>
        </w:rPr>
        <w:t>盖单位</w:t>
      </w:r>
      <w:r>
        <w:rPr>
          <w:rFonts w:hint="eastAsia" w:ascii="宋体" w:hAnsi="宋体"/>
          <w:b w:val="0"/>
          <w:bCs w:val="0"/>
          <w:color w:val="auto"/>
          <w:spacing w:val="-1"/>
          <w:kern w:val="0"/>
          <w:szCs w:val="21"/>
          <w:highlight w:val="none"/>
        </w:rPr>
        <w:t>公</w:t>
      </w:r>
      <w:r>
        <w:rPr>
          <w:rFonts w:ascii="宋体" w:hAnsi="宋体"/>
          <w:b w:val="0"/>
          <w:bCs w:val="0"/>
          <w:color w:val="auto"/>
          <w:spacing w:val="-1"/>
          <w:kern w:val="0"/>
          <w:szCs w:val="21"/>
          <w:highlight w:val="none"/>
        </w:rPr>
        <w:t>章</w:t>
      </w:r>
      <w:r>
        <w:rPr>
          <w:rFonts w:ascii="宋体" w:hAnsi="宋体"/>
          <w:b w:val="0"/>
          <w:bCs w:val="0"/>
          <w:color w:val="auto"/>
          <w:kern w:val="0"/>
          <w:szCs w:val="21"/>
          <w:highlight w:val="none"/>
        </w:rPr>
        <w:t>）</w:t>
      </w:r>
    </w:p>
    <w:p>
      <w:pPr>
        <w:jc w:val="right"/>
        <w:rPr>
          <w:rFonts w:hint="eastAsia" w:ascii="宋体" w:hAnsi="宋体"/>
          <w:b w:val="0"/>
          <w:bCs w:val="0"/>
          <w:color w:val="auto"/>
          <w:kern w:val="0"/>
          <w:szCs w:val="21"/>
          <w:highlight w:val="none"/>
          <w:u w:val="single"/>
        </w:rPr>
      </w:pPr>
    </w:p>
    <w:p>
      <w:pPr>
        <w:jc w:val="right"/>
        <w:rPr>
          <w:rFonts w:hint="eastAsia" w:ascii="宋体" w:hAnsi="宋体"/>
          <w:b/>
          <w:bCs/>
          <w:color w:val="auto"/>
          <w:kern w:val="0"/>
          <w:szCs w:val="21"/>
          <w:highlight w:val="none"/>
        </w:rPr>
      </w:pP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年</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月</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日</w:t>
      </w:r>
    </w:p>
    <w:p>
      <w:pPr>
        <w:pStyle w:val="4"/>
        <w:spacing w:before="0" w:after="0"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28" w:name="_Toc4544"/>
      <w:bookmarkStart w:id="229" w:name="_Toc12910"/>
      <w:bookmarkStart w:id="230" w:name="_Toc11961"/>
      <w:bookmarkStart w:id="231" w:name="_Toc18757"/>
      <w:r>
        <w:rPr>
          <w:rFonts w:hint="eastAsia" w:ascii="宋体" w:hAnsi="宋体" w:eastAsia="宋体" w:cs="宋体"/>
          <w:color w:val="auto"/>
          <w:sz w:val="28"/>
          <w:highlight w:val="none"/>
        </w:rPr>
        <w:t>四、资格审查资料</w:t>
      </w:r>
      <w:bookmarkEnd w:id="217"/>
      <w:bookmarkEnd w:id="218"/>
      <w:bookmarkEnd w:id="219"/>
      <w:bookmarkEnd w:id="228"/>
      <w:bookmarkEnd w:id="229"/>
      <w:bookmarkEnd w:id="230"/>
      <w:bookmarkEnd w:id="231"/>
    </w:p>
    <w:bookmarkEnd w:id="220"/>
    <w:bookmarkEnd w:id="221"/>
    <w:bookmarkEnd w:id="222"/>
    <w:bookmarkEnd w:id="223"/>
    <w:bookmarkEnd w:id="224"/>
    <w:bookmarkEnd w:id="225"/>
    <w:bookmarkEnd w:id="226"/>
    <w:bookmarkEnd w:id="227"/>
    <w:p>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bookmarkStart w:id="232" w:name="_Toc503951058"/>
      <w:bookmarkStart w:id="233" w:name="_Toc513633974"/>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highlight w:val="none"/>
                <w:lang w:val="en-US" w:eastAsia="zh-CN"/>
              </w:rPr>
            </w:pPr>
            <w:bookmarkStart w:id="234" w:name="资质要求2"/>
            <w:r>
              <w:rPr>
                <w:rFonts w:hint="eastAsia" w:ascii="宋体" w:hAnsi="宋体" w:eastAsia="宋体" w:cs="宋体"/>
                <w:i w:val="0"/>
                <w:iCs w:val="0"/>
                <w:caps w:val="0"/>
                <w:color w:val="auto"/>
                <w:spacing w:val="0"/>
                <w:sz w:val="21"/>
                <w:szCs w:val="21"/>
                <w:highlight w:val="none"/>
                <w:shd w:val="clear" w:fill="FCFCFC"/>
              </w:rPr>
              <w:t>报价人具有独立法人资格和有效的营业执照</w:t>
            </w:r>
            <w:bookmarkEnd w:id="2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bookmarkStart w:id="235" w:name="业绩要求2"/>
            <w:r>
              <w:rPr>
                <w:rFonts w:hint="eastAsia" w:ascii="宋体" w:hAnsi="宋体" w:eastAsia="宋体" w:cs="宋体"/>
                <w:color w:val="auto"/>
                <w:sz w:val="21"/>
                <w:szCs w:val="21"/>
                <w:highlight w:val="none"/>
                <w:lang w:val="en-US" w:eastAsia="zh-CN"/>
              </w:rPr>
              <w:t>2022年1月1日至报价截止日期（以合同签订时间为准）至少独立完成一项合同金额不低于25万元的软件开发或技术服务业绩（提供合同扫描件）</w:t>
            </w:r>
            <w:bookmarkEnd w:id="2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236" w:name="主要管理人员要求1"/>
            <w:r>
              <w:rPr>
                <w:rFonts w:hint="eastAsia" w:ascii="宋体" w:hAnsi="宋体" w:eastAsia="宋体" w:cs="宋体"/>
                <w:color w:val="auto"/>
                <w:sz w:val="21"/>
                <w:szCs w:val="21"/>
                <w:highlight w:val="none"/>
                <w:lang w:val="en-US" w:eastAsia="zh-CN"/>
              </w:rPr>
              <w:t>项目负责人，1人，具有3年以上工作经验，为计算机、通信、数据处理相关专业人员。</w:t>
            </w:r>
            <w:bookmarkEnd w:id="2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237" w:name="其他人员要求1"/>
            <w:r>
              <w:rPr>
                <w:rFonts w:hint="eastAsia" w:ascii="宋体" w:hAnsi="宋体" w:cs="宋体"/>
                <w:b w:val="0"/>
                <w:bCs w:val="0"/>
                <w:color w:val="auto"/>
                <w:szCs w:val="21"/>
                <w:highlight w:val="none"/>
                <w:lang w:val="en-US" w:eastAsia="zh-CN"/>
              </w:rPr>
              <w:t>根据项目实际进度情况及时增加人员。</w:t>
            </w:r>
            <w:bookmarkEnd w:id="2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4.提供人员资格要求的资料。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p>
    <w:p>
      <w:pPr>
        <w:rPr>
          <w:color w:val="auto"/>
          <w:highlight w:val="none"/>
        </w:rPr>
      </w:pPr>
    </w:p>
    <w:p>
      <w:pPr>
        <w:pStyle w:val="5"/>
        <w:jc w:val="center"/>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jc w:val="cente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pPr>
        <w:jc w:val="center"/>
        <w:rPr>
          <w:rFonts w:hint="eastAsia" w:ascii="宋体" w:hAnsi="宋体" w:cs="宋体"/>
          <w:b/>
          <w:bCs/>
          <w:color w:val="auto"/>
          <w:kern w:val="0"/>
          <w:sz w:val="28"/>
          <w:szCs w:val="20"/>
          <w:highlight w:val="none"/>
          <w:lang w:eastAsia="zh-CN"/>
        </w:rPr>
      </w:pPr>
    </w:p>
    <w:tbl>
      <w:tblPr>
        <w:tblStyle w:val="42"/>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bl>
    <w:p>
      <w:pPr>
        <w:adjustRightInd w:val="0"/>
        <w:snapToGrid w:val="0"/>
        <w:spacing w:line="460" w:lineRule="exact"/>
        <w:ind w:firstLine="422"/>
        <w:rPr>
          <w:rFonts w:hint="eastAsia" w:ascii="宋体" w:hAnsi="宋体"/>
          <w:b/>
          <w:color w:val="auto"/>
          <w:szCs w:val="21"/>
          <w:highlight w:val="none"/>
        </w:rPr>
      </w:pPr>
    </w:p>
    <w:p>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pPr>
        <w:adjustRightInd w:val="0"/>
        <w:snapToGrid w:val="0"/>
        <w:spacing w:line="460" w:lineRule="exact"/>
        <w:ind w:firstLine="422"/>
        <w:rPr>
          <w:rFonts w:hint="eastAsia"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p>
    <w:p>
      <w:pPr>
        <w:keepNext w:val="0"/>
        <w:keepLines w:val="0"/>
        <w:pageBreakBefore w:val="0"/>
        <w:widowControl w:val="0"/>
        <w:kinsoku/>
        <w:wordWrap/>
        <w:overflowPunct/>
        <w:topLinePunct w:val="0"/>
        <w:autoSpaceDE/>
        <w:autoSpaceDN/>
        <w:bidi w:val="0"/>
        <w:spacing w:line="600" w:lineRule="exact"/>
        <w:ind w:firstLine="630" w:firstLineChars="300"/>
        <w:jc w:val="left"/>
        <w:textAlignment w:val="auto"/>
        <w:rPr>
          <w:rFonts w:cs="宋体"/>
          <w:b/>
          <w:bCs/>
          <w:color w:val="auto"/>
          <w:highlight w:val="none"/>
        </w:rPr>
      </w:pPr>
      <w:r>
        <w:rPr>
          <w:rFonts w:hint="eastAsia" w:ascii="宋体" w:hAnsi="宋体"/>
          <w:color w:val="auto"/>
          <w:szCs w:val="21"/>
          <w:highlight w:val="none"/>
        </w:rPr>
        <w:t>2、报价人承诺“所有商务部分负偏离项均已填写在本表，除此之外的商务条款均无偏离。”视作对无偏离商务条款的响应。</w:t>
      </w:r>
    </w:p>
    <w:p>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pP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三</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pPr>
        <w:spacing w:line="360" w:lineRule="auto"/>
        <w:jc w:val="left"/>
        <w:rPr>
          <w:rFonts w:ascii="宋体" w:hAnsi="宋体" w:eastAsia="宋体" w:cs="Times New Roman"/>
          <w:color w:val="auto"/>
          <w:szCs w:val="21"/>
          <w:highlight w:val="none"/>
        </w:rPr>
      </w:pPr>
    </w:p>
    <w:tbl>
      <w:tblPr>
        <w:tblStyle w:val="4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48"/>
        <w:gridCol w:w="2041"/>
        <w:gridCol w:w="17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48"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4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70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bl>
    <w:p>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pPr>
        <w:adjustRightInd w:val="0"/>
        <w:snapToGrid w:val="0"/>
        <w:spacing w:line="460" w:lineRule="exact"/>
        <w:ind w:firstLine="422"/>
        <w:rPr>
          <w:rFonts w:ascii="宋体" w:hAnsi="宋体" w:eastAsia="宋体" w:cs="Times New Roman"/>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w:t>
      </w:r>
      <w:r>
        <w:rPr>
          <w:rFonts w:hint="eastAsia" w:ascii="宋体" w:hAnsi="宋体"/>
          <w:b/>
          <w:color w:val="auto"/>
          <w:szCs w:val="21"/>
          <w:highlight w:val="none"/>
        </w:rPr>
        <w:t>签名或盖章</w:t>
      </w:r>
      <w:r>
        <w:rPr>
          <w:rFonts w:hint="eastAsia" w:ascii="宋体" w:hAnsi="宋体" w:eastAsia="宋体" w:cs="Times New Roman"/>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、如果本表不能填写完毕，可按此格式扩展。</w:t>
      </w:r>
    </w:p>
    <w:p>
      <w:pPr>
        <w:pStyle w:val="2"/>
        <w:keepNext w:val="0"/>
        <w:keepLines w:val="0"/>
        <w:pageBreakBefore w:val="0"/>
        <w:widowControl w:val="0"/>
        <w:kinsoku/>
        <w:wordWrap/>
        <w:overflowPunct/>
        <w:topLinePunct w:val="0"/>
        <w:autoSpaceDE/>
        <w:autoSpaceDN/>
        <w:bidi w:val="0"/>
        <w:spacing w:line="600" w:lineRule="exact"/>
        <w:ind w:firstLine="630" w:firstLineChars="300"/>
        <w:textAlignment w:val="auto"/>
        <w:rPr>
          <w:color w:val="auto"/>
          <w:sz w:val="21"/>
          <w:szCs w:val="21"/>
          <w:highlight w:val="none"/>
        </w:rPr>
      </w:pPr>
      <w:r>
        <w:rPr>
          <w:rFonts w:hint="eastAsia" w:ascii="宋体" w:hAnsi="宋体" w:eastAsia="宋体" w:cs="Arial"/>
          <w:bCs/>
          <w:color w:val="auto"/>
          <w:kern w:val="0"/>
          <w:sz w:val="21"/>
          <w:szCs w:val="21"/>
          <w:highlight w:val="none"/>
          <w:lang w:val="en-US" w:eastAsia="zh-CN"/>
        </w:rPr>
        <w:t>2</w:t>
      </w:r>
      <w:r>
        <w:rPr>
          <w:rFonts w:hint="eastAsia" w:ascii="宋体" w:hAnsi="宋体" w:eastAsia="宋体" w:cs="Arial"/>
          <w:bCs/>
          <w:color w:val="auto"/>
          <w:kern w:val="0"/>
          <w:sz w:val="21"/>
          <w:szCs w:val="21"/>
          <w:highlight w:val="none"/>
        </w:rPr>
        <w:t>、</w:t>
      </w:r>
      <w:r>
        <w:rPr>
          <w:rFonts w:hint="eastAsia" w:ascii="宋体" w:hAnsi="宋体" w:eastAsia="宋体" w:cs="Arial"/>
          <w:bCs/>
          <w:color w:val="auto"/>
          <w:kern w:val="0"/>
          <w:sz w:val="21"/>
          <w:szCs w:val="21"/>
          <w:highlight w:val="none"/>
          <w:lang w:val="en-US" w:eastAsia="zh-CN"/>
        </w:rPr>
        <w:t>报价</w:t>
      </w:r>
      <w:r>
        <w:rPr>
          <w:rFonts w:hint="eastAsia" w:ascii="宋体" w:hAnsi="宋体" w:eastAsia="宋体" w:cs="Arial"/>
          <w:bCs/>
          <w:color w:val="auto"/>
          <w:kern w:val="0"/>
          <w:sz w:val="21"/>
          <w:szCs w:val="21"/>
          <w:highlight w:val="none"/>
        </w:rPr>
        <w:t>人承诺“所有技术部分负偏离项均已填写在本表，除此之外的技术条款均无偏离。”视作对无偏离技术条款的响应。</w:t>
      </w: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pStyle w:val="4"/>
        <w:spacing w:before="0" w:after="0" w:line="360" w:lineRule="auto"/>
        <w:jc w:val="center"/>
        <w:rPr>
          <w:rFonts w:ascii="宋体" w:hAnsi="宋体" w:eastAsia="宋体" w:cs="宋体"/>
          <w:color w:val="auto"/>
          <w:sz w:val="28"/>
          <w:highlight w:val="none"/>
        </w:rPr>
      </w:pPr>
      <w:bookmarkStart w:id="238" w:name="_Toc7326"/>
      <w:r>
        <w:rPr>
          <w:rFonts w:hint="eastAsia" w:ascii="宋体" w:hAnsi="宋体" w:eastAsia="宋体" w:cs="宋体"/>
          <w:color w:val="auto"/>
          <w:sz w:val="28"/>
          <w:highlight w:val="none"/>
        </w:rPr>
        <w:t>五、报价人承诺</w:t>
      </w:r>
      <w:bookmarkEnd w:id="238"/>
    </w:p>
    <w:p>
      <w:pPr>
        <w:pStyle w:val="2"/>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致：重庆首讯科技股份有限公司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竞争性比选文件中要求内容完全响应做出以下承诺：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2、我公司不存在资质挂靠或参与串标、围标情形。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标准等要求。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、我公司承诺绝不向贵司工作人员、评标委员会成员等提供或变相提供现金、回扣、有价证券、旅游等形式的利益输送，并自愿配合贵司或第三方机构对项目进行廉政审查。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我公司在此承诺：</w:t>
      </w:r>
      <w:r>
        <w:rPr>
          <w:rFonts w:hint="eastAsia" w:ascii="宋体" w:hAnsi="宋体" w:cs="宋体"/>
          <w:color w:val="auto"/>
          <w:sz w:val="21"/>
          <w:szCs w:val="21"/>
          <w:highlight w:val="none"/>
          <w:lang w:val="en-US" w:eastAsia="zh-CN"/>
        </w:rPr>
        <w:t>若</w:t>
      </w:r>
      <w:r>
        <w:rPr>
          <w:rFonts w:hint="eastAsia" w:hAnsi="宋体" w:cs="宋体"/>
          <w:color w:val="auto"/>
          <w:sz w:val="21"/>
          <w:szCs w:val="21"/>
          <w:highlight w:val="none"/>
          <w:lang w:val="en-US" w:eastAsia="zh-CN"/>
        </w:rPr>
        <w:t>我公司中标，将完全</w:t>
      </w:r>
      <w:r>
        <w:rPr>
          <w:rFonts w:hint="eastAsia" w:ascii="宋体" w:hAnsi="宋体" w:cs="宋体"/>
          <w:color w:val="auto"/>
          <w:sz w:val="21"/>
          <w:szCs w:val="21"/>
          <w:highlight w:val="none"/>
          <w:lang w:val="en-US" w:eastAsia="zh-CN"/>
        </w:rPr>
        <w:t>服从</w:t>
      </w:r>
      <w:r>
        <w:rPr>
          <w:rFonts w:hint="eastAsia" w:hAnsi="宋体" w:cs="宋体"/>
          <w:color w:val="auto"/>
          <w:sz w:val="21"/>
          <w:szCs w:val="21"/>
          <w:highlight w:val="none"/>
          <w:lang w:val="en-US" w:eastAsia="zh-CN"/>
        </w:rPr>
        <w:t>采购人《合格供方库管理办法》的管理要求，在合同执行过程中，对出现进度、质量、服务及违规等问题，采购人可视违规行为的具体情形、情节轻重和危害程度，依据《合格供方库管理办法》给予暂停合格供应商资格、终止合格供应商资格、永久取消合格供应商资格（列入诚信黑名单）等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、我公司知悉并愿意接受贵司监督部门对本次竞争性比选活动的监督，积极配合相关工作，如实提供所需信息和资料。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、如我公司违反上述承诺，隐瞒、提供虚假资料或不按竞争性比选文件要求组织实施，被贵方发现或被他人举报查实，无条件接受贵司的处罚，对造成的损失，任何法律和经济责任完全由我方承担。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FF0000"/>
          <w:sz w:val="21"/>
          <w:szCs w:val="21"/>
          <w:highlight w:val="none"/>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lang w:val="en-US" w:eastAsia="zh-CN"/>
        </w:rPr>
        <w:t>承</w:t>
      </w:r>
      <w:r>
        <w:rPr>
          <w:rFonts w:ascii="宋体" w:hAnsi="宋体"/>
          <w:b/>
          <w:bCs/>
          <w:snapToGrid w:val="0"/>
          <w:color w:val="auto"/>
          <w:kern w:val="0"/>
          <w:szCs w:val="21"/>
          <w:highlight w:val="none"/>
        </w:rPr>
        <w:t xml:space="preserve">  </w:t>
      </w:r>
      <w:r>
        <w:rPr>
          <w:rFonts w:hint="eastAsia" w:ascii="宋体" w:hAnsi="宋体"/>
          <w:b/>
          <w:bCs/>
          <w:snapToGrid w:val="0"/>
          <w:color w:val="auto"/>
          <w:kern w:val="0"/>
          <w:szCs w:val="21"/>
          <w:highlight w:val="none"/>
          <w:lang w:val="en-US" w:eastAsia="zh-CN"/>
        </w:rPr>
        <w:t>诺</w:t>
      </w:r>
      <w:r>
        <w:rPr>
          <w:rFonts w:ascii="宋体" w:hAnsi="宋体"/>
          <w:b/>
          <w:bCs/>
          <w:snapToGrid w:val="0"/>
          <w:color w:val="auto"/>
          <w:kern w:val="0"/>
          <w:szCs w:val="21"/>
          <w:highlight w:val="none"/>
        </w:rPr>
        <w:t xml:space="preserve">  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（盖单位</w:t>
      </w:r>
      <w:r>
        <w:rPr>
          <w:rFonts w:hint="eastAsia" w:ascii="宋体" w:hAnsi="宋体"/>
          <w:b/>
          <w:bCs/>
          <w:snapToGrid w:val="0"/>
          <w:color w:val="auto"/>
          <w:kern w:val="0"/>
          <w:szCs w:val="21"/>
          <w:highlight w:val="none"/>
          <w:lang w:val="en-US" w:eastAsia="zh-CN"/>
        </w:rPr>
        <w:t>公</w:t>
      </w:r>
      <w:r>
        <w:rPr>
          <w:rFonts w:ascii="宋体" w:hAnsi="宋体"/>
          <w:b/>
          <w:bCs/>
          <w:snapToGrid w:val="0"/>
          <w:color w:val="auto"/>
          <w:kern w:val="0"/>
          <w:szCs w:val="21"/>
          <w:highlight w:val="none"/>
        </w:rPr>
        <w:t xml:space="preserve">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ascii="宋体" w:hAnsi="宋体"/>
          <w:b/>
          <w:bCs/>
          <w:snapToGrid w:val="0"/>
          <w:color w:val="auto"/>
          <w:kern w:val="0"/>
          <w:szCs w:val="21"/>
          <w:highlight w:val="none"/>
        </w:rPr>
        <w:t>法定代表人或其委托代理人：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w:t>
      </w:r>
      <w:r>
        <w:rPr>
          <w:rFonts w:hint="eastAsia" w:ascii="宋体" w:hAnsi="宋体"/>
          <w:b/>
          <w:bCs/>
          <w:snapToGrid w:val="0"/>
          <w:color w:val="auto"/>
          <w:kern w:val="0"/>
          <w:szCs w:val="21"/>
          <w:highlight w:val="none"/>
        </w:rPr>
        <w:t>签名</w:t>
      </w:r>
      <w:r>
        <w:rPr>
          <w:rFonts w:ascii="宋体" w:hAnsi="宋体"/>
          <w:b/>
          <w:bCs/>
          <w:snapToGrid w:val="0"/>
          <w:color w:val="auto"/>
          <w:kern w:val="0"/>
          <w:szCs w:val="21"/>
          <w:highlight w:val="none"/>
        </w:rPr>
        <w:t xml:space="preserve">或盖章） </w:t>
      </w:r>
    </w:p>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bCs/>
          <w:color w:val="auto"/>
          <w:kern w:val="0"/>
          <w:szCs w:val="21"/>
          <w:highlight w:val="none"/>
        </w:rPr>
      </w:pPr>
      <w:r>
        <w:rPr>
          <w:rFonts w:hint="eastAsia" w:ascii="宋体" w:hAnsi="宋体" w:eastAsia="宋体" w:cs="宋体"/>
          <w:b/>
          <w:bCs/>
          <w:color w:val="auto"/>
          <w:sz w:val="21"/>
          <w:szCs w:val="21"/>
          <w:highlight w:val="none"/>
          <w:lang w:val="en-US" w:eastAsia="zh-CN"/>
        </w:rPr>
        <w:t xml:space="preserve">                         日期：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年</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月</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日</w:t>
      </w:r>
    </w:p>
    <w:p>
      <w:pPr>
        <w:rPr>
          <w:rFonts w:hint="eastAsia" w:ascii="宋体" w:hAnsi="宋体"/>
          <w:b/>
          <w:bCs/>
          <w:color w:val="auto"/>
          <w:sz w:val="24"/>
          <w:highlight w:val="none"/>
        </w:rPr>
      </w:pPr>
      <w:r>
        <w:rPr>
          <w:rFonts w:hint="eastAsia" w:ascii="宋体" w:hAnsi="宋体"/>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39" w:name="_Toc22594"/>
      <w:r>
        <w:rPr>
          <w:rFonts w:hint="eastAsia" w:ascii="宋体" w:hAnsi="宋体" w:eastAsia="宋体" w:cs="宋体"/>
          <w:b/>
          <w:bCs/>
          <w:color w:val="auto"/>
          <w:kern w:val="0"/>
          <w:sz w:val="28"/>
          <w:szCs w:val="32"/>
          <w:highlight w:val="none"/>
          <w:lang w:val="en-US" w:eastAsia="zh-CN" w:bidi="ar-SA"/>
        </w:rPr>
        <w:t>六、报价人其他资料</w:t>
      </w:r>
      <w:bookmarkEnd w:id="239"/>
    </w:p>
    <w:p>
      <w:pPr>
        <w:pStyle w:val="2"/>
        <w:rPr>
          <w:rFonts w:ascii="宋体" w:hAnsi="宋体"/>
          <w:color w:val="auto"/>
          <w:sz w:val="24"/>
          <w:highlight w:val="none"/>
        </w:rPr>
      </w:pPr>
    </w:p>
    <w:p>
      <w:pPr>
        <w:pStyle w:val="5"/>
        <w:spacing w:before="0" w:after="0" w:line="360" w:lineRule="auto"/>
        <w:jc w:val="center"/>
        <w:rPr>
          <w:color w:val="auto"/>
          <w:sz w:val="28"/>
          <w:szCs w:val="28"/>
          <w:highlight w:val="none"/>
        </w:rPr>
      </w:pPr>
      <w:r>
        <w:rPr>
          <w:rFonts w:hint="eastAsia"/>
          <w:color w:val="auto"/>
          <w:sz w:val="28"/>
          <w:szCs w:val="28"/>
          <w:highlight w:val="none"/>
        </w:rPr>
        <w:t>（一）报价人基本信息表</w:t>
      </w:r>
    </w:p>
    <w:p>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bl>
    <w:p>
      <w:pPr>
        <w:pStyle w:val="2"/>
        <w:rPr>
          <w:rFonts w:hint="eastAsia" w:ascii="宋体" w:hAnsi="宋体" w:cs="宋体"/>
          <w:color w:val="auto"/>
          <w:sz w:val="28"/>
          <w:highlight w:val="none"/>
          <w:lang w:eastAsia="zh-CN"/>
        </w:rPr>
      </w:pPr>
    </w:p>
    <w:p>
      <w:pPr>
        <w:pStyle w:val="2"/>
        <w:rPr>
          <w:rFonts w:hint="eastAsia" w:ascii="宋体" w:hAnsi="宋体" w:cs="宋体"/>
          <w:color w:val="auto"/>
          <w:sz w:val="28"/>
          <w:highlight w:val="none"/>
          <w:lang w:eastAsia="zh-CN"/>
        </w:rPr>
      </w:pPr>
    </w:p>
    <w:p>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pPr>
        <w:rPr>
          <w:color w:val="auto"/>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5250" w:firstLineChars="25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tabs>
          <w:tab w:val="left" w:pos="7140"/>
          <w:tab w:val="left" w:pos="7560"/>
          <w:tab w:val="left" w:pos="8300"/>
        </w:tabs>
        <w:autoSpaceDE w:val="0"/>
        <w:autoSpaceDN w:val="0"/>
        <w:adjustRightInd w:val="0"/>
        <w:ind w:firstLine="420" w:firstLineChars="200"/>
        <w:rPr>
          <w:rFonts w:hint="eastAsia" w:ascii="宋体" w:hAnsi="宋体"/>
          <w:snapToGrid w:val="0"/>
          <w:color w:val="auto"/>
          <w:kern w:val="0"/>
          <w:szCs w:val="21"/>
          <w:highlight w:val="none"/>
        </w:rPr>
      </w:pPr>
    </w:p>
    <w:p>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rFonts w:hint="eastAsia"/>
          <w:color w:val="auto"/>
          <w:highlight w:val="none"/>
        </w:rPr>
      </w:pP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三</w:t>
      </w:r>
      <w:r>
        <w:rPr>
          <w:rFonts w:hint="eastAsia" w:ascii="宋体" w:hAnsi="宋体" w:cs="宋体"/>
          <w:b/>
          <w:bCs/>
          <w:color w:val="auto"/>
          <w:kern w:val="0"/>
          <w:sz w:val="28"/>
          <w:szCs w:val="32"/>
          <w:highlight w:val="none"/>
        </w:rPr>
        <w:t>）技术部分</w:t>
      </w:r>
    </w:p>
    <w:p>
      <w:pPr>
        <w:pStyle w:val="4"/>
        <w:spacing w:before="0" w:after="0" w:line="360" w:lineRule="auto"/>
        <w:jc w:val="center"/>
        <w:outlineLvl w:val="9"/>
        <w:rPr>
          <w:rFonts w:ascii="宋体" w:hAnsi="宋体" w:eastAsia="宋体" w:cs="宋体"/>
          <w:color w:val="auto"/>
          <w:sz w:val="28"/>
          <w:highlight w:val="none"/>
        </w:rPr>
      </w:pPr>
    </w:p>
    <w:p>
      <w:pPr>
        <w:wordWrap w:val="0"/>
        <w:adjustRightInd w:val="0"/>
        <w:snapToGrid w:val="0"/>
        <w:spacing w:line="460" w:lineRule="exact"/>
        <w:ind w:firstLine="422" w:firstLineChars="200"/>
        <w:jc w:val="left"/>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bidi="ar"/>
        </w:rPr>
        <w:t>[提示：</w:t>
      </w:r>
      <w:r>
        <w:rPr>
          <w:rFonts w:hint="eastAsia" w:asciiTheme="minorEastAsia" w:hAnsiTheme="minorEastAsia" w:eastAsiaTheme="minorEastAsia" w:cstheme="minorEastAsia"/>
          <w:b/>
          <w:color w:val="auto"/>
          <w:kern w:val="0"/>
          <w:szCs w:val="21"/>
          <w:highlight w:val="none"/>
          <w:lang w:val="en-US" w:eastAsia="zh-CN" w:bidi="ar"/>
        </w:rPr>
        <w:t>当竞争性比选文件采用综合评估法时，“第三章 评标办法”</w:t>
      </w:r>
      <w:r>
        <w:rPr>
          <w:rFonts w:hint="eastAsia" w:asciiTheme="minorEastAsia" w:hAnsiTheme="minorEastAsia" w:eastAsiaTheme="minorEastAsia" w:cstheme="minorEastAsia"/>
          <w:b/>
          <w:color w:val="auto"/>
          <w:kern w:val="0"/>
          <w:szCs w:val="21"/>
          <w:highlight w:val="none"/>
          <w:lang w:bidi="ar"/>
        </w:rPr>
        <w:t>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pP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br w:type="page"/>
      </w:r>
    </w:p>
    <w:p>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四</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商务</w:t>
      </w:r>
      <w:r>
        <w:rPr>
          <w:rFonts w:hint="eastAsia" w:ascii="宋体" w:hAnsi="宋体" w:cs="宋体"/>
          <w:b/>
          <w:bCs/>
          <w:color w:val="auto"/>
          <w:kern w:val="0"/>
          <w:sz w:val="28"/>
          <w:szCs w:val="32"/>
          <w:highlight w:val="none"/>
        </w:rPr>
        <w:t>部分</w:t>
      </w:r>
    </w:p>
    <w:p>
      <w:pPr>
        <w:pStyle w:val="4"/>
        <w:spacing w:before="0" w:after="0" w:line="360" w:lineRule="auto"/>
        <w:jc w:val="center"/>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[提示：</w:t>
      </w:r>
      <w:r>
        <w:rPr>
          <w:rFonts w:hint="eastAsia" w:ascii="宋体" w:hAnsi="宋体" w:eastAsia="宋体" w:cs="宋体"/>
          <w:b/>
          <w:color w:val="auto"/>
          <w:kern w:val="0"/>
          <w:sz w:val="21"/>
          <w:szCs w:val="21"/>
          <w:highlight w:val="none"/>
          <w:lang w:val="en-US" w:eastAsia="zh-CN" w:bidi="ar"/>
        </w:rPr>
        <w:t>当竞争性比选文件采用综合评估法时，“第三章 评标办法”</w:t>
      </w:r>
      <w:r>
        <w:rPr>
          <w:rFonts w:hint="eastAsia" w:ascii="宋体" w:hAnsi="宋体" w:eastAsia="宋体" w:cs="宋体"/>
          <w:b/>
          <w:color w:val="auto"/>
          <w:kern w:val="0"/>
          <w:sz w:val="21"/>
          <w:szCs w:val="21"/>
          <w:highlight w:val="none"/>
          <w:lang w:bidi="ar"/>
        </w:rPr>
        <w:t>商务部分评分标准所涉及的内容及相关佐证资料由投标人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pStyle w:val="2"/>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五</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pPr>
        <w:wordWrap w:val="0"/>
        <w:adjustRightInd w:val="0"/>
        <w:snapToGrid w:val="0"/>
        <w:spacing w:line="460" w:lineRule="exact"/>
        <w:jc w:val="left"/>
        <w:rPr>
          <w:rFonts w:hint="eastAsia" w:ascii="宋体" w:hAnsi="宋体" w:cs="宋体"/>
          <w:color w:val="auto"/>
          <w:szCs w:val="21"/>
          <w:highlight w:val="none"/>
          <w:lang w:bidi="ar"/>
        </w:rPr>
      </w:pPr>
    </w:p>
    <w:p>
      <w:pPr>
        <w:pStyle w:val="2"/>
        <w:rPr>
          <w:color w:val="auto"/>
          <w:highlight w:val="none"/>
        </w:rPr>
      </w:pPr>
    </w:p>
    <w:p>
      <w:pPr>
        <w:rPr>
          <w:rFonts w:ascii="宋体" w:hAnsi="宋体" w:cs="宋体"/>
          <w:color w:val="auto"/>
          <w:sz w:val="28"/>
          <w:highlight w:val="none"/>
        </w:rPr>
      </w:pPr>
    </w:p>
    <w:bookmarkEnd w:id="232"/>
    <w:bookmarkEnd w:id="233"/>
    <w:p>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6E5DBDA-69A0-4E13-9265-B048E19942B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43F82185-5D3D-40C9-BD3C-59A557589252}"/>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onder Arial">
    <w:panose1 w:val="00000500000000000000"/>
    <w:charset w:val="00"/>
    <w:family w:val="auto"/>
    <w:pitch w:val="default"/>
    <w:sig w:usb0="00000003" w:usb1="00000000" w:usb2="00000000" w:usb3="00000000" w:csb0="00000011" w:csb1="00000000"/>
    <w:embedRegular r:id="rId3" w:fontKey="{DEA90090-B66E-4DA8-A651-56BF5B2ACDCB}"/>
  </w:font>
  <w:font w:name="仿宋">
    <w:panose1 w:val="02010609060101010101"/>
    <w:charset w:val="86"/>
    <w:family w:val="modern"/>
    <w:pitch w:val="default"/>
    <w:sig w:usb0="800002BF" w:usb1="38CF7CFA" w:usb2="00000016" w:usb3="00000000" w:csb0="00040001" w:csb1="00000000"/>
    <w:embedRegular r:id="rId4" w:fontKey="{FD04C6A8-E52D-42A5-BB68-1520B86D09A5}"/>
  </w:font>
  <w:font w:name="方正小标宋_GBK">
    <w:panose1 w:val="03000509000000000000"/>
    <w:charset w:val="86"/>
    <w:family w:val="script"/>
    <w:pitch w:val="default"/>
    <w:sig w:usb0="00000001" w:usb1="080E0000" w:usb2="00000000" w:usb3="00000000" w:csb0="00040000" w:csb1="00000000"/>
    <w:embedRegular r:id="rId5" w:fontKey="{8F1B1120-8326-417D-9A04-B0089A2B2E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 w:name="KGWebUrl" w:val="http://113.250.85.227:8081/weaver/weaver.file.FileDownloadForNews?uuid=396e38c3-e232-4a65-a8b7-2faa2beff6dd&amp;fileid=249111&amp;type=document&amp;isofficeview=0&amp;requestid=undefined&amp;authStr=undefined&amp;authSignatureStr=undefined&amp;f_weaver_belongto_userid=undefined&amp;isrequest=1&amp;download=1&amp;f_weaver_belongto_usertype=0"/>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26771"/>
    <w:rsid w:val="01A8609A"/>
    <w:rsid w:val="02195A53"/>
    <w:rsid w:val="023B0129"/>
    <w:rsid w:val="029D41FE"/>
    <w:rsid w:val="02A800C5"/>
    <w:rsid w:val="02C6499B"/>
    <w:rsid w:val="02C91CAA"/>
    <w:rsid w:val="033E10C9"/>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7C53E7"/>
    <w:rsid w:val="06820F5E"/>
    <w:rsid w:val="06951992"/>
    <w:rsid w:val="06AE2ABA"/>
    <w:rsid w:val="06C75DF5"/>
    <w:rsid w:val="06C76C7A"/>
    <w:rsid w:val="06DD02BB"/>
    <w:rsid w:val="06E43F57"/>
    <w:rsid w:val="06E71F51"/>
    <w:rsid w:val="06F965AD"/>
    <w:rsid w:val="07050666"/>
    <w:rsid w:val="071C4DB7"/>
    <w:rsid w:val="07362674"/>
    <w:rsid w:val="073B54B2"/>
    <w:rsid w:val="07537EF9"/>
    <w:rsid w:val="07815EE7"/>
    <w:rsid w:val="07C66F31"/>
    <w:rsid w:val="08170505"/>
    <w:rsid w:val="081748AE"/>
    <w:rsid w:val="08635851"/>
    <w:rsid w:val="08C2359B"/>
    <w:rsid w:val="09041814"/>
    <w:rsid w:val="092D7BDC"/>
    <w:rsid w:val="09332D2B"/>
    <w:rsid w:val="093E2D64"/>
    <w:rsid w:val="09472203"/>
    <w:rsid w:val="094E590C"/>
    <w:rsid w:val="0950680C"/>
    <w:rsid w:val="098B1DA7"/>
    <w:rsid w:val="09907951"/>
    <w:rsid w:val="099F43E4"/>
    <w:rsid w:val="09A31A61"/>
    <w:rsid w:val="09BA7A85"/>
    <w:rsid w:val="09BF594F"/>
    <w:rsid w:val="09DE1094"/>
    <w:rsid w:val="09E2475B"/>
    <w:rsid w:val="0A3F34B7"/>
    <w:rsid w:val="0A4B11BE"/>
    <w:rsid w:val="0A7B4003"/>
    <w:rsid w:val="0A8E5B8D"/>
    <w:rsid w:val="0AA240FA"/>
    <w:rsid w:val="0AAC0CBB"/>
    <w:rsid w:val="0ABA5513"/>
    <w:rsid w:val="0AD84BD3"/>
    <w:rsid w:val="0AE941D3"/>
    <w:rsid w:val="0B1061C6"/>
    <w:rsid w:val="0B2B08D5"/>
    <w:rsid w:val="0BA35012"/>
    <w:rsid w:val="0BB47FE1"/>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90531D"/>
    <w:rsid w:val="0FAD64B5"/>
    <w:rsid w:val="0FB21FD4"/>
    <w:rsid w:val="0FFF5930"/>
    <w:rsid w:val="10A265EF"/>
    <w:rsid w:val="10DF2B28"/>
    <w:rsid w:val="10EC4A0F"/>
    <w:rsid w:val="11156FC6"/>
    <w:rsid w:val="11366ED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065285"/>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B71B24"/>
    <w:rsid w:val="15E63361"/>
    <w:rsid w:val="160B0227"/>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BBE4697"/>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876CA0"/>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C64455"/>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0F46F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9FA4AED"/>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E173684"/>
    <w:rsid w:val="2E1751F9"/>
    <w:rsid w:val="2E6A704D"/>
    <w:rsid w:val="2E8A6255"/>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116EA7"/>
    <w:rsid w:val="312F0338"/>
    <w:rsid w:val="316B2857"/>
    <w:rsid w:val="31832D29"/>
    <w:rsid w:val="319D5339"/>
    <w:rsid w:val="319F2F47"/>
    <w:rsid w:val="31A974F8"/>
    <w:rsid w:val="31D20CDE"/>
    <w:rsid w:val="31F37E23"/>
    <w:rsid w:val="31FE689A"/>
    <w:rsid w:val="32223DC6"/>
    <w:rsid w:val="325A02A1"/>
    <w:rsid w:val="32827D75"/>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6925DA"/>
    <w:rsid w:val="34753860"/>
    <w:rsid w:val="34A61339"/>
    <w:rsid w:val="34CC3006"/>
    <w:rsid w:val="34F3793E"/>
    <w:rsid w:val="353C59B9"/>
    <w:rsid w:val="35574E9C"/>
    <w:rsid w:val="35712E34"/>
    <w:rsid w:val="35C10F67"/>
    <w:rsid w:val="35ED793B"/>
    <w:rsid w:val="35F84740"/>
    <w:rsid w:val="36383125"/>
    <w:rsid w:val="366C082D"/>
    <w:rsid w:val="368C388A"/>
    <w:rsid w:val="36C90DD1"/>
    <w:rsid w:val="37335AE2"/>
    <w:rsid w:val="374634AB"/>
    <w:rsid w:val="374B6987"/>
    <w:rsid w:val="37704489"/>
    <w:rsid w:val="37710026"/>
    <w:rsid w:val="37925427"/>
    <w:rsid w:val="37A55DCC"/>
    <w:rsid w:val="37CA04FF"/>
    <w:rsid w:val="37D30771"/>
    <w:rsid w:val="37EC0BB8"/>
    <w:rsid w:val="38995839"/>
    <w:rsid w:val="39265074"/>
    <w:rsid w:val="392B274A"/>
    <w:rsid w:val="394C4C39"/>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DD86A9B"/>
    <w:rsid w:val="3E044CAE"/>
    <w:rsid w:val="3E12201C"/>
    <w:rsid w:val="3E427218"/>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5014AB"/>
    <w:rsid w:val="44A446C0"/>
    <w:rsid w:val="44CE660D"/>
    <w:rsid w:val="454F0B76"/>
    <w:rsid w:val="45756C6D"/>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0703F1"/>
    <w:rsid w:val="471B3499"/>
    <w:rsid w:val="4730142A"/>
    <w:rsid w:val="474608B5"/>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9B43F1"/>
    <w:rsid w:val="4BB92D8E"/>
    <w:rsid w:val="4BD07B58"/>
    <w:rsid w:val="4BE87BA5"/>
    <w:rsid w:val="4C3176AB"/>
    <w:rsid w:val="4C415DC1"/>
    <w:rsid w:val="4C6E278E"/>
    <w:rsid w:val="4CFF538B"/>
    <w:rsid w:val="4D4D7800"/>
    <w:rsid w:val="4D7251FF"/>
    <w:rsid w:val="4DDF3E76"/>
    <w:rsid w:val="4DE50C0B"/>
    <w:rsid w:val="4E11105D"/>
    <w:rsid w:val="4E16225A"/>
    <w:rsid w:val="4E253AB8"/>
    <w:rsid w:val="4E472C92"/>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4F368F"/>
    <w:rsid w:val="557D5B60"/>
    <w:rsid w:val="55834A19"/>
    <w:rsid w:val="55F27046"/>
    <w:rsid w:val="55F526C6"/>
    <w:rsid w:val="56066DC9"/>
    <w:rsid w:val="564E1228"/>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750691"/>
    <w:rsid w:val="58AB575D"/>
    <w:rsid w:val="58BC728D"/>
    <w:rsid w:val="58DD0763"/>
    <w:rsid w:val="59445F91"/>
    <w:rsid w:val="59815208"/>
    <w:rsid w:val="59F001A4"/>
    <w:rsid w:val="5A1E2DE7"/>
    <w:rsid w:val="5A20427A"/>
    <w:rsid w:val="5A395FB6"/>
    <w:rsid w:val="5A436A2D"/>
    <w:rsid w:val="5A767910"/>
    <w:rsid w:val="5AEB4FF2"/>
    <w:rsid w:val="5B0A066E"/>
    <w:rsid w:val="5B123FA7"/>
    <w:rsid w:val="5B21789B"/>
    <w:rsid w:val="5B5E18A4"/>
    <w:rsid w:val="5B613C0E"/>
    <w:rsid w:val="5B955E96"/>
    <w:rsid w:val="5B9B3675"/>
    <w:rsid w:val="5BA26571"/>
    <w:rsid w:val="5BCA6564"/>
    <w:rsid w:val="5BD66D67"/>
    <w:rsid w:val="5C107D40"/>
    <w:rsid w:val="5C1E3775"/>
    <w:rsid w:val="5C381264"/>
    <w:rsid w:val="5C672644"/>
    <w:rsid w:val="5C8132C7"/>
    <w:rsid w:val="5CA23A25"/>
    <w:rsid w:val="5CB00EB7"/>
    <w:rsid w:val="5CC26330"/>
    <w:rsid w:val="5CD67F41"/>
    <w:rsid w:val="5CDF760E"/>
    <w:rsid w:val="5CF93D1F"/>
    <w:rsid w:val="5D017C51"/>
    <w:rsid w:val="5D4165A3"/>
    <w:rsid w:val="5D463591"/>
    <w:rsid w:val="5D4F2A78"/>
    <w:rsid w:val="5D5A5DCC"/>
    <w:rsid w:val="5D792AE4"/>
    <w:rsid w:val="5DC25C67"/>
    <w:rsid w:val="5DD97571"/>
    <w:rsid w:val="5E2F58D3"/>
    <w:rsid w:val="5E5A06FD"/>
    <w:rsid w:val="5E9342EC"/>
    <w:rsid w:val="5EA27CF7"/>
    <w:rsid w:val="5EBC3C1E"/>
    <w:rsid w:val="5F013C4C"/>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46652C"/>
    <w:rsid w:val="626343A0"/>
    <w:rsid w:val="626736F9"/>
    <w:rsid w:val="626B4082"/>
    <w:rsid w:val="626B6B00"/>
    <w:rsid w:val="628E1BE9"/>
    <w:rsid w:val="62D06FF9"/>
    <w:rsid w:val="62D765EB"/>
    <w:rsid w:val="636B22CC"/>
    <w:rsid w:val="636C198B"/>
    <w:rsid w:val="63B65AC7"/>
    <w:rsid w:val="63D7428B"/>
    <w:rsid w:val="640C4C0D"/>
    <w:rsid w:val="642D54CF"/>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8A1ED0"/>
    <w:rsid w:val="679F2FF2"/>
    <w:rsid w:val="67AB61F8"/>
    <w:rsid w:val="67BA7741"/>
    <w:rsid w:val="67BD2A93"/>
    <w:rsid w:val="67E6170C"/>
    <w:rsid w:val="680D0CA5"/>
    <w:rsid w:val="68A45648"/>
    <w:rsid w:val="68A5668C"/>
    <w:rsid w:val="68B20836"/>
    <w:rsid w:val="68D27297"/>
    <w:rsid w:val="6911241F"/>
    <w:rsid w:val="695E7EED"/>
    <w:rsid w:val="69B67115"/>
    <w:rsid w:val="69B82DF4"/>
    <w:rsid w:val="69EE20B7"/>
    <w:rsid w:val="69EF53B4"/>
    <w:rsid w:val="6A126DD2"/>
    <w:rsid w:val="6A420E56"/>
    <w:rsid w:val="6A924E32"/>
    <w:rsid w:val="6A94008C"/>
    <w:rsid w:val="6A9E4A45"/>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0333AE"/>
    <w:rsid w:val="6D135E16"/>
    <w:rsid w:val="6D1C168A"/>
    <w:rsid w:val="6D282CEC"/>
    <w:rsid w:val="6D347A31"/>
    <w:rsid w:val="6D3668DD"/>
    <w:rsid w:val="6D471CAB"/>
    <w:rsid w:val="6DAC0977"/>
    <w:rsid w:val="6DAF0D17"/>
    <w:rsid w:val="6DB941BD"/>
    <w:rsid w:val="6DC60F63"/>
    <w:rsid w:val="6DEF6D4C"/>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100CA2"/>
    <w:rsid w:val="70393572"/>
    <w:rsid w:val="70437390"/>
    <w:rsid w:val="707A7026"/>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CF00B7"/>
    <w:rsid w:val="72D11D5C"/>
    <w:rsid w:val="72E85DAD"/>
    <w:rsid w:val="72F0704C"/>
    <w:rsid w:val="732303D9"/>
    <w:rsid w:val="73532CC9"/>
    <w:rsid w:val="736F4591"/>
    <w:rsid w:val="73993FFB"/>
    <w:rsid w:val="73D37E0A"/>
    <w:rsid w:val="73D73D11"/>
    <w:rsid w:val="73D937EE"/>
    <w:rsid w:val="744975DD"/>
    <w:rsid w:val="746920A5"/>
    <w:rsid w:val="74CB1EDB"/>
    <w:rsid w:val="74DE73F5"/>
    <w:rsid w:val="751E77AF"/>
    <w:rsid w:val="75D07F8B"/>
    <w:rsid w:val="75EE5669"/>
    <w:rsid w:val="76957051"/>
    <w:rsid w:val="76966F18"/>
    <w:rsid w:val="76BD4232"/>
    <w:rsid w:val="76C10199"/>
    <w:rsid w:val="76C57BCB"/>
    <w:rsid w:val="76F927CD"/>
    <w:rsid w:val="773B2934"/>
    <w:rsid w:val="773E064E"/>
    <w:rsid w:val="774E1211"/>
    <w:rsid w:val="777B71D8"/>
    <w:rsid w:val="77A54D53"/>
    <w:rsid w:val="77D75F2B"/>
    <w:rsid w:val="77FC6767"/>
    <w:rsid w:val="781A0BEC"/>
    <w:rsid w:val="78202415"/>
    <w:rsid w:val="78213FC9"/>
    <w:rsid w:val="78513353"/>
    <w:rsid w:val="78701D9C"/>
    <w:rsid w:val="789B4D29"/>
    <w:rsid w:val="78FA0671"/>
    <w:rsid w:val="793A634F"/>
    <w:rsid w:val="79515378"/>
    <w:rsid w:val="798635EB"/>
    <w:rsid w:val="79A5750A"/>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29438A"/>
    <w:rsid w:val="7C456120"/>
    <w:rsid w:val="7C5728ED"/>
    <w:rsid w:val="7C82779C"/>
    <w:rsid w:val="7C9408F4"/>
    <w:rsid w:val="7CB4634A"/>
    <w:rsid w:val="7CB83597"/>
    <w:rsid w:val="7CB90CC2"/>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F34773"/>
    <w:rsid w:val="7F05364F"/>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DFE460DC"/>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4"/>
    <w:link w:val="68"/>
    <w:qFormat/>
    <w:uiPriority w:val="0"/>
    <w:pPr>
      <w:ind w:firstLine="420" w:firstLineChars="200"/>
    </w:pPr>
  </w:style>
  <w:style w:type="paragraph" w:styleId="14">
    <w:name w:val="Balloon Text"/>
    <w:basedOn w:val="1"/>
    <w:link w:val="79"/>
    <w:qFormat/>
    <w:uiPriority w:val="0"/>
    <w:rPr>
      <w:kern w:val="0"/>
      <w:sz w:val="18"/>
      <w:szCs w:val="18"/>
    </w:r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Indent"/>
    <w:basedOn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6"/>
    <w:next w:val="16"/>
    <w:link w:val="67"/>
    <w:qFormat/>
    <w:uiPriority w:val="0"/>
    <w:rPr>
      <w:b/>
      <w:bCs/>
    </w:rPr>
  </w:style>
  <w:style w:type="paragraph" w:styleId="41">
    <w:name w:val="Body Text First Indent 2"/>
    <w:basedOn w:val="18"/>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6"/>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14"/>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40</Pages>
  <Words>11407</Words>
  <Characters>11937</Characters>
  <Lines>116</Lines>
  <Paragraphs>32</Paragraphs>
  <TotalTime>1</TotalTime>
  <ScaleCrop>false</ScaleCrop>
  <LinksUpToDate>false</LinksUpToDate>
  <CharactersWithSpaces>12709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Kevin</cp:lastModifiedBy>
  <cp:lastPrinted>2022-06-07T10:51:00Z</cp:lastPrinted>
  <dcterms:modified xsi:type="dcterms:W3CDTF">2025-07-14T01:31:50Z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34841E2AE7AA41DCA3A76D2FCEF16F3D_13</vt:lpwstr>
  </property>
  <property fmtid="{D5CDD505-2E9C-101B-9397-08002B2CF9AE}" pid="4" name="KSOTemplateDocerSaveRecord">
    <vt:lpwstr>eyJoZGlkIjoiYmVmM2YyMGI5NzFhNjA2NzYzOTM4MzYyYzYxYjM3MTciLCJ1c2VySWQiOiI0MjM3NjAxODUifQ==</vt:lpwstr>
  </property>
</Properties>
</file>