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B6DC1">
      <w:pPr>
        <w:wordWrap/>
        <w:topLinePunct w:val="0"/>
        <w:spacing w:line="360" w:lineRule="auto"/>
        <w:ind w:firstLine="0" w:firstLineChars="0"/>
        <w:jc w:val="center"/>
        <w:rPr>
          <w:b/>
          <w:bCs/>
          <w:sz w:val="48"/>
          <w:szCs w:val="48"/>
        </w:rPr>
      </w:pPr>
    </w:p>
    <w:p w14:paraId="263E61F4">
      <w:pPr>
        <w:wordWrap/>
        <w:topLinePunct w:val="0"/>
        <w:spacing w:line="360" w:lineRule="auto"/>
        <w:ind w:firstLine="0" w:firstLineChars="0"/>
        <w:jc w:val="center"/>
        <w:rPr>
          <w:b/>
          <w:bCs/>
          <w:sz w:val="48"/>
          <w:szCs w:val="48"/>
        </w:rPr>
      </w:pPr>
      <w:r>
        <w:rPr>
          <w:rFonts w:hint="eastAsia"/>
          <w:b/>
          <w:bCs/>
          <w:sz w:val="48"/>
          <w:szCs w:val="48"/>
        </w:rPr>
        <w:t>重庆公路养护工程（集团）有限公司</w:t>
      </w:r>
    </w:p>
    <w:p w14:paraId="42408324">
      <w:pPr>
        <w:wordWrap/>
        <w:topLinePunct w:val="0"/>
        <w:spacing w:line="360" w:lineRule="auto"/>
        <w:ind w:firstLine="0" w:firstLineChars="0"/>
        <w:jc w:val="center"/>
        <w:rPr>
          <w:sz w:val="48"/>
          <w:szCs w:val="48"/>
        </w:rPr>
      </w:pPr>
    </w:p>
    <w:p w14:paraId="3FF3CA14">
      <w:pPr>
        <w:wordWrap/>
        <w:topLinePunct w:val="0"/>
        <w:spacing w:line="360" w:lineRule="auto"/>
        <w:ind w:firstLine="0" w:firstLineChars="0"/>
        <w:jc w:val="center"/>
        <w:rPr>
          <w:b/>
          <w:bCs/>
          <w:sz w:val="48"/>
          <w:szCs w:val="48"/>
        </w:rPr>
      </w:pPr>
      <w:r>
        <w:rPr>
          <w:rFonts w:hint="eastAsia"/>
          <w:b/>
          <w:bCs/>
          <w:sz w:val="48"/>
          <w:szCs w:val="48"/>
        </w:rPr>
        <w:t>2025年路面专项工程交通组织咨询服务</w:t>
      </w:r>
    </w:p>
    <w:p w14:paraId="069C3E7B">
      <w:pPr>
        <w:pStyle w:val="18"/>
        <w:jc w:val="center"/>
        <w:rPr>
          <w:rFonts w:ascii="Times New Roman" w:eastAsia="宋体" w:cs="Times New Roman"/>
          <w:b/>
          <w:bCs/>
          <w:color w:val="auto"/>
          <w:kern w:val="2"/>
          <w:sz w:val="48"/>
          <w:szCs w:val="48"/>
        </w:rPr>
      </w:pPr>
    </w:p>
    <w:p w14:paraId="3315A6A9">
      <w:pPr>
        <w:pStyle w:val="18"/>
        <w:rPr>
          <w:b/>
          <w:bCs/>
          <w:sz w:val="48"/>
          <w:szCs w:val="48"/>
        </w:rPr>
      </w:pPr>
    </w:p>
    <w:p w14:paraId="60A78127">
      <w:pPr>
        <w:pStyle w:val="18"/>
        <w:rPr>
          <w:b/>
          <w:bCs/>
          <w:sz w:val="48"/>
          <w:szCs w:val="48"/>
        </w:rPr>
      </w:pPr>
    </w:p>
    <w:p w14:paraId="15129441">
      <w:pPr>
        <w:pStyle w:val="18"/>
        <w:rPr>
          <w:b/>
          <w:bCs/>
          <w:sz w:val="48"/>
          <w:szCs w:val="48"/>
        </w:rPr>
      </w:pPr>
    </w:p>
    <w:p w14:paraId="04CE4859">
      <w:pPr>
        <w:pStyle w:val="18"/>
        <w:spacing w:line="360" w:lineRule="auto"/>
        <w:jc w:val="center"/>
        <w:rPr>
          <w:rFonts w:hint="eastAsia" w:ascii="宋体" w:hAnsi="宋体" w:eastAsia="宋体" w:cs="宋体"/>
          <w:b/>
          <w:bCs/>
          <w:sz w:val="84"/>
          <w:szCs w:val="84"/>
        </w:rPr>
      </w:pPr>
      <w:r>
        <w:rPr>
          <w:rFonts w:hint="eastAsia" w:ascii="宋体" w:hAnsi="宋体" w:eastAsia="宋体" w:cs="宋体"/>
          <w:b/>
          <w:bCs/>
          <w:sz w:val="84"/>
          <w:szCs w:val="84"/>
        </w:rPr>
        <w:t>竞争性比选文件</w:t>
      </w:r>
    </w:p>
    <w:p w14:paraId="78BA43CA">
      <w:pPr>
        <w:pStyle w:val="18"/>
        <w:jc w:val="center"/>
        <w:rPr>
          <w:rFonts w:hint="eastAsia" w:ascii="宋体" w:hAnsi="宋体" w:eastAsia="宋体" w:cs="宋体"/>
          <w:b/>
          <w:bCs/>
          <w:sz w:val="84"/>
          <w:szCs w:val="84"/>
        </w:rPr>
      </w:pPr>
    </w:p>
    <w:p w14:paraId="1CC784D6">
      <w:pPr>
        <w:pStyle w:val="18"/>
        <w:jc w:val="center"/>
        <w:rPr>
          <w:rFonts w:hint="eastAsia" w:ascii="宋体" w:hAnsi="宋体" w:eastAsia="宋体" w:cs="宋体"/>
          <w:b/>
          <w:bCs/>
          <w:sz w:val="84"/>
          <w:szCs w:val="84"/>
        </w:rPr>
      </w:pPr>
    </w:p>
    <w:p w14:paraId="2D3FC150">
      <w:pPr>
        <w:pStyle w:val="18"/>
        <w:jc w:val="center"/>
        <w:rPr>
          <w:rFonts w:hint="eastAsia" w:ascii="宋体" w:hAnsi="宋体" w:eastAsia="宋体" w:cs="宋体"/>
          <w:b/>
          <w:bCs/>
          <w:sz w:val="84"/>
          <w:szCs w:val="84"/>
        </w:rPr>
      </w:pPr>
    </w:p>
    <w:p w14:paraId="01E7DD0D">
      <w:pPr>
        <w:pStyle w:val="18"/>
        <w:jc w:val="both"/>
        <w:rPr>
          <w:rFonts w:hint="eastAsia" w:ascii="宋体" w:hAnsi="宋体" w:eastAsia="宋体" w:cs="宋体"/>
          <w:b/>
          <w:bCs/>
          <w:sz w:val="84"/>
          <w:szCs w:val="84"/>
        </w:rPr>
      </w:pPr>
    </w:p>
    <w:p w14:paraId="3717FE09">
      <w:pPr>
        <w:pStyle w:val="18"/>
        <w:jc w:val="center"/>
        <w:rPr>
          <w:rFonts w:hint="eastAsia" w:ascii="宋体" w:hAnsi="宋体" w:eastAsia="宋体" w:cs="宋体"/>
          <w:b/>
          <w:bCs/>
          <w:sz w:val="32"/>
          <w:szCs w:val="32"/>
        </w:rPr>
      </w:pPr>
      <w:r>
        <w:rPr>
          <w:rFonts w:hint="eastAsia" w:ascii="宋体" w:hAnsi="宋体" w:eastAsia="宋体" w:cs="宋体"/>
          <w:b/>
          <w:bCs/>
          <w:sz w:val="32"/>
          <w:szCs w:val="32"/>
        </w:rPr>
        <w:t>重庆公路养护工程（集团）有限公司</w:t>
      </w:r>
    </w:p>
    <w:p w14:paraId="2E796F99">
      <w:pPr>
        <w:pStyle w:val="18"/>
        <w:jc w:val="center"/>
        <w:rPr>
          <w:rFonts w:hint="eastAsia" w:ascii="宋体" w:hAnsi="宋体" w:eastAsia="宋体" w:cs="宋体"/>
          <w:b/>
          <w:bCs/>
          <w:sz w:val="32"/>
          <w:szCs w:val="32"/>
        </w:rPr>
        <w:sectPr>
          <w:headerReference r:id="rId5" w:type="default"/>
          <w:footerReference r:id="rId6" w:type="default"/>
          <w:pgSz w:w="11906" w:h="16838"/>
          <w:pgMar w:top="1134" w:right="1134" w:bottom="1134" w:left="1134" w:header="794" w:footer="794" w:gutter="0"/>
          <w:cols w:space="720" w:num="1"/>
          <w:docGrid w:type="lines" w:linePitch="312" w:charSpace="0"/>
        </w:sectPr>
      </w:pPr>
      <w:r>
        <w:rPr>
          <w:rFonts w:hint="eastAsia" w:ascii="宋体" w:hAnsi="宋体" w:eastAsia="宋体" w:cs="宋体"/>
          <w:b/>
          <w:bCs/>
          <w:sz w:val="32"/>
          <w:szCs w:val="32"/>
        </w:rPr>
        <w:t>2025年7月</w:t>
      </w:r>
    </w:p>
    <w:p w14:paraId="03BB0046">
      <w:pPr>
        <w:pStyle w:val="18"/>
        <w:jc w:val="center"/>
        <w:rPr>
          <w:rFonts w:hint="eastAsia" w:ascii="宋体" w:hAnsi="宋体" w:eastAsia="宋体" w:cs="宋体"/>
          <w:b/>
          <w:bCs/>
          <w:sz w:val="36"/>
          <w:szCs w:val="36"/>
        </w:rPr>
      </w:pPr>
      <w:r>
        <w:rPr>
          <w:rFonts w:hint="eastAsia" w:ascii="宋体" w:hAnsi="宋体" w:eastAsia="宋体" w:cs="宋体"/>
          <w:b/>
          <w:bCs/>
          <w:sz w:val="36"/>
          <w:szCs w:val="36"/>
        </w:rPr>
        <w:t>重庆公路养护工程（集团）有限公司</w:t>
      </w:r>
    </w:p>
    <w:p w14:paraId="3806400B">
      <w:pPr>
        <w:pStyle w:val="18"/>
        <w:jc w:val="center"/>
        <w:rPr>
          <w:rFonts w:hint="eastAsia" w:ascii="宋体" w:hAnsi="宋体" w:eastAsia="宋体" w:cs="宋体"/>
          <w:b/>
          <w:bCs/>
          <w:sz w:val="36"/>
          <w:szCs w:val="36"/>
        </w:rPr>
      </w:pPr>
      <w:r>
        <w:rPr>
          <w:rFonts w:hint="eastAsia" w:ascii="宋体" w:hAnsi="宋体" w:eastAsia="宋体" w:cs="宋体"/>
          <w:b/>
          <w:bCs/>
          <w:sz w:val="36"/>
          <w:szCs w:val="36"/>
        </w:rPr>
        <w:t>2025年路面专项工程交通组织咨询服务比选</w:t>
      </w:r>
      <w:r>
        <w:rPr>
          <w:rFonts w:ascii="宋体" w:hAnsi="宋体" w:eastAsia="宋体" w:cs="宋体"/>
          <w:b/>
          <w:bCs/>
          <w:sz w:val="36"/>
          <w:szCs w:val="36"/>
        </w:rPr>
        <w:t>公告</w:t>
      </w:r>
    </w:p>
    <w:p w14:paraId="62D3ABD4">
      <w:pPr>
        <w:pStyle w:val="18"/>
        <w:spacing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本项目</w:t>
      </w:r>
      <w:r>
        <w:rPr>
          <w:rFonts w:hint="eastAsia" w:asciiTheme="minorEastAsia" w:hAnsiTheme="minorEastAsia" w:eastAsiaTheme="minorEastAsia" w:cstheme="minorEastAsia"/>
          <w:b/>
          <w:bCs/>
          <w:color w:val="auto"/>
          <w:kern w:val="2"/>
          <w:u w:val="single"/>
        </w:rPr>
        <w:t>2025年路面专项工程交通组织咨询服务</w:t>
      </w:r>
      <w:r>
        <w:rPr>
          <w:rFonts w:hint="eastAsia" w:asciiTheme="minorEastAsia" w:hAnsiTheme="minorEastAsia" w:eastAsiaTheme="minorEastAsia" w:cstheme="minorEastAsia"/>
          <w:color w:val="auto"/>
        </w:rPr>
        <w:t>准备组织实施，重庆公路养护工程（集团）有限公司计划以</w:t>
      </w:r>
      <w:r>
        <w:rPr>
          <w:rFonts w:hint="eastAsia" w:asciiTheme="minorEastAsia" w:hAnsiTheme="minorEastAsia" w:eastAsiaTheme="minorEastAsia" w:cstheme="minorEastAsia"/>
          <w:b/>
          <w:bCs/>
          <w:color w:val="auto"/>
          <w:u w:val="single"/>
        </w:rPr>
        <w:t>比选方式</w:t>
      </w:r>
      <w:r>
        <w:rPr>
          <w:rFonts w:hint="eastAsia" w:asciiTheme="minorEastAsia" w:hAnsiTheme="minorEastAsia" w:eastAsiaTheme="minorEastAsia" w:cstheme="minorEastAsia"/>
          <w:color w:val="auto"/>
        </w:rPr>
        <w:t>确定成交单位，具体情况如下：</w:t>
      </w:r>
    </w:p>
    <w:p w14:paraId="6D73C8F1">
      <w:pPr>
        <w:pStyle w:val="3"/>
        <w:spacing w:line="360" w:lineRule="auto"/>
      </w:pPr>
      <w:r>
        <w:rPr>
          <w:rFonts w:hint="eastAsia"/>
        </w:rPr>
        <w:t>一、比选范围</w:t>
      </w:r>
    </w:p>
    <w:p w14:paraId="0DF0B918">
      <w:pPr>
        <w:pStyle w:val="3"/>
        <w:spacing w:line="360" w:lineRule="auto"/>
        <w:ind w:firstLine="482" w:firstLineChars="200"/>
        <w:rPr>
          <w:bCs/>
        </w:rPr>
      </w:pPr>
      <w:r>
        <w:rPr>
          <w:rFonts w:hint="eastAsia"/>
          <w:bCs/>
        </w:rPr>
        <w:t>1、项目概况</w:t>
      </w:r>
    </w:p>
    <w:p w14:paraId="66F984CA">
      <w:pPr>
        <w:pStyle w:val="3"/>
        <w:spacing w:line="360" w:lineRule="auto"/>
        <w:ind w:firstLine="480" w:firstLineChars="200"/>
        <w:rPr>
          <w:b w:val="0"/>
        </w:rPr>
      </w:pPr>
      <w:r>
        <w:rPr>
          <w:rFonts w:hint="eastAsia"/>
          <w:b w:val="0"/>
        </w:rPr>
        <w:t>G5001重庆绕城高速公路：G5001绕城高速西段于2008年12月建成通车，东、南、北路段于2009年12月建成通车，全长 187.292 公里（起讫桩号：K0000+000～K0187+292）。主线双向六车道，采用沥青路面，共有大小桥梁 346 座、隧道 22 座、涵洞 434 座。G5001绕城高速自通车以来受交通量和车辆轴载逐渐增长、车辆超载、原路面结构、重庆高温雨的气候条件等因素的影响，路面发生了不同程度的破坏。病害类型主要包括：路面磨损、横、纵向裂缝、车辙、跳车等。路面病害不但对道路的行车安全及行车舒适性造成了严重影响，而且病害交互作用导致路面结构性能衰减速度进一步加快，如不及时维修，将会导致公路财产的进一步损失。本项目将对部分路面存在车辙、跳车及抗滑不足病害采取铣刨重铺施工进行修复，并恢复路面标线。</w:t>
      </w:r>
    </w:p>
    <w:p w14:paraId="0D6826A2">
      <w:pPr>
        <w:ind w:firstLine="480"/>
      </w:pPr>
      <w:r>
        <w:rPr>
          <w:rFonts w:hint="eastAsia"/>
        </w:rPr>
        <w:t>G5013渝蓉高速公路：</w:t>
      </w:r>
      <w:r>
        <w:t>G50</w:t>
      </w:r>
      <w:r>
        <w:rPr>
          <w:rFonts w:hint="eastAsia"/>
        </w:rPr>
        <w:t>13</w:t>
      </w:r>
      <w:r>
        <w:t>渝蓉高速公路是G50沪渝高速联络线，是连接重庆市和四川省成都市的第三条高速公路。渝蓉高速公路东起于重庆沙坪坝区陈家桥街道，经重庆绕城高速公路G5001，连接重庆璧山区、铜梁区、大足区后，接入渝川界。其中，重庆段长78.6公里，桩号范围为K0+000～K78+600，于2010年开工，2013年12月25日正式通车。本次施工内容为G50</w:t>
      </w:r>
      <w:r>
        <w:rPr>
          <w:rFonts w:hint="eastAsia"/>
        </w:rPr>
        <w:t>13</w:t>
      </w:r>
      <w:r>
        <w:t>渝蓉高速公路K57+000～K67+000段路面病害维修处治，主要对裂缝、坑槽、跳车、车辙等路段进行维修处治。</w:t>
      </w:r>
    </w:p>
    <w:p w14:paraId="6F9EC1E2">
      <w:pPr>
        <w:pStyle w:val="3"/>
        <w:spacing w:line="360" w:lineRule="auto"/>
        <w:ind w:firstLine="480" w:firstLineChars="200"/>
        <w:rPr>
          <w:b w:val="0"/>
          <w:kern w:val="2"/>
        </w:rPr>
      </w:pPr>
      <w:r>
        <w:rPr>
          <w:rFonts w:hint="eastAsia"/>
          <w:b w:val="0"/>
          <w:kern w:val="2"/>
        </w:rPr>
        <w:t>长万高速公路：重庆长寿至万州高速公路，是交通部“九五”规划中“两纵两横”之沪蓉公路的一段。长万高速公路全长约181公里，起自重庆长寿区桃花街，经垫江、梁平，止于万州区青杠磅。长万高速公路于太平立交作为分界，长寿至太平立交为长太段，属G50沪渝高速；太平立交至万州为太万段，属G42沪蓉高速。本项目主要施工内容如下：G42K1555+000～K1618+000、G50K1650+000～K1701+000段双向夜间施工；G42K1555+000～K1618+000段双向按照要求选择合适路段占用第二车道及应急车道夜间施工机械设备停放；G50K1650+000～K1701+000段双向按照要求选择合适路段占用第二车道及应急车道夜间施工机械设备停放。</w:t>
      </w:r>
    </w:p>
    <w:p w14:paraId="3880DB4F">
      <w:pPr>
        <w:ind w:firstLine="480"/>
      </w:pPr>
      <w:r>
        <w:rPr>
          <w:rFonts w:hint="eastAsia"/>
        </w:rPr>
        <w:t>渝湘高速公路：重庆到湖南长沙的高速路，是国家高速公路网包头—茂名高速公路G65（简称包茂高速）的组成部分。渝湘高速公路起于巴南界石，经南川、彭水、黔江、酉阳、秀山等区县，最后到达湖南长沙，全长848公里，其中重庆段413.6公里。本次方案针对渝湘高速公路K222+000～K242+000、K1751+000～K1886+000、K1932+000～K2000+000段渝湘高速公路路面维修处治工程施工机具夜间停放提出交通组织方案。</w:t>
      </w:r>
    </w:p>
    <w:p w14:paraId="426A483B">
      <w:pPr>
        <w:pStyle w:val="3"/>
        <w:spacing w:line="360" w:lineRule="auto"/>
        <w:ind w:firstLine="480" w:firstLineChars="200"/>
        <w:rPr>
          <w:b w:val="0"/>
        </w:rPr>
      </w:pPr>
      <w:r>
        <w:rPr>
          <w:rFonts w:hint="eastAsia"/>
          <w:b w:val="0"/>
        </w:rPr>
        <w:t>涉及市交巡警总队、高速公路支队、地方道路支队和各辖区大队的交通组织方案评审工作，根据交巡警对该路段施工作业规范性管理要求，为保障高速公路的施工作业安全，保障项目施工工期，降低高速公路施工作业对社会车辆通行影响，现委托具有相关资质的单位完成G5001绕城高速全线、G5013渝蓉高速公路（K57+000～K67+000)、长万高速公路（K1555+000～K1701+000）、渝湘高速公路路面修复养护工程交通组织安全咨询服务。</w:t>
      </w:r>
    </w:p>
    <w:p w14:paraId="0261D3CF">
      <w:pPr>
        <w:pStyle w:val="3"/>
        <w:spacing w:line="360" w:lineRule="auto"/>
        <w:ind w:firstLine="482" w:firstLineChars="200"/>
      </w:pPr>
      <w:r>
        <w:rPr>
          <w:rFonts w:hint="eastAsia"/>
        </w:rPr>
        <w:t>2、咨询服务内容</w:t>
      </w:r>
    </w:p>
    <w:p w14:paraId="7E074D8A">
      <w:pPr>
        <w:pStyle w:val="3"/>
        <w:spacing w:line="360" w:lineRule="auto"/>
        <w:rPr>
          <w:b w:val="0"/>
          <w:bCs/>
        </w:rPr>
      </w:pPr>
      <w:r>
        <w:rPr>
          <w:rFonts w:hint="eastAsia"/>
          <w:b w:val="0"/>
          <w:bCs/>
        </w:rPr>
        <w:tab/>
      </w:r>
      <w:r>
        <w:rPr>
          <w:rFonts w:hint="eastAsia"/>
          <w:b w:val="0"/>
          <w:bCs/>
        </w:rPr>
        <w:t>包括但不限于以下工作内容（以交巡警要求为准）：</w:t>
      </w:r>
    </w:p>
    <w:p w14:paraId="7936A0D1">
      <w:pPr>
        <w:pStyle w:val="3"/>
        <w:spacing w:line="360" w:lineRule="auto"/>
        <w:ind w:firstLine="480" w:firstLineChars="200"/>
        <w:rPr>
          <w:b w:val="0"/>
          <w:bCs/>
        </w:rPr>
      </w:pPr>
      <w:r>
        <w:rPr>
          <w:rFonts w:hint="eastAsia"/>
          <w:b w:val="0"/>
          <w:bCs/>
        </w:rPr>
        <w:t>（1）施工期间交通运行情况评价，确定该工况下的通行服务等级；</w:t>
      </w:r>
    </w:p>
    <w:p w14:paraId="3FC4623E">
      <w:pPr>
        <w:pStyle w:val="3"/>
        <w:spacing w:line="360" w:lineRule="auto"/>
        <w:ind w:firstLine="480" w:firstLineChars="200"/>
        <w:rPr>
          <w:b w:val="0"/>
          <w:bCs/>
        </w:rPr>
      </w:pPr>
      <w:r>
        <w:rPr>
          <w:rFonts w:hint="eastAsia"/>
          <w:b w:val="0"/>
          <w:bCs/>
        </w:rPr>
        <w:t>（2）项目周边区域交通现状分析；</w:t>
      </w:r>
    </w:p>
    <w:p w14:paraId="6BF9C926">
      <w:pPr>
        <w:pStyle w:val="3"/>
        <w:spacing w:line="360" w:lineRule="auto"/>
        <w:ind w:firstLine="480" w:firstLineChars="200"/>
        <w:rPr>
          <w:b w:val="0"/>
          <w:bCs/>
        </w:rPr>
      </w:pPr>
      <w:r>
        <w:rPr>
          <w:rFonts w:hint="eastAsia"/>
          <w:b w:val="0"/>
          <w:bCs/>
        </w:rPr>
        <w:t>（3）编制交通管制应急预案；</w:t>
      </w:r>
    </w:p>
    <w:p w14:paraId="68A6B4D5">
      <w:pPr>
        <w:pStyle w:val="3"/>
        <w:spacing w:line="360" w:lineRule="auto"/>
        <w:ind w:firstLine="480" w:firstLineChars="200"/>
        <w:rPr>
          <w:b w:val="0"/>
          <w:bCs/>
        </w:rPr>
      </w:pPr>
      <w:r>
        <w:rPr>
          <w:rFonts w:hint="eastAsia"/>
          <w:b w:val="0"/>
          <w:bCs/>
        </w:rPr>
        <w:t>（4）编制施工期间交通组织方案；</w:t>
      </w:r>
    </w:p>
    <w:p w14:paraId="5E743D4C">
      <w:pPr>
        <w:pStyle w:val="3"/>
        <w:spacing w:line="360" w:lineRule="auto"/>
        <w:ind w:firstLine="480" w:firstLineChars="200"/>
        <w:rPr>
          <w:b w:val="0"/>
          <w:bCs/>
        </w:rPr>
      </w:pPr>
      <w:r>
        <w:rPr>
          <w:rFonts w:hint="eastAsia"/>
          <w:b w:val="0"/>
          <w:bCs/>
        </w:rPr>
        <w:t>（5）完善配套安全设施设计；</w:t>
      </w:r>
    </w:p>
    <w:p w14:paraId="2C60785C">
      <w:pPr>
        <w:pStyle w:val="3"/>
        <w:spacing w:line="360" w:lineRule="auto"/>
        <w:ind w:firstLine="480" w:firstLineChars="200"/>
        <w:rPr>
          <w:b w:val="0"/>
          <w:bCs/>
        </w:rPr>
      </w:pPr>
      <w:r>
        <w:rPr>
          <w:rFonts w:hint="eastAsia"/>
          <w:b w:val="0"/>
          <w:bCs/>
        </w:rPr>
        <w:t>（6）交通组织方案的报送、评审、批复；</w:t>
      </w:r>
    </w:p>
    <w:p w14:paraId="0BF61C8B">
      <w:pPr>
        <w:ind w:firstLine="480"/>
      </w:pPr>
      <w:r>
        <w:rPr>
          <w:rFonts w:hint="eastAsia"/>
        </w:rPr>
        <w:t>（7）协调、解决交通组织方案实施过程中的相关问题；</w:t>
      </w:r>
    </w:p>
    <w:p w14:paraId="7BB1C008">
      <w:pPr>
        <w:spacing w:line="360" w:lineRule="auto"/>
        <w:ind w:firstLine="480"/>
        <w:rPr>
          <w:bCs/>
        </w:rPr>
      </w:pPr>
      <w:r>
        <w:rPr>
          <w:rFonts w:hint="eastAsia"/>
        </w:rPr>
        <w:t>（8）</w:t>
      </w:r>
      <w:r>
        <w:rPr>
          <w:rFonts w:hint="eastAsia"/>
          <w:bCs/>
        </w:rPr>
        <w:t>与本项目交通组织相关的其它咨询服务。</w:t>
      </w:r>
    </w:p>
    <w:p w14:paraId="6D20F44E">
      <w:pPr>
        <w:spacing w:line="360" w:lineRule="auto"/>
        <w:ind w:firstLine="482"/>
        <w:rPr>
          <w:b/>
        </w:rPr>
      </w:pPr>
      <w:r>
        <w:rPr>
          <w:rFonts w:hint="eastAsia"/>
          <w:b/>
        </w:rPr>
        <w:t>3、合同期限</w:t>
      </w:r>
    </w:p>
    <w:p w14:paraId="244948DA">
      <w:pPr>
        <w:spacing w:line="360" w:lineRule="auto"/>
        <w:ind w:firstLine="480"/>
        <w:rPr>
          <w:rFonts w:hint="eastAsia" w:ascii="宋体" w:hAnsi="宋体" w:cs="宋体"/>
        </w:rPr>
      </w:pPr>
      <w:r>
        <w:rPr>
          <w:rFonts w:hint="eastAsia"/>
          <w:bCs/>
        </w:rPr>
        <w:t>自</w:t>
      </w:r>
      <w:r>
        <w:rPr>
          <w:rFonts w:hint="eastAsia" w:ascii="宋体" w:hAnsi="宋体" w:cs="宋体"/>
        </w:rPr>
        <w:t>合同生效之日起至2025年12月31日。</w:t>
      </w:r>
    </w:p>
    <w:p w14:paraId="2A7C980E">
      <w:pPr>
        <w:spacing w:line="360" w:lineRule="auto"/>
        <w:ind w:firstLine="482"/>
        <w:rPr>
          <w:b/>
        </w:rPr>
      </w:pPr>
      <w:r>
        <w:rPr>
          <w:rFonts w:hint="eastAsia"/>
          <w:b/>
        </w:rPr>
        <w:t>4、验收标准</w:t>
      </w:r>
    </w:p>
    <w:p w14:paraId="08E22828">
      <w:pPr>
        <w:spacing w:line="360" w:lineRule="auto"/>
        <w:ind w:firstLine="480"/>
      </w:pPr>
      <w:r>
        <w:t>1、</w:t>
      </w:r>
      <w:r>
        <w:rPr>
          <w:rFonts w:hint="eastAsia"/>
        </w:rPr>
        <w:t>投标人方</w:t>
      </w:r>
      <w:r>
        <w:t>须在</w:t>
      </w:r>
      <w:r>
        <w:rPr>
          <w:rFonts w:hint="eastAsia"/>
          <w:b/>
          <w:bCs/>
        </w:rPr>
        <w:t>比选人要求的时限内</w:t>
      </w:r>
      <w:r>
        <w:t>完成相关</w:t>
      </w:r>
      <w:r>
        <w:rPr>
          <w:rFonts w:hint="eastAsia"/>
        </w:rPr>
        <w:t>交通组织安全</w:t>
      </w:r>
      <w:r>
        <w:t>咨询</w:t>
      </w:r>
      <w:r>
        <w:rPr>
          <w:rFonts w:hint="eastAsia"/>
        </w:rPr>
        <w:t>服务，所提交的《交通组织方案（设计）》经</w:t>
      </w:r>
      <w:r>
        <w:t>公安交通管理部门审核通过</w:t>
      </w:r>
      <w:r>
        <w:rPr>
          <w:rFonts w:hint="eastAsia"/>
        </w:rPr>
        <w:t>并出具《道路施工作业实施意见表》</w:t>
      </w:r>
      <w:r>
        <w:t>。</w:t>
      </w:r>
      <w:r>
        <w:rPr>
          <w:rFonts w:hint="eastAsia"/>
        </w:rPr>
        <w:t>若投标人未在规定的时间内完成交通组织咨询服务及取得审批通过的《道路施工作业实施意见表》，投标人承担违约责任。</w:t>
      </w:r>
    </w:p>
    <w:p w14:paraId="672B3C8D">
      <w:pPr>
        <w:pStyle w:val="2"/>
        <w:ind w:firstLine="480"/>
      </w:pPr>
      <w:r>
        <w:rPr>
          <w:rFonts w:hint="eastAsia"/>
        </w:rPr>
        <w:t>2、若规定时限内未完成审批，</w:t>
      </w:r>
      <w:r>
        <w:t>每逾期1个</w:t>
      </w:r>
      <w:r>
        <w:rPr>
          <w:rFonts w:hint="eastAsia"/>
        </w:rPr>
        <w:t>自然</w:t>
      </w:r>
      <w:r>
        <w:t>日，按合同总金额的</w:t>
      </w:r>
      <w:r>
        <w:rPr>
          <w:rFonts w:hint="eastAsia"/>
        </w:rPr>
        <w:t>百分之十</w:t>
      </w:r>
      <w:r>
        <w:t>向</w:t>
      </w:r>
      <w:r>
        <w:rPr>
          <w:rFonts w:hint="eastAsia"/>
        </w:rPr>
        <w:t>比选人</w:t>
      </w:r>
      <w:r>
        <w:t>支付违约金</w:t>
      </w:r>
      <w:r>
        <w:rPr>
          <w:rFonts w:hint="eastAsia"/>
        </w:rPr>
        <w:t>，若因投标人未按时限要求完成审批给比选人造成损失的，比选人有权向投标人进行双倍索赔，并直接将投标人及其关联单位（含法人代表与委托代理人）一并拉入黑名单，不得参与重庆公路养护工程（集团）有限公司所有比选项目报价。</w:t>
      </w:r>
    </w:p>
    <w:p w14:paraId="00BEEC01">
      <w:pPr>
        <w:spacing w:line="360" w:lineRule="auto"/>
        <w:ind w:firstLine="480"/>
      </w:pPr>
      <w:r>
        <w:rPr>
          <w:rFonts w:hint="eastAsia"/>
        </w:rPr>
        <w:t>3</w:t>
      </w:r>
      <w:r>
        <w:t>、</w:t>
      </w:r>
      <w:r>
        <w:rPr>
          <w:rFonts w:hint="eastAsia"/>
        </w:rPr>
        <w:t>乙方向甲方</w:t>
      </w:r>
      <w:r>
        <w:t>提交</w:t>
      </w:r>
      <w:r>
        <w:rPr>
          <w:rFonts w:hint="eastAsia"/>
        </w:rPr>
        <w:t>经</w:t>
      </w:r>
      <w:r>
        <w:t>公安交通管理部门</w:t>
      </w:r>
      <w:r>
        <w:rPr>
          <w:rFonts w:hint="eastAsia"/>
        </w:rPr>
        <w:t>执法机构审核通过的《</w:t>
      </w:r>
      <w:r>
        <w:t>交通组织</w:t>
      </w:r>
      <w:r>
        <w:rPr>
          <w:rFonts w:hint="eastAsia"/>
        </w:rPr>
        <w:t>方案（</w:t>
      </w:r>
      <w:r>
        <w:t>设计</w:t>
      </w:r>
      <w:r>
        <w:rPr>
          <w:rFonts w:hint="eastAsia"/>
        </w:rPr>
        <w:t>）》</w:t>
      </w:r>
      <w:r>
        <w:t>彩印版</w:t>
      </w:r>
      <w:r>
        <w:rPr>
          <w:rFonts w:hint="eastAsia"/>
        </w:rPr>
        <w:t>3份。</w:t>
      </w:r>
    </w:p>
    <w:p w14:paraId="3770A2BA">
      <w:pPr>
        <w:spacing w:line="360" w:lineRule="auto"/>
        <w:ind w:firstLine="482"/>
        <w:rPr>
          <w:b/>
        </w:rPr>
      </w:pPr>
      <w:r>
        <w:rPr>
          <w:rFonts w:hint="eastAsia"/>
          <w:b/>
        </w:rPr>
        <w:t>5、工程量清单</w:t>
      </w:r>
    </w:p>
    <w:p w14:paraId="771F9488">
      <w:pPr>
        <w:pStyle w:val="3"/>
        <w:wordWrap/>
        <w:jc w:val="center"/>
      </w:pPr>
      <w:r>
        <w:rPr>
          <w:rFonts w:hint="eastAsia"/>
        </w:rPr>
        <w:t>交通组织咨询服务工程量清单</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25"/>
        <w:gridCol w:w="2607"/>
        <w:gridCol w:w="4016"/>
        <w:gridCol w:w="877"/>
        <w:gridCol w:w="1629"/>
      </w:tblGrid>
      <w:tr w14:paraId="33C441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368" w:type="pct"/>
            <w:tcBorders>
              <w:tl2br w:val="nil"/>
              <w:tr2bl w:val="nil"/>
            </w:tcBorders>
            <w:vAlign w:val="center"/>
          </w:tcPr>
          <w:p w14:paraId="2DA2D00A">
            <w:pPr>
              <w:wordWrap/>
              <w:topLinePunct w:val="0"/>
              <w:spacing w:line="240" w:lineRule="auto"/>
              <w:ind w:firstLine="0" w:firstLineChars="0"/>
              <w:jc w:val="center"/>
            </w:pPr>
            <w:r>
              <w:t>序号</w:t>
            </w:r>
          </w:p>
        </w:tc>
        <w:tc>
          <w:tcPr>
            <w:tcW w:w="1323" w:type="pct"/>
            <w:tcBorders>
              <w:tl2br w:val="nil"/>
              <w:tr2bl w:val="nil"/>
            </w:tcBorders>
            <w:vAlign w:val="center"/>
          </w:tcPr>
          <w:p w14:paraId="5A13E0B4">
            <w:pPr>
              <w:wordWrap/>
              <w:topLinePunct w:val="0"/>
              <w:spacing w:line="240" w:lineRule="auto"/>
              <w:ind w:firstLine="0" w:firstLineChars="0"/>
              <w:jc w:val="center"/>
            </w:pPr>
            <w:r>
              <w:rPr>
                <w:rFonts w:hint="eastAsia"/>
              </w:rPr>
              <w:t>名称</w:t>
            </w:r>
          </w:p>
        </w:tc>
        <w:tc>
          <w:tcPr>
            <w:tcW w:w="2038" w:type="pct"/>
            <w:tcBorders>
              <w:tl2br w:val="nil"/>
              <w:tr2bl w:val="nil"/>
            </w:tcBorders>
            <w:vAlign w:val="center"/>
          </w:tcPr>
          <w:p w14:paraId="47A047C3">
            <w:pPr>
              <w:wordWrap/>
              <w:topLinePunct w:val="0"/>
              <w:spacing w:line="240" w:lineRule="auto"/>
              <w:ind w:firstLine="0" w:firstLineChars="0"/>
              <w:jc w:val="center"/>
            </w:pPr>
            <w:r>
              <w:rPr>
                <w:rFonts w:hint="eastAsia"/>
              </w:rPr>
              <w:t>工作内容</w:t>
            </w:r>
          </w:p>
        </w:tc>
        <w:tc>
          <w:tcPr>
            <w:tcW w:w="445" w:type="pct"/>
            <w:tcBorders>
              <w:tl2br w:val="nil"/>
              <w:tr2bl w:val="nil"/>
            </w:tcBorders>
            <w:vAlign w:val="center"/>
          </w:tcPr>
          <w:p w14:paraId="6AEDCCAB">
            <w:pPr>
              <w:wordWrap/>
              <w:topLinePunct w:val="0"/>
              <w:spacing w:line="240" w:lineRule="auto"/>
              <w:ind w:firstLine="0" w:firstLineChars="0"/>
              <w:jc w:val="center"/>
            </w:pPr>
            <w:r>
              <w:rPr>
                <w:rFonts w:hint="eastAsia"/>
              </w:rPr>
              <w:t>单位</w:t>
            </w:r>
          </w:p>
        </w:tc>
        <w:tc>
          <w:tcPr>
            <w:tcW w:w="826" w:type="pct"/>
            <w:tcBorders>
              <w:tl2br w:val="nil"/>
              <w:tr2bl w:val="nil"/>
            </w:tcBorders>
            <w:vAlign w:val="center"/>
          </w:tcPr>
          <w:p w14:paraId="69A32B62">
            <w:pPr>
              <w:wordWrap/>
              <w:topLinePunct w:val="0"/>
              <w:spacing w:line="240" w:lineRule="auto"/>
              <w:ind w:firstLine="0" w:firstLineChars="0"/>
              <w:jc w:val="center"/>
            </w:pPr>
            <w:r>
              <w:rPr>
                <w:rFonts w:hint="eastAsia"/>
              </w:rPr>
              <w:t>备注</w:t>
            </w:r>
          </w:p>
        </w:tc>
      </w:tr>
      <w:tr w14:paraId="6E1B42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82" w:hRule="atLeast"/>
          <w:jc w:val="center"/>
        </w:trPr>
        <w:tc>
          <w:tcPr>
            <w:tcW w:w="368" w:type="pct"/>
            <w:tcBorders>
              <w:tl2br w:val="nil"/>
              <w:tr2bl w:val="nil"/>
            </w:tcBorders>
            <w:vAlign w:val="center"/>
          </w:tcPr>
          <w:p w14:paraId="0B1EBCE2">
            <w:pPr>
              <w:wordWrap/>
              <w:topLinePunct w:val="0"/>
              <w:spacing w:line="240" w:lineRule="auto"/>
              <w:ind w:firstLine="0" w:firstLineChars="0"/>
              <w:jc w:val="center"/>
            </w:pPr>
            <w:r>
              <w:t>1</w:t>
            </w:r>
          </w:p>
        </w:tc>
        <w:tc>
          <w:tcPr>
            <w:tcW w:w="1323" w:type="pct"/>
            <w:tcBorders>
              <w:tl2br w:val="nil"/>
              <w:tr2bl w:val="nil"/>
            </w:tcBorders>
            <w:vAlign w:val="center"/>
          </w:tcPr>
          <w:p w14:paraId="3540F388">
            <w:pPr>
              <w:wordWrap/>
              <w:topLinePunct w:val="0"/>
              <w:spacing w:line="240" w:lineRule="auto"/>
              <w:ind w:firstLine="0" w:firstLineChars="0"/>
              <w:jc w:val="center"/>
            </w:pPr>
            <w:r>
              <w:rPr>
                <w:rFonts w:hint="eastAsia"/>
              </w:rPr>
              <w:t>G5001绕城高速全线路面专项工程交</w:t>
            </w:r>
            <w:r>
              <w:rPr>
                <w:rFonts w:hint="eastAsia"/>
                <w:kern w:val="44"/>
              </w:rPr>
              <w:t>通组织</w:t>
            </w:r>
            <w:r>
              <w:rPr>
                <w:rFonts w:hint="eastAsia"/>
              </w:rPr>
              <w:t>咨询服务</w:t>
            </w:r>
          </w:p>
        </w:tc>
        <w:tc>
          <w:tcPr>
            <w:tcW w:w="2038" w:type="pct"/>
            <w:tcBorders>
              <w:tl2br w:val="nil"/>
              <w:tr2bl w:val="nil"/>
            </w:tcBorders>
            <w:shd w:val="clear" w:color="auto" w:fill="auto"/>
            <w:vAlign w:val="center"/>
          </w:tcPr>
          <w:p w14:paraId="17CB828C">
            <w:pPr>
              <w:wordWrap/>
              <w:topLinePunct w:val="0"/>
              <w:spacing w:line="240" w:lineRule="auto"/>
              <w:ind w:firstLine="0" w:firstLineChars="0"/>
              <w:jc w:val="center"/>
            </w:pPr>
            <w:r>
              <w:rPr>
                <w:rFonts w:hint="eastAsia"/>
              </w:rPr>
              <w:t>施工期间交通组织方案设计、施工后交通组织设计效果评价（包括但不限于现场流量数据调查、周边交通路网实地踏勘、航拍影像采集、清分车型统计等）</w:t>
            </w:r>
          </w:p>
        </w:tc>
        <w:tc>
          <w:tcPr>
            <w:tcW w:w="445" w:type="pct"/>
            <w:tcBorders>
              <w:tl2br w:val="nil"/>
              <w:tr2bl w:val="nil"/>
            </w:tcBorders>
            <w:vAlign w:val="center"/>
          </w:tcPr>
          <w:p w14:paraId="64E0FAE6">
            <w:pPr>
              <w:wordWrap/>
              <w:topLinePunct w:val="0"/>
              <w:spacing w:line="240" w:lineRule="auto"/>
              <w:ind w:firstLine="0" w:firstLineChars="0"/>
              <w:jc w:val="center"/>
              <w:rPr>
                <w:color w:val="000000"/>
              </w:rPr>
            </w:pPr>
            <w:r>
              <w:rPr>
                <w:rFonts w:hint="eastAsia"/>
                <w:color w:val="000000"/>
              </w:rPr>
              <w:t>项</w:t>
            </w:r>
          </w:p>
        </w:tc>
        <w:tc>
          <w:tcPr>
            <w:tcW w:w="826" w:type="pct"/>
            <w:vMerge w:val="restart"/>
            <w:tcBorders>
              <w:tl2br w:val="nil"/>
              <w:tr2bl w:val="nil"/>
            </w:tcBorders>
            <w:vAlign w:val="center"/>
          </w:tcPr>
          <w:p w14:paraId="58C73A7A">
            <w:pPr>
              <w:wordWrap/>
              <w:topLinePunct w:val="0"/>
              <w:spacing w:line="240" w:lineRule="auto"/>
              <w:ind w:firstLine="0" w:firstLineChars="0"/>
              <w:jc w:val="center"/>
              <w:rPr>
                <w:color w:val="000000"/>
              </w:rPr>
            </w:pPr>
            <w:r>
              <w:rPr>
                <w:rFonts w:hint="eastAsia"/>
              </w:rPr>
              <w:t>为完成高速公路路面修复养护工程所需的全部交通组织方案编制及评审等工作（包括但不限于高速公路正线、匝道等）</w:t>
            </w:r>
          </w:p>
        </w:tc>
      </w:tr>
      <w:tr w14:paraId="759106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1" w:hRule="atLeast"/>
          <w:jc w:val="center"/>
        </w:trPr>
        <w:tc>
          <w:tcPr>
            <w:tcW w:w="368" w:type="pct"/>
            <w:tcBorders>
              <w:tl2br w:val="nil"/>
              <w:tr2bl w:val="nil"/>
            </w:tcBorders>
            <w:vAlign w:val="center"/>
          </w:tcPr>
          <w:p w14:paraId="26E04138">
            <w:pPr>
              <w:wordWrap/>
              <w:topLinePunct w:val="0"/>
              <w:spacing w:line="240" w:lineRule="auto"/>
              <w:ind w:firstLine="0" w:firstLineChars="0"/>
              <w:jc w:val="center"/>
            </w:pPr>
            <w:r>
              <w:rPr>
                <w:rFonts w:hint="eastAsia"/>
              </w:rPr>
              <w:t>2</w:t>
            </w:r>
          </w:p>
        </w:tc>
        <w:tc>
          <w:tcPr>
            <w:tcW w:w="1323" w:type="pct"/>
            <w:tcBorders>
              <w:tl2br w:val="nil"/>
              <w:tr2bl w:val="nil"/>
            </w:tcBorders>
            <w:shd w:val="clear" w:color="auto" w:fill="auto"/>
            <w:vAlign w:val="center"/>
          </w:tcPr>
          <w:p w14:paraId="0432D8CA">
            <w:pPr>
              <w:spacing w:line="360" w:lineRule="auto"/>
              <w:ind w:firstLine="0" w:firstLineChars="0"/>
              <w:jc w:val="center"/>
            </w:pPr>
            <w:r>
              <w:rPr>
                <w:rFonts w:hint="eastAsia"/>
              </w:rPr>
              <w:t>G5013渝蓉高速公路（K57+000～K67+000) 路面专项工程交</w:t>
            </w:r>
            <w:r>
              <w:rPr>
                <w:rFonts w:hint="eastAsia"/>
                <w:kern w:val="44"/>
              </w:rPr>
              <w:t>通组织</w:t>
            </w:r>
            <w:r>
              <w:rPr>
                <w:rFonts w:hint="eastAsia"/>
              </w:rPr>
              <w:t>咨询服务</w:t>
            </w:r>
          </w:p>
        </w:tc>
        <w:tc>
          <w:tcPr>
            <w:tcW w:w="2038" w:type="pct"/>
            <w:tcBorders>
              <w:tl2br w:val="nil"/>
              <w:tr2bl w:val="nil"/>
            </w:tcBorders>
            <w:shd w:val="clear" w:color="auto" w:fill="auto"/>
            <w:vAlign w:val="center"/>
          </w:tcPr>
          <w:p w14:paraId="2DB36FE3">
            <w:pPr>
              <w:wordWrap/>
              <w:topLinePunct w:val="0"/>
              <w:spacing w:line="240" w:lineRule="auto"/>
              <w:ind w:firstLine="0" w:firstLineChars="0"/>
              <w:jc w:val="center"/>
            </w:pPr>
            <w:r>
              <w:rPr>
                <w:rFonts w:hint="eastAsia"/>
              </w:rPr>
              <w:t>施工期间交通组织方案设计（包括但不限于现场流量数据调查、周边交通路网实地踏勘、航拍影像采集、清分车型统计等）</w:t>
            </w:r>
          </w:p>
        </w:tc>
        <w:tc>
          <w:tcPr>
            <w:tcW w:w="445" w:type="pct"/>
            <w:tcBorders>
              <w:tl2br w:val="nil"/>
              <w:tr2bl w:val="nil"/>
            </w:tcBorders>
            <w:vAlign w:val="center"/>
          </w:tcPr>
          <w:p w14:paraId="57D81B46">
            <w:pPr>
              <w:wordWrap/>
              <w:topLinePunct w:val="0"/>
              <w:spacing w:line="240" w:lineRule="auto"/>
              <w:ind w:firstLine="0" w:firstLineChars="0"/>
              <w:jc w:val="center"/>
              <w:rPr>
                <w:color w:val="000000"/>
              </w:rPr>
            </w:pPr>
            <w:r>
              <w:rPr>
                <w:rFonts w:hint="eastAsia"/>
                <w:color w:val="000000"/>
              </w:rPr>
              <w:t>项</w:t>
            </w:r>
          </w:p>
        </w:tc>
        <w:tc>
          <w:tcPr>
            <w:tcW w:w="826" w:type="pct"/>
            <w:vMerge w:val="continue"/>
            <w:tcBorders>
              <w:tl2br w:val="nil"/>
              <w:tr2bl w:val="nil"/>
            </w:tcBorders>
            <w:vAlign w:val="center"/>
          </w:tcPr>
          <w:p w14:paraId="154E3D44">
            <w:pPr>
              <w:wordWrap/>
              <w:topLinePunct w:val="0"/>
              <w:spacing w:line="240" w:lineRule="auto"/>
              <w:ind w:firstLine="0" w:firstLineChars="0"/>
              <w:jc w:val="center"/>
            </w:pPr>
          </w:p>
        </w:tc>
      </w:tr>
      <w:tr w14:paraId="66DA98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1" w:hRule="atLeast"/>
          <w:jc w:val="center"/>
        </w:trPr>
        <w:tc>
          <w:tcPr>
            <w:tcW w:w="368" w:type="pct"/>
            <w:tcBorders>
              <w:tl2br w:val="nil"/>
              <w:tr2bl w:val="nil"/>
            </w:tcBorders>
            <w:vAlign w:val="center"/>
          </w:tcPr>
          <w:p w14:paraId="57B39AE4">
            <w:pPr>
              <w:wordWrap/>
              <w:topLinePunct w:val="0"/>
              <w:spacing w:line="240" w:lineRule="auto"/>
              <w:ind w:firstLine="0" w:firstLineChars="0"/>
              <w:jc w:val="center"/>
            </w:pPr>
            <w:r>
              <w:rPr>
                <w:rFonts w:hint="eastAsia"/>
              </w:rPr>
              <w:t>3</w:t>
            </w:r>
          </w:p>
        </w:tc>
        <w:tc>
          <w:tcPr>
            <w:tcW w:w="1323" w:type="pct"/>
            <w:tcBorders>
              <w:tl2br w:val="nil"/>
              <w:tr2bl w:val="nil"/>
            </w:tcBorders>
            <w:shd w:val="clear" w:color="auto" w:fill="auto"/>
            <w:vAlign w:val="center"/>
          </w:tcPr>
          <w:p w14:paraId="204A0BCD">
            <w:pPr>
              <w:spacing w:line="360" w:lineRule="auto"/>
              <w:ind w:firstLine="0" w:firstLineChars="0"/>
              <w:jc w:val="center"/>
            </w:pPr>
            <w:r>
              <w:rPr>
                <w:rFonts w:hint="eastAsia"/>
              </w:rPr>
              <w:t>长万高速公路（K1555+000～K1701+000）路面专项工程交</w:t>
            </w:r>
            <w:r>
              <w:rPr>
                <w:rFonts w:hint="eastAsia"/>
                <w:kern w:val="44"/>
              </w:rPr>
              <w:t>通组织</w:t>
            </w:r>
            <w:r>
              <w:rPr>
                <w:rFonts w:hint="eastAsia"/>
              </w:rPr>
              <w:t>咨询服务</w:t>
            </w:r>
          </w:p>
        </w:tc>
        <w:tc>
          <w:tcPr>
            <w:tcW w:w="2038" w:type="pct"/>
            <w:tcBorders>
              <w:tl2br w:val="nil"/>
              <w:tr2bl w:val="nil"/>
            </w:tcBorders>
            <w:shd w:val="clear" w:color="auto" w:fill="auto"/>
            <w:vAlign w:val="center"/>
          </w:tcPr>
          <w:p w14:paraId="53B36B52">
            <w:pPr>
              <w:wordWrap/>
              <w:topLinePunct w:val="0"/>
              <w:spacing w:line="240" w:lineRule="auto"/>
              <w:ind w:firstLine="0" w:firstLineChars="0"/>
              <w:jc w:val="center"/>
            </w:pPr>
            <w:r>
              <w:rPr>
                <w:rFonts w:hint="eastAsia"/>
              </w:rPr>
              <w:t>施工期间交通组织方案设计（包括但不限于现场流量数据调查、周边交通路网实地踏勘、航拍影像采集、清分车型统计等）</w:t>
            </w:r>
          </w:p>
        </w:tc>
        <w:tc>
          <w:tcPr>
            <w:tcW w:w="445" w:type="pct"/>
            <w:tcBorders>
              <w:tl2br w:val="nil"/>
              <w:tr2bl w:val="nil"/>
            </w:tcBorders>
            <w:vAlign w:val="center"/>
          </w:tcPr>
          <w:p w14:paraId="25291D4E">
            <w:pPr>
              <w:wordWrap/>
              <w:topLinePunct w:val="0"/>
              <w:spacing w:line="240" w:lineRule="auto"/>
              <w:ind w:firstLine="0" w:firstLineChars="0"/>
              <w:jc w:val="center"/>
              <w:rPr>
                <w:color w:val="000000"/>
              </w:rPr>
            </w:pPr>
            <w:r>
              <w:rPr>
                <w:rFonts w:hint="eastAsia"/>
                <w:color w:val="000000"/>
              </w:rPr>
              <w:t>项</w:t>
            </w:r>
          </w:p>
        </w:tc>
        <w:tc>
          <w:tcPr>
            <w:tcW w:w="826" w:type="pct"/>
            <w:vMerge w:val="continue"/>
            <w:tcBorders>
              <w:tl2br w:val="nil"/>
              <w:tr2bl w:val="nil"/>
            </w:tcBorders>
            <w:vAlign w:val="center"/>
          </w:tcPr>
          <w:p w14:paraId="3F02BB5C">
            <w:pPr>
              <w:wordWrap/>
              <w:topLinePunct w:val="0"/>
              <w:spacing w:line="240" w:lineRule="auto"/>
              <w:ind w:firstLine="0" w:firstLineChars="0"/>
              <w:jc w:val="center"/>
            </w:pPr>
          </w:p>
        </w:tc>
      </w:tr>
      <w:tr w14:paraId="1BC27A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1" w:hRule="atLeast"/>
          <w:jc w:val="center"/>
        </w:trPr>
        <w:tc>
          <w:tcPr>
            <w:tcW w:w="368" w:type="pct"/>
            <w:tcBorders>
              <w:tl2br w:val="nil"/>
              <w:tr2bl w:val="nil"/>
            </w:tcBorders>
            <w:vAlign w:val="center"/>
          </w:tcPr>
          <w:p w14:paraId="6B29BA80">
            <w:pPr>
              <w:wordWrap/>
              <w:topLinePunct w:val="0"/>
              <w:spacing w:line="240" w:lineRule="auto"/>
              <w:ind w:firstLine="0" w:firstLineChars="0"/>
              <w:jc w:val="center"/>
            </w:pPr>
            <w:r>
              <w:rPr>
                <w:rFonts w:hint="eastAsia"/>
              </w:rPr>
              <w:t>4</w:t>
            </w:r>
          </w:p>
        </w:tc>
        <w:tc>
          <w:tcPr>
            <w:tcW w:w="1323" w:type="pct"/>
            <w:tcBorders>
              <w:tl2br w:val="nil"/>
              <w:tr2bl w:val="nil"/>
            </w:tcBorders>
            <w:shd w:val="clear" w:color="auto" w:fill="auto"/>
            <w:vAlign w:val="center"/>
          </w:tcPr>
          <w:p w14:paraId="3AE4AAC0">
            <w:pPr>
              <w:spacing w:line="360" w:lineRule="auto"/>
              <w:ind w:firstLine="0" w:firstLineChars="0"/>
              <w:jc w:val="center"/>
            </w:pPr>
            <w:r>
              <w:rPr>
                <w:rFonts w:hint="eastAsia"/>
              </w:rPr>
              <w:t>渝湘高速公路路面施工期间机具夜间停放交</w:t>
            </w:r>
            <w:r>
              <w:rPr>
                <w:rFonts w:hint="eastAsia"/>
                <w:kern w:val="44"/>
              </w:rPr>
              <w:t>通组织</w:t>
            </w:r>
            <w:r>
              <w:rPr>
                <w:rFonts w:hint="eastAsia"/>
              </w:rPr>
              <w:t>咨询服务</w:t>
            </w:r>
          </w:p>
        </w:tc>
        <w:tc>
          <w:tcPr>
            <w:tcW w:w="2038" w:type="pct"/>
            <w:tcBorders>
              <w:tl2br w:val="nil"/>
              <w:tr2bl w:val="nil"/>
            </w:tcBorders>
            <w:shd w:val="clear" w:color="auto" w:fill="auto"/>
            <w:vAlign w:val="center"/>
          </w:tcPr>
          <w:p w14:paraId="7177511A">
            <w:pPr>
              <w:wordWrap/>
              <w:topLinePunct w:val="0"/>
              <w:spacing w:line="240" w:lineRule="auto"/>
              <w:ind w:firstLine="0" w:firstLineChars="0"/>
              <w:jc w:val="center"/>
            </w:pPr>
            <w:r>
              <w:rPr>
                <w:rFonts w:hint="eastAsia"/>
              </w:rPr>
              <w:t>施工期间机具夜间停放专项设计</w:t>
            </w:r>
          </w:p>
        </w:tc>
        <w:tc>
          <w:tcPr>
            <w:tcW w:w="445" w:type="pct"/>
            <w:tcBorders>
              <w:tl2br w:val="nil"/>
              <w:tr2bl w:val="nil"/>
            </w:tcBorders>
            <w:vAlign w:val="center"/>
          </w:tcPr>
          <w:p w14:paraId="096F4BFC">
            <w:pPr>
              <w:wordWrap/>
              <w:topLinePunct w:val="0"/>
              <w:spacing w:line="240" w:lineRule="auto"/>
              <w:ind w:firstLine="0" w:firstLineChars="0"/>
              <w:jc w:val="center"/>
              <w:rPr>
                <w:color w:val="000000"/>
              </w:rPr>
            </w:pPr>
            <w:r>
              <w:rPr>
                <w:rFonts w:hint="eastAsia"/>
                <w:color w:val="000000"/>
              </w:rPr>
              <w:t>项</w:t>
            </w:r>
          </w:p>
        </w:tc>
        <w:tc>
          <w:tcPr>
            <w:tcW w:w="826" w:type="pct"/>
            <w:vMerge w:val="continue"/>
            <w:tcBorders>
              <w:tl2br w:val="nil"/>
              <w:tr2bl w:val="nil"/>
            </w:tcBorders>
            <w:vAlign w:val="center"/>
          </w:tcPr>
          <w:p w14:paraId="7FA5EEAE">
            <w:pPr>
              <w:wordWrap/>
              <w:topLinePunct w:val="0"/>
              <w:spacing w:line="240" w:lineRule="auto"/>
              <w:ind w:firstLine="0" w:firstLineChars="0"/>
              <w:jc w:val="center"/>
            </w:pPr>
          </w:p>
        </w:tc>
      </w:tr>
    </w:tbl>
    <w:p w14:paraId="0EE552DD">
      <w:pPr>
        <w:pStyle w:val="3"/>
      </w:pPr>
      <w:r>
        <w:rPr>
          <w:rFonts w:hint="eastAsia"/>
        </w:rPr>
        <w:t>二、竞标人资格要求</w:t>
      </w:r>
    </w:p>
    <w:p w14:paraId="0EA8ACA0">
      <w:pPr>
        <w:ind w:firstLine="480"/>
      </w:pPr>
      <w:r>
        <w:rPr>
          <w:rFonts w:hint="eastAsia"/>
        </w:rPr>
        <w:t>1、具有独立法人、有效的营业执照，银行开户许可证或基本存款账户信息。</w:t>
      </w:r>
    </w:p>
    <w:p w14:paraId="77F31C69">
      <w:pPr>
        <w:ind w:left="480" w:leftChars="200" w:firstLine="0" w:firstLineChars="0"/>
      </w:pPr>
      <w:r>
        <w:rPr>
          <w:rFonts w:hint="eastAsia"/>
        </w:rPr>
        <w:t>2、具备公路行业专业甲级设计资质。</w:t>
      </w:r>
    </w:p>
    <w:p w14:paraId="4495E161">
      <w:pPr>
        <w:pStyle w:val="3"/>
      </w:pPr>
      <w:r>
        <w:rPr>
          <w:rFonts w:hint="eastAsia"/>
        </w:rPr>
        <w:t>三、投标文件的相关要求</w:t>
      </w:r>
    </w:p>
    <w:p w14:paraId="44F41C2E">
      <w:pPr>
        <w:wordWrap/>
        <w:topLinePunct w:val="0"/>
        <w:spacing w:line="360" w:lineRule="auto"/>
        <w:ind w:firstLine="480"/>
        <w:outlineLvl w:val="0"/>
        <w:rPr>
          <w:szCs w:val="21"/>
        </w:rPr>
      </w:pPr>
      <w:r>
        <w:rPr>
          <w:rFonts w:hint="eastAsia"/>
          <w:szCs w:val="21"/>
        </w:rPr>
        <w:t>1、竞标报价</w:t>
      </w:r>
      <w:r>
        <w:rPr>
          <w:szCs w:val="21"/>
        </w:rPr>
        <w:t>说明</w:t>
      </w:r>
      <w:r>
        <w:rPr>
          <w:rFonts w:hint="eastAsia"/>
          <w:szCs w:val="21"/>
        </w:rPr>
        <w:t>：</w:t>
      </w:r>
    </w:p>
    <w:p w14:paraId="63E9F7A9">
      <w:pPr>
        <w:wordWrap/>
        <w:topLinePunct w:val="0"/>
        <w:spacing w:line="360" w:lineRule="auto"/>
        <w:ind w:firstLine="480"/>
        <w:outlineLvl w:val="0"/>
        <w:rPr>
          <w:szCs w:val="21"/>
        </w:rPr>
      </w:pPr>
      <w:r>
        <w:rPr>
          <w:rFonts w:hint="eastAsia"/>
          <w:szCs w:val="21"/>
        </w:rPr>
        <w:t>（1）竞标报价为</w:t>
      </w:r>
      <w:r>
        <w:rPr>
          <w:rFonts w:hint="eastAsia"/>
          <w:b/>
          <w:bCs/>
          <w:szCs w:val="21"/>
          <w:u w:val="single"/>
        </w:rPr>
        <w:t>全费用综合单价</w:t>
      </w:r>
      <w:r>
        <w:rPr>
          <w:rFonts w:hint="eastAsia"/>
          <w:szCs w:val="21"/>
        </w:rPr>
        <w:t>。投标人应提供合法有效且符合比选人要求的增值税专用发票。因开具的发票不规范、不合法或涉嫌虚开发票引起税务问题的，投标人需向比选人重新开具发票，并向比选人承担赔偿责任，包括但不限于税款、滞纳金、罚款及相关损失等。</w:t>
      </w:r>
    </w:p>
    <w:p w14:paraId="21CEFE44">
      <w:pPr>
        <w:wordWrap/>
        <w:topLinePunct w:val="0"/>
        <w:spacing w:line="360" w:lineRule="auto"/>
        <w:ind w:firstLine="480"/>
        <w:outlineLvl w:val="0"/>
        <w:rPr>
          <w:szCs w:val="21"/>
        </w:rPr>
      </w:pPr>
      <w:r>
        <w:rPr>
          <w:rFonts w:hint="eastAsia"/>
          <w:szCs w:val="21"/>
        </w:rPr>
        <w:t>投标人应按照比选人要求，及时向比选人开具增值税专用发票。因投标人开具发票不及时给比选人造成无法及时认证、抵扣发票等情形的，投标人需向比选人承担赔偿责任，包括但不限于税款、滞纳金、罚款及相关损失等。</w:t>
      </w:r>
    </w:p>
    <w:p w14:paraId="1CFD3173">
      <w:pPr>
        <w:wordWrap/>
        <w:topLinePunct w:val="0"/>
        <w:spacing w:line="360" w:lineRule="auto"/>
        <w:ind w:firstLine="480"/>
        <w:outlineLvl w:val="0"/>
        <w:rPr>
          <w:szCs w:val="21"/>
        </w:rPr>
      </w:pPr>
      <w:r>
        <w:rPr>
          <w:rFonts w:hint="eastAsia"/>
          <w:szCs w:val="21"/>
        </w:rPr>
        <w:t>（2）本项目最高总限价为：</w:t>
      </w:r>
      <w:r>
        <w:rPr>
          <w:rFonts w:hint="eastAsia"/>
          <w:b/>
          <w:bCs/>
          <w:szCs w:val="21"/>
          <w:u w:val="single"/>
        </w:rPr>
        <w:t>545000元（大写：伍拾肆万伍仟元整）</w:t>
      </w:r>
      <w:r>
        <w:rPr>
          <w:rFonts w:hint="eastAsia"/>
          <w:szCs w:val="21"/>
        </w:rPr>
        <w:t>。</w:t>
      </w:r>
      <w:r>
        <w:rPr>
          <w:rFonts w:hint="eastAsia"/>
          <w:szCs w:val="21"/>
        </w:rPr>
        <w:tab/>
      </w:r>
    </w:p>
    <w:p w14:paraId="385ECBD7">
      <w:pPr>
        <w:wordWrap/>
        <w:topLinePunct w:val="0"/>
        <w:spacing w:line="360" w:lineRule="auto"/>
        <w:ind w:firstLine="480"/>
        <w:outlineLvl w:val="0"/>
        <w:rPr>
          <w:szCs w:val="21"/>
        </w:rPr>
      </w:pPr>
      <w:r>
        <w:rPr>
          <w:rFonts w:hint="eastAsia"/>
          <w:szCs w:val="21"/>
        </w:rPr>
        <w:t>注：投标人的竞标报价不得超过比选人公布的相应最高限价，否则报价为无效竞标（详见格式“四、已标价报价清单”）</w:t>
      </w:r>
    </w:p>
    <w:p w14:paraId="27BEC063">
      <w:pPr>
        <w:pStyle w:val="3"/>
        <w:spacing w:line="360" w:lineRule="auto"/>
        <w:ind w:firstLine="480" w:firstLineChars="200"/>
        <w:rPr>
          <w:b w:val="0"/>
          <w:bCs/>
        </w:rPr>
      </w:pPr>
      <w:r>
        <w:rPr>
          <w:rFonts w:hint="eastAsia"/>
          <w:b w:val="0"/>
          <w:bCs/>
        </w:rPr>
        <w:t>2、本次投标文件的组成</w:t>
      </w:r>
    </w:p>
    <w:p w14:paraId="5BE7622A">
      <w:pPr>
        <w:wordWrap/>
        <w:topLinePunct w:val="0"/>
        <w:spacing w:line="360" w:lineRule="auto"/>
        <w:ind w:firstLine="482"/>
        <w:rPr>
          <w:rFonts w:hint="eastAsia" w:ascii="宋体" w:hAnsi="宋体" w:cs="宋体"/>
          <w:color w:val="000000"/>
          <w:szCs w:val="21"/>
        </w:rPr>
      </w:pPr>
      <w:r>
        <w:rPr>
          <w:rFonts w:hint="eastAsia" w:ascii="宋体" w:hAnsi="宋体" w:cs="宋体"/>
          <w:b/>
          <w:bCs/>
          <w:szCs w:val="21"/>
        </w:rPr>
        <w:t>按比选文件格式编制。</w:t>
      </w:r>
    </w:p>
    <w:p w14:paraId="56ADDB0B">
      <w:pPr>
        <w:wordWrap/>
        <w:topLinePunct w:val="0"/>
        <w:spacing w:line="360" w:lineRule="auto"/>
        <w:ind w:firstLine="482"/>
      </w:pPr>
      <w:r>
        <w:rPr>
          <w:rFonts w:hint="eastAsia"/>
          <w:b/>
          <w:bCs/>
          <w:szCs w:val="21"/>
        </w:rPr>
        <w:t>（注：以上所有文件均须投标人加盖单位公章）</w:t>
      </w:r>
    </w:p>
    <w:p w14:paraId="66B92383">
      <w:pPr>
        <w:wordWrap/>
        <w:topLinePunct w:val="0"/>
        <w:spacing w:line="360" w:lineRule="auto"/>
        <w:ind w:firstLine="480"/>
        <w:rPr>
          <w:szCs w:val="21"/>
        </w:rPr>
      </w:pPr>
      <w:r>
        <w:rPr>
          <w:rFonts w:hint="eastAsia"/>
          <w:szCs w:val="21"/>
        </w:rPr>
        <w:t>3、投标</w:t>
      </w:r>
      <w:r>
        <w:rPr>
          <w:szCs w:val="21"/>
        </w:rPr>
        <w:t>文件的份数及编制要求</w:t>
      </w:r>
      <w:r>
        <w:rPr>
          <w:rFonts w:hint="eastAsia"/>
          <w:szCs w:val="21"/>
        </w:rPr>
        <w:t>：</w:t>
      </w:r>
    </w:p>
    <w:p w14:paraId="679455B8">
      <w:pPr>
        <w:wordWrap/>
        <w:topLinePunct w:val="0"/>
        <w:spacing w:line="360" w:lineRule="auto"/>
        <w:ind w:firstLine="480"/>
      </w:pPr>
      <w:r>
        <w:rPr>
          <w:rFonts w:hint="eastAsia"/>
          <w:szCs w:val="21"/>
        </w:rPr>
        <w:t>递交投标文件</w:t>
      </w:r>
      <w:r>
        <w:rPr>
          <w:rFonts w:hint="eastAsia"/>
          <w:b/>
          <w:bCs/>
          <w:szCs w:val="21"/>
        </w:rPr>
        <w:t>1份</w:t>
      </w:r>
      <w:r>
        <w:rPr>
          <w:rFonts w:hint="eastAsia"/>
          <w:szCs w:val="21"/>
        </w:rPr>
        <w:t>，投标文件按比选文件中规定格式排版并装订成册。应注意填写清楚，文件表述应前后一致。</w:t>
      </w:r>
    </w:p>
    <w:p w14:paraId="40A95AB8">
      <w:pPr>
        <w:ind w:firstLine="0" w:firstLineChars="0"/>
        <w:rPr>
          <w:b/>
          <w:bCs/>
        </w:rPr>
      </w:pPr>
      <w:r>
        <w:rPr>
          <w:rFonts w:hint="eastAsia"/>
          <w:b/>
          <w:bCs/>
        </w:rPr>
        <w:t>四、合同相关要求</w:t>
      </w:r>
    </w:p>
    <w:p w14:paraId="3C0A2DBE">
      <w:pPr>
        <w:ind w:firstLine="480"/>
      </w:pPr>
      <w:r>
        <w:t>详见《</w:t>
      </w:r>
      <w:r>
        <w:rPr>
          <w:rFonts w:hint="eastAsia"/>
        </w:rPr>
        <w:t>2025年路面专项工程交通组织咨询服务</w:t>
      </w:r>
      <w:r>
        <w:t>合同》。</w:t>
      </w:r>
    </w:p>
    <w:p w14:paraId="5EFDA02A">
      <w:pPr>
        <w:spacing w:line="360" w:lineRule="auto"/>
        <w:ind w:firstLine="0" w:firstLineChars="0"/>
        <w:rPr>
          <w:rFonts w:hint="eastAsia" w:ascii="宋体" w:hAnsi="宋体" w:cs="宋体"/>
          <w:b/>
          <w:szCs w:val="21"/>
        </w:rPr>
      </w:pPr>
      <w:r>
        <w:rPr>
          <w:rFonts w:hint="eastAsia"/>
          <w:b/>
          <w:bCs/>
        </w:rPr>
        <w:t>五、</w:t>
      </w:r>
      <w:r>
        <w:rPr>
          <w:rFonts w:hint="eastAsia" w:ascii="宋体" w:hAnsi="宋体" w:cs="宋体"/>
          <w:b/>
          <w:szCs w:val="21"/>
        </w:rPr>
        <w:t>评标办法</w:t>
      </w:r>
    </w:p>
    <w:p w14:paraId="6D89B740">
      <w:pPr>
        <w:spacing w:line="360" w:lineRule="auto"/>
        <w:ind w:firstLine="480"/>
        <w:rPr>
          <w:rFonts w:hint="eastAsia" w:ascii="宋体" w:hAnsi="宋体" w:cs="宋体"/>
          <w:b/>
          <w:szCs w:val="21"/>
        </w:rPr>
      </w:pPr>
      <w:r>
        <w:rPr>
          <w:rFonts w:hint="eastAsia" w:ascii="宋体" w:hAnsi="宋体" w:cs="宋体"/>
          <w:bCs/>
          <w:szCs w:val="21"/>
        </w:rPr>
        <w:t>（</w:t>
      </w:r>
      <w:r>
        <w:rPr>
          <w:rFonts w:hint="eastAsia" w:ascii="宋体" w:hAnsi="宋体"/>
          <w:bCs/>
          <w:szCs w:val="21"/>
        </w:rPr>
        <w:t>本项目采用经评审的最低价法</w:t>
      </w:r>
      <w:r>
        <w:rPr>
          <w:rFonts w:hint="eastAsia" w:ascii="宋体" w:hAnsi="宋体" w:cs="宋体"/>
          <w:bCs/>
          <w:szCs w:val="21"/>
        </w:rPr>
        <w:t>）：</w:t>
      </w:r>
      <w:r>
        <w:rPr>
          <w:rFonts w:hint="eastAsia" w:ascii="宋体" w:hAnsi="宋体"/>
          <w:bCs/>
          <w:szCs w:val="21"/>
        </w:rPr>
        <w:t>本项目采用经评审的最低</w:t>
      </w:r>
      <w:r>
        <w:rPr>
          <w:rFonts w:hint="eastAsia"/>
          <w:szCs w:val="21"/>
        </w:rPr>
        <w:t>价法，在满足比选文件要求的前提下，评标委员会报价</w:t>
      </w:r>
      <w:r>
        <w:t>从</w:t>
      </w:r>
      <w:r>
        <w:rPr>
          <w:rFonts w:hint="eastAsia"/>
        </w:rPr>
        <w:t>低</w:t>
      </w:r>
      <w:r>
        <w:t>到</w:t>
      </w:r>
      <w:r>
        <w:rPr>
          <w:rFonts w:hint="eastAsia"/>
        </w:rPr>
        <w:t>高</w:t>
      </w:r>
      <w:r>
        <w:t>的先后顺序</w:t>
      </w:r>
      <w:r>
        <w:rPr>
          <w:rFonts w:hint="eastAsia"/>
          <w:szCs w:val="21"/>
        </w:rPr>
        <w:t>推荐中标候选人。若在满足比选文件所有要求前提下，最低报价相同时，</w:t>
      </w:r>
      <w:r>
        <w:rPr>
          <w:rFonts w:hint="eastAsia" w:ascii="宋体" w:hAnsi="宋体" w:cs="宋体"/>
          <w:b/>
          <w:bCs/>
          <w:snapToGrid w:val="0"/>
          <w:kern w:val="0"/>
        </w:rPr>
        <w:t>进行第二轮报价</w:t>
      </w:r>
      <w:r>
        <w:t>。</w:t>
      </w:r>
      <w:r>
        <w:rPr>
          <w:rFonts w:hint="eastAsia"/>
        </w:rPr>
        <w:t>请各报价单位结合自身情况及市场行情进行报价。</w:t>
      </w:r>
      <w:r>
        <w:rPr>
          <w:rFonts w:hint="eastAsia"/>
          <w:b/>
          <w:bCs/>
        </w:rPr>
        <w:t>具体评审标准详见下表：</w:t>
      </w:r>
    </w:p>
    <w:tbl>
      <w:tblPr>
        <w:tblStyle w:val="12"/>
        <w:tblW w:w="9427"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464"/>
        <w:gridCol w:w="1364"/>
        <w:gridCol w:w="5807"/>
      </w:tblGrid>
      <w:tr w14:paraId="600C3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256" w:type="dxa"/>
            <w:gridSpan w:val="2"/>
            <w:tcBorders>
              <w:top w:val="single" w:color="auto" w:sz="4" w:space="0"/>
              <w:bottom w:val="single" w:color="auto" w:sz="4" w:space="0"/>
              <w:right w:val="single" w:color="auto" w:sz="4" w:space="0"/>
            </w:tcBorders>
            <w:vAlign w:val="center"/>
          </w:tcPr>
          <w:p w14:paraId="5747FB4C">
            <w:pPr>
              <w:spacing w:line="340" w:lineRule="exact"/>
              <w:ind w:firstLine="0" w:firstLineChars="0"/>
              <w:jc w:val="center"/>
              <w:rPr>
                <w:rFonts w:hint="eastAsia" w:ascii="宋体" w:hAnsi="宋体" w:cs="宋体"/>
                <w:szCs w:val="21"/>
                <w:shd w:val="clear" w:color="auto" w:fill="FFFFFF"/>
              </w:rPr>
            </w:pPr>
            <w:r>
              <w:rPr>
                <w:rFonts w:hint="eastAsia" w:ascii="宋体" w:hAnsi="宋体" w:cs="宋体"/>
                <w:szCs w:val="21"/>
                <w:shd w:val="clear" w:color="auto" w:fill="FFFFFF"/>
              </w:rPr>
              <w:t>条款号</w:t>
            </w:r>
          </w:p>
        </w:tc>
        <w:tc>
          <w:tcPr>
            <w:tcW w:w="1364" w:type="dxa"/>
            <w:tcBorders>
              <w:top w:val="single" w:color="auto" w:sz="4" w:space="0"/>
              <w:left w:val="single" w:color="auto" w:sz="4" w:space="0"/>
              <w:bottom w:val="single" w:color="auto" w:sz="4" w:space="0"/>
              <w:right w:val="single" w:color="auto" w:sz="4" w:space="0"/>
            </w:tcBorders>
            <w:vAlign w:val="center"/>
          </w:tcPr>
          <w:p w14:paraId="7F8085EC">
            <w:pPr>
              <w:spacing w:line="340" w:lineRule="exact"/>
              <w:ind w:firstLine="0" w:firstLineChars="0"/>
              <w:jc w:val="center"/>
              <w:rPr>
                <w:rFonts w:hint="eastAsia" w:ascii="宋体" w:hAnsi="宋体" w:cs="宋体"/>
                <w:szCs w:val="21"/>
                <w:shd w:val="clear" w:color="auto" w:fill="FFFFFF"/>
              </w:rPr>
            </w:pPr>
            <w:r>
              <w:rPr>
                <w:rFonts w:hint="eastAsia" w:ascii="宋体" w:hAnsi="宋体" w:cs="宋体"/>
                <w:szCs w:val="21"/>
                <w:shd w:val="clear" w:color="auto" w:fill="FFFFFF"/>
              </w:rPr>
              <w:t>评审因素</w:t>
            </w:r>
          </w:p>
        </w:tc>
        <w:tc>
          <w:tcPr>
            <w:tcW w:w="5807" w:type="dxa"/>
            <w:tcBorders>
              <w:top w:val="single" w:color="auto" w:sz="4" w:space="0"/>
              <w:left w:val="single" w:color="auto" w:sz="4" w:space="0"/>
              <w:bottom w:val="single" w:color="auto" w:sz="4" w:space="0"/>
              <w:right w:val="single" w:color="auto" w:sz="4" w:space="0"/>
            </w:tcBorders>
            <w:vAlign w:val="center"/>
          </w:tcPr>
          <w:p w14:paraId="009E9D7C">
            <w:pPr>
              <w:spacing w:line="340" w:lineRule="exact"/>
              <w:ind w:firstLine="0" w:firstLineChars="0"/>
              <w:jc w:val="center"/>
              <w:rPr>
                <w:rFonts w:hint="eastAsia" w:ascii="宋体" w:hAnsi="宋体" w:cs="宋体"/>
                <w:szCs w:val="21"/>
                <w:shd w:val="clear" w:color="auto" w:fill="FFFFFF"/>
              </w:rPr>
            </w:pPr>
            <w:r>
              <w:rPr>
                <w:rFonts w:hint="eastAsia" w:ascii="宋体" w:hAnsi="宋体" w:cs="宋体"/>
                <w:szCs w:val="21"/>
                <w:shd w:val="clear" w:color="auto" w:fill="FFFFFF"/>
              </w:rPr>
              <w:t>评审标准</w:t>
            </w:r>
          </w:p>
        </w:tc>
      </w:tr>
      <w:tr w14:paraId="4FAAA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rPr>
        <w:tc>
          <w:tcPr>
            <w:tcW w:w="792" w:type="dxa"/>
            <w:tcBorders>
              <w:top w:val="single" w:color="auto" w:sz="4" w:space="0"/>
              <w:right w:val="single" w:color="auto" w:sz="4" w:space="0"/>
            </w:tcBorders>
            <w:vAlign w:val="center"/>
          </w:tcPr>
          <w:p w14:paraId="50927687">
            <w:pPr>
              <w:spacing w:line="340" w:lineRule="exact"/>
              <w:ind w:firstLine="33" w:firstLineChars="14"/>
              <w:jc w:val="center"/>
              <w:rPr>
                <w:rFonts w:hint="eastAsia" w:ascii="宋体" w:hAnsi="宋体" w:cs="宋体"/>
                <w:szCs w:val="21"/>
                <w:shd w:val="clear" w:color="auto" w:fill="FFFFFF"/>
              </w:rPr>
            </w:pPr>
            <w:r>
              <w:rPr>
                <w:rFonts w:hint="eastAsia" w:ascii="宋体" w:hAnsi="宋体" w:cs="宋体"/>
                <w:szCs w:val="21"/>
                <w:shd w:val="clear" w:color="auto" w:fill="FFFFFF"/>
              </w:rPr>
              <w:t>1.1.1</w:t>
            </w:r>
          </w:p>
        </w:tc>
        <w:tc>
          <w:tcPr>
            <w:tcW w:w="1464" w:type="dxa"/>
            <w:tcBorders>
              <w:top w:val="single" w:color="auto" w:sz="4" w:space="0"/>
              <w:right w:val="single" w:color="auto" w:sz="4" w:space="0"/>
            </w:tcBorders>
            <w:vAlign w:val="center"/>
          </w:tcPr>
          <w:p w14:paraId="1DDA064A">
            <w:pPr>
              <w:spacing w:line="340" w:lineRule="exact"/>
              <w:ind w:firstLine="0" w:firstLineChars="0"/>
              <w:jc w:val="center"/>
              <w:rPr>
                <w:rFonts w:hint="eastAsia" w:ascii="宋体" w:hAnsi="宋体" w:cs="宋体"/>
                <w:szCs w:val="21"/>
                <w:shd w:val="clear" w:color="auto" w:fill="FFFFFF"/>
              </w:rPr>
            </w:pPr>
            <w:r>
              <w:rPr>
                <w:rFonts w:hint="eastAsia" w:ascii="宋体" w:hAnsi="宋体" w:cs="宋体"/>
                <w:szCs w:val="21"/>
                <w:shd w:val="clear" w:color="auto" w:fill="FFFFFF"/>
              </w:rPr>
              <w:t>形式评审标准</w:t>
            </w:r>
          </w:p>
        </w:tc>
        <w:tc>
          <w:tcPr>
            <w:tcW w:w="1364" w:type="dxa"/>
            <w:tcBorders>
              <w:top w:val="single" w:color="auto" w:sz="4" w:space="0"/>
              <w:left w:val="single" w:color="auto" w:sz="4" w:space="0"/>
              <w:bottom w:val="single" w:color="auto" w:sz="4" w:space="0"/>
              <w:right w:val="single" w:color="auto" w:sz="4" w:space="0"/>
            </w:tcBorders>
            <w:vAlign w:val="center"/>
          </w:tcPr>
          <w:p w14:paraId="50301847">
            <w:pPr>
              <w:spacing w:line="340" w:lineRule="exact"/>
              <w:ind w:firstLine="0" w:firstLineChars="0"/>
              <w:jc w:val="center"/>
              <w:rPr>
                <w:rFonts w:hint="eastAsia" w:ascii="宋体" w:hAnsi="宋体" w:cs="宋体"/>
                <w:szCs w:val="21"/>
                <w:shd w:val="clear" w:color="auto" w:fill="FFFFFF"/>
              </w:rPr>
            </w:pPr>
            <w:r>
              <w:rPr>
                <w:rFonts w:hint="eastAsia" w:ascii="宋体" w:hAnsi="宋体" w:cs="宋体"/>
                <w:szCs w:val="21"/>
                <w:shd w:val="clear" w:color="auto" w:fill="FFFFFF"/>
              </w:rPr>
              <w:t>签字盖章</w:t>
            </w:r>
          </w:p>
        </w:tc>
        <w:tc>
          <w:tcPr>
            <w:tcW w:w="5807" w:type="dxa"/>
            <w:tcBorders>
              <w:top w:val="single" w:color="auto" w:sz="4" w:space="0"/>
              <w:left w:val="single" w:color="auto" w:sz="4" w:space="0"/>
              <w:bottom w:val="single" w:color="auto" w:sz="4" w:space="0"/>
              <w:right w:val="single" w:color="auto" w:sz="4" w:space="0"/>
            </w:tcBorders>
            <w:vAlign w:val="center"/>
          </w:tcPr>
          <w:p w14:paraId="60203C00">
            <w:pPr>
              <w:spacing w:line="340" w:lineRule="exact"/>
              <w:ind w:firstLine="0" w:firstLineChars="0"/>
              <w:rPr>
                <w:rFonts w:hint="eastAsia" w:ascii="宋体" w:hAnsi="宋体" w:cs="宋体"/>
                <w:szCs w:val="21"/>
                <w:shd w:val="clear" w:color="auto" w:fill="FFFFFF"/>
              </w:rPr>
            </w:pPr>
            <w:r>
              <w:rPr>
                <w:rFonts w:hint="eastAsia" w:ascii="宋体" w:hAnsi="宋体" w:cs="宋体"/>
                <w:szCs w:val="21"/>
                <w:shd w:val="clear" w:color="auto" w:fill="FFFFFF"/>
              </w:rPr>
              <w:t>竞标文件要求竞标人盖章和竞标单位法定代表人签字（或盖章）的地方须齐全。</w:t>
            </w:r>
          </w:p>
        </w:tc>
      </w:tr>
      <w:tr w14:paraId="0D99B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792" w:type="dxa"/>
            <w:vMerge w:val="restart"/>
            <w:tcBorders>
              <w:top w:val="single" w:color="auto" w:sz="4" w:space="0"/>
              <w:right w:val="single" w:color="auto" w:sz="4" w:space="0"/>
            </w:tcBorders>
            <w:vAlign w:val="center"/>
          </w:tcPr>
          <w:p w14:paraId="61F66BC6">
            <w:pPr>
              <w:spacing w:line="340" w:lineRule="exact"/>
              <w:ind w:firstLine="33" w:firstLineChars="14"/>
              <w:jc w:val="center"/>
              <w:rPr>
                <w:rFonts w:hint="eastAsia" w:ascii="宋体" w:hAnsi="宋体" w:cs="宋体"/>
                <w:szCs w:val="21"/>
                <w:shd w:val="clear" w:color="auto" w:fill="FFFFFF"/>
              </w:rPr>
            </w:pPr>
            <w:r>
              <w:rPr>
                <w:rFonts w:hint="eastAsia" w:ascii="宋体" w:hAnsi="宋体" w:cs="宋体"/>
                <w:szCs w:val="21"/>
                <w:shd w:val="clear" w:color="auto" w:fill="FFFFFF"/>
              </w:rPr>
              <w:t>1.1.2</w:t>
            </w:r>
          </w:p>
        </w:tc>
        <w:tc>
          <w:tcPr>
            <w:tcW w:w="1464" w:type="dxa"/>
            <w:vMerge w:val="restart"/>
            <w:tcBorders>
              <w:top w:val="single" w:color="auto" w:sz="4" w:space="0"/>
              <w:right w:val="single" w:color="auto" w:sz="4" w:space="0"/>
            </w:tcBorders>
            <w:vAlign w:val="center"/>
          </w:tcPr>
          <w:p w14:paraId="45917900">
            <w:pPr>
              <w:spacing w:line="340" w:lineRule="exact"/>
              <w:ind w:firstLine="0" w:firstLineChars="0"/>
              <w:jc w:val="center"/>
              <w:rPr>
                <w:rFonts w:hint="eastAsia" w:ascii="宋体" w:hAnsi="宋体" w:cs="宋体"/>
                <w:szCs w:val="21"/>
                <w:shd w:val="clear" w:color="auto" w:fill="FFFFFF"/>
              </w:rPr>
            </w:pPr>
            <w:r>
              <w:rPr>
                <w:rFonts w:hint="eastAsia" w:ascii="宋体" w:hAnsi="宋体" w:cs="宋体"/>
                <w:szCs w:val="21"/>
                <w:shd w:val="clear" w:color="auto" w:fill="FFFFFF"/>
              </w:rPr>
              <w:t>资格评审标准</w:t>
            </w:r>
          </w:p>
        </w:tc>
        <w:tc>
          <w:tcPr>
            <w:tcW w:w="1364" w:type="dxa"/>
            <w:tcBorders>
              <w:top w:val="single" w:color="auto" w:sz="4" w:space="0"/>
              <w:left w:val="single" w:color="auto" w:sz="4" w:space="0"/>
              <w:bottom w:val="single" w:color="auto" w:sz="4" w:space="0"/>
              <w:right w:val="single" w:color="auto" w:sz="4" w:space="0"/>
            </w:tcBorders>
            <w:vAlign w:val="center"/>
          </w:tcPr>
          <w:p w14:paraId="78DBC851">
            <w:pPr>
              <w:spacing w:line="340" w:lineRule="exact"/>
              <w:ind w:firstLine="0" w:firstLineChars="0"/>
              <w:jc w:val="center"/>
              <w:rPr>
                <w:rFonts w:hint="eastAsia" w:ascii="宋体" w:hAnsi="宋体" w:cs="宋体"/>
                <w:szCs w:val="21"/>
                <w:shd w:val="clear" w:color="auto" w:fill="FFFFFF"/>
              </w:rPr>
            </w:pPr>
            <w:r>
              <w:rPr>
                <w:rFonts w:hint="eastAsia" w:ascii="宋体" w:hAnsi="宋体" w:cs="宋体"/>
                <w:szCs w:val="21"/>
                <w:shd w:val="clear" w:color="auto" w:fill="FFFFFF"/>
              </w:rPr>
              <w:t>营业执照</w:t>
            </w:r>
          </w:p>
        </w:tc>
        <w:tc>
          <w:tcPr>
            <w:tcW w:w="5807" w:type="dxa"/>
            <w:tcBorders>
              <w:top w:val="single" w:color="auto" w:sz="4" w:space="0"/>
              <w:left w:val="single" w:color="auto" w:sz="4" w:space="0"/>
              <w:bottom w:val="single" w:color="auto" w:sz="4" w:space="0"/>
              <w:right w:val="single" w:color="auto" w:sz="4" w:space="0"/>
            </w:tcBorders>
            <w:vAlign w:val="center"/>
          </w:tcPr>
          <w:p w14:paraId="22A0CB08">
            <w:pPr>
              <w:spacing w:line="340" w:lineRule="exact"/>
              <w:ind w:firstLine="0" w:firstLineChars="0"/>
              <w:rPr>
                <w:rFonts w:hint="eastAsia" w:ascii="宋体" w:hAnsi="宋体" w:cs="宋体"/>
                <w:szCs w:val="21"/>
                <w:shd w:val="clear" w:color="auto" w:fill="FFFFFF"/>
              </w:rPr>
            </w:pPr>
            <w:r>
              <w:rPr>
                <w:rFonts w:hint="eastAsia" w:ascii="宋体" w:hAnsi="宋体" w:cs="宋体"/>
                <w:szCs w:val="21"/>
                <w:shd w:val="clear" w:color="auto" w:fill="FFFFFF"/>
              </w:rPr>
              <w:t>符合比选文件规定</w:t>
            </w:r>
          </w:p>
        </w:tc>
      </w:tr>
      <w:tr w14:paraId="395EF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792" w:type="dxa"/>
            <w:vMerge w:val="continue"/>
            <w:tcBorders>
              <w:right w:val="single" w:color="auto" w:sz="4" w:space="0"/>
            </w:tcBorders>
            <w:vAlign w:val="center"/>
          </w:tcPr>
          <w:p w14:paraId="5C58DC07">
            <w:pPr>
              <w:spacing w:line="340" w:lineRule="exact"/>
              <w:ind w:firstLine="33" w:firstLineChars="14"/>
              <w:jc w:val="center"/>
              <w:rPr>
                <w:rFonts w:hint="eastAsia" w:ascii="宋体" w:hAnsi="宋体" w:cs="宋体"/>
                <w:szCs w:val="21"/>
                <w:shd w:val="clear" w:color="auto" w:fill="FFFFFF"/>
              </w:rPr>
            </w:pPr>
          </w:p>
        </w:tc>
        <w:tc>
          <w:tcPr>
            <w:tcW w:w="1464" w:type="dxa"/>
            <w:vMerge w:val="continue"/>
            <w:tcBorders>
              <w:right w:val="single" w:color="auto" w:sz="4" w:space="0"/>
            </w:tcBorders>
            <w:vAlign w:val="center"/>
          </w:tcPr>
          <w:p w14:paraId="57FDE603">
            <w:pPr>
              <w:spacing w:line="340" w:lineRule="exact"/>
              <w:ind w:firstLine="480"/>
              <w:jc w:val="center"/>
              <w:rPr>
                <w:rFonts w:hint="eastAsia" w:ascii="宋体" w:hAnsi="宋体" w:cs="宋体"/>
                <w:szCs w:val="21"/>
                <w:shd w:val="clear" w:color="auto" w:fill="FFFFFF"/>
              </w:rPr>
            </w:pPr>
          </w:p>
        </w:tc>
        <w:tc>
          <w:tcPr>
            <w:tcW w:w="1364" w:type="dxa"/>
            <w:tcBorders>
              <w:top w:val="single" w:color="auto" w:sz="4" w:space="0"/>
              <w:left w:val="single" w:color="auto" w:sz="4" w:space="0"/>
              <w:bottom w:val="single" w:color="auto" w:sz="4" w:space="0"/>
              <w:right w:val="single" w:color="auto" w:sz="4" w:space="0"/>
            </w:tcBorders>
            <w:vAlign w:val="center"/>
          </w:tcPr>
          <w:p w14:paraId="426DE964">
            <w:pPr>
              <w:spacing w:line="340" w:lineRule="exact"/>
              <w:ind w:firstLine="0" w:firstLineChars="0"/>
              <w:jc w:val="center"/>
              <w:rPr>
                <w:rFonts w:hint="eastAsia" w:ascii="宋体" w:hAnsi="宋体" w:cs="宋体"/>
                <w:szCs w:val="21"/>
                <w:shd w:val="clear" w:color="auto" w:fill="FFFFFF"/>
              </w:rPr>
            </w:pPr>
            <w:r>
              <w:rPr>
                <w:rFonts w:hint="eastAsia" w:ascii="宋体" w:hAnsi="宋体" w:cs="宋体"/>
                <w:szCs w:val="21"/>
                <w:shd w:val="clear" w:color="auto" w:fill="FFFFFF"/>
              </w:rPr>
              <w:t>资质要求</w:t>
            </w:r>
          </w:p>
        </w:tc>
        <w:tc>
          <w:tcPr>
            <w:tcW w:w="5807" w:type="dxa"/>
            <w:tcBorders>
              <w:top w:val="single" w:color="auto" w:sz="4" w:space="0"/>
              <w:left w:val="single" w:color="auto" w:sz="4" w:space="0"/>
              <w:bottom w:val="single" w:color="auto" w:sz="4" w:space="0"/>
              <w:right w:val="single" w:color="auto" w:sz="4" w:space="0"/>
            </w:tcBorders>
            <w:vAlign w:val="center"/>
          </w:tcPr>
          <w:p w14:paraId="0D9F752D">
            <w:pPr>
              <w:spacing w:line="340" w:lineRule="exact"/>
              <w:ind w:firstLine="0" w:firstLineChars="0"/>
              <w:rPr>
                <w:rFonts w:hint="eastAsia" w:ascii="宋体" w:hAnsi="宋体" w:cs="宋体"/>
                <w:szCs w:val="21"/>
                <w:shd w:val="clear" w:color="auto" w:fill="FFFFFF"/>
              </w:rPr>
            </w:pPr>
            <w:r>
              <w:rPr>
                <w:rFonts w:hint="eastAsia" w:ascii="宋体" w:hAnsi="宋体" w:cs="宋体"/>
                <w:szCs w:val="21"/>
                <w:shd w:val="clear" w:color="auto" w:fill="FFFFFF"/>
              </w:rPr>
              <w:t>符合比选文件规定</w:t>
            </w:r>
          </w:p>
        </w:tc>
      </w:tr>
      <w:tr w14:paraId="32A18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792" w:type="dxa"/>
            <w:tcBorders>
              <w:top w:val="single" w:color="auto" w:sz="4" w:space="0"/>
              <w:right w:val="single" w:color="auto" w:sz="4" w:space="0"/>
            </w:tcBorders>
            <w:vAlign w:val="center"/>
          </w:tcPr>
          <w:p w14:paraId="0C0EE963">
            <w:pPr>
              <w:spacing w:line="340" w:lineRule="exact"/>
              <w:ind w:firstLine="33" w:firstLineChars="14"/>
              <w:jc w:val="center"/>
              <w:rPr>
                <w:rFonts w:hint="eastAsia" w:ascii="宋体" w:hAnsi="宋体" w:cs="宋体"/>
                <w:szCs w:val="21"/>
                <w:shd w:val="clear" w:color="auto" w:fill="FFFFFF"/>
              </w:rPr>
            </w:pPr>
            <w:r>
              <w:rPr>
                <w:rFonts w:hint="eastAsia" w:ascii="宋体" w:hAnsi="宋体" w:cs="宋体"/>
                <w:szCs w:val="21"/>
                <w:shd w:val="clear" w:color="auto" w:fill="FFFFFF"/>
              </w:rPr>
              <w:t>1.1.3</w:t>
            </w:r>
          </w:p>
        </w:tc>
        <w:tc>
          <w:tcPr>
            <w:tcW w:w="1464" w:type="dxa"/>
            <w:tcBorders>
              <w:top w:val="single" w:color="auto" w:sz="4" w:space="0"/>
              <w:right w:val="single" w:color="auto" w:sz="4" w:space="0"/>
            </w:tcBorders>
            <w:vAlign w:val="center"/>
          </w:tcPr>
          <w:p w14:paraId="331C2B38">
            <w:pPr>
              <w:spacing w:line="340" w:lineRule="exact"/>
              <w:ind w:firstLine="0" w:firstLineChars="0"/>
              <w:jc w:val="center"/>
              <w:rPr>
                <w:rFonts w:hint="eastAsia" w:ascii="宋体" w:hAnsi="宋体" w:cs="宋体"/>
                <w:szCs w:val="21"/>
                <w:shd w:val="clear" w:color="auto" w:fill="FFFFFF"/>
              </w:rPr>
            </w:pPr>
            <w:r>
              <w:rPr>
                <w:rFonts w:hint="eastAsia" w:ascii="宋体" w:hAnsi="宋体" w:cs="宋体"/>
                <w:szCs w:val="21"/>
                <w:shd w:val="clear" w:color="auto" w:fill="FFFFFF"/>
              </w:rPr>
              <w:t>响应性评审标准</w:t>
            </w:r>
          </w:p>
        </w:tc>
        <w:tc>
          <w:tcPr>
            <w:tcW w:w="1364" w:type="dxa"/>
            <w:tcBorders>
              <w:top w:val="single" w:color="auto" w:sz="4" w:space="0"/>
              <w:left w:val="single" w:color="auto" w:sz="4" w:space="0"/>
              <w:bottom w:val="single" w:color="auto" w:sz="4" w:space="0"/>
              <w:right w:val="single" w:color="auto" w:sz="4" w:space="0"/>
            </w:tcBorders>
            <w:vAlign w:val="center"/>
          </w:tcPr>
          <w:p w14:paraId="5AB2DC48">
            <w:pPr>
              <w:spacing w:line="340" w:lineRule="exact"/>
              <w:ind w:firstLine="0" w:firstLineChars="0"/>
              <w:jc w:val="center"/>
              <w:rPr>
                <w:rFonts w:hint="eastAsia" w:ascii="宋体" w:hAnsi="宋体" w:cs="宋体"/>
                <w:szCs w:val="21"/>
                <w:shd w:val="clear" w:color="auto" w:fill="FFFFFF"/>
              </w:rPr>
            </w:pPr>
            <w:r>
              <w:rPr>
                <w:rFonts w:hint="eastAsia" w:ascii="宋体" w:hAnsi="宋体" w:cs="宋体"/>
                <w:szCs w:val="21"/>
                <w:shd w:val="clear" w:color="auto" w:fill="FFFFFF"/>
              </w:rPr>
              <w:t>报价要求</w:t>
            </w:r>
          </w:p>
        </w:tc>
        <w:tc>
          <w:tcPr>
            <w:tcW w:w="5807" w:type="dxa"/>
            <w:tcBorders>
              <w:top w:val="single" w:color="auto" w:sz="4" w:space="0"/>
              <w:left w:val="single" w:color="auto" w:sz="4" w:space="0"/>
              <w:bottom w:val="single" w:color="auto" w:sz="4" w:space="0"/>
              <w:right w:val="single" w:color="auto" w:sz="4" w:space="0"/>
            </w:tcBorders>
            <w:vAlign w:val="center"/>
          </w:tcPr>
          <w:p w14:paraId="1AB9A74D">
            <w:pPr>
              <w:spacing w:line="340" w:lineRule="exact"/>
              <w:ind w:firstLine="0" w:firstLineChars="0"/>
              <w:rPr>
                <w:rFonts w:hint="eastAsia" w:ascii="宋体" w:hAnsi="宋体"/>
                <w:szCs w:val="21"/>
              </w:rPr>
            </w:pPr>
            <w:r>
              <w:rPr>
                <w:rFonts w:hint="eastAsia" w:ascii="宋体" w:hAnsi="宋体" w:cs="宋体"/>
                <w:szCs w:val="21"/>
                <w:shd w:val="clear" w:color="auto" w:fill="FFFFFF"/>
              </w:rPr>
              <w:t>1、竞标人</w:t>
            </w:r>
            <w:r>
              <w:rPr>
                <w:rFonts w:hint="eastAsia" w:ascii="宋体" w:hAnsi="宋体"/>
                <w:szCs w:val="21"/>
              </w:rPr>
              <w:t xml:space="preserve">总报价及综合单价报价不得超过比选人公布的相应最高限价。若报价为下浮比例方式，则应满足比选文件要求。 </w:t>
            </w:r>
          </w:p>
          <w:p w14:paraId="5F53F316">
            <w:pPr>
              <w:spacing w:line="340" w:lineRule="exact"/>
              <w:ind w:firstLine="0" w:firstLineChars="0"/>
              <w:rPr>
                <w:rFonts w:hint="eastAsia" w:ascii="宋体" w:hAnsi="宋体" w:cs="宋体"/>
                <w:szCs w:val="21"/>
                <w:shd w:val="clear" w:color="auto" w:fill="FFFFFF"/>
              </w:rPr>
            </w:pPr>
            <w:r>
              <w:rPr>
                <w:rFonts w:hint="eastAsia" w:ascii="宋体" w:hAnsi="宋体"/>
                <w:szCs w:val="21"/>
              </w:rPr>
              <w:t>2、</w:t>
            </w:r>
            <w:r>
              <w:rPr>
                <w:rFonts w:hint="eastAsia" w:ascii="宋体" w:hAnsi="宋体" w:cs="宋体"/>
                <w:szCs w:val="21"/>
                <w:shd w:val="clear" w:color="auto" w:fill="FFFFFF"/>
              </w:rPr>
              <w:t>同一竞标人提交两个以上不同的竞标文件或者竞标报价，但比选文件要求提交备选的除外。</w:t>
            </w:r>
          </w:p>
        </w:tc>
      </w:tr>
      <w:tr w14:paraId="0F881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427" w:type="dxa"/>
            <w:gridSpan w:val="4"/>
            <w:tcBorders>
              <w:top w:val="single" w:color="auto" w:sz="4" w:space="0"/>
              <w:bottom w:val="single" w:color="auto" w:sz="4" w:space="0"/>
              <w:right w:val="single" w:color="auto" w:sz="4" w:space="0"/>
            </w:tcBorders>
            <w:vAlign w:val="center"/>
          </w:tcPr>
          <w:p w14:paraId="792EB2A3">
            <w:pPr>
              <w:spacing w:line="340" w:lineRule="exact"/>
              <w:ind w:firstLine="480"/>
              <w:rPr>
                <w:rFonts w:hint="eastAsia" w:ascii="宋体" w:hAnsi="宋体" w:cs="宋体"/>
                <w:szCs w:val="21"/>
                <w:shd w:val="clear" w:color="auto" w:fill="FFFFFF"/>
              </w:rPr>
            </w:pPr>
            <w:r>
              <w:rPr>
                <w:rFonts w:hint="eastAsia" w:ascii="宋体" w:hAnsi="宋体" w:cs="宋体"/>
                <w:szCs w:val="21"/>
                <w:shd w:val="clear" w:color="auto" w:fill="FFFFFF"/>
              </w:rPr>
              <w:t>注：条款1.1.1、1.1.2、1.1.3均为强制性要求，竞标人如不满足，按否决</w:t>
            </w:r>
            <w:r>
              <w:rPr>
                <w:rFonts w:hint="eastAsia"/>
                <w:b/>
                <w:szCs w:val="21"/>
              </w:rPr>
              <w:t>竞标</w:t>
            </w:r>
            <w:r>
              <w:rPr>
                <w:rFonts w:hint="eastAsia" w:ascii="宋体" w:hAnsi="宋体" w:cs="宋体"/>
                <w:szCs w:val="21"/>
                <w:shd w:val="clear" w:color="auto" w:fill="FFFFFF"/>
              </w:rPr>
              <w:t>处理。</w:t>
            </w:r>
          </w:p>
        </w:tc>
      </w:tr>
      <w:tr w14:paraId="5E1D3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427" w:type="dxa"/>
            <w:gridSpan w:val="4"/>
            <w:tcBorders>
              <w:top w:val="single" w:color="auto" w:sz="4" w:space="0"/>
              <w:bottom w:val="single" w:color="auto" w:sz="4" w:space="0"/>
              <w:right w:val="single" w:color="auto" w:sz="4" w:space="0"/>
            </w:tcBorders>
            <w:vAlign w:val="center"/>
          </w:tcPr>
          <w:p w14:paraId="7372D021">
            <w:pPr>
              <w:spacing w:line="400" w:lineRule="exact"/>
              <w:ind w:firstLine="480"/>
            </w:pPr>
            <w:r>
              <w:t>有下列情况之一的，</w:t>
            </w:r>
            <w:r>
              <w:rPr>
                <w:rFonts w:hint="eastAsia"/>
              </w:rPr>
              <w:t>直接按</w:t>
            </w:r>
            <w:r>
              <w:t>否决</w:t>
            </w:r>
            <w:r>
              <w:rPr>
                <w:rFonts w:hint="eastAsia"/>
              </w:rPr>
              <w:t>竞标</w:t>
            </w:r>
            <w:r>
              <w:t>处理。</w:t>
            </w:r>
          </w:p>
          <w:p w14:paraId="16A777EE">
            <w:pPr>
              <w:numPr>
                <w:ilvl w:val="0"/>
                <w:numId w:val="1"/>
              </w:numPr>
              <w:spacing w:line="400" w:lineRule="exact"/>
              <w:ind w:left="0" w:firstLine="480"/>
            </w:pPr>
            <w:r>
              <w:t>不同</w:t>
            </w:r>
            <w:r>
              <w:rPr>
                <w:rFonts w:hint="eastAsia" w:ascii="宋体" w:hAnsi="宋体" w:cs="宋体"/>
                <w:szCs w:val="21"/>
                <w:shd w:val="clear" w:color="auto" w:fill="FFFFFF"/>
              </w:rPr>
              <w:t>竞标人</w:t>
            </w:r>
            <w:r>
              <w:t>的</w:t>
            </w:r>
            <w:r>
              <w:rPr>
                <w:rFonts w:hint="eastAsia"/>
              </w:rPr>
              <w:t>竞标文件</w:t>
            </w:r>
            <w:r>
              <w:t>由同一单位或者个人编制；</w:t>
            </w:r>
          </w:p>
          <w:p w14:paraId="31B09557">
            <w:pPr>
              <w:numPr>
                <w:ilvl w:val="0"/>
                <w:numId w:val="1"/>
              </w:numPr>
              <w:spacing w:line="400" w:lineRule="exact"/>
              <w:ind w:left="0" w:firstLine="480"/>
            </w:pPr>
            <w:r>
              <w:t>不同</w:t>
            </w:r>
            <w:r>
              <w:rPr>
                <w:rFonts w:hint="eastAsia" w:ascii="宋体" w:hAnsi="宋体" w:cs="宋体"/>
                <w:szCs w:val="21"/>
                <w:shd w:val="clear" w:color="auto" w:fill="FFFFFF"/>
              </w:rPr>
              <w:t>竞标人</w:t>
            </w:r>
            <w:r>
              <w:t>委托同一单位或者个人办理</w:t>
            </w:r>
            <w:r>
              <w:rPr>
                <w:rFonts w:hint="eastAsia"/>
              </w:rPr>
              <w:t>竞标</w:t>
            </w:r>
            <w:r>
              <w:t>事宜；</w:t>
            </w:r>
          </w:p>
          <w:p w14:paraId="5E5E0711">
            <w:pPr>
              <w:numPr>
                <w:ilvl w:val="0"/>
                <w:numId w:val="1"/>
              </w:numPr>
              <w:spacing w:line="400" w:lineRule="exact"/>
              <w:ind w:left="0" w:firstLine="480"/>
            </w:pPr>
            <w:r>
              <w:t>不同</w:t>
            </w:r>
            <w:r>
              <w:rPr>
                <w:rFonts w:hint="eastAsia" w:ascii="宋体" w:hAnsi="宋体" w:cs="宋体"/>
                <w:szCs w:val="21"/>
                <w:shd w:val="clear" w:color="auto" w:fill="FFFFFF"/>
              </w:rPr>
              <w:t>竞标人</w:t>
            </w:r>
            <w:r>
              <w:t>的</w:t>
            </w:r>
            <w:r>
              <w:rPr>
                <w:rFonts w:hint="eastAsia"/>
              </w:rPr>
              <w:t>竞标文件</w:t>
            </w:r>
            <w:r>
              <w:t>载明的项目管理成员为同一人；</w:t>
            </w:r>
          </w:p>
          <w:p w14:paraId="5841F68F">
            <w:pPr>
              <w:numPr>
                <w:ilvl w:val="0"/>
                <w:numId w:val="1"/>
              </w:numPr>
              <w:spacing w:line="400" w:lineRule="exact"/>
              <w:ind w:left="0" w:firstLine="480"/>
            </w:pPr>
            <w:r>
              <w:t>不同</w:t>
            </w:r>
            <w:r>
              <w:rPr>
                <w:rFonts w:hint="eastAsia" w:ascii="宋体" w:hAnsi="宋体" w:cs="宋体"/>
                <w:szCs w:val="21"/>
                <w:shd w:val="clear" w:color="auto" w:fill="FFFFFF"/>
              </w:rPr>
              <w:t>竞标人</w:t>
            </w:r>
            <w:r>
              <w:t>的</w:t>
            </w:r>
            <w:r>
              <w:rPr>
                <w:rFonts w:hint="eastAsia"/>
              </w:rPr>
              <w:t>竞标文件</w:t>
            </w:r>
            <w:r>
              <w:t>异常一致或者</w:t>
            </w:r>
            <w:r>
              <w:rPr>
                <w:rFonts w:hint="eastAsia"/>
              </w:rPr>
              <w:t>竞标报价</w:t>
            </w:r>
            <w:r>
              <w:t>呈规律性差异</w:t>
            </w:r>
            <w:r>
              <w:rPr>
                <w:rFonts w:hint="eastAsia"/>
              </w:rPr>
              <w:t>或报价低于成本不具备竞争性</w:t>
            </w:r>
            <w:r>
              <w:t>；</w:t>
            </w:r>
          </w:p>
          <w:p w14:paraId="759CAE8D">
            <w:pPr>
              <w:numPr>
                <w:ilvl w:val="0"/>
                <w:numId w:val="1"/>
              </w:numPr>
              <w:spacing w:line="400" w:lineRule="exact"/>
              <w:ind w:left="0" w:firstLine="480"/>
            </w:pPr>
            <w:r>
              <w:t>不同</w:t>
            </w:r>
            <w:r>
              <w:rPr>
                <w:rFonts w:hint="eastAsia" w:ascii="宋体" w:hAnsi="宋体" w:cs="宋体"/>
                <w:szCs w:val="21"/>
                <w:shd w:val="clear" w:color="auto" w:fill="FFFFFF"/>
              </w:rPr>
              <w:t>竞标人</w:t>
            </w:r>
            <w:r>
              <w:t>的</w:t>
            </w:r>
            <w:r>
              <w:rPr>
                <w:rFonts w:hint="eastAsia"/>
              </w:rPr>
              <w:t>竞标文件</w:t>
            </w:r>
            <w:r>
              <w:t>相互混装；</w:t>
            </w:r>
          </w:p>
          <w:p w14:paraId="16E158ED">
            <w:pPr>
              <w:numPr>
                <w:ilvl w:val="0"/>
                <w:numId w:val="1"/>
              </w:numPr>
              <w:spacing w:line="400" w:lineRule="exact"/>
              <w:ind w:left="0" w:firstLine="480"/>
              <w:rPr>
                <w:rFonts w:eastAsia="黑体"/>
              </w:rPr>
            </w:pPr>
            <w:r>
              <w:rPr>
                <w:rFonts w:hint="eastAsia" w:ascii="宋体" w:hAnsi="宋体" w:cs="宋体"/>
                <w:szCs w:val="21"/>
                <w:shd w:val="clear" w:color="auto" w:fill="FFFFFF"/>
              </w:rPr>
              <w:t>竞标人</w:t>
            </w:r>
            <w:r>
              <w:rPr>
                <w:rFonts w:hint="eastAsia"/>
              </w:rPr>
              <w:t>必须保证竞标文件的真实性，一经发现提供的文件虚假不真实，直接按否决处理。</w:t>
            </w:r>
          </w:p>
        </w:tc>
      </w:tr>
      <w:tr w14:paraId="5C76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6" w:type="dxa"/>
            <w:gridSpan w:val="2"/>
            <w:vAlign w:val="center"/>
          </w:tcPr>
          <w:p w14:paraId="2323D024">
            <w:pPr>
              <w:spacing w:line="400" w:lineRule="exact"/>
              <w:ind w:firstLine="0" w:firstLineChars="0"/>
              <w:jc w:val="center"/>
              <w:rPr>
                <w:kern w:val="0"/>
                <w:szCs w:val="21"/>
              </w:rPr>
            </w:pPr>
            <w:r>
              <w:rPr>
                <w:rFonts w:hint="eastAsia"/>
                <w:szCs w:val="21"/>
              </w:rPr>
              <w:t>候</w:t>
            </w:r>
            <w:r>
              <w:rPr>
                <w:szCs w:val="21"/>
              </w:rPr>
              <w:t>选人</w:t>
            </w:r>
            <w:r>
              <w:rPr>
                <w:rFonts w:hint="eastAsia"/>
                <w:szCs w:val="21"/>
              </w:rPr>
              <w:t>推荐</w:t>
            </w:r>
          </w:p>
        </w:tc>
        <w:tc>
          <w:tcPr>
            <w:tcW w:w="7171" w:type="dxa"/>
            <w:gridSpan w:val="2"/>
            <w:vAlign w:val="center"/>
          </w:tcPr>
          <w:p w14:paraId="2FF4C6AD">
            <w:pPr>
              <w:spacing w:line="400" w:lineRule="exact"/>
              <w:ind w:firstLine="480"/>
              <w:rPr>
                <w:szCs w:val="21"/>
              </w:rPr>
            </w:pPr>
            <w:r>
              <w:rPr>
                <w:rFonts w:hint="eastAsia"/>
              </w:rPr>
              <w:t>若各标段报名家数大于等于三家，则</w:t>
            </w:r>
            <w:r>
              <w:rPr>
                <w:rFonts w:hint="eastAsia"/>
                <w:szCs w:val="21"/>
              </w:rPr>
              <w:t>经评审合格的候选人按价格由低到高的先后顺序推荐3名中标候选人；若评审合格的候选人不足3名（</w:t>
            </w:r>
            <w:r>
              <w:t>有效</w:t>
            </w:r>
            <w:r>
              <w:rPr>
                <w:rFonts w:hint="eastAsia"/>
                <w:szCs w:val="21"/>
              </w:rPr>
              <w:t>候选人</w:t>
            </w:r>
            <w:r>
              <w:t>的经济、技术等指标仍然具有市场竞争力，能够满足</w:t>
            </w:r>
            <w:r>
              <w:rPr>
                <w:rFonts w:hint="eastAsia"/>
              </w:rPr>
              <w:t>比选</w:t>
            </w:r>
            <w:r>
              <w:t>文件要求的</w:t>
            </w:r>
            <w:r>
              <w:rPr>
                <w:rFonts w:hint="eastAsia"/>
                <w:szCs w:val="21"/>
              </w:rPr>
              <w:t>），则只选取相应的数量。</w:t>
            </w:r>
          </w:p>
        </w:tc>
      </w:tr>
      <w:tr w14:paraId="4835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6" w:type="dxa"/>
            <w:gridSpan w:val="2"/>
            <w:vAlign w:val="center"/>
          </w:tcPr>
          <w:p w14:paraId="4FE20269">
            <w:pPr>
              <w:spacing w:line="400" w:lineRule="exact"/>
              <w:ind w:firstLine="0" w:firstLineChars="0"/>
              <w:jc w:val="center"/>
              <w:rPr>
                <w:szCs w:val="21"/>
              </w:rPr>
            </w:pPr>
            <w:r>
              <w:rPr>
                <w:rFonts w:hint="eastAsia" w:ascii="宋体" w:hAnsi="宋体"/>
                <w:szCs w:val="21"/>
              </w:rPr>
              <w:t>报价算术错误修正</w:t>
            </w:r>
          </w:p>
        </w:tc>
        <w:tc>
          <w:tcPr>
            <w:tcW w:w="7171" w:type="dxa"/>
            <w:gridSpan w:val="2"/>
            <w:vAlign w:val="center"/>
          </w:tcPr>
          <w:p w14:paraId="2C8367E3">
            <w:pPr>
              <w:spacing w:line="400" w:lineRule="exact"/>
              <w:ind w:firstLine="480"/>
            </w:pPr>
            <w:r>
              <w:rPr>
                <w:rFonts w:hint="eastAsia"/>
              </w:rPr>
              <w:t>若在评标过程中发现报价存在计算错误，则按以下规则进行算术修正：投标报价为各分项报价金额之和，投标报价与分项报价的合价不一致的，应以各分项合价累计数为准，修正投标报价；如分项报价中存在缺漏项，则视为缺漏项价格已包含在其他分项报价之中。投标大小写金额不一致的，以大写金额为准进行修正。总价金额和单价金额不一致的，以单价金额为准，但是单价金额有明显小数点错误的除外。</w:t>
            </w:r>
          </w:p>
        </w:tc>
      </w:tr>
      <w:tr w14:paraId="2CA3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6" w:type="dxa"/>
            <w:gridSpan w:val="2"/>
            <w:vAlign w:val="center"/>
          </w:tcPr>
          <w:p w14:paraId="3DBD58DB">
            <w:pPr>
              <w:spacing w:line="400" w:lineRule="exact"/>
              <w:ind w:firstLine="0" w:firstLineChars="0"/>
              <w:jc w:val="center"/>
              <w:rPr>
                <w:rFonts w:hint="eastAsia" w:ascii="宋体" w:hAnsi="宋体"/>
                <w:szCs w:val="21"/>
              </w:rPr>
            </w:pPr>
            <w:r>
              <w:rPr>
                <w:rFonts w:hint="eastAsia" w:ascii="宋体" w:hAnsi="宋体"/>
                <w:szCs w:val="21"/>
              </w:rPr>
              <w:t>澄清</w:t>
            </w:r>
          </w:p>
        </w:tc>
        <w:tc>
          <w:tcPr>
            <w:tcW w:w="7171" w:type="dxa"/>
            <w:gridSpan w:val="2"/>
            <w:vAlign w:val="center"/>
          </w:tcPr>
          <w:p w14:paraId="24069C35">
            <w:pPr>
              <w:spacing w:line="400" w:lineRule="exact"/>
              <w:ind w:firstLine="480"/>
            </w:pPr>
            <w:r>
              <w:rPr>
                <w:rFonts w:hint="eastAsia"/>
              </w:rPr>
              <w:t>在评标过程中，评审小组可以要求竞标人对所提交投标文件中不明确的内容进行书面澄清或说明，或者对细微偏差进行补正。评标小组不接受竞标人主动提出的澄清、说明或补正。</w:t>
            </w:r>
          </w:p>
        </w:tc>
      </w:tr>
    </w:tbl>
    <w:p w14:paraId="125F7076">
      <w:pPr>
        <w:spacing w:line="360" w:lineRule="auto"/>
        <w:ind w:firstLine="480"/>
      </w:pPr>
      <w:r>
        <w:rPr>
          <w:rFonts w:hint="eastAsia"/>
        </w:rPr>
        <w:t>【注】若投标人恶意竞标后不按比选要求与比选人签订合同，比选人将直接将投标人及其关联单位（含法人代表与委托代理人）一并拉入黑名单，不得参与公路养护工程（集团）有限公司所有比选项目报价。</w:t>
      </w:r>
    </w:p>
    <w:p w14:paraId="726A0920">
      <w:pPr>
        <w:pStyle w:val="3"/>
        <w:spacing w:line="360" w:lineRule="auto"/>
      </w:pPr>
      <w:r>
        <w:rPr>
          <w:rFonts w:hint="eastAsia"/>
        </w:rPr>
        <w:t>六、比选须知</w:t>
      </w:r>
    </w:p>
    <w:p w14:paraId="68ECFB8C">
      <w:pPr>
        <w:wordWrap/>
        <w:topLinePunct w:val="0"/>
        <w:spacing w:line="360" w:lineRule="auto"/>
        <w:ind w:firstLine="480"/>
        <w:jc w:val="left"/>
        <w:rPr>
          <w:rFonts w:hint="eastAsia" w:ascii="宋体" w:hAnsi="宋体" w:cs="宋体"/>
        </w:rPr>
      </w:pPr>
      <w:r>
        <w:rPr>
          <w:rFonts w:hint="eastAsia"/>
        </w:rPr>
        <w:t>1、比选文件获取方式：凡愿意参加的潜在投标人，自挂网起至投标文件递交截止时间前，详见重庆高速集团官网（http://www.cegc.com.cn）上发布的本项目比选公告中的获取方式（链接）自行下载，不管投标人是否下载，均视为已知晓比选文件的全部内容和有关事宜，本项目不需要报名，直接投标。</w:t>
      </w:r>
    </w:p>
    <w:p w14:paraId="667B0B7D">
      <w:pPr>
        <w:wordWrap/>
        <w:topLinePunct w:val="0"/>
        <w:spacing w:line="360" w:lineRule="auto"/>
        <w:ind w:firstLine="480"/>
        <w:rPr>
          <w:rFonts w:hint="eastAsia" w:ascii="宋体" w:hAnsi="宋体" w:cs="宋体"/>
        </w:rPr>
      </w:pPr>
      <w:r>
        <w:rPr>
          <w:rFonts w:hint="eastAsia"/>
        </w:rPr>
        <w:t>2、比选公告及结果公示将在</w:t>
      </w:r>
      <w:r>
        <w:rPr>
          <w:rFonts w:hint="eastAsia" w:ascii="宋体" w:hAnsi="宋体" w:cs="宋体"/>
        </w:rPr>
        <w:t>重庆高速集团官网（http://www.cegc.com.cn）</w:t>
      </w:r>
      <w:r>
        <w:rPr>
          <w:rFonts w:hint="eastAsia"/>
        </w:rPr>
        <w:t>上发布。</w:t>
      </w:r>
    </w:p>
    <w:p w14:paraId="1974AE41">
      <w:pPr>
        <w:spacing w:line="360" w:lineRule="auto"/>
        <w:ind w:firstLine="480"/>
        <w:rPr>
          <w:b/>
          <w:bCs/>
        </w:rPr>
      </w:pPr>
      <w:r>
        <w:rPr>
          <w:rFonts w:hint="eastAsia"/>
        </w:rPr>
        <w:t>3、投标文件递交地点：</w:t>
      </w:r>
      <w:r>
        <w:rPr>
          <w:rFonts w:hint="eastAsia"/>
          <w:b/>
          <w:bCs/>
        </w:rPr>
        <w:t>重庆公路养护工程（集团）有限公司306室（重庆市沙坪坝区梨高路沙坪坝区档案馆旁重庆市公路养护管理段三楼）。</w:t>
      </w:r>
    </w:p>
    <w:p w14:paraId="2C4DA00C">
      <w:pPr>
        <w:spacing w:line="360" w:lineRule="auto"/>
        <w:ind w:firstLine="480"/>
        <w:rPr>
          <w:color w:val="auto"/>
        </w:rPr>
      </w:pPr>
      <w:r>
        <w:rPr>
          <w:rFonts w:hint="eastAsia"/>
        </w:rPr>
        <w:t>4、投标文件递交截止时间</w:t>
      </w:r>
      <w:r>
        <w:rPr>
          <w:rFonts w:hint="eastAsia"/>
          <w:color w:val="auto"/>
        </w:rPr>
        <w:t>：</w:t>
      </w:r>
      <w:r>
        <w:rPr>
          <w:rFonts w:hint="eastAsia"/>
          <w:color w:val="auto"/>
          <w:u w:val="single"/>
        </w:rPr>
        <w:t xml:space="preserve"> </w:t>
      </w:r>
      <w:r>
        <w:rPr>
          <w:rFonts w:hint="eastAsia"/>
          <w:b/>
          <w:bCs/>
          <w:color w:val="auto"/>
          <w:u w:val="single"/>
        </w:rPr>
        <w:t xml:space="preserve">2025 </w:t>
      </w:r>
      <w:r>
        <w:rPr>
          <w:rFonts w:hint="eastAsia"/>
          <w:color w:val="auto"/>
        </w:rPr>
        <w:t>年</w:t>
      </w:r>
      <w:r>
        <w:rPr>
          <w:rFonts w:hint="eastAsia"/>
          <w:b/>
          <w:bCs/>
          <w:color w:val="auto"/>
          <w:u w:val="single"/>
        </w:rPr>
        <w:t xml:space="preserve"> 8 </w:t>
      </w:r>
      <w:r>
        <w:rPr>
          <w:rFonts w:hint="eastAsia"/>
          <w:color w:val="auto"/>
        </w:rPr>
        <w:t>月</w:t>
      </w:r>
      <w:r>
        <w:rPr>
          <w:rFonts w:hint="eastAsia"/>
          <w:b/>
          <w:bCs/>
          <w:color w:val="auto"/>
          <w:u w:val="single"/>
        </w:rPr>
        <w:t xml:space="preserve"> </w:t>
      </w:r>
      <w:r>
        <w:rPr>
          <w:rFonts w:hint="eastAsia"/>
          <w:b/>
          <w:bCs/>
          <w:color w:val="auto"/>
          <w:u w:val="single"/>
          <w:lang w:val="en-US" w:eastAsia="zh-CN"/>
        </w:rPr>
        <w:t>4</w:t>
      </w:r>
      <w:r>
        <w:rPr>
          <w:rFonts w:hint="eastAsia"/>
          <w:b/>
          <w:bCs/>
          <w:color w:val="auto"/>
          <w:u w:val="single"/>
        </w:rPr>
        <w:t xml:space="preserve"> </w:t>
      </w:r>
      <w:r>
        <w:rPr>
          <w:rFonts w:hint="eastAsia"/>
          <w:color w:val="auto"/>
        </w:rPr>
        <w:t>日</w:t>
      </w:r>
      <w:r>
        <w:rPr>
          <w:rFonts w:hint="eastAsia"/>
          <w:b/>
          <w:bCs/>
          <w:color w:val="auto"/>
          <w:u w:val="single"/>
        </w:rPr>
        <w:t xml:space="preserve"> 10 </w:t>
      </w:r>
      <w:r>
        <w:rPr>
          <w:rFonts w:hint="eastAsia"/>
          <w:color w:val="auto"/>
        </w:rPr>
        <w:t>时</w:t>
      </w:r>
      <w:r>
        <w:rPr>
          <w:rFonts w:hint="eastAsia"/>
          <w:b/>
          <w:bCs/>
          <w:color w:val="auto"/>
          <w:u w:val="single"/>
        </w:rPr>
        <w:t xml:space="preserve"> 00 </w:t>
      </w:r>
      <w:r>
        <w:rPr>
          <w:rFonts w:hint="eastAsia"/>
          <w:color w:val="auto"/>
        </w:rPr>
        <w:t>分。</w:t>
      </w:r>
    </w:p>
    <w:p w14:paraId="3901BB2F">
      <w:pPr>
        <w:spacing w:line="360" w:lineRule="auto"/>
        <w:ind w:firstLine="480"/>
      </w:pPr>
      <w:r>
        <w:rPr>
          <w:rFonts w:hint="eastAsia"/>
        </w:rPr>
        <w:t>5、各投标人应根据本次比选文件的具体要求，编制规范的投标文件（</w:t>
      </w:r>
      <w:r>
        <w:rPr>
          <w:rFonts w:hint="eastAsia"/>
          <w:b/>
          <w:bCs/>
        </w:rPr>
        <w:t>投标文件，要求填写规范，密封完好并在封口处加盖公章，所有投标文件均只能作一次性提交，提交后不得更改</w:t>
      </w:r>
      <w:r>
        <w:rPr>
          <w:rFonts w:hint="eastAsia"/>
        </w:rPr>
        <w:t>）。当第一次不足三家报名时，不予开标，标书当场退回；第二次不足三家报名时，可按比选文件要求进行开标。</w:t>
      </w:r>
    </w:p>
    <w:p w14:paraId="3144E4CA">
      <w:pPr>
        <w:spacing w:line="360" w:lineRule="auto"/>
        <w:ind w:firstLine="480"/>
      </w:pPr>
      <w:r>
        <w:rPr>
          <w:rFonts w:hint="eastAsia"/>
          <w:lang w:val="en-US" w:eastAsia="zh-CN"/>
        </w:rPr>
        <w:t>6</w:t>
      </w:r>
      <w:r>
        <w:rPr>
          <w:rFonts w:hint="eastAsia"/>
        </w:rPr>
        <w:t>、密封要求：</w:t>
      </w:r>
    </w:p>
    <w:p w14:paraId="3B09F82B">
      <w:pPr>
        <w:spacing w:line="360" w:lineRule="auto"/>
        <w:ind w:firstLine="480"/>
      </w:pPr>
      <w:r>
        <w:rPr>
          <w:rFonts w:hint="eastAsia"/>
        </w:rPr>
        <w:t>按</w:t>
      </w:r>
      <w:r>
        <w:rPr>
          <w:rFonts w:hint="eastAsia"/>
          <w:b/>
          <w:bCs/>
        </w:rPr>
        <w:t>第三条</w:t>
      </w:r>
      <w:r>
        <w:rPr>
          <w:rFonts w:hint="eastAsia"/>
        </w:rPr>
        <w:t>要求编制的投标文件，将投标文件密封到一个封套中，封套上须注明以下内容：</w:t>
      </w:r>
    </w:p>
    <w:p w14:paraId="08825AD9">
      <w:pPr>
        <w:wordWrap/>
        <w:topLinePunct w:val="0"/>
        <w:spacing w:line="360" w:lineRule="auto"/>
        <w:ind w:firstLine="0" w:firstLineChars="0"/>
        <w:jc w:val="center"/>
        <w:rPr>
          <w:b/>
          <w:bCs/>
          <w:u w:val="single"/>
        </w:rPr>
      </w:pPr>
      <w:r>
        <w:rPr>
          <w:rFonts w:hint="eastAsia"/>
          <w:b/>
          <w:bCs/>
          <w:u w:val="single"/>
        </w:rPr>
        <w:t>重庆公路养护工程（集团）有限公司2025年路面专项工程交 通组织咨询服务</w:t>
      </w:r>
    </w:p>
    <w:p w14:paraId="0BE3E66A">
      <w:pPr>
        <w:wordWrap/>
        <w:topLinePunct w:val="0"/>
        <w:spacing w:line="360" w:lineRule="auto"/>
        <w:ind w:firstLine="0" w:firstLineChars="0"/>
        <w:jc w:val="center"/>
        <w:rPr>
          <w:b/>
          <w:bCs/>
          <w:u w:val="single"/>
        </w:rPr>
      </w:pPr>
      <w:r>
        <w:rPr>
          <w:rFonts w:hint="eastAsia"/>
          <w:b/>
          <w:bCs/>
          <w:u w:val="single"/>
        </w:rPr>
        <w:t>投标文件</w:t>
      </w:r>
    </w:p>
    <w:p w14:paraId="410B3119">
      <w:pPr>
        <w:wordWrap/>
        <w:topLinePunct w:val="0"/>
        <w:spacing w:line="360" w:lineRule="auto"/>
        <w:ind w:firstLine="0" w:firstLineChars="0"/>
        <w:jc w:val="center"/>
        <w:rPr>
          <w:b/>
          <w:bCs/>
          <w:color w:val="auto"/>
          <w:u w:val="single"/>
        </w:rPr>
      </w:pPr>
      <w:r>
        <w:rPr>
          <w:b/>
          <w:bCs/>
          <w:color w:val="auto"/>
          <w:u w:val="single"/>
        </w:rPr>
        <w:t>在</w:t>
      </w:r>
      <w:r>
        <w:rPr>
          <w:rFonts w:hint="eastAsia"/>
          <w:b/>
          <w:bCs/>
          <w:color w:val="auto"/>
          <w:u w:val="single"/>
        </w:rPr>
        <w:t>2025</w:t>
      </w:r>
      <w:r>
        <w:rPr>
          <w:b/>
          <w:bCs/>
          <w:color w:val="auto"/>
          <w:u w:val="single"/>
        </w:rPr>
        <w:t>年</w:t>
      </w:r>
      <w:r>
        <w:rPr>
          <w:rFonts w:hint="eastAsia"/>
          <w:b/>
          <w:bCs/>
          <w:color w:val="auto"/>
          <w:u w:val="single"/>
        </w:rPr>
        <w:t>8</w:t>
      </w:r>
      <w:r>
        <w:rPr>
          <w:b/>
          <w:bCs/>
          <w:color w:val="auto"/>
          <w:u w:val="single"/>
        </w:rPr>
        <w:t>月</w:t>
      </w:r>
      <w:bookmarkStart w:id="1" w:name="_GoBack"/>
      <w:bookmarkEnd w:id="1"/>
      <w:r>
        <w:rPr>
          <w:rFonts w:hint="eastAsia"/>
          <w:b/>
          <w:bCs/>
          <w:color w:val="auto"/>
          <w:u w:val="single"/>
        </w:rPr>
        <w:t xml:space="preserve"> </w:t>
      </w:r>
      <w:r>
        <w:rPr>
          <w:rFonts w:hint="eastAsia"/>
          <w:b/>
          <w:bCs/>
          <w:color w:val="auto"/>
          <w:u w:val="single"/>
          <w:lang w:val="en-US" w:eastAsia="zh-CN"/>
        </w:rPr>
        <w:t>4</w:t>
      </w:r>
      <w:r>
        <w:rPr>
          <w:b/>
          <w:bCs/>
          <w:color w:val="auto"/>
          <w:u w:val="single"/>
        </w:rPr>
        <w:t>日</w:t>
      </w:r>
      <w:r>
        <w:rPr>
          <w:rFonts w:hint="eastAsia"/>
          <w:b/>
          <w:bCs/>
          <w:color w:val="auto"/>
          <w:u w:val="single"/>
        </w:rPr>
        <w:t xml:space="preserve"> 10 </w:t>
      </w:r>
      <w:r>
        <w:rPr>
          <w:b/>
          <w:bCs/>
          <w:color w:val="auto"/>
          <w:u w:val="single"/>
        </w:rPr>
        <w:t>时</w:t>
      </w:r>
      <w:r>
        <w:rPr>
          <w:rFonts w:hint="eastAsia"/>
          <w:b/>
          <w:bCs/>
          <w:color w:val="auto"/>
          <w:u w:val="single"/>
        </w:rPr>
        <w:t xml:space="preserve"> 00 </w:t>
      </w:r>
      <w:r>
        <w:rPr>
          <w:b/>
          <w:bCs/>
          <w:color w:val="auto"/>
          <w:u w:val="single"/>
        </w:rPr>
        <w:t>分前不得开启</w:t>
      </w:r>
    </w:p>
    <w:p w14:paraId="65675596">
      <w:pPr>
        <w:spacing w:line="360" w:lineRule="auto"/>
        <w:ind w:firstLine="480"/>
      </w:pPr>
      <w:r>
        <w:rPr>
          <w:rFonts w:hint="eastAsia"/>
          <w:lang w:val="en-US" w:eastAsia="zh-CN"/>
        </w:rPr>
        <w:t>7</w:t>
      </w:r>
      <w:r>
        <w:rPr>
          <w:rFonts w:hint="eastAsia"/>
        </w:rPr>
        <w:t>、廉政约定：</w:t>
      </w:r>
    </w:p>
    <w:p w14:paraId="484B3C99">
      <w:pPr>
        <w:spacing w:line="360" w:lineRule="auto"/>
        <w:ind w:firstLine="480"/>
      </w:pPr>
      <w:r>
        <w:t>为杜绝商业贿赂现象，共同营造公平、公正的竞争环境，敬请各</w:t>
      </w:r>
      <w:r>
        <w:rPr>
          <w:rFonts w:hint="eastAsia"/>
        </w:rPr>
        <w:t>投标人</w:t>
      </w:r>
      <w:r>
        <w:t>在参与竞标报价过程中，将</w:t>
      </w:r>
      <w:r>
        <w:rPr>
          <w:rFonts w:hint="eastAsia"/>
        </w:rPr>
        <w:t>比选人</w:t>
      </w:r>
      <w:r>
        <w:t>明示或暗示要求宴请、招待，或索取礼金、礼品、礼券、其他利益，或故意刁难、显失公平现象，向我司纪检监察人员进行举报</w:t>
      </w:r>
      <w:r>
        <w:rPr>
          <w:rFonts w:hint="eastAsia" w:ascii="宋体" w:hAnsi="宋体" w:cs="宋体"/>
          <w:szCs w:val="21"/>
        </w:rPr>
        <w:t>（须提供有效线索和相关证据、证明材料）</w:t>
      </w:r>
      <w:r>
        <w:t>。具体举报渠道告知如下：</w:t>
      </w:r>
    </w:p>
    <w:p w14:paraId="0960A303">
      <w:pPr>
        <w:spacing w:line="360" w:lineRule="auto"/>
        <w:ind w:firstLine="480"/>
      </w:pPr>
      <w:r>
        <w:t>举报部门：纪律检查室</w:t>
      </w:r>
      <w:r>
        <w:rPr>
          <w:rFonts w:hint="eastAsia"/>
        </w:rPr>
        <w:tab/>
      </w:r>
      <w:r>
        <w:rPr>
          <w:rFonts w:hint="eastAsia"/>
        </w:rPr>
        <w:tab/>
      </w:r>
      <w:r>
        <w:rPr>
          <w:rFonts w:hint="eastAsia"/>
        </w:rPr>
        <w:tab/>
      </w:r>
      <w:r>
        <w:rPr>
          <w:rFonts w:hint="eastAsia"/>
        </w:rPr>
        <w:tab/>
      </w:r>
      <w:r>
        <w:t>举报电话：</w:t>
      </w:r>
      <w:r>
        <w:rPr>
          <w:u w:val="single"/>
        </w:rPr>
        <w:t>023-89187977</w:t>
      </w:r>
    </w:p>
    <w:p w14:paraId="5B5A4D01">
      <w:pPr>
        <w:spacing w:line="360" w:lineRule="auto"/>
        <w:ind w:firstLine="480"/>
      </w:pPr>
      <w:r>
        <w:t>我司承诺：对所有举报信息及时调查处理，对举报来源严格保守秘密，对举报单位因举报所可能遭受的利益损害采取特别措施予以保护。</w:t>
      </w:r>
    </w:p>
    <w:p w14:paraId="324911EE">
      <w:pPr>
        <w:pStyle w:val="3"/>
        <w:spacing w:line="360" w:lineRule="auto"/>
      </w:pPr>
      <w:r>
        <w:rPr>
          <w:rFonts w:hint="eastAsia"/>
        </w:rPr>
        <w:t>八、比选人联系方式</w:t>
      </w:r>
    </w:p>
    <w:p w14:paraId="3841A6E3">
      <w:pPr>
        <w:spacing w:line="360" w:lineRule="auto"/>
        <w:ind w:firstLine="480"/>
        <w:rPr>
          <w:b/>
          <w:bCs/>
          <w:u w:val="thick"/>
        </w:rPr>
      </w:pPr>
      <w:r>
        <w:rPr>
          <w:rFonts w:hint="eastAsia"/>
        </w:rPr>
        <w:t>比选人：</w:t>
      </w:r>
      <w:r>
        <w:rPr>
          <w:rFonts w:hint="eastAsia"/>
          <w:b/>
          <w:bCs/>
          <w:u w:val="thick"/>
        </w:rPr>
        <w:t>重庆公路养护工程（集团）有限公司</w:t>
      </w:r>
    </w:p>
    <w:p w14:paraId="49AC1A9F">
      <w:pPr>
        <w:spacing w:line="360" w:lineRule="auto"/>
        <w:ind w:firstLine="480"/>
      </w:pPr>
      <w:r>
        <w:rPr>
          <w:rFonts w:hint="eastAsia"/>
        </w:rPr>
        <w:t>地址：</w:t>
      </w:r>
      <w:r>
        <w:rPr>
          <w:rFonts w:hint="eastAsia"/>
          <w:b/>
          <w:bCs/>
        </w:rPr>
        <w:t>重庆公路养护工程（集团）有限公司306室</w:t>
      </w:r>
      <w:r>
        <w:rPr>
          <w:rFonts w:hint="eastAsia"/>
        </w:rPr>
        <w:t>（重庆市沙坪坝区梨高路4号三楼）</w:t>
      </w:r>
    </w:p>
    <w:p w14:paraId="36014DEC">
      <w:pPr>
        <w:spacing w:line="360" w:lineRule="auto"/>
        <w:ind w:firstLine="480"/>
        <w:rPr>
          <w:highlight w:val="yellow"/>
          <w:u w:val="single"/>
        </w:rPr>
        <w:sectPr>
          <w:footerReference r:id="rId7" w:type="default"/>
          <w:pgSz w:w="11906" w:h="16838"/>
          <w:pgMar w:top="1134" w:right="1134" w:bottom="1134" w:left="1134" w:header="794" w:footer="794" w:gutter="0"/>
          <w:pgNumType w:start="1"/>
          <w:cols w:space="720" w:num="1"/>
          <w:docGrid w:type="lines" w:linePitch="312" w:charSpace="0"/>
        </w:sectPr>
      </w:pPr>
      <w:r>
        <w:rPr>
          <w:rFonts w:hint="eastAsia"/>
        </w:rPr>
        <w:t>联系人：张老师</w:t>
      </w:r>
      <w:r>
        <w:rPr>
          <w:rFonts w:hint="eastAsia"/>
        </w:rPr>
        <w:tab/>
      </w:r>
      <w:r>
        <w:rPr>
          <w:rFonts w:hint="eastAsia"/>
        </w:rPr>
        <w:tab/>
      </w:r>
      <w:r>
        <w:rPr>
          <w:rFonts w:hint="eastAsia"/>
        </w:rPr>
        <w:tab/>
      </w:r>
      <w:r>
        <w:rPr>
          <w:rFonts w:hint="eastAsia"/>
        </w:rPr>
        <w:t>电话：</w:t>
      </w:r>
      <w:r>
        <w:rPr>
          <w:u w:val="single"/>
        </w:rPr>
        <w:t>18623331120</w:t>
      </w:r>
    </w:p>
    <w:p w14:paraId="6B171945">
      <w:pPr>
        <w:pStyle w:val="18"/>
        <w:jc w:val="center"/>
        <w:rPr>
          <w:rFonts w:hint="eastAsia" w:ascii="宋体" w:hAnsi="宋体" w:eastAsia="宋体" w:cs="宋体"/>
          <w:b/>
          <w:bCs/>
          <w:sz w:val="32"/>
          <w:szCs w:val="32"/>
        </w:rPr>
      </w:pPr>
      <w:r>
        <w:rPr>
          <w:rFonts w:hint="eastAsia" w:ascii="宋体" w:hAnsi="宋体" w:eastAsia="宋体" w:cs="宋体"/>
          <w:b/>
          <w:bCs/>
          <w:sz w:val="32"/>
          <w:szCs w:val="32"/>
        </w:rPr>
        <w:t>重庆公路养护工程（集团）有限公司</w:t>
      </w:r>
    </w:p>
    <w:p w14:paraId="7031514B">
      <w:pPr>
        <w:pStyle w:val="18"/>
        <w:jc w:val="center"/>
        <w:rPr>
          <w:rFonts w:hint="eastAsia" w:ascii="宋体" w:hAnsi="宋体" w:eastAsia="宋体" w:cs="宋体"/>
          <w:b/>
          <w:bCs/>
          <w:sz w:val="32"/>
          <w:szCs w:val="32"/>
        </w:rPr>
      </w:pPr>
      <w:r>
        <w:rPr>
          <w:rFonts w:hint="eastAsia" w:ascii="宋体" w:hAnsi="宋体" w:eastAsia="宋体" w:cs="宋体"/>
          <w:b/>
          <w:bCs/>
          <w:sz w:val="32"/>
          <w:szCs w:val="32"/>
        </w:rPr>
        <w:t>2025年路面专项工程交通组织咨询服务合同</w:t>
      </w:r>
    </w:p>
    <w:p w14:paraId="2F08935F">
      <w:pPr>
        <w:ind w:firstLine="0" w:firstLineChars="0"/>
        <w:rPr>
          <w:b/>
          <w:bCs/>
          <w:u w:val="single"/>
        </w:rPr>
      </w:pPr>
      <w:r>
        <w:rPr>
          <w:rFonts w:hint="eastAsia"/>
        </w:rPr>
        <w:t>甲方：</w:t>
      </w:r>
      <w:r>
        <w:rPr>
          <w:rFonts w:hint="eastAsia"/>
          <w:b/>
          <w:bCs/>
          <w:u w:val="single"/>
        </w:rPr>
        <w:t>重庆公路养护工程（集团）有限公司</w:t>
      </w:r>
    </w:p>
    <w:p w14:paraId="770A775A">
      <w:pPr>
        <w:ind w:firstLine="0" w:firstLineChars="0"/>
        <w:rPr>
          <w:u w:val="single"/>
        </w:rPr>
      </w:pPr>
      <w:r>
        <w:rPr>
          <w:rFonts w:hint="eastAsia"/>
        </w:rPr>
        <w:t>联系地址：</w:t>
      </w:r>
      <w:r>
        <w:rPr>
          <w:rFonts w:hint="eastAsia"/>
          <w:b/>
          <w:bCs/>
          <w:u w:val="single"/>
        </w:rPr>
        <w:t>重庆市沙坪坝区梨高路4号</w:t>
      </w:r>
    </w:p>
    <w:p w14:paraId="6791C1B6">
      <w:pPr>
        <w:pStyle w:val="18"/>
      </w:pPr>
    </w:p>
    <w:p w14:paraId="5DC1536F">
      <w:pPr>
        <w:spacing w:line="360" w:lineRule="auto"/>
        <w:ind w:firstLine="0" w:firstLineChars="0"/>
        <w:rPr>
          <w:u w:val="single"/>
        </w:rPr>
      </w:pPr>
      <w:r>
        <w:rPr>
          <w:rFonts w:hint="eastAsia"/>
        </w:rPr>
        <w:t>乙方：</w:t>
      </w:r>
      <w:r>
        <w:rPr>
          <w:rFonts w:hint="eastAsia"/>
          <w:b/>
          <w:bCs/>
          <w:u w:val="single"/>
        </w:rPr>
        <w:t xml:space="preserve">                           </w:t>
      </w:r>
      <w:r>
        <w:rPr>
          <w:u w:val="single"/>
        </w:rPr>
        <w:t xml:space="preserve"> </w:t>
      </w:r>
    </w:p>
    <w:p w14:paraId="5CAAADE0">
      <w:pPr>
        <w:spacing w:line="360" w:lineRule="auto"/>
        <w:ind w:firstLine="0" w:firstLineChars="0"/>
        <w:rPr>
          <w:u w:val="single"/>
        </w:rPr>
      </w:pPr>
      <w:r>
        <w:rPr>
          <w:rFonts w:hint="eastAsia"/>
        </w:rPr>
        <w:t>联系地址：</w:t>
      </w:r>
      <w:r>
        <w:rPr>
          <w:rFonts w:hint="eastAsia"/>
          <w:b/>
          <w:bCs/>
          <w:u w:val="single"/>
        </w:rPr>
        <w:t xml:space="preserve">                       </w:t>
      </w:r>
      <w:r>
        <w:rPr>
          <w:u w:val="single"/>
        </w:rPr>
        <w:t xml:space="preserve"> </w:t>
      </w:r>
    </w:p>
    <w:p w14:paraId="1ADD6170">
      <w:pPr>
        <w:pStyle w:val="18"/>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甲方因</w:t>
      </w:r>
      <w:r>
        <w:rPr>
          <w:rFonts w:hint="eastAsia" w:asciiTheme="minorEastAsia" w:hAnsiTheme="minorEastAsia" w:eastAsiaTheme="minorEastAsia" w:cstheme="minorEastAsia"/>
          <w:b/>
          <w:bCs/>
          <w:u w:val="single"/>
        </w:rPr>
        <w:t>2025年路面专项工程</w:t>
      </w:r>
      <w:r>
        <w:rPr>
          <w:rFonts w:hint="eastAsia" w:asciiTheme="minorEastAsia" w:hAnsiTheme="minorEastAsia" w:eastAsiaTheme="minorEastAsia" w:cstheme="minorEastAsia"/>
        </w:rPr>
        <w:t>施工需要，协议委托乙方实施</w:t>
      </w:r>
      <w:r>
        <w:rPr>
          <w:rFonts w:hint="eastAsia" w:asciiTheme="minorEastAsia" w:hAnsiTheme="minorEastAsia" w:eastAsiaTheme="minorEastAsia" w:cstheme="minorEastAsia"/>
          <w:b/>
          <w:bCs/>
          <w:u w:val="single"/>
        </w:rPr>
        <w:t>交通组织咨询服务</w:t>
      </w:r>
      <w:r>
        <w:rPr>
          <w:rFonts w:hint="eastAsia" w:asciiTheme="minorEastAsia" w:hAnsiTheme="minorEastAsia" w:eastAsiaTheme="minorEastAsia" w:cstheme="minorEastAsia"/>
        </w:rPr>
        <w:t>。依照《中华人民共和国民法典》及其他有关法律、行政法规，双方在遵循平等、自愿、公平和诚实守信原则的基础上，经共同协商，达成一致意见，特签订本合同：</w:t>
      </w:r>
    </w:p>
    <w:p w14:paraId="39EFD137">
      <w:pPr>
        <w:pStyle w:val="3"/>
        <w:numPr>
          <w:ilvl w:val="0"/>
          <w:numId w:val="2"/>
        </w:numPr>
        <w:spacing w:line="360" w:lineRule="auto"/>
      </w:pPr>
      <w:r>
        <w:rPr>
          <w:rFonts w:hint="eastAsia"/>
        </w:rPr>
        <w:t>服务范围及内容</w:t>
      </w:r>
    </w:p>
    <w:p w14:paraId="403A086B">
      <w:pPr>
        <w:pStyle w:val="3"/>
        <w:spacing w:line="360" w:lineRule="auto"/>
        <w:ind w:firstLine="480" w:firstLineChars="200"/>
        <w:rPr>
          <w:b w:val="0"/>
          <w:bCs/>
        </w:rPr>
      </w:pPr>
      <w:r>
        <w:rPr>
          <w:rFonts w:hint="eastAsia"/>
          <w:b w:val="0"/>
          <w:bCs/>
        </w:rPr>
        <w:t>1、服务范围</w:t>
      </w:r>
    </w:p>
    <w:p w14:paraId="0D61B7C2">
      <w:pPr>
        <w:pStyle w:val="3"/>
        <w:spacing w:line="360" w:lineRule="auto"/>
        <w:ind w:firstLine="480" w:firstLineChars="200"/>
        <w:rPr>
          <w:b w:val="0"/>
          <w:bCs/>
        </w:rPr>
      </w:pPr>
      <w:r>
        <w:rPr>
          <w:rFonts w:hint="eastAsia"/>
          <w:b w:val="0"/>
          <w:bCs/>
        </w:rPr>
        <w:t>重庆G5001绕城高速全线、G5013渝蓉高速公路（K57+000～K67+000)、长万高速公路（K1555+000～K1701+000）、渝湘高速公路路面修复养护工程所需交通组织咨询服务。</w:t>
      </w:r>
    </w:p>
    <w:p w14:paraId="78D33A81">
      <w:pPr>
        <w:pStyle w:val="3"/>
        <w:spacing w:line="360" w:lineRule="auto"/>
        <w:ind w:firstLine="480" w:firstLineChars="200"/>
        <w:rPr>
          <w:b w:val="0"/>
          <w:bCs/>
        </w:rPr>
      </w:pPr>
      <w:r>
        <w:rPr>
          <w:rFonts w:hint="eastAsia"/>
          <w:b w:val="0"/>
          <w:bCs/>
        </w:rPr>
        <w:t>2、咨询服务内容</w:t>
      </w:r>
    </w:p>
    <w:p w14:paraId="5A786D6F">
      <w:pPr>
        <w:pStyle w:val="3"/>
        <w:spacing w:line="360" w:lineRule="auto"/>
        <w:rPr>
          <w:b w:val="0"/>
          <w:bCs/>
        </w:rPr>
      </w:pPr>
      <w:r>
        <w:rPr>
          <w:rFonts w:hint="eastAsia"/>
          <w:b w:val="0"/>
          <w:bCs/>
        </w:rPr>
        <w:tab/>
      </w:r>
      <w:r>
        <w:rPr>
          <w:rFonts w:hint="eastAsia"/>
          <w:b w:val="0"/>
          <w:bCs/>
        </w:rPr>
        <w:t>包括但不限于以下工作内容（以交巡警要求为准）：</w:t>
      </w:r>
    </w:p>
    <w:p w14:paraId="590B1DDB">
      <w:pPr>
        <w:pStyle w:val="3"/>
        <w:spacing w:line="360" w:lineRule="auto"/>
        <w:ind w:firstLine="480" w:firstLineChars="200"/>
        <w:rPr>
          <w:b w:val="0"/>
          <w:bCs/>
        </w:rPr>
      </w:pPr>
      <w:r>
        <w:rPr>
          <w:rFonts w:hint="eastAsia"/>
          <w:b w:val="0"/>
          <w:bCs/>
        </w:rPr>
        <w:t>（1）施工期间交通运行情况评价，确定该工况下的通行服务等级；</w:t>
      </w:r>
    </w:p>
    <w:p w14:paraId="1A852EEE">
      <w:pPr>
        <w:pStyle w:val="3"/>
        <w:spacing w:line="360" w:lineRule="auto"/>
        <w:ind w:firstLine="480" w:firstLineChars="200"/>
        <w:rPr>
          <w:b w:val="0"/>
          <w:bCs/>
        </w:rPr>
      </w:pPr>
      <w:r>
        <w:rPr>
          <w:rFonts w:hint="eastAsia"/>
          <w:b w:val="0"/>
          <w:bCs/>
        </w:rPr>
        <w:t>（2）项目周边区域交通现状分析；</w:t>
      </w:r>
    </w:p>
    <w:p w14:paraId="0266282C">
      <w:pPr>
        <w:pStyle w:val="3"/>
        <w:spacing w:line="360" w:lineRule="auto"/>
        <w:ind w:firstLine="480" w:firstLineChars="200"/>
        <w:rPr>
          <w:b w:val="0"/>
          <w:bCs/>
        </w:rPr>
      </w:pPr>
      <w:r>
        <w:rPr>
          <w:rFonts w:hint="eastAsia"/>
          <w:b w:val="0"/>
          <w:bCs/>
        </w:rPr>
        <w:t>（3）编制交通管制应急预案；</w:t>
      </w:r>
    </w:p>
    <w:p w14:paraId="241FCCF2">
      <w:pPr>
        <w:pStyle w:val="3"/>
        <w:spacing w:line="360" w:lineRule="auto"/>
        <w:ind w:firstLine="480" w:firstLineChars="200"/>
        <w:rPr>
          <w:b w:val="0"/>
          <w:bCs/>
        </w:rPr>
      </w:pPr>
      <w:r>
        <w:rPr>
          <w:rFonts w:hint="eastAsia"/>
          <w:b w:val="0"/>
          <w:bCs/>
        </w:rPr>
        <w:t>（4）编制施工期间交通组织方案；</w:t>
      </w:r>
    </w:p>
    <w:p w14:paraId="730612CA">
      <w:pPr>
        <w:pStyle w:val="3"/>
        <w:spacing w:line="360" w:lineRule="auto"/>
        <w:ind w:firstLine="480" w:firstLineChars="200"/>
        <w:rPr>
          <w:b w:val="0"/>
          <w:bCs/>
        </w:rPr>
      </w:pPr>
      <w:r>
        <w:rPr>
          <w:rFonts w:hint="eastAsia"/>
          <w:b w:val="0"/>
          <w:bCs/>
        </w:rPr>
        <w:t>（5）完善配套安全设施设计；</w:t>
      </w:r>
    </w:p>
    <w:p w14:paraId="4B0BCD0A">
      <w:pPr>
        <w:pStyle w:val="3"/>
        <w:spacing w:line="360" w:lineRule="auto"/>
        <w:ind w:firstLine="480" w:firstLineChars="200"/>
        <w:rPr>
          <w:b w:val="0"/>
          <w:bCs/>
        </w:rPr>
      </w:pPr>
      <w:r>
        <w:rPr>
          <w:rFonts w:hint="eastAsia"/>
          <w:b w:val="0"/>
          <w:bCs/>
        </w:rPr>
        <w:t>（6）交通组织方案的报送、评审、批复；</w:t>
      </w:r>
    </w:p>
    <w:p w14:paraId="1EC5C3A3">
      <w:pPr>
        <w:pStyle w:val="3"/>
        <w:spacing w:line="360" w:lineRule="auto"/>
        <w:ind w:firstLine="480" w:firstLineChars="200"/>
        <w:rPr>
          <w:b w:val="0"/>
          <w:bCs/>
        </w:rPr>
      </w:pPr>
      <w:r>
        <w:rPr>
          <w:rFonts w:hint="eastAsia"/>
          <w:b w:val="0"/>
          <w:bCs/>
        </w:rPr>
        <w:t>（7）协调、解决交通组织方案实施过程中的相关问题；</w:t>
      </w:r>
    </w:p>
    <w:p w14:paraId="23EF173D">
      <w:pPr>
        <w:spacing w:line="360" w:lineRule="auto"/>
        <w:ind w:firstLine="480"/>
        <w:rPr>
          <w:bCs/>
        </w:rPr>
      </w:pPr>
      <w:r>
        <w:rPr>
          <w:rFonts w:hint="eastAsia"/>
        </w:rPr>
        <w:t>（8）</w:t>
      </w:r>
      <w:r>
        <w:rPr>
          <w:rFonts w:hint="eastAsia"/>
          <w:bCs/>
        </w:rPr>
        <w:t>与本项目交通组织相关的其它咨询服务。</w:t>
      </w:r>
    </w:p>
    <w:p w14:paraId="265B3C87">
      <w:pPr>
        <w:spacing w:line="360" w:lineRule="auto"/>
        <w:ind w:firstLine="0" w:firstLineChars="0"/>
        <w:rPr>
          <w:b/>
        </w:rPr>
      </w:pPr>
      <w:r>
        <w:rPr>
          <w:rFonts w:hint="eastAsia"/>
          <w:b/>
        </w:rPr>
        <w:t>二、合同期限：</w:t>
      </w:r>
    </w:p>
    <w:p w14:paraId="152DD7D2">
      <w:pPr>
        <w:spacing w:line="360" w:lineRule="auto"/>
        <w:ind w:firstLine="480"/>
      </w:pPr>
      <w:r>
        <w:rPr>
          <w:rFonts w:hint="eastAsia"/>
          <w:bCs/>
        </w:rPr>
        <w:t>自</w:t>
      </w:r>
      <w:r>
        <w:rPr>
          <w:rFonts w:hint="eastAsia" w:ascii="宋体" w:hAnsi="宋体" w:cs="宋体"/>
        </w:rPr>
        <w:t>合同生效之日起至2025年12月31日。</w:t>
      </w:r>
    </w:p>
    <w:p w14:paraId="53C96E9E">
      <w:pPr>
        <w:numPr>
          <w:ilvl w:val="0"/>
          <w:numId w:val="2"/>
        </w:numPr>
        <w:spacing w:line="360" w:lineRule="auto"/>
        <w:ind w:firstLine="0" w:firstLineChars="0"/>
      </w:pPr>
      <w:r>
        <w:rPr>
          <w:rFonts w:hint="eastAsia"/>
          <w:b/>
        </w:rPr>
        <w:t>咨询服务工程量清单</w:t>
      </w:r>
    </w:p>
    <w:p w14:paraId="753B1966">
      <w:pPr>
        <w:spacing w:line="360" w:lineRule="auto"/>
        <w:ind w:firstLine="0" w:firstLineChars="0"/>
        <w:rPr>
          <w:bCs/>
        </w:rPr>
      </w:pPr>
    </w:p>
    <w:p w14:paraId="780C7E61">
      <w:pPr>
        <w:spacing w:line="360" w:lineRule="auto"/>
        <w:ind w:firstLine="0" w:firstLineChars="0"/>
        <w:rPr>
          <w:bCs/>
        </w:rPr>
      </w:pPr>
    </w:p>
    <w:p w14:paraId="1ABD3F6D">
      <w:pPr>
        <w:spacing w:line="360" w:lineRule="auto"/>
        <w:ind w:firstLine="0" w:firstLineChars="0"/>
      </w:pPr>
    </w:p>
    <w:p w14:paraId="6936EB8C">
      <w:pPr>
        <w:pStyle w:val="3"/>
        <w:wordWrap/>
        <w:jc w:val="center"/>
      </w:pPr>
      <w:r>
        <w:rPr>
          <w:rFonts w:hint="eastAsia"/>
        </w:rPr>
        <w:t>2025年路面专项工程</w:t>
      </w:r>
    </w:p>
    <w:p w14:paraId="7AF7477A">
      <w:pPr>
        <w:pStyle w:val="3"/>
        <w:wordWrap/>
        <w:jc w:val="center"/>
      </w:pPr>
      <w:r>
        <w:rPr>
          <w:rFonts w:hint="eastAsia"/>
        </w:rPr>
        <w:t>交通组织咨询服务工程量清单</w:t>
      </w:r>
    </w:p>
    <w:p w14:paraId="49F05018">
      <w:pPr>
        <w:pStyle w:val="18"/>
        <w:jc w:val="right"/>
        <w:rPr>
          <w:rFonts w:hint="eastAsia" w:ascii="宋体" w:hAnsi="宋体" w:eastAsia="宋体" w:cs="宋体"/>
          <w:sz w:val="21"/>
          <w:szCs w:val="21"/>
        </w:rPr>
      </w:pPr>
      <w:r>
        <w:rPr>
          <w:rFonts w:hint="eastAsia" w:ascii="宋体" w:hAnsi="宋体" w:eastAsia="宋体" w:cs="宋体"/>
          <w:sz w:val="21"/>
          <w:szCs w:val="21"/>
        </w:rPr>
        <w:t xml:space="preserve">     货币单位：人民币  万元</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19"/>
        <w:gridCol w:w="2933"/>
        <w:gridCol w:w="3154"/>
        <w:gridCol w:w="836"/>
        <w:gridCol w:w="1106"/>
        <w:gridCol w:w="1106"/>
      </w:tblGrid>
      <w:tr w14:paraId="5BB90D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5" w:hRule="exact"/>
          <w:jc w:val="center"/>
        </w:trPr>
        <w:tc>
          <w:tcPr>
            <w:tcW w:w="365" w:type="pct"/>
            <w:tcBorders>
              <w:tl2br w:val="nil"/>
              <w:tr2bl w:val="nil"/>
            </w:tcBorders>
            <w:vAlign w:val="center"/>
          </w:tcPr>
          <w:p w14:paraId="2D417EB4">
            <w:pPr>
              <w:wordWrap/>
              <w:topLinePunct w:val="0"/>
              <w:spacing w:line="240" w:lineRule="auto"/>
              <w:ind w:firstLine="0" w:firstLineChars="0"/>
              <w:jc w:val="center"/>
            </w:pPr>
            <w:r>
              <w:t>序号</w:t>
            </w:r>
          </w:p>
        </w:tc>
        <w:tc>
          <w:tcPr>
            <w:tcW w:w="1488" w:type="pct"/>
            <w:tcBorders>
              <w:tl2br w:val="nil"/>
              <w:tr2bl w:val="nil"/>
            </w:tcBorders>
            <w:vAlign w:val="center"/>
          </w:tcPr>
          <w:p w14:paraId="44A68B71">
            <w:pPr>
              <w:wordWrap/>
              <w:topLinePunct w:val="0"/>
              <w:spacing w:line="240" w:lineRule="auto"/>
              <w:ind w:firstLine="0" w:firstLineChars="0"/>
              <w:jc w:val="center"/>
            </w:pPr>
            <w:r>
              <w:rPr>
                <w:rFonts w:hint="eastAsia"/>
              </w:rPr>
              <w:t>名称</w:t>
            </w:r>
          </w:p>
        </w:tc>
        <w:tc>
          <w:tcPr>
            <w:tcW w:w="1600" w:type="pct"/>
            <w:tcBorders>
              <w:tl2br w:val="nil"/>
              <w:tr2bl w:val="nil"/>
            </w:tcBorders>
            <w:vAlign w:val="center"/>
          </w:tcPr>
          <w:p w14:paraId="444055E7">
            <w:pPr>
              <w:wordWrap/>
              <w:topLinePunct w:val="0"/>
              <w:spacing w:line="240" w:lineRule="auto"/>
              <w:ind w:firstLine="0" w:firstLineChars="0"/>
              <w:jc w:val="center"/>
            </w:pPr>
            <w:r>
              <w:rPr>
                <w:rFonts w:hint="eastAsia"/>
              </w:rPr>
              <w:t>工作内容</w:t>
            </w:r>
          </w:p>
        </w:tc>
        <w:tc>
          <w:tcPr>
            <w:tcW w:w="424" w:type="pct"/>
            <w:tcBorders>
              <w:tl2br w:val="nil"/>
              <w:tr2bl w:val="nil"/>
            </w:tcBorders>
            <w:vAlign w:val="center"/>
          </w:tcPr>
          <w:p w14:paraId="732C4F50">
            <w:pPr>
              <w:wordWrap/>
              <w:topLinePunct w:val="0"/>
              <w:spacing w:line="240" w:lineRule="auto"/>
              <w:ind w:firstLine="0" w:firstLineChars="0"/>
              <w:jc w:val="center"/>
            </w:pPr>
            <w:r>
              <w:rPr>
                <w:rFonts w:hint="eastAsia"/>
              </w:rPr>
              <w:t>单位</w:t>
            </w:r>
          </w:p>
        </w:tc>
        <w:tc>
          <w:tcPr>
            <w:tcW w:w="561" w:type="pct"/>
            <w:tcBorders>
              <w:tl2br w:val="nil"/>
              <w:tr2bl w:val="nil"/>
            </w:tcBorders>
          </w:tcPr>
          <w:p w14:paraId="716BCC45">
            <w:pPr>
              <w:wordWrap/>
              <w:topLinePunct w:val="0"/>
              <w:spacing w:line="240" w:lineRule="auto"/>
              <w:ind w:firstLine="0" w:firstLineChars="0"/>
              <w:jc w:val="center"/>
            </w:pPr>
            <w:r>
              <w:rPr>
                <w:rFonts w:hint="eastAsia"/>
              </w:rPr>
              <w:t>含税</w:t>
            </w:r>
          </w:p>
          <w:p w14:paraId="64586C40">
            <w:pPr>
              <w:wordWrap/>
              <w:topLinePunct w:val="0"/>
              <w:spacing w:line="240" w:lineRule="auto"/>
              <w:ind w:firstLine="0" w:firstLineChars="0"/>
              <w:jc w:val="center"/>
            </w:pPr>
            <w:r>
              <w:rPr>
                <w:rFonts w:hint="eastAsia"/>
              </w:rPr>
              <w:t>总价</w:t>
            </w:r>
          </w:p>
        </w:tc>
        <w:tc>
          <w:tcPr>
            <w:tcW w:w="561" w:type="pct"/>
            <w:tcBorders>
              <w:tl2br w:val="nil"/>
              <w:tr2bl w:val="nil"/>
            </w:tcBorders>
            <w:vAlign w:val="center"/>
          </w:tcPr>
          <w:p w14:paraId="3D4358F9">
            <w:pPr>
              <w:wordWrap/>
              <w:topLinePunct w:val="0"/>
              <w:spacing w:line="240" w:lineRule="auto"/>
              <w:ind w:firstLine="0" w:firstLineChars="0"/>
              <w:jc w:val="center"/>
            </w:pPr>
            <w:r>
              <w:rPr>
                <w:rFonts w:hint="eastAsia"/>
              </w:rPr>
              <w:t>备注</w:t>
            </w:r>
          </w:p>
        </w:tc>
      </w:tr>
      <w:tr w14:paraId="6C4895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26" w:hRule="exact"/>
          <w:jc w:val="center"/>
        </w:trPr>
        <w:tc>
          <w:tcPr>
            <w:tcW w:w="365" w:type="pct"/>
            <w:tcBorders>
              <w:tl2br w:val="nil"/>
              <w:tr2bl w:val="nil"/>
            </w:tcBorders>
            <w:vAlign w:val="center"/>
          </w:tcPr>
          <w:p w14:paraId="6554D296">
            <w:pPr>
              <w:wordWrap/>
              <w:topLinePunct w:val="0"/>
              <w:spacing w:line="240" w:lineRule="auto"/>
              <w:ind w:firstLine="0" w:firstLineChars="0"/>
              <w:jc w:val="center"/>
            </w:pPr>
            <w:r>
              <w:t>1</w:t>
            </w:r>
          </w:p>
        </w:tc>
        <w:tc>
          <w:tcPr>
            <w:tcW w:w="1488" w:type="pct"/>
            <w:tcBorders>
              <w:tl2br w:val="nil"/>
              <w:tr2bl w:val="nil"/>
            </w:tcBorders>
            <w:vAlign w:val="center"/>
          </w:tcPr>
          <w:p w14:paraId="021FAA66">
            <w:pPr>
              <w:wordWrap/>
              <w:topLinePunct w:val="0"/>
              <w:spacing w:line="240" w:lineRule="auto"/>
              <w:ind w:firstLine="0" w:firstLineChars="0"/>
              <w:jc w:val="center"/>
            </w:pPr>
            <w:r>
              <w:rPr>
                <w:rFonts w:hint="eastAsia"/>
              </w:rPr>
              <w:t>G5001绕城高速全线路面专项工程交</w:t>
            </w:r>
            <w:r>
              <w:rPr>
                <w:rFonts w:hint="eastAsia"/>
                <w:kern w:val="44"/>
              </w:rPr>
              <w:t>通组织</w:t>
            </w:r>
            <w:r>
              <w:rPr>
                <w:rFonts w:hint="eastAsia"/>
              </w:rPr>
              <w:t>咨询服务</w:t>
            </w:r>
          </w:p>
        </w:tc>
        <w:tc>
          <w:tcPr>
            <w:tcW w:w="1600" w:type="pct"/>
            <w:tcBorders>
              <w:tl2br w:val="nil"/>
              <w:tr2bl w:val="nil"/>
            </w:tcBorders>
            <w:vAlign w:val="center"/>
          </w:tcPr>
          <w:p w14:paraId="13D8BFBB">
            <w:pPr>
              <w:wordWrap/>
              <w:topLinePunct w:val="0"/>
              <w:spacing w:line="240" w:lineRule="auto"/>
              <w:ind w:firstLine="0" w:firstLineChars="0"/>
              <w:jc w:val="center"/>
            </w:pPr>
            <w:r>
              <w:rPr>
                <w:rFonts w:hint="eastAsia"/>
              </w:rPr>
              <w:t>施工期间交通组织方案设计、施工后交通组织设计效果评价（包括但不限于现场流量数据调查、周边交通路网实地踏勘、航拍影像采集、清分车型统计等）</w:t>
            </w:r>
          </w:p>
        </w:tc>
        <w:tc>
          <w:tcPr>
            <w:tcW w:w="424" w:type="pct"/>
            <w:tcBorders>
              <w:tl2br w:val="nil"/>
              <w:tr2bl w:val="nil"/>
            </w:tcBorders>
            <w:vAlign w:val="center"/>
          </w:tcPr>
          <w:p w14:paraId="238B42E9">
            <w:pPr>
              <w:wordWrap/>
              <w:topLinePunct w:val="0"/>
              <w:spacing w:line="240" w:lineRule="auto"/>
              <w:ind w:firstLine="0" w:firstLineChars="0"/>
              <w:jc w:val="center"/>
              <w:rPr>
                <w:color w:val="000000"/>
              </w:rPr>
            </w:pPr>
            <w:r>
              <w:rPr>
                <w:rFonts w:hint="eastAsia"/>
                <w:color w:val="000000"/>
              </w:rPr>
              <w:t>项</w:t>
            </w:r>
          </w:p>
        </w:tc>
        <w:tc>
          <w:tcPr>
            <w:tcW w:w="561" w:type="pct"/>
            <w:tcBorders>
              <w:tl2br w:val="nil"/>
              <w:tr2bl w:val="nil"/>
            </w:tcBorders>
            <w:vAlign w:val="center"/>
          </w:tcPr>
          <w:p w14:paraId="6FC97320">
            <w:pPr>
              <w:wordWrap/>
              <w:topLinePunct w:val="0"/>
              <w:spacing w:line="240" w:lineRule="auto"/>
              <w:ind w:firstLine="0" w:firstLineChars="0"/>
              <w:jc w:val="center"/>
            </w:pPr>
          </w:p>
        </w:tc>
        <w:tc>
          <w:tcPr>
            <w:tcW w:w="561" w:type="pct"/>
            <w:vMerge w:val="restart"/>
            <w:tcBorders>
              <w:tl2br w:val="nil"/>
              <w:tr2bl w:val="nil"/>
            </w:tcBorders>
            <w:vAlign w:val="center"/>
          </w:tcPr>
          <w:p w14:paraId="066F0612">
            <w:pPr>
              <w:wordWrap/>
              <w:topLinePunct w:val="0"/>
              <w:spacing w:line="240" w:lineRule="auto"/>
              <w:ind w:firstLine="0" w:firstLineChars="0"/>
              <w:jc w:val="center"/>
              <w:rPr>
                <w:color w:val="000000"/>
              </w:rPr>
            </w:pPr>
            <w:r>
              <w:rPr>
                <w:rFonts w:hint="eastAsia"/>
              </w:rPr>
              <w:t>为完成高速公路路面修复养护工程所需的全部交通组织方案编制及评审等工作（包括但不限于高速公路正线、匝道、周边地方道路等）</w:t>
            </w:r>
          </w:p>
        </w:tc>
      </w:tr>
      <w:tr w14:paraId="41830A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37" w:hRule="exact"/>
          <w:jc w:val="center"/>
        </w:trPr>
        <w:tc>
          <w:tcPr>
            <w:tcW w:w="365" w:type="pct"/>
            <w:tcBorders>
              <w:tl2br w:val="nil"/>
              <w:tr2bl w:val="nil"/>
            </w:tcBorders>
            <w:vAlign w:val="center"/>
          </w:tcPr>
          <w:p w14:paraId="37A26C48">
            <w:pPr>
              <w:wordWrap/>
              <w:topLinePunct w:val="0"/>
              <w:spacing w:line="240" w:lineRule="auto"/>
              <w:ind w:firstLine="0" w:firstLineChars="0"/>
              <w:jc w:val="center"/>
            </w:pPr>
            <w:r>
              <w:rPr>
                <w:rFonts w:hint="eastAsia"/>
              </w:rPr>
              <w:t>2</w:t>
            </w:r>
          </w:p>
        </w:tc>
        <w:tc>
          <w:tcPr>
            <w:tcW w:w="1488" w:type="pct"/>
            <w:tcBorders>
              <w:tl2br w:val="nil"/>
              <w:tr2bl w:val="nil"/>
            </w:tcBorders>
            <w:vAlign w:val="center"/>
          </w:tcPr>
          <w:p w14:paraId="6D20D19B">
            <w:pPr>
              <w:spacing w:line="360" w:lineRule="auto"/>
              <w:ind w:firstLine="0" w:firstLineChars="0"/>
              <w:jc w:val="center"/>
            </w:pPr>
            <w:r>
              <w:rPr>
                <w:rFonts w:hint="eastAsia"/>
              </w:rPr>
              <w:t>G5013渝蓉高速公路（K57+000～K67+000) 路面专项工程交</w:t>
            </w:r>
            <w:r>
              <w:rPr>
                <w:rFonts w:hint="eastAsia"/>
                <w:kern w:val="44"/>
              </w:rPr>
              <w:t>通组织</w:t>
            </w:r>
            <w:r>
              <w:rPr>
                <w:rFonts w:hint="eastAsia"/>
              </w:rPr>
              <w:t>咨询服务</w:t>
            </w:r>
          </w:p>
        </w:tc>
        <w:tc>
          <w:tcPr>
            <w:tcW w:w="1600" w:type="pct"/>
            <w:tcBorders>
              <w:tl2br w:val="nil"/>
              <w:tr2bl w:val="nil"/>
            </w:tcBorders>
            <w:vAlign w:val="center"/>
          </w:tcPr>
          <w:p w14:paraId="1F162424">
            <w:pPr>
              <w:wordWrap/>
              <w:topLinePunct w:val="0"/>
              <w:spacing w:line="240" w:lineRule="auto"/>
              <w:ind w:firstLine="0" w:firstLineChars="0"/>
              <w:jc w:val="center"/>
            </w:pPr>
            <w:r>
              <w:rPr>
                <w:rFonts w:hint="eastAsia"/>
              </w:rPr>
              <w:t>施工期间交通组织方案设计（包括但不限于现场流量数据调查、周边交通路网实地踏勘、航拍影像采集、清分车型统计等）</w:t>
            </w:r>
          </w:p>
        </w:tc>
        <w:tc>
          <w:tcPr>
            <w:tcW w:w="424" w:type="pct"/>
            <w:tcBorders>
              <w:tl2br w:val="nil"/>
              <w:tr2bl w:val="nil"/>
            </w:tcBorders>
            <w:vAlign w:val="center"/>
          </w:tcPr>
          <w:p w14:paraId="2F75443C">
            <w:pPr>
              <w:wordWrap/>
              <w:topLinePunct w:val="0"/>
              <w:spacing w:line="240" w:lineRule="auto"/>
              <w:ind w:firstLine="0" w:firstLineChars="0"/>
              <w:jc w:val="center"/>
              <w:rPr>
                <w:color w:val="000000"/>
              </w:rPr>
            </w:pPr>
            <w:r>
              <w:rPr>
                <w:rFonts w:hint="eastAsia"/>
                <w:color w:val="000000"/>
              </w:rPr>
              <w:t>项</w:t>
            </w:r>
          </w:p>
        </w:tc>
        <w:tc>
          <w:tcPr>
            <w:tcW w:w="561" w:type="pct"/>
            <w:tcBorders>
              <w:tl2br w:val="nil"/>
              <w:tr2bl w:val="nil"/>
            </w:tcBorders>
            <w:vAlign w:val="center"/>
          </w:tcPr>
          <w:p w14:paraId="5C2616D2">
            <w:pPr>
              <w:wordWrap/>
              <w:topLinePunct w:val="0"/>
              <w:spacing w:line="240" w:lineRule="auto"/>
              <w:ind w:firstLine="0" w:firstLineChars="0"/>
              <w:jc w:val="center"/>
              <w:rPr>
                <w:color w:val="000000"/>
              </w:rPr>
            </w:pPr>
          </w:p>
        </w:tc>
        <w:tc>
          <w:tcPr>
            <w:tcW w:w="561" w:type="pct"/>
            <w:vMerge w:val="continue"/>
            <w:tcBorders>
              <w:tl2br w:val="nil"/>
              <w:tr2bl w:val="nil"/>
            </w:tcBorders>
            <w:vAlign w:val="center"/>
          </w:tcPr>
          <w:p w14:paraId="3D9613D1">
            <w:pPr>
              <w:wordWrap/>
              <w:topLinePunct w:val="0"/>
              <w:spacing w:line="240" w:lineRule="auto"/>
              <w:ind w:firstLine="0" w:firstLineChars="0"/>
              <w:jc w:val="center"/>
              <w:rPr>
                <w:color w:val="000000"/>
              </w:rPr>
            </w:pPr>
          </w:p>
        </w:tc>
      </w:tr>
      <w:tr w14:paraId="66AF39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92" w:hRule="exact"/>
          <w:jc w:val="center"/>
        </w:trPr>
        <w:tc>
          <w:tcPr>
            <w:tcW w:w="365" w:type="pct"/>
            <w:tcBorders>
              <w:tl2br w:val="nil"/>
              <w:tr2bl w:val="nil"/>
            </w:tcBorders>
            <w:vAlign w:val="center"/>
          </w:tcPr>
          <w:p w14:paraId="5B34A93B">
            <w:pPr>
              <w:wordWrap/>
              <w:topLinePunct w:val="0"/>
              <w:spacing w:line="240" w:lineRule="auto"/>
              <w:ind w:firstLine="0" w:firstLineChars="0"/>
              <w:jc w:val="center"/>
            </w:pPr>
            <w:r>
              <w:rPr>
                <w:rFonts w:hint="eastAsia"/>
              </w:rPr>
              <w:t>3</w:t>
            </w:r>
          </w:p>
        </w:tc>
        <w:tc>
          <w:tcPr>
            <w:tcW w:w="1488" w:type="pct"/>
            <w:tcBorders>
              <w:tl2br w:val="nil"/>
              <w:tr2bl w:val="nil"/>
            </w:tcBorders>
            <w:vAlign w:val="center"/>
          </w:tcPr>
          <w:p w14:paraId="0E4D12E7">
            <w:pPr>
              <w:spacing w:line="360" w:lineRule="auto"/>
              <w:ind w:firstLine="0" w:firstLineChars="0"/>
              <w:jc w:val="center"/>
            </w:pPr>
            <w:r>
              <w:rPr>
                <w:rFonts w:hint="eastAsia"/>
              </w:rPr>
              <w:t>长万高速公路（K1555+000～K1701+000）路面专项工程交</w:t>
            </w:r>
            <w:r>
              <w:rPr>
                <w:rFonts w:hint="eastAsia"/>
                <w:kern w:val="44"/>
              </w:rPr>
              <w:t>通组织</w:t>
            </w:r>
            <w:r>
              <w:rPr>
                <w:rFonts w:hint="eastAsia"/>
              </w:rPr>
              <w:t>咨询服务</w:t>
            </w:r>
          </w:p>
        </w:tc>
        <w:tc>
          <w:tcPr>
            <w:tcW w:w="1600" w:type="pct"/>
            <w:tcBorders>
              <w:tl2br w:val="nil"/>
              <w:tr2bl w:val="nil"/>
            </w:tcBorders>
            <w:vAlign w:val="center"/>
          </w:tcPr>
          <w:p w14:paraId="3DDAF2EC">
            <w:pPr>
              <w:wordWrap/>
              <w:topLinePunct w:val="0"/>
              <w:spacing w:line="240" w:lineRule="auto"/>
              <w:ind w:firstLine="0" w:firstLineChars="0"/>
              <w:jc w:val="center"/>
            </w:pPr>
            <w:r>
              <w:rPr>
                <w:rFonts w:hint="eastAsia"/>
              </w:rPr>
              <w:t>施工期间交通组织方案设计（包括但不限于现场流量数据调查、周边交通路网实地踏勘、航拍影像采集、清分车型统计等）</w:t>
            </w:r>
          </w:p>
        </w:tc>
        <w:tc>
          <w:tcPr>
            <w:tcW w:w="424" w:type="pct"/>
            <w:tcBorders>
              <w:tl2br w:val="nil"/>
              <w:tr2bl w:val="nil"/>
            </w:tcBorders>
            <w:vAlign w:val="center"/>
          </w:tcPr>
          <w:p w14:paraId="13A61AC2">
            <w:pPr>
              <w:wordWrap/>
              <w:topLinePunct w:val="0"/>
              <w:spacing w:line="240" w:lineRule="auto"/>
              <w:ind w:firstLine="0" w:firstLineChars="0"/>
              <w:jc w:val="center"/>
              <w:rPr>
                <w:color w:val="000000"/>
              </w:rPr>
            </w:pPr>
            <w:r>
              <w:rPr>
                <w:rFonts w:hint="eastAsia"/>
                <w:color w:val="000000"/>
              </w:rPr>
              <w:t>项</w:t>
            </w:r>
          </w:p>
        </w:tc>
        <w:tc>
          <w:tcPr>
            <w:tcW w:w="561" w:type="pct"/>
            <w:tcBorders>
              <w:tl2br w:val="nil"/>
              <w:tr2bl w:val="nil"/>
            </w:tcBorders>
            <w:vAlign w:val="center"/>
          </w:tcPr>
          <w:p w14:paraId="70E72EDF">
            <w:pPr>
              <w:wordWrap/>
              <w:topLinePunct w:val="0"/>
              <w:spacing w:line="240" w:lineRule="auto"/>
              <w:ind w:firstLine="0" w:firstLineChars="0"/>
              <w:jc w:val="center"/>
              <w:rPr>
                <w:color w:val="000000"/>
              </w:rPr>
            </w:pPr>
          </w:p>
        </w:tc>
        <w:tc>
          <w:tcPr>
            <w:tcW w:w="561" w:type="pct"/>
            <w:vMerge w:val="continue"/>
            <w:tcBorders>
              <w:tl2br w:val="nil"/>
              <w:tr2bl w:val="nil"/>
            </w:tcBorders>
            <w:vAlign w:val="center"/>
          </w:tcPr>
          <w:p w14:paraId="22B3CC3E">
            <w:pPr>
              <w:wordWrap/>
              <w:topLinePunct w:val="0"/>
              <w:spacing w:line="240" w:lineRule="auto"/>
              <w:ind w:firstLine="0" w:firstLineChars="0"/>
              <w:jc w:val="center"/>
              <w:rPr>
                <w:color w:val="000000"/>
              </w:rPr>
            </w:pPr>
          </w:p>
        </w:tc>
      </w:tr>
      <w:tr w14:paraId="3C9A1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2" w:hRule="exact"/>
          <w:jc w:val="center"/>
        </w:trPr>
        <w:tc>
          <w:tcPr>
            <w:tcW w:w="365" w:type="pct"/>
            <w:tcBorders>
              <w:tl2br w:val="nil"/>
              <w:tr2bl w:val="nil"/>
            </w:tcBorders>
            <w:vAlign w:val="center"/>
          </w:tcPr>
          <w:p w14:paraId="6B2B4E21">
            <w:pPr>
              <w:wordWrap/>
              <w:topLinePunct w:val="0"/>
              <w:spacing w:line="240" w:lineRule="auto"/>
              <w:ind w:firstLine="0" w:firstLineChars="0"/>
              <w:jc w:val="center"/>
            </w:pPr>
            <w:r>
              <w:rPr>
                <w:rFonts w:hint="eastAsia"/>
              </w:rPr>
              <w:t>4</w:t>
            </w:r>
          </w:p>
        </w:tc>
        <w:tc>
          <w:tcPr>
            <w:tcW w:w="1488" w:type="pct"/>
            <w:tcBorders>
              <w:tl2br w:val="nil"/>
              <w:tr2bl w:val="nil"/>
            </w:tcBorders>
            <w:vAlign w:val="center"/>
          </w:tcPr>
          <w:p w14:paraId="7761359B">
            <w:pPr>
              <w:spacing w:line="360" w:lineRule="auto"/>
              <w:ind w:firstLine="0" w:firstLineChars="0"/>
              <w:jc w:val="center"/>
            </w:pPr>
            <w:r>
              <w:rPr>
                <w:rFonts w:hint="eastAsia"/>
              </w:rPr>
              <w:t>渝湘高速公路路面施工期间机具夜间停放交</w:t>
            </w:r>
            <w:r>
              <w:rPr>
                <w:rFonts w:hint="eastAsia"/>
                <w:kern w:val="44"/>
              </w:rPr>
              <w:t>通组织</w:t>
            </w:r>
            <w:r>
              <w:rPr>
                <w:rFonts w:hint="eastAsia"/>
              </w:rPr>
              <w:t>咨询服务</w:t>
            </w:r>
          </w:p>
        </w:tc>
        <w:tc>
          <w:tcPr>
            <w:tcW w:w="1600" w:type="pct"/>
            <w:tcBorders>
              <w:tl2br w:val="nil"/>
              <w:tr2bl w:val="nil"/>
            </w:tcBorders>
            <w:vAlign w:val="center"/>
          </w:tcPr>
          <w:p w14:paraId="6752719E">
            <w:pPr>
              <w:wordWrap/>
              <w:topLinePunct w:val="0"/>
              <w:spacing w:line="240" w:lineRule="auto"/>
              <w:ind w:firstLine="0" w:firstLineChars="0"/>
              <w:jc w:val="center"/>
            </w:pPr>
            <w:r>
              <w:rPr>
                <w:rFonts w:hint="eastAsia"/>
              </w:rPr>
              <w:t>施工期间机具夜间停放专项设计</w:t>
            </w:r>
          </w:p>
        </w:tc>
        <w:tc>
          <w:tcPr>
            <w:tcW w:w="424" w:type="pct"/>
            <w:tcBorders>
              <w:tl2br w:val="nil"/>
              <w:tr2bl w:val="nil"/>
            </w:tcBorders>
            <w:vAlign w:val="center"/>
          </w:tcPr>
          <w:p w14:paraId="60DDB368">
            <w:pPr>
              <w:wordWrap/>
              <w:topLinePunct w:val="0"/>
              <w:spacing w:line="240" w:lineRule="auto"/>
              <w:ind w:firstLine="0" w:firstLineChars="0"/>
              <w:jc w:val="center"/>
              <w:rPr>
                <w:color w:val="000000"/>
              </w:rPr>
            </w:pPr>
            <w:r>
              <w:rPr>
                <w:rFonts w:hint="eastAsia"/>
                <w:color w:val="000000"/>
              </w:rPr>
              <w:t>项</w:t>
            </w:r>
          </w:p>
        </w:tc>
        <w:tc>
          <w:tcPr>
            <w:tcW w:w="561" w:type="pct"/>
            <w:tcBorders>
              <w:tl2br w:val="nil"/>
              <w:tr2bl w:val="nil"/>
            </w:tcBorders>
            <w:vAlign w:val="center"/>
          </w:tcPr>
          <w:p w14:paraId="03612BE7">
            <w:pPr>
              <w:wordWrap/>
              <w:topLinePunct w:val="0"/>
              <w:spacing w:line="240" w:lineRule="auto"/>
              <w:ind w:firstLine="0" w:firstLineChars="0"/>
              <w:jc w:val="center"/>
              <w:rPr>
                <w:color w:val="000000"/>
              </w:rPr>
            </w:pPr>
          </w:p>
        </w:tc>
        <w:tc>
          <w:tcPr>
            <w:tcW w:w="561" w:type="pct"/>
            <w:vMerge w:val="continue"/>
            <w:tcBorders>
              <w:tl2br w:val="nil"/>
              <w:tr2bl w:val="nil"/>
            </w:tcBorders>
            <w:vAlign w:val="center"/>
          </w:tcPr>
          <w:p w14:paraId="772E0C48">
            <w:pPr>
              <w:wordWrap/>
              <w:topLinePunct w:val="0"/>
              <w:spacing w:line="240" w:lineRule="auto"/>
              <w:ind w:firstLine="0" w:firstLineChars="0"/>
              <w:jc w:val="center"/>
              <w:rPr>
                <w:color w:val="000000"/>
              </w:rPr>
            </w:pPr>
          </w:p>
        </w:tc>
      </w:tr>
    </w:tbl>
    <w:p w14:paraId="7777D4A2">
      <w:pPr>
        <w:pStyle w:val="3"/>
      </w:pPr>
      <w:r>
        <w:rPr>
          <w:rFonts w:hint="eastAsia"/>
        </w:rPr>
        <w:t>四、</w:t>
      </w:r>
      <w:r>
        <w:rPr>
          <w:rFonts w:hint="eastAsia" w:ascii="宋体" w:hAnsi="宋体" w:cs="宋体"/>
        </w:rPr>
        <w:t>验收标准</w:t>
      </w:r>
    </w:p>
    <w:p w14:paraId="6AB1E937">
      <w:pPr>
        <w:spacing w:line="360" w:lineRule="auto"/>
        <w:ind w:firstLine="480"/>
      </w:pPr>
      <w:r>
        <w:rPr>
          <w:rFonts w:hint="eastAsia"/>
        </w:rPr>
        <w:t>1、乙方须在甲方要求的时限内完成相关交通组织安全咨询服务，所提交的《交通组织方案（设计）》经公安交通管理部门审核通过并出具《道路施工作业实施意见表》。若乙方未在规定的时间内完成交通组织咨询服务及取得审批通过的《道路施工作业实施意见表》，乙方承担违约责任。</w:t>
      </w:r>
    </w:p>
    <w:p w14:paraId="464CDC37">
      <w:pPr>
        <w:spacing w:line="360" w:lineRule="auto"/>
        <w:ind w:firstLine="480"/>
      </w:pPr>
      <w:r>
        <w:rPr>
          <w:rFonts w:hint="eastAsia"/>
        </w:rPr>
        <w:t>2、若规定时限内未完成审批，每逾期1个自然日，按合同总金额的百分之十向甲方支付违约金，若因乙方未按时限要求完成审批给甲方造成损失的，甲方有权向投标人进行双倍索赔，并直接将投标人及其关联单位（含法人代表与委托代理人）一并拉入黑名单，不得参与重庆公路养护工程（集团）有限公司所有比选项目报价。</w:t>
      </w:r>
    </w:p>
    <w:p w14:paraId="43FE7A06">
      <w:pPr>
        <w:spacing w:line="360" w:lineRule="auto"/>
        <w:ind w:firstLine="480"/>
      </w:pPr>
      <w:r>
        <w:rPr>
          <w:rFonts w:hint="eastAsia"/>
        </w:rPr>
        <w:t>3、乙方向甲方提交经公安交通管理部门执法机构审核通过的《交通组织方案（设计）》彩印版3份。</w:t>
      </w:r>
    </w:p>
    <w:p w14:paraId="43A05AB4">
      <w:pPr>
        <w:pStyle w:val="3"/>
        <w:spacing w:line="360" w:lineRule="auto"/>
        <w:rPr>
          <w:color w:val="000000"/>
        </w:rPr>
      </w:pPr>
      <w:r>
        <w:rPr>
          <w:rFonts w:hint="eastAsia"/>
          <w:color w:val="000000"/>
        </w:rPr>
        <w:t>五、支付</w:t>
      </w:r>
    </w:p>
    <w:p w14:paraId="79C47C3C">
      <w:pPr>
        <w:spacing w:line="360" w:lineRule="auto"/>
        <w:ind w:firstLine="480"/>
        <w:rPr>
          <w:color w:val="000000"/>
        </w:rPr>
      </w:pPr>
      <w:r>
        <w:rPr>
          <w:rFonts w:hint="eastAsia"/>
          <w:color w:val="000000"/>
        </w:rPr>
        <w:t>1、支付</w:t>
      </w:r>
    </w:p>
    <w:p w14:paraId="01DF09A1">
      <w:pPr>
        <w:spacing w:line="360" w:lineRule="auto"/>
        <w:ind w:firstLine="480"/>
        <w:rPr>
          <w:color w:val="000000"/>
        </w:rPr>
      </w:pPr>
      <w:r>
        <w:rPr>
          <w:rFonts w:hint="eastAsia"/>
          <w:color w:val="000000"/>
        </w:rPr>
        <w:t>（1）本项目无预付款。</w:t>
      </w:r>
    </w:p>
    <w:p w14:paraId="64811477">
      <w:pPr>
        <w:spacing w:line="360" w:lineRule="auto"/>
        <w:ind w:firstLine="480"/>
        <w:rPr>
          <w:color w:val="000000"/>
        </w:rPr>
      </w:pPr>
      <w:r>
        <w:rPr>
          <w:rFonts w:hint="eastAsia"/>
          <w:color w:val="000000"/>
        </w:rPr>
        <w:t>（2）本合同采用一次性支付方式：</w:t>
      </w:r>
    </w:p>
    <w:p w14:paraId="0D585C8F">
      <w:pPr>
        <w:spacing w:line="360" w:lineRule="auto"/>
        <w:ind w:firstLine="480"/>
      </w:pPr>
      <w:r>
        <w:rPr>
          <w:rFonts w:hint="eastAsia"/>
          <w:color w:val="000000"/>
        </w:rPr>
        <w:t>乙方向甲方提供合格发票（与付款金额等额）及结算资料，经甲方</w:t>
      </w:r>
      <w:r>
        <w:rPr>
          <w:rFonts w:hint="eastAsia" w:ascii="宋体" w:hAnsi="宋体" w:cs="宋体"/>
          <w:color w:val="000000"/>
        </w:rPr>
        <w:t>复核无误后，甲方在</w:t>
      </w:r>
      <w:r>
        <w:rPr>
          <w:rFonts w:hint="eastAsia" w:ascii="宋体" w:hAnsi="宋体" w:cs="宋体"/>
          <w:b/>
          <w:bCs/>
          <w:color w:val="000000"/>
          <w:u w:val="single"/>
        </w:rPr>
        <w:t xml:space="preserve"> 20 </w:t>
      </w:r>
      <w:r>
        <w:rPr>
          <w:rFonts w:hint="eastAsia" w:ascii="宋体" w:hAnsi="宋体" w:cs="宋体"/>
          <w:color w:val="000000"/>
        </w:rPr>
        <w:t>个工作日内以</w:t>
      </w:r>
      <w:r>
        <w:rPr>
          <w:rFonts w:hint="eastAsia" w:ascii="宋体" w:hAnsi="宋体" w:cs="宋体"/>
          <w:b/>
          <w:bCs/>
          <w:color w:val="000000"/>
          <w:u w:val="single"/>
        </w:rPr>
        <w:t xml:space="preserve"> 银行转账 </w:t>
      </w:r>
      <w:r>
        <w:rPr>
          <w:rFonts w:hint="eastAsia" w:ascii="宋体" w:hAnsi="宋体" w:cs="宋体"/>
          <w:color w:val="000000"/>
        </w:rPr>
        <w:t>方式向乙方支付供费用。</w:t>
      </w:r>
      <w:r>
        <w:rPr>
          <w:rFonts w:hint="eastAsia"/>
          <w:color w:val="000000"/>
        </w:rPr>
        <w:t>乙方延迟提供发票和相关结算资料的，甲方的付款期限相应顺延。</w:t>
      </w:r>
    </w:p>
    <w:p w14:paraId="11E393A6">
      <w:pPr>
        <w:spacing w:line="440" w:lineRule="exact"/>
        <w:ind w:firstLine="0" w:firstLineChars="0"/>
        <w:rPr>
          <w:rFonts w:hint="eastAsia" w:ascii="宋体" w:hAnsi="宋体" w:cs="宋体"/>
          <w:b/>
        </w:rPr>
      </w:pPr>
      <w:r>
        <w:rPr>
          <w:rFonts w:hint="eastAsia" w:ascii="宋体" w:hAnsi="宋体" w:cs="宋体"/>
          <w:b/>
        </w:rPr>
        <w:t>六、发票的开具</w:t>
      </w:r>
    </w:p>
    <w:p w14:paraId="62A3F589">
      <w:pPr>
        <w:ind w:firstLine="480"/>
        <w:rPr>
          <w:color w:val="000000"/>
        </w:rPr>
      </w:pPr>
      <w:r>
        <w:rPr>
          <w:rFonts w:hint="eastAsia"/>
          <w:color w:val="000000"/>
        </w:rPr>
        <w:t>（1）交通组织咨询服务全额发票由乙方开具增值税专用发票给甲方，发票单位名称为本合同甲乙双方全称，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14:paraId="470F6561">
      <w:pPr>
        <w:ind w:firstLine="480"/>
        <w:rPr>
          <w:color w:val="000000"/>
        </w:rPr>
      </w:pPr>
      <w:r>
        <w:rPr>
          <w:rFonts w:hint="eastAsia"/>
          <w:color w:val="000000"/>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14:paraId="34B1278F">
      <w:pPr>
        <w:ind w:firstLine="480"/>
        <w:rPr>
          <w:color w:val="000000"/>
        </w:rPr>
      </w:pPr>
      <w:r>
        <w:rPr>
          <w:rFonts w:hint="eastAsia"/>
          <w:color w:val="000000"/>
        </w:rPr>
        <w:t>（3）本合同内容经双方同意变更的，如果涉及到合同价款等增值税专用发票记载项目发生变化的，需要作废、重开、补开、红字开具增值税专用发票的，甲乙双方需履行各自的协助义务。</w:t>
      </w:r>
    </w:p>
    <w:p w14:paraId="0B477351">
      <w:pPr>
        <w:ind w:firstLine="480"/>
      </w:pPr>
      <w:r>
        <w:rPr>
          <w:rFonts w:hint="eastAsia"/>
          <w:color w:val="000000"/>
        </w:rPr>
        <w:t>（4）合同生效后，因合同双方纳税人身份、纳税方式或因相关法律法规变动导致的增值税税率的变化，应遵循相关税收政策的要求，对合同价格及增值税税额进行调整。</w:t>
      </w:r>
    </w:p>
    <w:p w14:paraId="4F1FA026">
      <w:pPr>
        <w:spacing w:line="440" w:lineRule="exact"/>
        <w:ind w:firstLine="0" w:firstLineChars="0"/>
        <w:rPr>
          <w:rFonts w:hint="eastAsia" w:ascii="宋体" w:hAnsi="宋体" w:cs="宋体"/>
          <w:b/>
        </w:rPr>
      </w:pPr>
      <w:r>
        <w:rPr>
          <w:rFonts w:hint="eastAsia" w:ascii="宋体" w:hAnsi="宋体" w:cs="宋体"/>
          <w:b/>
        </w:rPr>
        <w:t>七、双方的权力与义务</w:t>
      </w:r>
    </w:p>
    <w:p w14:paraId="0B4FB4B7">
      <w:pPr>
        <w:wordWrap/>
        <w:topLinePunct w:val="0"/>
        <w:spacing w:line="360" w:lineRule="auto"/>
        <w:ind w:firstLine="482"/>
        <w:rPr>
          <w:rFonts w:hint="eastAsia" w:ascii="宋体" w:hAnsi="宋体" w:cs="宋体"/>
          <w:b/>
          <w:bCs/>
        </w:rPr>
      </w:pPr>
      <w:r>
        <w:rPr>
          <w:rFonts w:hint="eastAsia" w:ascii="宋体" w:hAnsi="宋体" w:cs="宋体"/>
          <w:b/>
          <w:bCs/>
        </w:rPr>
        <w:t>1、甲方：</w:t>
      </w:r>
    </w:p>
    <w:p w14:paraId="0BD47AF8">
      <w:pPr>
        <w:wordWrap/>
        <w:topLinePunct w:val="0"/>
        <w:spacing w:line="360" w:lineRule="auto"/>
        <w:ind w:firstLine="480"/>
        <w:rPr>
          <w:rFonts w:hint="eastAsia" w:ascii="宋体" w:hAnsi="宋体" w:cs="宋体"/>
          <w:szCs w:val="22"/>
        </w:rPr>
      </w:pPr>
      <w:r>
        <w:rPr>
          <w:rFonts w:hint="eastAsia"/>
          <w:szCs w:val="22"/>
        </w:rPr>
        <w:t>（1）</w:t>
      </w:r>
      <w:r>
        <w:rPr>
          <w:rFonts w:hint="eastAsia" w:ascii="宋体" w:hAnsi="宋体" w:cs="宋体"/>
          <w:szCs w:val="22"/>
        </w:rPr>
        <w:t>负</w:t>
      </w:r>
      <w:r>
        <w:rPr>
          <w:rFonts w:hint="eastAsia"/>
          <w:szCs w:val="22"/>
        </w:rPr>
        <w:t>责提供项目相关的设计图等技术资料。</w:t>
      </w:r>
    </w:p>
    <w:p w14:paraId="717E2F31">
      <w:pPr>
        <w:wordWrap/>
        <w:topLinePunct w:val="0"/>
        <w:spacing w:line="360" w:lineRule="auto"/>
        <w:ind w:firstLine="480"/>
        <w:rPr>
          <w:rFonts w:hint="eastAsia" w:ascii="宋体" w:hAnsi="宋体" w:cs="宋体"/>
          <w:szCs w:val="22"/>
        </w:rPr>
      </w:pPr>
      <w:r>
        <w:rPr>
          <w:rFonts w:hint="eastAsia" w:ascii="宋体" w:hAnsi="宋体" w:cs="宋体"/>
          <w:szCs w:val="22"/>
        </w:rPr>
        <w:t>（2）负责协调高速公路业主单位调取施工路段的流量数据。</w:t>
      </w:r>
    </w:p>
    <w:p w14:paraId="10E5665C">
      <w:pPr>
        <w:wordWrap/>
        <w:topLinePunct w:val="0"/>
        <w:spacing w:line="360" w:lineRule="auto"/>
        <w:ind w:firstLine="480"/>
      </w:pPr>
      <w:r>
        <w:rPr>
          <w:rFonts w:hint="eastAsia"/>
          <w:szCs w:val="22"/>
        </w:rPr>
        <w:t>（3）按合同约定支付款项。</w:t>
      </w:r>
    </w:p>
    <w:p w14:paraId="4B949F21">
      <w:pPr>
        <w:spacing w:line="440" w:lineRule="exact"/>
        <w:ind w:firstLine="482"/>
        <w:rPr>
          <w:rFonts w:hint="eastAsia" w:ascii="宋体" w:hAnsi="宋体" w:cs="宋体"/>
          <w:b/>
          <w:bCs/>
        </w:rPr>
      </w:pPr>
      <w:r>
        <w:rPr>
          <w:rFonts w:hint="eastAsia" w:ascii="宋体" w:hAnsi="宋体" w:cs="宋体"/>
          <w:b/>
          <w:bCs/>
        </w:rPr>
        <w:t>2、乙方：</w:t>
      </w:r>
    </w:p>
    <w:p w14:paraId="1FA98850">
      <w:pPr>
        <w:wordWrap/>
        <w:topLinePunct w:val="0"/>
        <w:spacing w:line="360" w:lineRule="auto"/>
        <w:ind w:firstLine="480"/>
        <w:rPr>
          <w:rFonts w:hint="eastAsia" w:ascii="宋体" w:hAnsi="宋体" w:cs="宋体"/>
        </w:rPr>
      </w:pPr>
      <w:r>
        <w:rPr>
          <w:rFonts w:hint="eastAsia" w:ascii="宋体" w:hAnsi="宋体" w:cs="宋体"/>
        </w:rPr>
        <w:t>（1）乙方指派</w:t>
      </w:r>
      <w:r>
        <w:rPr>
          <w:rFonts w:hint="eastAsia" w:ascii="宋体" w:hAnsi="宋体" w:cs="宋体"/>
          <w:b/>
          <w:bCs/>
          <w:u w:val="single"/>
        </w:rPr>
        <w:t xml:space="preserve">      </w:t>
      </w:r>
      <w:r>
        <w:rPr>
          <w:rFonts w:hint="eastAsia" w:ascii="宋体" w:hAnsi="宋体" w:cs="宋体"/>
        </w:rPr>
        <w:t>为本项目负责人，联系电话：</w:t>
      </w:r>
      <w:r>
        <w:rPr>
          <w:rFonts w:hint="eastAsia" w:ascii="宋体" w:hAnsi="宋体" w:cs="宋体"/>
          <w:b/>
          <w:bCs/>
          <w:u w:val="single"/>
        </w:rPr>
        <w:t xml:space="preserve">          </w:t>
      </w:r>
      <w:r>
        <w:rPr>
          <w:rFonts w:hint="eastAsia" w:ascii="宋体" w:hAnsi="宋体" w:cs="宋体"/>
        </w:rPr>
        <w:t>，协助甲方处理好交通组织方案（设计）报批工作。</w:t>
      </w:r>
    </w:p>
    <w:p w14:paraId="45DF17F0">
      <w:pPr>
        <w:wordWrap/>
        <w:topLinePunct w:val="0"/>
        <w:spacing w:line="360" w:lineRule="auto"/>
        <w:ind w:firstLine="480"/>
        <w:rPr>
          <w:rFonts w:hint="eastAsia" w:ascii="宋体" w:hAnsi="宋体" w:cs="宋体"/>
        </w:rPr>
      </w:pPr>
      <w:r>
        <w:rPr>
          <w:rFonts w:hint="eastAsia" w:ascii="宋体" w:hAnsi="宋体" w:cs="宋体"/>
        </w:rPr>
        <w:t>（2）按合同要求按时完成各项目交通组织咨询服务工作。</w:t>
      </w:r>
    </w:p>
    <w:p w14:paraId="1AA638D8">
      <w:pPr>
        <w:wordWrap/>
        <w:topLinePunct w:val="0"/>
        <w:spacing w:line="360" w:lineRule="auto"/>
        <w:ind w:firstLine="480"/>
      </w:pPr>
      <w:r>
        <w:rPr>
          <w:rFonts w:hint="eastAsia" w:ascii="宋体" w:hAnsi="宋体" w:cs="宋体"/>
        </w:rPr>
        <w:t>（3）</w:t>
      </w:r>
      <w:r>
        <w:rPr>
          <w:rFonts w:hint="eastAsia" w:ascii="宋体" w:hAnsi="宋体" w:cs="宋体"/>
          <w:szCs w:val="22"/>
        </w:rPr>
        <w:t>自行组织现场踏勘工作。</w:t>
      </w:r>
      <w:r>
        <w:rPr>
          <w:rFonts w:hint="eastAsia" w:ascii="宋体" w:hAnsi="宋体" w:cs="宋体"/>
        </w:rPr>
        <w:t>如有需要，负责</w:t>
      </w:r>
      <w:r>
        <w:rPr>
          <w:rFonts w:hint="eastAsia" w:ascii="宋体" w:hAnsi="宋体" w:cs="宋体"/>
          <w:szCs w:val="22"/>
        </w:rPr>
        <w:t>高速路网以外的地方道路流量数据采集工作。</w:t>
      </w:r>
    </w:p>
    <w:p w14:paraId="75DF6419">
      <w:pPr>
        <w:tabs>
          <w:tab w:val="left" w:pos="5880"/>
        </w:tabs>
        <w:wordWrap/>
        <w:topLinePunct w:val="0"/>
        <w:spacing w:line="360" w:lineRule="auto"/>
        <w:ind w:firstLine="480"/>
        <w:rPr>
          <w:rFonts w:hint="eastAsia" w:ascii="宋体" w:hAnsi="宋体" w:cs="宋体"/>
          <w:bCs/>
        </w:rPr>
      </w:pPr>
      <w:r>
        <w:rPr>
          <w:rFonts w:hint="eastAsia" w:ascii="宋体" w:hAnsi="宋体" w:cs="宋体"/>
          <w:bCs/>
        </w:rPr>
        <w:t>（4）负责对接组织交通组织方案（设计）的评审工作，并按有关部门提出要求进行修改。</w:t>
      </w:r>
    </w:p>
    <w:p w14:paraId="161004AD">
      <w:pPr>
        <w:wordWrap/>
        <w:topLinePunct w:val="0"/>
        <w:spacing w:line="360" w:lineRule="auto"/>
        <w:ind w:firstLine="480"/>
        <w:rPr>
          <w:rFonts w:hint="eastAsia" w:ascii="宋体" w:hAnsi="宋体" w:cs="宋体"/>
        </w:rPr>
      </w:pPr>
      <w:r>
        <w:rPr>
          <w:rFonts w:hint="eastAsia" w:ascii="宋体" w:hAnsi="宋体" w:cs="宋体"/>
          <w:bCs/>
        </w:rPr>
        <w:t>（5）</w:t>
      </w:r>
      <w:r>
        <w:rPr>
          <w:rFonts w:hint="eastAsia" w:ascii="宋体" w:hAnsi="宋体" w:cs="宋体"/>
        </w:rPr>
        <w:t>乙方合同金额中已包含安全责任保险费用，由乙方自行负责处理并自行承担合同履行过程中可能出现的一切安全事故责任与风险等。乙方人员如在工作中发生作业人员伤、亡事故，或违反安全管理规定等造成的人员伤亡和财产损失均由乙方自行承担全部法律责任和经济责任，甲方概不负责。</w:t>
      </w:r>
    </w:p>
    <w:p w14:paraId="7F902268">
      <w:pPr>
        <w:wordWrap/>
        <w:topLinePunct w:val="0"/>
        <w:spacing w:line="360" w:lineRule="auto"/>
        <w:ind w:firstLine="480"/>
        <w:rPr>
          <w:rFonts w:hint="eastAsia" w:ascii="宋体" w:hAnsi="宋体" w:cs="宋体"/>
          <w:bCs/>
        </w:rPr>
      </w:pPr>
      <w:r>
        <w:rPr>
          <w:rFonts w:hint="eastAsia" w:ascii="宋体" w:hAnsi="宋体" w:cs="宋体"/>
          <w:bCs/>
        </w:rPr>
        <w:t>（6）协调、解决交通组织方案实施过程中的相关问题；</w:t>
      </w:r>
    </w:p>
    <w:p w14:paraId="5784ED83">
      <w:pPr>
        <w:pStyle w:val="3"/>
      </w:pPr>
      <w:r>
        <w:rPr>
          <w:rFonts w:hint="eastAsia"/>
        </w:rPr>
        <w:t>八、违约责任</w:t>
      </w:r>
    </w:p>
    <w:p w14:paraId="21988CA3">
      <w:pPr>
        <w:ind w:firstLine="480"/>
      </w:pPr>
      <w:r>
        <w:rPr>
          <w:rFonts w:hint="eastAsia"/>
        </w:rPr>
        <w:t>若乙方未在规定的时间内完成交通组织安全咨询服务工作，每延误一天按合同金额百分之一的标准进行处罚，甲方可随时终止或解除本合同，非乙方原因除外。</w:t>
      </w:r>
    </w:p>
    <w:p w14:paraId="74581F14">
      <w:pPr>
        <w:pStyle w:val="3"/>
      </w:pPr>
      <w:r>
        <w:rPr>
          <w:rFonts w:hint="eastAsia"/>
        </w:rPr>
        <w:t>九、其它约定事项</w:t>
      </w:r>
    </w:p>
    <w:p w14:paraId="73AD489C">
      <w:pPr>
        <w:ind w:firstLine="480"/>
      </w:pPr>
      <w:r>
        <w:rPr>
          <w:rFonts w:hint="eastAsia"/>
        </w:rPr>
        <w:t>1、甲方的</w:t>
      </w:r>
      <w:r>
        <w:rPr>
          <w:rFonts w:hint="eastAsia"/>
          <w:u w:val="single"/>
        </w:rPr>
        <w:t xml:space="preserve"> </w:t>
      </w:r>
      <w:r>
        <w:rPr>
          <w:rFonts w:hint="eastAsia"/>
          <w:b/>
          <w:bCs/>
          <w:u w:val="single"/>
        </w:rPr>
        <w:t xml:space="preserve">比选文件 </w:t>
      </w:r>
      <w:r>
        <w:rPr>
          <w:rFonts w:hint="eastAsia"/>
        </w:rPr>
        <w:t>及乙方的</w:t>
      </w:r>
      <w:r>
        <w:rPr>
          <w:rFonts w:hint="eastAsia"/>
          <w:u w:val="single"/>
        </w:rPr>
        <w:t xml:space="preserve"> </w:t>
      </w:r>
      <w:r>
        <w:rPr>
          <w:rFonts w:hint="eastAsia"/>
          <w:b/>
          <w:bCs/>
          <w:u w:val="single"/>
        </w:rPr>
        <w:t xml:space="preserve">投标文件 </w:t>
      </w:r>
      <w:r>
        <w:rPr>
          <w:rFonts w:hint="eastAsia"/>
        </w:rPr>
        <w:t>作为本合同的附件，具有同等法律效力，若有不一致或矛盾之处，以本合同条款为准。</w:t>
      </w:r>
    </w:p>
    <w:p w14:paraId="59C77CBC">
      <w:pPr>
        <w:spacing w:line="360" w:lineRule="auto"/>
        <w:ind w:firstLine="0" w:firstLineChars="0"/>
      </w:pPr>
      <w:r>
        <w:rPr>
          <w:rFonts w:hint="eastAsia"/>
          <w:b/>
          <w:kern w:val="44"/>
        </w:rPr>
        <w:t>十、本合同有效期</w:t>
      </w:r>
      <w:r>
        <w:rPr>
          <w:rFonts w:hint="eastAsia"/>
        </w:rPr>
        <w:t>：</w:t>
      </w:r>
      <w:r>
        <w:rPr>
          <w:rFonts w:hint="eastAsia"/>
          <w:bCs/>
        </w:rPr>
        <w:t>自</w:t>
      </w:r>
      <w:r>
        <w:rPr>
          <w:rFonts w:hint="eastAsia" w:ascii="宋体" w:hAnsi="宋体" w:cs="宋体"/>
        </w:rPr>
        <w:t>合同生效之日起至</w:t>
      </w:r>
      <w:r>
        <w:rPr>
          <w:rFonts w:hint="eastAsia" w:ascii="宋体" w:hAnsi="宋体" w:cs="宋体"/>
          <w:b/>
          <w:bCs/>
          <w:u w:val="single"/>
        </w:rPr>
        <w:t>2025</w:t>
      </w:r>
      <w:r>
        <w:rPr>
          <w:rFonts w:hint="eastAsia" w:ascii="宋体" w:hAnsi="宋体" w:cs="宋体"/>
        </w:rPr>
        <w:t>年</w:t>
      </w:r>
      <w:r>
        <w:rPr>
          <w:rFonts w:hint="eastAsia" w:ascii="宋体" w:hAnsi="宋体" w:cs="宋体"/>
          <w:u w:val="single"/>
        </w:rPr>
        <w:t xml:space="preserve"> </w:t>
      </w:r>
      <w:r>
        <w:rPr>
          <w:rFonts w:hint="eastAsia" w:ascii="宋体" w:hAnsi="宋体" w:cs="宋体"/>
          <w:b/>
          <w:bCs/>
          <w:u w:val="single"/>
        </w:rPr>
        <w:t xml:space="preserve">12 </w:t>
      </w:r>
      <w:r>
        <w:rPr>
          <w:rFonts w:hint="eastAsia" w:ascii="宋体" w:hAnsi="宋体" w:cs="宋体"/>
        </w:rPr>
        <w:t>月</w:t>
      </w:r>
      <w:r>
        <w:rPr>
          <w:rFonts w:hint="eastAsia" w:ascii="宋体" w:hAnsi="宋体" w:cs="宋体"/>
          <w:b/>
          <w:bCs/>
          <w:u w:val="single"/>
        </w:rPr>
        <w:t xml:space="preserve"> 31 </w:t>
      </w:r>
      <w:r>
        <w:rPr>
          <w:rFonts w:hint="eastAsia" w:ascii="宋体" w:hAnsi="宋体" w:cs="宋体"/>
        </w:rPr>
        <w:t>日。</w:t>
      </w:r>
    </w:p>
    <w:p w14:paraId="55092012">
      <w:pPr>
        <w:pStyle w:val="3"/>
        <w:ind w:left="241" w:hanging="241" w:hangingChars="100"/>
        <w:rPr>
          <w:b w:val="0"/>
          <w:bCs/>
        </w:rPr>
      </w:pPr>
      <w:r>
        <w:rPr>
          <w:rFonts w:hint="eastAsia"/>
        </w:rPr>
        <w:t>十一、争议及解决方式：如有争议，双方协商解决、协商不成可依法向重庆仲裁委员会申请仲裁。</w:t>
      </w:r>
    </w:p>
    <w:p w14:paraId="5A204255">
      <w:pPr>
        <w:pStyle w:val="3"/>
      </w:pPr>
      <w:r>
        <w:rPr>
          <w:rFonts w:hint="eastAsia"/>
        </w:rPr>
        <w:t>十二、</w:t>
      </w:r>
      <w:r>
        <w:rPr>
          <w:rFonts w:hint="eastAsia" w:ascii="宋体" w:hAnsi="宋体" w:cs="宋体"/>
          <w:color w:val="000000"/>
        </w:rPr>
        <w:t>合同份数及时效</w:t>
      </w:r>
    </w:p>
    <w:p w14:paraId="229D9105">
      <w:pPr>
        <w:ind w:firstLine="480"/>
      </w:pPr>
      <w:r>
        <w:t>本合同一式</w:t>
      </w:r>
      <w:r>
        <w:rPr>
          <w:b/>
          <w:bCs/>
          <w:u w:val="single"/>
        </w:rPr>
        <w:t xml:space="preserve"> </w:t>
      </w:r>
      <w:r>
        <w:rPr>
          <w:rFonts w:hint="eastAsia"/>
          <w:b/>
          <w:bCs/>
          <w:u w:val="single"/>
        </w:rPr>
        <w:t>捌</w:t>
      </w:r>
      <w:r>
        <w:rPr>
          <w:b/>
          <w:bCs/>
          <w:u w:val="single"/>
        </w:rPr>
        <w:t xml:space="preserve"> </w:t>
      </w:r>
      <w:r>
        <w:t>份，甲方执</w:t>
      </w:r>
      <w:r>
        <w:rPr>
          <w:b/>
          <w:bCs/>
          <w:u w:val="single"/>
        </w:rPr>
        <w:t xml:space="preserve"> 肆 </w:t>
      </w:r>
      <w:r>
        <w:t>份，乙方执</w:t>
      </w:r>
      <w:r>
        <w:rPr>
          <w:b/>
          <w:bCs/>
          <w:u w:val="single"/>
        </w:rPr>
        <w:t xml:space="preserve"> </w:t>
      </w:r>
      <w:r>
        <w:rPr>
          <w:rFonts w:hint="eastAsia"/>
          <w:b/>
          <w:bCs/>
          <w:u w:val="single"/>
        </w:rPr>
        <w:t>肆</w:t>
      </w:r>
      <w:r>
        <w:rPr>
          <w:b/>
          <w:bCs/>
          <w:u w:val="single"/>
        </w:rPr>
        <w:t xml:space="preserve"> </w:t>
      </w:r>
      <w:r>
        <w:t>份，具有同等法律效力；经双方签字盖章并加盖双方骑缝章后生效</w:t>
      </w:r>
      <w:r>
        <w:rPr>
          <w:rFonts w:hint="eastAsia"/>
        </w:rPr>
        <w:t>，</w:t>
      </w:r>
      <w:r>
        <w:t>完成财务结算支付后自动失效。</w:t>
      </w:r>
    </w:p>
    <w:p w14:paraId="11D13400">
      <w:pPr>
        <w:wordWrap/>
        <w:topLinePunct w:val="0"/>
        <w:spacing w:line="360" w:lineRule="auto"/>
        <w:ind w:firstLine="0" w:firstLineChars="0"/>
      </w:pPr>
    </w:p>
    <w:p w14:paraId="21C4ACE8">
      <w:pPr>
        <w:pStyle w:val="18"/>
      </w:pPr>
    </w:p>
    <w:p w14:paraId="112A1002">
      <w:pPr>
        <w:pStyle w:val="18"/>
        <w:rPr>
          <w:rFonts w:hint="eastAsia" w:ascii="宋体" w:hAnsi="宋体" w:eastAsia="宋体" w:cs="宋体"/>
        </w:rPr>
      </w:pPr>
      <w:r>
        <w:rPr>
          <w:rFonts w:hint="eastAsia" w:ascii="宋体" w:hAnsi="宋体" w:eastAsia="宋体" w:cs="宋体"/>
        </w:rPr>
        <w:t>（本页无正文）</w:t>
      </w:r>
    </w:p>
    <w:p w14:paraId="15B4DA65">
      <w:pPr>
        <w:wordWrap/>
        <w:topLinePunct w:val="0"/>
        <w:spacing w:line="360" w:lineRule="auto"/>
        <w:ind w:firstLine="0" w:firstLineChars="0"/>
      </w:pPr>
      <w:r>
        <w:rPr>
          <w:rFonts w:hint="eastAsia"/>
        </w:rPr>
        <w:t>甲方：（盖章）</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乙方：（盖章）</w:t>
      </w:r>
    </w:p>
    <w:p w14:paraId="562B1AF9">
      <w:pPr>
        <w:wordWrap/>
        <w:topLinePunct w:val="0"/>
        <w:spacing w:line="360" w:lineRule="auto"/>
        <w:ind w:firstLine="0" w:firstLineChars="0"/>
        <w:rPr>
          <w:b/>
          <w:bCs/>
        </w:rPr>
      </w:pPr>
      <w:r>
        <w:rPr>
          <w:rFonts w:hint="eastAsia"/>
          <w:b/>
          <w:bCs/>
        </w:rPr>
        <w:t>重庆公路养护工程（集团）有限公司</w:t>
      </w:r>
      <w:r>
        <w:rPr>
          <w:rFonts w:hint="eastAsia"/>
        </w:rPr>
        <w:tab/>
      </w:r>
      <w:r>
        <w:rPr>
          <w:rFonts w:hint="eastAsia"/>
        </w:rPr>
        <w:tab/>
      </w:r>
    </w:p>
    <w:p w14:paraId="4EB6AAD5">
      <w:pPr>
        <w:pStyle w:val="18"/>
        <w:spacing w:line="360" w:lineRule="auto"/>
      </w:pPr>
    </w:p>
    <w:p w14:paraId="50C48831">
      <w:pPr>
        <w:wordWrap/>
        <w:topLinePunct w:val="0"/>
        <w:spacing w:line="360" w:lineRule="auto"/>
        <w:ind w:firstLine="0" w:firstLineChars="0"/>
      </w:pPr>
      <w:r>
        <w:rPr>
          <w:rFonts w:hint="eastAsia"/>
        </w:rPr>
        <w:t>法定代表人</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法定代表人</w:t>
      </w:r>
    </w:p>
    <w:p w14:paraId="1EA99F56">
      <w:pPr>
        <w:wordWrap/>
        <w:topLinePunct w:val="0"/>
        <w:spacing w:line="360" w:lineRule="auto"/>
        <w:ind w:firstLine="0" w:firstLineChars="0"/>
      </w:pPr>
      <w:r>
        <w:rPr>
          <w:rFonts w:hint="eastAsia"/>
        </w:rPr>
        <w:t>或授权代理人：</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或授权代理人：</w:t>
      </w:r>
      <w:r>
        <w:rPr>
          <w:rFonts w:hint="eastAsia"/>
        </w:rPr>
        <w:tab/>
      </w:r>
      <w:r>
        <w:rPr>
          <w:rFonts w:hint="eastAsia"/>
        </w:rPr>
        <w:tab/>
      </w:r>
      <w:r>
        <w:rPr>
          <w:rFonts w:hint="eastAsia"/>
        </w:rPr>
        <w:tab/>
      </w:r>
      <w:r>
        <w:rPr>
          <w:rFonts w:hint="eastAsia"/>
        </w:rPr>
        <w:tab/>
      </w:r>
    </w:p>
    <w:p w14:paraId="6C52706B">
      <w:pPr>
        <w:pStyle w:val="18"/>
        <w:spacing w:line="360" w:lineRule="auto"/>
      </w:pPr>
    </w:p>
    <w:p w14:paraId="31AFB255">
      <w:pPr>
        <w:wordWrap/>
        <w:topLinePunct w:val="0"/>
        <w:spacing w:line="360" w:lineRule="auto"/>
        <w:ind w:firstLine="0" w:firstLineChars="0"/>
      </w:pPr>
      <w:r>
        <w:rPr>
          <w:rFonts w:hint="eastAsia"/>
        </w:rPr>
        <w:t>部门负责人：</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3C592B4A">
      <w:pPr>
        <w:wordWrap/>
        <w:topLinePunct w:val="0"/>
        <w:spacing w:line="360" w:lineRule="auto"/>
        <w:ind w:firstLine="0" w:firstLineChars="0"/>
      </w:pPr>
      <w:r>
        <w:rPr>
          <w:rFonts w:hint="eastAsia"/>
        </w:rPr>
        <w:t>经办人：</w:t>
      </w:r>
    </w:p>
    <w:p w14:paraId="43DE8981">
      <w:pPr>
        <w:wordWrap/>
        <w:topLinePunct w:val="0"/>
        <w:spacing w:line="360" w:lineRule="auto"/>
        <w:ind w:firstLine="0" w:firstLineChars="0"/>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4B4DE89D">
      <w:pPr>
        <w:ind w:firstLine="0" w:firstLineChars="0"/>
      </w:pPr>
      <w:r>
        <w:rPr>
          <w:rFonts w:hint="eastAsia"/>
        </w:rPr>
        <w:t>签订日期：2025年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ab/>
      </w:r>
      <w:r>
        <w:rPr>
          <w:rFonts w:hint="eastAsia"/>
        </w:rPr>
        <w:tab/>
      </w:r>
      <w:r>
        <w:rPr>
          <w:rFonts w:hint="eastAsia"/>
        </w:rPr>
        <w:tab/>
      </w:r>
      <w:r>
        <w:rPr>
          <w:rFonts w:hint="eastAsia"/>
        </w:rPr>
        <w:tab/>
      </w:r>
      <w:r>
        <w:rPr>
          <w:rFonts w:hint="eastAsia"/>
        </w:rPr>
        <w:t>签订日期：2025年</w:t>
      </w:r>
      <w:r>
        <w:rPr>
          <w:rFonts w:hint="eastAsia"/>
          <w:u w:val="single"/>
        </w:rPr>
        <w:t xml:space="preserve">   </w:t>
      </w:r>
      <w:r>
        <w:rPr>
          <w:rFonts w:hint="eastAsia"/>
        </w:rPr>
        <w:t>月</w:t>
      </w:r>
      <w:r>
        <w:rPr>
          <w:rFonts w:hint="eastAsia"/>
          <w:u w:val="single"/>
        </w:rPr>
        <w:t xml:space="preserve">   </w:t>
      </w:r>
      <w:r>
        <w:rPr>
          <w:rFonts w:hint="eastAsia"/>
        </w:rPr>
        <w:t>日</w:t>
      </w:r>
    </w:p>
    <w:p w14:paraId="06E1A535">
      <w:pPr>
        <w:pStyle w:val="18"/>
        <w:sectPr>
          <w:headerReference r:id="rId8" w:type="default"/>
          <w:footerReference r:id="rId9" w:type="default"/>
          <w:pgSz w:w="11906" w:h="16838"/>
          <w:pgMar w:top="1134" w:right="1134" w:bottom="1134" w:left="1134" w:header="794" w:footer="794" w:gutter="0"/>
          <w:cols w:space="720" w:num="1"/>
          <w:docGrid w:type="lines" w:linePitch="312" w:charSpace="0"/>
        </w:sectPr>
      </w:pPr>
    </w:p>
    <w:p w14:paraId="198B9163">
      <w:pPr>
        <w:pStyle w:val="18"/>
        <w:rPr>
          <w:rFonts w:hint="eastAsia" w:ascii="宋体" w:hAnsi="宋体" w:eastAsia="宋体" w:cs="宋体"/>
          <w:b/>
          <w:bCs/>
        </w:rPr>
      </w:pPr>
      <w:r>
        <w:rPr>
          <w:rFonts w:hint="eastAsia" w:ascii="宋体" w:hAnsi="宋体" w:eastAsia="宋体" w:cs="宋体"/>
          <w:b/>
          <w:bCs/>
        </w:rPr>
        <w:t>合同附件一：</w:t>
      </w:r>
    </w:p>
    <w:p w14:paraId="1A55401C">
      <w:pPr>
        <w:wordWrap/>
        <w:topLinePunct w:val="0"/>
        <w:spacing w:line="360" w:lineRule="auto"/>
        <w:ind w:firstLine="643"/>
        <w:jc w:val="center"/>
        <w:rPr>
          <w:rFonts w:hint="eastAsia" w:ascii="宋体" w:hAnsi="宋体" w:cs="宋体"/>
          <w:b/>
          <w:bCs/>
          <w:sz w:val="32"/>
          <w:szCs w:val="32"/>
        </w:rPr>
      </w:pPr>
      <w:r>
        <w:rPr>
          <w:rFonts w:hint="eastAsia" w:ascii="宋体" w:hAnsi="宋体" w:cs="宋体"/>
          <w:b/>
          <w:color w:val="000000"/>
          <w:sz w:val="32"/>
          <w:szCs w:val="32"/>
        </w:rPr>
        <w:t>重庆公路养护工程（集团）有限公司</w:t>
      </w:r>
      <w:r>
        <w:rPr>
          <w:rFonts w:hint="eastAsia" w:ascii="宋体" w:hAnsi="宋体" w:cs="宋体"/>
          <w:b/>
          <w:bCs/>
          <w:sz w:val="32"/>
          <w:szCs w:val="32"/>
        </w:rPr>
        <w:t>2025年路面专项工程</w:t>
      </w:r>
    </w:p>
    <w:p w14:paraId="53892E0A">
      <w:pPr>
        <w:wordWrap/>
        <w:topLinePunct w:val="0"/>
        <w:spacing w:line="360" w:lineRule="auto"/>
        <w:ind w:firstLine="643"/>
        <w:jc w:val="center"/>
        <w:rPr>
          <w:rFonts w:hint="eastAsia" w:ascii="宋体" w:hAnsi="宋体" w:cs="宋体"/>
          <w:b/>
          <w:color w:val="000000"/>
          <w:sz w:val="32"/>
          <w:szCs w:val="32"/>
        </w:rPr>
      </w:pPr>
      <w:r>
        <w:rPr>
          <w:rFonts w:hint="eastAsia" w:ascii="宋体" w:hAnsi="宋体" w:cs="宋体"/>
          <w:b/>
          <w:bCs/>
          <w:sz w:val="32"/>
          <w:szCs w:val="32"/>
        </w:rPr>
        <w:t>交通组织</w:t>
      </w:r>
      <w:r>
        <w:rPr>
          <w:rFonts w:hint="eastAsia" w:ascii="宋体" w:hAnsi="宋体" w:cs="宋体"/>
          <w:b/>
          <w:color w:val="000000"/>
          <w:sz w:val="32"/>
          <w:szCs w:val="32"/>
        </w:rPr>
        <w:t>咨询服务之廉政合同</w:t>
      </w:r>
    </w:p>
    <w:p w14:paraId="50B8147E">
      <w:pPr>
        <w:wordWrap/>
        <w:topLinePunct w:val="0"/>
        <w:spacing w:line="360" w:lineRule="auto"/>
        <w:ind w:firstLine="480"/>
        <w:textAlignment w:val="baseline"/>
        <w:rPr>
          <w:rFonts w:hint="eastAsia" w:ascii="宋体" w:hAnsi="宋体" w:cs="宋体"/>
          <w:color w:val="000000"/>
        </w:rPr>
      </w:pPr>
      <w:r>
        <w:rPr>
          <w:rFonts w:hint="eastAsia" w:ascii="宋体" w:hAnsi="宋体" w:cs="宋体"/>
          <w:color w:val="000000"/>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ascii="宋体" w:hAnsi="宋体" w:cs="宋体"/>
          <w:b/>
          <w:color w:val="000000"/>
          <w:u w:val="single"/>
        </w:rPr>
        <w:t>重庆公路养护工程（集团）有限公司</w:t>
      </w:r>
      <w:r>
        <w:rPr>
          <w:rFonts w:hint="eastAsia" w:ascii="宋体" w:hAnsi="宋体" w:cs="宋体"/>
          <w:color w:val="000000"/>
        </w:rPr>
        <w:t>（以下称甲方）与</w:t>
      </w:r>
      <w:r>
        <w:rPr>
          <w:rFonts w:hint="eastAsia" w:ascii="宋体" w:hAnsi="宋体" w:cs="宋体"/>
          <w:b/>
          <w:color w:val="000000"/>
          <w:u w:val="single"/>
        </w:rPr>
        <w:t xml:space="preserve">                       </w:t>
      </w:r>
      <w:r>
        <w:rPr>
          <w:rFonts w:hint="eastAsia" w:ascii="宋体" w:hAnsi="宋体" w:cs="宋体"/>
          <w:color w:val="000000"/>
        </w:rPr>
        <w:t>（以下称乙方），特订立如下合同。</w:t>
      </w:r>
    </w:p>
    <w:p w14:paraId="40F6FDF7">
      <w:pPr>
        <w:wordWrap/>
        <w:topLinePunct w:val="0"/>
        <w:spacing w:line="360" w:lineRule="auto"/>
        <w:ind w:firstLine="482"/>
        <w:textAlignment w:val="baseline"/>
        <w:rPr>
          <w:rFonts w:hint="eastAsia" w:ascii="宋体" w:hAnsi="宋体" w:cs="宋体"/>
          <w:b/>
          <w:color w:val="000000"/>
        </w:rPr>
      </w:pPr>
      <w:r>
        <w:rPr>
          <w:rFonts w:hint="eastAsia" w:ascii="宋体" w:hAnsi="宋体" w:cs="宋体"/>
          <w:b/>
          <w:color w:val="000000"/>
        </w:rPr>
        <w:t>一、反商业贿赂条款</w:t>
      </w:r>
    </w:p>
    <w:p w14:paraId="5E79BE8D">
      <w:pPr>
        <w:wordWrap/>
        <w:topLinePunct w:val="0"/>
        <w:spacing w:line="360" w:lineRule="auto"/>
        <w:ind w:firstLine="480"/>
        <w:textAlignment w:val="baseline"/>
        <w:rPr>
          <w:rFonts w:hint="eastAsia" w:ascii="宋体" w:hAnsi="宋体" w:cs="宋体"/>
          <w:bCs/>
          <w:color w:val="000000"/>
        </w:rPr>
      </w:pPr>
      <w:r>
        <w:rPr>
          <w:rFonts w:hint="eastAsia" w:ascii="宋体" w:hAnsi="宋体" w:cs="宋体"/>
          <w:bCs/>
          <w:color w:val="000000"/>
        </w:rPr>
        <w:t>本条款是本合同之必备条款，与本合同具有同等法律效力，甲乙各方签署合同之当事人认真阅读本条款，同意签订并遵守如下反商业贿赂条款：</w:t>
      </w:r>
    </w:p>
    <w:p w14:paraId="7F900E8C">
      <w:pPr>
        <w:wordWrap/>
        <w:topLinePunct w:val="0"/>
        <w:spacing w:line="360" w:lineRule="auto"/>
        <w:ind w:firstLine="480"/>
        <w:textAlignment w:val="baseline"/>
        <w:rPr>
          <w:rFonts w:hint="eastAsia" w:ascii="宋体" w:hAnsi="宋体" w:cs="宋体"/>
          <w:bCs/>
          <w:color w:val="000000"/>
        </w:rPr>
      </w:pPr>
      <w:r>
        <w:rPr>
          <w:rFonts w:hint="eastAsia" w:ascii="宋体" w:hAnsi="宋体" w:cs="宋体"/>
          <w:bCs/>
          <w:color w:val="000000"/>
        </w:rPr>
        <w:t>1、各方都清楚并愿意严格遵守中华人民共和国反商业贿赂的法律规定，各方都清楚任何形式的贿赂和贪渎行为都将触犯法律，并将受到法律的严惩。</w:t>
      </w:r>
    </w:p>
    <w:p w14:paraId="548AFD34">
      <w:pPr>
        <w:wordWrap/>
        <w:topLinePunct w:val="0"/>
        <w:spacing w:line="360" w:lineRule="auto"/>
        <w:ind w:firstLine="480"/>
        <w:textAlignment w:val="baseline"/>
        <w:rPr>
          <w:rFonts w:hint="eastAsia" w:ascii="宋体" w:hAnsi="宋体" w:cs="宋体"/>
          <w:bCs/>
          <w:color w:val="000000"/>
        </w:rPr>
      </w:pPr>
      <w:r>
        <w:rPr>
          <w:rFonts w:hint="eastAsia" w:ascii="宋体" w:hAnsi="宋体" w:cs="宋体"/>
          <w:bCs/>
          <w:color w:val="000000"/>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14:paraId="7320A6E7">
      <w:pPr>
        <w:wordWrap/>
        <w:topLinePunct w:val="0"/>
        <w:spacing w:line="360" w:lineRule="auto"/>
        <w:ind w:firstLine="480"/>
        <w:textAlignment w:val="baseline"/>
        <w:rPr>
          <w:rFonts w:hint="eastAsia" w:ascii="宋体" w:hAnsi="宋体" w:cs="宋体"/>
          <w:bCs/>
          <w:color w:val="000000"/>
        </w:rPr>
      </w:pPr>
      <w:r>
        <w:rPr>
          <w:rFonts w:hint="eastAsia" w:ascii="宋体" w:hAnsi="宋体" w:cs="宋体"/>
          <w:bCs/>
          <w:color w:val="000000"/>
        </w:rPr>
        <w:t>3、各方严格禁止其经办人员的任何商业贿赂行为。各方经办人发生本条第2款所列示的任何一种行为，都是违反各方公司制度的，都将受到各方制度和国家法律的惩处。</w:t>
      </w:r>
    </w:p>
    <w:p w14:paraId="46AFE527">
      <w:pPr>
        <w:wordWrap/>
        <w:topLinePunct w:val="0"/>
        <w:spacing w:line="360" w:lineRule="auto"/>
        <w:ind w:firstLine="480"/>
        <w:textAlignment w:val="baseline"/>
        <w:rPr>
          <w:rFonts w:hint="eastAsia" w:ascii="宋体" w:hAnsi="宋体" w:cs="宋体"/>
          <w:bCs/>
          <w:color w:val="000000"/>
        </w:rPr>
      </w:pPr>
      <w:r>
        <w:rPr>
          <w:rFonts w:hint="eastAsia" w:ascii="宋体" w:hAnsi="宋体" w:cs="宋体"/>
          <w:bCs/>
          <w:color w:val="000000"/>
        </w:rPr>
        <w:t>4、各方郑重提示：各方反对各方或各方的经办人员为了本合同之目的与本合同以外的任何第各方发生本条款第2款所列示的任何一种行为，该等行为都是违反国家法律的行为，并将受到国家法律的惩处。</w:t>
      </w:r>
    </w:p>
    <w:p w14:paraId="64F6DF1C">
      <w:pPr>
        <w:wordWrap/>
        <w:topLinePunct w:val="0"/>
        <w:spacing w:line="360" w:lineRule="auto"/>
        <w:ind w:firstLine="480"/>
        <w:textAlignment w:val="baseline"/>
        <w:rPr>
          <w:rFonts w:hint="eastAsia" w:ascii="宋体" w:hAnsi="宋体" w:cs="宋体"/>
          <w:bCs/>
          <w:color w:val="000000"/>
        </w:rPr>
      </w:pPr>
      <w:r>
        <w:rPr>
          <w:rFonts w:hint="eastAsia" w:ascii="宋体" w:hAnsi="宋体" w:cs="宋体"/>
          <w:bCs/>
          <w:color w:val="000000"/>
        </w:rPr>
        <w:t>5、如因一方或一方经办人违反上述第2款、第3款、第4款之规定，给其他方造成损失的，应承担损害赔偿责任。</w:t>
      </w:r>
    </w:p>
    <w:p w14:paraId="6DDA1C1F">
      <w:pPr>
        <w:wordWrap/>
        <w:topLinePunct w:val="0"/>
        <w:spacing w:line="360" w:lineRule="auto"/>
        <w:ind w:firstLine="480"/>
        <w:textAlignment w:val="baseline"/>
        <w:rPr>
          <w:rFonts w:hint="eastAsia" w:ascii="宋体" w:hAnsi="宋体" w:cs="宋体"/>
          <w:bCs/>
          <w:color w:val="000000"/>
        </w:rPr>
      </w:pPr>
      <w:r>
        <w:rPr>
          <w:rFonts w:hint="eastAsia" w:ascii="宋体" w:hAnsi="宋体" w:cs="宋体"/>
          <w:bCs/>
          <w:color w:val="000000"/>
        </w:rPr>
        <w:t>6、本条所称“其他相关人员”是指各方经办人以外的与合同有直接或间接利益关系的人员，包括但不仅限于合同经办人的亲友。</w:t>
      </w:r>
    </w:p>
    <w:p w14:paraId="6375C121">
      <w:pPr>
        <w:wordWrap/>
        <w:topLinePunct w:val="0"/>
        <w:spacing w:line="360" w:lineRule="auto"/>
        <w:ind w:firstLine="482"/>
        <w:textAlignment w:val="baseline"/>
        <w:rPr>
          <w:rFonts w:hint="eastAsia" w:ascii="宋体" w:hAnsi="宋体" w:cs="宋体"/>
          <w:color w:val="000000"/>
        </w:rPr>
      </w:pPr>
      <w:r>
        <w:rPr>
          <w:rFonts w:hint="eastAsia" w:ascii="宋体" w:hAnsi="宋体" w:cs="宋体"/>
          <w:b/>
          <w:color w:val="000000"/>
        </w:rPr>
        <w:t>二、甲乙双方的权利和义务</w:t>
      </w:r>
    </w:p>
    <w:p w14:paraId="377EF02C">
      <w:pPr>
        <w:wordWrap/>
        <w:topLinePunct w:val="0"/>
        <w:spacing w:line="360" w:lineRule="auto"/>
        <w:ind w:firstLine="480"/>
        <w:rPr>
          <w:rFonts w:hint="eastAsia" w:ascii="宋体" w:hAnsi="宋体" w:cs="宋体"/>
          <w:color w:val="000000"/>
        </w:rPr>
      </w:pPr>
      <w:r>
        <w:rPr>
          <w:rFonts w:hint="eastAsia" w:ascii="宋体" w:hAnsi="宋体" w:cs="宋体"/>
          <w:color w:val="000000"/>
        </w:rPr>
        <w:t>1、严格遵守党和国家有关法律法规及交通部的有关规定。</w:t>
      </w:r>
    </w:p>
    <w:p w14:paraId="1BD09204">
      <w:pPr>
        <w:wordWrap/>
        <w:topLinePunct w:val="0"/>
        <w:spacing w:line="360" w:lineRule="auto"/>
        <w:ind w:firstLine="480"/>
        <w:rPr>
          <w:rFonts w:hint="eastAsia" w:ascii="宋体" w:hAnsi="宋体" w:cs="宋体"/>
          <w:color w:val="000000"/>
        </w:rPr>
      </w:pPr>
      <w:r>
        <w:rPr>
          <w:rFonts w:hint="eastAsia" w:ascii="宋体" w:hAnsi="宋体" w:cs="宋体"/>
          <w:color w:val="000000"/>
        </w:rPr>
        <w:t>2、严格执行</w:t>
      </w:r>
      <w:r>
        <w:rPr>
          <w:rFonts w:hint="eastAsia" w:ascii="宋体" w:hAnsi="宋体" w:cs="宋体"/>
          <w:b/>
          <w:color w:val="000000"/>
        </w:rPr>
        <w:t>《2025年路面专项工程交通组织咨询服务采购》</w:t>
      </w:r>
      <w:r>
        <w:rPr>
          <w:rFonts w:hint="eastAsia" w:ascii="宋体" w:hAnsi="宋体" w:cs="宋体"/>
          <w:color w:val="000000"/>
        </w:rPr>
        <w:t>的相关条款，自觉按合同办事。</w:t>
      </w:r>
    </w:p>
    <w:p w14:paraId="2B7E689D">
      <w:pPr>
        <w:pStyle w:val="7"/>
        <w:widowControl w:val="0"/>
        <w:wordWrap/>
        <w:topLinePunct w:val="0"/>
        <w:spacing w:line="360" w:lineRule="auto"/>
        <w:ind w:firstLine="480"/>
        <w:rPr>
          <w:rFonts w:hint="eastAsia" w:ascii="宋体" w:hAnsi="宋体" w:eastAsia="宋体" w:cs="宋体"/>
          <w:color w:val="000000"/>
        </w:rPr>
      </w:pPr>
      <w:r>
        <w:rPr>
          <w:rFonts w:hint="eastAsia" w:ascii="宋体" w:hAnsi="宋体" w:eastAsia="宋体" w:cs="宋体"/>
          <w:color w:val="000000"/>
        </w:rPr>
        <w:t>3、双方的业务活动坚持公开、公正、诚信、透明的原则（除法律认定的商业秘密和合同文件另有规定之外），不得损害国家和集体利益，违反工程建设管理规章制度。</w:t>
      </w:r>
    </w:p>
    <w:p w14:paraId="2B801B9D">
      <w:pPr>
        <w:wordWrap/>
        <w:topLinePunct w:val="0"/>
        <w:spacing w:line="360" w:lineRule="auto"/>
        <w:ind w:firstLine="480"/>
        <w:rPr>
          <w:rFonts w:hint="eastAsia" w:ascii="宋体" w:hAnsi="宋体" w:cs="宋体"/>
          <w:color w:val="000000"/>
        </w:rPr>
      </w:pPr>
      <w:r>
        <w:rPr>
          <w:rFonts w:hint="eastAsia" w:ascii="宋体" w:hAnsi="宋体" w:cs="宋体"/>
          <w:color w:val="000000"/>
        </w:rPr>
        <w:t>4、建立健全廉政制度，开展廉政教育，设立廉政告示牌，公布举报电话，监督并认真查处违法违纪行为。</w:t>
      </w:r>
    </w:p>
    <w:p w14:paraId="6CB021EF">
      <w:pPr>
        <w:wordWrap/>
        <w:topLinePunct w:val="0"/>
        <w:spacing w:line="360" w:lineRule="auto"/>
        <w:ind w:firstLine="480"/>
        <w:rPr>
          <w:rFonts w:hint="eastAsia" w:ascii="宋体" w:hAnsi="宋体" w:cs="宋体"/>
          <w:color w:val="000000"/>
        </w:rPr>
      </w:pPr>
      <w:r>
        <w:rPr>
          <w:rFonts w:hint="eastAsia" w:ascii="宋体" w:hAnsi="宋体" w:cs="宋体"/>
          <w:color w:val="000000"/>
        </w:rPr>
        <w:t>5、发现对方在业务活动中有违反廉政规定的行为，有及时提醒对方纠正的权利和义务。</w:t>
      </w:r>
    </w:p>
    <w:p w14:paraId="3C12CE1A">
      <w:pPr>
        <w:wordWrap/>
        <w:topLinePunct w:val="0"/>
        <w:spacing w:line="360" w:lineRule="auto"/>
        <w:ind w:firstLine="480"/>
        <w:rPr>
          <w:rFonts w:hint="eastAsia" w:ascii="宋体" w:hAnsi="宋体" w:cs="宋体"/>
          <w:color w:val="000000"/>
        </w:rPr>
      </w:pPr>
      <w:r>
        <w:rPr>
          <w:rFonts w:hint="eastAsia" w:ascii="宋体" w:hAnsi="宋体" w:cs="宋体"/>
          <w:color w:val="000000"/>
        </w:rPr>
        <w:t>6、发现对方严重违反本合同义务条款的行为，有向其上级有关部门举报、建议给予处理并要求告知处理结果的权利。</w:t>
      </w:r>
    </w:p>
    <w:p w14:paraId="38799416">
      <w:pPr>
        <w:wordWrap/>
        <w:topLinePunct w:val="0"/>
        <w:spacing w:line="360" w:lineRule="auto"/>
        <w:ind w:firstLine="482"/>
        <w:rPr>
          <w:rFonts w:hint="eastAsia" w:ascii="宋体" w:hAnsi="宋体" w:cs="宋体"/>
          <w:b/>
          <w:color w:val="000000"/>
        </w:rPr>
      </w:pPr>
      <w:r>
        <w:rPr>
          <w:rFonts w:hint="eastAsia" w:ascii="宋体" w:hAnsi="宋体" w:cs="宋体"/>
          <w:b/>
          <w:color w:val="000000"/>
        </w:rPr>
        <w:t>三、甲方义务</w:t>
      </w:r>
    </w:p>
    <w:p w14:paraId="2B32E543">
      <w:pPr>
        <w:wordWrap/>
        <w:topLinePunct w:val="0"/>
        <w:spacing w:line="360" w:lineRule="auto"/>
        <w:ind w:firstLine="480"/>
        <w:rPr>
          <w:rFonts w:hint="eastAsia" w:ascii="宋体" w:hAnsi="宋体" w:cs="宋体"/>
          <w:color w:val="000000"/>
        </w:rPr>
      </w:pPr>
      <w:r>
        <w:rPr>
          <w:rFonts w:hint="eastAsia" w:ascii="宋体" w:hAnsi="宋体" w:cs="宋体"/>
          <w:color w:val="000000"/>
        </w:rPr>
        <w:t>1、甲方及其工作人员不得索要或接受乙方的礼金、有价证券和贵重要物品，不得在乙方报销任何应由甲方或个人支付的费用等。</w:t>
      </w:r>
    </w:p>
    <w:p w14:paraId="5A9209F0">
      <w:pPr>
        <w:wordWrap/>
        <w:topLinePunct w:val="0"/>
        <w:spacing w:line="360" w:lineRule="auto"/>
        <w:ind w:firstLine="480"/>
        <w:rPr>
          <w:rFonts w:hint="eastAsia" w:ascii="宋体" w:hAnsi="宋体" w:cs="宋体"/>
          <w:color w:val="000000"/>
        </w:rPr>
      </w:pPr>
      <w:r>
        <w:rPr>
          <w:rFonts w:hint="eastAsia" w:ascii="宋体" w:hAnsi="宋体" w:cs="宋体"/>
          <w:color w:val="000000"/>
        </w:rPr>
        <w:t>2、甲方工作人员不得参加乙方安排的宴请或可能影响公正的其他宴请和娱乐活动。不得接受乙方提供的通讯工具、交通工具和高档办公用品等。</w:t>
      </w:r>
    </w:p>
    <w:p w14:paraId="2F942AC8">
      <w:pPr>
        <w:wordWrap/>
        <w:topLinePunct w:val="0"/>
        <w:spacing w:line="360" w:lineRule="auto"/>
        <w:ind w:firstLine="480"/>
        <w:rPr>
          <w:rFonts w:hint="eastAsia" w:ascii="宋体" w:hAnsi="宋体" w:cs="宋体"/>
          <w:color w:val="000000"/>
        </w:rPr>
      </w:pPr>
      <w:r>
        <w:rPr>
          <w:rFonts w:hint="eastAsia" w:ascii="宋体" w:hAnsi="宋体" w:cs="宋体"/>
          <w:color w:val="000000"/>
        </w:rPr>
        <w:t>3、甲方及其工作人员不得要求或者接受乙方为其住房装修、婚丧嫁娶活动、配偶子女的工作安排以及出国出境、旅游等提供方便等。</w:t>
      </w:r>
    </w:p>
    <w:p w14:paraId="623A1864">
      <w:pPr>
        <w:wordWrap/>
        <w:topLinePunct w:val="0"/>
        <w:spacing w:line="360" w:lineRule="auto"/>
        <w:ind w:firstLine="480"/>
        <w:rPr>
          <w:rFonts w:hint="eastAsia" w:ascii="宋体" w:hAnsi="宋体" w:cs="宋体"/>
          <w:color w:val="000000"/>
        </w:rPr>
      </w:pPr>
      <w:r>
        <w:rPr>
          <w:rFonts w:hint="eastAsia" w:ascii="宋体" w:hAnsi="宋体" w:cs="宋体"/>
          <w:color w:val="000000"/>
        </w:rPr>
        <w:t>4、甲方工作人员的配偶、子女不得从事与甲方工程有关的材料设备供应、工程分包、劳务等经济活动等。</w:t>
      </w:r>
    </w:p>
    <w:p w14:paraId="69C69715">
      <w:pPr>
        <w:wordWrap/>
        <w:topLinePunct w:val="0"/>
        <w:spacing w:line="360" w:lineRule="auto"/>
        <w:ind w:firstLine="480"/>
        <w:rPr>
          <w:rFonts w:hint="eastAsia" w:ascii="宋体" w:hAnsi="宋体" w:cs="宋体"/>
          <w:color w:val="000000"/>
        </w:rPr>
      </w:pPr>
      <w:r>
        <w:rPr>
          <w:rFonts w:hint="eastAsia" w:ascii="宋体" w:hAnsi="宋体" w:cs="宋体"/>
          <w:color w:val="000000"/>
        </w:rPr>
        <w:t>5、甲方及其工作人员不得以任何理由向乙方推荐分包单位，不得要求乙方购买合同规定外的材料和设备。</w:t>
      </w:r>
    </w:p>
    <w:p w14:paraId="029EE9E8">
      <w:pPr>
        <w:wordWrap/>
        <w:topLinePunct w:val="0"/>
        <w:spacing w:line="360" w:lineRule="auto"/>
        <w:ind w:firstLine="482"/>
        <w:rPr>
          <w:rFonts w:hint="eastAsia" w:ascii="宋体" w:hAnsi="宋体" w:cs="宋体"/>
          <w:b/>
          <w:color w:val="000000"/>
        </w:rPr>
      </w:pPr>
      <w:r>
        <w:rPr>
          <w:rFonts w:hint="eastAsia" w:ascii="宋体" w:hAnsi="宋体" w:cs="宋体"/>
          <w:b/>
          <w:color w:val="000000"/>
        </w:rPr>
        <w:t>四、乙方义务</w:t>
      </w:r>
    </w:p>
    <w:p w14:paraId="258024A0">
      <w:pPr>
        <w:wordWrap/>
        <w:topLinePunct w:val="0"/>
        <w:spacing w:line="360" w:lineRule="auto"/>
        <w:ind w:firstLine="480"/>
        <w:rPr>
          <w:rFonts w:hint="eastAsia" w:ascii="宋体" w:hAnsi="宋体" w:cs="宋体"/>
          <w:color w:val="000000"/>
        </w:rPr>
      </w:pPr>
      <w:r>
        <w:rPr>
          <w:rFonts w:hint="eastAsia" w:ascii="宋体" w:hAnsi="宋体" w:cs="宋体"/>
          <w:color w:val="000000"/>
        </w:rPr>
        <w:t>1、乙方不得以任何理由向甲方及其工作人员行贿或馈赠礼金、有价证券、贵重礼品。</w:t>
      </w:r>
    </w:p>
    <w:p w14:paraId="4009E292">
      <w:pPr>
        <w:wordWrap/>
        <w:topLinePunct w:val="0"/>
        <w:spacing w:line="360" w:lineRule="auto"/>
        <w:ind w:firstLine="480"/>
        <w:rPr>
          <w:rFonts w:hint="eastAsia" w:ascii="宋体" w:hAnsi="宋体" w:cs="宋体"/>
          <w:color w:val="000000"/>
        </w:rPr>
      </w:pPr>
      <w:r>
        <w:rPr>
          <w:rFonts w:hint="eastAsia" w:ascii="宋体" w:hAnsi="宋体" w:cs="宋体"/>
          <w:color w:val="000000"/>
        </w:rPr>
        <w:t>2、乙方不得以任何名义为甲方及其工作人员报销应由甲方单位或个人支付的任何费用。</w:t>
      </w:r>
    </w:p>
    <w:p w14:paraId="5645E0B7">
      <w:pPr>
        <w:wordWrap/>
        <w:topLinePunct w:val="0"/>
        <w:spacing w:line="360" w:lineRule="auto"/>
        <w:ind w:firstLine="480"/>
        <w:rPr>
          <w:rFonts w:hint="eastAsia" w:ascii="宋体" w:hAnsi="宋体" w:cs="宋体"/>
          <w:color w:val="000000"/>
        </w:rPr>
      </w:pPr>
      <w:r>
        <w:rPr>
          <w:rFonts w:hint="eastAsia" w:ascii="宋体" w:hAnsi="宋体" w:cs="宋体"/>
          <w:color w:val="000000"/>
        </w:rPr>
        <w:t>3、乙方不得以任何理由邀请甲方工作人员外出旅游或安排甲方工作人员参加宴请及娱乐活动。</w:t>
      </w:r>
    </w:p>
    <w:p w14:paraId="51CAB8FA">
      <w:pPr>
        <w:wordWrap/>
        <w:topLinePunct w:val="0"/>
        <w:spacing w:line="360" w:lineRule="auto"/>
        <w:ind w:firstLine="480"/>
        <w:rPr>
          <w:rFonts w:hint="eastAsia" w:ascii="宋体" w:hAnsi="宋体" w:cs="宋体"/>
          <w:color w:val="000000"/>
        </w:rPr>
      </w:pPr>
      <w:r>
        <w:rPr>
          <w:rFonts w:hint="eastAsia" w:ascii="宋体" w:hAnsi="宋体" w:cs="宋体"/>
          <w:color w:val="000000"/>
        </w:rPr>
        <w:t>4、乙方不得为甲方单位和个人购置或提供通讯工具、交通工具和高档办公用品等。</w:t>
      </w:r>
    </w:p>
    <w:p w14:paraId="69272942">
      <w:pPr>
        <w:wordWrap/>
        <w:topLinePunct w:val="0"/>
        <w:spacing w:line="360" w:lineRule="auto"/>
        <w:ind w:firstLine="480"/>
        <w:rPr>
          <w:rFonts w:hint="eastAsia" w:ascii="宋体" w:hAnsi="宋体" w:cs="宋体"/>
          <w:color w:val="000000"/>
        </w:rPr>
      </w:pPr>
      <w:r>
        <w:rPr>
          <w:rFonts w:hint="eastAsia" w:ascii="宋体" w:hAnsi="宋体" w:cs="宋体"/>
          <w:color w:val="000000"/>
        </w:rPr>
        <w:t>5、乙方及其工作人员应严格按规程办事，不得为谋取私利向工作人员非法行贿，私下串通，损害甲方利益。同时依法履行向甲方承诺的上述其他廉政义务。</w:t>
      </w:r>
    </w:p>
    <w:p w14:paraId="1E66AC09">
      <w:pPr>
        <w:wordWrap/>
        <w:topLinePunct w:val="0"/>
        <w:spacing w:line="360" w:lineRule="auto"/>
        <w:ind w:firstLine="480"/>
        <w:rPr>
          <w:rFonts w:hint="eastAsia" w:ascii="宋体" w:hAnsi="宋体" w:cs="宋体"/>
          <w:color w:val="000000"/>
        </w:rPr>
      </w:pPr>
      <w:r>
        <w:rPr>
          <w:rFonts w:hint="eastAsia" w:ascii="宋体" w:hAnsi="宋体" w:cs="宋体"/>
          <w:color w:val="000000"/>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14:paraId="63E28DB0">
      <w:pPr>
        <w:wordWrap/>
        <w:topLinePunct w:val="0"/>
        <w:spacing w:line="360" w:lineRule="auto"/>
        <w:ind w:firstLine="482"/>
        <w:rPr>
          <w:rFonts w:hint="eastAsia" w:ascii="宋体" w:hAnsi="宋体" w:cs="宋体"/>
          <w:b/>
          <w:color w:val="000000"/>
        </w:rPr>
      </w:pPr>
      <w:r>
        <w:rPr>
          <w:rFonts w:hint="eastAsia" w:ascii="宋体" w:hAnsi="宋体" w:cs="宋体"/>
          <w:b/>
          <w:color w:val="000000"/>
        </w:rPr>
        <w:t>五、违约责任</w:t>
      </w:r>
    </w:p>
    <w:p w14:paraId="05629087">
      <w:pPr>
        <w:wordWrap/>
        <w:topLinePunct w:val="0"/>
        <w:spacing w:line="360" w:lineRule="auto"/>
        <w:ind w:firstLine="480"/>
        <w:rPr>
          <w:rFonts w:hint="eastAsia" w:ascii="宋体" w:hAnsi="宋体" w:cs="宋体"/>
          <w:color w:val="000000"/>
        </w:rPr>
      </w:pPr>
      <w:r>
        <w:rPr>
          <w:rFonts w:hint="eastAsia" w:ascii="宋体" w:hAnsi="宋体" w:cs="宋体"/>
          <w:color w:val="000000"/>
        </w:rPr>
        <w:t>1、甲方及其工作人员违反本合同第一、二、三条，按管理权限，依据有关规定给予党纪、政纪或组织处理；涉嫌犯罪的，移交司法机关追究刑事责任；给乙方单位造成经济损失的，应予以赔偿。</w:t>
      </w:r>
    </w:p>
    <w:p w14:paraId="314F3AA0">
      <w:pPr>
        <w:wordWrap/>
        <w:topLinePunct w:val="0"/>
        <w:spacing w:line="360" w:lineRule="auto"/>
        <w:ind w:firstLine="480"/>
        <w:rPr>
          <w:rFonts w:hint="eastAsia" w:ascii="宋体" w:hAnsi="宋体" w:cs="宋体"/>
          <w:color w:val="000000"/>
        </w:rPr>
      </w:pPr>
      <w:r>
        <w:rPr>
          <w:rFonts w:hint="eastAsia" w:ascii="宋体" w:hAnsi="宋体" w:cs="宋体"/>
          <w:color w:val="000000"/>
        </w:rPr>
        <w:t>2、乙方及其工作人员违反本合同第一、二、四条，按管理权限，依据有关规定，给予党纪、政纪或组织处理；给甲方单位造成经济损失的，应予以赔偿；情节严重的，甲方建议交通工程建设主管部门给予乙方二至五年内不得进入其主管的交通工程市场的处罚。</w:t>
      </w:r>
    </w:p>
    <w:p w14:paraId="4788CCB7">
      <w:pPr>
        <w:wordWrap/>
        <w:topLinePunct w:val="0"/>
        <w:spacing w:line="360" w:lineRule="auto"/>
        <w:ind w:firstLine="482"/>
        <w:rPr>
          <w:rFonts w:hint="eastAsia" w:ascii="宋体" w:hAnsi="宋体" w:cs="宋体"/>
          <w:b/>
          <w:color w:val="000000"/>
        </w:rPr>
      </w:pPr>
      <w:r>
        <w:rPr>
          <w:rFonts w:hint="eastAsia" w:ascii="宋体" w:hAnsi="宋体" w:cs="宋体"/>
          <w:b/>
          <w:color w:val="000000"/>
        </w:rPr>
        <w:t>六、双方约定</w:t>
      </w:r>
    </w:p>
    <w:p w14:paraId="662251FC">
      <w:pPr>
        <w:wordWrap/>
        <w:topLinePunct w:val="0"/>
        <w:spacing w:line="360" w:lineRule="auto"/>
        <w:ind w:firstLine="480"/>
        <w:rPr>
          <w:rFonts w:hint="eastAsia" w:ascii="宋体" w:hAnsi="宋体" w:cs="宋体"/>
          <w:color w:val="000000"/>
        </w:rPr>
      </w:pPr>
      <w:r>
        <w:rPr>
          <w:rFonts w:hint="eastAsia" w:ascii="宋体" w:hAnsi="宋体" w:cs="宋体"/>
          <w:color w:val="000000"/>
        </w:rPr>
        <w:t>本合同由双方或双方上级单位的纪检监察部门负责监督执行。</w:t>
      </w:r>
    </w:p>
    <w:p w14:paraId="4DB011A7">
      <w:pPr>
        <w:wordWrap/>
        <w:topLinePunct w:val="0"/>
        <w:spacing w:line="360" w:lineRule="auto"/>
        <w:ind w:firstLine="482"/>
        <w:rPr>
          <w:rFonts w:hint="eastAsia" w:ascii="宋体" w:hAnsi="宋体" w:cs="宋体"/>
          <w:color w:val="000000"/>
        </w:rPr>
      </w:pPr>
      <w:r>
        <w:rPr>
          <w:rFonts w:hint="eastAsia" w:ascii="宋体" w:hAnsi="宋体" w:cs="宋体"/>
          <w:b/>
          <w:color w:val="000000"/>
        </w:rPr>
        <w:t>七、</w:t>
      </w:r>
      <w:r>
        <w:rPr>
          <w:rFonts w:hint="eastAsia" w:ascii="宋体" w:hAnsi="宋体" w:cs="宋体"/>
          <w:color w:val="000000"/>
        </w:rPr>
        <w:t>本合同有效期为甲乙双方签署之日起至该合同终止后止。</w:t>
      </w:r>
    </w:p>
    <w:p w14:paraId="76A21D17">
      <w:pPr>
        <w:wordWrap/>
        <w:topLinePunct w:val="0"/>
        <w:spacing w:line="360" w:lineRule="auto"/>
        <w:ind w:firstLine="482"/>
        <w:rPr>
          <w:rFonts w:hint="eastAsia" w:ascii="宋体" w:hAnsi="宋体" w:cs="宋体"/>
          <w:color w:val="000000"/>
        </w:rPr>
      </w:pPr>
      <w:r>
        <w:rPr>
          <w:rFonts w:hint="eastAsia" w:ascii="宋体" w:hAnsi="宋体" w:cs="宋体"/>
          <w:b/>
          <w:color w:val="000000"/>
        </w:rPr>
        <w:t>八、</w:t>
      </w:r>
      <w:r>
        <w:rPr>
          <w:rFonts w:hint="eastAsia" w:ascii="宋体" w:hAnsi="宋体" w:cs="宋体"/>
          <w:color w:val="000000"/>
        </w:rPr>
        <w:t>本合同作为</w:t>
      </w:r>
      <w:r>
        <w:rPr>
          <w:rFonts w:hint="eastAsia" w:ascii="宋体" w:hAnsi="宋体" w:cs="宋体"/>
          <w:b/>
          <w:color w:val="000000"/>
        </w:rPr>
        <w:t>《2025年路面专项工程交通组织咨询服务合同》</w:t>
      </w:r>
      <w:r>
        <w:rPr>
          <w:rFonts w:hint="eastAsia" w:ascii="宋体" w:hAnsi="宋体" w:cs="宋体"/>
          <w:color w:val="000000"/>
        </w:rPr>
        <w:t>的附件，具有同等的法律效力，经合同双方签署立即生效。</w:t>
      </w:r>
    </w:p>
    <w:p w14:paraId="4442EB00">
      <w:pPr>
        <w:wordWrap/>
        <w:topLinePunct w:val="0"/>
        <w:spacing w:line="360" w:lineRule="auto"/>
        <w:ind w:firstLine="482"/>
        <w:textAlignment w:val="baseline"/>
        <w:rPr>
          <w:rFonts w:hint="eastAsia" w:ascii="宋体" w:hAnsi="宋体" w:cs="宋体"/>
          <w:color w:val="000000"/>
        </w:rPr>
      </w:pPr>
      <w:r>
        <w:rPr>
          <w:rFonts w:hint="eastAsia" w:ascii="宋体" w:hAnsi="宋体" w:cs="宋体"/>
          <w:b/>
          <w:color w:val="000000"/>
        </w:rPr>
        <w:t>九、</w:t>
      </w:r>
      <w:r>
        <w:rPr>
          <w:rFonts w:hint="eastAsia" w:ascii="宋体" w:hAnsi="宋体" w:cs="宋体"/>
          <w:color w:val="000000"/>
        </w:rPr>
        <w:t>本合同一式</w:t>
      </w:r>
      <w:r>
        <w:rPr>
          <w:rFonts w:hint="eastAsia" w:ascii="宋体" w:hAnsi="宋体" w:cs="宋体"/>
          <w:b/>
          <w:color w:val="000000"/>
          <w:u w:val="single"/>
        </w:rPr>
        <w:t>捌</w:t>
      </w:r>
      <w:r>
        <w:rPr>
          <w:rFonts w:hint="eastAsia" w:ascii="宋体" w:hAnsi="宋体" w:cs="宋体"/>
          <w:color w:val="000000"/>
        </w:rPr>
        <w:t>份，甲方执</w:t>
      </w:r>
      <w:r>
        <w:rPr>
          <w:rFonts w:hint="eastAsia" w:ascii="宋体" w:hAnsi="宋体" w:cs="宋体"/>
          <w:b/>
          <w:color w:val="000000"/>
          <w:u w:val="single"/>
        </w:rPr>
        <w:t>肆</w:t>
      </w:r>
      <w:r>
        <w:rPr>
          <w:rFonts w:hint="eastAsia" w:ascii="宋体" w:hAnsi="宋体" w:cs="宋体"/>
          <w:color w:val="000000"/>
        </w:rPr>
        <w:t>份，乙方执</w:t>
      </w:r>
      <w:r>
        <w:rPr>
          <w:rFonts w:hint="eastAsia" w:ascii="宋体" w:hAnsi="宋体" w:cs="宋体"/>
          <w:b/>
          <w:color w:val="000000"/>
          <w:u w:val="single"/>
        </w:rPr>
        <w:t>肆</w:t>
      </w:r>
      <w:r>
        <w:rPr>
          <w:rFonts w:hint="eastAsia" w:ascii="宋体" w:hAnsi="宋体" w:cs="宋体"/>
          <w:color w:val="000000"/>
        </w:rPr>
        <w:t>份；由双方法定代表人或其授权代表签署并加盖公章后生效，结清财务手续后自动终止。</w:t>
      </w:r>
    </w:p>
    <w:p w14:paraId="563E2B5A">
      <w:pPr>
        <w:wordWrap/>
        <w:topLinePunct w:val="0"/>
        <w:spacing w:line="360" w:lineRule="auto"/>
        <w:ind w:firstLine="480"/>
        <w:textAlignment w:val="baseline"/>
        <w:rPr>
          <w:rFonts w:hint="eastAsia" w:ascii="宋体" w:hAnsi="宋体" w:cs="宋体"/>
          <w:color w:val="000000"/>
        </w:rPr>
      </w:pPr>
    </w:p>
    <w:p w14:paraId="2A11F90F">
      <w:pPr>
        <w:wordWrap/>
        <w:topLinePunct w:val="0"/>
        <w:spacing w:line="360" w:lineRule="auto"/>
        <w:ind w:firstLine="480"/>
        <w:textAlignment w:val="baseline"/>
        <w:rPr>
          <w:rFonts w:hint="eastAsia" w:ascii="宋体" w:hAnsi="宋体" w:cs="宋体"/>
          <w:color w:val="000000"/>
        </w:rPr>
      </w:pPr>
      <w:r>
        <w:rPr>
          <w:rFonts w:hint="eastAsia" w:ascii="宋体" w:hAnsi="宋体" w:cs="宋体"/>
          <w:color w:val="000000"/>
        </w:rPr>
        <w:t>甲方：（盖章）</w:t>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乙方：（盖章）</w:t>
      </w:r>
    </w:p>
    <w:p w14:paraId="0E8C745E">
      <w:pPr>
        <w:wordWrap/>
        <w:topLinePunct w:val="0"/>
        <w:spacing w:line="360" w:lineRule="auto"/>
        <w:ind w:firstLine="482"/>
        <w:rPr>
          <w:rFonts w:hint="eastAsia" w:ascii="宋体" w:hAnsi="宋体" w:cs="宋体"/>
          <w:b/>
          <w:bCs/>
          <w:color w:val="000000"/>
        </w:rPr>
      </w:pPr>
      <w:r>
        <w:rPr>
          <w:rFonts w:hint="eastAsia" w:ascii="宋体" w:hAnsi="宋体" w:cs="宋体"/>
          <w:b/>
          <w:bCs/>
          <w:color w:val="000000"/>
        </w:rPr>
        <w:t xml:space="preserve">重庆公路养护工程（集团）有限公司          </w:t>
      </w:r>
    </w:p>
    <w:p w14:paraId="3D58EB4D">
      <w:pPr>
        <w:wordWrap/>
        <w:topLinePunct w:val="0"/>
        <w:spacing w:line="360" w:lineRule="auto"/>
        <w:ind w:firstLine="480"/>
        <w:rPr>
          <w:rFonts w:hint="eastAsia" w:ascii="宋体" w:hAnsi="宋体" w:cs="宋体"/>
          <w:color w:val="000000"/>
        </w:rPr>
      </w:pPr>
      <w:r>
        <w:rPr>
          <w:rFonts w:hint="eastAsia" w:ascii="宋体" w:hAnsi="宋体" w:cs="宋体"/>
          <w:color w:val="000000"/>
        </w:rPr>
        <w:t>法定代表人</w:t>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法定代表人</w:t>
      </w:r>
    </w:p>
    <w:p w14:paraId="1747C8CF">
      <w:pPr>
        <w:wordWrap/>
        <w:topLinePunct w:val="0"/>
        <w:spacing w:line="360" w:lineRule="auto"/>
        <w:ind w:firstLine="480"/>
        <w:textAlignment w:val="baseline"/>
        <w:rPr>
          <w:rFonts w:hint="eastAsia" w:ascii="宋体" w:hAnsi="宋体" w:cs="宋体"/>
          <w:color w:val="000000"/>
        </w:rPr>
      </w:pPr>
      <w:r>
        <w:rPr>
          <w:rFonts w:hint="eastAsia" w:ascii="宋体" w:hAnsi="宋体" w:cs="宋体"/>
          <w:color w:val="000000"/>
        </w:rPr>
        <w:t>或授权代表：</w:t>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或授权代表：</w:t>
      </w:r>
    </w:p>
    <w:p w14:paraId="37EF6CE4">
      <w:pPr>
        <w:wordWrap/>
        <w:topLinePunct w:val="0"/>
        <w:spacing w:line="360" w:lineRule="auto"/>
        <w:ind w:firstLine="480"/>
        <w:rPr>
          <w:rFonts w:hint="eastAsia" w:ascii="宋体" w:hAnsi="宋体" w:cs="宋体"/>
          <w:color w:val="000000"/>
        </w:rPr>
      </w:pPr>
    </w:p>
    <w:p w14:paraId="77312970">
      <w:pPr>
        <w:wordWrap/>
        <w:topLinePunct w:val="0"/>
        <w:spacing w:line="360" w:lineRule="auto"/>
        <w:ind w:firstLine="480"/>
        <w:rPr>
          <w:rFonts w:hint="eastAsia" w:ascii="宋体" w:hAnsi="宋体" w:cs="宋体"/>
          <w:color w:val="000000"/>
        </w:rPr>
      </w:pPr>
      <w:r>
        <w:rPr>
          <w:rFonts w:hint="eastAsia" w:ascii="宋体" w:hAnsi="宋体" w:cs="宋体"/>
          <w:color w:val="000000"/>
        </w:rPr>
        <w:t>部门负责人：</w:t>
      </w:r>
    </w:p>
    <w:p w14:paraId="340F99E3">
      <w:pPr>
        <w:widowControl/>
        <w:wordWrap/>
        <w:topLinePunct w:val="0"/>
        <w:spacing w:line="360" w:lineRule="auto"/>
        <w:ind w:left="262" w:leftChars="109" w:firstLine="240" w:firstLineChars="100"/>
        <w:jc w:val="left"/>
        <w:textAlignment w:val="baseline"/>
        <w:rPr>
          <w:rFonts w:hint="eastAsia" w:ascii="宋体" w:hAnsi="宋体" w:cs="宋体"/>
          <w:color w:val="000000"/>
        </w:rPr>
      </w:pPr>
      <w:r>
        <w:rPr>
          <w:rFonts w:hint="eastAsia" w:ascii="宋体" w:hAnsi="宋体" w:cs="宋体"/>
          <w:color w:val="000000"/>
        </w:rPr>
        <w:t>经办人：</w:t>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经办人：</w:t>
      </w:r>
    </w:p>
    <w:p w14:paraId="558F5807">
      <w:pPr>
        <w:widowControl/>
        <w:wordWrap/>
        <w:topLinePunct w:val="0"/>
        <w:spacing w:line="360" w:lineRule="auto"/>
        <w:ind w:firstLine="480"/>
        <w:jc w:val="left"/>
        <w:textAlignment w:val="baseline"/>
        <w:rPr>
          <w:color w:val="000000"/>
          <w:sz w:val="21"/>
          <w:szCs w:val="21"/>
        </w:rPr>
      </w:pPr>
      <w:r>
        <w:rPr>
          <w:rFonts w:hint="eastAsia" w:ascii="宋体" w:hAnsi="宋体" w:cs="宋体"/>
          <w:color w:val="000000"/>
        </w:rPr>
        <w:t>日期：2025年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日期：2025年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14:paraId="7730F814">
      <w:pPr>
        <w:spacing w:line="360" w:lineRule="exact"/>
        <w:ind w:firstLine="482"/>
        <w:jc w:val="center"/>
        <w:rPr>
          <w:rFonts w:hint="eastAsia" w:ascii="宋体" w:hAnsi="宋体" w:cs="宋体"/>
          <w:b/>
          <w:color w:val="000000"/>
          <w:szCs w:val="21"/>
        </w:rPr>
        <w:sectPr>
          <w:pgSz w:w="11906" w:h="16838"/>
          <w:pgMar w:top="1134" w:right="1134" w:bottom="1134" w:left="1134" w:header="794" w:footer="794" w:gutter="0"/>
          <w:cols w:space="720" w:num="1"/>
          <w:docGrid w:type="lines" w:linePitch="312" w:charSpace="0"/>
        </w:sectPr>
      </w:pPr>
    </w:p>
    <w:p w14:paraId="2CAA1AEB">
      <w:pPr>
        <w:pStyle w:val="18"/>
        <w:jc w:val="center"/>
        <w:rPr>
          <w:rFonts w:hint="eastAsia" w:ascii="宋体" w:hAnsi="宋体" w:eastAsia="宋体" w:cs="宋体"/>
          <w:b/>
          <w:bCs/>
          <w:sz w:val="48"/>
          <w:szCs w:val="48"/>
        </w:rPr>
      </w:pPr>
    </w:p>
    <w:p w14:paraId="14D76265">
      <w:pPr>
        <w:pStyle w:val="18"/>
        <w:jc w:val="center"/>
        <w:rPr>
          <w:rFonts w:hint="eastAsia" w:ascii="宋体" w:hAnsi="宋体" w:eastAsia="宋体" w:cs="宋体"/>
          <w:b/>
          <w:bCs/>
          <w:sz w:val="48"/>
          <w:szCs w:val="48"/>
        </w:rPr>
      </w:pPr>
      <w:r>
        <w:rPr>
          <w:rFonts w:hint="eastAsia" w:ascii="宋体" w:hAnsi="宋体" w:eastAsia="宋体" w:cs="宋体"/>
          <w:b/>
          <w:bCs/>
          <w:sz w:val="48"/>
          <w:szCs w:val="48"/>
        </w:rPr>
        <w:t>投标文件格式</w:t>
      </w:r>
    </w:p>
    <w:p w14:paraId="25E678F0">
      <w:pPr>
        <w:pStyle w:val="18"/>
        <w:jc w:val="center"/>
        <w:rPr>
          <w:rFonts w:hint="eastAsia" w:ascii="宋体" w:hAnsi="宋体" w:eastAsia="宋体" w:cs="宋体"/>
          <w:b/>
          <w:bCs/>
        </w:rPr>
      </w:pPr>
    </w:p>
    <w:p w14:paraId="15BA442A">
      <w:pPr>
        <w:pStyle w:val="18"/>
        <w:jc w:val="center"/>
        <w:rPr>
          <w:rFonts w:hint="eastAsia" w:ascii="宋体" w:hAnsi="宋体" w:eastAsia="宋体" w:cs="宋体"/>
          <w:b/>
          <w:bCs/>
        </w:rPr>
      </w:pPr>
      <w:r>
        <w:rPr>
          <w:rFonts w:hint="eastAsia" w:ascii="宋体" w:hAnsi="宋体" w:eastAsia="宋体" w:cs="宋体"/>
          <w:b/>
          <w:bCs/>
        </w:rPr>
        <w:t>（以下内容为示例）</w:t>
      </w:r>
    </w:p>
    <w:p w14:paraId="25D5C2D8">
      <w:pPr>
        <w:pStyle w:val="18"/>
        <w:jc w:val="center"/>
        <w:rPr>
          <w:rFonts w:hint="eastAsia" w:ascii="宋体" w:hAnsi="宋体" w:eastAsia="宋体" w:cs="宋体"/>
          <w:b/>
          <w:bCs/>
        </w:rPr>
        <w:sectPr>
          <w:headerReference r:id="rId10" w:type="default"/>
          <w:pgSz w:w="11906" w:h="16838"/>
          <w:pgMar w:top="1134" w:right="1134" w:bottom="1134" w:left="1134" w:header="794" w:footer="794" w:gutter="0"/>
          <w:cols w:space="720" w:num="1"/>
          <w:docGrid w:type="lines" w:linePitch="312" w:charSpace="0"/>
        </w:sectPr>
      </w:pPr>
    </w:p>
    <w:p w14:paraId="14A0AC2B">
      <w:pPr>
        <w:pStyle w:val="18"/>
        <w:jc w:val="center"/>
        <w:rPr>
          <w:rFonts w:hint="eastAsia" w:ascii="宋体" w:hAnsi="宋体" w:eastAsia="宋体" w:cs="宋体"/>
          <w:b/>
          <w:bCs/>
        </w:rPr>
      </w:pPr>
    </w:p>
    <w:p w14:paraId="72F99CF9">
      <w:pPr>
        <w:pStyle w:val="18"/>
        <w:jc w:val="center"/>
        <w:rPr>
          <w:rFonts w:hint="eastAsia" w:ascii="宋体" w:hAnsi="宋体" w:eastAsia="宋体" w:cs="宋体"/>
          <w:b/>
          <w:bCs/>
        </w:rPr>
      </w:pPr>
    </w:p>
    <w:p w14:paraId="6D07F4DD">
      <w:pPr>
        <w:pStyle w:val="18"/>
        <w:jc w:val="center"/>
        <w:rPr>
          <w:rFonts w:hint="eastAsia" w:ascii="宋体" w:hAnsi="宋体" w:eastAsia="宋体" w:cs="宋体"/>
          <w:b/>
          <w:bCs/>
        </w:rPr>
      </w:pPr>
    </w:p>
    <w:p w14:paraId="6549BE97">
      <w:pPr>
        <w:pStyle w:val="18"/>
        <w:jc w:val="center"/>
        <w:rPr>
          <w:rFonts w:hint="eastAsia" w:ascii="宋体" w:hAnsi="宋体" w:eastAsia="宋体" w:cs="宋体"/>
          <w:b/>
          <w:bCs/>
          <w:sz w:val="36"/>
          <w:szCs w:val="36"/>
          <w:u w:val="single"/>
        </w:rPr>
      </w:pPr>
      <w:r>
        <w:rPr>
          <w:rFonts w:hint="eastAsia" w:ascii="宋体" w:hAnsi="宋体" w:eastAsia="宋体" w:cs="宋体"/>
          <w:b/>
          <w:bCs/>
          <w:sz w:val="36"/>
          <w:szCs w:val="36"/>
          <w:u w:val="single"/>
        </w:rPr>
        <w:t>重庆公路养护工程（集团）有限公司2025年路面专项工程</w:t>
      </w:r>
    </w:p>
    <w:p w14:paraId="59218DE1">
      <w:pPr>
        <w:pStyle w:val="18"/>
        <w:jc w:val="center"/>
        <w:rPr>
          <w:rFonts w:hint="eastAsia" w:ascii="宋体" w:hAnsi="宋体" w:eastAsia="宋体" w:cs="宋体"/>
          <w:b/>
          <w:bCs/>
          <w:sz w:val="36"/>
          <w:szCs w:val="36"/>
          <w:u w:val="single"/>
        </w:rPr>
      </w:pPr>
      <w:r>
        <w:rPr>
          <w:rFonts w:hint="eastAsia" w:ascii="宋体" w:hAnsi="宋体" w:eastAsia="宋体" w:cs="宋体"/>
          <w:b/>
          <w:bCs/>
          <w:sz w:val="36"/>
          <w:szCs w:val="36"/>
          <w:u w:val="single"/>
        </w:rPr>
        <w:t>交通组织咨询服务投标文件</w:t>
      </w:r>
    </w:p>
    <w:p w14:paraId="774CE792">
      <w:pPr>
        <w:pStyle w:val="18"/>
        <w:jc w:val="center"/>
        <w:rPr>
          <w:rFonts w:hint="eastAsia" w:ascii="宋体" w:hAnsi="宋体" w:eastAsia="宋体" w:cs="宋体"/>
          <w:b/>
          <w:bCs/>
          <w:sz w:val="36"/>
          <w:szCs w:val="36"/>
          <w:u w:val="single"/>
        </w:rPr>
      </w:pPr>
    </w:p>
    <w:p w14:paraId="5C5CCF63">
      <w:pPr>
        <w:pStyle w:val="18"/>
        <w:jc w:val="center"/>
        <w:rPr>
          <w:rFonts w:hint="eastAsia" w:ascii="宋体" w:hAnsi="宋体" w:eastAsia="宋体" w:cs="宋体"/>
          <w:b/>
          <w:bCs/>
          <w:sz w:val="36"/>
          <w:szCs w:val="36"/>
          <w:u w:val="single"/>
        </w:rPr>
      </w:pPr>
    </w:p>
    <w:p w14:paraId="6F8CF2D6">
      <w:pPr>
        <w:pStyle w:val="18"/>
        <w:jc w:val="center"/>
        <w:rPr>
          <w:rFonts w:hint="eastAsia" w:ascii="宋体" w:hAnsi="宋体" w:eastAsia="宋体" w:cs="宋体"/>
          <w:b/>
          <w:bCs/>
          <w:sz w:val="36"/>
          <w:szCs w:val="36"/>
          <w:u w:val="single"/>
        </w:rPr>
      </w:pPr>
    </w:p>
    <w:p w14:paraId="0D4CEED6">
      <w:pPr>
        <w:pStyle w:val="18"/>
        <w:jc w:val="center"/>
        <w:rPr>
          <w:rFonts w:hint="eastAsia" w:ascii="宋体" w:hAnsi="宋体" w:eastAsia="宋体" w:cs="宋体"/>
          <w:b/>
          <w:bCs/>
          <w:sz w:val="36"/>
          <w:szCs w:val="36"/>
          <w:u w:val="single"/>
        </w:rPr>
      </w:pPr>
    </w:p>
    <w:p w14:paraId="5B733B37">
      <w:pPr>
        <w:pStyle w:val="18"/>
        <w:jc w:val="center"/>
        <w:rPr>
          <w:rFonts w:hint="eastAsia" w:ascii="宋体" w:hAnsi="宋体" w:eastAsia="宋体" w:cs="宋体"/>
          <w:b/>
          <w:bCs/>
          <w:sz w:val="36"/>
          <w:szCs w:val="36"/>
          <w:u w:val="single"/>
        </w:rPr>
      </w:pPr>
    </w:p>
    <w:p w14:paraId="6EB3A503">
      <w:pPr>
        <w:pStyle w:val="18"/>
        <w:jc w:val="center"/>
        <w:rPr>
          <w:rFonts w:hint="eastAsia" w:ascii="宋体" w:hAnsi="宋体" w:eastAsia="宋体" w:cs="宋体"/>
          <w:b/>
          <w:bCs/>
          <w:sz w:val="36"/>
          <w:szCs w:val="36"/>
          <w:u w:val="single"/>
        </w:rPr>
      </w:pPr>
    </w:p>
    <w:p w14:paraId="7CCE63D7">
      <w:pPr>
        <w:pStyle w:val="18"/>
        <w:jc w:val="center"/>
        <w:rPr>
          <w:rFonts w:hint="eastAsia" w:ascii="宋体" w:hAnsi="宋体" w:eastAsia="宋体" w:cs="宋体"/>
          <w:b/>
          <w:bCs/>
          <w:sz w:val="36"/>
          <w:szCs w:val="36"/>
          <w:u w:val="single"/>
        </w:rPr>
      </w:pPr>
    </w:p>
    <w:p w14:paraId="14D923C6">
      <w:pPr>
        <w:pStyle w:val="18"/>
        <w:jc w:val="center"/>
        <w:rPr>
          <w:rFonts w:hint="eastAsia" w:ascii="宋体" w:hAnsi="宋体" w:eastAsia="宋体" w:cs="宋体"/>
          <w:b/>
          <w:bCs/>
          <w:sz w:val="36"/>
          <w:szCs w:val="36"/>
          <w:u w:val="single"/>
        </w:rPr>
      </w:pPr>
    </w:p>
    <w:p w14:paraId="693E0F5C">
      <w:pPr>
        <w:pStyle w:val="18"/>
        <w:jc w:val="center"/>
        <w:rPr>
          <w:rFonts w:hint="eastAsia" w:ascii="宋体" w:hAnsi="宋体" w:eastAsia="宋体" w:cs="宋体"/>
          <w:b/>
          <w:bCs/>
          <w:sz w:val="36"/>
          <w:szCs w:val="36"/>
          <w:u w:val="single"/>
        </w:rPr>
      </w:pPr>
    </w:p>
    <w:p w14:paraId="0CE0319D">
      <w:pPr>
        <w:pStyle w:val="18"/>
        <w:jc w:val="center"/>
        <w:rPr>
          <w:rFonts w:hint="eastAsia" w:ascii="宋体" w:hAnsi="宋体" w:eastAsia="宋体" w:cs="宋体"/>
          <w:b/>
          <w:bCs/>
          <w:sz w:val="36"/>
          <w:szCs w:val="36"/>
          <w:u w:val="single"/>
        </w:rPr>
      </w:pPr>
    </w:p>
    <w:p w14:paraId="0FDC0AD0">
      <w:pPr>
        <w:pStyle w:val="18"/>
        <w:jc w:val="center"/>
        <w:rPr>
          <w:rFonts w:hint="eastAsia" w:ascii="宋体" w:hAnsi="宋体" w:eastAsia="宋体" w:cs="宋体"/>
          <w:b/>
          <w:bCs/>
          <w:sz w:val="36"/>
          <w:szCs w:val="36"/>
          <w:u w:val="single"/>
        </w:rPr>
      </w:pPr>
    </w:p>
    <w:p w14:paraId="07977893">
      <w:pPr>
        <w:pStyle w:val="18"/>
        <w:jc w:val="center"/>
        <w:rPr>
          <w:rFonts w:hint="eastAsia" w:ascii="宋体" w:hAnsi="宋体" w:eastAsia="宋体" w:cs="宋体"/>
          <w:b/>
          <w:bCs/>
          <w:sz w:val="36"/>
          <w:szCs w:val="36"/>
          <w:u w:val="single"/>
        </w:rPr>
      </w:pPr>
    </w:p>
    <w:p w14:paraId="58F95CEB">
      <w:pPr>
        <w:pStyle w:val="18"/>
        <w:jc w:val="center"/>
        <w:rPr>
          <w:rFonts w:hint="eastAsia" w:ascii="宋体" w:hAnsi="宋体" w:eastAsia="宋体" w:cs="宋体"/>
          <w:b/>
          <w:bCs/>
          <w:sz w:val="36"/>
          <w:szCs w:val="36"/>
          <w:u w:val="single"/>
        </w:rPr>
      </w:pPr>
    </w:p>
    <w:p w14:paraId="716E8214">
      <w:pPr>
        <w:pStyle w:val="18"/>
        <w:jc w:val="center"/>
        <w:rPr>
          <w:rFonts w:hint="eastAsia" w:ascii="宋体" w:hAnsi="宋体" w:eastAsia="宋体" w:cs="宋体"/>
          <w:b/>
          <w:bCs/>
          <w:sz w:val="36"/>
          <w:szCs w:val="36"/>
          <w:u w:val="single"/>
        </w:rPr>
      </w:pPr>
    </w:p>
    <w:p w14:paraId="378129E2">
      <w:pPr>
        <w:pStyle w:val="18"/>
        <w:jc w:val="center"/>
        <w:rPr>
          <w:rFonts w:hint="eastAsia" w:ascii="宋体" w:hAnsi="宋体" w:eastAsia="宋体" w:cs="宋体"/>
          <w:b/>
          <w:bCs/>
          <w:sz w:val="36"/>
          <w:szCs w:val="36"/>
          <w:u w:val="single"/>
        </w:rPr>
      </w:pPr>
    </w:p>
    <w:p w14:paraId="71309D3D">
      <w:pPr>
        <w:pStyle w:val="18"/>
        <w:jc w:val="center"/>
        <w:rPr>
          <w:rFonts w:hint="eastAsia" w:ascii="宋体" w:hAnsi="宋体" w:eastAsia="宋体" w:cs="宋体"/>
          <w:b/>
          <w:bCs/>
          <w:sz w:val="32"/>
          <w:szCs w:val="32"/>
          <w:u w:val="single"/>
        </w:rPr>
      </w:pPr>
      <w:r>
        <w:rPr>
          <w:rFonts w:hint="eastAsia" w:ascii="宋体" w:hAnsi="宋体" w:eastAsia="宋体" w:cs="宋体"/>
          <w:b/>
          <w:bCs/>
          <w:sz w:val="32"/>
          <w:szCs w:val="32"/>
          <w:u w:val="single"/>
        </w:rPr>
        <w:t xml:space="preserve">                         （盖单位公章）</w:t>
      </w:r>
    </w:p>
    <w:p w14:paraId="710D1AB4">
      <w:pPr>
        <w:pStyle w:val="18"/>
        <w:jc w:val="center"/>
        <w:rPr>
          <w:rFonts w:hint="eastAsia" w:ascii="宋体" w:hAnsi="宋体" w:eastAsia="宋体" w:cs="宋体"/>
          <w:b/>
          <w:bCs/>
          <w:sz w:val="32"/>
          <w:szCs w:val="32"/>
          <w:u w:val="single"/>
        </w:rPr>
        <w:sectPr>
          <w:footerReference r:id="rId11" w:type="default"/>
          <w:pgSz w:w="11906" w:h="16838"/>
          <w:pgMar w:top="1134" w:right="1134" w:bottom="1134" w:left="1134" w:header="794" w:footer="794" w:gutter="0"/>
          <w:cols w:space="720" w:num="1"/>
          <w:docGrid w:type="lines" w:linePitch="312" w:charSpace="0"/>
        </w:sectPr>
      </w:pPr>
    </w:p>
    <w:p w14:paraId="1EC65AD0">
      <w:pPr>
        <w:pStyle w:val="18"/>
        <w:jc w:val="center"/>
        <w:rPr>
          <w:rFonts w:hint="eastAsia" w:ascii="宋体" w:hAnsi="宋体" w:eastAsia="宋体" w:cs="宋体"/>
          <w:b/>
          <w:bCs/>
          <w:sz w:val="32"/>
          <w:szCs w:val="32"/>
          <w:u w:val="single"/>
        </w:rPr>
      </w:pPr>
    </w:p>
    <w:p w14:paraId="3A9694EF">
      <w:pPr>
        <w:pStyle w:val="18"/>
        <w:jc w:val="center"/>
        <w:rPr>
          <w:rFonts w:hint="eastAsia" w:ascii="宋体" w:hAnsi="宋体" w:eastAsia="宋体" w:cs="宋体"/>
          <w:b/>
          <w:bCs/>
          <w:sz w:val="28"/>
          <w:szCs w:val="28"/>
        </w:rPr>
      </w:pPr>
      <w:r>
        <w:rPr>
          <w:rFonts w:hint="eastAsia" w:ascii="宋体" w:hAnsi="宋体" w:eastAsia="宋体" w:cs="宋体"/>
          <w:b/>
          <w:bCs/>
          <w:sz w:val="28"/>
          <w:szCs w:val="28"/>
        </w:rPr>
        <w:t>目  录</w:t>
      </w:r>
    </w:p>
    <w:p w14:paraId="3DDC7795">
      <w:pPr>
        <w:pStyle w:val="18"/>
        <w:spacing w:line="360" w:lineRule="auto"/>
        <w:rPr>
          <w:rFonts w:hint="eastAsia" w:ascii="宋体" w:hAnsi="宋体" w:eastAsia="宋体" w:cs="宋体"/>
          <w:b/>
          <w:bCs/>
        </w:rPr>
      </w:pPr>
      <w:r>
        <w:rPr>
          <w:rFonts w:ascii="宋体" w:hAnsi="宋体" w:eastAsia="宋体" w:cs="宋体"/>
          <w:b/>
          <w:bCs/>
        </w:rPr>
        <w:t>一、报价书</w:t>
      </w:r>
    </w:p>
    <w:p w14:paraId="4DE4520A">
      <w:pPr>
        <w:pStyle w:val="18"/>
        <w:spacing w:line="360" w:lineRule="auto"/>
        <w:rPr>
          <w:rFonts w:hint="eastAsia" w:ascii="宋体" w:hAnsi="宋体" w:eastAsia="宋体" w:cs="宋体"/>
          <w:b/>
          <w:bCs/>
        </w:rPr>
      </w:pPr>
      <w:r>
        <w:rPr>
          <w:rFonts w:ascii="宋体" w:hAnsi="宋体" w:eastAsia="宋体" w:cs="宋体"/>
          <w:b/>
          <w:bCs/>
        </w:rPr>
        <w:t>二、法定代表人身份证明及授权委托书</w:t>
      </w:r>
    </w:p>
    <w:p w14:paraId="4B2C2B57">
      <w:pPr>
        <w:pStyle w:val="18"/>
        <w:spacing w:line="360" w:lineRule="auto"/>
        <w:rPr>
          <w:rFonts w:hint="eastAsia" w:ascii="宋体" w:hAnsi="宋体" w:eastAsia="宋体" w:cs="宋体"/>
          <w:b/>
          <w:bCs/>
        </w:rPr>
      </w:pPr>
      <w:r>
        <w:rPr>
          <w:rFonts w:ascii="宋体" w:hAnsi="宋体" w:eastAsia="宋体" w:cs="宋体"/>
          <w:b/>
          <w:bCs/>
        </w:rPr>
        <w:t>三、</w:t>
      </w:r>
      <w:r>
        <w:rPr>
          <w:rFonts w:hint="eastAsia" w:ascii="宋体" w:hAnsi="宋体" w:eastAsia="宋体" w:cs="宋体"/>
          <w:b/>
          <w:bCs/>
        </w:rPr>
        <w:t>投标</w:t>
      </w:r>
      <w:r>
        <w:rPr>
          <w:rFonts w:ascii="宋体" w:hAnsi="宋体" w:eastAsia="宋体" w:cs="宋体"/>
          <w:b/>
          <w:bCs/>
        </w:rPr>
        <w:t>资格审查资料（营业执照</w:t>
      </w:r>
      <w:r>
        <w:rPr>
          <w:rFonts w:hint="eastAsia" w:ascii="宋体" w:hAnsi="宋体" w:eastAsia="宋体" w:cs="宋体"/>
          <w:b/>
          <w:bCs/>
        </w:rPr>
        <w:t>、资质证书</w:t>
      </w:r>
      <w:r>
        <w:rPr>
          <w:rFonts w:ascii="宋体" w:hAnsi="宋体" w:eastAsia="宋体" w:cs="宋体"/>
          <w:b/>
          <w:bCs/>
        </w:rPr>
        <w:t>）</w:t>
      </w:r>
    </w:p>
    <w:p w14:paraId="00D52A67">
      <w:pPr>
        <w:pStyle w:val="18"/>
        <w:spacing w:line="360" w:lineRule="auto"/>
        <w:rPr>
          <w:rFonts w:ascii="宋体" w:hAnsi="宋体" w:eastAsia="宋体" w:cs="宋体"/>
          <w:b/>
          <w:bCs/>
        </w:rPr>
      </w:pPr>
      <w:r>
        <w:rPr>
          <w:rFonts w:hint="eastAsia" w:ascii="宋体" w:hAnsi="宋体" w:eastAsia="宋体" w:cs="宋体"/>
          <w:b/>
          <w:bCs/>
        </w:rPr>
        <w:t>四</w:t>
      </w:r>
      <w:r>
        <w:rPr>
          <w:rFonts w:ascii="宋体" w:hAnsi="宋体" w:eastAsia="宋体" w:cs="宋体"/>
          <w:b/>
          <w:bCs/>
        </w:rPr>
        <w:t>、已标价报价清单</w:t>
      </w:r>
    </w:p>
    <w:p w14:paraId="75CD843B">
      <w:pPr>
        <w:pStyle w:val="18"/>
        <w:spacing w:line="360" w:lineRule="auto"/>
        <w:rPr>
          <w:rFonts w:hint="eastAsia" w:ascii="宋体" w:hAnsi="宋体" w:eastAsia="宋体" w:cs="宋体"/>
          <w:b/>
          <w:bCs/>
        </w:rPr>
      </w:pPr>
      <w:r>
        <w:rPr>
          <w:rFonts w:hint="eastAsia" w:ascii="宋体" w:hAnsi="宋体" w:eastAsia="宋体" w:cs="宋体"/>
          <w:b/>
          <w:bCs/>
        </w:rPr>
        <w:t>五、验收承诺函</w:t>
      </w:r>
    </w:p>
    <w:p w14:paraId="6EAC17BE">
      <w:pPr>
        <w:pStyle w:val="18"/>
        <w:spacing w:line="360" w:lineRule="auto"/>
        <w:rPr>
          <w:rFonts w:hint="eastAsia" w:ascii="宋体" w:hAnsi="宋体" w:eastAsia="宋体" w:cs="宋体"/>
          <w:b/>
          <w:bCs/>
        </w:rPr>
        <w:sectPr>
          <w:pgSz w:w="11906" w:h="16838"/>
          <w:pgMar w:top="1134" w:right="1134" w:bottom="1134" w:left="1134" w:header="794" w:footer="794" w:gutter="0"/>
          <w:cols w:space="720" w:num="1"/>
          <w:docGrid w:type="lines" w:linePitch="312" w:charSpace="0"/>
        </w:sectPr>
      </w:pPr>
    </w:p>
    <w:p w14:paraId="7EEB5EE0">
      <w:pPr>
        <w:pStyle w:val="18"/>
        <w:spacing w:line="360" w:lineRule="auto"/>
        <w:jc w:val="center"/>
        <w:rPr>
          <w:rFonts w:hint="eastAsia" w:ascii="宋体" w:hAnsi="宋体" w:eastAsia="宋体" w:cs="宋体"/>
          <w:b/>
          <w:bCs/>
        </w:rPr>
      </w:pPr>
    </w:p>
    <w:p w14:paraId="26A3A2E6">
      <w:pPr>
        <w:pStyle w:val="18"/>
        <w:spacing w:line="360" w:lineRule="auto"/>
        <w:jc w:val="center"/>
        <w:rPr>
          <w:rFonts w:hint="eastAsia" w:ascii="宋体" w:hAnsi="宋体" w:eastAsia="宋体" w:cs="宋体"/>
          <w:b/>
          <w:bCs/>
        </w:rPr>
      </w:pPr>
      <w:r>
        <w:rPr>
          <w:rFonts w:hint="eastAsia" w:ascii="宋体" w:hAnsi="宋体" w:eastAsia="宋体" w:cs="宋体"/>
          <w:b/>
          <w:bCs/>
        </w:rPr>
        <w:t>一、报价书</w:t>
      </w:r>
    </w:p>
    <w:p w14:paraId="6EAD1E34">
      <w:pPr>
        <w:ind w:firstLine="0" w:firstLineChars="0"/>
        <w:rPr>
          <w:b/>
          <w:bCs/>
          <w:u w:val="single"/>
        </w:rPr>
      </w:pPr>
      <w:r>
        <w:rPr>
          <w:rFonts w:hint="eastAsia"/>
          <w:b/>
          <w:bCs/>
        </w:rPr>
        <w:t>致：</w:t>
      </w:r>
      <w:r>
        <w:rPr>
          <w:rFonts w:hint="eastAsia"/>
          <w:b/>
          <w:bCs/>
          <w:u w:val="single"/>
        </w:rPr>
        <w:t>重庆公路养护工程（集团）有限公司</w:t>
      </w:r>
    </w:p>
    <w:p w14:paraId="026CAA21">
      <w:pPr>
        <w:spacing w:line="440" w:lineRule="exact"/>
        <w:ind w:firstLine="480"/>
        <w:jc w:val="left"/>
      </w:pPr>
      <w:r>
        <w:rPr>
          <w:rFonts w:hint="eastAsia"/>
        </w:rPr>
        <w:t>1.</w:t>
      </w:r>
      <w:r>
        <w:t>我方已仔细研究了</w:t>
      </w:r>
      <w:r>
        <w:rPr>
          <w:rFonts w:hint="eastAsia"/>
          <w:b/>
          <w:bCs/>
          <w:u w:val="single"/>
        </w:rPr>
        <w:t>2025年路面专项工程交通组织咨询服务比选文件</w:t>
      </w:r>
      <w:r>
        <w:t>的全部内容，</w:t>
      </w:r>
      <w:r>
        <w:rPr>
          <w:rFonts w:hint="eastAsia"/>
        </w:rPr>
        <w:t>根据相关取费标准，</w:t>
      </w:r>
      <w:r>
        <w:rPr>
          <w:rFonts w:hint="eastAsia" w:ascii="宋体" w:hAnsi="宋体" w:cs="宋体"/>
        </w:rPr>
        <w:t>愿意在工程量清单总价限价基础上以人民币（大写）</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）进行竞标</w:t>
      </w:r>
      <w:r>
        <w:rPr>
          <w:rFonts w:hint="eastAsia" w:ascii="宋体" w:hAnsi="宋体" w:cs="宋体"/>
          <w:szCs w:val="21"/>
        </w:rPr>
        <w:t>，并按约定实施本项目</w:t>
      </w:r>
      <w:r>
        <w:t>。</w:t>
      </w:r>
    </w:p>
    <w:p w14:paraId="1DC76392">
      <w:pPr>
        <w:ind w:firstLine="480"/>
      </w:pPr>
      <w:r>
        <w:t>2．我方承诺在投标有效期内不修改、撤销</w:t>
      </w:r>
      <w:r>
        <w:rPr>
          <w:rFonts w:hint="eastAsia"/>
        </w:rPr>
        <w:t>投标文件</w:t>
      </w:r>
      <w:r>
        <w:t>。</w:t>
      </w:r>
    </w:p>
    <w:p w14:paraId="054398A2">
      <w:pPr>
        <w:ind w:firstLine="480"/>
      </w:pPr>
      <w:r>
        <w:t>3．</w:t>
      </w:r>
      <w:r>
        <w:rPr>
          <w:rFonts w:hint="eastAsia"/>
        </w:rPr>
        <w:t>我方在此声明，所递交的投标文件及有关资料内容完整、真实和准确。</w:t>
      </w:r>
    </w:p>
    <w:p w14:paraId="0D433900">
      <w:pPr>
        <w:ind w:firstLine="480"/>
      </w:pPr>
      <w:r>
        <w:t>4</w:t>
      </w:r>
      <w:r>
        <w:rPr>
          <w:rFonts w:hint="eastAsia"/>
        </w:rPr>
        <w:t>．在合同协议书正式签署生效之前，本报价书连同你方的中标通知书将构成我们双方之间共同遵守的文件，对双方具有约束力。</w:t>
      </w:r>
    </w:p>
    <w:p w14:paraId="66EE66AD">
      <w:pPr>
        <w:ind w:firstLine="480"/>
      </w:pPr>
    </w:p>
    <w:p w14:paraId="62E5E518">
      <w:pPr>
        <w:ind w:left="420" w:firstLine="4238" w:firstLineChars="1766"/>
      </w:pPr>
      <w:r>
        <w:rPr>
          <w:rFonts w:hint="eastAsia"/>
        </w:rPr>
        <w:t>竞</w:t>
      </w:r>
      <w:r>
        <w:t>标人：</w:t>
      </w:r>
      <w:r>
        <w:rPr>
          <w:u w:val="single"/>
        </w:rPr>
        <w:t xml:space="preserve">                  </w:t>
      </w:r>
      <w:r>
        <w:rPr>
          <w:rFonts w:hint="eastAsia"/>
          <w:u w:val="single"/>
        </w:rPr>
        <w:t xml:space="preserve"> </w:t>
      </w:r>
      <w:r>
        <w:rPr>
          <w:u w:val="single"/>
        </w:rPr>
        <w:t xml:space="preserve">    </w:t>
      </w:r>
      <w:r>
        <w:t>（盖单位章）</w:t>
      </w:r>
    </w:p>
    <w:p w14:paraId="2892B94A">
      <w:pPr>
        <w:ind w:left="420" w:firstLine="4238" w:firstLineChars="1766"/>
      </w:pPr>
      <w:r>
        <w:t>法定代表人或其委托代理人：</w:t>
      </w:r>
      <w:r>
        <w:rPr>
          <w:u w:val="single"/>
        </w:rPr>
        <w:t xml:space="preserve">      </w:t>
      </w:r>
      <w:r>
        <w:rPr>
          <w:rFonts w:hint="eastAsia"/>
          <w:u w:val="single"/>
        </w:rPr>
        <w:t xml:space="preserve">  </w:t>
      </w:r>
      <w:r>
        <w:rPr>
          <w:u w:val="single"/>
        </w:rPr>
        <w:t xml:space="preserve"> </w:t>
      </w:r>
      <w:r>
        <w:t>（签字）</w:t>
      </w:r>
    </w:p>
    <w:p w14:paraId="1FDB111E">
      <w:pPr>
        <w:ind w:left="420" w:firstLine="4238" w:firstLineChars="1766"/>
        <w:rPr>
          <w:u w:val="single"/>
        </w:rPr>
      </w:pPr>
      <w:r>
        <w:t>地址：</w:t>
      </w:r>
      <w:r>
        <w:rPr>
          <w:u w:val="single"/>
        </w:rPr>
        <w:t xml:space="preserve">                                   </w:t>
      </w:r>
    </w:p>
    <w:p w14:paraId="322C7F72">
      <w:pPr>
        <w:ind w:firstLine="480"/>
      </w:pPr>
    </w:p>
    <w:p w14:paraId="70220031">
      <w:pPr>
        <w:ind w:left="2100" w:firstLine="4238" w:firstLineChars="1766"/>
      </w:pPr>
      <w:r>
        <w:rPr>
          <w:rFonts w:hint="eastAsia"/>
        </w:rPr>
        <w:t>2025</w:t>
      </w:r>
      <w:r>
        <w:t>年</w:t>
      </w:r>
      <w:r>
        <w:rPr>
          <w:rFonts w:hint="eastAsia"/>
          <w:u w:val="single"/>
        </w:rPr>
        <w:t xml:space="preserve">   </w:t>
      </w:r>
      <w:r>
        <w:t>月</w:t>
      </w:r>
      <w:r>
        <w:rPr>
          <w:rFonts w:hint="eastAsia"/>
          <w:u w:val="single"/>
        </w:rPr>
        <w:t xml:space="preserve">   </w:t>
      </w:r>
      <w:r>
        <w:t>日</w:t>
      </w:r>
    </w:p>
    <w:p w14:paraId="636E5873">
      <w:pPr>
        <w:pStyle w:val="18"/>
        <w:spacing w:line="360" w:lineRule="auto"/>
        <w:rPr>
          <w:rFonts w:hint="eastAsia" w:ascii="宋体" w:hAnsi="宋体" w:eastAsia="宋体" w:cs="宋体"/>
          <w:b/>
          <w:bCs/>
        </w:rPr>
        <w:sectPr>
          <w:pgSz w:w="11906" w:h="16838"/>
          <w:pgMar w:top="1134" w:right="1134" w:bottom="1134" w:left="1134" w:header="794" w:footer="794" w:gutter="0"/>
          <w:cols w:space="720" w:num="1"/>
          <w:docGrid w:type="lines" w:linePitch="312" w:charSpace="0"/>
        </w:sectPr>
      </w:pPr>
    </w:p>
    <w:p w14:paraId="1B442F56">
      <w:pPr>
        <w:pStyle w:val="18"/>
        <w:spacing w:line="360" w:lineRule="auto"/>
        <w:rPr>
          <w:rFonts w:hint="eastAsia" w:ascii="宋体" w:hAnsi="宋体" w:eastAsia="宋体" w:cs="宋体"/>
          <w:b/>
          <w:bCs/>
        </w:rPr>
      </w:pPr>
    </w:p>
    <w:p w14:paraId="21D8BDE0">
      <w:pPr>
        <w:spacing w:line="440" w:lineRule="exact"/>
        <w:ind w:firstLine="0" w:firstLineChars="0"/>
        <w:jc w:val="center"/>
        <w:outlineLvl w:val="1"/>
        <w:rPr>
          <w:b/>
          <w:bCs/>
        </w:rPr>
      </w:pPr>
      <w:r>
        <w:rPr>
          <w:rFonts w:hint="eastAsia"/>
          <w:b/>
          <w:bCs/>
        </w:rPr>
        <w:t>二、法定代表人身份证明及授权委托书</w:t>
      </w:r>
    </w:p>
    <w:p w14:paraId="12F906BB">
      <w:pPr>
        <w:wordWrap/>
        <w:spacing w:line="360" w:lineRule="auto"/>
        <w:ind w:firstLine="482"/>
        <w:jc w:val="center"/>
        <w:outlineLvl w:val="2"/>
        <w:rPr>
          <w:b/>
        </w:rPr>
      </w:pPr>
      <w:bookmarkStart w:id="0" w:name="_Toc262547328"/>
    </w:p>
    <w:p w14:paraId="7683EAEE">
      <w:pPr>
        <w:spacing w:line="440" w:lineRule="exact"/>
        <w:ind w:firstLine="0" w:firstLineChars="0"/>
        <w:jc w:val="center"/>
        <w:outlineLvl w:val="1"/>
        <w:rPr>
          <w:b/>
          <w:bCs/>
        </w:rPr>
      </w:pPr>
      <w:r>
        <w:rPr>
          <w:rFonts w:hint="eastAsia"/>
          <w:b/>
          <w:bCs/>
        </w:rPr>
        <w:t>（一）法定代表人身份证明</w:t>
      </w:r>
      <w:bookmarkEnd w:id="0"/>
    </w:p>
    <w:p w14:paraId="3DD892BD">
      <w:pPr>
        <w:ind w:firstLine="0" w:firstLineChars="0"/>
        <w:rPr>
          <w:u w:val="single"/>
        </w:rPr>
      </w:pPr>
      <w:r>
        <w:rPr>
          <w:rFonts w:hint="eastAsia"/>
        </w:rPr>
        <w:t>竞标人名称：</w:t>
      </w:r>
      <w:r>
        <w:rPr>
          <w:rFonts w:hint="eastAsia"/>
          <w:u w:val="single"/>
        </w:rPr>
        <w:t xml:space="preserve">                              </w:t>
      </w:r>
    </w:p>
    <w:p w14:paraId="38823441">
      <w:pPr>
        <w:ind w:firstLine="0" w:firstLineChars="0"/>
        <w:rPr>
          <w:u w:val="single"/>
        </w:rPr>
      </w:pPr>
      <w:r>
        <w:rPr>
          <w:rFonts w:hint="eastAsia"/>
        </w:rPr>
        <w:t>单位性质：</w:t>
      </w:r>
      <w:r>
        <w:rPr>
          <w:rFonts w:hint="eastAsia"/>
          <w:u w:val="single"/>
        </w:rPr>
        <w:t xml:space="preserve">                                </w:t>
      </w:r>
    </w:p>
    <w:p w14:paraId="761B620C">
      <w:pPr>
        <w:ind w:firstLine="0" w:firstLineChars="0"/>
        <w:rPr>
          <w:u w:val="single"/>
        </w:rPr>
      </w:pPr>
      <w:r>
        <w:rPr>
          <w:rFonts w:hint="eastAsia"/>
        </w:rPr>
        <w:t>地址：</w:t>
      </w:r>
      <w:r>
        <w:rPr>
          <w:rFonts w:hint="eastAsia"/>
          <w:u w:val="single"/>
        </w:rPr>
        <w:t xml:space="preserve">                                    </w:t>
      </w:r>
    </w:p>
    <w:p w14:paraId="138D6EA8">
      <w:pPr>
        <w:ind w:firstLine="0" w:firstLineChars="0"/>
      </w:pPr>
      <w:r>
        <w:rPr>
          <w:rFonts w:hint="eastAsia"/>
        </w:rPr>
        <w:t>成立时间：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33DAE618">
      <w:pPr>
        <w:ind w:firstLine="0" w:firstLineChars="0"/>
        <w:rPr>
          <w:u w:val="single"/>
        </w:rPr>
      </w:pPr>
      <w:r>
        <w:rPr>
          <w:rFonts w:hint="eastAsia"/>
        </w:rPr>
        <w:t>经营期限：</w:t>
      </w:r>
      <w:r>
        <w:rPr>
          <w:rFonts w:hint="eastAsia"/>
          <w:u w:val="single"/>
        </w:rPr>
        <w:t xml:space="preserve">                                </w:t>
      </w:r>
    </w:p>
    <w:p w14:paraId="6FB9EFFF">
      <w:pPr>
        <w:ind w:firstLine="0" w:firstLineChars="0"/>
        <w:rPr>
          <w:u w:val="single"/>
        </w:rPr>
      </w:pPr>
      <w:r>
        <w:rPr>
          <w:rFonts w:hint="eastAsia"/>
        </w:rPr>
        <w:t>姓名：</w:t>
      </w:r>
      <w:r>
        <w:rPr>
          <w:rFonts w:hint="eastAsia"/>
          <w:u w:val="single"/>
        </w:rPr>
        <w:t xml:space="preserve">            </w:t>
      </w:r>
      <w:r>
        <w:rPr>
          <w:rFonts w:hint="eastAsia"/>
        </w:rPr>
        <w:t>（法人手签）性别：</w:t>
      </w:r>
      <w:r>
        <w:rPr>
          <w:rFonts w:hint="eastAsia"/>
          <w:u w:val="single"/>
        </w:rPr>
        <w:t xml:space="preserve">    </w:t>
      </w:r>
      <w:r>
        <w:rPr>
          <w:rFonts w:hint="eastAsia"/>
        </w:rPr>
        <w:t>年龄：</w:t>
      </w:r>
      <w:r>
        <w:rPr>
          <w:rFonts w:hint="eastAsia"/>
          <w:u w:val="single"/>
        </w:rPr>
        <w:t xml:space="preserve">    </w:t>
      </w:r>
      <w:r>
        <w:rPr>
          <w:rFonts w:hint="eastAsia"/>
        </w:rPr>
        <w:t>职务：</w:t>
      </w:r>
      <w:r>
        <w:rPr>
          <w:rFonts w:hint="eastAsia"/>
          <w:u w:val="single"/>
        </w:rPr>
        <w:t xml:space="preserve">        </w:t>
      </w:r>
    </w:p>
    <w:p w14:paraId="4B38FC34">
      <w:pPr>
        <w:ind w:firstLine="0" w:firstLineChars="0"/>
      </w:pPr>
      <w:r>
        <w:rPr>
          <w:rFonts w:hint="eastAsia"/>
        </w:rPr>
        <w:t>系</w:t>
      </w:r>
      <w:r>
        <w:rPr>
          <w:rFonts w:hint="eastAsia"/>
          <w:u w:val="single"/>
        </w:rPr>
        <w:t xml:space="preserve">                              </w:t>
      </w:r>
      <w:r>
        <w:rPr>
          <w:rFonts w:hint="eastAsia"/>
        </w:rPr>
        <w:t>（投标人名称）的法定代表人。</w:t>
      </w:r>
    </w:p>
    <w:p w14:paraId="64302663">
      <w:pPr>
        <w:ind w:firstLine="480"/>
      </w:pPr>
      <w:r>
        <w:rPr>
          <w:rFonts w:hint="eastAsia"/>
        </w:rPr>
        <w:t>特此证明。</w:t>
      </w:r>
    </w:p>
    <w:p w14:paraId="263D9974">
      <w:pPr>
        <w:ind w:firstLine="480"/>
      </w:pPr>
    </w:p>
    <w:p w14:paraId="2434C9CA">
      <w:pPr>
        <w:ind w:firstLine="480"/>
      </w:pPr>
    </w:p>
    <w:p w14:paraId="182E0B46">
      <w:pPr>
        <w:ind w:left="3780" w:firstLine="420" w:firstLineChars="0"/>
      </w:pPr>
      <w:r>
        <w:rPr>
          <w:rFonts w:hint="eastAsia"/>
        </w:rPr>
        <w:t>投标人：</w:t>
      </w:r>
      <w:r>
        <w:rPr>
          <w:rFonts w:hint="eastAsia"/>
          <w:u w:val="single"/>
        </w:rPr>
        <w:t xml:space="preserve">                      </w:t>
      </w:r>
      <w:r>
        <w:rPr>
          <w:rFonts w:hint="eastAsia"/>
        </w:rPr>
        <w:t>（盖单位章）</w:t>
      </w:r>
    </w:p>
    <w:p w14:paraId="39733B72">
      <w:pPr>
        <w:ind w:left="5460" w:firstLine="420" w:firstLineChars="0"/>
      </w:pPr>
    </w:p>
    <w:p w14:paraId="14BC550A">
      <w:pPr>
        <w:ind w:left="5460" w:firstLine="420" w:firstLineChars="0"/>
      </w:pPr>
      <w:r>
        <w:rPr>
          <w:rFonts w:hint="eastAsia"/>
        </w:rPr>
        <w:t>2025年</w:t>
      </w:r>
      <w:r>
        <w:rPr>
          <w:rFonts w:hint="eastAsia"/>
          <w:u w:val="single"/>
        </w:rPr>
        <w:t xml:space="preserve">   </w:t>
      </w:r>
      <w:r>
        <w:rPr>
          <w:rFonts w:hint="eastAsia"/>
        </w:rPr>
        <w:t>月</w:t>
      </w:r>
      <w:r>
        <w:rPr>
          <w:rFonts w:hint="eastAsia"/>
          <w:u w:val="single"/>
        </w:rPr>
        <w:t xml:space="preserve">   </w:t>
      </w:r>
      <w:r>
        <w:rPr>
          <w:rFonts w:hint="eastAsia"/>
        </w:rPr>
        <w:t>日</w:t>
      </w:r>
    </w:p>
    <w:p w14:paraId="18172532">
      <w:pPr>
        <w:ind w:firstLine="480"/>
      </w:pPr>
    </w:p>
    <w:p w14:paraId="4AFAAA5B">
      <w:pPr>
        <w:ind w:firstLine="480"/>
      </w:pPr>
    </w:p>
    <w:p w14:paraId="0D6651EF">
      <w:pPr>
        <w:ind w:firstLine="480"/>
      </w:pPr>
    </w:p>
    <w:p w14:paraId="2961EE61">
      <w:pPr>
        <w:ind w:firstLine="480"/>
      </w:pPr>
    </w:p>
    <w:p w14:paraId="2D02CDB1">
      <w:pPr>
        <w:ind w:firstLine="0" w:firstLineChars="0"/>
      </w:pPr>
      <w:r>
        <w:rPr>
          <w:rFonts w:hint="eastAsia"/>
          <w:b/>
          <w:bCs/>
        </w:rPr>
        <w:t>注：法定代表人的签字必须是亲笔签名，不得用印章、签名章或其他电子制版签名。</w:t>
      </w:r>
    </w:p>
    <w:p w14:paraId="5F99B998">
      <w:pPr>
        <w:pStyle w:val="18"/>
        <w:spacing w:line="360" w:lineRule="auto"/>
        <w:rPr>
          <w:rFonts w:hint="eastAsia" w:ascii="宋体" w:hAnsi="宋体" w:eastAsia="宋体" w:cs="宋体"/>
          <w:b/>
          <w:bCs/>
        </w:rPr>
        <w:sectPr>
          <w:pgSz w:w="11906" w:h="16838"/>
          <w:pgMar w:top="1134" w:right="1134" w:bottom="1134" w:left="1134" w:header="794" w:footer="794" w:gutter="0"/>
          <w:cols w:space="720" w:num="1"/>
          <w:docGrid w:type="lines" w:linePitch="312" w:charSpace="0"/>
        </w:sectPr>
      </w:pPr>
    </w:p>
    <w:p w14:paraId="2771E233">
      <w:pPr>
        <w:spacing w:line="440" w:lineRule="exact"/>
        <w:ind w:firstLine="0" w:firstLineChars="0"/>
        <w:jc w:val="center"/>
        <w:outlineLvl w:val="1"/>
        <w:rPr>
          <w:b/>
          <w:bCs/>
        </w:rPr>
      </w:pPr>
      <w:r>
        <w:rPr>
          <w:rFonts w:hint="eastAsia"/>
          <w:b/>
          <w:bCs/>
        </w:rPr>
        <w:t>（二）授权委托书</w:t>
      </w:r>
    </w:p>
    <w:p w14:paraId="56FF7A2B">
      <w:pPr>
        <w:pStyle w:val="18"/>
        <w:rPr>
          <w:rFonts w:ascii="Calibri" w:hAnsi="Calibri" w:cs="Times New Roman"/>
          <w:b/>
          <w:bCs/>
        </w:rPr>
      </w:pPr>
    </w:p>
    <w:p w14:paraId="21FEB3F1">
      <w:pPr>
        <w:pStyle w:val="18"/>
        <w:rPr>
          <w:rFonts w:ascii="Calibri" w:hAnsi="Calibri" w:cs="Times New Roman"/>
          <w:b/>
          <w:bCs/>
        </w:rPr>
      </w:pPr>
    </w:p>
    <w:p w14:paraId="4349E2BE">
      <w:pPr>
        <w:ind w:firstLine="480"/>
      </w:pPr>
      <w:r>
        <w:t>本人</w:t>
      </w:r>
      <w:r>
        <w:rPr>
          <w:rFonts w:hint="eastAsia"/>
          <w:u w:val="single"/>
        </w:rPr>
        <w:t xml:space="preserve">        </w:t>
      </w:r>
      <w:r>
        <w:t>（姓名）系</w:t>
      </w:r>
      <w:r>
        <w:rPr>
          <w:rFonts w:hint="eastAsia"/>
          <w:u w:val="single"/>
        </w:rPr>
        <w:t xml:space="preserve">                       </w:t>
      </w:r>
      <w:r>
        <w:rPr>
          <w:rFonts w:hint="eastAsia"/>
        </w:rPr>
        <w:t>（</w:t>
      </w:r>
      <w:r>
        <w:t>竞标人名称）的法定代表人，现委托</w:t>
      </w:r>
      <w:r>
        <w:rPr>
          <w:rFonts w:hint="eastAsia"/>
          <w:u w:val="single"/>
        </w:rPr>
        <w:t xml:space="preserve">        </w:t>
      </w:r>
      <w:r>
        <w:t>（姓名）为我方代理人。代理人根据授权，以我方名义签署、澄清、说明、补正、递交、撤回、修改</w:t>
      </w:r>
      <w:r>
        <w:rPr>
          <w:rFonts w:hint="eastAsia"/>
          <w:b/>
          <w:bCs/>
          <w:u w:val="single"/>
        </w:rPr>
        <w:t>重庆公路养护工程（集团）有限公司2025年路面专项工程交通组织咨询服务</w:t>
      </w:r>
      <w:r>
        <w:rPr>
          <w:rFonts w:hint="eastAsia"/>
        </w:rPr>
        <w:t>报价书</w:t>
      </w:r>
      <w:r>
        <w:t>、签订合同和处理有关事宜，其法律后果由我方承担。</w:t>
      </w:r>
    </w:p>
    <w:p w14:paraId="048C63BA">
      <w:pPr>
        <w:ind w:firstLine="480"/>
        <w:rPr>
          <w:u w:val="single"/>
        </w:rPr>
      </w:pPr>
      <w:r>
        <w:t>委托期限：</w:t>
      </w:r>
      <w:r>
        <w:rPr>
          <w:u w:val="single"/>
        </w:rPr>
        <w:t xml:space="preserve">                    </w:t>
      </w:r>
      <w:r>
        <w:t>。</w:t>
      </w:r>
    </w:p>
    <w:p w14:paraId="18DA7BBD">
      <w:pPr>
        <w:ind w:firstLine="480"/>
      </w:pPr>
      <w:r>
        <w:t>代理人无转委托权。</w:t>
      </w:r>
    </w:p>
    <w:p w14:paraId="10C9B8BC">
      <w:pPr>
        <w:ind w:firstLine="482"/>
        <w:rPr>
          <w:b/>
          <w:bCs/>
        </w:rPr>
      </w:pPr>
      <w:r>
        <w:rPr>
          <w:b/>
          <w:bCs/>
        </w:rPr>
        <w:t>附：法定代表人</w:t>
      </w:r>
      <w:r>
        <w:rPr>
          <w:rFonts w:hint="eastAsia"/>
          <w:b/>
          <w:bCs/>
        </w:rPr>
        <w:t>及委托代理人</w:t>
      </w:r>
      <w:r>
        <w:rPr>
          <w:b/>
          <w:bCs/>
        </w:rPr>
        <w:t>身份</w:t>
      </w:r>
      <w:r>
        <w:rPr>
          <w:rFonts w:hint="eastAsia"/>
          <w:b/>
          <w:bCs/>
        </w:rPr>
        <w:t>证复印件</w:t>
      </w:r>
      <w:r>
        <w:rPr>
          <w:b/>
          <w:bCs/>
        </w:rPr>
        <w:t>。</w:t>
      </w:r>
    </w:p>
    <w:tbl>
      <w:tblPr>
        <w:tblStyle w:val="12"/>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14:paraId="4DC92704">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vAlign w:val="center"/>
          </w:tcPr>
          <w:p w14:paraId="25C0CB2E">
            <w:pPr>
              <w:spacing w:line="500" w:lineRule="exact"/>
              <w:ind w:firstLine="480"/>
              <w:jc w:val="center"/>
              <w:rPr>
                <w:rFonts w:hint="eastAsia" w:ascii="宋体" w:hAnsi="宋体" w:cs="宋体"/>
                <w:sz w:val="28"/>
              </w:rPr>
            </w:pPr>
            <w:r>
              <w:rPr>
                <w:rFonts w:hint="eastAsia" w:ascii="宋体" w:hAnsi="宋体" w:cs="宋体"/>
              </w:rPr>
              <w:t>法定代表人身份证正面</w:t>
            </w:r>
          </w:p>
        </w:tc>
        <w:tc>
          <w:tcPr>
            <w:tcW w:w="4670" w:type="dxa"/>
            <w:vAlign w:val="center"/>
          </w:tcPr>
          <w:p w14:paraId="703F771A">
            <w:pPr>
              <w:spacing w:line="500" w:lineRule="exact"/>
              <w:ind w:firstLine="480"/>
              <w:jc w:val="center"/>
              <w:rPr>
                <w:rFonts w:hint="eastAsia" w:ascii="宋体" w:hAnsi="宋体" w:cs="宋体"/>
                <w:sz w:val="28"/>
              </w:rPr>
            </w:pPr>
            <w:r>
              <w:rPr>
                <w:rFonts w:hint="eastAsia" w:ascii="宋体" w:hAnsi="宋体" w:cs="宋体"/>
              </w:rPr>
              <w:t>法定代表人身份证反面</w:t>
            </w:r>
          </w:p>
        </w:tc>
      </w:tr>
      <w:tr w14:paraId="45C53014">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vAlign w:val="center"/>
          </w:tcPr>
          <w:p w14:paraId="38EAA6FC">
            <w:pPr>
              <w:spacing w:line="500" w:lineRule="exact"/>
              <w:ind w:firstLine="480"/>
              <w:jc w:val="center"/>
              <w:rPr>
                <w:rFonts w:hint="eastAsia" w:ascii="宋体" w:hAnsi="宋体" w:cs="宋体"/>
                <w:sz w:val="28"/>
              </w:rPr>
            </w:pPr>
            <w:r>
              <w:rPr>
                <w:rFonts w:hint="eastAsia" w:ascii="宋体" w:hAnsi="宋体" w:cs="宋体"/>
              </w:rPr>
              <w:t>代理人身份证正面</w:t>
            </w:r>
          </w:p>
        </w:tc>
        <w:tc>
          <w:tcPr>
            <w:tcW w:w="4670" w:type="dxa"/>
            <w:vAlign w:val="center"/>
          </w:tcPr>
          <w:p w14:paraId="1D14E5EB">
            <w:pPr>
              <w:spacing w:line="500" w:lineRule="exact"/>
              <w:ind w:firstLine="480"/>
              <w:jc w:val="center"/>
              <w:rPr>
                <w:rFonts w:hint="eastAsia" w:ascii="宋体" w:hAnsi="宋体" w:cs="宋体"/>
                <w:sz w:val="28"/>
              </w:rPr>
            </w:pPr>
            <w:r>
              <w:rPr>
                <w:rFonts w:hint="eastAsia" w:ascii="宋体" w:hAnsi="宋体" w:cs="宋体"/>
              </w:rPr>
              <w:t>代理人身份证反面</w:t>
            </w:r>
          </w:p>
        </w:tc>
      </w:tr>
    </w:tbl>
    <w:p w14:paraId="38D24296">
      <w:pPr>
        <w:ind w:firstLine="2985" w:firstLineChars="1244"/>
      </w:pPr>
      <w:r>
        <w:t>竞  标  人：</w:t>
      </w:r>
      <w:r>
        <w:rPr>
          <w:rFonts w:hint="eastAsia"/>
          <w:u w:val="single"/>
        </w:rPr>
        <w:t xml:space="preserve">                    </w:t>
      </w:r>
      <w:r>
        <w:t>（盖单位公章）</w:t>
      </w:r>
    </w:p>
    <w:p w14:paraId="75514DBB">
      <w:pPr>
        <w:ind w:firstLine="2985" w:firstLineChars="1244"/>
      </w:pPr>
      <w:r>
        <w:t>法定代表人：</w:t>
      </w:r>
      <w:r>
        <w:rPr>
          <w:rFonts w:hint="eastAsia"/>
          <w:u w:val="single"/>
        </w:rPr>
        <w:t xml:space="preserve">        </w:t>
      </w:r>
      <w:r>
        <w:t>（签字）</w:t>
      </w:r>
    </w:p>
    <w:p w14:paraId="4B1FE596">
      <w:pPr>
        <w:ind w:firstLine="2985" w:firstLineChars="1244"/>
      </w:pPr>
      <w:r>
        <w:t>身份证号码：</w:t>
      </w:r>
      <w:r>
        <w:rPr>
          <w:rFonts w:hint="eastAsia"/>
          <w:u w:val="single"/>
        </w:rPr>
        <w:t xml:space="preserve">                    </w:t>
      </w:r>
    </w:p>
    <w:p w14:paraId="21B77FA4">
      <w:pPr>
        <w:ind w:firstLine="2985" w:firstLineChars="1244"/>
      </w:pPr>
      <w:r>
        <w:t>委托代理人：</w:t>
      </w:r>
      <w:r>
        <w:rPr>
          <w:rFonts w:hint="eastAsia"/>
          <w:u w:val="single"/>
        </w:rPr>
        <w:t xml:space="preserve">        </w:t>
      </w:r>
      <w:r>
        <w:t>（签字）</w:t>
      </w:r>
    </w:p>
    <w:p w14:paraId="17A86962">
      <w:pPr>
        <w:ind w:firstLine="2985" w:firstLineChars="1244"/>
      </w:pPr>
      <w:r>
        <w:t>身份证号码：</w:t>
      </w:r>
      <w:r>
        <w:rPr>
          <w:rFonts w:hint="eastAsia"/>
          <w:u w:val="single"/>
        </w:rPr>
        <w:t xml:space="preserve">                    </w:t>
      </w:r>
    </w:p>
    <w:p w14:paraId="32DF8DEC">
      <w:pPr>
        <w:ind w:firstLine="480"/>
      </w:pPr>
    </w:p>
    <w:p w14:paraId="45546EDA">
      <w:pPr>
        <w:ind w:left="420" w:firstLine="4238" w:firstLineChars="1766"/>
      </w:pPr>
      <w:r>
        <w:rPr>
          <w:rFonts w:hint="eastAsia"/>
        </w:rPr>
        <w:t>2025</w:t>
      </w:r>
      <w:r>
        <w:t>年</w:t>
      </w:r>
      <w:r>
        <w:rPr>
          <w:rFonts w:hint="eastAsia"/>
          <w:u w:val="single"/>
        </w:rPr>
        <w:t xml:space="preserve">   </w:t>
      </w:r>
      <w:r>
        <w:t>月</w:t>
      </w:r>
      <w:r>
        <w:rPr>
          <w:rFonts w:hint="eastAsia"/>
          <w:u w:val="single"/>
        </w:rPr>
        <w:t xml:space="preserve">   </w:t>
      </w:r>
      <w:r>
        <w:t>日</w:t>
      </w:r>
    </w:p>
    <w:p w14:paraId="532D6C0C">
      <w:pPr>
        <w:pStyle w:val="18"/>
        <w:sectPr>
          <w:pgSz w:w="11906" w:h="16838"/>
          <w:pgMar w:top="1134" w:right="1134" w:bottom="1134" w:left="1134" w:header="794" w:footer="794" w:gutter="0"/>
          <w:cols w:space="720" w:num="1"/>
          <w:docGrid w:type="lines" w:linePitch="312" w:charSpace="0"/>
        </w:sectPr>
      </w:pPr>
    </w:p>
    <w:p w14:paraId="1096F3CF">
      <w:pPr>
        <w:pStyle w:val="18"/>
      </w:pPr>
    </w:p>
    <w:p w14:paraId="0A1411D0">
      <w:pPr>
        <w:pStyle w:val="18"/>
        <w:jc w:val="center"/>
        <w:rPr>
          <w:rFonts w:hint="eastAsia" w:ascii="宋体" w:hAnsi="宋体" w:eastAsia="宋体" w:cs="宋体"/>
          <w:b/>
          <w:bCs/>
        </w:rPr>
      </w:pPr>
      <w:r>
        <w:rPr>
          <w:rFonts w:hint="eastAsia" w:ascii="宋体" w:hAnsi="宋体" w:eastAsia="宋体" w:cs="宋体"/>
          <w:b/>
          <w:bCs/>
        </w:rPr>
        <w:t>三、投标人资格审查资料</w:t>
      </w:r>
    </w:p>
    <w:p w14:paraId="3EFC0239">
      <w:pPr>
        <w:ind w:firstLine="0" w:firstLineChars="0"/>
        <w:jc w:val="center"/>
        <w:rPr>
          <w:rFonts w:hint="eastAsia" w:ascii="宋体" w:hAnsi="宋体" w:cs="宋体"/>
          <w:b/>
          <w:bCs/>
        </w:rPr>
      </w:pPr>
    </w:p>
    <w:p w14:paraId="64EE1E3F">
      <w:pPr>
        <w:ind w:firstLine="0" w:firstLineChars="0"/>
        <w:rPr>
          <w:rFonts w:hint="eastAsia" w:ascii="宋体" w:hAnsi="宋体" w:cs="宋体"/>
          <w:b/>
          <w:bCs/>
          <w:sz w:val="30"/>
          <w:szCs w:val="30"/>
        </w:rPr>
      </w:pPr>
      <w:r>
        <w:rPr>
          <w:rFonts w:hint="eastAsia"/>
        </w:rPr>
        <w:t>投标人</w:t>
      </w:r>
      <w:r>
        <w:t>提供有效的营业执照</w:t>
      </w:r>
      <w:r>
        <w:rPr>
          <w:rFonts w:hint="eastAsia"/>
        </w:rPr>
        <w:t>、资质证书复印件</w:t>
      </w:r>
      <w:r>
        <w:t>并加盖单位鲜公章。</w:t>
      </w:r>
    </w:p>
    <w:p w14:paraId="1E0B330D">
      <w:pPr>
        <w:pStyle w:val="18"/>
        <w:jc w:val="center"/>
        <w:rPr>
          <w:rFonts w:hint="eastAsia" w:ascii="宋体" w:hAnsi="宋体" w:eastAsia="宋体" w:cs="宋体"/>
          <w:b/>
          <w:bCs/>
        </w:rPr>
        <w:sectPr>
          <w:pgSz w:w="11906" w:h="16838"/>
          <w:pgMar w:top="1134" w:right="1134" w:bottom="1134" w:left="1134" w:header="794" w:footer="794" w:gutter="0"/>
          <w:cols w:space="720" w:num="1"/>
          <w:docGrid w:type="lines" w:linePitch="312" w:charSpace="0"/>
        </w:sectPr>
      </w:pPr>
    </w:p>
    <w:p w14:paraId="2EB23D3C">
      <w:pPr>
        <w:pStyle w:val="18"/>
        <w:spacing w:line="360" w:lineRule="auto"/>
        <w:jc w:val="center"/>
        <w:rPr>
          <w:rFonts w:hint="eastAsia" w:ascii="宋体" w:hAnsi="宋体" w:eastAsia="宋体" w:cs="宋体"/>
          <w:b/>
          <w:bCs/>
        </w:rPr>
      </w:pPr>
    </w:p>
    <w:p w14:paraId="06E3F387">
      <w:pPr>
        <w:pStyle w:val="18"/>
        <w:spacing w:line="360" w:lineRule="auto"/>
        <w:jc w:val="center"/>
        <w:rPr>
          <w:rFonts w:hint="eastAsia" w:ascii="宋体" w:hAnsi="宋体" w:eastAsia="宋体" w:cs="宋体"/>
          <w:b/>
          <w:bCs/>
        </w:rPr>
      </w:pPr>
      <w:r>
        <w:rPr>
          <w:rFonts w:hint="eastAsia" w:ascii="宋体" w:hAnsi="宋体" w:eastAsia="宋体" w:cs="宋体"/>
          <w:b/>
          <w:bCs/>
        </w:rPr>
        <w:t>四、已标价报价清单</w:t>
      </w:r>
    </w:p>
    <w:p w14:paraId="72023584">
      <w:pPr>
        <w:pStyle w:val="18"/>
        <w:spacing w:line="360" w:lineRule="auto"/>
        <w:jc w:val="center"/>
        <w:rPr>
          <w:rFonts w:hint="eastAsia" w:ascii="宋体" w:hAnsi="宋体" w:eastAsia="宋体" w:cs="宋体"/>
          <w:b/>
          <w:bCs/>
        </w:rPr>
      </w:pPr>
      <w:r>
        <w:rPr>
          <w:rFonts w:hint="eastAsia" w:ascii="Times New Roman" w:eastAsia="宋体" w:cs="Times New Roman"/>
          <w:b/>
          <w:bCs/>
          <w:color w:val="auto"/>
        </w:rPr>
        <w:t>2025年路面专项工程交通组织咨询服务采购报价清单</w:t>
      </w:r>
    </w:p>
    <w:p w14:paraId="59CC00FD">
      <w:pPr>
        <w:pStyle w:val="18"/>
        <w:jc w:val="center"/>
        <w:rPr>
          <w:rFonts w:hint="eastAsia" w:ascii="宋体" w:hAnsi="宋体" w:eastAsia="宋体" w:cs="宋体"/>
          <w:sz w:val="21"/>
          <w:szCs w:val="21"/>
        </w:rPr>
      </w:pPr>
      <w:r>
        <w:rPr>
          <w:rFonts w:hint="eastAsia" w:ascii="宋体" w:hAnsi="宋体" w:eastAsia="宋体" w:cs="宋体"/>
          <w:sz w:val="21"/>
          <w:szCs w:val="21"/>
        </w:rPr>
        <w:t xml:space="preserve">                                                                                                                  货币单位：人民币  元</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8"/>
        <w:gridCol w:w="2688"/>
        <w:gridCol w:w="2701"/>
        <w:gridCol w:w="900"/>
        <w:gridCol w:w="3133"/>
        <w:gridCol w:w="2711"/>
        <w:gridCol w:w="1296"/>
      </w:tblGrid>
      <w:tr w14:paraId="3F74EE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698" w:type="dxa"/>
            <w:tcBorders>
              <w:tl2br w:val="nil"/>
              <w:tr2bl w:val="nil"/>
            </w:tcBorders>
            <w:vAlign w:val="center"/>
          </w:tcPr>
          <w:p w14:paraId="024EC374">
            <w:pPr>
              <w:wordWrap/>
              <w:topLinePunct w:val="0"/>
              <w:spacing w:line="240" w:lineRule="auto"/>
              <w:ind w:firstLine="0" w:firstLineChars="0"/>
              <w:jc w:val="center"/>
            </w:pPr>
            <w:r>
              <w:t>序号</w:t>
            </w:r>
          </w:p>
        </w:tc>
        <w:tc>
          <w:tcPr>
            <w:tcW w:w="2688" w:type="dxa"/>
            <w:tcBorders>
              <w:tl2br w:val="nil"/>
              <w:tr2bl w:val="nil"/>
            </w:tcBorders>
            <w:vAlign w:val="center"/>
          </w:tcPr>
          <w:p w14:paraId="22ACEEF1">
            <w:pPr>
              <w:wordWrap/>
              <w:topLinePunct w:val="0"/>
              <w:spacing w:line="240" w:lineRule="auto"/>
              <w:ind w:firstLine="0" w:firstLineChars="0"/>
              <w:jc w:val="center"/>
            </w:pPr>
            <w:r>
              <w:rPr>
                <w:rFonts w:hint="eastAsia"/>
              </w:rPr>
              <w:t>名称</w:t>
            </w:r>
          </w:p>
        </w:tc>
        <w:tc>
          <w:tcPr>
            <w:tcW w:w="2701" w:type="dxa"/>
            <w:tcBorders>
              <w:tl2br w:val="nil"/>
              <w:tr2bl w:val="nil"/>
            </w:tcBorders>
            <w:vAlign w:val="center"/>
          </w:tcPr>
          <w:p w14:paraId="5F575710">
            <w:pPr>
              <w:wordWrap/>
              <w:topLinePunct w:val="0"/>
              <w:spacing w:line="240" w:lineRule="auto"/>
              <w:ind w:firstLine="0" w:firstLineChars="0"/>
              <w:jc w:val="center"/>
            </w:pPr>
            <w:r>
              <w:rPr>
                <w:rFonts w:hint="eastAsia"/>
              </w:rPr>
              <w:t>工作内容</w:t>
            </w:r>
          </w:p>
        </w:tc>
        <w:tc>
          <w:tcPr>
            <w:tcW w:w="900" w:type="dxa"/>
            <w:tcBorders>
              <w:tl2br w:val="nil"/>
              <w:tr2bl w:val="nil"/>
            </w:tcBorders>
            <w:vAlign w:val="center"/>
          </w:tcPr>
          <w:p w14:paraId="34B3E48B">
            <w:pPr>
              <w:wordWrap/>
              <w:topLinePunct w:val="0"/>
              <w:spacing w:line="240" w:lineRule="auto"/>
              <w:ind w:firstLine="0" w:firstLineChars="0"/>
              <w:jc w:val="center"/>
            </w:pPr>
            <w:r>
              <w:rPr>
                <w:rFonts w:hint="eastAsia"/>
              </w:rPr>
              <w:t>单位</w:t>
            </w:r>
          </w:p>
        </w:tc>
        <w:tc>
          <w:tcPr>
            <w:tcW w:w="3133" w:type="dxa"/>
            <w:tcBorders>
              <w:tl2br w:val="nil"/>
              <w:tr2bl w:val="nil"/>
            </w:tcBorders>
            <w:vAlign w:val="center"/>
          </w:tcPr>
          <w:p w14:paraId="74537944">
            <w:pPr>
              <w:wordWrap/>
              <w:topLinePunct w:val="0"/>
              <w:spacing w:line="240" w:lineRule="auto"/>
              <w:ind w:firstLine="0" w:firstLineChars="0"/>
              <w:jc w:val="center"/>
            </w:pPr>
            <w:r>
              <w:rPr>
                <w:rFonts w:hint="eastAsia"/>
              </w:rPr>
              <w:t>含税限价</w:t>
            </w:r>
          </w:p>
        </w:tc>
        <w:tc>
          <w:tcPr>
            <w:tcW w:w="2711" w:type="dxa"/>
            <w:tcBorders>
              <w:tl2br w:val="nil"/>
              <w:tr2bl w:val="nil"/>
            </w:tcBorders>
            <w:vAlign w:val="center"/>
          </w:tcPr>
          <w:p w14:paraId="41601E90">
            <w:pPr>
              <w:wordWrap/>
              <w:topLinePunct w:val="0"/>
              <w:spacing w:line="240" w:lineRule="auto"/>
              <w:ind w:firstLine="0" w:firstLineChars="0"/>
              <w:jc w:val="center"/>
            </w:pPr>
            <w:r>
              <w:rPr>
                <w:rFonts w:hint="eastAsia"/>
              </w:rPr>
              <w:t>含税报价</w:t>
            </w:r>
          </w:p>
        </w:tc>
        <w:tc>
          <w:tcPr>
            <w:tcW w:w="1296" w:type="dxa"/>
            <w:tcBorders>
              <w:tl2br w:val="nil"/>
              <w:tr2bl w:val="nil"/>
            </w:tcBorders>
            <w:vAlign w:val="center"/>
          </w:tcPr>
          <w:p w14:paraId="1F8153B4">
            <w:pPr>
              <w:wordWrap/>
              <w:topLinePunct w:val="0"/>
              <w:spacing w:line="240" w:lineRule="auto"/>
              <w:ind w:firstLine="0" w:firstLineChars="0"/>
              <w:jc w:val="center"/>
            </w:pPr>
            <w:r>
              <w:rPr>
                <w:rFonts w:hint="eastAsia"/>
              </w:rPr>
              <w:t>备注</w:t>
            </w:r>
          </w:p>
        </w:tc>
      </w:tr>
      <w:tr w14:paraId="7883BD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2" w:hRule="exact"/>
          <w:jc w:val="center"/>
        </w:trPr>
        <w:tc>
          <w:tcPr>
            <w:tcW w:w="698" w:type="dxa"/>
            <w:tcBorders>
              <w:tl2br w:val="nil"/>
              <w:tr2bl w:val="nil"/>
            </w:tcBorders>
            <w:vAlign w:val="center"/>
          </w:tcPr>
          <w:p w14:paraId="03F2EF28">
            <w:pPr>
              <w:wordWrap/>
              <w:topLinePunct w:val="0"/>
              <w:spacing w:line="240" w:lineRule="auto"/>
              <w:ind w:firstLine="0" w:firstLineChars="0"/>
              <w:jc w:val="center"/>
            </w:pPr>
            <w:r>
              <w:t>1</w:t>
            </w:r>
          </w:p>
        </w:tc>
        <w:tc>
          <w:tcPr>
            <w:tcW w:w="2688" w:type="dxa"/>
            <w:tcBorders>
              <w:tl2br w:val="nil"/>
              <w:tr2bl w:val="nil"/>
            </w:tcBorders>
            <w:vAlign w:val="center"/>
          </w:tcPr>
          <w:p w14:paraId="19CD7726">
            <w:pPr>
              <w:wordWrap/>
              <w:topLinePunct w:val="0"/>
              <w:spacing w:line="240" w:lineRule="auto"/>
              <w:ind w:firstLine="0" w:firstLineChars="0"/>
              <w:jc w:val="center"/>
            </w:pPr>
            <w:r>
              <w:rPr>
                <w:rFonts w:hint="eastAsia"/>
              </w:rPr>
              <w:t>G5001绕城高速全线路面专项工程交</w:t>
            </w:r>
            <w:r>
              <w:rPr>
                <w:rFonts w:hint="eastAsia"/>
                <w:kern w:val="44"/>
              </w:rPr>
              <w:t>通组织</w:t>
            </w:r>
            <w:r>
              <w:rPr>
                <w:rFonts w:hint="eastAsia"/>
              </w:rPr>
              <w:t>咨询服务</w:t>
            </w:r>
          </w:p>
        </w:tc>
        <w:tc>
          <w:tcPr>
            <w:tcW w:w="2701" w:type="dxa"/>
            <w:tcBorders>
              <w:tl2br w:val="nil"/>
              <w:tr2bl w:val="nil"/>
            </w:tcBorders>
            <w:vAlign w:val="center"/>
          </w:tcPr>
          <w:p w14:paraId="7A60A752">
            <w:pPr>
              <w:wordWrap/>
              <w:topLinePunct w:val="0"/>
              <w:spacing w:line="240" w:lineRule="auto"/>
              <w:ind w:firstLine="0" w:firstLineChars="0"/>
              <w:jc w:val="center"/>
            </w:pPr>
            <w:r>
              <w:rPr>
                <w:rFonts w:hint="eastAsia"/>
              </w:rPr>
              <w:t>施工期间交通组织方案设计、施工后交通组织设计效果评价（包括但不限于现场流量数据调查、周边交通路网实地踏勘、航拍影像采集、清分车型统计等）</w:t>
            </w:r>
          </w:p>
        </w:tc>
        <w:tc>
          <w:tcPr>
            <w:tcW w:w="900" w:type="dxa"/>
            <w:tcBorders>
              <w:tl2br w:val="nil"/>
              <w:tr2bl w:val="nil"/>
            </w:tcBorders>
            <w:vAlign w:val="center"/>
          </w:tcPr>
          <w:p w14:paraId="3D9A6F21">
            <w:pPr>
              <w:wordWrap/>
              <w:topLinePunct w:val="0"/>
              <w:spacing w:line="240" w:lineRule="auto"/>
              <w:ind w:firstLine="0" w:firstLineChars="0"/>
              <w:jc w:val="center"/>
              <w:rPr>
                <w:color w:val="000000"/>
              </w:rPr>
            </w:pPr>
            <w:r>
              <w:rPr>
                <w:rFonts w:hint="eastAsia"/>
                <w:color w:val="000000"/>
              </w:rPr>
              <w:t>项</w:t>
            </w:r>
          </w:p>
        </w:tc>
        <w:tc>
          <w:tcPr>
            <w:tcW w:w="3133" w:type="dxa"/>
            <w:tcBorders>
              <w:tl2br w:val="nil"/>
              <w:tr2bl w:val="nil"/>
            </w:tcBorders>
            <w:vAlign w:val="center"/>
          </w:tcPr>
          <w:p w14:paraId="68A61010">
            <w:pPr>
              <w:wordWrap/>
              <w:topLinePunct w:val="0"/>
              <w:spacing w:line="240" w:lineRule="auto"/>
              <w:ind w:firstLine="0" w:firstLineChars="0"/>
              <w:jc w:val="center"/>
              <w:rPr>
                <w:rFonts w:hint="default" w:eastAsia="宋体"/>
                <w:color w:val="000000"/>
                <w:lang w:val="en-US" w:eastAsia="zh-CN"/>
              </w:rPr>
            </w:pPr>
            <w:r>
              <w:rPr>
                <w:rFonts w:hint="eastAsia"/>
                <w:color w:val="000000"/>
                <w:lang w:val="en-US" w:eastAsia="zh-CN"/>
              </w:rPr>
              <w:t>300000</w:t>
            </w:r>
          </w:p>
        </w:tc>
        <w:tc>
          <w:tcPr>
            <w:tcW w:w="2711" w:type="dxa"/>
            <w:tcBorders>
              <w:tl2br w:val="nil"/>
              <w:tr2bl w:val="nil"/>
            </w:tcBorders>
            <w:vAlign w:val="center"/>
          </w:tcPr>
          <w:p w14:paraId="45C3362A">
            <w:pPr>
              <w:wordWrap/>
              <w:topLinePunct w:val="0"/>
              <w:spacing w:line="240" w:lineRule="auto"/>
              <w:ind w:firstLine="0" w:firstLineChars="0"/>
              <w:jc w:val="center"/>
              <w:rPr>
                <w:color w:val="000000"/>
              </w:rPr>
            </w:pPr>
          </w:p>
        </w:tc>
        <w:tc>
          <w:tcPr>
            <w:tcW w:w="1296" w:type="dxa"/>
            <w:tcBorders>
              <w:tl2br w:val="nil"/>
              <w:tr2bl w:val="nil"/>
            </w:tcBorders>
            <w:vAlign w:val="center"/>
          </w:tcPr>
          <w:p w14:paraId="6D01C8DD">
            <w:pPr>
              <w:wordWrap/>
              <w:topLinePunct w:val="0"/>
              <w:spacing w:line="240" w:lineRule="auto"/>
              <w:ind w:firstLine="0" w:firstLineChars="0"/>
              <w:jc w:val="center"/>
              <w:rPr>
                <w:color w:val="000000"/>
              </w:rPr>
            </w:pPr>
          </w:p>
        </w:tc>
      </w:tr>
      <w:tr w14:paraId="114BA0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9" w:hRule="exact"/>
          <w:jc w:val="center"/>
        </w:trPr>
        <w:tc>
          <w:tcPr>
            <w:tcW w:w="698" w:type="dxa"/>
            <w:tcBorders>
              <w:tl2br w:val="nil"/>
              <w:tr2bl w:val="nil"/>
            </w:tcBorders>
            <w:vAlign w:val="center"/>
          </w:tcPr>
          <w:p w14:paraId="71150A28">
            <w:pPr>
              <w:wordWrap/>
              <w:topLinePunct w:val="0"/>
              <w:spacing w:line="240" w:lineRule="auto"/>
              <w:ind w:firstLine="0" w:firstLineChars="0"/>
              <w:jc w:val="center"/>
            </w:pPr>
            <w:r>
              <w:rPr>
                <w:rFonts w:hint="eastAsia"/>
              </w:rPr>
              <w:t>2</w:t>
            </w:r>
          </w:p>
        </w:tc>
        <w:tc>
          <w:tcPr>
            <w:tcW w:w="2688" w:type="dxa"/>
            <w:tcBorders>
              <w:tl2br w:val="nil"/>
              <w:tr2bl w:val="nil"/>
            </w:tcBorders>
            <w:vAlign w:val="center"/>
          </w:tcPr>
          <w:p w14:paraId="4F3392A5">
            <w:pPr>
              <w:spacing w:line="360" w:lineRule="auto"/>
              <w:ind w:firstLine="0" w:firstLineChars="0"/>
              <w:jc w:val="center"/>
            </w:pPr>
            <w:r>
              <w:rPr>
                <w:rFonts w:hint="eastAsia"/>
              </w:rPr>
              <w:t>G5013渝蓉高速公路（K57+000～K67+000) 路面专项工程交</w:t>
            </w:r>
            <w:r>
              <w:rPr>
                <w:rFonts w:hint="eastAsia"/>
                <w:kern w:val="44"/>
              </w:rPr>
              <w:t>通组织</w:t>
            </w:r>
            <w:r>
              <w:rPr>
                <w:rFonts w:hint="eastAsia"/>
              </w:rPr>
              <w:t>咨询服务</w:t>
            </w:r>
          </w:p>
        </w:tc>
        <w:tc>
          <w:tcPr>
            <w:tcW w:w="2701" w:type="dxa"/>
            <w:tcBorders>
              <w:tl2br w:val="nil"/>
              <w:tr2bl w:val="nil"/>
            </w:tcBorders>
            <w:vAlign w:val="center"/>
          </w:tcPr>
          <w:p w14:paraId="088DB65C">
            <w:pPr>
              <w:wordWrap/>
              <w:topLinePunct w:val="0"/>
              <w:spacing w:line="240" w:lineRule="auto"/>
              <w:ind w:firstLine="0" w:firstLineChars="0"/>
              <w:jc w:val="center"/>
            </w:pPr>
            <w:r>
              <w:rPr>
                <w:rFonts w:hint="eastAsia"/>
              </w:rPr>
              <w:t>施工期间交通组织方案设计（包括但不限于现场流量数据调查、周边交通路网实地踏勘、航拍影像采集、清分车型统计等）</w:t>
            </w:r>
          </w:p>
        </w:tc>
        <w:tc>
          <w:tcPr>
            <w:tcW w:w="900" w:type="dxa"/>
            <w:tcBorders>
              <w:tl2br w:val="nil"/>
              <w:tr2bl w:val="nil"/>
            </w:tcBorders>
            <w:vAlign w:val="center"/>
          </w:tcPr>
          <w:p w14:paraId="3F99A8E9">
            <w:pPr>
              <w:wordWrap/>
              <w:topLinePunct w:val="0"/>
              <w:spacing w:line="240" w:lineRule="auto"/>
              <w:ind w:firstLine="0" w:firstLineChars="0"/>
              <w:jc w:val="center"/>
              <w:rPr>
                <w:color w:val="000000"/>
              </w:rPr>
            </w:pPr>
            <w:r>
              <w:rPr>
                <w:rFonts w:hint="eastAsia"/>
                <w:color w:val="000000"/>
              </w:rPr>
              <w:t>项</w:t>
            </w:r>
          </w:p>
        </w:tc>
        <w:tc>
          <w:tcPr>
            <w:tcW w:w="3133" w:type="dxa"/>
            <w:tcBorders>
              <w:tl2br w:val="nil"/>
              <w:tr2bl w:val="nil"/>
            </w:tcBorders>
            <w:vAlign w:val="center"/>
          </w:tcPr>
          <w:p w14:paraId="04F1C30C">
            <w:pPr>
              <w:wordWrap/>
              <w:topLinePunct w:val="0"/>
              <w:spacing w:line="240" w:lineRule="auto"/>
              <w:ind w:firstLine="0" w:firstLineChars="0"/>
              <w:jc w:val="center"/>
              <w:rPr>
                <w:rFonts w:hint="default" w:eastAsia="宋体"/>
                <w:color w:val="000000"/>
                <w:lang w:val="en-US" w:eastAsia="zh-CN"/>
              </w:rPr>
            </w:pPr>
            <w:r>
              <w:rPr>
                <w:rFonts w:hint="eastAsia"/>
                <w:color w:val="000000"/>
                <w:lang w:val="en-US" w:eastAsia="zh-CN"/>
              </w:rPr>
              <w:t>100000</w:t>
            </w:r>
          </w:p>
        </w:tc>
        <w:tc>
          <w:tcPr>
            <w:tcW w:w="2711" w:type="dxa"/>
            <w:tcBorders>
              <w:tl2br w:val="nil"/>
              <w:tr2bl w:val="nil"/>
            </w:tcBorders>
            <w:vAlign w:val="center"/>
          </w:tcPr>
          <w:p w14:paraId="49D45303">
            <w:pPr>
              <w:wordWrap/>
              <w:topLinePunct w:val="0"/>
              <w:spacing w:line="240" w:lineRule="auto"/>
              <w:ind w:firstLine="0" w:firstLineChars="0"/>
              <w:jc w:val="center"/>
              <w:rPr>
                <w:color w:val="000000"/>
              </w:rPr>
            </w:pPr>
          </w:p>
        </w:tc>
        <w:tc>
          <w:tcPr>
            <w:tcW w:w="1296" w:type="dxa"/>
            <w:tcBorders>
              <w:tl2br w:val="nil"/>
              <w:tr2bl w:val="nil"/>
            </w:tcBorders>
            <w:vAlign w:val="center"/>
          </w:tcPr>
          <w:p w14:paraId="71818802">
            <w:pPr>
              <w:wordWrap/>
              <w:topLinePunct w:val="0"/>
              <w:spacing w:line="240" w:lineRule="auto"/>
              <w:ind w:firstLine="0" w:firstLineChars="0"/>
              <w:jc w:val="center"/>
              <w:rPr>
                <w:color w:val="000000"/>
              </w:rPr>
            </w:pPr>
          </w:p>
        </w:tc>
      </w:tr>
      <w:tr w14:paraId="031CA9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59" w:hRule="exact"/>
          <w:jc w:val="center"/>
        </w:trPr>
        <w:tc>
          <w:tcPr>
            <w:tcW w:w="698" w:type="dxa"/>
            <w:tcBorders>
              <w:tl2br w:val="nil"/>
              <w:tr2bl w:val="nil"/>
            </w:tcBorders>
            <w:vAlign w:val="center"/>
          </w:tcPr>
          <w:p w14:paraId="1D582397">
            <w:pPr>
              <w:wordWrap/>
              <w:topLinePunct w:val="0"/>
              <w:spacing w:line="240" w:lineRule="auto"/>
              <w:ind w:firstLine="0" w:firstLineChars="0"/>
              <w:jc w:val="center"/>
            </w:pPr>
            <w:r>
              <w:rPr>
                <w:rFonts w:hint="eastAsia"/>
              </w:rPr>
              <w:t>3</w:t>
            </w:r>
          </w:p>
        </w:tc>
        <w:tc>
          <w:tcPr>
            <w:tcW w:w="2688" w:type="dxa"/>
            <w:tcBorders>
              <w:tl2br w:val="nil"/>
              <w:tr2bl w:val="nil"/>
            </w:tcBorders>
            <w:vAlign w:val="center"/>
          </w:tcPr>
          <w:p w14:paraId="595A2555">
            <w:pPr>
              <w:spacing w:line="360" w:lineRule="auto"/>
              <w:ind w:firstLine="0" w:firstLineChars="0"/>
              <w:jc w:val="center"/>
            </w:pPr>
            <w:r>
              <w:rPr>
                <w:rFonts w:hint="eastAsia"/>
              </w:rPr>
              <w:t>长万高速公路（K1555+000～K1701+000）路面专项工程交</w:t>
            </w:r>
            <w:r>
              <w:rPr>
                <w:rFonts w:hint="eastAsia"/>
                <w:kern w:val="44"/>
              </w:rPr>
              <w:t>通组织</w:t>
            </w:r>
            <w:r>
              <w:rPr>
                <w:rFonts w:hint="eastAsia"/>
              </w:rPr>
              <w:t>咨询服务</w:t>
            </w:r>
          </w:p>
        </w:tc>
        <w:tc>
          <w:tcPr>
            <w:tcW w:w="2701" w:type="dxa"/>
            <w:tcBorders>
              <w:tl2br w:val="nil"/>
              <w:tr2bl w:val="nil"/>
            </w:tcBorders>
            <w:vAlign w:val="center"/>
          </w:tcPr>
          <w:p w14:paraId="725700AC">
            <w:pPr>
              <w:wordWrap/>
              <w:topLinePunct w:val="0"/>
              <w:spacing w:line="240" w:lineRule="auto"/>
              <w:ind w:firstLine="0" w:firstLineChars="0"/>
              <w:jc w:val="center"/>
            </w:pPr>
            <w:r>
              <w:rPr>
                <w:rFonts w:hint="eastAsia"/>
              </w:rPr>
              <w:t>施工期间交通组织方案设计（包括但不限于现场流量数据调查、周边交通路网实地踏勘、航拍影像采集、清分车型统计等）</w:t>
            </w:r>
          </w:p>
        </w:tc>
        <w:tc>
          <w:tcPr>
            <w:tcW w:w="900" w:type="dxa"/>
            <w:tcBorders>
              <w:tl2br w:val="nil"/>
              <w:tr2bl w:val="nil"/>
            </w:tcBorders>
            <w:vAlign w:val="center"/>
          </w:tcPr>
          <w:p w14:paraId="0EC1BBAD">
            <w:pPr>
              <w:wordWrap/>
              <w:topLinePunct w:val="0"/>
              <w:spacing w:line="240" w:lineRule="auto"/>
              <w:ind w:firstLine="0" w:firstLineChars="0"/>
              <w:jc w:val="center"/>
              <w:rPr>
                <w:color w:val="000000"/>
              </w:rPr>
            </w:pPr>
            <w:r>
              <w:rPr>
                <w:rFonts w:hint="eastAsia"/>
                <w:color w:val="000000"/>
              </w:rPr>
              <w:t>项</w:t>
            </w:r>
          </w:p>
        </w:tc>
        <w:tc>
          <w:tcPr>
            <w:tcW w:w="3133" w:type="dxa"/>
            <w:tcBorders>
              <w:tl2br w:val="nil"/>
              <w:tr2bl w:val="nil"/>
            </w:tcBorders>
            <w:vAlign w:val="center"/>
          </w:tcPr>
          <w:p w14:paraId="3949929F">
            <w:pPr>
              <w:wordWrap/>
              <w:topLinePunct w:val="0"/>
              <w:spacing w:line="240" w:lineRule="auto"/>
              <w:ind w:firstLine="0" w:firstLineChars="0"/>
              <w:jc w:val="center"/>
              <w:rPr>
                <w:rFonts w:hint="default" w:eastAsia="宋体"/>
                <w:color w:val="000000"/>
                <w:lang w:val="en-US" w:eastAsia="zh-CN"/>
              </w:rPr>
            </w:pPr>
            <w:r>
              <w:rPr>
                <w:rFonts w:hint="eastAsia"/>
                <w:color w:val="000000"/>
                <w:lang w:val="en-US" w:eastAsia="zh-CN"/>
              </w:rPr>
              <w:t>90000</w:t>
            </w:r>
          </w:p>
        </w:tc>
        <w:tc>
          <w:tcPr>
            <w:tcW w:w="2711" w:type="dxa"/>
            <w:tcBorders>
              <w:tl2br w:val="nil"/>
              <w:tr2bl w:val="nil"/>
            </w:tcBorders>
            <w:vAlign w:val="center"/>
          </w:tcPr>
          <w:p w14:paraId="568AAF22">
            <w:pPr>
              <w:wordWrap/>
              <w:topLinePunct w:val="0"/>
              <w:spacing w:line="240" w:lineRule="auto"/>
              <w:ind w:firstLine="0" w:firstLineChars="0"/>
              <w:jc w:val="center"/>
              <w:rPr>
                <w:color w:val="000000"/>
              </w:rPr>
            </w:pPr>
          </w:p>
        </w:tc>
        <w:tc>
          <w:tcPr>
            <w:tcW w:w="1296" w:type="dxa"/>
            <w:tcBorders>
              <w:tl2br w:val="nil"/>
              <w:tr2bl w:val="nil"/>
            </w:tcBorders>
            <w:vAlign w:val="center"/>
          </w:tcPr>
          <w:p w14:paraId="216D8F3C">
            <w:pPr>
              <w:wordWrap/>
              <w:topLinePunct w:val="0"/>
              <w:spacing w:line="240" w:lineRule="auto"/>
              <w:ind w:firstLine="0" w:firstLineChars="0"/>
              <w:jc w:val="center"/>
              <w:rPr>
                <w:color w:val="000000"/>
              </w:rPr>
            </w:pPr>
          </w:p>
        </w:tc>
      </w:tr>
      <w:tr w14:paraId="6E9DF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1" w:hRule="exact"/>
          <w:jc w:val="center"/>
        </w:trPr>
        <w:tc>
          <w:tcPr>
            <w:tcW w:w="698" w:type="dxa"/>
            <w:tcBorders>
              <w:tl2br w:val="nil"/>
              <w:tr2bl w:val="nil"/>
            </w:tcBorders>
            <w:vAlign w:val="center"/>
          </w:tcPr>
          <w:p w14:paraId="7D91BAB1">
            <w:pPr>
              <w:wordWrap/>
              <w:topLinePunct w:val="0"/>
              <w:spacing w:line="240" w:lineRule="auto"/>
              <w:ind w:firstLine="0" w:firstLineChars="0"/>
              <w:jc w:val="center"/>
            </w:pPr>
            <w:r>
              <w:rPr>
                <w:rFonts w:hint="eastAsia"/>
              </w:rPr>
              <w:t>4</w:t>
            </w:r>
          </w:p>
        </w:tc>
        <w:tc>
          <w:tcPr>
            <w:tcW w:w="2688" w:type="dxa"/>
            <w:tcBorders>
              <w:tl2br w:val="nil"/>
              <w:tr2bl w:val="nil"/>
            </w:tcBorders>
            <w:vAlign w:val="center"/>
          </w:tcPr>
          <w:p w14:paraId="5AB418BB">
            <w:pPr>
              <w:spacing w:line="360" w:lineRule="auto"/>
              <w:ind w:firstLine="0" w:firstLineChars="0"/>
              <w:jc w:val="center"/>
            </w:pPr>
            <w:r>
              <w:rPr>
                <w:rFonts w:hint="eastAsia"/>
              </w:rPr>
              <w:t>渝湘高速公路路面施工期间机具夜间停放交</w:t>
            </w:r>
            <w:r>
              <w:rPr>
                <w:rFonts w:hint="eastAsia"/>
                <w:kern w:val="44"/>
              </w:rPr>
              <w:t>通组织</w:t>
            </w:r>
            <w:r>
              <w:rPr>
                <w:rFonts w:hint="eastAsia"/>
              </w:rPr>
              <w:t>咨询服务</w:t>
            </w:r>
          </w:p>
        </w:tc>
        <w:tc>
          <w:tcPr>
            <w:tcW w:w="2701" w:type="dxa"/>
            <w:tcBorders>
              <w:tl2br w:val="nil"/>
              <w:tr2bl w:val="nil"/>
            </w:tcBorders>
            <w:vAlign w:val="center"/>
          </w:tcPr>
          <w:p w14:paraId="4A25953A">
            <w:pPr>
              <w:wordWrap/>
              <w:topLinePunct w:val="0"/>
              <w:spacing w:line="240" w:lineRule="auto"/>
              <w:ind w:firstLine="0" w:firstLineChars="0"/>
              <w:jc w:val="center"/>
            </w:pPr>
            <w:r>
              <w:rPr>
                <w:rFonts w:hint="eastAsia"/>
              </w:rPr>
              <w:t>施工期间机具夜间停放专项设计</w:t>
            </w:r>
          </w:p>
        </w:tc>
        <w:tc>
          <w:tcPr>
            <w:tcW w:w="900" w:type="dxa"/>
            <w:tcBorders>
              <w:tl2br w:val="nil"/>
              <w:tr2bl w:val="nil"/>
            </w:tcBorders>
            <w:vAlign w:val="center"/>
          </w:tcPr>
          <w:p w14:paraId="1EDA9D00">
            <w:pPr>
              <w:wordWrap/>
              <w:topLinePunct w:val="0"/>
              <w:spacing w:line="240" w:lineRule="auto"/>
              <w:ind w:firstLine="0" w:firstLineChars="0"/>
              <w:jc w:val="center"/>
              <w:rPr>
                <w:color w:val="000000"/>
              </w:rPr>
            </w:pPr>
            <w:r>
              <w:rPr>
                <w:rFonts w:hint="eastAsia"/>
                <w:color w:val="000000"/>
              </w:rPr>
              <w:t>项</w:t>
            </w:r>
          </w:p>
        </w:tc>
        <w:tc>
          <w:tcPr>
            <w:tcW w:w="3133" w:type="dxa"/>
            <w:tcBorders>
              <w:tl2br w:val="nil"/>
              <w:tr2bl w:val="nil"/>
            </w:tcBorders>
            <w:vAlign w:val="center"/>
          </w:tcPr>
          <w:p w14:paraId="43C5D50D">
            <w:pPr>
              <w:wordWrap/>
              <w:topLinePunct w:val="0"/>
              <w:spacing w:line="240" w:lineRule="auto"/>
              <w:ind w:firstLine="0" w:firstLineChars="0"/>
              <w:jc w:val="center"/>
              <w:rPr>
                <w:rFonts w:hint="default" w:eastAsia="宋体"/>
                <w:color w:val="000000"/>
                <w:lang w:val="en-US" w:eastAsia="zh-CN"/>
              </w:rPr>
            </w:pPr>
            <w:r>
              <w:rPr>
                <w:rFonts w:hint="eastAsia"/>
                <w:color w:val="000000"/>
                <w:lang w:val="en-US" w:eastAsia="zh-CN"/>
              </w:rPr>
              <w:t>55000</w:t>
            </w:r>
          </w:p>
        </w:tc>
        <w:tc>
          <w:tcPr>
            <w:tcW w:w="2711" w:type="dxa"/>
            <w:tcBorders>
              <w:tl2br w:val="nil"/>
              <w:tr2bl w:val="nil"/>
            </w:tcBorders>
            <w:vAlign w:val="center"/>
          </w:tcPr>
          <w:p w14:paraId="178B3B93">
            <w:pPr>
              <w:wordWrap/>
              <w:topLinePunct w:val="0"/>
              <w:spacing w:line="240" w:lineRule="auto"/>
              <w:ind w:firstLine="0" w:firstLineChars="0"/>
              <w:jc w:val="center"/>
              <w:rPr>
                <w:color w:val="000000"/>
              </w:rPr>
            </w:pPr>
          </w:p>
        </w:tc>
        <w:tc>
          <w:tcPr>
            <w:tcW w:w="1296" w:type="dxa"/>
            <w:tcBorders>
              <w:tl2br w:val="nil"/>
              <w:tr2bl w:val="nil"/>
            </w:tcBorders>
            <w:vAlign w:val="center"/>
          </w:tcPr>
          <w:p w14:paraId="537946CD">
            <w:pPr>
              <w:wordWrap/>
              <w:topLinePunct w:val="0"/>
              <w:spacing w:line="240" w:lineRule="auto"/>
              <w:ind w:firstLine="0" w:firstLineChars="0"/>
              <w:jc w:val="center"/>
              <w:rPr>
                <w:color w:val="000000"/>
              </w:rPr>
            </w:pPr>
          </w:p>
        </w:tc>
      </w:tr>
      <w:tr w14:paraId="44909F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95" w:hRule="atLeast"/>
          <w:jc w:val="center"/>
        </w:trPr>
        <w:tc>
          <w:tcPr>
            <w:tcW w:w="698" w:type="dxa"/>
            <w:tcBorders>
              <w:tl2br w:val="nil"/>
              <w:tr2bl w:val="nil"/>
            </w:tcBorders>
            <w:vAlign w:val="center"/>
          </w:tcPr>
          <w:p w14:paraId="3DEC3555">
            <w:pPr>
              <w:spacing w:line="360" w:lineRule="auto"/>
              <w:ind w:firstLine="480"/>
              <w:textAlignment w:val="baseline"/>
              <w:rPr>
                <w:rFonts w:hint="eastAsia" w:ascii="宋体" w:hAnsi="宋体" w:cs="宋体"/>
              </w:rPr>
            </w:pPr>
          </w:p>
        </w:tc>
        <w:tc>
          <w:tcPr>
            <w:tcW w:w="13429" w:type="dxa"/>
            <w:gridSpan w:val="6"/>
            <w:tcBorders>
              <w:tl2br w:val="nil"/>
              <w:tr2bl w:val="nil"/>
            </w:tcBorders>
            <w:vAlign w:val="center"/>
          </w:tcPr>
          <w:p w14:paraId="29C6C357">
            <w:pPr>
              <w:wordWrap/>
              <w:topLinePunct w:val="0"/>
              <w:spacing w:line="240" w:lineRule="auto"/>
              <w:ind w:firstLine="0" w:firstLineChars="0"/>
              <w:jc w:val="left"/>
              <w:rPr>
                <w:b/>
                <w:bCs/>
                <w:sz w:val="21"/>
                <w:szCs w:val="21"/>
              </w:rPr>
            </w:pPr>
            <w:r>
              <w:rPr>
                <w:rFonts w:hint="eastAsia"/>
                <w:b/>
                <w:bCs/>
                <w:sz w:val="21"/>
                <w:szCs w:val="21"/>
              </w:rPr>
              <w:t>备注：</w:t>
            </w:r>
          </w:p>
          <w:p w14:paraId="4940A2B1">
            <w:pPr>
              <w:numPr>
                <w:ilvl w:val="0"/>
                <w:numId w:val="3"/>
              </w:numPr>
              <w:spacing w:line="360" w:lineRule="auto"/>
              <w:ind w:firstLine="480"/>
              <w:textAlignment w:val="baseline"/>
              <w:rPr>
                <w:rFonts w:hint="eastAsia" w:ascii="宋体" w:hAnsi="宋体" w:cs="宋体"/>
              </w:rPr>
            </w:pPr>
            <w:r>
              <w:rPr>
                <w:rFonts w:hint="eastAsia" w:ascii="宋体" w:hAnsi="宋体" w:cs="宋体"/>
              </w:rPr>
              <w:t>表中总价为固定总价，税率为</w:t>
            </w:r>
            <w:r>
              <w:rPr>
                <w:rFonts w:hint="eastAsia" w:ascii="宋体" w:hAnsi="宋体" w:cs="宋体"/>
                <w:u w:val="single"/>
              </w:rPr>
              <w:t xml:space="preserve">   6   </w:t>
            </w:r>
            <w:r>
              <w:rPr>
                <w:rFonts w:hint="eastAsia" w:ascii="宋体" w:hAnsi="宋体" w:cs="宋体"/>
              </w:rPr>
              <w:t>%，合同执行期间不作任何调整。</w:t>
            </w:r>
          </w:p>
          <w:p w14:paraId="4FAE4215">
            <w:pPr>
              <w:pStyle w:val="2"/>
              <w:ind w:firstLine="480"/>
              <w:rPr>
                <w:rFonts w:hint="eastAsia" w:ascii="宋体" w:hAnsi="宋体" w:cs="宋体"/>
              </w:rPr>
            </w:pPr>
            <w:r>
              <w:rPr>
                <w:rFonts w:hint="eastAsia" w:ascii="宋体" w:hAnsi="宋体" w:cs="宋体"/>
              </w:rPr>
              <w:t>2、为完成2025年路面专项工程交通组织方案编制及评审等工作（包括但不限于高速公路正线、匝道等）。</w:t>
            </w:r>
          </w:p>
          <w:p w14:paraId="6B29FB0A">
            <w:pPr>
              <w:spacing w:line="360" w:lineRule="auto"/>
              <w:ind w:firstLine="480"/>
              <w:textAlignment w:val="baseline"/>
              <w:rPr>
                <w:rFonts w:hint="eastAsia" w:ascii="宋体" w:hAnsi="宋体" w:cs="宋体"/>
                <w:sz w:val="21"/>
                <w:szCs w:val="21"/>
              </w:rPr>
            </w:pPr>
            <w:r>
              <w:rPr>
                <w:rFonts w:hint="eastAsia" w:ascii="宋体" w:hAnsi="宋体" w:cs="宋体"/>
              </w:rPr>
              <w:t>3、表中总价为含税综合总价，包括但不限于以下费用：人员工资、车辆使用费、方案编制费、技术咨询费、方案评审费、安全措施费、保险费、规费、管理费、利润等在内的各种费用以及合同明示或暗示的所有责任、义务和一般风险。</w:t>
            </w:r>
          </w:p>
        </w:tc>
      </w:tr>
    </w:tbl>
    <w:p w14:paraId="7B45B3DE">
      <w:pPr>
        <w:pStyle w:val="18"/>
        <w:jc w:val="right"/>
        <w:rPr>
          <w:rFonts w:hint="eastAsia" w:ascii="宋体" w:hAnsi="宋体" w:eastAsia="宋体" w:cs="宋体"/>
          <w:sz w:val="21"/>
          <w:szCs w:val="21"/>
        </w:rPr>
      </w:pPr>
    </w:p>
    <w:p w14:paraId="3C124F13">
      <w:pPr>
        <w:ind w:left="3360" w:firstLine="420" w:firstLineChars="0"/>
      </w:pPr>
    </w:p>
    <w:p w14:paraId="25705675">
      <w:pPr>
        <w:spacing w:line="360" w:lineRule="auto"/>
        <w:ind w:firstLine="8400" w:firstLineChars="3500"/>
        <w:rPr>
          <w:b/>
          <w:bCs/>
          <w:u w:val="single"/>
        </w:rPr>
      </w:pPr>
      <w:r>
        <w:rPr>
          <w:rFonts w:hint="eastAsia"/>
        </w:rPr>
        <w:t>投标人</w:t>
      </w:r>
      <w:r>
        <w:t>（盖单位公章）：</w:t>
      </w:r>
      <w:r>
        <w:rPr>
          <w:b/>
          <w:bCs/>
        </w:rPr>
        <w:t>__________</w:t>
      </w:r>
      <w:r>
        <w:rPr>
          <w:b/>
          <w:bCs/>
          <w:u w:val="single"/>
        </w:rPr>
        <w:t>______</w:t>
      </w:r>
      <w:r>
        <w:rPr>
          <w:rFonts w:hint="eastAsia"/>
          <w:b/>
          <w:bCs/>
          <w:u w:val="single"/>
        </w:rPr>
        <w:t xml:space="preserve">    </w:t>
      </w:r>
      <w:r>
        <w:rPr>
          <w:b/>
          <w:bCs/>
          <w:u w:val="single"/>
        </w:rPr>
        <w:t>___</w:t>
      </w:r>
    </w:p>
    <w:p w14:paraId="61B19613">
      <w:pPr>
        <w:spacing w:line="360" w:lineRule="auto"/>
        <w:ind w:firstLine="482"/>
      </w:pPr>
      <w:r>
        <w:rPr>
          <w:rFonts w:hint="eastAsia"/>
          <w:b/>
          <w:bCs/>
        </w:rPr>
        <w:t xml:space="preserve">    </w:t>
      </w:r>
      <w:r>
        <w:t xml:space="preserve">  </w:t>
      </w:r>
    </w:p>
    <w:p w14:paraId="74D7535B">
      <w:pPr>
        <w:spacing w:line="360" w:lineRule="auto"/>
        <w:ind w:firstLine="8400" w:firstLineChars="3500"/>
      </w:pPr>
      <w:r>
        <w:t>法定代表人（或授权代表）：</w:t>
      </w:r>
      <w:r>
        <w:rPr>
          <w:b/>
          <w:bCs/>
        </w:rPr>
        <w:t>___________________</w:t>
      </w:r>
    </w:p>
    <w:p w14:paraId="03A5BEF3">
      <w:pPr>
        <w:spacing w:line="360" w:lineRule="auto"/>
        <w:ind w:firstLine="8400" w:firstLineChars="3500"/>
      </w:pPr>
      <w:r>
        <w:t>日期：</w:t>
      </w:r>
      <w:r>
        <w:rPr>
          <w:rFonts w:hint="eastAsia"/>
        </w:rPr>
        <w:t>2025</w:t>
      </w:r>
      <w:r>
        <w:t>年</w:t>
      </w:r>
      <w:r>
        <w:rPr>
          <w:u w:val="single"/>
        </w:rPr>
        <w:t xml:space="preserve">   </w:t>
      </w:r>
      <w:r>
        <w:t>月</w:t>
      </w:r>
      <w:r>
        <w:rPr>
          <w:u w:val="single"/>
        </w:rPr>
        <w:t xml:space="preserve">   </w:t>
      </w:r>
      <w:r>
        <w:t>日</w:t>
      </w:r>
    </w:p>
    <w:p w14:paraId="089B318B">
      <w:pPr>
        <w:ind w:firstLine="482"/>
        <w:rPr>
          <w:rFonts w:hint="eastAsia" w:ascii="宋体" w:hAnsi="宋体" w:cs="宋体"/>
          <w:b/>
          <w:bCs/>
        </w:rPr>
      </w:pPr>
    </w:p>
    <w:p w14:paraId="0CC85A68">
      <w:pPr>
        <w:pStyle w:val="18"/>
        <w:spacing w:line="360" w:lineRule="auto"/>
        <w:jc w:val="center"/>
        <w:rPr>
          <w:rFonts w:hint="eastAsia" w:ascii="宋体" w:hAnsi="宋体" w:eastAsia="宋体" w:cs="宋体"/>
          <w:b/>
          <w:bCs/>
        </w:rPr>
      </w:pPr>
    </w:p>
    <w:p w14:paraId="4D3F1CFF">
      <w:pPr>
        <w:pStyle w:val="18"/>
        <w:spacing w:line="360" w:lineRule="auto"/>
        <w:jc w:val="center"/>
        <w:rPr>
          <w:rFonts w:hint="eastAsia" w:ascii="宋体" w:hAnsi="宋体" w:eastAsia="宋体" w:cs="宋体"/>
          <w:b/>
          <w:bCs/>
        </w:rPr>
      </w:pPr>
    </w:p>
    <w:p w14:paraId="6DDC34A8">
      <w:pPr>
        <w:pStyle w:val="18"/>
        <w:spacing w:line="360" w:lineRule="auto"/>
        <w:jc w:val="center"/>
        <w:rPr>
          <w:rFonts w:hint="eastAsia" w:ascii="宋体" w:hAnsi="宋体" w:eastAsia="宋体" w:cs="宋体"/>
          <w:b/>
          <w:bCs/>
        </w:rPr>
        <w:sectPr>
          <w:pgSz w:w="16838" w:h="11906" w:orient="landscape"/>
          <w:pgMar w:top="1134" w:right="1134" w:bottom="1134" w:left="1134" w:header="794" w:footer="794" w:gutter="0"/>
          <w:cols w:space="720" w:num="1"/>
          <w:docGrid w:type="lines" w:linePitch="312" w:charSpace="0"/>
        </w:sectPr>
      </w:pPr>
    </w:p>
    <w:p w14:paraId="594B9F63">
      <w:pPr>
        <w:pStyle w:val="18"/>
        <w:jc w:val="center"/>
        <w:rPr>
          <w:rFonts w:hint="eastAsia" w:ascii="宋体" w:hAnsi="宋体" w:eastAsia="宋体" w:cs="宋体"/>
          <w:b/>
          <w:bCs/>
        </w:rPr>
      </w:pPr>
    </w:p>
    <w:p w14:paraId="37D8FFA6">
      <w:pPr>
        <w:pStyle w:val="18"/>
        <w:jc w:val="center"/>
        <w:rPr>
          <w:rFonts w:hint="eastAsia" w:ascii="宋体" w:hAnsi="宋体" w:eastAsia="宋体" w:cs="宋体"/>
          <w:b/>
          <w:bCs/>
        </w:rPr>
      </w:pPr>
      <w:r>
        <w:rPr>
          <w:rFonts w:hint="eastAsia" w:ascii="宋体" w:hAnsi="宋体" w:eastAsia="宋体" w:cs="宋体"/>
          <w:b/>
          <w:bCs/>
        </w:rPr>
        <w:t>五、验收承诺函</w:t>
      </w:r>
    </w:p>
    <w:p w14:paraId="1AD44937">
      <w:pPr>
        <w:ind w:firstLine="0" w:firstLineChars="0"/>
        <w:jc w:val="center"/>
        <w:rPr>
          <w:rFonts w:hint="eastAsia" w:ascii="宋体" w:hAnsi="宋体" w:cs="宋体"/>
          <w:b/>
          <w:bCs/>
        </w:rPr>
      </w:pPr>
    </w:p>
    <w:p w14:paraId="3C9F04E5">
      <w:pPr>
        <w:ind w:firstLine="0" w:firstLineChars="0"/>
        <w:rPr>
          <w:b/>
          <w:bCs/>
          <w:u w:val="single"/>
        </w:rPr>
      </w:pPr>
      <w:r>
        <w:rPr>
          <w:rFonts w:hint="eastAsia"/>
          <w:b/>
          <w:bCs/>
        </w:rPr>
        <w:t>致：</w:t>
      </w:r>
      <w:r>
        <w:rPr>
          <w:rFonts w:hint="eastAsia"/>
          <w:b/>
          <w:bCs/>
          <w:u w:val="single"/>
        </w:rPr>
        <w:t>重庆公路养护工程（集团）有限公司</w:t>
      </w:r>
    </w:p>
    <w:p w14:paraId="72E5AFAB">
      <w:pPr>
        <w:spacing w:line="440" w:lineRule="exact"/>
        <w:ind w:firstLine="480"/>
        <w:jc w:val="left"/>
      </w:pPr>
      <w:r>
        <w:t>我方已</w:t>
      </w:r>
      <w:r>
        <w:rPr>
          <w:rFonts w:hint="eastAsia"/>
        </w:rPr>
        <w:t>完全知晓</w:t>
      </w:r>
      <w:r>
        <w:rPr>
          <w:rFonts w:hint="eastAsia"/>
          <w:b/>
          <w:bCs/>
          <w:u w:val="single"/>
        </w:rPr>
        <w:t>2025年路面专项工程交通组织咨询服务比选文件</w:t>
      </w:r>
      <w:r>
        <w:t>的全部</w:t>
      </w:r>
      <w:r>
        <w:rPr>
          <w:rFonts w:hint="eastAsia"/>
        </w:rPr>
        <w:t>工作要求</w:t>
      </w:r>
      <w:r>
        <w:t>，</w:t>
      </w:r>
      <w:r>
        <w:rPr>
          <w:rFonts w:hint="eastAsia"/>
        </w:rPr>
        <w:t>包括但不限于工作内容要求、工作成果要求、成果提交时限要求等</w:t>
      </w:r>
      <w:r>
        <w:t>。我方承诺</w:t>
      </w:r>
      <w:r>
        <w:rPr>
          <w:rFonts w:hint="eastAsia"/>
        </w:rPr>
        <w:t>严格按照比选人要求完成本项目工作，若不能满足招标文件相关工作要求，愿意按照招标文件中相关规定接受相应处罚。</w:t>
      </w:r>
    </w:p>
    <w:p w14:paraId="088B6FCA">
      <w:pPr>
        <w:ind w:firstLine="480"/>
      </w:pPr>
    </w:p>
    <w:p w14:paraId="684C542C">
      <w:pPr>
        <w:ind w:left="420" w:firstLine="4238" w:firstLineChars="1766"/>
      </w:pPr>
      <w:r>
        <w:rPr>
          <w:rFonts w:hint="eastAsia"/>
        </w:rPr>
        <w:t>竞</w:t>
      </w:r>
      <w:r>
        <w:t>标人：</w:t>
      </w:r>
      <w:r>
        <w:rPr>
          <w:u w:val="single"/>
        </w:rPr>
        <w:t xml:space="preserve">                  </w:t>
      </w:r>
      <w:r>
        <w:rPr>
          <w:rFonts w:hint="eastAsia"/>
          <w:u w:val="single"/>
        </w:rPr>
        <w:t xml:space="preserve"> </w:t>
      </w:r>
      <w:r>
        <w:rPr>
          <w:u w:val="single"/>
        </w:rPr>
        <w:t xml:space="preserve">    </w:t>
      </w:r>
      <w:r>
        <w:t>（盖单位章）</w:t>
      </w:r>
    </w:p>
    <w:p w14:paraId="53461A3D">
      <w:pPr>
        <w:ind w:left="420" w:firstLine="4238" w:firstLineChars="1766"/>
      </w:pPr>
      <w:r>
        <w:t>法定代表人或其委托代理人：</w:t>
      </w:r>
      <w:r>
        <w:rPr>
          <w:u w:val="single"/>
        </w:rPr>
        <w:t xml:space="preserve">      </w:t>
      </w:r>
      <w:r>
        <w:rPr>
          <w:rFonts w:hint="eastAsia"/>
          <w:u w:val="single"/>
        </w:rPr>
        <w:t xml:space="preserve">  </w:t>
      </w:r>
      <w:r>
        <w:rPr>
          <w:u w:val="single"/>
        </w:rPr>
        <w:t xml:space="preserve"> </w:t>
      </w:r>
      <w:r>
        <w:t>（签字）</w:t>
      </w:r>
    </w:p>
    <w:p w14:paraId="43697279">
      <w:pPr>
        <w:ind w:left="420" w:firstLine="4238" w:firstLineChars="1766"/>
        <w:rPr>
          <w:u w:val="single"/>
        </w:rPr>
      </w:pPr>
      <w:r>
        <w:t>地址：</w:t>
      </w:r>
      <w:r>
        <w:rPr>
          <w:u w:val="single"/>
        </w:rPr>
        <w:t xml:space="preserve">                                   </w:t>
      </w:r>
    </w:p>
    <w:p w14:paraId="3F595D68">
      <w:pPr>
        <w:ind w:firstLine="480"/>
      </w:pPr>
    </w:p>
    <w:p w14:paraId="62612344">
      <w:pPr>
        <w:ind w:left="2100" w:firstLine="4238" w:firstLineChars="1766"/>
      </w:pPr>
      <w:r>
        <w:rPr>
          <w:rFonts w:hint="eastAsia"/>
        </w:rPr>
        <w:t>2025</w:t>
      </w:r>
      <w:r>
        <w:t>年</w:t>
      </w:r>
      <w:r>
        <w:rPr>
          <w:rFonts w:hint="eastAsia"/>
          <w:u w:val="single"/>
        </w:rPr>
        <w:t xml:space="preserve">   </w:t>
      </w:r>
      <w:r>
        <w:t>月</w:t>
      </w:r>
      <w:r>
        <w:rPr>
          <w:rFonts w:hint="eastAsia"/>
          <w:u w:val="single"/>
        </w:rPr>
        <w:t xml:space="preserve">   </w:t>
      </w:r>
      <w:r>
        <w:t>日</w:t>
      </w:r>
    </w:p>
    <w:p w14:paraId="37CD494F">
      <w:pPr>
        <w:ind w:firstLine="0" w:firstLineChars="0"/>
      </w:pPr>
    </w:p>
    <w:p w14:paraId="7260279A">
      <w:pPr>
        <w:pStyle w:val="18"/>
        <w:spacing w:line="360" w:lineRule="auto"/>
        <w:jc w:val="center"/>
        <w:rPr>
          <w:rFonts w:hint="eastAsia" w:ascii="宋体" w:hAnsi="宋体" w:eastAsia="宋体" w:cs="宋体"/>
          <w:b/>
          <w:bCs/>
        </w:rPr>
      </w:pPr>
    </w:p>
    <w:sectPr>
      <w:pgSz w:w="11906" w:h="16838"/>
      <w:pgMar w:top="1134" w:right="1134" w:bottom="1134" w:left="1134" w:header="794" w:footer="794"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E27B2">
    <w:pPr>
      <w:pStyle w:val="8"/>
      <w:pBdr>
        <w:top w:val="thickThinSmallGap" w:color="9F6559" w:sz="24" w:space="1"/>
        <w:left w:val="none" w:color="auto" w:sz="0" w:space="4"/>
        <w:bottom w:val="none" w:color="auto" w:sz="0" w:space="1"/>
        <w:right w:val="none" w:color="auto" w:sz="0" w:space="4"/>
      </w:pBdr>
      <w:wordWrap/>
      <w:topLinePunct w:val="0"/>
      <w:spacing w:line="240" w:lineRule="auto"/>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6300F">
    <w:pPr>
      <w:pStyle w:val="8"/>
      <w:pBdr>
        <w:top w:val="thickThinSmallGap" w:color="9F6559" w:sz="24" w:space="1"/>
        <w:left w:val="none" w:color="auto" w:sz="0" w:space="4"/>
        <w:bottom w:val="none" w:color="auto" w:sz="0" w:space="1"/>
        <w:right w:val="none" w:color="auto" w:sz="0" w:space="4"/>
      </w:pBdr>
      <w:wordWrap/>
      <w:topLinePunct w:val="0"/>
      <w:spacing w:line="240" w:lineRule="auto"/>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74B4AA">
                          <w:pPr>
                            <w:pStyle w:val="8"/>
                            <w:wordWrap/>
                            <w:topLinePunct w:val="0"/>
                            <w:spacing w:line="240" w:lineRule="auto"/>
                            <w:ind w:firstLine="0" w:firstLineChars="0"/>
                            <w:rPr>
                              <w:b/>
                              <w:bCs/>
                            </w:rPr>
                          </w:pPr>
                          <w:r>
                            <w:rPr>
                              <w:b/>
                              <w:bCs/>
                            </w:rPr>
                            <w:t xml:space="preserve">第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页 共 </w:t>
                          </w:r>
                          <w:r>
                            <w:rPr>
                              <w:rFonts w:hint="eastAsia"/>
                              <w:b/>
                              <w:bCs/>
                            </w:rPr>
                            <w:t>29</w:t>
                          </w:r>
                          <w:r>
                            <w:rPr>
                              <w:b/>
                              <w:bCs/>
                            </w:rPr>
                            <w:t xml:space="preserve"> 页</w:t>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jrMLzsEBAACNAwAADgAAAAAAAAABACAAAAAeAQAAZHJzL2Uyb0RvYy54bWxQSwUG&#10;AAAAAAYABgBZAQAAUQUAAAAA&#10;">
              <v:fill on="f" focussize="0,0"/>
              <v:stroke on="f"/>
              <v:imagedata o:title=""/>
              <o:lock v:ext="edit" aspectratio="f"/>
              <v:textbox inset="0mm,0mm,0mm,0mm" style="mso-fit-shape-to-text:t;">
                <w:txbxContent>
                  <w:p w14:paraId="2774B4AA">
                    <w:pPr>
                      <w:pStyle w:val="8"/>
                      <w:wordWrap/>
                      <w:topLinePunct w:val="0"/>
                      <w:spacing w:line="240" w:lineRule="auto"/>
                      <w:ind w:firstLine="0" w:firstLineChars="0"/>
                      <w:rPr>
                        <w:b/>
                        <w:bCs/>
                      </w:rPr>
                    </w:pPr>
                    <w:r>
                      <w:rPr>
                        <w:b/>
                        <w:bCs/>
                      </w:rPr>
                      <w:t xml:space="preserve">第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页 共 </w:t>
                    </w:r>
                    <w:r>
                      <w:rPr>
                        <w:rFonts w:hint="eastAsia"/>
                        <w:b/>
                        <w:bCs/>
                      </w:rPr>
                      <w:t>29</w:t>
                    </w:r>
                    <w:r>
                      <w:rPr>
                        <w:b/>
                        <w:bCs/>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1F1B">
    <w:pPr>
      <w:pStyle w:val="8"/>
      <w:pBdr>
        <w:top w:val="thickThinSmallGap" w:color="9F6559" w:sz="24" w:space="1"/>
        <w:left w:val="none" w:color="auto" w:sz="0" w:space="4"/>
        <w:bottom w:val="none" w:color="auto" w:sz="0" w:space="1"/>
        <w:right w:val="none" w:color="auto" w:sz="0" w:space="4"/>
      </w:pBdr>
      <w:wordWrap/>
      <w:topLinePunct w:val="0"/>
      <w:spacing w:line="240" w:lineRule="auto"/>
      <w:ind w:firstLine="0" w:firstLineChars="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86012F">
                          <w:pPr>
                            <w:pStyle w:val="8"/>
                            <w:wordWrap/>
                            <w:topLinePunct w:val="0"/>
                            <w:spacing w:line="240" w:lineRule="auto"/>
                            <w:ind w:firstLine="0" w:firstLineChars="0"/>
                            <w:rPr>
                              <w:b/>
                              <w:bCs/>
                            </w:rPr>
                          </w:pPr>
                          <w:r>
                            <w:rPr>
                              <w:b/>
                              <w:bCs/>
                            </w:rPr>
                            <w:t xml:space="preserve">第 </w:t>
                          </w:r>
                          <w:r>
                            <w:rPr>
                              <w:b/>
                              <w:bCs/>
                            </w:rPr>
                            <w:fldChar w:fldCharType="begin"/>
                          </w:r>
                          <w:r>
                            <w:rPr>
                              <w:b/>
                              <w:bCs/>
                            </w:rPr>
                            <w:instrText xml:space="preserve"> PAGE  \* MERGEFORMAT </w:instrText>
                          </w:r>
                          <w:r>
                            <w:rPr>
                              <w:b/>
                              <w:bCs/>
                            </w:rPr>
                            <w:fldChar w:fldCharType="separate"/>
                          </w:r>
                          <w:r>
                            <w:rPr>
                              <w:b/>
                              <w:bCs/>
                            </w:rPr>
                            <w:t>2</w:t>
                          </w:r>
                          <w:r>
                            <w:rPr>
                              <w:b/>
                              <w:bCs/>
                            </w:rPr>
                            <w:fldChar w:fldCharType="end"/>
                          </w:r>
                          <w:r>
                            <w:rPr>
                              <w:b/>
                              <w:bCs/>
                            </w:rPr>
                            <w:t xml:space="preserve"> 页 共 </w:t>
                          </w:r>
                          <w:r>
                            <w:rPr>
                              <w:b/>
                              <w:bCs/>
                            </w:rPr>
                            <w:fldChar w:fldCharType="begin"/>
                          </w:r>
                          <w:r>
                            <w:rPr>
                              <w:b/>
                              <w:bCs/>
                            </w:rPr>
                            <w:instrText xml:space="preserve"> NUMPAGES  \* MERGEFORMAT </w:instrText>
                          </w:r>
                          <w:r>
                            <w:rPr>
                              <w:b/>
                              <w:bCs/>
                            </w:rPr>
                            <w:fldChar w:fldCharType="separate"/>
                          </w:r>
                          <w:r>
                            <w:rPr>
                              <w:b/>
                              <w:bCs/>
                            </w:rPr>
                            <w:t>2</w:t>
                          </w:r>
                          <w:r>
                            <w:rPr>
                              <w:b/>
                              <w:bCs/>
                            </w:rPr>
                            <w:fldChar w:fldCharType="end"/>
                          </w:r>
                          <w:r>
                            <w:rPr>
                              <w:b/>
                              <w:bCs/>
                            </w:rPr>
                            <w:t xml:space="preserve"> 页</w:t>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719g2NYBAACyAwAADgAAAAAAAAABACAAAAAe&#10;AQAAZHJzL2Uyb0RvYy54bWxQSwUGAAAAAAYABgBZAQAAZgUAAAAA&#10;">
              <v:fill on="f" focussize="0,0"/>
              <v:stroke on="f"/>
              <v:imagedata o:title=""/>
              <o:lock v:ext="edit" aspectratio="f"/>
              <v:textbox inset="0mm,0mm,0mm,0mm" style="mso-fit-shape-to-text:t;">
                <w:txbxContent>
                  <w:p w14:paraId="1486012F">
                    <w:pPr>
                      <w:pStyle w:val="8"/>
                      <w:wordWrap/>
                      <w:topLinePunct w:val="0"/>
                      <w:spacing w:line="240" w:lineRule="auto"/>
                      <w:ind w:firstLine="0" w:firstLineChars="0"/>
                      <w:rPr>
                        <w:b/>
                        <w:bCs/>
                      </w:rPr>
                    </w:pPr>
                    <w:r>
                      <w:rPr>
                        <w:b/>
                        <w:bCs/>
                      </w:rPr>
                      <w:t xml:space="preserve">第 </w:t>
                    </w:r>
                    <w:r>
                      <w:rPr>
                        <w:b/>
                        <w:bCs/>
                      </w:rPr>
                      <w:fldChar w:fldCharType="begin"/>
                    </w:r>
                    <w:r>
                      <w:rPr>
                        <w:b/>
                        <w:bCs/>
                      </w:rPr>
                      <w:instrText xml:space="preserve"> PAGE  \* MERGEFORMAT </w:instrText>
                    </w:r>
                    <w:r>
                      <w:rPr>
                        <w:b/>
                        <w:bCs/>
                      </w:rPr>
                      <w:fldChar w:fldCharType="separate"/>
                    </w:r>
                    <w:r>
                      <w:rPr>
                        <w:b/>
                        <w:bCs/>
                      </w:rPr>
                      <w:t>2</w:t>
                    </w:r>
                    <w:r>
                      <w:rPr>
                        <w:b/>
                        <w:bCs/>
                      </w:rPr>
                      <w:fldChar w:fldCharType="end"/>
                    </w:r>
                    <w:r>
                      <w:rPr>
                        <w:b/>
                        <w:bCs/>
                      </w:rPr>
                      <w:t xml:space="preserve"> 页 共 </w:t>
                    </w:r>
                    <w:r>
                      <w:rPr>
                        <w:b/>
                        <w:bCs/>
                      </w:rPr>
                      <w:fldChar w:fldCharType="begin"/>
                    </w:r>
                    <w:r>
                      <w:rPr>
                        <w:b/>
                        <w:bCs/>
                      </w:rPr>
                      <w:instrText xml:space="preserve"> NUMPAGES  \* MERGEFORMAT </w:instrText>
                    </w:r>
                    <w:r>
                      <w:rPr>
                        <w:b/>
                        <w:bCs/>
                      </w:rPr>
                      <w:fldChar w:fldCharType="separate"/>
                    </w:r>
                    <w:r>
                      <w:rPr>
                        <w:b/>
                        <w:bCs/>
                      </w:rPr>
                      <w:t>2</w:t>
                    </w:r>
                    <w:r>
                      <w:rPr>
                        <w:b/>
                        <w:bCs/>
                      </w:rPr>
                      <w:fldChar w:fldCharType="end"/>
                    </w:r>
                    <w:r>
                      <w:rPr>
                        <w:b/>
                        <w:bCs/>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55E1B">
    <w:pPr>
      <w:pStyle w:val="8"/>
      <w:pBdr>
        <w:top w:val="thickThinSmallGap" w:color="9F6559" w:sz="24" w:space="1"/>
        <w:left w:val="none" w:color="auto" w:sz="0" w:space="4"/>
        <w:bottom w:val="none" w:color="auto" w:sz="0" w:space="1"/>
        <w:right w:val="none" w:color="auto" w:sz="0" w:space="4"/>
      </w:pBdr>
      <w:wordWrap/>
      <w:topLinePunct w:val="0"/>
      <w:spacing w:line="240" w:lineRule="auto"/>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FCFB2">
    <w:pPr>
      <w:pStyle w:val="9"/>
      <w:wordWrap/>
      <w:topLinePunct w:val="0"/>
      <w:adjustRightInd w:val="0"/>
      <w:snapToGrid/>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6DC4D">
    <w:pPr>
      <w:pStyle w:val="9"/>
      <w:pBdr>
        <w:bottom w:val="thinThickSmallGap" w:color="9F6559" w:sz="24" w:space="1"/>
      </w:pBdr>
      <w:wordWrap/>
      <w:topLinePunct w:val="0"/>
      <w:adjustRightInd w:val="0"/>
      <w:snapToGrid/>
      <w:ind w:firstLine="0" w:firstLineChars="0"/>
    </w:pPr>
    <w:r>
      <w:drawing>
        <wp:inline distT="0" distB="0" distL="114300" distR="114300">
          <wp:extent cx="192405" cy="96520"/>
          <wp:effectExtent l="0" t="0" r="17145" b="17780"/>
          <wp:docPr id="3" name="图片 4"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司徽"/>
                  <pic:cNvPicPr>
                    <a:picLocks noChangeAspect="1"/>
                  </pic:cNvPicPr>
                </pic:nvPicPr>
                <pic:blipFill>
                  <a:blip r:embed="rId1"/>
                  <a:stretch>
                    <a:fillRect/>
                  </a:stretch>
                </pic:blipFill>
                <pic:spPr>
                  <a:xfrm>
                    <a:off x="0" y="0"/>
                    <a:ext cx="192405" cy="96520"/>
                  </a:xfrm>
                  <a:prstGeom prst="rect">
                    <a:avLst/>
                  </a:prstGeom>
                  <a:noFill/>
                  <a:ln>
                    <a:noFill/>
                  </a:ln>
                </pic:spPr>
              </pic:pic>
            </a:graphicData>
          </a:graphic>
        </wp:inline>
      </w:drawing>
    </w:r>
    <w:r>
      <w:rPr>
        <w:rFonts w:hint="eastAsia"/>
      </w:rPr>
      <w:t>重庆公路养护工程（集团）有限公司其它合同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7437E">
    <w:pPr>
      <w:pStyle w:val="9"/>
      <w:pBdr>
        <w:bottom w:val="thinThickSmallGap" w:color="9F6559" w:sz="24" w:space="1"/>
      </w:pBdr>
      <w:wordWrap/>
      <w:topLinePunct w:val="0"/>
      <w:adjustRightInd w:val="0"/>
      <w:snapToGrid/>
      <w:ind w:firstLine="0" w:firstLineChars="0"/>
    </w:pPr>
    <w:r>
      <w:drawing>
        <wp:inline distT="0" distB="0" distL="114300" distR="114300">
          <wp:extent cx="192405" cy="96520"/>
          <wp:effectExtent l="0" t="0" r="17145" b="17780"/>
          <wp:docPr id="4" name="图片 5"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司徽"/>
                  <pic:cNvPicPr>
                    <a:picLocks noChangeAspect="1"/>
                  </pic:cNvPicPr>
                </pic:nvPicPr>
                <pic:blipFill>
                  <a:blip r:embed="rId1"/>
                  <a:stretch>
                    <a:fillRect/>
                  </a:stretch>
                </pic:blipFill>
                <pic:spPr>
                  <a:xfrm>
                    <a:off x="0" y="0"/>
                    <a:ext cx="192405" cy="96520"/>
                  </a:xfrm>
                  <a:prstGeom prst="rect">
                    <a:avLst/>
                  </a:prstGeom>
                  <a:noFill/>
                  <a:ln>
                    <a:noFill/>
                  </a:ln>
                </pic:spPr>
              </pic:pic>
            </a:graphicData>
          </a:graphic>
        </wp:inline>
      </w:drawing>
    </w:r>
    <w:r>
      <w:rPr>
        <w:rFonts w:hint="eastAsia"/>
      </w:rPr>
      <w:t>重庆公路养护工程（集团）有限公司比选文件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49F115"/>
    <w:multiLevelType w:val="singleLevel"/>
    <w:tmpl w:val="5F49F115"/>
    <w:lvl w:ilvl="0" w:tentative="0">
      <w:start w:val="1"/>
      <w:numFmt w:val="decimal"/>
      <w:suff w:val="nothing"/>
      <w:lvlText w:val="%1、"/>
      <w:lvlJc w:val="left"/>
    </w:lvl>
  </w:abstractNum>
  <w:abstractNum w:abstractNumId="2">
    <w:nsid w:val="7CE6CC09"/>
    <w:multiLevelType w:val="singleLevel"/>
    <w:tmpl w:val="7CE6CC09"/>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YmUzODg1ZGZkNDE4MzBlYjcxMzQ0NzlkYmRlNmYifQ=="/>
  </w:docVars>
  <w:rsids>
    <w:rsidRoot w:val="006F5000"/>
    <w:rsid w:val="00046323"/>
    <w:rsid w:val="000B68B4"/>
    <w:rsid w:val="000F7880"/>
    <w:rsid w:val="00122E31"/>
    <w:rsid w:val="00155FC5"/>
    <w:rsid w:val="00176C5F"/>
    <w:rsid w:val="002410F1"/>
    <w:rsid w:val="00384BAD"/>
    <w:rsid w:val="003C534F"/>
    <w:rsid w:val="004E39F9"/>
    <w:rsid w:val="00543675"/>
    <w:rsid w:val="006F14E0"/>
    <w:rsid w:val="006F5000"/>
    <w:rsid w:val="0076476B"/>
    <w:rsid w:val="00876D89"/>
    <w:rsid w:val="009B20DA"/>
    <w:rsid w:val="00A6399D"/>
    <w:rsid w:val="00AB1D9A"/>
    <w:rsid w:val="00AC187C"/>
    <w:rsid w:val="00AE5227"/>
    <w:rsid w:val="00B23F33"/>
    <w:rsid w:val="00CA6719"/>
    <w:rsid w:val="00D67D98"/>
    <w:rsid w:val="00DA05FC"/>
    <w:rsid w:val="00E367C6"/>
    <w:rsid w:val="00E36C9D"/>
    <w:rsid w:val="00F13FBF"/>
    <w:rsid w:val="00F51166"/>
    <w:rsid w:val="00FB05FD"/>
    <w:rsid w:val="00FD0D4F"/>
    <w:rsid w:val="01020947"/>
    <w:rsid w:val="01084F7C"/>
    <w:rsid w:val="010B2E9D"/>
    <w:rsid w:val="017D05C7"/>
    <w:rsid w:val="018F233B"/>
    <w:rsid w:val="019A79F0"/>
    <w:rsid w:val="019F7490"/>
    <w:rsid w:val="01D05B9B"/>
    <w:rsid w:val="01E31AA6"/>
    <w:rsid w:val="01F12F9A"/>
    <w:rsid w:val="01F26907"/>
    <w:rsid w:val="020C7E90"/>
    <w:rsid w:val="022F3FC6"/>
    <w:rsid w:val="026E18FF"/>
    <w:rsid w:val="02B273CB"/>
    <w:rsid w:val="02D65A77"/>
    <w:rsid w:val="02DF7E30"/>
    <w:rsid w:val="02EA76BA"/>
    <w:rsid w:val="0314324A"/>
    <w:rsid w:val="03195361"/>
    <w:rsid w:val="03292AA8"/>
    <w:rsid w:val="033423EB"/>
    <w:rsid w:val="03633691"/>
    <w:rsid w:val="036F5315"/>
    <w:rsid w:val="03773225"/>
    <w:rsid w:val="03773FF3"/>
    <w:rsid w:val="037A35D8"/>
    <w:rsid w:val="039B615A"/>
    <w:rsid w:val="039F04E3"/>
    <w:rsid w:val="03AC7560"/>
    <w:rsid w:val="03CB596A"/>
    <w:rsid w:val="03D24018"/>
    <w:rsid w:val="03D723D4"/>
    <w:rsid w:val="03DE5A5A"/>
    <w:rsid w:val="03ED01C9"/>
    <w:rsid w:val="03FA293F"/>
    <w:rsid w:val="03FC4EDD"/>
    <w:rsid w:val="03FD7655"/>
    <w:rsid w:val="04074F24"/>
    <w:rsid w:val="041852F8"/>
    <w:rsid w:val="04201261"/>
    <w:rsid w:val="04431338"/>
    <w:rsid w:val="044A78AD"/>
    <w:rsid w:val="04502A32"/>
    <w:rsid w:val="047C6952"/>
    <w:rsid w:val="04A078A2"/>
    <w:rsid w:val="04B60BA6"/>
    <w:rsid w:val="04BB43D8"/>
    <w:rsid w:val="04DC01EC"/>
    <w:rsid w:val="052D4EEB"/>
    <w:rsid w:val="053265DB"/>
    <w:rsid w:val="054624B3"/>
    <w:rsid w:val="05652F8E"/>
    <w:rsid w:val="056827B1"/>
    <w:rsid w:val="058A6B2A"/>
    <w:rsid w:val="05A54A95"/>
    <w:rsid w:val="05CC10CB"/>
    <w:rsid w:val="05F549C0"/>
    <w:rsid w:val="060D5B1A"/>
    <w:rsid w:val="061817B8"/>
    <w:rsid w:val="06227C85"/>
    <w:rsid w:val="062E1A69"/>
    <w:rsid w:val="063030BF"/>
    <w:rsid w:val="06311E4F"/>
    <w:rsid w:val="063B6F30"/>
    <w:rsid w:val="064404DC"/>
    <w:rsid w:val="0662575E"/>
    <w:rsid w:val="066E30C6"/>
    <w:rsid w:val="068B561E"/>
    <w:rsid w:val="06B56650"/>
    <w:rsid w:val="06BB7356"/>
    <w:rsid w:val="06C8001C"/>
    <w:rsid w:val="06D82550"/>
    <w:rsid w:val="06E31DDF"/>
    <w:rsid w:val="06E64378"/>
    <w:rsid w:val="06EE4206"/>
    <w:rsid w:val="07831B31"/>
    <w:rsid w:val="078F406C"/>
    <w:rsid w:val="0791107E"/>
    <w:rsid w:val="07AD34D0"/>
    <w:rsid w:val="07B31C3B"/>
    <w:rsid w:val="07B9511D"/>
    <w:rsid w:val="07DA0804"/>
    <w:rsid w:val="07E37535"/>
    <w:rsid w:val="07FB0EB1"/>
    <w:rsid w:val="081F388D"/>
    <w:rsid w:val="08226D45"/>
    <w:rsid w:val="084127C5"/>
    <w:rsid w:val="08494076"/>
    <w:rsid w:val="08655B77"/>
    <w:rsid w:val="086F019C"/>
    <w:rsid w:val="087C48CD"/>
    <w:rsid w:val="088E6BD5"/>
    <w:rsid w:val="08901514"/>
    <w:rsid w:val="08BD013F"/>
    <w:rsid w:val="08C568A6"/>
    <w:rsid w:val="08D27CCC"/>
    <w:rsid w:val="08ED2FA4"/>
    <w:rsid w:val="09022D99"/>
    <w:rsid w:val="090F6F21"/>
    <w:rsid w:val="09176776"/>
    <w:rsid w:val="092E4EC3"/>
    <w:rsid w:val="092F4BCB"/>
    <w:rsid w:val="0936345B"/>
    <w:rsid w:val="09685C51"/>
    <w:rsid w:val="096D25CB"/>
    <w:rsid w:val="09800977"/>
    <w:rsid w:val="09844D5C"/>
    <w:rsid w:val="09980C47"/>
    <w:rsid w:val="09A93919"/>
    <w:rsid w:val="09AE29F6"/>
    <w:rsid w:val="09C13749"/>
    <w:rsid w:val="09EE1602"/>
    <w:rsid w:val="0A1C72DC"/>
    <w:rsid w:val="0A6764C5"/>
    <w:rsid w:val="0A7C52D7"/>
    <w:rsid w:val="0A936EFE"/>
    <w:rsid w:val="0AB92370"/>
    <w:rsid w:val="0ACD772F"/>
    <w:rsid w:val="0AFA1736"/>
    <w:rsid w:val="0AFA4A91"/>
    <w:rsid w:val="0B091495"/>
    <w:rsid w:val="0B3D46B0"/>
    <w:rsid w:val="0BBB1E54"/>
    <w:rsid w:val="0BDC6996"/>
    <w:rsid w:val="0BDF6813"/>
    <w:rsid w:val="0BE0468D"/>
    <w:rsid w:val="0C086D90"/>
    <w:rsid w:val="0C167DA5"/>
    <w:rsid w:val="0C1B2900"/>
    <w:rsid w:val="0C265298"/>
    <w:rsid w:val="0C2C4697"/>
    <w:rsid w:val="0C6A26A2"/>
    <w:rsid w:val="0C95560E"/>
    <w:rsid w:val="0C9E543B"/>
    <w:rsid w:val="0CA75C30"/>
    <w:rsid w:val="0CC701D1"/>
    <w:rsid w:val="0CD81B60"/>
    <w:rsid w:val="0CDE4578"/>
    <w:rsid w:val="0CE5425D"/>
    <w:rsid w:val="0CEB6390"/>
    <w:rsid w:val="0CF2230B"/>
    <w:rsid w:val="0D0A067C"/>
    <w:rsid w:val="0D2D630C"/>
    <w:rsid w:val="0D327330"/>
    <w:rsid w:val="0D433034"/>
    <w:rsid w:val="0D4B2102"/>
    <w:rsid w:val="0D683609"/>
    <w:rsid w:val="0D723B67"/>
    <w:rsid w:val="0D7939AA"/>
    <w:rsid w:val="0D7F22E1"/>
    <w:rsid w:val="0D8F108A"/>
    <w:rsid w:val="0D9203D6"/>
    <w:rsid w:val="0D9606BA"/>
    <w:rsid w:val="0D965D57"/>
    <w:rsid w:val="0DB339FB"/>
    <w:rsid w:val="0DC572A2"/>
    <w:rsid w:val="0DCF07BE"/>
    <w:rsid w:val="0E2A7053"/>
    <w:rsid w:val="0E624C82"/>
    <w:rsid w:val="0E650DEE"/>
    <w:rsid w:val="0E664834"/>
    <w:rsid w:val="0E763B22"/>
    <w:rsid w:val="0E787637"/>
    <w:rsid w:val="0E91168C"/>
    <w:rsid w:val="0E9C6792"/>
    <w:rsid w:val="0EC51CFE"/>
    <w:rsid w:val="0EE06FBD"/>
    <w:rsid w:val="0EE219CB"/>
    <w:rsid w:val="0F007C87"/>
    <w:rsid w:val="0F202290"/>
    <w:rsid w:val="0F2159AA"/>
    <w:rsid w:val="0F525C4F"/>
    <w:rsid w:val="0F551B13"/>
    <w:rsid w:val="0F5A39C8"/>
    <w:rsid w:val="0F6F6A66"/>
    <w:rsid w:val="0F967989"/>
    <w:rsid w:val="0FA63352"/>
    <w:rsid w:val="0FA63DC5"/>
    <w:rsid w:val="0FD52234"/>
    <w:rsid w:val="0FE602E5"/>
    <w:rsid w:val="101871F3"/>
    <w:rsid w:val="102472BA"/>
    <w:rsid w:val="1051315E"/>
    <w:rsid w:val="1053067F"/>
    <w:rsid w:val="105E0D37"/>
    <w:rsid w:val="105F0D66"/>
    <w:rsid w:val="107B3D4F"/>
    <w:rsid w:val="109B3C37"/>
    <w:rsid w:val="109D4079"/>
    <w:rsid w:val="10C72E03"/>
    <w:rsid w:val="10E868DE"/>
    <w:rsid w:val="10F15826"/>
    <w:rsid w:val="1130064E"/>
    <w:rsid w:val="11425C6A"/>
    <w:rsid w:val="116633DE"/>
    <w:rsid w:val="11856232"/>
    <w:rsid w:val="11BC570C"/>
    <w:rsid w:val="11FF6E87"/>
    <w:rsid w:val="122C75C9"/>
    <w:rsid w:val="122F74A3"/>
    <w:rsid w:val="126E27DD"/>
    <w:rsid w:val="12850115"/>
    <w:rsid w:val="129E78FC"/>
    <w:rsid w:val="12B96337"/>
    <w:rsid w:val="12BE50A4"/>
    <w:rsid w:val="12D60D55"/>
    <w:rsid w:val="1301347B"/>
    <w:rsid w:val="13293CCA"/>
    <w:rsid w:val="132F2CA8"/>
    <w:rsid w:val="134153C4"/>
    <w:rsid w:val="13720EF9"/>
    <w:rsid w:val="1379361D"/>
    <w:rsid w:val="13804AA9"/>
    <w:rsid w:val="138B0773"/>
    <w:rsid w:val="13D87B02"/>
    <w:rsid w:val="13DD763F"/>
    <w:rsid w:val="13E974D9"/>
    <w:rsid w:val="14094BEE"/>
    <w:rsid w:val="142314C2"/>
    <w:rsid w:val="145C49C7"/>
    <w:rsid w:val="145E6104"/>
    <w:rsid w:val="14602BBB"/>
    <w:rsid w:val="14632936"/>
    <w:rsid w:val="146330EF"/>
    <w:rsid w:val="148042D6"/>
    <w:rsid w:val="14833801"/>
    <w:rsid w:val="148C0A7B"/>
    <w:rsid w:val="148F74FA"/>
    <w:rsid w:val="149458FB"/>
    <w:rsid w:val="149D14E7"/>
    <w:rsid w:val="14A34723"/>
    <w:rsid w:val="14CA064F"/>
    <w:rsid w:val="14CF23A1"/>
    <w:rsid w:val="151260FF"/>
    <w:rsid w:val="1517551A"/>
    <w:rsid w:val="154C0E82"/>
    <w:rsid w:val="155E7F6F"/>
    <w:rsid w:val="157032D8"/>
    <w:rsid w:val="15737F09"/>
    <w:rsid w:val="159F43E4"/>
    <w:rsid w:val="15A30677"/>
    <w:rsid w:val="15AB7914"/>
    <w:rsid w:val="15AF00BF"/>
    <w:rsid w:val="15C55075"/>
    <w:rsid w:val="15C60F57"/>
    <w:rsid w:val="15E07D64"/>
    <w:rsid w:val="15ED241E"/>
    <w:rsid w:val="16027CCE"/>
    <w:rsid w:val="160905B8"/>
    <w:rsid w:val="16145C19"/>
    <w:rsid w:val="16494A52"/>
    <w:rsid w:val="164F5CC0"/>
    <w:rsid w:val="168A4AD6"/>
    <w:rsid w:val="16977443"/>
    <w:rsid w:val="169F097D"/>
    <w:rsid w:val="16A83797"/>
    <w:rsid w:val="16BC0043"/>
    <w:rsid w:val="16D95C56"/>
    <w:rsid w:val="16E37995"/>
    <w:rsid w:val="16EC1AF2"/>
    <w:rsid w:val="17006E9C"/>
    <w:rsid w:val="17182AC2"/>
    <w:rsid w:val="171D418C"/>
    <w:rsid w:val="17476869"/>
    <w:rsid w:val="174A7F5B"/>
    <w:rsid w:val="175D54D8"/>
    <w:rsid w:val="175F5228"/>
    <w:rsid w:val="17736BC9"/>
    <w:rsid w:val="17976651"/>
    <w:rsid w:val="17990945"/>
    <w:rsid w:val="17A7449E"/>
    <w:rsid w:val="17C105CA"/>
    <w:rsid w:val="17D45783"/>
    <w:rsid w:val="17FF4C3B"/>
    <w:rsid w:val="180A77BE"/>
    <w:rsid w:val="1838621D"/>
    <w:rsid w:val="18640DB0"/>
    <w:rsid w:val="18682F94"/>
    <w:rsid w:val="186F2E87"/>
    <w:rsid w:val="18803F5D"/>
    <w:rsid w:val="18A30978"/>
    <w:rsid w:val="18A51E4C"/>
    <w:rsid w:val="18CE37A5"/>
    <w:rsid w:val="18EC082B"/>
    <w:rsid w:val="18EC4DB8"/>
    <w:rsid w:val="18F741CF"/>
    <w:rsid w:val="190016EC"/>
    <w:rsid w:val="194801F7"/>
    <w:rsid w:val="19877C57"/>
    <w:rsid w:val="19CC2759"/>
    <w:rsid w:val="19D02596"/>
    <w:rsid w:val="19D56E26"/>
    <w:rsid w:val="19F51723"/>
    <w:rsid w:val="19F70184"/>
    <w:rsid w:val="19FA26FF"/>
    <w:rsid w:val="19FD6C3F"/>
    <w:rsid w:val="1A047D4D"/>
    <w:rsid w:val="1A185737"/>
    <w:rsid w:val="1A50725A"/>
    <w:rsid w:val="1A6076B8"/>
    <w:rsid w:val="1A8C7289"/>
    <w:rsid w:val="1A9133CF"/>
    <w:rsid w:val="1A975BA9"/>
    <w:rsid w:val="1AA0714D"/>
    <w:rsid w:val="1AA77DE7"/>
    <w:rsid w:val="1AA8052D"/>
    <w:rsid w:val="1AAA67D2"/>
    <w:rsid w:val="1AC212BE"/>
    <w:rsid w:val="1AD361C2"/>
    <w:rsid w:val="1ADB2633"/>
    <w:rsid w:val="1ADD4EBE"/>
    <w:rsid w:val="1ADE5524"/>
    <w:rsid w:val="1AEF66E8"/>
    <w:rsid w:val="1AF22AFB"/>
    <w:rsid w:val="1AF57E02"/>
    <w:rsid w:val="1AF666BB"/>
    <w:rsid w:val="1B1A4272"/>
    <w:rsid w:val="1B293BD0"/>
    <w:rsid w:val="1B3C6613"/>
    <w:rsid w:val="1B6A02FE"/>
    <w:rsid w:val="1B80714B"/>
    <w:rsid w:val="1B87022C"/>
    <w:rsid w:val="1B904345"/>
    <w:rsid w:val="1B96415F"/>
    <w:rsid w:val="1BA116DB"/>
    <w:rsid w:val="1BAF3153"/>
    <w:rsid w:val="1BD20764"/>
    <w:rsid w:val="1BEB01F4"/>
    <w:rsid w:val="1C53322C"/>
    <w:rsid w:val="1C634412"/>
    <w:rsid w:val="1C92436D"/>
    <w:rsid w:val="1C977190"/>
    <w:rsid w:val="1CC157B9"/>
    <w:rsid w:val="1CD0071F"/>
    <w:rsid w:val="1CE40074"/>
    <w:rsid w:val="1CFE1E6D"/>
    <w:rsid w:val="1D0A0173"/>
    <w:rsid w:val="1D2B1EAD"/>
    <w:rsid w:val="1D30750F"/>
    <w:rsid w:val="1D643175"/>
    <w:rsid w:val="1D903201"/>
    <w:rsid w:val="1D947C97"/>
    <w:rsid w:val="1DC85C03"/>
    <w:rsid w:val="1DCA1843"/>
    <w:rsid w:val="1DDE59D3"/>
    <w:rsid w:val="1DE07BBF"/>
    <w:rsid w:val="1DE254DC"/>
    <w:rsid w:val="1DED1E16"/>
    <w:rsid w:val="1E0E3D19"/>
    <w:rsid w:val="1E155C19"/>
    <w:rsid w:val="1E401523"/>
    <w:rsid w:val="1E6E70AD"/>
    <w:rsid w:val="1E776826"/>
    <w:rsid w:val="1E800708"/>
    <w:rsid w:val="1EC079A3"/>
    <w:rsid w:val="1EDD50BF"/>
    <w:rsid w:val="1EDE1317"/>
    <w:rsid w:val="1EDF7D57"/>
    <w:rsid w:val="1F027967"/>
    <w:rsid w:val="1F224933"/>
    <w:rsid w:val="1F263F87"/>
    <w:rsid w:val="1F2F005C"/>
    <w:rsid w:val="1F3A1FB4"/>
    <w:rsid w:val="1F4D0C79"/>
    <w:rsid w:val="1F57219B"/>
    <w:rsid w:val="1F644689"/>
    <w:rsid w:val="1F6F531F"/>
    <w:rsid w:val="1F987DD7"/>
    <w:rsid w:val="1FB576C6"/>
    <w:rsid w:val="1FDF3F70"/>
    <w:rsid w:val="201D7094"/>
    <w:rsid w:val="20494115"/>
    <w:rsid w:val="204C3ED3"/>
    <w:rsid w:val="205C218A"/>
    <w:rsid w:val="207639C7"/>
    <w:rsid w:val="207761B1"/>
    <w:rsid w:val="208F3996"/>
    <w:rsid w:val="20B11D40"/>
    <w:rsid w:val="20C63616"/>
    <w:rsid w:val="20CB2ACB"/>
    <w:rsid w:val="20EB3DB2"/>
    <w:rsid w:val="20EC5601"/>
    <w:rsid w:val="21124301"/>
    <w:rsid w:val="21214900"/>
    <w:rsid w:val="212A2479"/>
    <w:rsid w:val="214B4EFF"/>
    <w:rsid w:val="214B5E6C"/>
    <w:rsid w:val="216845B0"/>
    <w:rsid w:val="21861D5F"/>
    <w:rsid w:val="21887DA2"/>
    <w:rsid w:val="219B168D"/>
    <w:rsid w:val="21A04B00"/>
    <w:rsid w:val="21E42EEE"/>
    <w:rsid w:val="21FD5962"/>
    <w:rsid w:val="22133F7D"/>
    <w:rsid w:val="221B0611"/>
    <w:rsid w:val="22370C0C"/>
    <w:rsid w:val="227B5EA2"/>
    <w:rsid w:val="228555CD"/>
    <w:rsid w:val="22950CF7"/>
    <w:rsid w:val="22A82837"/>
    <w:rsid w:val="22B250A4"/>
    <w:rsid w:val="22C57E79"/>
    <w:rsid w:val="22F84B13"/>
    <w:rsid w:val="230225B7"/>
    <w:rsid w:val="231C0472"/>
    <w:rsid w:val="231C0688"/>
    <w:rsid w:val="23272B22"/>
    <w:rsid w:val="232779A1"/>
    <w:rsid w:val="232D4A71"/>
    <w:rsid w:val="23387B31"/>
    <w:rsid w:val="2344026D"/>
    <w:rsid w:val="238B17FC"/>
    <w:rsid w:val="23BA3049"/>
    <w:rsid w:val="23BF25F0"/>
    <w:rsid w:val="23E76000"/>
    <w:rsid w:val="24167CD4"/>
    <w:rsid w:val="2447025B"/>
    <w:rsid w:val="24587627"/>
    <w:rsid w:val="24715FE4"/>
    <w:rsid w:val="24723718"/>
    <w:rsid w:val="247256F4"/>
    <w:rsid w:val="248C65D0"/>
    <w:rsid w:val="24A23FF5"/>
    <w:rsid w:val="24C57C43"/>
    <w:rsid w:val="24F41381"/>
    <w:rsid w:val="253478F6"/>
    <w:rsid w:val="254956E2"/>
    <w:rsid w:val="25535405"/>
    <w:rsid w:val="259E6A71"/>
    <w:rsid w:val="25A13BD2"/>
    <w:rsid w:val="25AF23B8"/>
    <w:rsid w:val="25CA2684"/>
    <w:rsid w:val="25D459BC"/>
    <w:rsid w:val="26140282"/>
    <w:rsid w:val="261A3D91"/>
    <w:rsid w:val="26201778"/>
    <w:rsid w:val="26281BD3"/>
    <w:rsid w:val="264B5662"/>
    <w:rsid w:val="265D3DB3"/>
    <w:rsid w:val="268C3F8E"/>
    <w:rsid w:val="269C5630"/>
    <w:rsid w:val="26A02B9C"/>
    <w:rsid w:val="26C72C6E"/>
    <w:rsid w:val="26CB6EEB"/>
    <w:rsid w:val="26F40E35"/>
    <w:rsid w:val="270618C4"/>
    <w:rsid w:val="275B5F95"/>
    <w:rsid w:val="275D21BD"/>
    <w:rsid w:val="276A6185"/>
    <w:rsid w:val="277200F7"/>
    <w:rsid w:val="277257F9"/>
    <w:rsid w:val="27804ED8"/>
    <w:rsid w:val="27884C4A"/>
    <w:rsid w:val="27964429"/>
    <w:rsid w:val="27981BB6"/>
    <w:rsid w:val="27A75111"/>
    <w:rsid w:val="27B35E87"/>
    <w:rsid w:val="2804372C"/>
    <w:rsid w:val="281A1F9B"/>
    <w:rsid w:val="281B59AC"/>
    <w:rsid w:val="282002B9"/>
    <w:rsid w:val="283743EE"/>
    <w:rsid w:val="284F678C"/>
    <w:rsid w:val="2858552C"/>
    <w:rsid w:val="28610BE1"/>
    <w:rsid w:val="287C6029"/>
    <w:rsid w:val="28854009"/>
    <w:rsid w:val="28D127AF"/>
    <w:rsid w:val="28E37F13"/>
    <w:rsid w:val="28F701EF"/>
    <w:rsid w:val="28F81218"/>
    <w:rsid w:val="29015162"/>
    <w:rsid w:val="29062EE6"/>
    <w:rsid w:val="291A7E33"/>
    <w:rsid w:val="296130F8"/>
    <w:rsid w:val="29695366"/>
    <w:rsid w:val="298016D2"/>
    <w:rsid w:val="299048BD"/>
    <w:rsid w:val="29B45C02"/>
    <w:rsid w:val="29B62B27"/>
    <w:rsid w:val="29C135D5"/>
    <w:rsid w:val="29DF2352"/>
    <w:rsid w:val="29EB48A9"/>
    <w:rsid w:val="29F94736"/>
    <w:rsid w:val="29FC08A1"/>
    <w:rsid w:val="2A1C0BCD"/>
    <w:rsid w:val="2A213888"/>
    <w:rsid w:val="2A791E64"/>
    <w:rsid w:val="2A8755F8"/>
    <w:rsid w:val="2A913BA1"/>
    <w:rsid w:val="2AAE4B52"/>
    <w:rsid w:val="2AAF7830"/>
    <w:rsid w:val="2AB264E6"/>
    <w:rsid w:val="2AB54B27"/>
    <w:rsid w:val="2AC11AAE"/>
    <w:rsid w:val="2AC15AEA"/>
    <w:rsid w:val="2AFC6642"/>
    <w:rsid w:val="2B0C6692"/>
    <w:rsid w:val="2B303DE2"/>
    <w:rsid w:val="2B380ACD"/>
    <w:rsid w:val="2B5E377A"/>
    <w:rsid w:val="2B6808C2"/>
    <w:rsid w:val="2B696F2F"/>
    <w:rsid w:val="2B7411B6"/>
    <w:rsid w:val="2B7A5DF0"/>
    <w:rsid w:val="2B84284F"/>
    <w:rsid w:val="2B8604B9"/>
    <w:rsid w:val="2B94210E"/>
    <w:rsid w:val="2BC86218"/>
    <w:rsid w:val="2BE66A59"/>
    <w:rsid w:val="2C1138AD"/>
    <w:rsid w:val="2C123613"/>
    <w:rsid w:val="2C355EEE"/>
    <w:rsid w:val="2C5D3258"/>
    <w:rsid w:val="2C7564DE"/>
    <w:rsid w:val="2C8503E0"/>
    <w:rsid w:val="2CB354AD"/>
    <w:rsid w:val="2CD31124"/>
    <w:rsid w:val="2CD457DD"/>
    <w:rsid w:val="2CD630C6"/>
    <w:rsid w:val="2CF67D0A"/>
    <w:rsid w:val="2D186E6A"/>
    <w:rsid w:val="2D307863"/>
    <w:rsid w:val="2D3967D4"/>
    <w:rsid w:val="2D3F6A0B"/>
    <w:rsid w:val="2D7A38C5"/>
    <w:rsid w:val="2D8158DE"/>
    <w:rsid w:val="2D9560B8"/>
    <w:rsid w:val="2DA26C95"/>
    <w:rsid w:val="2DA50949"/>
    <w:rsid w:val="2DE82AFF"/>
    <w:rsid w:val="2DEE4B60"/>
    <w:rsid w:val="2E1F4078"/>
    <w:rsid w:val="2E3050EB"/>
    <w:rsid w:val="2E3C22A6"/>
    <w:rsid w:val="2E4F7C54"/>
    <w:rsid w:val="2E5E6EC7"/>
    <w:rsid w:val="2E6B5E77"/>
    <w:rsid w:val="2E9C62DB"/>
    <w:rsid w:val="2EB12A8D"/>
    <w:rsid w:val="2EB9100A"/>
    <w:rsid w:val="2EBF302A"/>
    <w:rsid w:val="2ED465BE"/>
    <w:rsid w:val="2EEA1977"/>
    <w:rsid w:val="2F383F9C"/>
    <w:rsid w:val="2F92016F"/>
    <w:rsid w:val="2F9D542A"/>
    <w:rsid w:val="2FB808FC"/>
    <w:rsid w:val="2FBF747E"/>
    <w:rsid w:val="2FC927C1"/>
    <w:rsid w:val="2FEB7DE6"/>
    <w:rsid w:val="2FEF6316"/>
    <w:rsid w:val="2FFC4F8A"/>
    <w:rsid w:val="3002329C"/>
    <w:rsid w:val="301A4843"/>
    <w:rsid w:val="302F70E4"/>
    <w:rsid w:val="30545A58"/>
    <w:rsid w:val="30A7716D"/>
    <w:rsid w:val="30BA664E"/>
    <w:rsid w:val="30DC6444"/>
    <w:rsid w:val="30F51312"/>
    <w:rsid w:val="310C5DCC"/>
    <w:rsid w:val="311A4BEF"/>
    <w:rsid w:val="31233370"/>
    <w:rsid w:val="31344FDE"/>
    <w:rsid w:val="31361D50"/>
    <w:rsid w:val="313B4389"/>
    <w:rsid w:val="314D7BA4"/>
    <w:rsid w:val="315C4DE2"/>
    <w:rsid w:val="31613819"/>
    <w:rsid w:val="316B2AB1"/>
    <w:rsid w:val="316F7023"/>
    <w:rsid w:val="318F5255"/>
    <w:rsid w:val="31A65AB1"/>
    <w:rsid w:val="31AF411E"/>
    <w:rsid w:val="31B5029F"/>
    <w:rsid w:val="31B65B11"/>
    <w:rsid w:val="31C12394"/>
    <w:rsid w:val="31C4318F"/>
    <w:rsid w:val="31C65D29"/>
    <w:rsid w:val="31DE156A"/>
    <w:rsid w:val="31F5501A"/>
    <w:rsid w:val="32054441"/>
    <w:rsid w:val="32251F1E"/>
    <w:rsid w:val="324131A7"/>
    <w:rsid w:val="324433D1"/>
    <w:rsid w:val="32564CEB"/>
    <w:rsid w:val="325B2FFC"/>
    <w:rsid w:val="32911D66"/>
    <w:rsid w:val="32B0603F"/>
    <w:rsid w:val="32C321C5"/>
    <w:rsid w:val="32E17DB5"/>
    <w:rsid w:val="32E92B61"/>
    <w:rsid w:val="32F90742"/>
    <w:rsid w:val="335433CB"/>
    <w:rsid w:val="335A0D17"/>
    <w:rsid w:val="33647258"/>
    <w:rsid w:val="336A2CC2"/>
    <w:rsid w:val="336A6793"/>
    <w:rsid w:val="33716D83"/>
    <w:rsid w:val="33851EE7"/>
    <w:rsid w:val="338C3443"/>
    <w:rsid w:val="33A059EB"/>
    <w:rsid w:val="340238B0"/>
    <w:rsid w:val="341161D0"/>
    <w:rsid w:val="346F5D67"/>
    <w:rsid w:val="347B69E8"/>
    <w:rsid w:val="348578D7"/>
    <w:rsid w:val="34934F59"/>
    <w:rsid w:val="349C464C"/>
    <w:rsid w:val="34B52F33"/>
    <w:rsid w:val="34DA2E28"/>
    <w:rsid w:val="34FB1D40"/>
    <w:rsid w:val="35166208"/>
    <w:rsid w:val="351C0AD7"/>
    <w:rsid w:val="352F2E75"/>
    <w:rsid w:val="353A0D5E"/>
    <w:rsid w:val="353F1F24"/>
    <w:rsid w:val="35475516"/>
    <w:rsid w:val="354B6B44"/>
    <w:rsid w:val="354D2404"/>
    <w:rsid w:val="35635D15"/>
    <w:rsid w:val="357D0ECE"/>
    <w:rsid w:val="358A25C4"/>
    <w:rsid w:val="359F2E7A"/>
    <w:rsid w:val="35B52AF0"/>
    <w:rsid w:val="35C5555E"/>
    <w:rsid w:val="35CB1B8B"/>
    <w:rsid w:val="35CF0C5D"/>
    <w:rsid w:val="35E96425"/>
    <w:rsid w:val="360F53A2"/>
    <w:rsid w:val="36383289"/>
    <w:rsid w:val="363B0F09"/>
    <w:rsid w:val="36476570"/>
    <w:rsid w:val="36482E72"/>
    <w:rsid w:val="364F4350"/>
    <w:rsid w:val="36510A45"/>
    <w:rsid w:val="36520A24"/>
    <w:rsid w:val="365F7148"/>
    <w:rsid w:val="36716136"/>
    <w:rsid w:val="36A37319"/>
    <w:rsid w:val="36BD3D26"/>
    <w:rsid w:val="36D03390"/>
    <w:rsid w:val="36D7545A"/>
    <w:rsid w:val="36DC52CB"/>
    <w:rsid w:val="36DD77D0"/>
    <w:rsid w:val="36E13C82"/>
    <w:rsid w:val="36E71894"/>
    <w:rsid w:val="37113C2B"/>
    <w:rsid w:val="371444D6"/>
    <w:rsid w:val="372A661C"/>
    <w:rsid w:val="37340624"/>
    <w:rsid w:val="378A7269"/>
    <w:rsid w:val="37922808"/>
    <w:rsid w:val="3792284A"/>
    <w:rsid w:val="379B4605"/>
    <w:rsid w:val="37AE7BFD"/>
    <w:rsid w:val="37B86E27"/>
    <w:rsid w:val="37B96EC4"/>
    <w:rsid w:val="37C65E94"/>
    <w:rsid w:val="37D45FD2"/>
    <w:rsid w:val="38165FF2"/>
    <w:rsid w:val="3836237C"/>
    <w:rsid w:val="385B0A4F"/>
    <w:rsid w:val="385F6F78"/>
    <w:rsid w:val="3861010E"/>
    <w:rsid w:val="38626757"/>
    <w:rsid w:val="386719CE"/>
    <w:rsid w:val="388904EE"/>
    <w:rsid w:val="38A04294"/>
    <w:rsid w:val="38BC184E"/>
    <w:rsid w:val="38BF587F"/>
    <w:rsid w:val="38FE181C"/>
    <w:rsid w:val="39185C26"/>
    <w:rsid w:val="3933593C"/>
    <w:rsid w:val="394815BD"/>
    <w:rsid w:val="39495D48"/>
    <w:rsid w:val="3958001F"/>
    <w:rsid w:val="396C240F"/>
    <w:rsid w:val="396F2AE7"/>
    <w:rsid w:val="39726A3F"/>
    <w:rsid w:val="39841288"/>
    <w:rsid w:val="399A6F4F"/>
    <w:rsid w:val="39C877E6"/>
    <w:rsid w:val="39D70B9B"/>
    <w:rsid w:val="3A0B1FA1"/>
    <w:rsid w:val="3A2D5038"/>
    <w:rsid w:val="3A702564"/>
    <w:rsid w:val="3A842D3D"/>
    <w:rsid w:val="3A871B98"/>
    <w:rsid w:val="3A984A52"/>
    <w:rsid w:val="3AD531FF"/>
    <w:rsid w:val="3B1255F4"/>
    <w:rsid w:val="3B2148F7"/>
    <w:rsid w:val="3B6A419D"/>
    <w:rsid w:val="3BB45A54"/>
    <w:rsid w:val="3BB75ABA"/>
    <w:rsid w:val="3BC21465"/>
    <w:rsid w:val="3BC4746F"/>
    <w:rsid w:val="3BC93C3B"/>
    <w:rsid w:val="3BCE6E2A"/>
    <w:rsid w:val="3BE50B20"/>
    <w:rsid w:val="3BF362FD"/>
    <w:rsid w:val="3C172859"/>
    <w:rsid w:val="3C231F23"/>
    <w:rsid w:val="3C2D2EDF"/>
    <w:rsid w:val="3C2E59FD"/>
    <w:rsid w:val="3C3E0299"/>
    <w:rsid w:val="3C7465C4"/>
    <w:rsid w:val="3C760151"/>
    <w:rsid w:val="3C76184F"/>
    <w:rsid w:val="3C8023DE"/>
    <w:rsid w:val="3C97699A"/>
    <w:rsid w:val="3CC23DE5"/>
    <w:rsid w:val="3CCD22FB"/>
    <w:rsid w:val="3CED741F"/>
    <w:rsid w:val="3CF065BC"/>
    <w:rsid w:val="3CFF3B3E"/>
    <w:rsid w:val="3D251A63"/>
    <w:rsid w:val="3D3C4C9F"/>
    <w:rsid w:val="3D7639FF"/>
    <w:rsid w:val="3DA056E2"/>
    <w:rsid w:val="3DAB655A"/>
    <w:rsid w:val="3DB23D48"/>
    <w:rsid w:val="3DBB5FDF"/>
    <w:rsid w:val="3DBE7E80"/>
    <w:rsid w:val="3DE42432"/>
    <w:rsid w:val="3E03550A"/>
    <w:rsid w:val="3E1B3F91"/>
    <w:rsid w:val="3E205CCE"/>
    <w:rsid w:val="3E3108C7"/>
    <w:rsid w:val="3E34126F"/>
    <w:rsid w:val="3E3C3193"/>
    <w:rsid w:val="3E484D75"/>
    <w:rsid w:val="3E4B34CE"/>
    <w:rsid w:val="3E626D8F"/>
    <w:rsid w:val="3E6418BC"/>
    <w:rsid w:val="3E704464"/>
    <w:rsid w:val="3E714FCD"/>
    <w:rsid w:val="3E7574BF"/>
    <w:rsid w:val="3E89765F"/>
    <w:rsid w:val="3E8B4029"/>
    <w:rsid w:val="3EA72A70"/>
    <w:rsid w:val="3EBE2135"/>
    <w:rsid w:val="3EBF4D6A"/>
    <w:rsid w:val="3EF012F5"/>
    <w:rsid w:val="3F1A2F06"/>
    <w:rsid w:val="3F225FB0"/>
    <w:rsid w:val="3F2E70A0"/>
    <w:rsid w:val="3F4C4364"/>
    <w:rsid w:val="3F8D48A0"/>
    <w:rsid w:val="3F9E6536"/>
    <w:rsid w:val="3FA019FB"/>
    <w:rsid w:val="3FA30AB7"/>
    <w:rsid w:val="3FAF42C9"/>
    <w:rsid w:val="3FBD5259"/>
    <w:rsid w:val="3FE85BE1"/>
    <w:rsid w:val="3FF71C82"/>
    <w:rsid w:val="3FFB10E2"/>
    <w:rsid w:val="40260980"/>
    <w:rsid w:val="402E792A"/>
    <w:rsid w:val="4051599D"/>
    <w:rsid w:val="406F0330"/>
    <w:rsid w:val="407B7A7F"/>
    <w:rsid w:val="407D71CF"/>
    <w:rsid w:val="408903F2"/>
    <w:rsid w:val="409A78C4"/>
    <w:rsid w:val="40A87C18"/>
    <w:rsid w:val="40B13F96"/>
    <w:rsid w:val="40BE744A"/>
    <w:rsid w:val="40CD54BF"/>
    <w:rsid w:val="40DB3703"/>
    <w:rsid w:val="40E758C3"/>
    <w:rsid w:val="40EE5129"/>
    <w:rsid w:val="410D236D"/>
    <w:rsid w:val="412D35A2"/>
    <w:rsid w:val="41304840"/>
    <w:rsid w:val="41423F57"/>
    <w:rsid w:val="41613353"/>
    <w:rsid w:val="4168153D"/>
    <w:rsid w:val="41AD43B0"/>
    <w:rsid w:val="41AE5B1C"/>
    <w:rsid w:val="41CF4A0E"/>
    <w:rsid w:val="41D8708C"/>
    <w:rsid w:val="420155E2"/>
    <w:rsid w:val="4205606D"/>
    <w:rsid w:val="422308A7"/>
    <w:rsid w:val="426C1D19"/>
    <w:rsid w:val="42754F47"/>
    <w:rsid w:val="427F607F"/>
    <w:rsid w:val="42A124E5"/>
    <w:rsid w:val="42B42D1A"/>
    <w:rsid w:val="42C87E5E"/>
    <w:rsid w:val="42E23E1E"/>
    <w:rsid w:val="42EF1411"/>
    <w:rsid w:val="42F4315F"/>
    <w:rsid w:val="43011DCD"/>
    <w:rsid w:val="430F6B3C"/>
    <w:rsid w:val="432C3DFA"/>
    <w:rsid w:val="43310750"/>
    <w:rsid w:val="4337723F"/>
    <w:rsid w:val="43761523"/>
    <w:rsid w:val="438055D6"/>
    <w:rsid w:val="438731DD"/>
    <w:rsid w:val="438A1B5A"/>
    <w:rsid w:val="43A51762"/>
    <w:rsid w:val="43AA712C"/>
    <w:rsid w:val="43AB6556"/>
    <w:rsid w:val="43B5159F"/>
    <w:rsid w:val="43B660BD"/>
    <w:rsid w:val="43D422CC"/>
    <w:rsid w:val="43D62586"/>
    <w:rsid w:val="43E81E04"/>
    <w:rsid w:val="441B36B9"/>
    <w:rsid w:val="443E76CD"/>
    <w:rsid w:val="449F1BB0"/>
    <w:rsid w:val="44DB6C27"/>
    <w:rsid w:val="44DF784A"/>
    <w:rsid w:val="44E401F4"/>
    <w:rsid w:val="44F06F8C"/>
    <w:rsid w:val="44FB2728"/>
    <w:rsid w:val="45214007"/>
    <w:rsid w:val="453A78F1"/>
    <w:rsid w:val="45490783"/>
    <w:rsid w:val="45660E30"/>
    <w:rsid w:val="457C4AF8"/>
    <w:rsid w:val="458F74DC"/>
    <w:rsid w:val="45E444A4"/>
    <w:rsid w:val="45FE3848"/>
    <w:rsid w:val="462339E8"/>
    <w:rsid w:val="462B4667"/>
    <w:rsid w:val="46415B87"/>
    <w:rsid w:val="464B108B"/>
    <w:rsid w:val="466458AC"/>
    <w:rsid w:val="4673008A"/>
    <w:rsid w:val="467304A1"/>
    <w:rsid w:val="467E6918"/>
    <w:rsid w:val="46841EB6"/>
    <w:rsid w:val="46852888"/>
    <w:rsid w:val="469D6CCA"/>
    <w:rsid w:val="46A175EB"/>
    <w:rsid w:val="46B06D37"/>
    <w:rsid w:val="46C04E28"/>
    <w:rsid w:val="46DC78C4"/>
    <w:rsid w:val="46EA71D3"/>
    <w:rsid w:val="47493DC5"/>
    <w:rsid w:val="47531F4D"/>
    <w:rsid w:val="47567445"/>
    <w:rsid w:val="475C7AC3"/>
    <w:rsid w:val="476615BC"/>
    <w:rsid w:val="478358B8"/>
    <w:rsid w:val="47AB4684"/>
    <w:rsid w:val="47DA1722"/>
    <w:rsid w:val="47F018E3"/>
    <w:rsid w:val="47F437E7"/>
    <w:rsid w:val="481A4DF6"/>
    <w:rsid w:val="48226BB1"/>
    <w:rsid w:val="48242311"/>
    <w:rsid w:val="484D54C5"/>
    <w:rsid w:val="48576682"/>
    <w:rsid w:val="485C2E35"/>
    <w:rsid w:val="486B3B4A"/>
    <w:rsid w:val="48714ABA"/>
    <w:rsid w:val="487B6DE1"/>
    <w:rsid w:val="48B9571B"/>
    <w:rsid w:val="48C31721"/>
    <w:rsid w:val="48E5557E"/>
    <w:rsid w:val="490B78EE"/>
    <w:rsid w:val="49226979"/>
    <w:rsid w:val="4925247A"/>
    <w:rsid w:val="49390973"/>
    <w:rsid w:val="49506599"/>
    <w:rsid w:val="49603CAA"/>
    <w:rsid w:val="497D4960"/>
    <w:rsid w:val="497F0713"/>
    <w:rsid w:val="49854445"/>
    <w:rsid w:val="49886BEB"/>
    <w:rsid w:val="498A39CA"/>
    <w:rsid w:val="498D0964"/>
    <w:rsid w:val="49A66FB1"/>
    <w:rsid w:val="49B93215"/>
    <w:rsid w:val="4A0D0A3B"/>
    <w:rsid w:val="4A2701DA"/>
    <w:rsid w:val="4A277639"/>
    <w:rsid w:val="4A3407D1"/>
    <w:rsid w:val="4A3D3267"/>
    <w:rsid w:val="4A3E0BDD"/>
    <w:rsid w:val="4A4D3E19"/>
    <w:rsid w:val="4A5B700A"/>
    <w:rsid w:val="4A6B5C93"/>
    <w:rsid w:val="4A6C0C67"/>
    <w:rsid w:val="4A793419"/>
    <w:rsid w:val="4AEC67F3"/>
    <w:rsid w:val="4AF34F14"/>
    <w:rsid w:val="4AF8768C"/>
    <w:rsid w:val="4AFA3476"/>
    <w:rsid w:val="4AFA6C99"/>
    <w:rsid w:val="4B1332EC"/>
    <w:rsid w:val="4B151EF0"/>
    <w:rsid w:val="4B434821"/>
    <w:rsid w:val="4B5A44A0"/>
    <w:rsid w:val="4B605E93"/>
    <w:rsid w:val="4B6C31AE"/>
    <w:rsid w:val="4B815169"/>
    <w:rsid w:val="4B820053"/>
    <w:rsid w:val="4B87503F"/>
    <w:rsid w:val="4B9D0D02"/>
    <w:rsid w:val="4BB267DD"/>
    <w:rsid w:val="4BC66541"/>
    <w:rsid w:val="4BE32555"/>
    <w:rsid w:val="4C0377A0"/>
    <w:rsid w:val="4C095B42"/>
    <w:rsid w:val="4C373527"/>
    <w:rsid w:val="4C390570"/>
    <w:rsid w:val="4C3C0B61"/>
    <w:rsid w:val="4C574AA8"/>
    <w:rsid w:val="4C654D59"/>
    <w:rsid w:val="4C7667BA"/>
    <w:rsid w:val="4C8F7016"/>
    <w:rsid w:val="4CC043D8"/>
    <w:rsid w:val="4CDD2131"/>
    <w:rsid w:val="4D0C553F"/>
    <w:rsid w:val="4D101DD5"/>
    <w:rsid w:val="4D1C3590"/>
    <w:rsid w:val="4D1C4554"/>
    <w:rsid w:val="4D4D540C"/>
    <w:rsid w:val="4D804652"/>
    <w:rsid w:val="4D9C4597"/>
    <w:rsid w:val="4DAE066A"/>
    <w:rsid w:val="4DCA28A4"/>
    <w:rsid w:val="4DD85354"/>
    <w:rsid w:val="4DE75A5A"/>
    <w:rsid w:val="4DF3135A"/>
    <w:rsid w:val="4DF91D11"/>
    <w:rsid w:val="4DFF0B0A"/>
    <w:rsid w:val="4DFF11B9"/>
    <w:rsid w:val="4E1211E3"/>
    <w:rsid w:val="4E207831"/>
    <w:rsid w:val="4E3A7912"/>
    <w:rsid w:val="4E3F21AD"/>
    <w:rsid w:val="4E870528"/>
    <w:rsid w:val="4EA05D98"/>
    <w:rsid w:val="4EA06B7A"/>
    <w:rsid w:val="4EB61293"/>
    <w:rsid w:val="4EBE7CB0"/>
    <w:rsid w:val="4ECB1BEE"/>
    <w:rsid w:val="4ECE254E"/>
    <w:rsid w:val="4EDE134B"/>
    <w:rsid w:val="4EDF1809"/>
    <w:rsid w:val="4EF55556"/>
    <w:rsid w:val="4EFB3ADF"/>
    <w:rsid w:val="4F1C54ED"/>
    <w:rsid w:val="4F26775B"/>
    <w:rsid w:val="4F2D5034"/>
    <w:rsid w:val="4F366609"/>
    <w:rsid w:val="4F4E0F36"/>
    <w:rsid w:val="4F5B6C8A"/>
    <w:rsid w:val="4F6F4221"/>
    <w:rsid w:val="4F991B6B"/>
    <w:rsid w:val="4FD12D6C"/>
    <w:rsid w:val="4FE56230"/>
    <w:rsid w:val="4FED2231"/>
    <w:rsid w:val="4FFF4D06"/>
    <w:rsid w:val="50193160"/>
    <w:rsid w:val="50305DC1"/>
    <w:rsid w:val="505C4F27"/>
    <w:rsid w:val="50835472"/>
    <w:rsid w:val="50A05B3E"/>
    <w:rsid w:val="50DC47E2"/>
    <w:rsid w:val="50EC245B"/>
    <w:rsid w:val="50EC44BA"/>
    <w:rsid w:val="50FA0C82"/>
    <w:rsid w:val="50FC77AF"/>
    <w:rsid w:val="510E01FA"/>
    <w:rsid w:val="511756BA"/>
    <w:rsid w:val="511B4274"/>
    <w:rsid w:val="515131B6"/>
    <w:rsid w:val="51AD00A0"/>
    <w:rsid w:val="51C85C82"/>
    <w:rsid w:val="51CB4471"/>
    <w:rsid w:val="51D132E7"/>
    <w:rsid w:val="52044EC0"/>
    <w:rsid w:val="52120EEF"/>
    <w:rsid w:val="52406743"/>
    <w:rsid w:val="52565D2D"/>
    <w:rsid w:val="526A47C1"/>
    <w:rsid w:val="5280364C"/>
    <w:rsid w:val="52860AE9"/>
    <w:rsid w:val="52B80F2D"/>
    <w:rsid w:val="52BF2DC0"/>
    <w:rsid w:val="52C02C77"/>
    <w:rsid w:val="52C37467"/>
    <w:rsid w:val="52C877D4"/>
    <w:rsid w:val="52E57064"/>
    <w:rsid w:val="53081779"/>
    <w:rsid w:val="53574060"/>
    <w:rsid w:val="536F19A2"/>
    <w:rsid w:val="53847373"/>
    <w:rsid w:val="5387016F"/>
    <w:rsid w:val="539007DA"/>
    <w:rsid w:val="5392605A"/>
    <w:rsid w:val="53AD4787"/>
    <w:rsid w:val="53C86899"/>
    <w:rsid w:val="53F47310"/>
    <w:rsid w:val="54047517"/>
    <w:rsid w:val="541C0C70"/>
    <w:rsid w:val="54211ABF"/>
    <w:rsid w:val="54270223"/>
    <w:rsid w:val="542717CF"/>
    <w:rsid w:val="544C3328"/>
    <w:rsid w:val="544E5055"/>
    <w:rsid w:val="545D0E1F"/>
    <w:rsid w:val="54751A0F"/>
    <w:rsid w:val="548C0EE6"/>
    <w:rsid w:val="54B53F55"/>
    <w:rsid w:val="54BD5373"/>
    <w:rsid w:val="54C3004D"/>
    <w:rsid w:val="54CD040B"/>
    <w:rsid w:val="54D50C74"/>
    <w:rsid w:val="54F279F1"/>
    <w:rsid w:val="54FA1F58"/>
    <w:rsid w:val="55156741"/>
    <w:rsid w:val="55171FE3"/>
    <w:rsid w:val="551E723A"/>
    <w:rsid w:val="5525500E"/>
    <w:rsid w:val="552C189E"/>
    <w:rsid w:val="55472A2C"/>
    <w:rsid w:val="554C5C80"/>
    <w:rsid w:val="558B23D6"/>
    <w:rsid w:val="559778EB"/>
    <w:rsid w:val="55A8067C"/>
    <w:rsid w:val="55A96A79"/>
    <w:rsid w:val="55B1781B"/>
    <w:rsid w:val="55C61D7A"/>
    <w:rsid w:val="55D0183A"/>
    <w:rsid w:val="55E1446D"/>
    <w:rsid w:val="55EB0FF5"/>
    <w:rsid w:val="55F367A5"/>
    <w:rsid w:val="56087BA0"/>
    <w:rsid w:val="560A04B4"/>
    <w:rsid w:val="56207CFC"/>
    <w:rsid w:val="56424D70"/>
    <w:rsid w:val="564915DA"/>
    <w:rsid w:val="566275F1"/>
    <w:rsid w:val="566F22F6"/>
    <w:rsid w:val="56790282"/>
    <w:rsid w:val="56842595"/>
    <w:rsid w:val="56CC3AE7"/>
    <w:rsid w:val="5703723E"/>
    <w:rsid w:val="571A692E"/>
    <w:rsid w:val="57672F12"/>
    <w:rsid w:val="5794238E"/>
    <w:rsid w:val="579A62D4"/>
    <w:rsid w:val="57C4604B"/>
    <w:rsid w:val="57C9597B"/>
    <w:rsid w:val="57E50B2B"/>
    <w:rsid w:val="57E77114"/>
    <w:rsid w:val="57F5584B"/>
    <w:rsid w:val="57F56042"/>
    <w:rsid w:val="58240DA1"/>
    <w:rsid w:val="583161ED"/>
    <w:rsid w:val="58325EDF"/>
    <w:rsid w:val="585F6170"/>
    <w:rsid w:val="588734E9"/>
    <w:rsid w:val="58A75F38"/>
    <w:rsid w:val="58AD24CA"/>
    <w:rsid w:val="58B153CF"/>
    <w:rsid w:val="58C55A14"/>
    <w:rsid w:val="58E022D1"/>
    <w:rsid w:val="59057A28"/>
    <w:rsid w:val="590762CD"/>
    <w:rsid w:val="591C3E53"/>
    <w:rsid w:val="5939526D"/>
    <w:rsid w:val="5958642D"/>
    <w:rsid w:val="596867BB"/>
    <w:rsid w:val="596A3CEF"/>
    <w:rsid w:val="59763CEF"/>
    <w:rsid w:val="59882632"/>
    <w:rsid w:val="5995782A"/>
    <w:rsid w:val="59A53D2F"/>
    <w:rsid w:val="59C02DF4"/>
    <w:rsid w:val="59CC1F5B"/>
    <w:rsid w:val="5A1800B4"/>
    <w:rsid w:val="5A4B3027"/>
    <w:rsid w:val="5A604DC3"/>
    <w:rsid w:val="5A812424"/>
    <w:rsid w:val="5A8617AF"/>
    <w:rsid w:val="5A993B14"/>
    <w:rsid w:val="5ABB32DB"/>
    <w:rsid w:val="5AEB3549"/>
    <w:rsid w:val="5B0B62E1"/>
    <w:rsid w:val="5B173C07"/>
    <w:rsid w:val="5B603DF0"/>
    <w:rsid w:val="5B732E4C"/>
    <w:rsid w:val="5B913C76"/>
    <w:rsid w:val="5BDB22F7"/>
    <w:rsid w:val="5C263FB9"/>
    <w:rsid w:val="5C2E2CDB"/>
    <w:rsid w:val="5C512271"/>
    <w:rsid w:val="5C5515D4"/>
    <w:rsid w:val="5C685424"/>
    <w:rsid w:val="5C6E4D42"/>
    <w:rsid w:val="5C782E57"/>
    <w:rsid w:val="5C8B1C4B"/>
    <w:rsid w:val="5C9353DC"/>
    <w:rsid w:val="5CA8250F"/>
    <w:rsid w:val="5CBA1CED"/>
    <w:rsid w:val="5CBC4776"/>
    <w:rsid w:val="5CBF2FCD"/>
    <w:rsid w:val="5CC176AB"/>
    <w:rsid w:val="5CCE1C98"/>
    <w:rsid w:val="5CDB3A5A"/>
    <w:rsid w:val="5CEC1755"/>
    <w:rsid w:val="5CFD7D13"/>
    <w:rsid w:val="5D007621"/>
    <w:rsid w:val="5D0D6ABF"/>
    <w:rsid w:val="5D191D76"/>
    <w:rsid w:val="5D6F7FD8"/>
    <w:rsid w:val="5DA11AE8"/>
    <w:rsid w:val="5DA20665"/>
    <w:rsid w:val="5DA4701E"/>
    <w:rsid w:val="5DA559A1"/>
    <w:rsid w:val="5DC1278D"/>
    <w:rsid w:val="5DEF77F1"/>
    <w:rsid w:val="5E1567DE"/>
    <w:rsid w:val="5E2E75F2"/>
    <w:rsid w:val="5E895A52"/>
    <w:rsid w:val="5E930AF5"/>
    <w:rsid w:val="5E934B83"/>
    <w:rsid w:val="5E984EE8"/>
    <w:rsid w:val="5EA27F95"/>
    <w:rsid w:val="5ECF76E0"/>
    <w:rsid w:val="5EDB6C98"/>
    <w:rsid w:val="5EDD225B"/>
    <w:rsid w:val="5EEC2536"/>
    <w:rsid w:val="5EF05F8D"/>
    <w:rsid w:val="5F091846"/>
    <w:rsid w:val="5F116BA1"/>
    <w:rsid w:val="5F572AA9"/>
    <w:rsid w:val="5F587B84"/>
    <w:rsid w:val="5F821731"/>
    <w:rsid w:val="5F8D1984"/>
    <w:rsid w:val="5F9326EB"/>
    <w:rsid w:val="5F996AFD"/>
    <w:rsid w:val="5FA3420E"/>
    <w:rsid w:val="5FA41110"/>
    <w:rsid w:val="5FCD7F2B"/>
    <w:rsid w:val="5FD85C1A"/>
    <w:rsid w:val="5FEC74CD"/>
    <w:rsid w:val="601D2503"/>
    <w:rsid w:val="601D6B17"/>
    <w:rsid w:val="603F36AD"/>
    <w:rsid w:val="606274E1"/>
    <w:rsid w:val="606E6BE1"/>
    <w:rsid w:val="60A02589"/>
    <w:rsid w:val="60AD5D51"/>
    <w:rsid w:val="60B370A2"/>
    <w:rsid w:val="60D95D00"/>
    <w:rsid w:val="60E44F6C"/>
    <w:rsid w:val="60E81C8B"/>
    <w:rsid w:val="61053F11"/>
    <w:rsid w:val="613A3C31"/>
    <w:rsid w:val="614D6660"/>
    <w:rsid w:val="616F39FF"/>
    <w:rsid w:val="6184657F"/>
    <w:rsid w:val="61B04D59"/>
    <w:rsid w:val="61E65B39"/>
    <w:rsid w:val="61F575D1"/>
    <w:rsid w:val="61FF4747"/>
    <w:rsid w:val="62080918"/>
    <w:rsid w:val="62104413"/>
    <w:rsid w:val="62216D07"/>
    <w:rsid w:val="623B1F65"/>
    <w:rsid w:val="627D64F9"/>
    <w:rsid w:val="628C4CBA"/>
    <w:rsid w:val="62C720EB"/>
    <w:rsid w:val="62C9080C"/>
    <w:rsid w:val="62E074D8"/>
    <w:rsid w:val="62ED51EE"/>
    <w:rsid w:val="62F13321"/>
    <w:rsid w:val="63112211"/>
    <w:rsid w:val="631427C1"/>
    <w:rsid w:val="631F7F78"/>
    <w:rsid w:val="63356566"/>
    <w:rsid w:val="6349287D"/>
    <w:rsid w:val="634F356E"/>
    <w:rsid w:val="63525825"/>
    <w:rsid w:val="635B67A7"/>
    <w:rsid w:val="63606F1A"/>
    <w:rsid w:val="637154C8"/>
    <w:rsid w:val="63BE05C1"/>
    <w:rsid w:val="63CF0914"/>
    <w:rsid w:val="63D06780"/>
    <w:rsid w:val="63DD0EAD"/>
    <w:rsid w:val="63ED0116"/>
    <w:rsid w:val="640C1CB7"/>
    <w:rsid w:val="640D7BD0"/>
    <w:rsid w:val="64206978"/>
    <w:rsid w:val="64220586"/>
    <w:rsid w:val="64313BCE"/>
    <w:rsid w:val="64391771"/>
    <w:rsid w:val="64423E37"/>
    <w:rsid w:val="646B5827"/>
    <w:rsid w:val="646C25BD"/>
    <w:rsid w:val="6473703E"/>
    <w:rsid w:val="647E3199"/>
    <w:rsid w:val="649410A4"/>
    <w:rsid w:val="64B3153A"/>
    <w:rsid w:val="64D9104D"/>
    <w:rsid w:val="64ED5A1B"/>
    <w:rsid w:val="64F8487B"/>
    <w:rsid w:val="651251EF"/>
    <w:rsid w:val="652477E4"/>
    <w:rsid w:val="653A5284"/>
    <w:rsid w:val="65456C28"/>
    <w:rsid w:val="657B6691"/>
    <w:rsid w:val="65E2643A"/>
    <w:rsid w:val="6623557E"/>
    <w:rsid w:val="663C5A0C"/>
    <w:rsid w:val="664104E9"/>
    <w:rsid w:val="667606CD"/>
    <w:rsid w:val="667E026B"/>
    <w:rsid w:val="66B168DB"/>
    <w:rsid w:val="66B75D2B"/>
    <w:rsid w:val="66FF4E65"/>
    <w:rsid w:val="67066331"/>
    <w:rsid w:val="67126F67"/>
    <w:rsid w:val="672268B1"/>
    <w:rsid w:val="675E077A"/>
    <w:rsid w:val="67634742"/>
    <w:rsid w:val="676A2781"/>
    <w:rsid w:val="676E254B"/>
    <w:rsid w:val="677D7A65"/>
    <w:rsid w:val="67CF5C7F"/>
    <w:rsid w:val="67DE1617"/>
    <w:rsid w:val="67EA115A"/>
    <w:rsid w:val="67FF0F45"/>
    <w:rsid w:val="68074CAB"/>
    <w:rsid w:val="68232B46"/>
    <w:rsid w:val="68382F20"/>
    <w:rsid w:val="68396396"/>
    <w:rsid w:val="684B3913"/>
    <w:rsid w:val="687F7EAB"/>
    <w:rsid w:val="68BE5CE3"/>
    <w:rsid w:val="68C56A3C"/>
    <w:rsid w:val="68DA25F6"/>
    <w:rsid w:val="68DC2948"/>
    <w:rsid w:val="68E53C9F"/>
    <w:rsid w:val="68E96134"/>
    <w:rsid w:val="68EE0BB9"/>
    <w:rsid w:val="68F048F6"/>
    <w:rsid w:val="68FC68C7"/>
    <w:rsid w:val="69111BBF"/>
    <w:rsid w:val="69796E69"/>
    <w:rsid w:val="698523B1"/>
    <w:rsid w:val="699A7A50"/>
    <w:rsid w:val="69A07599"/>
    <w:rsid w:val="69A96FBA"/>
    <w:rsid w:val="69AA1A0D"/>
    <w:rsid w:val="69AE7CF8"/>
    <w:rsid w:val="69BB015F"/>
    <w:rsid w:val="69C01D11"/>
    <w:rsid w:val="69C028BC"/>
    <w:rsid w:val="69C42082"/>
    <w:rsid w:val="69DA3125"/>
    <w:rsid w:val="6A052CDB"/>
    <w:rsid w:val="6A1402AA"/>
    <w:rsid w:val="6A406FE8"/>
    <w:rsid w:val="6A426212"/>
    <w:rsid w:val="6A447B87"/>
    <w:rsid w:val="6A4961E4"/>
    <w:rsid w:val="6A592290"/>
    <w:rsid w:val="6A6319E3"/>
    <w:rsid w:val="6A8D0E87"/>
    <w:rsid w:val="6AC572BA"/>
    <w:rsid w:val="6AE452D0"/>
    <w:rsid w:val="6AF253BB"/>
    <w:rsid w:val="6AFC176B"/>
    <w:rsid w:val="6B0E6EB5"/>
    <w:rsid w:val="6B202C99"/>
    <w:rsid w:val="6B2069A1"/>
    <w:rsid w:val="6B400F85"/>
    <w:rsid w:val="6B445E33"/>
    <w:rsid w:val="6B487FCC"/>
    <w:rsid w:val="6B5B4451"/>
    <w:rsid w:val="6BF055A5"/>
    <w:rsid w:val="6C167761"/>
    <w:rsid w:val="6C4D6358"/>
    <w:rsid w:val="6C52041F"/>
    <w:rsid w:val="6C634B43"/>
    <w:rsid w:val="6C655E01"/>
    <w:rsid w:val="6C6C46CF"/>
    <w:rsid w:val="6C8266BB"/>
    <w:rsid w:val="6C911033"/>
    <w:rsid w:val="6CA56E1E"/>
    <w:rsid w:val="6CA76655"/>
    <w:rsid w:val="6CAB79EF"/>
    <w:rsid w:val="6CBD485B"/>
    <w:rsid w:val="6CD83FDF"/>
    <w:rsid w:val="6CEF6DAD"/>
    <w:rsid w:val="6CFA1CDB"/>
    <w:rsid w:val="6D0B4A20"/>
    <w:rsid w:val="6D1B3A39"/>
    <w:rsid w:val="6D325AF1"/>
    <w:rsid w:val="6D332E2F"/>
    <w:rsid w:val="6D390DAF"/>
    <w:rsid w:val="6D3B53D9"/>
    <w:rsid w:val="6D4B3CDA"/>
    <w:rsid w:val="6D4F64CA"/>
    <w:rsid w:val="6D6E76F8"/>
    <w:rsid w:val="6D9F6234"/>
    <w:rsid w:val="6DC0698D"/>
    <w:rsid w:val="6DDB0D05"/>
    <w:rsid w:val="6DE61E7E"/>
    <w:rsid w:val="6DF65B9C"/>
    <w:rsid w:val="6E0D2C76"/>
    <w:rsid w:val="6E20606A"/>
    <w:rsid w:val="6E2A5C5E"/>
    <w:rsid w:val="6E3B5B3A"/>
    <w:rsid w:val="6E504784"/>
    <w:rsid w:val="6E64276E"/>
    <w:rsid w:val="6E955079"/>
    <w:rsid w:val="6ED91967"/>
    <w:rsid w:val="6EF63532"/>
    <w:rsid w:val="6F11099E"/>
    <w:rsid w:val="6F2A7D29"/>
    <w:rsid w:val="6F3F76B2"/>
    <w:rsid w:val="6F483E53"/>
    <w:rsid w:val="6F7B29A2"/>
    <w:rsid w:val="6FAD47D0"/>
    <w:rsid w:val="6FC43A69"/>
    <w:rsid w:val="6FD16D6D"/>
    <w:rsid w:val="6FDD0A5B"/>
    <w:rsid w:val="6FEB66A1"/>
    <w:rsid w:val="700546B4"/>
    <w:rsid w:val="700B1355"/>
    <w:rsid w:val="70190DCA"/>
    <w:rsid w:val="702754DC"/>
    <w:rsid w:val="70514737"/>
    <w:rsid w:val="7057003C"/>
    <w:rsid w:val="705D668F"/>
    <w:rsid w:val="705E34D5"/>
    <w:rsid w:val="705F3E35"/>
    <w:rsid w:val="706471F1"/>
    <w:rsid w:val="7067795E"/>
    <w:rsid w:val="70681A7C"/>
    <w:rsid w:val="706A70EA"/>
    <w:rsid w:val="70933E0F"/>
    <w:rsid w:val="709424BD"/>
    <w:rsid w:val="70A06FB7"/>
    <w:rsid w:val="70C45BF5"/>
    <w:rsid w:val="70DF0B00"/>
    <w:rsid w:val="7102444B"/>
    <w:rsid w:val="71241876"/>
    <w:rsid w:val="71243A4B"/>
    <w:rsid w:val="7135677C"/>
    <w:rsid w:val="715B3F7A"/>
    <w:rsid w:val="715E157C"/>
    <w:rsid w:val="716B6FB7"/>
    <w:rsid w:val="71797F37"/>
    <w:rsid w:val="719B0DE0"/>
    <w:rsid w:val="71AD4C74"/>
    <w:rsid w:val="71CB3643"/>
    <w:rsid w:val="71DD3F43"/>
    <w:rsid w:val="71E847F7"/>
    <w:rsid w:val="71EB15B3"/>
    <w:rsid w:val="72025458"/>
    <w:rsid w:val="72060608"/>
    <w:rsid w:val="721178A9"/>
    <w:rsid w:val="72154DEC"/>
    <w:rsid w:val="72333A41"/>
    <w:rsid w:val="72435ED2"/>
    <w:rsid w:val="725F493A"/>
    <w:rsid w:val="7264248A"/>
    <w:rsid w:val="7277212C"/>
    <w:rsid w:val="72787956"/>
    <w:rsid w:val="729C637C"/>
    <w:rsid w:val="72A1028C"/>
    <w:rsid w:val="72DE636C"/>
    <w:rsid w:val="72E36C3E"/>
    <w:rsid w:val="72E97997"/>
    <w:rsid w:val="73286ED8"/>
    <w:rsid w:val="73413C40"/>
    <w:rsid w:val="73512908"/>
    <w:rsid w:val="73530346"/>
    <w:rsid w:val="739657A3"/>
    <w:rsid w:val="739A7D73"/>
    <w:rsid w:val="73E72AE0"/>
    <w:rsid w:val="73F17C03"/>
    <w:rsid w:val="73F6200A"/>
    <w:rsid w:val="741E45D4"/>
    <w:rsid w:val="74221C7C"/>
    <w:rsid w:val="742F4DAF"/>
    <w:rsid w:val="745875B2"/>
    <w:rsid w:val="746B6883"/>
    <w:rsid w:val="748B3D82"/>
    <w:rsid w:val="74964179"/>
    <w:rsid w:val="74A873BD"/>
    <w:rsid w:val="74B972FC"/>
    <w:rsid w:val="74C41B24"/>
    <w:rsid w:val="74D16FE1"/>
    <w:rsid w:val="74DD4EEC"/>
    <w:rsid w:val="74DF1EE2"/>
    <w:rsid w:val="74ED287A"/>
    <w:rsid w:val="75050BC4"/>
    <w:rsid w:val="750F2B49"/>
    <w:rsid w:val="7510653F"/>
    <w:rsid w:val="75115DFB"/>
    <w:rsid w:val="752E3221"/>
    <w:rsid w:val="75356B33"/>
    <w:rsid w:val="753C7334"/>
    <w:rsid w:val="754132F2"/>
    <w:rsid w:val="754D2374"/>
    <w:rsid w:val="7570711D"/>
    <w:rsid w:val="75712B74"/>
    <w:rsid w:val="759B797A"/>
    <w:rsid w:val="75AE191B"/>
    <w:rsid w:val="75FB250A"/>
    <w:rsid w:val="76244252"/>
    <w:rsid w:val="762951E8"/>
    <w:rsid w:val="764A0BC8"/>
    <w:rsid w:val="766B41ED"/>
    <w:rsid w:val="76761C2A"/>
    <w:rsid w:val="76915E78"/>
    <w:rsid w:val="7692754E"/>
    <w:rsid w:val="76A04D81"/>
    <w:rsid w:val="76C91BF1"/>
    <w:rsid w:val="76EB2AE7"/>
    <w:rsid w:val="76F1745C"/>
    <w:rsid w:val="76FA56CD"/>
    <w:rsid w:val="772C4AF9"/>
    <w:rsid w:val="772E7150"/>
    <w:rsid w:val="77C51681"/>
    <w:rsid w:val="77C817F3"/>
    <w:rsid w:val="77CB0E43"/>
    <w:rsid w:val="77D91775"/>
    <w:rsid w:val="77DC5859"/>
    <w:rsid w:val="77DF12BE"/>
    <w:rsid w:val="7802194D"/>
    <w:rsid w:val="78046F2C"/>
    <w:rsid w:val="780600CD"/>
    <w:rsid w:val="783123C7"/>
    <w:rsid w:val="78332B56"/>
    <w:rsid w:val="78B2737D"/>
    <w:rsid w:val="78BC754F"/>
    <w:rsid w:val="78DB7A68"/>
    <w:rsid w:val="78DC4274"/>
    <w:rsid w:val="78DD78F2"/>
    <w:rsid w:val="78E8162B"/>
    <w:rsid w:val="78F14394"/>
    <w:rsid w:val="79152BE5"/>
    <w:rsid w:val="79216BC6"/>
    <w:rsid w:val="793A29B3"/>
    <w:rsid w:val="794A6AA1"/>
    <w:rsid w:val="79727B1C"/>
    <w:rsid w:val="79810956"/>
    <w:rsid w:val="798316FB"/>
    <w:rsid w:val="798A78C4"/>
    <w:rsid w:val="79A35C32"/>
    <w:rsid w:val="79D85D4C"/>
    <w:rsid w:val="79D95BB4"/>
    <w:rsid w:val="79EF57DE"/>
    <w:rsid w:val="7A034D72"/>
    <w:rsid w:val="7A2B00E6"/>
    <w:rsid w:val="7A422689"/>
    <w:rsid w:val="7A433734"/>
    <w:rsid w:val="7A512152"/>
    <w:rsid w:val="7A54194B"/>
    <w:rsid w:val="7A5728E0"/>
    <w:rsid w:val="7A7A5A10"/>
    <w:rsid w:val="7A894EDF"/>
    <w:rsid w:val="7A8B4B2C"/>
    <w:rsid w:val="7A903512"/>
    <w:rsid w:val="7AB34665"/>
    <w:rsid w:val="7ABF2ABC"/>
    <w:rsid w:val="7B1A7480"/>
    <w:rsid w:val="7B24295A"/>
    <w:rsid w:val="7B3E6E77"/>
    <w:rsid w:val="7B56187A"/>
    <w:rsid w:val="7B8452E2"/>
    <w:rsid w:val="7B9E350E"/>
    <w:rsid w:val="7BB96EFA"/>
    <w:rsid w:val="7BD408B9"/>
    <w:rsid w:val="7BDF2143"/>
    <w:rsid w:val="7C0F446B"/>
    <w:rsid w:val="7C181EFE"/>
    <w:rsid w:val="7C300343"/>
    <w:rsid w:val="7C3445D0"/>
    <w:rsid w:val="7C4A72EE"/>
    <w:rsid w:val="7C646169"/>
    <w:rsid w:val="7C671963"/>
    <w:rsid w:val="7C8B45B3"/>
    <w:rsid w:val="7CBC4734"/>
    <w:rsid w:val="7CF13052"/>
    <w:rsid w:val="7D1A248B"/>
    <w:rsid w:val="7D2C3A53"/>
    <w:rsid w:val="7D3144C8"/>
    <w:rsid w:val="7D6E4D91"/>
    <w:rsid w:val="7D6F6CC2"/>
    <w:rsid w:val="7D703C99"/>
    <w:rsid w:val="7D834898"/>
    <w:rsid w:val="7D9759EF"/>
    <w:rsid w:val="7D9D3486"/>
    <w:rsid w:val="7DA737B9"/>
    <w:rsid w:val="7DB15223"/>
    <w:rsid w:val="7DF67C8A"/>
    <w:rsid w:val="7DFB4F06"/>
    <w:rsid w:val="7E0B712D"/>
    <w:rsid w:val="7E2A0F73"/>
    <w:rsid w:val="7E343D7E"/>
    <w:rsid w:val="7E4319BA"/>
    <w:rsid w:val="7E602592"/>
    <w:rsid w:val="7E6F726C"/>
    <w:rsid w:val="7E780DCF"/>
    <w:rsid w:val="7E932B3B"/>
    <w:rsid w:val="7EA519FA"/>
    <w:rsid w:val="7EBD069F"/>
    <w:rsid w:val="7ED13655"/>
    <w:rsid w:val="7ED77402"/>
    <w:rsid w:val="7EE60AED"/>
    <w:rsid w:val="7F14530A"/>
    <w:rsid w:val="7F1C35A1"/>
    <w:rsid w:val="7F6B36B8"/>
    <w:rsid w:val="7F6D4430"/>
    <w:rsid w:val="7F6F7DCA"/>
    <w:rsid w:val="7F847312"/>
    <w:rsid w:val="7F874EE9"/>
    <w:rsid w:val="7F905BFD"/>
    <w:rsid w:val="7FDB4C19"/>
    <w:rsid w:val="7FEB4A4F"/>
    <w:rsid w:val="7FFA6E8A"/>
    <w:rsid w:val="7FFF3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spacing w:line="460" w:lineRule="exact"/>
      <w:ind w:firstLine="964"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6"/>
    <w:qFormat/>
    <w:uiPriority w:val="0"/>
    <w:pPr>
      <w:ind w:firstLine="0" w:firstLineChars="0"/>
      <w:jc w:val="left"/>
      <w:outlineLvl w:val="0"/>
    </w:pPr>
    <w:rPr>
      <w:b/>
      <w:kern w:val="44"/>
    </w:rPr>
  </w:style>
  <w:style w:type="paragraph" w:styleId="4">
    <w:name w:val="heading 2"/>
    <w:basedOn w:val="1"/>
    <w:next w:val="1"/>
    <w:unhideWhenUsed/>
    <w:qFormat/>
    <w:uiPriority w:val="0"/>
    <w:pPr>
      <w:keepNext/>
      <w:keepLines/>
      <w:spacing w:line="480" w:lineRule="exact"/>
      <w:ind w:firstLine="0" w:firstLineChars="0"/>
      <w:jc w:val="left"/>
      <w:outlineLvl w:val="1"/>
    </w:pPr>
    <w:rPr>
      <w:rFonts w:ascii="Arial" w:hAnsi="Arial"/>
      <w:b/>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annotation text"/>
    <w:basedOn w:val="1"/>
    <w:link w:val="19"/>
    <w:unhideWhenUsed/>
    <w:qFormat/>
    <w:uiPriority w:val="99"/>
    <w:pPr>
      <w:jc w:val="left"/>
    </w:pPr>
  </w:style>
  <w:style w:type="paragraph" w:styleId="7">
    <w:name w:val="Body Text Indent"/>
    <w:basedOn w:val="1"/>
    <w:semiHidden/>
    <w:qFormat/>
    <w:uiPriority w:val="0"/>
    <w:pPr>
      <w:widowControl/>
      <w:ind w:firstLine="600"/>
    </w:pPr>
    <w:rPr>
      <w:rFonts w:ascii="黑体" w:eastAsia="黑体"/>
      <w:kern w:val="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1"/>
    <w:next w:val="1"/>
    <w:qFormat/>
    <w:uiPriority w:val="39"/>
    <w:pPr>
      <w:spacing w:before="120" w:after="120"/>
      <w:jc w:val="left"/>
    </w:pPr>
    <w:rPr>
      <w:rFonts w:ascii="Calibri" w:hAnsi="Calibri"/>
      <w:b/>
      <w:bCs/>
      <w:caps/>
      <w:sz w:val="20"/>
    </w:rPr>
  </w:style>
  <w:style w:type="paragraph" w:styleId="11">
    <w:name w:val="annotation subject"/>
    <w:basedOn w:val="6"/>
    <w:next w:val="6"/>
    <w:link w:val="20"/>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character" w:customStyle="1" w:styleId="16">
    <w:name w:val="标题 1 字符"/>
    <w:link w:val="3"/>
    <w:qFormat/>
    <w:uiPriority w:val="0"/>
    <w:rPr>
      <w:rFonts w:eastAsia="宋体"/>
      <w:b/>
      <w:kern w:val="44"/>
      <w:sz w:val="24"/>
    </w:rPr>
  </w:style>
  <w:style w:type="character" w:customStyle="1" w:styleId="17">
    <w:name w:val="占位符文本1"/>
    <w:basedOn w:val="14"/>
    <w:semiHidden/>
    <w:qFormat/>
    <w:uiPriority w:val="99"/>
    <w:rPr>
      <w:color w:val="808080"/>
    </w:rPr>
  </w:style>
  <w:style w:type="paragraph" w:customStyle="1" w:styleId="1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9">
    <w:name w:val="批注文字 字符"/>
    <w:basedOn w:val="14"/>
    <w:link w:val="6"/>
    <w:qFormat/>
    <w:uiPriority w:val="99"/>
    <w:rPr>
      <w:kern w:val="2"/>
      <w:sz w:val="24"/>
      <w:szCs w:val="24"/>
    </w:rPr>
  </w:style>
  <w:style w:type="character" w:customStyle="1" w:styleId="20">
    <w:name w:val="批注主题 字符"/>
    <w:basedOn w:val="19"/>
    <w:link w:val="11"/>
    <w:qFormat/>
    <w:uiPriority w:val="0"/>
    <w:rPr>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9578</Words>
  <Characters>10144</Characters>
  <Lines>415</Lines>
  <Paragraphs>389</Paragraphs>
  <TotalTime>5</TotalTime>
  <ScaleCrop>false</ScaleCrop>
  <LinksUpToDate>false</LinksUpToDate>
  <CharactersWithSpaces>10782</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2021-06-05T14:18:00Z</dcterms:created>
  <dc:creator>lenvovo</dc:creator>
  <cp:lastModifiedBy>别处流光</cp:lastModifiedBy>
  <dcterms:modified xsi:type="dcterms:W3CDTF">2025-07-30T06:14:50Z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AB29C8671AEC4F608D1482F02CA3DD3F_13</vt:lpwstr>
  </property>
  <property fmtid="{D5CDD505-2E9C-101B-9397-08002B2CF9AE}" pid="4" name="KSOTemplateDocerSaveRecord">
    <vt:lpwstr>eyJoZGlkIjoiMDgxNWRhODY0MWM3MTAwYWYxYTQ0NDU2YjNhMTM3MDYiLCJ1c2VySWQiOiI0MzQwOTMwOTQifQ==</vt:lpwstr>
  </property>
</Properties>
</file>