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bookmarkStart w:id="0" w:name="单据名称"/>
      <w:r>
        <w:rPr>
          <w:rFonts w:hint="eastAsia" w:ascii="宋体" w:hAnsi="宋体" w:cs="宋体"/>
          <w:b/>
          <w:color w:val="auto"/>
          <w:sz w:val="40"/>
          <w:szCs w:val="40"/>
          <w:highlight w:val="none"/>
        </w:rPr>
        <w:t>首讯公司云原生平台安全技术服务</w:t>
      </w:r>
      <w:bookmarkEnd w:id="0"/>
    </w:p>
    <w:p>
      <w:pPr>
        <w:rPr>
          <w:rFonts w:ascii="宋体" w:hAnsi="宋体" w:cs="宋体"/>
          <w:color w:val="auto"/>
          <w:sz w:val="28"/>
          <w:szCs w:val="2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ascii="宋体" w:hAnsi="宋体" w:cs="宋体"/>
          <w:b/>
          <w:color w:val="auto"/>
          <w:sz w:val="48"/>
          <w:szCs w:val="48"/>
          <w:highlight w:val="none"/>
        </w:rPr>
      </w:pPr>
    </w:p>
    <w:p>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ascii="宋体" w:hAnsi="宋体" w:cs="宋体"/>
          <w:b/>
          <w:color w:val="auto"/>
          <w:sz w:val="48"/>
          <w:szCs w:val="48"/>
          <w:highlight w:val="none"/>
        </w:rPr>
      </w:pPr>
    </w:p>
    <w:p>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ascii="宋体" w:hAnsi="宋体" w:cs="宋体"/>
          <w:color w:val="auto"/>
          <w:highlight w:val="none"/>
        </w:rPr>
      </w:pPr>
    </w:p>
    <w:p>
      <w:pPr>
        <w:rPr>
          <w:color w:val="auto"/>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pPr>
        <w:jc w:val="center"/>
        <w:rPr>
          <w:rFonts w:hint="eastAsia" w:ascii="宋体" w:hAnsi="宋体" w:cs="宋体"/>
          <w:b/>
          <w:color w:val="auto"/>
          <w:sz w:val="32"/>
          <w:szCs w:val="32"/>
          <w:highlight w:val="none"/>
          <w:u w:val="single"/>
        </w:rPr>
      </w:pPr>
    </w:p>
    <w:p>
      <w:pPr>
        <w:jc w:val="center"/>
        <w:rPr>
          <w:rFonts w:ascii="宋体" w:hAnsi="宋体" w:cs="宋体"/>
          <w:b/>
          <w:color w:val="auto"/>
          <w:sz w:val="32"/>
          <w:szCs w:val="32"/>
          <w:highlight w:val="none"/>
        </w:rPr>
      </w:pPr>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年7月</w:t>
      </w:r>
    </w:p>
    <w:p>
      <w:pPr>
        <w:pStyle w:val="28"/>
        <w:jc w:val="center"/>
        <w:rPr>
          <w:rFonts w:ascii="宋体" w:hAnsi="宋体" w:cs="宋体"/>
          <w:color w:val="auto"/>
          <w:szCs w:val="21"/>
          <w:highlight w:val="none"/>
        </w:rPr>
      </w:pPr>
      <w:r>
        <w:rPr>
          <w:color w:val="auto"/>
          <w:highlight w:val="none"/>
        </w:rPr>
        <w:br w:type="page"/>
      </w:r>
      <w:bookmarkStart w:id="1" w:name="_Toc296602400"/>
      <w:bookmarkStart w:id="2" w:name="_Toc507319889"/>
      <w:bookmarkStart w:id="3" w:name="_Toc247085669"/>
      <w:r>
        <w:rPr>
          <w:rFonts w:hint="eastAsia" w:ascii="宋体" w:hAnsi="宋体" w:cs="宋体"/>
          <w:b w:val="0"/>
          <w:color w:val="auto"/>
          <w:sz w:val="32"/>
          <w:highlight w:val="none"/>
        </w:rPr>
        <w:t>目   录</w:t>
      </w:r>
      <w:bookmarkEnd w:id="1"/>
      <w:bookmarkEnd w:id="2"/>
      <w:bookmarkEnd w:id="3"/>
    </w:p>
    <w:p>
      <w:pPr>
        <w:pStyle w:val="28"/>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_Toc10142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_Toc10142 \h </w:instrText>
      </w:r>
      <w:r>
        <w:rPr>
          <w:highlight w:val="none"/>
        </w:rPr>
        <w:fldChar w:fldCharType="separate"/>
      </w:r>
      <w:r>
        <w:rPr>
          <w:highlight w:val="none"/>
        </w:rPr>
        <w:t>1</w:t>
      </w:r>
      <w:r>
        <w:rPr>
          <w:highlight w:val="none"/>
        </w:rPr>
        <w:fldChar w:fldCharType="end"/>
      </w:r>
      <w:r>
        <w:rPr>
          <w:rFonts w:hint="eastAsia" w:ascii="宋体" w:hAnsi="宋体" w:cs="宋体"/>
          <w:bCs w:val="0"/>
          <w:caps w:val="0"/>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_Toc13849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_Toc13849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_Toc7760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_Toc7760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_Toc13092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_Toc13092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_Toc13035 </w:instrText>
      </w:r>
      <w:r>
        <w:rPr>
          <w:rFonts w:hint="eastAsia" w:ascii="宋体" w:hAnsi="宋体" w:cs="宋体"/>
          <w:bCs/>
          <w:caps/>
          <w:highlight w:val="none"/>
        </w:rPr>
        <w:fldChar w:fldCharType="separate"/>
      </w:r>
      <w:r>
        <w:rPr>
          <w:rFonts w:hint="eastAsia" w:ascii="宋体" w:hAnsi="宋体" w:eastAsia="宋体" w:cs="宋体"/>
          <w:highlight w:val="none"/>
        </w:rPr>
        <w:t>4. 评标办法</w:t>
      </w:r>
      <w:r>
        <w:rPr>
          <w:highlight w:val="none"/>
        </w:rPr>
        <w:tab/>
      </w:r>
      <w:r>
        <w:rPr>
          <w:highlight w:val="none"/>
        </w:rPr>
        <w:fldChar w:fldCharType="begin"/>
      </w:r>
      <w:r>
        <w:rPr>
          <w:highlight w:val="none"/>
        </w:rPr>
        <w:instrText xml:space="preserve"> PAGEREF _Toc13035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_Toc17600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比选文件的获取</w:t>
      </w:r>
      <w:r>
        <w:rPr>
          <w:highlight w:val="none"/>
        </w:rPr>
        <w:tab/>
      </w:r>
      <w:r>
        <w:rPr>
          <w:highlight w:val="none"/>
        </w:rPr>
        <w:fldChar w:fldCharType="begin"/>
      </w:r>
      <w:r>
        <w:rPr>
          <w:highlight w:val="none"/>
        </w:rPr>
        <w:instrText xml:space="preserve"> PAGEREF _Toc17600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_Toc14325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_Toc14325 \h </w:instrText>
      </w:r>
      <w:r>
        <w:rPr>
          <w:highlight w:val="none"/>
        </w:rPr>
        <w:fldChar w:fldCharType="separate"/>
      </w:r>
      <w:r>
        <w:rPr>
          <w:highlight w:val="none"/>
        </w:rPr>
        <w:t>1</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_Toc4010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_Toc4010 \h </w:instrText>
      </w:r>
      <w:r>
        <w:rPr>
          <w:highlight w:val="none"/>
        </w:rPr>
        <w:fldChar w:fldCharType="separate"/>
      </w:r>
      <w:r>
        <w:rPr>
          <w:highlight w:val="none"/>
        </w:rPr>
        <w:t>2</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_Toc12865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_Toc12865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_Toc21580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_Toc21580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_Toc31719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_Toc31719 \h </w:instrText>
      </w:r>
      <w:r>
        <w:rPr>
          <w:highlight w:val="none"/>
        </w:rPr>
        <w:fldChar w:fldCharType="separate"/>
      </w:r>
      <w:r>
        <w:rPr>
          <w:highlight w:val="none"/>
        </w:rPr>
        <w:t>12</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_Toc6735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_Toc6735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_Toc1052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_Toc1052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_Toc10650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_Toc10650 \h </w:instrText>
      </w:r>
      <w:r>
        <w:rPr>
          <w:highlight w:val="none"/>
        </w:rPr>
        <w:fldChar w:fldCharType="separate"/>
      </w:r>
      <w:r>
        <w:rPr>
          <w:highlight w:val="none"/>
        </w:rPr>
        <w:t>15</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_Toc15010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四</w:t>
      </w:r>
      <w:r>
        <w:rPr>
          <w:rFonts w:hint="eastAsia" w:ascii="宋体" w:hAnsi="宋体" w:cs="宋体"/>
          <w:highlight w:val="none"/>
        </w:rPr>
        <w:t xml:space="preserve">章  </w:t>
      </w:r>
      <w:r>
        <w:rPr>
          <w:rFonts w:hint="eastAsia" w:ascii="宋体" w:hAnsi="宋体" w:cs="宋体"/>
          <w:highlight w:val="none"/>
          <w:lang w:val="en-US" w:eastAsia="zh-CN"/>
        </w:rPr>
        <w:t>服务要求</w:t>
      </w:r>
      <w:r>
        <w:rPr>
          <w:highlight w:val="none"/>
        </w:rPr>
        <w:tab/>
      </w:r>
      <w:r>
        <w:rPr>
          <w:highlight w:val="none"/>
        </w:rPr>
        <w:fldChar w:fldCharType="begin"/>
      </w:r>
      <w:r>
        <w:rPr>
          <w:highlight w:val="none"/>
        </w:rPr>
        <w:instrText xml:space="preserve"> PAGEREF _Toc15010 \h </w:instrText>
      </w:r>
      <w:r>
        <w:rPr>
          <w:highlight w:val="none"/>
        </w:rPr>
        <w:fldChar w:fldCharType="separate"/>
      </w:r>
      <w:r>
        <w:rPr>
          <w:highlight w:val="none"/>
        </w:rPr>
        <w:t>17</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_Toc17525 </w:instrText>
      </w:r>
      <w:r>
        <w:rPr>
          <w:rFonts w:hint="eastAsia" w:ascii="宋体" w:hAnsi="宋体" w:cs="宋体"/>
          <w:bCs/>
          <w:caps/>
          <w:highlight w:val="none"/>
        </w:rPr>
        <w:fldChar w:fldCharType="separate"/>
      </w:r>
      <w:r>
        <w:rPr>
          <w:rFonts w:hint="eastAsia" w:ascii="宋体" w:hAnsi="宋体" w:eastAsia="宋体" w:cs="宋体"/>
          <w:bCs/>
          <w:kern w:val="44"/>
          <w:szCs w:val="44"/>
          <w:highlight w:val="none"/>
          <w:lang w:val="en-US" w:eastAsia="zh-CN" w:bidi="ar-SA"/>
        </w:rPr>
        <w:t>第五章  合同范本</w:t>
      </w:r>
      <w:r>
        <w:rPr>
          <w:highlight w:val="none"/>
        </w:rPr>
        <w:tab/>
      </w:r>
      <w:r>
        <w:rPr>
          <w:highlight w:val="none"/>
        </w:rPr>
        <w:fldChar w:fldCharType="begin"/>
      </w:r>
      <w:r>
        <w:rPr>
          <w:highlight w:val="none"/>
        </w:rPr>
        <w:instrText xml:space="preserve"> PAGEREF _Toc17525 \h </w:instrText>
      </w:r>
      <w:r>
        <w:rPr>
          <w:highlight w:val="none"/>
        </w:rPr>
        <w:fldChar w:fldCharType="separate"/>
      </w:r>
      <w:r>
        <w:rPr>
          <w:highlight w:val="none"/>
        </w:rPr>
        <w:t>18</w:t>
      </w:r>
      <w:r>
        <w:rPr>
          <w:highlight w:val="none"/>
        </w:rPr>
        <w:fldChar w:fldCharType="end"/>
      </w:r>
      <w:r>
        <w:rPr>
          <w:rFonts w:hint="eastAsia" w:ascii="宋体" w:hAnsi="宋体" w:cs="宋体"/>
          <w:bCs/>
          <w:caps/>
          <w:color w:val="auto"/>
          <w:highlight w:val="none"/>
        </w:rPr>
        <w:fldChar w:fldCharType="end"/>
      </w:r>
    </w:p>
    <w:p>
      <w:pPr>
        <w:pStyle w:val="28"/>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_Toc27626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_Toc27626 \h </w:instrText>
      </w:r>
      <w:r>
        <w:rPr>
          <w:highlight w:val="none"/>
        </w:rPr>
        <w:fldChar w:fldCharType="separate"/>
      </w:r>
      <w:r>
        <w:rPr>
          <w:highlight w:val="none"/>
        </w:rPr>
        <w:t>23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_Toc29615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_Toc29615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_Toc15139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_Toc15139 \h </w:instrText>
      </w:r>
      <w:r>
        <w:rPr>
          <w:highlight w:val="none"/>
        </w:rPr>
        <w:fldChar w:fldCharType="separate"/>
      </w:r>
      <w:r>
        <w:rPr>
          <w:highlight w:val="none"/>
        </w:rPr>
        <w:t>27</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_Toc31983 </w:instrText>
      </w:r>
      <w:r>
        <w:rPr>
          <w:rFonts w:hint="eastAsia" w:ascii="宋体" w:hAnsi="宋体" w:cs="宋体"/>
          <w:bCs/>
          <w:caps/>
          <w:highlight w:val="none"/>
        </w:rPr>
        <w:fldChar w:fldCharType="separate"/>
      </w:r>
      <w:r>
        <w:rPr>
          <w:rFonts w:hint="eastAsia" w:ascii="宋体" w:hAnsi="宋体" w:eastAsia="宋体" w:cs="宋体"/>
          <w:highlight w:val="none"/>
        </w:rPr>
        <w:t>三、报价一览表</w:t>
      </w:r>
      <w:r>
        <w:rPr>
          <w:highlight w:val="none"/>
        </w:rPr>
        <w:tab/>
      </w:r>
      <w:r>
        <w:rPr>
          <w:highlight w:val="none"/>
        </w:rPr>
        <w:fldChar w:fldCharType="begin"/>
      </w:r>
      <w:r>
        <w:rPr>
          <w:highlight w:val="none"/>
        </w:rPr>
        <w:instrText xml:space="preserve"> PAGEREF _Toc31983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_Toc4544 </w:instrText>
      </w:r>
      <w:r>
        <w:rPr>
          <w:rFonts w:hint="eastAsia" w:ascii="宋体" w:hAnsi="宋体" w:cs="宋体"/>
          <w:bCs/>
          <w:caps/>
          <w:highlight w:val="none"/>
        </w:rPr>
        <w:fldChar w:fldCharType="separate"/>
      </w:r>
      <w:r>
        <w:rPr>
          <w:rFonts w:hint="eastAsia" w:ascii="宋体" w:hAnsi="宋体" w:eastAsia="宋体" w:cs="宋体"/>
          <w:highlight w:val="none"/>
        </w:rPr>
        <w:t>四、资格审查资料</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_Toc7326 </w:instrText>
      </w:r>
      <w:r>
        <w:rPr>
          <w:rFonts w:hint="eastAsia" w:ascii="宋体" w:hAnsi="宋体" w:cs="宋体"/>
          <w:bCs/>
          <w:caps/>
          <w:highlight w:val="none"/>
        </w:rPr>
        <w:fldChar w:fldCharType="separate"/>
      </w:r>
      <w:r>
        <w:rPr>
          <w:rFonts w:hint="eastAsia" w:ascii="宋体" w:hAnsi="宋体" w:eastAsia="宋体" w:cs="宋体"/>
          <w:highlight w:val="none"/>
        </w:rPr>
        <w:t>五、报价人承诺</w:t>
      </w:r>
      <w:r>
        <w:rPr>
          <w:highlight w:val="none"/>
        </w:rPr>
        <w:tab/>
      </w:r>
      <w:r>
        <w:rPr>
          <w:highlight w:val="none"/>
        </w:rPr>
        <w:fldChar w:fldCharType="begin"/>
      </w:r>
      <w:r>
        <w:rPr>
          <w:highlight w:val="none"/>
        </w:rPr>
        <w:instrText xml:space="preserve"> PAGEREF _Toc7326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pPr>
        <w:pStyle w:val="34"/>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_Toc22594 </w:instrText>
      </w:r>
      <w:r>
        <w:rPr>
          <w:rFonts w:hint="eastAsia" w:ascii="宋体" w:hAnsi="宋体" w:cs="宋体"/>
          <w:bCs/>
          <w:caps/>
          <w:highlight w:val="none"/>
        </w:rPr>
        <w:fldChar w:fldCharType="separate"/>
      </w:r>
      <w:r>
        <w:rPr>
          <w:rFonts w:hint="eastAsia" w:ascii="宋体" w:hAnsi="宋体" w:eastAsia="宋体" w:cs="宋体"/>
          <w:bCs/>
          <w:kern w:val="0"/>
          <w:szCs w:val="32"/>
          <w:highlight w:val="none"/>
          <w:lang w:val="en-US" w:eastAsia="zh-CN" w:bidi="ar-SA"/>
        </w:rPr>
        <w:t>六、报价人其他资料</w:t>
      </w:r>
      <w:r>
        <w:rPr>
          <w:highlight w:val="none"/>
        </w:rPr>
        <w:tab/>
      </w:r>
      <w:r>
        <w:rPr>
          <w:highlight w:val="none"/>
        </w:rPr>
        <w:fldChar w:fldCharType="begin"/>
      </w:r>
      <w:r>
        <w:rPr>
          <w:highlight w:val="none"/>
        </w:rPr>
        <w:instrText xml:space="preserve"> PAGEREF _Toc22594 \h </w:instrText>
      </w:r>
      <w:r>
        <w:rPr>
          <w:highlight w:val="none"/>
        </w:rPr>
        <w:fldChar w:fldCharType="separate"/>
      </w:r>
      <w:r>
        <w:rPr>
          <w:highlight w:val="none"/>
        </w:rPr>
        <w:t>34</w:t>
      </w:r>
      <w:r>
        <w:rPr>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4" w:name="_Toc144974479"/>
    </w:p>
    <w:p>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5" w:name="_Toc10142"/>
      <w:r>
        <w:rPr>
          <w:rFonts w:hint="eastAsia" w:ascii="宋体" w:hAnsi="宋体" w:eastAsia="宋体" w:cs="宋体"/>
          <w:b/>
          <w:bCs/>
          <w:smallCaps w:val="0"/>
          <w:color w:val="auto"/>
          <w:kern w:val="44"/>
          <w:sz w:val="44"/>
          <w:szCs w:val="44"/>
          <w:highlight w:val="none"/>
          <w:lang w:val="en-US" w:eastAsia="zh-CN" w:bidi="ar-SA"/>
        </w:rPr>
        <w:t xml:space="preserve">第一章 </w:t>
      </w:r>
      <w:bookmarkEnd w:id="4"/>
      <w:r>
        <w:rPr>
          <w:rFonts w:hint="eastAsia" w:ascii="宋体" w:hAnsi="宋体" w:eastAsia="宋体" w:cs="宋体"/>
          <w:b/>
          <w:bCs/>
          <w:smallCaps w:val="0"/>
          <w:color w:val="auto"/>
          <w:kern w:val="44"/>
          <w:sz w:val="44"/>
          <w:szCs w:val="44"/>
          <w:highlight w:val="none"/>
          <w:lang w:val="en-US" w:eastAsia="zh-CN" w:bidi="ar-SA"/>
        </w:rPr>
        <w:t>比选公告</w:t>
      </w:r>
      <w:bookmarkEnd w:id="5"/>
    </w:p>
    <w:p>
      <w:pPr>
        <w:spacing w:line="440" w:lineRule="exact"/>
        <w:jc w:val="center"/>
        <w:rPr>
          <w:rFonts w:ascii="宋体" w:hAnsi="宋体" w:cs="宋体"/>
          <w:b/>
          <w:color w:val="auto"/>
          <w:sz w:val="28"/>
          <w:szCs w:val="28"/>
          <w:highlight w:val="none"/>
        </w:rPr>
      </w:pPr>
    </w:p>
    <w:p>
      <w:pPr>
        <w:pStyle w:val="4"/>
        <w:spacing w:before="0" w:after="0" w:line="360" w:lineRule="auto"/>
        <w:rPr>
          <w:rFonts w:ascii="宋体" w:hAnsi="宋体" w:eastAsia="宋体" w:cs="宋体"/>
          <w:color w:val="auto"/>
          <w:highlight w:val="none"/>
        </w:rPr>
      </w:pPr>
      <w:bookmarkStart w:id="6" w:name="_Toc246996901"/>
      <w:bookmarkStart w:id="7" w:name="_Toc11329213"/>
      <w:bookmarkStart w:id="8" w:name="_Toc10076"/>
      <w:bookmarkStart w:id="9" w:name="_Toc144974480"/>
      <w:bookmarkStart w:id="10" w:name="_Toc507319891"/>
      <w:bookmarkStart w:id="11" w:name="_Toc6549"/>
      <w:bookmarkStart w:id="12" w:name="_Toc152045512"/>
      <w:bookmarkStart w:id="13" w:name="_Toc13849"/>
      <w:bookmarkStart w:id="14" w:name="_Toc247085672"/>
      <w:bookmarkStart w:id="15" w:name="_Toc24874"/>
      <w:bookmarkStart w:id="16" w:name="_Toc152042288"/>
      <w:bookmarkStart w:id="17" w:name="_Toc179632528"/>
      <w:r>
        <w:rPr>
          <w:rFonts w:hint="eastAsia" w:ascii="宋体" w:hAnsi="宋体" w:eastAsia="宋体" w:cs="宋体"/>
          <w:color w:val="auto"/>
          <w:highlight w:val="none"/>
        </w:rPr>
        <w:t>1. 比选条件</w:t>
      </w:r>
      <w:bookmarkEnd w:id="6"/>
      <w:bookmarkEnd w:id="7"/>
      <w:bookmarkEnd w:id="8"/>
      <w:bookmarkEnd w:id="9"/>
      <w:bookmarkEnd w:id="10"/>
      <w:bookmarkEnd w:id="11"/>
      <w:bookmarkEnd w:id="12"/>
      <w:bookmarkEnd w:id="13"/>
      <w:bookmarkEnd w:id="14"/>
      <w:bookmarkEnd w:id="15"/>
      <w:bookmarkEnd w:id="16"/>
      <w:bookmarkEnd w:id="17"/>
    </w:p>
    <w:p>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bookmarkStart w:id="18" w:name="单据名称1"/>
      <w:r>
        <w:rPr>
          <w:rFonts w:hint="eastAsia" w:ascii="宋体" w:hAnsi="宋体" w:cs="宋体"/>
          <w:color w:val="auto"/>
          <w:szCs w:val="21"/>
          <w:highlight w:val="none"/>
          <w:u w:val="single"/>
          <w:lang w:val="en-US" w:eastAsia="zh-CN"/>
        </w:rPr>
        <w:t>首讯公司云原生平台安全技术服务</w:t>
      </w:r>
      <w:bookmarkEnd w:id="18"/>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ascii="宋体" w:hAnsi="宋体" w:eastAsia="宋体" w:cs="宋体"/>
          <w:color w:val="auto"/>
          <w:highlight w:val="none"/>
        </w:rPr>
      </w:pPr>
      <w:bookmarkStart w:id="19" w:name="_Toc10952"/>
      <w:bookmarkStart w:id="20" w:name="_Toc11329214"/>
      <w:bookmarkStart w:id="21" w:name="_Toc246996159"/>
      <w:bookmarkStart w:id="22" w:name="_Toc179632529"/>
      <w:bookmarkStart w:id="23" w:name="_Toc7760"/>
      <w:bookmarkStart w:id="24" w:name="_Toc144974481"/>
      <w:bookmarkStart w:id="25" w:name="_Toc21343"/>
      <w:bookmarkStart w:id="26" w:name="_Toc247085673"/>
      <w:bookmarkStart w:id="27" w:name="_Toc152042289"/>
      <w:bookmarkStart w:id="28" w:name="_Toc246996902"/>
      <w:bookmarkStart w:id="29" w:name="_Toc152045513"/>
      <w:bookmarkStart w:id="30" w:name="_Toc18109"/>
      <w:bookmarkStart w:id="31" w:name="_Toc507319892"/>
      <w:r>
        <w:rPr>
          <w:rFonts w:hint="eastAsia" w:ascii="宋体" w:hAnsi="宋体" w:eastAsia="宋体" w:cs="宋体"/>
          <w:color w:val="auto"/>
          <w:highlight w:val="none"/>
        </w:rPr>
        <w:t>2. 项目概况与比选范围</w:t>
      </w:r>
      <w:bookmarkEnd w:id="19"/>
      <w:bookmarkEnd w:id="20"/>
      <w:bookmarkEnd w:id="21"/>
      <w:bookmarkEnd w:id="22"/>
      <w:bookmarkEnd w:id="23"/>
      <w:bookmarkEnd w:id="24"/>
      <w:bookmarkEnd w:id="25"/>
      <w:bookmarkEnd w:id="26"/>
      <w:bookmarkEnd w:id="27"/>
      <w:bookmarkEnd w:id="28"/>
      <w:bookmarkEnd w:id="29"/>
      <w:bookmarkEnd w:id="30"/>
      <w:bookmarkEnd w:id="31"/>
    </w:p>
    <w:p>
      <w:pPr>
        <w:spacing w:line="420" w:lineRule="exact"/>
        <w:ind w:firstLine="420" w:firstLineChars="200"/>
        <w:rPr>
          <w:rFonts w:hint="default" w:ascii="宋体" w:hAnsi="宋体" w:cs="宋体"/>
          <w:color w:val="auto"/>
          <w:highlight w:val="none"/>
          <w:lang w:val="en-US" w:eastAsia="zh-CN"/>
        </w:rPr>
      </w:pPr>
      <w:bookmarkStart w:id="32" w:name="_Toc265234827"/>
      <w:bookmarkStart w:id="33"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bookmarkStart w:id="34" w:name="交货地点"/>
      <w:r>
        <w:rPr>
          <w:rFonts w:hint="eastAsia" w:ascii="宋体" w:hAnsi="宋体" w:cs="宋体"/>
          <w:color w:val="auto"/>
          <w:szCs w:val="21"/>
          <w:highlight w:val="none"/>
          <w:u w:val="single"/>
          <w:lang w:val="en-US" w:eastAsia="zh-CN"/>
        </w:rPr>
        <w:t>重庆市</w:t>
      </w:r>
      <w:bookmarkEnd w:id="34"/>
    </w:p>
    <w:p>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bookmarkStart w:id="35" w:name="项目概况"/>
      <w:r>
        <w:rPr>
          <w:rFonts w:hint="eastAsia" w:ascii="宋体" w:hAnsi="宋体" w:cs="宋体"/>
          <w:color w:val="auto"/>
          <w:highlight w:val="none"/>
          <w:lang w:val="en-US" w:eastAsia="zh-CN"/>
        </w:rPr>
        <w:t>为完成《可信云原生技术在交通行业中的研究与应用研发项目》中关于云原生安全技术高速公路数据安全相关任务，按研发计划，搭建起一个完备的云原生平台安全威胁服务平台，深入探索云原生安全技术在高速公路数据安全领域的应用模式与最佳实践，确保高速公路行业在数字化进程中数据资产的安全与稳定，此次首讯公司云原生平台安全技术服务内容包括：云原生平台安全平台服务、云原生平台网络安全技术支持服务、云原生平台威胁情报服务等服务内容</w:t>
      </w:r>
      <w:bookmarkEnd w:id="35"/>
      <w:r>
        <w:rPr>
          <w:rFonts w:hint="eastAsia" w:ascii="宋体" w:hAnsi="宋体" w:cs="宋体"/>
          <w:color w:val="auto"/>
          <w:highlight w:val="none"/>
          <w:lang w:val="en-US" w:eastAsia="zh-CN"/>
        </w:rPr>
        <w:t>。</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cs="宋体"/>
          <w:color w:val="auto"/>
          <w:szCs w:val="21"/>
          <w:highlight w:val="none"/>
          <w:u w:val="single"/>
          <w:lang w:val="en-US" w:eastAsia="zh-CN"/>
        </w:rPr>
        <w:t>33.75</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技术服务 </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32"/>
    <w:bookmarkEnd w:id="33"/>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bookmarkStart w:id="36" w:name="工期、货期要求"/>
      <w:r>
        <w:rPr>
          <w:rFonts w:hint="eastAsia" w:ascii="宋体" w:hAnsi="宋体" w:eastAsia="宋体" w:cs="宋体"/>
          <w:color w:val="auto"/>
          <w:szCs w:val="21"/>
          <w:highlight w:val="none"/>
          <w:u w:val="single"/>
        </w:rPr>
        <w:t>预计工期为2个月</w:t>
      </w:r>
      <w:bookmarkEnd w:id="36"/>
    </w:p>
    <w:p>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37" w:name="_Toc7065"/>
      <w:bookmarkStart w:id="38" w:name="_Toc507319893"/>
      <w:bookmarkStart w:id="39" w:name="_Toc246996160"/>
      <w:bookmarkStart w:id="40" w:name="_Toc179632530"/>
      <w:bookmarkStart w:id="41" w:name="_Toc144974482"/>
      <w:bookmarkStart w:id="42" w:name="_Toc152042290"/>
      <w:bookmarkStart w:id="43" w:name="_Toc152045514"/>
      <w:bookmarkStart w:id="44" w:name="_Toc30356"/>
      <w:bookmarkStart w:id="45" w:name="_Toc247085674"/>
      <w:bookmarkStart w:id="46" w:name="_Toc10171"/>
      <w:bookmarkStart w:id="47" w:name="_Toc11329215"/>
      <w:bookmarkStart w:id="48" w:name="_Toc24699690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bookmarkStart w:id="49" w:name="标段划分"/>
      <w:r>
        <w:rPr>
          <w:rFonts w:hint="eastAsia" w:ascii="宋体" w:hAnsi="宋体" w:cs="宋体"/>
          <w:b w:val="0"/>
          <w:bCs w:val="0"/>
          <w:color w:val="auto"/>
          <w:kern w:val="2"/>
          <w:sz w:val="21"/>
          <w:szCs w:val="24"/>
          <w:highlight w:val="none"/>
          <w:u w:val="single"/>
          <w:lang w:val="en-US" w:eastAsia="zh-CN" w:bidi="ar-SA"/>
        </w:rPr>
        <w:t>1</w:t>
      </w:r>
      <w:bookmarkEnd w:id="49"/>
      <w:r>
        <w:rPr>
          <w:rFonts w:hint="eastAsia" w:ascii="宋体" w:hAnsi="宋体" w:cs="宋体"/>
          <w:b w:val="0"/>
          <w:bCs w:val="0"/>
          <w:color w:val="auto"/>
          <w:kern w:val="2"/>
          <w:sz w:val="21"/>
          <w:szCs w:val="24"/>
          <w:highlight w:val="none"/>
          <w:lang w:val="en-US" w:eastAsia="zh-CN" w:bidi="ar-SA"/>
        </w:rPr>
        <w:t>个标段。</w:t>
      </w:r>
    </w:p>
    <w:p>
      <w:pPr>
        <w:pStyle w:val="4"/>
        <w:spacing w:before="120" w:after="0" w:line="360" w:lineRule="auto"/>
        <w:rPr>
          <w:rFonts w:ascii="宋体" w:hAnsi="宋体" w:eastAsia="宋体" w:cs="宋体"/>
          <w:color w:val="auto"/>
          <w:highlight w:val="none"/>
        </w:rPr>
      </w:pPr>
      <w:bookmarkStart w:id="50" w:name="_Toc13092"/>
      <w:r>
        <w:rPr>
          <w:rFonts w:hint="eastAsia" w:ascii="宋体" w:hAnsi="宋体" w:eastAsia="宋体" w:cs="宋体"/>
          <w:color w:val="auto"/>
          <w:highlight w:val="none"/>
        </w:rPr>
        <w:t>3. 报价人资格要求</w:t>
      </w:r>
      <w:bookmarkEnd w:id="37"/>
      <w:bookmarkEnd w:id="38"/>
      <w:bookmarkEnd w:id="39"/>
      <w:bookmarkEnd w:id="40"/>
      <w:bookmarkEnd w:id="41"/>
      <w:bookmarkEnd w:id="42"/>
      <w:bookmarkEnd w:id="43"/>
      <w:bookmarkEnd w:id="44"/>
      <w:bookmarkEnd w:id="45"/>
      <w:bookmarkEnd w:id="46"/>
      <w:bookmarkEnd w:id="47"/>
      <w:bookmarkEnd w:id="48"/>
      <w:bookmarkEnd w:id="50"/>
    </w:p>
    <w:p>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51" w:name="_Toc152042291"/>
      <w:bookmarkStart w:id="52" w:name="_Toc246996161"/>
      <w:bookmarkStart w:id="53" w:name="_Toc247085675"/>
      <w:bookmarkStart w:id="54" w:name="_Toc246996904"/>
      <w:bookmarkStart w:id="55" w:name="_Toc179632531"/>
      <w:bookmarkStart w:id="56" w:name="_Toc152045515"/>
      <w:bookmarkStart w:id="57" w:name="_Toc144974483"/>
      <w:r>
        <w:rPr>
          <w:rFonts w:hint="eastAsia" w:ascii="宋体" w:hAnsi="宋体" w:cs="宋体"/>
          <w:color w:val="auto"/>
          <w:sz w:val="21"/>
          <w:szCs w:val="21"/>
          <w:highlight w:val="none"/>
          <w:lang w:val="en-US" w:eastAsia="zh-CN"/>
        </w:rPr>
        <w:t>3.1 资质要求：</w:t>
      </w:r>
      <w:bookmarkStart w:id="58" w:name="资质要求"/>
      <w:r>
        <w:rPr>
          <w:rFonts w:hint="eastAsia" w:ascii="宋体" w:hAnsi="宋体" w:cs="宋体"/>
          <w:color w:val="auto"/>
          <w:sz w:val="21"/>
          <w:szCs w:val="21"/>
          <w:highlight w:val="none"/>
          <w:lang w:val="en-US" w:eastAsia="zh-CN"/>
        </w:rPr>
        <w:t>报价人具有独立法人资格和有效的营业执照。</w:t>
      </w:r>
      <w:bookmarkEnd w:id="58"/>
    </w:p>
    <w:p>
      <w:pPr>
        <w:pStyle w:val="13"/>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w:t>
      </w:r>
      <w:bookmarkStart w:id="59" w:name="业绩要求"/>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2022年1月1日至报价截止日期（以合同签订时间为准）至少完成一项合同金额不低于15万元的信息安全服务相关业绩（提供合同扫描件）。</w:t>
      </w:r>
      <w:bookmarkEnd w:id="59"/>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60" w:name="_Toc13035"/>
      <w:bookmarkStart w:id="61" w:name="_Toc14361"/>
      <w:bookmarkStart w:id="62" w:name="_Toc12460"/>
      <w:bookmarkStart w:id="63" w:name="_Toc507319894"/>
      <w:bookmarkStart w:id="64" w:name="_Toc25619"/>
      <w:bookmarkStart w:id="65" w:name="_Toc11329216"/>
      <w:r>
        <w:rPr>
          <w:rFonts w:hint="eastAsia" w:ascii="宋体" w:hAnsi="宋体" w:eastAsia="宋体" w:cs="宋体"/>
          <w:color w:val="auto"/>
          <w:highlight w:val="none"/>
        </w:rPr>
        <w:t>4. 评标办法</w:t>
      </w:r>
      <w:bookmarkEnd w:id="60"/>
    </w:p>
    <w:p>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pPr>
        <w:pStyle w:val="4"/>
        <w:spacing w:before="120" w:after="0" w:line="400" w:lineRule="exact"/>
        <w:rPr>
          <w:rFonts w:ascii="宋体" w:hAnsi="宋体" w:eastAsia="宋体" w:cs="宋体"/>
          <w:color w:val="auto"/>
          <w:highlight w:val="none"/>
        </w:rPr>
      </w:pPr>
      <w:bookmarkStart w:id="66" w:name="_Toc1760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1"/>
      <w:bookmarkEnd w:id="52"/>
      <w:bookmarkEnd w:id="53"/>
      <w:bookmarkEnd w:id="54"/>
      <w:bookmarkEnd w:id="55"/>
      <w:bookmarkEnd w:id="56"/>
      <w:bookmarkEnd w:id="57"/>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67" w:name="_Toc144974484"/>
      <w:bookmarkStart w:id="68" w:name="_Toc246996905"/>
      <w:bookmarkStart w:id="69" w:name="_Toc507319895"/>
      <w:bookmarkStart w:id="70" w:name="_Toc246996162"/>
      <w:bookmarkStart w:id="71" w:name="_Toc247085676"/>
      <w:bookmarkStart w:id="72" w:name="_Toc11329217"/>
      <w:bookmarkStart w:id="73" w:name="_Toc179632532"/>
      <w:bookmarkStart w:id="74" w:name="_Toc152045516"/>
      <w:bookmarkStart w:id="75" w:name="_Toc152042292"/>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highlight w:val="none"/>
        </w:rPr>
      </w:pPr>
      <w:bookmarkStart w:id="76" w:name="_Toc14325"/>
      <w:bookmarkStart w:id="77" w:name="_Toc31493"/>
      <w:bookmarkStart w:id="78" w:name="_Toc9131"/>
      <w:bookmarkStart w:id="79"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color w:val="auto"/>
          <w:highlight w:val="none"/>
        </w:rPr>
        <w:t>及相关事宜</w:t>
      </w:r>
      <w:bookmarkEnd w:id="76"/>
      <w:bookmarkEnd w:id="77"/>
      <w:bookmarkEnd w:id="78"/>
      <w:bookmarkEnd w:id="79"/>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80"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0"/>
      <w:bookmarkStart w:id="241" w:name="_GoBack"/>
      <w:bookmarkEnd w:id="241"/>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正规快递公司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竞争性比选响应文件邮寄至重庆首讯科技股份有限公司（邮寄地址同6.3递交地点），否则采购人有权拒收，采用邮寄方式的报价人默认认可采购人的开标结果，不得由此提出任何质疑。</w:t>
      </w:r>
    </w:p>
    <w:p>
      <w:pPr>
        <w:pStyle w:val="4"/>
        <w:spacing w:before="120" w:after="0" w:line="400" w:lineRule="exact"/>
        <w:rPr>
          <w:rFonts w:ascii="宋体" w:hAnsi="宋体" w:eastAsia="宋体" w:cs="宋体"/>
          <w:color w:val="auto"/>
          <w:highlight w:val="none"/>
        </w:rPr>
      </w:pPr>
      <w:bookmarkStart w:id="81" w:name="_Toc152045517"/>
      <w:bookmarkStart w:id="82" w:name="_Toc152042293"/>
      <w:bookmarkStart w:id="83" w:name="_Toc4010"/>
      <w:bookmarkStart w:id="84" w:name="_Toc179632534"/>
      <w:bookmarkStart w:id="85" w:name="_Toc246996907"/>
      <w:bookmarkStart w:id="86" w:name="_Toc247085678"/>
      <w:bookmarkStart w:id="87" w:name="_Toc393"/>
      <w:bookmarkStart w:id="88" w:name="_Toc21615"/>
      <w:bookmarkStart w:id="89" w:name="_Toc144974485"/>
      <w:bookmarkStart w:id="90" w:name="_Toc246996164"/>
      <w:bookmarkStart w:id="91" w:name="_Toc507319897"/>
      <w:bookmarkStart w:id="92" w:name="_Toc18402"/>
      <w:bookmarkStart w:id="93" w:name="_Toc11329219"/>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1"/>
      <w:bookmarkEnd w:id="82"/>
      <w:bookmarkEnd w:id="83"/>
      <w:bookmarkEnd w:id="84"/>
      <w:bookmarkEnd w:id="85"/>
      <w:bookmarkEnd w:id="86"/>
      <w:bookmarkEnd w:id="87"/>
      <w:bookmarkEnd w:id="88"/>
      <w:bookmarkEnd w:id="89"/>
      <w:bookmarkEnd w:id="90"/>
      <w:bookmarkEnd w:id="91"/>
      <w:bookmarkEnd w:id="92"/>
      <w:bookmarkEnd w:id="93"/>
    </w:p>
    <w:tbl>
      <w:tblPr>
        <w:tblStyle w:val="42"/>
        <w:tblW w:w="9709" w:type="dxa"/>
        <w:tblInd w:w="0" w:type="dxa"/>
        <w:tblLayout w:type="fixed"/>
        <w:tblCellMar>
          <w:top w:w="0" w:type="dxa"/>
          <w:left w:w="108" w:type="dxa"/>
          <w:bottom w:w="0" w:type="dxa"/>
          <w:right w:w="108" w:type="dxa"/>
        </w:tblCellMar>
      </w:tblPr>
      <w:tblGrid>
        <w:gridCol w:w="9709"/>
      </w:tblGrid>
      <w:tr>
        <w:tblPrEx>
          <w:tblCellMar>
            <w:top w:w="0" w:type="dxa"/>
            <w:left w:w="108" w:type="dxa"/>
            <w:bottom w:w="0" w:type="dxa"/>
            <w:right w:w="108" w:type="dxa"/>
          </w:tblCellMar>
        </w:tblPrEx>
        <w:trPr>
          <w:trHeight w:val="520" w:hRule="atLeast"/>
        </w:trPr>
        <w:tc>
          <w:tcPr>
            <w:tcW w:w="9709" w:type="dxa"/>
            <w:vAlign w:val="center"/>
          </w:tcPr>
          <w:p>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tblPrEx>
          <w:tblCellMar>
            <w:top w:w="0" w:type="dxa"/>
            <w:left w:w="108" w:type="dxa"/>
            <w:bottom w:w="0" w:type="dxa"/>
            <w:right w:w="108" w:type="dxa"/>
          </w:tblCellMar>
        </w:tblPrEx>
        <w:trPr>
          <w:trHeight w:val="510" w:hRule="atLeast"/>
        </w:trPr>
        <w:tc>
          <w:tcPr>
            <w:tcW w:w="9709" w:type="dxa"/>
            <w:vAlign w:val="center"/>
          </w:tcPr>
          <w:p>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tblPrEx>
          <w:tblCellMar>
            <w:top w:w="0" w:type="dxa"/>
            <w:left w:w="108" w:type="dxa"/>
            <w:bottom w:w="0" w:type="dxa"/>
            <w:right w:w="108" w:type="dxa"/>
          </w:tblCellMar>
        </w:tblPrEx>
        <w:trPr>
          <w:trHeight w:val="520" w:hRule="atLeast"/>
        </w:trPr>
        <w:tc>
          <w:tcPr>
            <w:tcW w:w="9709" w:type="dxa"/>
            <w:vAlign w:val="center"/>
          </w:tcPr>
          <w:p>
            <w:pPr>
              <w:topLinePunct/>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技术联系人：赖老师  电 话：18623692272</w:t>
            </w:r>
          </w:p>
        </w:tc>
      </w:tr>
      <w:tr>
        <w:tblPrEx>
          <w:tblCellMar>
            <w:top w:w="0" w:type="dxa"/>
            <w:left w:w="108" w:type="dxa"/>
            <w:bottom w:w="0" w:type="dxa"/>
            <w:right w:w="108" w:type="dxa"/>
          </w:tblCellMar>
        </w:tblPrEx>
        <w:trPr>
          <w:trHeight w:val="448" w:hRule="atLeast"/>
        </w:trPr>
        <w:tc>
          <w:tcPr>
            <w:tcW w:w="9709" w:type="dxa"/>
            <w:vAlign w:val="center"/>
          </w:tcPr>
          <w:p>
            <w:pPr>
              <w:topLinePunct/>
              <w:spacing w:line="420" w:lineRule="exact"/>
              <w:ind w:firstLine="420" w:firstLineChars="200"/>
              <w:rPr>
                <w:rFonts w:hint="default" w:eastAsia="宋体"/>
                <w:color w:val="auto"/>
                <w:highlight w:val="none"/>
                <w:lang w:val="en-US" w:eastAsia="zh-CN"/>
              </w:rPr>
            </w:pPr>
            <w:r>
              <w:rPr>
                <w:rFonts w:hint="eastAsia" w:ascii="宋体" w:hAnsi="宋体" w:cs="宋体"/>
                <w:szCs w:val="21"/>
                <w:highlight w:val="none"/>
              </w:rPr>
              <w:t>商务联系人：刘老师  电 话：18623655450</w:t>
            </w:r>
          </w:p>
        </w:tc>
      </w:tr>
    </w:tbl>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3"/>
        <w:spacing w:before="0" w:after="0" w:line="360" w:lineRule="auto"/>
        <w:jc w:val="center"/>
        <w:rPr>
          <w:rFonts w:ascii="宋体" w:hAnsi="宋体" w:cs="宋体"/>
          <w:color w:val="auto"/>
          <w:highlight w:val="none"/>
        </w:rPr>
      </w:pPr>
      <w:bookmarkStart w:id="94" w:name="_Toc2000405"/>
      <w:bookmarkStart w:id="95" w:name="_Toc246996173"/>
      <w:bookmarkStart w:id="96" w:name="_Toc152045527"/>
      <w:bookmarkStart w:id="97" w:name="_Toc179632544"/>
      <w:bookmarkStart w:id="98" w:name="_Toc152042303"/>
      <w:bookmarkStart w:id="99" w:name="_Toc246996916"/>
      <w:bookmarkStart w:id="100" w:name="_Toc247085687"/>
      <w:bookmarkStart w:id="101" w:name="_Toc507319898"/>
      <w:bookmarkStart w:id="102" w:name="_Toc144974495"/>
      <w:r>
        <w:rPr>
          <w:rFonts w:hint="eastAsia" w:ascii="宋体" w:hAnsi="宋体" w:cs="宋体"/>
          <w:color w:val="auto"/>
          <w:highlight w:val="none"/>
        </w:rPr>
        <w:br w:type="page"/>
      </w:r>
      <w:bookmarkStart w:id="103" w:name="_Toc12865"/>
      <w:r>
        <w:rPr>
          <w:rFonts w:hint="eastAsia" w:ascii="宋体" w:hAnsi="宋体" w:cs="宋体"/>
          <w:color w:val="auto"/>
          <w:highlight w:val="none"/>
        </w:rPr>
        <w:t>第二章 报价人须知</w:t>
      </w:r>
      <w:bookmarkEnd w:id="94"/>
      <w:bookmarkEnd w:id="95"/>
      <w:bookmarkEnd w:id="96"/>
      <w:bookmarkEnd w:id="97"/>
      <w:bookmarkEnd w:id="98"/>
      <w:bookmarkEnd w:id="99"/>
      <w:bookmarkEnd w:id="100"/>
      <w:bookmarkEnd w:id="101"/>
      <w:bookmarkEnd w:id="102"/>
      <w:bookmarkEnd w:id="103"/>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04" w:name="_Toc326760840"/>
            <w:r>
              <w:rPr>
                <w:rFonts w:hint="eastAsia" w:ascii="宋体" w:hAnsi="宋体" w:cs="宋体"/>
                <w:b/>
                <w:color w:val="auto"/>
                <w:kern w:val="0"/>
                <w:szCs w:val="21"/>
                <w:highlight w:val="none"/>
              </w:rPr>
              <w:t>序号</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联系人：刘老师</w:t>
            </w:r>
          </w:p>
          <w:p>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szCs w:val="21"/>
                <w:highlight w:val="none"/>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bookmarkStart w:id="105" w:name="单据名称2"/>
            <w:r>
              <w:rPr>
                <w:rFonts w:hint="eastAsia" w:ascii="宋体" w:hAnsi="宋体" w:cs="宋体"/>
                <w:i w:val="0"/>
                <w:iCs w:val="0"/>
                <w:color w:val="auto"/>
                <w:szCs w:val="21"/>
                <w:highlight w:val="none"/>
                <w:u w:val="single"/>
                <w:lang w:val="en-US" w:eastAsia="zh-CN"/>
              </w:rPr>
              <w:t>首讯公司云原生平台安全技术服务</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 xml:space="preserve"> 337515.00 </w:t>
            </w:r>
            <w:r>
              <w:rPr>
                <w:rFonts w:hint="eastAsia" w:ascii="宋体" w:hAnsi="宋体"/>
                <w:b/>
                <w:bCs/>
                <w:color w:val="auto"/>
                <w:szCs w:val="21"/>
                <w:highlight w:val="none"/>
              </w:rPr>
              <w:t>元。</w:t>
            </w:r>
          </w:p>
          <w:p>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pPr>
              <w:keepNext w:val="0"/>
              <w:keepLines w:val="0"/>
              <w:pageBreakBefore w:val="0"/>
              <w:widowControl w:val="0"/>
              <w:numPr>
                <w:ilvl w:val="0"/>
                <w:numId w:val="2"/>
              </w:numPr>
              <w:kinsoku/>
              <w:wordWrap/>
              <w:overflowPunct/>
              <w:bidi w:val="0"/>
              <w:spacing w:line="400" w:lineRule="exact"/>
              <w:ind w:firstLine="420" w:firstLineChars="200"/>
              <w:jc w:val="both"/>
              <w:textAlignment w:val="auto"/>
              <w:rPr>
                <w:rFonts w:hint="eastAsia" w:ascii="宋体" w:hAnsi="宋体" w:cs="宋体"/>
                <w:b w:val="0"/>
                <w:bCs w:val="0"/>
                <w:color w:val="auto"/>
                <w:sz w:val="21"/>
                <w:szCs w:val="21"/>
                <w:highlight w:val="none"/>
                <w:lang w:val="en-US" w:eastAsia="zh-CN"/>
              </w:rPr>
            </w:pPr>
            <w:bookmarkStart w:id="106" w:name="支付方式"/>
            <w:r>
              <w:rPr>
                <w:rFonts w:hint="eastAsia" w:ascii="宋体" w:hAnsi="宋体" w:cs="宋体"/>
                <w:b w:val="0"/>
                <w:bCs w:val="0"/>
                <w:color w:val="auto"/>
                <w:sz w:val="21"/>
                <w:szCs w:val="21"/>
                <w:highlight w:val="none"/>
                <w:lang w:val="en-US" w:eastAsia="zh-CN"/>
              </w:rPr>
              <w:t>乙方完成全部服务内容后，经甲方验收合格后30个工作日内，甲方向乙方支付至结算金额的95%。</w:t>
            </w:r>
          </w:p>
          <w:p>
            <w:pPr>
              <w:keepNext w:val="0"/>
              <w:keepLines w:val="0"/>
              <w:pageBreakBefore w:val="0"/>
              <w:widowControl w:val="0"/>
              <w:numPr>
                <w:ilvl w:val="0"/>
                <w:numId w:val="2"/>
              </w:numPr>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cs="宋体"/>
                <w:b w:val="0"/>
                <w:bCs w:val="0"/>
                <w:color w:val="auto"/>
                <w:sz w:val="21"/>
                <w:szCs w:val="21"/>
                <w:highlight w:val="none"/>
                <w:lang w:val="en-US" w:eastAsia="zh-CN"/>
              </w:rPr>
              <w:t>剩余5%为质量保证金，质保期12个月满后，由乙方主动提出书面申请，经甲方相关业务部门确认后，30个工作日内全额支付（质量保证金不计任何利息）。</w:t>
            </w:r>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bookmarkStart w:id="107" w:name="是否提供投标保证金"/>
            <w:r>
              <w:rPr>
                <w:rFonts w:hint="eastAsia" w:hAnsi="宋体" w:cs="宋体"/>
                <w:b w:val="0"/>
                <w:bCs w:val="0"/>
                <w:color w:val="auto"/>
                <w:kern w:val="0"/>
                <w:sz w:val="21"/>
                <w:szCs w:val="18"/>
                <w:highlight w:val="none"/>
                <w:lang w:val="en-US" w:eastAsia="zh-CN" w:bidi="ar"/>
              </w:rPr>
              <w:t>是</w:t>
            </w:r>
            <w:bookmarkEnd w:id="107"/>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bookmarkStart w:id="108" w:name="投标保证金"/>
            <w:r>
              <w:rPr>
                <w:rFonts w:hint="eastAsia" w:hAnsi="宋体" w:cs="宋体"/>
                <w:color w:val="auto"/>
                <w:sz w:val="21"/>
                <w:szCs w:val="21"/>
                <w:highlight w:val="none"/>
                <w:u w:val="single"/>
                <w:lang w:val="en-US" w:eastAsia="zh-CN"/>
              </w:rPr>
              <w:t>2000.00</w:t>
            </w:r>
            <w:bookmarkEnd w:id="108"/>
            <w:r>
              <w:rPr>
                <w:rFonts w:hint="eastAsia" w:ascii="宋体" w:hAnsi="宋体" w:eastAsia="宋体" w:cs="宋体"/>
                <w:color w:val="auto"/>
                <w:sz w:val="21"/>
                <w:szCs w:val="21"/>
                <w:highlight w:val="none"/>
              </w:rPr>
              <w:t>元，由报价人从公司基本账户将投标保证金汇至以下指定账户：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bookmarkStart w:id="109" w:name="单据名称3"/>
            <w:r>
              <w:rPr>
                <w:rFonts w:hint="eastAsia" w:ascii="宋体" w:hAnsi="宋体" w:eastAsia="宋体" w:cs="宋体"/>
                <w:i w:val="0"/>
                <w:iCs w:val="0"/>
                <w:color w:val="auto"/>
                <w:sz w:val="21"/>
                <w:szCs w:val="21"/>
                <w:highlight w:val="none"/>
                <w:u w:val="single"/>
              </w:rPr>
              <w:t>首讯公司云原生平台安全技术服务</w:t>
            </w:r>
            <w:bookmarkEnd w:id="109"/>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3、若本项目“第一次”采购失败，采购人发布“第二次”采购后，报价人可沿用“第一次”采购递交的投标保证金，无需重复递交投标保证金。</w:t>
            </w:r>
          </w:p>
          <w:p>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bookmarkStart w:id="110" w:name="是否提供履约保证金"/>
            <w:r>
              <w:rPr>
                <w:rFonts w:hint="eastAsia" w:hAnsi="宋体" w:cs="宋体"/>
                <w:b w:val="0"/>
                <w:bCs w:val="0"/>
                <w:color w:val="auto"/>
                <w:kern w:val="0"/>
                <w:sz w:val="21"/>
                <w:szCs w:val="18"/>
                <w:highlight w:val="none"/>
                <w:lang w:val="en-US" w:eastAsia="zh-CN" w:bidi="ar"/>
              </w:rPr>
              <w:t>是</w:t>
            </w:r>
            <w:bookmarkEnd w:id="110"/>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bookmarkStart w:id="111" w:name="履约保证金"/>
            <w:r>
              <w:rPr>
                <w:rFonts w:hint="eastAsia" w:hAnsi="宋体"/>
                <w:color w:val="auto"/>
                <w:kern w:val="2"/>
                <w:sz w:val="21"/>
                <w:szCs w:val="21"/>
                <w:highlight w:val="none"/>
                <w:u w:val="single"/>
                <w:lang w:val="en-US" w:eastAsia="zh-CN"/>
              </w:rPr>
              <w:t>合同金额的10%</w:t>
            </w:r>
            <w:bookmarkEnd w:id="111"/>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bookmarkStart w:id="112" w:name="单据名称4"/>
            <w:r>
              <w:rPr>
                <w:rFonts w:hint="eastAsia" w:ascii="宋体" w:hAnsi="宋体" w:eastAsia="宋体" w:cs="宋体"/>
                <w:i w:val="0"/>
                <w:iCs w:val="0"/>
                <w:color w:val="auto"/>
                <w:sz w:val="21"/>
                <w:szCs w:val="21"/>
                <w:highlight w:val="none"/>
                <w:u w:val="single"/>
              </w:rPr>
              <w:t>首讯公司云原生平台安全技术服务</w:t>
            </w:r>
            <w:bookmarkEnd w:id="112"/>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bookmarkStart w:id="113" w:name="是否提供低价风险担保金"/>
            <w:r>
              <w:rPr>
                <w:rFonts w:hint="eastAsia" w:ascii="宋体" w:hAnsi="宋体" w:cs="宋体"/>
                <w:b w:val="0"/>
                <w:bCs w:val="0"/>
                <w:color w:val="auto"/>
                <w:kern w:val="0"/>
                <w:sz w:val="21"/>
                <w:szCs w:val="18"/>
                <w:highlight w:val="none"/>
                <w:lang w:val="en-US" w:eastAsia="zh-CN" w:bidi="ar"/>
              </w:rPr>
              <w:t>否</w:t>
            </w:r>
            <w:bookmarkEnd w:id="113"/>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pPr>
              <w:pStyle w:val="149"/>
              <w:keepNext w:val="0"/>
              <w:keepLines w:val="0"/>
              <w:pageBreakBefore w:val="0"/>
              <w:widowControl w:val="0"/>
              <w:kinsoku/>
              <w:wordWrap/>
              <w:overflowPunct/>
              <w:bidi w:val="0"/>
              <w:spacing w:line="400" w:lineRule="exact"/>
              <w:ind w:firstLine="420" w:firstLineChars="200"/>
              <w:textAlignment w:val="auto"/>
              <w:rPr>
                <w:rFonts w:hint="eastAsia" w:hAnsi="宋体"/>
                <w:color w:val="auto"/>
                <w:sz w:val="21"/>
                <w:szCs w:val="21"/>
                <w:highlight w:val="none"/>
              </w:rPr>
            </w:pPr>
            <w:r>
              <w:rPr>
                <w:rFonts w:hint="eastAsia" w:hAnsi="宋体"/>
                <w:color w:val="auto"/>
                <w:sz w:val="21"/>
                <w:szCs w:val="21"/>
                <w:highlight w:val="none"/>
                <w:lang w:val="en-US" w:eastAsia="zh-CN"/>
              </w:rPr>
              <w:t>需提供投标保证金银行回执（如有）。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w:t>
            </w:r>
            <w:r>
              <w:rPr>
                <w:rFonts w:hint="eastAsia" w:ascii="宋体" w:hAnsi="宋体" w:cs="宋体"/>
                <w:color w:val="auto"/>
                <w:sz w:val="21"/>
                <w:szCs w:val="21"/>
                <w:highlight w:val="none"/>
                <w:lang w:val="en-US" w:eastAsia="zh-CN"/>
              </w:rPr>
              <w:t>及支付方式</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val="en-US" w:eastAsia="zh-CN"/>
              </w:rPr>
              <w:t>一切</w:t>
            </w:r>
            <w:r>
              <w:rPr>
                <w:rFonts w:hint="eastAsia" w:ascii="宋体" w:hAnsi="宋体" w:eastAsia="宋体" w:cs="宋体"/>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26.5</w:t>
            </w:r>
          </w:p>
        </w:tc>
        <w:tc>
          <w:tcPr>
            <w:tcW w:w="9210"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04"/>
    </w:tbl>
    <w:p>
      <w:pPr>
        <w:rPr>
          <w:color w:val="auto"/>
          <w:highlight w:val="none"/>
        </w:rPr>
      </w:pPr>
    </w:p>
    <w:p>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4" w:name="_Hlt227984024"/>
      <w:bookmarkEnd w:id="114"/>
    </w:p>
    <w:p>
      <w:pPr>
        <w:pStyle w:val="4"/>
        <w:jc w:val="center"/>
        <w:rPr>
          <w:rFonts w:ascii="宋体" w:hAnsi="宋体" w:eastAsia="宋体" w:cs="宋体"/>
          <w:bCs w:val="0"/>
          <w:color w:val="auto"/>
          <w:sz w:val="28"/>
          <w:szCs w:val="28"/>
          <w:highlight w:val="none"/>
        </w:rPr>
      </w:pPr>
      <w:bookmarkStart w:id="115" w:name="_Toc17532"/>
      <w:bookmarkStart w:id="116" w:name="_Toc11284"/>
      <w:bookmarkStart w:id="117" w:name="_Toc30198"/>
      <w:bookmarkStart w:id="118" w:name="_Toc11329222"/>
      <w:bookmarkStart w:id="119" w:name="_Toc21580"/>
      <w:r>
        <w:rPr>
          <w:rFonts w:hint="eastAsia" w:ascii="宋体" w:hAnsi="宋体" w:eastAsia="宋体" w:cs="宋体"/>
          <w:color w:val="auto"/>
          <w:sz w:val="28"/>
          <w:szCs w:val="28"/>
          <w:highlight w:val="none"/>
        </w:rPr>
        <w:t xml:space="preserve">附录1  </w:t>
      </w:r>
      <w:bookmarkEnd w:id="115"/>
      <w:bookmarkEnd w:id="116"/>
      <w:bookmarkEnd w:id="117"/>
      <w:bookmarkEnd w:id="118"/>
      <w:bookmarkStart w:id="120" w:name="_Toc25591"/>
      <w:bookmarkStart w:id="121" w:name="_Toc11329226"/>
      <w:bookmarkStart w:id="122" w:name="_Toc27096"/>
      <w:bookmarkStart w:id="123" w:name="_Toc12773"/>
      <w:r>
        <w:rPr>
          <w:rFonts w:hint="eastAsia" w:ascii="宋体" w:hAnsi="宋体" w:eastAsia="宋体" w:cs="宋体"/>
          <w:bCs w:val="0"/>
          <w:color w:val="auto"/>
          <w:sz w:val="28"/>
          <w:szCs w:val="28"/>
          <w:highlight w:val="none"/>
        </w:rPr>
        <w:t>报价人资格要求</w:t>
      </w:r>
      <w:bookmarkEnd w:id="119"/>
      <w:bookmarkEnd w:id="120"/>
      <w:bookmarkEnd w:id="121"/>
      <w:bookmarkEnd w:id="122"/>
      <w:bookmarkEnd w:id="123"/>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bookmarkStart w:id="124" w:name="_Toc388534043"/>
            <w:bookmarkStart w:id="125"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auto"/>
                <w:szCs w:val="21"/>
                <w:highlight w:val="none"/>
              </w:rPr>
            </w:pPr>
            <w:bookmarkStart w:id="126" w:name="资质要求1"/>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127" w:name="业绩要求1"/>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2022年1月1日至报价截止日期（以合同签订时间为准）至少完成一项合同金额不低于15万元的信息安全服务相关业绩（提供合同扫描件）。</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28" w:name="主要管理人员要求"/>
            <w:r>
              <w:rPr>
                <w:rFonts w:hint="eastAsia" w:ascii="宋体" w:hAnsi="宋体" w:eastAsia="宋体" w:cs="宋体"/>
                <w:color w:val="auto"/>
                <w:sz w:val="21"/>
                <w:szCs w:val="21"/>
                <w:highlight w:val="none"/>
                <w:lang w:val="en-US" w:eastAsia="zh-CN"/>
              </w:rPr>
              <w:t>项目负责人，1人，具有3年以上工作经验，为计算机、通信、数据处理相关专业人员。</w:t>
            </w:r>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129" w:name="其他人员要求"/>
            <w:r>
              <w:rPr>
                <w:rFonts w:hint="eastAsia" w:ascii="宋体" w:hAnsi="宋体" w:cs="宋体"/>
                <w:b w:val="0"/>
                <w:bCs w:val="0"/>
                <w:color w:val="auto"/>
                <w:szCs w:val="21"/>
                <w:highlight w:val="none"/>
                <w:lang w:val="en-US" w:eastAsia="zh-CN"/>
              </w:rPr>
              <w:t>根据项目实际进度情况及时增加人员，满足项目工期和质量的要求。</w:t>
            </w:r>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4.提供人员资格要求承诺函（格式自拟）。</w:t>
      </w:r>
    </w:p>
    <w:p>
      <w:pPr>
        <w:pStyle w:val="28"/>
        <w:rPr>
          <w:color w:val="auto"/>
          <w:highlight w:val="none"/>
        </w:rPr>
      </w:pPr>
    </w:p>
    <w:bookmarkEnd w:id="124"/>
    <w:bookmarkEnd w:id="125"/>
    <w:p>
      <w:pPr>
        <w:spacing w:line="440" w:lineRule="exact"/>
        <w:ind w:firstLine="210" w:firstLineChars="100"/>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color w:val="auto"/>
          <w:highlight w:val="none"/>
        </w:rPr>
      </w:pPr>
      <w:r>
        <w:rPr>
          <w:color w:val="auto"/>
          <w:highlight w:val="none"/>
        </w:rPr>
        <w:br w:type="page"/>
      </w:r>
    </w:p>
    <w:p>
      <w:pPr>
        <w:pStyle w:val="3"/>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30" w:name="_Toc31719"/>
      <w:bookmarkStart w:id="131" w:name="_Toc31054"/>
      <w:r>
        <w:rPr>
          <w:rFonts w:hint="eastAsia" w:ascii="宋体" w:hAnsi="宋体" w:cs="宋体"/>
          <w:color w:val="auto"/>
          <w:highlight w:val="none"/>
        </w:rPr>
        <w:t>评标办法（综合评估法）</w:t>
      </w:r>
      <w:bookmarkEnd w:id="130"/>
      <w:bookmarkEnd w:id="131"/>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主要管理人员要求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其他人员要求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pPr>
              <w:pStyle w:val="120"/>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b w:val="0"/>
                <w:i/>
                <w:iCs/>
                <w:caps w:val="0"/>
                <w:color w:val="auto"/>
                <w:sz w:val="21"/>
                <w:szCs w:val="21"/>
                <w:highlight w:val="none"/>
                <w:lang w:val="en-US" w:eastAsia="zh-CN"/>
              </w:rPr>
              <w:t>技术参数应答</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b w:val="0"/>
                <w:i/>
                <w:iCs/>
                <w:caps w:val="0"/>
                <w:color w:val="auto"/>
                <w:sz w:val="21"/>
                <w:szCs w:val="21"/>
                <w:highlight w:val="none"/>
                <w:lang w:val="en-US" w:eastAsia="zh-CN"/>
              </w:rPr>
              <w:t>（10分）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7"/>
              <w:widowControl w:val="0"/>
              <w:adjustRightInd w:val="0"/>
              <w:spacing w:before="0" w:beforeAutospacing="0" w:after="0" w:afterAutospacing="0" w:line="360" w:lineRule="exact"/>
              <w:ind w:firstLine="420" w:firstLineChars="200"/>
              <w:jc w:val="both"/>
              <w:textAlignment w:val="baseline"/>
              <w:rPr>
                <w:rFonts w:hint="eastAsia"/>
                <w:bCs/>
                <w:kern w:val="2"/>
                <w:sz w:val="21"/>
                <w:szCs w:val="21"/>
                <w:highlight w:val="none"/>
              </w:rPr>
            </w:pPr>
            <w:r>
              <w:rPr>
                <w:rFonts w:hint="eastAsia"/>
                <w:bCs/>
                <w:kern w:val="2"/>
                <w:sz w:val="21"/>
                <w:szCs w:val="21"/>
                <w:highlight w:val="none"/>
                <w:lang w:val="en-US" w:eastAsia="zh-CN" w:bidi="ar"/>
              </w:rPr>
              <w:t>按照本竞争性比选函中的《</w:t>
            </w:r>
            <w:r>
              <w:rPr>
                <w:rFonts w:hint="eastAsia"/>
                <w:bCs/>
                <w:kern w:val="2"/>
                <w:sz w:val="21"/>
                <w:szCs w:val="21"/>
                <w:highlight w:val="none"/>
                <w:lang w:bidi="ar"/>
              </w:rPr>
              <w:t>第</w:t>
            </w:r>
            <w:r>
              <w:rPr>
                <w:rFonts w:hint="eastAsia"/>
                <w:bCs/>
                <w:kern w:val="2"/>
                <w:sz w:val="21"/>
                <w:szCs w:val="21"/>
                <w:highlight w:val="none"/>
                <w:lang w:val="en-US" w:eastAsia="zh-CN" w:bidi="ar"/>
              </w:rPr>
              <w:t>四</w:t>
            </w:r>
            <w:r>
              <w:rPr>
                <w:rFonts w:hint="eastAsia"/>
                <w:bCs/>
                <w:kern w:val="2"/>
                <w:sz w:val="21"/>
                <w:szCs w:val="21"/>
                <w:highlight w:val="none"/>
                <w:lang w:bidi="ar"/>
              </w:rPr>
              <w:t xml:space="preserve">章 </w:t>
            </w:r>
            <w:r>
              <w:rPr>
                <w:rFonts w:hint="eastAsia"/>
                <w:bCs/>
                <w:kern w:val="2"/>
                <w:sz w:val="21"/>
                <w:szCs w:val="21"/>
                <w:highlight w:val="none"/>
                <w:lang w:val="en-US" w:eastAsia="zh-CN" w:bidi="ar"/>
              </w:rPr>
              <w:t>服务要求</w:t>
            </w:r>
            <w:r>
              <w:rPr>
                <w:rFonts w:hint="eastAsia"/>
                <w:bCs/>
                <w:kern w:val="2"/>
                <w:sz w:val="21"/>
                <w:szCs w:val="21"/>
                <w:highlight w:val="none"/>
                <w:lang w:eastAsia="zh-CN" w:bidi="ar"/>
              </w:rPr>
              <w:t>》</w:t>
            </w:r>
            <w:r>
              <w:rPr>
                <w:rFonts w:hint="eastAsia"/>
                <w:bCs/>
                <w:kern w:val="2"/>
                <w:sz w:val="21"/>
                <w:szCs w:val="21"/>
                <w:highlight w:val="none"/>
                <w:lang w:bidi="ar"/>
              </w:rPr>
              <w:t>中</w:t>
            </w:r>
            <w:r>
              <w:rPr>
                <w:rFonts w:hint="eastAsia"/>
                <w:bCs/>
                <w:kern w:val="2"/>
                <w:sz w:val="21"/>
                <w:szCs w:val="21"/>
                <w:highlight w:val="none"/>
                <w:lang w:val="en-US" w:eastAsia="zh-CN" w:bidi="ar"/>
              </w:rPr>
              <w:t>证明材料要求为</w:t>
            </w:r>
            <w:r>
              <w:rPr>
                <w:rFonts w:hint="eastAsia"/>
                <w:bCs/>
                <w:kern w:val="2"/>
                <w:sz w:val="21"/>
                <w:szCs w:val="21"/>
                <w:highlight w:val="none"/>
                <w:lang w:bidi="ar"/>
              </w:rPr>
              <w:t>“</w:t>
            </w:r>
            <w:r>
              <w:rPr>
                <w:rFonts w:hint="eastAsia"/>
                <w:bCs/>
                <w:kern w:val="2"/>
                <w:sz w:val="21"/>
                <w:szCs w:val="21"/>
                <w:highlight w:val="none"/>
                <w:lang w:val="en-US" w:eastAsia="zh-CN" w:bidi="ar"/>
              </w:rPr>
              <w:t>是</w:t>
            </w:r>
            <w:r>
              <w:rPr>
                <w:rFonts w:hint="eastAsia"/>
                <w:bCs/>
                <w:kern w:val="2"/>
                <w:sz w:val="21"/>
                <w:szCs w:val="21"/>
                <w:highlight w:val="none"/>
                <w:lang w:bidi="ar"/>
              </w:rPr>
              <w:t>”标注的</w:t>
            </w:r>
            <w:r>
              <w:rPr>
                <w:rFonts w:hint="eastAsia"/>
                <w:bCs/>
                <w:kern w:val="2"/>
                <w:sz w:val="21"/>
                <w:szCs w:val="21"/>
                <w:highlight w:val="none"/>
                <w:lang w:val="en-US" w:eastAsia="zh-CN" w:bidi="ar"/>
              </w:rPr>
              <w:t>项进行响应，提供相对应的</w:t>
            </w: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工具界面截图</w:t>
            </w:r>
            <w:r>
              <w:rPr>
                <w:rFonts w:hint="eastAsia"/>
                <w:bCs/>
                <w:kern w:val="2"/>
                <w:sz w:val="21"/>
                <w:szCs w:val="21"/>
                <w:highlight w:val="none"/>
                <w:lang w:bidi="ar"/>
              </w:rPr>
              <w:t>，</w:t>
            </w:r>
            <w:r>
              <w:rPr>
                <w:rFonts w:hint="eastAsia"/>
                <w:bCs/>
                <w:kern w:val="2"/>
                <w:sz w:val="21"/>
                <w:szCs w:val="21"/>
                <w:highlight w:val="none"/>
                <w:lang w:val="en-US" w:eastAsia="zh-CN" w:bidi="ar"/>
              </w:rPr>
              <w:t>每有一项未提供</w:t>
            </w:r>
            <w:r>
              <w:rPr>
                <w:rFonts w:hint="eastAsia"/>
                <w:bCs/>
                <w:kern w:val="2"/>
                <w:sz w:val="21"/>
                <w:szCs w:val="21"/>
                <w:highlight w:val="none"/>
                <w:lang w:bidi="ar"/>
              </w:rPr>
              <w:t>扣</w:t>
            </w:r>
            <w:r>
              <w:rPr>
                <w:rFonts w:hint="eastAsia"/>
                <w:bCs/>
                <w:kern w:val="2"/>
                <w:sz w:val="21"/>
                <w:szCs w:val="21"/>
                <w:highlight w:val="none"/>
                <w:lang w:val="en-US" w:eastAsia="zh-CN" w:bidi="ar"/>
              </w:rPr>
              <w:t>1</w:t>
            </w:r>
            <w:r>
              <w:rPr>
                <w:rFonts w:hint="eastAsia"/>
                <w:bCs/>
                <w:kern w:val="2"/>
                <w:sz w:val="21"/>
                <w:szCs w:val="21"/>
                <w:highlight w:val="none"/>
                <w:lang w:bidi="ar"/>
              </w:rPr>
              <w:t>分，扣完为止。</w:t>
            </w:r>
          </w:p>
          <w:p>
            <w:pPr>
              <w:spacing w:line="360" w:lineRule="exact"/>
              <w:ind w:firstLine="422" w:firstLineChars="200"/>
              <w:jc w:val="left"/>
              <w:rPr>
                <w:rFonts w:hint="eastAsia" w:ascii="宋体" w:hAnsi="宋体" w:cs="宋体"/>
                <w:szCs w:val="21"/>
                <w:highlight w:val="none"/>
              </w:rPr>
            </w:pPr>
            <w:r>
              <w:rPr>
                <w:rFonts w:hint="eastAsia" w:ascii="宋体" w:hAnsi="宋体" w:cs="宋体"/>
                <w:b/>
                <w:bCs/>
                <w:szCs w:val="21"/>
                <w:highlight w:val="none"/>
                <w:lang w:bidi="ar"/>
              </w:rPr>
              <w:t>注：1.报价人需</w:t>
            </w:r>
            <w:r>
              <w:rPr>
                <w:rFonts w:hint="eastAsia" w:ascii="宋体" w:hAnsi="宋体" w:cs="宋体"/>
                <w:b/>
                <w:szCs w:val="21"/>
                <w:highlight w:val="none"/>
                <w:lang w:bidi="ar"/>
              </w:rPr>
              <w:t>按“第</w:t>
            </w:r>
            <w:r>
              <w:rPr>
                <w:rFonts w:hint="eastAsia" w:ascii="宋体" w:hAnsi="宋体" w:cs="宋体"/>
                <w:b/>
                <w:szCs w:val="21"/>
                <w:highlight w:val="none"/>
                <w:lang w:val="en-US" w:eastAsia="zh-CN" w:bidi="ar"/>
              </w:rPr>
              <w:t>七</w:t>
            </w:r>
            <w:r>
              <w:rPr>
                <w:rFonts w:hint="eastAsia" w:ascii="宋体" w:hAnsi="宋体" w:cs="宋体"/>
                <w:b/>
                <w:szCs w:val="21"/>
                <w:highlight w:val="none"/>
                <w:lang w:bidi="ar"/>
              </w:rPr>
              <w:t>章 竞争性比选响应文件格式”中技术要求偏离表进行响应，需逐条响应；不满足上述要求的视为负偏离</w:t>
            </w:r>
            <w:r>
              <w:rPr>
                <w:rFonts w:hint="eastAsia" w:ascii="宋体" w:hAnsi="宋体" w:cs="宋体"/>
                <w:szCs w:val="21"/>
                <w:highlight w:val="none"/>
                <w:lang w:bidi="ar"/>
              </w:rPr>
              <w:t>。</w:t>
            </w:r>
          </w:p>
          <w:p>
            <w:pPr>
              <w:pStyle w:val="169"/>
              <w:adjustRightInd w:val="0"/>
              <w:snapToGrid w:val="0"/>
              <w:spacing w:line="400" w:lineRule="exact"/>
              <w:ind w:left="0" w:leftChars="0" w:firstLine="422" w:firstLineChars="200"/>
              <w:jc w:val="left"/>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b/>
                <w:szCs w:val="21"/>
                <w:highlight w:val="none"/>
                <w:lang w:bidi="ar"/>
                <w14:ligatures w14:val="none"/>
              </w:rPr>
              <w:t>2.上述要求须提交的相关证明材料均为复印件，并加盖单位公章，复印件应清晰可辨。否则视同未提供，该项评分按负偏离（或不响应）记分</w:t>
            </w:r>
            <w:r>
              <w:rPr>
                <w:rFonts w:hint="eastAsia" w:ascii="宋体" w:hAnsi="宋体" w:eastAsia="宋体" w:cs="宋体"/>
                <w:szCs w:val="21"/>
                <w:highlight w:val="none"/>
                <w:lang w:bidi="ar"/>
                <w14:ligatures w14:val="none"/>
              </w:rPr>
              <w:t>。</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b w:val="0"/>
                <w:i/>
                <w:iCs/>
                <w:caps w:val="0"/>
                <w:color w:val="auto"/>
                <w:sz w:val="21"/>
                <w:szCs w:val="21"/>
                <w:highlight w:val="none"/>
                <w:lang w:val="en-US" w:eastAsia="zh-CN"/>
              </w:rPr>
              <w:t>方案完整性及合理性</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b w:val="0"/>
                <w:i/>
                <w:iCs/>
                <w:caps w:val="0"/>
                <w:color w:val="auto"/>
                <w:sz w:val="21"/>
                <w:szCs w:val="21"/>
                <w:highlight w:val="none"/>
                <w:lang w:val="en-US" w:eastAsia="zh-CN"/>
              </w:rPr>
              <w:t>（10分）</w:t>
            </w:r>
          </w:p>
        </w:tc>
        <w:tc>
          <w:tcPr>
            <w:tcW w:w="6280" w:type="dxa"/>
            <w:gridSpan w:val="2"/>
            <w:tcBorders>
              <w:top w:val="single" w:color="auto" w:sz="4" w:space="0"/>
              <w:left w:val="single" w:color="auto" w:sz="4" w:space="0"/>
              <w:bottom w:val="single" w:color="auto" w:sz="4" w:space="0"/>
              <w:right w:val="single" w:color="auto" w:sz="4" w:space="0"/>
            </w:tcBorders>
            <w:vAlign w:val="top"/>
          </w:tcPr>
          <w:p>
            <w:pPr>
              <w:pStyle w:val="37"/>
              <w:widowControl w:val="0"/>
              <w:adjustRightInd w:val="0"/>
              <w:spacing w:before="0" w:beforeAutospacing="0" w:after="0" w:afterAutospacing="0" w:line="360" w:lineRule="exact"/>
              <w:ind w:firstLine="420" w:firstLineChars="200"/>
              <w:jc w:val="both"/>
              <w:textAlignment w:val="baseline"/>
              <w:rPr>
                <w:rFonts w:hint="eastAsia"/>
                <w:bCs/>
                <w:kern w:val="2"/>
                <w:sz w:val="21"/>
                <w:szCs w:val="21"/>
                <w:highlight w:val="none"/>
              </w:rPr>
            </w:pPr>
            <w:r>
              <w:rPr>
                <w:rFonts w:hint="eastAsia"/>
                <w:bCs/>
                <w:kern w:val="2"/>
                <w:sz w:val="21"/>
                <w:szCs w:val="21"/>
                <w:highlight w:val="none"/>
                <w:lang w:bidi="ar"/>
              </w:rPr>
              <w:t>报价人针对本项目编制的技术服务方案需包含以下内容：</w:t>
            </w:r>
          </w:p>
          <w:p>
            <w:pPr>
              <w:pStyle w:val="37"/>
              <w:widowControl w:val="0"/>
              <w:adjustRightInd w:val="0"/>
              <w:spacing w:before="0" w:beforeAutospacing="0" w:after="0" w:afterAutospacing="0" w:line="360" w:lineRule="exact"/>
              <w:ind w:firstLine="420" w:firstLineChars="200"/>
              <w:jc w:val="both"/>
              <w:textAlignment w:val="baseline"/>
              <w:rPr>
                <w:rFonts w:hint="eastAsia"/>
                <w:bCs/>
                <w:kern w:val="2"/>
                <w:sz w:val="21"/>
                <w:szCs w:val="21"/>
                <w:highlight w:val="none"/>
              </w:rPr>
            </w:pPr>
            <w:r>
              <w:rPr>
                <w:rFonts w:hint="eastAsia"/>
                <w:bCs/>
                <w:kern w:val="2"/>
                <w:sz w:val="21"/>
                <w:szCs w:val="21"/>
                <w:highlight w:val="none"/>
                <w:lang w:bidi="ar"/>
              </w:rPr>
              <w:t>（1）项目总体方案：包含但不限对项目的整体认知、整体分析、系统总体设计理念和思路等方面。系统建设目标清晰，能全面覆盖甲方总体需求。</w:t>
            </w:r>
          </w:p>
          <w:p>
            <w:pPr>
              <w:pStyle w:val="37"/>
              <w:widowControl w:val="0"/>
              <w:adjustRightInd w:val="0"/>
              <w:spacing w:before="0" w:beforeAutospacing="0" w:after="0" w:afterAutospacing="0" w:line="360" w:lineRule="exact"/>
              <w:ind w:firstLine="420" w:firstLineChars="200"/>
              <w:jc w:val="both"/>
              <w:textAlignment w:val="baseline"/>
              <w:rPr>
                <w:rFonts w:hint="eastAsia"/>
                <w:bCs/>
                <w:kern w:val="2"/>
                <w:sz w:val="21"/>
                <w:szCs w:val="21"/>
                <w:highlight w:val="none"/>
              </w:rPr>
            </w:pPr>
            <w:r>
              <w:rPr>
                <w:rFonts w:hint="eastAsia"/>
                <w:bCs/>
                <w:kern w:val="2"/>
                <w:sz w:val="21"/>
                <w:szCs w:val="21"/>
                <w:highlight w:val="none"/>
                <w:lang w:bidi="ar"/>
              </w:rPr>
              <w:t>（2）服务方案：参选人要响应本比选文件的实施要求，提出详细完整、合理可行的项目实施方案。同时对于实施计划安排：需要具备完整的项目实施方法论，包括但不限于对项目时间计划安排合理度、里程碑设置、各阶段任务、项目服务进度控制、质量保障措施、实施风险控制机制等综合评价容。</w:t>
            </w:r>
          </w:p>
          <w:p>
            <w:pPr>
              <w:pStyle w:val="37"/>
              <w:widowControl w:val="0"/>
              <w:adjustRightInd w:val="0"/>
              <w:spacing w:before="0" w:beforeAutospacing="0" w:after="0" w:afterAutospacing="0" w:line="360" w:lineRule="exact"/>
              <w:ind w:firstLine="420" w:firstLineChars="200"/>
              <w:jc w:val="both"/>
              <w:textAlignment w:val="baseline"/>
              <w:rPr>
                <w:rFonts w:hint="eastAsia"/>
                <w:bCs/>
                <w:kern w:val="2"/>
                <w:sz w:val="21"/>
                <w:szCs w:val="21"/>
                <w:highlight w:val="none"/>
              </w:rPr>
            </w:pPr>
            <w:r>
              <w:rPr>
                <w:rFonts w:hint="eastAsia"/>
                <w:bCs/>
                <w:kern w:val="2"/>
                <w:sz w:val="21"/>
                <w:szCs w:val="21"/>
                <w:highlight w:val="none"/>
                <w:lang w:bidi="ar"/>
              </w:rPr>
              <w:t>（3）实施进度计划：提供详细的项目实施进度计划，包括各阶段的时间安排、关键节点和里程碑，以确保项目顺利推进。</w:t>
            </w:r>
          </w:p>
          <w:p>
            <w:pPr>
              <w:pStyle w:val="170"/>
              <w:adjustRightInd w:val="0"/>
              <w:snapToGrid w:val="0"/>
              <w:ind w:firstLine="0" w:firstLineChars="0"/>
              <w:jc w:val="left"/>
              <w:textAlignment w:val="baseline"/>
              <w:rPr>
                <w:rFonts w:asciiTheme="minorEastAsia" w:hAnsiTheme="minorEastAsia" w:eastAsiaTheme="minorEastAsia" w:cstheme="minorEastAsia"/>
                <w:bCs/>
                <w:color w:val="auto"/>
                <w:szCs w:val="21"/>
                <w:highlight w:val="none"/>
              </w:rPr>
            </w:pPr>
            <w:r>
              <w:rPr>
                <w:rFonts w:hint="eastAsia" w:ascii="宋体" w:hAnsi="宋体" w:cs="宋体"/>
                <w:bCs/>
                <w:szCs w:val="21"/>
                <w:highlight w:val="none"/>
                <w:lang w:bidi="ar"/>
              </w:rPr>
              <w:t>评标委员会将根据报价人提供方案的全面性、合理性和可操作性进行评分，具体评分标准如下：优秀得10-8分；良好得8-6分；一般得6-0分；未提供得0分。</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val="en-US" w:eastAsia="zh-CN"/>
              </w:rPr>
              <w:t>报价人业绩</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val="en-US" w:eastAsia="zh-CN"/>
              </w:rPr>
              <w:t>（6分）</w:t>
            </w:r>
          </w:p>
        </w:tc>
        <w:tc>
          <w:tcPr>
            <w:tcW w:w="6280" w:type="dxa"/>
            <w:gridSpan w:val="2"/>
            <w:tcBorders>
              <w:top w:val="single" w:color="auto" w:sz="4" w:space="0"/>
              <w:left w:val="single" w:color="auto" w:sz="4" w:space="0"/>
              <w:bottom w:val="single" w:color="auto" w:sz="4" w:space="0"/>
            </w:tcBorders>
            <w:shd w:val="clear" w:color="auto" w:fill="auto"/>
            <w:vAlign w:val="center"/>
          </w:tcPr>
          <w:p>
            <w:pPr>
              <w:pStyle w:val="37"/>
              <w:widowControl w:val="0"/>
              <w:adjustRightInd w:val="0"/>
              <w:spacing w:before="0" w:beforeAutospacing="0" w:after="0" w:afterAutospacing="0" w:line="360" w:lineRule="exact"/>
              <w:ind w:firstLine="420" w:firstLineChars="200"/>
              <w:jc w:val="both"/>
              <w:textAlignment w:val="baseline"/>
              <w:rPr>
                <w:rFonts w:hint="eastAsia" w:ascii="宋体" w:hAnsi="宋体" w:eastAsia="宋体" w:cs="宋体"/>
                <w:bCs/>
                <w:kern w:val="2"/>
                <w:sz w:val="21"/>
                <w:szCs w:val="21"/>
                <w:highlight w:val="none"/>
                <w:lang w:bidi="ar"/>
              </w:rPr>
            </w:pPr>
            <w:r>
              <w:rPr>
                <w:rFonts w:hint="eastAsia" w:ascii="宋体" w:hAnsi="宋体" w:eastAsia="宋体" w:cs="宋体"/>
                <w:bCs/>
                <w:kern w:val="2"/>
                <w:sz w:val="21"/>
                <w:szCs w:val="21"/>
                <w:highlight w:val="none"/>
                <w:lang w:bidi="ar"/>
              </w:rPr>
              <w:t>1.满足资格条件的</w:t>
            </w:r>
            <w:r>
              <w:rPr>
                <w:rFonts w:hint="eastAsia" w:ascii="宋体" w:hAnsi="宋体" w:eastAsia="宋体" w:cs="宋体"/>
                <w:bCs/>
                <w:kern w:val="2"/>
                <w:sz w:val="21"/>
                <w:szCs w:val="21"/>
                <w:highlight w:val="none"/>
                <w:lang w:val="en-US" w:eastAsia="zh-CN" w:bidi="ar"/>
              </w:rPr>
              <w:t>业绩</w:t>
            </w:r>
            <w:r>
              <w:rPr>
                <w:rFonts w:hint="eastAsia" w:ascii="宋体" w:hAnsi="宋体" w:eastAsia="宋体" w:cs="宋体"/>
                <w:bCs/>
                <w:kern w:val="2"/>
                <w:sz w:val="21"/>
                <w:szCs w:val="21"/>
                <w:highlight w:val="none"/>
                <w:lang w:bidi="ar"/>
              </w:rPr>
              <w:t>要求得</w:t>
            </w:r>
            <w:r>
              <w:rPr>
                <w:rFonts w:hint="eastAsia" w:ascii="宋体" w:hAnsi="宋体" w:eastAsia="宋体" w:cs="宋体"/>
                <w:bCs/>
                <w:kern w:val="2"/>
                <w:sz w:val="21"/>
                <w:szCs w:val="21"/>
                <w:highlight w:val="none"/>
                <w:lang w:val="en-US" w:eastAsia="zh-CN" w:bidi="ar"/>
              </w:rPr>
              <w:t>2</w:t>
            </w:r>
            <w:r>
              <w:rPr>
                <w:rFonts w:hint="eastAsia" w:ascii="宋体" w:hAnsi="宋体" w:eastAsia="宋体" w:cs="宋体"/>
                <w:bCs/>
                <w:kern w:val="2"/>
                <w:sz w:val="21"/>
                <w:szCs w:val="21"/>
                <w:highlight w:val="none"/>
                <w:lang w:bidi="ar"/>
              </w:rPr>
              <w:t>分；</w:t>
            </w:r>
          </w:p>
          <w:p>
            <w:pPr>
              <w:pStyle w:val="37"/>
              <w:widowControl w:val="0"/>
              <w:adjustRightInd w:val="0"/>
              <w:spacing w:before="0" w:beforeAutospacing="0" w:after="0" w:afterAutospacing="0" w:line="360" w:lineRule="exact"/>
              <w:ind w:firstLine="420" w:firstLineChars="200"/>
              <w:jc w:val="both"/>
              <w:textAlignment w:val="baseline"/>
              <w:rPr>
                <w:rFonts w:hint="eastAsia" w:ascii="宋体" w:hAnsi="宋体" w:eastAsia="宋体" w:cs="宋体"/>
                <w:bCs/>
                <w:kern w:val="2"/>
                <w:sz w:val="21"/>
                <w:szCs w:val="21"/>
                <w:highlight w:val="none"/>
                <w:lang w:bidi="ar"/>
              </w:rPr>
            </w:pPr>
            <w:r>
              <w:rPr>
                <w:rFonts w:hint="eastAsia" w:ascii="宋体" w:hAnsi="宋体" w:eastAsia="宋体" w:cs="宋体"/>
                <w:bCs/>
                <w:kern w:val="2"/>
                <w:sz w:val="21"/>
                <w:szCs w:val="21"/>
                <w:highlight w:val="none"/>
                <w:lang w:bidi="ar"/>
              </w:rPr>
              <w:t>2.在满足资格业绩要求的基础上，报价人每增加一个2022年1月1日至报价截止日(以合同签订时间为准）合同金额不低于15万元的信息安全服务相关业绩，得2分，该项最多得</w:t>
            </w:r>
            <w:r>
              <w:rPr>
                <w:rFonts w:hint="eastAsia" w:ascii="宋体" w:hAnsi="宋体" w:eastAsia="宋体" w:cs="宋体"/>
                <w:bCs/>
                <w:kern w:val="2"/>
                <w:sz w:val="21"/>
                <w:szCs w:val="21"/>
                <w:highlight w:val="none"/>
                <w:lang w:val="en-US" w:eastAsia="zh-CN" w:bidi="ar"/>
              </w:rPr>
              <w:t>4</w:t>
            </w:r>
            <w:r>
              <w:rPr>
                <w:rFonts w:hint="eastAsia" w:ascii="宋体" w:hAnsi="宋体" w:eastAsia="宋体" w:cs="宋体"/>
                <w:bCs/>
                <w:kern w:val="2"/>
                <w:sz w:val="21"/>
                <w:szCs w:val="21"/>
                <w:highlight w:val="none"/>
                <w:lang w:bidi="ar"/>
              </w:rPr>
              <w:t>分。</w:t>
            </w:r>
          </w:p>
          <w:p>
            <w:pPr>
              <w:pStyle w:val="37"/>
              <w:widowControl w:val="0"/>
              <w:adjustRightIn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eastAsia="宋体" w:cs="宋体"/>
                <w:bCs/>
                <w:kern w:val="2"/>
                <w:sz w:val="21"/>
                <w:szCs w:val="21"/>
                <w:highlight w:val="none"/>
                <w:lang w:bidi="ar"/>
              </w:rPr>
              <w:t>注：需提供合同复印件关键页（包括但不限于合同封面页、合同标的页、合同金额页、合同盖章页、合同时间页及显示项目内容的相关页）并加盖投标人公章。否则不予认可。若合同中无法体现上述内容的，则还需提供业主出具的业绩证明材料（加盖业主单位公章），合同原件备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val="en-US" w:eastAsia="zh-CN"/>
              </w:rPr>
              <w:t>报价人团队</w:t>
            </w:r>
          </w:p>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iCs/>
                <w:color w:val="auto"/>
                <w:szCs w:val="21"/>
                <w:highlight w:val="none"/>
                <w:lang w:val="en-US" w:eastAsia="zh-CN"/>
              </w:rPr>
            </w:pPr>
            <w:r>
              <w:rPr>
                <w:rFonts w:hint="eastAsia" w:asciiTheme="minorEastAsia" w:hAnsiTheme="minorEastAsia" w:eastAsiaTheme="minorEastAsia" w:cstheme="minorEastAsia"/>
                <w:i/>
                <w:iCs/>
                <w:color w:val="auto"/>
                <w:szCs w:val="21"/>
                <w:highlight w:val="none"/>
                <w:lang w:val="en-US" w:eastAsia="zh-CN"/>
              </w:rPr>
              <w:t>（2分）</w:t>
            </w:r>
          </w:p>
        </w:tc>
        <w:tc>
          <w:tcPr>
            <w:tcW w:w="6280" w:type="dxa"/>
            <w:gridSpan w:val="2"/>
            <w:tcBorders>
              <w:top w:val="single" w:color="auto" w:sz="4" w:space="0"/>
              <w:left w:val="single" w:color="auto" w:sz="4" w:space="0"/>
              <w:bottom w:val="single" w:color="auto" w:sz="4" w:space="0"/>
            </w:tcBorders>
            <w:shd w:val="clear" w:color="auto" w:fill="auto"/>
            <w:vAlign w:val="center"/>
          </w:tcPr>
          <w:p>
            <w:pPr>
              <w:pStyle w:val="37"/>
              <w:widowControl w:val="0"/>
              <w:adjustRightInd w:val="0"/>
              <w:spacing w:before="0" w:beforeAutospacing="0" w:after="0" w:afterAutospacing="0" w:line="360" w:lineRule="exact"/>
              <w:ind w:firstLine="420" w:firstLineChars="200"/>
              <w:jc w:val="both"/>
              <w:textAlignment w:val="baseline"/>
              <w:rPr>
                <w:rFonts w:hint="eastAsia" w:ascii="宋体" w:hAnsi="宋体" w:eastAsia="宋体" w:cs="宋体"/>
                <w:bCs/>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报价人项目团队人员具有人力资源和社会保障部、工业和信息化部颁发的有效的中级及以上职称（信息安全工程师或网络工程师）得1分，该项最多得2分。</w:t>
            </w:r>
          </w:p>
          <w:p>
            <w:pPr>
              <w:pStyle w:val="37"/>
              <w:widowControl w:val="0"/>
              <w:adjustRightIn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eastAsia="宋体" w:cs="宋体"/>
                <w:bCs/>
                <w:kern w:val="2"/>
                <w:sz w:val="21"/>
                <w:szCs w:val="21"/>
                <w:highlight w:val="none"/>
                <w:lang w:bidi="ar"/>
              </w:rPr>
              <w:t xml:space="preserve"> 注：需提供人员名单（表格形式），人员相关资质证件、身份证复印件并加盖单位鲜公章。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i/>
                <w:iCs/>
                <w:color w:val="auto"/>
                <w:szCs w:val="21"/>
                <w:highlight w:val="none"/>
                <w:lang w:val="en-US" w:eastAsia="zh-CN"/>
              </w:rPr>
              <w:t>报价人资质（2分）</w:t>
            </w:r>
          </w:p>
        </w:tc>
        <w:tc>
          <w:tcPr>
            <w:tcW w:w="6280" w:type="dxa"/>
            <w:gridSpan w:val="2"/>
            <w:tcBorders>
              <w:top w:val="single" w:color="auto" w:sz="4" w:space="0"/>
              <w:left w:val="single" w:color="auto" w:sz="4" w:space="0"/>
              <w:bottom w:val="single" w:color="auto" w:sz="4" w:space="0"/>
            </w:tcBorders>
            <w:vAlign w:val="center"/>
          </w:tcPr>
          <w:p>
            <w:pPr>
              <w:pStyle w:val="120"/>
              <w:keepNext w:val="0"/>
              <w:pageBreakBefore w:val="0"/>
              <w:widowControl/>
              <w:kinsoku/>
              <w:wordWrap/>
              <w:overflowPunct/>
              <w:topLinePunct w:val="0"/>
              <w:bidi w:val="0"/>
              <w:spacing w:beforeAutospacing="0" w:line="400" w:lineRule="exac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报价人具备合格有效的ISO9001质量管理体系认证证书，得2分</w:t>
            </w:r>
            <w:r>
              <w:rPr>
                <w:rFonts w:hint="eastAsia" w:asciiTheme="minorEastAsia" w:hAnsiTheme="minorEastAsia" w:eastAsiaTheme="minorEastAsia" w:cstheme="minorEastAsia"/>
                <w:bCs/>
                <w:color w:val="auto"/>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left="0" w:leftChars="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000000"/>
                <w:kern w:val="0"/>
                <w:szCs w:val="21"/>
                <w:highlight w:val="none"/>
                <w:shd w:val="clear" w:color="auto" w:fill="FFFFFF"/>
                <w:lang w:bidi="ar"/>
              </w:rPr>
              <w:t>注：提供认证证书及相关证明复印件加盖报价单位公章。</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kern w:val="2"/>
                <w:sz w:val="21"/>
                <w:szCs w:val="21"/>
                <w:highlight w:val="none"/>
              </w:rPr>
              <w:t>所有通过初步评审的有效投标报价首先得基本分</w:t>
            </w:r>
            <w:r>
              <w:rPr>
                <w:rFonts w:hint="eastAsia" w:asciiTheme="minorEastAsia" w:hAnsiTheme="minorEastAsia" w:eastAsiaTheme="minorEastAsia" w:cstheme="minorEastAsia"/>
                <w:kern w:val="2"/>
                <w:sz w:val="21"/>
                <w:szCs w:val="21"/>
                <w:highlight w:val="none"/>
                <w:lang w:val="en-US" w:eastAsia="zh-CN"/>
              </w:rPr>
              <w:t>7</w:t>
            </w:r>
            <w:r>
              <w:rPr>
                <w:rFonts w:hint="eastAsia" w:asciiTheme="minorEastAsia" w:hAnsiTheme="minorEastAsia" w:eastAsiaTheme="minorEastAsia" w:cstheme="minorEastAsia"/>
                <w:kern w:val="2"/>
                <w:sz w:val="21"/>
                <w:szCs w:val="21"/>
                <w:highlight w:val="none"/>
              </w:rPr>
              <w:t>0分，然后与评标基准价相比较，每上浮1%扣1分，每下浮1%扣0.5分，扣完为止。按插入法计算得分。以上计算取小数点后两位，第三位四舍五入。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pPr>
        <w:rPr>
          <w:color w:val="auto"/>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2" w:name="_Toc26037"/>
      <w:bookmarkStart w:id="133" w:name="_Toc6735"/>
      <w:bookmarkStart w:id="134" w:name="_Toc19268"/>
      <w:r>
        <w:rPr>
          <w:rFonts w:hint="eastAsia" w:ascii="宋体" w:hAnsi="宋体" w:cs="宋体"/>
          <w:color w:val="auto"/>
          <w:szCs w:val="21"/>
          <w:highlight w:val="none"/>
        </w:rPr>
        <w:t>1.  评标方法</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5" w:name="_Toc8753"/>
      <w:bookmarkStart w:id="136" w:name="_Toc31759"/>
      <w:bookmarkStart w:id="137" w:name="_Toc22200"/>
      <w:bookmarkStart w:id="138" w:name="_Toc1052"/>
      <w:r>
        <w:rPr>
          <w:rFonts w:hint="eastAsia" w:ascii="宋体" w:hAnsi="宋体" w:cs="宋体"/>
          <w:color w:val="auto"/>
          <w:szCs w:val="21"/>
          <w:highlight w:val="none"/>
        </w:rPr>
        <w:t>2.  评审标准</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9" w:name="_Toc8345"/>
      <w:bookmarkStart w:id="140" w:name="_Toc10650"/>
      <w:bookmarkStart w:id="141" w:name="_Toc11564"/>
      <w:bookmarkStart w:id="142" w:name="_Toc5245"/>
      <w:r>
        <w:rPr>
          <w:rFonts w:hint="eastAsia" w:ascii="宋体" w:hAnsi="宋体" w:cs="宋体"/>
          <w:color w:val="auto"/>
          <w:szCs w:val="21"/>
          <w:highlight w:val="none"/>
        </w:rPr>
        <w:t>3.  评标程序</w:t>
      </w:r>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rPr>
          <w:rStyle w:val="82"/>
          <w:rFonts w:hint="eastAsia"/>
          <w:color w:val="auto"/>
          <w:highlight w:val="none"/>
        </w:rPr>
      </w:pPr>
      <w:r>
        <w:rPr>
          <w:rStyle w:val="82"/>
          <w:rFonts w:hint="eastAsia"/>
          <w:color w:val="auto"/>
          <w:highlight w:val="none"/>
        </w:rPr>
        <w:br w:type="page"/>
      </w:r>
    </w:p>
    <w:p>
      <w:pPr>
        <w:pStyle w:val="3"/>
        <w:spacing w:before="0" w:after="0" w:line="360" w:lineRule="auto"/>
        <w:jc w:val="center"/>
        <w:rPr>
          <w:rFonts w:hint="default" w:ascii="宋体" w:hAnsi="宋体" w:eastAsia="宋体" w:cs="宋体"/>
          <w:color w:val="auto"/>
          <w:highlight w:val="none"/>
          <w:lang w:val="en-US" w:eastAsia="zh-CN"/>
        </w:rPr>
      </w:pPr>
      <w:bookmarkStart w:id="143" w:name="_Toc247085870"/>
      <w:bookmarkStart w:id="144" w:name="_Toc447827049"/>
      <w:bookmarkStart w:id="145" w:name="_Toc503951043"/>
      <w:bookmarkStart w:id="146" w:name="_Toc513633964"/>
      <w:bookmarkStart w:id="147" w:name="_Toc179632804"/>
      <w:bookmarkStart w:id="148" w:name="_Toc152045785"/>
      <w:bookmarkStart w:id="149" w:name="_Toc514858707"/>
      <w:bookmarkStart w:id="150" w:name="_Toc2000411"/>
      <w:bookmarkStart w:id="151" w:name="_Toc152042574"/>
      <w:bookmarkStart w:id="152" w:name="_Toc246996353"/>
      <w:bookmarkStart w:id="153" w:name="_Toc246997096"/>
      <w:bookmarkStart w:id="154" w:name="_Toc144974854"/>
      <w:bookmarkStart w:id="155" w:name="_Toc15010"/>
      <w:bookmarkStart w:id="156" w:name="_Toc246997097"/>
      <w:bookmarkStart w:id="157" w:name="_Toc179632806"/>
      <w:bookmarkStart w:id="158" w:name="_Toc247085872"/>
      <w:bookmarkStart w:id="159" w:name="_Toc152042575"/>
      <w:bookmarkStart w:id="160" w:name="_Toc246996354"/>
      <w:bookmarkStart w:id="161" w:name="_Toc152045786"/>
      <w:bookmarkStart w:id="162" w:name="_Toc14497485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cs="宋体"/>
          <w:color w:val="auto"/>
          <w:highlight w:val="none"/>
          <w:lang w:val="en-US" w:eastAsia="zh-CN"/>
        </w:rPr>
        <w:t>服务要求</w:t>
      </w:r>
      <w:bookmarkEnd w:id="155"/>
    </w:p>
    <w:bookmarkEnd w:id="156"/>
    <w:bookmarkEnd w:id="157"/>
    <w:bookmarkEnd w:id="158"/>
    <w:bookmarkEnd w:id="159"/>
    <w:bookmarkEnd w:id="160"/>
    <w:bookmarkEnd w:id="161"/>
    <w:bookmarkEnd w:id="162"/>
    <w:p>
      <w:pPr>
        <w:pStyle w:val="37"/>
        <w:widowControl/>
        <w:spacing w:beforeAutospacing="0" w:afterAutospacing="0"/>
        <w:ind w:firstLine="420" w:firstLineChars="200"/>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bookmarkStart w:id="163" w:name="_Toc514858708"/>
      <w:bookmarkStart w:id="164" w:name="_Toc514430114"/>
      <w:bookmarkStart w:id="165" w:name="_Toc2000412"/>
      <w:bookmarkStart w:id="166" w:name="_Toc246997098"/>
      <w:bookmarkStart w:id="167" w:name="_Toc507320039"/>
      <w:bookmarkStart w:id="168" w:name="_Toc247085873"/>
      <w:bookmarkStart w:id="169" w:name="_Toc179632807"/>
      <w:bookmarkStart w:id="170" w:name="_Toc144974856"/>
      <w:bookmarkStart w:id="171" w:name="_Toc152042576"/>
      <w:bookmarkStart w:id="172" w:name="_Toc152045787"/>
      <w:bookmarkStart w:id="173" w:name="_Toc246996355"/>
    </w:p>
    <w:p>
      <w:pPr>
        <w:pStyle w:val="37"/>
        <w:widowControl/>
        <w:spacing w:beforeAutospacing="0" w:afterAutospacing="0"/>
        <w:ind w:firstLine="420" w:firstLineChars="200"/>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一、项目背景：</w:t>
      </w:r>
    </w:p>
    <w:p>
      <w:pPr>
        <w:pStyle w:val="37"/>
        <w:widowControl/>
        <w:spacing w:beforeAutospacing="0" w:afterAutospacing="0"/>
        <w:ind w:firstLine="420" w:firstLineChars="200"/>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随着云计算技术的深度应用，云原生架构凭借容器化、微服务、Kubernetes 编排等技术，成为企业数字化转型的核心底座。然而，动态化的资源调度、分布式的服务架构及开放的生态环境，使云原生平台面临前所未有的安全挑战：容器镜像漏洞潜伏、服务间加密通信被窃听、0day 漏洞快速渗透、多租户资源隔离失效等风险频发，传统安全防护体系难以应对云环境下资产动态变化、攻击路径复杂化的威胁场景。在此背景下，企业亟需一套覆盖资产梳理、威胁检测、加密流量分析、应急响应等全流程的安全威胁监测服务，以实现对云原生环境的实时风险监控、自动化攻击判定及全生命周期安全防护，满足合规审计标准及常态化安全运营需求。</w:t>
      </w:r>
    </w:p>
    <w:p>
      <w:pPr>
        <w:pStyle w:val="37"/>
        <w:widowControl/>
        <w:spacing w:beforeAutospacing="0" w:afterAutospacing="0"/>
        <w:ind w:firstLine="420" w:firstLineChars="200"/>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二、技术要求:</w:t>
      </w:r>
    </w:p>
    <w:tbl>
      <w:tblPr>
        <w:tblStyle w:val="43"/>
        <w:tblpPr w:leftFromText="180" w:rightFromText="180" w:vertAnchor="text" w:horzAnchor="page" w:tblpXSpec="center" w:tblpY="917"/>
        <w:tblOverlap w:val="never"/>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10"/>
        <w:gridCol w:w="5868"/>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序号</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项目名称</w:t>
            </w:r>
          </w:p>
        </w:tc>
        <w:tc>
          <w:tcPr>
            <w:tcW w:w="5868"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项目要求</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资产梳理</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能够协助企业进行日常运维资产梳理，提供多种方式接入企业资产数据，包括手动输入、syslog对接、API对接等，包括静态资产表，对接资产日志等，并支持对资产进行分组管理，同时支持根据分组过滤资产列表。支持对资产进行自动化分类，根据资产名称、资产分类等筛选资产列表。</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2</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日常运维</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配合企业进行日常安全运营监测，需在本地部署相关安全工具保障监测有效性；同时需在本地提供安全服务团队人员，全年支持企业安全运维不少于200人天，服务人员需能独立处理各品类安全设备，同时具备多年工作经验保障服务效果。</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3</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多维度分析</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基于双向全流量做检测，能够从多个维度捕获攻击，并且自动化完成对后续攻击成功失败的判定和严重级别的调整，在外部攻击/内网渗透检测场景自动判定攻击成功/失败结果，在内网失陷检测中自动判断受害者主机是否和远控端建立连接，并记录完整连接内容。</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4</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加密流量分析</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支持通过旁路部署和代理（agent）技术，对入站https流量进行解密，需要支持主流的加密协议TLS1.2、TLS1.3，支持RSA、ECDHE等加密套件的解密（需提供工具的界面截图）。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bidi w:val="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5</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重保服务</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重大活动安全态势监控，以大屏形式监控特定重要系统的攻击情况，同时可展示攻击队的情报信息，对于大屏标题、重保时间、重保队伍等均支持编辑操作，可完全灵活自定义。需提供攻防演练期间现场支持服务，包括事件研判溯源分析等，提供重保时期/攻防场景下定向攻击的独立监控，自动连接云端获取攻击团伙IP列表，更新频率为5min，支持手动添加攻击团队 IP列表，监控重保IP的所有访问、登录、攻击、反连行为等，并对各行为的结果进行自动化判定（需提供工具的界面截图）。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6</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威胁分析</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帮助企业识别和应对最新的威胁情报。包括：收集和分析全球最新的威胁情报信息；提供定期的威胁情报报告，帮助企业了解当前的威胁态势；针对企业特定的威胁情报需求，提供定制化的分析服务；告警需以攻击者或攻击团伙视角通过时间线的方式将零散的告警聚合成完整的威胁事件，将攻击路径按照时间线展示出来，展示信息需包含威胁事件中的报警时间、严重级别、威胁类型、地理位置、告警成功或失败等信息，同时将外部攻击后的反连行为自动关联（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7</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安全监控和响应</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确保在任何时间都能及时发现和处理安全事件。提供安全事件的实时告警和处理建议。包括：安全事件的快速响应和处置，减少安全事件的影响；在定位安全问题后需能提供PC终端的取证工具展示内网主机与云服务之间的访问关系，按照访问次数进行可视化展示，分析访问源主机与已检测云服务的连接情况，对于连接次数较多的访问源及云服务，通过大小比例的方式快速筛选并定位具体主机（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8</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安全评估和审计</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需帮助企业发现和修复潜在的安全漏洞。包括定期安全评估，发现系统中的安全漏洞和风险；提供详细的安全评估报告和修复建议；协助企业进行安全漏洞的修复和验证。</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9</w:t>
            </w:r>
          </w:p>
        </w:tc>
        <w:tc>
          <w:tcPr>
            <w:tcW w:w="1210" w:type="dxa"/>
            <w:vAlign w:val="center"/>
          </w:tcPr>
          <w:p>
            <w:pPr>
              <w:spacing w:after="0" w:line="240" w:lineRule="auto"/>
              <w:ind w:left="220" w:hanging="210" w:hangingChars="10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取证和分析</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帮助企业在发生安全事件后进行详细的调查和取证。包括对安全事件进行详细的取证和分析；提供安全事件的调查报告和改进建议；协助企业进行安全事件的后续处理和改进；将检出的恶意网络资产IP、域名等信息定期同步给边界第三方防火墙设备，并联动防火墙进行阻断，支持与≥10品牌防火墙进行对接（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10</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联调配置和优化</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需确保云资源安全设备能够发挥最佳性能。服务商提供服务所配备的工具支持流量需≥10G。包括安全设备的安装和配置服务；定期对安全设备进行优化和维护、设备的性能监控和调优服务。</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11</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云上安全监测</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服务工具需自动识别常见云上应用及服务，如存储桶、虚拟机、数据库、云函数，包括但不限于AWS、阿里云、UCloud、腾讯云、华为云、百度云、京东云等</w:t>
            </w:r>
            <w:bookmarkStart w:id="174" w:name="OLE_LINK1"/>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（需提供工具的界面截图）</w:t>
            </w:r>
            <w:bookmarkEnd w:id="174"/>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12</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0day监测</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需对企业是否有漏洞风险做出预警，支持对常见高危的0day漏洞进行检测，并提供独立页面展示企业当前遭受0day威胁情况（需提供工具的界面截图）。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13</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样本分析</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在企业安全运营过程中遇到疑似恶意样本无法界定或已知恶意样本不知其功能的情况下提供对样本的行为和特征分析服务。分析样本类型包括但不限于：APT样本、勒索病毒样本、挖矿木马、远控后门、感染性病毒。</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14</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应急响应</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需应在企业遇到突发安全事件时，在得到授权后开展应急工作。协助合理地处理安全事件，降低安全事件带来的负面影响，保障业务正常运行，同时提供解决方案与防范措施，将事件影响降到最低。</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15</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终端防护</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提供针对终端产品安全工具，数量不少于500个。工具具备图关联分析技术，可有效支撑高级威胁和入侵的快速检测和自动化的溯源能力；具备图关联分析展示能力，帮助安全人员快速分析一个攻击事件的执行上下文；按照进程链图的可视化展示方式提供这些上下文，远程执行类的攻击事件能够追溯到远程攻击端的IP地址。（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16</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终端处置</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对于检测到的威胁事件或者威胁行为，终端安全工具可自动化生成响应建议，并可通过一键下发的时候实现响应动作的快速下发，也能展示对应响应动作的执行结果。（需提供工具的界面截图）。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17</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事件通告</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需提供安全事件情报、APT攻击情报，在网络空间发生新的安全事件时减轻用户的工作量，协助提升用户的安全监测与分析能力，及时处置各类安全隐患，防患于未然。</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18</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威胁诱捕</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需保障能够提供威胁诱捕蜜罐系统保障重要区域流量抓取，提供系统不少于100个。系统需支持用户在蜜罐管理端自定义编写威胁检测规则，对包括但不限于协议、命令执行、http请求参数做检测。可在系统展示蜜罐捕获链，记录且告警该恶意IP的所有内网行为（需提供工具的界面截图）。</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19</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全面安全功能覆盖</w:t>
            </w:r>
          </w:p>
        </w:tc>
        <w:tc>
          <w:tcPr>
            <w:tcW w:w="5868" w:type="dxa"/>
            <w:vAlign w:val="center"/>
          </w:tcPr>
          <w:p>
            <w:pPr>
              <w:spacing w:after="0" w:line="240" w:lineRule="auto"/>
              <w:jc w:val="both"/>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服务需完整涵盖容器安全防护全生命周期，包含镜像安全扫描、仓库权限管理、服务通信加密、运行时监控等十大核心功能，且各功能模块需通过权威安全认证，确保对容器环境提供有效防护。</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69"/>
              <w:numPr>
                <w:ilvl w:val="0"/>
                <w:numId w:val="0"/>
              </w:numPr>
              <w:spacing w:after="0" w:line="240" w:lineRule="auto"/>
              <w:ind w:leftChars="0"/>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20</w:t>
            </w:r>
          </w:p>
        </w:tc>
        <w:tc>
          <w:tcPr>
            <w:tcW w:w="1210"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深度集成与灵活适配</w:t>
            </w:r>
          </w:p>
        </w:tc>
        <w:tc>
          <w:tcPr>
            <w:tcW w:w="5868" w:type="dxa"/>
            <w:vAlign w:val="center"/>
          </w:tcPr>
          <w:p>
            <w:pPr>
              <w:widowControl/>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t xml:space="preserve"> 服务须无缝集成主流 DevOps 工具链，实现安全检测与 CI/CD 流程深度融合；同时支持与 Kubernetes、Istio 等主流容器编排及服务网格平台适配，并可根据企业需求，灵活定制安全策略和审计报表。</w:t>
            </w:r>
          </w:p>
        </w:tc>
        <w:tc>
          <w:tcPr>
            <w:tcW w:w="923" w:type="dxa"/>
            <w:vAlign w:val="center"/>
          </w:tcPr>
          <w:p>
            <w:pPr>
              <w:spacing w:after="0" w:line="240" w:lineRule="auto"/>
              <w:jc w:val="center"/>
              <w:rPr>
                <w:rFonts w:hint="eastAsia" w:asciiTheme="minorEastAsia" w:hAnsiTheme="minorEastAsia" w:eastAsiaTheme="minorEastAsia" w:cstheme="minorEastAsia"/>
                <w:kern w:val="0"/>
                <w:sz w:val="21"/>
                <w:szCs w:val="21"/>
                <w:highlight w:val="none"/>
                <w:shd w:val="clear" w:color="auto" w:fill="FFFFFF"/>
                <w:lang w:val="en-US" w:eastAsia="zh-CN" w:bidi="ar"/>
                <w14:ligatures w14:val="none"/>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75" w:name="_Toc17525"/>
      <w:r>
        <w:rPr>
          <w:rFonts w:hint="eastAsia" w:ascii="宋体" w:hAnsi="宋体" w:eastAsia="宋体" w:cs="宋体"/>
          <w:b/>
          <w:bCs/>
          <w:color w:val="auto"/>
          <w:kern w:val="44"/>
          <w:sz w:val="44"/>
          <w:szCs w:val="44"/>
          <w:highlight w:val="none"/>
          <w:lang w:val="en-US" w:eastAsia="zh-CN" w:bidi="ar-SA"/>
        </w:rPr>
        <w:t xml:space="preserve">第五章  </w:t>
      </w:r>
      <w:bookmarkEnd w:id="163"/>
      <w:bookmarkEnd w:id="164"/>
      <w:bookmarkEnd w:id="165"/>
      <w:r>
        <w:rPr>
          <w:rFonts w:hint="eastAsia" w:ascii="宋体" w:hAnsi="宋体" w:eastAsia="宋体" w:cs="宋体"/>
          <w:b/>
          <w:bCs/>
          <w:color w:val="auto"/>
          <w:kern w:val="44"/>
          <w:sz w:val="44"/>
          <w:szCs w:val="44"/>
          <w:highlight w:val="none"/>
          <w:lang w:val="en-US" w:eastAsia="zh-CN" w:bidi="ar-SA"/>
        </w:rPr>
        <w:t>合同范本</w:t>
      </w:r>
      <w:bookmarkEnd w:id="175"/>
    </w:p>
    <w:p>
      <w:pPr>
        <w:jc w:val="center"/>
        <w:rPr>
          <w:rFonts w:hint="eastAsia" w:ascii="仿宋" w:hAnsi="仿宋" w:eastAsia="仿宋" w:cs="仿宋"/>
          <w:color w:val="auto"/>
          <w:szCs w:val="21"/>
          <w:highlight w:val="none"/>
          <w:lang w:val="en-US" w:eastAsia="zh-CN"/>
        </w:rPr>
      </w:pPr>
    </w:p>
    <w:p>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jc w:val="right"/>
        <w:rPr>
          <w:rFonts w:hint="eastAsia" w:ascii="宋体" w:hAnsi="宋体" w:eastAsia="宋体" w:cs="宋体"/>
          <w:color w:val="auto"/>
          <w:kern w:val="2"/>
          <w:sz w:val="21"/>
          <w:szCs w:val="21"/>
          <w:highlight w:val="none"/>
        </w:rPr>
      </w:pPr>
    </w:p>
    <w:p>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pPr>
        <w:pStyle w:val="2"/>
        <w:numPr>
          <w:ilvl w:val="0"/>
          <w:numId w:val="4"/>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pPr>
        <w:jc w:val="center"/>
        <w:rPr>
          <w:rFonts w:hint="eastAsia" w:ascii="仿宋" w:hAnsi="仿宋" w:eastAsia="仿宋" w:cs="仿宋"/>
          <w:b/>
          <w:bCs/>
          <w:color w:val="auto"/>
          <w:szCs w:val="21"/>
          <w:highlight w:val="none"/>
          <w:lang w:val="en-US" w:eastAsia="zh-CN"/>
        </w:rPr>
      </w:pPr>
    </w:p>
    <w:p>
      <w:pPr>
        <w:rPr>
          <w:rFonts w:ascii="宋体" w:hAnsi="宋体" w:cs="宋体"/>
          <w:color w:val="auto"/>
          <w:highlight w:val="none"/>
        </w:rPr>
      </w:pPr>
    </w:p>
    <w:p>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6" w:name="_Toc513633965"/>
    </w:p>
    <w:p>
      <w:pPr>
        <w:rPr>
          <w:rFonts w:ascii="宋体" w:hAnsi="宋体" w:cs="宋体"/>
          <w:color w:val="auto"/>
          <w:highlight w:val="none"/>
        </w:rPr>
      </w:pPr>
    </w:p>
    <w:p>
      <w:pPr>
        <w:pStyle w:val="3"/>
        <w:spacing w:before="0" w:after="0" w:line="360" w:lineRule="auto"/>
        <w:jc w:val="center"/>
        <w:rPr>
          <w:rFonts w:ascii="宋体" w:hAnsi="宋体" w:cs="宋体"/>
          <w:color w:val="auto"/>
          <w:highlight w:val="none"/>
        </w:rPr>
      </w:pPr>
      <w:bookmarkStart w:id="177" w:name="_Toc514858709"/>
      <w:bookmarkStart w:id="178" w:name="_Toc27626"/>
      <w:bookmarkStart w:id="179"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6"/>
      <w:bookmarkEnd w:id="177"/>
      <w:bookmarkEnd w:id="178"/>
      <w:bookmarkEnd w:id="179"/>
    </w:p>
    <w:p>
      <w:pPr>
        <w:rPr>
          <w:rFonts w:ascii="宋体" w:hAnsi="宋体" w:cs="宋体"/>
          <w:color w:val="auto"/>
          <w:highlight w:val="none"/>
        </w:rPr>
      </w:pPr>
    </w:p>
    <w:p>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color w:val="auto"/>
          <w:highlight w:val="none"/>
        </w:rPr>
      </w:pPr>
    </w:p>
    <w:p>
      <w:pPr>
        <w:jc w:val="center"/>
        <w:rPr>
          <w:rFonts w:ascii="宋体" w:hAnsi="宋体" w:cs="宋体"/>
          <w:color w:val="auto"/>
          <w:sz w:val="52"/>
          <w:szCs w:val="52"/>
          <w:highlight w:val="none"/>
          <w:u w:val="single"/>
        </w:rPr>
      </w:pPr>
      <w:bookmarkStart w:id="180" w:name="_Toc513633967"/>
      <w:bookmarkStart w:id="181" w:name="_Toc514858710"/>
      <w:bookmarkStart w:id="182"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0"/>
      <w:bookmarkEnd w:id="181"/>
      <w:bookmarkEnd w:id="182"/>
      <w:r>
        <w:rPr>
          <w:rFonts w:hint="eastAsia" w:ascii="宋体" w:hAnsi="宋体" w:cs="宋体"/>
          <w:color w:val="auto"/>
          <w:sz w:val="52"/>
          <w:szCs w:val="52"/>
          <w:highlight w:val="none"/>
          <w:u w:val="single"/>
        </w:rPr>
        <w:t xml:space="preserve"> </w:t>
      </w:r>
    </w:p>
    <w:p>
      <w:pPr>
        <w:rPr>
          <w:rFonts w:ascii="宋体" w:hAnsi="宋体" w:cs="宋体"/>
          <w:color w:val="auto"/>
          <w:sz w:val="20"/>
          <w:szCs w:val="20"/>
          <w:highlight w:val="none"/>
        </w:rPr>
      </w:pPr>
    </w:p>
    <w:p>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ascii="宋体" w:hAnsi="宋体" w:cs="宋体"/>
          <w:b/>
          <w:color w:val="auto"/>
          <w:sz w:val="32"/>
          <w:szCs w:val="32"/>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3" w:name="_Toc1368"/>
      <w:bookmarkStart w:id="184" w:name="_Toc11329273"/>
      <w:bookmarkStart w:id="185" w:name="_Toc5459"/>
      <w:bookmarkStart w:id="186" w:name="_Toc28780"/>
      <w:r>
        <w:rPr>
          <w:rFonts w:hint="eastAsia" w:ascii="宋体" w:hAnsi="宋体" w:eastAsia="宋体" w:cs="宋体"/>
          <w:color w:val="auto"/>
          <w:sz w:val="32"/>
          <w:szCs w:val="40"/>
          <w:highlight w:val="none"/>
        </w:rPr>
        <w:t>目    录</w:t>
      </w:r>
      <w:bookmarkEnd w:id="166"/>
      <w:bookmarkEnd w:id="167"/>
      <w:bookmarkEnd w:id="168"/>
      <w:bookmarkEnd w:id="169"/>
      <w:bookmarkEnd w:id="170"/>
      <w:bookmarkEnd w:id="171"/>
      <w:bookmarkEnd w:id="172"/>
      <w:bookmarkEnd w:id="173"/>
      <w:bookmarkEnd w:id="183"/>
      <w:bookmarkEnd w:id="184"/>
      <w:bookmarkEnd w:id="185"/>
      <w:bookmarkEnd w:id="186"/>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pPr>
        <w:spacing w:line="400" w:lineRule="exact"/>
        <w:rPr>
          <w:rFonts w:ascii="宋体" w:hAnsi="宋体" w:cs="宋体"/>
          <w:color w:val="auto"/>
          <w:highlight w:val="none"/>
        </w:rPr>
      </w:pPr>
      <w:r>
        <w:rPr>
          <w:rFonts w:hint="eastAsia" w:ascii="宋体" w:hAnsi="宋体" w:cs="宋体"/>
          <w:color w:val="auto"/>
          <w:highlight w:val="none"/>
        </w:rPr>
        <w:t>三、报价一览表</w:t>
      </w:r>
    </w:p>
    <w:p>
      <w:pPr>
        <w:spacing w:line="400" w:lineRule="exact"/>
        <w:rPr>
          <w:rFonts w:ascii="宋体" w:hAnsi="宋体" w:cs="宋体"/>
          <w:color w:val="auto"/>
          <w:highlight w:val="none"/>
        </w:rPr>
      </w:pPr>
      <w:r>
        <w:rPr>
          <w:rFonts w:hint="eastAsia" w:ascii="宋体" w:hAnsi="宋体" w:cs="宋体"/>
          <w:color w:val="auto"/>
          <w:highlight w:val="none"/>
        </w:rPr>
        <w:t>四、资格审查资料</w:t>
      </w:r>
    </w:p>
    <w:p>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ascii="宋体" w:hAnsi="宋体" w:cs="宋体"/>
          <w:color w:val="auto"/>
          <w:highlight w:val="none"/>
        </w:rPr>
        <w:br w:type="page"/>
      </w:r>
    </w:p>
    <w:p>
      <w:pPr>
        <w:pStyle w:val="4"/>
        <w:numPr>
          <w:ilvl w:val="0"/>
          <w:numId w:val="5"/>
        </w:numPr>
        <w:spacing w:before="0" w:after="0" w:line="360" w:lineRule="auto"/>
        <w:jc w:val="center"/>
        <w:rPr>
          <w:rFonts w:ascii="宋体" w:hAnsi="宋体" w:eastAsia="宋体" w:cs="宋体"/>
          <w:color w:val="auto"/>
          <w:sz w:val="28"/>
          <w:highlight w:val="none"/>
        </w:rPr>
      </w:pPr>
      <w:bookmarkStart w:id="187" w:name="_Toc29547"/>
      <w:bookmarkStart w:id="188" w:name="_Toc29615"/>
      <w:bookmarkStart w:id="189" w:name="_Toc25874"/>
      <w:bookmarkStart w:id="190" w:name="_Toc15863"/>
      <w:bookmarkStart w:id="191" w:name="_Toc447827053"/>
      <w:bookmarkStart w:id="192" w:name="_Toc503951048"/>
      <w:bookmarkStart w:id="193" w:name="_Toc513633969"/>
      <w:r>
        <w:rPr>
          <w:rFonts w:hint="eastAsia" w:ascii="宋体" w:hAnsi="宋体" w:eastAsia="宋体" w:cs="宋体"/>
          <w:color w:val="auto"/>
          <w:sz w:val="28"/>
          <w:highlight w:val="none"/>
        </w:rPr>
        <w:t>竞争比选响应声明书</w:t>
      </w:r>
      <w:bookmarkEnd w:id="187"/>
      <w:bookmarkEnd w:id="188"/>
      <w:bookmarkEnd w:id="189"/>
      <w:bookmarkEnd w:id="190"/>
    </w:p>
    <w:p>
      <w:pPr>
        <w:rPr>
          <w:color w:val="auto"/>
          <w:highlight w:val="none"/>
        </w:rPr>
      </w:pPr>
    </w:p>
    <w:p>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4" w:name="_Toc27815"/>
      <w:bookmarkStart w:id="195" w:name="_Toc491883232"/>
    </w:p>
    <w:p>
      <w:pPr>
        <w:pStyle w:val="41"/>
        <w:rPr>
          <w:color w:val="auto"/>
          <w:highlight w:val="none"/>
        </w:rPr>
      </w:pPr>
    </w:p>
    <w:p>
      <w:pPr>
        <w:pStyle w:val="41"/>
        <w:rPr>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numPr>
          <w:ilvl w:val="0"/>
          <w:numId w:val="5"/>
        </w:numPr>
        <w:spacing w:before="0" w:after="0" w:line="360" w:lineRule="auto"/>
        <w:jc w:val="center"/>
        <w:rPr>
          <w:rFonts w:hint="eastAsia" w:ascii="宋体" w:hAnsi="宋体" w:eastAsia="宋体" w:cs="宋体"/>
          <w:color w:val="auto"/>
          <w:sz w:val="28"/>
          <w:highlight w:val="none"/>
        </w:rPr>
      </w:pPr>
      <w:bookmarkStart w:id="196" w:name="_Toc15139"/>
      <w:r>
        <w:rPr>
          <w:rFonts w:hint="eastAsia" w:ascii="宋体" w:hAnsi="宋体" w:eastAsia="宋体" w:cs="宋体"/>
          <w:color w:val="auto"/>
          <w:sz w:val="28"/>
          <w:highlight w:val="none"/>
        </w:rPr>
        <w:t>法定代表人身份证明或法定代表人授权委托书</w:t>
      </w:r>
      <w:bookmarkEnd w:id="194"/>
      <w:bookmarkEnd w:id="196"/>
    </w:p>
    <w:bookmarkEnd w:id="195"/>
    <w:p>
      <w:pPr>
        <w:pStyle w:val="4"/>
        <w:spacing w:line="480" w:lineRule="auto"/>
        <w:jc w:val="center"/>
        <w:outlineLvl w:val="2"/>
        <w:rPr>
          <w:rFonts w:ascii="宋体" w:hAnsi="宋体" w:eastAsia="宋体" w:cs="宋体"/>
          <w:color w:val="auto"/>
          <w:sz w:val="24"/>
          <w:szCs w:val="24"/>
          <w:highlight w:val="none"/>
        </w:rPr>
      </w:pPr>
      <w:bookmarkStart w:id="197" w:name="_Toc14141"/>
      <w:bookmarkStart w:id="198" w:name="_Toc20985"/>
      <w:r>
        <w:rPr>
          <w:rFonts w:hint="eastAsia" w:ascii="宋体" w:hAnsi="宋体" w:eastAsia="宋体" w:cs="宋体"/>
          <w:color w:val="auto"/>
          <w:sz w:val="24"/>
          <w:szCs w:val="24"/>
          <w:highlight w:val="none"/>
        </w:rPr>
        <w:t>（一）法定代表人身份证明</w:t>
      </w:r>
      <w:bookmarkEnd w:id="197"/>
      <w:bookmarkEnd w:id="198"/>
    </w:p>
    <w:p>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9" w:name="_Toc352691662"/>
      <w:bookmarkStart w:id="200" w:name="_Toc369531698"/>
      <w:bookmarkStart w:id="201" w:name="_Toc27897"/>
      <w:r>
        <w:rPr>
          <w:rFonts w:ascii="宋体" w:hAnsi="宋体"/>
          <w:color w:val="auto"/>
          <w:highlight w:val="none"/>
          <w:u w:val="single"/>
        </w:rPr>
        <w:t xml:space="preserve">        </w:t>
      </w:r>
      <w:r>
        <w:rPr>
          <w:rFonts w:ascii="宋体" w:hAnsi="宋体"/>
          <w:color w:val="auto"/>
          <w:highlight w:val="none"/>
        </w:rPr>
        <w:t>年</w:t>
      </w:r>
      <w:bookmarkEnd w:id="199"/>
      <w:bookmarkEnd w:id="200"/>
      <w:bookmarkEnd w:id="201"/>
      <w:r>
        <w:rPr>
          <w:rFonts w:ascii="宋体" w:hAnsi="宋体"/>
          <w:color w:val="auto"/>
          <w:highlight w:val="none"/>
        </w:rPr>
        <w:t>龄</w:t>
      </w:r>
      <w:bookmarkStart w:id="202" w:name="_Toc300835211"/>
      <w:bookmarkStart w:id="203" w:name="_Toc361508754"/>
      <w:bookmarkStart w:id="204" w:name="_Toc369531699"/>
      <w:bookmarkStart w:id="205" w:name="_Toc247514248"/>
      <w:bookmarkStart w:id="206" w:name="_Toc247527829"/>
      <w:bookmarkStart w:id="207" w:name="_Toc152045789"/>
      <w:bookmarkStart w:id="208" w:name="_Toc384308377"/>
      <w:bookmarkStart w:id="209" w:name="_Toc152042578"/>
      <w:bookmarkStart w:id="210" w:name="_Toc144974858"/>
      <w:bookmarkStart w:id="211" w:name="_Toc352691663"/>
      <w:bookmarkStart w:id="212" w:name="_Toc15573"/>
      <w:r>
        <w:rPr>
          <w:rFonts w:ascii="宋体" w:hAnsi="宋体"/>
          <w:color w:val="auto"/>
          <w:highlight w:val="none"/>
        </w:rPr>
        <w:t>：</w:t>
      </w:r>
      <w:bookmarkEnd w:id="202"/>
      <w:bookmarkEnd w:id="203"/>
      <w:bookmarkEnd w:id="204"/>
      <w:bookmarkEnd w:id="205"/>
      <w:bookmarkEnd w:id="206"/>
      <w:bookmarkEnd w:id="207"/>
      <w:bookmarkEnd w:id="208"/>
      <w:bookmarkEnd w:id="209"/>
      <w:bookmarkEnd w:id="210"/>
      <w:bookmarkEnd w:id="211"/>
      <w:bookmarkEnd w:id="212"/>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pPr>
        <w:spacing w:line="480" w:lineRule="auto"/>
        <w:ind w:firstLine="420" w:firstLineChars="200"/>
        <w:rPr>
          <w:rFonts w:ascii="宋体" w:hAnsi="宋体"/>
          <w:color w:val="auto"/>
          <w:highlight w:val="none"/>
        </w:rPr>
      </w:pPr>
      <w:r>
        <w:rPr>
          <w:rFonts w:ascii="宋体" w:hAnsi="宋体"/>
          <w:color w:val="auto"/>
          <w:highlight w:val="none"/>
        </w:rPr>
        <w:t>特此证明。</w:t>
      </w:r>
    </w:p>
    <w:p>
      <w:pPr>
        <w:spacing w:line="480" w:lineRule="auto"/>
        <w:rPr>
          <w:rFonts w:ascii="宋体" w:hAnsi="宋体"/>
          <w:color w:val="auto"/>
          <w:highlight w:val="none"/>
        </w:rPr>
      </w:pPr>
    </w:p>
    <w:p>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pPr>
        <w:spacing w:line="480" w:lineRule="auto"/>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sz w:val="20"/>
          <w:highlight w:val="none"/>
        </w:rPr>
      </w:pPr>
    </w:p>
    <w:p>
      <w:pPr>
        <w:spacing w:line="20" w:lineRule="exact"/>
        <w:jc w:val="center"/>
        <w:rPr>
          <w:rFonts w:ascii="宋体" w:hAnsi="宋体"/>
          <w:color w:val="auto"/>
          <w:sz w:val="20"/>
          <w:highlight w:val="none"/>
        </w:rPr>
      </w:pPr>
      <w:r>
        <w:rPr>
          <w:rFonts w:ascii="宋体" w:hAnsi="宋体"/>
          <w:color w:val="auto"/>
          <w:sz w:val="20"/>
          <w:highlight w:val="none"/>
        </w:rPr>
        <w:br w:type="page"/>
      </w:r>
    </w:p>
    <w:p>
      <w:pPr>
        <w:pStyle w:val="4"/>
        <w:spacing w:line="480" w:lineRule="auto"/>
        <w:jc w:val="center"/>
        <w:outlineLvl w:val="2"/>
        <w:rPr>
          <w:rFonts w:ascii="宋体" w:hAnsi="宋体"/>
          <w:color w:val="auto"/>
          <w:sz w:val="28"/>
          <w:szCs w:val="28"/>
          <w:highlight w:val="none"/>
        </w:rPr>
      </w:pPr>
      <w:bookmarkStart w:id="213" w:name="_Toc491883233"/>
      <w:bookmarkStart w:id="214" w:name="_Toc58"/>
      <w:bookmarkStart w:id="215" w:name="_Toc3882"/>
      <w:r>
        <w:rPr>
          <w:rFonts w:hint="eastAsia" w:ascii="宋体" w:hAnsi="宋体" w:eastAsia="宋体" w:cs="宋体"/>
          <w:color w:val="auto"/>
          <w:sz w:val="24"/>
          <w:szCs w:val="24"/>
          <w:highlight w:val="none"/>
        </w:rPr>
        <w:t>（二）</w:t>
      </w:r>
      <w:bookmarkEnd w:id="213"/>
      <w:r>
        <w:rPr>
          <w:rFonts w:hint="eastAsia" w:ascii="宋体" w:hAnsi="宋体" w:eastAsia="宋体" w:cs="宋体"/>
          <w:color w:val="auto"/>
          <w:sz w:val="24"/>
          <w:szCs w:val="24"/>
          <w:highlight w:val="none"/>
        </w:rPr>
        <w:t>法定代表人授权委托书</w:t>
      </w:r>
      <w:bookmarkEnd w:id="214"/>
      <w:bookmarkEnd w:id="215"/>
    </w:p>
    <w:p>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pPr>
                        <w:snapToGrid w:val="0"/>
                        <w:spacing w:line="360" w:lineRule="auto"/>
                        <w:rPr>
                          <w:highlight w:val="none"/>
                        </w:rPr>
                      </w:pPr>
                    </w:p>
                  </w:txbxContent>
                </v:textbox>
              </v:shape>
            </w:pict>
          </mc:Fallback>
        </mc:AlternateConten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委托代理人身份证复印件</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pPr>
                        <w:spacing w:line="360" w:lineRule="auto"/>
                        <w:jc w:val="center"/>
                        <w:rPr>
                          <w:highlight w:val="none"/>
                        </w:rPr>
                      </w:pPr>
                    </w:p>
                  </w:txbxContent>
                </v:textbox>
              </v:shape>
            </w:pict>
          </mc:Fallback>
        </mc:AlternateContent>
      </w: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hint="eastAsia"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pPr>
        <w:rPr>
          <w:rFonts w:ascii="宋体" w:hAnsi="宋体" w:cs="宋体"/>
          <w:snapToGrid w:val="0"/>
          <w:color w:val="auto"/>
          <w:kern w:val="0"/>
          <w:szCs w:val="21"/>
          <w:highlight w:val="none"/>
        </w:rPr>
      </w:pPr>
    </w:p>
    <w:p>
      <w:pPr>
        <w:pStyle w:val="4"/>
        <w:spacing w:before="0" w:after="0" w:line="360" w:lineRule="auto"/>
        <w:jc w:val="center"/>
        <w:rPr>
          <w:rFonts w:ascii="宋体" w:hAnsi="宋体" w:eastAsia="宋体" w:cs="宋体"/>
          <w:color w:val="auto"/>
          <w:sz w:val="28"/>
          <w:highlight w:val="none"/>
        </w:rPr>
      </w:pPr>
      <w:bookmarkStart w:id="216" w:name="_Toc11329275"/>
      <w:bookmarkStart w:id="217" w:name="_Toc31983"/>
      <w:r>
        <w:rPr>
          <w:rFonts w:hint="eastAsia" w:ascii="宋体" w:hAnsi="宋体" w:eastAsia="宋体" w:cs="宋体"/>
          <w:color w:val="auto"/>
          <w:sz w:val="28"/>
          <w:highlight w:val="none"/>
        </w:rPr>
        <w:t>三、</w:t>
      </w:r>
      <w:bookmarkEnd w:id="191"/>
      <w:bookmarkEnd w:id="192"/>
      <w:bookmarkEnd w:id="193"/>
      <w:bookmarkEnd w:id="216"/>
      <w:r>
        <w:rPr>
          <w:rFonts w:hint="eastAsia" w:ascii="宋体" w:hAnsi="宋体" w:eastAsia="宋体" w:cs="宋体"/>
          <w:color w:val="auto"/>
          <w:sz w:val="28"/>
          <w:highlight w:val="none"/>
        </w:rPr>
        <w:t>报价一览表</w:t>
      </w:r>
      <w:bookmarkEnd w:id="217"/>
    </w:p>
    <w:p>
      <w:pPr>
        <w:ind w:left="765"/>
        <w:jc w:val="center"/>
        <w:rPr>
          <w:rFonts w:ascii="宋体" w:hAnsi="宋体" w:cs="宋体"/>
          <w:color w:val="auto"/>
          <w:szCs w:val="21"/>
          <w:highlight w:val="none"/>
        </w:rPr>
      </w:pPr>
    </w:p>
    <w:p>
      <w:pPr>
        <w:pStyle w:val="38"/>
        <w:spacing w:line="480" w:lineRule="auto"/>
        <w:jc w:val="both"/>
        <w:rPr>
          <w:rFonts w:hAnsi="宋体"/>
          <w:color w:val="auto"/>
          <w:highlight w:val="none"/>
        </w:rPr>
      </w:pPr>
      <w:r>
        <w:rPr>
          <w:rFonts w:hint="eastAsia" w:hAnsi="宋体"/>
          <w:color w:val="auto"/>
          <w:highlight w:val="none"/>
        </w:rPr>
        <w:t>重庆首讯科技股份有限公司：</w:t>
      </w:r>
    </w:p>
    <w:p>
      <w:pPr>
        <w:spacing w:line="480" w:lineRule="auto"/>
        <w:ind w:firstLine="420" w:firstLineChars="200"/>
        <w:jc w:val="left"/>
        <w:rPr>
          <w:rFonts w:ascii="宋体" w:hAnsi="宋体"/>
          <w:b/>
          <w:color w:val="auto"/>
          <w:szCs w:val="21"/>
          <w:highlight w:val="none"/>
        </w:rPr>
      </w:pPr>
      <w:bookmarkStart w:id="218" w:name="_Toc503951050"/>
      <w:bookmarkStart w:id="219" w:name="_Toc11329278"/>
      <w:bookmarkStart w:id="220" w:name="_Toc513633971"/>
      <w:bookmarkStart w:id="221" w:name="_Toc152042592"/>
      <w:bookmarkStart w:id="222" w:name="_Toc246997112"/>
      <w:bookmarkStart w:id="223" w:name="_Toc247085887"/>
      <w:bookmarkStart w:id="224" w:name="_Toc152045803"/>
      <w:bookmarkStart w:id="225" w:name="_Toc447827058"/>
      <w:bookmarkStart w:id="226" w:name="_Toc144974871"/>
      <w:bookmarkStart w:id="227" w:name="_Toc179632823"/>
      <w:bookmarkStart w:id="228" w:name="_Toc246996369"/>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8519" w:type="dxa"/>
        <w:tblInd w:w="0" w:type="dxa"/>
        <w:tblLayout w:type="fixed"/>
        <w:tblCellMar>
          <w:top w:w="0" w:type="dxa"/>
          <w:left w:w="108" w:type="dxa"/>
          <w:bottom w:w="0" w:type="dxa"/>
          <w:right w:w="108" w:type="dxa"/>
        </w:tblCellMar>
      </w:tblPr>
      <w:tblGrid>
        <w:gridCol w:w="637"/>
        <w:gridCol w:w="1273"/>
        <w:gridCol w:w="1527"/>
        <w:gridCol w:w="875"/>
        <w:gridCol w:w="712"/>
        <w:gridCol w:w="875"/>
        <w:gridCol w:w="800"/>
        <w:gridCol w:w="913"/>
        <w:gridCol w:w="907"/>
      </w:tblGrid>
      <w:tr>
        <w:tblPrEx>
          <w:tblCellMar>
            <w:top w:w="0" w:type="dxa"/>
            <w:left w:w="108" w:type="dxa"/>
            <w:bottom w:w="0" w:type="dxa"/>
            <w:right w:w="108" w:type="dxa"/>
          </w:tblCellMar>
        </w:tblPrEx>
        <w:trPr>
          <w:trHeight w:val="585" w:hRule="atLeast"/>
        </w:trPr>
        <w:tc>
          <w:tcPr>
            <w:tcW w:w="63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27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2402"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712" w:type="dxa"/>
            <w:tcBorders>
              <w:top w:val="single" w:color="000000" w:sz="8" w:space="0"/>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875"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8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90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CellMar>
            <w:top w:w="0" w:type="dxa"/>
            <w:left w:w="108" w:type="dxa"/>
            <w:bottom w:w="0" w:type="dxa"/>
            <w:right w:w="108" w:type="dxa"/>
          </w:tblCellMar>
        </w:tblPrEx>
        <w:trPr>
          <w:trHeight w:val="98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2402" w:type="dxa"/>
            <w:gridSpan w:val="2"/>
            <w:tcBorders>
              <w:top w:val="nil"/>
              <w:left w:val="nil"/>
              <w:bottom w:val="single" w:color="000000" w:sz="8" w:space="0"/>
              <w:right w:val="single" w:color="000000" w:sz="8" w:space="0"/>
            </w:tcBorders>
            <w:vAlign w:val="center"/>
          </w:tcPr>
          <w:p>
            <w:pPr>
              <w:widowControl/>
              <w:ind w:firstLine="420" w:firstLineChars="200"/>
              <w:jc w:val="left"/>
              <w:textAlignment w:val="center"/>
              <w:rPr>
                <w:rFonts w:hint="eastAsia" w:ascii="宋体" w:hAnsi="宋体" w:eastAsia="宋体" w:cs="宋体"/>
                <w:color w:val="auto"/>
                <w:sz w:val="21"/>
                <w:szCs w:val="21"/>
                <w:highlight w:val="none"/>
              </w:rPr>
            </w:pP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35" w:hRule="atLeast"/>
        </w:trPr>
        <w:tc>
          <w:tcPr>
            <w:tcW w:w="63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w:t>
            </w:r>
          </w:p>
        </w:tc>
        <w:tc>
          <w:tcPr>
            <w:tcW w:w="1273"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2402" w:type="dxa"/>
            <w:gridSpan w:val="2"/>
            <w:tcBorders>
              <w:top w:val="nil"/>
              <w:left w:val="nil"/>
              <w:bottom w:val="single" w:color="000000" w:sz="8" w:space="0"/>
              <w:right w:val="single" w:color="000000" w:sz="8" w:space="0"/>
            </w:tcBorders>
            <w:vAlign w:val="center"/>
          </w:tcPr>
          <w:p>
            <w:pPr>
              <w:widowControl/>
              <w:ind w:firstLine="420" w:firstLineChars="200"/>
              <w:jc w:val="left"/>
              <w:textAlignment w:val="center"/>
              <w:rPr>
                <w:rFonts w:hint="eastAsia" w:ascii="宋体" w:hAnsi="宋体" w:eastAsia="宋体" w:cs="宋体"/>
                <w:color w:val="auto"/>
                <w:sz w:val="21"/>
                <w:szCs w:val="21"/>
                <w:highlight w:val="none"/>
              </w:rPr>
            </w:pPr>
          </w:p>
        </w:tc>
        <w:tc>
          <w:tcPr>
            <w:tcW w:w="712" w:type="dxa"/>
            <w:tcBorders>
              <w:top w:val="nil"/>
              <w:left w:val="nil"/>
              <w:bottom w:val="single" w:color="000000" w:sz="8"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75" w:type="dxa"/>
            <w:tcBorders>
              <w:top w:val="nil"/>
              <w:left w:val="single" w:color="auto" w:sz="4" w:space="0"/>
              <w:bottom w:val="single" w:color="000000" w:sz="8" w:space="0"/>
              <w:right w:val="single" w:color="000000" w:sz="8" w:space="0"/>
            </w:tcBorders>
            <w:vAlign w:val="center"/>
          </w:tcPr>
          <w:p>
            <w:pPr>
              <w:widowControl/>
              <w:jc w:val="center"/>
              <w:textAlignment w:val="center"/>
              <w:rPr>
                <w:rFonts w:hint="eastAsia" w:ascii="宋体" w:hAnsi="宋体" w:eastAsia="宋体" w:cs="宋体"/>
                <w:color w:val="auto"/>
                <w:sz w:val="21"/>
                <w:szCs w:val="21"/>
                <w:highlight w:val="none"/>
              </w:rPr>
            </w:pPr>
          </w:p>
        </w:tc>
        <w:tc>
          <w:tcPr>
            <w:tcW w:w="800" w:type="dxa"/>
            <w:tcBorders>
              <w:top w:val="nil"/>
              <w:left w:val="nil"/>
              <w:bottom w:val="single" w:color="000000" w:sz="8" w:space="0"/>
              <w:right w:val="single" w:color="000000" w:sz="8" w:space="0"/>
            </w:tcBorders>
            <w:vAlign w:val="center"/>
          </w:tcPr>
          <w:p>
            <w:pPr>
              <w:rPr>
                <w:rFonts w:hint="eastAsia" w:ascii="宋体" w:hAnsi="宋体" w:eastAsia="宋体" w:cs="宋体"/>
                <w:color w:val="auto"/>
                <w:sz w:val="21"/>
                <w:szCs w:val="21"/>
                <w:highlight w:val="none"/>
              </w:rPr>
            </w:pPr>
          </w:p>
        </w:tc>
        <w:tc>
          <w:tcPr>
            <w:tcW w:w="913"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lang w:val="en-US" w:eastAsia="zh-CN"/>
              </w:rPr>
            </w:pPr>
          </w:p>
        </w:tc>
        <w:tc>
          <w:tcPr>
            <w:tcW w:w="907" w:type="dxa"/>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50" w:hRule="atLeast"/>
        </w:trPr>
        <w:tc>
          <w:tcPr>
            <w:tcW w:w="3437" w:type="dxa"/>
            <w:gridSpan w:val="3"/>
            <w:tcBorders>
              <w:top w:val="nil"/>
              <w:left w:val="single" w:color="000000" w:sz="8" w:space="0"/>
              <w:bottom w:val="single" w:color="000000" w:sz="8" w:space="0"/>
              <w:right w:val="single" w:color="000000" w:sz="8" w:space="0"/>
            </w:tcBorders>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5082" w:type="dxa"/>
            <w:gridSpan w:val="6"/>
            <w:tcBorders>
              <w:top w:val="nil"/>
              <w:left w:val="nil"/>
              <w:bottom w:val="single" w:color="000000" w:sz="8" w:space="0"/>
              <w:right w:val="single" w:color="000000" w:sz="8" w:space="0"/>
            </w:tcBorders>
            <w:vAlign w:val="center"/>
          </w:tcPr>
          <w:p>
            <w:pPr>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pPr>
        <w:jc w:val="right"/>
        <w:rPr>
          <w:rFonts w:hint="eastAsia" w:ascii="宋体" w:hAnsi="宋体"/>
          <w:b w:val="0"/>
          <w:bCs w:val="0"/>
          <w:color w:val="auto"/>
          <w:kern w:val="0"/>
          <w:szCs w:val="21"/>
          <w:highlight w:val="none"/>
          <w:u w:val="single"/>
        </w:rPr>
      </w:pPr>
    </w:p>
    <w:p>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29" w:name="_Toc18757"/>
      <w:bookmarkStart w:id="230" w:name="_Toc4544"/>
      <w:bookmarkStart w:id="231" w:name="_Toc11961"/>
      <w:bookmarkStart w:id="232" w:name="_Toc12910"/>
      <w:r>
        <w:rPr>
          <w:rFonts w:hint="eastAsia" w:ascii="宋体" w:hAnsi="宋体" w:eastAsia="宋体" w:cs="宋体"/>
          <w:color w:val="auto"/>
          <w:sz w:val="28"/>
          <w:highlight w:val="none"/>
        </w:rPr>
        <w:t>四、资格审查资料</w:t>
      </w:r>
      <w:bookmarkEnd w:id="218"/>
      <w:bookmarkEnd w:id="219"/>
      <w:bookmarkEnd w:id="220"/>
      <w:bookmarkEnd w:id="229"/>
      <w:bookmarkEnd w:id="230"/>
      <w:bookmarkEnd w:id="231"/>
      <w:bookmarkEnd w:id="232"/>
    </w:p>
    <w:bookmarkEnd w:id="221"/>
    <w:bookmarkEnd w:id="222"/>
    <w:bookmarkEnd w:id="223"/>
    <w:bookmarkEnd w:id="224"/>
    <w:bookmarkEnd w:id="225"/>
    <w:bookmarkEnd w:id="226"/>
    <w:bookmarkEnd w:id="227"/>
    <w:bookmarkEnd w:id="228"/>
    <w:p>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33" w:name="_Toc513633974"/>
      <w:bookmarkStart w:id="234" w:name="_Toc503951058"/>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highlight w:val="none"/>
                <w:lang w:val="en-US" w:eastAsia="zh-CN"/>
              </w:rPr>
            </w:pPr>
            <w:bookmarkStart w:id="235" w:name="资质要求2"/>
            <w:r>
              <w:rPr>
                <w:rFonts w:hint="eastAsia" w:ascii="宋体" w:hAnsi="宋体" w:eastAsia="宋体" w:cs="宋体"/>
                <w:i w:val="0"/>
                <w:iCs w:val="0"/>
                <w:caps w:val="0"/>
                <w:color w:val="auto"/>
                <w:spacing w:val="0"/>
                <w:sz w:val="21"/>
                <w:szCs w:val="21"/>
                <w:highlight w:val="none"/>
                <w:shd w:val="clear" w:fill="FCFCFC"/>
              </w:rPr>
              <w:t>报价人具有独立法人资格和有效的营业执照。</w:t>
            </w:r>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color w:val="auto"/>
                <w:szCs w:val="21"/>
                <w:highlight w:val="none"/>
                <w:shd w:val="clear" w:color="auto" w:fill="FFFFFF"/>
              </w:rPr>
            </w:pPr>
            <w:bookmarkStart w:id="236" w:name="业绩要求2"/>
            <w:r>
              <w:rPr>
                <w:rFonts w:hint="eastAsia" w:ascii="宋体" w:hAnsi="宋体" w:eastAsia="宋体" w:cs="宋体"/>
                <w:color w:val="auto"/>
                <w:sz w:val="21"/>
                <w:szCs w:val="21"/>
                <w:highlight w:val="none"/>
                <w:lang w:val="en-US" w:eastAsia="zh-CN"/>
              </w:rPr>
              <w:t>2022年1月1日至报价截止日期（以合同签订时间为准）至少完成一项合同金额不低于15万元的信息安全服务相关业绩（提供合同扫描件）。</w:t>
            </w:r>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主要管理</w:t>
            </w:r>
          </w:p>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7" w:name="主要管理人员要求1"/>
            <w:r>
              <w:rPr>
                <w:rFonts w:hint="eastAsia" w:ascii="宋体" w:hAnsi="宋体" w:eastAsia="宋体" w:cs="宋体"/>
                <w:color w:val="auto"/>
                <w:sz w:val="21"/>
                <w:szCs w:val="21"/>
                <w:highlight w:val="none"/>
                <w:lang w:val="en-US" w:eastAsia="zh-CN"/>
              </w:rPr>
              <w:t>项目负责人，1人，具有3年以上工作经验，为计算机、通信、数据处理相关专业人员。</w:t>
            </w:r>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其他人员要求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highlight w:val="none"/>
                <w:lang w:val="en-US" w:eastAsia="zh-CN"/>
              </w:rPr>
            </w:pPr>
            <w:bookmarkStart w:id="238" w:name="其他人员要求1"/>
            <w:r>
              <w:rPr>
                <w:rFonts w:hint="eastAsia" w:ascii="宋体" w:hAnsi="宋体" w:cs="宋体"/>
                <w:b w:val="0"/>
                <w:bCs w:val="0"/>
                <w:color w:val="auto"/>
                <w:szCs w:val="21"/>
                <w:highlight w:val="none"/>
                <w:lang w:val="en-US" w:eastAsia="zh-CN"/>
              </w:rPr>
              <w:t>根据项目实际进度情况及时增加人员，满足项目工期和质量的要求。</w:t>
            </w:r>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4.提供人员资格要求承诺函（格式自拟）。</w:t>
      </w:r>
    </w:p>
    <w:p>
      <w:pPr>
        <w:pStyle w:val="5"/>
        <w:jc w:val="center"/>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p>
        </w:tc>
      </w:tr>
    </w:tbl>
    <w:p>
      <w:pPr>
        <w:adjustRightInd w:val="0"/>
        <w:snapToGrid w:val="0"/>
        <w:spacing w:line="460" w:lineRule="exact"/>
        <w:ind w:firstLine="422"/>
        <w:rPr>
          <w:rFonts w:hint="eastAsia" w:ascii="宋体" w:hAnsi="宋体"/>
          <w:b/>
          <w:color w:val="auto"/>
          <w:szCs w:val="21"/>
          <w:highlight w:val="none"/>
        </w:rPr>
      </w:pPr>
    </w:p>
    <w:p>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pPr>
        <w:adjustRightInd w:val="0"/>
        <w:snapToGrid w:val="0"/>
        <w:spacing w:line="460" w:lineRule="exact"/>
        <w:ind w:firstLine="422"/>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pPr>
              <w:spacing w:before="312" w:beforeLines="100" w:line="360" w:lineRule="auto"/>
              <w:jc w:val="center"/>
              <w:rPr>
                <w:rFonts w:ascii="宋体" w:hAnsi="宋体" w:eastAsia="宋体" w:cs="Times New Roman"/>
                <w:color w:val="auto"/>
                <w:szCs w:val="21"/>
                <w:highlight w:val="none"/>
              </w:rPr>
            </w:pPr>
          </w:p>
        </w:tc>
      </w:tr>
    </w:tbl>
    <w:p>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pPr>
        <w:adjustRightInd w:val="0"/>
        <w:snapToGrid w:val="0"/>
        <w:spacing w:line="460" w:lineRule="exact"/>
        <w:ind w:firstLine="422"/>
        <w:rPr>
          <w:rFonts w:ascii="宋体" w:hAnsi="宋体"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pStyle w:val="2"/>
        <w:rPr>
          <w:rFonts w:ascii="宋体" w:hAnsi="宋体" w:cs="宋体"/>
          <w:color w:val="auto"/>
          <w:sz w:val="28"/>
          <w:highlight w:val="none"/>
        </w:rPr>
      </w:pPr>
    </w:p>
    <w:p>
      <w:pPr>
        <w:rPr>
          <w:rFonts w:ascii="宋体" w:hAnsi="宋体" w:cs="宋体"/>
          <w:color w:val="auto"/>
          <w:sz w:val="28"/>
          <w:highlight w:val="none"/>
        </w:rPr>
      </w:pPr>
    </w:p>
    <w:p>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pPr>
        <w:pStyle w:val="4"/>
        <w:spacing w:before="0" w:after="0" w:line="360" w:lineRule="auto"/>
        <w:jc w:val="center"/>
        <w:rPr>
          <w:rFonts w:ascii="宋体" w:hAnsi="宋体" w:eastAsia="宋体" w:cs="宋体"/>
          <w:color w:val="auto"/>
          <w:sz w:val="28"/>
          <w:highlight w:val="none"/>
        </w:rPr>
      </w:pPr>
      <w:bookmarkStart w:id="239" w:name="_Toc7326"/>
      <w:r>
        <w:rPr>
          <w:rFonts w:hint="eastAsia" w:ascii="宋体" w:hAnsi="宋体" w:eastAsia="宋体" w:cs="宋体"/>
          <w:color w:val="auto"/>
          <w:sz w:val="28"/>
          <w:highlight w:val="none"/>
        </w:rPr>
        <w:t>五、报价人承诺</w:t>
      </w:r>
      <w:bookmarkEnd w:id="239"/>
    </w:p>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FF0000"/>
          <w:sz w:val="21"/>
          <w:szCs w:val="21"/>
          <w:highlight w:val="none"/>
        </w:rPr>
      </w:pP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b/>
          <w:bCs/>
          <w:color w:val="auto"/>
          <w:kern w:val="0"/>
          <w:szCs w:val="21"/>
          <w:highlight w:val="none"/>
        </w:rPr>
      </w:pPr>
      <w:r>
        <w:rPr>
          <w:rFonts w:hint="eastAsia" w:ascii="宋体" w:hAnsi="宋体" w:eastAsia="宋体" w:cs="宋体"/>
          <w:b/>
          <w:bCs/>
          <w:color w:val="auto"/>
          <w:sz w:val="21"/>
          <w:szCs w:val="21"/>
          <w:highlight w:val="none"/>
          <w:lang w:val="en-US" w:eastAsia="zh-CN"/>
        </w:rPr>
        <w:t xml:space="preserve">                         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pPr>
        <w:rPr>
          <w:rFonts w:hint="eastAsia" w:ascii="宋体" w:hAnsi="宋体"/>
          <w:b/>
          <w:bCs/>
          <w:color w:val="auto"/>
          <w:sz w:val="24"/>
          <w:highlight w:val="none"/>
        </w:rPr>
      </w:pPr>
      <w:r>
        <w:rPr>
          <w:rFonts w:hint="eastAsia" w:ascii="宋体" w:hAnsi="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0" w:name="_Toc22594"/>
      <w:r>
        <w:rPr>
          <w:rFonts w:hint="eastAsia" w:ascii="宋体" w:hAnsi="宋体" w:eastAsia="宋体" w:cs="宋体"/>
          <w:b/>
          <w:bCs/>
          <w:color w:val="auto"/>
          <w:kern w:val="0"/>
          <w:sz w:val="28"/>
          <w:szCs w:val="32"/>
          <w:highlight w:val="none"/>
          <w:lang w:val="en-US" w:eastAsia="zh-CN" w:bidi="ar-SA"/>
        </w:rPr>
        <w:t>六、报价人其他资料</w:t>
      </w:r>
      <w:bookmarkEnd w:id="240"/>
    </w:p>
    <w:p>
      <w:pPr>
        <w:pStyle w:val="2"/>
        <w:rPr>
          <w:rFonts w:ascii="宋体" w:hAnsi="宋体"/>
          <w:color w:val="auto"/>
          <w:sz w:val="24"/>
          <w:highlight w:val="none"/>
        </w:rPr>
      </w:pPr>
    </w:p>
    <w:p>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pStyle w:val="2"/>
        <w:rPr>
          <w:rFonts w:hint="eastAsia" w:ascii="宋体" w:hAnsi="宋体" w:cs="宋体"/>
          <w:color w:val="auto"/>
          <w:sz w:val="28"/>
          <w:highlight w:val="none"/>
          <w:lang w:eastAsia="zh-CN"/>
        </w:rPr>
      </w:pPr>
    </w:p>
    <w:p>
      <w:pPr>
        <w:pStyle w:val="2"/>
        <w:rPr>
          <w:rFonts w:hint="eastAsia" w:ascii="宋体" w:hAnsi="宋体" w:cs="宋体"/>
          <w:color w:val="auto"/>
          <w:sz w:val="28"/>
          <w:highlight w:val="none"/>
          <w:lang w:eastAsia="zh-CN"/>
        </w:rPr>
      </w:pPr>
    </w:p>
    <w:p>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pPr>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pPr>
        <w:pStyle w:val="4"/>
        <w:spacing w:before="0" w:after="0" w:line="360" w:lineRule="auto"/>
        <w:jc w:val="center"/>
        <w:outlineLvl w:val="9"/>
        <w:rPr>
          <w:rFonts w:ascii="宋体" w:hAnsi="宋体" w:eastAsia="宋体" w:cs="宋体"/>
          <w:color w:val="auto"/>
          <w:sz w:val="28"/>
          <w:highlight w:val="none"/>
        </w:rPr>
      </w:pPr>
    </w:p>
    <w:p>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pPr>
        <w:pStyle w:val="4"/>
        <w:spacing w:before="0" w:after="0" w:line="360" w:lineRule="auto"/>
        <w:jc w:val="center"/>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pPr>
        <w:wordWrap w:val="0"/>
        <w:adjustRightInd w:val="0"/>
        <w:snapToGrid w:val="0"/>
        <w:spacing w:line="460" w:lineRule="exact"/>
        <w:jc w:val="left"/>
        <w:rPr>
          <w:rFonts w:hint="eastAsia" w:ascii="宋体" w:hAnsi="宋体" w:cs="宋体"/>
          <w:color w:val="auto"/>
          <w:szCs w:val="21"/>
          <w:highlight w:val="none"/>
          <w:lang w:bidi="ar"/>
        </w:rPr>
      </w:pPr>
    </w:p>
    <w:p>
      <w:pPr>
        <w:pStyle w:val="2"/>
        <w:rPr>
          <w:color w:val="auto"/>
          <w:highlight w:val="none"/>
        </w:rPr>
      </w:pPr>
    </w:p>
    <w:p>
      <w:pPr>
        <w:rPr>
          <w:rFonts w:ascii="宋体" w:hAnsi="宋体" w:cs="宋体"/>
          <w:color w:val="auto"/>
          <w:sz w:val="28"/>
          <w:highlight w:val="none"/>
        </w:rPr>
      </w:pPr>
    </w:p>
    <w:bookmarkEnd w:id="233"/>
    <w:bookmarkEnd w:id="234"/>
    <w:p>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9A265D-C610-4B89-8174-B81C742A651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1251B85-5B18-4328-860B-DD3A25CD9AD1}"/>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F79C9103-6BB7-41B9-A5B0-C80B95240F5A}"/>
  </w:font>
  <w:font w:name="方正小标宋_GBK">
    <w:panose1 w:val="03000509000000000000"/>
    <w:charset w:val="86"/>
    <w:family w:val="script"/>
    <w:pitch w:val="default"/>
    <w:sig w:usb0="00000001" w:usb1="080E0000" w:usb2="00000000" w:usb3="00000000" w:csb0="00040000" w:csb1="00000000"/>
    <w:embedRegular r:id="rId4" w:fontKey="{18DA27C6-801F-40E8-9B14-9E4B30AB1C1C}"/>
  </w:font>
  <w:font w:name="仿宋">
    <w:panose1 w:val="02010609060101010101"/>
    <w:charset w:val="86"/>
    <w:family w:val="modern"/>
    <w:pitch w:val="default"/>
    <w:sig w:usb0="800002BF" w:usb1="38CF7CFA" w:usb2="00000016" w:usb3="00000000" w:csb0="00040001" w:csb1="00000000"/>
    <w:embedRegular r:id="rId5" w:fontKey="{529FEB49-E97D-4329-A450-4DC451455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CFF2C44F"/>
    <w:multiLevelType w:val="singleLevel"/>
    <w:tmpl w:val="CFF2C44F"/>
    <w:lvl w:ilvl="0" w:tentative="0">
      <w:start w:val="1"/>
      <w:numFmt w:val="decimal"/>
      <w:suff w:val="nothing"/>
      <w:lvlText w:val="（%1）"/>
      <w:lvlJc w:val="left"/>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1027DAC"/>
    <w:multiLevelType w:val="singleLevel"/>
    <w:tmpl w:val="61027DAC"/>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 w:name="KGWebUrl" w:val="http://113.250.85.227:8081/weaver/weaver.file.FileDownloadForNews?uuid=4fa64b3c-f312-420e-b0b4-317b26e7d909&amp;fileid=261253&amp;type=document&amp;isofficeview=0&amp;requestid=undefined&amp;authStr=undefined&amp;authSignatureStr=undefined&amp;f_weaver_belongto_userid=undefined&amp;isrequest=1&amp;download=1&amp;f_weaver_belongto_usertype=0"/>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3E10C9"/>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C76C7A"/>
    <w:rsid w:val="06DD02BB"/>
    <w:rsid w:val="06E43F57"/>
    <w:rsid w:val="06E71F51"/>
    <w:rsid w:val="06F965AD"/>
    <w:rsid w:val="07050666"/>
    <w:rsid w:val="071C4DB7"/>
    <w:rsid w:val="07362674"/>
    <w:rsid w:val="073B54B2"/>
    <w:rsid w:val="07537EF9"/>
    <w:rsid w:val="07815EE7"/>
    <w:rsid w:val="07C66F31"/>
    <w:rsid w:val="08170505"/>
    <w:rsid w:val="081748AE"/>
    <w:rsid w:val="08635851"/>
    <w:rsid w:val="08C2359B"/>
    <w:rsid w:val="09041814"/>
    <w:rsid w:val="092D7BDC"/>
    <w:rsid w:val="09332D2B"/>
    <w:rsid w:val="093E2D64"/>
    <w:rsid w:val="09472203"/>
    <w:rsid w:val="094E590C"/>
    <w:rsid w:val="0950680C"/>
    <w:rsid w:val="098B1DA7"/>
    <w:rsid w:val="09907951"/>
    <w:rsid w:val="099310B0"/>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7F03EA"/>
    <w:rsid w:val="1B8E5EC0"/>
    <w:rsid w:val="1BBE4697"/>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876CA0"/>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C64455"/>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9FA4AED"/>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DBB39E2"/>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6939C3"/>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335AE2"/>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9735C1"/>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981E67"/>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767910"/>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013C4C"/>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46652C"/>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5A6DCC"/>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DEF6D4C"/>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437390"/>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993FFB"/>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4"/>
    <w:link w:val="68"/>
    <w:qFormat/>
    <w:uiPriority w:val="0"/>
    <w:pPr>
      <w:ind w:firstLine="420" w:firstLineChars="200"/>
    </w:pPr>
  </w:style>
  <w:style w:type="paragraph" w:styleId="14">
    <w:name w:val="Balloon Text"/>
    <w:basedOn w:val="1"/>
    <w:link w:val="79"/>
    <w:qFormat/>
    <w:uiPriority w:val="0"/>
    <w:rPr>
      <w:kern w:val="0"/>
      <w:sz w:val="18"/>
      <w:szCs w:val="18"/>
    </w:r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Indent"/>
    <w:basedOn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6"/>
    <w:next w:val="16"/>
    <w:link w:val="67"/>
    <w:qFormat/>
    <w:uiPriority w:val="0"/>
    <w:rPr>
      <w:b/>
      <w:bCs/>
    </w:rPr>
  </w:style>
  <w:style w:type="paragraph" w:styleId="41">
    <w:name w:val="Body Text First Indent 2"/>
    <w:basedOn w:val="18"/>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6"/>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14"/>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styleId="169">
    <w:name w:val="List Paragraph"/>
    <w:basedOn w:val="1"/>
    <w:qFormat/>
    <w:uiPriority w:val="34"/>
    <w:pPr>
      <w:ind w:left="720"/>
      <w:contextualSpacing/>
    </w:pPr>
    <w:rPr>
      <w:rFonts w:asciiTheme="minorHAnsi" w:hAnsiTheme="minorHAnsi" w:eastAsiaTheme="minorEastAsia" w:cstheme="minorBidi"/>
      <w:szCs w:val="22"/>
      <w14:ligatures w14:val="standardContextual"/>
    </w:rPr>
  </w:style>
  <w:style w:type="paragraph" w:customStyle="1" w:styleId="170">
    <w:name w:val="表格内正文，无编号"/>
    <w:basedOn w:val="1"/>
    <w:qFormat/>
    <w:uiPriority w:val="0"/>
    <w:pPr>
      <w:spacing w:line="400" w:lineRule="exact"/>
      <w:ind w:firstLine="64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13391</Words>
  <Characters>13921</Characters>
  <Lines>116</Lines>
  <Paragraphs>32</Paragraphs>
  <TotalTime>5</TotalTime>
  <ScaleCrop>false</ScaleCrop>
  <LinksUpToDate>false</LinksUpToDate>
  <CharactersWithSpaces>15562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2025-07-30T01:58:49Z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1E664FC71AE547E9862D7164993E47B4_13</vt:lpwstr>
  </property>
  <property fmtid="{D5CDD505-2E9C-101B-9397-08002B2CF9AE}" pid="4" name="KSOTemplateDocerSaveRecord">
    <vt:lpwstr>eyJoZGlkIjoiYmVmM2YyMGI5NzFhNjA2NzYzOTM4MzYyYzYxYjM3MTciLCJ1c2VySWQiOiI5ODk3ODM1NDAifQ==</vt:lpwstr>
  </property>
</Properties>
</file>