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FED55">
      <w:pPr>
        <w:widowControl/>
        <w:jc w:val="center"/>
        <w:outlineLvl w:val="0"/>
        <w:rPr>
          <w:rFonts w:hAnsi="宋体" w:cs="方正小标宋_GBK"/>
          <w:b/>
          <w:color w:val="auto"/>
          <w:sz w:val="44"/>
          <w:szCs w:val="44"/>
          <w:highlight w:val="none"/>
        </w:rPr>
      </w:pPr>
      <w:r>
        <w:rPr>
          <w:rFonts w:hint="eastAsia" w:hAnsi="宋体" w:cs="方正小标宋_GBK"/>
          <w:b/>
          <w:color w:val="auto"/>
          <w:sz w:val="44"/>
          <w:szCs w:val="44"/>
          <w:highlight w:val="none"/>
        </w:rPr>
        <w:t>重庆首讯科技股份有限公司2025年一线关键岗位安全环保教育培训</w:t>
      </w:r>
    </w:p>
    <w:p w14:paraId="1FF0BF28">
      <w:pPr>
        <w:widowControl/>
        <w:jc w:val="center"/>
        <w:rPr>
          <w:rFonts w:hAnsi="宋体" w:cs="方正小标宋_GBK"/>
          <w:b/>
          <w:color w:val="auto"/>
          <w:sz w:val="44"/>
          <w:szCs w:val="44"/>
          <w:highlight w:val="none"/>
        </w:rPr>
      </w:pPr>
    </w:p>
    <w:p w14:paraId="71E21CDF">
      <w:pPr>
        <w:widowControl/>
        <w:jc w:val="center"/>
        <w:rPr>
          <w:rFonts w:hAnsi="宋体" w:cs="方正小标宋_GBK"/>
          <w:b/>
          <w:color w:val="auto"/>
          <w:sz w:val="44"/>
          <w:szCs w:val="44"/>
          <w:highlight w:val="none"/>
        </w:rPr>
      </w:pPr>
    </w:p>
    <w:p w14:paraId="0A7A91D3">
      <w:pPr>
        <w:widowControl/>
        <w:jc w:val="center"/>
        <w:rPr>
          <w:rFonts w:hAnsi="宋体" w:cs="方正小标宋_GBK"/>
          <w:b/>
          <w:color w:val="auto"/>
          <w:sz w:val="44"/>
          <w:szCs w:val="44"/>
          <w:highlight w:val="none"/>
        </w:rPr>
      </w:pPr>
    </w:p>
    <w:p w14:paraId="1B38F40B">
      <w:pPr>
        <w:widowControl/>
        <w:jc w:val="center"/>
        <w:outlineLvl w:val="0"/>
        <w:rPr>
          <w:rFonts w:hAnsi="宋体" w:cs="方正小标宋_GBK"/>
          <w:b/>
          <w:color w:val="auto"/>
          <w:sz w:val="44"/>
          <w:szCs w:val="44"/>
          <w:highlight w:val="none"/>
        </w:rPr>
      </w:pPr>
      <w:r>
        <w:rPr>
          <w:rFonts w:hint="eastAsia" w:hAnsi="宋体" w:cs="方正小标宋_GBK"/>
          <w:b/>
          <w:color w:val="auto"/>
          <w:sz w:val="44"/>
          <w:szCs w:val="44"/>
          <w:highlight w:val="none"/>
        </w:rPr>
        <w:t>合同</w:t>
      </w:r>
    </w:p>
    <w:p w14:paraId="72F6F9CC">
      <w:pPr>
        <w:pStyle w:val="4"/>
        <w:rPr>
          <w:color w:val="auto"/>
          <w:highlight w:val="none"/>
        </w:rPr>
      </w:pPr>
    </w:p>
    <w:p w14:paraId="07DA02F8">
      <w:pPr>
        <w:rPr>
          <w:color w:val="auto"/>
          <w:highlight w:val="none"/>
        </w:rPr>
      </w:pPr>
    </w:p>
    <w:p w14:paraId="51B0A14F">
      <w:pPr>
        <w:pStyle w:val="4"/>
        <w:rPr>
          <w:color w:val="auto"/>
          <w:highlight w:val="none"/>
        </w:rPr>
      </w:pPr>
    </w:p>
    <w:p w14:paraId="00293CE7">
      <w:pPr>
        <w:pStyle w:val="8"/>
        <w:rPr>
          <w:snapToGrid w:val="0"/>
          <w:color w:val="auto"/>
          <w:sz w:val="28"/>
          <w:szCs w:val="28"/>
          <w:highlight w:val="none"/>
        </w:rPr>
      </w:pPr>
    </w:p>
    <w:p w14:paraId="49121E4B">
      <w:pPr>
        <w:rPr>
          <w:color w:val="auto"/>
          <w:sz w:val="28"/>
          <w:szCs w:val="28"/>
          <w:highlight w:val="none"/>
        </w:rPr>
      </w:pPr>
    </w:p>
    <w:p w14:paraId="5720FBD0">
      <w:pPr>
        <w:pStyle w:val="4"/>
        <w:rPr>
          <w:color w:val="auto"/>
          <w:sz w:val="28"/>
          <w:szCs w:val="28"/>
          <w:highlight w:val="none"/>
        </w:rPr>
      </w:pPr>
    </w:p>
    <w:p w14:paraId="27693740">
      <w:pPr>
        <w:rPr>
          <w:rFonts w:hAnsi="宋体"/>
          <w:snapToGrid w:val="0"/>
          <w:color w:val="auto"/>
          <w:sz w:val="28"/>
          <w:szCs w:val="28"/>
          <w:highlight w:val="none"/>
        </w:rPr>
      </w:pPr>
    </w:p>
    <w:p w14:paraId="0A79602E">
      <w:pPr>
        <w:widowControl/>
        <w:spacing w:line="360" w:lineRule="auto"/>
        <w:ind w:left="420" w:firstLine="6"/>
        <w:jc w:val="center"/>
        <w:outlineLvl w:val="1"/>
        <w:rPr>
          <w:rFonts w:hAnsi="宋体"/>
          <w:b/>
          <w:snapToGrid w:val="0"/>
          <w:color w:val="auto"/>
          <w:sz w:val="28"/>
          <w:szCs w:val="28"/>
          <w:highlight w:val="none"/>
        </w:rPr>
      </w:pPr>
      <w:r>
        <w:rPr>
          <w:rFonts w:hint="eastAsia" w:hAnsi="宋体"/>
          <w:b/>
          <w:snapToGrid w:val="0"/>
          <w:color w:val="auto"/>
          <w:sz w:val="28"/>
          <w:szCs w:val="28"/>
          <w:highlight w:val="none"/>
        </w:rPr>
        <w:t xml:space="preserve"> 甲方：重庆首讯科技股份有限公司</w:t>
      </w:r>
    </w:p>
    <w:p w14:paraId="6D6B7496">
      <w:pPr>
        <w:widowControl/>
        <w:spacing w:line="360" w:lineRule="auto"/>
        <w:ind w:left="420" w:firstLine="1968" w:firstLineChars="700"/>
        <w:outlineLvl w:val="1"/>
        <w:rPr>
          <w:rFonts w:hAnsi="宋体"/>
          <w:b/>
          <w:snapToGrid w:val="0"/>
          <w:color w:val="auto"/>
          <w:sz w:val="28"/>
          <w:szCs w:val="28"/>
          <w:highlight w:val="none"/>
        </w:rPr>
      </w:pPr>
      <w:r>
        <w:rPr>
          <w:rFonts w:hint="eastAsia" w:hAnsi="宋体"/>
          <w:b/>
          <w:snapToGrid w:val="0"/>
          <w:color w:val="auto"/>
          <w:sz w:val="28"/>
          <w:szCs w:val="28"/>
          <w:highlight w:val="none"/>
        </w:rPr>
        <w:t>乙方：</w:t>
      </w:r>
    </w:p>
    <w:p w14:paraId="4E64A151">
      <w:pPr>
        <w:widowControl/>
        <w:spacing w:line="360" w:lineRule="auto"/>
        <w:ind w:left="420" w:firstLine="1968" w:firstLineChars="700"/>
        <w:outlineLvl w:val="1"/>
        <w:rPr>
          <w:rFonts w:hAnsi="宋体"/>
          <w:b/>
          <w:snapToGrid w:val="0"/>
          <w:color w:val="auto"/>
          <w:sz w:val="28"/>
          <w:szCs w:val="28"/>
          <w:highlight w:val="none"/>
        </w:rPr>
      </w:pPr>
      <w:r>
        <w:rPr>
          <w:rFonts w:hint="eastAsia" w:hAnsi="宋体"/>
          <w:b/>
          <w:snapToGrid w:val="0"/>
          <w:color w:val="auto"/>
          <w:sz w:val="28"/>
          <w:szCs w:val="28"/>
          <w:highlight w:val="none"/>
        </w:rPr>
        <w:t>签订时间：202</w:t>
      </w:r>
      <w:r>
        <w:rPr>
          <w:rFonts w:hint="eastAsia" w:hAnsi="宋体"/>
          <w:b/>
          <w:snapToGrid w:val="0"/>
          <w:color w:val="auto"/>
          <w:sz w:val="28"/>
          <w:szCs w:val="28"/>
          <w:highlight w:val="none"/>
          <w:lang w:val="en-US" w:eastAsia="zh-CN"/>
        </w:rPr>
        <w:t>5</w:t>
      </w:r>
      <w:r>
        <w:rPr>
          <w:rFonts w:hint="eastAsia" w:hAnsi="宋体"/>
          <w:b/>
          <w:snapToGrid w:val="0"/>
          <w:color w:val="auto"/>
          <w:sz w:val="28"/>
          <w:szCs w:val="28"/>
          <w:highlight w:val="none"/>
        </w:rPr>
        <w:t>年   月</w:t>
      </w:r>
    </w:p>
    <w:p w14:paraId="058D7FF7">
      <w:pPr>
        <w:spacing w:line="400" w:lineRule="exact"/>
        <w:jc w:val="center"/>
        <w:rPr>
          <w:rFonts w:hAnsi="宋体"/>
          <w:b/>
          <w:color w:val="auto"/>
          <w:sz w:val="36"/>
          <w:szCs w:val="36"/>
          <w:highlight w:val="none"/>
        </w:rPr>
      </w:pPr>
    </w:p>
    <w:p w14:paraId="2072CA8C">
      <w:pPr>
        <w:spacing w:line="400" w:lineRule="exact"/>
        <w:jc w:val="center"/>
        <w:rPr>
          <w:rFonts w:hAnsi="宋体"/>
          <w:b/>
          <w:color w:val="auto"/>
          <w:sz w:val="36"/>
          <w:szCs w:val="36"/>
          <w:highlight w:val="none"/>
        </w:rPr>
      </w:pPr>
    </w:p>
    <w:p w14:paraId="6ED12FF4">
      <w:pPr>
        <w:spacing w:line="400" w:lineRule="exact"/>
        <w:jc w:val="center"/>
        <w:rPr>
          <w:rFonts w:hAnsi="宋体"/>
          <w:b/>
          <w:color w:val="auto"/>
          <w:sz w:val="36"/>
          <w:szCs w:val="36"/>
          <w:highlight w:val="none"/>
        </w:rPr>
      </w:pPr>
    </w:p>
    <w:p w14:paraId="6A298E56">
      <w:pPr>
        <w:spacing w:line="400" w:lineRule="exact"/>
        <w:jc w:val="center"/>
        <w:rPr>
          <w:rFonts w:hAnsi="宋体"/>
          <w:b/>
          <w:color w:val="auto"/>
          <w:sz w:val="36"/>
          <w:szCs w:val="36"/>
          <w:highlight w:val="none"/>
        </w:rPr>
      </w:pPr>
    </w:p>
    <w:p w14:paraId="57466C42">
      <w:pPr>
        <w:spacing w:line="400" w:lineRule="exact"/>
        <w:jc w:val="center"/>
        <w:rPr>
          <w:rFonts w:hAnsi="宋体"/>
          <w:b/>
          <w:color w:val="auto"/>
          <w:sz w:val="36"/>
          <w:szCs w:val="36"/>
          <w:highlight w:val="none"/>
        </w:rPr>
      </w:pPr>
    </w:p>
    <w:p w14:paraId="43B3F2D9">
      <w:pPr>
        <w:spacing w:line="400" w:lineRule="exact"/>
        <w:jc w:val="center"/>
        <w:rPr>
          <w:rFonts w:hAnsi="宋体"/>
          <w:b/>
          <w:color w:val="auto"/>
          <w:sz w:val="36"/>
          <w:szCs w:val="36"/>
          <w:highlight w:val="none"/>
        </w:rPr>
      </w:pPr>
    </w:p>
    <w:p w14:paraId="6978449F">
      <w:pPr>
        <w:spacing w:line="400" w:lineRule="exact"/>
        <w:jc w:val="center"/>
        <w:rPr>
          <w:rFonts w:hAnsi="宋体"/>
          <w:b/>
          <w:color w:val="auto"/>
          <w:sz w:val="36"/>
          <w:szCs w:val="36"/>
          <w:highlight w:val="none"/>
        </w:rPr>
      </w:pPr>
    </w:p>
    <w:p w14:paraId="26326310">
      <w:pPr>
        <w:rPr>
          <w:rFonts w:hint="eastAsia" w:hAnsi="宋体" w:cs="方正小标宋_GBK"/>
          <w:b/>
          <w:color w:val="auto"/>
          <w:sz w:val="44"/>
          <w:szCs w:val="44"/>
          <w:highlight w:val="none"/>
        </w:rPr>
      </w:pPr>
      <w:r>
        <w:rPr>
          <w:rFonts w:hint="eastAsia" w:hAnsi="宋体" w:cs="方正小标宋_GBK"/>
          <w:b/>
          <w:color w:val="auto"/>
          <w:sz w:val="44"/>
          <w:szCs w:val="44"/>
          <w:highlight w:val="none"/>
        </w:rPr>
        <w:br w:type="page"/>
      </w:r>
    </w:p>
    <w:p w14:paraId="446641D3">
      <w:pPr>
        <w:widowControl/>
        <w:jc w:val="center"/>
        <w:outlineLvl w:val="0"/>
        <w:rPr>
          <w:rFonts w:hAnsi="宋体" w:cs="方正小标宋_GBK"/>
          <w:b/>
          <w:color w:val="auto"/>
          <w:sz w:val="44"/>
          <w:szCs w:val="44"/>
          <w:highlight w:val="none"/>
        </w:rPr>
      </w:pPr>
      <w:r>
        <w:rPr>
          <w:rFonts w:hint="eastAsia" w:hAnsi="宋体" w:cs="方正小标宋_GBK"/>
          <w:b/>
          <w:color w:val="auto"/>
          <w:sz w:val="44"/>
          <w:szCs w:val="44"/>
          <w:highlight w:val="none"/>
        </w:rPr>
        <w:t>重庆首讯科技股份有限公司2024年一线关键岗位安全环保教育培训</w:t>
      </w:r>
      <w:r>
        <w:rPr>
          <w:rFonts w:hint="eastAsia" w:hAnsi="宋体" w:cs="方正小标宋_GBK"/>
          <w:b/>
          <w:color w:val="auto"/>
          <w:sz w:val="44"/>
          <w:szCs w:val="44"/>
          <w:highlight w:val="none"/>
          <w:lang w:val="en-US" w:eastAsia="zh-CN"/>
        </w:rPr>
        <w:t>服务</w:t>
      </w:r>
      <w:r>
        <w:rPr>
          <w:rFonts w:hint="eastAsia" w:hAnsi="宋体" w:cs="方正小标宋_GBK"/>
          <w:b/>
          <w:color w:val="auto"/>
          <w:sz w:val="44"/>
          <w:szCs w:val="44"/>
          <w:highlight w:val="none"/>
        </w:rPr>
        <w:t>合同</w:t>
      </w:r>
    </w:p>
    <w:p w14:paraId="21F81C03">
      <w:pPr>
        <w:spacing w:line="400" w:lineRule="exact"/>
        <w:rPr>
          <w:rFonts w:hAnsi="宋体"/>
          <w:color w:val="auto"/>
          <w:highlight w:val="none"/>
        </w:rPr>
      </w:pPr>
    </w:p>
    <w:p w14:paraId="46576932">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甲方：重庆首讯科技股份有限公司</w:t>
      </w:r>
    </w:p>
    <w:p w14:paraId="226B6F4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电话：</w:t>
      </w:r>
    </w:p>
    <w:p w14:paraId="0E9958B5">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开户行：</w:t>
      </w:r>
    </w:p>
    <w:p w14:paraId="2BECBDAB">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账号：</w:t>
      </w:r>
    </w:p>
    <w:p w14:paraId="34351F84">
      <w:pPr>
        <w:pStyle w:val="8"/>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仿宋" w:hAnsi="仿宋" w:eastAsia="仿宋"/>
          <w:color w:val="auto"/>
          <w:sz w:val="24"/>
          <w:highlight w:val="none"/>
        </w:rPr>
      </w:pPr>
    </w:p>
    <w:p w14:paraId="7506CEFC">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乙方：</w:t>
      </w:r>
    </w:p>
    <w:p w14:paraId="213F970E">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地址：</w:t>
      </w:r>
    </w:p>
    <w:p w14:paraId="1F92B128">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电话：</w:t>
      </w:r>
    </w:p>
    <w:p w14:paraId="59A3006E">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开户行：</w:t>
      </w:r>
    </w:p>
    <w:p w14:paraId="5D545EF1">
      <w:pPr>
        <w:keepNext w:val="0"/>
        <w:keepLines w:val="0"/>
        <w:pageBreakBefore w:val="0"/>
        <w:widowControl w:val="0"/>
        <w:kinsoku/>
        <w:wordWrap/>
        <w:overflowPunct/>
        <w:topLinePunct w:val="0"/>
        <w:autoSpaceDE/>
        <w:autoSpaceDN/>
        <w:bidi w:val="0"/>
        <w:spacing w:line="400" w:lineRule="exact"/>
        <w:ind w:firstLine="480" w:firstLineChars="200"/>
        <w:textAlignment w:val="auto"/>
        <w:rPr>
          <w:color w:val="auto"/>
          <w:highlight w:val="none"/>
        </w:rPr>
      </w:pPr>
      <w:r>
        <w:rPr>
          <w:rFonts w:hint="eastAsia" w:ascii="仿宋" w:hAnsi="仿宋" w:eastAsia="仿宋"/>
          <w:color w:val="auto"/>
          <w:sz w:val="24"/>
          <w:highlight w:val="none"/>
        </w:rPr>
        <w:t>账号：</w:t>
      </w:r>
    </w:p>
    <w:p w14:paraId="08CB1B5F">
      <w:pPr>
        <w:keepNext w:val="0"/>
        <w:keepLines w:val="0"/>
        <w:pageBreakBefore w:val="0"/>
        <w:numPr>
          <w:ilvl w:val="0"/>
          <w:numId w:val="1"/>
        </w:numPr>
        <w:kinsoku/>
        <w:wordWrap/>
        <w:overflowPunct/>
        <w:topLinePunct w:val="0"/>
        <w:autoSpaceDE/>
        <w:autoSpaceDN/>
        <w:bidi w:val="0"/>
        <w:spacing w:line="400" w:lineRule="exact"/>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总则</w:t>
      </w:r>
    </w:p>
    <w:p w14:paraId="72E5BA7D">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firstLine="420" w:firstLineChars="200"/>
        <w:textAlignment w:val="auto"/>
        <w:rPr>
          <w:rFonts w:ascii="仿宋" w:hAnsi="仿宋" w:eastAsia="仿宋"/>
          <w:color w:val="auto"/>
          <w:highlight w:val="none"/>
        </w:rPr>
      </w:pPr>
      <w:r>
        <w:rPr>
          <w:rFonts w:hint="eastAsia" w:ascii="仿宋" w:hAnsi="仿宋" w:eastAsia="仿宋"/>
          <w:color w:val="auto"/>
          <w:highlight w:val="none"/>
        </w:rPr>
        <w:t>在平等互利、诚实守信、共同发展的基础上，甲方和乙方双方经过友好协商，就重庆首讯科技股份有限公司2024年一线关键岗位安全环保教育培训服务共同签订本合同。由乙方向甲方提供合同约定的服务，甲方向乙方支付服务对应的款项，双方按本合同约定的条款享受权利、履行义务并承担责任。</w:t>
      </w:r>
    </w:p>
    <w:p w14:paraId="72304957">
      <w:pPr>
        <w:keepNext w:val="0"/>
        <w:keepLines w:val="0"/>
        <w:pageBreakBefore w:val="0"/>
        <w:numPr>
          <w:ilvl w:val="0"/>
          <w:numId w:val="1"/>
        </w:numPr>
        <w:tabs>
          <w:tab w:val="left" w:pos="360"/>
        </w:tabs>
        <w:kinsoku/>
        <w:wordWrap/>
        <w:overflowPunct/>
        <w:topLinePunct w:val="0"/>
        <w:autoSpaceDE/>
        <w:autoSpaceDN/>
        <w:bidi w:val="0"/>
        <w:spacing w:line="400" w:lineRule="exact"/>
        <w:outlineLvl w:val="0"/>
        <w:rPr>
          <w:rFonts w:ascii="仿宋" w:hAnsi="仿宋" w:eastAsia="仿宋"/>
          <w:b/>
          <w:color w:val="auto"/>
          <w:sz w:val="24"/>
          <w:szCs w:val="22"/>
          <w:highlight w:val="none"/>
        </w:rPr>
      </w:pPr>
      <w:r>
        <w:rPr>
          <w:rFonts w:hint="eastAsia" w:ascii="仿宋" w:hAnsi="仿宋" w:eastAsia="仿宋"/>
          <w:b/>
          <w:color w:val="auto"/>
          <w:sz w:val="24"/>
          <w:szCs w:val="22"/>
          <w:highlight w:val="none"/>
        </w:rPr>
        <w:t>合同标的</w:t>
      </w:r>
    </w:p>
    <w:p w14:paraId="417A793B">
      <w:pPr>
        <w:keepNext w:val="0"/>
        <w:keepLines w:val="0"/>
        <w:pageBreakBefore w:val="0"/>
        <w:tabs>
          <w:tab w:val="left" w:pos="3621"/>
        </w:tabs>
        <w:kinsoku/>
        <w:wordWrap/>
        <w:overflowPunct/>
        <w:topLinePunct w:val="0"/>
        <w:autoSpaceDE/>
        <w:autoSpaceDN/>
        <w:bidi w:val="0"/>
        <w:spacing w:line="40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乙方向甲方提供服务内容：具体详情“服务量清单”。</w:t>
      </w:r>
    </w:p>
    <w:tbl>
      <w:tblPr>
        <w:tblStyle w:val="6"/>
        <w:tblW w:w="4998" w:type="pct"/>
        <w:tblInd w:w="0" w:type="dxa"/>
        <w:tblLayout w:type="autofit"/>
        <w:tblCellMar>
          <w:top w:w="0" w:type="dxa"/>
          <w:left w:w="108" w:type="dxa"/>
          <w:bottom w:w="0" w:type="dxa"/>
          <w:right w:w="108" w:type="dxa"/>
        </w:tblCellMar>
      </w:tblPr>
      <w:tblGrid>
        <w:gridCol w:w="586"/>
        <w:gridCol w:w="671"/>
        <w:gridCol w:w="3983"/>
        <w:gridCol w:w="518"/>
        <w:gridCol w:w="872"/>
        <w:gridCol w:w="936"/>
        <w:gridCol w:w="953"/>
      </w:tblGrid>
      <w:tr w14:paraId="4744273D">
        <w:tblPrEx>
          <w:tblCellMar>
            <w:top w:w="0" w:type="dxa"/>
            <w:left w:w="108" w:type="dxa"/>
            <w:bottom w:w="0" w:type="dxa"/>
            <w:right w:w="108" w:type="dxa"/>
          </w:tblCellMar>
        </w:tblPrEx>
        <w:trPr>
          <w:trHeight w:val="585" w:hRule="atLeast"/>
        </w:trPr>
        <w:tc>
          <w:tcPr>
            <w:tcW w:w="344" w:type="pct"/>
            <w:tcBorders>
              <w:top w:val="single" w:color="000000" w:sz="8" w:space="0"/>
              <w:left w:val="single" w:color="000000" w:sz="8" w:space="0"/>
              <w:bottom w:val="single" w:color="000000" w:sz="8" w:space="0"/>
              <w:right w:val="single" w:color="000000" w:sz="8" w:space="0"/>
            </w:tcBorders>
            <w:vAlign w:val="center"/>
          </w:tcPr>
          <w:p w14:paraId="7DA0139F">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序号</w:t>
            </w:r>
          </w:p>
        </w:tc>
        <w:tc>
          <w:tcPr>
            <w:tcW w:w="394" w:type="pct"/>
            <w:tcBorders>
              <w:top w:val="single" w:color="000000" w:sz="8" w:space="0"/>
              <w:left w:val="nil"/>
              <w:bottom w:val="single" w:color="000000" w:sz="8" w:space="0"/>
              <w:right w:val="single" w:color="000000" w:sz="8" w:space="0"/>
            </w:tcBorders>
            <w:vAlign w:val="center"/>
          </w:tcPr>
          <w:p w14:paraId="011DB0C7">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服务项目</w:t>
            </w:r>
          </w:p>
        </w:tc>
        <w:tc>
          <w:tcPr>
            <w:tcW w:w="2338" w:type="pct"/>
            <w:tcBorders>
              <w:top w:val="single" w:color="000000" w:sz="8" w:space="0"/>
              <w:left w:val="nil"/>
              <w:bottom w:val="single" w:color="000000" w:sz="8" w:space="0"/>
              <w:right w:val="single" w:color="000000" w:sz="8" w:space="0"/>
            </w:tcBorders>
            <w:vAlign w:val="center"/>
          </w:tcPr>
          <w:p w14:paraId="6B137910">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服务内容</w:t>
            </w:r>
          </w:p>
        </w:tc>
        <w:tc>
          <w:tcPr>
            <w:tcW w:w="304" w:type="pct"/>
            <w:tcBorders>
              <w:top w:val="single" w:color="000000" w:sz="8" w:space="0"/>
              <w:left w:val="nil"/>
              <w:bottom w:val="single" w:color="000000" w:sz="8" w:space="0"/>
              <w:right w:val="single" w:color="000000" w:sz="8" w:space="0"/>
            </w:tcBorders>
            <w:vAlign w:val="center"/>
          </w:tcPr>
          <w:p w14:paraId="6518528C">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单位</w:t>
            </w:r>
          </w:p>
        </w:tc>
        <w:tc>
          <w:tcPr>
            <w:tcW w:w="512" w:type="pct"/>
            <w:tcBorders>
              <w:top w:val="single" w:color="000000" w:sz="8" w:space="0"/>
              <w:left w:val="nil"/>
              <w:bottom w:val="single" w:color="000000" w:sz="8" w:space="0"/>
              <w:right w:val="single" w:color="000000" w:sz="8" w:space="0"/>
            </w:tcBorders>
            <w:vAlign w:val="center"/>
          </w:tcPr>
          <w:p w14:paraId="70B44B5F">
            <w:pPr>
              <w:keepNext w:val="0"/>
              <w:keepLines w:val="0"/>
              <w:pageBreakBefore w:val="0"/>
              <w:widowControl/>
              <w:kinsoku/>
              <w:wordWrap/>
              <w:overflowPunct/>
              <w:topLinePunct w:val="0"/>
              <w:autoSpaceDE/>
              <w:autoSpaceDN/>
              <w:bidi w:val="0"/>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预计</w:t>
            </w:r>
          </w:p>
          <w:p w14:paraId="436EAE4A">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kern w:val="0"/>
                <w:sz w:val="21"/>
                <w:szCs w:val="21"/>
                <w:highlight w:val="none"/>
                <w:lang w:bidi="ar"/>
              </w:rPr>
            </w:pPr>
            <w:r>
              <w:rPr>
                <w:rFonts w:hint="eastAsia" w:ascii="仿宋" w:hAnsi="仿宋" w:eastAsia="仿宋" w:cs="仿宋"/>
                <w:color w:val="auto"/>
                <w:sz w:val="21"/>
                <w:szCs w:val="21"/>
                <w:highlight w:val="none"/>
              </w:rPr>
              <w:t>人数</w:t>
            </w:r>
          </w:p>
        </w:tc>
        <w:tc>
          <w:tcPr>
            <w:tcW w:w="549" w:type="pct"/>
            <w:tcBorders>
              <w:top w:val="single" w:color="000000" w:sz="8" w:space="0"/>
              <w:left w:val="nil"/>
              <w:bottom w:val="single" w:color="000000" w:sz="8" w:space="0"/>
              <w:right w:val="single" w:color="000000" w:sz="8" w:space="0"/>
            </w:tcBorders>
            <w:vAlign w:val="center"/>
          </w:tcPr>
          <w:p w14:paraId="01C7E575">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单价（元）</w:t>
            </w:r>
          </w:p>
        </w:tc>
        <w:tc>
          <w:tcPr>
            <w:tcW w:w="556" w:type="pct"/>
            <w:tcBorders>
              <w:top w:val="single" w:color="000000" w:sz="8" w:space="0"/>
              <w:left w:val="nil"/>
              <w:bottom w:val="single" w:color="000000" w:sz="8" w:space="0"/>
              <w:right w:val="single" w:color="000000" w:sz="8" w:space="0"/>
            </w:tcBorders>
            <w:vAlign w:val="center"/>
          </w:tcPr>
          <w:p w14:paraId="6CBA6F13">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合价（元）</w:t>
            </w:r>
          </w:p>
        </w:tc>
      </w:tr>
      <w:tr w14:paraId="05629D45">
        <w:tblPrEx>
          <w:tblCellMar>
            <w:top w:w="0" w:type="dxa"/>
            <w:left w:w="108" w:type="dxa"/>
            <w:bottom w:w="0" w:type="dxa"/>
            <w:right w:w="108" w:type="dxa"/>
          </w:tblCellMar>
        </w:tblPrEx>
        <w:trPr>
          <w:trHeight w:val="90" w:hRule="atLeast"/>
        </w:trPr>
        <w:tc>
          <w:tcPr>
            <w:tcW w:w="344" w:type="pct"/>
            <w:tcBorders>
              <w:top w:val="nil"/>
              <w:left w:val="single" w:color="000000" w:sz="8" w:space="0"/>
              <w:bottom w:val="single" w:color="000000" w:sz="8" w:space="0"/>
              <w:right w:val="single" w:color="000000" w:sz="8" w:space="0"/>
            </w:tcBorders>
            <w:vAlign w:val="center"/>
          </w:tcPr>
          <w:p w14:paraId="1CA218F8">
            <w:pPr>
              <w:keepNext w:val="0"/>
              <w:keepLines w:val="0"/>
              <w:pageBreakBefore w:val="0"/>
              <w:widowControl/>
              <w:kinsoku/>
              <w:wordWrap/>
              <w:overflowPunct/>
              <w:topLinePunct w:val="0"/>
              <w:autoSpaceDE/>
              <w:autoSpaceDN/>
              <w:bidi w:val="0"/>
              <w:spacing w:line="400" w:lineRule="exact"/>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71" w:type="dxa"/>
            <w:tcBorders>
              <w:top w:val="nil"/>
              <w:left w:val="nil"/>
              <w:bottom w:val="single" w:color="000000" w:sz="8" w:space="0"/>
              <w:right w:val="single" w:color="000000" w:sz="8" w:space="0"/>
            </w:tcBorders>
            <w:vAlign w:val="center"/>
          </w:tcPr>
          <w:p w14:paraId="11A4925A">
            <w:pPr>
              <w:widowControl/>
              <w:jc w:val="center"/>
              <w:textAlignment w:val="center"/>
              <w:rPr>
                <w:rFonts w:ascii="仿宋" w:hAnsi="仿宋" w:eastAsia="仿宋" w:cs="仿宋"/>
                <w:color w:val="auto"/>
                <w:sz w:val="21"/>
                <w:szCs w:val="21"/>
                <w:highlight w:val="none"/>
              </w:rPr>
            </w:pPr>
            <w:r>
              <w:rPr>
                <w:rFonts w:hint="eastAsia" w:ascii="仿宋" w:hAnsi="仿宋" w:eastAsia="仿宋" w:cs="仿宋"/>
                <w:color w:val="auto"/>
                <w:kern w:val="0"/>
                <w:sz w:val="24"/>
                <w:highlight w:val="none"/>
                <w:lang w:bidi="ar"/>
              </w:rPr>
              <w:t>培训服务</w:t>
            </w:r>
          </w:p>
        </w:tc>
        <w:tc>
          <w:tcPr>
            <w:tcW w:w="3983" w:type="dxa"/>
            <w:tcBorders>
              <w:top w:val="nil"/>
              <w:left w:val="nil"/>
              <w:bottom w:val="single" w:color="000000" w:sz="8" w:space="0"/>
              <w:right w:val="single" w:color="000000" w:sz="8" w:space="0"/>
            </w:tcBorders>
            <w:vAlign w:val="center"/>
          </w:tcPr>
          <w:p w14:paraId="718F394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rPr>
                <w:rFonts w:ascii="仿宋" w:hAnsi="仿宋" w:eastAsia="仿宋" w:cs="仿宋"/>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包括教师授课，教师交通费用，教学教具，培训管理，考试服务，证书制作等，提供至少容纳80人的授课场所（具备投影仪、电脑、音响等），并且提供标间住宿和培训期间的餐饮。</w:t>
            </w:r>
          </w:p>
        </w:tc>
        <w:tc>
          <w:tcPr>
            <w:tcW w:w="518" w:type="dxa"/>
            <w:tcBorders>
              <w:top w:val="nil"/>
              <w:left w:val="nil"/>
              <w:bottom w:val="single" w:color="000000" w:sz="8" w:space="0"/>
              <w:right w:val="single" w:color="000000" w:sz="8" w:space="0"/>
            </w:tcBorders>
            <w:vAlign w:val="center"/>
          </w:tcPr>
          <w:p w14:paraId="1E94FD36">
            <w:pPr>
              <w:widowControl/>
              <w:jc w:val="center"/>
              <w:textAlignment w:val="center"/>
              <w:rPr>
                <w:rFonts w:ascii="仿宋" w:hAnsi="仿宋" w:eastAsia="仿宋" w:cs="仿宋"/>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人</w:t>
            </w:r>
          </w:p>
        </w:tc>
        <w:tc>
          <w:tcPr>
            <w:tcW w:w="872" w:type="dxa"/>
            <w:tcBorders>
              <w:top w:val="nil"/>
              <w:left w:val="nil"/>
              <w:bottom w:val="single" w:color="000000" w:sz="8" w:space="0"/>
              <w:right w:val="single" w:color="000000" w:sz="8" w:space="0"/>
            </w:tcBorders>
            <w:vAlign w:val="center"/>
          </w:tcPr>
          <w:p w14:paraId="54C2BEE2">
            <w:pPr>
              <w:widowControl/>
              <w:jc w:val="center"/>
              <w:textAlignment w:val="center"/>
              <w:rPr>
                <w:rFonts w:ascii="仿宋" w:hAnsi="仿宋" w:eastAsia="仿宋" w:cs="仿宋"/>
                <w:color w:val="auto"/>
                <w:sz w:val="21"/>
                <w:szCs w:val="21"/>
                <w:highlight w:val="none"/>
              </w:rPr>
            </w:pPr>
            <w:r>
              <w:rPr>
                <w:rFonts w:hint="eastAsia" w:ascii="方正仿宋_GBK" w:hAnsi="方正仿宋_GBK" w:eastAsia="方正仿宋_GBK" w:cs="方正仿宋_GBK"/>
                <w:color w:val="auto"/>
                <w:sz w:val="24"/>
                <w:szCs w:val="24"/>
                <w:highlight w:val="none"/>
                <w:vertAlign w:val="baseline"/>
                <w:lang w:val="en-US" w:eastAsia="zh-CN"/>
              </w:rPr>
              <w:t>150</w:t>
            </w:r>
          </w:p>
        </w:tc>
        <w:tc>
          <w:tcPr>
            <w:tcW w:w="549" w:type="pct"/>
            <w:tcBorders>
              <w:top w:val="nil"/>
              <w:left w:val="nil"/>
              <w:bottom w:val="single" w:color="000000" w:sz="8" w:space="0"/>
              <w:right w:val="single" w:color="000000" w:sz="8" w:space="0"/>
            </w:tcBorders>
            <w:vAlign w:val="center"/>
          </w:tcPr>
          <w:p w14:paraId="4E21BBC4">
            <w:pPr>
              <w:keepNext w:val="0"/>
              <w:keepLines w:val="0"/>
              <w:pageBreakBefore w:val="0"/>
              <w:kinsoku/>
              <w:wordWrap/>
              <w:overflowPunct/>
              <w:topLinePunct w:val="0"/>
              <w:autoSpaceDE/>
              <w:autoSpaceDN/>
              <w:bidi w:val="0"/>
              <w:spacing w:line="400" w:lineRule="exact"/>
              <w:jc w:val="center"/>
              <w:rPr>
                <w:rFonts w:hint="default" w:ascii="仿宋" w:hAnsi="仿宋" w:eastAsia="仿宋" w:cs="仿宋"/>
                <w:color w:val="auto"/>
                <w:sz w:val="21"/>
                <w:szCs w:val="21"/>
                <w:highlight w:val="none"/>
                <w:lang w:val="en-US" w:eastAsia="zh-CN"/>
              </w:rPr>
            </w:pPr>
          </w:p>
        </w:tc>
        <w:tc>
          <w:tcPr>
            <w:tcW w:w="556" w:type="pct"/>
            <w:tcBorders>
              <w:top w:val="nil"/>
              <w:left w:val="nil"/>
              <w:bottom w:val="single" w:color="000000" w:sz="8" w:space="0"/>
              <w:right w:val="single" w:color="000000" w:sz="8" w:space="0"/>
            </w:tcBorders>
            <w:vAlign w:val="center"/>
          </w:tcPr>
          <w:p w14:paraId="7F2D3BF8">
            <w:pPr>
              <w:keepNext w:val="0"/>
              <w:keepLines w:val="0"/>
              <w:pageBreakBefore w:val="0"/>
              <w:kinsoku/>
              <w:wordWrap/>
              <w:overflowPunct/>
              <w:topLinePunct w:val="0"/>
              <w:autoSpaceDE/>
              <w:autoSpaceDN/>
              <w:bidi w:val="0"/>
              <w:spacing w:line="400" w:lineRule="exact"/>
              <w:jc w:val="center"/>
              <w:rPr>
                <w:rFonts w:ascii="仿宋" w:hAnsi="仿宋" w:eastAsia="仿宋" w:cs="仿宋"/>
                <w:color w:val="auto"/>
                <w:sz w:val="21"/>
                <w:szCs w:val="21"/>
                <w:highlight w:val="none"/>
              </w:rPr>
            </w:pPr>
          </w:p>
        </w:tc>
      </w:tr>
      <w:tr w14:paraId="0BB3F1C1">
        <w:tblPrEx>
          <w:tblCellMar>
            <w:top w:w="0" w:type="dxa"/>
            <w:left w:w="108" w:type="dxa"/>
            <w:bottom w:w="0" w:type="dxa"/>
            <w:right w:w="108" w:type="dxa"/>
          </w:tblCellMar>
        </w:tblPrEx>
        <w:trPr>
          <w:trHeight w:val="300" w:hRule="atLeast"/>
        </w:trPr>
        <w:tc>
          <w:tcPr>
            <w:tcW w:w="5000" w:type="pct"/>
            <w:gridSpan w:val="7"/>
            <w:tcBorders>
              <w:top w:val="nil"/>
              <w:left w:val="single" w:color="000000" w:sz="8" w:space="0"/>
              <w:bottom w:val="single" w:color="000000" w:sz="8" w:space="0"/>
              <w:right w:val="single" w:color="000000" w:sz="8" w:space="0"/>
            </w:tcBorders>
            <w:vAlign w:val="center"/>
          </w:tcPr>
          <w:p w14:paraId="3338236E">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center"/>
              <w:rPr>
                <w:rFonts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分两期培训，每期不少于3天，</w:t>
            </w:r>
            <w:r>
              <w:rPr>
                <w:rFonts w:hint="eastAsia" w:ascii="仿宋" w:hAnsi="仿宋" w:eastAsia="仿宋" w:cs="仿宋"/>
                <w:b/>
                <w:bCs/>
                <w:color w:val="auto"/>
                <w:kern w:val="0"/>
                <w:sz w:val="21"/>
                <w:szCs w:val="21"/>
                <w:highlight w:val="none"/>
                <w:lang w:val="en-US" w:eastAsia="zh-CN" w:bidi="ar"/>
              </w:rPr>
              <w:t>每期</w:t>
            </w:r>
            <w:r>
              <w:rPr>
                <w:rFonts w:hint="eastAsia" w:ascii="仿宋" w:hAnsi="仿宋" w:eastAsia="仿宋" w:cs="仿宋"/>
                <w:b/>
                <w:bCs/>
                <w:color w:val="auto"/>
                <w:kern w:val="0"/>
                <w:sz w:val="21"/>
                <w:szCs w:val="21"/>
                <w:highlight w:val="none"/>
                <w:lang w:bidi="ar"/>
              </w:rPr>
              <w:t>预计</w:t>
            </w:r>
            <w:r>
              <w:rPr>
                <w:rFonts w:hint="eastAsia" w:ascii="仿宋" w:hAnsi="仿宋" w:eastAsia="仿宋" w:cs="仿宋"/>
                <w:b/>
                <w:bCs/>
                <w:color w:val="auto"/>
                <w:kern w:val="0"/>
                <w:sz w:val="21"/>
                <w:szCs w:val="21"/>
                <w:highlight w:val="none"/>
                <w:lang w:val="en-US" w:eastAsia="zh-CN" w:bidi="ar"/>
              </w:rPr>
              <w:t>80</w:t>
            </w:r>
            <w:r>
              <w:rPr>
                <w:rFonts w:hint="eastAsia" w:ascii="仿宋" w:hAnsi="仿宋" w:eastAsia="仿宋" w:cs="仿宋"/>
                <w:b/>
                <w:bCs/>
                <w:color w:val="auto"/>
                <w:kern w:val="0"/>
                <w:sz w:val="21"/>
                <w:szCs w:val="21"/>
                <w:highlight w:val="none"/>
                <w:lang w:bidi="ar"/>
              </w:rPr>
              <w:t>人，</w:t>
            </w:r>
            <w:r>
              <w:rPr>
                <w:rFonts w:hint="eastAsia" w:ascii="仿宋" w:hAnsi="仿宋" w:eastAsia="仿宋" w:cs="仿宋"/>
                <w:b/>
                <w:bCs/>
                <w:color w:val="auto"/>
                <w:kern w:val="0"/>
                <w:sz w:val="21"/>
                <w:szCs w:val="21"/>
                <w:highlight w:val="none"/>
                <w:lang w:val="en-US" w:eastAsia="zh-CN" w:bidi="ar"/>
              </w:rPr>
              <w:t>共计150人，</w:t>
            </w:r>
            <w:r>
              <w:rPr>
                <w:rFonts w:hint="eastAsia" w:ascii="仿宋" w:hAnsi="仿宋" w:eastAsia="仿宋" w:cs="仿宋"/>
                <w:b/>
                <w:bCs/>
                <w:color w:val="auto"/>
                <w:kern w:val="0"/>
                <w:sz w:val="21"/>
                <w:szCs w:val="21"/>
                <w:highlight w:val="none"/>
                <w:lang w:bidi="ar"/>
              </w:rPr>
              <w:t>最终结算金额人数按实际培训人数为准。</w:t>
            </w:r>
          </w:p>
        </w:tc>
      </w:tr>
    </w:tbl>
    <w:p w14:paraId="3A425343">
      <w:pPr>
        <w:keepNext w:val="0"/>
        <w:keepLines w:val="0"/>
        <w:pageBreakBefore w:val="0"/>
        <w:numPr>
          <w:ilvl w:val="0"/>
          <w:numId w:val="1"/>
        </w:numPr>
        <w:kinsoku/>
        <w:wordWrap/>
        <w:overflowPunct/>
        <w:topLinePunct w:val="0"/>
        <w:autoSpaceDE/>
        <w:autoSpaceDN/>
        <w:bidi w:val="0"/>
        <w:spacing w:line="400" w:lineRule="exact"/>
        <w:outlineLvl w:val="0"/>
        <w:rPr>
          <w:rFonts w:ascii="仿宋" w:hAnsi="仿宋" w:eastAsia="仿宋"/>
          <w:b/>
          <w:color w:val="auto"/>
          <w:sz w:val="24"/>
          <w:highlight w:val="none"/>
        </w:rPr>
      </w:pPr>
      <w:r>
        <w:rPr>
          <w:rFonts w:hint="eastAsia" w:ascii="仿宋" w:hAnsi="仿宋" w:eastAsia="仿宋"/>
          <w:b/>
          <w:color w:val="auto"/>
          <w:sz w:val="24"/>
          <w:highlight w:val="none"/>
        </w:rPr>
        <w:t>项目交付</w:t>
      </w:r>
    </w:p>
    <w:p w14:paraId="1D81082F">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1、合同执行时间：具体培训时间以</w:t>
      </w: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rPr>
        <w:t>通知后7日内组织，分两期培训，每期不少于3天</w:t>
      </w:r>
    </w:p>
    <w:p w14:paraId="7A23BA8D">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2、乙方负责按照第二章列出的具体要求向甲方交付服务，以实时方式、定期方式和专项组织方式结合。</w:t>
      </w:r>
    </w:p>
    <w:p w14:paraId="47B8BE5D">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highlight w:val="none"/>
        </w:rPr>
        <w:t>3、服务交付地点为：</w:t>
      </w:r>
      <w:r>
        <w:rPr>
          <w:rFonts w:hint="eastAsia" w:ascii="仿宋" w:hAnsi="仿宋" w:eastAsia="仿宋"/>
          <w:color w:val="auto"/>
          <w:sz w:val="24"/>
          <w:szCs w:val="28"/>
          <w:highlight w:val="none"/>
        </w:rPr>
        <w:t>乙方自行组织，场地至少能容纳</w:t>
      </w:r>
      <w:r>
        <w:rPr>
          <w:rFonts w:hint="eastAsia" w:ascii="仿宋" w:hAnsi="仿宋" w:eastAsia="仿宋"/>
          <w:color w:val="auto"/>
          <w:sz w:val="24"/>
          <w:szCs w:val="28"/>
          <w:highlight w:val="none"/>
          <w:lang w:val="en-US" w:eastAsia="zh-CN"/>
        </w:rPr>
        <w:t>65</w:t>
      </w:r>
      <w:r>
        <w:rPr>
          <w:rFonts w:hint="eastAsia" w:ascii="仿宋" w:hAnsi="仿宋" w:eastAsia="仿宋"/>
          <w:color w:val="auto"/>
          <w:sz w:val="24"/>
          <w:szCs w:val="28"/>
          <w:highlight w:val="none"/>
        </w:rPr>
        <w:t>人。</w:t>
      </w:r>
    </w:p>
    <w:p w14:paraId="156BDB77">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4、交付要求：</w:t>
      </w:r>
    </w:p>
    <w:p w14:paraId="612DB4D9">
      <w:pPr>
        <w:keepNext w:val="0"/>
        <w:keepLines w:val="0"/>
        <w:pageBreakBefore w:val="0"/>
        <w:kinsoku/>
        <w:wordWrap/>
        <w:overflowPunct/>
        <w:topLinePunct w:val="0"/>
        <w:autoSpaceDE/>
        <w:autoSpaceDN/>
        <w:bidi w:val="0"/>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4.1</w:t>
      </w:r>
      <w:r>
        <w:rPr>
          <w:rFonts w:hint="eastAsia" w:ascii="仿宋" w:hAnsi="仿宋" w:eastAsia="仿宋"/>
          <w:color w:val="auto"/>
          <w:sz w:val="24"/>
          <w:highlight w:val="none"/>
        </w:rPr>
        <w:t>授课内容要求：</w:t>
      </w:r>
    </w:p>
    <w:p w14:paraId="4D674803">
      <w:pPr>
        <w:keepNext w:val="0"/>
        <w:keepLines w:val="0"/>
        <w:pageBreakBefore w:val="0"/>
        <w:kinsoku/>
        <w:wordWrap/>
        <w:overflowPunct/>
        <w:topLinePunct w:val="0"/>
        <w:autoSpaceDE/>
        <w:autoSpaceDN/>
        <w:bidi w:val="0"/>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4.2</w:t>
      </w:r>
      <w:r>
        <w:rPr>
          <w:rFonts w:hint="eastAsia" w:ascii="仿宋" w:hAnsi="仿宋" w:eastAsia="仿宋"/>
          <w:color w:val="auto"/>
          <w:sz w:val="24"/>
          <w:highlight w:val="none"/>
        </w:rPr>
        <w:t>授课教师要求：</w:t>
      </w:r>
    </w:p>
    <w:p w14:paraId="5B47F114">
      <w:pPr>
        <w:keepNext w:val="0"/>
        <w:keepLines w:val="0"/>
        <w:pageBreakBefore w:val="0"/>
        <w:kinsoku/>
        <w:wordWrap/>
        <w:overflowPunct/>
        <w:topLinePunct w:val="0"/>
        <w:autoSpaceDE/>
        <w:autoSpaceDN/>
        <w:bidi w:val="0"/>
        <w:spacing w:line="400" w:lineRule="exact"/>
        <w:ind w:firstLine="480" w:firstLineChars="200"/>
        <w:rPr>
          <w:rFonts w:hint="eastAsia" w:ascii="仿宋" w:hAnsi="仿宋" w:eastAsia="仿宋"/>
          <w:color w:val="auto"/>
          <w:sz w:val="24"/>
          <w:highlight w:val="yellow"/>
        </w:rPr>
      </w:pPr>
      <w:bookmarkStart w:id="0" w:name="_GoBack"/>
      <w:bookmarkEnd w:id="0"/>
      <w:r>
        <w:rPr>
          <w:rFonts w:hint="eastAsia" w:ascii="仿宋" w:hAnsi="仿宋" w:eastAsia="仿宋"/>
          <w:color w:val="auto"/>
          <w:sz w:val="24"/>
          <w:highlight w:val="yellow"/>
          <w:lang w:val="en-US" w:eastAsia="zh-CN"/>
        </w:rPr>
        <w:t>4.3</w:t>
      </w:r>
      <w:r>
        <w:rPr>
          <w:rFonts w:hint="eastAsia" w:ascii="仿宋" w:hAnsi="仿宋" w:eastAsia="仿宋"/>
          <w:color w:val="auto"/>
          <w:sz w:val="24"/>
          <w:highlight w:val="yellow"/>
        </w:rPr>
        <w:t>授课场地及教具要求：</w:t>
      </w:r>
    </w:p>
    <w:p w14:paraId="1B88245C">
      <w:pPr>
        <w:keepNext w:val="0"/>
        <w:keepLines w:val="0"/>
        <w:pageBreakBefore w:val="0"/>
        <w:kinsoku/>
        <w:wordWrap/>
        <w:overflowPunct/>
        <w:topLinePunct w:val="0"/>
        <w:autoSpaceDE/>
        <w:autoSpaceDN/>
        <w:bidi w:val="0"/>
        <w:spacing w:line="400" w:lineRule="exact"/>
        <w:ind w:firstLine="480" w:firstLineChars="200"/>
        <w:rPr>
          <w:rFonts w:hint="eastAsia" w:ascii="仿宋" w:hAnsi="仿宋" w:eastAsia="仿宋"/>
          <w:color w:val="auto"/>
          <w:sz w:val="24"/>
          <w:highlight w:val="yellow"/>
        </w:rPr>
      </w:pPr>
      <w:r>
        <w:rPr>
          <w:rFonts w:hint="eastAsia" w:ascii="仿宋" w:hAnsi="仿宋" w:eastAsia="仿宋"/>
          <w:color w:val="auto"/>
          <w:sz w:val="24"/>
          <w:highlight w:val="yellow"/>
        </w:rPr>
        <w:t>1.培训地点：主城九区及璧山区（由</w:t>
      </w:r>
      <w:r>
        <w:rPr>
          <w:rFonts w:hint="eastAsia" w:ascii="仿宋" w:hAnsi="仿宋" w:eastAsia="仿宋"/>
          <w:color w:val="auto"/>
          <w:sz w:val="24"/>
          <w:highlight w:val="yellow"/>
          <w:lang w:val="en-US" w:eastAsia="zh-CN"/>
        </w:rPr>
        <w:t>乙方</w:t>
      </w:r>
      <w:r>
        <w:rPr>
          <w:rFonts w:hint="eastAsia" w:ascii="仿宋" w:hAnsi="仿宋" w:eastAsia="仿宋"/>
          <w:color w:val="auto"/>
          <w:sz w:val="24"/>
          <w:highlight w:val="yellow"/>
        </w:rPr>
        <w:t>提供）；</w:t>
      </w:r>
    </w:p>
    <w:p w14:paraId="67D5B9AB">
      <w:pPr>
        <w:keepNext w:val="0"/>
        <w:keepLines w:val="0"/>
        <w:pageBreakBefore w:val="0"/>
        <w:kinsoku/>
        <w:wordWrap/>
        <w:overflowPunct/>
        <w:topLinePunct w:val="0"/>
        <w:autoSpaceDE/>
        <w:autoSpaceDN/>
        <w:bidi w:val="0"/>
        <w:spacing w:line="400" w:lineRule="exact"/>
        <w:ind w:firstLine="480" w:firstLineChars="200"/>
        <w:rPr>
          <w:rFonts w:hint="default" w:ascii="仿宋" w:hAnsi="仿宋" w:eastAsia="仿宋"/>
          <w:color w:val="auto"/>
          <w:sz w:val="24"/>
          <w:highlight w:val="yellow"/>
          <w:lang w:val="en-US" w:eastAsia="zh-CN"/>
        </w:rPr>
      </w:pPr>
      <w:r>
        <w:rPr>
          <w:rFonts w:hint="eastAsia" w:ascii="仿宋" w:hAnsi="仿宋" w:eastAsia="仿宋"/>
          <w:color w:val="auto"/>
          <w:sz w:val="24"/>
          <w:highlight w:val="yellow"/>
        </w:rPr>
        <w:t>2.场地要求：</w:t>
      </w:r>
      <w:r>
        <w:rPr>
          <w:rFonts w:hint="eastAsia" w:ascii="仿宋" w:hAnsi="仿宋" w:eastAsia="仿宋"/>
          <w:color w:val="auto"/>
          <w:sz w:val="24"/>
          <w:highlight w:val="yellow"/>
          <w:lang w:val="en-US" w:eastAsia="zh-CN"/>
        </w:rPr>
        <w:t>乙方按招标文件和响应文件要求提供。</w:t>
      </w:r>
    </w:p>
    <w:p w14:paraId="59271C9F">
      <w:pPr>
        <w:keepNext w:val="0"/>
        <w:keepLines w:val="0"/>
        <w:pageBreakBefore w:val="0"/>
        <w:numPr>
          <w:ilvl w:val="0"/>
          <w:numId w:val="1"/>
        </w:numPr>
        <w:kinsoku/>
        <w:wordWrap/>
        <w:overflowPunct/>
        <w:topLinePunct w:val="0"/>
        <w:autoSpaceDE/>
        <w:autoSpaceDN/>
        <w:bidi w:val="0"/>
        <w:spacing w:line="400" w:lineRule="exact"/>
        <w:outlineLvl w:val="0"/>
        <w:rPr>
          <w:rFonts w:ascii="仿宋" w:hAnsi="仿宋" w:eastAsia="仿宋"/>
          <w:b/>
          <w:color w:val="auto"/>
          <w:sz w:val="24"/>
          <w:highlight w:val="none"/>
        </w:rPr>
      </w:pPr>
      <w:r>
        <w:rPr>
          <w:rFonts w:hint="eastAsia" w:ascii="仿宋" w:hAnsi="仿宋" w:eastAsia="仿宋"/>
          <w:b/>
          <w:color w:val="auto"/>
          <w:sz w:val="24"/>
          <w:highlight w:val="none"/>
        </w:rPr>
        <w:t>结算及服务款项支付</w:t>
      </w:r>
    </w:p>
    <w:p w14:paraId="4C81F759">
      <w:pPr>
        <w:keepNext w:val="0"/>
        <w:keepLines w:val="0"/>
        <w:pageBreakBefore w:val="0"/>
        <w:numPr>
          <w:ilvl w:val="0"/>
          <w:numId w:val="0"/>
        </w:numPr>
        <w:kinsoku/>
        <w:wordWrap/>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合同</w:t>
      </w:r>
      <w:r>
        <w:rPr>
          <w:rFonts w:hint="eastAsia" w:ascii="仿宋" w:hAnsi="仿宋" w:eastAsia="仿宋"/>
          <w:color w:val="auto"/>
          <w:sz w:val="24"/>
          <w:highlight w:val="none"/>
          <w:lang w:val="en-US" w:eastAsia="zh-CN"/>
        </w:rPr>
        <w:t>暂定</w:t>
      </w:r>
      <w:r>
        <w:rPr>
          <w:rFonts w:hint="eastAsia" w:ascii="仿宋" w:hAnsi="仿宋" w:eastAsia="仿宋"/>
          <w:color w:val="auto"/>
          <w:sz w:val="24"/>
          <w:highlight w:val="none"/>
        </w:rPr>
        <w:t>总价款为</w:t>
      </w:r>
      <w:r>
        <w:rPr>
          <w:rFonts w:hint="eastAsia" w:ascii="仿宋" w:hAnsi="仿宋" w:eastAsia="仿宋"/>
          <w:color w:val="auto"/>
          <w:sz w:val="24"/>
          <w:highlight w:val="none"/>
          <w:u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none"/>
        </w:rPr>
        <w:t>元</w:t>
      </w:r>
      <w:r>
        <w:rPr>
          <w:rFonts w:hint="eastAsia" w:ascii="仿宋" w:hAnsi="仿宋" w:eastAsia="仿宋"/>
          <w:color w:val="auto"/>
          <w:sz w:val="24"/>
          <w:highlight w:val="none"/>
        </w:rPr>
        <w:t>（大写金额：人民币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），本合同金额含X%增值税税费，合同双方之间发生的一切费用均以人民币结算及支付。</w:t>
      </w:r>
    </w:p>
    <w:p w14:paraId="30FAE747">
      <w:pPr>
        <w:keepNext w:val="0"/>
        <w:keepLines w:val="0"/>
        <w:pageBreakBefore w:val="0"/>
        <w:widowControl/>
        <w:shd w:val="clear" w:color="auto" w:fill="FFFFFF"/>
        <w:kinsoku/>
        <w:wordWrap/>
        <w:overflowPunct/>
        <w:topLinePunct w:val="0"/>
        <w:autoSpaceDE/>
        <w:autoSpaceDN/>
        <w:bidi w:val="0"/>
        <w:spacing w:line="400" w:lineRule="exact"/>
        <w:ind w:firstLine="480"/>
        <w:jc w:val="left"/>
        <w:rPr>
          <w:color w:val="auto"/>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支付方式：培训完成后，根据实际参与人员据实结算，甲乙双方确认后30日历天内一次性支付培训费用。注：乙方办理支付前须开具等额的税率X%的增值税专用发票给甲方，否则甲方不予支付相关费用；因乙方原因未按时开具发票，导致支付延期的，非甲方违约责任。</w:t>
      </w:r>
    </w:p>
    <w:p w14:paraId="24874F62">
      <w:pPr>
        <w:keepNext w:val="0"/>
        <w:keepLines w:val="0"/>
        <w:pageBreakBefore w:val="0"/>
        <w:numPr>
          <w:ilvl w:val="0"/>
          <w:numId w:val="1"/>
        </w:numPr>
        <w:kinsoku/>
        <w:wordWrap/>
        <w:overflowPunct/>
        <w:topLinePunct w:val="0"/>
        <w:autoSpaceDE/>
        <w:autoSpaceDN/>
        <w:bidi w:val="0"/>
        <w:spacing w:line="400" w:lineRule="exact"/>
        <w:outlineLvl w:val="0"/>
        <w:rPr>
          <w:rFonts w:ascii="仿宋" w:hAnsi="仿宋" w:eastAsia="仿宋"/>
          <w:b/>
          <w:color w:val="auto"/>
          <w:sz w:val="24"/>
          <w:highlight w:val="none"/>
        </w:rPr>
      </w:pPr>
      <w:r>
        <w:rPr>
          <w:rFonts w:hint="eastAsia" w:ascii="仿宋" w:hAnsi="仿宋" w:eastAsia="仿宋"/>
          <w:b/>
          <w:color w:val="auto"/>
          <w:sz w:val="24"/>
          <w:highlight w:val="none"/>
        </w:rPr>
        <w:t>不可抗力</w:t>
      </w:r>
    </w:p>
    <w:p w14:paraId="75FD2C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本合同中，不可抗力是指不能预见、不能避免且不能克服的客观情况，包括：战争、火灾、洪水、台风、地震、政策变化或其它人力不可抗拒之事件。</w:t>
      </w:r>
    </w:p>
    <w:p w14:paraId="0C91E8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
          <w:color w:val="auto"/>
          <w:sz w:val="24"/>
          <w:highlight w:val="none"/>
          <w:u w:val="singl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因不可抗力导致的任何一方违约，违约方无需承担责任，但应及时通知对方，并应</w:t>
      </w:r>
      <w:r>
        <w:rPr>
          <w:rFonts w:hint="eastAsia" w:ascii="仿宋" w:hAnsi="仿宋" w:eastAsia="仿宋"/>
          <w:bCs/>
          <w:color w:val="auto"/>
          <w:sz w:val="24"/>
          <w:highlight w:val="none"/>
        </w:rPr>
        <w:t>在上述不可抗力事件消除后15日内提供有关主管部门的证明。</w:t>
      </w:r>
    </w:p>
    <w:p w14:paraId="54A1426E">
      <w:pPr>
        <w:keepNext w:val="0"/>
        <w:keepLines w:val="0"/>
        <w:pageBreakBefore w:val="0"/>
        <w:numPr>
          <w:ilvl w:val="0"/>
          <w:numId w:val="1"/>
        </w:numPr>
        <w:kinsoku/>
        <w:wordWrap/>
        <w:overflowPunct/>
        <w:topLinePunct w:val="0"/>
        <w:autoSpaceDE/>
        <w:autoSpaceDN/>
        <w:bidi w:val="0"/>
        <w:spacing w:line="400" w:lineRule="exact"/>
        <w:outlineLvl w:val="0"/>
        <w:rPr>
          <w:rFonts w:ascii="仿宋" w:hAnsi="仿宋" w:eastAsia="仿宋"/>
          <w:b/>
          <w:color w:val="auto"/>
          <w:sz w:val="24"/>
          <w:highlight w:val="none"/>
          <w:u w:val="single"/>
        </w:rPr>
      </w:pPr>
      <w:r>
        <w:rPr>
          <w:rFonts w:ascii="仿宋" w:hAnsi="仿宋" w:eastAsia="仿宋"/>
          <w:b/>
          <w:color w:val="auto"/>
          <w:sz w:val="24"/>
          <w:highlight w:val="none"/>
        </w:rPr>
        <w:t>其他</w:t>
      </w:r>
    </w:p>
    <w:p w14:paraId="497E659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Cs/>
          <w:color w:val="auto"/>
          <w:sz w:val="24"/>
          <w:highlight w:val="none"/>
        </w:rPr>
      </w:pP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除非得到另一方的书面许可，甲、乙双方均不得将本合同中的内容及在本合同执行过程中获得的对方的商业信息向任何第三方泄露、透露或披露。</w:t>
      </w:r>
    </w:p>
    <w:p w14:paraId="110CB7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Cs/>
          <w:color w:val="auto"/>
          <w:sz w:val="24"/>
          <w:highlight w:val="none"/>
        </w:rPr>
      </w:pPr>
      <w:r>
        <w:rPr>
          <w:rFonts w:hint="eastAsia" w:ascii="仿宋" w:hAnsi="仿宋" w:eastAsia="仿宋"/>
          <w:bCs/>
          <w:color w:val="auto"/>
          <w:sz w:val="24"/>
          <w:highlight w:val="none"/>
          <w:lang w:val="en-US" w:eastAsia="zh-CN"/>
        </w:rPr>
        <w:t>2.</w:t>
      </w:r>
      <w:r>
        <w:rPr>
          <w:rFonts w:hint="eastAsia" w:ascii="仿宋" w:hAnsi="仿宋" w:eastAsia="仿宋"/>
          <w:bCs/>
          <w:color w:val="auto"/>
          <w:sz w:val="24"/>
          <w:highlight w:val="none"/>
        </w:rPr>
        <w:t>乙方迟延交付、迟延提供服务或迟延履行合同义务的，每迟延一天，按照合同总金额的万分之五向甲方支付迟延违约金；乙方迟延交付、迟延提供服务完成超过5工作日的，甲方有权解除本合同，要求乙方支付合同总金额10%的违约金；乙方迟延交付、迟延提供服务超过5工作日的，甲方有权委托第三方代为履行，相关费用由乙方承担。乙方违法违约单方解除、终止本合同或因乙方原因导致本合同无法履行的，应向甲方支付合同总金额10%的违约金。</w:t>
      </w:r>
    </w:p>
    <w:p w14:paraId="2FE8EC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auto"/>
          <w:sz w:val="24"/>
          <w:highlight w:val="none"/>
        </w:rPr>
      </w:pPr>
      <w:r>
        <w:rPr>
          <w:rFonts w:hint="eastAsia" w:ascii="仿宋" w:hAnsi="仿宋" w:eastAsia="仿宋"/>
          <w:bCs/>
          <w:color w:val="auto"/>
          <w:sz w:val="24"/>
          <w:highlight w:val="none"/>
          <w:lang w:val="en-US" w:eastAsia="zh-CN"/>
        </w:rPr>
        <w:t>3.</w:t>
      </w:r>
      <w:r>
        <w:rPr>
          <w:rFonts w:hint="eastAsia" w:ascii="仿宋" w:hAnsi="仿宋" w:eastAsia="仿宋"/>
          <w:color w:val="auto"/>
          <w:sz w:val="24"/>
          <w:highlight w:val="none"/>
        </w:rPr>
        <w:t>项目不得分包、转包。</w:t>
      </w:r>
      <w:r>
        <w:rPr>
          <w:rFonts w:hint="eastAsia" w:ascii="仿宋" w:hAnsi="仿宋" w:eastAsia="仿宋"/>
          <w:bCs/>
          <w:color w:val="auto"/>
          <w:sz w:val="24"/>
          <w:highlight w:val="none"/>
        </w:rPr>
        <w:t>乙方</w:t>
      </w:r>
      <w:r>
        <w:rPr>
          <w:rFonts w:hint="eastAsia" w:ascii="仿宋" w:hAnsi="仿宋" w:eastAsia="仿宋"/>
          <w:color w:val="auto"/>
          <w:sz w:val="24"/>
          <w:highlight w:val="none"/>
        </w:rPr>
        <w:t>项目参与人员及角色不得随意更换，若需更换，应经甲方同意且提供人员更换书面函。在服务过程中，甲方根据实际需求，服务内容没有明显调整或扩大的情况下，可能要求增加人员到场工作，或延长工作时长。若服务质量不达标，甲方有权进行处罚直至终止合同。</w:t>
      </w:r>
    </w:p>
    <w:p w14:paraId="15B31D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Cs/>
          <w:color w:val="auto"/>
          <w:sz w:val="24"/>
          <w:highlight w:val="none"/>
        </w:rPr>
      </w:pPr>
      <w:r>
        <w:rPr>
          <w:rFonts w:hint="eastAsia" w:ascii="仿宋" w:hAnsi="仿宋" w:eastAsia="仿宋"/>
          <w:bCs/>
          <w:color w:val="auto"/>
          <w:sz w:val="24"/>
          <w:highlight w:val="none"/>
          <w:lang w:val="en-US" w:eastAsia="zh-CN"/>
        </w:rPr>
        <w:t>4.</w:t>
      </w:r>
      <w:r>
        <w:rPr>
          <w:rFonts w:hint="eastAsia" w:ascii="仿宋" w:hAnsi="仿宋" w:eastAsia="仿宋"/>
          <w:bCs/>
          <w:color w:val="auto"/>
          <w:sz w:val="24"/>
          <w:highlight w:val="none"/>
        </w:rPr>
        <w:t>由本合同产生的一切争议</w:t>
      </w:r>
      <w:r>
        <w:rPr>
          <w:rFonts w:ascii="仿宋" w:hAnsi="仿宋" w:eastAsia="仿宋"/>
          <w:bCs/>
          <w:color w:val="auto"/>
          <w:sz w:val="24"/>
          <w:highlight w:val="none"/>
        </w:rPr>
        <w:t>，</w:t>
      </w:r>
      <w:r>
        <w:rPr>
          <w:rFonts w:hint="eastAsia" w:ascii="仿宋" w:hAnsi="仿宋" w:eastAsia="仿宋"/>
          <w:bCs/>
          <w:color w:val="auto"/>
          <w:sz w:val="24"/>
          <w:highlight w:val="none"/>
        </w:rPr>
        <w:t>合同</w:t>
      </w:r>
      <w:r>
        <w:rPr>
          <w:rFonts w:ascii="仿宋" w:hAnsi="仿宋" w:eastAsia="仿宋"/>
          <w:bCs/>
          <w:color w:val="auto"/>
          <w:sz w:val="24"/>
          <w:highlight w:val="none"/>
        </w:rPr>
        <w:t>双方应</w:t>
      </w:r>
      <w:r>
        <w:rPr>
          <w:rFonts w:hint="eastAsia" w:ascii="仿宋" w:hAnsi="仿宋" w:eastAsia="仿宋"/>
          <w:bCs/>
          <w:color w:val="auto"/>
          <w:sz w:val="24"/>
          <w:highlight w:val="none"/>
        </w:rPr>
        <w:t>首先友好</w:t>
      </w:r>
      <w:r>
        <w:rPr>
          <w:rFonts w:ascii="仿宋" w:hAnsi="仿宋" w:eastAsia="仿宋"/>
          <w:bCs/>
          <w:color w:val="auto"/>
          <w:sz w:val="24"/>
          <w:highlight w:val="none"/>
        </w:rPr>
        <w:t>协商</w:t>
      </w:r>
      <w:r>
        <w:rPr>
          <w:rFonts w:hint="eastAsia" w:ascii="仿宋" w:hAnsi="仿宋" w:eastAsia="仿宋"/>
          <w:bCs/>
          <w:color w:val="auto"/>
          <w:sz w:val="24"/>
          <w:highlight w:val="none"/>
        </w:rPr>
        <w:t>解决，如果争议在一方送交书面要求开始协商的通知后 10 天内未能解决，任何一方可将争议向甲方所在地人民法院提请诉讼。</w:t>
      </w:r>
    </w:p>
    <w:p w14:paraId="1383C0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Cs/>
          <w:color w:val="auto"/>
          <w:sz w:val="24"/>
          <w:highlight w:val="none"/>
        </w:rPr>
      </w:pP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合同各方均必须接受并配合国家审计机关和其它相关职能部门依法对合同项目进行的审计等方面的工作，承包人应充分配合，接受审计意见。</w:t>
      </w:r>
    </w:p>
    <w:p w14:paraId="407A6F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bCs/>
          <w:color w:val="auto"/>
          <w:sz w:val="24"/>
          <w:highlight w:val="none"/>
        </w:rPr>
      </w:pPr>
      <w:r>
        <w:rPr>
          <w:rFonts w:hint="eastAsia" w:ascii="仿宋" w:hAnsi="仿宋" w:eastAsia="仿宋"/>
          <w:bCs/>
          <w:color w:val="auto"/>
          <w:sz w:val="24"/>
          <w:highlight w:val="none"/>
          <w:lang w:val="en-US" w:eastAsia="zh-CN"/>
        </w:rPr>
        <w:t>6.</w:t>
      </w:r>
      <w:r>
        <w:rPr>
          <w:rFonts w:hint="eastAsia" w:ascii="仿宋" w:hAnsi="仿宋" w:eastAsia="仿宋"/>
          <w:bCs/>
          <w:color w:val="auto"/>
          <w:sz w:val="24"/>
          <w:highlight w:val="none"/>
        </w:rPr>
        <w:t>本</w:t>
      </w:r>
      <w:r>
        <w:rPr>
          <w:rFonts w:ascii="仿宋" w:hAnsi="仿宋" w:eastAsia="仿宋"/>
          <w:bCs/>
          <w:color w:val="auto"/>
          <w:sz w:val="24"/>
          <w:highlight w:val="none"/>
        </w:rPr>
        <w:t>合同自</w:t>
      </w:r>
      <w:r>
        <w:rPr>
          <w:rFonts w:hint="eastAsia" w:ascii="仿宋" w:hAnsi="仿宋" w:eastAsia="仿宋"/>
          <w:bCs/>
          <w:color w:val="auto"/>
          <w:sz w:val="24"/>
          <w:highlight w:val="none"/>
        </w:rPr>
        <w:t>双方盖章之日</w:t>
      </w:r>
      <w:r>
        <w:rPr>
          <w:rFonts w:ascii="仿宋" w:hAnsi="仿宋" w:eastAsia="仿宋"/>
          <w:bCs/>
          <w:color w:val="auto"/>
          <w:sz w:val="24"/>
          <w:highlight w:val="none"/>
        </w:rPr>
        <w:t>起生效</w:t>
      </w:r>
      <w:r>
        <w:rPr>
          <w:rFonts w:hint="eastAsia" w:ascii="仿宋" w:hAnsi="仿宋" w:eastAsia="仿宋"/>
          <w:bCs/>
          <w:color w:val="auto"/>
          <w:sz w:val="24"/>
          <w:highlight w:val="none"/>
        </w:rPr>
        <w:t>；</w:t>
      </w:r>
      <w:r>
        <w:rPr>
          <w:rFonts w:ascii="仿宋" w:hAnsi="仿宋" w:eastAsia="仿宋"/>
          <w:bCs/>
          <w:color w:val="auto"/>
          <w:sz w:val="24"/>
          <w:highlight w:val="none"/>
        </w:rPr>
        <w:t>本合同一式</w:t>
      </w:r>
      <w:r>
        <w:rPr>
          <w:rFonts w:hint="eastAsia" w:ascii="仿宋" w:hAnsi="仿宋" w:eastAsia="仿宋"/>
          <w:bCs/>
          <w:color w:val="auto"/>
          <w:sz w:val="24"/>
          <w:highlight w:val="none"/>
        </w:rPr>
        <w:t>陆</w:t>
      </w:r>
      <w:r>
        <w:rPr>
          <w:rFonts w:ascii="仿宋" w:hAnsi="仿宋" w:eastAsia="仿宋"/>
          <w:bCs/>
          <w:color w:val="auto"/>
          <w:sz w:val="24"/>
          <w:highlight w:val="none"/>
        </w:rPr>
        <w:t>份，</w:t>
      </w:r>
      <w:r>
        <w:rPr>
          <w:rFonts w:hint="eastAsia" w:ascii="仿宋" w:hAnsi="仿宋" w:eastAsia="仿宋"/>
          <w:bCs/>
          <w:color w:val="auto"/>
          <w:sz w:val="24"/>
          <w:highlight w:val="none"/>
        </w:rPr>
        <w:t>甲方执肆份；乙方执贰份，本</w:t>
      </w:r>
      <w:r>
        <w:rPr>
          <w:rFonts w:ascii="仿宋" w:hAnsi="仿宋" w:eastAsia="仿宋"/>
          <w:bCs/>
          <w:color w:val="auto"/>
          <w:sz w:val="24"/>
          <w:highlight w:val="none"/>
        </w:rPr>
        <w:t>合同未尽事宜，</w:t>
      </w:r>
      <w:r>
        <w:rPr>
          <w:rFonts w:hint="eastAsia" w:ascii="仿宋" w:hAnsi="仿宋" w:eastAsia="仿宋"/>
          <w:bCs/>
          <w:color w:val="auto"/>
          <w:sz w:val="24"/>
          <w:highlight w:val="none"/>
        </w:rPr>
        <w:t>由</w:t>
      </w:r>
      <w:r>
        <w:rPr>
          <w:rFonts w:ascii="仿宋" w:hAnsi="仿宋" w:eastAsia="仿宋"/>
          <w:bCs/>
          <w:color w:val="auto"/>
          <w:sz w:val="24"/>
          <w:highlight w:val="none"/>
        </w:rPr>
        <w:t>双方共同协商</w:t>
      </w:r>
      <w:r>
        <w:rPr>
          <w:rFonts w:hint="eastAsia" w:ascii="仿宋" w:hAnsi="仿宋" w:eastAsia="仿宋"/>
          <w:bCs/>
          <w:color w:val="auto"/>
          <w:sz w:val="24"/>
          <w:highlight w:val="none"/>
        </w:rPr>
        <w:t>确定</w:t>
      </w:r>
      <w:r>
        <w:rPr>
          <w:rFonts w:ascii="仿宋" w:hAnsi="仿宋" w:eastAsia="仿宋"/>
          <w:bCs/>
          <w:color w:val="auto"/>
          <w:sz w:val="24"/>
          <w:highlight w:val="none"/>
        </w:rPr>
        <w:t>。</w:t>
      </w:r>
    </w:p>
    <w:p w14:paraId="3416D037">
      <w:pPr>
        <w:pStyle w:val="5"/>
        <w:spacing w:before="0" w:beforeAutospacing="0" w:after="0" w:afterAutospacing="0" w:line="380" w:lineRule="exact"/>
        <w:rPr>
          <w:rFonts w:ascii="仿宋" w:hAnsi="仿宋" w:eastAsia="仿宋"/>
          <w:color w:val="auto"/>
          <w:highlight w:val="none"/>
        </w:rPr>
      </w:pPr>
    </w:p>
    <w:tbl>
      <w:tblPr>
        <w:tblStyle w:val="6"/>
        <w:tblW w:w="9072" w:type="dxa"/>
        <w:tblInd w:w="0" w:type="dxa"/>
        <w:tblLayout w:type="fixed"/>
        <w:tblCellMar>
          <w:top w:w="0" w:type="dxa"/>
          <w:left w:w="0" w:type="dxa"/>
          <w:bottom w:w="0" w:type="dxa"/>
          <w:right w:w="0" w:type="dxa"/>
        </w:tblCellMar>
      </w:tblPr>
      <w:tblGrid>
        <w:gridCol w:w="4804"/>
        <w:gridCol w:w="4268"/>
      </w:tblGrid>
      <w:tr w14:paraId="5414D22D">
        <w:tblPrEx>
          <w:tblCellMar>
            <w:top w:w="0" w:type="dxa"/>
            <w:left w:w="0" w:type="dxa"/>
            <w:bottom w:w="0" w:type="dxa"/>
            <w:right w:w="0" w:type="dxa"/>
          </w:tblCellMar>
        </w:tblPrEx>
        <w:trPr>
          <w:trHeight w:val="398" w:hRule="atLeast"/>
        </w:trPr>
        <w:tc>
          <w:tcPr>
            <w:tcW w:w="4804" w:type="dxa"/>
          </w:tcPr>
          <w:p w14:paraId="6A3E8CD8">
            <w:pPr>
              <w:spacing w:line="380" w:lineRule="exact"/>
              <w:rPr>
                <w:rFonts w:ascii="仿宋" w:hAnsi="仿宋" w:eastAsia="仿宋"/>
                <w:b/>
                <w:bCs/>
                <w:color w:val="auto"/>
                <w:sz w:val="24"/>
                <w:highlight w:val="none"/>
              </w:rPr>
            </w:pPr>
          </w:p>
          <w:p w14:paraId="7CAE2384">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甲方：重庆首讯科技股份有限公司</w:t>
            </w:r>
          </w:p>
        </w:tc>
        <w:tc>
          <w:tcPr>
            <w:tcW w:w="4268" w:type="dxa"/>
          </w:tcPr>
          <w:p w14:paraId="3F95721E">
            <w:pPr>
              <w:spacing w:line="380" w:lineRule="exact"/>
              <w:rPr>
                <w:rFonts w:ascii="仿宋" w:hAnsi="仿宋" w:eastAsia="仿宋"/>
                <w:b/>
                <w:bCs/>
                <w:color w:val="auto"/>
                <w:sz w:val="24"/>
                <w:highlight w:val="none"/>
              </w:rPr>
            </w:pPr>
          </w:p>
          <w:p w14:paraId="6347C9C7">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乙方：</w:t>
            </w:r>
          </w:p>
        </w:tc>
      </w:tr>
      <w:tr w14:paraId="25DE2B39">
        <w:tblPrEx>
          <w:tblCellMar>
            <w:top w:w="0" w:type="dxa"/>
            <w:left w:w="0" w:type="dxa"/>
            <w:bottom w:w="0" w:type="dxa"/>
            <w:right w:w="0" w:type="dxa"/>
          </w:tblCellMar>
        </w:tblPrEx>
        <w:trPr>
          <w:trHeight w:val="324" w:hRule="atLeast"/>
        </w:trPr>
        <w:tc>
          <w:tcPr>
            <w:tcW w:w="4804" w:type="dxa"/>
          </w:tcPr>
          <w:p w14:paraId="3DCFDDFE">
            <w:pPr>
              <w:spacing w:line="380" w:lineRule="exact"/>
              <w:rPr>
                <w:rFonts w:ascii="仿宋" w:hAnsi="仿宋" w:eastAsia="仿宋"/>
                <w:b/>
                <w:bCs/>
                <w:color w:val="auto"/>
                <w:sz w:val="24"/>
                <w:highlight w:val="none"/>
              </w:rPr>
            </w:pPr>
          </w:p>
          <w:p w14:paraId="6A842459">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经办人：</w:t>
            </w:r>
          </w:p>
        </w:tc>
        <w:tc>
          <w:tcPr>
            <w:tcW w:w="4268" w:type="dxa"/>
          </w:tcPr>
          <w:p w14:paraId="6A736AAF">
            <w:pPr>
              <w:spacing w:line="380" w:lineRule="exact"/>
              <w:rPr>
                <w:rFonts w:ascii="仿宋" w:hAnsi="仿宋" w:eastAsia="仿宋"/>
                <w:b/>
                <w:bCs/>
                <w:color w:val="auto"/>
                <w:sz w:val="24"/>
                <w:highlight w:val="none"/>
              </w:rPr>
            </w:pPr>
          </w:p>
          <w:p w14:paraId="68D09B2E">
            <w:pPr>
              <w:pStyle w:val="4"/>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经办人：</w:t>
            </w:r>
            <w:r>
              <w:rPr>
                <w:rFonts w:ascii="仿宋" w:hAnsi="仿宋" w:eastAsia="仿宋"/>
                <w:b/>
                <w:bCs/>
                <w:color w:val="auto"/>
                <w:sz w:val="24"/>
                <w:szCs w:val="24"/>
                <w:highlight w:val="none"/>
              </w:rPr>
              <w:t xml:space="preserve"> </w:t>
            </w:r>
          </w:p>
        </w:tc>
      </w:tr>
      <w:tr w14:paraId="0293A1F1">
        <w:tblPrEx>
          <w:tblCellMar>
            <w:top w:w="0" w:type="dxa"/>
            <w:left w:w="0" w:type="dxa"/>
            <w:bottom w:w="0" w:type="dxa"/>
            <w:right w:w="0" w:type="dxa"/>
          </w:tblCellMar>
        </w:tblPrEx>
        <w:trPr>
          <w:trHeight w:val="465" w:hRule="atLeast"/>
        </w:trPr>
        <w:tc>
          <w:tcPr>
            <w:tcW w:w="4804" w:type="dxa"/>
          </w:tcPr>
          <w:p w14:paraId="572CF8AE">
            <w:pPr>
              <w:pStyle w:val="4"/>
              <w:rPr>
                <w:b/>
                <w:bCs/>
                <w:color w:val="auto"/>
                <w:highlight w:val="none"/>
              </w:rPr>
            </w:pPr>
          </w:p>
          <w:p w14:paraId="734D1648">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法定代表人</w:t>
            </w:r>
          </w:p>
          <w:p w14:paraId="6F5CB7A6">
            <w:pPr>
              <w:spacing w:line="380" w:lineRule="exact"/>
              <w:rPr>
                <w:rFonts w:ascii="仿宋" w:hAnsi="仿宋" w:eastAsia="仿宋"/>
                <w:b/>
                <w:bCs/>
                <w:color w:val="auto"/>
                <w:sz w:val="24"/>
                <w:highlight w:val="none"/>
              </w:rPr>
            </w:pPr>
          </w:p>
          <w:p w14:paraId="52FE3FEF">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或授权代理人：</w:t>
            </w:r>
          </w:p>
        </w:tc>
        <w:tc>
          <w:tcPr>
            <w:tcW w:w="4268" w:type="dxa"/>
          </w:tcPr>
          <w:p w14:paraId="7EE78B90">
            <w:pPr>
              <w:spacing w:line="380" w:lineRule="exact"/>
              <w:rPr>
                <w:rFonts w:ascii="仿宋" w:hAnsi="仿宋" w:eastAsia="仿宋"/>
                <w:b/>
                <w:bCs/>
                <w:color w:val="auto"/>
                <w:sz w:val="24"/>
                <w:highlight w:val="none"/>
              </w:rPr>
            </w:pPr>
          </w:p>
          <w:p w14:paraId="13E2080E">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法定代表人</w:t>
            </w:r>
          </w:p>
          <w:p w14:paraId="615BB48F">
            <w:pPr>
              <w:spacing w:line="380" w:lineRule="exact"/>
              <w:rPr>
                <w:rFonts w:ascii="仿宋" w:hAnsi="仿宋" w:eastAsia="仿宋"/>
                <w:b/>
                <w:bCs/>
                <w:color w:val="auto"/>
                <w:sz w:val="24"/>
                <w:highlight w:val="none"/>
              </w:rPr>
            </w:pPr>
          </w:p>
          <w:p w14:paraId="162AC9FD">
            <w:pPr>
              <w:spacing w:line="380" w:lineRule="exact"/>
              <w:rPr>
                <w:rFonts w:ascii="仿宋" w:hAnsi="仿宋" w:eastAsia="仿宋"/>
                <w:b/>
                <w:bCs/>
                <w:color w:val="auto"/>
                <w:sz w:val="24"/>
                <w:highlight w:val="none"/>
              </w:rPr>
            </w:pPr>
            <w:r>
              <w:rPr>
                <w:rFonts w:hint="eastAsia" w:ascii="仿宋" w:hAnsi="仿宋" w:eastAsia="仿宋"/>
                <w:b/>
                <w:bCs/>
                <w:color w:val="auto"/>
                <w:sz w:val="24"/>
                <w:highlight w:val="none"/>
              </w:rPr>
              <w:t>或授权代理人：</w:t>
            </w:r>
            <w:r>
              <w:rPr>
                <w:rFonts w:ascii="仿宋" w:hAnsi="仿宋" w:eastAsia="仿宋"/>
                <w:b/>
                <w:bCs/>
                <w:color w:val="auto"/>
                <w:sz w:val="24"/>
                <w:highlight w:val="none"/>
              </w:rPr>
              <w:t xml:space="preserve"> </w:t>
            </w:r>
          </w:p>
        </w:tc>
      </w:tr>
      <w:tr w14:paraId="21BBF553">
        <w:tblPrEx>
          <w:tblCellMar>
            <w:top w:w="0" w:type="dxa"/>
            <w:left w:w="0" w:type="dxa"/>
            <w:bottom w:w="0" w:type="dxa"/>
            <w:right w:w="0" w:type="dxa"/>
          </w:tblCellMar>
        </w:tblPrEx>
        <w:trPr>
          <w:trHeight w:val="383" w:hRule="atLeast"/>
        </w:trPr>
        <w:tc>
          <w:tcPr>
            <w:tcW w:w="4804" w:type="dxa"/>
          </w:tcPr>
          <w:p w14:paraId="74B84269">
            <w:pPr>
              <w:spacing w:line="380" w:lineRule="exact"/>
              <w:rPr>
                <w:rFonts w:ascii="仿宋" w:hAnsi="仿宋" w:eastAsia="仿宋"/>
                <w:b/>
                <w:bCs/>
                <w:color w:val="auto"/>
                <w:sz w:val="24"/>
                <w:highlight w:val="none"/>
              </w:rPr>
            </w:pPr>
          </w:p>
        </w:tc>
        <w:tc>
          <w:tcPr>
            <w:tcW w:w="4268" w:type="dxa"/>
          </w:tcPr>
          <w:p w14:paraId="5BD8A843">
            <w:pPr>
              <w:spacing w:line="380" w:lineRule="exact"/>
              <w:rPr>
                <w:rFonts w:ascii="仿宋" w:hAnsi="仿宋" w:eastAsia="仿宋"/>
                <w:b/>
                <w:bCs/>
                <w:color w:val="auto"/>
                <w:sz w:val="24"/>
                <w:highlight w:val="none"/>
              </w:rPr>
            </w:pPr>
          </w:p>
        </w:tc>
      </w:tr>
      <w:tr w14:paraId="33A5013D">
        <w:tblPrEx>
          <w:tblCellMar>
            <w:top w:w="0" w:type="dxa"/>
            <w:left w:w="0" w:type="dxa"/>
            <w:bottom w:w="0" w:type="dxa"/>
            <w:right w:w="0" w:type="dxa"/>
          </w:tblCellMar>
        </w:tblPrEx>
        <w:trPr>
          <w:trHeight w:val="383" w:hRule="atLeast"/>
        </w:trPr>
        <w:tc>
          <w:tcPr>
            <w:tcW w:w="4804" w:type="dxa"/>
          </w:tcPr>
          <w:p w14:paraId="42BF229B">
            <w:pPr>
              <w:spacing w:line="380" w:lineRule="exact"/>
              <w:rPr>
                <w:rFonts w:ascii="仿宋" w:hAnsi="仿宋" w:eastAsia="仿宋"/>
                <w:b/>
                <w:bCs/>
                <w:color w:val="auto"/>
                <w:sz w:val="24"/>
                <w:highlight w:val="none"/>
                <w:u w:val="single"/>
              </w:rPr>
            </w:pPr>
            <w:r>
              <w:rPr>
                <w:rFonts w:hint="eastAsia" w:ascii="仿宋" w:hAnsi="仿宋" w:eastAsia="仿宋"/>
                <w:b/>
                <w:bCs/>
                <w:color w:val="auto"/>
                <w:sz w:val="24"/>
                <w:highlight w:val="none"/>
              </w:rPr>
              <w:t>日期：</w:t>
            </w:r>
          </w:p>
        </w:tc>
        <w:tc>
          <w:tcPr>
            <w:tcW w:w="4268" w:type="dxa"/>
          </w:tcPr>
          <w:p w14:paraId="399F69A7">
            <w:pPr>
              <w:spacing w:line="380" w:lineRule="exact"/>
              <w:rPr>
                <w:rFonts w:ascii="仿宋" w:hAnsi="仿宋" w:eastAsia="仿宋"/>
                <w:b/>
                <w:bCs/>
                <w:color w:val="auto"/>
                <w:sz w:val="24"/>
                <w:highlight w:val="none"/>
                <w:u w:val="single"/>
              </w:rPr>
            </w:pPr>
            <w:r>
              <w:rPr>
                <w:rFonts w:hint="eastAsia" w:ascii="仿宋" w:hAnsi="仿宋" w:eastAsia="仿宋"/>
                <w:b/>
                <w:bCs/>
                <w:color w:val="auto"/>
                <w:sz w:val="24"/>
                <w:highlight w:val="none"/>
              </w:rPr>
              <w:t>日期：</w:t>
            </w:r>
          </w:p>
        </w:tc>
      </w:tr>
    </w:tbl>
    <w:p w14:paraId="5C2D4545">
      <w:pPr>
        <w:pStyle w:val="5"/>
        <w:spacing w:line="500" w:lineRule="exact"/>
        <w:outlineLvl w:val="0"/>
        <w:rPr>
          <w:rFonts w:ascii="仿宋" w:hAnsi="仿宋" w:eastAsia="仿宋" w:cs="仿宋"/>
          <w:b/>
          <w:color w:val="auto"/>
          <w:sz w:val="32"/>
          <w:szCs w:val="32"/>
          <w:highlight w:val="none"/>
        </w:rPr>
      </w:pPr>
    </w:p>
    <w:p w14:paraId="329DBB39">
      <w:pPr>
        <w:pStyle w:val="5"/>
        <w:spacing w:line="500" w:lineRule="exact"/>
        <w:outlineLvl w:val="0"/>
        <w:rPr>
          <w:rFonts w:ascii="仿宋" w:hAnsi="仿宋" w:eastAsia="仿宋" w:cs="仿宋"/>
          <w:b/>
          <w:color w:val="auto"/>
          <w:sz w:val="32"/>
          <w:szCs w:val="32"/>
          <w:highlight w:val="none"/>
        </w:rPr>
      </w:pPr>
    </w:p>
    <w:p w14:paraId="53DCBC95">
      <w:pPr>
        <w:pStyle w:val="5"/>
        <w:spacing w:line="500" w:lineRule="exact"/>
        <w:outlineLvl w:val="0"/>
        <w:rPr>
          <w:rFonts w:ascii="仿宋" w:hAnsi="仿宋" w:eastAsia="仿宋" w:cs="仿宋"/>
          <w:b/>
          <w:color w:val="auto"/>
          <w:sz w:val="32"/>
          <w:szCs w:val="32"/>
          <w:highlight w:val="none"/>
        </w:rPr>
      </w:pPr>
    </w:p>
    <w:p w14:paraId="6355A4A9">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96A297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21"/>
          <w:szCs w:val="21"/>
          <w:highlight w:val="none"/>
        </w:rPr>
        <w:t>附件一</w:t>
      </w:r>
    </w:p>
    <w:p w14:paraId="4FC7462D">
      <w:pPr>
        <w:pStyle w:val="5"/>
        <w:keepNext w:val="0"/>
        <w:keepLines w:val="0"/>
        <w:pageBreakBefore w:val="0"/>
        <w:widowControl/>
        <w:kinsoku/>
        <w:wordWrap/>
        <w:overflowPunct/>
        <w:topLinePunct w:val="0"/>
        <w:autoSpaceDE/>
        <w:autoSpaceDN/>
        <w:bidi w:val="0"/>
        <w:adjustRightInd/>
        <w:snapToGrid/>
        <w:spacing w:before="0" w:beforeAutospacing="0" w:line="500" w:lineRule="exact"/>
        <w:jc w:val="center"/>
        <w:textAlignment w:val="auto"/>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廉政合同</w:t>
      </w:r>
    </w:p>
    <w:p w14:paraId="2ADC0B9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甲方：重庆首讯科技股份有限公司</w:t>
      </w:r>
    </w:p>
    <w:p w14:paraId="56B527CC">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乙方：</w:t>
      </w:r>
    </w:p>
    <w:p w14:paraId="7EC4A0B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     （以下称乙方），特订立如下合同。</w:t>
      </w:r>
    </w:p>
    <w:p w14:paraId="58556923">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一、甲乙双方的权利和义务</w:t>
      </w:r>
    </w:p>
    <w:p w14:paraId="5FAF3E74">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（1）严格遵守党的政策规定和国家有关法律法规及交通部的有关规定。</w:t>
      </w:r>
    </w:p>
    <w:p w14:paraId="60FBC0B4">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（2）双方的业务活动坚持公开、公正、诚信、透明的原则（除法律认定的商业秘密和合同文件另有规定之外），不得损害国家和集体利益，违反养护工程管理规章制度。</w:t>
      </w:r>
    </w:p>
    <w:p w14:paraId="351CAE0E">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（3）建立健全廉政制度，开展廉政教育，设立廉政告示牌，公布举报电话，监督并认真查处违法违纪行为。</w:t>
      </w:r>
    </w:p>
    <w:p w14:paraId="284E21CF">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（4）发现对方在业务活动中有违反廉政规定的行为，有及时提醒对方纠正的权利和义务。</w:t>
      </w:r>
    </w:p>
    <w:p w14:paraId="5873CA0E">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Cs w:val="21"/>
          <w:highlight w:val="none"/>
        </w:rPr>
      </w:pPr>
      <w:r>
        <w:rPr>
          <w:rFonts w:hint="eastAsia" w:ascii="仿宋" w:hAnsi="仿宋" w:eastAsia="仿宋" w:cs="仿宋"/>
          <w:color w:val="auto"/>
          <w:sz w:val="24"/>
          <w:highlight w:val="none"/>
        </w:rPr>
        <w:t>（5）发现对方严重违反本合同义务条款的行为，有向上级有关部门举报、建议给予处理并要求告知处理结果的权利。</w:t>
      </w:r>
    </w:p>
    <w:p w14:paraId="6D1B5C57">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二、甲方的义务</w:t>
      </w:r>
    </w:p>
    <w:p w14:paraId="4DB26CF7">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2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1）甲方及其工作人员不得索要或接受乙方的礼金、有价证券和贵重物品，不得在乙方报销任何应由甲方或甲方工作人员个人支付的费用等。</w:t>
      </w:r>
    </w:p>
    <w:p w14:paraId="510B2735">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（2）甲方工作人员不得参加乙方安排的超标准宴请和娱乐活动；不得接受乙方提供的通讯工具、交通工具和高档办公用品等。</w:t>
      </w:r>
    </w:p>
    <w:p w14:paraId="33EBF02D">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（3）甲方及其工作人员不得要求或者接受乙方为其住房装修、婚丧嫁娶活动、配偶子女的工作安排以及出国出境、旅游等提供方便等。</w:t>
      </w:r>
    </w:p>
    <w:p w14:paraId="7D69B29B">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（4）甲方工作人员及其配偶、子女不得从事与甲方工程有关部门的材料设备供应、工程分包、劳务等经济活动等。</w:t>
      </w:r>
    </w:p>
    <w:p w14:paraId="5AF5D05B">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（5）甲方及其工作人员不得以任何理由向乙方推荐分包单位或推销材料，不得要求乙方购买合同规定外的材料和设备。</w:t>
      </w:r>
    </w:p>
    <w:p w14:paraId="23470A34">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三、乙方义务</w:t>
      </w:r>
    </w:p>
    <w:p w14:paraId="775F29E1">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（1）乙方不得以任何理由向甲方及其工作人员行贿或馈赠礼金、有价证券、贵重物品。</w:t>
      </w:r>
    </w:p>
    <w:p w14:paraId="18D69766">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（2）乙方不得以任何名义为甲方及其工作人员报销应由甲方单位或个人支付的任何费用。</w:t>
      </w:r>
    </w:p>
    <w:p w14:paraId="7B7AE4DD">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（3）乙方不得以任何理由邀请甲方工作人员外出旅游或安排甲方人员参加超标准宴请及娱乐活动。</w:t>
      </w:r>
    </w:p>
    <w:p w14:paraId="34AAF70F">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（4）乙方不得为甲方单位和个人购置或提供通讯工具、交通工具和高档办公用品等。</w:t>
      </w:r>
    </w:p>
    <w:p w14:paraId="1DD4CF32">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14:paraId="081D755A">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14:paraId="6D2BBC6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四、违约责任</w:t>
      </w:r>
    </w:p>
    <w:p w14:paraId="41E7E342">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（1）甲方及其工作人员违反本合同第一、二条，按管理权限，依据有关部门规定给予党纪、政纪或组织处理；涉嫌犯罪的，移交司法机关追究刑事责任；给乙方单位造成经济损失的，应予以赔偿。</w:t>
      </w:r>
    </w:p>
    <w:p w14:paraId="78063004">
      <w:pPr>
        <w:keepNext w:val="0"/>
        <w:keepLines w:val="0"/>
        <w:pageBreakBefore w:val="0"/>
        <w:widowControl/>
        <w:tabs>
          <w:tab w:val="left" w:pos="3936"/>
        </w:tabs>
        <w:kinsoku/>
        <w:wordWrap/>
        <w:overflowPunct/>
        <w:topLinePunct w:val="0"/>
        <w:autoSpaceDE/>
        <w:autoSpaceDN/>
        <w:bidi w:val="0"/>
        <w:adjustRightInd/>
        <w:snapToGrid/>
        <w:spacing w:line="400" w:lineRule="exact"/>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206D0FE0">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五、双方约定</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14:paraId="1306D91F">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color w:val="auto"/>
          <w:sz w:val="24"/>
          <w:highlight w:val="non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本合同有效期为甲乙双方签署之日起至该工程项目竣工后止。</w:t>
      </w:r>
    </w:p>
    <w:p w14:paraId="08C43E73">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仿宋" w:hAnsi="仿宋" w:eastAsia="仿宋" w:cs="仿宋"/>
          <w:color w:val="auto"/>
          <w:szCs w:val="21"/>
          <w:highlight w:val="none"/>
        </w:rPr>
      </w:pPr>
      <w:r>
        <w:rPr>
          <w:rFonts w:hint="eastAsia" w:ascii="仿宋" w:hAnsi="仿宋" w:eastAsia="仿宋" w:cs="仿宋"/>
          <w:b/>
          <w:bCs/>
          <w:color w:val="auto"/>
          <w:sz w:val="24"/>
          <w:highlight w:val="none"/>
        </w:rPr>
        <w:t>七、</w:t>
      </w:r>
      <w:r>
        <w:rPr>
          <w:rFonts w:hint="eastAsia" w:ascii="仿宋" w:hAnsi="仿宋" w:eastAsia="仿宋" w:cs="仿宋"/>
          <w:color w:val="auto"/>
          <w:sz w:val="24"/>
          <w:highlight w:val="none"/>
        </w:rPr>
        <w:t>本合同一式两份，甲、乙双方各执一份。</w:t>
      </w:r>
    </w:p>
    <w:p w14:paraId="6B9C807D">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甲方：重庆首讯科技股份有限公司            乙方：</w:t>
      </w:r>
    </w:p>
    <w:p w14:paraId="6DFA3CE2">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项目经理：                                法定代表人：</w:t>
      </w:r>
    </w:p>
    <w:p w14:paraId="33FEA582">
      <w:pPr>
        <w:widowControl/>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或其授权的代理人：                        或其授权的代理人：</w:t>
      </w:r>
    </w:p>
    <w:p w14:paraId="4B204C5C">
      <w:pPr>
        <w:rPr>
          <w:rFonts w:ascii="仿宋" w:hAnsi="仿宋" w:eastAsia="仿宋" w:cs="仿宋"/>
          <w:color w:val="auto"/>
          <w:sz w:val="24"/>
          <w:highlight w:val="none"/>
        </w:rPr>
      </w:pPr>
    </w:p>
    <w:p w14:paraId="6E54E135">
      <w:pPr>
        <w:rPr>
          <w:color w:val="auto"/>
          <w:highlight w:val="none"/>
        </w:rPr>
      </w:pPr>
      <w:r>
        <w:rPr>
          <w:rFonts w:hint="eastAsia" w:ascii="仿宋" w:hAnsi="仿宋" w:eastAsia="仿宋" w:cs="仿宋"/>
          <w:color w:val="auto"/>
          <w:sz w:val="24"/>
          <w:highlight w:val="none"/>
        </w:rPr>
        <w:t xml:space="preserve">日期：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D3919F-307D-4F8B-8839-CC9AA35C6C22}"/>
  </w:font>
  <w:font w:name="方正小标宋_GBK">
    <w:panose1 w:val="02000000000000000000"/>
    <w:charset w:val="86"/>
    <w:family w:val="script"/>
    <w:pitch w:val="default"/>
    <w:sig w:usb0="00000001" w:usb1="080E0000" w:usb2="00000000" w:usb3="00000000" w:csb0="00040000" w:csb1="00000000"/>
    <w:embedRegular r:id="rId2" w:fontKey="{40C14DBB-F258-4D98-9080-ED34DFA849F3}"/>
  </w:font>
  <w:font w:name="仿宋">
    <w:panose1 w:val="02010609060101010101"/>
    <w:charset w:val="86"/>
    <w:family w:val="modern"/>
    <w:pitch w:val="default"/>
    <w:sig w:usb0="800002BF" w:usb1="38CF7CFA" w:usb2="00000016" w:usb3="00000000" w:csb0="00040001" w:csb1="00000000"/>
    <w:embedRegular r:id="rId3" w:fontKey="{34385B28-F157-4FA7-B870-4494E9962E53}"/>
  </w:font>
  <w:font w:name="方正仿宋_GBK">
    <w:panose1 w:val="02000000000000000000"/>
    <w:charset w:val="86"/>
    <w:family w:val="script"/>
    <w:pitch w:val="default"/>
    <w:sig w:usb0="00000001" w:usb1="080E0000" w:usb2="00000000" w:usb3="00000000" w:csb0="00040000" w:csb1="00000000"/>
    <w:embedRegular r:id="rId4" w:fontKey="{1D0F3244-97E8-447C-A000-784EB248EF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第%1章"/>
      <w:lvlJc w:val="left"/>
      <w:pPr>
        <w:tabs>
          <w:tab w:val="left" w:pos="990"/>
        </w:tabs>
        <w:ind w:left="990" w:hanging="990"/>
      </w:pPr>
      <w:rPr>
        <w:rFonts w:hint="default"/>
      </w:rPr>
    </w:lvl>
    <w:lvl w:ilvl="1" w:tentative="0">
      <w:start w:val="1"/>
      <w:numFmt w:val="decimal"/>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000000"/>
    <w:rsid w:val="15D54885"/>
    <w:rsid w:val="36F2240C"/>
    <w:rsid w:val="4CCD0B2E"/>
    <w:rsid w:val="7E630AFB"/>
    <w:rsid w:val="7E70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Body Text Indent 2"/>
    <w:basedOn w:val="1"/>
    <w:qFormat/>
    <w:uiPriority w:val="0"/>
    <w:pPr>
      <w:spacing w:after="120" w:line="480" w:lineRule="auto"/>
      <w:ind w:left="420" w:leftChars="200"/>
    </w:pPr>
  </w:style>
  <w:style w:type="paragraph" w:styleId="4">
    <w:name w:val="toc 1"/>
    <w:basedOn w:val="1"/>
    <w:next w:val="1"/>
    <w:qFormat/>
    <w:uiPriority w:val="39"/>
    <w:pPr>
      <w:spacing w:before="120" w:after="120"/>
      <w:jc w:val="left"/>
    </w:pPr>
    <w:rPr>
      <w:rFonts w:ascii="Calibri" w:hAnsi="Calibri"/>
      <w:b/>
      <w:bCs/>
      <w:caps/>
      <w:sz w:val="20"/>
      <w:szCs w:val="20"/>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3795</Words>
  <Characters>3850</Characters>
  <Lines>0</Lines>
  <Paragraphs>0</Paragraphs>
  <TotalTime>0</TotalTime>
  <ScaleCrop>false</ScaleCrop>
  <LinksUpToDate>false</LinksUpToDate>
  <CharactersWithSpaces>3993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2024-08-07T08:12:00Z</dcterms:created>
  <dc:creator>11738</dc:creator>
  <cp:lastModifiedBy>Kevin</cp:lastModifiedBy>
  <dcterms:modified xsi:type="dcterms:W3CDTF">2025-08-01T02:41:31Z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7FE000A4663747F5A744398197915D19_12</vt:lpwstr>
  </property>
  <property fmtid="{D5CDD505-2E9C-101B-9397-08002B2CF9AE}" pid="4" name="KSOTemplateDocerSaveRecord">
    <vt:lpwstr>eyJoZGlkIjoiNTFiYTlhNmFlMzNlNjk5MWE5YmIyYzY3YzU0OWRmN2QiLCJ1c2VySWQiOiI0Mzk5MTQwNTcifQ==</vt:lpwstr>
  </property>
</Properties>
</file>