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149E">
      <w:pPr>
        <w:jc w:val="center"/>
        <w:rPr>
          <w:rFonts w:hint="eastAsia" w:ascii="宋体" w:hAnsi="宋体"/>
          <w:b/>
          <w:color w:val="000000"/>
          <w:sz w:val="84"/>
          <w:szCs w:val="84"/>
          <w:lang w:val="en-US" w:eastAsia="zh-CN"/>
        </w:rPr>
      </w:pPr>
    </w:p>
    <w:p w14:paraId="6BC1E3F9">
      <w:pPr>
        <w:jc w:val="center"/>
        <w:rPr>
          <w:rFonts w:hint="eastAsia" w:ascii="宋体" w:hAnsi="宋体"/>
          <w:b/>
          <w:color w:val="000000"/>
          <w:sz w:val="84"/>
          <w:szCs w:val="84"/>
          <w:lang w:val="en-US" w:eastAsia="zh-CN"/>
        </w:rPr>
      </w:pPr>
      <w:r>
        <w:rPr>
          <w:rFonts w:hint="eastAsia" w:ascii="宋体" w:hAnsi="宋体"/>
          <w:b/>
          <w:color w:val="000000"/>
          <w:sz w:val="84"/>
          <w:szCs w:val="84"/>
          <w:lang w:val="en-US" w:eastAsia="zh-CN"/>
        </w:rPr>
        <w:t>竞争性比选</w:t>
      </w:r>
      <w:r>
        <w:rPr>
          <w:rFonts w:hint="eastAsia" w:ascii="宋体" w:hAnsi="宋体"/>
          <w:b/>
          <w:color w:val="000000"/>
          <w:sz w:val="84"/>
          <w:szCs w:val="84"/>
        </w:rPr>
        <w:t>文件</w:t>
      </w:r>
    </w:p>
    <w:p w14:paraId="03415A78">
      <w:pPr>
        <w:spacing w:line="315" w:lineRule="atLeast"/>
        <w:ind w:firstLine="562" w:firstLineChars="200"/>
        <w:jc w:val="center"/>
        <w:rPr>
          <w:rFonts w:hint="eastAsia" w:ascii="宋体" w:hAnsi="宋体" w:eastAsia="宋体"/>
          <w:b/>
          <w:bCs/>
          <w:color w:val="000000"/>
          <w:sz w:val="28"/>
          <w:szCs w:val="28"/>
        </w:rPr>
      </w:pPr>
    </w:p>
    <w:p w14:paraId="75C8D8A4">
      <w:pPr>
        <w:pStyle w:val="8"/>
        <w:rPr>
          <w:rFonts w:hint="eastAsia" w:ascii="宋体" w:hAnsi="宋体" w:eastAsia="宋体"/>
          <w:b/>
          <w:bCs/>
          <w:color w:val="000000"/>
          <w:sz w:val="28"/>
          <w:szCs w:val="28"/>
        </w:rPr>
      </w:pPr>
    </w:p>
    <w:p w14:paraId="778E535D">
      <w:pPr>
        <w:rPr>
          <w:rFonts w:hint="eastAsia" w:ascii="宋体" w:hAnsi="宋体" w:eastAsia="宋体"/>
          <w:b/>
          <w:bCs/>
          <w:color w:val="000000"/>
          <w:sz w:val="28"/>
          <w:szCs w:val="28"/>
        </w:rPr>
      </w:pPr>
    </w:p>
    <w:p w14:paraId="7007EA9B">
      <w:pPr>
        <w:pStyle w:val="13"/>
        <w:spacing w:line="500" w:lineRule="exact"/>
        <w:ind w:left="0" w:leftChars="0" w:firstLine="0" w:firstLineChars="0"/>
        <w:jc w:val="center"/>
        <w:outlineLvl w:val="0"/>
        <w:rPr>
          <w:rFonts w:hint="eastAsia" w:ascii="方正仿宋_GBK" w:hAnsi="宋体" w:eastAsia="方正仿宋_GBK"/>
          <w:sz w:val="36"/>
          <w:szCs w:val="36"/>
        </w:rPr>
      </w:pPr>
      <w:r>
        <w:rPr>
          <w:rFonts w:hint="eastAsia" w:ascii="方正仿宋_GBK" w:hAnsi="宋体" w:eastAsia="方正仿宋_GBK"/>
          <w:sz w:val="36"/>
          <w:szCs w:val="36"/>
        </w:rPr>
        <w:t>项目名称：</w:t>
      </w:r>
      <w:r>
        <w:rPr>
          <w:rFonts w:hint="eastAsia" w:ascii="方正仿宋_GBK" w:hAnsi="宋体" w:eastAsia="方正仿宋_GBK"/>
          <w:sz w:val="36"/>
          <w:szCs w:val="36"/>
          <w:lang w:val="en-US" w:eastAsia="zh-CN"/>
        </w:rPr>
        <w:t xml:space="preserve">  </w:t>
      </w:r>
      <w:r>
        <w:rPr>
          <w:rFonts w:hint="eastAsia" w:ascii="方正仿宋_GBK" w:hAnsi="宋体" w:eastAsia="方正仿宋_GBK"/>
          <w:sz w:val="36"/>
          <w:szCs w:val="36"/>
          <w:lang w:eastAsia="zh-CN"/>
        </w:rPr>
        <w:t>渝蓉公司</w:t>
      </w:r>
      <w:r>
        <w:rPr>
          <w:rFonts w:hint="eastAsia" w:ascii="方正仿宋_GBK" w:hAnsi="宋体" w:eastAsia="方正仿宋_GBK"/>
          <w:sz w:val="36"/>
          <w:szCs w:val="36"/>
          <w:lang w:val="en-US" w:eastAsia="en-US"/>
        </w:rPr>
        <w:t>食堂</w:t>
      </w:r>
      <w:r>
        <w:rPr>
          <w:rFonts w:hint="eastAsia" w:ascii="方正仿宋_GBK" w:hAnsi="方正仿宋_GBK" w:eastAsia="方正仿宋_GBK"/>
          <w:b w:val="0"/>
          <w:bCs w:val="0"/>
          <w:color w:val="000000"/>
          <w:sz w:val="32"/>
          <w:szCs w:val="32"/>
          <w:lang w:eastAsia="zh-CN"/>
        </w:rPr>
        <w:t>物资</w:t>
      </w:r>
      <w:r>
        <w:rPr>
          <w:rFonts w:hint="eastAsia" w:ascii="方正仿宋_GBK" w:hAnsi="宋体" w:eastAsia="方正仿宋_GBK"/>
          <w:sz w:val="36"/>
          <w:szCs w:val="36"/>
          <w:lang w:eastAsia="zh-CN"/>
        </w:rPr>
        <w:t>（蔬菜、干副、肉类、水产</w:t>
      </w:r>
      <w:r>
        <w:rPr>
          <w:rFonts w:hint="eastAsia" w:ascii="方正仿宋_GBK" w:hAnsi="宋体" w:eastAsia="方正仿宋_GBK"/>
          <w:sz w:val="36"/>
          <w:szCs w:val="36"/>
          <w:lang w:val="en-US" w:eastAsia="zh-CN"/>
        </w:rPr>
        <w:t>等</w:t>
      </w:r>
      <w:r>
        <w:rPr>
          <w:rFonts w:hint="eastAsia" w:ascii="方正仿宋_GBK" w:hAnsi="宋体" w:eastAsia="方正仿宋_GBK"/>
          <w:sz w:val="36"/>
          <w:szCs w:val="36"/>
          <w:lang w:eastAsia="zh-CN"/>
        </w:rPr>
        <w:t>）</w:t>
      </w:r>
      <w:r>
        <w:rPr>
          <w:rFonts w:hint="eastAsia" w:ascii="方正仿宋_GBK" w:hAnsi="方正仿宋_GBK" w:eastAsia="方正仿宋_GBK"/>
          <w:b w:val="0"/>
          <w:bCs w:val="0"/>
          <w:color w:val="000000"/>
          <w:sz w:val="32"/>
          <w:szCs w:val="32"/>
          <w:lang w:eastAsia="zh-CN"/>
        </w:rPr>
        <w:t>采购</w:t>
      </w:r>
      <w:r>
        <w:rPr>
          <w:rFonts w:hint="eastAsia" w:ascii="方正仿宋_GBK" w:hAnsi="宋体" w:eastAsia="方正仿宋_GBK"/>
          <w:sz w:val="36"/>
          <w:szCs w:val="36"/>
          <w:lang w:eastAsia="zh-CN"/>
        </w:rPr>
        <w:t>配送</w:t>
      </w:r>
    </w:p>
    <w:p w14:paraId="25A9D430">
      <w:pPr>
        <w:spacing w:line="700" w:lineRule="exact"/>
        <w:ind w:left="1799" w:leftChars="171" w:hanging="1440" w:hangingChars="400"/>
        <w:rPr>
          <w:rFonts w:hint="eastAsia" w:ascii="方正仿宋_GBK" w:hAnsi="宋体" w:eastAsia="方正仿宋_GBK"/>
          <w:sz w:val="36"/>
          <w:szCs w:val="36"/>
        </w:rPr>
      </w:pPr>
    </w:p>
    <w:p w14:paraId="72018B2F">
      <w:pPr>
        <w:spacing w:line="700" w:lineRule="exact"/>
        <w:rPr>
          <w:rFonts w:hint="eastAsia" w:ascii="方正仿宋_GBK" w:hAnsi="宋体" w:eastAsia="方正仿宋_GBK"/>
          <w:sz w:val="36"/>
          <w:szCs w:val="36"/>
        </w:rPr>
      </w:pPr>
      <w:r>
        <w:rPr>
          <w:rFonts w:hint="eastAsia" w:ascii="方正仿宋_GBK" w:hAnsi="宋体" w:eastAsia="方正仿宋_GBK"/>
          <w:sz w:val="36"/>
          <w:szCs w:val="36"/>
        </w:rPr>
        <w:t>采 购 人：</w:t>
      </w:r>
      <w:r>
        <w:rPr>
          <w:rFonts w:hint="eastAsia" w:ascii="方正仿宋_GBK" w:hAnsi="宋体" w:eastAsia="方正仿宋_GBK"/>
          <w:sz w:val="36"/>
          <w:szCs w:val="36"/>
          <w:lang w:val="en-US" w:eastAsia="zh-CN"/>
        </w:rPr>
        <w:t xml:space="preserve">  </w:t>
      </w:r>
      <w:r>
        <w:rPr>
          <w:rFonts w:hint="eastAsia" w:ascii="方正仿宋_GBK" w:hAnsi="宋体" w:eastAsia="方正仿宋_GBK"/>
          <w:sz w:val="36"/>
          <w:szCs w:val="36"/>
        </w:rPr>
        <w:t>重庆渝蓉高速公路有限公司</w:t>
      </w:r>
    </w:p>
    <w:p w14:paraId="1E2B9283">
      <w:pPr>
        <w:pStyle w:val="8"/>
        <w:rPr>
          <w:rFonts w:hint="eastAsia" w:ascii="方正仿宋_GBK" w:hAnsi="宋体" w:eastAsia="方正仿宋_GBK"/>
          <w:sz w:val="36"/>
          <w:szCs w:val="36"/>
          <w:lang w:val="en-US" w:eastAsia="zh-CN"/>
        </w:rPr>
      </w:pPr>
      <w:r>
        <w:rPr>
          <w:rFonts w:hint="eastAsia" w:ascii="方正仿宋_GBK" w:hAnsi="宋体" w:eastAsia="方正仿宋_GBK"/>
          <w:sz w:val="36"/>
          <w:szCs w:val="36"/>
          <w:lang w:val="en-US" w:eastAsia="zh-CN"/>
        </w:rPr>
        <w:t xml:space="preserve">    </w:t>
      </w:r>
    </w:p>
    <w:p w14:paraId="6BA9F387">
      <w:pPr>
        <w:rPr>
          <w:rFonts w:hint="eastAsia" w:ascii="方正仿宋_GBK" w:hAnsi="宋体" w:eastAsia="方正仿宋_GBK"/>
          <w:sz w:val="36"/>
          <w:szCs w:val="36"/>
          <w:lang w:val="en-US" w:eastAsia="zh-CN"/>
        </w:rPr>
      </w:pPr>
    </w:p>
    <w:p w14:paraId="1DEFCD14">
      <w:pPr>
        <w:spacing w:line="700" w:lineRule="exact"/>
        <w:jc w:val="center"/>
        <w:outlineLvl w:val="0"/>
        <w:rPr>
          <w:rFonts w:hint="eastAsia" w:ascii="方正仿宋_GBK" w:hAnsi="宋体" w:eastAsia="方正仿宋_GBK"/>
          <w:sz w:val="36"/>
          <w:szCs w:val="36"/>
        </w:rPr>
      </w:pPr>
      <w:r>
        <w:rPr>
          <w:rFonts w:hint="eastAsia" w:ascii="方正仿宋_GBK" w:hAnsi="宋体" w:eastAsia="方正仿宋_GBK"/>
          <w:sz w:val="36"/>
          <w:szCs w:val="36"/>
        </w:rPr>
        <w:t>二</w:t>
      </w:r>
      <w:r>
        <w:rPr>
          <w:rFonts w:hint="eastAsia" w:ascii="方正仿宋_GBK" w:hAnsi="宋体" w:eastAsia="方正仿宋_GBK"/>
          <w:sz w:val="36"/>
          <w:szCs w:val="36"/>
          <w:lang w:val="en-US" w:eastAsia="zh-CN"/>
        </w:rPr>
        <w:t>0二五</w:t>
      </w:r>
      <w:r>
        <w:rPr>
          <w:rFonts w:hint="eastAsia" w:ascii="方正仿宋_GBK" w:hAnsi="宋体" w:eastAsia="方正仿宋_GBK"/>
          <w:sz w:val="36"/>
          <w:szCs w:val="36"/>
        </w:rPr>
        <w:t>年</w:t>
      </w:r>
      <w:r>
        <w:rPr>
          <w:rFonts w:hint="eastAsia" w:ascii="方正仿宋_GBK" w:hAnsi="宋体" w:eastAsia="方正仿宋_GBK"/>
          <w:sz w:val="36"/>
          <w:szCs w:val="36"/>
          <w:lang w:val="en-US" w:eastAsia="zh-CN"/>
        </w:rPr>
        <w:t>九月</w:t>
      </w:r>
    </w:p>
    <w:p w14:paraId="279EDC60">
      <w:pPr>
        <w:keepNext w:val="0"/>
        <w:keepLines w:val="0"/>
        <w:pageBreakBefore w:val="0"/>
        <w:widowControl/>
        <w:kinsoku/>
        <w:wordWrap/>
        <w:overflowPunct/>
        <w:topLinePunct w:val="0"/>
        <w:bidi w:val="0"/>
        <w:snapToGrid/>
        <w:spacing w:line="560" w:lineRule="exact"/>
        <w:jc w:val="both"/>
        <w:rPr>
          <w:rFonts w:hint="eastAsia" w:ascii="方正小标宋_GBK" w:hAnsi="方正小标宋_GBK" w:eastAsia="方正小标宋_GBK"/>
          <w:b w:val="0"/>
          <w:bCs/>
          <w:color w:val="000000"/>
          <w:kern w:val="0"/>
          <w:sz w:val="32"/>
          <w:szCs w:val="32"/>
        </w:rPr>
      </w:pPr>
    </w:p>
    <w:p w14:paraId="5E5E5478">
      <w:pPr>
        <w:keepNext w:val="0"/>
        <w:keepLines w:val="0"/>
        <w:pageBreakBefore w:val="0"/>
        <w:widowControl/>
        <w:kinsoku/>
        <w:wordWrap/>
        <w:overflowPunct/>
        <w:topLinePunct w:val="0"/>
        <w:bidi w:val="0"/>
        <w:snapToGrid/>
        <w:spacing w:line="560" w:lineRule="exact"/>
        <w:jc w:val="center"/>
        <w:rPr>
          <w:rFonts w:hint="eastAsia" w:ascii="方正小标宋_GBK" w:hAnsi="方正小标宋_GBK" w:eastAsia="方正小标宋_GBK"/>
          <w:b w:val="0"/>
          <w:bCs/>
          <w:color w:val="000000"/>
          <w:kern w:val="0"/>
          <w:sz w:val="32"/>
          <w:szCs w:val="32"/>
        </w:rPr>
      </w:pPr>
    </w:p>
    <w:p w14:paraId="4F567CAE">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p>
    <w:p w14:paraId="4FE6FD7B">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p>
    <w:p w14:paraId="6989599D">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p>
    <w:p w14:paraId="0DF3EDC4">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p>
    <w:p w14:paraId="4A541399">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p>
    <w:p w14:paraId="6303001A">
      <w:pPr>
        <w:keepNext w:val="0"/>
        <w:keepLines w:val="0"/>
        <w:pageBreakBefore w:val="0"/>
        <w:widowControl/>
        <w:kinsoku/>
        <w:wordWrap/>
        <w:overflowPunct/>
        <w:topLinePunct w:val="0"/>
        <w:bidi w:val="0"/>
        <w:snapToGrid/>
        <w:spacing w:line="560" w:lineRule="exact"/>
        <w:jc w:val="center"/>
        <w:rPr>
          <w:rFonts w:hint="eastAsia" w:ascii="方正仿宋_GBK" w:hAnsi="方正仿宋_GBK" w:eastAsia="方正仿宋_GBK"/>
          <w:b w:val="0"/>
          <w:bCs/>
          <w:color w:val="000000"/>
          <w:sz w:val="32"/>
          <w:szCs w:val="32"/>
        </w:rPr>
      </w:pPr>
      <w:r>
        <w:rPr>
          <w:rFonts w:hint="eastAsia" w:ascii="方正仿宋_GBK" w:hAnsi="方正仿宋_GBK" w:eastAsia="方正仿宋_GBK"/>
          <w:b w:val="0"/>
          <w:bCs/>
          <w:color w:val="000000"/>
          <w:sz w:val="32"/>
          <w:szCs w:val="32"/>
        </w:rPr>
        <w:t>第一章 竞争性询价邀请函</w:t>
      </w:r>
    </w:p>
    <w:p w14:paraId="039AD220">
      <w:pPr>
        <w:keepNext w:val="0"/>
        <w:keepLines w:val="0"/>
        <w:pageBreakBefore w:val="0"/>
        <w:widowControl/>
        <w:kinsoku/>
        <w:wordWrap/>
        <w:overflowPunct/>
        <w:topLinePunct w:val="0"/>
        <w:bidi w:val="0"/>
        <w:snapToGrid/>
        <w:spacing w:line="560" w:lineRule="exact"/>
        <w:jc w:val="both"/>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意向报价人：</w:t>
      </w:r>
    </w:p>
    <w:p w14:paraId="11D83CCB">
      <w:pPr>
        <w:pStyle w:val="13"/>
        <w:spacing w:line="500" w:lineRule="exact"/>
        <w:ind w:left="0" w:leftChars="0" w:firstLine="480" w:firstLineChars="200"/>
        <w:jc w:val="left"/>
        <w:outlineLvl w:val="0"/>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重庆</w:t>
      </w:r>
      <w:r>
        <w:rPr>
          <w:rFonts w:hint="eastAsia" w:ascii="方正仿宋_GBK" w:hAnsi="方正仿宋_GBK" w:eastAsia="方正仿宋_GBK"/>
          <w:color w:val="000000"/>
          <w:sz w:val="24"/>
          <w:szCs w:val="24"/>
          <w:lang w:eastAsia="zh-CN"/>
        </w:rPr>
        <w:t>渝蓉</w:t>
      </w:r>
      <w:r>
        <w:rPr>
          <w:rFonts w:hint="eastAsia" w:ascii="方正仿宋_GBK" w:hAnsi="方正仿宋_GBK" w:eastAsia="方正仿宋_GBK"/>
          <w:color w:val="000000"/>
          <w:sz w:val="24"/>
          <w:szCs w:val="24"/>
        </w:rPr>
        <w:t>高速</w:t>
      </w:r>
      <w:r>
        <w:rPr>
          <w:rFonts w:hint="eastAsia" w:ascii="方正仿宋_GBK" w:hAnsi="方正仿宋_GBK" w:eastAsia="方正仿宋_GBK"/>
          <w:color w:val="000000"/>
          <w:sz w:val="24"/>
          <w:szCs w:val="24"/>
          <w:lang w:eastAsia="zh-CN"/>
        </w:rPr>
        <w:t>公路</w:t>
      </w:r>
      <w:r>
        <w:rPr>
          <w:rFonts w:hint="eastAsia" w:ascii="方正仿宋_GBK" w:hAnsi="方正仿宋_GBK" w:eastAsia="方正仿宋_GBK"/>
          <w:color w:val="000000"/>
          <w:sz w:val="24"/>
          <w:szCs w:val="24"/>
        </w:rPr>
        <w:t>有限公司员工食堂</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包括公司本部和</w:t>
      </w:r>
      <w:r>
        <w:rPr>
          <w:rFonts w:hint="eastAsia" w:ascii="方正仿宋_GBK" w:hAnsi="方正仿宋_GBK" w:eastAsia="方正仿宋_GBK"/>
          <w:color w:val="000000"/>
          <w:sz w:val="24"/>
          <w:szCs w:val="24"/>
          <w:lang w:eastAsia="zh-CN"/>
        </w:rPr>
        <w:t>渝蓉高速沿线收费站），</w:t>
      </w:r>
      <w:r>
        <w:rPr>
          <w:rFonts w:hint="eastAsia" w:ascii="方正仿宋_GBK" w:hAnsi="方正仿宋_GBK" w:eastAsia="方正仿宋_GBK"/>
          <w:color w:val="000000"/>
          <w:sz w:val="24"/>
          <w:szCs w:val="24"/>
        </w:rPr>
        <w:t>目前每日（工作日）用餐人数</w:t>
      </w:r>
      <w:r>
        <w:rPr>
          <w:rFonts w:hint="eastAsia" w:ascii="方正仿宋_GBK" w:hAnsi="方正仿宋_GBK" w:eastAsia="方正仿宋_GBK"/>
          <w:color w:val="000000"/>
          <w:sz w:val="24"/>
          <w:szCs w:val="24"/>
          <w:lang w:eastAsia="zh-CN"/>
        </w:rPr>
        <w:t>约</w:t>
      </w:r>
      <w:r>
        <w:rPr>
          <w:rFonts w:hint="eastAsia" w:ascii="方正仿宋_GBK" w:hAnsi="方正仿宋_GBK" w:eastAsia="方正仿宋_GBK"/>
          <w:color w:val="000000"/>
          <w:sz w:val="24"/>
          <w:szCs w:val="24"/>
        </w:rPr>
        <w:t>为</w:t>
      </w:r>
      <w:r>
        <w:rPr>
          <w:rFonts w:hint="eastAsia" w:ascii="方正仿宋_GBK" w:hAnsi="方正仿宋_GBK" w:eastAsia="方正仿宋_GBK"/>
          <w:color w:val="000000"/>
          <w:sz w:val="24"/>
          <w:szCs w:val="24"/>
          <w:lang w:val="en-US" w:eastAsia="zh-CN"/>
        </w:rPr>
        <w:t>12</w:t>
      </w:r>
      <w:r>
        <w:rPr>
          <w:rFonts w:hint="eastAsia" w:ascii="方正仿宋_GBK" w:hAnsi="方正仿宋_GBK" w:eastAsia="方正仿宋_GBK"/>
          <w:color w:val="000000"/>
          <w:sz w:val="24"/>
          <w:szCs w:val="24"/>
          <w:lang w:eastAsia="zh-CN"/>
        </w:rPr>
        <w:t>0</w:t>
      </w:r>
      <w:r>
        <w:rPr>
          <w:rFonts w:hint="eastAsia" w:ascii="方正仿宋_GBK" w:hAnsi="方正仿宋_GBK" w:eastAsia="方正仿宋_GBK"/>
          <w:color w:val="000000"/>
          <w:sz w:val="24"/>
          <w:szCs w:val="24"/>
        </w:rPr>
        <w:t>人</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现</w:t>
      </w:r>
      <w:r>
        <w:rPr>
          <w:rFonts w:hint="eastAsia" w:ascii="方正仿宋_GBK" w:hAnsi="方正仿宋_GBK" w:eastAsia="方正仿宋_GBK"/>
          <w:color w:val="000000"/>
          <w:sz w:val="24"/>
          <w:szCs w:val="24"/>
        </w:rPr>
        <w:t>对员工食堂</w:t>
      </w:r>
      <w:r>
        <w:rPr>
          <w:rFonts w:hint="eastAsia" w:ascii="方正仿宋_GBK" w:hAnsi="方正仿宋_GBK" w:eastAsia="方正仿宋_GBK"/>
          <w:color w:val="000000"/>
          <w:sz w:val="24"/>
          <w:szCs w:val="24"/>
          <w:lang w:eastAsia="zh-CN"/>
        </w:rPr>
        <w:t>物资</w:t>
      </w:r>
      <w:r>
        <w:rPr>
          <w:rFonts w:hint="eastAsia" w:ascii="宋体" w:hAnsi="宋体"/>
          <w:b w:val="0"/>
          <w:bCs/>
          <w:color w:val="000000"/>
          <w:sz w:val="28"/>
          <w:szCs w:val="28"/>
          <w:lang w:eastAsia="zh-CN"/>
        </w:rPr>
        <w:t>（</w:t>
      </w:r>
      <w:r>
        <w:rPr>
          <w:rFonts w:hint="eastAsia" w:ascii="方正仿宋_GBK" w:hAnsi="方正仿宋_GBK" w:eastAsia="方正仿宋_GBK"/>
          <w:b w:val="0"/>
          <w:bCs/>
          <w:color w:val="000000"/>
          <w:sz w:val="24"/>
          <w:szCs w:val="24"/>
          <w:lang w:eastAsia="zh-CN"/>
        </w:rPr>
        <w:t>蔬菜、干副、肉类、水产等）采购</w:t>
      </w:r>
      <w:r>
        <w:rPr>
          <w:rFonts w:hint="eastAsia" w:ascii="方正仿宋_GBK" w:hAnsi="方正仿宋_GBK" w:eastAsia="方正仿宋_GBK"/>
          <w:color w:val="000000"/>
          <w:sz w:val="24"/>
          <w:szCs w:val="24"/>
        </w:rPr>
        <w:t>配送</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rPr>
        <w:t>面向重庆高速集团物资采购平台入库单位</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以</w:t>
      </w:r>
      <w:r>
        <w:rPr>
          <w:rFonts w:hint="eastAsia" w:ascii="方正仿宋_GBK" w:hAnsi="方正仿宋_GBK" w:eastAsia="方正仿宋_GBK"/>
          <w:color w:val="000000"/>
          <w:sz w:val="24"/>
          <w:szCs w:val="24"/>
          <w:lang w:eastAsia="zh-CN"/>
        </w:rPr>
        <w:t>及重庆市有</w:t>
      </w:r>
      <w:r>
        <w:rPr>
          <w:rFonts w:hint="eastAsia" w:ascii="方正仿宋_GBK" w:hAnsi="方正仿宋_GBK" w:eastAsia="方正仿宋_GBK"/>
          <w:color w:val="000000"/>
          <w:sz w:val="24"/>
          <w:szCs w:val="24"/>
        </w:rPr>
        <w:t>资格的投标人进行询价</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欢迎</w:t>
      </w:r>
      <w:r>
        <w:rPr>
          <w:rFonts w:hint="eastAsia" w:ascii="方正仿宋_GBK" w:hAnsi="方正仿宋_GBK" w:eastAsia="方正仿宋_GBK"/>
          <w:color w:val="000000"/>
          <w:sz w:val="24"/>
          <w:szCs w:val="24"/>
        </w:rPr>
        <w:t>参与报价</w:t>
      </w:r>
      <w:r>
        <w:rPr>
          <w:rFonts w:hint="eastAsia" w:ascii="方正仿宋_GBK" w:hAnsi="方正仿宋_GBK" w:eastAsia="方正仿宋_GBK"/>
          <w:color w:val="000000"/>
          <w:kern w:val="0"/>
          <w:sz w:val="24"/>
          <w:szCs w:val="24"/>
          <w:lang w:val="zh-CN"/>
        </w:rPr>
        <w:t>。</w:t>
      </w:r>
    </w:p>
    <w:p w14:paraId="226EB49D">
      <w:pPr>
        <w:keepNext w:val="0"/>
        <w:keepLines w:val="0"/>
        <w:pageBreakBefore w:val="0"/>
        <w:numPr>
          <w:ilvl w:val="0"/>
          <w:numId w:val="1"/>
        </w:numPr>
        <w:kinsoku/>
        <w:wordWrap/>
        <w:overflowPunct/>
        <w:topLinePunct w:val="0"/>
        <w:autoSpaceDE w:val="0"/>
        <w:autoSpaceDN w:val="0"/>
        <w:bidi w:val="0"/>
        <w:snapToGrid/>
        <w:spacing w:line="560" w:lineRule="exact"/>
        <w:ind w:firstLine="480" w:firstLineChars="200"/>
        <w:jc w:val="left"/>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竞争性</w:t>
      </w:r>
      <w:r>
        <w:rPr>
          <w:rFonts w:hint="eastAsia" w:ascii="方正仿宋_GBK" w:hAnsi="方正仿宋_GBK" w:eastAsia="方正仿宋_GBK"/>
          <w:color w:val="000000"/>
          <w:sz w:val="24"/>
          <w:szCs w:val="24"/>
          <w:lang w:eastAsia="zh-CN"/>
        </w:rPr>
        <w:t>比选</w:t>
      </w:r>
      <w:r>
        <w:rPr>
          <w:rFonts w:hint="eastAsia" w:ascii="方正仿宋_GBK" w:hAnsi="方正仿宋_GBK" w:eastAsia="方正仿宋_GBK"/>
          <w:color w:val="000000"/>
          <w:kern w:val="0"/>
          <w:sz w:val="24"/>
          <w:szCs w:val="24"/>
          <w:lang w:val="zh-CN"/>
        </w:rPr>
        <w:t>范围：对</w:t>
      </w:r>
      <w:r>
        <w:rPr>
          <w:rFonts w:hint="eastAsia" w:ascii="方正仿宋_GBK" w:hAnsi="方正仿宋_GBK" w:eastAsia="方正仿宋_GBK"/>
          <w:color w:val="000000"/>
          <w:spacing w:val="-20"/>
          <w:sz w:val="24"/>
          <w:szCs w:val="24"/>
        </w:rPr>
        <w:t>员工食堂所需的</w:t>
      </w:r>
      <w:r>
        <w:rPr>
          <w:rFonts w:hint="eastAsia" w:ascii="方正仿宋_GBK" w:hAnsi="方正仿宋_GBK" w:eastAsia="方正仿宋_GBK"/>
          <w:color w:val="000000"/>
          <w:sz w:val="24"/>
          <w:szCs w:val="24"/>
          <w:lang w:val="en-US" w:eastAsia="zh-CN"/>
        </w:rPr>
        <w:t>鲜货原材料（含蔬菜、肉类、水产、水果等）、预包装食品及调辅料（含干副、调味料等）等</w:t>
      </w:r>
      <w:r>
        <w:rPr>
          <w:rFonts w:hint="eastAsia" w:ascii="方正仿宋_GBK" w:hAnsi="方正仿宋_GBK" w:eastAsia="方正仿宋_GBK"/>
          <w:color w:val="000000"/>
          <w:sz w:val="24"/>
          <w:szCs w:val="24"/>
        </w:rPr>
        <w:t>。</w:t>
      </w:r>
    </w:p>
    <w:p w14:paraId="41601DB2">
      <w:pPr>
        <w:pStyle w:val="16"/>
        <w:keepNext w:val="0"/>
        <w:keepLines w:val="0"/>
        <w:pageBreakBefore w:val="0"/>
        <w:numPr>
          <w:ilvl w:val="0"/>
          <w:numId w:val="1"/>
        </w:numPr>
        <w:kinsoku/>
        <w:wordWrap/>
        <w:overflowPunct/>
        <w:topLinePunct w:val="0"/>
        <w:bidi w:val="0"/>
        <w:snapToGrid/>
        <w:spacing w:line="560" w:lineRule="exact"/>
        <w:ind w:left="0" w:leftChars="0"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竞争性比选内容</w:t>
      </w:r>
    </w:p>
    <w:p w14:paraId="1C6D67B0">
      <w:pPr>
        <w:pStyle w:val="16"/>
        <w:keepNext w:val="0"/>
        <w:keepLines w:val="0"/>
        <w:pageBreakBefore w:val="0"/>
        <w:numPr>
          <w:ilvl w:val="0"/>
          <w:numId w:val="0"/>
        </w:numPr>
        <w:kinsoku/>
        <w:wordWrap/>
        <w:overflowPunct/>
        <w:topLinePunct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本次竞争性比选内容包括但不限于：</w:t>
      </w:r>
      <w:r>
        <w:rPr>
          <w:rFonts w:hint="eastAsia" w:ascii="方正仿宋_GBK" w:hAnsi="方正仿宋_GBK" w:eastAsia="方正仿宋_GBK"/>
          <w:color w:val="000000"/>
          <w:kern w:val="2"/>
          <w:sz w:val="24"/>
          <w:szCs w:val="24"/>
          <w:lang w:val="en-US" w:eastAsia="zh-CN" w:bidi="ar-SA"/>
        </w:rPr>
        <w:br w:type="textWrapping"/>
      </w:r>
      <w:r>
        <w:rPr>
          <w:rFonts w:hint="eastAsia" w:ascii="方正仿宋_GBK" w:hAnsi="方正仿宋_GBK" w:eastAsia="方正仿宋_GBK"/>
          <w:color w:val="000000"/>
          <w:kern w:val="2"/>
          <w:sz w:val="24"/>
          <w:szCs w:val="24"/>
          <w:lang w:val="en-US" w:eastAsia="zh-CN" w:bidi="ar-SA"/>
        </w:rPr>
        <w:t xml:space="preserve">    1.服务期限。本次询价择优选择供应商合作期限为1年。时间以中标人与询价人正式签订合同之日算起。</w:t>
      </w:r>
    </w:p>
    <w:p w14:paraId="4D0D8EF2">
      <w:pPr>
        <w:pStyle w:val="16"/>
        <w:keepNext w:val="0"/>
        <w:keepLines w:val="0"/>
        <w:pageBreakBefore w:val="0"/>
        <w:numPr>
          <w:ilvl w:val="0"/>
          <w:numId w:val="0"/>
        </w:numPr>
        <w:kinsoku/>
        <w:wordWrap/>
        <w:overflowPunct/>
        <w:topLinePunct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2.配送具体地点：重庆市沙坪坝区大学城中路86号重庆渝蓉高速公路有限公司本部及沿线5个收费站（包括福禄收费站、大庙收费站、围龙收费站、大足东收费站、大足西收费站、铁山收费站）食堂。</w:t>
      </w:r>
    </w:p>
    <w:p w14:paraId="1D12E0F3">
      <w:pPr>
        <w:pStyle w:val="16"/>
        <w:keepNext w:val="0"/>
        <w:keepLines w:val="0"/>
        <w:pageBreakBefore w:val="0"/>
        <w:numPr>
          <w:ilvl w:val="0"/>
          <w:numId w:val="0"/>
        </w:numPr>
        <w:kinsoku/>
        <w:wordWrap/>
        <w:overflowPunct/>
        <w:topLinePunct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3.配送时间：采购人在前一天向中标人提供第二天食材配送清单，并于每天早晨8∶30 前配送到食堂。由食堂工作人员，按照配送清单进行清点并在配送清单上签字后，作为结算依据附件。如询价人需要临时补货、换货，中标人需在接到询价人通知后1小时内，将货品送达询价人食堂，不另</w:t>
      </w:r>
      <w:bookmarkStart w:id="8" w:name="_GoBack"/>
      <w:bookmarkEnd w:id="8"/>
      <w:r>
        <w:rPr>
          <w:rFonts w:hint="eastAsia" w:ascii="方正仿宋_GBK" w:hAnsi="方正仿宋_GBK" w:eastAsia="方正仿宋_GBK"/>
          <w:color w:val="000000"/>
          <w:kern w:val="2"/>
          <w:sz w:val="24"/>
          <w:szCs w:val="24"/>
          <w:lang w:val="en-US" w:eastAsia="zh-CN" w:bidi="ar-SA"/>
        </w:rPr>
        <w:t>收取运费和附加费用。</w:t>
      </w:r>
    </w:p>
    <w:p w14:paraId="4895E7A3">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4.供货数量及品种要求：询价人将所需食材明细清单于开单日下午14：00前，提交中标人。中标人在供货日，将净重交询价人指定人员称重验收，肉类、家禽、水产、冷冻食品单品上下浮动重量应控制在该肉类、家禽、水产、冷冻食品报单数量的2%以内（不能分零肉类、家禽、水产、冷冻食品除外）。中标人尽量保证向询价人提供全项单品。如无法满足，需在开单日下午18：00前与询价人联系并经询价人确认，应保证询价人对菜品的要求。如需稀缺单品询价人应提前告知中标人备货，三次缺货或质量出现严重问题视为中标人违约，询价人有权终止合同。</w:t>
      </w:r>
    </w:p>
    <w:p w14:paraId="3C32302A">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5.质量要求：中标人每日所供肉类、家禽、水产、冷冻食品和蔬菜类，需持有重庆市专业权威机构出具的《检疫合格证明》及《果蔬残留农药检测报告》。应保证肉类、家禽、水产、冷冻食品净重使用率在90%以上。不得供应水泡和变质肉类、家禽、水产及冷冻食品。如发现有质量问题，中标人应立即退换不合格货品。因质量问题造成人身损害，经国家相关部门鉴定后，确系中标人所提供货品造成的，由中标人按国家相关标准承担法律责任和赔偿责任，并赔偿由此给询价人造成的一切损失。</w:t>
      </w:r>
    </w:p>
    <w:p w14:paraId="783EF9B0">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6.实行月结费用方式。货品验收合格正常使用，双方供货数量核实后，中标人须于次月开具上月总货款的增值税普通发票。询价人在收到发票后的二十个工作日内，支付上月配送结算款到中标人指定的账户。</w:t>
      </w:r>
    </w:p>
    <w:p w14:paraId="560D20AE">
      <w:pPr>
        <w:pageBreakBefore w:val="0"/>
        <w:widowControl w:val="0"/>
        <w:kinsoku/>
        <w:wordWrap/>
        <w:overflowPunct/>
        <w:topLinePunct w:val="0"/>
        <w:autoSpaceDE/>
        <w:autoSpaceDN/>
        <w:bidi w:val="0"/>
        <w:snapToGrid w:val="0"/>
        <w:spacing w:line="40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7.双方每月上旬或下旬在永辉超市、新世纪超市等大中型平价超市（特价除外）及农贸市场（如超市未售卖产品则在农贸市场采价）按照“同质同价”的原则共同采价。以中标人填报的折扣为“结算折扣”，以中标人和采购人双方确认的各物资的单价基价金额，乘以结算折扣作为“结算单价”。最终结算金额=Σ（各品类结算单价×各品类实际配送数量）。</w:t>
      </w:r>
    </w:p>
    <w:p w14:paraId="1C4CDDC0">
      <w:pPr>
        <w:keepNext w:val="0"/>
        <w:keepLines w:val="0"/>
        <w:pageBreakBefore w:val="0"/>
        <w:widowControl w:val="0"/>
        <w:numPr>
          <w:ilvl w:val="0"/>
          <w:numId w:val="0"/>
        </w:numPr>
        <w:kinsoku/>
        <w:wordWrap/>
        <w:overflowPunct/>
        <w:topLinePunct w:val="0"/>
        <w:autoSpaceDE/>
        <w:autoSpaceDN/>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三、报价人资质及要求</w:t>
      </w:r>
      <w:r>
        <w:rPr>
          <w:rFonts w:hint="eastAsia" w:ascii="方正仿宋_GBK" w:hAnsi="方正仿宋_GBK" w:eastAsia="方正仿宋_GBK"/>
          <w:color w:val="000000"/>
          <w:kern w:val="2"/>
          <w:sz w:val="24"/>
          <w:szCs w:val="24"/>
          <w:highlight w:val="yellow"/>
          <w:lang w:val="en-US" w:eastAsia="zh-CN" w:bidi="ar-SA"/>
        </w:rPr>
        <w:br w:type="textWrapping"/>
      </w:r>
      <w:r>
        <w:rPr>
          <w:rFonts w:hint="eastAsia" w:ascii="方正仿宋_GBK" w:hAnsi="方正仿宋_GBK" w:eastAsia="方正仿宋_GBK"/>
          <w:color w:val="000000"/>
          <w:kern w:val="2"/>
          <w:sz w:val="24"/>
          <w:szCs w:val="24"/>
          <w:lang w:val="en-US" w:eastAsia="zh-CN" w:bidi="ar-SA"/>
        </w:rPr>
        <w:t xml:space="preserve">    1.报价人具有独立企业法人资格且为一般纳税人，持有合法有效的营业执照，具备肉类、水产、预包装食品或农副产品销售、配送等相关资质；</w:t>
      </w:r>
    </w:p>
    <w:p w14:paraId="00AEABE3">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2.具有良好的商业信誉，报价人不得出现经营管理信誉受限或上公开平台信誉黑名单情形；</w:t>
      </w:r>
    </w:p>
    <w:p w14:paraId="2EABCBB3">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3.近3年来（2022年1月1日至投标截止日），服务3个及以上大中型单位（单日用餐人数120人以上）或供应营业面积在1000平米（含）以上的超市累计超过500万元的业绩；</w:t>
      </w:r>
    </w:p>
    <w:p w14:paraId="5D466B3E">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4.有专业配送车辆和人员，项目应保证至少1人专业服务，能保证每日按时送达及临时性补货任务，配送人员需提供近6个月连续缴纳社保证明；</w:t>
      </w:r>
    </w:p>
    <w:p w14:paraId="2B3A04D2">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5.具有食品经营许可证或食品流通许可证。</w:t>
      </w:r>
    </w:p>
    <w:p w14:paraId="53967586">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6.报价人需是重庆市有资格的投标人，或系重庆高速集团物资采购平台的入库单位。</w:t>
      </w:r>
    </w:p>
    <w:p w14:paraId="746E478F">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7.</w:t>
      </w:r>
      <w:r>
        <w:rPr>
          <w:rFonts w:hint="eastAsia" w:ascii="方正仿宋_GBK" w:hAnsi="宋体" w:eastAsia="方正仿宋_GBK"/>
          <w:sz w:val="24"/>
          <w:szCs w:val="24"/>
          <w:lang w:val="en-US" w:eastAsia="zh-CN"/>
        </w:rPr>
        <w:t>参与本次投标</w:t>
      </w:r>
      <w:r>
        <w:rPr>
          <w:rFonts w:hint="eastAsia" w:ascii="方正仿宋_GBK" w:hAnsi="方正仿宋_GBK" w:eastAsia="方正仿宋_GBK"/>
          <w:kern w:val="2"/>
          <w:sz w:val="22"/>
          <w:szCs w:val="22"/>
          <w:lang w:val="en-US" w:eastAsia="zh-CN" w:bidi="ar-SA"/>
        </w:rPr>
        <w:t>前三年内，在经营活动中没有重大违法记录，有良好的信用记录。</w:t>
      </w:r>
      <w:r>
        <w:rPr>
          <w:rFonts w:hint="eastAsia" w:ascii="方正仿宋_GBK" w:hAnsi="宋体" w:eastAsia="方正仿宋_GBK"/>
          <w:sz w:val="24"/>
          <w:szCs w:val="24"/>
          <w:lang w:val="en-US" w:eastAsia="zh-CN"/>
        </w:rPr>
        <w:t>投标人可在国家企业信用信息公示系统（http://www.gsxt.gov.cn/)中查询是否被列入严重违法失信企业名单，被列入失信被执行人名单（黑名单）的单位，不得参加本次报价。</w:t>
      </w:r>
    </w:p>
    <w:p w14:paraId="4998B083">
      <w:pPr>
        <w:keepNext w:val="0"/>
        <w:keepLines w:val="0"/>
        <w:pageBreakBefore w:val="0"/>
        <w:kinsoku/>
        <w:wordWrap/>
        <w:overflowPunct/>
        <w:topLinePunct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8.本项目报价时必须指定联系人，并不得更换。</w:t>
      </w:r>
    </w:p>
    <w:p w14:paraId="5A08729B">
      <w:pPr>
        <w:keepNext w:val="0"/>
        <w:keepLines w:val="0"/>
        <w:pageBreakBefore w:val="0"/>
        <w:kinsoku/>
        <w:wordWrap/>
        <w:overflowPunct/>
        <w:topLinePunct w:val="0"/>
        <w:autoSpaceDE w:val="0"/>
        <w:autoSpaceDN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四、最高限价及报价方式</w:t>
      </w:r>
      <w:r>
        <w:rPr>
          <w:rFonts w:hint="eastAsia" w:ascii="方正仿宋_GBK" w:hAnsi="方正仿宋_GBK" w:eastAsia="方正仿宋_GBK"/>
          <w:color w:val="000000"/>
          <w:kern w:val="2"/>
          <w:sz w:val="24"/>
          <w:szCs w:val="24"/>
          <w:lang w:val="en-US" w:eastAsia="zh-CN" w:bidi="ar-SA"/>
        </w:rPr>
        <w:br w:type="textWrapping"/>
      </w:r>
      <w:r>
        <w:rPr>
          <w:rFonts w:hint="eastAsia" w:ascii="方正仿宋_GBK" w:hAnsi="方正仿宋_GBK" w:eastAsia="方正仿宋_GBK"/>
          <w:color w:val="000000"/>
          <w:kern w:val="2"/>
          <w:sz w:val="24"/>
          <w:szCs w:val="24"/>
          <w:lang w:val="en-US" w:eastAsia="zh-CN" w:bidi="ar-SA"/>
        </w:rPr>
        <w:t xml:space="preserve">    1.本项目最高折扣率为93%，报价不得等于或大于93%，否则报价文件将被否决。</w:t>
      </w:r>
      <w:r>
        <w:rPr>
          <w:rFonts w:hint="eastAsia" w:ascii="方正仿宋_GBK" w:hAnsi="方正仿宋_GBK" w:eastAsia="方正仿宋_GBK"/>
          <w:color w:val="000000"/>
          <w:kern w:val="2"/>
          <w:sz w:val="24"/>
          <w:szCs w:val="24"/>
          <w:lang w:val="en-US" w:eastAsia="zh-CN" w:bidi="ar-SA"/>
        </w:rPr>
        <w:br w:type="textWrapping"/>
      </w:r>
      <w:r>
        <w:rPr>
          <w:rFonts w:hint="eastAsia" w:ascii="方正仿宋_GBK" w:hAnsi="方正仿宋_GBK" w:eastAsia="方正仿宋_GBK"/>
          <w:color w:val="000000"/>
          <w:kern w:val="2"/>
          <w:sz w:val="24"/>
          <w:szCs w:val="24"/>
          <w:lang w:val="en-US" w:eastAsia="zh-CN" w:bidi="ar-SA"/>
        </w:rPr>
        <w:t xml:space="preserve">    </w:t>
      </w:r>
      <w:r>
        <w:rPr>
          <w:rFonts w:hint="eastAsia" w:ascii="方正仿宋_GBK" w:hAnsi="方正仿宋_GBK" w:eastAsia="方正仿宋_GBK"/>
          <w:color w:val="000000"/>
          <w:sz w:val="24"/>
          <w:szCs w:val="24"/>
        </w:rPr>
        <w:t>2.配送结算价</w:t>
      </w:r>
      <w:r>
        <w:rPr>
          <w:rFonts w:hint="eastAsia" w:ascii="方正仿宋_GBK" w:hAnsi="方正仿宋_GBK" w:eastAsia="方正仿宋_GBK"/>
          <w:color w:val="000000"/>
          <w:sz w:val="24"/>
          <w:szCs w:val="24"/>
          <w:lang w:val="en-US" w:eastAsia="zh-CN"/>
        </w:rPr>
        <w:t>为商品采价×报价折扣率</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包括商品费用、</w:t>
      </w:r>
      <w:r>
        <w:rPr>
          <w:rFonts w:hint="eastAsia" w:ascii="方正仿宋_GBK" w:hAnsi="方正仿宋_GBK" w:eastAsia="方正仿宋_GBK"/>
          <w:color w:val="000000"/>
          <w:sz w:val="24"/>
          <w:szCs w:val="24"/>
        </w:rPr>
        <w:t>人工费、运输费、税费、利润等直到用户正常使用为止的一切费用</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rPr>
        <w:t>，询价人不再支付任何其它费用</w:t>
      </w:r>
      <w:r>
        <w:rPr>
          <w:rFonts w:hint="eastAsia" w:ascii="方正仿宋_GBK" w:hAnsi="方正仿宋_GBK" w:eastAsia="方正仿宋_GBK"/>
          <w:color w:val="000000"/>
          <w:sz w:val="24"/>
          <w:szCs w:val="24"/>
          <w:lang w:eastAsia="zh-CN"/>
        </w:rPr>
        <w:t>，</w:t>
      </w:r>
      <w:r>
        <w:rPr>
          <w:rFonts w:hint="eastAsia" w:ascii="方正仿宋_GBK" w:hAnsi="方正仿宋_GBK" w:eastAsia="方正仿宋_GBK"/>
          <w:color w:val="000000"/>
          <w:sz w:val="24"/>
          <w:szCs w:val="24"/>
          <w:lang w:val="en-US" w:eastAsia="zh-CN"/>
        </w:rPr>
        <w:t>包括询价人明示或暗示的所有责任、义务和一般风险。</w:t>
      </w:r>
    </w:p>
    <w:p w14:paraId="6CFEFB25">
      <w:pPr>
        <w:keepNext w:val="0"/>
        <w:keepLines w:val="0"/>
        <w:pageBreakBefore w:val="0"/>
        <w:kinsoku/>
        <w:wordWrap/>
        <w:overflowPunct/>
        <w:topLinePunct w:val="0"/>
        <w:autoSpaceDE w:val="0"/>
        <w:autoSpaceDN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w:t>
      </w:r>
      <w:r>
        <w:rPr>
          <w:rFonts w:hint="eastAsia" w:ascii="方正仿宋_GBK" w:hAnsi="方正仿宋_GBK" w:eastAsia="方正仿宋_GBK"/>
          <w:color w:val="000000"/>
          <w:kern w:val="2"/>
          <w:sz w:val="24"/>
          <w:szCs w:val="24"/>
          <w:lang w:val="zh-CN" w:eastAsia="zh-CN" w:bidi="ar-SA"/>
        </w:rPr>
        <w:t>、投标和开标</w:t>
      </w:r>
    </w:p>
    <w:p w14:paraId="49FF437A">
      <w:pPr>
        <w:keepNext w:val="0"/>
        <w:keepLines w:val="0"/>
        <w:pageBreakBefore w:val="0"/>
        <w:kinsoku/>
        <w:wordWrap/>
        <w:overflowPunct/>
        <w:topLinePunct w:val="0"/>
        <w:bidi w:val="0"/>
        <w:snapToGrid/>
        <w:spacing w:line="560" w:lineRule="exact"/>
        <w:ind w:firstLine="480" w:firstLineChars="200"/>
        <w:jc w:val="both"/>
        <w:rPr>
          <w:rFonts w:hint="eastAsia" w:ascii="方正仿宋_GBK" w:hAnsi="方正仿宋_GBK" w:eastAsia="方正仿宋_GBK"/>
          <w:color w:val="000000"/>
          <w:kern w:val="2"/>
          <w:sz w:val="24"/>
          <w:szCs w:val="24"/>
          <w:lang w:val="zh-CN" w:eastAsia="zh-CN" w:bidi="ar-SA"/>
        </w:rPr>
      </w:pPr>
      <w:r>
        <w:rPr>
          <w:rFonts w:hint="eastAsia" w:ascii="方正仿宋_GBK" w:hAnsi="方正仿宋_GBK" w:eastAsia="方正仿宋_GBK"/>
          <w:color w:val="000000"/>
          <w:kern w:val="2"/>
          <w:sz w:val="24"/>
          <w:szCs w:val="24"/>
          <w:lang w:val="zh-CN" w:eastAsia="zh-CN" w:bidi="ar-SA"/>
        </w:rPr>
        <w:t>（一）获取</w:t>
      </w:r>
      <w:r>
        <w:rPr>
          <w:rFonts w:hint="eastAsia" w:ascii="方正仿宋_GBK" w:hAnsi="方正仿宋_GBK" w:eastAsia="方正仿宋_GBK"/>
          <w:color w:val="000000"/>
          <w:kern w:val="2"/>
          <w:sz w:val="24"/>
          <w:szCs w:val="24"/>
          <w:lang w:val="en-US" w:eastAsia="zh-CN" w:bidi="ar-SA"/>
        </w:rPr>
        <w:t>询价</w:t>
      </w:r>
      <w:r>
        <w:rPr>
          <w:rFonts w:hint="eastAsia" w:ascii="方正仿宋_GBK" w:hAnsi="方正仿宋_GBK" w:eastAsia="方正仿宋_GBK"/>
          <w:color w:val="000000"/>
          <w:kern w:val="2"/>
          <w:sz w:val="24"/>
          <w:szCs w:val="24"/>
          <w:lang w:val="zh-CN" w:eastAsia="zh-CN" w:bidi="ar-SA"/>
        </w:rPr>
        <w:t>文件方式：</w:t>
      </w:r>
      <w:r>
        <w:rPr>
          <w:rFonts w:hint="eastAsia" w:ascii="方正仿宋_GBK" w:hAnsi="方正仿宋_GBK" w:eastAsia="方正仿宋_GBK"/>
          <w:color w:val="000000"/>
          <w:sz w:val="24"/>
          <w:szCs w:val="24"/>
        </w:rPr>
        <w:t>重庆高速集团官网（http://www.cegc.com.cn）以及重庆高速公路集团有限公司招投标管理平台（http://cqgsbid.cegc.com.cn:7900）</w:t>
      </w:r>
      <w:r>
        <w:rPr>
          <w:rFonts w:hint="eastAsia" w:ascii="方正仿宋_GBK" w:hAnsi="方正仿宋_GBK" w:eastAsia="方正仿宋_GBK"/>
          <w:color w:val="000000"/>
          <w:sz w:val="24"/>
          <w:szCs w:val="24"/>
          <w:lang w:val="en-US" w:eastAsia="zh-CN"/>
        </w:rPr>
        <w:t>下载相关询价文件资料。</w:t>
      </w:r>
      <w:r>
        <w:rPr>
          <w:rFonts w:hint="eastAsia" w:ascii="方正仿宋_GBK" w:hAnsi="方正仿宋_GBK" w:eastAsia="方正仿宋_GBK"/>
          <w:color w:val="000000"/>
          <w:kern w:val="2"/>
          <w:sz w:val="24"/>
          <w:szCs w:val="24"/>
          <w:lang w:val="en-US" w:eastAsia="zh-CN" w:bidi="ar-SA"/>
        </w:rPr>
        <w:t>在公告期间，各报价人应随时关注网上发布的询价文件答疑、补遗、澄清等文件内容，不管报价人是否下载，均视为已知晓询价文件的全部内容和有关事宜。本项目不需要报名，直接投标。</w:t>
      </w:r>
    </w:p>
    <w:p w14:paraId="26D57128">
      <w:pPr>
        <w:keepNext w:val="0"/>
        <w:keepLines w:val="0"/>
        <w:pageBreakBefore w:val="0"/>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（二）本项目不接受联合体投标，不接受分包及转包。</w:t>
      </w:r>
    </w:p>
    <w:p w14:paraId="55471C11">
      <w:pPr>
        <w:keepNext w:val="0"/>
        <w:keepLines w:val="0"/>
        <w:pageBreakBefore w:val="0"/>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（三）投标文件的递交</w:t>
      </w:r>
    </w:p>
    <w:p w14:paraId="1592F4DB">
      <w:pPr>
        <w:keepNext w:val="0"/>
        <w:keepLines w:val="0"/>
        <w:pageBreakBefore w:val="0"/>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投标文件递交的截止时间：2025年9月25</w:t>
      </w:r>
      <w:r>
        <w:rPr>
          <w:rFonts w:hint="eastAsia" w:ascii="方正仿宋_GBK" w:hAnsi="方正仿宋_GBK" w:eastAsia="方正仿宋_GBK"/>
          <w:color w:val="000000"/>
          <w:kern w:val="2"/>
          <w:sz w:val="24"/>
          <w:szCs w:val="24"/>
          <w:lang w:val="en-US" w:eastAsia="zh-CN" w:bidi="ar-SA"/>
        </w:rPr>
        <w:t>日09:30（北京时间）</w:t>
      </w:r>
    </w:p>
    <w:p w14:paraId="32853AEB">
      <w:pPr>
        <w:shd w:val="clear" w:color="auto" w:fill="FFFFFF"/>
        <w:snapToGrid w:val="0"/>
        <w:spacing w:line="52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递交地址：</w:t>
      </w:r>
      <w:r>
        <w:rPr>
          <w:rFonts w:hint="eastAsia" w:ascii="方正仿宋_GBK" w:hAnsi="方正仿宋_GBK" w:eastAsia="方正仿宋_GBK"/>
          <w:color w:val="000000"/>
          <w:sz w:val="24"/>
          <w:szCs w:val="24"/>
        </w:rPr>
        <w:t>重庆</w:t>
      </w:r>
      <w:r>
        <w:rPr>
          <w:rFonts w:hint="eastAsia" w:ascii="方正仿宋_GBK" w:hAnsi="方正仿宋_GBK" w:eastAsia="方正仿宋_GBK"/>
          <w:color w:val="000000"/>
          <w:sz w:val="24"/>
          <w:szCs w:val="24"/>
          <w:lang w:eastAsia="zh-CN"/>
        </w:rPr>
        <w:t>渝蓉</w:t>
      </w:r>
      <w:r>
        <w:rPr>
          <w:rFonts w:hint="eastAsia" w:ascii="方正仿宋_GBK" w:hAnsi="方正仿宋_GBK" w:eastAsia="方正仿宋_GBK"/>
          <w:color w:val="000000"/>
          <w:sz w:val="24"/>
          <w:szCs w:val="24"/>
        </w:rPr>
        <w:t>高速</w:t>
      </w:r>
      <w:r>
        <w:rPr>
          <w:rFonts w:hint="eastAsia" w:ascii="方正仿宋_GBK" w:hAnsi="方正仿宋_GBK" w:eastAsia="方正仿宋_GBK"/>
          <w:color w:val="000000"/>
          <w:sz w:val="24"/>
          <w:szCs w:val="24"/>
          <w:lang w:eastAsia="zh-CN"/>
        </w:rPr>
        <w:t>公路</w:t>
      </w:r>
      <w:r>
        <w:rPr>
          <w:rFonts w:hint="eastAsia" w:ascii="方正仿宋_GBK" w:hAnsi="方正仿宋_GBK" w:eastAsia="方正仿宋_GBK"/>
          <w:color w:val="000000"/>
          <w:sz w:val="24"/>
          <w:szCs w:val="24"/>
        </w:rPr>
        <w:t>有限公司</w:t>
      </w:r>
      <w:r>
        <w:rPr>
          <w:rFonts w:hint="eastAsia" w:ascii="方正仿宋_GBK" w:hAnsi="宋体" w:eastAsia="方正仿宋_GBK"/>
          <w:sz w:val="24"/>
          <w:szCs w:val="24"/>
          <w:lang w:eastAsia="zh-CN"/>
        </w:rPr>
        <w:t>行政办公室</w:t>
      </w:r>
      <w:r>
        <w:rPr>
          <w:rFonts w:hint="eastAsia" w:ascii="方正仿宋_GBK" w:hAnsi="宋体" w:eastAsia="方正仿宋_GBK"/>
          <w:sz w:val="24"/>
          <w:szCs w:val="24"/>
          <w:lang w:val="en-US" w:eastAsia="zh-CN"/>
        </w:rPr>
        <w:t>307</w:t>
      </w:r>
      <w:r>
        <w:rPr>
          <w:rFonts w:hint="eastAsia" w:ascii="方正仿宋_GBK" w:hAnsi="宋体" w:eastAsia="方正仿宋_GBK"/>
          <w:sz w:val="24"/>
          <w:szCs w:val="24"/>
        </w:rPr>
        <w:t>室</w:t>
      </w:r>
    </w:p>
    <w:p w14:paraId="431D89B1">
      <w:pPr>
        <w:keepNext w:val="0"/>
        <w:keepLines w:val="0"/>
        <w:pageBreakBefore w:val="0"/>
        <w:numPr>
          <w:ilvl w:val="0"/>
          <w:numId w:val="2"/>
        </w:numPr>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zh-CN" w:eastAsia="zh-CN" w:bidi="ar-SA"/>
        </w:rPr>
      </w:pPr>
      <w:r>
        <w:rPr>
          <w:rFonts w:hint="eastAsia" w:ascii="方正仿宋_GBK" w:hAnsi="方正仿宋_GBK" w:eastAsia="方正仿宋_GBK"/>
          <w:color w:val="000000"/>
          <w:kern w:val="2"/>
          <w:sz w:val="24"/>
          <w:szCs w:val="24"/>
          <w:lang w:val="zh-CN" w:eastAsia="zh-CN" w:bidi="ar-SA"/>
        </w:rPr>
        <w:t>逾期送达的、未送达指定地点的、报价人未到现场的送</w:t>
      </w:r>
      <w:r>
        <w:rPr>
          <w:rFonts w:hint="eastAsia" w:ascii="方正仿宋_GBK" w:hAnsi="方正仿宋_GBK" w:eastAsia="方正仿宋_GBK"/>
          <w:color w:val="000000"/>
          <w:kern w:val="2"/>
          <w:sz w:val="24"/>
          <w:szCs w:val="24"/>
          <w:lang w:val="en-US" w:eastAsia="zh-CN" w:bidi="ar-SA"/>
        </w:rPr>
        <w:t>报价</w:t>
      </w:r>
      <w:r>
        <w:rPr>
          <w:rFonts w:hint="eastAsia" w:ascii="方正仿宋_GBK" w:hAnsi="方正仿宋_GBK" w:eastAsia="方正仿宋_GBK"/>
          <w:color w:val="000000"/>
          <w:kern w:val="2"/>
          <w:sz w:val="24"/>
          <w:szCs w:val="24"/>
          <w:lang w:val="zh-CN" w:eastAsia="zh-CN" w:bidi="ar-SA"/>
        </w:rPr>
        <w:t>文件，</w:t>
      </w:r>
      <w:r>
        <w:rPr>
          <w:rFonts w:hint="eastAsia" w:ascii="方正仿宋_GBK" w:hAnsi="方正仿宋_GBK" w:eastAsia="方正仿宋_GBK"/>
          <w:color w:val="000000"/>
          <w:kern w:val="2"/>
          <w:sz w:val="24"/>
          <w:szCs w:val="24"/>
          <w:lang w:val="en-US" w:eastAsia="zh-CN" w:bidi="ar-SA"/>
        </w:rPr>
        <w:t>询价</w:t>
      </w:r>
      <w:r>
        <w:rPr>
          <w:rFonts w:hint="eastAsia" w:ascii="方正仿宋_GBK" w:hAnsi="方正仿宋_GBK" w:eastAsia="方正仿宋_GBK"/>
          <w:color w:val="000000"/>
          <w:kern w:val="2"/>
          <w:sz w:val="24"/>
          <w:szCs w:val="24"/>
          <w:lang w:val="zh-CN" w:eastAsia="zh-CN" w:bidi="ar-SA"/>
        </w:rPr>
        <w:t>人不予受理。本项目只接受现场提交的报价文件，采用任何邮递方式提交的报价文件均不予受理。</w:t>
      </w:r>
    </w:p>
    <w:p w14:paraId="245BA437">
      <w:pPr>
        <w:keepNext w:val="0"/>
        <w:keepLines w:val="0"/>
        <w:pageBreakBefore w:val="0"/>
        <w:numPr>
          <w:ilvl w:val="0"/>
          <w:numId w:val="2"/>
        </w:numPr>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开标时间：2025年9月25</w:t>
      </w:r>
      <w:r>
        <w:rPr>
          <w:rFonts w:hint="eastAsia" w:ascii="方正仿宋_GBK" w:hAnsi="方正仿宋_GBK" w:eastAsia="方正仿宋_GBK"/>
          <w:color w:val="000000"/>
          <w:kern w:val="2"/>
          <w:sz w:val="24"/>
          <w:szCs w:val="24"/>
          <w:lang w:val="en-US" w:eastAsia="zh-CN" w:bidi="ar-SA"/>
        </w:rPr>
        <w:t xml:space="preserve">日10 </w:t>
      </w:r>
      <w:r>
        <w:rPr>
          <w:rFonts w:hint="eastAsia" w:ascii="方正仿宋_GBK" w:hAnsi="方正仿宋_GBK" w:eastAsia="方正仿宋_GBK"/>
          <w:color w:val="000000"/>
          <w:kern w:val="2"/>
          <w:sz w:val="24"/>
          <w:szCs w:val="24"/>
          <w:lang w:val="en-US" w:eastAsia="zh-CN" w:bidi="ar-SA"/>
        </w:rPr>
        <w:t>:</w:t>
      </w:r>
      <w:bookmarkStart w:id="0" w:name="OLE_LINK1"/>
      <w:r>
        <w:rPr>
          <w:rFonts w:hint="eastAsia" w:ascii="方正仿宋_GBK" w:hAnsi="方正仿宋_GBK" w:eastAsia="方正仿宋_GBK"/>
          <w:color w:val="000000"/>
          <w:kern w:val="2"/>
          <w:sz w:val="24"/>
          <w:szCs w:val="24"/>
          <w:lang w:val="en-US" w:eastAsia="zh-CN" w:bidi="ar-SA"/>
        </w:rPr>
        <w:t>00（北京时间）</w:t>
      </w:r>
      <w:bookmarkEnd w:id="0"/>
    </w:p>
    <w:p w14:paraId="39320E6F">
      <w:pPr>
        <w:keepNext w:val="0"/>
        <w:keepLines w:val="0"/>
        <w:pageBreakBefore w:val="0"/>
        <w:numPr>
          <w:ilvl w:val="0"/>
          <w:numId w:val="0"/>
        </w:numPr>
        <w:kinsoku/>
        <w:wordWrap/>
        <w:overflowPunct/>
        <w:topLinePunct w:val="0"/>
        <w:autoSpaceDE w:val="0"/>
        <w:autoSpaceDN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（五）其他：投标截止时间止，比选人少于 3 个视为流标，招标人将进行重新招标。二次招标的比选人仍然少于三个的，按照招标投标法律法规规定的程序开标和评标，二次招标经评审有效比选人的，应当依法确定中标比选人；无有效比选人的，可以不再进行比选。</w:t>
      </w:r>
    </w:p>
    <w:p w14:paraId="3352CAE6">
      <w:pPr>
        <w:keepNext w:val="0"/>
        <w:keepLines w:val="0"/>
        <w:pageBreakBefore w:val="0"/>
        <w:kinsoku/>
        <w:wordWrap/>
        <w:overflowPunct/>
        <w:topLinePunct w:val="0"/>
        <w:autoSpaceDE w:val="0"/>
        <w:autoSpaceDN w:val="0"/>
        <w:bidi w:val="0"/>
        <w:snapToGrid/>
        <w:spacing w:line="56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六</w:t>
      </w:r>
      <w:r>
        <w:rPr>
          <w:rFonts w:hint="eastAsia" w:ascii="方正仿宋_GBK" w:hAnsi="方正仿宋_GBK" w:eastAsia="方正仿宋_GBK"/>
          <w:color w:val="000000"/>
          <w:kern w:val="2"/>
          <w:sz w:val="24"/>
          <w:szCs w:val="24"/>
          <w:lang w:val="zh-CN" w:eastAsia="zh-CN" w:bidi="ar-SA"/>
        </w:rPr>
        <w:t>、联系方式</w:t>
      </w:r>
    </w:p>
    <w:p w14:paraId="3687ADB7">
      <w:pPr>
        <w:keepNext w:val="0"/>
        <w:keepLines w:val="0"/>
        <w:pageBreakBefore w:val="0"/>
        <w:kinsoku/>
        <w:wordWrap/>
        <w:overflowPunct/>
        <w:topLinePunct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询价人：</w:t>
      </w:r>
      <w:r>
        <w:rPr>
          <w:rFonts w:hint="eastAsia" w:ascii="方正仿宋_GBK" w:hAnsi="宋体" w:eastAsia="方正仿宋_GBK"/>
          <w:sz w:val="24"/>
          <w:szCs w:val="24"/>
        </w:rPr>
        <w:t>重庆渝蓉高速公路有限公司</w:t>
      </w:r>
      <w:r>
        <w:rPr>
          <w:rFonts w:hint="eastAsia" w:ascii="方正仿宋_GBK" w:hAnsi="方正仿宋_GBK" w:eastAsia="方正仿宋_GBK"/>
          <w:color w:val="000000"/>
          <w:kern w:val="2"/>
          <w:sz w:val="24"/>
          <w:szCs w:val="24"/>
          <w:lang w:val="en-US" w:eastAsia="zh-CN" w:bidi="ar-SA"/>
        </w:rPr>
        <w:br w:type="textWrapping"/>
      </w:r>
      <w:r>
        <w:rPr>
          <w:rFonts w:hint="eastAsia" w:ascii="方正仿宋_GBK" w:hAnsi="方正仿宋_GBK" w:eastAsia="方正仿宋_GBK"/>
          <w:color w:val="000000"/>
          <w:kern w:val="2"/>
          <w:sz w:val="24"/>
          <w:szCs w:val="24"/>
          <w:lang w:val="en-US" w:eastAsia="zh-CN" w:bidi="ar-SA"/>
        </w:rPr>
        <w:t xml:space="preserve">    地  址：</w:t>
      </w:r>
      <w:r>
        <w:rPr>
          <w:rFonts w:hint="eastAsia" w:ascii="方正仿宋_GBK" w:hAnsi="宋体" w:eastAsia="方正仿宋_GBK"/>
          <w:sz w:val="24"/>
          <w:szCs w:val="24"/>
        </w:rPr>
        <w:t>G5013</w:t>
      </w:r>
      <w:r>
        <w:rPr>
          <w:rFonts w:hint="eastAsia" w:ascii="方正仿宋_GBK" w:hAnsi="宋体" w:eastAsia="方正仿宋_GBK"/>
          <w:sz w:val="24"/>
          <w:szCs w:val="24"/>
          <w:lang w:eastAsia="zh-CN"/>
        </w:rPr>
        <w:t>科学城</w:t>
      </w:r>
      <w:r>
        <w:rPr>
          <w:rFonts w:hint="eastAsia" w:ascii="方正仿宋_GBK" w:hAnsi="宋体" w:eastAsia="方正仿宋_GBK"/>
          <w:sz w:val="24"/>
          <w:szCs w:val="24"/>
        </w:rPr>
        <w:t>收费站重庆渝蓉高速公路有限公司</w:t>
      </w:r>
      <w:r>
        <w:rPr>
          <w:rFonts w:hint="eastAsia" w:ascii="方正仿宋_GBK" w:hAnsi="宋体" w:eastAsia="方正仿宋_GBK"/>
          <w:sz w:val="24"/>
          <w:szCs w:val="24"/>
          <w:lang w:val="en-US" w:eastAsia="zh-CN"/>
        </w:rPr>
        <w:t>307</w:t>
      </w:r>
      <w:r>
        <w:rPr>
          <w:rFonts w:hint="eastAsia" w:ascii="方正仿宋_GBK" w:hAnsi="宋体" w:eastAsia="方正仿宋_GBK"/>
          <w:sz w:val="24"/>
          <w:szCs w:val="24"/>
        </w:rPr>
        <w:t>室</w:t>
      </w:r>
    </w:p>
    <w:p w14:paraId="05020655">
      <w:pPr>
        <w:keepNext w:val="0"/>
        <w:keepLines w:val="0"/>
        <w:pageBreakBefore w:val="0"/>
        <w:kinsoku/>
        <w:wordWrap/>
        <w:overflowPunct/>
        <w:topLinePunct w:val="0"/>
        <w:bidi w:val="0"/>
        <w:snapToGrid/>
        <w:spacing w:line="56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联系人：</w:t>
      </w:r>
      <w:r>
        <w:rPr>
          <w:rFonts w:hint="eastAsia" w:ascii="方正仿宋_GBK" w:hAnsi="宋体" w:eastAsia="方正仿宋_GBK"/>
          <w:sz w:val="24"/>
          <w:szCs w:val="24"/>
          <w:lang w:eastAsia="zh-CN"/>
        </w:rPr>
        <w:t>田老师</w:t>
      </w:r>
      <w:r>
        <w:rPr>
          <w:rFonts w:hint="eastAsia" w:ascii="方正仿宋_GBK" w:hAnsi="方正仿宋_GBK" w:eastAsia="方正仿宋_GBK"/>
          <w:color w:val="000000"/>
          <w:kern w:val="2"/>
          <w:sz w:val="24"/>
          <w:szCs w:val="24"/>
          <w:lang w:val="en-US" w:eastAsia="zh-CN" w:bidi="ar-SA"/>
        </w:rPr>
        <w:t xml:space="preserve">     电  话：</w:t>
      </w:r>
      <w:r>
        <w:rPr>
          <w:rFonts w:ascii="方正仿宋_GBK" w:hAnsi="宋体" w:eastAsia="方正仿宋_GBK"/>
          <w:sz w:val="24"/>
          <w:szCs w:val="24"/>
        </w:rPr>
        <w:t>023-</w:t>
      </w:r>
      <w:r>
        <w:rPr>
          <w:rFonts w:hint="eastAsia" w:ascii="方正仿宋_GBK" w:hAnsi="宋体" w:eastAsia="方正仿宋_GBK"/>
          <w:sz w:val="24"/>
          <w:szCs w:val="24"/>
          <w:lang w:val="en-US" w:eastAsia="zh-CN"/>
        </w:rPr>
        <w:t>65039066</w:t>
      </w:r>
      <w:r>
        <w:rPr>
          <w:rFonts w:hint="eastAsia" w:ascii="方正仿宋_GBK" w:hAnsi="方正仿宋_GBK" w:eastAsia="方正仿宋_GBK"/>
          <w:color w:val="000000"/>
          <w:sz w:val="24"/>
          <w:szCs w:val="24"/>
          <w:lang w:val="en-US" w:eastAsia="zh-CN"/>
        </w:rPr>
        <w:t xml:space="preserve">                                      </w:t>
      </w:r>
    </w:p>
    <w:p w14:paraId="42B534E5">
      <w:pPr>
        <w:keepNext w:val="0"/>
        <w:keepLines w:val="0"/>
        <w:pageBreakBefore w:val="0"/>
        <w:kinsoku/>
        <w:wordWrap/>
        <w:overflowPunct/>
        <w:topLinePunct w:val="0"/>
        <w:bidi w:val="0"/>
        <w:snapToGrid/>
        <w:spacing w:line="560" w:lineRule="exact"/>
        <w:ind w:firstLine="480" w:firstLineChars="200"/>
        <w:jc w:val="right"/>
        <w:rPr>
          <w:rFonts w:hint="eastAsia" w:ascii="方正仿宋_GBK" w:hAnsi="方正仿宋_GBK" w:eastAsia="方正仿宋_GBK"/>
          <w:color w:val="000000"/>
          <w:sz w:val="24"/>
          <w:szCs w:val="24"/>
          <w:lang w:val="en-US" w:eastAsia="zh-CN"/>
        </w:rPr>
      </w:pPr>
      <w:r>
        <w:rPr>
          <w:rFonts w:hint="eastAsia" w:ascii="方正仿宋_GBK" w:hAnsi="方正仿宋_GBK" w:eastAsia="方正仿宋_GBK"/>
          <w:color w:val="000000"/>
          <w:sz w:val="24"/>
          <w:szCs w:val="24"/>
          <w:lang w:val="en-US" w:eastAsia="zh-CN"/>
        </w:rPr>
        <w:t xml:space="preserve">  </w:t>
      </w:r>
    </w:p>
    <w:p w14:paraId="664D0A31">
      <w:pPr>
        <w:pStyle w:val="11"/>
        <w:jc w:val="both"/>
        <w:rPr>
          <w:lang w:val="en-US" w:eastAsia="zh-CN"/>
        </w:rPr>
      </w:pPr>
    </w:p>
    <w:p w14:paraId="2B6074F4">
      <w:pPr>
        <w:pStyle w:val="7"/>
        <w:spacing w:line="520" w:lineRule="exact"/>
        <w:jc w:val="center"/>
        <w:rPr>
          <w:rFonts w:hint="eastAsia" w:ascii="方正仿宋_GBK" w:hAnsi="宋体" w:eastAsia="方正仿宋_GBK"/>
          <w:sz w:val="36"/>
          <w:szCs w:val="36"/>
        </w:rPr>
      </w:pPr>
      <w:bookmarkStart w:id="1" w:name="_Toc379814652"/>
      <w:r>
        <w:rPr>
          <w:rFonts w:hint="eastAsia" w:ascii="方正仿宋_GBK" w:hAnsi="宋体" w:eastAsia="方正仿宋_GBK"/>
          <w:sz w:val="36"/>
          <w:szCs w:val="36"/>
        </w:rPr>
        <w:t>第二</w:t>
      </w:r>
      <w:r>
        <w:rPr>
          <w:rFonts w:hint="eastAsia" w:ascii="方正仿宋_GBK" w:hAnsi="宋体" w:eastAsia="方正仿宋_GBK"/>
          <w:sz w:val="36"/>
          <w:szCs w:val="36"/>
          <w:lang w:eastAsia="zh-CN"/>
        </w:rPr>
        <w:t>章</w:t>
      </w:r>
      <w:r>
        <w:rPr>
          <w:rFonts w:hint="eastAsia" w:ascii="方正仿宋_GBK" w:hAnsi="宋体" w:eastAsia="方正仿宋_GBK"/>
          <w:sz w:val="36"/>
          <w:szCs w:val="36"/>
        </w:rPr>
        <w:t xml:space="preserve">  </w:t>
      </w:r>
      <w:r>
        <w:rPr>
          <w:rFonts w:hint="eastAsia" w:ascii="方正仿宋_GBK" w:hAnsi="宋体" w:eastAsia="方正仿宋_GBK"/>
          <w:sz w:val="36"/>
          <w:szCs w:val="36"/>
          <w:lang w:eastAsia="zh-CN"/>
        </w:rPr>
        <w:t>投标</w:t>
      </w:r>
      <w:r>
        <w:rPr>
          <w:rFonts w:hint="eastAsia" w:ascii="方正仿宋_GBK" w:hAnsi="宋体" w:eastAsia="方正仿宋_GBK"/>
          <w:sz w:val="36"/>
          <w:szCs w:val="36"/>
        </w:rPr>
        <w:t>人须知</w:t>
      </w:r>
      <w:bookmarkEnd w:id="1"/>
    </w:p>
    <w:p w14:paraId="62332339">
      <w:pPr>
        <w:pStyle w:val="8"/>
        <w:spacing w:line="520" w:lineRule="exact"/>
        <w:ind w:firstLine="359" w:firstLineChars="149"/>
        <w:rPr>
          <w:rFonts w:hint="eastAsia" w:ascii="方正仿宋_GBK" w:hAnsi="宋体" w:eastAsia="方正仿宋_GBK"/>
          <w:sz w:val="24"/>
          <w:szCs w:val="24"/>
        </w:rPr>
      </w:pPr>
      <w:bookmarkStart w:id="2" w:name="_Toc379814653"/>
      <w:r>
        <w:rPr>
          <w:rFonts w:hint="eastAsia" w:ascii="方正仿宋_GBK" w:hAnsi="宋体" w:eastAsia="方正仿宋_GBK"/>
          <w:sz w:val="24"/>
          <w:szCs w:val="24"/>
        </w:rPr>
        <w:t>一、</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费用</w:t>
      </w:r>
      <w:bookmarkEnd w:id="2"/>
    </w:p>
    <w:p w14:paraId="1DD34403">
      <w:pPr>
        <w:snapToGrid w:val="0"/>
        <w:spacing w:line="52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的单位费用自理（包括承担其编制响应文件与递交响应文件所涉及的一切费用，不论采购结果如何，采购人在任何情况下无义务也无责任承担这些费用）</w:t>
      </w:r>
      <w:r>
        <w:rPr>
          <w:rFonts w:hint="eastAsia" w:ascii="方正仿宋_GBK" w:hAnsi="宋体" w:eastAsia="方正仿宋_GBK"/>
          <w:sz w:val="24"/>
          <w:szCs w:val="24"/>
          <w:lang w:eastAsia="zh-CN"/>
        </w:rPr>
        <w:t>。</w:t>
      </w:r>
    </w:p>
    <w:p w14:paraId="10B1F947">
      <w:pPr>
        <w:snapToGrid w:val="0"/>
        <w:spacing w:line="520" w:lineRule="exact"/>
        <w:ind w:firstLine="482" w:firstLineChars="200"/>
        <w:rPr>
          <w:rFonts w:hint="eastAsia" w:ascii="方正仿宋_GBK" w:hAnsi="宋体" w:eastAsia="方正仿宋_GBK"/>
          <w:b/>
          <w:bCs/>
          <w:sz w:val="24"/>
          <w:szCs w:val="24"/>
          <w:lang w:val="en-US" w:eastAsia="zh-CN"/>
        </w:rPr>
      </w:pPr>
      <w:bookmarkStart w:id="3" w:name="_Toc379814656"/>
      <w:r>
        <w:rPr>
          <w:rFonts w:hint="eastAsia" w:ascii="方正仿宋_GBK" w:hAnsi="宋体" w:eastAsia="方正仿宋_GBK"/>
          <w:b/>
          <w:bCs/>
          <w:sz w:val="24"/>
          <w:szCs w:val="24"/>
          <w:lang w:val="en-US" w:eastAsia="zh-CN"/>
        </w:rPr>
        <w:t>二</w:t>
      </w:r>
      <w:r>
        <w:rPr>
          <w:rFonts w:hint="eastAsia" w:ascii="方正仿宋_GBK" w:hAnsi="宋体" w:eastAsia="方正仿宋_GBK"/>
          <w:b/>
          <w:bCs/>
          <w:sz w:val="24"/>
          <w:szCs w:val="24"/>
        </w:rPr>
        <w:t>、报价要求</w:t>
      </w:r>
      <w:bookmarkEnd w:id="3"/>
    </w:p>
    <w:p w14:paraId="01EC73B7">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1、书面响应文件由以下部分组成，包括</w:t>
      </w:r>
      <w:r>
        <w:rPr>
          <w:rFonts w:hint="eastAsia" w:ascii="方正仿宋_GBK" w:hAnsi="宋体" w:eastAsia="方正仿宋_GBK"/>
          <w:sz w:val="24"/>
          <w:szCs w:val="24"/>
          <w:lang w:eastAsia="zh-CN"/>
        </w:rPr>
        <w:t>但不限于</w:t>
      </w:r>
      <w:r>
        <w:rPr>
          <w:rFonts w:hint="eastAsia" w:ascii="方正仿宋_GBK" w:hAnsi="宋体" w:eastAsia="方正仿宋_GBK"/>
          <w:sz w:val="24"/>
          <w:szCs w:val="24"/>
        </w:rPr>
        <w:t>：</w:t>
      </w:r>
    </w:p>
    <w:p w14:paraId="3E7E8B9D">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（1）通过有效年检的企业法人营业执照复印件</w:t>
      </w:r>
      <w:r>
        <w:rPr>
          <w:rFonts w:hint="eastAsia" w:ascii="方正仿宋_GBK" w:hAnsi="宋体" w:eastAsia="方正仿宋_GBK"/>
          <w:sz w:val="24"/>
          <w:szCs w:val="24"/>
          <w:lang w:eastAsia="zh-CN"/>
        </w:rPr>
        <w:t>及纳税证明</w:t>
      </w:r>
      <w:r>
        <w:rPr>
          <w:rFonts w:hint="eastAsia" w:ascii="方正仿宋_GBK" w:hAnsi="宋体" w:eastAsia="方正仿宋_GBK"/>
          <w:sz w:val="24"/>
          <w:szCs w:val="24"/>
        </w:rPr>
        <w:t>（加盖鲜章）；</w:t>
      </w:r>
    </w:p>
    <w:p w14:paraId="1040619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lang w:eastAsia="zh-CN"/>
        </w:rPr>
        <w:t>2</w:t>
      </w:r>
      <w:r>
        <w:rPr>
          <w:rFonts w:hint="eastAsia" w:ascii="方正仿宋_GBK" w:hAnsi="宋体" w:eastAsia="方正仿宋_GBK"/>
          <w:sz w:val="24"/>
          <w:szCs w:val="24"/>
        </w:rPr>
        <w:t>）授权委托书原件（加盖鲜章）；</w:t>
      </w:r>
    </w:p>
    <w:p w14:paraId="00E0C8E8">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lang w:eastAsia="zh-CN"/>
        </w:rPr>
        <w:t>3</w:t>
      </w:r>
      <w:r>
        <w:rPr>
          <w:rFonts w:hint="eastAsia" w:ascii="方正仿宋_GBK" w:hAnsi="宋体" w:eastAsia="方正仿宋_GBK"/>
          <w:sz w:val="24"/>
          <w:szCs w:val="24"/>
        </w:rPr>
        <w:t>）</w:t>
      </w:r>
      <w:r>
        <w:rPr>
          <w:rFonts w:hint="eastAsia" w:ascii="方正仿宋_GBK" w:hAnsi="宋体" w:eastAsia="方正仿宋_GBK"/>
          <w:sz w:val="24"/>
          <w:szCs w:val="24"/>
          <w:lang w:eastAsia="zh-CN"/>
        </w:rPr>
        <w:t>食品安全责任险及食品经营许可证复印件（加盖鲜章）；</w:t>
      </w:r>
    </w:p>
    <w:p w14:paraId="0EB50367">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lang w:val="en-US" w:eastAsia="zh-CN"/>
        </w:rPr>
        <w:t>4</w:t>
      </w:r>
      <w:r>
        <w:rPr>
          <w:rFonts w:hint="eastAsia" w:ascii="方正仿宋_GBK" w:hAnsi="宋体" w:eastAsia="方正仿宋_GBK"/>
          <w:sz w:val="24"/>
          <w:szCs w:val="24"/>
          <w:lang w:val="en-US" w:eastAsia="zh-CN"/>
        </w:rPr>
        <w:t>）报价投标人本次报价活动前3年内在经营活动中没有违法记录的书面声明及在国家企业信用信息公示系统（http://www.gsxt.gov.cn/)中查询的信誉结果清晰打印（加盖鲜章）；</w:t>
      </w:r>
    </w:p>
    <w:p w14:paraId="5CF7DF1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）报价函；</w:t>
      </w:r>
    </w:p>
    <w:p w14:paraId="36B0B327">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近3年年</w:t>
      </w:r>
      <w:r>
        <w:rPr>
          <w:rFonts w:hint="eastAsia" w:ascii="方正仿宋_GBK" w:hAnsi="宋体" w:eastAsia="方正仿宋_GBK"/>
          <w:sz w:val="24"/>
          <w:szCs w:val="24"/>
        </w:rPr>
        <w:t>业绩表</w:t>
      </w:r>
      <w:r>
        <w:rPr>
          <w:rFonts w:hint="eastAsia" w:ascii="方正仿宋_GBK" w:hAnsi="宋体" w:eastAsia="方正仿宋_GBK"/>
          <w:sz w:val="24"/>
          <w:szCs w:val="24"/>
          <w:lang w:val="en-US" w:eastAsia="zh-CN"/>
        </w:rPr>
        <w:t>及服务合同</w:t>
      </w:r>
      <w:r>
        <w:rPr>
          <w:rFonts w:hint="eastAsia" w:ascii="方正仿宋_GBK" w:hAnsi="宋体" w:eastAsia="方正仿宋_GBK"/>
          <w:sz w:val="24"/>
          <w:szCs w:val="24"/>
        </w:rPr>
        <w:t>；</w:t>
      </w:r>
    </w:p>
    <w:p w14:paraId="06DE3DED">
      <w:pPr>
        <w:snapToGrid w:val="0"/>
        <w:spacing w:line="52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（7）其他资料。</w:t>
      </w:r>
    </w:p>
    <w:p w14:paraId="03DE32BE">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2、提交响应文件的份数和签署</w:t>
      </w:r>
    </w:p>
    <w:p w14:paraId="570A4CAD">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w:t>
      </w:r>
      <w:r>
        <w:rPr>
          <w:rFonts w:hint="eastAsia" w:ascii="方正仿宋_GBK" w:hAnsi="宋体" w:eastAsia="方正仿宋_GBK"/>
          <w:sz w:val="24"/>
          <w:szCs w:val="24"/>
          <w:lang w:val="en-US" w:eastAsia="en-US"/>
        </w:rPr>
        <w:t>一</w:t>
      </w:r>
      <w:r>
        <w:rPr>
          <w:rFonts w:hint="eastAsia" w:ascii="方正仿宋_GBK" w:hAnsi="宋体" w:eastAsia="方正仿宋_GBK"/>
          <w:sz w:val="24"/>
          <w:szCs w:val="24"/>
        </w:rPr>
        <w:t>份。</w:t>
      </w:r>
    </w:p>
    <w:p w14:paraId="4846B2A0">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（2）响应文件应由</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人法定代表人或其授权代表签名并盖公章。</w:t>
      </w:r>
    </w:p>
    <w:p w14:paraId="64BF1E4E">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3、响应文件的递交</w:t>
      </w:r>
    </w:p>
    <w:p w14:paraId="41C8A3F7">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（1）响应文件的密封与标记</w:t>
      </w:r>
    </w:p>
    <w:p w14:paraId="2B3E221E">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响应文件应装订成册，</w:t>
      </w:r>
      <w:r>
        <w:rPr>
          <w:rFonts w:hint="eastAsia" w:ascii="方正仿宋_GBK" w:hAnsi="宋体" w:eastAsia="方正仿宋_GBK"/>
          <w:sz w:val="24"/>
          <w:szCs w:val="24"/>
          <w:lang w:eastAsia="zh-CN"/>
        </w:rPr>
        <w:t>并用档案袋等</w:t>
      </w:r>
      <w:r>
        <w:rPr>
          <w:rFonts w:hint="eastAsia" w:ascii="方正仿宋_GBK" w:hAnsi="宋体" w:eastAsia="方正仿宋_GBK"/>
          <w:sz w:val="24"/>
          <w:szCs w:val="24"/>
        </w:rPr>
        <w:t>密封</w:t>
      </w:r>
      <w:r>
        <w:rPr>
          <w:rFonts w:hint="eastAsia" w:ascii="方正仿宋_GBK" w:hAnsi="宋体" w:eastAsia="方正仿宋_GBK"/>
          <w:sz w:val="24"/>
          <w:szCs w:val="24"/>
          <w:lang w:eastAsia="zh-CN"/>
        </w:rPr>
        <w:t>完好</w:t>
      </w:r>
      <w:r>
        <w:rPr>
          <w:rFonts w:hint="eastAsia" w:ascii="方正仿宋_GBK" w:hAnsi="宋体" w:eastAsia="方正仿宋_GBK"/>
          <w:sz w:val="24"/>
          <w:szCs w:val="24"/>
        </w:rPr>
        <w:t>。注明项目名称、响应人名称。封口处须密封并加盖公章或法人授权代表签字。</w:t>
      </w:r>
    </w:p>
    <w:p w14:paraId="03569B59">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（2）响应文件投递截止时间：参阅</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邀请</w:t>
      </w:r>
      <w:r>
        <w:rPr>
          <w:rFonts w:hint="eastAsia" w:ascii="方正仿宋_GBK" w:hAnsi="宋体" w:eastAsia="方正仿宋_GBK"/>
          <w:sz w:val="24"/>
          <w:szCs w:val="24"/>
          <w:lang w:eastAsia="zh-CN"/>
        </w:rPr>
        <w:t>函</w:t>
      </w:r>
      <w:r>
        <w:rPr>
          <w:rFonts w:hint="eastAsia" w:ascii="方正仿宋_GBK" w:hAnsi="宋体" w:eastAsia="方正仿宋_GBK"/>
          <w:sz w:val="24"/>
          <w:szCs w:val="24"/>
        </w:rPr>
        <w:t>。</w:t>
      </w:r>
    </w:p>
    <w:p w14:paraId="5BB0C279">
      <w:pPr>
        <w:pStyle w:val="8"/>
        <w:spacing w:line="520" w:lineRule="exact"/>
        <w:ind w:firstLine="359" w:firstLineChars="149"/>
        <w:rPr>
          <w:rFonts w:hint="eastAsia" w:ascii="方正仿宋_GBK" w:hAnsi="宋体" w:eastAsia="方正仿宋_GBK"/>
          <w:b/>
          <w:bCs w:val="0"/>
          <w:sz w:val="24"/>
          <w:szCs w:val="24"/>
          <w:lang w:eastAsia="zh-CN"/>
        </w:rPr>
      </w:pPr>
      <w:bookmarkStart w:id="4" w:name="_Toc379814657"/>
      <w:r>
        <w:rPr>
          <w:rFonts w:hint="eastAsia" w:ascii="方正仿宋_GBK" w:hAnsi="宋体" w:eastAsia="方正仿宋_GBK"/>
          <w:b/>
          <w:bCs w:val="0"/>
          <w:sz w:val="24"/>
          <w:szCs w:val="24"/>
          <w:lang w:eastAsia="zh-CN"/>
        </w:rPr>
        <w:t>三</w:t>
      </w:r>
      <w:r>
        <w:rPr>
          <w:rFonts w:hint="eastAsia" w:ascii="方正仿宋_GBK" w:hAnsi="宋体" w:eastAsia="方正仿宋_GBK"/>
          <w:b/>
          <w:bCs w:val="0"/>
          <w:sz w:val="24"/>
          <w:szCs w:val="24"/>
        </w:rPr>
        <w:t>、</w:t>
      </w:r>
      <w:bookmarkEnd w:id="4"/>
      <w:r>
        <w:rPr>
          <w:rFonts w:hint="eastAsia" w:ascii="方正仿宋_GBK" w:hAnsi="宋体" w:eastAsia="方正仿宋_GBK"/>
          <w:sz w:val="24"/>
          <w:szCs w:val="24"/>
        </w:rPr>
        <w:t>限价</w:t>
      </w:r>
      <w:r>
        <w:rPr>
          <w:rFonts w:hint="eastAsia" w:ascii="方正仿宋_GBK" w:hAnsi="宋体" w:eastAsia="方正仿宋_GBK"/>
          <w:sz w:val="24"/>
          <w:szCs w:val="24"/>
          <w:lang w:eastAsia="zh-CN"/>
        </w:rPr>
        <w:t>及报价方式</w:t>
      </w:r>
      <w:r>
        <w:rPr>
          <w:rFonts w:hint="eastAsia" w:ascii="方正仿宋_GBK" w:hAnsi="宋体" w:eastAsia="方正仿宋_GBK"/>
          <w:sz w:val="24"/>
          <w:szCs w:val="24"/>
        </w:rPr>
        <w:t>说明</w:t>
      </w:r>
    </w:p>
    <w:p w14:paraId="6DBD4FAC">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w:t>
      </w:r>
      <w:r>
        <w:rPr>
          <w:rFonts w:hint="eastAsia" w:ascii="方正仿宋_GBK" w:hAnsi="宋体" w:eastAsia="方正仿宋_GBK"/>
          <w:sz w:val="24"/>
          <w:szCs w:val="24"/>
          <w:lang w:val="en-US" w:eastAsia="en-US"/>
        </w:rPr>
        <w:t>以</w:t>
      </w:r>
      <w:r>
        <w:rPr>
          <w:rFonts w:hint="eastAsia" w:ascii="方正仿宋_GBK" w:hAnsi="方正仿宋_GBK" w:eastAsia="方正仿宋_GBK"/>
          <w:color w:val="000000"/>
          <w:kern w:val="2"/>
          <w:sz w:val="24"/>
          <w:szCs w:val="24"/>
          <w:lang w:val="en-US" w:eastAsia="zh-CN" w:bidi="ar-SA"/>
        </w:rPr>
        <w:t>永辉超市、新世纪超市等大中型平价超市相应物资</w:t>
      </w:r>
      <w:r>
        <w:rPr>
          <w:rFonts w:hint="eastAsia" w:ascii="方正仿宋_GBK" w:hAnsi="宋体" w:eastAsia="方正仿宋_GBK"/>
          <w:sz w:val="24"/>
          <w:szCs w:val="24"/>
          <w:lang w:val="en-US" w:eastAsia="zh-CN"/>
        </w:rPr>
        <w:t>的93%</w:t>
      </w:r>
      <w:r>
        <w:rPr>
          <w:rFonts w:hint="eastAsia" w:ascii="方正仿宋_GBK" w:hAnsi="宋体" w:eastAsia="方正仿宋_GBK"/>
          <w:sz w:val="24"/>
          <w:szCs w:val="24"/>
          <w:lang w:val="en-US" w:eastAsia="en-US"/>
        </w:rPr>
        <w:t>作为上限价</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人报价</w:t>
      </w:r>
      <w:r>
        <w:rPr>
          <w:rFonts w:hint="eastAsia" w:ascii="方正仿宋_GBK" w:hAnsi="宋体" w:eastAsia="方正仿宋_GBK"/>
          <w:sz w:val="24"/>
          <w:szCs w:val="24"/>
          <w:lang w:val="en-US" w:eastAsia="zh-CN"/>
        </w:rPr>
        <w:t>不得等于或高于93%，投标人应在投标前实地了解相关价格。</w:t>
      </w:r>
    </w:p>
    <w:p w14:paraId="3B53B37A">
      <w:pPr>
        <w:snapToGrid w:val="0"/>
        <w:spacing w:line="52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四</w:t>
      </w:r>
      <w:r>
        <w:rPr>
          <w:rFonts w:hint="eastAsia" w:ascii="方正仿宋_GBK" w:hAnsi="宋体" w:eastAsia="方正仿宋_GBK"/>
          <w:b/>
          <w:bCs/>
          <w:sz w:val="24"/>
          <w:szCs w:val="24"/>
        </w:rPr>
        <w:t>、评审办法</w:t>
      </w:r>
    </w:p>
    <w:p w14:paraId="361D36A2">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1、评审标准</w:t>
      </w:r>
    </w:p>
    <w:p w14:paraId="46E20F2E">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本项目询价响应</w:t>
      </w:r>
      <w:r>
        <w:rPr>
          <w:rFonts w:hint="eastAsia" w:ascii="方正仿宋_GBK" w:hAnsi="宋体" w:eastAsia="方正仿宋_GBK"/>
          <w:sz w:val="24"/>
          <w:szCs w:val="24"/>
          <w:lang w:val="en-US" w:eastAsia="zh-CN"/>
        </w:rPr>
        <w:t>人</w:t>
      </w:r>
      <w:r>
        <w:rPr>
          <w:rFonts w:hint="eastAsia" w:ascii="方正仿宋_GBK" w:hAnsi="宋体" w:eastAsia="方正仿宋_GBK"/>
          <w:sz w:val="24"/>
          <w:szCs w:val="24"/>
        </w:rPr>
        <w:t>响应文件</w:t>
      </w:r>
      <w:r>
        <w:rPr>
          <w:rFonts w:hint="eastAsia" w:ascii="方正仿宋_GBK" w:hAnsi="宋体" w:eastAsia="方正仿宋_GBK"/>
          <w:sz w:val="24"/>
          <w:szCs w:val="24"/>
          <w:lang w:eastAsia="zh-CN"/>
        </w:rPr>
        <w:t>，</w:t>
      </w:r>
      <w:r>
        <w:rPr>
          <w:rFonts w:hint="eastAsia" w:ascii="方正仿宋_GBK" w:hAnsi="宋体" w:eastAsia="方正仿宋_GBK"/>
          <w:sz w:val="24"/>
          <w:szCs w:val="24"/>
        </w:rPr>
        <w:t>不得有任一项应答低于询价通知书要求，否则询价响应文件将为无效文件，只对有效询价响应文件的进行评审。</w:t>
      </w:r>
    </w:p>
    <w:p w14:paraId="58268F68">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w:t>
      </w:r>
      <w:r>
        <w:rPr>
          <w:rFonts w:hint="eastAsia" w:ascii="方正仿宋_GBK" w:hAnsi="宋体" w:eastAsia="方正仿宋_GBK"/>
          <w:sz w:val="24"/>
          <w:szCs w:val="24"/>
          <w:lang w:val="en-US" w:eastAsia="zh-CN"/>
        </w:rPr>
        <w:t>采用综合评分法进行评标。综合评分法是指投标文件满足招标文件全部实质性要求，且按照评审因素的量化指标，评审得分最高的报价人为中标候选人的评标方法。报价人总得分为价格、商务、服务等评定因素，分别按照相应权重值计算分项得分后相加，满分为100分</w:t>
      </w:r>
      <w:r>
        <w:rPr>
          <w:rFonts w:hint="eastAsia" w:ascii="方正仿宋_GBK" w:hAnsi="宋体" w:eastAsia="方正仿宋_GBK"/>
          <w:sz w:val="24"/>
          <w:szCs w:val="24"/>
          <w:lang w:eastAsia="zh-CN"/>
        </w:rPr>
        <w:t>。</w:t>
      </w:r>
    </w:p>
    <w:p w14:paraId="72EF0414">
      <w:pPr>
        <w:rPr>
          <w:rFonts w:hint="eastAsia"/>
          <w:lang w:eastAsia="zh-CN"/>
        </w:rPr>
      </w:pPr>
    </w:p>
    <w:p w14:paraId="5BAE3FCB">
      <w:pPr>
        <w:pStyle w:val="11"/>
        <w:rPr>
          <w:rFonts w:hint="eastAsia"/>
          <w:lang w:eastAsia="zh-CN"/>
        </w:rPr>
      </w:pPr>
    </w:p>
    <w:tbl>
      <w:tblPr>
        <w:tblStyle w:val="15"/>
        <w:tblpPr w:leftFromText="180" w:rightFromText="180" w:vertAnchor="text" w:horzAnchor="page" w:tblpX="1792" w:tblpY="606"/>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054"/>
        <w:gridCol w:w="553"/>
        <w:gridCol w:w="4101"/>
        <w:gridCol w:w="2282"/>
      </w:tblGrid>
      <w:tr w14:paraId="508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7A81E08D">
            <w:pPr>
              <w:spacing w:line="380" w:lineRule="exact"/>
              <w:jc w:val="center"/>
              <w:rPr>
                <w:rFonts w:hint="eastAsia" w:ascii="方正仿宋_GBK" w:hAnsi="方正仿宋_GBK" w:eastAsia="方正仿宋_GBK"/>
                <w:b/>
                <w:bCs/>
                <w:kern w:val="2"/>
                <w:sz w:val="24"/>
                <w:szCs w:val="24"/>
                <w:lang w:val="en-US" w:eastAsia="zh-CN" w:bidi="ar-SA"/>
              </w:rPr>
            </w:pPr>
            <w:r>
              <w:rPr>
                <w:rFonts w:hint="eastAsia" w:ascii="方正仿宋_GBK" w:hAnsi="方正仿宋_GBK" w:eastAsia="方正仿宋_GBK"/>
                <w:b/>
                <w:bCs/>
                <w:kern w:val="2"/>
                <w:sz w:val="24"/>
                <w:szCs w:val="24"/>
                <w:lang w:val="en-US" w:eastAsia="zh-CN" w:bidi="ar-SA"/>
              </w:rPr>
              <w:t>序号</w:t>
            </w:r>
          </w:p>
        </w:tc>
        <w:tc>
          <w:tcPr>
            <w:tcW w:w="1054" w:type="dxa"/>
            <w:vAlign w:val="center"/>
          </w:tcPr>
          <w:p w14:paraId="646C9A6C">
            <w:pPr>
              <w:spacing w:line="380" w:lineRule="exact"/>
              <w:jc w:val="center"/>
              <w:rPr>
                <w:rFonts w:hint="eastAsia" w:ascii="方正仿宋_GBK" w:hAnsi="方正仿宋_GBK" w:eastAsia="方正仿宋_GBK"/>
                <w:b/>
                <w:bCs/>
                <w:kern w:val="2"/>
                <w:sz w:val="24"/>
                <w:szCs w:val="24"/>
                <w:lang w:val="en-US" w:eastAsia="zh-CN" w:bidi="ar-SA"/>
              </w:rPr>
            </w:pPr>
            <w:r>
              <w:rPr>
                <w:rFonts w:hint="eastAsia" w:ascii="方正仿宋_GBK" w:hAnsi="方正仿宋_GBK" w:eastAsia="方正仿宋_GBK"/>
                <w:b/>
                <w:bCs/>
                <w:kern w:val="2"/>
                <w:sz w:val="24"/>
                <w:szCs w:val="24"/>
                <w:lang w:val="en-US" w:eastAsia="zh-CN" w:bidi="ar-SA"/>
              </w:rPr>
              <w:t>评分因素</w:t>
            </w:r>
          </w:p>
        </w:tc>
        <w:tc>
          <w:tcPr>
            <w:tcW w:w="553" w:type="dxa"/>
            <w:vAlign w:val="center"/>
          </w:tcPr>
          <w:p w14:paraId="79BD2D1E">
            <w:pPr>
              <w:spacing w:line="380" w:lineRule="exact"/>
              <w:jc w:val="center"/>
              <w:rPr>
                <w:rFonts w:hint="eastAsia" w:ascii="方正仿宋_GBK" w:hAnsi="方正仿宋_GBK" w:eastAsia="方正仿宋_GBK"/>
                <w:b/>
                <w:bCs/>
                <w:kern w:val="2"/>
                <w:sz w:val="24"/>
                <w:szCs w:val="24"/>
                <w:lang w:val="en-US" w:eastAsia="zh-CN" w:bidi="ar-SA"/>
              </w:rPr>
            </w:pPr>
            <w:r>
              <w:rPr>
                <w:rFonts w:hint="eastAsia" w:ascii="方正仿宋_GBK" w:hAnsi="方正仿宋_GBK" w:eastAsia="方正仿宋_GBK"/>
                <w:b/>
                <w:bCs/>
                <w:kern w:val="2"/>
                <w:sz w:val="24"/>
                <w:szCs w:val="24"/>
                <w:lang w:val="en-US" w:eastAsia="zh-CN" w:bidi="ar-SA"/>
              </w:rPr>
              <w:t>分值</w:t>
            </w:r>
          </w:p>
        </w:tc>
        <w:tc>
          <w:tcPr>
            <w:tcW w:w="4101" w:type="dxa"/>
            <w:vAlign w:val="center"/>
          </w:tcPr>
          <w:p w14:paraId="2657E74E">
            <w:pPr>
              <w:spacing w:line="380" w:lineRule="exact"/>
              <w:jc w:val="center"/>
              <w:rPr>
                <w:rFonts w:hint="eastAsia" w:ascii="方正仿宋_GBK" w:hAnsi="方正仿宋_GBK" w:eastAsia="方正仿宋_GBK"/>
                <w:b/>
                <w:bCs/>
                <w:kern w:val="2"/>
                <w:sz w:val="24"/>
                <w:szCs w:val="24"/>
                <w:lang w:val="en-US" w:eastAsia="zh-CN" w:bidi="ar-SA"/>
              </w:rPr>
            </w:pPr>
            <w:r>
              <w:rPr>
                <w:rFonts w:hint="eastAsia" w:ascii="方正仿宋_GBK" w:hAnsi="方正仿宋_GBK" w:eastAsia="方正仿宋_GBK"/>
                <w:b/>
                <w:bCs/>
                <w:kern w:val="2"/>
                <w:sz w:val="24"/>
                <w:szCs w:val="24"/>
                <w:lang w:val="en-US" w:eastAsia="zh-CN" w:bidi="ar-SA"/>
              </w:rPr>
              <w:t>评分标准</w:t>
            </w:r>
          </w:p>
        </w:tc>
        <w:tc>
          <w:tcPr>
            <w:tcW w:w="2282" w:type="dxa"/>
            <w:vAlign w:val="center"/>
          </w:tcPr>
          <w:p w14:paraId="28A34E3A">
            <w:pPr>
              <w:spacing w:line="380" w:lineRule="exact"/>
              <w:jc w:val="center"/>
              <w:rPr>
                <w:rFonts w:hint="eastAsia" w:ascii="方正仿宋_GBK" w:hAnsi="方正仿宋_GBK" w:eastAsia="方正仿宋_GBK"/>
                <w:b/>
                <w:bCs/>
                <w:kern w:val="2"/>
                <w:sz w:val="24"/>
                <w:szCs w:val="24"/>
                <w:lang w:val="en-US" w:eastAsia="zh-CN" w:bidi="ar-SA"/>
              </w:rPr>
            </w:pPr>
            <w:r>
              <w:rPr>
                <w:rFonts w:hint="eastAsia" w:ascii="方正仿宋_GBK" w:hAnsi="方正仿宋_GBK" w:eastAsia="方正仿宋_GBK"/>
                <w:b/>
                <w:bCs/>
                <w:kern w:val="2"/>
                <w:sz w:val="24"/>
                <w:szCs w:val="24"/>
                <w:lang w:val="en-US" w:eastAsia="zh-CN" w:bidi="ar-SA"/>
              </w:rPr>
              <w:t>备　注</w:t>
            </w:r>
          </w:p>
        </w:tc>
      </w:tr>
      <w:tr w14:paraId="0D3D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31C46E8D">
            <w:pPr>
              <w:spacing w:line="380" w:lineRule="exact"/>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1</w:t>
            </w:r>
          </w:p>
        </w:tc>
        <w:tc>
          <w:tcPr>
            <w:tcW w:w="1054" w:type="dxa"/>
            <w:vAlign w:val="center"/>
          </w:tcPr>
          <w:p w14:paraId="0FE8E566">
            <w:pPr>
              <w:spacing w:line="380" w:lineRule="exact"/>
              <w:jc w:val="center"/>
              <w:rPr>
                <w:rFonts w:hint="eastAsia" w:ascii="方正仿宋_GBK" w:eastAsia="方正仿宋_GBK"/>
                <w:sz w:val="24"/>
                <w:szCs w:val="24"/>
              </w:rPr>
            </w:pPr>
            <w:r>
              <w:rPr>
                <w:rFonts w:hint="eastAsia" w:ascii="方正仿宋_GBK" w:eastAsia="方正仿宋_GBK"/>
                <w:sz w:val="24"/>
                <w:szCs w:val="24"/>
              </w:rPr>
              <w:t>投标报价</w:t>
            </w:r>
          </w:p>
        </w:tc>
        <w:tc>
          <w:tcPr>
            <w:tcW w:w="553" w:type="dxa"/>
            <w:vAlign w:val="center"/>
          </w:tcPr>
          <w:p w14:paraId="1ADF685E">
            <w:pPr>
              <w:spacing w:line="380" w:lineRule="exact"/>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sz w:val="24"/>
                <w:lang w:val="en-US" w:eastAsia="zh-CN" w:bidi="ar-SA"/>
              </w:rPr>
              <w:t>45</w:t>
            </w:r>
          </w:p>
          <w:p w14:paraId="7A81D15C">
            <w:pPr>
              <w:spacing w:line="380" w:lineRule="exact"/>
              <w:jc w:val="center"/>
              <w:rPr>
                <w:rFonts w:ascii="方正仿宋_GBK" w:hAnsi="方正仿宋_GBK" w:eastAsia="方正仿宋_GBK"/>
                <w:kern w:val="2"/>
                <w:sz w:val="24"/>
                <w:szCs w:val="24"/>
                <w:lang w:val="en-US" w:eastAsia="zh-CN" w:bidi="ar-SA"/>
              </w:rPr>
            </w:pPr>
          </w:p>
        </w:tc>
        <w:tc>
          <w:tcPr>
            <w:tcW w:w="4101" w:type="dxa"/>
            <w:vAlign w:val="center"/>
          </w:tcPr>
          <w:p w14:paraId="0A2B6898">
            <w:pPr>
              <w:spacing w:line="380" w:lineRule="exact"/>
              <w:jc w:val="left"/>
              <w:rPr>
                <w:rFonts w:ascii="方正仿宋_GBK" w:hAnsi="方正仿宋_GBK" w:eastAsia="方正仿宋_GBK"/>
                <w:color w:val="000000"/>
                <w:kern w:val="0"/>
                <w:sz w:val="24"/>
                <w:szCs w:val="24"/>
              </w:rPr>
            </w:pPr>
            <w:r>
              <w:rPr>
                <w:rFonts w:ascii="方正仿宋_GBK" w:hAnsi="方正仿宋_GBK" w:eastAsia="方正仿宋_GBK"/>
                <w:color w:val="000000"/>
                <w:kern w:val="0"/>
                <w:sz w:val="24"/>
                <w:szCs w:val="24"/>
              </w:rPr>
              <w:t>1、最高投标限价</w:t>
            </w:r>
          </w:p>
          <w:p w14:paraId="05EF7E14">
            <w:pPr>
              <w:spacing w:line="380" w:lineRule="exact"/>
              <w:jc w:val="left"/>
              <w:rPr>
                <w:rFonts w:hint="eastAsia" w:ascii="方正仿宋_GBK" w:hAnsi="宋体" w:eastAsia="方正仿宋_GBK"/>
                <w:sz w:val="24"/>
                <w:szCs w:val="24"/>
              </w:rPr>
            </w:pPr>
            <w:r>
              <w:rPr>
                <w:rFonts w:hint="eastAsia" w:ascii="方正仿宋_GBK" w:hAnsi="宋体" w:eastAsia="方正仿宋_GBK"/>
                <w:sz w:val="24"/>
                <w:szCs w:val="24"/>
              </w:rPr>
              <w:t>本项目</w:t>
            </w:r>
            <w:r>
              <w:rPr>
                <w:rFonts w:hint="eastAsia" w:ascii="方正仿宋_GBK" w:hAnsi="宋体" w:eastAsia="方正仿宋_GBK"/>
                <w:sz w:val="24"/>
                <w:szCs w:val="24"/>
                <w:lang w:val="en-US" w:eastAsia="en-US"/>
              </w:rPr>
              <w:t>以</w:t>
            </w:r>
            <w:r>
              <w:rPr>
                <w:rFonts w:hint="eastAsia" w:ascii="方正仿宋_GBK" w:hAnsi="方正仿宋_GBK" w:eastAsia="方正仿宋_GBK"/>
                <w:color w:val="000000"/>
                <w:kern w:val="2"/>
                <w:sz w:val="24"/>
                <w:szCs w:val="24"/>
                <w:lang w:val="en-US" w:eastAsia="zh-CN" w:bidi="ar-SA"/>
              </w:rPr>
              <w:t>永辉超市等大中型超市按照“同质同价”的原则，共同采价</w:t>
            </w:r>
            <w:r>
              <w:rPr>
                <w:rFonts w:hint="eastAsia" w:ascii="方正仿宋_GBK" w:hAnsi="宋体" w:eastAsia="方正仿宋_GBK"/>
                <w:sz w:val="24"/>
                <w:szCs w:val="24"/>
                <w:lang w:val="en-US" w:eastAsia="zh-CN"/>
              </w:rPr>
              <w:t>的93%</w:t>
            </w:r>
            <w:r>
              <w:rPr>
                <w:rFonts w:hint="eastAsia" w:ascii="方正仿宋_GBK" w:hAnsi="宋体" w:eastAsia="方正仿宋_GBK"/>
                <w:sz w:val="24"/>
                <w:szCs w:val="24"/>
                <w:lang w:val="en-US" w:eastAsia="en-US"/>
              </w:rPr>
              <w:t>作为上限价</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人报价</w:t>
            </w:r>
            <w:r>
              <w:rPr>
                <w:rFonts w:hint="eastAsia" w:ascii="方正仿宋_GBK" w:hAnsi="宋体" w:eastAsia="方正仿宋_GBK"/>
                <w:sz w:val="24"/>
                <w:szCs w:val="24"/>
                <w:lang w:val="en-US" w:eastAsia="zh-CN"/>
              </w:rPr>
              <w:t>不得高于93%，否则视为</w:t>
            </w:r>
            <w:r>
              <w:rPr>
                <w:rFonts w:hint="eastAsia" w:ascii="方正仿宋_GBK" w:hAnsi="方正仿宋_GBK" w:eastAsia="方正仿宋_GBK"/>
                <w:color w:val="000000"/>
                <w:kern w:val="0"/>
                <w:sz w:val="24"/>
                <w:szCs w:val="24"/>
              </w:rPr>
              <w:t>无效投标。</w:t>
            </w:r>
          </w:p>
          <w:p w14:paraId="423BDDFE">
            <w:pPr>
              <w:numPr>
                <w:ilvl w:val="0"/>
                <w:numId w:val="3"/>
              </w:numPr>
              <w:spacing w:line="380" w:lineRule="exact"/>
              <w:jc w:val="left"/>
              <w:rPr>
                <w:rFonts w:hint="eastAsia" w:ascii="方正仿宋_GBK" w:hAnsi="方正仿宋_GBK" w:eastAsia="方正仿宋_GBK"/>
                <w:color w:val="000000"/>
                <w:kern w:val="0"/>
                <w:sz w:val="24"/>
                <w:szCs w:val="24"/>
              </w:rPr>
            </w:pPr>
            <w:r>
              <w:rPr>
                <w:rFonts w:hint="eastAsia" w:ascii="方正仿宋_GBK" w:hAnsi="方正仿宋_GBK" w:eastAsia="方正仿宋_GBK"/>
                <w:color w:val="000000"/>
                <w:kern w:val="0"/>
                <w:sz w:val="24"/>
                <w:szCs w:val="24"/>
              </w:rPr>
              <w:t>以报价人的平均价作基准价</w:t>
            </w:r>
            <w:r>
              <w:rPr>
                <w:rFonts w:hint="eastAsia" w:ascii="方正仿宋_GBK" w:hAnsi="方正仿宋_GBK" w:eastAsia="方正仿宋_GBK"/>
                <w:color w:val="000000"/>
                <w:kern w:val="0"/>
                <w:sz w:val="24"/>
                <w:szCs w:val="24"/>
                <w:lang w:eastAsia="zh-CN"/>
              </w:rPr>
              <w:t>（四舍五入取整、</w:t>
            </w:r>
            <w:r>
              <w:rPr>
                <w:rFonts w:hint="eastAsia" w:ascii="方正仿宋_GBK" w:hAnsi="方正仿宋_GBK" w:eastAsia="方正仿宋_GBK"/>
                <w:color w:val="000000"/>
                <w:kern w:val="0"/>
                <w:sz w:val="24"/>
                <w:szCs w:val="24"/>
                <w:lang w:val="en-US" w:eastAsia="zh-CN"/>
              </w:rPr>
              <w:t>不保留小数</w:t>
            </w:r>
            <w:r>
              <w:rPr>
                <w:rFonts w:hint="eastAsia" w:ascii="方正仿宋_GBK" w:hAnsi="方正仿宋_GBK" w:eastAsia="方正仿宋_GBK"/>
                <w:color w:val="000000"/>
                <w:kern w:val="0"/>
                <w:sz w:val="24"/>
                <w:szCs w:val="24"/>
                <w:lang w:eastAsia="zh-CN"/>
              </w:rPr>
              <w:t>）。</w:t>
            </w:r>
            <w:r>
              <w:rPr>
                <w:rFonts w:hint="eastAsia" w:ascii="方正仿宋_GBK" w:hAnsi="方正仿宋_GBK" w:eastAsia="方正仿宋_GBK"/>
                <w:color w:val="000000"/>
                <w:kern w:val="0"/>
                <w:sz w:val="24"/>
                <w:szCs w:val="24"/>
              </w:rPr>
              <w:t>得满分45分，每低</w:t>
            </w:r>
            <w:r>
              <w:rPr>
                <w:rFonts w:hint="eastAsia" w:ascii="方正仿宋_GBK" w:hAnsi="方正仿宋_GBK" w:eastAsia="方正仿宋_GBK"/>
                <w:color w:val="000000"/>
                <w:kern w:val="0"/>
                <w:sz w:val="24"/>
                <w:szCs w:val="24"/>
                <w:lang w:val="en-US" w:eastAsia="zh-CN"/>
              </w:rPr>
              <w:t>于</w:t>
            </w:r>
            <w:r>
              <w:rPr>
                <w:rFonts w:hint="eastAsia" w:ascii="方正仿宋_GBK" w:hAnsi="方正仿宋_GBK" w:eastAsia="方正仿宋_GBK"/>
                <w:color w:val="000000"/>
                <w:kern w:val="0"/>
                <w:sz w:val="24"/>
                <w:szCs w:val="24"/>
              </w:rPr>
              <w:t>基准价1%扣0.5分，每高1%扣1分，以此类推。</w:t>
            </w:r>
          </w:p>
        </w:tc>
        <w:tc>
          <w:tcPr>
            <w:tcW w:w="2282" w:type="dxa"/>
            <w:vAlign w:val="center"/>
          </w:tcPr>
          <w:p w14:paraId="79C996E4">
            <w:pPr>
              <w:spacing w:line="380" w:lineRule="exact"/>
              <w:jc w:val="center"/>
              <w:rPr>
                <w:rFonts w:hint="eastAsia" w:ascii="方正仿宋_GBK" w:hAnsi="方正仿宋_GBK" w:eastAsia="方正仿宋_GBK"/>
                <w:kern w:val="2"/>
                <w:sz w:val="24"/>
                <w:szCs w:val="24"/>
                <w:lang w:val="en-US" w:eastAsia="zh-CN" w:bidi="ar-SA"/>
              </w:rPr>
            </w:pPr>
          </w:p>
        </w:tc>
      </w:tr>
      <w:tr w14:paraId="0BE3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6C47183B">
            <w:pPr>
              <w:spacing w:line="380" w:lineRule="exact"/>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2</w:t>
            </w:r>
          </w:p>
        </w:tc>
        <w:tc>
          <w:tcPr>
            <w:tcW w:w="1054" w:type="dxa"/>
            <w:vAlign w:val="center"/>
          </w:tcPr>
          <w:p w14:paraId="3FA742A1">
            <w:pPr>
              <w:spacing w:line="380" w:lineRule="exact"/>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商务及技术</w:t>
            </w:r>
          </w:p>
        </w:tc>
        <w:tc>
          <w:tcPr>
            <w:tcW w:w="553" w:type="dxa"/>
            <w:vAlign w:val="center"/>
          </w:tcPr>
          <w:p w14:paraId="0191D019">
            <w:pPr>
              <w:spacing w:line="380" w:lineRule="exact"/>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33</w:t>
            </w:r>
          </w:p>
          <w:p w14:paraId="1BC5C38C">
            <w:pPr>
              <w:spacing w:line="380" w:lineRule="exact"/>
              <w:jc w:val="center"/>
              <w:rPr>
                <w:rFonts w:ascii="方正仿宋_GBK" w:hAnsi="方正仿宋_GBK" w:eastAsia="方正仿宋_GBK"/>
                <w:kern w:val="2"/>
                <w:sz w:val="24"/>
                <w:szCs w:val="24"/>
                <w:lang w:val="en-US" w:eastAsia="zh-CN" w:bidi="ar-SA"/>
              </w:rPr>
            </w:pPr>
          </w:p>
        </w:tc>
        <w:tc>
          <w:tcPr>
            <w:tcW w:w="4101" w:type="dxa"/>
            <w:vAlign w:val="top"/>
          </w:tcPr>
          <w:p w14:paraId="48EDFA90">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p>
          <w:p w14:paraId="55A76689">
            <w:pPr>
              <w:pStyle w:val="17"/>
              <w:numPr>
                <w:ilvl w:val="0"/>
                <w:numId w:val="4"/>
              </w:numPr>
              <w:tabs>
                <w:tab w:val="clear" w:pos="312"/>
              </w:tabs>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满分5分）投标人拥有库房。面积达到200平方米（含）得1分；少于200平方米或无库房不得分。在200平米基础上，面积增加100平米（含）加1分；面积增加200平米（含）加2分；面积增加300平米（含）加3分；面积增加400平米及以上加4分。</w:t>
            </w:r>
          </w:p>
          <w:p w14:paraId="07D7B2F8">
            <w:pPr>
              <w:pStyle w:val="17"/>
              <w:numPr>
                <w:ilvl w:val="0"/>
                <w:numId w:val="4"/>
              </w:numPr>
              <w:tabs>
                <w:tab w:val="clear" w:pos="312"/>
              </w:tabs>
              <w:spacing w:line="380" w:lineRule="exact"/>
              <w:jc w:val="both"/>
              <w:rPr>
                <w:rFonts w:hint="eastAsia" w:ascii="方正仿宋_GBK" w:hAnsi="方正仿宋_GBK" w:eastAsia="方正仿宋_GBK"/>
                <w:color w:val="000000"/>
                <w:kern w:val="0"/>
                <w:sz w:val="24"/>
                <w:lang w:val="en-US" w:eastAsia="zh-CN" w:bidi="ar-SA"/>
              </w:rPr>
            </w:pPr>
            <w:r>
              <w:rPr>
                <w:rFonts w:hint="eastAsia" w:ascii="方正仿宋_GBK" w:hAnsi="方正仿宋_GBK" w:eastAsia="方正仿宋_GBK"/>
                <w:color w:val="000000"/>
                <w:kern w:val="0"/>
                <w:sz w:val="24"/>
                <w:lang w:val="en-US" w:eastAsia="zh-CN" w:bidi="ar-SA"/>
              </w:rPr>
              <w:t>(满分5分）投标人有冷藏冷冻库。面积达到100平方米（含）得2分；面积少于200平米或无冷藏冷冻库房不得分。在100平米基础上，面积增加100平米（含）加1分；面积增加200平米（含）加2分；面积增加300平米（含</w:t>
            </w:r>
            <w:r>
              <w:rPr>
                <w:rFonts w:hint="eastAsia" w:ascii="方正仿宋_GBK" w:hAnsi="方正仿宋_GBK" w:eastAsia="方正仿宋_GBK"/>
                <w:color w:val="000000"/>
                <w:kern w:val="0"/>
                <w:sz w:val="24"/>
                <w:szCs w:val="24"/>
                <w:lang w:val="en-US" w:eastAsia="zh-CN" w:bidi="ar-SA"/>
              </w:rPr>
              <w:t>）</w:t>
            </w:r>
            <w:r>
              <w:rPr>
                <w:rFonts w:hint="eastAsia" w:ascii="方正仿宋_GBK" w:hAnsi="方正仿宋_GBK" w:eastAsia="方正仿宋_GBK"/>
                <w:color w:val="000000"/>
                <w:kern w:val="0"/>
                <w:sz w:val="24"/>
                <w:lang w:val="en-US" w:eastAsia="zh-CN" w:bidi="ar-SA"/>
              </w:rPr>
              <w:t>及以上</w:t>
            </w:r>
            <w:r>
              <w:rPr>
                <w:rFonts w:hint="eastAsia" w:ascii="方正仿宋_GBK" w:hAnsi="方正仿宋_GBK" w:eastAsia="方正仿宋_GBK"/>
                <w:color w:val="000000"/>
                <w:kern w:val="0"/>
                <w:sz w:val="24"/>
                <w:szCs w:val="24"/>
                <w:lang w:val="en-US" w:eastAsia="zh-CN" w:bidi="ar-SA"/>
              </w:rPr>
              <w:t>加3分。</w:t>
            </w:r>
          </w:p>
          <w:p w14:paraId="6D6ADCA0">
            <w:pPr>
              <w:pStyle w:val="17"/>
              <w:numPr>
                <w:ilvl w:val="0"/>
                <w:numId w:val="4"/>
              </w:numPr>
              <w:tabs>
                <w:tab w:val="clear" w:pos="312"/>
              </w:tabs>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(满分5分）</w:t>
            </w:r>
            <w:r>
              <w:rPr>
                <w:rFonts w:hint="eastAsia" w:ascii="方正仿宋_GBK" w:hAnsi="方正仿宋_GBK" w:eastAsia="方正仿宋_GBK"/>
                <w:color w:val="auto"/>
                <w:kern w:val="0"/>
                <w:sz w:val="24"/>
                <w:szCs w:val="24"/>
                <w:lang w:val="en-US" w:eastAsia="zh-CN" w:bidi="ar-SA"/>
              </w:rPr>
              <w:t>投标人自有或租凭的蔬菜种植基地。种植基地累计面积达到200亩（含）得2分；少于200亩或无基地的不得分。在200亩基础上，面积增加100亩</w:t>
            </w:r>
            <w:r>
              <w:rPr>
                <w:rFonts w:hint="eastAsia" w:ascii="方正仿宋_GBK" w:hAnsi="方正仿宋_GBK" w:eastAsia="方正仿宋_GBK"/>
                <w:color w:val="000000"/>
                <w:kern w:val="0"/>
                <w:sz w:val="24"/>
                <w:szCs w:val="24"/>
                <w:lang w:val="en-US" w:eastAsia="zh-CN" w:bidi="ar-SA"/>
              </w:rPr>
              <w:t>（含）加1分；面积增加200亩（含）加2分；面积增加300亩及以上加3分。</w:t>
            </w:r>
          </w:p>
          <w:p w14:paraId="5AE2DFF3">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4.（满分4分）有专用配送冷链车辆。每提供一辆得1分，每增加一辆加1分，以此类推，拥有四辆及以上得4分；无专用配送冷链车辆则不得分。</w:t>
            </w:r>
          </w:p>
          <w:p w14:paraId="21596DA0">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5.</w:t>
            </w:r>
            <w:r>
              <w:rPr>
                <w:rFonts w:hint="eastAsia" w:ascii="方正仿宋_GBK" w:hAnsi="方正仿宋_GBK" w:eastAsia="方正仿宋_GBK"/>
                <w:color w:val="000000"/>
                <w:kern w:val="0"/>
                <w:sz w:val="24"/>
                <w:lang w:val="en-US" w:eastAsia="zh-CN" w:bidi="ar-SA"/>
              </w:rPr>
              <w:t>（满分2分）</w:t>
            </w:r>
            <w:r>
              <w:rPr>
                <w:rFonts w:hint="eastAsia" w:ascii="方正仿宋_GBK" w:hAnsi="方正仿宋_GBK" w:eastAsia="方正仿宋_GBK"/>
                <w:color w:val="000000"/>
                <w:kern w:val="0"/>
                <w:sz w:val="24"/>
                <w:szCs w:val="24"/>
                <w:lang w:val="en-US" w:eastAsia="zh-CN" w:bidi="ar-SA"/>
              </w:rPr>
              <w:t xml:space="preserve">投标人自有生猪定点屠宰企业，或与生猪定点屠宰企业签订长期（时间为壹年以上）供货合作协议的得2分。                                                                                                                                 </w:t>
            </w:r>
          </w:p>
          <w:p w14:paraId="70FC0BC2">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6.（满分5分）购买食品安全责任险，且在有效期内。食品安全责任险保额500万元（含）且单次事故赔付限额不低于200万元得2分；少于500万元或无食品安全责任险的不得分。每增加1000万元责任险保额加1分，以此类推；责任险保额达到3500万元及以上得5分。需提供有效期内的保险合同或有效期内的保单复印件，未提供不得分。</w:t>
            </w:r>
          </w:p>
          <w:p w14:paraId="736B9573">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r>
              <w:rPr>
                <w:rFonts w:hint="eastAsia" w:ascii="方正仿宋_GBK" w:hAnsi="方正仿宋_GBK" w:eastAsia="方正仿宋_GBK"/>
                <w:color w:val="000000"/>
                <w:kern w:val="0"/>
                <w:sz w:val="24"/>
                <w:szCs w:val="24"/>
                <w:lang w:val="en-US" w:eastAsia="zh-CN" w:bidi="ar-SA"/>
              </w:rPr>
              <w:t>7.</w:t>
            </w:r>
            <w:r>
              <w:rPr>
                <w:rFonts w:hint="eastAsia" w:ascii="方正仿宋_GBK" w:hAnsi="方正仿宋_GBK" w:eastAsia="方正仿宋_GBK"/>
                <w:color w:val="000000"/>
                <w:kern w:val="0"/>
                <w:sz w:val="24"/>
                <w:lang w:val="en-US" w:eastAsia="zh-CN" w:bidi="ar-SA"/>
              </w:rPr>
              <w:t>（满分2分）</w:t>
            </w:r>
            <w:r>
              <w:rPr>
                <w:rFonts w:hint="eastAsia" w:ascii="方正仿宋_GBK" w:hAnsi="方正仿宋_GBK" w:eastAsia="方正仿宋_GBK"/>
                <w:color w:val="000000"/>
                <w:kern w:val="0"/>
                <w:sz w:val="24"/>
                <w:szCs w:val="24"/>
                <w:lang w:val="en-US" w:eastAsia="zh-CN" w:bidi="ar-SA"/>
              </w:rPr>
              <w:t>投标人具备危害分析与关键控制点体系认证证书，得2分。</w:t>
            </w:r>
          </w:p>
          <w:p w14:paraId="30CF7D98">
            <w:pPr>
              <w:pStyle w:val="17"/>
              <w:numPr>
                <w:ilvl w:val="0"/>
                <w:numId w:val="0"/>
              </w:numPr>
              <w:spacing w:line="380" w:lineRule="exact"/>
              <w:jc w:val="both"/>
              <w:rPr>
                <w:rFonts w:hint="eastAsia" w:ascii="方正仿宋_GBK" w:hAnsi="方正仿宋_GBK" w:eastAsia="方正仿宋_GBK"/>
                <w:color w:val="000000"/>
                <w:kern w:val="0"/>
                <w:sz w:val="24"/>
                <w:lang w:val="en-US" w:eastAsia="zh-CN" w:bidi="ar-SA"/>
              </w:rPr>
            </w:pPr>
            <w:r>
              <w:rPr>
                <w:rFonts w:hint="eastAsia" w:ascii="方正仿宋_GBK" w:hAnsi="方正仿宋_GBK" w:eastAsia="方正仿宋_GBK"/>
                <w:color w:val="000000"/>
                <w:kern w:val="0"/>
                <w:sz w:val="24"/>
                <w:szCs w:val="24"/>
                <w:lang w:val="en-US" w:eastAsia="zh-CN" w:bidi="ar-SA"/>
              </w:rPr>
              <w:t>8.</w:t>
            </w:r>
            <w:r>
              <w:rPr>
                <w:rFonts w:hint="eastAsia" w:ascii="方正仿宋_GBK" w:hAnsi="方正仿宋_GBK" w:eastAsia="方正仿宋_GBK"/>
                <w:color w:val="000000"/>
                <w:kern w:val="0"/>
                <w:sz w:val="24"/>
                <w:lang w:val="en-US" w:eastAsia="zh-CN" w:bidi="ar-SA"/>
              </w:rPr>
              <w:t>（满分2分）</w:t>
            </w:r>
            <w:r>
              <w:rPr>
                <w:rFonts w:hint="eastAsia" w:ascii="方正仿宋_GBK" w:hAnsi="方正仿宋_GBK" w:eastAsia="方正仿宋_GBK"/>
                <w:color w:val="000000"/>
                <w:kern w:val="0"/>
                <w:sz w:val="24"/>
                <w:szCs w:val="24"/>
                <w:lang w:val="en-US" w:eastAsia="zh-CN" w:bidi="ar-SA"/>
              </w:rPr>
              <w:t>投标人拟投入本项目的配送服务团队中，具有食品安全检测专业技术人员得2分。</w:t>
            </w:r>
          </w:p>
          <w:p w14:paraId="38780812">
            <w:pPr>
              <w:pStyle w:val="17"/>
              <w:numPr>
                <w:ilvl w:val="0"/>
                <w:numId w:val="0"/>
              </w:numPr>
              <w:spacing w:line="380" w:lineRule="exact"/>
              <w:jc w:val="both"/>
              <w:rPr>
                <w:rFonts w:hint="eastAsia" w:ascii="方正仿宋_GBK" w:hAnsi="方正仿宋_GBK" w:eastAsia="方正仿宋_GBK"/>
                <w:color w:val="000000"/>
                <w:kern w:val="0"/>
                <w:sz w:val="24"/>
                <w:lang w:val="en-US" w:eastAsia="zh-CN" w:bidi="ar-SA"/>
              </w:rPr>
            </w:pPr>
            <w:r>
              <w:rPr>
                <w:rFonts w:hint="eastAsia" w:ascii="方正仿宋_GBK" w:hAnsi="方正仿宋_GBK" w:eastAsia="方正仿宋_GBK"/>
                <w:color w:val="000000"/>
                <w:kern w:val="0"/>
                <w:sz w:val="24"/>
                <w:lang w:val="en-US" w:eastAsia="zh-CN" w:bidi="ar-SA"/>
              </w:rPr>
              <w:t>9、（满分3分）投标人近3年来独立完成服务3个大中型单位（单日用餐人数120人以上）或供应</w:t>
            </w:r>
            <w:r>
              <w:rPr>
                <w:rFonts w:hint="eastAsia" w:ascii="方正仿宋_GBK" w:hAnsi="方正仿宋_GBK" w:eastAsia="方正仿宋_GBK"/>
                <w:color w:val="000000"/>
                <w:kern w:val="2"/>
                <w:sz w:val="24"/>
                <w:szCs w:val="24"/>
                <w:lang w:val="en-US" w:eastAsia="zh-CN" w:bidi="ar-SA"/>
              </w:rPr>
              <w:t>营业面积在1000平米（含）以上的超市</w:t>
            </w:r>
            <w:r>
              <w:rPr>
                <w:rFonts w:hint="eastAsia" w:ascii="方正仿宋_GBK" w:hAnsi="方正仿宋_GBK" w:eastAsia="方正仿宋_GBK"/>
                <w:color w:val="000000"/>
                <w:kern w:val="0"/>
                <w:sz w:val="24"/>
                <w:lang w:val="en-US" w:eastAsia="zh-CN" w:bidi="ar-SA"/>
              </w:rPr>
              <w:t>累计达到500万元的业绩得1分。在此基础上，每增加服务供应金额达到200万元（含）加1分；达到400万元及以上加2分。</w:t>
            </w:r>
          </w:p>
          <w:p w14:paraId="6360236C">
            <w:pPr>
              <w:pStyle w:val="17"/>
              <w:numPr>
                <w:ilvl w:val="0"/>
                <w:numId w:val="0"/>
              </w:numPr>
              <w:spacing w:line="380" w:lineRule="exact"/>
              <w:jc w:val="both"/>
              <w:rPr>
                <w:rFonts w:hint="eastAsia" w:ascii="方正仿宋_GBK" w:hAnsi="方正仿宋_GBK" w:eastAsia="方正仿宋_GBK"/>
                <w:color w:val="000000"/>
                <w:kern w:val="0"/>
                <w:sz w:val="24"/>
                <w:szCs w:val="24"/>
                <w:lang w:val="en-US" w:eastAsia="zh-CN" w:bidi="ar-SA"/>
              </w:rPr>
            </w:pPr>
          </w:p>
        </w:tc>
        <w:tc>
          <w:tcPr>
            <w:tcW w:w="2282" w:type="dxa"/>
            <w:vAlign w:val="center"/>
          </w:tcPr>
          <w:p w14:paraId="6DC29592">
            <w:pPr>
              <w:widowControl/>
              <w:numPr>
                <w:ilvl w:val="0"/>
                <w:numId w:val="5"/>
              </w:numPr>
              <w:spacing w:line="240" w:lineRule="atLeast"/>
              <w:rPr>
                <w:rFonts w:hint="eastAsia" w:ascii="方正仿宋_GBK" w:hAnsi="方正仿宋_GBK" w:eastAsia="方正仿宋_GBK"/>
                <w:color w:val="000000"/>
                <w:kern w:val="0"/>
                <w:sz w:val="21"/>
                <w:szCs w:val="21"/>
                <w:lang w:val="en-US" w:eastAsia="zh-CN" w:bidi="ar-SA"/>
              </w:rPr>
            </w:pPr>
            <w:r>
              <w:rPr>
                <w:rFonts w:hint="eastAsia" w:ascii="方正仿宋_GBK" w:hAnsi="方正仿宋_GBK" w:eastAsia="方正仿宋_GBK"/>
                <w:color w:val="000000"/>
                <w:kern w:val="0"/>
                <w:sz w:val="21"/>
                <w:szCs w:val="21"/>
                <w:lang w:val="en-US" w:eastAsia="zh-CN" w:bidi="ar-SA"/>
              </w:rPr>
              <w:t>对库房、冻库（冷藏库）。如为自有，提供产权证复印件、现场彩色照片。如为租赁，提供租赁合同复印件以及现场彩色照片。</w:t>
            </w:r>
          </w:p>
          <w:p w14:paraId="4D58A7FD">
            <w:pPr>
              <w:widowControl/>
              <w:numPr>
                <w:ilvl w:val="0"/>
                <w:numId w:val="0"/>
              </w:numPr>
              <w:spacing w:line="240" w:lineRule="atLeast"/>
              <w:rPr>
                <w:rFonts w:hint="eastAsia" w:ascii="方正仿宋_GBK" w:hAnsi="方正仿宋_GBK" w:eastAsia="方正仿宋_GBK"/>
                <w:color w:val="000000"/>
                <w:kern w:val="0"/>
                <w:sz w:val="21"/>
                <w:szCs w:val="21"/>
                <w:lang w:val="en-US" w:eastAsia="zh-CN" w:bidi="ar-SA"/>
              </w:rPr>
            </w:pPr>
            <w:r>
              <w:rPr>
                <w:rFonts w:hint="eastAsia" w:ascii="方正仿宋_GBK" w:hAnsi="方正仿宋_GBK" w:eastAsia="方正仿宋_GBK"/>
                <w:color w:val="000000"/>
                <w:kern w:val="0"/>
                <w:sz w:val="21"/>
                <w:szCs w:val="21"/>
                <w:lang w:val="en-US" w:eastAsia="zh-CN" w:bidi="ar-SA"/>
              </w:rPr>
              <w:t>2.自有蔬菜基地需提供《土地流转合同》，有效的土地使用证明复印件、基地图片等，能证明其存在并被投标人所拥有（或控制）的材料。合作基地提供有效的合作协议书复印件、基地图片。</w:t>
            </w:r>
          </w:p>
          <w:p w14:paraId="3251BD8B">
            <w:pPr>
              <w:numPr>
                <w:ilvl w:val="0"/>
                <w:numId w:val="0"/>
              </w:numPr>
              <w:spacing w:line="380" w:lineRule="exact"/>
              <w:ind w:leftChars="0"/>
              <w:jc w:val="both"/>
              <w:rPr>
                <w:rFonts w:hint="eastAsia" w:ascii="方正仿宋_GBK" w:hAnsi="方正仿宋_GBK" w:eastAsia="方正仿宋_GBK"/>
                <w:color w:val="000000"/>
                <w:kern w:val="0"/>
                <w:sz w:val="21"/>
                <w:szCs w:val="21"/>
                <w:lang w:val="en-US" w:eastAsia="zh-CN" w:bidi="ar-SA"/>
              </w:rPr>
            </w:pPr>
            <w:r>
              <w:rPr>
                <w:rFonts w:hint="eastAsia" w:ascii="方正仿宋_GBK" w:hAnsi="方正仿宋_GBK" w:eastAsia="方正仿宋_GBK"/>
                <w:color w:val="000000"/>
                <w:kern w:val="0"/>
                <w:sz w:val="21"/>
                <w:szCs w:val="21"/>
                <w:lang w:val="en-US" w:eastAsia="zh-CN" w:bidi="ar-SA"/>
              </w:rPr>
              <w:t>3.对专用配送冷链车辆。属投标人自有的，须提供车辆行驶证复印件（车主名称须与投标人名称完全一致），以及车身照片（车牌号须清晰可见），否则不得分。属投标人租赁的，须提供车身照片（车牌号须清晰可见）、车辆行驶证复印件、以及租赁合同复印件，否则不得分。</w:t>
            </w:r>
          </w:p>
        </w:tc>
      </w:tr>
      <w:tr w14:paraId="7DEF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Merge w:val="restart"/>
            <w:vAlign w:val="center"/>
          </w:tcPr>
          <w:p w14:paraId="409FE776">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3</w:t>
            </w:r>
          </w:p>
        </w:tc>
        <w:tc>
          <w:tcPr>
            <w:tcW w:w="1054" w:type="dxa"/>
            <w:vMerge w:val="restart"/>
            <w:vAlign w:val="center"/>
          </w:tcPr>
          <w:p w14:paraId="703E4911">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服务</w:t>
            </w:r>
          </w:p>
        </w:tc>
        <w:tc>
          <w:tcPr>
            <w:tcW w:w="553" w:type="dxa"/>
            <w:vMerge w:val="restart"/>
            <w:vAlign w:val="center"/>
          </w:tcPr>
          <w:p w14:paraId="5BE6331D">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12</w:t>
            </w:r>
          </w:p>
        </w:tc>
        <w:tc>
          <w:tcPr>
            <w:tcW w:w="4101" w:type="dxa"/>
            <w:vAlign w:val="center"/>
          </w:tcPr>
          <w:p w14:paraId="38D94D93">
            <w:pPr>
              <w:keepNext w:val="0"/>
              <w:keepLines w:val="0"/>
              <w:pageBreakBefore w:val="0"/>
              <w:widowControl/>
              <w:numPr>
                <w:ilvl w:val="0"/>
                <w:numId w:val="6"/>
              </w:numPr>
              <w:kinsoku/>
              <w:wordWrap/>
              <w:overflowPunct/>
              <w:topLinePunct w:val="0"/>
              <w:bidi w:val="0"/>
              <w:snapToGrid/>
              <w:spacing w:line="380" w:lineRule="exact"/>
              <w:jc w:val="left"/>
              <w:rPr>
                <w:rFonts w:hint="eastAsia" w:ascii="方正仿宋_GBK" w:hAnsi="方正仿宋_GBK" w:eastAsia="方正仿宋_GBK"/>
                <w:color w:val="000000"/>
                <w:kern w:val="0"/>
                <w:sz w:val="24"/>
                <w:szCs w:val="24"/>
                <w:lang w:val="en-US" w:eastAsia="zh-CN"/>
              </w:rPr>
            </w:pPr>
            <w:r>
              <w:rPr>
                <w:rFonts w:hint="eastAsia" w:ascii="方正仿宋_GBK" w:hAnsi="方正仿宋_GBK" w:eastAsia="方正仿宋_GBK"/>
                <w:color w:val="000000"/>
                <w:kern w:val="0"/>
                <w:sz w:val="24"/>
                <w:szCs w:val="24"/>
                <w:lang w:val="en-US" w:eastAsia="zh-CN"/>
              </w:rPr>
              <w:t>应急保障方案（满分6分）：评审小组根据方案情况打分</w:t>
            </w:r>
            <w:r>
              <w:rPr>
                <w:rFonts w:ascii="方正仿宋_GBK" w:hAnsi="方正仿宋_GBK" w:eastAsia="方正仿宋_GBK"/>
                <w:color w:val="000000"/>
                <w:kern w:val="0"/>
                <w:sz w:val="24"/>
                <w:szCs w:val="24"/>
                <w:lang w:eastAsia="zh-CN"/>
              </w:rPr>
              <w:t>。</w:t>
            </w:r>
          </w:p>
        </w:tc>
        <w:tc>
          <w:tcPr>
            <w:tcW w:w="2282" w:type="dxa"/>
            <w:vMerge w:val="restart"/>
            <w:vAlign w:val="center"/>
          </w:tcPr>
          <w:p w14:paraId="79E40959">
            <w:pPr>
              <w:keepNext w:val="0"/>
              <w:keepLines w:val="0"/>
              <w:pageBreakBefore w:val="0"/>
              <w:kinsoku/>
              <w:wordWrap/>
              <w:overflowPunct/>
              <w:topLinePunct w:val="0"/>
              <w:bidi w:val="0"/>
              <w:snapToGrid/>
              <w:spacing w:line="380" w:lineRule="exact"/>
              <w:jc w:val="left"/>
              <w:rPr>
                <w:rFonts w:hint="eastAsia" w:ascii="方正仿宋_GBK" w:hAnsi="方正仿宋_GBK" w:eastAsia="方正仿宋_GBK"/>
                <w:color w:val="000000"/>
                <w:kern w:val="0"/>
                <w:sz w:val="21"/>
                <w:szCs w:val="21"/>
                <w:lang w:val="en-US" w:eastAsia="zh-CN"/>
              </w:rPr>
            </w:pPr>
            <w:r>
              <w:rPr>
                <w:rFonts w:hint="eastAsia" w:ascii="方正仿宋_GBK" w:hAnsi="方正仿宋_GBK" w:eastAsia="方正仿宋_GBK"/>
                <w:color w:val="000000"/>
                <w:kern w:val="0"/>
                <w:sz w:val="21"/>
                <w:szCs w:val="21"/>
                <w:lang w:val="en-US" w:eastAsia="zh-CN"/>
              </w:rPr>
              <w:t>1、应包含：企业介绍材料、服务态度、送货质量、诚信等，方案详实，贴切实际、实用性强；</w:t>
            </w:r>
          </w:p>
          <w:p w14:paraId="61F2D775">
            <w:pPr>
              <w:keepNext w:val="0"/>
              <w:keepLines w:val="0"/>
              <w:pageBreakBefore w:val="0"/>
              <w:kinsoku/>
              <w:wordWrap/>
              <w:overflowPunct/>
              <w:topLinePunct w:val="0"/>
              <w:bidi w:val="0"/>
              <w:snapToGrid/>
              <w:spacing w:line="380" w:lineRule="exact"/>
              <w:jc w:val="both"/>
              <w:rPr>
                <w:rFonts w:hint="eastAsia" w:ascii="方正仿宋_GBK" w:hAnsi="方正仿宋_GBK" w:eastAsia="方正仿宋_GBK"/>
                <w:color w:val="000000"/>
                <w:kern w:val="0"/>
                <w:sz w:val="21"/>
                <w:szCs w:val="21"/>
                <w:lang w:val="en-US" w:eastAsia="zh-CN"/>
              </w:rPr>
            </w:pPr>
            <w:r>
              <w:rPr>
                <w:rFonts w:hint="eastAsia" w:ascii="方正仿宋_GBK" w:hAnsi="方正仿宋_GBK" w:eastAsia="方正仿宋_GBK"/>
                <w:color w:val="000000"/>
                <w:kern w:val="0"/>
                <w:sz w:val="21"/>
                <w:szCs w:val="21"/>
                <w:lang w:val="en-US" w:eastAsia="zh-CN"/>
              </w:rPr>
              <w:t>2、包括响应时间、服务承诺、退货、换货承诺。</w:t>
            </w:r>
          </w:p>
          <w:p w14:paraId="0120AE76">
            <w:pPr>
              <w:keepNext w:val="0"/>
              <w:keepLines w:val="0"/>
              <w:pageBreakBefore w:val="0"/>
              <w:kinsoku/>
              <w:wordWrap/>
              <w:overflowPunct/>
              <w:topLinePunct w:val="0"/>
              <w:bidi w:val="0"/>
              <w:snapToGrid/>
              <w:spacing w:line="380" w:lineRule="exact"/>
              <w:jc w:val="both"/>
              <w:rPr>
                <w:rFonts w:ascii="方正仿宋_GBK" w:hAnsi="方正仿宋_GBK" w:eastAsia="方正仿宋_GBK"/>
                <w:color w:val="000000"/>
                <w:kern w:val="0"/>
                <w:sz w:val="24"/>
                <w:szCs w:val="24"/>
                <w:lang w:val="en-US" w:eastAsia="zh-CN"/>
              </w:rPr>
            </w:pPr>
          </w:p>
        </w:tc>
      </w:tr>
      <w:tr w14:paraId="3DCF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Merge w:val="continue"/>
            <w:vAlign w:val="center"/>
          </w:tcPr>
          <w:p w14:paraId="22392028">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p>
        </w:tc>
        <w:tc>
          <w:tcPr>
            <w:tcW w:w="1054" w:type="dxa"/>
            <w:vMerge w:val="continue"/>
            <w:vAlign w:val="center"/>
          </w:tcPr>
          <w:p w14:paraId="6FF06E5F">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p>
        </w:tc>
        <w:tc>
          <w:tcPr>
            <w:tcW w:w="553" w:type="dxa"/>
            <w:vMerge w:val="continue"/>
            <w:vAlign w:val="center"/>
          </w:tcPr>
          <w:p w14:paraId="5A92F6D9">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p>
        </w:tc>
        <w:tc>
          <w:tcPr>
            <w:tcW w:w="4101" w:type="dxa"/>
            <w:vAlign w:val="center"/>
          </w:tcPr>
          <w:p w14:paraId="76F8670B">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 xml:space="preserve">2、日常物资保障方案（满分6分）： </w:t>
            </w:r>
          </w:p>
          <w:p w14:paraId="3A3211FD">
            <w:pPr>
              <w:ind w:firstLine="28"/>
              <w:jc w:val="left"/>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方案详实，贴切实际、实用性强为优，评审小组根据方案情况打分。</w:t>
            </w:r>
          </w:p>
          <w:p w14:paraId="1723A86E">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p>
        </w:tc>
        <w:tc>
          <w:tcPr>
            <w:tcW w:w="2282" w:type="dxa"/>
            <w:vMerge w:val="continue"/>
            <w:vAlign w:val="center"/>
          </w:tcPr>
          <w:p w14:paraId="7315A55D">
            <w:pPr>
              <w:keepNext w:val="0"/>
              <w:keepLines w:val="0"/>
              <w:pageBreakBefore w:val="0"/>
              <w:kinsoku/>
              <w:wordWrap/>
              <w:overflowPunct/>
              <w:topLinePunct w:val="0"/>
              <w:bidi w:val="0"/>
              <w:snapToGrid/>
              <w:spacing w:line="380" w:lineRule="exact"/>
              <w:jc w:val="both"/>
              <w:rPr>
                <w:rFonts w:hint="eastAsia" w:ascii="方正仿宋_GBK" w:hAnsi="方正仿宋_GBK" w:eastAsia="方正仿宋_GBK"/>
                <w:kern w:val="2"/>
                <w:sz w:val="24"/>
                <w:szCs w:val="24"/>
                <w:lang w:val="en-US" w:eastAsia="zh-CN" w:bidi="ar-SA"/>
              </w:rPr>
            </w:pPr>
          </w:p>
        </w:tc>
      </w:tr>
      <w:tr w14:paraId="694A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6CF7B3D9">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4</w:t>
            </w:r>
          </w:p>
        </w:tc>
        <w:tc>
          <w:tcPr>
            <w:tcW w:w="1054" w:type="dxa"/>
            <w:vAlign w:val="center"/>
          </w:tcPr>
          <w:p w14:paraId="5F285FC6">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质量及安全保证措施</w:t>
            </w:r>
          </w:p>
        </w:tc>
        <w:tc>
          <w:tcPr>
            <w:tcW w:w="553" w:type="dxa"/>
            <w:vAlign w:val="center"/>
          </w:tcPr>
          <w:p w14:paraId="5263CD73">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10</w:t>
            </w:r>
          </w:p>
        </w:tc>
        <w:tc>
          <w:tcPr>
            <w:tcW w:w="4101" w:type="dxa"/>
            <w:vAlign w:val="center"/>
          </w:tcPr>
          <w:p w14:paraId="18725F45">
            <w:pPr>
              <w:keepNext w:val="0"/>
              <w:keepLines w:val="0"/>
              <w:pageBreakBefore w:val="0"/>
              <w:widowControl/>
              <w:kinsoku/>
              <w:wordWrap/>
              <w:overflowPunct/>
              <w:topLinePunct w:val="0"/>
              <w:bidi w:val="0"/>
              <w:snapToGrid/>
              <w:spacing w:line="380" w:lineRule="exact"/>
              <w:jc w:val="left"/>
              <w:rPr>
                <w:rFonts w:hint="eastAsia" w:ascii="方正仿宋_GBK" w:hAnsi="方正仿宋_GBK" w:eastAsia="方正仿宋_GBK"/>
                <w:kern w:val="2"/>
                <w:sz w:val="24"/>
                <w:szCs w:val="24"/>
                <w:lang w:val="en-US" w:eastAsia="zh-CN" w:bidi="ar-SA"/>
              </w:rPr>
            </w:pPr>
            <w:r>
              <w:rPr>
                <w:rFonts w:hint="eastAsia" w:ascii="方正仿宋_GBK" w:hAnsi="方正仿宋_GBK" w:eastAsia="方正仿宋_GBK"/>
                <w:kern w:val="2"/>
                <w:sz w:val="24"/>
                <w:szCs w:val="24"/>
                <w:lang w:val="en-US" w:eastAsia="zh-CN" w:bidi="ar-SA"/>
              </w:rPr>
              <w:t>报价人针对本项目制定有食品卫生安全保障措施、预防食物中毒预案及针对本项目制定针对自身及询价人的食品安全培训计划；要求方案详实，贴切实际、实用性强为优，</w:t>
            </w:r>
            <w:r>
              <w:rPr>
                <w:rFonts w:hint="eastAsia" w:ascii="方正仿宋_GBK" w:hAnsi="方正仿宋_GBK" w:eastAsia="方正仿宋_GBK"/>
                <w:color w:val="000000"/>
                <w:kern w:val="0"/>
                <w:sz w:val="24"/>
                <w:szCs w:val="24"/>
                <w:lang w:val="en-US" w:eastAsia="zh-CN"/>
              </w:rPr>
              <w:t>评审小组根据方案情况打分</w:t>
            </w:r>
            <w:r>
              <w:rPr>
                <w:rFonts w:ascii="方正仿宋_GBK" w:hAnsi="方正仿宋_GBK" w:eastAsia="方正仿宋_GBK"/>
                <w:color w:val="000000"/>
                <w:kern w:val="0"/>
                <w:sz w:val="24"/>
                <w:szCs w:val="24"/>
                <w:lang w:eastAsia="zh-CN"/>
              </w:rPr>
              <w:t>。</w:t>
            </w:r>
            <w:r>
              <w:rPr>
                <w:rFonts w:hint="eastAsia" w:ascii="方正仿宋_GBK" w:hAnsi="方正仿宋_GBK" w:eastAsia="方正仿宋_GBK"/>
                <w:color w:val="FF0000"/>
                <w:sz w:val="21"/>
                <w:szCs w:val="21"/>
                <w:lang w:bidi="zh-TW"/>
              </w:rPr>
              <w:t xml:space="preserve"> </w:t>
            </w:r>
          </w:p>
        </w:tc>
        <w:tc>
          <w:tcPr>
            <w:tcW w:w="2282" w:type="dxa"/>
            <w:vMerge w:val="continue"/>
            <w:vAlign w:val="center"/>
          </w:tcPr>
          <w:p w14:paraId="79D1C11A">
            <w:pPr>
              <w:keepNext w:val="0"/>
              <w:keepLines w:val="0"/>
              <w:pageBreakBefore w:val="0"/>
              <w:kinsoku/>
              <w:wordWrap/>
              <w:overflowPunct/>
              <w:topLinePunct w:val="0"/>
              <w:bidi w:val="0"/>
              <w:snapToGrid/>
              <w:spacing w:line="380" w:lineRule="exact"/>
              <w:ind w:firstLine="0" w:firstLineChars="0"/>
              <w:jc w:val="center"/>
              <w:rPr>
                <w:rFonts w:hint="eastAsia" w:ascii="方正仿宋_GBK" w:hAnsi="方正仿宋_GBK" w:eastAsia="方正仿宋_GBK"/>
                <w:kern w:val="2"/>
                <w:sz w:val="24"/>
                <w:szCs w:val="24"/>
                <w:lang w:val="en-US" w:eastAsia="zh-CN" w:bidi="ar-SA"/>
              </w:rPr>
            </w:pPr>
          </w:p>
        </w:tc>
      </w:tr>
    </w:tbl>
    <w:p w14:paraId="6F647D2E">
      <w:pPr>
        <w:snapToGrid w:val="0"/>
        <w:spacing w:line="520" w:lineRule="exact"/>
        <w:rPr>
          <w:rFonts w:hint="eastAsia" w:ascii="方正仿宋_GBK" w:hAnsi="宋体" w:eastAsia="方正仿宋_GBK"/>
          <w:sz w:val="24"/>
          <w:szCs w:val="24"/>
        </w:rPr>
      </w:pPr>
    </w:p>
    <w:p w14:paraId="7432F7D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2、成交原则</w:t>
      </w:r>
    </w:p>
    <w:p w14:paraId="1678DC32">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采购人根据质量和服务均能满足</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实质性要求的</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单位中，</w:t>
      </w:r>
      <w:r>
        <w:rPr>
          <w:rFonts w:hint="eastAsia" w:ascii="方正仿宋_GBK" w:hAnsi="宋体" w:eastAsia="方正仿宋_GBK"/>
          <w:sz w:val="24"/>
          <w:szCs w:val="24"/>
          <w:lang w:eastAsia="zh-CN"/>
        </w:rPr>
        <w:t>得分最高</w:t>
      </w:r>
      <w:r>
        <w:rPr>
          <w:rFonts w:hint="eastAsia" w:ascii="方正仿宋_GBK" w:hAnsi="宋体" w:eastAsia="方正仿宋_GBK"/>
          <w:sz w:val="24"/>
          <w:szCs w:val="24"/>
        </w:rPr>
        <w:t>者为第一候选人。</w:t>
      </w:r>
    </w:p>
    <w:p w14:paraId="49B217F9">
      <w:pPr>
        <w:snapToGrid w:val="0"/>
        <w:spacing w:line="52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人或其响应文件发生以下条款情况之一者，视为无效报价：</w:t>
      </w:r>
    </w:p>
    <w:p w14:paraId="23240BB8">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（1）无主要的有效资格证明的响应文件。 </w:t>
      </w:r>
    </w:p>
    <w:p w14:paraId="4D4969E6">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（2）响应文件不按规定的格式、内容填写或不按规定签字、盖章。 </w:t>
      </w:r>
    </w:p>
    <w:p w14:paraId="6AC7C36B">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（3）响应文件的内容不满足报价要求。</w:t>
      </w:r>
    </w:p>
    <w:p w14:paraId="1E26117D">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（4）报价</w:t>
      </w:r>
      <w:r>
        <w:rPr>
          <w:rFonts w:hint="eastAsia" w:ascii="方正仿宋_GBK" w:hAnsi="宋体" w:eastAsia="方正仿宋_GBK"/>
          <w:sz w:val="24"/>
          <w:szCs w:val="24"/>
          <w:lang w:eastAsia="zh-CN"/>
        </w:rPr>
        <w:t>等于或</w:t>
      </w:r>
      <w:r>
        <w:rPr>
          <w:rFonts w:hint="eastAsia" w:ascii="方正仿宋_GBK" w:hAnsi="宋体" w:eastAsia="方正仿宋_GBK"/>
          <w:sz w:val="24"/>
          <w:szCs w:val="24"/>
        </w:rPr>
        <w:t>高于采购限价的。</w:t>
      </w:r>
    </w:p>
    <w:p w14:paraId="184E1F93">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（5）询价响应人的资质不符合本</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第二</w:t>
      </w:r>
      <w:r>
        <w:rPr>
          <w:rFonts w:hint="eastAsia" w:ascii="方正仿宋_GBK" w:hAnsi="宋体" w:eastAsia="方正仿宋_GBK"/>
          <w:sz w:val="24"/>
          <w:szCs w:val="24"/>
          <w:lang w:val="en-US" w:eastAsia="zh-CN"/>
        </w:rPr>
        <w:t>章</w:t>
      </w:r>
      <w:r>
        <w:rPr>
          <w:rFonts w:hint="eastAsia" w:ascii="方正仿宋_GBK" w:hAnsi="宋体" w:eastAsia="方正仿宋_GBK"/>
          <w:sz w:val="24"/>
          <w:szCs w:val="24"/>
        </w:rPr>
        <w:t>“</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w:t>
      </w:r>
      <w:r>
        <w:rPr>
          <w:rFonts w:hint="eastAsia" w:ascii="方正仿宋_GBK" w:hAnsi="宋体" w:eastAsia="方正仿宋_GBK"/>
          <w:sz w:val="24"/>
          <w:szCs w:val="24"/>
          <w:lang w:val="en-US" w:eastAsia="zh-CN"/>
        </w:rPr>
        <w:t>须知</w:t>
      </w:r>
      <w:r>
        <w:rPr>
          <w:rFonts w:hint="eastAsia" w:ascii="方正仿宋_GBK" w:hAnsi="宋体" w:eastAsia="方正仿宋_GBK"/>
          <w:sz w:val="24"/>
          <w:szCs w:val="24"/>
        </w:rPr>
        <w:t>”要求的内容。</w:t>
      </w:r>
    </w:p>
    <w:p w14:paraId="0727DEC5">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人未在规定时间内，按照</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要求提交完整的纸质证明材料的。</w:t>
      </w:r>
    </w:p>
    <w:p w14:paraId="624F427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文件含有与国家现行法律法规相违背的内容，或附有采购人无法接受的条件。</w:t>
      </w:r>
    </w:p>
    <w:p w14:paraId="4852368B">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5、出现下列情形之一的，采购人应当终止询价采购活动，发布项目终止公告并说明原因，重新开展采购活动：</w:t>
      </w:r>
    </w:p>
    <w:p w14:paraId="07FB4216">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（1）因情况变化，不再符合规定的</w:t>
      </w:r>
      <w:r>
        <w:rPr>
          <w:rFonts w:hint="eastAsia" w:ascii="方正仿宋_GBK" w:hAnsi="宋体" w:eastAsia="方正仿宋_GBK"/>
          <w:sz w:val="24"/>
          <w:szCs w:val="24"/>
          <w:lang w:eastAsia="zh-CN"/>
        </w:rPr>
        <w:t>竞争性比选</w:t>
      </w:r>
      <w:r>
        <w:rPr>
          <w:rFonts w:hint="eastAsia" w:ascii="方正仿宋_GBK" w:hAnsi="宋体" w:eastAsia="方正仿宋_GBK"/>
          <w:sz w:val="24"/>
          <w:szCs w:val="24"/>
        </w:rPr>
        <w:t>采购方式适用情形的；</w:t>
      </w:r>
    </w:p>
    <w:p w14:paraId="53159F2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（2）出现影响采购公正的违法、违规行为的；</w:t>
      </w:r>
    </w:p>
    <w:p w14:paraId="0E6AA200">
      <w:pPr>
        <w:pStyle w:val="8"/>
        <w:spacing w:line="520" w:lineRule="exact"/>
        <w:ind w:firstLine="527"/>
        <w:rPr>
          <w:rFonts w:hint="eastAsia" w:ascii="方正仿宋_GBK" w:hAnsi="宋体" w:eastAsia="方正仿宋_GBK"/>
          <w:sz w:val="24"/>
          <w:szCs w:val="24"/>
          <w:lang w:eastAsia="zh-CN"/>
        </w:rPr>
      </w:pPr>
      <w:bookmarkStart w:id="5" w:name="_Toc379814659"/>
      <w:bookmarkStart w:id="6" w:name="_Toc187655633"/>
      <w:bookmarkStart w:id="7" w:name="_Toc102227321"/>
      <w:r>
        <w:rPr>
          <w:rFonts w:hint="eastAsia" w:ascii="方正仿宋_GBK" w:hAnsi="宋体" w:eastAsia="方正仿宋_GBK"/>
          <w:sz w:val="24"/>
          <w:szCs w:val="24"/>
          <w:lang w:eastAsia="zh-CN"/>
        </w:rPr>
        <w:t>六</w:t>
      </w:r>
      <w:r>
        <w:rPr>
          <w:rFonts w:hint="eastAsia" w:ascii="方正仿宋_GBK" w:hAnsi="宋体" w:eastAsia="方正仿宋_GBK"/>
          <w:sz w:val="24"/>
          <w:szCs w:val="24"/>
        </w:rPr>
        <w:t>、成交通知</w:t>
      </w:r>
      <w:bookmarkEnd w:id="5"/>
      <w:bookmarkEnd w:id="6"/>
      <w:bookmarkEnd w:id="7"/>
    </w:p>
    <w:p w14:paraId="2DD3B046">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.重庆渝蓉高速公路有限公司将以书面形式发出《中标通知书》。《中标通知书》一经发出即发生法律效力。</w:t>
      </w:r>
    </w:p>
    <w:p w14:paraId="78208A31">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2</w:t>
      </w:r>
      <w:r>
        <w:rPr>
          <w:rFonts w:hint="eastAsia" w:ascii="方正仿宋_GBK" w:hAnsi="宋体" w:eastAsia="方正仿宋_GBK"/>
          <w:sz w:val="24"/>
          <w:szCs w:val="24"/>
        </w:rPr>
        <w:t>.重庆渝蓉高速公路有限公司在发出《中标通知书》</w:t>
      </w:r>
      <w:r>
        <w:rPr>
          <w:rFonts w:hint="eastAsia" w:ascii="方正仿宋_GBK" w:hAnsi="宋体" w:eastAsia="方正仿宋_GBK"/>
          <w:sz w:val="24"/>
          <w:szCs w:val="24"/>
          <w:lang w:eastAsia="zh-CN"/>
        </w:rPr>
        <w:t>前</w:t>
      </w:r>
      <w:r>
        <w:rPr>
          <w:rFonts w:hint="eastAsia" w:ascii="方正仿宋_GBK" w:hAnsi="宋体" w:eastAsia="方正仿宋_GBK"/>
          <w:sz w:val="24"/>
          <w:szCs w:val="24"/>
        </w:rPr>
        <w:t>，应将中标结果</w:t>
      </w:r>
      <w:r>
        <w:rPr>
          <w:rFonts w:hint="eastAsia" w:ascii="方正仿宋_GBK" w:hAnsi="宋体" w:eastAsia="方正仿宋_GBK"/>
          <w:sz w:val="24"/>
          <w:szCs w:val="24"/>
          <w:lang w:eastAsia="zh-CN"/>
        </w:rPr>
        <w:t>发布在相应平台，竞标单位在相应的发布平台上查询</w:t>
      </w:r>
      <w:r>
        <w:rPr>
          <w:rFonts w:hint="eastAsia" w:ascii="方正仿宋_GBK" w:hAnsi="宋体" w:eastAsia="方正仿宋_GBK"/>
          <w:sz w:val="24"/>
          <w:szCs w:val="24"/>
        </w:rPr>
        <w:t>。</w:t>
      </w:r>
    </w:p>
    <w:p w14:paraId="6ADE665A">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3</w:t>
      </w:r>
      <w:r>
        <w:rPr>
          <w:rFonts w:hint="eastAsia" w:ascii="方正仿宋_GBK" w:hAnsi="宋体" w:eastAsia="方正仿宋_GBK"/>
          <w:sz w:val="24"/>
          <w:szCs w:val="24"/>
        </w:rPr>
        <w:t>.《中标通知书》将作为签订合同的依据。</w:t>
      </w:r>
    </w:p>
    <w:p w14:paraId="32883A7F">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4</w:t>
      </w:r>
      <w:r>
        <w:rPr>
          <w:rFonts w:hint="eastAsia" w:ascii="方正仿宋_GBK" w:hAnsi="宋体" w:eastAsia="方正仿宋_GBK"/>
          <w:sz w:val="24"/>
          <w:szCs w:val="24"/>
        </w:rPr>
        <w:t>.签订合同时，根据需要采购人有权提出对技术条件发生变化的货物作局部调整或变更数量，但需经供需双方共同认定。</w:t>
      </w:r>
    </w:p>
    <w:p w14:paraId="06CBE62B">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.中标单位按《中标通知书》指定时间、地点与采购人签订</w:t>
      </w:r>
      <w:r>
        <w:rPr>
          <w:rFonts w:hint="eastAsia" w:ascii="方正仿宋_GBK" w:hAnsi="宋体" w:eastAsia="方正仿宋_GBK"/>
          <w:sz w:val="24"/>
          <w:szCs w:val="24"/>
          <w:lang w:val="en-US" w:eastAsia="en-US"/>
        </w:rPr>
        <w:t>采购</w:t>
      </w:r>
      <w:r>
        <w:rPr>
          <w:rFonts w:hint="eastAsia" w:ascii="方正仿宋_GBK" w:hAnsi="宋体" w:eastAsia="方正仿宋_GBK"/>
          <w:sz w:val="24"/>
          <w:szCs w:val="24"/>
        </w:rPr>
        <w:t>合同。</w:t>
      </w:r>
    </w:p>
    <w:p w14:paraId="40F87BAA">
      <w:pPr>
        <w:snapToGrid w:val="0"/>
        <w:spacing w:line="520" w:lineRule="exact"/>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.如中标单位放弃中标项目或在签订合同时擅自改变中标状态的，重庆渝蓉高速公路有限公司将取消其中标资格，并列入不守信单位名单。</w:t>
      </w:r>
    </w:p>
    <w:p w14:paraId="738934B9">
      <w:pPr>
        <w:snapToGrid w:val="0"/>
        <w:spacing w:line="520" w:lineRule="exact"/>
        <w:ind w:firstLine="482" w:firstLineChars="200"/>
        <w:rPr>
          <w:rFonts w:hint="eastAsia" w:ascii="方正仿宋_GBK" w:hAnsi="宋体" w:eastAsia="方正仿宋_GBK"/>
          <w:b/>
          <w:bCs/>
          <w:sz w:val="24"/>
          <w:szCs w:val="24"/>
          <w:lang w:eastAsia="zh-CN"/>
        </w:rPr>
      </w:pPr>
      <w:r>
        <w:rPr>
          <w:rFonts w:hint="eastAsia" w:ascii="方正仿宋_GBK" w:hAnsi="宋体" w:eastAsia="方正仿宋_GBK"/>
          <w:b/>
          <w:bCs/>
          <w:sz w:val="24"/>
          <w:szCs w:val="24"/>
          <w:lang w:eastAsia="zh-CN"/>
        </w:rPr>
        <w:t>七</w:t>
      </w:r>
      <w:r>
        <w:rPr>
          <w:rFonts w:hint="eastAsia" w:ascii="方正仿宋_GBK" w:hAnsi="宋体" w:eastAsia="方正仿宋_GBK"/>
          <w:b/>
          <w:bCs/>
          <w:sz w:val="24"/>
          <w:szCs w:val="24"/>
        </w:rPr>
        <w:t>、签订合同</w:t>
      </w:r>
    </w:p>
    <w:p w14:paraId="6D9D4A86">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w:t>
      </w:r>
      <w:r>
        <w:rPr>
          <w:rFonts w:hint="eastAsia" w:ascii="方正仿宋_GBK" w:hAnsi="宋体" w:eastAsia="方正仿宋_GBK"/>
          <w:sz w:val="24"/>
          <w:szCs w:val="24"/>
          <w:lang w:val="en-US" w:eastAsia="en-US"/>
        </w:rPr>
        <w:t>供应</w:t>
      </w:r>
      <w:r>
        <w:rPr>
          <w:rFonts w:hint="eastAsia" w:ascii="方正仿宋_GBK" w:hAnsi="宋体" w:eastAsia="方正仿宋_GBK"/>
          <w:sz w:val="24"/>
          <w:szCs w:val="24"/>
        </w:rPr>
        <w:t>单位按《</w:t>
      </w:r>
      <w:r>
        <w:rPr>
          <w:rFonts w:hint="eastAsia" w:ascii="方正仿宋_GBK" w:hAnsi="宋体" w:eastAsia="方正仿宋_GBK"/>
          <w:sz w:val="24"/>
          <w:szCs w:val="24"/>
          <w:lang w:eastAsia="zh-CN"/>
        </w:rPr>
        <w:t>中标</w:t>
      </w:r>
      <w:r>
        <w:rPr>
          <w:rFonts w:hint="eastAsia" w:ascii="方正仿宋_GBK" w:hAnsi="宋体" w:eastAsia="方正仿宋_GBK"/>
          <w:sz w:val="24"/>
          <w:szCs w:val="24"/>
        </w:rPr>
        <w:t>通知书》指定时间、地点与采购人签订合同。</w:t>
      </w:r>
    </w:p>
    <w:p w14:paraId="77DA317F">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、成交</w:t>
      </w:r>
      <w:r>
        <w:rPr>
          <w:rFonts w:hint="eastAsia" w:ascii="方正仿宋_GBK" w:hAnsi="宋体" w:eastAsia="方正仿宋_GBK"/>
          <w:sz w:val="24"/>
          <w:szCs w:val="24"/>
          <w:lang w:val="en-US" w:eastAsia="en-US"/>
        </w:rPr>
        <w:t>供应</w:t>
      </w:r>
      <w:r>
        <w:rPr>
          <w:rFonts w:hint="eastAsia" w:ascii="方正仿宋_GBK" w:hAnsi="宋体" w:eastAsia="方正仿宋_GBK"/>
          <w:sz w:val="24"/>
          <w:szCs w:val="24"/>
        </w:rPr>
        <w:t>单位的响应文件及有效承诺文件等，均为签订合同的依据。</w:t>
      </w:r>
    </w:p>
    <w:p w14:paraId="28990683">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3、如成交</w:t>
      </w:r>
      <w:r>
        <w:rPr>
          <w:rFonts w:hint="eastAsia" w:ascii="方正仿宋_GBK" w:hAnsi="宋体" w:eastAsia="方正仿宋_GBK"/>
          <w:sz w:val="24"/>
          <w:szCs w:val="24"/>
          <w:lang w:val="en-US" w:eastAsia="en-US"/>
        </w:rPr>
        <w:t>供应</w:t>
      </w:r>
      <w:r>
        <w:rPr>
          <w:rFonts w:hint="eastAsia" w:ascii="方正仿宋_GBK" w:hAnsi="宋体" w:eastAsia="方正仿宋_GBK"/>
          <w:sz w:val="24"/>
          <w:szCs w:val="24"/>
        </w:rPr>
        <w:t>单位放弃成交项目或在签订合同时擅自改变成交状态的，重庆渝蓉高速公路有限公司将取消其成交资格。</w:t>
      </w:r>
    </w:p>
    <w:p w14:paraId="1639D961">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4、由成交</w:t>
      </w:r>
      <w:r>
        <w:rPr>
          <w:rFonts w:hint="eastAsia" w:ascii="方正仿宋_GBK" w:hAnsi="宋体" w:eastAsia="方正仿宋_GBK"/>
          <w:sz w:val="24"/>
          <w:szCs w:val="24"/>
          <w:lang w:val="en-US" w:eastAsia="en-US"/>
        </w:rPr>
        <w:t>供应</w:t>
      </w:r>
      <w:r>
        <w:rPr>
          <w:rFonts w:hint="eastAsia" w:ascii="方正仿宋_GBK" w:hAnsi="宋体" w:eastAsia="方正仿宋_GBK"/>
          <w:sz w:val="24"/>
          <w:szCs w:val="24"/>
        </w:rPr>
        <w:t>单位和渝蓉高速公路有限公司签订合同。</w:t>
      </w:r>
    </w:p>
    <w:p w14:paraId="2D6FA9DF">
      <w:pPr>
        <w:pStyle w:val="8"/>
        <w:spacing w:line="520" w:lineRule="exact"/>
        <w:ind w:firstLine="527"/>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八</w:t>
      </w:r>
      <w:r>
        <w:rPr>
          <w:rFonts w:hint="eastAsia" w:ascii="方正仿宋_GBK" w:hAnsi="宋体" w:eastAsia="方正仿宋_GBK"/>
          <w:sz w:val="24"/>
          <w:szCs w:val="24"/>
        </w:rPr>
        <w:t>、其他要求</w:t>
      </w:r>
    </w:p>
    <w:p w14:paraId="3C1211C6">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w:t>
      </w:r>
      <w:r>
        <w:rPr>
          <w:rFonts w:hint="eastAsia" w:ascii="方正仿宋_GBK" w:hAnsi="宋体" w:eastAsia="方正仿宋_GBK"/>
          <w:sz w:val="24"/>
          <w:szCs w:val="24"/>
          <w:lang w:val="en-US" w:eastAsia="en-US"/>
        </w:rPr>
        <w:t>供应</w:t>
      </w:r>
      <w:r>
        <w:rPr>
          <w:rFonts w:hint="eastAsia" w:ascii="方正仿宋_GBK" w:hAnsi="宋体" w:eastAsia="方正仿宋_GBK"/>
          <w:sz w:val="24"/>
          <w:szCs w:val="24"/>
        </w:rPr>
        <w:t>单位不得将项目进行转包或分包；</w:t>
      </w:r>
    </w:p>
    <w:p w14:paraId="4488075D">
      <w:pPr>
        <w:pStyle w:val="17"/>
        <w:keepNext w:val="0"/>
        <w:keepLines w:val="0"/>
        <w:pageBreakBefore w:val="0"/>
        <w:widowControl w:val="0"/>
        <w:kinsoku/>
        <w:wordWrap/>
        <w:overflowPunct/>
        <w:topLinePunct w:val="0"/>
        <w:autoSpaceDE w:val="0"/>
        <w:autoSpaceDN w:val="0"/>
        <w:bidi w:val="0"/>
        <w:snapToGrid/>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2、本项目不接受联合体投标；</w:t>
      </w:r>
    </w:p>
    <w:p w14:paraId="39EACC04">
      <w:pPr>
        <w:pStyle w:val="17"/>
        <w:keepNext w:val="0"/>
        <w:keepLines w:val="0"/>
        <w:pageBreakBefore w:val="0"/>
        <w:widowControl w:val="0"/>
        <w:kinsoku/>
        <w:wordWrap/>
        <w:overflowPunct/>
        <w:topLinePunct w:val="0"/>
        <w:autoSpaceDE w:val="0"/>
        <w:autoSpaceDN w:val="0"/>
        <w:bidi w:val="0"/>
        <w:snapToGrid/>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r>
        <w:rPr>
          <w:rFonts w:hint="eastAsia" w:ascii="方正仿宋_GBK" w:hAnsi="宋体" w:eastAsia="方正仿宋_GBK"/>
          <w:sz w:val="24"/>
          <w:szCs w:val="24"/>
          <w:lang w:eastAsia="zh-CN"/>
        </w:rPr>
        <w:t>投标</w:t>
      </w:r>
      <w:r>
        <w:rPr>
          <w:rFonts w:hint="eastAsia" w:ascii="方正仿宋_GBK" w:hAnsi="宋体" w:eastAsia="方正仿宋_GBK"/>
          <w:sz w:val="24"/>
          <w:szCs w:val="24"/>
        </w:rPr>
        <w:t>人必须认真阅读</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内容，并按照</w:t>
      </w:r>
      <w:r>
        <w:rPr>
          <w:rFonts w:hint="eastAsia" w:ascii="方正仿宋_GBK" w:hAnsi="宋体" w:eastAsia="方正仿宋_GBK"/>
          <w:sz w:val="24"/>
          <w:szCs w:val="24"/>
          <w:lang w:eastAsia="zh-CN"/>
        </w:rPr>
        <w:t>竞争性比选文件</w:t>
      </w:r>
      <w:r>
        <w:rPr>
          <w:rFonts w:hint="eastAsia" w:ascii="方正仿宋_GBK" w:hAnsi="宋体" w:eastAsia="方正仿宋_GBK"/>
          <w:sz w:val="24"/>
          <w:szCs w:val="24"/>
        </w:rPr>
        <w:t>要求编写响应文件。</w:t>
      </w:r>
    </w:p>
    <w:p w14:paraId="5F519E85">
      <w:pPr>
        <w:pStyle w:val="17"/>
        <w:keepNext w:val="0"/>
        <w:keepLines w:val="0"/>
        <w:pageBreakBefore w:val="0"/>
        <w:widowControl w:val="0"/>
        <w:kinsoku/>
        <w:wordWrap/>
        <w:overflowPunct/>
        <w:topLinePunct w:val="0"/>
        <w:autoSpaceDE w:val="0"/>
        <w:autoSpaceDN w:val="0"/>
        <w:bidi w:val="0"/>
        <w:snapToGrid/>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4、本项目竞争性比选公告及评标结果均在重庆高速公路集团有限公司官网发布，各投标人自行查看。</w:t>
      </w:r>
    </w:p>
    <w:p w14:paraId="5FF2A2ED">
      <w:pPr>
        <w:pStyle w:val="8"/>
        <w:spacing w:line="520" w:lineRule="exact"/>
        <w:ind w:firstLine="527"/>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九</w:t>
      </w:r>
      <w:r>
        <w:rPr>
          <w:rFonts w:hint="eastAsia" w:ascii="方正仿宋_GBK" w:hAnsi="宋体" w:eastAsia="方正仿宋_GBK"/>
          <w:sz w:val="24"/>
          <w:szCs w:val="24"/>
        </w:rPr>
        <w:t>、质疑、投诉受理部门及联系方式</w:t>
      </w:r>
    </w:p>
    <w:p w14:paraId="2083999C">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受理部门：重庆渝蓉高速公路有限公司党群人力部</w:t>
      </w:r>
    </w:p>
    <w:p w14:paraId="5B9D93B9">
      <w:pPr>
        <w:snapToGrid w:val="0"/>
        <w:spacing w:line="52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联系电话：023-</w:t>
      </w:r>
      <w:r>
        <w:rPr>
          <w:rFonts w:hint="eastAsia" w:ascii="方正仿宋_GBK" w:hAnsi="宋体" w:eastAsia="方正仿宋_GBK"/>
          <w:sz w:val="24"/>
          <w:szCs w:val="24"/>
          <w:lang w:val="en-US" w:eastAsia="zh-CN"/>
        </w:rPr>
        <w:t>65039086</w:t>
      </w:r>
    </w:p>
    <w:p w14:paraId="46981680">
      <w:pPr>
        <w:pStyle w:val="11"/>
        <w:rPr>
          <w:rFonts w:hint="eastAsia" w:ascii="方正仿宋_GBK" w:hAnsi="宋体" w:eastAsia="方正仿宋_GBK"/>
          <w:sz w:val="24"/>
          <w:szCs w:val="24"/>
          <w:lang w:val="en-US" w:eastAsia="zh-CN"/>
        </w:rPr>
      </w:pPr>
    </w:p>
    <w:p w14:paraId="6ADD718F">
      <w:pPr>
        <w:widowControl/>
        <w:numPr>
          <w:ilvl w:val="0"/>
          <w:numId w:val="0"/>
        </w:numPr>
        <w:spacing w:line="360" w:lineRule="exact"/>
        <w:jc w:val="center"/>
        <w:rPr>
          <w:rFonts w:hint="eastAsia" w:ascii="方正小标宋_GBK" w:hAnsi="方正小标宋_GBK" w:eastAsia="方正小标宋_GBK"/>
          <w:b w:val="0"/>
          <w:bCs/>
          <w:color w:val="000000"/>
          <w:kern w:val="0"/>
          <w:sz w:val="32"/>
          <w:szCs w:val="32"/>
          <w:lang w:val="en-US" w:eastAsia="zh-CN"/>
        </w:rPr>
      </w:pPr>
    </w:p>
    <w:p w14:paraId="402A3891">
      <w:pPr>
        <w:pStyle w:val="8"/>
        <w:numPr>
          <w:ilvl w:val="0"/>
          <w:numId w:val="7"/>
        </w:numPr>
        <w:spacing w:line="520" w:lineRule="exact"/>
        <w:ind w:firstLine="527"/>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合同范本</w:t>
      </w:r>
    </w:p>
    <w:p w14:paraId="7960416C">
      <w:pPr>
        <w:keepNext w:val="0"/>
        <w:keepLines w:val="0"/>
        <w:pageBreakBefore w:val="0"/>
        <w:kinsoku/>
        <w:wordWrap/>
        <w:overflowPunct/>
        <w:topLinePunct w:val="0"/>
        <w:bidi w:val="0"/>
        <w:adjustRightInd w:val="0"/>
        <w:snapToGrid w:val="0"/>
        <w:spacing w:line="4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重庆渝蓉高速公路有限公司</w:t>
      </w:r>
    </w:p>
    <w:p w14:paraId="6109D2DC">
      <w:pPr>
        <w:pStyle w:val="2"/>
        <w:rPr>
          <w:rFonts w:hint="eastAsia"/>
          <w:lang w:eastAsia="zh-CN"/>
        </w:rPr>
      </w:pPr>
    </w:p>
    <w:p w14:paraId="3FD93CD8">
      <w:pPr>
        <w:keepNext w:val="0"/>
        <w:keepLines w:val="0"/>
        <w:pageBreakBefore w:val="0"/>
        <w:kinsoku/>
        <w:wordWrap/>
        <w:overflowPunct/>
        <w:topLinePunct w:val="0"/>
        <w:bidi w:val="0"/>
        <w:adjustRightInd w:val="0"/>
        <w:snapToGrid w:val="0"/>
        <w:spacing w:line="4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食堂物资配送</w:t>
      </w:r>
      <w:r>
        <w:rPr>
          <w:rFonts w:hint="eastAsia" w:ascii="方正小标宋_GBK" w:hAnsi="方正小标宋_GBK" w:eastAsia="方正小标宋_GBK" w:cs="方正小标宋_GBK"/>
          <w:color w:val="auto"/>
          <w:sz w:val="44"/>
          <w:szCs w:val="44"/>
        </w:rPr>
        <w:t>合同</w:t>
      </w:r>
    </w:p>
    <w:p w14:paraId="33144AD5">
      <w:pPr>
        <w:keepNext w:val="0"/>
        <w:keepLines w:val="0"/>
        <w:pageBreakBefore w:val="0"/>
        <w:kinsoku/>
        <w:wordWrap/>
        <w:overflowPunct/>
        <w:topLinePunct w:val="0"/>
        <w:bidi w:val="0"/>
        <w:adjustRightInd w:val="0"/>
        <w:snapToGrid w:val="0"/>
        <w:spacing w:line="440" w:lineRule="exact"/>
        <w:jc w:val="center"/>
        <w:textAlignment w:val="auto"/>
        <w:rPr>
          <w:rFonts w:hint="eastAsia" w:ascii="方正小标宋_GBK" w:hAnsi="方正小标宋_GBK" w:eastAsia="方正小标宋_GBK" w:cs="方正小标宋_GBK"/>
          <w:color w:val="auto"/>
          <w:sz w:val="44"/>
          <w:szCs w:val="44"/>
        </w:rPr>
      </w:pPr>
    </w:p>
    <w:p w14:paraId="35126E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甲方：</w:t>
      </w:r>
    </w:p>
    <w:p w14:paraId="114B6D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住所地：</w:t>
      </w:r>
    </w:p>
    <w:p w14:paraId="0F16FC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法定代表人：</w:t>
      </w:r>
    </w:p>
    <w:p w14:paraId="785AD762">
      <w:pPr>
        <w:pStyle w:val="2"/>
        <w:rPr>
          <w:rFonts w:hint="eastAsia" w:ascii="方正仿宋_GBK" w:hAnsi="方正仿宋_GBK" w:eastAsia="方正仿宋_GBK" w:cs="Times New Roman"/>
          <w:color w:val="000000"/>
          <w:kern w:val="2"/>
          <w:sz w:val="24"/>
          <w:szCs w:val="24"/>
          <w:lang w:val="en-US" w:eastAsia="zh-CN" w:bidi="ar-SA"/>
        </w:rPr>
      </w:pPr>
    </w:p>
    <w:p w14:paraId="005133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乙方：</w:t>
      </w:r>
      <w:r>
        <w:rPr>
          <w:rFonts w:hint="eastAsia" w:ascii="方正仿宋_GBK" w:hAnsi="方正仿宋_GBK" w:eastAsia="方正仿宋_GBK" w:cs="Times New Roman"/>
          <w:color w:val="000000"/>
          <w:kern w:val="2"/>
          <w:sz w:val="24"/>
          <w:szCs w:val="24"/>
          <w:lang w:val="en-US" w:eastAsia="zh-CN" w:bidi="ar-SA"/>
        </w:rPr>
        <w:br w:type="textWrapping"/>
      </w:r>
      <w:r>
        <w:rPr>
          <w:rFonts w:hint="eastAsia" w:ascii="方正仿宋_GBK" w:hAnsi="方正仿宋_GBK" w:eastAsia="方正仿宋_GBK" w:cs="Times New Roman"/>
          <w:color w:val="000000"/>
          <w:kern w:val="2"/>
          <w:sz w:val="24"/>
          <w:szCs w:val="24"/>
          <w:lang w:val="en-US" w:eastAsia="zh-CN" w:bidi="ar-SA"/>
        </w:rPr>
        <w:t>住所地：</w:t>
      </w:r>
      <w:r>
        <w:rPr>
          <w:rFonts w:hint="eastAsia" w:ascii="方正仿宋_GBK" w:hAnsi="方正仿宋_GBK" w:eastAsia="方正仿宋_GBK" w:cs="Times New Roman"/>
          <w:color w:val="000000"/>
          <w:kern w:val="2"/>
          <w:sz w:val="24"/>
          <w:szCs w:val="24"/>
          <w:lang w:val="en-US" w:eastAsia="zh-CN" w:bidi="ar-SA"/>
        </w:rPr>
        <w:br w:type="textWrapping"/>
      </w:r>
      <w:r>
        <w:rPr>
          <w:rFonts w:hint="eastAsia" w:ascii="方正仿宋_GBK" w:hAnsi="方正仿宋_GBK" w:eastAsia="方正仿宋_GBK" w:cs="Times New Roman"/>
          <w:color w:val="000000"/>
          <w:kern w:val="2"/>
          <w:sz w:val="24"/>
          <w:szCs w:val="24"/>
          <w:lang w:val="en-US" w:eastAsia="zh-CN" w:bidi="ar-SA"/>
        </w:rPr>
        <w:t>法定代表人：</w:t>
      </w:r>
      <w:r>
        <w:rPr>
          <w:rFonts w:hint="eastAsia" w:ascii="方正仿宋_GBK" w:hAnsi="方正仿宋_GBK" w:eastAsia="方正仿宋_GBK" w:cs="Times New Roman"/>
          <w:color w:val="000000"/>
          <w:kern w:val="2"/>
          <w:sz w:val="24"/>
          <w:szCs w:val="24"/>
          <w:lang w:val="en-US" w:eastAsia="zh-CN" w:bidi="ar-SA"/>
        </w:rPr>
        <w:br w:type="textWrapping"/>
      </w:r>
    </w:p>
    <w:p w14:paraId="2241B5A3">
      <w:pPr>
        <w:keepNext w:val="0"/>
        <w:keepLines w:val="0"/>
        <w:pageBreakBefore w:val="0"/>
        <w:kinsoku/>
        <w:wordWrap/>
        <w:overflowPunct/>
        <w:topLinePunct w:val="0"/>
        <w:bidi w:val="0"/>
        <w:adjustRightInd w:val="0"/>
        <w:snapToGrid w:val="0"/>
        <w:spacing w:line="440" w:lineRule="exact"/>
        <w:ind w:firstLine="480" w:firstLineChars="200"/>
        <w:jc w:val="both"/>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依照《中华人民共和国民法典》及相关法律、法规规定，甲乙双方在平等、自愿、公平和诚实信用原则的基础上，就甲方食堂物资采购配送事宜协商一致的原则，特签订本合同，供双方共同信守执行。</w:t>
      </w:r>
    </w:p>
    <w:p w14:paraId="49C5CC3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一、合同期限</w:t>
      </w:r>
    </w:p>
    <w:p w14:paraId="1267CAEE">
      <w:pPr>
        <w:pStyle w:val="16"/>
        <w:keepNext w:val="0"/>
        <w:keepLines w:val="0"/>
        <w:pageBreakBefore w:val="0"/>
        <w:kinsoku/>
        <w:wordWrap/>
        <w:overflowPunct/>
        <w:topLinePunct w:val="0"/>
        <w:bidi w:val="0"/>
        <w:adjustRightInd w:val="0"/>
        <w:snapToGrid w:val="0"/>
        <w:spacing w:line="440" w:lineRule="exact"/>
        <w:ind w:firstLine="640"/>
        <w:textAlignment w:val="auto"/>
        <w:rPr>
          <w:rFonts w:hint="default"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2025年XX月XX日--2026年XX月XX日（满1年后询价人可根据中标人在基本配送期内提供商品的品质、整体配送服务、应急处置等情况决定是否续期1年）。</w:t>
      </w:r>
    </w:p>
    <w:p w14:paraId="5CB3326D">
      <w:pPr>
        <w:pStyle w:val="16"/>
        <w:keepNext w:val="0"/>
        <w:keepLines w:val="0"/>
        <w:pageBreakBefore w:val="0"/>
        <w:numPr>
          <w:ilvl w:val="0"/>
          <w:numId w:val="8"/>
        </w:numPr>
        <w:kinsoku/>
        <w:wordWrap/>
        <w:overflowPunct/>
        <w:topLinePunct w:val="0"/>
        <w:bidi w:val="0"/>
        <w:adjustRightInd w:val="0"/>
        <w:snapToGrid w:val="0"/>
        <w:spacing w:line="440" w:lineRule="exact"/>
        <w:ind w:firstLine="64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供应产品种类:食堂所需相关物资</w:t>
      </w:r>
    </w:p>
    <w:p w14:paraId="106A1E28">
      <w:pPr>
        <w:pStyle w:val="16"/>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三、货物配送</w:t>
      </w:r>
    </w:p>
    <w:p w14:paraId="3AFE095E">
      <w:pPr>
        <w:pStyle w:val="16"/>
        <w:keepNext w:val="0"/>
        <w:keepLines w:val="0"/>
        <w:pageBreakBefore w:val="0"/>
        <w:numPr>
          <w:ilvl w:val="0"/>
          <w:numId w:val="9"/>
        </w:numPr>
        <w:kinsoku/>
        <w:wordWrap/>
        <w:overflowPunct/>
        <w:topLinePunct w:val="0"/>
        <w:bidi w:val="0"/>
        <w:adjustRightInd w:val="0"/>
        <w:snapToGrid w:val="0"/>
        <w:spacing w:line="440" w:lineRule="exact"/>
        <w:ind w:firstLine="64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 xml:space="preserve">配送地址：重庆市沙坪坝区大学城中路86号重庆渝蓉高速公路有限公司本部及沿线6个收费站（包括福禄收费站、大庙收费站、围龙收费站、大足东收费站、大足西收费站、铁山收费站）食堂 </w:t>
      </w:r>
    </w:p>
    <w:p w14:paraId="548E1F03">
      <w:pPr>
        <w:keepNext w:val="0"/>
        <w:keepLines w:val="0"/>
        <w:pageBreakBefore w:val="0"/>
        <w:numPr>
          <w:ilvl w:val="0"/>
          <w:numId w:val="9"/>
        </w:numPr>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配送要求：</w:t>
      </w:r>
    </w:p>
    <w:p w14:paraId="5F1EFED3">
      <w:pPr>
        <w:keepNext w:val="0"/>
        <w:keepLines w:val="0"/>
        <w:pageBreakBefore w:val="0"/>
        <w:kinsoku/>
        <w:wordWrap/>
        <w:overflowPunct/>
        <w:topLinePunct w:val="0"/>
        <w:bidi w:val="0"/>
        <w:adjustRightInd w:val="0"/>
        <w:snapToGrid w:val="0"/>
        <w:spacing w:line="440" w:lineRule="exact"/>
        <w:ind w:firstLine="720" w:firstLineChars="3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1、甲方对所需货品明细和数量清单应在送货前一天14:00前报给乙方指定人员，并告知相关配送产品的名称、数量以及特殊要求。乙方按甲方要求的约定时间进行供货，最迟不晚于送货当天8:30前。乙方应尽量保证向甲方提供全项单品，如品牌不同，需在甲方提供货物清单当日与甲方联系并经甲方确认。尽量保证向甲方提供全项单品，如无法满足，需在开单日下午18：00前与甲方联系并经甲方确认更换，应保证甲方对食材的要求，如需稀缺单品甲方应提前告知乙方备货。</w:t>
      </w:r>
    </w:p>
    <w:p w14:paraId="07B255B2">
      <w:pPr>
        <w:keepNext w:val="0"/>
        <w:keepLines w:val="0"/>
        <w:pageBreakBefore w:val="0"/>
        <w:kinsoku/>
        <w:wordWrap/>
        <w:overflowPunct/>
        <w:topLinePunct w:val="0"/>
        <w:bidi w:val="0"/>
        <w:adjustRightInd w:val="0"/>
        <w:snapToGrid w:val="0"/>
        <w:spacing w:line="440" w:lineRule="exact"/>
        <w:ind w:left="210" w:leftChars="100"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2、乙方保证所送商品均为正规厂家生产，无质量问题，保证食材新鲜，水产类、鲜肉类、禽类利用率达98%以上，所提供的猪、牛、羊肉及家禽均有检验检疫证明。甲方若在乙方所供商品中发现有质量问题或缺斤少两情况，乙方应在2小时内无条件退换不合格商品或补足缺少的货品。</w:t>
      </w:r>
    </w:p>
    <w:p w14:paraId="5E06F03B">
      <w:pPr>
        <w:pStyle w:val="16"/>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四、供应商品定价:</w:t>
      </w:r>
    </w:p>
    <w:p w14:paraId="30B6EC20">
      <w:pPr>
        <w:pStyle w:val="19"/>
        <w:spacing w:line="400" w:lineRule="exact"/>
        <w:ind w:firstLine="560"/>
        <w:jc w:val="both"/>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双方每月上旬或下旬在永辉超市、新世纪超市等大中型平价超市（特价除外）及农贸市场（如超市未售卖产品则在农贸市场采价）按照“同质同价”的原则共同采价。以采价的货品价×折扣率  %  为结算单价；最终结算金额=Σ（各品类结算单价×各品类实际配送数量）。</w:t>
      </w:r>
    </w:p>
    <w:p w14:paraId="45004F44">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p>
    <w:p w14:paraId="1926556D">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五、商品质量标准</w:t>
      </w:r>
    </w:p>
    <w:p w14:paraId="71B10932">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（一）乙方所供产品质量必须符合《中华人民共和国食品安全法》相关规定和国家、地方及行业的相关质量标准要求。</w:t>
      </w:r>
    </w:p>
    <w:p w14:paraId="0CFD4377">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（二）产品的等级和质量：产品的等级和质量必须符合送货明细单要求，必须符合国家相关部门的明确规定。</w:t>
      </w:r>
    </w:p>
    <w:p w14:paraId="66CD8039">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（三）产品的检疫：必须符合国家食品卫生法规,保证所供应食品的质量合格、无毒、无腐烂变质、无公害。</w:t>
      </w:r>
    </w:p>
    <w:p w14:paraId="43A2771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乙方配送物资必须符合食品安全法相关规定，动物肉类需提供合法屠宰加工检验证明、检验检疫证明；干副调料、冻品物资及定型包装产品必须包装完整，生产日期、保质期、生产厂家和具有SC标识齐全明晰。</w:t>
      </w:r>
    </w:p>
    <w:p w14:paraId="2E6932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（五）乙方所提供的货物为甲方要求之品牌规格的货物，非假冒伪劣、以次充好或侵犯其他第三人合法权益的货物。</w:t>
      </w:r>
    </w:p>
    <w:p w14:paraId="48E92C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六）乙方供货的产品，商标使用、印制内容、标注方式必须符合相关行政部门和法律法规的要求。若乙方提供的产品侵犯第三人知识产权的，甲方有权立即解除本合同，乙方应向甲方支付违约金￥20000元(贰万元整）；若因此给甲方造成损失的，乙方还应赔偿由此给甲方造成的一切损失（包括但不限于甲方对第三方的赔偿、补偿以及因此产生的诉讼费、律师费等）。</w:t>
      </w:r>
    </w:p>
    <w:p w14:paraId="0094FE73">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（七）因乙方提供的产品质量问题造成人身损害，经国家相关部门鉴定后，确系乙方所提供货品造成的，由乙方按国家相关标准承担一切法律责任和经济责任，并赔偿由此给甲方造成的一切损失。</w:t>
      </w:r>
    </w:p>
    <w:p w14:paraId="000727E7">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（八）乙方所提供的单位货物应当符合标签标明的数量或体积，不存在少斤短两的情形。</w:t>
      </w:r>
    </w:p>
    <w:p w14:paraId="46DA35F1">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九）蔬菜类：成熟适度、新鲜脆嫩、外形色泽良好清洁、无影响使用的病虫害、无机械损伤，无农药残留超标；肉类：新鲜肉质有弹性，无腐败变质、异味虫蛀等，含水量适中；家禽类：新鲜、肌肉有弹性、内脏干净无积血、含水量适中；</w:t>
      </w:r>
    </w:p>
    <w:p w14:paraId="47B9592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（十）水产类：新鲜有弹性、鱼鳃鲜红、鱼鳞完整，鱼眼光亮透明等；</w:t>
      </w:r>
    </w:p>
    <w:p w14:paraId="19B53F6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（十一）干副调料（含干货）类：物资干燥、无杂质、无霉变、无硫磺等刺激性气味；</w:t>
      </w:r>
    </w:p>
    <w:p w14:paraId="750CE5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（十二）冻品类：无杂质、异味。</w:t>
      </w:r>
    </w:p>
    <w:p w14:paraId="0BE118F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（十三）水果类：色泽鲜艳，形体完整，果子大小均匀、无腐烂、霉变、异味、虫蛀、寄生虫等。</w:t>
      </w:r>
    </w:p>
    <w:p w14:paraId="1F2B2DF3">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（十四）奶制品必须由产商直供，质量认证保证。</w:t>
      </w:r>
    </w:p>
    <w:p w14:paraId="3D4C7336">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五）乙方所提供货物如不能满足上述标准中的任意一项，乙方提供货物不满足上述标准任意一项，甲方有权要求乙方予以更换或补足。若乙方拒不更换、补足或更换、补足后仍无法满足要求，甲方有权解除合同。并且乙方应按单位货物价格的2倍向甲方支付违约金，违约金不足以弥补甲方损失的，乙方还应当补足对甲方造成的损失。</w:t>
      </w:r>
    </w:p>
    <w:p w14:paraId="73CB518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六、产品验收</w:t>
      </w:r>
    </w:p>
    <w:p w14:paraId="1DC469E0">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（一）乙方应于每次送货时提供送货单，现场由双方人员共同对照货物数量、产品质量等进行验收，并由专人签字确认后双方留档。乙方供货不符合要求的，使用单位有权立即退货。</w:t>
      </w:r>
    </w:p>
    <w:p w14:paraId="59FC3104">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甲方在验收或使用过程中如果发现产品的品种、数量、规格和质量等不符合合同约定或相关法律法规，应妥善保存，并在当即拍照，通知乙方提出异议及处理意见。甲方有权拒收与合同规定不符的货物，并有权要求乙方2小时内更换完毕，因此而发生的费用由乙方负担，乙方并应赔偿甲方因此而蒙受的损失。逾期未能更换完毕的，按逾期交货处理。</w:t>
      </w:r>
    </w:p>
    <w:p w14:paraId="27BB12A5">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（三）因验收货物时不能直接判断质量的，在使用过程中发现不合格商品，乙方应及时作退货处理。</w:t>
      </w:r>
    </w:p>
    <w:p w14:paraId="094AF43D">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（四）凡按重量计量物资，均以物品净重方式计量结算，尤其是活禽类要以去除内脏后实际过称重量计算。</w:t>
      </w:r>
    </w:p>
    <w:p w14:paraId="48A9577A">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（五）若产品外观、包装、质量不能达到收货标准，甲方有权拒收配送物品，乙方应无条件及时补充合格产品，不得影响甲方正常开餐。</w:t>
      </w:r>
    </w:p>
    <w:p w14:paraId="5EC7DAC6">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（六）乙方交付产品时需向甲方提供相应产品检验报告。</w:t>
      </w:r>
    </w:p>
    <w:p w14:paraId="2E2616A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七、违约责任</w:t>
      </w:r>
    </w:p>
    <w:p w14:paraId="29F36BF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乙方不能按照甲方的要求及时供货、逾期交货或交货数量、质量不符等情况，对甲方的生产经营造成直接损失，乙方须承担全部责任，甲方有权要求乙方按500元/次的标准支付违约金并扣除当日所供原料货款。</w:t>
      </w:r>
    </w:p>
    <w:p w14:paraId="52B2A49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（二）若乙方长期供应的产品不符合甲方验收要求（合同有效期内不得超过3次），甲方有权解除合同，取消乙方供应资格，另行选择新供应商供货。</w:t>
      </w:r>
    </w:p>
    <w:p w14:paraId="4756177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（三）甲方临时加货乙方不能在规定时间内送达指定地点，或乙方提供的产品不符合规格要求和存在质量问题，乙方应赔付甲方此批未达到货品或不符合要求产品货款总值3倍的违约金。</w:t>
      </w:r>
    </w:p>
    <w:p w14:paraId="3926C0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乙方所供商品必须符合国家《中华人民共和国食品安全法》、《食品安全法实施条例》以及《关于加强食品添加剂监督管理工作的通知》等相关规定。反之，由此造成的一切后果由乙方全部承担法律和经济责任。</w:t>
      </w:r>
    </w:p>
    <w:p w14:paraId="5B7D858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五）若因乙方提供的产品存在质量问题，或不符合产品规格要求，乙方应给予甲方质量问题及规格问题产品的退换货。因乙方提供的产品存在质量问题或不符合产品规格要求而造成甲方或第三方使用者食品安全事故的，乙方须承担全部责任。</w:t>
      </w:r>
    </w:p>
    <w:p w14:paraId="71C3BBBC">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六）甲乙双方均应按照合同约定履行权利义务，若有任一方因违约给对方造成损失的，除应赔偿全部损失外，还应承担对方为此所付出的一切费用，包括但不限于诉讼费、律师费、保全保险费、鉴定费、公证费等。</w:t>
      </w:r>
    </w:p>
    <w:p w14:paraId="18DFFF90">
      <w:pPr>
        <w:pStyle w:val="20"/>
        <w:keepNext w:val="0"/>
        <w:keepLines w:val="0"/>
        <w:pageBreakBefore w:val="0"/>
        <w:kinsoku/>
        <w:wordWrap/>
        <w:overflowPunct/>
        <w:topLinePunct w:val="0"/>
        <w:bidi w:val="0"/>
        <w:adjustRightInd w:val="0"/>
        <w:snapToGrid w:val="0"/>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八、费用结算</w:t>
      </w:r>
    </w:p>
    <w:p w14:paraId="15508F57">
      <w:pPr>
        <w:pStyle w:val="20"/>
        <w:keepNext w:val="0"/>
        <w:keepLines w:val="0"/>
        <w:pageBreakBefore w:val="0"/>
        <w:kinsoku/>
        <w:wordWrap/>
        <w:overflowPunct/>
        <w:topLinePunct w:val="0"/>
        <w:bidi w:val="0"/>
        <w:adjustRightInd w:val="0"/>
        <w:snapToGrid w:val="0"/>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实行月结费用方式。当月产生的费用，甲乙双方在次月进行核对，并进行支付。乙方开具货款发票，甲方在收到发票后的二十个工作日内，支付月度总货款到乙方在本合同签章处指定的银行账户。若乙方未开具总货款发票给甲方，甲方有权拒绝支付货款。</w:t>
      </w:r>
    </w:p>
    <w:p w14:paraId="2F71545D">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（二）若因乙方提供的发票不合法，导致甲方发生的补缴税款、滞纳金、罚款等一切责任均由乙方承担，同时甲方有权要求乙方按500元/次的标准支付违约金。</w:t>
      </w:r>
    </w:p>
    <w:p w14:paraId="123809F4">
      <w:pPr>
        <w:pStyle w:val="17"/>
        <w:keepNext w:val="0"/>
        <w:keepLines w:val="0"/>
        <w:pageBreakBefore w:val="0"/>
        <w:numPr>
          <w:ilvl w:val="0"/>
          <w:numId w:val="0"/>
        </w:numPr>
        <w:kinsoku/>
        <w:wordWrap/>
        <w:overflowPunct/>
        <w:topLinePunct w:val="0"/>
        <w:bidi w:val="0"/>
        <w:adjustRightInd w:val="0"/>
        <w:snapToGrid w:val="0"/>
        <w:spacing w:line="440" w:lineRule="exact"/>
        <w:ind w:firstLine="720" w:firstLineChars="3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九、双方的权利与义务</w:t>
      </w:r>
    </w:p>
    <w:p w14:paraId="39D2991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（一）甲方权利与义务</w:t>
      </w:r>
    </w:p>
    <w:p w14:paraId="7D466AC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1、甲方按合同约定根据使用实际情况按月据实结算，并按照合同约定支付月度总货款。如甲方逾期付款，则自逾期之日起每日按合同约定当月月度应付总货款的0.2‰向乙方支付违约金，若甲方逾期付款30日（含当日）以上时，乙方有权单方解除本合同，合同自乙方解除合同的书面通知送达甲方之日起解除。因乙方原因或不可抗力因素导致甲方无法及时付款的，甲方不承担违约责任。</w:t>
      </w:r>
    </w:p>
    <w:p w14:paraId="0B65C4C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2、甲方负责协调使用单位与乙方在履行合同中产生的问题。使用单位反馈至甲方的信息应及时通知乙方处理。如因甲方通知不及时造成的责任和损失由甲方承担。</w:t>
      </w:r>
    </w:p>
    <w:p w14:paraId="768B14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3、甲方负责组织对乙方配送物资进行质量验收和抽检。对检验不合格产品无条件退、换货外，需按双方约定予以处理。</w:t>
      </w:r>
    </w:p>
    <w:p w14:paraId="2AE3BF9A">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4、如乙方交付产品的规格、样式、印刷与确认件不同，甲方可根据确认件的标准要求乙方承担违约责任。</w:t>
      </w:r>
    </w:p>
    <w:p w14:paraId="12648006">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5、产品质量或包装出现瑕疵的，如产品出现开裂、断裂、脱胶、破损、印刷不符合要求等情况时，乙方应尽快、无条件予以退换货，逾期未能更换完毕的，按逾期交货处理。如国家相关质量监督管理部门或顾客对本合同产品存有疑义时，乙方负有澄清相关事实的义务，并承担由此而引发的一切经济及法律责任，同时甲方有权单方面解除本合同。</w:t>
      </w:r>
    </w:p>
    <w:p w14:paraId="529A3E4C">
      <w:pPr>
        <w:keepNext w:val="0"/>
        <w:keepLines w:val="0"/>
        <w:pageBreakBefore w:val="0"/>
        <w:kinsoku/>
        <w:wordWrap/>
        <w:overflowPunct/>
        <w:topLinePunct w:val="0"/>
        <w:bidi w:val="0"/>
        <w:adjustRightInd w:val="0"/>
        <w:snapToGrid w:val="0"/>
        <w:spacing w:line="440" w:lineRule="exact"/>
        <w:ind w:firstLine="424" w:firstLineChars="177"/>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（二）乙方权利与义务</w:t>
      </w:r>
    </w:p>
    <w:p w14:paraId="2661688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1、乙方应当保证所提供产品的质量，不得销售假冒伪劣产品，因产品质量产生的一切问题，赔偿责任由乙方全部承担。</w:t>
      </w:r>
    </w:p>
    <w:p w14:paraId="1D2C653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2、乙方应如实提供所销售物质的质量检验报告、强制性产品认证证书、卫生许可证、进口商品商检及海关报告单、商标注册或转让使用权证明、专利证书等证明文件，不得弄虚作假。国家有关职能部门对乙方所供产品进行抽检时，乙方应配合甲方工作并应承担抽检样品及检验费用。若乙方未提供相应证明文件或不配合甲方进行抽检工作，甲方有权解除合同并要求乙方支付违约金￥10000元（壹万元整）。</w:t>
      </w:r>
    </w:p>
    <w:p w14:paraId="2E44CA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3、乙方负责按合同约定时间送货到指定地点交货，及时办理验收入库手续。供应的定型包装货物质量为全新原产地原厂生产合格产品，同时有明确的生产厂商、生产日期等。</w:t>
      </w:r>
    </w:p>
    <w:p w14:paraId="56D9AE65">
      <w:pPr>
        <w:keepNext w:val="0"/>
        <w:keepLines w:val="0"/>
        <w:pageBreakBefore w:val="0"/>
        <w:kinsoku/>
        <w:wordWrap/>
        <w:overflowPunct/>
        <w:topLinePunct w:val="0"/>
        <w:bidi w:val="0"/>
        <w:adjustRightInd w:val="0"/>
        <w:snapToGrid w:val="0"/>
        <w:spacing w:line="440" w:lineRule="exact"/>
        <w:ind w:firstLine="424" w:firstLineChars="177"/>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4、乙方应对本合同所有产品的价格进行保密，不得向任何第三方透露。若乙方向第三人透露产品价格，甲方有权解除合同并要求乙方支付违约金￥10000元（壹万元整）。</w:t>
      </w:r>
    </w:p>
    <w:p w14:paraId="16959CBB">
      <w:pPr>
        <w:keepNext w:val="0"/>
        <w:keepLines w:val="0"/>
        <w:pageBreakBefore w:val="0"/>
        <w:kinsoku/>
        <w:wordWrap/>
        <w:overflowPunct/>
        <w:topLinePunct w:val="0"/>
        <w:bidi w:val="0"/>
        <w:adjustRightInd w:val="0"/>
        <w:snapToGrid w:val="0"/>
        <w:spacing w:line="440" w:lineRule="exact"/>
        <w:ind w:firstLine="424" w:firstLineChars="177"/>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5、出现货品变更或无法准时到货的情况，乙方应当提前2小时与使用单位沟通，妥善解决供货问题。若乙方出现供货问题且经甲方提醒拒不改正达三次以上时，甲方有权解除合同并要求乙方承担违约责任。</w:t>
      </w:r>
    </w:p>
    <w:p w14:paraId="5178E324">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6、因乙方提供的产品而导致食物中毒、人员肠胃不适、死亡、重伤等食品安全事件，一切经济和法律后果均由乙方承担。甲方有权解除合同，要求乙方承担违约责任并赔偿损失。</w:t>
      </w:r>
    </w:p>
    <w:p w14:paraId="682F742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7、乙方需严格遵守并执行《食品卫生法》各项条款，明确提供产品的规格、型号、质量、等级、检验检疫报告等，确保所供产品安全。</w:t>
      </w:r>
    </w:p>
    <w:p w14:paraId="54EF40C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8、乙方不得擅自更改配送品种，减少配送数量。如因市场不可控因素需要调整配送品种或配送的，乙方应事先和甲方沟通并征得甲方同意。</w:t>
      </w:r>
    </w:p>
    <w:p w14:paraId="28860C9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9、乙方负责货物交付前的保险、责任风险及一切费用。</w:t>
      </w:r>
    </w:p>
    <w:p w14:paraId="5B398000">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（三）甲乙双方任何一方因不可抗拒因素不能履行或不能完全履行合同时，应30日内书面通知对方，并在30日内提供有关机构出具的证明，可全部或部分免除该方当事人的责任。</w:t>
      </w:r>
    </w:p>
    <w:p w14:paraId="304BE56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（四）任何一方对合同内容提出修改，应以书面形式通知对方，并在甲乙双方达成一致后由双方签署合同补充文件。</w:t>
      </w:r>
    </w:p>
    <w:p w14:paraId="74BBD8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（五）任何一方无法定或约定事由不得擅自终止合同，如任何一方违约需要向守约方支付￥10000元（壹万元整）违约金。</w:t>
      </w:r>
    </w:p>
    <w:p w14:paraId="73F7E35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（六）甲乙双方一切违背合同条款或国家有关规定的行为，可用书面形式就有关事项发出通知要求对方纠正，如对方在收到书面通知后的五天内仍未遵照执行时，则通知方有权终止合同并要求对方承担违约责任。</w:t>
      </w:r>
    </w:p>
    <w:p w14:paraId="2E3A8163">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七）所购产品保质期按包装说明为准，产品在保质期内甲方负责处理因质量问题引起的投诉，乙方负责协助处理，并承担其质量问题引起的相关费用和责任，如因产品问题给甲方带来的损失（包括但不限于经济损失、甲方为主张相关权利而产生的诉讼费、律师费等），乙方应向甲方赔偿所有损失并承担违约金￥10000元（壹万元整）。乙方怠于履行其更换义务的，则甲方有权在货款中扣除与违约金相等的数额。</w:t>
      </w:r>
    </w:p>
    <w:p w14:paraId="60C5360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八）乙方供货不及时，产品不合格、售后处理不到位等情况，多次提醒不改，且严重影响甲方使用，乙方按使用单位供应商管理制度执行。情况严重者，则视为乙方无法继续履行合同，甲方有权解除合同或部分解除合同并要求乙方承担违约责任。</w:t>
      </w:r>
    </w:p>
    <w:p w14:paraId="548253A6">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（九）乙方因双方之间的合作知悉的甲方价格信息、客户单位及其他信息和资料负有保密义务，未经甲方许可，不得透露泄露给其他第三人，否则乙方应向甲方支付1000元-5000元的违约金，并赔偿甲方损失。</w:t>
      </w:r>
    </w:p>
    <w:p w14:paraId="73239E32">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甲乙双方均应按照合同约定履行权利义务，若有任一方因违约给对方造成损失的，除应赔偿全部损失外，还应承担对方为此所付出的其他费用，包括但不限于诉讼费、律师费、保全保险费、鉴定费、公证费。</w:t>
      </w:r>
    </w:p>
    <w:p w14:paraId="3E2B81E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十、售后服务</w:t>
      </w:r>
    </w:p>
    <w:p w14:paraId="4D4F7EE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（一）乙方应具备完整的售后服务体系、具有快速响应维护能力，具有销售和售后服务的组织机构及完善快捷的技术支持能力。</w:t>
      </w:r>
    </w:p>
    <w:p w14:paraId="0B7357B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（二）拥有固定可靠的有效服务网点，负责合作期间的服务工作。有效服务网点指由供应商自己或者其授权的服务商设立的具有售后服务能力，并存有相应产品的更换、增补的网点。</w:t>
      </w:r>
    </w:p>
    <w:p w14:paraId="3EF282F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（三）安排专人负责售后，出现产品质量问题，2小时内协助解决，24小时内完成问题解决方案，2小时内完成产品更换。特殊情况务必到现场解决。</w:t>
      </w:r>
    </w:p>
    <w:p w14:paraId="6368925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（四）售后处理2日内不到货，严重影响甲方生产经营，甲方有权要求乙方按未到货货物价款的一倍支付违约金，并根据实际损失要求乙方承担赔偿责任。</w:t>
      </w:r>
    </w:p>
    <w:p w14:paraId="21F8CA9F">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十一、不可抗力</w:t>
      </w:r>
    </w:p>
    <w:p w14:paraId="68C4457A">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任何一方由于不可抗力原因不能履行合同的，应在不可抗力事件结束后五日内向对方通报，以减轻可能给对方造成的损失，在取得有关证明后，允许延期履行、部分履行或者不履行合同，并根据情况可部分或全部免予承担违约责任。</w:t>
      </w:r>
    </w:p>
    <w:p w14:paraId="1CA455C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十二、争议解决</w:t>
      </w:r>
    </w:p>
    <w:p w14:paraId="5CCC57B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凡因本合同引起的或与本合同有关的任何争议或纠纷，应依照公平、公正和有利于合同目的的实际的原由原则进行解释，不能通过友好协商解决的，向甲方所在地人民法院起诉。</w:t>
      </w:r>
    </w:p>
    <w:p w14:paraId="5E2965B8">
      <w:pPr>
        <w:pStyle w:val="17"/>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十三、通知与送达</w:t>
      </w:r>
    </w:p>
    <w:p w14:paraId="232A0D7F">
      <w:pPr>
        <w:pStyle w:val="17"/>
        <w:keepNext w:val="0"/>
        <w:keepLines w:val="0"/>
        <w:pageBreakBefore w:val="0"/>
        <w:kinsoku/>
        <w:wordWrap/>
        <w:overflowPunct/>
        <w:topLinePunct w:val="0"/>
        <w:bidi w:val="0"/>
        <w:adjustRightInd w:val="0"/>
        <w:snapToGrid w:val="0"/>
        <w:spacing w:line="440" w:lineRule="exact"/>
        <w:ind w:firstLine="48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本协议载明的地址为甲乙双方有效联系地址，任一方及法院向该地址送达文件、司法文书（包括但不限于传票、判决书等）等文件，自寄出之日起3日视为送达。若任意一方地址变更，应当在15日内书面通知对方，因未及时通知而造成的后果由未通知方自行负责。</w:t>
      </w:r>
    </w:p>
    <w:p w14:paraId="114E532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十四、其他</w:t>
      </w:r>
    </w:p>
    <w:p w14:paraId="257F287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（一）本合同之附件均为合同的有效组成部分，与本合同具有同等法律效力。</w:t>
      </w:r>
    </w:p>
    <w:p w14:paraId="65250BD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（二）本合同未尽事宜，双方协商解决，并签署书面补充合同。</w:t>
      </w:r>
    </w:p>
    <w:p w14:paraId="452E684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（三）本合同一式肆份，甲方执叁份，乙方执壹份。双方代表签字并加盖公章后生效，具有同等法律效力,补充合同、合同补充条款及附件与本合同签字盖章后具有同等法律效力。</w:t>
      </w:r>
    </w:p>
    <w:p w14:paraId="6D570B4D">
      <w:pPr>
        <w:keepNext w:val="0"/>
        <w:keepLines w:val="0"/>
        <w:pageBreakBefore w:val="0"/>
        <w:kinsoku/>
        <w:wordWrap/>
        <w:overflowPunct/>
        <w:topLinePunct w:val="0"/>
        <w:bidi w:val="0"/>
        <w:adjustRightInd w:val="0"/>
        <w:snapToGrid w:val="0"/>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p>
    <w:p w14:paraId="180088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甲方（盖单位章）：                      乙方（盖单位章）：</w:t>
      </w:r>
    </w:p>
    <w:p w14:paraId="5A6B1C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p>
    <w:p w14:paraId="581B64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r>
        <w:rPr>
          <w:rFonts w:hint="eastAsia" w:ascii="方正仿宋_GBK" w:hAnsi="方正仿宋_GBK" w:eastAsia="方正仿宋_GBK" w:cs="Times New Roman"/>
          <w:color w:val="000000"/>
          <w:kern w:val="2"/>
          <w:sz w:val="24"/>
          <w:szCs w:val="24"/>
          <w:lang w:val="en-US" w:eastAsia="zh-CN" w:bidi="ar-SA"/>
        </w:rPr>
        <w:t>法定代表人 ：                             法定代表人：</w:t>
      </w:r>
    </w:p>
    <w:p w14:paraId="42AC4E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Times New Roman"/>
          <w:color w:val="000000"/>
          <w:kern w:val="2"/>
          <w:sz w:val="24"/>
          <w:szCs w:val="24"/>
          <w:lang w:val="en-US" w:eastAsia="zh-CN" w:bidi="ar-SA"/>
        </w:rPr>
      </w:pPr>
    </w:p>
    <w:p w14:paraId="2F92A7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sectPr>
          <w:footerReference r:id="rId3" w:type="default"/>
          <w:pgSz w:w="11906" w:h="16838"/>
          <w:pgMar w:top="2098" w:right="1474" w:bottom="1985" w:left="1588" w:header="851" w:footer="992" w:gutter="0"/>
          <w:cols w:space="720" w:num="1"/>
          <w:docGrid w:type="lines" w:linePitch="312" w:charSpace="0"/>
        </w:sectPr>
      </w:pPr>
      <w:r>
        <w:rPr>
          <w:rFonts w:hint="eastAsia" w:ascii="方正仿宋_GBK" w:hAnsi="方正仿宋_GBK" w:eastAsia="方正仿宋_GBK" w:cs="Times New Roman"/>
          <w:color w:val="000000"/>
          <w:kern w:val="2"/>
          <w:sz w:val="24"/>
          <w:szCs w:val="24"/>
          <w:lang w:val="en-US" w:eastAsia="zh-CN" w:bidi="ar-SA"/>
        </w:rPr>
        <w:t>日期：                                    日期：</w:t>
      </w:r>
    </w:p>
    <w:p w14:paraId="2B197D4D">
      <w:pPr>
        <w:widowControl/>
        <w:numPr>
          <w:ilvl w:val="0"/>
          <w:numId w:val="0"/>
        </w:numPr>
        <w:tabs>
          <w:tab w:val="left" w:pos="2305"/>
        </w:tabs>
        <w:spacing w:line="360" w:lineRule="exact"/>
        <w:jc w:val="left"/>
        <w:rPr>
          <w:rFonts w:hint="eastAsia" w:ascii="方正小标宋_GBK" w:hAnsi="方正小标宋_GBK" w:eastAsia="方正小标宋_GBK"/>
          <w:b w:val="0"/>
          <w:bCs/>
          <w:color w:val="000000"/>
          <w:kern w:val="0"/>
          <w:sz w:val="32"/>
          <w:szCs w:val="32"/>
          <w:lang w:val="en-US" w:eastAsia="zh-CN"/>
        </w:rPr>
      </w:pPr>
    </w:p>
    <w:p w14:paraId="7F073B49">
      <w:pPr>
        <w:widowControl/>
        <w:numPr>
          <w:ilvl w:val="0"/>
          <w:numId w:val="0"/>
        </w:numPr>
        <w:spacing w:line="360" w:lineRule="exact"/>
        <w:jc w:val="center"/>
        <w:rPr>
          <w:rFonts w:hint="eastAsia" w:ascii="方正小标宋_GBK" w:hAnsi="方正小标宋_GBK" w:eastAsia="方正小标宋_GBK"/>
          <w:b w:val="0"/>
          <w:bCs/>
          <w:color w:val="000000"/>
          <w:kern w:val="0"/>
          <w:sz w:val="32"/>
          <w:szCs w:val="32"/>
          <w:lang w:val="en-US" w:eastAsia="zh-CN"/>
        </w:rPr>
      </w:pPr>
      <w:r>
        <w:rPr>
          <w:rFonts w:hint="eastAsia" w:ascii="方正小标宋_GBK" w:hAnsi="方正小标宋_GBK" w:eastAsia="方正小标宋_GBK"/>
          <w:b w:val="0"/>
          <w:bCs/>
          <w:color w:val="000000"/>
          <w:kern w:val="0"/>
          <w:sz w:val="32"/>
          <w:szCs w:val="32"/>
          <w:lang w:val="en-US" w:eastAsia="zh-CN"/>
        </w:rPr>
        <w:t>第三章 报价文件格式</w:t>
      </w:r>
    </w:p>
    <w:p w14:paraId="2F8CB836">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一、经济文件</w:t>
      </w:r>
    </w:p>
    <w:p w14:paraId="79E31126">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（一）投标一览表</w:t>
      </w:r>
    </w:p>
    <w:p w14:paraId="79707CBE">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二、服务文件</w:t>
      </w:r>
    </w:p>
    <w:p w14:paraId="4A5BB691">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（一）服务条款差异表</w:t>
      </w:r>
    </w:p>
    <w:p w14:paraId="62091B38">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（二）针对询价文件第二章报价人须知、评分标准中的服务部分（技术部分）要求提供相应的方案及要求的其他内容</w:t>
      </w:r>
    </w:p>
    <w:p w14:paraId="4D5F56BC">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三、商务文件</w:t>
      </w:r>
    </w:p>
    <w:p w14:paraId="1C8FC04B">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（一）投标函（格式）</w:t>
      </w:r>
    </w:p>
    <w:p w14:paraId="429E9984">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（二）针对询价文件第二章报价人须知、评分标准中的商务部分要求提供相应证明材料及要求的其他内容</w:t>
      </w:r>
    </w:p>
    <w:p w14:paraId="688FF4CF">
      <w:pPr>
        <w:pageBreakBefore w:val="0"/>
        <w:widowControl w:val="0"/>
        <w:tabs>
          <w:tab w:val="left" w:pos="1764"/>
        </w:tabs>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四、其他</w:t>
      </w:r>
    </w:p>
    <w:p w14:paraId="185C977E">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（一）其他与项目有关的资料（自附）</w:t>
      </w:r>
    </w:p>
    <w:p w14:paraId="0987020F">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五、资格文件</w:t>
      </w:r>
    </w:p>
    <w:p w14:paraId="41D8336F">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（一）法人营业执照（副本）或事业单位法人证书（副本）或个体工商户营业执照或有效的自然人身份证明或社会团体法人登记证书复印件</w:t>
      </w:r>
    </w:p>
    <w:p w14:paraId="3BAAF1DC">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（二）法定代表人身份证明书（格式）</w:t>
      </w:r>
    </w:p>
    <w:p w14:paraId="62A298CA">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（三）法定代表人授权委托书（格式）</w:t>
      </w:r>
    </w:p>
    <w:p w14:paraId="1CEF312B">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（四）书面声明（格式）</w:t>
      </w:r>
    </w:p>
    <w:p w14:paraId="2197E87C">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（五）税务登记证（副本）复印件</w:t>
      </w:r>
    </w:p>
    <w:p w14:paraId="79DEE904">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（六）特定资格条件证书或证明文件</w:t>
      </w:r>
    </w:p>
    <w:p w14:paraId="423C1C35">
      <w:pPr>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说明：报价人按“多证合一”登记制度办理营业执照的，税务登记证（副本）和社会保险登记证以报价人所提供的法人营业执照（副本）复印件为准。</w:t>
      </w:r>
    </w:p>
    <w:p w14:paraId="0CEA5372">
      <w:pPr>
        <w:pageBreakBefore w:val="0"/>
        <w:widowControl w:val="0"/>
        <w:kinsoku/>
        <w:wordWrap/>
        <w:overflowPunct/>
        <w:topLinePunct w:val="0"/>
        <w:autoSpaceDE/>
        <w:autoSpaceDN/>
        <w:bidi w:val="0"/>
        <w:snapToGrid w:val="0"/>
        <w:spacing w:line="360" w:lineRule="auto"/>
        <w:jc w:val="both"/>
        <w:rPr>
          <w:rFonts w:hint="eastAsia" w:ascii="方正仿宋_GBK" w:hAnsi="方正仿宋_GBK" w:eastAsia="方正仿宋_GBK"/>
          <w:color w:val="000000"/>
          <w:kern w:val="2"/>
          <w:sz w:val="24"/>
          <w:szCs w:val="24"/>
          <w:lang w:val="en-US" w:eastAsia="zh-CN" w:bidi="ar-SA"/>
        </w:rPr>
      </w:pPr>
    </w:p>
    <w:p w14:paraId="159FE89F">
      <w:pPr>
        <w:pageBreakBefore w:val="0"/>
        <w:widowControl w:val="0"/>
        <w:kinsoku/>
        <w:wordWrap/>
        <w:overflowPunct/>
        <w:topLinePunct w:val="0"/>
        <w:autoSpaceDE/>
        <w:autoSpaceDN/>
        <w:bidi w:val="0"/>
        <w:snapToGrid w:val="0"/>
        <w:spacing w:line="360" w:lineRule="auto"/>
        <w:jc w:val="both"/>
        <w:rPr>
          <w:rFonts w:hint="eastAsia" w:ascii="方正仿宋_GBK" w:hAnsi="方正仿宋_GBK" w:eastAsia="方正仿宋_GBK"/>
          <w:color w:val="000000"/>
          <w:kern w:val="2"/>
          <w:sz w:val="24"/>
          <w:szCs w:val="24"/>
          <w:lang w:val="en-US" w:eastAsia="zh-CN" w:bidi="ar-SA"/>
        </w:rPr>
      </w:pPr>
    </w:p>
    <w:p w14:paraId="72F9714C">
      <w:pPr>
        <w:pageBreakBefore w:val="0"/>
        <w:widowControl w:val="0"/>
        <w:kinsoku/>
        <w:wordWrap/>
        <w:overflowPunct/>
        <w:topLinePunct w:val="0"/>
        <w:autoSpaceDE/>
        <w:autoSpaceDN/>
        <w:bidi w:val="0"/>
        <w:snapToGrid w:val="0"/>
        <w:spacing w:line="360" w:lineRule="auto"/>
        <w:jc w:val="both"/>
        <w:rPr>
          <w:rFonts w:hint="eastAsia" w:ascii="方正仿宋_GBK" w:hAnsi="方正仿宋_GBK" w:eastAsia="方正仿宋_GBK"/>
          <w:color w:val="000000"/>
          <w:kern w:val="2"/>
          <w:sz w:val="24"/>
          <w:szCs w:val="24"/>
          <w:lang w:val="en-US" w:eastAsia="zh-CN" w:bidi="ar-SA"/>
        </w:rPr>
      </w:pPr>
    </w:p>
    <w:p w14:paraId="7C42217C">
      <w:pPr>
        <w:pageBreakBefore w:val="0"/>
        <w:widowControl w:val="0"/>
        <w:kinsoku/>
        <w:wordWrap/>
        <w:overflowPunct/>
        <w:topLinePunct w:val="0"/>
        <w:autoSpaceDE/>
        <w:autoSpaceDN/>
        <w:bidi w:val="0"/>
        <w:snapToGrid w:val="0"/>
        <w:spacing w:line="360" w:lineRule="auto"/>
        <w:jc w:val="both"/>
        <w:rPr>
          <w:rFonts w:hint="eastAsia" w:ascii="方正仿宋_GBK" w:hAnsi="方正仿宋_GBK" w:eastAsia="方正仿宋_GBK"/>
          <w:color w:val="000000"/>
          <w:kern w:val="2"/>
          <w:sz w:val="24"/>
          <w:szCs w:val="24"/>
          <w:lang w:val="en-US" w:eastAsia="zh-CN" w:bidi="ar-SA"/>
        </w:rPr>
      </w:pPr>
    </w:p>
    <w:p w14:paraId="1214FC40">
      <w:pPr>
        <w:pageBreakBefore w:val="0"/>
        <w:widowControl w:val="0"/>
        <w:kinsoku/>
        <w:wordWrap/>
        <w:overflowPunct/>
        <w:topLinePunct w:val="0"/>
        <w:autoSpaceDE/>
        <w:autoSpaceDN/>
        <w:bidi w:val="0"/>
        <w:snapToGrid w:val="0"/>
        <w:spacing w:line="360" w:lineRule="auto"/>
        <w:ind w:firstLine="480" w:firstLineChars="200"/>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一、经济文件</w:t>
      </w:r>
    </w:p>
    <w:p w14:paraId="1E0E5B2D">
      <w:pPr>
        <w:snapToGrid w:val="0"/>
        <w:spacing w:line="500" w:lineRule="exact"/>
        <w:ind w:firstLine="480" w:firstLineChars="200"/>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（一）投标一览表</w:t>
      </w:r>
    </w:p>
    <w:p w14:paraId="5AC2DE79">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p>
    <w:tbl>
      <w:tblPr>
        <w:tblStyle w:val="5"/>
        <w:tblW w:w="9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465"/>
        <w:gridCol w:w="986"/>
        <w:gridCol w:w="2218"/>
        <w:gridCol w:w="2171"/>
      </w:tblGrid>
      <w:tr w14:paraId="481A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23002DBB">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报价人名称</w:t>
            </w:r>
          </w:p>
        </w:tc>
        <w:tc>
          <w:tcPr>
            <w:tcW w:w="7840" w:type="dxa"/>
            <w:gridSpan w:val="4"/>
            <w:vAlign w:val="center"/>
          </w:tcPr>
          <w:p w14:paraId="10B921EB">
            <w:pPr>
              <w:spacing w:line="500" w:lineRule="exact"/>
              <w:jc w:val="center"/>
              <w:rPr>
                <w:rFonts w:hint="eastAsia" w:ascii="方正仿宋_GBK" w:hAnsi="方正仿宋_GBK" w:eastAsia="方正仿宋_GBK"/>
                <w:color w:val="000000"/>
                <w:kern w:val="2"/>
                <w:sz w:val="24"/>
                <w:szCs w:val="24"/>
                <w:lang w:val="en-US" w:eastAsia="zh-CN" w:bidi="ar-SA"/>
              </w:rPr>
            </w:pPr>
          </w:p>
        </w:tc>
      </w:tr>
      <w:tr w14:paraId="33B9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14:paraId="33ABFCF7">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p>
        </w:tc>
        <w:tc>
          <w:tcPr>
            <w:tcW w:w="2465" w:type="dxa"/>
            <w:vAlign w:val="center"/>
          </w:tcPr>
          <w:p w14:paraId="58ADDDED">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型号规格</w:t>
            </w:r>
          </w:p>
        </w:tc>
        <w:tc>
          <w:tcPr>
            <w:tcW w:w="986" w:type="dxa"/>
            <w:vAlign w:val="center"/>
          </w:tcPr>
          <w:p w14:paraId="617DF76F">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数量</w:t>
            </w:r>
          </w:p>
        </w:tc>
        <w:tc>
          <w:tcPr>
            <w:tcW w:w="2218" w:type="dxa"/>
            <w:vAlign w:val="center"/>
          </w:tcPr>
          <w:p w14:paraId="6F889562">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投标限价（%）</w:t>
            </w:r>
          </w:p>
        </w:tc>
        <w:tc>
          <w:tcPr>
            <w:tcW w:w="2171" w:type="dxa"/>
            <w:vAlign w:val="center"/>
          </w:tcPr>
          <w:p w14:paraId="4875CBBC">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投标报价（%）</w:t>
            </w:r>
          </w:p>
        </w:tc>
      </w:tr>
      <w:tr w14:paraId="21AC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48560AC4">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蔬菜</w:t>
            </w:r>
          </w:p>
        </w:tc>
        <w:tc>
          <w:tcPr>
            <w:tcW w:w="2465" w:type="dxa"/>
            <w:vAlign w:val="center"/>
          </w:tcPr>
          <w:p w14:paraId="03B6C15E">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叶菜、菌类、配菜等</w:t>
            </w:r>
          </w:p>
        </w:tc>
        <w:tc>
          <w:tcPr>
            <w:tcW w:w="986" w:type="dxa"/>
            <w:vAlign w:val="top"/>
          </w:tcPr>
          <w:p w14:paraId="2342E5F3">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restart"/>
            <w:vAlign w:val="center"/>
          </w:tcPr>
          <w:p w14:paraId="3943E388">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93%</w:t>
            </w:r>
          </w:p>
        </w:tc>
        <w:tc>
          <w:tcPr>
            <w:tcW w:w="2171" w:type="dxa"/>
            <w:vMerge w:val="restart"/>
            <w:vAlign w:val="top"/>
          </w:tcPr>
          <w:p w14:paraId="0024954C">
            <w:pPr>
              <w:rPr>
                <w:rFonts w:hint="eastAsia"/>
                <w:color w:val="000000"/>
                <w:lang w:val="en-US" w:eastAsia="zh-CN"/>
              </w:rPr>
            </w:pPr>
          </w:p>
        </w:tc>
      </w:tr>
      <w:tr w14:paraId="7C8F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0F7D3EE6">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家禽</w:t>
            </w:r>
          </w:p>
        </w:tc>
        <w:tc>
          <w:tcPr>
            <w:tcW w:w="2465" w:type="dxa"/>
            <w:vAlign w:val="center"/>
          </w:tcPr>
          <w:p w14:paraId="157DA002">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鸡肉、鸭肉、兔等肉</w:t>
            </w:r>
          </w:p>
        </w:tc>
        <w:tc>
          <w:tcPr>
            <w:tcW w:w="986" w:type="dxa"/>
            <w:vAlign w:val="top"/>
          </w:tcPr>
          <w:p w14:paraId="1FFB8E83">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796EEFEE">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218C7E8D">
            <w:pPr>
              <w:spacing w:line="500" w:lineRule="exact"/>
              <w:rPr>
                <w:rFonts w:hint="eastAsia" w:ascii="方正仿宋_GBK" w:hAnsi="方正仿宋_GBK" w:eastAsia="方正仿宋_GBK"/>
                <w:color w:val="000000"/>
                <w:kern w:val="2"/>
                <w:sz w:val="24"/>
                <w:szCs w:val="24"/>
                <w:lang w:val="en-US" w:eastAsia="zh-CN" w:bidi="ar-SA"/>
              </w:rPr>
            </w:pPr>
          </w:p>
        </w:tc>
      </w:tr>
      <w:tr w14:paraId="1FEF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3B758227">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家畜</w:t>
            </w:r>
          </w:p>
        </w:tc>
        <w:tc>
          <w:tcPr>
            <w:tcW w:w="2465" w:type="dxa"/>
            <w:vAlign w:val="center"/>
          </w:tcPr>
          <w:p w14:paraId="22BA6704">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猪肉（腊制品）、牛肉、羊肉、等</w:t>
            </w:r>
          </w:p>
        </w:tc>
        <w:tc>
          <w:tcPr>
            <w:tcW w:w="986" w:type="dxa"/>
            <w:vAlign w:val="top"/>
          </w:tcPr>
          <w:p w14:paraId="3FD884A8">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0D512E48">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7DA84873">
            <w:pPr>
              <w:spacing w:line="500" w:lineRule="exact"/>
              <w:rPr>
                <w:rFonts w:hint="eastAsia" w:ascii="方正仿宋_GBK" w:hAnsi="方正仿宋_GBK" w:eastAsia="方正仿宋_GBK"/>
                <w:color w:val="000000"/>
                <w:kern w:val="2"/>
                <w:sz w:val="24"/>
                <w:szCs w:val="24"/>
                <w:lang w:val="en-US" w:eastAsia="zh-CN" w:bidi="ar-SA"/>
              </w:rPr>
            </w:pPr>
          </w:p>
        </w:tc>
      </w:tr>
      <w:tr w14:paraId="15BB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42026A27">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水产机冷冻</w:t>
            </w:r>
          </w:p>
        </w:tc>
        <w:tc>
          <w:tcPr>
            <w:tcW w:w="2465" w:type="dxa"/>
            <w:vAlign w:val="center"/>
          </w:tcPr>
          <w:p w14:paraId="54DB71DD">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鱼及冷冻货等</w:t>
            </w:r>
          </w:p>
        </w:tc>
        <w:tc>
          <w:tcPr>
            <w:tcW w:w="986" w:type="dxa"/>
            <w:vAlign w:val="top"/>
          </w:tcPr>
          <w:p w14:paraId="6B71FA4C">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001DE85F">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5DFFF545">
            <w:pPr>
              <w:spacing w:line="500" w:lineRule="exact"/>
              <w:rPr>
                <w:rFonts w:hint="eastAsia" w:ascii="方正仿宋_GBK" w:hAnsi="方正仿宋_GBK" w:eastAsia="方正仿宋_GBK"/>
                <w:color w:val="000000"/>
                <w:kern w:val="2"/>
                <w:sz w:val="24"/>
                <w:szCs w:val="24"/>
                <w:lang w:val="en-US" w:eastAsia="zh-CN" w:bidi="ar-SA"/>
              </w:rPr>
            </w:pPr>
          </w:p>
        </w:tc>
      </w:tr>
      <w:tr w14:paraId="49F8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1307CA23">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调辅料</w:t>
            </w:r>
          </w:p>
        </w:tc>
        <w:tc>
          <w:tcPr>
            <w:tcW w:w="2465" w:type="dxa"/>
            <w:vAlign w:val="center"/>
          </w:tcPr>
          <w:p w14:paraId="3C7E6595">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酱油、醋、香油、香料、调味料、干副等</w:t>
            </w:r>
          </w:p>
        </w:tc>
        <w:tc>
          <w:tcPr>
            <w:tcW w:w="986" w:type="dxa"/>
            <w:vAlign w:val="top"/>
          </w:tcPr>
          <w:p w14:paraId="3FA9D4CF">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438895CD">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20DADE12">
            <w:pPr>
              <w:spacing w:line="500" w:lineRule="exact"/>
              <w:rPr>
                <w:rFonts w:hint="eastAsia" w:ascii="方正仿宋_GBK" w:hAnsi="方正仿宋_GBK" w:eastAsia="方正仿宋_GBK"/>
                <w:color w:val="000000"/>
                <w:kern w:val="2"/>
                <w:sz w:val="24"/>
                <w:szCs w:val="24"/>
                <w:lang w:val="en-US" w:eastAsia="zh-CN" w:bidi="ar-SA"/>
              </w:rPr>
            </w:pPr>
          </w:p>
        </w:tc>
      </w:tr>
      <w:tr w14:paraId="6DD5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1944E481">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水果</w:t>
            </w:r>
          </w:p>
        </w:tc>
        <w:tc>
          <w:tcPr>
            <w:tcW w:w="2465" w:type="dxa"/>
            <w:vAlign w:val="center"/>
          </w:tcPr>
          <w:p w14:paraId="38BF5995">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苹果、梨、香蕉等</w:t>
            </w:r>
          </w:p>
        </w:tc>
        <w:tc>
          <w:tcPr>
            <w:tcW w:w="986" w:type="dxa"/>
            <w:vAlign w:val="top"/>
          </w:tcPr>
          <w:p w14:paraId="3F3C891D">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1C25E12E">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18C297DB">
            <w:pPr>
              <w:spacing w:line="500" w:lineRule="exact"/>
              <w:rPr>
                <w:rFonts w:hint="eastAsia" w:ascii="方正仿宋_GBK" w:hAnsi="方正仿宋_GBK" w:eastAsia="方正仿宋_GBK"/>
                <w:color w:val="000000"/>
                <w:kern w:val="2"/>
                <w:sz w:val="24"/>
                <w:szCs w:val="24"/>
                <w:lang w:val="en-US" w:eastAsia="zh-CN" w:bidi="ar-SA"/>
              </w:rPr>
            </w:pPr>
          </w:p>
        </w:tc>
      </w:tr>
      <w:tr w14:paraId="7622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vAlign w:val="center"/>
          </w:tcPr>
          <w:p w14:paraId="3F3CB26D">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奶制品</w:t>
            </w:r>
          </w:p>
        </w:tc>
        <w:tc>
          <w:tcPr>
            <w:tcW w:w="2465" w:type="dxa"/>
            <w:vAlign w:val="center"/>
          </w:tcPr>
          <w:p w14:paraId="4FC2A54F">
            <w:pPr>
              <w:spacing w:line="500" w:lineRule="exac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鲜奶、酸奶、常温奶</w:t>
            </w:r>
          </w:p>
        </w:tc>
        <w:tc>
          <w:tcPr>
            <w:tcW w:w="986" w:type="dxa"/>
            <w:vAlign w:val="top"/>
          </w:tcPr>
          <w:p w14:paraId="11DBBC68">
            <w:pPr>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1项</w:t>
            </w:r>
          </w:p>
        </w:tc>
        <w:tc>
          <w:tcPr>
            <w:tcW w:w="2218" w:type="dxa"/>
            <w:vMerge w:val="continue"/>
            <w:vAlign w:val="top"/>
          </w:tcPr>
          <w:p w14:paraId="62C4AC1B">
            <w:pPr>
              <w:spacing w:line="500" w:lineRule="exact"/>
              <w:jc w:val="center"/>
              <w:rPr>
                <w:rFonts w:hint="eastAsia" w:ascii="方正仿宋_GBK" w:hAnsi="方正仿宋_GBK" w:eastAsia="方正仿宋_GBK"/>
                <w:color w:val="000000"/>
                <w:kern w:val="2"/>
                <w:sz w:val="24"/>
                <w:szCs w:val="24"/>
                <w:lang w:val="en-US" w:eastAsia="zh-CN" w:bidi="ar-SA"/>
              </w:rPr>
            </w:pPr>
          </w:p>
        </w:tc>
        <w:tc>
          <w:tcPr>
            <w:tcW w:w="2171" w:type="dxa"/>
            <w:vMerge w:val="continue"/>
            <w:vAlign w:val="top"/>
          </w:tcPr>
          <w:p w14:paraId="33C6B275">
            <w:pPr>
              <w:spacing w:line="500" w:lineRule="exact"/>
              <w:rPr>
                <w:rFonts w:hint="eastAsia" w:ascii="方正仿宋_GBK" w:hAnsi="方正仿宋_GBK" w:eastAsia="方正仿宋_GBK"/>
                <w:color w:val="000000"/>
                <w:kern w:val="2"/>
                <w:sz w:val="24"/>
                <w:szCs w:val="24"/>
                <w:lang w:val="en-US" w:eastAsia="zh-CN" w:bidi="ar-SA"/>
              </w:rPr>
            </w:pPr>
          </w:p>
        </w:tc>
      </w:tr>
      <w:tr w14:paraId="42FC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28" w:type="dxa"/>
            <w:gridSpan w:val="5"/>
            <w:vAlign w:val="center"/>
          </w:tcPr>
          <w:p w14:paraId="68009984">
            <w:pPr>
              <w:pStyle w:val="14"/>
              <w:spacing w:line="500" w:lineRule="exact"/>
              <w:ind w:left="0" w:leftChars="0"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备注：报价只填报折扣，如报价为85折填写85%。</w:t>
            </w:r>
          </w:p>
        </w:tc>
      </w:tr>
    </w:tbl>
    <w:p w14:paraId="5F8AECC3">
      <w:pPr>
        <w:spacing w:line="500" w:lineRule="exact"/>
        <w:ind w:left="6239" w:leftChars="228" w:hanging="5760" w:hangingChars="24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报价人（报价人公章）                          法定代表人或法定代表人授权代表：</w:t>
      </w:r>
    </w:p>
    <w:p w14:paraId="048E1CB6">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 xml:space="preserve">                                               （签字或盖章）</w:t>
      </w:r>
    </w:p>
    <w:p w14:paraId="722294D4">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1D3CC3B8">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25C423E4">
      <w:pPr>
        <w:spacing w:line="500" w:lineRule="exact"/>
        <w:ind w:firstLine="6240" w:firstLineChars="26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3B16BB19">
      <w:pPr>
        <w:spacing w:line="500" w:lineRule="exact"/>
        <w:jc w:val="both"/>
        <w:rPr>
          <w:rFonts w:hint="eastAsia" w:ascii="方正仿宋_GBK" w:hAnsi="方正仿宋_GBK" w:eastAsia="方正仿宋_GBK"/>
          <w:color w:val="000000"/>
          <w:kern w:val="2"/>
          <w:sz w:val="24"/>
          <w:szCs w:val="24"/>
          <w:lang w:val="en-US" w:eastAsia="zh-CN" w:bidi="ar-SA"/>
        </w:rPr>
      </w:pPr>
    </w:p>
    <w:p w14:paraId="54F72C72">
      <w:pPr>
        <w:spacing w:line="500" w:lineRule="exact"/>
        <w:ind w:left="6239" w:leftChars="228" w:hanging="5760" w:hangingChars="2400"/>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二、服务文件</w:t>
      </w:r>
    </w:p>
    <w:p w14:paraId="674381B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162FA5F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（一）服务条款差异表</w:t>
      </w:r>
    </w:p>
    <w:p w14:paraId="00B1BCD0">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6EA1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9" w:type="dxa"/>
            <w:vAlign w:val="center"/>
          </w:tcPr>
          <w:p w14:paraId="46074AF0">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序号</w:t>
            </w:r>
          </w:p>
        </w:tc>
        <w:tc>
          <w:tcPr>
            <w:tcW w:w="2428" w:type="dxa"/>
            <w:vAlign w:val="center"/>
          </w:tcPr>
          <w:p w14:paraId="43EB2CDE">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招标要求</w:t>
            </w:r>
          </w:p>
        </w:tc>
        <w:tc>
          <w:tcPr>
            <w:tcW w:w="2520" w:type="dxa"/>
            <w:vAlign w:val="center"/>
          </w:tcPr>
          <w:p w14:paraId="4FD8899B">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投标应答</w:t>
            </w:r>
          </w:p>
        </w:tc>
        <w:tc>
          <w:tcPr>
            <w:tcW w:w="1888" w:type="dxa"/>
            <w:vAlign w:val="center"/>
          </w:tcPr>
          <w:p w14:paraId="470F65E1">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差异说明</w:t>
            </w:r>
          </w:p>
        </w:tc>
      </w:tr>
      <w:tr w14:paraId="5FD8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39" w:type="dxa"/>
            <w:vAlign w:val="center"/>
          </w:tcPr>
          <w:p w14:paraId="4BF27E03">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7904ED44">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3B39978D">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157D039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2306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39" w:type="dxa"/>
            <w:vAlign w:val="center"/>
          </w:tcPr>
          <w:p w14:paraId="360E5948">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215F16C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0FB846F2">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7990FBEF">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05A4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9" w:type="dxa"/>
            <w:vAlign w:val="center"/>
          </w:tcPr>
          <w:p w14:paraId="7F473C53">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28FF569E">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19087881">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68708E23">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50F1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39" w:type="dxa"/>
            <w:vAlign w:val="center"/>
          </w:tcPr>
          <w:p w14:paraId="1B97815E">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1C44ACA4">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3DDC7D00">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62CBF84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44FC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39" w:type="dxa"/>
            <w:vAlign w:val="center"/>
          </w:tcPr>
          <w:p w14:paraId="1C08079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121064DA">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72A9FBF9">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1C00D33E">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0092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9" w:type="dxa"/>
            <w:vAlign w:val="center"/>
          </w:tcPr>
          <w:p w14:paraId="55CEF844">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24F0E92C">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48E60865">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718557DC">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1491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9" w:type="dxa"/>
            <w:vAlign w:val="center"/>
          </w:tcPr>
          <w:p w14:paraId="2CDEC72C">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4876D1A5">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437C1F50">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469F0733">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6056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9" w:type="dxa"/>
            <w:vAlign w:val="center"/>
          </w:tcPr>
          <w:p w14:paraId="5CB6907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360B09D0">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007D19A6">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414244FE">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3949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9" w:type="dxa"/>
            <w:vAlign w:val="center"/>
          </w:tcPr>
          <w:p w14:paraId="0B681FC5">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4ED87308">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0744A9EB">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1CEEAB51">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r w14:paraId="0A3C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39" w:type="dxa"/>
            <w:vAlign w:val="center"/>
          </w:tcPr>
          <w:p w14:paraId="7E0C18B7">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428" w:type="dxa"/>
            <w:vAlign w:val="center"/>
          </w:tcPr>
          <w:p w14:paraId="28EFA451">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2520" w:type="dxa"/>
            <w:vAlign w:val="center"/>
          </w:tcPr>
          <w:p w14:paraId="724439AD">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c>
          <w:tcPr>
            <w:tcW w:w="1888" w:type="dxa"/>
            <w:vAlign w:val="center"/>
          </w:tcPr>
          <w:p w14:paraId="7CFAF0C6">
            <w:pPr>
              <w:tabs>
                <w:tab w:val="left" w:pos="6300"/>
              </w:tabs>
              <w:snapToGrid w:val="0"/>
              <w:spacing w:line="500" w:lineRule="exact"/>
              <w:jc w:val="center"/>
              <w:outlineLvl w:val="0"/>
              <w:rPr>
                <w:rFonts w:hint="eastAsia" w:ascii="方正仿宋_GBK" w:hAnsi="方正仿宋_GBK" w:eastAsia="方正仿宋_GBK"/>
                <w:color w:val="000000"/>
                <w:kern w:val="2"/>
                <w:sz w:val="24"/>
                <w:szCs w:val="24"/>
                <w:lang w:val="en-US" w:eastAsia="zh-CN" w:bidi="ar-SA"/>
              </w:rPr>
            </w:pPr>
          </w:p>
        </w:tc>
      </w:tr>
    </w:tbl>
    <w:p w14:paraId="4D98F987">
      <w:pPr>
        <w:spacing w:line="500" w:lineRule="exact"/>
        <w:ind w:left="6239" w:leftChars="228" w:hanging="5760" w:hangingChars="24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报价人（报价人公章）                          法定代表人或法定代表人授权代表：</w:t>
      </w:r>
    </w:p>
    <w:p w14:paraId="0F0E329E">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 xml:space="preserve">                                               （签字或盖章）</w:t>
      </w:r>
    </w:p>
    <w:p w14:paraId="477F628C">
      <w:pPr>
        <w:spacing w:line="500" w:lineRule="exact"/>
        <w:rPr>
          <w:rFonts w:hint="eastAsia" w:ascii="方正仿宋_GBK" w:hAnsi="方正仿宋_GBK" w:eastAsia="方正仿宋_GBK"/>
          <w:color w:val="000000"/>
          <w:kern w:val="2"/>
          <w:sz w:val="24"/>
          <w:szCs w:val="24"/>
          <w:lang w:val="en-US" w:eastAsia="zh-CN" w:bidi="ar-SA"/>
        </w:rPr>
      </w:pPr>
    </w:p>
    <w:p w14:paraId="10BC5622">
      <w:pPr>
        <w:spacing w:line="500" w:lineRule="exact"/>
        <w:ind w:firstLine="6240" w:firstLineChars="26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0C4FE407">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注：</w:t>
      </w:r>
    </w:p>
    <w:p w14:paraId="01E27FD4">
      <w:pPr>
        <w:spacing w:line="390" w:lineRule="exact"/>
        <w:ind w:firstLine="480" w:firstLineChars="200"/>
        <w:jc w:val="left"/>
        <w:rPr>
          <w:rFonts w:hint="eastAsia" w:ascii="方正仿宋_GBK" w:hAnsi="方正仿宋_GBK" w:eastAsia="方正仿宋_GBK"/>
          <w:color w:val="000000"/>
          <w:kern w:val="2"/>
          <w:sz w:val="24"/>
          <w:szCs w:val="24"/>
          <w:lang w:val="zh-CN" w:eastAsia="zh-CN" w:bidi="ar-SA"/>
        </w:rPr>
      </w:pPr>
      <w:r>
        <w:rPr>
          <w:rFonts w:hint="eastAsia" w:ascii="方正仿宋_GBK" w:hAnsi="方正仿宋_GBK" w:eastAsia="方正仿宋_GBK"/>
          <w:color w:val="000000"/>
          <w:kern w:val="2"/>
          <w:sz w:val="24"/>
          <w:szCs w:val="24"/>
          <w:lang w:val="zh-CN" w:eastAsia="zh-CN" w:bidi="ar-SA"/>
        </w:rPr>
        <w:t>1.本表即为对本项目“第</w:t>
      </w:r>
      <w:r>
        <w:rPr>
          <w:rFonts w:hint="eastAsia" w:ascii="方正仿宋_GBK" w:hAnsi="方正仿宋_GBK" w:eastAsia="方正仿宋_GBK"/>
          <w:color w:val="000000"/>
          <w:kern w:val="2"/>
          <w:sz w:val="24"/>
          <w:szCs w:val="24"/>
          <w:lang w:val="en-US" w:eastAsia="zh-CN" w:bidi="ar-SA"/>
        </w:rPr>
        <w:t>二章报价人须知</w:t>
      </w:r>
      <w:r>
        <w:rPr>
          <w:rFonts w:hint="eastAsia" w:ascii="方正仿宋_GBK" w:hAnsi="方正仿宋_GBK" w:eastAsia="方正仿宋_GBK"/>
          <w:color w:val="000000"/>
          <w:kern w:val="2"/>
          <w:sz w:val="24"/>
          <w:szCs w:val="24"/>
          <w:lang w:val="zh-CN" w:eastAsia="zh-CN" w:bidi="ar-SA"/>
        </w:rPr>
        <w:t xml:space="preserve"> 配送服务需求（技术要求）”中所列</w:t>
      </w:r>
      <w:r>
        <w:rPr>
          <w:rFonts w:hint="eastAsia" w:ascii="方正仿宋_GBK" w:hAnsi="方正仿宋_GBK" w:eastAsia="方正仿宋_GBK"/>
          <w:color w:val="000000"/>
          <w:kern w:val="2"/>
          <w:sz w:val="24"/>
          <w:szCs w:val="24"/>
          <w:lang w:val="en-US" w:eastAsia="zh-CN" w:bidi="ar-SA"/>
        </w:rPr>
        <w:t>技术</w:t>
      </w:r>
      <w:r>
        <w:rPr>
          <w:rFonts w:hint="eastAsia" w:ascii="方正仿宋_GBK" w:hAnsi="方正仿宋_GBK" w:eastAsia="方正仿宋_GBK"/>
          <w:color w:val="000000"/>
          <w:kern w:val="2"/>
          <w:sz w:val="24"/>
          <w:szCs w:val="24"/>
          <w:lang w:val="zh-CN" w:eastAsia="zh-CN" w:bidi="ar-SA"/>
        </w:rPr>
        <w:t>条款进行比较和响应。</w:t>
      </w:r>
    </w:p>
    <w:p w14:paraId="4BF74A49">
      <w:pPr>
        <w:spacing w:line="390" w:lineRule="exact"/>
        <w:ind w:firstLine="480" w:firstLineChars="200"/>
        <w:jc w:val="left"/>
        <w:rPr>
          <w:rFonts w:hint="eastAsia" w:ascii="方正仿宋_GBK" w:hAnsi="方正仿宋_GBK" w:eastAsia="方正仿宋_GBK"/>
          <w:color w:val="000000"/>
          <w:kern w:val="2"/>
          <w:sz w:val="24"/>
          <w:szCs w:val="24"/>
          <w:lang w:val="zh-CN" w:eastAsia="zh-CN" w:bidi="ar-SA"/>
        </w:rPr>
      </w:pPr>
      <w:r>
        <w:rPr>
          <w:rFonts w:hint="eastAsia" w:ascii="方正仿宋_GBK" w:hAnsi="方正仿宋_GBK" w:eastAsia="方正仿宋_GBK"/>
          <w:color w:val="000000"/>
          <w:kern w:val="2"/>
          <w:sz w:val="24"/>
          <w:szCs w:val="24"/>
          <w:lang w:val="zh-CN" w:eastAsia="zh-CN" w:bidi="ar-SA"/>
        </w:rPr>
        <w:t>2.该表必须按照</w:t>
      </w:r>
      <w:r>
        <w:rPr>
          <w:rFonts w:hint="eastAsia" w:ascii="方正仿宋_GBK" w:hAnsi="方正仿宋_GBK" w:eastAsia="方正仿宋_GBK"/>
          <w:color w:val="000000"/>
          <w:kern w:val="2"/>
          <w:sz w:val="24"/>
          <w:szCs w:val="24"/>
          <w:lang w:val="en-US" w:eastAsia="zh-CN" w:bidi="ar-SA"/>
        </w:rPr>
        <w:t>询价</w:t>
      </w:r>
      <w:r>
        <w:rPr>
          <w:rFonts w:hint="eastAsia" w:ascii="方正仿宋_GBK" w:hAnsi="方正仿宋_GBK" w:eastAsia="方正仿宋_GBK"/>
          <w:color w:val="000000"/>
          <w:kern w:val="2"/>
          <w:sz w:val="24"/>
          <w:szCs w:val="24"/>
          <w:lang w:val="zh-CN" w:eastAsia="zh-CN" w:bidi="ar-SA"/>
        </w:rPr>
        <w:t>文件要求逐条如实填写，根据投标情况在“差异说明”项填写正偏离或负偏离及原因，完全符合的填写“无差异”。</w:t>
      </w:r>
    </w:p>
    <w:p w14:paraId="0F6D41E1">
      <w:pPr>
        <w:spacing w:line="390" w:lineRule="exact"/>
        <w:ind w:firstLine="480" w:firstLineChars="200"/>
        <w:jc w:val="left"/>
        <w:rPr>
          <w:rFonts w:hint="eastAsia" w:ascii="方正仿宋_GBK" w:hAnsi="方正仿宋_GBK" w:eastAsia="方正仿宋_GBK"/>
          <w:color w:val="000000"/>
          <w:kern w:val="2"/>
          <w:sz w:val="24"/>
          <w:szCs w:val="24"/>
          <w:lang w:val="zh-CN" w:eastAsia="zh-CN" w:bidi="ar-SA"/>
        </w:rPr>
      </w:pPr>
      <w:r>
        <w:rPr>
          <w:rFonts w:hint="eastAsia" w:ascii="方正仿宋_GBK" w:hAnsi="方正仿宋_GBK" w:eastAsia="方正仿宋_GBK"/>
          <w:color w:val="000000"/>
          <w:kern w:val="2"/>
          <w:sz w:val="24"/>
          <w:szCs w:val="24"/>
          <w:lang w:val="zh-CN" w:eastAsia="zh-CN" w:bidi="ar-SA"/>
        </w:rPr>
        <w:t>3.该表可扩展。</w:t>
      </w:r>
    </w:p>
    <w:p w14:paraId="40E15F1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（二）针对询价文件第二章报价人须知、评分标准中的服务部分要求提供相应的方案及要求的其他内容</w:t>
      </w:r>
    </w:p>
    <w:p w14:paraId="564AF415">
      <w:pPr>
        <w:pStyle w:val="7"/>
        <w:pageBreakBefore/>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三、商务文件</w:t>
      </w:r>
    </w:p>
    <w:p w14:paraId="0256BB61">
      <w:pPr>
        <w:snapToGrid w:val="0"/>
        <w:spacing w:line="500" w:lineRule="exact"/>
        <w:ind w:firstLine="480" w:firstLineChars="200"/>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（一）投标函（格式）</w:t>
      </w:r>
    </w:p>
    <w:p w14:paraId="2A7418C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致：</w:t>
      </w:r>
      <w:r>
        <w:rPr>
          <w:rFonts w:hint="eastAsia" w:ascii="方正仿宋_GBK" w:hAnsi="方正仿宋_GBK" w:eastAsia="方正仿宋_GBK"/>
          <w:color w:val="000000"/>
          <w:kern w:val="2"/>
          <w:sz w:val="24"/>
          <w:szCs w:val="24"/>
          <w:u w:val="single"/>
          <w:lang w:val="en-US" w:eastAsia="zh-CN" w:bidi="ar-SA"/>
        </w:rPr>
        <w:t xml:space="preserve">                     </w:t>
      </w:r>
    </w:p>
    <w:p w14:paraId="461690E8">
      <w:pPr>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（报价人名称）系中华人民共和国合法企业，注册地址：                               。我方就参加本次投标有关事项郑重声明如下：</w:t>
      </w:r>
    </w:p>
    <w:p w14:paraId="350BC9D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一、我方完全理解并接受该项目询价文件所有要求。</w:t>
      </w:r>
    </w:p>
    <w:p w14:paraId="072B412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二、我方提交的所有报价文件、资料都是准确和真实的，如有虚假或隐瞒，我方愿意承担一切法律责任。</w:t>
      </w:r>
    </w:p>
    <w:p w14:paraId="7D520DC5">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三、我方承诺按照询价文件要求，提供询价项目的服务。</w:t>
      </w:r>
    </w:p>
    <w:p w14:paraId="1EEBAF0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四、我方按询价文件要求提交的报价文件为：报价文件正本1份。</w:t>
      </w:r>
    </w:p>
    <w:p w14:paraId="6FE2C568">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五、我方承诺：本次报价的投标有效期为投标截止日期起90天。</w:t>
      </w:r>
    </w:p>
    <w:p w14:paraId="19FC441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六、我方投标报价为闭口价。即在投标有效期和合同有效期内，该报价固定不变。</w:t>
      </w:r>
    </w:p>
    <w:p w14:paraId="420897C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七、如果我方中标，我方将履行询价文件中规定的各项要求以及我方报价文件的各项承诺，按《中华人民共和国民法典》及合同约定条款承担我方责任。</w:t>
      </w:r>
    </w:p>
    <w:p w14:paraId="1BFD0A4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八、我方理解，最低报价不是中标的唯一条件。</w:t>
      </w:r>
    </w:p>
    <w:p w14:paraId="3ECE2048">
      <w:pPr>
        <w:tabs>
          <w:tab w:val="left" w:pos="6300"/>
        </w:tabs>
        <w:snapToGrid w:val="0"/>
        <w:spacing w:line="500" w:lineRule="exact"/>
        <w:ind w:firstLine="480" w:firstLineChars="200"/>
        <w:jc w:val="right"/>
        <w:rPr>
          <w:rFonts w:hint="eastAsia" w:ascii="方正仿宋_GBK" w:hAnsi="方正仿宋_GBK" w:eastAsia="方正仿宋_GBK"/>
          <w:color w:val="000000"/>
          <w:kern w:val="2"/>
          <w:sz w:val="24"/>
          <w:szCs w:val="24"/>
          <w:lang w:val="en-US" w:eastAsia="zh-CN" w:bidi="ar-SA"/>
        </w:rPr>
      </w:pPr>
    </w:p>
    <w:p w14:paraId="3C668CFF">
      <w:pPr>
        <w:tabs>
          <w:tab w:val="left" w:pos="6300"/>
        </w:tabs>
        <w:snapToGrid w:val="0"/>
        <w:spacing w:line="500" w:lineRule="exact"/>
        <w:ind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（报价人公章）</w:t>
      </w:r>
    </w:p>
    <w:p w14:paraId="207F9C52">
      <w:pPr>
        <w:tabs>
          <w:tab w:val="left" w:pos="6300"/>
        </w:tabs>
        <w:snapToGrid w:val="0"/>
        <w:spacing w:line="500" w:lineRule="exact"/>
        <w:ind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7DF83C9C">
      <w:pPr>
        <w:tabs>
          <w:tab w:val="left" w:pos="6300"/>
        </w:tabs>
        <w:snapToGrid w:val="0"/>
        <w:spacing w:line="50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br w:type="page"/>
      </w:r>
      <w:r>
        <w:rPr>
          <w:rFonts w:hint="eastAsia" w:ascii="方正仿宋_GBK" w:hAnsi="方正仿宋_GBK" w:eastAsia="方正仿宋_GBK"/>
          <w:color w:val="000000"/>
          <w:kern w:val="2"/>
          <w:sz w:val="24"/>
          <w:szCs w:val="24"/>
          <w:lang w:val="en-US" w:eastAsia="zh-CN" w:bidi="ar-SA"/>
        </w:rPr>
        <w:t>（二）针对询价文件第二章报价人须知、评分标准中的商务部分要求提供相应证明材料及要求的其他内容</w:t>
      </w:r>
    </w:p>
    <w:p w14:paraId="7D0A16CB">
      <w:pPr>
        <w:tabs>
          <w:tab w:val="left" w:pos="6300"/>
        </w:tabs>
        <w:snapToGrid w:val="0"/>
        <w:spacing w:line="50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br w:type="page"/>
      </w:r>
      <w:r>
        <w:rPr>
          <w:rFonts w:hint="eastAsia" w:ascii="方正仿宋_GBK" w:hAnsi="方正仿宋_GBK" w:eastAsia="方正仿宋_GBK"/>
          <w:b/>
          <w:bCs/>
          <w:color w:val="000000"/>
          <w:kern w:val="2"/>
          <w:sz w:val="24"/>
          <w:szCs w:val="24"/>
          <w:lang w:val="en-US" w:eastAsia="zh-CN" w:bidi="ar-SA"/>
        </w:rPr>
        <w:t>四、其他</w:t>
      </w:r>
    </w:p>
    <w:p w14:paraId="6E549CBE">
      <w:pPr>
        <w:tabs>
          <w:tab w:val="left" w:pos="6300"/>
        </w:tabs>
        <w:snapToGrid w:val="0"/>
        <w:spacing w:line="500" w:lineRule="exact"/>
        <w:ind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（一）其他与项目有关的资料（自附）</w:t>
      </w:r>
    </w:p>
    <w:p w14:paraId="1E118711">
      <w:pPr>
        <w:tabs>
          <w:tab w:val="left" w:pos="6300"/>
        </w:tabs>
        <w:snapToGrid w:val="0"/>
        <w:spacing w:line="500" w:lineRule="exact"/>
        <w:ind w:firstLine="480" w:firstLineChars="200"/>
        <w:jc w:val="left"/>
        <w:rPr>
          <w:rFonts w:hint="eastAsia" w:ascii="方正仿宋_GBK" w:hAnsi="方正仿宋_GBK" w:eastAsia="方正仿宋_GBK"/>
          <w:color w:val="000000"/>
          <w:kern w:val="2"/>
          <w:sz w:val="24"/>
          <w:szCs w:val="24"/>
          <w:lang w:val="en-US" w:eastAsia="zh-CN" w:bidi="ar-SA"/>
        </w:rPr>
      </w:pPr>
    </w:p>
    <w:p w14:paraId="6A9DDDE0">
      <w:pPr>
        <w:pStyle w:val="7"/>
        <w:pageBreakBefore/>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五、资格文件</w:t>
      </w:r>
    </w:p>
    <w:p w14:paraId="275406C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（一）法人营业执照（副本）或事业单位法人证书（副本）或个体工商户营业执照或有效的自然人身份证明或社会团体法人登记证书复印件</w:t>
      </w:r>
    </w:p>
    <w:p w14:paraId="3A7DFEB9">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67B2E1C">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2807A915">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88ACCC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BA7F6A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9910062">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EE53A3C">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34DBFAF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974033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1F9899C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8051867">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FB9D718">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C1DB47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C7DDB2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49C9EE6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D74B43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3A0E01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C05CA6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6CCA440">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DD41B89">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FC0AA1C">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00F913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C0D0FE8">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4EAD59C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B144735">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（二）法定代表人身份证明书（格式）</w:t>
      </w:r>
    </w:p>
    <w:p w14:paraId="7CDD9B6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r>
        <w:rPr>
          <w:rFonts w:hint="eastAsia" w:ascii="方正仿宋_GBK" w:hAnsi="方正仿宋_GBK" w:eastAsia="方正仿宋_GBK"/>
          <w:color w:val="000000"/>
          <w:kern w:val="2"/>
          <w:sz w:val="24"/>
          <w:szCs w:val="24"/>
          <w:u w:val="single"/>
          <w:lang w:val="en-US" w:eastAsia="zh-CN" w:bidi="ar-SA"/>
        </w:rPr>
        <w:t xml:space="preserve">                       </w:t>
      </w:r>
      <w:r>
        <w:rPr>
          <w:rFonts w:hint="eastAsia" w:ascii="方正仿宋_GBK" w:hAnsi="方正仿宋_GBK" w:eastAsia="方正仿宋_GBK"/>
          <w:color w:val="000000"/>
          <w:kern w:val="2"/>
          <w:sz w:val="24"/>
          <w:szCs w:val="24"/>
          <w:lang w:val="en-US" w:eastAsia="zh-CN" w:bidi="ar-SA"/>
        </w:rPr>
        <w:t xml:space="preserve">    </w:t>
      </w:r>
    </w:p>
    <w:p w14:paraId="4F03EEE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致：</w:t>
      </w:r>
      <w:r>
        <w:rPr>
          <w:rFonts w:hint="eastAsia" w:ascii="方正仿宋_GBK" w:hAnsi="方正仿宋_GBK" w:eastAsia="方正仿宋_GBK"/>
          <w:color w:val="000000"/>
          <w:kern w:val="2"/>
          <w:sz w:val="24"/>
          <w:szCs w:val="24"/>
          <w:u w:val="single"/>
          <w:lang w:val="en-US" w:eastAsia="zh-CN" w:bidi="ar-SA"/>
        </w:rPr>
        <w:t xml:space="preserve">                    </w:t>
      </w:r>
    </w:p>
    <w:p w14:paraId="5CFD193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（法定代表人姓名）在                       （报价人名称）任    （职务名称）职务，是（报价人名称）              的法定代表人。</w:t>
      </w:r>
    </w:p>
    <w:p w14:paraId="7B34E1C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特此证明。</w:t>
      </w:r>
    </w:p>
    <w:p w14:paraId="0873E354">
      <w:pPr>
        <w:tabs>
          <w:tab w:val="left" w:pos="6300"/>
        </w:tabs>
        <w:snapToGrid w:val="0"/>
        <w:spacing w:line="500" w:lineRule="exact"/>
        <w:ind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（报价人公章）</w:t>
      </w:r>
    </w:p>
    <w:p w14:paraId="6FD804DB">
      <w:pPr>
        <w:tabs>
          <w:tab w:val="left" w:pos="6300"/>
        </w:tabs>
        <w:snapToGrid w:val="0"/>
        <w:spacing w:line="500" w:lineRule="exact"/>
        <w:ind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0E47445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（附：法定代表人身份证正反面复印件）</w:t>
      </w:r>
    </w:p>
    <w:p w14:paraId="6E39515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0C1C33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7040F6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C3F83B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2301EB4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D81236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7E5A855">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3DA570DD">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1C1A576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3AF4189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ABB5F5C">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5217BD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69C5D5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0B4C9DA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32612CDD">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17F1F7EC">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5D2F87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1E545AA">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08C38A4">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（三）法定代表人授权委托书（格式）</w:t>
      </w:r>
    </w:p>
    <w:p w14:paraId="6B844AA0">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r>
        <w:rPr>
          <w:rFonts w:hint="eastAsia" w:ascii="方正仿宋_GBK" w:hAnsi="方正仿宋_GBK" w:eastAsia="方正仿宋_GBK"/>
          <w:color w:val="000000"/>
          <w:kern w:val="2"/>
          <w:sz w:val="24"/>
          <w:szCs w:val="24"/>
          <w:u w:val="single"/>
          <w:lang w:val="en-US" w:eastAsia="zh-CN" w:bidi="ar-SA"/>
        </w:rPr>
        <w:t xml:space="preserve">                              </w:t>
      </w:r>
      <w:r>
        <w:rPr>
          <w:rFonts w:hint="eastAsia" w:ascii="方正仿宋_GBK" w:hAnsi="方正仿宋_GBK" w:eastAsia="方正仿宋_GBK"/>
          <w:color w:val="000000"/>
          <w:kern w:val="2"/>
          <w:sz w:val="24"/>
          <w:szCs w:val="24"/>
          <w:lang w:val="en-US" w:eastAsia="zh-CN" w:bidi="ar-SA"/>
        </w:rPr>
        <w:t xml:space="preserve">                  </w:t>
      </w:r>
    </w:p>
    <w:p w14:paraId="023E2ACE">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致：</w:t>
      </w:r>
    </w:p>
    <w:p w14:paraId="0A0FE3A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（报价人法定代表人名称）是                    （报价人名称）的法定代表人，特授权          （被授权人姓名及身份证代码）代表我单位全权办理上述项目的投标、谈判、签约等具体工作，并签署全部有关文件、协议及合同。</w:t>
      </w:r>
    </w:p>
    <w:p w14:paraId="60386E35">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我单位对被授权人的签字负全部责任。</w:t>
      </w:r>
    </w:p>
    <w:p w14:paraId="4EB601E0">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在撤消授权的书面通知以前，本授权书一直有效。被授权人在授权书有效期内签署的所有文件不因授权的撤消而失效。</w:t>
      </w:r>
    </w:p>
    <w:p w14:paraId="5983DEDD">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被授权人：                                 报价人法定代表人：</w:t>
      </w:r>
    </w:p>
    <w:p w14:paraId="41FC6817">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（签字或盖章）                                （签字或盖章）</w:t>
      </w:r>
    </w:p>
    <w:p w14:paraId="1BD5294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（附：被授权人身份证正反面复印件）</w:t>
      </w:r>
    </w:p>
    <w:p w14:paraId="4494DB75">
      <w:pPr>
        <w:tabs>
          <w:tab w:val="left" w:pos="6300"/>
        </w:tabs>
        <w:snapToGrid w:val="0"/>
        <w:spacing w:line="500" w:lineRule="exact"/>
        <w:ind w:right="480"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（报价人公章）</w:t>
      </w:r>
    </w:p>
    <w:p w14:paraId="73C659BD">
      <w:pPr>
        <w:tabs>
          <w:tab w:val="left" w:pos="6300"/>
        </w:tabs>
        <w:snapToGrid w:val="0"/>
        <w:spacing w:line="500" w:lineRule="exact"/>
        <w:ind w:right="480"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1A0858C3">
      <w:pPr>
        <w:tabs>
          <w:tab w:val="left" w:pos="6300"/>
        </w:tabs>
        <w:snapToGrid w:val="0"/>
        <w:spacing w:line="500" w:lineRule="exact"/>
        <w:ind w:right="480"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被授权人电话：XXXXXXX     电子邮箱：XXXXXX@XXXXX（若法定代表人办理并签署报价文件的可不填写）</w:t>
      </w:r>
    </w:p>
    <w:p w14:paraId="3DDD039C">
      <w:pPr>
        <w:tabs>
          <w:tab w:val="left" w:pos="6300"/>
        </w:tabs>
        <w:snapToGrid w:val="0"/>
        <w:spacing w:line="500" w:lineRule="exact"/>
        <w:ind w:right="480"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注：</w:t>
      </w:r>
    </w:p>
    <w:p w14:paraId="6995B02F">
      <w:pPr>
        <w:tabs>
          <w:tab w:val="left" w:pos="6300"/>
        </w:tabs>
        <w:snapToGrid w:val="0"/>
        <w:spacing w:line="500" w:lineRule="exact"/>
        <w:ind w:right="480" w:firstLine="480" w:firstLineChars="200"/>
        <w:jc w:val="lef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1.若为法定代表人办理并签署报价文件的，不提供此文件。</w:t>
      </w:r>
    </w:p>
    <w:p w14:paraId="7DEF251A">
      <w:pPr>
        <w:tabs>
          <w:tab w:val="left" w:pos="6300"/>
        </w:tabs>
        <w:snapToGrid w:val="0"/>
        <w:spacing w:line="500" w:lineRule="exact"/>
        <w:rPr>
          <w:rFonts w:hint="eastAsia" w:ascii="方正仿宋_GBK" w:hAnsi="方正仿宋_GBK" w:eastAsia="方正仿宋_GBK"/>
          <w:color w:val="000000"/>
          <w:kern w:val="2"/>
          <w:sz w:val="24"/>
          <w:szCs w:val="24"/>
          <w:lang w:val="en-US" w:eastAsia="zh-CN" w:bidi="ar-SA"/>
        </w:rPr>
      </w:pPr>
    </w:p>
    <w:p w14:paraId="3B5DEB16">
      <w:pPr>
        <w:tabs>
          <w:tab w:val="left" w:pos="6300"/>
        </w:tabs>
        <w:snapToGrid w:val="0"/>
        <w:spacing w:line="500" w:lineRule="exact"/>
        <w:jc w:val="center"/>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br w:type="page"/>
      </w:r>
      <w:r>
        <w:rPr>
          <w:rFonts w:hint="eastAsia" w:ascii="方正仿宋_GBK" w:hAnsi="方正仿宋_GBK" w:eastAsia="方正仿宋_GBK"/>
          <w:color w:val="000000"/>
          <w:kern w:val="2"/>
          <w:sz w:val="24"/>
          <w:szCs w:val="24"/>
          <w:lang w:val="en-US" w:eastAsia="zh-CN" w:bidi="ar-SA"/>
        </w:rPr>
        <w:t>（五）书面声明</w:t>
      </w:r>
    </w:p>
    <w:p w14:paraId="7A6F9DC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项目名称：</w:t>
      </w:r>
      <w:r>
        <w:rPr>
          <w:rFonts w:hint="eastAsia" w:ascii="方正仿宋_GBK" w:hAnsi="方正仿宋_GBK" w:eastAsia="方正仿宋_GBK"/>
          <w:color w:val="000000"/>
          <w:kern w:val="2"/>
          <w:sz w:val="24"/>
          <w:szCs w:val="24"/>
          <w:u w:val="single"/>
          <w:lang w:val="en-US" w:eastAsia="zh-CN" w:bidi="ar-SA"/>
        </w:rPr>
        <w:t xml:space="preserve">                         </w:t>
      </w:r>
      <w:r>
        <w:rPr>
          <w:rFonts w:hint="eastAsia" w:ascii="方正仿宋_GBK" w:hAnsi="方正仿宋_GBK" w:eastAsia="方正仿宋_GBK"/>
          <w:color w:val="000000"/>
          <w:kern w:val="2"/>
          <w:sz w:val="24"/>
          <w:szCs w:val="24"/>
          <w:lang w:val="en-US" w:eastAsia="zh-CN" w:bidi="ar-SA"/>
        </w:rPr>
        <w:t xml:space="preserve">                       </w:t>
      </w:r>
    </w:p>
    <w:p w14:paraId="7101B29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致：</w:t>
      </w:r>
      <w:r>
        <w:rPr>
          <w:rFonts w:hint="eastAsia" w:ascii="方正仿宋_GBK" w:hAnsi="方正仿宋_GBK" w:eastAsia="方正仿宋_GBK"/>
          <w:color w:val="000000"/>
          <w:kern w:val="2"/>
          <w:sz w:val="24"/>
          <w:szCs w:val="24"/>
          <w:u w:val="single"/>
          <w:lang w:val="en-US" w:eastAsia="zh-CN" w:bidi="ar-SA"/>
        </w:rPr>
        <w:t xml:space="preserve">                    </w:t>
      </w:r>
    </w:p>
    <w:p w14:paraId="625D853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询价人检查验证，符合《政府采购法》规定的报价人资格条件。我方对以上声明负全部法律责任。</w:t>
      </w:r>
    </w:p>
    <w:p w14:paraId="65BFC87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特此声明。</w:t>
      </w:r>
    </w:p>
    <w:p w14:paraId="4C0BF335">
      <w:pPr>
        <w:tabs>
          <w:tab w:val="left" w:pos="6300"/>
        </w:tabs>
        <w:snapToGrid w:val="0"/>
        <w:spacing w:line="500" w:lineRule="exact"/>
        <w:ind w:right="424"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（报价人公章）</w:t>
      </w:r>
    </w:p>
    <w:p w14:paraId="55F933A8">
      <w:pPr>
        <w:tabs>
          <w:tab w:val="left" w:pos="6300"/>
        </w:tabs>
        <w:snapToGrid w:val="0"/>
        <w:spacing w:line="500" w:lineRule="exact"/>
        <w:ind w:right="480" w:firstLine="480" w:firstLineChars="200"/>
        <w:jc w:val="right"/>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年   月   日</w:t>
      </w:r>
    </w:p>
    <w:p w14:paraId="6C5785A1">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br w:type="page"/>
      </w:r>
      <w:r>
        <w:rPr>
          <w:rFonts w:hint="eastAsia" w:ascii="方正仿宋_GBK" w:hAnsi="方正仿宋_GBK" w:eastAsia="方正仿宋_GBK"/>
          <w:color w:val="000000"/>
          <w:kern w:val="2"/>
          <w:sz w:val="24"/>
          <w:szCs w:val="24"/>
          <w:lang w:val="en-US" w:eastAsia="zh-CN" w:bidi="ar-SA"/>
        </w:rPr>
        <w:t>（六）税务登记证（副本）复印件</w:t>
      </w:r>
    </w:p>
    <w:p w14:paraId="637E2962">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2CD77353">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981F9E8">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68BABC6">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E60B03D">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AB8E32F">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5A477617">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62B843AB">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34A6E4DD">
      <w:pPr>
        <w:tabs>
          <w:tab w:val="left" w:pos="6300"/>
        </w:tabs>
        <w:snapToGrid w:val="0"/>
        <w:spacing w:line="500" w:lineRule="exact"/>
        <w:ind w:firstLine="480" w:firstLineChars="200"/>
        <w:rPr>
          <w:rFonts w:hint="eastAsia" w:ascii="方正仿宋_GBK" w:hAnsi="方正仿宋_GBK" w:eastAsia="方正仿宋_GBK"/>
          <w:color w:val="000000"/>
          <w:kern w:val="2"/>
          <w:sz w:val="24"/>
          <w:szCs w:val="24"/>
          <w:lang w:val="en-US" w:eastAsia="zh-CN" w:bidi="ar-SA"/>
        </w:rPr>
      </w:pPr>
      <w:r>
        <w:rPr>
          <w:rFonts w:hint="eastAsia" w:ascii="方正仿宋_GBK" w:hAnsi="方正仿宋_GBK" w:eastAsia="方正仿宋_GBK"/>
          <w:color w:val="000000"/>
          <w:kern w:val="2"/>
          <w:sz w:val="24"/>
          <w:szCs w:val="24"/>
          <w:lang w:val="en-US" w:eastAsia="zh-CN" w:bidi="ar-SA"/>
        </w:rPr>
        <w:t>（七）特定资格条件证书或证明文件</w:t>
      </w:r>
    </w:p>
    <w:p w14:paraId="776DBC61">
      <w:pPr>
        <w:spacing w:line="500" w:lineRule="exact"/>
        <w:ind w:firstLine="480" w:firstLineChars="200"/>
        <w:rPr>
          <w:rFonts w:hint="eastAsia" w:ascii="方正仿宋_GBK" w:hAnsi="方正仿宋_GBK" w:eastAsia="方正仿宋_GBK"/>
          <w:color w:val="000000"/>
          <w:kern w:val="2"/>
          <w:sz w:val="24"/>
          <w:szCs w:val="24"/>
          <w:lang w:val="en-US" w:eastAsia="zh-CN" w:bidi="ar-SA"/>
        </w:rPr>
      </w:pPr>
    </w:p>
    <w:p w14:paraId="70708817">
      <w:pPr>
        <w:spacing w:line="1000" w:lineRule="exact"/>
        <w:jc w:val="center"/>
        <w:rPr>
          <w:rFonts w:hint="eastAsia" w:ascii="方正小标宋_GBK" w:hAnsi="方正小标宋_GBK" w:eastAsia="方正小标宋_GBK"/>
          <w:b w:val="0"/>
          <w:bCs w:val="0"/>
          <w:color w:val="000000"/>
          <w:sz w:val="84"/>
          <w:szCs w:val="84"/>
        </w:rPr>
      </w:pPr>
    </w:p>
    <w:p w14:paraId="5A569704">
      <w:pPr>
        <w:pStyle w:val="18"/>
        <w:keepNext w:val="0"/>
        <w:keepLines w:val="0"/>
        <w:pageBreakBefore w:val="0"/>
        <w:kinsoku/>
        <w:wordWrap/>
        <w:overflowPunct/>
        <w:topLinePunct w:val="0"/>
        <w:autoSpaceDE/>
        <w:autoSpaceDN/>
        <w:bidi w:val="0"/>
        <w:snapToGrid/>
        <w:spacing w:line="560" w:lineRule="exact"/>
        <w:jc w:val="both"/>
        <w:rPr>
          <w:rFonts w:hint="eastAsia" w:ascii="方正仿宋_GBK" w:eastAsia="方正仿宋_GBK"/>
          <w:color w:val="000000"/>
          <w:sz w:val="30"/>
          <w:szCs w:val="30"/>
          <w:lang w:val="en-US" w:eastAsia="zh-CN"/>
        </w:rPr>
      </w:pPr>
    </w:p>
    <w:p w14:paraId="4055532C">
      <w:pPr>
        <w:pStyle w:val="18"/>
        <w:keepNext w:val="0"/>
        <w:keepLines w:val="0"/>
        <w:pageBreakBefore w:val="0"/>
        <w:kinsoku/>
        <w:wordWrap/>
        <w:overflowPunct/>
        <w:topLinePunct w:val="0"/>
        <w:autoSpaceDE/>
        <w:autoSpaceDN/>
        <w:bidi w:val="0"/>
        <w:snapToGrid/>
        <w:spacing w:line="560" w:lineRule="exact"/>
        <w:jc w:val="both"/>
        <w:rPr>
          <w:rFonts w:hint="eastAsia" w:ascii="方正仿宋_GBK" w:eastAsia="方正仿宋_GBK"/>
          <w:color w:val="000000"/>
          <w:sz w:val="30"/>
          <w:szCs w:val="30"/>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EB3B">
    <w:pPr>
      <w:pStyle w:val="3"/>
      <w:jc w:val="center"/>
    </w:pP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D32B">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C98074">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2D96D"/>
    <w:multiLevelType w:val="singleLevel"/>
    <w:tmpl w:val="9D82D96D"/>
    <w:lvl w:ilvl="0" w:tentative="0">
      <w:start w:val="1"/>
      <w:numFmt w:val="decimal"/>
      <w:suff w:val="nothing"/>
      <w:lvlText w:val="%1、"/>
      <w:lvlJc w:val="left"/>
    </w:lvl>
  </w:abstractNum>
  <w:abstractNum w:abstractNumId="1">
    <w:nsid w:val="D2A1B3AC"/>
    <w:multiLevelType w:val="singleLevel"/>
    <w:tmpl w:val="D2A1B3AC"/>
    <w:lvl w:ilvl="0" w:tentative="0">
      <w:start w:val="1"/>
      <w:numFmt w:val="chineseCounting"/>
      <w:suff w:val="nothing"/>
      <w:lvlText w:val="%1、"/>
      <w:lvlJc w:val="left"/>
      <w:rPr>
        <w:rFonts w:hint="eastAsia"/>
      </w:rPr>
    </w:lvl>
  </w:abstractNum>
  <w:abstractNum w:abstractNumId="2">
    <w:nsid w:val="F45EAFDD"/>
    <w:multiLevelType w:val="singleLevel"/>
    <w:tmpl w:val="F45EAFDD"/>
    <w:lvl w:ilvl="0" w:tentative="0">
      <w:start w:val="4"/>
      <w:numFmt w:val="chineseCounting"/>
      <w:suff w:val="nothing"/>
      <w:lvlText w:val="（%1）"/>
      <w:lvlJc w:val="left"/>
      <w:rPr>
        <w:rFonts w:hint="eastAsia"/>
      </w:rPr>
    </w:lvl>
  </w:abstractNum>
  <w:abstractNum w:abstractNumId="3">
    <w:nsid w:val="0E4FB504"/>
    <w:multiLevelType w:val="singleLevel"/>
    <w:tmpl w:val="0E4FB504"/>
    <w:lvl w:ilvl="0" w:tentative="0">
      <w:start w:val="2"/>
      <w:numFmt w:val="decimal"/>
      <w:suff w:val="nothing"/>
      <w:lvlText w:val="%1、"/>
      <w:lvlJc w:val="left"/>
    </w:lvl>
  </w:abstractNum>
  <w:abstractNum w:abstractNumId="4">
    <w:nsid w:val="3564836E"/>
    <w:multiLevelType w:val="singleLevel"/>
    <w:tmpl w:val="3564836E"/>
    <w:lvl w:ilvl="0" w:tentative="0">
      <w:start w:val="1"/>
      <w:numFmt w:val="decimal"/>
      <w:lvlText w:val="%1."/>
      <w:lvlJc w:val="left"/>
      <w:pPr>
        <w:tabs>
          <w:tab w:val="left" w:pos="312"/>
        </w:tabs>
      </w:pPr>
    </w:lvl>
  </w:abstractNum>
  <w:abstractNum w:abstractNumId="5">
    <w:nsid w:val="4F88DBDC"/>
    <w:multiLevelType w:val="singleLevel"/>
    <w:tmpl w:val="4F88DBDC"/>
    <w:lvl w:ilvl="0" w:tentative="0">
      <w:start w:val="1"/>
      <w:numFmt w:val="chineseCounting"/>
      <w:suff w:val="nothing"/>
      <w:lvlText w:val="（%1）"/>
      <w:lvlJc w:val="left"/>
      <w:rPr>
        <w:rFonts w:hint="eastAsia"/>
      </w:rPr>
    </w:lvl>
  </w:abstractNum>
  <w:abstractNum w:abstractNumId="6">
    <w:nsid w:val="5F540598"/>
    <w:multiLevelType w:val="singleLevel"/>
    <w:tmpl w:val="5F540598"/>
    <w:lvl w:ilvl="0" w:tentative="0">
      <w:start w:val="1"/>
      <w:numFmt w:val="decimal"/>
      <w:lvlText w:val="%1."/>
      <w:lvlJc w:val="left"/>
      <w:pPr>
        <w:tabs>
          <w:tab w:val="left" w:pos="312"/>
        </w:tabs>
      </w:pPr>
    </w:lvl>
  </w:abstractNum>
  <w:abstractNum w:abstractNumId="7">
    <w:nsid w:val="6422277B"/>
    <w:multiLevelType w:val="singleLevel"/>
    <w:tmpl w:val="6422277B"/>
    <w:lvl w:ilvl="0" w:tentative="0">
      <w:start w:val="10"/>
      <w:numFmt w:val="chineseCounting"/>
      <w:suff w:val="nothing"/>
      <w:lvlText w:val="%1、"/>
      <w:lvlJc w:val="left"/>
      <w:rPr>
        <w:rFonts w:hint="eastAsia"/>
      </w:rPr>
    </w:lvl>
  </w:abstractNum>
  <w:abstractNum w:abstractNumId="8">
    <w:nsid w:val="762F28DF"/>
    <w:multiLevelType w:val="singleLevel"/>
    <w:tmpl w:val="762F28DF"/>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rsids>
    <w:rsidRoot w:val="00000000"/>
    <w:rsid w:val="05EA6938"/>
    <w:rsid w:val="07621793"/>
    <w:rsid w:val="108311A1"/>
    <w:rsid w:val="1AE300CE"/>
    <w:rsid w:val="2B407FEB"/>
    <w:rsid w:val="2D4C490C"/>
    <w:rsid w:val="2E721FE0"/>
    <w:rsid w:val="332B3F69"/>
    <w:rsid w:val="36B44957"/>
    <w:rsid w:val="38453FFE"/>
    <w:rsid w:val="45FB2C3F"/>
    <w:rsid w:val="56821842"/>
    <w:rsid w:val="58817D4A"/>
    <w:rsid w:val="5B994342"/>
    <w:rsid w:val="5FF604B5"/>
    <w:rsid w:val="61ED04B8"/>
    <w:rsid w:val="651E2B0C"/>
    <w:rsid w:val="66BA019E"/>
    <w:rsid w:val="71FC73E8"/>
    <w:rsid w:val="72175CD6"/>
    <w:rsid w:val="7880578A"/>
    <w:rsid w:val="78E05685"/>
    <w:rsid w:val="7D4A4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2" w:lineRule="auto"/>
      <w:ind w:firstLine="49" w:firstLineChars="49"/>
      <w:outlineLvl w:val="2"/>
    </w:pPr>
    <w:rPr>
      <w:rFonts w:eastAsia="宋体" w:cs="Times New Roman"/>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21"/>
    <w:basedOn w:val="1"/>
    <w:qFormat/>
    <w:uiPriority w:val="0"/>
    <w:pPr>
      <w:keepNext/>
      <w:jc w:val="center"/>
      <w:outlineLvl w:val="1"/>
    </w:pPr>
    <w:rPr>
      <w:rFonts w:eastAsia="仿宋_GB2312"/>
      <w:sz w:val="28"/>
      <w:szCs w:val="20"/>
    </w:rPr>
  </w:style>
  <w:style w:type="paragraph" w:customStyle="1" w:styleId="8">
    <w:name w:val="标题 31"/>
    <w:basedOn w:val="1"/>
    <w:qFormat/>
    <w:uiPriority w:val="0"/>
    <w:pPr>
      <w:keepNext/>
      <w:keepLines/>
      <w:spacing w:before="260" w:after="260" w:line="412" w:lineRule="auto"/>
      <w:ind w:firstLine="49" w:firstLineChars="49"/>
      <w:outlineLvl w:val="2"/>
    </w:pPr>
    <w:rPr>
      <w:rFonts w:eastAsia="宋体"/>
      <w:b/>
      <w:bCs/>
      <w:kern w:val="0"/>
      <w:sz w:val="32"/>
      <w:szCs w:val="32"/>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正文文本1"/>
    <w:basedOn w:val="1"/>
    <w:qFormat/>
    <w:uiPriority w:val="0"/>
    <w:pPr>
      <w:jc w:val="center"/>
    </w:pPr>
    <w:rPr>
      <w:rFonts w:ascii="仿宋_GB2312"/>
      <w:b/>
      <w:bCs/>
      <w:sz w:val="40"/>
    </w:rPr>
  </w:style>
  <w:style w:type="paragraph" w:customStyle="1" w:styleId="12">
    <w:name w:val="正文缩进1"/>
    <w:basedOn w:val="1"/>
    <w:qFormat/>
    <w:uiPriority w:val="0"/>
    <w:pPr>
      <w:ind w:firstLine="420" w:firstLineChars="200"/>
    </w:pPr>
  </w:style>
  <w:style w:type="paragraph" w:customStyle="1" w:styleId="13">
    <w:name w:val="正文文本缩进1"/>
    <w:basedOn w:val="1"/>
    <w:qFormat/>
    <w:uiPriority w:val="0"/>
    <w:pPr>
      <w:spacing w:line="700" w:lineRule="exact"/>
      <w:ind w:left="960"/>
    </w:pPr>
    <w:rPr>
      <w:sz w:val="44"/>
    </w:rPr>
  </w:style>
  <w:style w:type="paragraph" w:customStyle="1" w:styleId="14">
    <w:name w:val="日期1"/>
    <w:basedOn w:val="1"/>
    <w:qFormat/>
    <w:uiPriority w:val="0"/>
    <w:pPr>
      <w:ind w:left="100" w:leftChars="2500"/>
    </w:pPr>
  </w:style>
  <w:style w:type="table" w:customStyle="1" w:styleId="15">
    <w:name w:val="网格型1"/>
    <w:basedOn w:val="10"/>
    <w:qFormat/>
    <w:uiPriority w:val="0"/>
    <w:rPr>
      <w:rFonts w:ascii="Calibri" w:hAnsi="Calibri" w:eastAsia="宋体"/>
      <w:kern w:val="0"/>
      <w:sz w:val="20"/>
      <w:szCs w:val="20"/>
    </w:rPr>
  </w:style>
  <w:style w:type="paragraph" w:customStyle="1" w:styleId="16">
    <w:name w:val="_Style 1"/>
    <w:basedOn w:val="1"/>
    <w:qFormat/>
    <w:uiPriority w:val="0"/>
    <w:pPr>
      <w:ind w:firstLine="420" w:firstLineChars="200"/>
    </w:pPr>
  </w:style>
  <w:style w:type="paragraph" w:customStyle="1" w:styleId="17">
    <w:name w:val="Default"/>
    <w:next w:val="1"/>
    <w:qFormat/>
    <w:uiPriority w:val="0"/>
    <w:pPr>
      <w:widowControl w:val="0"/>
      <w:autoSpaceDE w:val="0"/>
      <w:autoSpaceDN w:val="0"/>
    </w:pPr>
    <w:rPr>
      <w:rFonts w:ascii="仿宋_GB2312" w:hAnsi="Calibri" w:eastAsia="仿宋_GB2312" w:cs="Times New Roman"/>
      <w:color w:val="000000"/>
      <w:sz w:val="24"/>
      <w:szCs w:val="24"/>
      <w:lang w:val="en-US" w:eastAsia="zh-CN" w:bidi="ar-SA"/>
    </w:rPr>
  </w:style>
  <w:style w:type="paragraph" w:customStyle="1" w:styleId="18">
    <w:name w:val="无间隔1"/>
    <w:qFormat/>
    <w:uiPriority w:val="0"/>
    <w:pPr>
      <w:jc w:val="both"/>
    </w:pPr>
    <w:rPr>
      <w:rFonts w:ascii="Times New Roman" w:hAnsi="Times New Roman" w:eastAsia="Times New Roman" w:cs="Times New Roman"/>
      <w:lang w:val="en-US" w:eastAsia="zh-CN" w:bidi="ar-SA"/>
    </w:rPr>
  </w:style>
  <w:style w:type="paragraph" w:customStyle="1" w:styleId="19">
    <w:name w:val="_Style 2"/>
    <w:basedOn w:val="1"/>
    <w:qFormat/>
    <w:uiPriority w:val="0"/>
    <w:pPr>
      <w:ind w:firstLine="420" w:firstLineChars="200"/>
    </w:pPr>
    <w:rPr>
      <w:rFonts w:ascii="Calibri" w:hAnsi="Calibri"/>
      <w:szCs w:val="22"/>
    </w:rPr>
  </w:style>
  <w:style w:type="paragraph" w:customStyle="1" w:styleId="20">
    <w:name w:val="标书正文1"/>
    <w:basedOn w:val="1"/>
    <w:qFormat/>
    <w:uiPriority w:val="0"/>
    <w:pPr>
      <w:spacing w:line="520" w:lineRule="exact"/>
      <w:ind w:firstLine="64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12410</Words>
  <Characters>12756</Characters>
  <Lines>0</Lines>
  <Paragraphs>0</Paragraphs>
  <TotalTime>13</TotalTime>
  <ScaleCrop>false</ScaleCrop>
  <LinksUpToDate>false</LinksUpToDate>
  <CharactersWithSpaces>13330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2025-08-29T04:19:00Z</dcterms:created>
  <dc:creator>华妹</dc:creator>
  <cp:lastModifiedBy>枫子</cp:lastModifiedBy>
  <cp:lastPrinted>2025-09-22T01:21:26Z</cp:lastPrinted>
  <dcterms:modified xsi:type="dcterms:W3CDTF">2025-09-22T01:39:04Z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eyJoZGlkIjoiMDAwMGIxMzIxNmFkNWZhN2IyMDRmYWUzZGNjNDRmMGQiLCJ1c2VySWQiOiI5MDE3ODM1ODEifQ==</vt:lpwstr>
  </property>
  <property fmtid="{D5CDD505-2E9C-101B-9397-08002B2CF9AE}" pid="3" name="KSOProductBuildVer">
    <vt:lpwstr>2052-12.1.0.21915</vt:lpwstr>
  </property>
  <property fmtid="{D5CDD505-2E9C-101B-9397-08002B2CF9AE}" pid="4" name="ICV">
    <vt:lpwstr>7F742ED88D9345BF91E2FCA909C7CE7F_12</vt:lpwstr>
  </property>
</Properties>
</file>