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5558C">
      <w:pPr>
        <w:jc w:val="center"/>
        <w:rPr>
          <w:rFonts w:hint="eastAsia" w:ascii="宋体" w:hAnsi="宋体" w:eastAsia="宋体" w:cs="宋体"/>
          <w:b w:val="0"/>
          <w:bCs w:val="0"/>
          <w:sz w:val="32"/>
        </w:rPr>
      </w:pPr>
      <w:r>
        <w:rPr>
          <w:rFonts w:hint="eastAsia" w:ascii="宋体" w:hAnsi="宋体" w:eastAsia="宋体" w:cs="宋体"/>
          <w:b w:val="0"/>
          <w:bCs w:val="0"/>
          <w:sz w:val="32"/>
        </w:rPr>
        <w:t>基于私有云技术的可信云原生平台技术开发服务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</w:rPr>
        <w:t>规范书</w:t>
      </w:r>
    </w:p>
    <w:p w14:paraId="0CC3B7FA">
      <w:pPr>
        <w:pStyle w:val="32"/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lang w:val="en-US" w:eastAsia="zh-CN"/>
        </w:rPr>
        <w:t>项目背景</w:t>
      </w:r>
    </w:p>
    <w:p w14:paraId="3A1794A0">
      <w:pPr>
        <w:keepNext w:val="0"/>
        <w:keepLines w:val="0"/>
        <w:widowControl/>
        <w:suppressLineNumbers w:val="0"/>
        <w:ind w:firstLine="440" w:firstLineChars="200"/>
        <w:jc w:val="left"/>
        <w:rPr>
          <w:rFonts w:hint="default" w:ascii="宋体" w:hAnsi="宋体" w:eastAsia="宋体" w:cs="宋体"/>
          <w:b w:val="0"/>
          <w:bCs w:val="0"/>
          <w:sz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高速云平台作为核心基础设施，实现了计算、存储、网络资源的统一纳管，并初步完成国产化信创适配，为支撑云原生应用敏捷交付、跨集群智能调度、全链路可观测性等。本项目基于高速云平台现有技术底座，构建高速云可信云原生平台，通过深度兼容既有IaaS能力与信创生态。提升高速公路业务系统的弹性伸缩能力、自动化运维水平与全栈安全性，为上云业务系统提供云原生技术赋能。</w:t>
      </w:r>
    </w:p>
    <w:p w14:paraId="4FA18249">
      <w:pPr>
        <w:pStyle w:val="32"/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8"/>
        </w:rPr>
      </w:pPr>
      <w:r>
        <w:rPr>
          <w:rFonts w:hint="eastAsia" w:ascii="宋体" w:hAnsi="宋体" w:eastAsia="宋体" w:cs="宋体"/>
          <w:b w:val="0"/>
          <w:bCs w:val="0"/>
          <w:sz w:val="28"/>
        </w:rPr>
        <w:t>定制开发服务清单</w:t>
      </w:r>
    </w:p>
    <w:p w14:paraId="0210033D">
      <w:pPr>
        <w:ind w:firstLine="440" w:firstLineChars="2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乙方将根据甲方需求，定制开发并提供高速云可信云原生平台（一期）解决方案，主要包括以下服务内容：</w:t>
      </w:r>
    </w:p>
    <w:tbl>
      <w:tblPr>
        <w:tblStyle w:val="16"/>
        <w:tblW w:w="8578" w:type="dxa"/>
        <w:tblCellSpacing w:w="15" w:type="dxa"/>
        <w:tblInd w:w="0" w:type="dxa"/>
        <w:tblBorders>
          <w:top w:val="single" w:color="DEDEDE" w:sz="6" w:space="0"/>
          <w:left w:val="single" w:color="DEDEDE" w:sz="6" w:space="0"/>
          <w:bottom w:val="single" w:color="DEDEDE" w:sz="6" w:space="0"/>
          <w:right w:val="single" w:color="DEDEDE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5"/>
        <w:gridCol w:w="2365"/>
        <w:gridCol w:w="4428"/>
        <w:gridCol w:w="575"/>
        <w:gridCol w:w="605"/>
      </w:tblGrid>
      <w:tr w14:paraId="6D901163">
        <w:trPr>
          <w:tblHeader/>
          <w:tblCellSpacing w:w="15" w:type="dxa"/>
        </w:trPr>
        <w:tc>
          <w:tcPr>
            <w:tcW w:w="0" w:type="auto"/>
            <w:shd w:val="clear" w:color="auto" w:fill="F7F8F7"/>
            <w:tcMar>
              <w:top w:w="120" w:type="dxa"/>
              <w:left w:w="150" w:type="dxa"/>
              <w:bottom w:w="150" w:type="dxa"/>
              <w:right w:w="150" w:type="dxa"/>
            </w:tcMar>
            <w:vAlign w:val="center"/>
          </w:tcPr>
          <w:p w14:paraId="3B58F109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序号</w:t>
            </w:r>
          </w:p>
        </w:tc>
        <w:tc>
          <w:tcPr>
            <w:tcW w:w="2334" w:type="dxa"/>
            <w:shd w:val="clear" w:color="auto" w:fill="F7F8F7"/>
            <w:tcMar>
              <w:top w:w="120" w:type="dxa"/>
              <w:left w:w="150" w:type="dxa"/>
              <w:bottom w:w="150" w:type="dxa"/>
              <w:right w:w="150" w:type="dxa"/>
            </w:tcMar>
            <w:vAlign w:val="center"/>
          </w:tcPr>
          <w:p w14:paraId="5E23B0C0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工作内容</w:t>
            </w:r>
          </w:p>
        </w:tc>
        <w:tc>
          <w:tcPr>
            <w:tcW w:w="0" w:type="auto"/>
            <w:shd w:val="clear" w:color="auto" w:fill="F7F8F7"/>
            <w:tcMar>
              <w:top w:w="120" w:type="dxa"/>
              <w:left w:w="150" w:type="dxa"/>
              <w:bottom w:w="150" w:type="dxa"/>
              <w:right w:w="150" w:type="dxa"/>
            </w:tcMar>
            <w:vAlign w:val="center"/>
          </w:tcPr>
          <w:p w14:paraId="1A40955C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服务内容</w:t>
            </w:r>
          </w:p>
        </w:tc>
        <w:tc>
          <w:tcPr>
            <w:tcW w:w="0" w:type="auto"/>
            <w:shd w:val="clear" w:color="auto" w:fill="F7F8F7"/>
            <w:tcMar>
              <w:top w:w="120" w:type="dxa"/>
              <w:left w:w="150" w:type="dxa"/>
              <w:bottom w:w="150" w:type="dxa"/>
              <w:right w:w="150" w:type="dxa"/>
            </w:tcMar>
            <w:vAlign w:val="center"/>
          </w:tcPr>
          <w:p w14:paraId="3AAEBB92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单位</w:t>
            </w:r>
          </w:p>
        </w:tc>
        <w:tc>
          <w:tcPr>
            <w:tcW w:w="0" w:type="auto"/>
            <w:shd w:val="clear" w:color="auto" w:fill="F7F8F7"/>
            <w:tcMar>
              <w:top w:w="120" w:type="dxa"/>
              <w:left w:w="150" w:type="dxa"/>
              <w:bottom w:w="150" w:type="dxa"/>
              <w:right w:w="150" w:type="dxa"/>
            </w:tcMar>
            <w:vAlign w:val="center"/>
          </w:tcPr>
          <w:p w14:paraId="5C5E9F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数量</w:t>
            </w:r>
          </w:p>
        </w:tc>
      </w:tr>
      <w:tr w14:paraId="32CDBB6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4AF7E798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1</w:t>
            </w:r>
          </w:p>
        </w:tc>
        <w:tc>
          <w:tcPr>
            <w:tcW w:w="2334" w:type="dxa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237C89F6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里程碑1：平台核心功能研发与组件集成开发</w:t>
            </w:r>
          </w:p>
        </w:tc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7BC570BD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研发高可用的云原生管理平台核心模块；开发与现有身份认证系统的对接适配器与单点登录集成；实现平台级权限模型与服务策略引擎；提供初始集群纳管能力的接口与SDK。申请中国发明专利1项。</w:t>
            </w:r>
          </w:p>
        </w:tc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608302B6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套</w:t>
            </w:r>
          </w:p>
        </w:tc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1D0BEA4B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1</w:t>
            </w:r>
          </w:p>
        </w:tc>
      </w:tr>
      <w:tr w14:paraId="5025694D">
        <w:trPr>
          <w:tblCellSpacing w:w="15" w:type="dxa"/>
        </w:trPr>
        <w:tc>
          <w:tcPr>
            <w:tcW w:w="0" w:type="auto"/>
            <w:shd w:val="clear" w:color="auto" w:fill="F8F8F7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199B31AA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2</w:t>
            </w:r>
          </w:p>
        </w:tc>
        <w:tc>
          <w:tcPr>
            <w:tcW w:w="2334" w:type="dxa"/>
            <w:shd w:val="clear" w:color="auto" w:fill="F8F8F7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71CD1907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里程碑2:Kubernetes集群纳管与标准化能力开发</w:t>
            </w:r>
          </w:p>
        </w:tc>
        <w:tc>
          <w:tcPr>
            <w:tcW w:w="0" w:type="auto"/>
            <w:shd w:val="clear" w:color="auto" w:fill="F8F8F7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64460C50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基于平台扩展机制开发可复用的集群模板与编排脚本；对接主流云厂商Kubernetes API的适配层；实现统一纳管、资源配额与限制策略的策略控制器与CRD。</w:t>
            </w:r>
          </w:p>
        </w:tc>
        <w:tc>
          <w:tcPr>
            <w:tcW w:w="0" w:type="auto"/>
            <w:shd w:val="clear" w:color="auto" w:fill="F8F8F7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6E53531E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套</w:t>
            </w:r>
          </w:p>
        </w:tc>
        <w:tc>
          <w:tcPr>
            <w:tcW w:w="0" w:type="auto"/>
            <w:shd w:val="clear" w:color="auto" w:fill="F8F8F7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0DA8A1FC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1</w:t>
            </w:r>
          </w:p>
        </w:tc>
      </w:tr>
      <w:tr w14:paraId="4BC8416D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46458EF5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3</w:t>
            </w:r>
          </w:p>
        </w:tc>
        <w:tc>
          <w:tcPr>
            <w:tcW w:w="2334" w:type="dxa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758A1AA0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里程碑3：自动化应用交付与持续部署（CD）能力开发</w:t>
            </w:r>
          </w:p>
        </w:tc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4E2C7338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开发通用应用打包与配置模板（Helm/Kustomize）；实现应用目录与版本管理服务；研发从代码仓库到多集群的GitOps CD流水线与控制器，支持回滚与灰度发布。申请中国计算机软件著作权1项。</w:t>
            </w:r>
          </w:p>
        </w:tc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1A4D185E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套</w:t>
            </w:r>
          </w:p>
        </w:tc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1AAC8CA4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1</w:t>
            </w:r>
          </w:p>
        </w:tc>
      </w:tr>
      <w:tr w14:paraId="2269E98F">
        <w:trPr>
          <w:tblCellSpacing w:w="15" w:type="dxa"/>
        </w:trPr>
        <w:tc>
          <w:tcPr>
            <w:tcW w:w="0" w:type="auto"/>
            <w:shd w:val="clear" w:color="auto" w:fill="F8F8F7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5C82D188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4</w:t>
            </w:r>
          </w:p>
        </w:tc>
        <w:tc>
          <w:tcPr>
            <w:tcW w:w="2334" w:type="dxa"/>
            <w:shd w:val="clear" w:color="auto" w:fill="F8F8F7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21AD2D91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里程碑4：平台扩展定制与可观测性能力研发</w:t>
            </w:r>
          </w:p>
        </w:tc>
        <w:tc>
          <w:tcPr>
            <w:tcW w:w="0" w:type="auto"/>
            <w:shd w:val="clear" w:color="auto" w:fill="F8F8F7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0BB9E161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开发平台API封装与二次开发插件；集成统一监控告警至现有告警通道的适配组件；实现日志收集、存储与查询链路的采集器、索引与查询服务。申请中国计算机软件著作权1项。</w:t>
            </w:r>
          </w:p>
        </w:tc>
        <w:tc>
          <w:tcPr>
            <w:tcW w:w="0" w:type="auto"/>
            <w:shd w:val="clear" w:color="auto" w:fill="F8F8F7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75080793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套</w:t>
            </w:r>
          </w:p>
        </w:tc>
        <w:tc>
          <w:tcPr>
            <w:tcW w:w="0" w:type="auto"/>
            <w:shd w:val="clear" w:color="auto" w:fill="F8F8F7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50177B3A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1</w:t>
            </w:r>
          </w:p>
        </w:tc>
      </w:tr>
      <w:tr w14:paraId="7111A3D4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5431DB41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5</w:t>
            </w:r>
          </w:p>
        </w:tc>
        <w:tc>
          <w:tcPr>
            <w:tcW w:w="2334" w:type="dxa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17B53152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里程碑5：解决方案稳定运行维护与技术文档移交</w:t>
            </w:r>
          </w:p>
        </w:tc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1D31CF10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提供定制开发模块的运行支持与维护服务（如Bug修复、性能优化建议）；完成所有开发成果的详细技术文档、用户手册编写与移交；进行关键技术培训与知识转移。</w:t>
            </w:r>
          </w:p>
        </w:tc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1AE15C1A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套</w:t>
            </w:r>
          </w:p>
        </w:tc>
        <w:tc>
          <w:tcPr>
            <w:tcW w:w="0" w:type="auto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</w:tcPr>
          <w:p w14:paraId="52970944">
            <w:pPr>
              <w:rPr>
                <w:rFonts w:hint="eastAsia"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1</w:t>
            </w:r>
          </w:p>
        </w:tc>
      </w:tr>
    </w:tbl>
    <w:p w14:paraId="4CC6DFF8">
      <w:p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pict>
          <v:rect id="_x0000_i1025" o:spt="1" style="height:0pt;width:0pt;" fillcolor="#444444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297A528">
      <w:p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</w:rPr>
        <w:t>.2 定制开发的目标 高速云可信云原生平台（一期）项目的定制开发目标：为甲方构建高效、安全、可信且易于管理的云原生应用运行环境。</w:t>
      </w:r>
    </w:p>
    <w:p w14:paraId="6EA7C8C5">
      <w:pPr>
        <w:numPr>
          <w:ilvl w:val="0"/>
          <w:numId w:val="2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统一集群管理：集中化纳管甲方数据中心与云厂商Kubernetes集群，统一认证与操作。</w:t>
      </w:r>
    </w:p>
    <w:p w14:paraId="35CE1438">
      <w:pPr>
        <w:numPr>
          <w:ilvl w:val="0"/>
          <w:numId w:val="2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简化运维复杂性：以自动化工具链与直观界面降低部署、管理、运维复杂度。</w:t>
      </w:r>
    </w:p>
    <w:p w14:paraId="3DEA7C7D">
      <w:pPr>
        <w:numPr>
          <w:ilvl w:val="0"/>
          <w:numId w:val="2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提升应用交付效率：打造从代码到多集群的快速、可靠的自动化交付流水线，支持敏捷与DevOps实践。</w:t>
      </w:r>
    </w:p>
    <w:p w14:paraId="67B6A093">
      <w:pPr>
        <w:numPr>
          <w:ilvl w:val="0"/>
          <w:numId w:val="2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增强安全与合规：细粒度身份认证与权限控制，统一安全策略，满足内控与审计。</w:t>
      </w:r>
    </w:p>
    <w:p w14:paraId="643B0715">
      <w:pPr>
        <w:numPr>
          <w:ilvl w:val="0"/>
          <w:numId w:val="2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强化可观测性：全栈监控、日志、告警能力，支撑快速定位与恢复。</w:t>
      </w:r>
    </w:p>
    <w:p w14:paraId="478BAF1C">
      <w:pPr>
        <w:numPr>
          <w:ilvl w:val="0"/>
          <w:numId w:val="2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高可用与健壮性：平台组件HA部署，关键服务无单点；集群与应用稳定运行。</w:t>
      </w:r>
    </w:p>
    <w:p w14:paraId="53A721A0">
      <w:pPr>
        <w:pStyle w:val="32"/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8"/>
        </w:rPr>
      </w:pPr>
      <w:r>
        <w:rPr>
          <w:rFonts w:hint="eastAsia" w:ascii="宋体" w:hAnsi="宋体" w:eastAsia="宋体" w:cs="宋体"/>
          <w:b w:val="0"/>
          <w:bCs w:val="0"/>
          <w:sz w:val="28"/>
        </w:rPr>
        <w:t>定制开发交付进度与时间</w:t>
      </w:r>
    </w:p>
    <w:p w14:paraId="4DC1E319">
      <w:p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</w:rPr>
        <w:t>.1 总体时间安排</w:t>
      </w:r>
    </w:p>
    <w:p w14:paraId="2232061C">
      <w:pPr>
        <w:numPr>
          <w:ilvl w:val="0"/>
          <w:numId w:val="3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一期功能整体交付完成时间（总交付时间）：2025-12-30</w:t>
      </w:r>
    </w:p>
    <w:p w14:paraId="74211358">
      <w:pPr>
        <w:numPr>
          <w:ilvl w:val="0"/>
          <w:numId w:val="3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维护服务期：自最终验收合格之日起1年，至2026-11-30结束</w:t>
      </w:r>
    </w:p>
    <w:p w14:paraId="33F0197F">
      <w:p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</w:rPr>
        <w:t>.2 里程碑交付物与时间</w:t>
      </w:r>
    </w:p>
    <w:p w14:paraId="1D0EE0CD">
      <w:pPr>
        <w:numPr>
          <w:ilvl w:val="0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里程碑1：平台基础环境构建与核心组件部署</w:t>
      </w:r>
    </w:p>
    <w:p w14:paraId="5ED2CCC5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交付时间：2025-10-01</w:t>
      </w:r>
    </w:p>
    <w:p w14:paraId="58069987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交付地点：甲方指定部署环境</w:t>
      </w:r>
    </w:p>
    <w:p w14:paraId="103CA278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交付内容：</w:t>
      </w:r>
    </w:p>
    <w:p w14:paraId="01318195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核心管理平台高可用部署实施与验收报告</w:t>
      </w:r>
    </w:p>
    <w:p w14:paraId="6344D624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身份认证与SSO集成配置文档（含协议、属性映射、回退方案）</w:t>
      </w:r>
    </w:p>
    <w:p w14:paraId="62D818F1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初始Kubernetes集群纳管/部署验证报告（含连通性、证书、权限）</w:t>
      </w:r>
    </w:p>
    <w:p w14:paraId="1741B024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核心模块源代码与构建/部署脚本、接口与SDK（初版）</w:t>
      </w:r>
    </w:p>
    <w:p w14:paraId="4E0F1FB5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发明专利申请资料与受理回执（若回执延迟，提供提交证明及时间表）</w:t>
      </w:r>
    </w:p>
    <w:p w14:paraId="3540394C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阶段性检查与方法：</w:t>
      </w:r>
    </w:p>
    <w:p w14:paraId="7BE2EA94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查验部署报告与拓扑；单节点故障演练验证业务不中断</w:t>
      </w:r>
    </w:p>
    <w:p w14:paraId="6D84CA6D">
      <w:pPr>
        <w:numPr>
          <w:ilvl w:val="0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里程碑2：Kubernetes集群统一管理与标准化纳管</w:t>
      </w:r>
    </w:p>
    <w:p w14:paraId="1A5697BC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交付时间：2025-10-30</w:t>
      </w:r>
    </w:p>
    <w:p w14:paraId="0707BC93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交付地点：甲方指定部署环境</w:t>
      </w:r>
    </w:p>
    <w:p w14:paraId="4EDA0C7F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交付内容：</w:t>
      </w:r>
    </w:p>
    <w:p w14:paraId="1E1E4DB7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集群模板与编排脚本（参数化示例、多环境样例）</w:t>
      </w:r>
    </w:p>
    <w:p w14:paraId="0B981656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云厂商Kubernetes API对接适配层文档与代码</w:t>
      </w:r>
    </w:p>
    <w:p w14:paraId="649DA533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策略控制器与CRD定义、资源配额/限制策略配置文档</w:t>
      </w:r>
    </w:p>
    <w:p w14:paraId="0ED78C11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新建/纳管集群验证报告</w:t>
      </w:r>
    </w:p>
    <w:p w14:paraId="7E252949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阶段性检查与方法：</w:t>
      </w:r>
    </w:p>
    <w:p w14:paraId="1109D619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新增集群全自动化创建与回滚测试</w:t>
      </w:r>
    </w:p>
    <w:p w14:paraId="317C1011">
      <w:pPr>
        <w:numPr>
          <w:ilvl w:val="0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里程碑3：自动化应用交付与持续部署流程开发</w:t>
      </w:r>
    </w:p>
    <w:p w14:paraId="7F812D78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交付时间：2025-11-05</w:t>
      </w:r>
    </w:p>
    <w:p w14:paraId="19BA57DF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交付地点：甲方指定部署环境</w:t>
      </w:r>
    </w:p>
    <w:p w14:paraId="1CC9C27B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交付内容：</w:t>
      </w:r>
    </w:p>
    <w:p w14:paraId="0336B291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通用应用打包与配置模板（Helm/Kustomize，源代码与构建脚本）</w:t>
      </w:r>
    </w:p>
    <w:p w14:paraId="646D1BE5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平台应用目录集成与版本管理服务文档与验证报告</w:t>
      </w:r>
    </w:p>
    <w:p w14:paraId="48D41B60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GitOps自动化部署流水线配置、控制器代码与说明</w:t>
      </w:r>
    </w:p>
    <w:p w14:paraId="0C2B1409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多集群一致性验证报告、灰度/回滚演练报告</w:t>
      </w:r>
    </w:p>
    <w:p w14:paraId="6BAC4ECB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软著申请材料与受理回执1项</w:t>
      </w:r>
    </w:p>
    <w:p w14:paraId="4C57C46C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阶段性检查与方法：</w:t>
      </w:r>
    </w:p>
    <w:p w14:paraId="5E1734AE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模板在不同环境的参数化部署通过率与时长统计</w:t>
      </w:r>
    </w:p>
    <w:p w14:paraId="1D9E2E44">
      <w:pPr>
        <w:numPr>
          <w:ilvl w:val="0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里程碑4：平台能力定制、扩展及可观测性集成</w:t>
      </w:r>
    </w:p>
    <w:p w14:paraId="586196E1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交付时间：2025-11-15</w:t>
      </w:r>
    </w:p>
    <w:p w14:paraId="32E62E13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交付地点：甲方指定部署环境</w:t>
      </w:r>
    </w:p>
    <w:p w14:paraId="43825DCD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交付内容：</w:t>
      </w:r>
    </w:p>
    <w:p w14:paraId="7B556593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平台API封装/SDK/二次开发插件（源代码、二进制、使用指南）</w:t>
      </w:r>
    </w:p>
    <w:p w14:paraId="1626AC05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监控告警系统集成配置与仪表盘模板、告警规则库</w:t>
      </w:r>
    </w:p>
    <w:p w14:paraId="351AB674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软著申请材料与受理回执1项</w:t>
      </w:r>
    </w:p>
    <w:p w14:paraId="5CD65C73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阶段性检查与方法：</w:t>
      </w:r>
    </w:p>
    <w:p w14:paraId="3AE82857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指标采集覆盖率、告警触发与通知通道打通测试</w:t>
      </w:r>
    </w:p>
    <w:p w14:paraId="492384CB">
      <w:pPr>
        <w:numPr>
          <w:ilvl w:val="0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里程碑5：解决方案稳定运行维护与技术文档移交</w:t>
      </w:r>
    </w:p>
    <w:p w14:paraId="72AA3649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交付时间：2026-11-30（维护期结束）</w:t>
      </w:r>
    </w:p>
    <w:p w14:paraId="06F186DC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交付地点：甲方指定场所</w:t>
      </w:r>
    </w:p>
    <w:p w14:paraId="7ACF4E9B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交付内容：</w:t>
      </w:r>
    </w:p>
    <w:p w14:paraId="7E078259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技术支持与维护期阶段性报告与汇总报告（覆盖缺陷、优化、版本升级）</w:t>
      </w:r>
    </w:p>
    <w:p w14:paraId="01207BDC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最终技术文档、用户操作手册</w:t>
      </w:r>
    </w:p>
    <w:p w14:paraId="626AE37D">
      <w:pPr>
        <w:numPr>
          <w:ilvl w:val="1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阶段性检查与方法：</w:t>
      </w:r>
    </w:p>
    <w:p w14:paraId="39A613AB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现场查验平台与应用模块运行状态与告警面板</w:t>
      </w:r>
    </w:p>
    <w:p w14:paraId="334D581F">
      <w:pPr>
        <w:numPr>
          <w:ilvl w:val="2"/>
          <w:numId w:val="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审阅全部交付文档与代码仓权限移交</w:t>
      </w:r>
    </w:p>
    <w:p w14:paraId="0F407CED">
      <w:pPr>
        <w:pStyle w:val="32"/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8"/>
        </w:rPr>
      </w:pPr>
      <w:r>
        <w:rPr>
          <w:rFonts w:hint="eastAsia" w:ascii="宋体" w:hAnsi="宋体" w:eastAsia="宋体" w:cs="宋体"/>
          <w:b w:val="0"/>
          <w:bCs w:val="0"/>
          <w:sz w:val="28"/>
        </w:rPr>
        <w:t>定制开发目标与技术要求</w:t>
      </w:r>
    </w:p>
    <w:p w14:paraId="3805587B">
      <w:p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</w:rPr>
        <w:t>.1 平台基础环境构建与核心组件部署</w:t>
      </w:r>
    </w:p>
    <w:p w14:paraId="40202BFE">
      <w:pPr>
        <w:numPr>
          <w:ilvl w:val="0"/>
          <w:numId w:val="5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目标：建设稳定高可用的核心环境并对接甲方既有IT基础设施。</w:t>
      </w:r>
    </w:p>
    <w:p w14:paraId="2D4489CA">
      <w:pPr>
        <w:numPr>
          <w:ilvl w:val="0"/>
          <w:numId w:val="5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技术要求：</w:t>
      </w:r>
    </w:p>
    <w:p w14:paraId="3966CE0B">
      <w:pPr>
        <w:numPr>
          <w:ilvl w:val="1"/>
          <w:numId w:val="5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高可用部署：核心管理组件支持≥3节点HA；单节点故障时RTO≤5分钟，无数据丢失。</w:t>
      </w:r>
    </w:p>
    <w:p w14:paraId="37FB56A9">
      <w:pPr>
        <w:numPr>
          <w:ilvl w:val="1"/>
          <w:numId w:val="5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自动化部署：提供一键化部署脚本/工具（支持离线镜像与配置渲染）。</w:t>
      </w:r>
    </w:p>
    <w:p w14:paraId="403862FE">
      <w:pPr>
        <w:numPr>
          <w:ilvl w:val="1"/>
          <w:numId w:val="5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身份认证集成：支持LDAP/AD/SAML/OIDC任两类以上协议，对接甲方现有系统；支持用户/组同步与映射。</w:t>
      </w:r>
    </w:p>
    <w:p w14:paraId="4E3A7CB2">
      <w:pPr>
        <w:numPr>
          <w:ilvl w:val="1"/>
          <w:numId w:val="5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权限与安全策略：多层级RBAC；支持策略模板、最小权限原则、审计日志与操作留痕。</w:t>
      </w:r>
    </w:p>
    <w:p w14:paraId="34CE8B03">
      <w:pPr>
        <w:numPr>
          <w:ilvl w:val="1"/>
          <w:numId w:val="5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集群纳管：支持导入既有K8s集群，统一证书、鉴权与标签化管理；纳管成功率≥99%。</w:t>
      </w:r>
    </w:p>
    <w:p w14:paraId="72B7BD77">
      <w:p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</w:rPr>
        <w:t>.2 Kubernetes集群统一管理与标准化纳管</w:t>
      </w:r>
    </w:p>
    <w:p w14:paraId="0DEC7419">
      <w:pPr>
        <w:numPr>
          <w:ilvl w:val="0"/>
          <w:numId w:val="6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目标：实现集群标准化与生命周期自动化，降低运维成本。</w:t>
      </w:r>
    </w:p>
    <w:p w14:paraId="432E8BEB">
      <w:pPr>
        <w:numPr>
          <w:ilvl w:val="0"/>
          <w:numId w:val="6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技术要求：</w:t>
      </w:r>
    </w:p>
    <w:p w14:paraId="6BBA8FFC">
      <w:pPr>
        <w:numPr>
          <w:ilvl w:val="1"/>
          <w:numId w:val="6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自动化部署：基于模板实现集群创建/升级/伸缩/删除；可配置节点规格、CNI/CNI参数、存储类与污点/亲和性。</w:t>
      </w:r>
    </w:p>
    <w:p w14:paraId="6F3299AD">
      <w:pPr>
        <w:numPr>
          <w:ilvl w:val="1"/>
          <w:numId w:val="6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配置模板：模板参数化与版本化管理；支持校验与回滚。</w:t>
      </w:r>
    </w:p>
    <w:p w14:paraId="033E67AE">
      <w:pPr>
        <w:numPr>
          <w:ilvl w:val="1"/>
          <w:numId w:val="6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多集群类型：统一管理自建K8s与主流云托管K8s；适配层抽象，新增厂商接入不改上层逻辑。</w:t>
      </w:r>
    </w:p>
    <w:p w14:paraId="0C1C2BFF">
      <w:pPr>
        <w:numPr>
          <w:ilvl w:val="1"/>
          <w:numId w:val="6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资源治理：平台层面对集群/项目/命名空间的CPU/内存/存储配额；限制与准入策略可灰度下发。</w:t>
      </w:r>
    </w:p>
    <w:p w14:paraId="2FD08871">
      <w:pPr>
        <w:numPr>
          <w:ilvl w:val="1"/>
          <w:numId w:val="6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节点池管理：支持节点池创建、批量扩缩容、异构池与污点策略。</w:t>
      </w:r>
    </w:p>
    <w:p w14:paraId="6E0F275D">
      <w:p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</w:rPr>
        <w:t>.3 自动化应用交付与持续部署流程</w:t>
      </w:r>
    </w:p>
    <w:p w14:paraId="566600F3">
      <w:pPr>
        <w:numPr>
          <w:ilvl w:val="0"/>
          <w:numId w:val="7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目标：构建高效可控的应用自动化交付体系。</w:t>
      </w:r>
    </w:p>
    <w:p w14:paraId="223F4A90">
      <w:pPr>
        <w:numPr>
          <w:ilvl w:val="0"/>
          <w:numId w:val="7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技术要求：</w:t>
      </w:r>
    </w:p>
    <w:p w14:paraId="711C3972">
      <w:pPr>
        <w:numPr>
          <w:ilvl w:val="1"/>
          <w:numId w:val="7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应用模板：提供Helm/Kustomize模板与最佳实践；支持密钥分离（Secret/SealedSecret等）与环境覆盖。</w:t>
      </w:r>
    </w:p>
    <w:p w14:paraId="62D4C106">
      <w:pPr>
        <w:numPr>
          <w:ilvl w:val="1"/>
          <w:numId w:val="7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应用目录：统一的应用目录与元数据管理；版本可追溯、依赖可视化、变更审计。</w:t>
      </w:r>
    </w:p>
    <w:p w14:paraId="16FDF1B4">
      <w:pPr>
        <w:numPr>
          <w:ilvl w:val="1"/>
          <w:numId w:val="7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GitOps CD：从代码到多集群的自动化部署；支持分支/标签触发、审批门禁、回滚与金丝雀发布。</w:t>
      </w:r>
    </w:p>
    <w:p w14:paraId="272E36CC">
      <w:pPr>
        <w:numPr>
          <w:ilvl w:val="1"/>
          <w:numId w:val="7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多集群部署：同版本多集群一致性校验与可视化；跨集群进度与健康状态集中展示。</w:t>
      </w:r>
    </w:p>
    <w:p w14:paraId="32F8F0A0">
      <w:pPr>
        <w:numPr>
          <w:ilvl w:val="1"/>
          <w:numId w:val="7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版本管理与回滚：支持一键回滚，回滚平均时长≤5分钟；保留至少N个历史版本（N≥10）。</w:t>
      </w:r>
    </w:p>
    <w:p w14:paraId="1333ECAA">
      <w:p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</w:rPr>
        <w:t>.4 平台能力定制、扩展及可观测性集成</w:t>
      </w:r>
    </w:p>
    <w:p w14:paraId="4A0AF49F">
      <w:pPr>
        <w:numPr>
          <w:ilvl w:val="0"/>
          <w:numId w:val="8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目标：提供扩展性与全面可观测性。</w:t>
      </w:r>
    </w:p>
    <w:p w14:paraId="215760D0">
      <w:pPr>
        <w:numPr>
          <w:ilvl w:val="0"/>
          <w:numId w:val="8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技术要求：</w:t>
      </w:r>
    </w:p>
    <w:p w14:paraId="3029D85E">
      <w:pPr>
        <w:numPr>
          <w:ilvl w:val="1"/>
          <w:numId w:val="8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API与扩展：提供开放API、SDK与插件样例；细粒度鉴权、限流与审计。</w:t>
      </w:r>
    </w:p>
    <w:p w14:paraId="505E4898">
      <w:pPr>
        <w:numPr>
          <w:ilvl w:val="1"/>
          <w:numId w:val="8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界面/流程定制：按甲方需求定制关键流程与界面，提供主题与导航配置。</w:t>
      </w:r>
    </w:p>
    <w:p w14:paraId="4C13BCC5">
      <w:pPr>
        <w:numPr>
          <w:ilvl w:val="1"/>
          <w:numId w:val="8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统一监控：采用Prometheus生态采集节点/Pod/容器/中间件指标；提供Grafana仪表盘模板不少于20个。</w:t>
      </w:r>
    </w:p>
    <w:p w14:paraId="54E2A695">
      <w:pPr>
        <w:numPr>
          <w:ilvl w:val="1"/>
          <w:numId w:val="8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日志管理：部署Fluent Bit/Fluentd/Filebeat等采集；集中存储与检索（如Elasticsearch/等价方案）；日志摄取延迟P95≤30秒，查询P95≤3秒（1日内数据，10万条返回上限）。</w:t>
      </w:r>
    </w:p>
    <w:p w14:paraId="500A5172">
      <w:pPr>
        <w:widowControl/>
        <w:shd w:val="clear" w:color="auto" w:fill="FFFFFF"/>
        <w:spacing w:before="100" w:beforeAutospacing="1" w:after="100" w:afterAutospacing="1" w:line="240" w:lineRule="auto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</w:rPr>
        <w:t>.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 xml:space="preserve">5 </w:t>
      </w:r>
      <w:r>
        <w:rPr>
          <w:rFonts w:hint="eastAsia" w:ascii="宋体" w:hAnsi="宋体" w:eastAsia="宋体" w:cs="宋体"/>
          <w:b w:val="0"/>
          <w:bCs w:val="0"/>
        </w:rPr>
        <w:t>现有高速云平台兼容性要求</w:t>
      </w:r>
    </w:p>
    <w:p w14:paraId="7810EADE">
      <w:pPr>
        <w:numPr>
          <w:ilvl w:val="0"/>
          <w:numId w:val="8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4"/>
          <w:lang w:val="en-US" w:eastAsia="zh-CN" w:bidi="ar-SA"/>
          <w14:ligatures w14:val="standardContextual"/>
        </w:rPr>
        <w:t>确保新平台无缝集成现有高速云基础设施，实现技术栈统一和资源共享，降低运维复杂度。</w:t>
      </w:r>
    </w:p>
    <w:p w14:paraId="3E4F3773">
      <w:pPr>
        <w:numPr>
          <w:ilvl w:val="0"/>
          <w:numId w:val="8"/>
        </w:num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</w:rPr>
        <w:t>技术要求：</w:t>
      </w:r>
    </w:p>
    <w:p w14:paraId="23540484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5" w:lineRule="atLeast"/>
        <w:ind w:left="720"/>
        <w:textAlignment w:val="baseline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2"/>
          <w:szCs w:val="22"/>
          <w:u w:val="none"/>
          <w:vertAlign w:val="baseline"/>
          <w:lang w:val="en-US" w:eastAsia="zh-CN"/>
        </w:rPr>
        <w:t>4.5.1</w:t>
      </w:r>
      <w:r>
        <w:rPr>
          <w:rStyle w:val="18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架构兼容性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​</w:t>
      </w:r>
    </w:p>
    <w:p w14:paraId="24395F0E">
      <w:pPr>
        <w:keepNext w:val="0"/>
        <w:keepLines w:val="0"/>
        <w:widowControl/>
        <w:numPr>
          <w:ilvl w:val="1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1" w:after="0" w:afterAutospacing="1" w:line="32" w:lineRule="atLeast"/>
        <w:ind w:left="1440" w:hanging="360"/>
        <w:textAlignment w:val="baseline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复用高速云现有IaaS层能力（计算、存储、网络），通过标准API对接云管平台资源调度模块。</w:t>
      </w:r>
    </w:p>
    <w:p w14:paraId="6E8A49FA">
      <w:pPr>
        <w:keepNext w:val="0"/>
        <w:keepLines w:val="0"/>
        <w:widowControl/>
        <w:numPr>
          <w:ilvl w:val="1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1" w:after="0" w:afterAutospacing="1" w:line="32" w:lineRule="atLeast"/>
        <w:ind w:left="1440" w:hanging="360"/>
        <w:textAlignment w:val="baseline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适配高速云底层国产化技术栈（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  <w:lang w:val="en-US" w:eastAsia="zh-CN"/>
        </w:rPr>
        <w:t>海光/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鲲鹏芯片+麒麟/openEuler OS），确保平台核心组件在现有环境中的部署通过率≥99%。</w:t>
      </w:r>
    </w:p>
    <w:p w14:paraId="6F912E5D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5" w:lineRule="atLeast"/>
        <w:ind w:left="720"/>
        <w:textAlignment w:val="baseline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2"/>
          <w:szCs w:val="22"/>
          <w:u w:val="none"/>
          <w:vertAlign w:val="baseline"/>
          <w:lang w:val="en-US" w:eastAsia="zh-CN"/>
        </w:rPr>
        <w:t>4.5.2</w:t>
      </w:r>
      <w:r>
        <w:rPr>
          <w:rStyle w:val="18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云管平台集成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​</w:t>
      </w:r>
    </w:p>
    <w:p w14:paraId="44C42765">
      <w:pPr>
        <w:keepNext w:val="0"/>
        <w:keepLines w:val="0"/>
        <w:widowControl/>
        <w:numPr>
          <w:ilvl w:val="1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1" w:after="0" w:afterAutospacing="1" w:line="32" w:lineRule="atLeast"/>
        <w:ind w:left="1440" w:hanging="360"/>
        <w:textAlignment w:val="baseline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提供高速云资源纳管适配器，支持双向同步以下数据：</w:t>
      </w:r>
    </w:p>
    <w:p w14:paraId="0F4EAFF3">
      <w:pPr>
        <w:keepNext w:val="0"/>
        <w:keepLines w:val="0"/>
        <w:widowControl/>
        <w:numPr>
          <w:ilvl w:val="2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1" w:after="0" w:afterAutospacing="1" w:line="32" w:lineRule="atLeast"/>
        <w:ind w:left="2160" w:hanging="360"/>
        <w:textAlignment w:val="baseline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虚拟机与物理机资源清单</w:t>
      </w:r>
    </w:p>
    <w:p w14:paraId="4E326BBF">
      <w:pPr>
        <w:keepNext w:val="0"/>
        <w:keepLines w:val="0"/>
        <w:widowControl/>
        <w:numPr>
          <w:ilvl w:val="2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1" w:after="0" w:afterAutospacing="1" w:line="32" w:lineRule="atLeast"/>
        <w:ind w:left="2160" w:hanging="360"/>
        <w:textAlignment w:val="baseline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存储卷分配状态</w:t>
      </w:r>
    </w:p>
    <w:p w14:paraId="70FC8FE5">
      <w:pPr>
        <w:keepNext w:val="0"/>
        <w:keepLines w:val="0"/>
        <w:widowControl/>
        <w:numPr>
          <w:ilvl w:val="2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1" w:after="0" w:afterAutospacing="1" w:line="32" w:lineRule="atLeast"/>
        <w:ind w:left="2160" w:hanging="360"/>
        <w:textAlignment w:val="baseline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网络策略配置（安全组、VPC路由）</w:t>
      </w:r>
    </w:p>
    <w:p w14:paraId="23911CA7">
      <w:pPr>
        <w:keepNext w:val="0"/>
        <w:keepLines w:val="0"/>
        <w:widowControl/>
        <w:numPr>
          <w:ilvl w:val="1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1" w:after="0" w:afterAutospacing="1" w:line="32" w:lineRule="atLeast"/>
        <w:ind w:left="1440" w:hanging="360"/>
        <w:textAlignment w:val="baseline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继承高速云现有监控告警通道，复用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  <w:lang w:val="en-US" w:eastAsia="zh-CN"/>
        </w:rPr>
        <w:t>zabbix/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Prometheus/Grafana实例，新增指标需兼容现有数据格式。</w:t>
      </w:r>
    </w:p>
    <w:p w14:paraId="4BA21755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5" w:lineRule="atLeast"/>
        <w:ind w:left="720"/>
        <w:textAlignment w:val="baseline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2"/>
          <w:szCs w:val="22"/>
          <w:u w:val="none"/>
          <w:vertAlign w:val="baseline"/>
          <w:lang w:val="en-US" w:eastAsia="zh-CN"/>
        </w:rPr>
        <w:t>4.5.3</w:t>
      </w:r>
      <w:r>
        <w:rPr>
          <w:rStyle w:val="18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数据互通与迁移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​</w:t>
      </w:r>
    </w:p>
    <w:p w14:paraId="07EB475A">
      <w:pPr>
        <w:keepNext w:val="0"/>
        <w:keepLines w:val="0"/>
        <w:widowControl/>
        <w:numPr>
          <w:ilvl w:val="1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1" w:after="0" w:afterAutospacing="1" w:line="32" w:lineRule="atLeast"/>
        <w:ind w:left="1440" w:hanging="360"/>
        <w:textAlignment w:val="baseline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通过高速云对象存储兼容接口（S3协议）实现平台日志、备份数据的统一存储。</w:t>
      </w:r>
    </w:p>
    <w:p w14:paraId="5369B5D4">
      <w:pPr>
        <w:keepNext w:val="0"/>
        <w:keepLines w:val="0"/>
        <w:widowControl/>
        <w:numPr>
          <w:ilvl w:val="1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1" w:after="0" w:afterAutospacing="1" w:line="32" w:lineRule="atLeast"/>
        <w:ind w:left="1440" w:hanging="360"/>
        <w:textAlignment w:val="baseline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提供系统历史数据迁移工具，支持增量同步。</w:t>
      </w:r>
    </w:p>
    <w:p w14:paraId="279376EB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5" w:lineRule="atLeast"/>
        <w:ind w:left="720"/>
        <w:textAlignment w:val="baseline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2"/>
          <w:szCs w:val="22"/>
          <w:u w:val="none"/>
          <w:vertAlign w:val="baseline"/>
          <w:lang w:val="en-US" w:eastAsia="zh-CN"/>
        </w:rPr>
        <w:t>4.5.4</w:t>
      </w:r>
      <w:r>
        <w:rPr>
          <w:rStyle w:val="18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运维体系融合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​</w:t>
      </w:r>
    </w:p>
    <w:p w14:paraId="4FBA4D70">
      <w:pPr>
        <w:keepNext w:val="0"/>
        <w:keepLines w:val="0"/>
        <w:widowControl/>
        <w:numPr>
          <w:ilvl w:val="1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1" w:after="0" w:afterAutospacing="1" w:line="32" w:lineRule="atLeast"/>
        <w:ind w:left="1440" w:hanging="360"/>
        <w:textAlignment w:val="baseline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复用高速云运维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  <w:lang w:val="en-US" w:eastAsia="zh-CN"/>
        </w:rPr>
        <w:t>平台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，实现主机级指标采集（CPU/内存/磁盘）与告警规则继承。</w:t>
      </w:r>
    </w:p>
    <w:p w14:paraId="2130E859">
      <w:pPr>
        <w:keepNext w:val="0"/>
        <w:keepLines w:val="0"/>
        <w:widowControl/>
        <w:numPr>
          <w:ilvl w:val="1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1" w:after="0" w:afterAutospacing="1" w:line="32" w:lineRule="atLeast"/>
        <w:ind w:left="1440" w:hanging="360"/>
        <w:textAlignment w:val="baseline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2"/>
          <w:szCs w:val="22"/>
          <w:u w:val="none"/>
          <w:vertAlign w:val="baseline"/>
        </w:rPr>
        <w:t>平台部署包需通过高速云现有脚本校验，支持离线镜像仓库同步。</w:t>
      </w:r>
    </w:p>
    <w:p w14:paraId="161D7FA4">
      <w:pPr>
        <w:pStyle w:val="32"/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8"/>
        </w:rPr>
      </w:pPr>
      <w:r>
        <w:rPr>
          <w:rFonts w:hint="eastAsia" w:ascii="宋体" w:hAnsi="宋体" w:eastAsia="宋体" w:cs="宋体"/>
          <w:b w:val="0"/>
          <w:bCs w:val="0"/>
          <w:sz w:val="28"/>
        </w:rPr>
        <w:t>维护与培训</w:t>
      </w:r>
    </w:p>
    <w:p w14:paraId="04B6846F">
      <w:p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</w:rPr>
        <w:t>.1 维护要求（SLA）</w:t>
      </w:r>
    </w:p>
    <w:p w14:paraId="69033F3C">
      <w:pPr>
        <w:numPr>
          <w:ilvl w:val="0"/>
          <w:numId w:val="13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维护期：自最终验收合格之日起1年（至2026-11-30）。</w:t>
      </w:r>
    </w:p>
    <w:p w14:paraId="3C9DC161">
      <w:pPr>
        <w:numPr>
          <w:ilvl w:val="0"/>
          <w:numId w:val="13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 xml:space="preserve">覆盖范围：定制开发模块、平台核心组件与集成模块的缺陷分析与修复建议。 </w:t>
      </w:r>
    </w:p>
    <w:p w14:paraId="0B108540">
      <w:pPr>
        <w:numPr>
          <w:ilvl w:val="0"/>
          <w:numId w:val="13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缺陷修复：</w:t>
      </w:r>
    </w:p>
    <w:p w14:paraId="13D4A804">
      <w:pPr>
        <w:numPr>
          <w:ilvl w:val="1"/>
          <w:numId w:val="13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严重级（影响核心功能/全量用户）：4小时内响应，24小时内给出修复计划或稳定性缓解措施。</w:t>
      </w:r>
    </w:p>
    <w:p w14:paraId="603E6B08">
      <w:pPr>
        <w:numPr>
          <w:ilvl w:val="1"/>
          <w:numId w:val="13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高级（影响关键功能/部分用户）：8小时内响应，48小时内缓解方案，72小时内修复计划。</w:t>
      </w:r>
    </w:p>
    <w:p w14:paraId="559CF9FB">
      <w:pPr>
        <w:numPr>
          <w:ilvl w:val="1"/>
          <w:numId w:val="13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中级/低级：2个工作日内响应，按月度补丁或小版本迭代处理。</w:t>
      </w:r>
    </w:p>
    <w:p w14:paraId="022EF77E">
      <w:pPr>
        <w:numPr>
          <w:ilvl w:val="0"/>
          <w:numId w:val="13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技术咨询：提供部署、配置、使用、故障排除远程支持（工作时段：工作日9:00-18:00；紧急事件7x24）。</w:t>
      </w:r>
    </w:p>
    <w:p w14:paraId="5ED94010">
      <w:pPr>
        <w:numPr>
          <w:ilvl w:val="0"/>
          <w:numId w:val="13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性能优化：按季度提供性能与容量评估报告与调优建议。</w:t>
      </w:r>
    </w:p>
    <w:p w14:paraId="4F7B94DC">
      <w:pPr>
        <w:numPr>
          <w:ilvl w:val="0"/>
          <w:numId w:val="13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升级建议：结合上游开源版本节奏，给出风险评估与回滚预案。</w:t>
      </w:r>
    </w:p>
    <w:p w14:paraId="530A8DBE">
      <w:p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</w:rPr>
        <w:t>.2 培训要求</w:t>
      </w:r>
    </w:p>
    <w:p w14:paraId="56EC9959">
      <w:pPr>
        <w:numPr>
          <w:ilvl w:val="0"/>
          <w:numId w:val="1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培训项目：高速云可信云原生平台运营与管理</w:t>
      </w:r>
    </w:p>
    <w:p w14:paraId="4DC3D7AE">
      <w:pPr>
        <w:numPr>
          <w:ilvl w:val="0"/>
          <w:numId w:val="1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培训科目：</w:t>
      </w:r>
    </w:p>
    <w:p w14:paraId="6D35FAB6">
      <w:pPr>
        <w:numPr>
          <w:ilvl w:val="1"/>
          <w:numId w:val="1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云原生与Kubernetes核心原理</w:t>
      </w:r>
    </w:p>
    <w:p w14:paraId="4AE0036A">
      <w:pPr>
        <w:numPr>
          <w:ilvl w:val="1"/>
          <w:numId w:val="1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平台核心管理组件架构、部署与运维</w:t>
      </w:r>
    </w:p>
    <w:p w14:paraId="0EEFD78C">
      <w:pPr>
        <w:numPr>
          <w:ilvl w:val="1"/>
          <w:numId w:val="1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集群生命周期管理（创建/升级/删除/故障恢复）</w:t>
      </w:r>
    </w:p>
    <w:p w14:paraId="222CC7C4">
      <w:pPr>
        <w:numPr>
          <w:ilvl w:val="1"/>
          <w:numId w:val="1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统一身份认证与权限管理实操</w:t>
      </w:r>
    </w:p>
    <w:p w14:paraId="2AF85CA2">
      <w:pPr>
        <w:numPr>
          <w:ilvl w:val="1"/>
          <w:numId w:val="1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应用自动化交付与GitOps实践</w:t>
      </w:r>
    </w:p>
    <w:p w14:paraId="15066FB2">
      <w:pPr>
        <w:numPr>
          <w:ilvl w:val="1"/>
          <w:numId w:val="1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监控、日志与告警系统</w:t>
      </w:r>
    </w:p>
    <w:p w14:paraId="32F7C606">
      <w:pPr>
        <w:numPr>
          <w:ilvl w:val="1"/>
          <w:numId w:val="1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常见故障诊断与排查</w:t>
      </w:r>
    </w:p>
    <w:p w14:paraId="66749D28">
      <w:pPr>
        <w:numPr>
          <w:ilvl w:val="1"/>
          <w:numId w:val="1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定制开发模块功能解析与使用指南</w:t>
      </w:r>
    </w:p>
    <w:p w14:paraId="22BE0497">
      <w:pPr>
        <w:numPr>
          <w:ilvl w:val="0"/>
          <w:numId w:val="1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培训对象与人数：甲方技术开发、运维与业务负责人，以甲方确认人数为准。</w:t>
      </w:r>
    </w:p>
    <w:p w14:paraId="6EC2CE66">
      <w:pPr>
        <w:numPr>
          <w:ilvl w:val="0"/>
          <w:numId w:val="1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培训时间：在里程碑1-4完成并集成后1周内开展集中培训；可按需分阶段与追加答疑。</w:t>
      </w:r>
    </w:p>
    <w:p w14:paraId="1F5D19D5">
      <w:pPr>
        <w:numPr>
          <w:ilvl w:val="0"/>
          <w:numId w:val="14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培训目标：受训人员可独立完成日常运维、集群管理、应用部署、故障排查与告警处理，并理解定制模块原理与使用。</w:t>
      </w:r>
    </w:p>
    <w:p w14:paraId="3DE410F8">
      <w:pPr>
        <w:ind w:firstLine="420" w:firstLineChars="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5.3</w:t>
      </w:r>
      <w:r>
        <w:rPr>
          <w:rFonts w:hint="eastAsia" w:ascii="宋体" w:hAnsi="宋体" w:eastAsia="宋体" w:cs="宋体"/>
          <w:b w:val="0"/>
          <w:bCs w:val="0"/>
        </w:rPr>
        <w:t>质量与验收标准</w:t>
      </w:r>
    </w:p>
    <w:p w14:paraId="203E9DE0">
      <w:pPr>
        <w:ind w:left="420" w:leftChars="0" w:firstLine="420" w:firstLineChars="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5.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3.1</w:t>
      </w:r>
      <w:r>
        <w:rPr>
          <w:rFonts w:hint="eastAsia" w:ascii="宋体" w:hAnsi="宋体" w:eastAsia="宋体" w:cs="宋体"/>
          <w:b w:val="0"/>
          <w:bCs w:val="0"/>
        </w:rPr>
        <w:t xml:space="preserve"> 一般质量要求</w:t>
      </w:r>
    </w:p>
    <w:p w14:paraId="1D3B5353">
      <w:pPr>
        <w:numPr>
          <w:ilvl w:val="0"/>
          <w:numId w:val="15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代码规范：遵循主流语言与框架规范，关键模块单元测试覆盖率≥70%，核心逻辑≥85%。</w:t>
      </w:r>
    </w:p>
    <w:p w14:paraId="1098EFAA">
      <w:pPr>
        <w:ind w:firstLine="855" w:firstLineChars="389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5.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3.2</w:t>
      </w:r>
      <w:r>
        <w:rPr>
          <w:rFonts w:hint="eastAsia" w:ascii="宋体" w:hAnsi="宋体" w:eastAsia="宋体" w:cs="宋体"/>
          <w:b w:val="0"/>
          <w:bCs w:val="0"/>
        </w:rPr>
        <w:t xml:space="preserve"> 功能验收</w:t>
      </w:r>
    </w:p>
    <w:p w14:paraId="562EFD9C">
      <w:pPr>
        <w:numPr>
          <w:ilvl w:val="0"/>
          <w:numId w:val="16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以各里程碑“阶段性检查与方法”中的测试项为准，补充：</w:t>
      </w:r>
    </w:p>
    <w:p w14:paraId="63C433FE">
      <w:pPr>
        <w:numPr>
          <w:ilvl w:val="1"/>
          <w:numId w:val="16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高可用演练：单节点故障、数据库/消息中间件故障注入不影响关键功能。</w:t>
      </w:r>
    </w:p>
    <w:p w14:paraId="790B8DCF">
      <w:pPr>
        <w:numPr>
          <w:ilvl w:val="1"/>
          <w:numId w:val="16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多集群纳管：至少纳管两类不同来源集群，策略一致性验证通过。</w:t>
      </w:r>
    </w:p>
    <w:p w14:paraId="4B4C25AD">
      <w:pPr>
        <w:numPr>
          <w:ilvl w:val="1"/>
          <w:numId w:val="16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GitOps一致性：多集群同版本部署一致性通过率≥99%，回滚平均时长≤5分钟。</w:t>
      </w:r>
    </w:p>
    <w:p w14:paraId="434E31D8">
      <w:pPr>
        <w:numPr>
          <w:ilvl w:val="1"/>
          <w:numId w:val="16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可观测性：仪表盘可用、告警闭环畅通、日志检索P95≤3秒（1日内数据）。</w:t>
      </w:r>
    </w:p>
    <w:p w14:paraId="29DAF6B3">
      <w:pPr>
        <w:ind w:firstLine="858" w:firstLineChars="39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5.3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.3</w:t>
      </w:r>
      <w:r>
        <w:rPr>
          <w:rFonts w:hint="eastAsia" w:ascii="宋体" w:hAnsi="宋体" w:eastAsia="宋体" w:cs="宋体"/>
          <w:b w:val="0"/>
          <w:bCs w:val="0"/>
        </w:rPr>
        <w:t xml:space="preserve"> 专利与软著交付</w:t>
      </w:r>
    </w:p>
    <w:p w14:paraId="5036F297">
      <w:pPr>
        <w:numPr>
          <w:ilvl w:val="0"/>
          <w:numId w:val="17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发明专利1项：提交技术交底书、权利要求书草案、说明书草案、受理回执及后续时间表。</w:t>
      </w:r>
    </w:p>
    <w:p w14:paraId="67056238">
      <w:pPr>
        <w:numPr>
          <w:ilvl w:val="0"/>
          <w:numId w:val="17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软著2项：提交源代码快照、文档与登记申请材料、受理回执。</w:t>
      </w:r>
    </w:p>
    <w:p w14:paraId="5495F69A">
      <w:pPr>
        <w:numPr>
          <w:ilvl w:val="0"/>
          <w:numId w:val="17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如因审查周期导致证书晚于维护期完成，需提供官方受理凭证与进度承诺。</w:t>
      </w:r>
    </w:p>
    <w:p w14:paraId="1822603E">
      <w:pPr>
        <w:numPr>
          <w:ilvl w:val="0"/>
          <w:numId w:val="0"/>
        </w:numPr>
        <w:ind w:left="360" w:leftChars="0" w:firstLine="440" w:firstLineChars="2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交付清单（含形式与归档要求）</w:t>
      </w:r>
    </w:p>
    <w:p w14:paraId="79D2EC62">
      <w:pPr>
        <w:numPr>
          <w:ilvl w:val="0"/>
          <w:numId w:val="18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源代码与构建产物：统一代码仓与分支策略，含CI文件与镜像构建脚本；二进制/容器镜像制品库清单。</w:t>
      </w:r>
    </w:p>
    <w:p w14:paraId="2BC35ED8">
      <w:pPr>
        <w:numPr>
          <w:ilvl w:val="0"/>
          <w:numId w:val="18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基础设施与部署脚本：安装包、Helm Chart、Kustomize、Terraform/Ansible等脚本与变量样例。</w:t>
      </w:r>
    </w:p>
    <w:p w14:paraId="011A4609">
      <w:pPr>
        <w:numPr>
          <w:ilvl w:val="0"/>
          <w:numId w:val="18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CRD与控制器：CRD定义文件、控制器源码、部署清单与说明。</w:t>
      </w:r>
    </w:p>
    <w:p w14:paraId="67FD7845">
      <w:pPr>
        <w:numPr>
          <w:ilvl w:val="0"/>
          <w:numId w:val="18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API与SDK：OpenAPI/Swagger文档、SDK示例（至少一种语言）、鉴权示例、速率限制与配额说明。</w:t>
      </w:r>
    </w:p>
    <w:p w14:paraId="01FBE755">
      <w:pPr>
        <w:numPr>
          <w:ilvl w:val="0"/>
          <w:numId w:val="18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配置与模板：集群模板、应用模板、告警规则库、Grafana仪表盘JSON、日志索引模板。</w:t>
      </w:r>
    </w:p>
    <w:p w14:paraId="6EE31FCF">
      <w:pPr>
        <w:rPr>
          <w:rFonts w:hint="eastAsia" w:ascii="宋体" w:hAnsi="宋体" w:eastAsia="宋体" w:cs="宋体"/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EFBC6D"/>
    <w:multiLevelType w:val="multilevel"/>
    <w:tmpl w:val="ABEFBC6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Courier New"/>
        <w:sz w:val="20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01D50707"/>
    <w:multiLevelType w:val="multilevel"/>
    <w:tmpl w:val="01D5070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037B25D0"/>
    <w:multiLevelType w:val="multilevel"/>
    <w:tmpl w:val="037B25D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04042F4A"/>
    <w:multiLevelType w:val="multilevel"/>
    <w:tmpl w:val="04042F4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8869DB"/>
    <w:multiLevelType w:val="multilevel"/>
    <w:tmpl w:val="0C8869D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10E5593D"/>
    <w:multiLevelType w:val="multilevel"/>
    <w:tmpl w:val="10E5593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2C643049"/>
    <w:multiLevelType w:val="multilevel"/>
    <w:tmpl w:val="2C64304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35EA0E4A"/>
    <w:multiLevelType w:val="multilevel"/>
    <w:tmpl w:val="35EA0E4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48C31884"/>
    <w:multiLevelType w:val="multilevel"/>
    <w:tmpl w:val="48C3188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581902D7"/>
    <w:multiLevelType w:val="multilevel"/>
    <w:tmpl w:val="581902D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5A0E19D2"/>
    <w:multiLevelType w:val="multilevel"/>
    <w:tmpl w:val="5A0E19D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5AC21077"/>
    <w:multiLevelType w:val="multilevel"/>
    <w:tmpl w:val="5AC210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>
    <w:nsid w:val="5DDE59D5"/>
    <w:multiLevelType w:val="multilevel"/>
    <w:tmpl w:val="5DDE59D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627040ED"/>
    <w:multiLevelType w:val="multilevel"/>
    <w:tmpl w:val="627040E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>
    <w:nsid w:val="6903786E"/>
    <w:multiLevelType w:val="multilevel"/>
    <w:tmpl w:val="6903786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4"/>
  </w:num>
  <w:num w:numId="5">
    <w:abstractNumId w:val="14"/>
  </w:num>
  <w:num w:numId="6">
    <w:abstractNumId w:val="11"/>
  </w:num>
  <w:num w:numId="7">
    <w:abstractNumId w:val="10"/>
  </w:num>
  <w:num w:numId="8">
    <w:abstractNumId w:val="7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8"/>
  </w:num>
  <w:num w:numId="15">
    <w:abstractNumId w:val="13"/>
  </w:num>
  <w:num w:numId="16">
    <w:abstractNumId w:val="12"/>
  </w:num>
  <w:num w:numId="17">
    <w:abstractNumId w:val="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FA6"/>
    <w:rsid w:val="00087342"/>
    <w:rsid w:val="00087F86"/>
    <w:rsid w:val="000A08ED"/>
    <w:rsid w:val="000E064A"/>
    <w:rsid w:val="00120F57"/>
    <w:rsid w:val="00213D3F"/>
    <w:rsid w:val="002207BB"/>
    <w:rsid w:val="00316AC6"/>
    <w:rsid w:val="00485FA6"/>
    <w:rsid w:val="004A134C"/>
    <w:rsid w:val="00570276"/>
    <w:rsid w:val="00753EF6"/>
    <w:rsid w:val="0081091D"/>
    <w:rsid w:val="00887152"/>
    <w:rsid w:val="009454AB"/>
    <w:rsid w:val="00AD6DBC"/>
    <w:rsid w:val="00BD1D7C"/>
    <w:rsid w:val="00C04207"/>
    <w:rsid w:val="00C94985"/>
    <w:rsid w:val="00D31D70"/>
    <w:rsid w:val="00DF18D9"/>
    <w:rsid w:val="00E00BCE"/>
    <w:rsid w:val="00E0430A"/>
    <w:rsid w:val="00E209D1"/>
    <w:rsid w:val="00E956DC"/>
    <w:rsid w:val="00EE2857"/>
    <w:rsid w:val="00F25F0F"/>
    <w:rsid w:val="1BFEBA8F"/>
    <w:rsid w:val="1EEFF7B7"/>
    <w:rsid w:val="1FFFF285"/>
    <w:rsid w:val="2EFA87CF"/>
    <w:rsid w:val="2FDC66AA"/>
    <w:rsid w:val="2FFF1B06"/>
    <w:rsid w:val="37B4D2D3"/>
    <w:rsid w:val="37FBB6B8"/>
    <w:rsid w:val="3ABFA7FA"/>
    <w:rsid w:val="3B3F2EF2"/>
    <w:rsid w:val="3BC3ABF0"/>
    <w:rsid w:val="3BF54C19"/>
    <w:rsid w:val="3F6F8811"/>
    <w:rsid w:val="3FFB6C41"/>
    <w:rsid w:val="437B4354"/>
    <w:rsid w:val="457E900D"/>
    <w:rsid w:val="5D3EC822"/>
    <w:rsid w:val="5E75729B"/>
    <w:rsid w:val="5FD494F4"/>
    <w:rsid w:val="63F7B03C"/>
    <w:rsid w:val="67F6F1FA"/>
    <w:rsid w:val="6DDD4A71"/>
    <w:rsid w:val="6DFBB862"/>
    <w:rsid w:val="6EFD977E"/>
    <w:rsid w:val="6F373BA6"/>
    <w:rsid w:val="6F5B885B"/>
    <w:rsid w:val="6F7C2FC8"/>
    <w:rsid w:val="6FDC99B9"/>
    <w:rsid w:val="6FED2960"/>
    <w:rsid w:val="7777ACF6"/>
    <w:rsid w:val="77FD035A"/>
    <w:rsid w:val="781B0C04"/>
    <w:rsid w:val="78B620DC"/>
    <w:rsid w:val="7AEE60B9"/>
    <w:rsid w:val="7B6FAAB5"/>
    <w:rsid w:val="7BF7CD4F"/>
    <w:rsid w:val="7CF763DC"/>
    <w:rsid w:val="7EAF1EF1"/>
    <w:rsid w:val="7F7CD64B"/>
    <w:rsid w:val="7FBD4572"/>
    <w:rsid w:val="7FF922DE"/>
    <w:rsid w:val="7FFAA423"/>
    <w:rsid w:val="7FFF4CB6"/>
    <w:rsid w:val="7FFF7FAA"/>
    <w:rsid w:val="8FD65862"/>
    <w:rsid w:val="9E799201"/>
    <w:rsid w:val="AD2F8666"/>
    <w:rsid w:val="B7B59E96"/>
    <w:rsid w:val="BA95BE4D"/>
    <w:rsid w:val="BAEFB4CF"/>
    <w:rsid w:val="BBF7F8C6"/>
    <w:rsid w:val="BCBD9970"/>
    <w:rsid w:val="BE7E0809"/>
    <w:rsid w:val="BEEFF3E2"/>
    <w:rsid w:val="BF3FA8CF"/>
    <w:rsid w:val="BFC7305F"/>
    <w:rsid w:val="C3DF55DE"/>
    <w:rsid w:val="C9EF6E71"/>
    <w:rsid w:val="D57D99FD"/>
    <w:rsid w:val="D95B70C2"/>
    <w:rsid w:val="D996D2DD"/>
    <w:rsid w:val="DFEABD10"/>
    <w:rsid w:val="DFFF0665"/>
    <w:rsid w:val="EE3F08B0"/>
    <w:rsid w:val="EFFF7927"/>
    <w:rsid w:val="F2D6675B"/>
    <w:rsid w:val="F37154F0"/>
    <w:rsid w:val="F37962D5"/>
    <w:rsid w:val="F3FBC174"/>
    <w:rsid w:val="F4BB2A43"/>
    <w:rsid w:val="F7876735"/>
    <w:rsid w:val="F7CFC234"/>
    <w:rsid w:val="F9FB4676"/>
    <w:rsid w:val="FB2F197F"/>
    <w:rsid w:val="FBAD40B0"/>
    <w:rsid w:val="FBBFD66C"/>
    <w:rsid w:val="FBF7FEB3"/>
    <w:rsid w:val="FBFE52A5"/>
    <w:rsid w:val="FBFF9CF8"/>
    <w:rsid w:val="FDFDE674"/>
    <w:rsid w:val="FDFF6B3A"/>
    <w:rsid w:val="FE3BEDCA"/>
    <w:rsid w:val="FEDEE1C2"/>
    <w:rsid w:val="FF37450A"/>
    <w:rsid w:val="FFD5DF17"/>
    <w:rsid w:val="FFED1329"/>
    <w:rsid w:val="FFFF9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uiPriority w:val="99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kern w:val="0"/>
      <w:sz w:val="24"/>
      <w14:ligatures w14:val="none"/>
    </w:rPr>
  </w:style>
  <w:style w:type="paragraph" w:styleId="15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Strong"/>
    <w:basedOn w:val="17"/>
    <w:qFormat/>
    <w:uiPriority w:val="22"/>
    <w:rPr>
      <w:b/>
    </w:rPr>
  </w:style>
  <w:style w:type="character" w:customStyle="1" w:styleId="19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字符"/>
    <w:basedOn w:val="17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7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7"/>
    <w:link w:val="34"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页眉 字符"/>
    <w:basedOn w:val="17"/>
    <w:link w:val="12"/>
    <w:uiPriority w:val="99"/>
    <w:rPr>
      <w:sz w:val="18"/>
      <w:szCs w:val="18"/>
    </w:rPr>
  </w:style>
  <w:style w:type="character" w:customStyle="1" w:styleId="38">
    <w:name w:val="页脚 字符"/>
    <w:basedOn w:val="17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656</Words>
  <Characters>3744</Characters>
  <Lines>31</Lines>
  <Paragraphs>8</Paragraphs>
  <TotalTime>8</TotalTime>
  <ScaleCrop>false</ScaleCrop>
  <LinksUpToDate>false</LinksUpToDate>
  <CharactersWithSpaces>4392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2025-09-04T03:40:00Z</dcterms:created>
  <dc:creator>瑤 鄧</dc:creator>
  <cp:lastModifiedBy>Neil</cp:lastModifiedBy>
  <dcterms:modified xsi:type="dcterms:W3CDTF">2025-09-05T12:31:08Z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AB67E406C44B6DA86530B96811A057B9_42</vt:lpwstr>
  </property>
</Properties>
</file>