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BA8CB">
      <w:pPr>
        <w:wordWrap/>
        <w:topLinePunct w:val="0"/>
        <w:spacing w:line="360" w:lineRule="auto"/>
        <w:ind w:firstLine="0" w:firstLineChars="0"/>
        <w:jc w:val="center"/>
        <w:rPr>
          <w:b/>
          <w:bCs/>
          <w:sz w:val="48"/>
          <w:szCs w:val="48"/>
        </w:rPr>
      </w:pPr>
      <w:r>
        <w:rPr>
          <w:rFonts w:hint="eastAsia"/>
          <w:b/>
          <w:bCs/>
          <w:sz w:val="48"/>
          <w:szCs w:val="48"/>
        </w:rPr>
        <w:t>重庆公路养护工程（集团）有限公司</w:t>
      </w:r>
    </w:p>
    <w:p w14:paraId="66774411">
      <w:pPr>
        <w:wordWrap/>
        <w:topLinePunct w:val="0"/>
        <w:spacing w:line="360" w:lineRule="auto"/>
        <w:ind w:firstLine="0" w:firstLineChars="0"/>
        <w:jc w:val="center"/>
        <w:rPr>
          <w:sz w:val="48"/>
          <w:szCs w:val="48"/>
        </w:rPr>
      </w:pPr>
    </w:p>
    <w:p w14:paraId="087B3598">
      <w:pPr>
        <w:wordWrap/>
        <w:topLinePunct w:val="0"/>
        <w:spacing w:line="360" w:lineRule="auto"/>
        <w:ind w:firstLine="0" w:firstLineChars="0"/>
        <w:jc w:val="center"/>
        <w:rPr>
          <w:b/>
          <w:bCs/>
          <w:sz w:val="48"/>
          <w:szCs w:val="48"/>
        </w:rPr>
      </w:pPr>
    </w:p>
    <w:p w14:paraId="79C3AD88">
      <w:pPr>
        <w:wordWrap/>
        <w:topLinePunct w:val="0"/>
        <w:spacing w:line="360" w:lineRule="auto"/>
        <w:ind w:firstLine="0" w:firstLineChars="0"/>
        <w:jc w:val="center"/>
        <w:rPr>
          <w:b/>
          <w:bCs/>
          <w:sz w:val="48"/>
          <w:szCs w:val="48"/>
        </w:rPr>
      </w:pPr>
    </w:p>
    <w:p w14:paraId="62E525C7">
      <w:pPr>
        <w:wordWrap/>
        <w:topLinePunct w:val="0"/>
        <w:spacing w:line="360" w:lineRule="auto"/>
        <w:ind w:firstLine="0" w:firstLineChars="0"/>
        <w:jc w:val="center"/>
        <w:rPr>
          <w:sz w:val="40"/>
          <w:szCs w:val="40"/>
        </w:rPr>
      </w:pPr>
    </w:p>
    <w:p w14:paraId="0BE72860">
      <w:pPr>
        <w:wordWrap/>
        <w:topLinePunct w:val="0"/>
        <w:spacing w:line="360" w:lineRule="auto"/>
        <w:ind w:firstLine="0" w:firstLineChars="0"/>
        <w:jc w:val="center"/>
        <w:rPr>
          <w:b/>
          <w:bCs/>
          <w:sz w:val="48"/>
          <w:szCs w:val="48"/>
        </w:rPr>
      </w:pPr>
      <w:r>
        <w:rPr>
          <w:rFonts w:hint="eastAsia"/>
          <w:b/>
          <w:bCs/>
          <w:sz w:val="48"/>
          <w:szCs w:val="48"/>
        </w:rPr>
        <w:t>安全韧性提升工程</w:t>
      </w:r>
    </w:p>
    <w:p w14:paraId="3E049FA0">
      <w:pPr>
        <w:wordWrap/>
        <w:topLinePunct w:val="0"/>
        <w:spacing w:line="360" w:lineRule="auto"/>
        <w:ind w:firstLine="0" w:firstLineChars="0"/>
        <w:jc w:val="center"/>
        <w:rPr>
          <w:b/>
          <w:bCs/>
          <w:sz w:val="48"/>
          <w:szCs w:val="48"/>
        </w:rPr>
      </w:pPr>
      <w:r>
        <w:rPr>
          <w:rFonts w:hint="eastAsia"/>
          <w:b/>
          <w:bCs/>
          <w:sz w:val="48"/>
          <w:szCs w:val="48"/>
        </w:rPr>
        <w:t>交通组织咨询服务</w:t>
      </w:r>
    </w:p>
    <w:p w14:paraId="526C922B">
      <w:pPr>
        <w:pStyle w:val="18"/>
        <w:jc w:val="center"/>
        <w:rPr>
          <w:rFonts w:ascii="Times New Roman" w:eastAsia="宋体" w:cs="Times New Roman"/>
          <w:b/>
          <w:bCs/>
          <w:color w:val="auto"/>
          <w:kern w:val="2"/>
          <w:sz w:val="48"/>
          <w:szCs w:val="48"/>
        </w:rPr>
      </w:pPr>
    </w:p>
    <w:p w14:paraId="2A305BAE">
      <w:pPr>
        <w:pStyle w:val="18"/>
        <w:rPr>
          <w:b/>
          <w:bCs/>
          <w:sz w:val="48"/>
          <w:szCs w:val="48"/>
        </w:rPr>
      </w:pPr>
    </w:p>
    <w:p w14:paraId="1C39F6CF">
      <w:pPr>
        <w:pStyle w:val="18"/>
        <w:rPr>
          <w:b/>
          <w:bCs/>
          <w:sz w:val="48"/>
          <w:szCs w:val="48"/>
        </w:rPr>
      </w:pPr>
    </w:p>
    <w:p w14:paraId="76BE1972">
      <w:pPr>
        <w:pStyle w:val="18"/>
        <w:rPr>
          <w:b/>
          <w:bCs/>
          <w:sz w:val="48"/>
          <w:szCs w:val="48"/>
        </w:rPr>
      </w:pPr>
    </w:p>
    <w:p w14:paraId="75E317BB">
      <w:pPr>
        <w:pStyle w:val="18"/>
        <w:spacing w:line="360" w:lineRule="auto"/>
        <w:jc w:val="center"/>
        <w:rPr>
          <w:rFonts w:hint="eastAsia" w:ascii="宋体" w:hAnsi="宋体" w:eastAsia="宋体" w:cs="宋体"/>
          <w:b/>
          <w:bCs/>
          <w:sz w:val="84"/>
          <w:szCs w:val="84"/>
        </w:rPr>
      </w:pPr>
      <w:r>
        <w:rPr>
          <w:rFonts w:hint="eastAsia" w:ascii="宋体" w:hAnsi="宋体" w:eastAsia="宋体" w:cs="宋体"/>
          <w:b/>
          <w:bCs/>
          <w:sz w:val="84"/>
          <w:szCs w:val="84"/>
        </w:rPr>
        <w:t>竞争性比选文件</w:t>
      </w:r>
    </w:p>
    <w:p w14:paraId="241261BD">
      <w:pPr>
        <w:pStyle w:val="18"/>
        <w:jc w:val="center"/>
        <w:rPr>
          <w:rFonts w:hint="eastAsia" w:ascii="宋体" w:hAnsi="宋体" w:eastAsia="宋体" w:cs="宋体"/>
          <w:b/>
          <w:bCs/>
          <w:sz w:val="84"/>
          <w:szCs w:val="84"/>
        </w:rPr>
      </w:pPr>
    </w:p>
    <w:p w14:paraId="703C4C6D">
      <w:pPr>
        <w:pStyle w:val="18"/>
        <w:jc w:val="center"/>
        <w:rPr>
          <w:rFonts w:hint="eastAsia" w:ascii="宋体" w:hAnsi="宋体" w:eastAsia="宋体" w:cs="宋体"/>
          <w:b/>
          <w:bCs/>
          <w:sz w:val="84"/>
          <w:szCs w:val="84"/>
        </w:rPr>
      </w:pPr>
    </w:p>
    <w:p w14:paraId="544CD759">
      <w:pPr>
        <w:pStyle w:val="18"/>
        <w:jc w:val="both"/>
        <w:rPr>
          <w:rFonts w:hint="eastAsia" w:ascii="宋体" w:hAnsi="宋体" w:eastAsia="宋体" w:cs="宋体"/>
          <w:b/>
          <w:bCs/>
          <w:sz w:val="84"/>
          <w:szCs w:val="84"/>
        </w:rPr>
      </w:pPr>
    </w:p>
    <w:p w14:paraId="22EE64F3">
      <w:pPr>
        <w:pStyle w:val="18"/>
        <w:jc w:val="both"/>
        <w:rPr>
          <w:rFonts w:hint="eastAsia" w:ascii="宋体" w:hAnsi="宋体" w:eastAsia="宋体" w:cs="宋体"/>
          <w:b/>
          <w:bCs/>
          <w:sz w:val="84"/>
          <w:szCs w:val="84"/>
        </w:rPr>
      </w:pPr>
    </w:p>
    <w:p w14:paraId="2EA37C2B">
      <w:pPr>
        <w:pStyle w:val="18"/>
        <w:jc w:val="center"/>
        <w:rPr>
          <w:rFonts w:hint="eastAsia" w:ascii="宋体" w:hAnsi="宋体" w:eastAsia="宋体" w:cs="宋体"/>
          <w:b/>
          <w:bCs/>
          <w:sz w:val="32"/>
          <w:szCs w:val="32"/>
        </w:rPr>
      </w:pPr>
      <w:r>
        <w:rPr>
          <w:rFonts w:hint="eastAsia" w:ascii="宋体" w:hAnsi="宋体" w:eastAsia="宋体" w:cs="宋体"/>
          <w:b/>
          <w:bCs/>
          <w:sz w:val="32"/>
          <w:szCs w:val="32"/>
        </w:rPr>
        <w:t>重庆公路养护工程（集团）有限公司</w:t>
      </w:r>
    </w:p>
    <w:p w14:paraId="50DF58CF">
      <w:pPr>
        <w:pStyle w:val="18"/>
        <w:jc w:val="center"/>
        <w:rPr>
          <w:rFonts w:hint="eastAsia" w:ascii="宋体" w:hAnsi="宋体" w:eastAsia="宋体" w:cs="宋体"/>
          <w:b/>
          <w:bCs/>
          <w:sz w:val="32"/>
          <w:szCs w:val="32"/>
        </w:rPr>
        <w:sectPr>
          <w:headerReference r:id="rId5" w:type="default"/>
          <w:footerReference r:id="rId6" w:type="default"/>
          <w:pgSz w:w="11906" w:h="16838"/>
          <w:pgMar w:top="1134" w:right="1134" w:bottom="1134" w:left="1134" w:header="794" w:footer="794"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bCs/>
          <w:sz w:val="32"/>
          <w:szCs w:val="32"/>
        </w:rPr>
        <w:t>2026年1月</w:t>
      </w:r>
    </w:p>
    <w:p w14:paraId="235ED937">
      <w:pPr>
        <w:pStyle w:val="18"/>
        <w:jc w:val="center"/>
        <w:rPr>
          <w:rFonts w:hint="eastAsia" w:ascii="宋体" w:hAnsi="宋体" w:eastAsia="宋体" w:cs="宋体"/>
          <w:b/>
          <w:bCs/>
          <w:sz w:val="36"/>
          <w:szCs w:val="36"/>
        </w:rPr>
      </w:pPr>
      <w:r>
        <w:rPr>
          <w:rFonts w:hint="eastAsia" w:ascii="宋体" w:hAnsi="宋体" w:eastAsia="宋体" w:cs="宋体"/>
          <w:b/>
          <w:bCs/>
          <w:sz w:val="36"/>
          <w:szCs w:val="36"/>
        </w:rPr>
        <w:t>重庆公路养护工程（集团）有限公司</w:t>
      </w:r>
    </w:p>
    <w:p w14:paraId="08BFC88F">
      <w:pPr>
        <w:pStyle w:val="18"/>
        <w:jc w:val="center"/>
        <w:rPr>
          <w:rFonts w:hint="eastAsia" w:ascii="宋体" w:hAnsi="宋体" w:eastAsia="宋体" w:cs="宋体"/>
          <w:b/>
          <w:bCs/>
          <w:sz w:val="36"/>
          <w:szCs w:val="36"/>
        </w:rPr>
      </w:pPr>
      <w:r>
        <w:rPr>
          <w:rFonts w:hint="eastAsia" w:ascii="宋体" w:hAnsi="宋体" w:eastAsia="宋体" w:cs="宋体"/>
          <w:b/>
          <w:bCs/>
          <w:sz w:val="36"/>
          <w:szCs w:val="36"/>
        </w:rPr>
        <w:t>安全韧性提升工程交通组织咨询服务比选</w:t>
      </w:r>
      <w:r>
        <w:rPr>
          <w:rFonts w:ascii="宋体" w:hAnsi="宋体" w:eastAsia="宋体" w:cs="宋体"/>
          <w:b/>
          <w:bCs/>
          <w:sz w:val="36"/>
          <w:szCs w:val="36"/>
        </w:rPr>
        <w:t>公告</w:t>
      </w:r>
    </w:p>
    <w:p w14:paraId="407DC48E">
      <w:pPr>
        <w:pStyle w:val="18"/>
        <w:spacing w:line="360" w:lineRule="auto"/>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本项目</w:t>
      </w:r>
      <w:r>
        <w:rPr>
          <w:rFonts w:hint="eastAsia" w:asciiTheme="minorEastAsia" w:hAnsiTheme="minorEastAsia" w:eastAsiaTheme="minorEastAsia" w:cstheme="minorEastAsia"/>
          <w:b/>
          <w:bCs/>
          <w:color w:val="auto"/>
          <w:kern w:val="2"/>
          <w:u w:val="single"/>
        </w:rPr>
        <w:t>安全韧性提升工程交通组织咨询服务</w:t>
      </w:r>
      <w:r>
        <w:rPr>
          <w:rFonts w:hint="eastAsia" w:asciiTheme="minorEastAsia" w:hAnsiTheme="minorEastAsia" w:eastAsiaTheme="minorEastAsia" w:cstheme="minorEastAsia"/>
          <w:color w:val="auto"/>
        </w:rPr>
        <w:t>准备组织实施，重庆公路养护工程（集团）有限公司计划以</w:t>
      </w:r>
      <w:r>
        <w:rPr>
          <w:rFonts w:hint="eastAsia" w:asciiTheme="minorEastAsia" w:hAnsiTheme="minorEastAsia" w:eastAsiaTheme="minorEastAsia" w:cstheme="minorEastAsia"/>
          <w:b/>
          <w:bCs/>
          <w:color w:val="auto"/>
          <w:u w:val="single"/>
        </w:rPr>
        <w:t>比选方式</w:t>
      </w:r>
      <w:r>
        <w:rPr>
          <w:rFonts w:hint="eastAsia" w:asciiTheme="minorEastAsia" w:hAnsiTheme="minorEastAsia" w:eastAsiaTheme="minorEastAsia" w:cstheme="minorEastAsia"/>
          <w:color w:val="auto"/>
        </w:rPr>
        <w:t>确定成交单位，具体情况如下：</w:t>
      </w:r>
    </w:p>
    <w:p w14:paraId="33EA54AD">
      <w:pPr>
        <w:pStyle w:val="4"/>
        <w:spacing w:line="360" w:lineRule="auto"/>
      </w:pPr>
      <w:r>
        <w:rPr>
          <w:rFonts w:hint="eastAsia"/>
        </w:rPr>
        <w:t>一、比选范围</w:t>
      </w:r>
    </w:p>
    <w:p w14:paraId="3FBF4990">
      <w:pPr>
        <w:pStyle w:val="4"/>
        <w:spacing w:line="360" w:lineRule="auto"/>
        <w:ind w:firstLine="482" w:firstLineChars="200"/>
        <w:rPr>
          <w:bCs/>
        </w:rPr>
      </w:pPr>
      <w:r>
        <w:rPr>
          <w:rFonts w:hint="eastAsia"/>
          <w:bCs/>
        </w:rPr>
        <w:t>1、项目概况</w:t>
      </w:r>
    </w:p>
    <w:p w14:paraId="2875F58D">
      <w:pPr>
        <w:pStyle w:val="4"/>
        <w:spacing w:line="360" w:lineRule="auto"/>
        <w:ind w:firstLine="480" w:firstLineChars="200"/>
        <w:rPr>
          <w:b w:val="0"/>
        </w:rPr>
      </w:pPr>
      <w:r>
        <w:rPr>
          <w:rFonts w:hint="eastAsia"/>
          <w:b w:val="0"/>
        </w:rPr>
        <w:t>本次安全韧性提升工程所辖路段及处治内容包括：</w:t>
      </w:r>
    </w:p>
    <w:p w14:paraId="5059ECB3">
      <w:pPr>
        <w:pStyle w:val="4"/>
        <w:spacing w:line="360" w:lineRule="auto"/>
        <w:ind w:firstLine="480" w:firstLineChars="200"/>
        <w:rPr>
          <w:rFonts w:hint="eastAsia" w:ascii="宋体" w:hAnsi="宋体" w:cs="宋体"/>
          <w:b w:val="0"/>
          <w:bCs/>
        </w:rPr>
      </w:pPr>
      <w:r>
        <w:rPr>
          <w:rFonts w:hint="eastAsia" w:ascii="宋体" w:hAnsi="宋体" w:cs="宋体"/>
          <w:b w:val="0"/>
          <w:bCs/>
        </w:rPr>
        <w:t>G42沪蓉高速奉节至梁平段（桩号K1341+546～K1574+950）涉及重庆高速集团东北营运分公司管理的奉万段及重庆渝东高速公路有限公司管理的梁万段，工程共包含64处路基处治、232.5km路面修复性养护、40万㎡路面铣刨重铺及结构物路面铣刨重铺、2座桥梁换索、34座桥梁换梁、11座桥梁桩基冲刷、9座隧道拆换、8座隧道常规处治、290km护栏拆换、标志标牌更换、2座服务区、2处加水点及3处避险车道改造等施工内容，处治范围为营运通车环境。</w:t>
      </w:r>
    </w:p>
    <w:p w14:paraId="24DA7E00">
      <w:pPr>
        <w:pStyle w:val="4"/>
        <w:spacing w:line="360" w:lineRule="auto"/>
        <w:ind w:firstLine="480" w:firstLineChars="200"/>
        <w:rPr>
          <w:rFonts w:hint="eastAsia" w:ascii="宋体" w:hAnsi="宋体" w:cs="宋体"/>
          <w:b w:val="0"/>
          <w:bCs/>
        </w:rPr>
      </w:pPr>
      <w:r>
        <w:rPr>
          <w:rFonts w:hint="eastAsia" w:ascii="宋体" w:hAnsi="宋体" w:cs="宋体"/>
          <w:b w:val="0"/>
          <w:bCs/>
        </w:rPr>
        <w:t>G65包茂高速彭水至酉阳段（桩号K1743+700～K1931+400）涉及重庆高速集团东南营运分公司管理的彭酉段，工程共包含38处路基处治、187km路面修复性养护、50万㎡路面铣刨重铺及结构物路面铣刨重铺、1座桥梁换索、1座桥梁换吊杆、1座桥梁增设体外预应力、13座桥梁桩基冲刷、7座隧道拆换、3座隧道常规处治、全线标线施画，350km护栏拆换、2座服务区改造，处治范围为营运通车环境。</w:t>
      </w:r>
    </w:p>
    <w:p w14:paraId="6D2079D9">
      <w:pPr>
        <w:pStyle w:val="4"/>
        <w:spacing w:line="360" w:lineRule="auto"/>
        <w:ind w:firstLine="480" w:firstLineChars="200"/>
        <w:rPr>
          <w:rFonts w:hint="eastAsia"/>
          <w:b w:val="0"/>
        </w:rPr>
      </w:pPr>
      <w:r>
        <w:rPr>
          <w:rFonts w:hint="eastAsia"/>
          <w:b w:val="0"/>
        </w:rPr>
        <w:t>上述路段交通流量大、施工点位多、施工持续时间长、交通组织方式复杂、作业安全风险高、服务水平要求高，对高速公路的正常通行及周边区域的交通影响大，根据交管部门对该路段施工作业规范性管理要求，为保障高速公路的施工作业安全，降低高速公路施工作业对社会车辆通行影响，现委托具有相关资质的单位完成上述路段安全韧性提升</w:t>
      </w:r>
      <w:r>
        <w:rPr>
          <w:rFonts w:hint="eastAsia"/>
          <w:b w:val="0"/>
          <w:lang w:val="en-US" w:eastAsia="zh-CN"/>
        </w:rPr>
        <w:t>工程</w:t>
      </w:r>
      <w:r>
        <w:rPr>
          <w:rFonts w:hint="eastAsia"/>
          <w:b w:val="0"/>
        </w:rPr>
        <w:t>交通组织安全咨询服务。</w:t>
      </w:r>
    </w:p>
    <w:p w14:paraId="41EC8D08">
      <w:pPr>
        <w:pStyle w:val="4"/>
        <w:spacing w:line="360" w:lineRule="auto"/>
        <w:ind w:firstLine="482" w:firstLineChars="200"/>
        <w:rPr>
          <w:rFonts w:hint="default"/>
          <w:lang w:val="en-US" w:eastAsia="zh-CN"/>
        </w:rPr>
      </w:pPr>
      <w:r>
        <w:rPr>
          <w:rFonts w:hint="eastAsia"/>
          <w:lang w:val="en-US" w:eastAsia="zh-CN"/>
        </w:rPr>
        <w:t>2、服务范围：</w:t>
      </w:r>
      <w:r>
        <w:rPr>
          <w:rFonts w:hint="eastAsia"/>
          <w:b w:val="0"/>
          <w:bCs/>
          <w:lang w:val="en-US" w:eastAsia="zh-CN"/>
        </w:rPr>
        <w:t>安全韧性提升工程全路段各专业各阶段施工涉及单道双通或断道施工等特殊交通组织方式及总体交通组织安全咨询服务。</w:t>
      </w:r>
    </w:p>
    <w:p w14:paraId="11EF6E59">
      <w:pPr>
        <w:pStyle w:val="4"/>
        <w:spacing w:line="360" w:lineRule="auto"/>
        <w:ind w:firstLine="482" w:firstLineChars="200"/>
        <w:rPr>
          <w:rFonts w:hint="eastAsia" w:eastAsia="宋体"/>
          <w:lang w:eastAsia="zh-CN"/>
        </w:rPr>
      </w:pPr>
      <w:r>
        <w:rPr>
          <w:rFonts w:hint="eastAsia"/>
          <w:lang w:val="en-US" w:eastAsia="zh-CN"/>
        </w:rPr>
        <w:t>3</w:t>
      </w:r>
      <w:r>
        <w:rPr>
          <w:rFonts w:hint="eastAsia"/>
        </w:rPr>
        <w:t>、服务内容</w:t>
      </w:r>
      <w:r>
        <w:rPr>
          <w:rFonts w:hint="eastAsia"/>
          <w:lang w:eastAsia="zh-CN"/>
        </w:rPr>
        <w:t>：</w:t>
      </w:r>
    </w:p>
    <w:p w14:paraId="29691131">
      <w:pPr>
        <w:pStyle w:val="4"/>
        <w:spacing w:line="360" w:lineRule="auto"/>
        <w:rPr>
          <w:b w:val="0"/>
          <w:bCs/>
        </w:rPr>
      </w:pPr>
      <w:r>
        <w:rPr>
          <w:rFonts w:hint="eastAsia"/>
          <w:b w:val="0"/>
          <w:bCs/>
        </w:rPr>
        <w:tab/>
      </w:r>
      <w:r>
        <w:rPr>
          <w:rFonts w:hint="eastAsia"/>
          <w:b w:val="0"/>
          <w:bCs/>
        </w:rPr>
        <w:t>包括但不限于以下工作内容（以交管总队、高速支队要求要求为准）：</w:t>
      </w:r>
    </w:p>
    <w:p w14:paraId="3EC55BDE">
      <w:pPr>
        <w:pStyle w:val="4"/>
        <w:numPr>
          <w:ilvl w:val="0"/>
          <w:numId w:val="0"/>
        </w:numPr>
        <w:spacing w:line="360" w:lineRule="auto"/>
        <w:ind w:firstLine="480" w:firstLineChars="200"/>
        <w:rPr>
          <w:b w:val="0"/>
          <w:bCs/>
        </w:rPr>
      </w:pPr>
      <w:r>
        <w:rPr>
          <w:rFonts w:hint="eastAsia"/>
          <w:b w:val="0"/>
          <w:bCs/>
          <w:lang w:eastAsia="zh-CN"/>
        </w:rPr>
        <w:t>（</w:t>
      </w:r>
      <w:r>
        <w:rPr>
          <w:rFonts w:hint="eastAsia"/>
          <w:b w:val="0"/>
          <w:bCs/>
          <w:lang w:val="en-US" w:eastAsia="zh-CN"/>
        </w:rPr>
        <w:t>1</w:t>
      </w:r>
      <w:r>
        <w:rPr>
          <w:rFonts w:hint="eastAsia"/>
          <w:b w:val="0"/>
          <w:bCs/>
          <w:lang w:eastAsia="zh-CN"/>
        </w:rPr>
        <w:t>）</w:t>
      </w:r>
      <w:r>
        <w:rPr>
          <w:rFonts w:hint="eastAsia"/>
          <w:b w:val="0"/>
          <w:bCs/>
        </w:rPr>
        <w:t>现场踏勘、施工调查、影像资料采集、数据收集等工作；</w:t>
      </w:r>
    </w:p>
    <w:p w14:paraId="34623009">
      <w:pPr>
        <w:pStyle w:val="4"/>
        <w:spacing w:line="360" w:lineRule="auto"/>
        <w:ind w:firstLine="480" w:firstLineChars="200"/>
        <w:rPr>
          <w:b w:val="0"/>
          <w:bCs/>
        </w:rPr>
      </w:pPr>
      <w:r>
        <w:rPr>
          <w:rFonts w:hint="eastAsia"/>
          <w:b w:val="0"/>
          <w:bCs/>
        </w:rPr>
        <w:t>（2）项目周边区域交通现状分析；</w:t>
      </w:r>
    </w:p>
    <w:p w14:paraId="35D9A1B0">
      <w:pPr>
        <w:pStyle w:val="4"/>
        <w:spacing w:line="360" w:lineRule="auto"/>
        <w:ind w:firstLine="480" w:firstLineChars="200"/>
        <w:rPr>
          <w:b w:val="0"/>
          <w:bCs/>
        </w:rPr>
      </w:pPr>
      <w:r>
        <w:rPr>
          <w:rFonts w:hint="eastAsia"/>
          <w:b w:val="0"/>
          <w:bCs/>
        </w:rPr>
        <w:t>（3）施工期间交通运行情况评价，确定该工况下的通行服务等级；</w:t>
      </w:r>
    </w:p>
    <w:p w14:paraId="791C9D4C">
      <w:pPr>
        <w:pStyle w:val="4"/>
        <w:spacing w:line="360" w:lineRule="auto"/>
        <w:ind w:firstLine="480" w:firstLineChars="200"/>
        <w:rPr>
          <w:b w:val="0"/>
          <w:bCs/>
        </w:rPr>
      </w:pPr>
      <w:r>
        <w:rPr>
          <w:rFonts w:hint="eastAsia"/>
          <w:b w:val="0"/>
          <w:bCs/>
        </w:rPr>
        <w:t>（4）编制交通管制应急预案；</w:t>
      </w:r>
    </w:p>
    <w:p w14:paraId="59CB6DEF">
      <w:pPr>
        <w:pStyle w:val="4"/>
        <w:spacing w:line="360" w:lineRule="auto"/>
        <w:ind w:firstLine="480" w:firstLineChars="200"/>
        <w:rPr>
          <w:b w:val="0"/>
          <w:bCs/>
        </w:rPr>
      </w:pPr>
      <w:r>
        <w:rPr>
          <w:rFonts w:hint="eastAsia"/>
          <w:b w:val="0"/>
          <w:bCs/>
        </w:rPr>
        <w:t>（5）编制</w:t>
      </w:r>
      <w:r>
        <w:rPr>
          <w:rFonts w:hint="eastAsia"/>
          <w:b w:val="0"/>
          <w:bCs/>
          <w:lang w:val="en-US" w:eastAsia="zh-CN"/>
        </w:rPr>
        <w:t>路段总体施工组织方案和</w:t>
      </w:r>
      <w:r>
        <w:rPr>
          <w:rFonts w:hint="eastAsia"/>
          <w:b w:val="0"/>
          <w:bCs/>
        </w:rPr>
        <w:t>施工期间</w:t>
      </w:r>
      <w:r>
        <w:rPr>
          <w:rFonts w:hint="eastAsia"/>
          <w:b w:val="0"/>
          <w:bCs/>
          <w:lang w:val="en-US" w:eastAsia="zh-CN"/>
        </w:rPr>
        <w:t>专项</w:t>
      </w:r>
      <w:r>
        <w:rPr>
          <w:rFonts w:hint="eastAsia"/>
          <w:b w:val="0"/>
          <w:bCs/>
        </w:rPr>
        <w:t>交通组织方案；</w:t>
      </w:r>
    </w:p>
    <w:p w14:paraId="6C455771">
      <w:pPr>
        <w:pStyle w:val="4"/>
        <w:spacing w:line="360" w:lineRule="auto"/>
        <w:ind w:firstLine="480" w:firstLineChars="200"/>
        <w:rPr>
          <w:b w:val="0"/>
          <w:bCs/>
        </w:rPr>
      </w:pPr>
      <w:r>
        <w:rPr>
          <w:rFonts w:hint="eastAsia"/>
          <w:b w:val="0"/>
          <w:bCs/>
        </w:rPr>
        <w:t>（6）完善配套安全设施设计；</w:t>
      </w:r>
    </w:p>
    <w:p w14:paraId="3B38804A">
      <w:pPr>
        <w:pStyle w:val="4"/>
        <w:spacing w:line="360" w:lineRule="auto"/>
        <w:ind w:firstLine="480" w:firstLineChars="200"/>
        <w:rPr>
          <w:b w:val="0"/>
          <w:bCs/>
        </w:rPr>
      </w:pPr>
      <w:r>
        <w:rPr>
          <w:rFonts w:hint="eastAsia"/>
          <w:b w:val="0"/>
          <w:bCs/>
        </w:rPr>
        <w:t>（7）完成</w:t>
      </w:r>
      <w:r>
        <w:rPr>
          <w:rFonts w:hint="eastAsia"/>
          <w:b w:val="0"/>
          <w:bCs/>
          <w:lang w:val="en-US" w:eastAsia="zh-CN"/>
        </w:rPr>
        <w:t>总体和专项</w:t>
      </w:r>
      <w:r>
        <w:rPr>
          <w:rFonts w:hint="eastAsia"/>
          <w:b w:val="0"/>
          <w:bCs/>
        </w:rPr>
        <w:t>交通组织方案报送、评审、批复工作；</w:t>
      </w:r>
    </w:p>
    <w:p w14:paraId="019E62A4">
      <w:pPr>
        <w:spacing w:line="360" w:lineRule="auto"/>
        <w:ind w:firstLine="480"/>
      </w:pPr>
      <w:r>
        <w:rPr>
          <w:rFonts w:hint="eastAsia"/>
        </w:rPr>
        <w:t>（8）协调、解决交通组织方案实施过程中的相关问题；</w:t>
      </w:r>
    </w:p>
    <w:p w14:paraId="343AD331">
      <w:pPr>
        <w:pStyle w:val="4"/>
        <w:spacing w:line="360" w:lineRule="auto"/>
        <w:ind w:firstLine="480" w:firstLineChars="200"/>
        <w:rPr>
          <w:rFonts w:hint="eastAsia" w:eastAsia="宋体"/>
          <w:lang w:eastAsia="zh-CN"/>
        </w:rPr>
      </w:pPr>
      <w:r>
        <w:rPr>
          <w:rFonts w:hint="eastAsia"/>
          <w:b w:val="0"/>
          <w:bCs/>
        </w:rPr>
        <w:t>（9）道路交通或</w:t>
      </w:r>
      <w:r>
        <w:rPr>
          <w:rFonts w:hint="eastAsia"/>
          <w:b w:val="0"/>
          <w:bCs/>
          <w:lang w:val="en-US" w:eastAsia="zh-CN"/>
        </w:rPr>
        <w:t>甲方</w:t>
      </w:r>
      <w:r>
        <w:rPr>
          <w:rFonts w:hint="eastAsia"/>
          <w:b w:val="0"/>
          <w:bCs/>
        </w:rPr>
        <w:t>交组需求发生重大变化，已批复交组需另选交组方式</w:t>
      </w:r>
      <w:r>
        <w:rPr>
          <w:rFonts w:hint="eastAsia"/>
          <w:b w:val="0"/>
          <w:bCs/>
          <w:lang w:val="en-US" w:eastAsia="zh-CN"/>
        </w:rPr>
        <w:t>相关</w:t>
      </w:r>
      <w:r>
        <w:rPr>
          <w:rFonts w:hint="eastAsia"/>
          <w:b w:val="0"/>
          <w:bCs/>
        </w:rPr>
        <w:t>批复</w:t>
      </w:r>
      <w:r>
        <w:rPr>
          <w:rFonts w:hint="eastAsia"/>
          <w:b w:val="0"/>
          <w:bCs/>
          <w:lang w:val="en-US" w:eastAsia="zh-CN"/>
        </w:rPr>
        <w:t>工作</w:t>
      </w:r>
      <w:r>
        <w:rPr>
          <w:rFonts w:hint="eastAsia"/>
          <w:b w:val="0"/>
          <w:bCs/>
          <w:lang w:eastAsia="zh-CN"/>
        </w:rPr>
        <w:t>。</w:t>
      </w:r>
    </w:p>
    <w:p w14:paraId="4FC4DFAF">
      <w:pPr>
        <w:spacing w:line="360" w:lineRule="auto"/>
        <w:ind w:firstLine="480"/>
        <w:rPr>
          <w:bCs/>
        </w:rPr>
      </w:pPr>
      <w:r>
        <w:rPr>
          <w:rFonts w:hint="eastAsia"/>
          <w:bCs/>
        </w:rPr>
        <w:t>（10）与本项目交通组织相关的其它咨询服务。</w:t>
      </w:r>
    </w:p>
    <w:p w14:paraId="4EC61C98">
      <w:pPr>
        <w:spacing w:line="360" w:lineRule="auto"/>
        <w:ind w:firstLine="482"/>
        <w:rPr>
          <w:b/>
        </w:rPr>
      </w:pPr>
      <w:r>
        <w:rPr>
          <w:rFonts w:hint="eastAsia"/>
          <w:b/>
          <w:lang w:val="en-US" w:eastAsia="zh-CN"/>
        </w:rPr>
        <w:t>4</w:t>
      </w:r>
      <w:r>
        <w:rPr>
          <w:rFonts w:hint="eastAsia"/>
          <w:b/>
        </w:rPr>
        <w:t>、服务期限：</w:t>
      </w:r>
    </w:p>
    <w:p w14:paraId="2143D77A">
      <w:pPr>
        <w:spacing w:line="360" w:lineRule="auto"/>
        <w:ind w:firstLine="482"/>
        <w:rPr>
          <w:rFonts w:hint="eastAsia" w:ascii="宋体" w:hAnsi="宋体" w:cs="宋体"/>
        </w:rPr>
      </w:pPr>
      <w:r>
        <w:rPr>
          <w:rFonts w:hint="eastAsia"/>
          <w:b/>
          <w:u w:val="single"/>
        </w:rPr>
        <w:t>三年</w:t>
      </w:r>
      <w:r>
        <w:rPr>
          <w:rFonts w:hint="eastAsia"/>
          <w:b/>
        </w:rPr>
        <w:t>，</w:t>
      </w:r>
      <w:r>
        <w:rPr>
          <w:rFonts w:hint="eastAsia"/>
          <w:bCs/>
        </w:rPr>
        <w:t>自</w:t>
      </w:r>
      <w:r>
        <w:rPr>
          <w:rFonts w:hint="eastAsia" w:ascii="宋体" w:hAnsi="宋体" w:cs="宋体"/>
        </w:rPr>
        <w:t>合同生效之日起至2028年12月31</w:t>
      </w:r>
      <w:r>
        <w:rPr>
          <w:rFonts w:hint="eastAsia" w:ascii="宋体" w:hAnsi="宋体" w:cs="宋体"/>
          <w:lang w:val="en-US" w:eastAsia="zh-CN"/>
        </w:rPr>
        <w:t>日</w:t>
      </w:r>
      <w:r>
        <w:rPr>
          <w:rFonts w:hint="eastAsia" w:ascii="宋体" w:hAnsi="宋体" w:cs="宋体"/>
        </w:rPr>
        <w:t>（以项目实际完工时间为准）。</w:t>
      </w:r>
    </w:p>
    <w:p w14:paraId="42AE1825">
      <w:pPr>
        <w:spacing w:line="360" w:lineRule="auto"/>
        <w:ind w:firstLine="482"/>
        <w:rPr>
          <w:b/>
        </w:rPr>
      </w:pPr>
      <w:r>
        <w:rPr>
          <w:rFonts w:hint="eastAsia"/>
          <w:b/>
          <w:lang w:val="en-US" w:eastAsia="zh-CN"/>
        </w:rPr>
        <w:t>5</w:t>
      </w:r>
      <w:r>
        <w:rPr>
          <w:rFonts w:hint="eastAsia"/>
          <w:b/>
        </w:rPr>
        <w:t>、验收标准</w:t>
      </w:r>
    </w:p>
    <w:p w14:paraId="38287E4E">
      <w:pPr>
        <w:pStyle w:val="6"/>
        <w:ind w:firstLine="480" w:firstLineChars="200"/>
        <w:rPr>
          <w:rFonts w:hint="eastAsia"/>
          <w:lang w:eastAsia="zh-CN"/>
        </w:rPr>
      </w:pPr>
      <w:r>
        <w:rPr>
          <w:rFonts w:hint="eastAsia"/>
        </w:rPr>
        <w:t>投标人</w:t>
      </w:r>
      <w:r>
        <w:t>须在</w:t>
      </w:r>
      <w:r>
        <w:rPr>
          <w:rFonts w:hint="eastAsia"/>
        </w:rPr>
        <w:t>比选人要求的时限内</w:t>
      </w:r>
      <w:r>
        <w:t>完成相关</w:t>
      </w:r>
      <w:r>
        <w:rPr>
          <w:rFonts w:hint="eastAsia"/>
        </w:rPr>
        <w:t>交通组织安全</w:t>
      </w:r>
      <w:r>
        <w:t>咨询</w:t>
      </w:r>
      <w:r>
        <w:rPr>
          <w:rFonts w:hint="eastAsia"/>
        </w:rPr>
        <w:t>服务</w:t>
      </w:r>
      <w:r>
        <w:rPr>
          <w:rFonts w:hint="eastAsia"/>
          <w:lang w:eastAsia="zh-CN"/>
        </w:rPr>
        <w:t>。</w:t>
      </w:r>
    </w:p>
    <w:p w14:paraId="221583A7">
      <w:pPr>
        <w:pStyle w:val="6"/>
        <w:ind w:firstLine="480" w:firstLineChars="200"/>
        <w:rPr>
          <w:rFonts w:hint="eastAsia"/>
        </w:rPr>
      </w:pPr>
      <w:r>
        <w:rPr>
          <w:rFonts w:hint="eastAsia"/>
          <w:lang w:eastAsia="zh-CN"/>
        </w:rPr>
        <w:t>（</w:t>
      </w:r>
      <w:r>
        <w:rPr>
          <w:rFonts w:hint="eastAsia"/>
          <w:lang w:val="en-US" w:eastAsia="zh-CN"/>
        </w:rPr>
        <w:t>1</w:t>
      </w:r>
      <w:r>
        <w:rPr>
          <w:rFonts w:hint="eastAsia"/>
          <w:lang w:eastAsia="zh-CN"/>
        </w:rPr>
        <w:t>）</w:t>
      </w:r>
      <w:r>
        <w:rPr>
          <w:rFonts w:hint="eastAsia"/>
        </w:rPr>
        <w:t>中标</w:t>
      </w:r>
      <w:r>
        <w:rPr>
          <w:rFonts w:hint="eastAsia"/>
          <w:lang w:val="en-US" w:eastAsia="zh-CN"/>
        </w:rPr>
        <w:t>人</w:t>
      </w:r>
      <w:r>
        <w:rPr>
          <w:rFonts w:hint="eastAsia"/>
        </w:rPr>
        <w:t>须在比选人要求的时限内</w:t>
      </w:r>
      <w:r>
        <w:rPr>
          <w:rFonts w:hint="eastAsia"/>
          <w:b/>
          <w:bCs/>
          <w:i w:val="0"/>
          <w:iCs w:val="0"/>
          <w:u w:val="single"/>
          <w:lang w:val="en-US" w:eastAsia="zh-CN"/>
        </w:rPr>
        <w:t xml:space="preserve"> 2026年2月15日前</w:t>
      </w:r>
      <w:r>
        <w:rPr>
          <w:rFonts w:hint="eastAsia"/>
          <w:lang w:val="en-US" w:eastAsia="zh-CN"/>
        </w:rPr>
        <w:t>，编制</w:t>
      </w:r>
      <w:r>
        <w:rPr>
          <w:rFonts w:hint="eastAsia"/>
        </w:rPr>
        <w:t>完成</w:t>
      </w:r>
      <w:r>
        <w:rPr>
          <w:rFonts w:hint="eastAsia"/>
          <w:lang w:val="en-US" w:eastAsia="zh-CN"/>
        </w:rPr>
        <w:t>上述路段总体</w:t>
      </w:r>
      <w:r>
        <w:rPr>
          <w:rFonts w:hint="eastAsia"/>
        </w:rPr>
        <w:t>交通组织</w:t>
      </w:r>
      <w:r>
        <w:rPr>
          <w:rFonts w:hint="eastAsia"/>
          <w:lang w:val="en-US" w:eastAsia="zh-CN"/>
        </w:rPr>
        <w:t>方案</w:t>
      </w:r>
      <w:r>
        <w:rPr>
          <w:rFonts w:hint="eastAsia"/>
          <w:lang w:eastAsia="zh-CN"/>
        </w:rPr>
        <w:t>，</w:t>
      </w:r>
      <w:r>
        <w:rPr>
          <w:rFonts w:hint="eastAsia"/>
          <w:lang w:val="en-US" w:eastAsia="zh-CN"/>
        </w:rPr>
        <w:t>并提交交管总队同意组织评审</w:t>
      </w:r>
      <w:r>
        <w:rPr>
          <w:rFonts w:hint="eastAsia"/>
        </w:rPr>
        <w:t>。若投标人未在规定的时间内</w:t>
      </w:r>
      <w:r>
        <w:rPr>
          <w:rFonts w:hint="eastAsia"/>
          <w:lang w:val="en-US" w:eastAsia="zh-CN"/>
        </w:rPr>
        <w:t>编制</w:t>
      </w:r>
      <w:r>
        <w:rPr>
          <w:rFonts w:hint="eastAsia"/>
        </w:rPr>
        <w:t>完成</w:t>
      </w:r>
      <w:r>
        <w:rPr>
          <w:rFonts w:hint="eastAsia"/>
          <w:lang w:val="en-US" w:eastAsia="zh-CN"/>
        </w:rPr>
        <w:t>路段总体</w:t>
      </w:r>
      <w:r>
        <w:rPr>
          <w:rFonts w:hint="eastAsia"/>
        </w:rPr>
        <w:t>交通组织</w:t>
      </w:r>
      <w:r>
        <w:rPr>
          <w:rFonts w:hint="eastAsia"/>
          <w:lang w:val="en-US" w:eastAsia="zh-CN"/>
        </w:rPr>
        <w:t>方案并提交交管总队同意组织评审</w:t>
      </w:r>
      <w:r>
        <w:rPr>
          <w:rFonts w:hint="eastAsia"/>
        </w:rPr>
        <w:t>投标人承担违约责任。</w:t>
      </w:r>
    </w:p>
    <w:p w14:paraId="710942F8">
      <w:pPr>
        <w:pStyle w:val="6"/>
        <w:ind w:firstLine="480" w:firstLineChars="200"/>
        <w:rPr>
          <w:rFonts w:hint="eastAsia" w:eastAsia="宋体"/>
          <w:lang w:eastAsia="zh-CN"/>
        </w:rPr>
      </w:pPr>
      <w:r>
        <w:rPr>
          <w:rFonts w:hint="eastAsia"/>
          <w:lang w:val="en-US" w:eastAsia="zh-CN"/>
        </w:rPr>
        <w:t>（2）比选人根据施工安排</w:t>
      </w:r>
      <w:r>
        <w:rPr>
          <w:rFonts w:hint="eastAsia"/>
        </w:rPr>
        <w:t>分批</w:t>
      </w:r>
      <w:r>
        <w:rPr>
          <w:rFonts w:hint="eastAsia"/>
          <w:lang w:val="en-US" w:eastAsia="zh-CN"/>
        </w:rPr>
        <w:t>分阶段分专业提出</w:t>
      </w:r>
      <w:r>
        <w:rPr>
          <w:rFonts w:hint="eastAsia"/>
        </w:rPr>
        <w:t>各路段涉路需求并提供施工方案、设计文件初稿等基础资料，限期中选单位</w:t>
      </w:r>
      <w:r>
        <w:rPr>
          <w:rFonts w:hint="eastAsia"/>
          <w:b/>
          <w:bCs/>
          <w:u w:val="single"/>
          <w:lang w:val="en-US" w:eastAsia="zh-CN"/>
        </w:rPr>
        <w:t>20</w:t>
      </w:r>
      <w:r>
        <w:rPr>
          <w:rFonts w:hint="eastAsia"/>
          <w:b/>
          <w:bCs/>
          <w:u w:val="single"/>
        </w:rPr>
        <w:t>天内</w:t>
      </w:r>
      <w:r>
        <w:rPr>
          <w:rFonts w:hint="eastAsia"/>
        </w:rPr>
        <w:t>完成</w:t>
      </w:r>
      <w:r>
        <w:rPr>
          <w:rFonts w:hint="eastAsia"/>
          <w:lang w:val="en-US" w:eastAsia="zh-CN"/>
        </w:rPr>
        <w:t>相关交通组织方案的编制、报批，取得</w:t>
      </w:r>
      <w:r>
        <w:rPr>
          <w:rFonts w:hint="eastAsia"/>
        </w:rPr>
        <w:t>交管部门批复的高速公路涉路施工交通安全审查准予决定书</w:t>
      </w:r>
      <w:r>
        <w:rPr>
          <w:rFonts w:hint="eastAsia"/>
          <w:lang w:eastAsia="zh-CN"/>
        </w:rPr>
        <w:t>。</w:t>
      </w:r>
    </w:p>
    <w:p w14:paraId="2BE11F74">
      <w:pPr>
        <w:pStyle w:val="6"/>
        <w:ind w:firstLine="480" w:firstLineChars="200"/>
        <w:rPr>
          <w:rFonts w:hint="eastAsia" w:eastAsia="宋体"/>
          <w:lang w:eastAsia="zh-CN"/>
        </w:rPr>
      </w:pPr>
      <w:r>
        <w:rPr>
          <w:rFonts w:hint="eastAsia"/>
        </w:rPr>
        <w:t>若</w:t>
      </w:r>
      <w:r>
        <w:rPr>
          <w:rFonts w:hint="eastAsia"/>
          <w:lang w:val="en-US" w:eastAsia="zh-CN"/>
        </w:rPr>
        <w:t>投标人</w:t>
      </w:r>
      <w:r>
        <w:rPr>
          <w:rFonts w:hint="eastAsia"/>
        </w:rPr>
        <w:t>未在规定的时间内完成</w:t>
      </w:r>
      <w:r>
        <w:rPr>
          <w:rFonts w:hint="eastAsia"/>
          <w:lang w:val="en-US" w:eastAsia="zh-CN"/>
        </w:rPr>
        <w:t>上述</w:t>
      </w:r>
      <w:r>
        <w:rPr>
          <w:rFonts w:hint="eastAsia"/>
        </w:rPr>
        <w:t>交通组织咨询服务投标人承担</w:t>
      </w:r>
      <w:r>
        <w:rPr>
          <w:rFonts w:hint="eastAsia"/>
          <w:lang w:val="en-US" w:eastAsia="zh-CN"/>
        </w:rPr>
        <w:t>以下</w:t>
      </w:r>
      <w:r>
        <w:rPr>
          <w:rFonts w:hint="eastAsia"/>
        </w:rPr>
        <w:t>违约责任</w:t>
      </w:r>
      <w:r>
        <w:rPr>
          <w:rFonts w:hint="eastAsia"/>
          <w:lang w:eastAsia="zh-CN"/>
        </w:rPr>
        <w:t>：</w:t>
      </w:r>
    </w:p>
    <w:p w14:paraId="76808113">
      <w:pPr>
        <w:pStyle w:val="3"/>
        <w:spacing w:after="0" w:line="360" w:lineRule="auto"/>
        <w:ind w:firstLine="480"/>
      </w:pPr>
      <w:r>
        <w:rPr>
          <w:rFonts w:hint="eastAsia"/>
        </w:rPr>
        <w:t>若在上述规定时限内未完成约定内容，</w:t>
      </w:r>
      <w:r>
        <w:rPr>
          <w:b/>
          <w:bCs/>
          <w:color w:val="auto"/>
          <w:u w:val="single"/>
        </w:rPr>
        <w:t>每逾期1个</w:t>
      </w:r>
      <w:r>
        <w:rPr>
          <w:rFonts w:hint="eastAsia"/>
          <w:b/>
          <w:bCs/>
          <w:color w:val="auto"/>
          <w:u w:val="single"/>
        </w:rPr>
        <w:t>自然</w:t>
      </w:r>
      <w:r>
        <w:rPr>
          <w:b/>
          <w:bCs/>
          <w:color w:val="auto"/>
          <w:u w:val="single"/>
        </w:rPr>
        <w:t>日，</w:t>
      </w:r>
      <w:r>
        <w:t>按</w:t>
      </w:r>
      <w:r>
        <w:rPr>
          <w:rFonts w:hint="eastAsia"/>
          <w:b/>
          <w:bCs/>
          <w:u w:val="single"/>
          <w:lang w:val="en-US" w:eastAsia="zh-CN"/>
        </w:rPr>
        <w:t>10000元/天</w:t>
      </w:r>
      <w:r>
        <w:t>向</w:t>
      </w:r>
      <w:r>
        <w:rPr>
          <w:rFonts w:hint="eastAsia"/>
        </w:rPr>
        <w:t>比选人</w:t>
      </w:r>
      <w:r>
        <w:t>支付违约金</w:t>
      </w:r>
      <w:r>
        <w:rPr>
          <w:rFonts w:hint="eastAsia"/>
        </w:rPr>
        <w:t>，</w:t>
      </w:r>
      <w:r>
        <w:rPr>
          <w:rFonts w:hint="eastAsia"/>
          <w:lang w:val="en-US" w:eastAsia="zh-CN"/>
        </w:rPr>
        <w:t>逾期超过</w:t>
      </w:r>
      <w:r>
        <w:rPr>
          <w:rFonts w:hint="eastAsia"/>
          <w:b/>
          <w:bCs/>
          <w:u w:val="single"/>
          <w:lang w:val="en-US" w:eastAsia="zh-CN"/>
        </w:rPr>
        <w:t>20天（节假日除外）</w:t>
      </w:r>
      <w:r>
        <w:rPr>
          <w:rFonts w:hint="eastAsia"/>
          <w:b/>
          <w:bCs/>
          <w:u w:val="none"/>
          <w:lang w:val="en-US" w:eastAsia="zh-CN"/>
        </w:rPr>
        <w:t>，</w:t>
      </w:r>
      <w:r>
        <w:rPr>
          <w:rFonts w:hint="eastAsia"/>
          <w:b w:val="0"/>
          <w:bCs w:val="0"/>
          <w:u w:val="none"/>
          <w:lang w:val="en-US" w:eastAsia="zh-CN"/>
        </w:rPr>
        <w:t>比选人有权解除合同</w:t>
      </w:r>
      <w:r>
        <w:rPr>
          <w:rFonts w:hint="eastAsia"/>
          <w:b/>
          <w:bCs/>
          <w:u w:val="none"/>
          <w:lang w:val="en-US" w:eastAsia="zh-CN"/>
        </w:rPr>
        <w:t>。</w:t>
      </w:r>
      <w:r>
        <w:rPr>
          <w:rFonts w:hint="eastAsia"/>
        </w:rPr>
        <w:t>若因投标人未按时限要求完成审批给比选人造成损失的，比选人有权向投标人进行双倍索赔，并直接将投标人及其关联单位（含法人代表与委托代理人）一并拉入黑名单，不得参与重庆公路养护工程（集团）有限公司所有比选项目报价。</w:t>
      </w:r>
    </w:p>
    <w:p w14:paraId="570B258C">
      <w:pPr>
        <w:pStyle w:val="6"/>
        <w:ind w:firstLine="480" w:firstLineChars="200"/>
        <w:rPr>
          <w:rFonts w:hint="eastAsia" w:eastAsia="宋体"/>
          <w:lang w:eastAsia="zh-CN"/>
        </w:rPr>
      </w:pPr>
      <w:r>
        <w:rPr>
          <w:rFonts w:hint="eastAsia"/>
        </w:rPr>
        <w:t>（3）乙方向甲方</w:t>
      </w:r>
      <w:r>
        <w:t>提交</w:t>
      </w:r>
      <w:r>
        <w:rPr>
          <w:rFonts w:hint="eastAsia"/>
        </w:rPr>
        <w:t>审核通过的各施工单元的交组方案</w:t>
      </w:r>
      <w:r>
        <w:t>1</w:t>
      </w:r>
      <w:r>
        <w:rPr>
          <w:rFonts w:hint="eastAsia"/>
        </w:rPr>
        <w:t>份电子资料，</w:t>
      </w:r>
      <w:r>
        <w:t>3</w:t>
      </w:r>
      <w:r>
        <w:rPr>
          <w:rFonts w:hint="eastAsia"/>
        </w:rPr>
        <w:t>份盖章纸质资料</w:t>
      </w:r>
      <w:r>
        <w:rPr>
          <w:rFonts w:hint="eastAsia"/>
          <w:lang w:eastAsia="zh-CN"/>
        </w:rPr>
        <w:t>。</w:t>
      </w:r>
    </w:p>
    <w:p w14:paraId="72702409">
      <w:pPr>
        <w:spacing w:line="360" w:lineRule="auto"/>
        <w:ind w:firstLine="482"/>
        <w:rPr>
          <w:b/>
        </w:rPr>
      </w:pPr>
      <w:r>
        <w:rPr>
          <w:rFonts w:hint="eastAsia"/>
          <w:b/>
          <w:lang w:val="en-US" w:eastAsia="zh-CN"/>
        </w:rPr>
        <w:t>6</w:t>
      </w:r>
      <w:r>
        <w:rPr>
          <w:rFonts w:hint="eastAsia"/>
          <w:b/>
        </w:rPr>
        <w:t>、工程量清单</w:t>
      </w:r>
    </w:p>
    <w:p w14:paraId="532353EC">
      <w:pPr>
        <w:pStyle w:val="4"/>
        <w:wordWrap/>
        <w:jc w:val="center"/>
      </w:pPr>
      <w:r>
        <w:rPr>
          <w:rFonts w:hint="eastAsia"/>
        </w:rPr>
        <w:t>交通组织咨询服务工程量清单</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92"/>
        <w:gridCol w:w="2601"/>
        <w:gridCol w:w="4150"/>
        <w:gridCol w:w="1226"/>
        <w:gridCol w:w="1185"/>
      </w:tblGrid>
      <w:tr w14:paraId="6B871B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351" w:type="pct"/>
            <w:tcBorders>
              <w:tl2br w:val="nil"/>
              <w:tr2bl w:val="nil"/>
            </w:tcBorders>
            <w:vAlign w:val="center"/>
          </w:tcPr>
          <w:p w14:paraId="0D5758E2">
            <w:pPr>
              <w:wordWrap/>
              <w:topLinePunct w:val="0"/>
              <w:spacing w:line="240" w:lineRule="auto"/>
              <w:ind w:firstLine="0" w:firstLineChars="0"/>
              <w:jc w:val="center"/>
            </w:pPr>
            <w:r>
              <w:t>序号</w:t>
            </w:r>
          </w:p>
        </w:tc>
        <w:tc>
          <w:tcPr>
            <w:tcW w:w="1319" w:type="pct"/>
            <w:tcBorders>
              <w:tl2br w:val="nil"/>
              <w:tr2bl w:val="nil"/>
            </w:tcBorders>
            <w:vAlign w:val="center"/>
          </w:tcPr>
          <w:p w14:paraId="6AF988E7">
            <w:pPr>
              <w:wordWrap/>
              <w:topLinePunct w:val="0"/>
              <w:spacing w:line="240" w:lineRule="auto"/>
              <w:ind w:firstLine="0" w:firstLineChars="0"/>
              <w:jc w:val="center"/>
            </w:pPr>
            <w:r>
              <w:rPr>
                <w:rFonts w:hint="eastAsia"/>
              </w:rPr>
              <w:t>名称</w:t>
            </w:r>
          </w:p>
        </w:tc>
        <w:tc>
          <w:tcPr>
            <w:tcW w:w="2105" w:type="pct"/>
            <w:tcBorders>
              <w:tl2br w:val="nil"/>
              <w:tr2bl w:val="nil"/>
            </w:tcBorders>
            <w:vAlign w:val="center"/>
          </w:tcPr>
          <w:p w14:paraId="0205E59B">
            <w:pPr>
              <w:wordWrap/>
              <w:topLinePunct w:val="0"/>
              <w:spacing w:line="240" w:lineRule="auto"/>
              <w:ind w:firstLine="0" w:firstLineChars="0"/>
              <w:jc w:val="center"/>
            </w:pPr>
            <w:r>
              <w:rPr>
                <w:rFonts w:hint="eastAsia"/>
              </w:rPr>
              <w:t>路段</w:t>
            </w:r>
          </w:p>
        </w:tc>
        <w:tc>
          <w:tcPr>
            <w:tcW w:w="622" w:type="pct"/>
            <w:tcBorders>
              <w:tl2br w:val="nil"/>
              <w:tr2bl w:val="nil"/>
            </w:tcBorders>
            <w:vAlign w:val="center"/>
          </w:tcPr>
          <w:p w14:paraId="37461D23">
            <w:pPr>
              <w:wordWrap/>
              <w:topLinePunct w:val="0"/>
              <w:spacing w:line="240" w:lineRule="auto"/>
              <w:ind w:firstLine="0" w:firstLineChars="0"/>
              <w:jc w:val="center"/>
            </w:pPr>
            <w:r>
              <w:rPr>
                <w:rFonts w:hint="eastAsia"/>
              </w:rPr>
              <w:t>单位</w:t>
            </w:r>
          </w:p>
        </w:tc>
        <w:tc>
          <w:tcPr>
            <w:tcW w:w="601" w:type="pct"/>
            <w:tcBorders>
              <w:tl2br w:val="nil"/>
              <w:tr2bl w:val="nil"/>
            </w:tcBorders>
            <w:vAlign w:val="center"/>
          </w:tcPr>
          <w:p w14:paraId="17D8998B">
            <w:pPr>
              <w:wordWrap/>
              <w:topLinePunct w:val="0"/>
              <w:spacing w:line="240" w:lineRule="auto"/>
              <w:ind w:firstLine="0" w:firstLineChars="0"/>
              <w:jc w:val="center"/>
              <w:rPr>
                <w:rFonts w:hint="eastAsia" w:eastAsia="宋体"/>
                <w:lang w:val="en-US" w:eastAsia="zh-CN"/>
              </w:rPr>
            </w:pPr>
            <w:r>
              <w:rPr>
                <w:rFonts w:hint="eastAsia"/>
                <w:lang w:val="en-US" w:eastAsia="zh-CN"/>
              </w:rPr>
              <w:t>备注</w:t>
            </w:r>
          </w:p>
        </w:tc>
      </w:tr>
      <w:tr w14:paraId="6E8640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51" w:type="pct"/>
            <w:vMerge w:val="restart"/>
            <w:tcBorders>
              <w:tl2br w:val="nil"/>
              <w:tr2bl w:val="nil"/>
            </w:tcBorders>
            <w:vAlign w:val="center"/>
          </w:tcPr>
          <w:p w14:paraId="3927715D">
            <w:pPr>
              <w:wordWrap/>
              <w:topLinePunct w:val="0"/>
              <w:spacing w:line="240" w:lineRule="auto"/>
              <w:ind w:firstLine="0" w:firstLineChars="0"/>
              <w:jc w:val="center"/>
            </w:pPr>
            <w:r>
              <w:t>1</w:t>
            </w:r>
          </w:p>
        </w:tc>
        <w:tc>
          <w:tcPr>
            <w:tcW w:w="1319" w:type="pct"/>
            <w:vMerge w:val="restart"/>
            <w:tcBorders>
              <w:tl2br w:val="nil"/>
              <w:tr2bl w:val="nil"/>
            </w:tcBorders>
            <w:vAlign w:val="center"/>
          </w:tcPr>
          <w:p w14:paraId="3934CA30">
            <w:pPr>
              <w:wordWrap/>
              <w:topLinePunct w:val="0"/>
              <w:spacing w:line="240" w:lineRule="auto"/>
              <w:ind w:firstLine="0" w:firstLineChars="0"/>
              <w:jc w:val="center"/>
            </w:pPr>
            <w:r>
              <w:rPr>
                <w:rFonts w:hint="eastAsia"/>
              </w:rPr>
              <w:t>安全韧性提升项目交</w:t>
            </w:r>
            <w:r>
              <w:rPr>
                <w:rFonts w:hint="eastAsia"/>
                <w:kern w:val="44"/>
              </w:rPr>
              <w:t>通组织</w:t>
            </w:r>
            <w:r>
              <w:rPr>
                <w:rFonts w:hint="eastAsia"/>
              </w:rPr>
              <w:t>咨询服务</w:t>
            </w:r>
          </w:p>
        </w:tc>
        <w:tc>
          <w:tcPr>
            <w:tcW w:w="2105" w:type="pct"/>
            <w:tcBorders>
              <w:tl2br w:val="nil"/>
              <w:tr2bl w:val="nil"/>
            </w:tcBorders>
            <w:vAlign w:val="center"/>
          </w:tcPr>
          <w:p w14:paraId="36450026">
            <w:pPr>
              <w:wordWrap/>
              <w:topLinePunct w:val="0"/>
              <w:spacing w:line="240" w:lineRule="auto"/>
              <w:ind w:firstLine="0" w:firstLineChars="0"/>
              <w:jc w:val="center"/>
              <w:rPr>
                <w:rFonts w:hint="eastAsia" w:ascii="宋体" w:hAnsi="宋体" w:cs="宋体"/>
                <w:bCs/>
              </w:rPr>
            </w:pPr>
            <w:r>
              <w:rPr>
                <w:rFonts w:hint="eastAsia" w:ascii="宋体" w:hAnsi="宋体" w:cs="宋体"/>
                <w:bCs/>
              </w:rPr>
              <w:t>G42沪蓉高速奉节至梁平段</w:t>
            </w:r>
          </w:p>
          <w:p w14:paraId="393D5F44">
            <w:pPr>
              <w:wordWrap/>
              <w:topLinePunct w:val="0"/>
              <w:spacing w:line="240" w:lineRule="auto"/>
              <w:ind w:firstLine="0" w:firstLineChars="0"/>
              <w:jc w:val="center"/>
            </w:pPr>
            <w:r>
              <w:rPr>
                <w:rFonts w:hint="eastAsia" w:ascii="宋体" w:hAnsi="宋体" w:cs="宋体"/>
                <w:bCs/>
              </w:rPr>
              <w:t>（桩号K1341+546～K1574+950）</w:t>
            </w:r>
          </w:p>
        </w:tc>
        <w:tc>
          <w:tcPr>
            <w:tcW w:w="622" w:type="pct"/>
            <w:vMerge w:val="restart"/>
            <w:tcBorders>
              <w:tl2br w:val="nil"/>
              <w:tr2bl w:val="nil"/>
            </w:tcBorders>
            <w:vAlign w:val="center"/>
          </w:tcPr>
          <w:p w14:paraId="027C86A7">
            <w:pPr>
              <w:wordWrap/>
              <w:topLinePunct w:val="0"/>
              <w:spacing w:line="240" w:lineRule="auto"/>
              <w:ind w:firstLine="0" w:firstLineChars="0"/>
              <w:jc w:val="center"/>
              <w:rPr>
                <w:color w:val="000000"/>
              </w:rPr>
            </w:pPr>
            <w:r>
              <w:rPr>
                <w:rFonts w:hint="eastAsia"/>
                <w:color w:val="000000"/>
              </w:rPr>
              <w:t>项</w:t>
            </w:r>
          </w:p>
        </w:tc>
        <w:tc>
          <w:tcPr>
            <w:tcW w:w="601" w:type="pct"/>
            <w:vMerge w:val="restart"/>
            <w:tcBorders>
              <w:tl2br w:val="nil"/>
              <w:tr2bl w:val="nil"/>
            </w:tcBorders>
            <w:vAlign w:val="center"/>
          </w:tcPr>
          <w:p w14:paraId="7E466B10">
            <w:pPr>
              <w:wordWrap/>
              <w:topLinePunct w:val="0"/>
              <w:spacing w:line="240" w:lineRule="auto"/>
              <w:ind w:firstLine="0" w:firstLineChars="0"/>
              <w:jc w:val="center"/>
              <w:rPr>
                <w:color w:val="000000"/>
              </w:rPr>
            </w:pPr>
          </w:p>
        </w:tc>
      </w:tr>
      <w:tr w14:paraId="38008F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51" w:type="pct"/>
            <w:vMerge w:val="continue"/>
            <w:tcBorders>
              <w:tl2br w:val="nil"/>
              <w:tr2bl w:val="nil"/>
            </w:tcBorders>
            <w:vAlign w:val="center"/>
          </w:tcPr>
          <w:p w14:paraId="2F54DBAA">
            <w:pPr>
              <w:wordWrap/>
              <w:topLinePunct w:val="0"/>
              <w:spacing w:line="240" w:lineRule="auto"/>
              <w:ind w:firstLine="0" w:firstLineChars="0"/>
              <w:jc w:val="center"/>
            </w:pPr>
          </w:p>
        </w:tc>
        <w:tc>
          <w:tcPr>
            <w:tcW w:w="1319" w:type="pct"/>
            <w:vMerge w:val="continue"/>
            <w:tcBorders>
              <w:tl2br w:val="nil"/>
              <w:tr2bl w:val="nil"/>
            </w:tcBorders>
            <w:vAlign w:val="center"/>
          </w:tcPr>
          <w:p w14:paraId="657BDC9A">
            <w:pPr>
              <w:wordWrap/>
              <w:topLinePunct w:val="0"/>
              <w:spacing w:line="240" w:lineRule="auto"/>
              <w:ind w:firstLine="0" w:firstLineChars="0"/>
              <w:jc w:val="center"/>
            </w:pPr>
          </w:p>
        </w:tc>
        <w:tc>
          <w:tcPr>
            <w:tcW w:w="2105" w:type="pct"/>
            <w:tcBorders>
              <w:tl2br w:val="nil"/>
              <w:tr2bl w:val="nil"/>
            </w:tcBorders>
            <w:vAlign w:val="center"/>
          </w:tcPr>
          <w:p w14:paraId="0BB9C9F8">
            <w:pPr>
              <w:wordWrap/>
              <w:topLinePunct w:val="0"/>
              <w:spacing w:line="240" w:lineRule="auto"/>
              <w:ind w:firstLine="0" w:firstLineChars="0"/>
              <w:jc w:val="center"/>
              <w:rPr>
                <w:rFonts w:hint="eastAsia" w:ascii="宋体" w:hAnsi="宋体" w:cs="宋体"/>
                <w:bCs/>
              </w:rPr>
            </w:pPr>
            <w:r>
              <w:rPr>
                <w:rFonts w:hint="eastAsia" w:ascii="宋体" w:hAnsi="宋体" w:cs="宋体"/>
                <w:bCs/>
              </w:rPr>
              <w:t>G65包茂高速彭水至酉阳段</w:t>
            </w:r>
          </w:p>
          <w:p w14:paraId="5BCAE399">
            <w:pPr>
              <w:wordWrap/>
              <w:topLinePunct w:val="0"/>
              <w:spacing w:line="240" w:lineRule="auto"/>
              <w:ind w:firstLine="0" w:firstLineChars="0"/>
              <w:jc w:val="center"/>
            </w:pPr>
            <w:r>
              <w:rPr>
                <w:rFonts w:hint="eastAsia" w:ascii="宋体" w:hAnsi="宋体" w:cs="宋体"/>
                <w:bCs/>
              </w:rPr>
              <w:t>（桩号K1743+700～K1931+400）</w:t>
            </w:r>
          </w:p>
        </w:tc>
        <w:tc>
          <w:tcPr>
            <w:tcW w:w="622" w:type="pct"/>
            <w:vMerge w:val="continue"/>
            <w:tcBorders>
              <w:tl2br w:val="nil"/>
              <w:tr2bl w:val="nil"/>
            </w:tcBorders>
            <w:vAlign w:val="center"/>
          </w:tcPr>
          <w:p w14:paraId="118A54C1">
            <w:pPr>
              <w:wordWrap/>
              <w:topLinePunct w:val="0"/>
              <w:spacing w:line="240" w:lineRule="auto"/>
              <w:ind w:firstLine="0" w:firstLineChars="0"/>
              <w:jc w:val="center"/>
              <w:rPr>
                <w:color w:val="000000"/>
              </w:rPr>
            </w:pPr>
          </w:p>
        </w:tc>
        <w:tc>
          <w:tcPr>
            <w:tcW w:w="601" w:type="pct"/>
            <w:vMerge w:val="continue"/>
            <w:tcBorders>
              <w:tl2br w:val="nil"/>
              <w:tr2bl w:val="nil"/>
            </w:tcBorders>
            <w:vAlign w:val="center"/>
          </w:tcPr>
          <w:p w14:paraId="02E2205F">
            <w:pPr>
              <w:wordWrap/>
              <w:topLinePunct w:val="0"/>
              <w:spacing w:line="240" w:lineRule="auto"/>
              <w:ind w:firstLine="0" w:firstLineChars="0"/>
              <w:jc w:val="center"/>
              <w:rPr>
                <w:color w:val="000000"/>
              </w:rPr>
            </w:pPr>
          </w:p>
        </w:tc>
      </w:tr>
    </w:tbl>
    <w:p w14:paraId="087E3024">
      <w:pPr>
        <w:pStyle w:val="4"/>
      </w:pPr>
      <w:r>
        <w:rPr>
          <w:rFonts w:hint="eastAsia"/>
        </w:rPr>
        <w:t>二、竞标人资格要求</w:t>
      </w:r>
    </w:p>
    <w:p w14:paraId="6C0983D5">
      <w:pPr>
        <w:ind w:firstLine="480"/>
      </w:pPr>
      <w:r>
        <w:rPr>
          <w:rFonts w:hint="eastAsia"/>
        </w:rPr>
        <w:t>1、具有独立法人、有效的营业执照</w:t>
      </w:r>
      <w:r>
        <w:rPr>
          <w:rFonts w:hint="eastAsia"/>
          <w:lang w:eastAsia="zh-CN"/>
        </w:rPr>
        <w:t>、</w:t>
      </w:r>
      <w:r>
        <w:rPr>
          <w:rFonts w:hint="eastAsia"/>
        </w:rPr>
        <w:t>银行开户许可证或基本账户信息。</w:t>
      </w:r>
    </w:p>
    <w:p w14:paraId="4A50F978">
      <w:pPr>
        <w:ind w:left="480" w:leftChars="200" w:firstLine="0" w:firstLineChars="0"/>
        <w:rPr>
          <w:color w:val="auto"/>
        </w:rPr>
      </w:pPr>
      <w:r>
        <w:rPr>
          <w:rFonts w:hint="eastAsia"/>
          <w:color w:val="auto"/>
        </w:rPr>
        <w:t>2、资质要求：工程设计</w:t>
      </w:r>
      <w:r>
        <w:rPr>
          <w:rFonts w:hint="eastAsia"/>
          <w:color w:val="auto"/>
          <w:lang w:val="en-US" w:eastAsia="zh-CN"/>
        </w:rPr>
        <w:t>公路行业专业</w:t>
      </w:r>
      <w:r>
        <w:rPr>
          <w:rFonts w:hint="eastAsia"/>
          <w:color w:val="auto"/>
        </w:rPr>
        <w:t>甲级</w:t>
      </w:r>
      <w:r>
        <w:rPr>
          <w:rFonts w:hint="eastAsia"/>
          <w:color w:val="auto"/>
          <w:lang w:val="en-US" w:eastAsia="zh-CN"/>
        </w:rPr>
        <w:t>及以上资质</w:t>
      </w:r>
      <w:r>
        <w:rPr>
          <w:rFonts w:hint="eastAsia"/>
          <w:color w:val="auto"/>
        </w:rPr>
        <w:t>。</w:t>
      </w:r>
    </w:p>
    <w:p w14:paraId="23D08184">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Times New Roman" w:hAnsi="Times New Roman" w:eastAsia="宋体" w:cs="Times New Roman"/>
          <w:kern w:val="2"/>
          <w:sz w:val="24"/>
          <w:szCs w:val="24"/>
          <w:lang w:val="en-US" w:eastAsia="zh-CN" w:bidi="ar-SA"/>
        </w:rPr>
      </w:pPr>
      <w:r>
        <w:rPr>
          <w:rFonts w:hint="eastAsia"/>
        </w:rPr>
        <w:t>3、业绩要求：</w:t>
      </w:r>
      <w:r>
        <w:rPr>
          <w:rFonts w:hint="eastAsia" w:ascii="Times New Roman" w:hAnsi="Times New Roman" w:eastAsia="宋体" w:cs="Times New Roman"/>
          <w:kern w:val="2"/>
          <w:sz w:val="24"/>
          <w:szCs w:val="24"/>
          <w:lang w:val="en-US" w:eastAsia="zh-CN" w:bidi="ar-SA"/>
        </w:rPr>
        <w:t>2022年1月1日至2025年12月31日（以合同签署时间为准），独立完成过1个营运高速公路或改扩建高速公路项目交通组织安全咨询服务类似业绩。</w:t>
      </w:r>
    </w:p>
    <w:p w14:paraId="731D818F">
      <w:pPr>
        <w:spacing w:line="400" w:lineRule="exact"/>
        <w:ind w:firstLine="480"/>
      </w:pPr>
      <w:r>
        <w:rPr>
          <w:rFonts w:hint="eastAsia"/>
        </w:rPr>
        <w:t>4、信誉要求：竞标人在“信用中国”网站（http://www.creditchina.gov.cn）中未被列入失信被执行人名单（黑名单）。</w:t>
      </w:r>
    </w:p>
    <w:p w14:paraId="4E004BC0">
      <w:pPr>
        <w:spacing w:line="400" w:lineRule="exact"/>
        <w:ind w:firstLine="480"/>
        <w:rPr>
          <w:rFonts w:hint="eastAsia" w:eastAsia="宋体"/>
          <w:lang w:eastAsia="zh-CN"/>
        </w:rPr>
      </w:pPr>
      <w:r>
        <w:rPr>
          <w:rFonts w:hint="eastAsia"/>
        </w:rPr>
        <w:t>5、本次竞争性比选</w:t>
      </w:r>
      <w:r>
        <w:rPr>
          <w:rFonts w:hint="eastAsia"/>
          <w:b/>
          <w:bCs/>
          <w:u w:val="single"/>
          <w:lang w:val="en-US" w:eastAsia="zh-CN"/>
        </w:rPr>
        <w:t>不</w:t>
      </w:r>
      <w:r>
        <w:rPr>
          <w:rFonts w:hint="eastAsia"/>
          <w:b/>
          <w:bCs/>
          <w:u w:val="single"/>
        </w:rPr>
        <w:t>接受联合体竞标</w:t>
      </w:r>
      <w:r>
        <w:rPr>
          <w:rFonts w:hint="eastAsia"/>
          <w:lang w:eastAsia="zh-CN"/>
        </w:rPr>
        <w:t>。</w:t>
      </w:r>
    </w:p>
    <w:p w14:paraId="7C66E7E0">
      <w:pPr>
        <w:pStyle w:val="4"/>
      </w:pPr>
      <w:r>
        <w:rPr>
          <w:rFonts w:hint="eastAsia"/>
        </w:rPr>
        <w:t>三、投标文件的相关要求</w:t>
      </w:r>
    </w:p>
    <w:p w14:paraId="12DA887E">
      <w:pPr>
        <w:wordWrap/>
        <w:topLinePunct w:val="0"/>
        <w:spacing w:line="360" w:lineRule="auto"/>
        <w:ind w:firstLine="480"/>
        <w:outlineLvl w:val="0"/>
        <w:rPr>
          <w:szCs w:val="21"/>
        </w:rPr>
      </w:pPr>
      <w:r>
        <w:rPr>
          <w:rFonts w:hint="eastAsia"/>
          <w:szCs w:val="21"/>
        </w:rPr>
        <w:t>1、竞标报价</w:t>
      </w:r>
      <w:r>
        <w:rPr>
          <w:szCs w:val="21"/>
        </w:rPr>
        <w:t>说明</w:t>
      </w:r>
      <w:r>
        <w:rPr>
          <w:rFonts w:hint="eastAsia"/>
          <w:szCs w:val="21"/>
        </w:rPr>
        <w:t>：</w:t>
      </w:r>
    </w:p>
    <w:p w14:paraId="64B31706">
      <w:pPr>
        <w:wordWrap/>
        <w:topLinePunct w:val="0"/>
        <w:spacing w:line="360" w:lineRule="auto"/>
        <w:ind w:firstLine="480"/>
        <w:outlineLvl w:val="0"/>
        <w:rPr>
          <w:szCs w:val="21"/>
        </w:rPr>
      </w:pPr>
      <w:r>
        <w:rPr>
          <w:rFonts w:hint="eastAsia"/>
          <w:szCs w:val="21"/>
        </w:rPr>
        <w:t>（1）竞标报价为</w:t>
      </w:r>
      <w:r>
        <w:rPr>
          <w:rFonts w:hint="eastAsia"/>
          <w:b/>
          <w:bCs/>
          <w:szCs w:val="21"/>
          <w:u w:val="single"/>
        </w:rPr>
        <w:t>全费用固定总价，</w:t>
      </w:r>
      <w:r>
        <w:rPr>
          <w:rFonts w:hint="eastAsia"/>
          <w:szCs w:val="21"/>
        </w:rPr>
        <w:t>竞标人所报总价包括但不限于为完成本次比选的全部工作内容所需的人员工资、车辆使用费、材料费、方案编制费、技术咨询费、方案评审费、安全措施费、保险费、规费、</w:t>
      </w:r>
      <w:r>
        <w:rPr>
          <w:rFonts w:hint="eastAsia"/>
          <w:szCs w:val="21"/>
          <w:lang w:val="en-US" w:eastAsia="zh-CN"/>
        </w:rPr>
        <w:t>税金、</w:t>
      </w:r>
      <w:r>
        <w:rPr>
          <w:rFonts w:hint="eastAsia"/>
          <w:szCs w:val="21"/>
        </w:rPr>
        <w:t>管理费、利润等在内的各种费用以及合同明示或暗示的所有责任、义务和一般风险。</w:t>
      </w:r>
    </w:p>
    <w:p w14:paraId="4587256F">
      <w:pPr>
        <w:wordWrap/>
        <w:topLinePunct w:val="0"/>
        <w:spacing w:line="360" w:lineRule="auto"/>
        <w:ind w:firstLine="480"/>
        <w:outlineLvl w:val="0"/>
        <w:rPr>
          <w:szCs w:val="21"/>
        </w:rPr>
      </w:pPr>
      <w:r>
        <w:rPr>
          <w:rFonts w:hint="eastAsia"/>
          <w:szCs w:val="21"/>
        </w:rPr>
        <w:t>（2）本项目最高总限价为：</w:t>
      </w:r>
      <w:r>
        <w:rPr>
          <w:rFonts w:hint="eastAsia"/>
          <w:b/>
          <w:bCs/>
          <w:color w:val="auto"/>
          <w:szCs w:val="21"/>
          <w:u w:val="single"/>
        </w:rPr>
        <w:t>1500000元（大写：壹佰伍拾万元整）</w:t>
      </w:r>
      <w:r>
        <w:rPr>
          <w:rFonts w:hint="eastAsia"/>
          <w:color w:val="auto"/>
          <w:szCs w:val="21"/>
        </w:rPr>
        <w:t>。</w:t>
      </w:r>
      <w:r>
        <w:rPr>
          <w:rFonts w:hint="eastAsia"/>
          <w:szCs w:val="21"/>
        </w:rPr>
        <w:tab/>
      </w:r>
    </w:p>
    <w:p w14:paraId="6CB3EE82">
      <w:pPr>
        <w:wordWrap/>
        <w:topLinePunct w:val="0"/>
        <w:spacing w:line="360" w:lineRule="auto"/>
        <w:ind w:firstLine="480"/>
        <w:outlineLvl w:val="0"/>
        <w:rPr>
          <w:szCs w:val="21"/>
        </w:rPr>
      </w:pPr>
      <w:r>
        <w:rPr>
          <w:rFonts w:hint="eastAsia"/>
          <w:szCs w:val="21"/>
        </w:rPr>
        <w:t>注：投标人的竞标报价不得超过比选人公布的相应最高限价，否则报价为无效竞标。</w:t>
      </w:r>
    </w:p>
    <w:p w14:paraId="4DD1F39A">
      <w:pPr>
        <w:wordWrap/>
        <w:topLinePunct w:val="0"/>
        <w:spacing w:line="360" w:lineRule="auto"/>
        <w:ind w:firstLine="480"/>
        <w:outlineLvl w:val="0"/>
        <w:rPr>
          <w:szCs w:val="21"/>
        </w:rPr>
      </w:pPr>
      <w:r>
        <w:rPr>
          <w:rFonts w:hint="eastAsia" w:ascii="宋体" w:hAnsi="宋体" w:cs="宋体"/>
          <w:szCs w:val="21"/>
        </w:rPr>
        <w:t>（3）</w:t>
      </w:r>
      <w:bookmarkStart w:id="1" w:name="_GoBack"/>
      <w:bookmarkEnd w:id="1"/>
      <w:r>
        <w:rPr>
          <w:rFonts w:hint="eastAsia" w:ascii="宋体" w:hAnsi="宋体" w:cs="宋体"/>
          <w:szCs w:val="21"/>
        </w:rPr>
        <w:t>竞标人应提供合法有效且符合比选人要求的增值税专用发票。因比选申请人开具的发票不规范、不合法或涉嫌虚开发票引起税务问题的，比选申请人需依法向比选人重新开具发票，并向比选人承担赔偿责任，包括但不限于税款、滞纳金、罚款及相关损失等。</w:t>
      </w:r>
    </w:p>
    <w:p w14:paraId="0A7B36E3">
      <w:pPr>
        <w:pStyle w:val="4"/>
        <w:spacing w:line="360" w:lineRule="auto"/>
        <w:ind w:firstLine="480" w:firstLineChars="200"/>
        <w:rPr>
          <w:b w:val="0"/>
          <w:bCs/>
        </w:rPr>
      </w:pPr>
      <w:r>
        <w:rPr>
          <w:rFonts w:hint="eastAsia"/>
          <w:b w:val="0"/>
          <w:bCs/>
        </w:rPr>
        <w:t>2、本次投标文件的组成</w:t>
      </w:r>
    </w:p>
    <w:p w14:paraId="33F55112">
      <w:pPr>
        <w:wordWrap/>
        <w:topLinePunct w:val="0"/>
        <w:spacing w:line="360" w:lineRule="auto"/>
        <w:ind w:firstLine="482"/>
        <w:rPr>
          <w:rFonts w:hint="eastAsia" w:ascii="宋体" w:hAnsi="宋体" w:cs="宋体"/>
          <w:color w:val="000000"/>
          <w:szCs w:val="21"/>
        </w:rPr>
      </w:pPr>
      <w:r>
        <w:rPr>
          <w:rFonts w:hint="eastAsia" w:ascii="宋体" w:hAnsi="宋体" w:cs="宋体"/>
          <w:b/>
          <w:bCs/>
          <w:szCs w:val="21"/>
        </w:rPr>
        <w:t>按比选文件格式编制。</w:t>
      </w:r>
    </w:p>
    <w:p w14:paraId="6533F8A0">
      <w:pPr>
        <w:wordWrap/>
        <w:topLinePunct w:val="0"/>
        <w:spacing w:line="360" w:lineRule="auto"/>
        <w:ind w:firstLine="482"/>
      </w:pPr>
      <w:r>
        <w:rPr>
          <w:rFonts w:hint="eastAsia"/>
          <w:b/>
          <w:bCs/>
          <w:szCs w:val="21"/>
        </w:rPr>
        <w:t>（注：以上所有文件均须投标人加盖单位公章）</w:t>
      </w:r>
    </w:p>
    <w:p w14:paraId="15D61135">
      <w:pPr>
        <w:wordWrap/>
        <w:topLinePunct w:val="0"/>
        <w:spacing w:line="360" w:lineRule="auto"/>
        <w:ind w:firstLine="480"/>
        <w:rPr>
          <w:szCs w:val="21"/>
        </w:rPr>
      </w:pPr>
      <w:r>
        <w:rPr>
          <w:rFonts w:hint="eastAsia"/>
          <w:szCs w:val="21"/>
        </w:rPr>
        <w:t>3、投标</w:t>
      </w:r>
      <w:r>
        <w:rPr>
          <w:szCs w:val="21"/>
        </w:rPr>
        <w:t>文件的份数及编制要求</w:t>
      </w:r>
      <w:r>
        <w:rPr>
          <w:rFonts w:hint="eastAsia"/>
          <w:szCs w:val="21"/>
        </w:rPr>
        <w:t>：</w:t>
      </w:r>
    </w:p>
    <w:p w14:paraId="505ED420">
      <w:pPr>
        <w:wordWrap/>
        <w:topLinePunct w:val="0"/>
        <w:spacing w:line="360" w:lineRule="auto"/>
        <w:ind w:firstLine="480"/>
      </w:pPr>
      <w:r>
        <w:rPr>
          <w:rFonts w:hint="eastAsia"/>
          <w:szCs w:val="21"/>
        </w:rPr>
        <w:t>递交投标文件</w:t>
      </w:r>
      <w:r>
        <w:rPr>
          <w:rFonts w:hint="eastAsia"/>
          <w:b/>
          <w:bCs/>
          <w:szCs w:val="21"/>
        </w:rPr>
        <w:t>1份</w:t>
      </w:r>
      <w:r>
        <w:rPr>
          <w:rFonts w:hint="eastAsia"/>
          <w:szCs w:val="21"/>
        </w:rPr>
        <w:t>，投标文件按比选文件中规定格式排版并装订成册。应注意填写清楚，文件表述应前后一致。</w:t>
      </w:r>
    </w:p>
    <w:p w14:paraId="60FCC077">
      <w:pPr>
        <w:ind w:firstLine="0" w:firstLineChars="0"/>
        <w:rPr>
          <w:b/>
          <w:bCs/>
        </w:rPr>
      </w:pPr>
      <w:r>
        <w:rPr>
          <w:rFonts w:hint="eastAsia"/>
          <w:b/>
          <w:bCs/>
        </w:rPr>
        <w:t>四、合同相关要求</w:t>
      </w:r>
    </w:p>
    <w:p w14:paraId="5B708433">
      <w:pPr>
        <w:ind w:firstLine="480"/>
      </w:pPr>
      <w:r>
        <w:t>详见《</w:t>
      </w:r>
      <w:r>
        <w:rPr>
          <w:rFonts w:hint="eastAsia"/>
        </w:rPr>
        <w:t>安全韧性提升工程交通组织咨询服务</w:t>
      </w:r>
      <w:r>
        <w:t>合同》。</w:t>
      </w:r>
    </w:p>
    <w:p w14:paraId="068C72BF">
      <w:pPr>
        <w:spacing w:line="360" w:lineRule="auto"/>
        <w:ind w:firstLine="0" w:firstLineChars="0"/>
        <w:rPr>
          <w:rFonts w:hint="eastAsia" w:ascii="宋体" w:hAnsi="宋体" w:cs="宋体"/>
          <w:b/>
          <w:szCs w:val="21"/>
        </w:rPr>
      </w:pPr>
      <w:r>
        <w:rPr>
          <w:rFonts w:hint="eastAsia"/>
          <w:b/>
          <w:bCs/>
        </w:rPr>
        <w:t>五、</w:t>
      </w:r>
      <w:r>
        <w:rPr>
          <w:rFonts w:hint="eastAsia" w:ascii="宋体" w:hAnsi="宋体" w:cs="宋体"/>
          <w:b/>
          <w:szCs w:val="21"/>
        </w:rPr>
        <w:t>评标办法</w:t>
      </w:r>
    </w:p>
    <w:p w14:paraId="551AB12C">
      <w:pPr>
        <w:spacing w:line="360" w:lineRule="auto"/>
        <w:ind w:firstLine="480"/>
        <w:rPr>
          <w:rFonts w:hint="eastAsia" w:ascii="宋体" w:hAnsi="宋体" w:cs="宋体"/>
          <w:b/>
          <w:szCs w:val="21"/>
        </w:rPr>
      </w:pPr>
      <w:r>
        <w:rPr>
          <w:rFonts w:hint="eastAsia" w:ascii="宋体" w:hAnsi="宋体"/>
          <w:bCs/>
          <w:szCs w:val="21"/>
        </w:rPr>
        <w:t>本项目采用</w:t>
      </w:r>
      <w:r>
        <w:rPr>
          <w:rFonts w:hint="eastAsia" w:ascii="宋体" w:hAnsi="宋体"/>
          <w:b/>
          <w:bCs w:val="0"/>
          <w:szCs w:val="21"/>
          <w:u w:val="single"/>
          <w:lang w:val="en-US" w:eastAsia="zh-CN"/>
        </w:rPr>
        <w:t>综合评标法</w:t>
      </w:r>
      <w:r>
        <w:rPr>
          <w:rFonts w:hint="eastAsia"/>
          <w:szCs w:val="21"/>
        </w:rPr>
        <w:t>，在满足比选文件要求的前提下，</w:t>
      </w:r>
      <w:r>
        <w:rPr>
          <w:rFonts w:hint="eastAsia" w:cs="宋体" w:asciiTheme="majorEastAsia" w:hAnsiTheme="majorEastAsia" w:eastAsiaTheme="majorEastAsia"/>
          <w:szCs w:val="21"/>
        </w:rPr>
        <w:t>按最终得分从高至低的顺序进行排序，综合评分相等时，以投标报价低的优先；投标报价也相等的，以技术得分高的优先；如果技术得分也相等，由招标人或其授权的评标委员会自行确定</w:t>
      </w:r>
      <w:r>
        <w:rPr>
          <w:rFonts w:hint="eastAsia"/>
        </w:rPr>
        <w:t>。</w:t>
      </w:r>
      <w:r>
        <w:rPr>
          <w:rFonts w:hint="eastAsia"/>
          <w:b/>
          <w:bCs/>
        </w:rPr>
        <w:t>具体评审标准详见下表：</w:t>
      </w:r>
    </w:p>
    <w:tbl>
      <w:tblPr>
        <w:tblStyle w:val="12"/>
        <w:tblW w:w="9632"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3"/>
        <w:gridCol w:w="1335"/>
        <w:gridCol w:w="2295"/>
        <w:gridCol w:w="5119"/>
      </w:tblGrid>
      <w:tr w14:paraId="15450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 w:hRule="atLeast"/>
        </w:trPr>
        <w:tc>
          <w:tcPr>
            <w:tcW w:w="2218" w:type="dxa"/>
            <w:gridSpan w:val="2"/>
            <w:tcBorders>
              <w:top w:val="single" w:color="auto" w:sz="4" w:space="0"/>
              <w:bottom w:val="single" w:color="auto" w:sz="4" w:space="0"/>
              <w:right w:val="single" w:color="auto" w:sz="4" w:space="0"/>
            </w:tcBorders>
            <w:vAlign w:val="center"/>
          </w:tcPr>
          <w:p w14:paraId="7C0BD021">
            <w:pPr>
              <w:spacing w:line="340" w:lineRule="exact"/>
              <w:ind w:firstLine="0" w:firstLineChars="0"/>
              <w:jc w:val="left"/>
              <w:rPr>
                <w:rFonts w:hint="eastAsia" w:ascii="宋体" w:hAnsi="宋体" w:cs="宋体"/>
                <w:sz w:val="22"/>
                <w:szCs w:val="20"/>
                <w:shd w:val="clear" w:color="auto" w:fill="FFFFFF"/>
              </w:rPr>
            </w:pPr>
            <w:r>
              <w:rPr>
                <w:rFonts w:hint="eastAsia" w:ascii="宋体" w:hAnsi="宋体" w:cs="宋体"/>
                <w:sz w:val="22"/>
                <w:szCs w:val="20"/>
                <w:shd w:val="clear" w:color="auto" w:fill="FFFFFF"/>
              </w:rPr>
              <w:t>条款号</w:t>
            </w:r>
          </w:p>
        </w:tc>
        <w:tc>
          <w:tcPr>
            <w:tcW w:w="2295" w:type="dxa"/>
            <w:tcBorders>
              <w:top w:val="single" w:color="auto" w:sz="4" w:space="0"/>
              <w:left w:val="single" w:color="auto" w:sz="4" w:space="0"/>
              <w:bottom w:val="single" w:color="auto" w:sz="4" w:space="0"/>
              <w:right w:val="single" w:color="auto" w:sz="4" w:space="0"/>
            </w:tcBorders>
            <w:vAlign w:val="center"/>
          </w:tcPr>
          <w:p w14:paraId="6C3C7873">
            <w:pPr>
              <w:spacing w:line="340" w:lineRule="exact"/>
              <w:ind w:firstLine="0" w:firstLineChars="0"/>
              <w:jc w:val="left"/>
              <w:rPr>
                <w:rFonts w:hint="eastAsia" w:ascii="宋体" w:hAnsi="宋体" w:cs="宋体"/>
                <w:sz w:val="22"/>
                <w:szCs w:val="20"/>
                <w:shd w:val="clear" w:color="auto" w:fill="FFFFFF"/>
              </w:rPr>
            </w:pPr>
            <w:r>
              <w:rPr>
                <w:rFonts w:hint="eastAsia" w:ascii="宋体" w:hAnsi="宋体" w:cs="宋体"/>
                <w:sz w:val="22"/>
                <w:szCs w:val="20"/>
                <w:shd w:val="clear" w:color="auto" w:fill="FFFFFF"/>
              </w:rPr>
              <w:t>评审因素</w:t>
            </w:r>
          </w:p>
        </w:tc>
        <w:tc>
          <w:tcPr>
            <w:tcW w:w="5119" w:type="dxa"/>
            <w:tcBorders>
              <w:top w:val="single" w:color="auto" w:sz="4" w:space="0"/>
              <w:left w:val="single" w:color="auto" w:sz="4" w:space="0"/>
              <w:bottom w:val="single" w:color="auto" w:sz="4" w:space="0"/>
              <w:right w:val="single" w:color="auto" w:sz="4" w:space="0"/>
            </w:tcBorders>
            <w:vAlign w:val="center"/>
          </w:tcPr>
          <w:p w14:paraId="66E5B45C">
            <w:pPr>
              <w:spacing w:line="340" w:lineRule="exact"/>
              <w:ind w:firstLine="0" w:firstLineChars="0"/>
              <w:jc w:val="left"/>
              <w:rPr>
                <w:rFonts w:hint="eastAsia" w:ascii="宋体" w:hAnsi="宋体" w:cs="宋体"/>
                <w:sz w:val="22"/>
                <w:szCs w:val="20"/>
                <w:shd w:val="clear" w:color="auto" w:fill="FFFFFF"/>
              </w:rPr>
            </w:pPr>
            <w:r>
              <w:rPr>
                <w:rFonts w:hint="eastAsia" w:ascii="宋体" w:hAnsi="宋体" w:cs="宋体"/>
                <w:sz w:val="22"/>
                <w:szCs w:val="20"/>
                <w:shd w:val="clear" w:color="auto" w:fill="FFFFFF"/>
              </w:rPr>
              <w:t>评审标准</w:t>
            </w:r>
          </w:p>
        </w:tc>
      </w:tr>
      <w:tr w14:paraId="7E192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5" w:hRule="atLeast"/>
        </w:trPr>
        <w:tc>
          <w:tcPr>
            <w:tcW w:w="883" w:type="dxa"/>
            <w:tcBorders>
              <w:top w:val="single" w:color="auto" w:sz="4" w:space="0"/>
              <w:right w:val="single" w:color="auto" w:sz="4" w:space="0"/>
            </w:tcBorders>
            <w:vAlign w:val="center"/>
          </w:tcPr>
          <w:p w14:paraId="14FD9DF6">
            <w:pPr>
              <w:spacing w:line="340" w:lineRule="exact"/>
              <w:ind w:firstLine="30" w:firstLineChars="14"/>
              <w:jc w:val="left"/>
              <w:rPr>
                <w:rFonts w:hint="eastAsia" w:ascii="宋体" w:hAnsi="宋体" w:cs="宋体"/>
                <w:sz w:val="22"/>
                <w:szCs w:val="20"/>
                <w:shd w:val="clear" w:color="auto" w:fill="FFFFFF"/>
              </w:rPr>
            </w:pPr>
            <w:r>
              <w:rPr>
                <w:rFonts w:hint="eastAsia" w:ascii="宋体" w:hAnsi="宋体" w:cs="宋体"/>
                <w:sz w:val="22"/>
                <w:szCs w:val="20"/>
                <w:shd w:val="clear" w:color="auto" w:fill="FFFFFF"/>
              </w:rPr>
              <w:t>1.1</w:t>
            </w:r>
          </w:p>
        </w:tc>
        <w:tc>
          <w:tcPr>
            <w:tcW w:w="1335" w:type="dxa"/>
            <w:tcBorders>
              <w:top w:val="single" w:color="auto" w:sz="4" w:space="0"/>
              <w:right w:val="single" w:color="auto" w:sz="4" w:space="0"/>
            </w:tcBorders>
            <w:vAlign w:val="center"/>
          </w:tcPr>
          <w:p w14:paraId="60A1ABD3">
            <w:pPr>
              <w:spacing w:line="340" w:lineRule="exact"/>
              <w:ind w:firstLine="0" w:firstLineChars="0"/>
              <w:jc w:val="left"/>
              <w:rPr>
                <w:rFonts w:hint="eastAsia" w:ascii="宋体" w:hAnsi="宋体" w:cs="宋体"/>
                <w:sz w:val="22"/>
                <w:szCs w:val="20"/>
                <w:shd w:val="clear" w:color="auto" w:fill="FFFFFF"/>
              </w:rPr>
            </w:pPr>
            <w:r>
              <w:rPr>
                <w:rFonts w:hint="eastAsia" w:ascii="宋体" w:hAnsi="宋体" w:cs="宋体"/>
                <w:sz w:val="22"/>
                <w:szCs w:val="20"/>
                <w:shd w:val="clear" w:color="auto" w:fill="FFFFFF"/>
              </w:rPr>
              <w:t>形式评审标准</w:t>
            </w:r>
          </w:p>
        </w:tc>
        <w:tc>
          <w:tcPr>
            <w:tcW w:w="2295" w:type="dxa"/>
            <w:tcBorders>
              <w:top w:val="single" w:color="auto" w:sz="4" w:space="0"/>
              <w:left w:val="single" w:color="auto" w:sz="4" w:space="0"/>
              <w:bottom w:val="single" w:color="auto" w:sz="4" w:space="0"/>
              <w:right w:val="single" w:color="auto" w:sz="4" w:space="0"/>
            </w:tcBorders>
            <w:vAlign w:val="center"/>
          </w:tcPr>
          <w:p w14:paraId="3549A61A">
            <w:pPr>
              <w:spacing w:line="340" w:lineRule="exact"/>
              <w:ind w:firstLine="0" w:firstLineChars="0"/>
              <w:jc w:val="left"/>
              <w:rPr>
                <w:rFonts w:hint="eastAsia" w:ascii="宋体" w:hAnsi="宋体" w:cs="宋体"/>
                <w:sz w:val="22"/>
                <w:szCs w:val="20"/>
                <w:shd w:val="clear" w:color="auto" w:fill="FFFFFF"/>
              </w:rPr>
            </w:pPr>
            <w:r>
              <w:rPr>
                <w:rFonts w:hint="eastAsia" w:ascii="宋体" w:hAnsi="宋体" w:cs="宋体"/>
                <w:sz w:val="22"/>
                <w:szCs w:val="20"/>
                <w:shd w:val="clear" w:color="auto" w:fill="FFFFFF"/>
              </w:rPr>
              <w:t>签字盖章</w:t>
            </w:r>
          </w:p>
        </w:tc>
        <w:tc>
          <w:tcPr>
            <w:tcW w:w="5119" w:type="dxa"/>
            <w:tcBorders>
              <w:top w:val="single" w:color="auto" w:sz="4" w:space="0"/>
              <w:left w:val="single" w:color="auto" w:sz="4" w:space="0"/>
              <w:bottom w:val="single" w:color="auto" w:sz="4" w:space="0"/>
              <w:right w:val="single" w:color="auto" w:sz="4" w:space="0"/>
            </w:tcBorders>
            <w:vAlign w:val="center"/>
          </w:tcPr>
          <w:p w14:paraId="6576153A">
            <w:pPr>
              <w:spacing w:line="340" w:lineRule="exact"/>
              <w:ind w:firstLine="0" w:firstLineChars="0"/>
              <w:jc w:val="left"/>
              <w:rPr>
                <w:rFonts w:hint="eastAsia" w:ascii="宋体" w:hAnsi="宋体" w:cs="宋体"/>
                <w:sz w:val="22"/>
                <w:szCs w:val="20"/>
                <w:shd w:val="clear" w:color="auto" w:fill="FFFFFF"/>
              </w:rPr>
            </w:pPr>
            <w:r>
              <w:rPr>
                <w:rFonts w:hint="eastAsia" w:ascii="宋体" w:hAnsi="宋体" w:cs="宋体"/>
                <w:sz w:val="22"/>
                <w:szCs w:val="20"/>
                <w:shd w:val="clear" w:color="auto" w:fill="FFFFFF"/>
              </w:rPr>
              <w:t>竞标文件要求竞标人盖章和竞标单位法定代表人签字（或盖章）的地方须齐全。</w:t>
            </w:r>
          </w:p>
        </w:tc>
      </w:tr>
      <w:tr w14:paraId="0BF68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83" w:type="dxa"/>
            <w:vMerge w:val="restart"/>
            <w:tcBorders>
              <w:top w:val="single" w:color="auto" w:sz="4" w:space="0"/>
              <w:right w:val="single" w:color="auto" w:sz="4" w:space="0"/>
            </w:tcBorders>
            <w:vAlign w:val="center"/>
          </w:tcPr>
          <w:p w14:paraId="26F2B89A">
            <w:pPr>
              <w:spacing w:line="340" w:lineRule="exact"/>
              <w:ind w:firstLine="30" w:firstLineChars="14"/>
              <w:jc w:val="left"/>
              <w:rPr>
                <w:rFonts w:hint="eastAsia" w:ascii="宋体" w:hAnsi="宋体" w:cs="宋体"/>
                <w:sz w:val="22"/>
                <w:szCs w:val="20"/>
                <w:shd w:val="clear" w:color="auto" w:fill="FFFFFF"/>
              </w:rPr>
            </w:pPr>
            <w:r>
              <w:rPr>
                <w:rFonts w:hint="eastAsia" w:ascii="宋体" w:hAnsi="宋体" w:cs="宋体"/>
                <w:sz w:val="22"/>
                <w:szCs w:val="20"/>
                <w:shd w:val="clear" w:color="auto" w:fill="FFFFFF"/>
              </w:rPr>
              <w:t>1.2</w:t>
            </w:r>
          </w:p>
        </w:tc>
        <w:tc>
          <w:tcPr>
            <w:tcW w:w="1335" w:type="dxa"/>
            <w:vMerge w:val="restart"/>
            <w:tcBorders>
              <w:top w:val="single" w:color="auto" w:sz="4" w:space="0"/>
              <w:right w:val="single" w:color="auto" w:sz="4" w:space="0"/>
            </w:tcBorders>
            <w:vAlign w:val="center"/>
          </w:tcPr>
          <w:p w14:paraId="48A0BB98">
            <w:pPr>
              <w:spacing w:line="340" w:lineRule="exact"/>
              <w:ind w:firstLine="0" w:firstLineChars="0"/>
              <w:jc w:val="left"/>
              <w:rPr>
                <w:rFonts w:hint="eastAsia" w:ascii="宋体" w:hAnsi="宋体" w:cs="宋体"/>
                <w:sz w:val="22"/>
                <w:szCs w:val="20"/>
                <w:shd w:val="clear" w:color="auto" w:fill="FFFFFF"/>
              </w:rPr>
            </w:pPr>
            <w:r>
              <w:rPr>
                <w:rFonts w:hint="eastAsia" w:ascii="宋体" w:hAnsi="宋体" w:cs="宋体"/>
                <w:sz w:val="22"/>
                <w:szCs w:val="20"/>
                <w:shd w:val="clear" w:color="auto" w:fill="FFFFFF"/>
              </w:rPr>
              <w:t>资格评审标准</w:t>
            </w:r>
          </w:p>
        </w:tc>
        <w:tc>
          <w:tcPr>
            <w:tcW w:w="2295" w:type="dxa"/>
            <w:tcBorders>
              <w:top w:val="single" w:color="auto" w:sz="4" w:space="0"/>
              <w:left w:val="single" w:color="auto" w:sz="4" w:space="0"/>
              <w:bottom w:val="single" w:color="auto" w:sz="4" w:space="0"/>
              <w:right w:val="single" w:color="auto" w:sz="4" w:space="0"/>
            </w:tcBorders>
            <w:vAlign w:val="center"/>
          </w:tcPr>
          <w:p w14:paraId="59499347">
            <w:pPr>
              <w:spacing w:line="340" w:lineRule="exact"/>
              <w:ind w:firstLine="0" w:firstLineChars="0"/>
              <w:jc w:val="left"/>
              <w:rPr>
                <w:rFonts w:hint="eastAsia" w:ascii="宋体" w:hAnsi="宋体" w:cs="宋体"/>
                <w:sz w:val="22"/>
                <w:szCs w:val="20"/>
                <w:shd w:val="clear" w:color="auto" w:fill="FFFFFF"/>
              </w:rPr>
            </w:pPr>
            <w:r>
              <w:rPr>
                <w:rFonts w:hint="eastAsia" w:ascii="宋体" w:hAnsi="宋体" w:cs="宋体"/>
                <w:sz w:val="22"/>
                <w:szCs w:val="20"/>
                <w:shd w:val="clear" w:color="auto" w:fill="FFFFFF"/>
              </w:rPr>
              <w:t>营业执照</w:t>
            </w:r>
          </w:p>
        </w:tc>
        <w:tc>
          <w:tcPr>
            <w:tcW w:w="5119" w:type="dxa"/>
            <w:tcBorders>
              <w:top w:val="single" w:color="auto" w:sz="4" w:space="0"/>
              <w:left w:val="single" w:color="auto" w:sz="4" w:space="0"/>
              <w:bottom w:val="single" w:color="auto" w:sz="4" w:space="0"/>
              <w:right w:val="single" w:color="auto" w:sz="4" w:space="0"/>
            </w:tcBorders>
            <w:vAlign w:val="center"/>
          </w:tcPr>
          <w:p w14:paraId="76A3FB8F">
            <w:pPr>
              <w:spacing w:line="340" w:lineRule="exact"/>
              <w:ind w:firstLine="0" w:firstLineChars="0"/>
              <w:jc w:val="left"/>
              <w:rPr>
                <w:rFonts w:hint="eastAsia" w:ascii="宋体" w:hAnsi="宋体" w:cs="宋体"/>
                <w:sz w:val="22"/>
                <w:szCs w:val="20"/>
                <w:shd w:val="clear" w:color="auto" w:fill="FFFFFF"/>
              </w:rPr>
            </w:pPr>
            <w:r>
              <w:rPr>
                <w:rFonts w:hint="eastAsia" w:ascii="宋体" w:hAnsi="宋体" w:cs="宋体"/>
                <w:sz w:val="22"/>
                <w:szCs w:val="20"/>
                <w:shd w:val="clear" w:color="auto" w:fill="FFFFFF"/>
              </w:rPr>
              <w:t>符合比选文件规定</w:t>
            </w:r>
          </w:p>
        </w:tc>
      </w:tr>
      <w:tr w14:paraId="6A8FA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83" w:type="dxa"/>
            <w:vMerge w:val="continue"/>
            <w:tcBorders>
              <w:right w:val="single" w:color="auto" w:sz="4" w:space="0"/>
            </w:tcBorders>
            <w:vAlign w:val="center"/>
          </w:tcPr>
          <w:p w14:paraId="0B573C9E">
            <w:pPr>
              <w:spacing w:line="340" w:lineRule="exact"/>
              <w:ind w:firstLine="30" w:firstLineChars="14"/>
              <w:jc w:val="left"/>
              <w:rPr>
                <w:rFonts w:hint="eastAsia" w:ascii="宋体" w:hAnsi="宋体" w:cs="宋体"/>
                <w:sz w:val="22"/>
                <w:szCs w:val="20"/>
                <w:shd w:val="clear" w:color="auto" w:fill="FFFFFF"/>
              </w:rPr>
            </w:pPr>
          </w:p>
        </w:tc>
        <w:tc>
          <w:tcPr>
            <w:tcW w:w="1335" w:type="dxa"/>
            <w:vMerge w:val="continue"/>
            <w:tcBorders>
              <w:right w:val="single" w:color="auto" w:sz="4" w:space="0"/>
            </w:tcBorders>
            <w:vAlign w:val="center"/>
          </w:tcPr>
          <w:p w14:paraId="2CBD20D0">
            <w:pPr>
              <w:spacing w:line="340" w:lineRule="exact"/>
              <w:ind w:firstLine="440"/>
              <w:jc w:val="left"/>
              <w:rPr>
                <w:rFonts w:hint="eastAsia" w:ascii="宋体" w:hAnsi="宋体" w:cs="宋体"/>
                <w:sz w:val="22"/>
                <w:szCs w:val="20"/>
                <w:shd w:val="clear" w:color="auto" w:fill="FFFFFF"/>
              </w:rPr>
            </w:pPr>
          </w:p>
        </w:tc>
        <w:tc>
          <w:tcPr>
            <w:tcW w:w="2295" w:type="dxa"/>
            <w:tcBorders>
              <w:top w:val="single" w:color="auto" w:sz="4" w:space="0"/>
              <w:left w:val="single" w:color="auto" w:sz="4" w:space="0"/>
              <w:bottom w:val="single" w:color="auto" w:sz="4" w:space="0"/>
              <w:right w:val="single" w:color="auto" w:sz="4" w:space="0"/>
            </w:tcBorders>
            <w:vAlign w:val="center"/>
          </w:tcPr>
          <w:p w14:paraId="6EA093DE">
            <w:pPr>
              <w:spacing w:line="340" w:lineRule="exact"/>
              <w:ind w:firstLine="0" w:firstLineChars="0"/>
              <w:jc w:val="left"/>
              <w:rPr>
                <w:rFonts w:hint="eastAsia" w:ascii="宋体" w:hAnsi="宋体" w:cs="宋体"/>
                <w:sz w:val="22"/>
                <w:szCs w:val="20"/>
                <w:shd w:val="clear" w:color="auto" w:fill="FFFFFF"/>
              </w:rPr>
            </w:pPr>
            <w:r>
              <w:rPr>
                <w:rFonts w:hint="eastAsia" w:ascii="宋体" w:hAnsi="宋体" w:cs="宋体"/>
                <w:sz w:val="22"/>
                <w:szCs w:val="20"/>
                <w:shd w:val="clear" w:color="auto" w:fill="FFFFFF"/>
              </w:rPr>
              <w:t>资质要求</w:t>
            </w:r>
          </w:p>
        </w:tc>
        <w:tc>
          <w:tcPr>
            <w:tcW w:w="5119" w:type="dxa"/>
            <w:tcBorders>
              <w:top w:val="single" w:color="auto" w:sz="4" w:space="0"/>
              <w:left w:val="single" w:color="auto" w:sz="4" w:space="0"/>
              <w:bottom w:val="single" w:color="auto" w:sz="4" w:space="0"/>
              <w:right w:val="single" w:color="auto" w:sz="4" w:space="0"/>
            </w:tcBorders>
            <w:vAlign w:val="center"/>
          </w:tcPr>
          <w:p w14:paraId="2155905B">
            <w:pPr>
              <w:spacing w:line="340" w:lineRule="exact"/>
              <w:ind w:firstLine="0" w:firstLineChars="0"/>
              <w:jc w:val="left"/>
              <w:rPr>
                <w:rFonts w:hint="eastAsia" w:ascii="宋体" w:hAnsi="宋体" w:cs="宋体"/>
                <w:sz w:val="22"/>
                <w:szCs w:val="20"/>
                <w:shd w:val="clear" w:color="auto" w:fill="FFFFFF"/>
              </w:rPr>
            </w:pPr>
            <w:r>
              <w:rPr>
                <w:rFonts w:hint="eastAsia" w:ascii="宋体" w:hAnsi="宋体" w:cs="宋体"/>
                <w:sz w:val="22"/>
                <w:szCs w:val="20"/>
                <w:shd w:val="clear" w:color="auto" w:fill="FFFFFF"/>
              </w:rPr>
              <w:t>符合比选文件规定</w:t>
            </w:r>
          </w:p>
        </w:tc>
      </w:tr>
      <w:tr w14:paraId="16547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83" w:type="dxa"/>
            <w:vMerge w:val="continue"/>
            <w:tcBorders>
              <w:right w:val="single" w:color="auto" w:sz="4" w:space="0"/>
            </w:tcBorders>
            <w:vAlign w:val="center"/>
          </w:tcPr>
          <w:p w14:paraId="24AC9F2B">
            <w:pPr>
              <w:spacing w:line="340" w:lineRule="exact"/>
              <w:ind w:firstLine="30" w:firstLineChars="14"/>
              <w:jc w:val="left"/>
              <w:rPr>
                <w:rFonts w:hint="eastAsia" w:ascii="宋体" w:hAnsi="宋体" w:cs="宋体"/>
                <w:sz w:val="22"/>
                <w:szCs w:val="20"/>
                <w:shd w:val="clear" w:color="auto" w:fill="FFFFFF"/>
              </w:rPr>
            </w:pPr>
          </w:p>
        </w:tc>
        <w:tc>
          <w:tcPr>
            <w:tcW w:w="1335" w:type="dxa"/>
            <w:vMerge w:val="continue"/>
            <w:tcBorders>
              <w:right w:val="single" w:color="auto" w:sz="4" w:space="0"/>
            </w:tcBorders>
            <w:vAlign w:val="center"/>
          </w:tcPr>
          <w:p w14:paraId="0D62EC72">
            <w:pPr>
              <w:spacing w:line="340" w:lineRule="exact"/>
              <w:ind w:firstLine="440"/>
              <w:jc w:val="left"/>
              <w:rPr>
                <w:rFonts w:hint="eastAsia" w:ascii="宋体" w:hAnsi="宋体" w:cs="宋体"/>
                <w:sz w:val="22"/>
                <w:szCs w:val="20"/>
                <w:shd w:val="clear" w:color="auto" w:fill="FFFFFF"/>
              </w:rPr>
            </w:pPr>
          </w:p>
        </w:tc>
        <w:tc>
          <w:tcPr>
            <w:tcW w:w="2295" w:type="dxa"/>
            <w:tcBorders>
              <w:top w:val="single" w:color="auto" w:sz="4" w:space="0"/>
              <w:left w:val="single" w:color="auto" w:sz="4" w:space="0"/>
              <w:bottom w:val="single" w:color="auto" w:sz="4" w:space="0"/>
              <w:right w:val="single" w:color="auto" w:sz="4" w:space="0"/>
            </w:tcBorders>
            <w:vAlign w:val="center"/>
          </w:tcPr>
          <w:p w14:paraId="27159141">
            <w:pPr>
              <w:spacing w:line="340" w:lineRule="exact"/>
              <w:ind w:firstLine="0" w:firstLineChars="0"/>
              <w:jc w:val="left"/>
              <w:rPr>
                <w:rFonts w:hint="eastAsia" w:ascii="宋体" w:hAnsi="宋体" w:cs="宋体"/>
                <w:sz w:val="22"/>
                <w:szCs w:val="20"/>
                <w:shd w:val="clear" w:color="auto" w:fill="FFFFFF"/>
              </w:rPr>
            </w:pPr>
            <w:r>
              <w:rPr>
                <w:rFonts w:hint="eastAsia" w:ascii="宋体" w:hAnsi="宋体" w:cs="宋体"/>
                <w:sz w:val="22"/>
                <w:szCs w:val="20"/>
                <w:shd w:val="clear" w:color="auto" w:fill="FFFFFF"/>
              </w:rPr>
              <w:t>业绩要求</w:t>
            </w:r>
          </w:p>
        </w:tc>
        <w:tc>
          <w:tcPr>
            <w:tcW w:w="5119" w:type="dxa"/>
            <w:tcBorders>
              <w:top w:val="single" w:color="auto" w:sz="4" w:space="0"/>
              <w:left w:val="single" w:color="auto" w:sz="4" w:space="0"/>
              <w:bottom w:val="single" w:color="auto" w:sz="4" w:space="0"/>
              <w:right w:val="single" w:color="auto" w:sz="4" w:space="0"/>
            </w:tcBorders>
            <w:vAlign w:val="center"/>
          </w:tcPr>
          <w:p w14:paraId="01723B2A">
            <w:pPr>
              <w:spacing w:line="340" w:lineRule="exact"/>
              <w:ind w:firstLine="0" w:firstLineChars="0"/>
              <w:jc w:val="left"/>
              <w:rPr>
                <w:rFonts w:hint="eastAsia" w:ascii="宋体" w:hAnsi="宋体" w:cs="宋体"/>
                <w:sz w:val="22"/>
                <w:szCs w:val="20"/>
                <w:shd w:val="clear" w:color="auto" w:fill="FFFFFF"/>
              </w:rPr>
            </w:pPr>
            <w:r>
              <w:rPr>
                <w:rFonts w:hint="eastAsia" w:ascii="宋体" w:hAnsi="宋体" w:cs="宋体"/>
                <w:sz w:val="22"/>
                <w:szCs w:val="20"/>
                <w:shd w:val="clear" w:color="auto" w:fill="FFFFFF"/>
              </w:rPr>
              <w:t>符合比选文件规定</w:t>
            </w:r>
          </w:p>
        </w:tc>
      </w:tr>
      <w:tr w14:paraId="0CEFC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83" w:type="dxa"/>
            <w:vMerge w:val="continue"/>
            <w:tcBorders>
              <w:bottom w:val="single" w:color="auto" w:sz="4" w:space="0"/>
              <w:right w:val="single" w:color="auto" w:sz="4" w:space="0"/>
            </w:tcBorders>
            <w:vAlign w:val="center"/>
          </w:tcPr>
          <w:p w14:paraId="4186A583">
            <w:pPr>
              <w:spacing w:line="340" w:lineRule="exact"/>
              <w:ind w:firstLine="30" w:firstLineChars="14"/>
              <w:jc w:val="left"/>
              <w:rPr>
                <w:rFonts w:hint="eastAsia" w:ascii="宋体" w:hAnsi="宋体" w:cs="宋体"/>
                <w:sz w:val="22"/>
                <w:szCs w:val="20"/>
                <w:shd w:val="clear" w:color="auto" w:fill="FFFFFF"/>
              </w:rPr>
            </w:pPr>
          </w:p>
        </w:tc>
        <w:tc>
          <w:tcPr>
            <w:tcW w:w="1335" w:type="dxa"/>
            <w:vMerge w:val="continue"/>
            <w:tcBorders>
              <w:bottom w:val="single" w:color="auto" w:sz="4" w:space="0"/>
              <w:right w:val="single" w:color="auto" w:sz="4" w:space="0"/>
            </w:tcBorders>
            <w:vAlign w:val="center"/>
          </w:tcPr>
          <w:p w14:paraId="65886439">
            <w:pPr>
              <w:spacing w:line="340" w:lineRule="exact"/>
              <w:ind w:firstLine="440"/>
              <w:jc w:val="left"/>
              <w:rPr>
                <w:rFonts w:hint="eastAsia" w:ascii="宋体" w:hAnsi="宋体" w:cs="宋体"/>
                <w:sz w:val="22"/>
                <w:szCs w:val="20"/>
                <w:shd w:val="clear" w:color="auto" w:fill="FFFFFF"/>
              </w:rPr>
            </w:pPr>
          </w:p>
        </w:tc>
        <w:tc>
          <w:tcPr>
            <w:tcW w:w="2295" w:type="dxa"/>
            <w:tcBorders>
              <w:top w:val="single" w:color="auto" w:sz="4" w:space="0"/>
              <w:left w:val="single" w:color="auto" w:sz="4" w:space="0"/>
              <w:bottom w:val="single" w:color="auto" w:sz="4" w:space="0"/>
              <w:right w:val="single" w:color="auto" w:sz="4" w:space="0"/>
            </w:tcBorders>
            <w:vAlign w:val="center"/>
          </w:tcPr>
          <w:p w14:paraId="3C79C7C2">
            <w:pPr>
              <w:spacing w:line="340" w:lineRule="exact"/>
              <w:ind w:firstLine="0" w:firstLineChars="0"/>
              <w:jc w:val="left"/>
              <w:rPr>
                <w:rFonts w:hint="eastAsia" w:ascii="宋体" w:hAnsi="宋体" w:cs="宋体"/>
                <w:sz w:val="22"/>
                <w:szCs w:val="20"/>
                <w:shd w:val="clear" w:color="auto" w:fill="FFFFFF"/>
              </w:rPr>
            </w:pPr>
            <w:r>
              <w:rPr>
                <w:rFonts w:hint="eastAsia" w:ascii="宋体" w:hAnsi="宋体" w:cs="宋体"/>
                <w:sz w:val="22"/>
                <w:szCs w:val="20"/>
                <w:shd w:val="clear" w:color="auto" w:fill="FFFFFF"/>
              </w:rPr>
              <w:t>信誉要求</w:t>
            </w:r>
          </w:p>
        </w:tc>
        <w:tc>
          <w:tcPr>
            <w:tcW w:w="5119" w:type="dxa"/>
            <w:tcBorders>
              <w:top w:val="single" w:color="auto" w:sz="4" w:space="0"/>
              <w:left w:val="single" w:color="auto" w:sz="4" w:space="0"/>
              <w:bottom w:val="single" w:color="auto" w:sz="4" w:space="0"/>
              <w:right w:val="single" w:color="auto" w:sz="4" w:space="0"/>
            </w:tcBorders>
            <w:vAlign w:val="center"/>
          </w:tcPr>
          <w:p w14:paraId="26F12A48">
            <w:pPr>
              <w:spacing w:line="340" w:lineRule="exact"/>
              <w:ind w:firstLine="0" w:firstLineChars="0"/>
              <w:jc w:val="left"/>
              <w:rPr>
                <w:rFonts w:hint="eastAsia" w:ascii="宋体" w:hAnsi="宋体" w:cs="宋体"/>
                <w:sz w:val="22"/>
                <w:szCs w:val="20"/>
                <w:shd w:val="clear" w:color="auto" w:fill="FFFFFF"/>
              </w:rPr>
            </w:pPr>
            <w:r>
              <w:rPr>
                <w:rFonts w:hint="eastAsia" w:ascii="宋体" w:hAnsi="宋体" w:cs="宋体"/>
                <w:sz w:val="22"/>
                <w:szCs w:val="20"/>
                <w:shd w:val="clear" w:color="auto" w:fill="FFFFFF"/>
              </w:rPr>
              <w:t>符合比选文件规定</w:t>
            </w:r>
          </w:p>
        </w:tc>
      </w:tr>
      <w:tr w14:paraId="174DA4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83" w:type="dxa"/>
            <w:vMerge w:val="restart"/>
            <w:tcBorders>
              <w:top w:val="single" w:color="auto" w:sz="4" w:space="0"/>
              <w:bottom w:val="single" w:color="auto" w:sz="4" w:space="0"/>
              <w:right w:val="single" w:color="auto" w:sz="4" w:space="0"/>
            </w:tcBorders>
            <w:vAlign w:val="center"/>
          </w:tcPr>
          <w:p w14:paraId="65A2CF7E">
            <w:pPr>
              <w:spacing w:line="340" w:lineRule="exact"/>
              <w:ind w:firstLine="30" w:firstLineChars="14"/>
              <w:jc w:val="left"/>
              <w:rPr>
                <w:rFonts w:hint="eastAsia" w:ascii="宋体" w:hAnsi="宋体" w:cs="宋体"/>
                <w:sz w:val="22"/>
                <w:szCs w:val="20"/>
                <w:shd w:val="clear" w:color="auto" w:fill="FFFFFF"/>
              </w:rPr>
            </w:pPr>
            <w:r>
              <w:rPr>
                <w:rFonts w:hint="eastAsia" w:ascii="宋体" w:hAnsi="宋体" w:cs="宋体"/>
                <w:sz w:val="22"/>
                <w:szCs w:val="20"/>
                <w:shd w:val="clear" w:color="auto" w:fill="FFFFFF"/>
              </w:rPr>
              <w:t>1.3</w:t>
            </w:r>
          </w:p>
        </w:tc>
        <w:tc>
          <w:tcPr>
            <w:tcW w:w="1335" w:type="dxa"/>
            <w:vMerge w:val="restart"/>
            <w:tcBorders>
              <w:top w:val="single" w:color="auto" w:sz="4" w:space="0"/>
              <w:left w:val="single" w:color="auto" w:sz="4" w:space="0"/>
              <w:bottom w:val="single" w:color="auto" w:sz="4" w:space="0"/>
              <w:right w:val="single" w:color="auto" w:sz="4" w:space="0"/>
            </w:tcBorders>
            <w:vAlign w:val="center"/>
          </w:tcPr>
          <w:p w14:paraId="31FF14E7">
            <w:pPr>
              <w:spacing w:line="340" w:lineRule="exact"/>
              <w:ind w:firstLine="0" w:firstLineChars="0"/>
              <w:jc w:val="left"/>
              <w:rPr>
                <w:rFonts w:hint="eastAsia" w:ascii="宋体" w:hAnsi="宋体" w:cs="宋体"/>
                <w:sz w:val="22"/>
                <w:szCs w:val="20"/>
                <w:shd w:val="clear" w:color="auto" w:fill="FFFFFF"/>
              </w:rPr>
            </w:pPr>
            <w:r>
              <w:rPr>
                <w:rFonts w:hint="eastAsia" w:ascii="宋体" w:hAnsi="宋体" w:cs="宋体"/>
                <w:sz w:val="22"/>
                <w:szCs w:val="20"/>
                <w:shd w:val="clear" w:color="auto" w:fill="FFFFFF"/>
              </w:rPr>
              <w:t>响应性评审标准</w:t>
            </w:r>
          </w:p>
        </w:tc>
        <w:tc>
          <w:tcPr>
            <w:tcW w:w="2295" w:type="dxa"/>
            <w:tcBorders>
              <w:top w:val="single" w:color="auto" w:sz="4" w:space="0"/>
              <w:left w:val="single" w:color="auto" w:sz="4" w:space="0"/>
              <w:bottom w:val="single" w:color="auto" w:sz="4" w:space="0"/>
              <w:right w:val="single" w:color="auto" w:sz="4" w:space="0"/>
            </w:tcBorders>
            <w:vAlign w:val="center"/>
          </w:tcPr>
          <w:p w14:paraId="21D1ACA0">
            <w:pPr>
              <w:spacing w:line="340" w:lineRule="exact"/>
              <w:ind w:firstLine="0" w:firstLineChars="0"/>
              <w:jc w:val="left"/>
              <w:rPr>
                <w:rFonts w:hint="eastAsia" w:ascii="宋体" w:hAnsi="宋体" w:cs="宋体"/>
                <w:sz w:val="22"/>
                <w:szCs w:val="20"/>
                <w:shd w:val="clear" w:color="auto" w:fill="FFFFFF"/>
              </w:rPr>
            </w:pPr>
            <w:r>
              <w:rPr>
                <w:rFonts w:hint="eastAsia" w:ascii="宋体" w:hAnsi="宋体" w:cs="宋体"/>
                <w:sz w:val="22"/>
                <w:szCs w:val="20"/>
                <w:shd w:val="clear" w:color="auto" w:fill="FFFFFF"/>
              </w:rPr>
              <w:t>报价要求</w:t>
            </w:r>
          </w:p>
        </w:tc>
        <w:tc>
          <w:tcPr>
            <w:tcW w:w="5119" w:type="dxa"/>
            <w:tcBorders>
              <w:top w:val="single" w:color="auto" w:sz="4" w:space="0"/>
              <w:left w:val="single" w:color="auto" w:sz="4" w:space="0"/>
              <w:bottom w:val="single" w:color="auto" w:sz="4" w:space="0"/>
              <w:right w:val="single" w:color="auto" w:sz="4" w:space="0"/>
            </w:tcBorders>
            <w:vAlign w:val="center"/>
          </w:tcPr>
          <w:p w14:paraId="03D82D47">
            <w:pPr>
              <w:spacing w:line="340" w:lineRule="exact"/>
              <w:ind w:firstLine="0" w:firstLineChars="0"/>
              <w:jc w:val="left"/>
              <w:rPr>
                <w:rFonts w:hint="eastAsia" w:ascii="宋体" w:hAnsi="宋体" w:cs="宋体"/>
                <w:sz w:val="22"/>
                <w:szCs w:val="20"/>
                <w:shd w:val="clear" w:color="auto" w:fill="FFFFFF"/>
              </w:rPr>
            </w:pPr>
            <w:r>
              <w:rPr>
                <w:rFonts w:hint="eastAsia" w:ascii="宋体" w:hAnsi="宋体"/>
                <w:sz w:val="22"/>
                <w:szCs w:val="20"/>
              </w:rPr>
              <w:t>符合比选文件规定</w:t>
            </w:r>
          </w:p>
        </w:tc>
      </w:tr>
      <w:tr w14:paraId="11B6FF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83" w:type="dxa"/>
            <w:vMerge w:val="continue"/>
            <w:tcBorders>
              <w:top w:val="single" w:color="auto" w:sz="4" w:space="0"/>
              <w:bottom w:val="single" w:color="auto" w:sz="4" w:space="0"/>
              <w:right w:val="single" w:color="auto" w:sz="4" w:space="0"/>
            </w:tcBorders>
            <w:vAlign w:val="center"/>
          </w:tcPr>
          <w:p w14:paraId="18A42D6F">
            <w:pPr>
              <w:spacing w:line="340" w:lineRule="exact"/>
              <w:ind w:firstLine="30" w:firstLineChars="14"/>
              <w:jc w:val="left"/>
              <w:rPr>
                <w:rFonts w:hint="eastAsia" w:ascii="宋体" w:hAnsi="宋体" w:cs="宋体"/>
                <w:sz w:val="22"/>
                <w:szCs w:val="20"/>
                <w:shd w:val="clear" w:color="auto" w:fill="FFFFFF"/>
              </w:rPr>
            </w:pPr>
          </w:p>
        </w:tc>
        <w:tc>
          <w:tcPr>
            <w:tcW w:w="1335" w:type="dxa"/>
            <w:vMerge w:val="continue"/>
            <w:tcBorders>
              <w:top w:val="single" w:color="auto" w:sz="4" w:space="0"/>
              <w:left w:val="single" w:color="auto" w:sz="4" w:space="0"/>
              <w:bottom w:val="single" w:color="auto" w:sz="4" w:space="0"/>
              <w:right w:val="single" w:color="auto" w:sz="4" w:space="0"/>
            </w:tcBorders>
            <w:vAlign w:val="center"/>
          </w:tcPr>
          <w:p w14:paraId="6D6FB58B">
            <w:pPr>
              <w:spacing w:line="340" w:lineRule="exact"/>
              <w:ind w:firstLine="0" w:firstLineChars="0"/>
              <w:jc w:val="left"/>
              <w:rPr>
                <w:rFonts w:hint="eastAsia" w:ascii="宋体" w:hAnsi="宋体" w:cs="宋体"/>
                <w:sz w:val="22"/>
                <w:szCs w:val="20"/>
                <w:shd w:val="clear" w:color="auto" w:fill="FFFFFF"/>
              </w:rPr>
            </w:pPr>
          </w:p>
        </w:tc>
        <w:tc>
          <w:tcPr>
            <w:tcW w:w="2295" w:type="dxa"/>
            <w:tcBorders>
              <w:top w:val="single" w:color="auto" w:sz="4" w:space="0"/>
              <w:left w:val="single" w:color="auto" w:sz="4" w:space="0"/>
              <w:bottom w:val="single" w:color="auto" w:sz="4" w:space="0"/>
              <w:right w:val="single" w:color="auto" w:sz="4" w:space="0"/>
            </w:tcBorders>
            <w:vAlign w:val="center"/>
          </w:tcPr>
          <w:p w14:paraId="71947481">
            <w:pPr>
              <w:spacing w:line="340" w:lineRule="exact"/>
              <w:ind w:firstLine="0" w:firstLineChars="0"/>
              <w:jc w:val="left"/>
              <w:rPr>
                <w:rFonts w:hint="eastAsia" w:ascii="宋体" w:hAnsi="宋体"/>
                <w:sz w:val="22"/>
                <w:szCs w:val="20"/>
              </w:rPr>
            </w:pPr>
            <w:r>
              <w:rPr>
                <w:rFonts w:hint="eastAsia" w:ascii="宋体" w:hAnsi="宋体"/>
                <w:sz w:val="22"/>
                <w:szCs w:val="20"/>
              </w:rPr>
              <w:t>投标保证金</w:t>
            </w:r>
          </w:p>
        </w:tc>
        <w:tc>
          <w:tcPr>
            <w:tcW w:w="5119" w:type="dxa"/>
            <w:tcBorders>
              <w:top w:val="single" w:color="auto" w:sz="4" w:space="0"/>
              <w:left w:val="single" w:color="auto" w:sz="4" w:space="0"/>
              <w:bottom w:val="single" w:color="auto" w:sz="4" w:space="0"/>
              <w:right w:val="single" w:color="auto" w:sz="4" w:space="0"/>
            </w:tcBorders>
            <w:vAlign w:val="center"/>
          </w:tcPr>
          <w:p w14:paraId="67465EFD">
            <w:pPr>
              <w:spacing w:line="340" w:lineRule="exact"/>
              <w:ind w:firstLine="0" w:firstLineChars="0"/>
              <w:jc w:val="left"/>
              <w:rPr>
                <w:rFonts w:hint="eastAsia" w:ascii="宋体" w:hAnsi="宋体"/>
                <w:sz w:val="22"/>
                <w:szCs w:val="20"/>
              </w:rPr>
            </w:pPr>
            <w:r>
              <w:rPr>
                <w:rFonts w:hint="eastAsia" w:ascii="宋体" w:hAnsi="宋体"/>
                <w:sz w:val="22"/>
                <w:szCs w:val="20"/>
              </w:rPr>
              <w:t>符合比选文件规定</w:t>
            </w:r>
          </w:p>
        </w:tc>
      </w:tr>
      <w:tr w14:paraId="09EE5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9632" w:type="dxa"/>
            <w:gridSpan w:val="4"/>
            <w:tcBorders>
              <w:top w:val="single" w:color="auto" w:sz="4" w:space="0"/>
              <w:bottom w:val="single" w:color="auto" w:sz="4" w:space="0"/>
              <w:right w:val="single" w:color="auto" w:sz="4" w:space="0"/>
            </w:tcBorders>
            <w:vAlign w:val="center"/>
          </w:tcPr>
          <w:p w14:paraId="3A7F42E3">
            <w:pPr>
              <w:spacing w:line="340" w:lineRule="exact"/>
              <w:ind w:firstLine="0" w:firstLineChars="0"/>
              <w:jc w:val="left"/>
              <w:rPr>
                <w:rFonts w:hint="eastAsia" w:ascii="宋体" w:hAnsi="宋体"/>
                <w:sz w:val="22"/>
                <w:szCs w:val="20"/>
              </w:rPr>
            </w:pPr>
            <w:r>
              <w:rPr>
                <w:rFonts w:hint="eastAsia" w:ascii="宋体" w:hAnsi="宋体" w:cs="宋体"/>
                <w:sz w:val="22"/>
                <w:szCs w:val="20"/>
                <w:shd w:val="clear" w:color="auto" w:fill="FFFFFF"/>
              </w:rPr>
              <w:t>注：条款1.1、1.2、1.3均为强制性要求，竞标人如不满足，按否决</w:t>
            </w:r>
            <w:r>
              <w:rPr>
                <w:rFonts w:hint="eastAsia"/>
                <w:b/>
                <w:sz w:val="22"/>
                <w:szCs w:val="20"/>
              </w:rPr>
              <w:t>竞标</w:t>
            </w:r>
            <w:r>
              <w:rPr>
                <w:rFonts w:hint="eastAsia" w:ascii="宋体" w:hAnsi="宋体" w:cs="宋体"/>
                <w:sz w:val="22"/>
                <w:szCs w:val="20"/>
                <w:shd w:val="clear" w:color="auto" w:fill="FFFFFF"/>
              </w:rPr>
              <w:t>处理。</w:t>
            </w:r>
          </w:p>
        </w:tc>
      </w:tr>
      <w:tr w14:paraId="2D705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2218" w:type="dxa"/>
            <w:gridSpan w:val="2"/>
            <w:tcBorders>
              <w:top w:val="single" w:color="auto" w:sz="4" w:space="0"/>
              <w:bottom w:val="single" w:color="auto" w:sz="4" w:space="0"/>
              <w:right w:val="single" w:color="auto" w:sz="4" w:space="0"/>
            </w:tcBorders>
            <w:vAlign w:val="center"/>
          </w:tcPr>
          <w:p w14:paraId="45D561B5">
            <w:pPr>
              <w:spacing w:line="340" w:lineRule="exact"/>
              <w:ind w:firstLine="0" w:firstLineChars="0"/>
              <w:jc w:val="left"/>
              <w:rPr>
                <w:rFonts w:hint="eastAsia" w:ascii="宋体" w:hAnsi="宋体" w:eastAsia="宋体" w:cs="宋体"/>
                <w:b/>
                <w:bCs/>
                <w:sz w:val="22"/>
                <w:szCs w:val="20"/>
                <w:shd w:val="clear" w:color="auto" w:fill="FFFFFF"/>
                <w:lang w:val="en-US" w:eastAsia="zh-CN"/>
              </w:rPr>
            </w:pPr>
            <w:r>
              <w:rPr>
                <w:rFonts w:hint="eastAsia" w:ascii="宋体" w:hAnsi="宋体" w:cs="宋体"/>
                <w:b/>
                <w:bCs/>
                <w:sz w:val="22"/>
                <w:szCs w:val="20"/>
                <w:shd w:val="clear" w:color="auto" w:fill="FFFFFF"/>
                <w:lang w:val="en-US" w:eastAsia="zh-CN"/>
              </w:rPr>
              <w:t>条款号</w:t>
            </w:r>
          </w:p>
        </w:tc>
        <w:tc>
          <w:tcPr>
            <w:tcW w:w="2295" w:type="dxa"/>
            <w:tcBorders>
              <w:top w:val="single" w:color="auto" w:sz="4" w:space="0"/>
              <w:left w:val="single" w:color="auto" w:sz="4" w:space="0"/>
              <w:bottom w:val="single" w:color="auto" w:sz="4" w:space="0"/>
              <w:right w:val="single" w:color="auto" w:sz="4" w:space="0"/>
            </w:tcBorders>
            <w:vAlign w:val="center"/>
          </w:tcPr>
          <w:p w14:paraId="7D24183A">
            <w:pPr>
              <w:spacing w:line="340" w:lineRule="exact"/>
              <w:ind w:firstLine="0" w:firstLineChars="0"/>
              <w:jc w:val="left"/>
              <w:rPr>
                <w:rFonts w:hint="default" w:ascii="宋体" w:hAnsi="宋体" w:eastAsia="宋体"/>
                <w:b/>
                <w:bCs/>
                <w:sz w:val="22"/>
                <w:szCs w:val="20"/>
                <w:lang w:val="en-US" w:eastAsia="zh-CN"/>
              </w:rPr>
            </w:pPr>
            <w:r>
              <w:rPr>
                <w:rFonts w:hint="eastAsia" w:ascii="宋体" w:hAnsi="宋体"/>
                <w:b/>
                <w:bCs/>
                <w:sz w:val="22"/>
                <w:szCs w:val="20"/>
                <w:lang w:val="en-US" w:eastAsia="zh-CN"/>
              </w:rPr>
              <w:t>条款内容</w:t>
            </w:r>
          </w:p>
        </w:tc>
        <w:tc>
          <w:tcPr>
            <w:tcW w:w="5119" w:type="dxa"/>
            <w:tcBorders>
              <w:top w:val="single" w:color="auto" w:sz="4" w:space="0"/>
              <w:left w:val="single" w:color="auto" w:sz="4" w:space="0"/>
              <w:bottom w:val="single" w:color="auto" w:sz="4" w:space="0"/>
              <w:right w:val="single" w:color="auto" w:sz="4" w:space="0"/>
            </w:tcBorders>
            <w:vAlign w:val="center"/>
          </w:tcPr>
          <w:p w14:paraId="08220C6C">
            <w:pPr>
              <w:spacing w:line="340" w:lineRule="exact"/>
              <w:ind w:firstLine="0" w:firstLineChars="0"/>
              <w:jc w:val="left"/>
              <w:rPr>
                <w:rFonts w:hint="default" w:ascii="宋体" w:hAnsi="宋体" w:eastAsia="宋体"/>
                <w:b/>
                <w:bCs/>
                <w:sz w:val="22"/>
                <w:szCs w:val="20"/>
                <w:lang w:val="en-US" w:eastAsia="zh-CN"/>
              </w:rPr>
            </w:pPr>
            <w:r>
              <w:rPr>
                <w:rFonts w:hint="eastAsia" w:ascii="宋体" w:hAnsi="宋体"/>
                <w:b/>
                <w:bCs/>
                <w:sz w:val="22"/>
                <w:szCs w:val="20"/>
                <w:lang w:val="en-US" w:eastAsia="zh-CN"/>
              </w:rPr>
              <w:t>编列内容</w:t>
            </w:r>
          </w:p>
        </w:tc>
      </w:tr>
      <w:tr w14:paraId="0DA445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2218" w:type="dxa"/>
            <w:gridSpan w:val="2"/>
            <w:tcBorders>
              <w:top w:val="single" w:color="auto" w:sz="4" w:space="0"/>
              <w:bottom w:val="single" w:color="auto" w:sz="4" w:space="0"/>
              <w:right w:val="single" w:color="auto" w:sz="4" w:space="0"/>
            </w:tcBorders>
            <w:vAlign w:val="center"/>
          </w:tcPr>
          <w:p w14:paraId="7523685E">
            <w:pPr>
              <w:spacing w:line="340" w:lineRule="exact"/>
              <w:ind w:firstLine="0" w:firstLineChars="0"/>
              <w:jc w:val="left"/>
              <w:rPr>
                <w:rFonts w:hint="default" w:ascii="宋体" w:hAnsi="宋体" w:eastAsia="宋体" w:cs="宋体"/>
                <w:sz w:val="22"/>
                <w:szCs w:val="22"/>
                <w:shd w:val="clear" w:color="auto" w:fill="FFFFFF"/>
                <w:lang w:val="en-US" w:eastAsia="zh-CN"/>
              </w:rPr>
            </w:pPr>
            <w:r>
              <w:rPr>
                <w:rFonts w:hint="eastAsia" w:ascii="宋体" w:hAnsi="宋体" w:cs="宋体"/>
                <w:sz w:val="22"/>
                <w:szCs w:val="22"/>
                <w:shd w:val="clear" w:color="auto" w:fill="FFFFFF"/>
                <w:lang w:val="en-US" w:eastAsia="zh-CN"/>
              </w:rPr>
              <w:t>2.1</w:t>
            </w:r>
          </w:p>
        </w:tc>
        <w:tc>
          <w:tcPr>
            <w:tcW w:w="2295" w:type="dxa"/>
            <w:tcBorders>
              <w:top w:val="single" w:color="auto" w:sz="4" w:space="0"/>
              <w:left w:val="single" w:color="auto" w:sz="4" w:space="0"/>
              <w:bottom w:val="single" w:color="auto" w:sz="4" w:space="0"/>
              <w:right w:val="single" w:color="auto" w:sz="4" w:space="0"/>
            </w:tcBorders>
            <w:vAlign w:val="center"/>
          </w:tcPr>
          <w:p w14:paraId="2C9E1D9E">
            <w:pPr>
              <w:kinsoku w:val="0"/>
              <w:overflowPunct w:val="0"/>
              <w:autoSpaceDE w:val="0"/>
              <w:autoSpaceDN w:val="0"/>
              <w:adjustRightInd w:val="0"/>
              <w:snapToGrid w:val="0"/>
              <w:ind w:left="0" w:leftChars="0" w:firstLine="0" w:firstLineChars="0"/>
              <w:jc w:val="left"/>
              <w:rPr>
                <w:rFonts w:hint="eastAsia"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分值构成</w:t>
            </w:r>
          </w:p>
          <w:p w14:paraId="707BD6EC">
            <w:pPr>
              <w:spacing w:line="340" w:lineRule="exact"/>
              <w:ind w:firstLine="0" w:firstLineChars="0"/>
              <w:jc w:val="left"/>
              <w:rPr>
                <w:rFonts w:hint="eastAsia" w:ascii="宋体" w:hAnsi="宋体"/>
                <w:sz w:val="22"/>
                <w:szCs w:val="22"/>
              </w:rPr>
            </w:pPr>
            <w:r>
              <w:rPr>
                <w:rFonts w:cs="宋体" w:asciiTheme="majorEastAsia" w:hAnsiTheme="majorEastAsia" w:eastAsiaTheme="majorEastAsia"/>
                <w:kern w:val="0"/>
                <w:sz w:val="22"/>
                <w:szCs w:val="22"/>
              </w:rPr>
              <w:t>(</w:t>
            </w:r>
            <w:r>
              <w:rPr>
                <w:rFonts w:hint="eastAsia" w:cs="宋体" w:asciiTheme="majorEastAsia" w:hAnsiTheme="majorEastAsia" w:eastAsiaTheme="majorEastAsia"/>
                <w:kern w:val="0"/>
                <w:sz w:val="22"/>
                <w:szCs w:val="22"/>
              </w:rPr>
              <w:t>总分</w:t>
            </w:r>
            <w:r>
              <w:rPr>
                <w:rFonts w:cs="宋体" w:asciiTheme="majorEastAsia" w:hAnsiTheme="majorEastAsia" w:eastAsiaTheme="majorEastAsia"/>
                <w:kern w:val="0"/>
                <w:sz w:val="22"/>
                <w:szCs w:val="22"/>
              </w:rPr>
              <w:t>100</w:t>
            </w:r>
            <w:r>
              <w:rPr>
                <w:rFonts w:hint="eastAsia" w:cs="宋体" w:asciiTheme="majorEastAsia" w:hAnsiTheme="majorEastAsia" w:eastAsiaTheme="majorEastAsia"/>
                <w:kern w:val="0"/>
                <w:sz w:val="22"/>
                <w:szCs w:val="22"/>
              </w:rPr>
              <w:t>分</w:t>
            </w:r>
            <w:r>
              <w:rPr>
                <w:rFonts w:cs="宋体" w:asciiTheme="majorEastAsia" w:hAnsiTheme="majorEastAsia" w:eastAsiaTheme="majorEastAsia"/>
                <w:kern w:val="0"/>
                <w:sz w:val="22"/>
                <w:szCs w:val="22"/>
              </w:rPr>
              <w:t>)</w:t>
            </w:r>
          </w:p>
        </w:tc>
        <w:tc>
          <w:tcPr>
            <w:tcW w:w="5119" w:type="dxa"/>
            <w:tcBorders>
              <w:top w:val="single" w:color="auto" w:sz="4" w:space="0"/>
              <w:left w:val="single" w:color="auto" w:sz="4" w:space="0"/>
              <w:bottom w:val="single" w:color="auto" w:sz="4" w:space="0"/>
              <w:right w:val="single" w:color="auto" w:sz="4" w:space="0"/>
            </w:tcBorders>
            <w:vAlign w:val="center"/>
          </w:tcPr>
          <w:p w14:paraId="3558BBF1">
            <w:pPr>
              <w:kinsoku w:val="0"/>
              <w:overflowPunct w:val="0"/>
              <w:autoSpaceDE w:val="0"/>
              <w:autoSpaceDN w:val="0"/>
              <w:adjustRightInd w:val="0"/>
              <w:snapToGrid w:val="0"/>
              <w:spacing w:line="240" w:lineRule="auto"/>
              <w:ind w:left="0" w:leftChars="0" w:firstLine="0" w:firstLineChars="0"/>
              <w:jc w:val="left"/>
              <w:rPr>
                <w:rFonts w:hint="eastAsia" w:cs="宋体" w:asciiTheme="majorEastAsia" w:hAnsiTheme="majorEastAsia" w:eastAsiaTheme="majorEastAsia"/>
                <w:kern w:val="0"/>
                <w:sz w:val="22"/>
                <w:szCs w:val="22"/>
                <w:highlight w:val="none"/>
              </w:rPr>
            </w:pPr>
            <w:r>
              <w:rPr>
                <w:rFonts w:hint="eastAsia" w:cs="宋体" w:asciiTheme="majorEastAsia" w:hAnsiTheme="majorEastAsia" w:eastAsiaTheme="majorEastAsia"/>
                <w:kern w:val="0"/>
                <w:sz w:val="22"/>
                <w:szCs w:val="22"/>
                <w:highlight w:val="none"/>
              </w:rPr>
              <w:t>商务部分：</w:t>
            </w:r>
            <w:r>
              <w:rPr>
                <w:rFonts w:hint="eastAsia" w:cs="宋体" w:asciiTheme="majorEastAsia" w:hAnsiTheme="majorEastAsia" w:eastAsiaTheme="majorEastAsia"/>
                <w:b/>
                <w:bCs/>
                <w:kern w:val="0"/>
                <w:sz w:val="22"/>
                <w:szCs w:val="22"/>
                <w:highlight w:val="none"/>
                <w:u w:val="single"/>
              </w:rPr>
              <w:t xml:space="preserve"> </w:t>
            </w:r>
            <w:r>
              <w:rPr>
                <w:rFonts w:cs="宋体" w:asciiTheme="majorEastAsia" w:hAnsiTheme="majorEastAsia" w:eastAsiaTheme="majorEastAsia"/>
                <w:b/>
                <w:bCs/>
                <w:kern w:val="0"/>
                <w:sz w:val="22"/>
                <w:szCs w:val="22"/>
                <w:highlight w:val="none"/>
                <w:u w:val="single"/>
              </w:rPr>
              <w:t xml:space="preserve">10 </w:t>
            </w:r>
            <w:r>
              <w:rPr>
                <w:rFonts w:hint="eastAsia" w:cs="宋体" w:asciiTheme="majorEastAsia" w:hAnsiTheme="majorEastAsia" w:eastAsiaTheme="majorEastAsia"/>
                <w:b/>
                <w:bCs/>
                <w:kern w:val="0"/>
                <w:sz w:val="22"/>
                <w:szCs w:val="22"/>
                <w:highlight w:val="none"/>
              </w:rPr>
              <w:t>分</w:t>
            </w:r>
          </w:p>
          <w:p w14:paraId="64D4A564">
            <w:pPr>
              <w:kinsoku w:val="0"/>
              <w:overflowPunct w:val="0"/>
              <w:autoSpaceDE w:val="0"/>
              <w:autoSpaceDN w:val="0"/>
              <w:adjustRightInd w:val="0"/>
              <w:snapToGrid w:val="0"/>
              <w:spacing w:line="240" w:lineRule="auto"/>
              <w:ind w:left="0" w:leftChars="0" w:firstLine="0" w:firstLineChars="0"/>
              <w:jc w:val="left"/>
              <w:rPr>
                <w:rFonts w:hint="eastAsia" w:cs="宋体" w:asciiTheme="majorEastAsia" w:hAnsiTheme="majorEastAsia" w:eastAsiaTheme="majorEastAsia"/>
                <w:kern w:val="0"/>
                <w:sz w:val="22"/>
                <w:szCs w:val="22"/>
                <w:highlight w:val="none"/>
              </w:rPr>
            </w:pPr>
            <w:r>
              <w:rPr>
                <w:rFonts w:hint="eastAsia" w:cs="宋体" w:asciiTheme="majorEastAsia" w:hAnsiTheme="majorEastAsia" w:eastAsiaTheme="majorEastAsia"/>
                <w:kern w:val="0"/>
                <w:sz w:val="22"/>
                <w:szCs w:val="22"/>
                <w:highlight w:val="none"/>
              </w:rPr>
              <w:t>技术部分：</w:t>
            </w:r>
            <w:r>
              <w:rPr>
                <w:rFonts w:hint="eastAsia" w:cs="宋体" w:asciiTheme="majorEastAsia" w:hAnsiTheme="majorEastAsia" w:eastAsiaTheme="majorEastAsia"/>
                <w:b/>
                <w:bCs/>
                <w:kern w:val="0"/>
                <w:sz w:val="22"/>
                <w:szCs w:val="22"/>
                <w:highlight w:val="none"/>
                <w:u w:val="single"/>
              </w:rPr>
              <w:t xml:space="preserve"> </w:t>
            </w:r>
            <w:r>
              <w:rPr>
                <w:rFonts w:cs="宋体" w:asciiTheme="majorEastAsia" w:hAnsiTheme="majorEastAsia" w:eastAsiaTheme="majorEastAsia"/>
                <w:b/>
                <w:bCs/>
                <w:kern w:val="0"/>
                <w:sz w:val="22"/>
                <w:szCs w:val="22"/>
                <w:highlight w:val="none"/>
                <w:u w:val="single"/>
              </w:rPr>
              <w:t xml:space="preserve">20 </w:t>
            </w:r>
            <w:r>
              <w:rPr>
                <w:rFonts w:hint="eastAsia" w:cs="宋体" w:asciiTheme="majorEastAsia" w:hAnsiTheme="majorEastAsia" w:eastAsiaTheme="majorEastAsia"/>
                <w:b/>
                <w:bCs/>
                <w:kern w:val="0"/>
                <w:sz w:val="22"/>
                <w:szCs w:val="22"/>
                <w:highlight w:val="none"/>
              </w:rPr>
              <w:t>分</w:t>
            </w:r>
          </w:p>
          <w:p w14:paraId="4BB1D831">
            <w:pPr>
              <w:spacing w:line="240" w:lineRule="auto"/>
              <w:ind w:firstLine="0" w:firstLineChars="0"/>
              <w:jc w:val="left"/>
              <w:rPr>
                <w:rFonts w:hint="eastAsia" w:ascii="宋体" w:hAnsi="宋体"/>
                <w:sz w:val="22"/>
                <w:szCs w:val="22"/>
              </w:rPr>
            </w:pPr>
            <w:r>
              <w:rPr>
                <w:rFonts w:hint="eastAsia" w:cs="宋体" w:asciiTheme="majorEastAsia" w:hAnsiTheme="majorEastAsia" w:eastAsiaTheme="majorEastAsia"/>
                <w:kern w:val="0"/>
                <w:sz w:val="22"/>
                <w:szCs w:val="22"/>
                <w:highlight w:val="none"/>
              </w:rPr>
              <w:t>投标报价：</w:t>
            </w:r>
            <w:r>
              <w:rPr>
                <w:rFonts w:hint="eastAsia" w:cs="宋体" w:asciiTheme="majorEastAsia" w:hAnsiTheme="majorEastAsia" w:eastAsiaTheme="majorEastAsia"/>
                <w:b/>
                <w:bCs/>
                <w:kern w:val="0"/>
                <w:sz w:val="22"/>
                <w:szCs w:val="22"/>
                <w:highlight w:val="none"/>
                <w:u w:val="single"/>
              </w:rPr>
              <w:t xml:space="preserve"> </w:t>
            </w:r>
            <w:r>
              <w:rPr>
                <w:rFonts w:cs="宋体" w:asciiTheme="majorEastAsia" w:hAnsiTheme="majorEastAsia" w:eastAsiaTheme="majorEastAsia"/>
                <w:b/>
                <w:bCs/>
                <w:kern w:val="0"/>
                <w:sz w:val="22"/>
                <w:szCs w:val="22"/>
                <w:highlight w:val="none"/>
                <w:u w:val="single"/>
              </w:rPr>
              <w:t xml:space="preserve">70 </w:t>
            </w:r>
            <w:r>
              <w:rPr>
                <w:rFonts w:hint="eastAsia" w:cs="宋体" w:asciiTheme="majorEastAsia" w:hAnsiTheme="majorEastAsia" w:eastAsiaTheme="majorEastAsia"/>
                <w:b/>
                <w:bCs/>
                <w:kern w:val="0"/>
                <w:sz w:val="22"/>
                <w:szCs w:val="22"/>
                <w:highlight w:val="none"/>
              </w:rPr>
              <w:t>分</w:t>
            </w:r>
          </w:p>
        </w:tc>
      </w:tr>
      <w:tr w14:paraId="571148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2218" w:type="dxa"/>
            <w:gridSpan w:val="2"/>
            <w:tcBorders>
              <w:top w:val="single" w:color="auto" w:sz="4" w:space="0"/>
              <w:bottom w:val="single" w:color="auto" w:sz="4" w:space="0"/>
              <w:right w:val="single" w:color="auto" w:sz="4" w:space="0"/>
            </w:tcBorders>
            <w:vAlign w:val="center"/>
          </w:tcPr>
          <w:p w14:paraId="1771614A">
            <w:pPr>
              <w:spacing w:line="240" w:lineRule="auto"/>
              <w:ind w:firstLine="0" w:firstLineChars="0"/>
              <w:jc w:val="left"/>
              <w:rPr>
                <w:rFonts w:hint="default" w:ascii="宋体" w:hAnsi="宋体" w:eastAsia="宋体" w:cs="宋体"/>
                <w:sz w:val="22"/>
                <w:szCs w:val="22"/>
                <w:shd w:val="clear" w:color="auto" w:fill="FFFFFF"/>
                <w:lang w:val="en-US" w:eastAsia="zh-CN"/>
              </w:rPr>
            </w:pPr>
            <w:r>
              <w:rPr>
                <w:rFonts w:hint="eastAsia" w:ascii="宋体" w:hAnsi="宋体" w:cs="宋体"/>
                <w:sz w:val="22"/>
                <w:szCs w:val="22"/>
                <w:shd w:val="clear" w:color="auto" w:fill="FFFFFF"/>
                <w:lang w:val="en-US" w:eastAsia="zh-CN"/>
              </w:rPr>
              <w:t>2.2</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60070F5C">
            <w:pPr>
              <w:kinsoku w:val="0"/>
              <w:overflowPunct w:val="0"/>
              <w:autoSpaceDE w:val="0"/>
              <w:autoSpaceDN w:val="0"/>
              <w:adjustRightInd w:val="0"/>
              <w:spacing w:line="240" w:lineRule="auto"/>
              <w:ind w:left="0" w:leftChars="0" w:firstLine="0" w:firstLineChars="0"/>
              <w:jc w:val="left"/>
              <w:rPr>
                <w:rFonts w:hint="eastAsia" w:cs="宋体" w:asciiTheme="majorEastAsia" w:hAnsiTheme="majorEastAsia" w:eastAsiaTheme="majorEastAsia"/>
                <w:kern w:val="0"/>
                <w:sz w:val="22"/>
                <w:szCs w:val="22"/>
                <w:lang w:val="en-US" w:eastAsia="zh-CN" w:bidi="ar-SA"/>
              </w:rPr>
            </w:pPr>
            <w:r>
              <w:rPr>
                <w:rFonts w:hint="eastAsia" w:cs="宋体" w:asciiTheme="majorEastAsia" w:hAnsiTheme="majorEastAsia" w:eastAsiaTheme="majorEastAsia"/>
                <w:kern w:val="0"/>
                <w:sz w:val="22"/>
                <w:szCs w:val="22"/>
              </w:rPr>
              <w:t>评标基准价计算方法</w:t>
            </w:r>
          </w:p>
        </w:tc>
        <w:tc>
          <w:tcPr>
            <w:tcW w:w="5119" w:type="dxa"/>
            <w:tcBorders>
              <w:top w:val="single" w:color="auto" w:sz="4" w:space="0"/>
              <w:left w:val="single" w:color="auto" w:sz="4" w:space="0"/>
              <w:bottom w:val="single" w:color="auto" w:sz="4" w:space="0"/>
              <w:right w:val="single" w:color="auto" w:sz="4" w:space="0"/>
            </w:tcBorders>
            <w:shd w:val="clear" w:color="auto" w:fill="auto"/>
            <w:vAlign w:val="center"/>
          </w:tcPr>
          <w:p w14:paraId="43DAFB91">
            <w:pPr>
              <w:kinsoku w:val="0"/>
              <w:overflowPunct w:val="0"/>
              <w:autoSpaceDE w:val="0"/>
              <w:autoSpaceDN w:val="0"/>
              <w:adjustRightInd w:val="0"/>
              <w:spacing w:line="240" w:lineRule="auto"/>
              <w:ind w:left="0" w:leftChars="0" w:firstLine="0" w:firstLineChars="0"/>
              <w:jc w:val="left"/>
              <w:rPr>
                <w:rFonts w:hint="eastAsia" w:cs="宋体" w:asciiTheme="majorEastAsia" w:hAnsiTheme="majorEastAsia" w:eastAsiaTheme="majorEastAsia"/>
                <w:spacing w:val="-3"/>
                <w:kern w:val="0"/>
                <w:sz w:val="22"/>
                <w:szCs w:val="22"/>
                <w:lang w:val="en-US" w:eastAsia="zh-CN" w:bidi="ar-SA"/>
              </w:rPr>
            </w:pPr>
            <w:r>
              <w:rPr>
                <w:rFonts w:hint="eastAsia" w:cs="宋体" w:asciiTheme="majorEastAsia" w:hAnsiTheme="majorEastAsia" w:eastAsiaTheme="majorEastAsia"/>
                <w:sz w:val="22"/>
                <w:szCs w:val="22"/>
              </w:rPr>
              <w:t>评标基准价=所有有效报价的算数平均值</w:t>
            </w:r>
          </w:p>
        </w:tc>
      </w:tr>
      <w:tr w14:paraId="29F88E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2218" w:type="dxa"/>
            <w:gridSpan w:val="2"/>
            <w:tcBorders>
              <w:top w:val="single" w:color="auto" w:sz="4" w:space="0"/>
              <w:bottom w:val="single" w:color="auto" w:sz="4" w:space="0"/>
              <w:right w:val="single" w:color="auto" w:sz="4" w:space="0"/>
            </w:tcBorders>
            <w:vAlign w:val="center"/>
          </w:tcPr>
          <w:p w14:paraId="789DCF3A">
            <w:pPr>
              <w:spacing w:line="240" w:lineRule="auto"/>
              <w:ind w:firstLine="0" w:firstLineChars="0"/>
              <w:jc w:val="left"/>
              <w:rPr>
                <w:rFonts w:hint="default" w:ascii="宋体" w:hAnsi="宋体" w:eastAsia="宋体" w:cs="宋体"/>
                <w:sz w:val="22"/>
                <w:szCs w:val="22"/>
                <w:shd w:val="clear" w:color="auto" w:fill="FFFFFF"/>
                <w:lang w:val="en-US" w:eastAsia="zh-CN"/>
              </w:rPr>
            </w:pPr>
            <w:r>
              <w:rPr>
                <w:rFonts w:hint="eastAsia" w:ascii="宋体" w:hAnsi="宋体" w:cs="宋体"/>
                <w:sz w:val="22"/>
                <w:szCs w:val="22"/>
                <w:shd w:val="clear" w:color="auto" w:fill="FFFFFF"/>
                <w:lang w:val="en-US" w:eastAsia="zh-CN"/>
              </w:rPr>
              <w:t>2.3</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20FFA32D">
            <w:pPr>
              <w:kinsoku w:val="0"/>
              <w:overflowPunct w:val="0"/>
              <w:autoSpaceDE w:val="0"/>
              <w:autoSpaceDN w:val="0"/>
              <w:adjustRightInd w:val="0"/>
              <w:spacing w:line="240" w:lineRule="auto"/>
              <w:ind w:left="0" w:leftChars="0" w:firstLine="0" w:firstLineChars="0"/>
              <w:jc w:val="left"/>
              <w:rPr>
                <w:rFonts w:hint="eastAsia" w:cs="宋体" w:asciiTheme="majorEastAsia" w:hAnsiTheme="majorEastAsia" w:eastAsiaTheme="majorEastAsia"/>
                <w:kern w:val="2"/>
                <w:sz w:val="22"/>
                <w:szCs w:val="22"/>
                <w:lang w:val="en-US" w:eastAsia="zh-CN" w:bidi="ar-SA"/>
              </w:rPr>
            </w:pPr>
            <w:r>
              <w:rPr>
                <w:rFonts w:hint="eastAsia" w:cs="宋体" w:asciiTheme="majorEastAsia" w:hAnsiTheme="majorEastAsia" w:eastAsiaTheme="majorEastAsia"/>
                <w:sz w:val="22"/>
                <w:szCs w:val="22"/>
              </w:rPr>
              <w:t>投标报价的偏差率计算公式</w:t>
            </w:r>
          </w:p>
        </w:tc>
        <w:tc>
          <w:tcPr>
            <w:tcW w:w="5119" w:type="dxa"/>
            <w:tcBorders>
              <w:top w:val="single" w:color="auto" w:sz="4" w:space="0"/>
              <w:left w:val="single" w:color="auto" w:sz="4" w:space="0"/>
              <w:bottom w:val="single" w:color="auto" w:sz="4" w:space="0"/>
              <w:right w:val="single" w:color="auto" w:sz="4" w:space="0"/>
            </w:tcBorders>
            <w:shd w:val="clear" w:color="auto" w:fill="auto"/>
            <w:vAlign w:val="center"/>
          </w:tcPr>
          <w:p w14:paraId="1258B537">
            <w:pPr>
              <w:kinsoku w:val="0"/>
              <w:overflowPunct w:val="0"/>
              <w:autoSpaceDE w:val="0"/>
              <w:autoSpaceDN w:val="0"/>
              <w:adjustRightInd w:val="0"/>
              <w:spacing w:line="240" w:lineRule="auto"/>
              <w:ind w:left="0" w:leftChars="0" w:firstLine="0" w:firstLineChars="0"/>
              <w:jc w:val="left"/>
              <w:rPr>
                <w:rFonts w:hint="eastAsia" w:cs="宋体" w:asciiTheme="majorEastAsia" w:hAnsiTheme="majorEastAsia" w:eastAsiaTheme="majorEastAsia"/>
                <w:sz w:val="22"/>
                <w:szCs w:val="22"/>
              </w:rPr>
            </w:pPr>
            <w:r>
              <w:rPr>
                <w:rFonts w:hint="eastAsia" w:cs="宋体" w:asciiTheme="majorEastAsia" w:hAnsiTheme="majorEastAsia" w:eastAsiaTheme="majorEastAsia"/>
                <w:sz w:val="22"/>
                <w:szCs w:val="22"/>
              </w:rPr>
              <w:t>偏差率=100%×（投标人报价-评标基准价）/评标基准价，投标人报价指各投标人经评审的报价。</w:t>
            </w:r>
          </w:p>
          <w:p w14:paraId="11F5118A">
            <w:pPr>
              <w:pStyle w:val="2"/>
              <w:spacing w:before="0" w:after="0" w:line="240" w:lineRule="auto"/>
              <w:ind w:left="0" w:leftChars="0" w:firstLine="0" w:firstLineChars="0"/>
              <w:jc w:val="left"/>
              <w:rPr>
                <w:rFonts w:hint="eastAsia" w:cs="宋体" w:asciiTheme="majorEastAsia" w:hAnsiTheme="majorEastAsia" w:eastAsiaTheme="majorEastAsia"/>
                <w:b w:val="0"/>
                <w:bCs/>
                <w:caps w:val="0"/>
                <w:kern w:val="2"/>
                <w:sz w:val="22"/>
                <w:szCs w:val="22"/>
                <w:lang w:val="en-US" w:eastAsia="zh-CN" w:bidi="ar-SA"/>
              </w:rPr>
            </w:pPr>
            <w:r>
              <w:rPr>
                <w:rFonts w:hint="eastAsia" w:cs="宋体" w:asciiTheme="majorEastAsia" w:hAnsiTheme="majorEastAsia" w:eastAsiaTheme="majorEastAsia"/>
                <w:b w:val="0"/>
                <w:caps w:val="0"/>
                <w:kern w:val="2"/>
                <w:sz w:val="22"/>
                <w:szCs w:val="22"/>
              </w:rPr>
              <w:t>注：偏差率保留两位小数，小数点后第三位“四舍五入”。</w:t>
            </w:r>
          </w:p>
        </w:tc>
      </w:tr>
      <w:tr w14:paraId="706CD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2218" w:type="dxa"/>
            <w:gridSpan w:val="2"/>
            <w:tcBorders>
              <w:top w:val="single" w:color="auto" w:sz="4" w:space="0"/>
              <w:bottom w:val="single" w:color="auto" w:sz="4" w:space="0"/>
              <w:right w:val="single" w:color="auto" w:sz="4" w:space="0"/>
            </w:tcBorders>
            <w:shd w:val="clear" w:color="auto" w:fill="auto"/>
            <w:vAlign w:val="center"/>
          </w:tcPr>
          <w:p w14:paraId="6352E2EC">
            <w:pPr>
              <w:kinsoku w:val="0"/>
              <w:overflowPunct w:val="0"/>
              <w:autoSpaceDE w:val="0"/>
              <w:autoSpaceDN w:val="0"/>
              <w:adjustRightInd w:val="0"/>
              <w:ind w:left="0" w:leftChars="0" w:firstLine="0" w:firstLineChars="0"/>
              <w:jc w:val="left"/>
              <w:rPr>
                <w:rFonts w:hint="eastAsia" w:cs="宋体" w:asciiTheme="majorEastAsia" w:hAnsiTheme="majorEastAsia" w:eastAsiaTheme="majorEastAsia"/>
                <w:kern w:val="0"/>
                <w:sz w:val="22"/>
                <w:szCs w:val="22"/>
                <w:lang w:val="en-US" w:eastAsia="zh-CN" w:bidi="ar-SA"/>
              </w:rPr>
            </w:pPr>
            <w:r>
              <w:rPr>
                <w:rFonts w:hint="eastAsia" w:cs="宋体" w:asciiTheme="majorEastAsia" w:hAnsiTheme="majorEastAsia" w:eastAsiaTheme="majorEastAsia"/>
                <w:b/>
                <w:bCs/>
                <w:kern w:val="0"/>
                <w:sz w:val="22"/>
                <w:szCs w:val="22"/>
              </w:rPr>
              <w:t>条款号</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50295D39">
            <w:pPr>
              <w:kinsoku w:val="0"/>
              <w:overflowPunct w:val="0"/>
              <w:autoSpaceDE w:val="0"/>
              <w:autoSpaceDN w:val="0"/>
              <w:adjustRightInd w:val="0"/>
              <w:ind w:left="0" w:leftChars="0" w:firstLine="0" w:firstLineChars="0"/>
              <w:jc w:val="left"/>
              <w:rPr>
                <w:rFonts w:hint="eastAsia" w:cs="宋体" w:asciiTheme="majorEastAsia" w:hAnsiTheme="majorEastAsia" w:eastAsiaTheme="majorEastAsia"/>
                <w:kern w:val="0"/>
                <w:sz w:val="22"/>
                <w:szCs w:val="22"/>
                <w:lang w:val="en-US" w:eastAsia="zh-CN" w:bidi="ar-SA"/>
              </w:rPr>
            </w:pPr>
            <w:r>
              <w:rPr>
                <w:rFonts w:hint="eastAsia" w:cs="宋体" w:asciiTheme="majorEastAsia" w:hAnsiTheme="majorEastAsia" w:eastAsiaTheme="majorEastAsia"/>
                <w:b/>
                <w:bCs/>
                <w:kern w:val="0"/>
                <w:sz w:val="22"/>
                <w:szCs w:val="22"/>
              </w:rPr>
              <w:t>评分因素（偏差率）</w:t>
            </w:r>
          </w:p>
        </w:tc>
        <w:tc>
          <w:tcPr>
            <w:tcW w:w="5119" w:type="dxa"/>
            <w:tcBorders>
              <w:top w:val="single" w:color="auto" w:sz="4" w:space="0"/>
              <w:left w:val="single" w:color="auto" w:sz="4" w:space="0"/>
              <w:bottom w:val="single" w:color="auto" w:sz="4" w:space="0"/>
              <w:right w:val="single" w:color="auto" w:sz="4" w:space="0"/>
            </w:tcBorders>
            <w:shd w:val="clear" w:color="auto" w:fill="auto"/>
            <w:vAlign w:val="center"/>
          </w:tcPr>
          <w:p w14:paraId="2053D334">
            <w:pPr>
              <w:kinsoku w:val="0"/>
              <w:overflowPunct w:val="0"/>
              <w:autoSpaceDE w:val="0"/>
              <w:autoSpaceDN w:val="0"/>
              <w:adjustRightInd w:val="0"/>
              <w:ind w:left="0" w:leftChars="0" w:firstLine="0" w:firstLineChars="0"/>
              <w:jc w:val="left"/>
              <w:rPr>
                <w:rFonts w:hint="eastAsia" w:cs="宋体" w:asciiTheme="majorEastAsia" w:hAnsiTheme="majorEastAsia" w:eastAsiaTheme="majorEastAsia"/>
                <w:kern w:val="2"/>
                <w:sz w:val="22"/>
                <w:szCs w:val="22"/>
                <w:lang w:val="en-US" w:eastAsia="zh-CN" w:bidi="ar-SA"/>
              </w:rPr>
            </w:pPr>
            <w:r>
              <w:rPr>
                <w:rFonts w:hint="eastAsia" w:cs="宋体" w:asciiTheme="majorEastAsia" w:hAnsiTheme="majorEastAsia" w:eastAsiaTheme="majorEastAsia"/>
                <w:b/>
                <w:bCs/>
                <w:kern w:val="0"/>
                <w:sz w:val="22"/>
                <w:szCs w:val="22"/>
              </w:rPr>
              <w:t>评分标准</w:t>
            </w:r>
          </w:p>
        </w:tc>
      </w:tr>
      <w:tr w14:paraId="18DD5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83" w:type="dxa"/>
            <w:vMerge w:val="restart"/>
            <w:tcBorders>
              <w:top w:val="single" w:color="auto" w:sz="4" w:space="0"/>
              <w:right w:val="single" w:color="auto" w:sz="4" w:space="0"/>
            </w:tcBorders>
            <w:vAlign w:val="center"/>
          </w:tcPr>
          <w:p w14:paraId="6620A399">
            <w:pPr>
              <w:spacing w:line="240" w:lineRule="auto"/>
              <w:ind w:firstLine="0" w:firstLineChars="0"/>
              <w:jc w:val="left"/>
              <w:rPr>
                <w:rFonts w:hint="default" w:ascii="宋体" w:hAnsi="宋体" w:eastAsia="宋体" w:cs="宋体"/>
                <w:sz w:val="22"/>
                <w:szCs w:val="22"/>
                <w:shd w:val="clear" w:color="auto" w:fill="FFFFFF"/>
                <w:lang w:val="en-US" w:eastAsia="zh-CN"/>
              </w:rPr>
            </w:pPr>
            <w:r>
              <w:rPr>
                <w:rFonts w:hint="eastAsia" w:ascii="宋体" w:hAnsi="宋体" w:cs="宋体"/>
                <w:sz w:val="22"/>
                <w:szCs w:val="22"/>
                <w:shd w:val="clear" w:color="auto" w:fill="FFFFFF"/>
                <w:lang w:val="en-US" w:eastAsia="zh-CN"/>
              </w:rPr>
              <w:t>2.4.1</w:t>
            </w:r>
          </w:p>
        </w:tc>
        <w:tc>
          <w:tcPr>
            <w:tcW w:w="1335" w:type="dxa"/>
            <w:vMerge w:val="restart"/>
            <w:tcBorders>
              <w:top w:val="single" w:color="auto" w:sz="4" w:space="0"/>
              <w:right w:val="single" w:color="auto" w:sz="4" w:space="0"/>
            </w:tcBorders>
            <w:vAlign w:val="center"/>
          </w:tcPr>
          <w:p w14:paraId="71AD99E0">
            <w:pPr>
              <w:kinsoku w:val="0"/>
              <w:overflowPunct w:val="0"/>
              <w:autoSpaceDE w:val="0"/>
              <w:autoSpaceDN w:val="0"/>
              <w:adjustRightInd w:val="0"/>
              <w:snapToGrid w:val="0"/>
              <w:spacing w:line="240" w:lineRule="auto"/>
              <w:ind w:left="0" w:leftChars="0" w:firstLine="0" w:firstLineChars="0"/>
              <w:jc w:val="left"/>
              <w:rPr>
                <w:rFonts w:hint="eastAsia"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商务部分</w:t>
            </w:r>
          </w:p>
          <w:p w14:paraId="16D1539F">
            <w:pPr>
              <w:spacing w:line="240" w:lineRule="auto"/>
              <w:ind w:firstLine="0" w:firstLineChars="0"/>
              <w:jc w:val="left"/>
              <w:rPr>
                <w:rFonts w:hint="eastAsia" w:ascii="宋体" w:hAnsi="宋体" w:cs="宋体" w:eastAsiaTheme="majorEastAsia"/>
                <w:sz w:val="22"/>
                <w:szCs w:val="22"/>
                <w:shd w:val="clear" w:color="auto" w:fill="FFFFFF"/>
                <w:lang w:eastAsia="zh-CN"/>
              </w:rPr>
            </w:pPr>
            <w:r>
              <w:rPr>
                <w:rFonts w:hint="eastAsia" w:cs="宋体" w:asciiTheme="majorEastAsia" w:hAnsiTheme="majorEastAsia" w:eastAsiaTheme="majorEastAsia"/>
                <w:kern w:val="0"/>
                <w:sz w:val="22"/>
                <w:szCs w:val="22"/>
              </w:rPr>
              <w:t>（</w:t>
            </w:r>
            <w:r>
              <w:rPr>
                <w:rFonts w:cs="宋体" w:asciiTheme="majorEastAsia" w:hAnsiTheme="majorEastAsia" w:eastAsiaTheme="majorEastAsia"/>
                <w:kern w:val="0"/>
                <w:sz w:val="22"/>
                <w:szCs w:val="22"/>
              </w:rPr>
              <w:t>10</w:t>
            </w:r>
            <w:r>
              <w:rPr>
                <w:rFonts w:hint="eastAsia" w:cs="宋体" w:asciiTheme="majorEastAsia" w:hAnsiTheme="majorEastAsia" w:eastAsiaTheme="majorEastAsia"/>
                <w:kern w:val="0"/>
                <w:sz w:val="22"/>
                <w:szCs w:val="22"/>
              </w:rPr>
              <w:t>分</w:t>
            </w:r>
            <w:r>
              <w:rPr>
                <w:rFonts w:hint="eastAsia" w:cs="宋体" w:asciiTheme="majorEastAsia" w:hAnsiTheme="majorEastAsia" w:eastAsiaTheme="majorEastAsia"/>
                <w:kern w:val="0"/>
                <w:sz w:val="22"/>
                <w:szCs w:val="22"/>
                <w:lang w:eastAsia="zh-CN"/>
              </w:rPr>
              <w:t>）</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28731918">
            <w:pPr>
              <w:kinsoku w:val="0"/>
              <w:overflowPunct w:val="0"/>
              <w:autoSpaceDE w:val="0"/>
              <w:autoSpaceDN w:val="0"/>
              <w:adjustRightInd w:val="0"/>
              <w:spacing w:line="240" w:lineRule="auto"/>
              <w:ind w:left="0" w:leftChars="0" w:firstLine="0" w:firstLineChars="0"/>
              <w:jc w:val="left"/>
              <w:rPr>
                <w:rFonts w:hint="eastAsia" w:cs="宋体" w:asciiTheme="majorEastAsia" w:hAnsiTheme="majorEastAsia" w:eastAsiaTheme="majorEastAsia"/>
                <w:kern w:val="0"/>
                <w:sz w:val="22"/>
                <w:szCs w:val="22"/>
                <w:lang w:val="en-US" w:eastAsia="zh-CN" w:bidi="ar-SA"/>
              </w:rPr>
            </w:pPr>
            <w:r>
              <w:rPr>
                <w:rFonts w:hint="eastAsia" w:cs="宋体" w:asciiTheme="majorEastAsia" w:hAnsiTheme="majorEastAsia" w:eastAsiaTheme="majorEastAsia"/>
                <w:sz w:val="22"/>
                <w:szCs w:val="22"/>
              </w:rPr>
              <w:t>业绩（</w:t>
            </w:r>
            <w:r>
              <w:rPr>
                <w:rFonts w:cs="宋体" w:asciiTheme="majorEastAsia" w:hAnsiTheme="majorEastAsia" w:eastAsiaTheme="majorEastAsia"/>
                <w:sz w:val="22"/>
                <w:szCs w:val="22"/>
              </w:rPr>
              <w:t>5</w:t>
            </w:r>
            <w:r>
              <w:rPr>
                <w:rFonts w:hint="eastAsia" w:cs="宋体" w:asciiTheme="majorEastAsia" w:hAnsiTheme="majorEastAsia" w:eastAsiaTheme="majorEastAsia"/>
                <w:sz w:val="22"/>
                <w:szCs w:val="22"/>
              </w:rPr>
              <w:t>分）</w:t>
            </w:r>
          </w:p>
        </w:tc>
        <w:tc>
          <w:tcPr>
            <w:tcW w:w="5119" w:type="dxa"/>
            <w:tcBorders>
              <w:top w:val="single" w:color="auto" w:sz="4" w:space="0"/>
              <w:left w:val="single" w:color="auto" w:sz="4" w:space="0"/>
              <w:bottom w:val="single" w:color="auto" w:sz="4" w:space="0"/>
              <w:right w:val="single" w:color="auto" w:sz="4" w:space="0"/>
            </w:tcBorders>
            <w:shd w:val="clear" w:color="auto" w:fill="auto"/>
            <w:vAlign w:val="center"/>
          </w:tcPr>
          <w:p w14:paraId="096B00A1">
            <w:pPr>
              <w:kinsoku w:val="0"/>
              <w:overflowPunct w:val="0"/>
              <w:autoSpaceDE w:val="0"/>
              <w:autoSpaceDN w:val="0"/>
              <w:adjustRightInd w:val="0"/>
              <w:spacing w:line="240" w:lineRule="auto"/>
              <w:ind w:left="0" w:leftChars="0" w:firstLine="0" w:firstLineChars="0"/>
              <w:jc w:val="left"/>
              <w:rPr>
                <w:rFonts w:hint="eastAsia" w:cs="宋体" w:asciiTheme="majorEastAsia" w:hAnsiTheme="majorEastAsia" w:eastAsiaTheme="majorEastAsia"/>
                <w:sz w:val="22"/>
                <w:szCs w:val="22"/>
              </w:rPr>
            </w:pPr>
            <w:r>
              <w:rPr>
                <w:rFonts w:hint="eastAsia" w:cs="宋体" w:asciiTheme="majorEastAsia" w:hAnsiTheme="majorEastAsia" w:eastAsiaTheme="majorEastAsia"/>
                <w:sz w:val="22"/>
                <w:szCs w:val="22"/>
              </w:rPr>
              <w:t>2022年1月1日至2025年12月31日(以合同签署时间为准)，独立完成过1个营运高速公路或改扩建高速公路项目交通组织安全咨询服务类似业绩得</w:t>
            </w:r>
            <w:r>
              <w:rPr>
                <w:rFonts w:cs="宋体" w:asciiTheme="majorEastAsia" w:hAnsiTheme="majorEastAsia" w:eastAsiaTheme="majorEastAsia"/>
                <w:sz w:val="22"/>
                <w:szCs w:val="22"/>
              </w:rPr>
              <w:t>3</w:t>
            </w:r>
            <w:r>
              <w:rPr>
                <w:rFonts w:hint="eastAsia" w:cs="宋体" w:asciiTheme="majorEastAsia" w:hAnsiTheme="majorEastAsia" w:eastAsiaTheme="majorEastAsia"/>
                <w:sz w:val="22"/>
                <w:szCs w:val="22"/>
              </w:rPr>
              <w:t>分</w:t>
            </w:r>
            <w:r>
              <w:rPr>
                <w:rFonts w:hint="eastAsia" w:cs="宋体" w:asciiTheme="majorEastAsia" w:hAnsiTheme="majorEastAsia" w:eastAsiaTheme="majorEastAsia"/>
                <w:sz w:val="22"/>
                <w:szCs w:val="22"/>
                <w:lang w:eastAsia="zh-CN"/>
              </w:rPr>
              <w:t>（</w:t>
            </w:r>
            <w:r>
              <w:rPr>
                <w:rFonts w:hint="eastAsia" w:cs="宋体" w:asciiTheme="majorEastAsia" w:hAnsiTheme="majorEastAsia" w:eastAsiaTheme="majorEastAsia"/>
                <w:sz w:val="22"/>
                <w:szCs w:val="22"/>
                <w:lang w:val="en-US" w:eastAsia="zh-CN"/>
              </w:rPr>
              <w:t>资格业绩</w:t>
            </w:r>
            <w:r>
              <w:rPr>
                <w:rFonts w:hint="eastAsia" w:cs="宋体" w:asciiTheme="majorEastAsia" w:hAnsiTheme="majorEastAsia" w:eastAsiaTheme="majorEastAsia"/>
                <w:sz w:val="22"/>
                <w:szCs w:val="22"/>
                <w:lang w:eastAsia="zh-CN"/>
              </w:rPr>
              <w:t>）</w:t>
            </w:r>
            <w:r>
              <w:rPr>
                <w:rFonts w:hint="eastAsia" w:cs="宋体" w:asciiTheme="majorEastAsia" w:hAnsiTheme="majorEastAsia" w:eastAsiaTheme="majorEastAsia"/>
                <w:sz w:val="22"/>
                <w:szCs w:val="22"/>
              </w:rPr>
              <w:t>，每增加一个业绩加</w:t>
            </w:r>
            <w:r>
              <w:rPr>
                <w:rFonts w:cs="宋体" w:asciiTheme="majorEastAsia" w:hAnsiTheme="majorEastAsia" w:eastAsiaTheme="majorEastAsia"/>
                <w:sz w:val="22"/>
                <w:szCs w:val="22"/>
              </w:rPr>
              <w:t>1</w:t>
            </w:r>
            <w:r>
              <w:rPr>
                <w:rFonts w:hint="eastAsia" w:cs="宋体" w:asciiTheme="majorEastAsia" w:hAnsiTheme="majorEastAsia" w:eastAsiaTheme="majorEastAsia"/>
                <w:sz w:val="22"/>
                <w:szCs w:val="22"/>
              </w:rPr>
              <w:t>分，最多加</w:t>
            </w:r>
            <w:r>
              <w:rPr>
                <w:rFonts w:cs="宋体" w:asciiTheme="majorEastAsia" w:hAnsiTheme="majorEastAsia" w:eastAsiaTheme="majorEastAsia"/>
                <w:sz w:val="22"/>
                <w:szCs w:val="22"/>
              </w:rPr>
              <w:t>2</w:t>
            </w:r>
            <w:r>
              <w:rPr>
                <w:rFonts w:hint="eastAsia" w:cs="宋体" w:asciiTheme="majorEastAsia" w:hAnsiTheme="majorEastAsia" w:eastAsiaTheme="majorEastAsia"/>
                <w:sz w:val="22"/>
                <w:szCs w:val="22"/>
              </w:rPr>
              <w:t>分，累计最多得</w:t>
            </w:r>
            <w:r>
              <w:rPr>
                <w:rFonts w:cs="宋体" w:asciiTheme="majorEastAsia" w:hAnsiTheme="majorEastAsia" w:eastAsiaTheme="majorEastAsia"/>
                <w:sz w:val="22"/>
                <w:szCs w:val="22"/>
              </w:rPr>
              <w:t>5</w:t>
            </w:r>
            <w:r>
              <w:rPr>
                <w:rFonts w:hint="eastAsia" w:cs="宋体" w:asciiTheme="majorEastAsia" w:hAnsiTheme="majorEastAsia" w:eastAsiaTheme="majorEastAsia"/>
                <w:sz w:val="22"/>
                <w:szCs w:val="22"/>
              </w:rPr>
              <w:t>分。</w:t>
            </w:r>
          </w:p>
          <w:p w14:paraId="7649264C">
            <w:pPr>
              <w:kinsoku w:val="0"/>
              <w:overflowPunct w:val="0"/>
              <w:autoSpaceDE w:val="0"/>
              <w:autoSpaceDN w:val="0"/>
              <w:adjustRightInd w:val="0"/>
              <w:spacing w:line="240" w:lineRule="auto"/>
              <w:ind w:left="0" w:leftChars="0" w:firstLine="0" w:firstLineChars="0"/>
              <w:jc w:val="left"/>
              <w:rPr>
                <w:rFonts w:hint="eastAsia" w:cs="宋体" w:asciiTheme="majorEastAsia" w:hAnsiTheme="majorEastAsia" w:eastAsiaTheme="majorEastAsia"/>
                <w:b/>
                <w:bCs/>
                <w:kern w:val="2"/>
                <w:sz w:val="22"/>
                <w:szCs w:val="22"/>
                <w:lang w:val="en-US" w:eastAsia="zh-CN" w:bidi="ar-SA"/>
              </w:rPr>
            </w:pPr>
            <w:r>
              <w:rPr>
                <w:rFonts w:hint="eastAsia" w:cs="宋体" w:asciiTheme="majorEastAsia" w:hAnsiTheme="majorEastAsia" w:eastAsiaTheme="majorEastAsia"/>
                <w:b/>
                <w:bCs/>
                <w:sz w:val="22"/>
                <w:szCs w:val="22"/>
              </w:rPr>
              <w:t>（备注：提供合同协议书复印件加盖投标人公章）</w:t>
            </w:r>
          </w:p>
        </w:tc>
      </w:tr>
      <w:tr w14:paraId="4B6BA4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83" w:type="dxa"/>
            <w:vMerge w:val="continue"/>
            <w:tcBorders>
              <w:right w:val="single" w:color="auto" w:sz="4" w:space="0"/>
            </w:tcBorders>
            <w:vAlign w:val="center"/>
          </w:tcPr>
          <w:p w14:paraId="7D5538ED">
            <w:pPr>
              <w:spacing w:line="240" w:lineRule="auto"/>
              <w:ind w:firstLine="0" w:firstLineChars="0"/>
              <w:jc w:val="left"/>
              <w:rPr>
                <w:rFonts w:hint="eastAsia" w:ascii="宋体" w:hAnsi="宋体" w:cs="宋体"/>
                <w:sz w:val="22"/>
                <w:szCs w:val="22"/>
                <w:shd w:val="clear" w:color="auto" w:fill="FFFFFF"/>
              </w:rPr>
            </w:pPr>
          </w:p>
        </w:tc>
        <w:tc>
          <w:tcPr>
            <w:tcW w:w="1335" w:type="dxa"/>
            <w:vMerge w:val="continue"/>
            <w:tcBorders>
              <w:right w:val="single" w:color="auto" w:sz="4" w:space="0"/>
            </w:tcBorders>
            <w:vAlign w:val="center"/>
          </w:tcPr>
          <w:p w14:paraId="63A62F1D">
            <w:pPr>
              <w:spacing w:line="240" w:lineRule="auto"/>
              <w:ind w:firstLine="0" w:firstLineChars="0"/>
              <w:jc w:val="left"/>
              <w:rPr>
                <w:rFonts w:hint="eastAsia" w:ascii="宋体" w:hAnsi="宋体" w:cs="宋体"/>
                <w:sz w:val="22"/>
                <w:szCs w:val="22"/>
                <w:shd w:val="clear" w:color="auto" w:fill="FFFFFF"/>
              </w:rPr>
            </w:pP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793157FC">
            <w:pPr>
              <w:kinsoku w:val="0"/>
              <w:overflowPunct w:val="0"/>
              <w:autoSpaceDE w:val="0"/>
              <w:autoSpaceDN w:val="0"/>
              <w:adjustRightInd w:val="0"/>
              <w:spacing w:line="240" w:lineRule="auto"/>
              <w:ind w:left="0" w:leftChars="0" w:firstLine="0" w:firstLineChars="0"/>
              <w:jc w:val="left"/>
              <w:rPr>
                <w:rFonts w:hint="eastAsia" w:cs="宋体" w:asciiTheme="majorEastAsia" w:hAnsiTheme="majorEastAsia" w:eastAsiaTheme="majorEastAsia"/>
                <w:kern w:val="2"/>
                <w:sz w:val="22"/>
                <w:szCs w:val="22"/>
                <w:lang w:val="en-US" w:eastAsia="zh-CN" w:bidi="ar-SA"/>
              </w:rPr>
            </w:pPr>
            <w:r>
              <w:rPr>
                <w:rFonts w:hint="eastAsia" w:cs="宋体" w:asciiTheme="majorEastAsia" w:hAnsiTheme="majorEastAsia" w:eastAsiaTheme="majorEastAsia"/>
                <w:sz w:val="22"/>
                <w:szCs w:val="22"/>
              </w:rPr>
              <w:t>项目负责人（</w:t>
            </w:r>
            <w:r>
              <w:rPr>
                <w:rFonts w:cs="宋体" w:asciiTheme="majorEastAsia" w:hAnsiTheme="majorEastAsia" w:eastAsiaTheme="majorEastAsia"/>
                <w:sz w:val="22"/>
                <w:szCs w:val="22"/>
              </w:rPr>
              <w:t>3</w:t>
            </w:r>
            <w:r>
              <w:rPr>
                <w:rFonts w:hint="eastAsia" w:cs="宋体" w:asciiTheme="majorEastAsia" w:hAnsiTheme="majorEastAsia" w:eastAsiaTheme="majorEastAsia"/>
                <w:sz w:val="22"/>
                <w:szCs w:val="22"/>
              </w:rPr>
              <w:t>分）</w:t>
            </w:r>
          </w:p>
        </w:tc>
        <w:tc>
          <w:tcPr>
            <w:tcW w:w="5119" w:type="dxa"/>
            <w:tcBorders>
              <w:top w:val="single" w:color="auto" w:sz="4" w:space="0"/>
              <w:left w:val="single" w:color="auto" w:sz="4" w:space="0"/>
              <w:bottom w:val="single" w:color="auto" w:sz="4" w:space="0"/>
              <w:right w:val="single" w:color="auto" w:sz="4" w:space="0"/>
            </w:tcBorders>
            <w:shd w:val="clear" w:color="auto" w:fill="auto"/>
            <w:vAlign w:val="center"/>
          </w:tcPr>
          <w:p w14:paraId="241AC15E">
            <w:pPr>
              <w:adjustRightInd w:val="0"/>
              <w:snapToGrid w:val="0"/>
              <w:spacing w:line="240" w:lineRule="auto"/>
              <w:ind w:left="0" w:leftChars="0" w:firstLine="0" w:firstLineChars="0"/>
              <w:jc w:val="left"/>
              <w:rPr>
                <w:rFonts w:hint="eastAsia" w:cs="宋体" w:asciiTheme="majorEastAsia" w:hAnsiTheme="majorEastAsia" w:eastAsiaTheme="majorEastAsia"/>
                <w:sz w:val="22"/>
                <w:szCs w:val="22"/>
              </w:rPr>
            </w:pPr>
            <w:r>
              <w:rPr>
                <w:rFonts w:hint="eastAsia" w:cs="宋体" w:asciiTheme="majorEastAsia" w:hAnsiTheme="majorEastAsia" w:eastAsiaTheme="majorEastAsia"/>
                <w:sz w:val="22"/>
                <w:szCs w:val="22"/>
              </w:rPr>
              <w:t>项目负责人具有公路相关专业高级工程师职称得1分，具有注册安全工程师或注册咨询工程师得</w:t>
            </w:r>
            <w:r>
              <w:rPr>
                <w:rFonts w:cs="宋体" w:asciiTheme="majorEastAsia" w:hAnsiTheme="majorEastAsia" w:eastAsiaTheme="majorEastAsia"/>
                <w:sz w:val="22"/>
                <w:szCs w:val="22"/>
              </w:rPr>
              <w:t>2</w:t>
            </w:r>
            <w:r>
              <w:rPr>
                <w:rFonts w:hint="eastAsia" w:cs="宋体" w:asciiTheme="majorEastAsia" w:hAnsiTheme="majorEastAsia" w:eastAsiaTheme="majorEastAsia"/>
                <w:sz w:val="22"/>
                <w:szCs w:val="22"/>
              </w:rPr>
              <w:t>分。</w:t>
            </w:r>
          </w:p>
          <w:p w14:paraId="3B8ACEB2">
            <w:pPr>
              <w:adjustRightInd w:val="0"/>
              <w:snapToGrid w:val="0"/>
              <w:spacing w:line="240" w:lineRule="auto"/>
              <w:ind w:left="0" w:leftChars="0" w:firstLine="0" w:firstLineChars="0"/>
              <w:jc w:val="left"/>
              <w:rPr>
                <w:rFonts w:hint="eastAsia" w:cs="宋体" w:asciiTheme="majorEastAsia" w:hAnsiTheme="majorEastAsia" w:eastAsiaTheme="majorEastAsia"/>
                <w:kern w:val="2"/>
                <w:sz w:val="22"/>
                <w:szCs w:val="22"/>
                <w:lang w:val="en-US" w:eastAsia="zh-CN" w:bidi="ar-SA"/>
              </w:rPr>
            </w:pPr>
            <w:r>
              <w:rPr>
                <w:rFonts w:hint="eastAsia" w:cs="宋体" w:asciiTheme="majorEastAsia" w:hAnsiTheme="majorEastAsia" w:eastAsiaTheme="majorEastAsia"/>
                <w:sz w:val="22"/>
                <w:szCs w:val="22"/>
              </w:rPr>
              <w:t>（</w:t>
            </w:r>
            <w:r>
              <w:rPr>
                <w:rFonts w:hint="eastAsia" w:cs="宋体" w:asciiTheme="majorEastAsia" w:hAnsiTheme="majorEastAsia" w:eastAsiaTheme="majorEastAsia"/>
                <w:b/>
                <w:bCs/>
                <w:sz w:val="22"/>
                <w:szCs w:val="22"/>
              </w:rPr>
              <w:t>备注：提供职称证、执业资格证书、投标人为其缴纳的养老保险证明的复印件（至少提供社保局出具的投标截止时间前上个月或上上个月连续缴纳3个月的养老保险证明），上述复印件加盖投标人公章</w:t>
            </w:r>
            <w:r>
              <w:rPr>
                <w:rFonts w:hint="eastAsia" w:cs="宋体" w:asciiTheme="majorEastAsia" w:hAnsiTheme="majorEastAsia" w:eastAsiaTheme="majorEastAsia"/>
                <w:b/>
                <w:bCs/>
                <w:sz w:val="22"/>
                <w:szCs w:val="22"/>
                <w:lang w:eastAsia="zh-CN"/>
              </w:rPr>
              <w:t>）</w:t>
            </w:r>
            <w:r>
              <w:rPr>
                <w:rFonts w:hint="eastAsia" w:cs="宋体" w:asciiTheme="majorEastAsia" w:hAnsiTheme="majorEastAsia" w:eastAsiaTheme="majorEastAsia"/>
                <w:b/>
                <w:bCs/>
                <w:sz w:val="22"/>
                <w:szCs w:val="22"/>
              </w:rPr>
              <w:t>。</w:t>
            </w:r>
          </w:p>
        </w:tc>
      </w:tr>
      <w:tr w14:paraId="233C3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83" w:type="dxa"/>
            <w:vMerge w:val="continue"/>
            <w:tcBorders>
              <w:bottom w:val="single" w:color="auto" w:sz="4" w:space="0"/>
              <w:right w:val="single" w:color="auto" w:sz="4" w:space="0"/>
            </w:tcBorders>
            <w:vAlign w:val="center"/>
          </w:tcPr>
          <w:p w14:paraId="588ED73C">
            <w:pPr>
              <w:spacing w:line="240" w:lineRule="auto"/>
              <w:ind w:firstLine="30" w:firstLineChars="14"/>
              <w:jc w:val="left"/>
              <w:rPr>
                <w:rFonts w:hint="eastAsia" w:ascii="宋体" w:hAnsi="宋体" w:cs="宋体"/>
                <w:sz w:val="22"/>
                <w:szCs w:val="22"/>
                <w:shd w:val="clear" w:color="auto" w:fill="FFFFFF"/>
              </w:rPr>
            </w:pPr>
          </w:p>
        </w:tc>
        <w:tc>
          <w:tcPr>
            <w:tcW w:w="1335" w:type="dxa"/>
            <w:vMerge w:val="continue"/>
            <w:tcBorders>
              <w:bottom w:val="single" w:color="auto" w:sz="4" w:space="0"/>
              <w:right w:val="single" w:color="auto" w:sz="4" w:space="0"/>
            </w:tcBorders>
            <w:vAlign w:val="center"/>
          </w:tcPr>
          <w:p w14:paraId="6B4A8517">
            <w:pPr>
              <w:spacing w:line="240" w:lineRule="auto"/>
              <w:ind w:firstLine="0" w:firstLineChars="0"/>
              <w:jc w:val="left"/>
              <w:rPr>
                <w:rFonts w:hint="eastAsia" w:ascii="宋体" w:hAnsi="宋体" w:cs="宋体"/>
                <w:sz w:val="22"/>
                <w:szCs w:val="22"/>
                <w:shd w:val="clear" w:color="auto" w:fill="FFFFFF"/>
              </w:rPr>
            </w:pP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1AD6059E">
            <w:pPr>
              <w:kinsoku w:val="0"/>
              <w:overflowPunct w:val="0"/>
              <w:autoSpaceDE w:val="0"/>
              <w:autoSpaceDN w:val="0"/>
              <w:adjustRightInd w:val="0"/>
              <w:spacing w:line="240" w:lineRule="auto"/>
              <w:ind w:left="0" w:leftChars="0" w:firstLine="0" w:firstLineChars="0"/>
              <w:jc w:val="left"/>
              <w:rPr>
                <w:rFonts w:hint="eastAsia" w:cs="宋体" w:asciiTheme="majorEastAsia" w:hAnsiTheme="majorEastAsia" w:eastAsiaTheme="majorEastAsia"/>
                <w:kern w:val="2"/>
                <w:sz w:val="22"/>
                <w:szCs w:val="22"/>
                <w:lang w:val="en-US" w:eastAsia="zh-CN" w:bidi="ar-SA"/>
              </w:rPr>
            </w:pPr>
            <w:r>
              <w:rPr>
                <w:rFonts w:hint="eastAsia" w:cs="宋体" w:asciiTheme="majorEastAsia" w:hAnsiTheme="majorEastAsia" w:eastAsiaTheme="majorEastAsia"/>
                <w:sz w:val="22"/>
                <w:szCs w:val="22"/>
              </w:rPr>
              <w:t>项目组成员（</w:t>
            </w:r>
            <w:r>
              <w:rPr>
                <w:rFonts w:cs="宋体" w:asciiTheme="majorEastAsia" w:hAnsiTheme="majorEastAsia" w:eastAsiaTheme="majorEastAsia"/>
                <w:sz w:val="22"/>
                <w:szCs w:val="22"/>
              </w:rPr>
              <w:t>2</w:t>
            </w:r>
            <w:r>
              <w:rPr>
                <w:rFonts w:hint="eastAsia" w:cs="宋体" w:asciiTheme="majorEastAsia" w:hAnsiTheme="majorEastAsia" w:eastAsiaTheme="majorEastAsia"/>
                <w:sz w:val="22"/>
                <w:szCs w:val="22"/>
              </w:rPr>
              <w:t>分）</w:t>
            </w:r>
          </w:p>
        </w:tc>
        <w:tc>
          <w:tcPr>
            <w:tcW w:w="5119" w:type="dxa"/>
            <w:tcBorders>
              <w:top w:val="single" w:color="auto" w:sz="4" w:space="0"/>
              <w:left w:val="single" w:color="auto" w:sz="4" w:space="0"/>
              <w:bottom w:val="single" w:color="auto" w:sz="4" w:space="0"/>
              <w:right w:val="single" w:color="auto" w:sz="4" w:space="0"/>
            </w:tcBorders>
            <w:shd w:val="clear" w:color="auto" w:fill="auto"/>
            <w:vAlign w:val="center"/>
          </w:tcPr>
          <w:p w14:paraId="0D794667">
            <w:pPr>
              <w:adjustRightInd w:val="0"/>
              <w:snapToGrid w:val="0"/>
              <w:spacing w:line="240" w:lineRule="auto"/>
              <w:ind w:left="0" w:leftChars="0" w:firstLine="0" w:firstLineChars="0"/>
              <w:jc w:val="left"/>
              <w:rPr>
                <w:rFonts w:hint="eastAsia" w:cs="宋体" w:asciiTheme="majorEastAsia" w:hAnsiTheme="majorEastAsia" w:eastAsiaTheme="majorEastAsia"/>
                <w:sz w:val="22"/>
                <w:szCs w:val="22"/>
              </w:rPr>
            </w:pPr>
            <w:r>
              <w:rPr>
                <w:rFonts w:hint="eastAsia" w:cs="宋体" w:asciiTheme="majorEastAsia" w:hAnsiTheme="majorEastAsia" w:eastAsiaTheme="majorEastAsia"/>
                <w:sz w:val="22"/>
                <w:szCs w:val="22"/>
              </w:rPr>
              <w:t>项目组成员（项目负责人除外）具备公路等相关专业中级（或以上资格）职称，每有1人得</w:t>
            </w:r>
            <w:r>
              <w:rPr>
                <w:rFonts w:cs="宋体" w:asciiTheme="majorEastAsia" w:hAnsiTheme="majorEastAsia" w:eastAsiaTheme="majorEastAsia"/>
                <w:sz w:val="22"/>
                <w:szCs w:val="22"/>
              </w:rPr>
              <w:t>0.5</w:t>
            </w:r>
            <w:r>
              <w:rPr>
                <w:rFonts w:hint="eastAsia" w:cs="宋体" w:asciiTheme="majorEastAsia" w:hAnsiTheme="majorEastAsia" w:eastAsiaTheme="majorEastAsia"/>
                <w:sz w:val="22"/>
                <w:szCs w:val="22"/>
              </w:rPr>
              <w:t>分，最高得</w:t>
            </w:r>
            <w:r>
              <w:rPr>
                <w:rFonts w:cs="宋体" w:asciiTheme="majorEastAsia" w:hAnsiTheme="majorEastAsia" w:eastAsiaTheme="majorEastAsia"/>
                <w:sz w:val="22"/>
                <w:szCs w:val="22"/>
              </w:rPr>
              <w:t>2</w:t>
            </w:r>
            <w:r>
              <w:rPr>
                <w:rFonts w:hint="eastAsia" w:cs="宋体" w:asciiTheme="majorEastAsia" w:hAnsiTheme="majorEastAsia" w:eastAsiaTheme="majorEastAsia"/>
                <w:sz w:val="22"/>
                <w:szCs w:val="22"/>
              </w:rPr>
              <w:t>分。</w:t>
            </w:r>
          </w:p>
          <w:p w14:paraId="6E8BAD64">
            <w:pPr>
              <w:adjustRightInd w:val="0"/>
              <w:snapToGrid w:val="0"/>
              <w:spacing w:line="240" w:lineRule="auto"/>
              <w:ind w:left="0" w:leftChars="0" w:firstLine="0" w:firstLineChars="0"/>
              <w:jc w:val="left"/>
              <w:rPr>
                <w:rFonts w:hint="eastAsia" w:cs="宋体" w:asciiTheme="majorEastAsia" w:hAnsiTheme="majorEastAsia" w:eastAsiaTheme="majorEastAsia"/>
                <w:kern w:val="2"/>
                <w:sz w:val="22"/>
                <w:szCs w:val="22"/>
                <w:lang w:val="en-US" w:eastAsia="zh-CN" w:bidi="ar-SA"/>
              </w:rPr>
            </w:pPr>
            <w:r>
              <w:rPr>
                <w:rFonts w:hint="eastAsia" w:cs="宋体" w:asciiTheme="majorEastAsia" w:hAnsiTheme="majorEastAsia" w:eastAsiaTheme="majorEastAsia"/>
                <w:sz w:val="22"/>
                <w:szCs w:val="22"/>
              </w:rPr>
              <w:t>（</w:t>
            </w:r>
            <w:r>
              <w:rPr>
                <w:rFonts w:hint="eastAsia" w:cs="宋体" w:asciiTheme="majorEastAsia" w:hAnsiTheme="majorEastAsia" w:eastAsiaTheme="majorEastAsia"/>
                <w:b/>
                <w:bCs/>
                <w:sz w:val="22"/>
                <w:szCs w:val="22"/>
              </w:rPr>
              <w:t>备注：提供职称证、投标人为其缴纳的养老保险证明复印件（至少提供社保局出具的投标截止时间前上个月或上上个月连续缴纳3个月的养老保险证明），上述复印件加盖投标人公章</w:t>
            </w:r>
            <w:r>
              <w:rPr>
                <w:rFonts w:hint="eastAsia" w:cs="宋体" w:asciiTheme="majorEastAsia" w:hAnsiTheme="majorEastAsia" w:eastAsiaTheme="majorEastAsia"/>
                <w:sz w:val="22"/>
                <w:szCs w:val="22"/>
              </w:rPr>
              <w:t>）</w:t>
            </w:r>
            <w:r>
              <w:rPr>
                <w:rFonts w:hint="eastAsia" w:cs="宋体" w:asciiTheme="majorEastAsia" w:hAnsiTheme="majorEastAsia" w:eastAsiaTheme="majorEastAsia"/>
                <w:sz w:val="22"/>
                <w:szCs w:val="22"/>
                <w:lang w:eastAsia="zh-CN"/>
              </w:rPr>
              <w:t>。</w:t>
            </w:r>
          </w:p>
        </w:tc>
      </w:tr>
      <w:tr w14:paraId="328957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83" w:type="dxa"/>
            <w:vMerge w:val="restart"/>
            <w:tcBorders>
              <w:top w:val="single" w:color="auto" w:sz="4" w:space="0"/>
              <w:right w:val="single" w:color="auto" w:sz="4" w:space="0"/>
            </w:tcBorders>
            <w:vAlign w:val="center"/>
          </w:tcPr>
          <w:p w14:paraId="48907530">
            <w:pPr>
              <w:spacing w:line="240" w:lineRule="auto"/>
              <w:ind w:firstLine="30" w:firstLineChars="14"/>
              <w:jc w:val="left"/>
              <w:rPr>
                <w:rFonts w:hint="default" w:ascii="宋体" w:hAnsi="宋体" w:eastAsia="宋体" w:cs="宋体"/>
                <w:sz w:val="22"/>
                <w:szCs w:val="22"/>
                <w:shd w:val="clear" w:color="auto" w:fill="FFFFFF"/>
                <w:lang w:val="en-US" w:eastAsia="zh-CN"/>
              </w:rPr>
            </w:pPr>
            <w:r>
              <w:rPr>
                <w:rFonts w:hint="eastAsia" w:ascii="宋体" w:hAnsi="宋体" w:cs="宋体"/>
                <w:sz w:val="22"/>
                <w:szCs w:val="22"/>
                <w:shd w:val="clear" w:color="auto" w:fill="FFFFFF"/>
                <w:lang w:val="en-US" w:eastAsia="zh-CN"/>
              </w:rPr>
              <w:t>2.4.2</w:t>
            </w:r>
          </w:p>
        </w:tc>
        <w:tc>
          <w:tcPr>
            <w:tcW w:w="1335" w:type="dxa"/>
            <w:vMerge w:val="restart"/>
            <w:tcBorders>
              <w:top w:val="single" w:color="auto" w:sz="4" w:space="0"/>
              <w:left w:val="single" w:color="auto" w:sz="4" w:space="0"/>
              <w:right w:val="single" w:color="auto" w:sz="4" w:space="0"/>
            </w:tcBorders>
            <w:vAlign w:val="center"/>
          </w:tcPr>
          <w:p w14:paraId="16003347">
            <w:pPr>
              <w:kinsoku w:val="0"/>
              <w:overflowPunct w:val="0"/>
              <w:autoSpaceDE w:val="0"/>
              <w:autoSpaceDN w:val="0"/>
              <w:adjustRightInd w:val="0"/>
              <w:snapToGrid w:val="0"/>
              <w:ind w:left="0" w:leftChars="0" w:firstLine="0" w:firstLineChars="0"/>
              <w:jc w:val="left"/>
              <w:rPr>
                <w:rFonts w:hint="eastAsia" w:cs="宋体" w:asciiTheme="majorEastAsia" w:hAnsiTheme="majorEastAsia" w:eastAsiaTheme="majorEastAsia"/>
                <w:spacing w:val="-2"/>
                <w:sz w:val="22"/>
                <w:szCs w:val="22"/>
              </w:rPr>
            </w:pPr>
            <w:r>
              <w:rPr>
                <w:rFonts w:hint="eastAsia" w:cs="宋体" w:asciiTheme="majorEastAsia" w:hAnsiTheme="majorEastAsia" w:eastAsiaTheme="majorEastAsia"/>
                <w:spacing w:val="-2"/>
                <w:sz w:val="22"/>
                <w:szCs w:val="22"/>
              </w:rPr>
              <w:t>技术部分</w:t>
            </w:r>
          </w:p>
          <w:p w14:paraId="11468488">
            <w:pPr>
              <w:spacing w:line="240" w:lineRule="auto"/>
              <w:ind w:firstLine="0" w:firstLineChars="0"/>
              <w:jc w:val="left"/>
              <w:rPr>
                <w:rFonts w:hint="eastAsia" w:ascii="宋体" w:hAnsi="宋体" w:cs="宋体"/>
                <w:sz w:val="22"/>
                <w:szCs w:val="22"/>
                <w:shd w:val="clear" w:color="auto" w:fill="FFFFFF"/>
              </w:rPr>
            </w:pPr>
            <w:r>
              <w:rPr>
                <w:rFonts w:hint="eastAsia" w:cs="宋体" w:asciiTheme="majorEastAsia" w:hAnsiTheme="majorEastAsia" w:eastAsiaTheme="majorEastAsia"/>
                <w:spacing w:val="-2"/>
                <w:sz w:val="22"/>
                <w:szCs w:val="22"/>
              </w:rPr>
              <w:t>（</w:t>
            </w:r>
            <w:r>
              <w:rPr>
                <w:rFonts w:cs="宋体" w:asciiTheme="majorEastAsia" w:hAnsiTheme="majorEastAsia" w:eastAsiaTheme="majorEastAsia"/>
                <w:spacing w:val="-2"/>
                <w:sz w:val="22"/>
                <w:szCs w:val="22"/>
              </w:rPr>
              <w:t>20</w:t>
            </w:r>
            <w:r>
              <w:rPr>
                <w:rFonts w:hint="eastAsia" w:cs="宋体" w:asciiTheme="majorEastAsia" w:hAnsiTheme="majorEastAsia" w:eastAsiaTheme="majorEastAsia"/>
                <w:spacing w:val="-2"/>
                <w:sz w:val="22"/>
                <w:szCs w:val="22"/>
              </w:rPr>
              <w:t>分）</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09EC6FDA">
            <w:pPr>
              <w:kinsoku w:val="0"/>
              <w:overflowPunct w:val="0"/>
              <w:autoSpaceDE w:val="0"/>
              <w:autoSpaceDN w:val="0"/>
              <w:adjustRightInd w:val="0"/>
              <w:spacing w:line="240" w:lineRule="auto"/>
              <w:ind w:left="0" w:leftChars="0" w:firstLine="0" w:firstLineChars="0"/>
              <w:jc w:val="left"/>
              <w:rPr>
                <w:rFonts w:hint="eastAsia" w:cs="宋体" w:asciiTheme="majorEastAsia" w:hAnsiTheme="majorEastAsia" w:eastAsiaTheme="majorEastAsia"/>
                <w:kern w:val="2"/>
                <w:sz w:val="22"/>
                <w:szCs w:val="22"/>
                <w:lang w:val="en-US" w:eastAsia="zh-CN" w:bidi="ar-SA"/>
              </w:rPr>
            </w:pPr>
            <w:r>
              <w:rPr>
                <w:rFonts w:hint="eastAsia" w:asciiTheme="majorEastAsia" w:hAnsiTheme="majorEastAsia" w:eastAsiaTheme="majorEastAsia"/>
                <w:sz w:val="22"/>
                <w:szCs w:val="22"/>
              </w:rPr>
              <w:t>总体思路（</w:t>
            </w:r>
            <w:r>
              <w:rPr>
                <w:rFonts w:asciiTheme="majorEastAsia" w:hAnsiTheme="majorEastAsia" w:eastAsiaTheme="majorEastAsia"/>
                <w:sz w:val="22"/>
                <w:szCs w:val="22"/>
              </w:rPr>
              <w:t>5</w:t>
            </w:r>
            <w:r>
              <w:rPr>
                <w:rFonts w:hint="eastAsia" w:asciiTheme="majorEastAsia" w:hAnsiTheme="majorEastAsia" w:eastAsiaTheme="majorEastAsia"/>
                <w:sz w:val="22"/>
                <w:szCs w:val="22"/>
              </w:rPr>
              <w:t>分）</w:t>
            </w:r>
          </w:p>
        </w:tc>
        <w:tc>
          <w:tcPr>
            <w:tcW w:w="5119" w:type="dxa"/>
            <w:tcBorders>
              <w:top w:val="single" w:color="auto" w:sz="4" w:space="0"/>
              <w:left w:val="single" w:color="auto" w:sz="4" w:space="0"/>
              <w:bottom w:val="single" w:color="auto" w:sz="4" w:space="0"/>
              <w:right w:val="single" w:color="auto" w:sz="4" w:space="0"/>
            </w:tcBorders>
            <w:shd w:val="clear" w:color="auto" w:fill="auto"/>
            <w:vAlign w:val="center"/>
          </w:tcPr>
          <w:p w14:paraId="003C6048">
            <w:pPr>
              <w:widowControl/>
              <w:tabs>
                <w:tab w:val="left" w:pos="5040"/>
              </w:tabs>
              <w:spacing w:line="240" w:lineRule="auto"/>
              <w:ind w:left="0" w:leftChars="0" w:right="139" w:rightChars="58" w:firstLine="0" w:firstLineChars="0"/>
              <w:jc w:val="left"/>
              <w:textAlignment w:val="center"/>
              <w:rPr>
                <w:rFonts w:hint="eastAsia" w:cs="宋体" w:asciiTheme="majorEastAsia" w:hAnsiTheme="majorEastAsia" w:eastAsiaTheme="majorEastAsia"/>
                <w:sz w:val="22"/>
                <w:szCs w:val="22"/>
              </w:rPr>
            </w:pPr>
            <w:r>
              <w:rPr>
                <w:rFonts w:hint="eastAsia" w:cs="宋体" w:asciiTheme="majorEastAsia" w:hAnsiTheme="majorEastAsia" w:eastAsiaTheme="majorEastAsia"/>
                <w:sz w:val="22"/>
                <w:szCs w:val="22"/>
              </w:rPr>
              <w:t>提出针对本次招标范围内工作的理解，明确技术标准、方法、工作重点与难点。总体思路满足招标范围内工作要求，思路清晰、针对性强。</w:t>
            </w:r>
          </w:p>
          <w:p w14:paraId="0EFE8D60">
            <w:pPr>
              <w:widowControl/>
              <w:tabs>
                <w:tab w:val="left" w:pos="5040"/>
              </w:tabs>
              <w:spacing w:line="240" w:lineRule="auto"/>
              <w:ind w:left="0" w:leftChars="0" w:right="139" w:rightChars="58" w:firstLine="0" w:firstLineChars="0"/>
              <w:jc w:val="left"/>
              <w:textAlignment w:val="center"/>
              <w:rPr>
                <w:rFonts w:hint="eastAsia" w:cs="宋体" w:asciiTheme="majorEastAsia" w:hAnsiTheme="majorEastAsia" w:eastAsiaTheme="majorEastAsia"/>
                <w:sz w:val="22"/>
                <w:szCs w:val="22"/>
              </w:rPr>
            </w:pPr>
            <w:r>
              <w:rPr>
                <w:rFonts w:hint="eastAsia" w:cs="宋体" w:asciiTheme="majorEastAsia" w:hAnsiTheme="majorEastAsia" w:eastAsiaTheme="majorEastAsia"/>
                <w:sz w:val="22"/>
                <w:szCs w:val="22"/>
              </w:rPr>
              <w:t>优得</w:t>
            </w:r>
            <w:r>
              <w:rPr>
                <w:rFonts w:cs="宋体" w:asciiTheme="majorEastAsia" w:hAnsiTheme="majorEastAsia" w:eastAsiaTheme="majorEastAsia"/>
                <w:sz w:val="22"/>
                <w:szCs w:val="22"/>
              </w:rPr>
              <w:t>5</w:t>
            </w:r>
            <w:r>
              <w:rPr>
                <w:rFonts w:hint="eastAsia" w:cs="宋体" w:asciiTheme="majorEastAsia" w:hAnsiTheme="majorEastAsia" w:eastAsiaTheme="majorEastAsia"/>
                <w:sz w:val="22"/>
                <w:szCs w:val="22"/>
              </w:rPr>
              <w:t>-</w:t>
            </w:r>
            <w:r>
              <w:rPr>
                <w:rFonts w:cs="宋体" w:asciiTheme="majorEastAsia" w:hAnsiTheme="majorEastAsia" w:eastAsiaTheme="majorEastAsia"/>
                <w:sz w:val="22"/>
                <w:szCs w:val="22"/>
              </w:rPr>
              <w:t>4</w:t>
            </w:r>
            <w:r>
              <w:rPr>
                <w:rFonts w:hint="eastAsia" w:cs="宋体" w:asciiTheme="majorEastAsia" w:hAnsiTheme="majorEastAsia" w:eastAsiaTheme="majorEastAsia"/>
                <w:sz w:val="22"/>
                <w:szCs w:val="22"/>
              </w:rPr>
              <w:t>（含）分；</w:t>
            </w:r>
          </w:p>
          <w:p w14:paraId="15931552">
            <w:pPr>
              <w:widowControl/>
              <w:tabs>
                <w:tab w:val="left" w:pos="5040"/>
              </w:tabs>
              <w:spacing w:line="240" w:lineRule="auto"/>
              <w:ind w:left="0" w:leftChars="0" w:right="139" w:rightChars="58" w:firstLine="0" w:firstLineChars="0"/>
              <w:jc w:val="left"/>
              <w:textAlignment w:val="center"/>
              <w:rPr>
                <w:rFonts w:hint="eastAsia" w:cs="宋体" w:asciiTheme="majorEastAsia" w:hAnsiTheme="majorEastAsia" w:eastAsiaTheme="majorEastAsia"/>
                <w:sz w:val="22"/>
                <w:szCs w:val="22"/>
              </w:rPr>
            </w:pPr>
            <w:r>
              <w:rPr>
                <w:rFonts w:hint="eastAsia" w:cs="宋体" w:asciiTheme="majorEastAsia" w:hAnsiTheme="majorEastAsia" w:eastAsiaTheme="majorEastAsia"/>
                <w:sz w:val="22"/>
                <w:szCs w:val="22"/>
              </w:rPr>
              <w:t>良得</w:t>
            </w:r>
            <w:r>
              <w:rPr>
                <w:rFonts w:cs="宋体" w:asciiTheme="majorEastAsia" w:hAnsiTheme="majorEastAsia" w:eastAsiaTheme="majorEastAsia"/>
                <w:sz w:val="22"/>
                <w:szCs w:val="22"/>
              </w:rPr>
              <w:t>4</w:t>
            </w:r>
            <w:r>
              <w:rPr>
                <w:rFonts w:hint="eastAsia" w:cs="宋体" w:asciiTheme="majorEastAsia" w:hAnsiTheme="majorEastAsia" w:eastAsiaTheme="majorEastAsia"/>
                <w:sz w:val="22"/>
                <w:szCs w:val="22"/>
              </w:rPr>
              <w:t>（不含）</w:t>
            </w:r>
            <w:r>
              <w:rPr>
                <w:rFonts w:cs="宋体" w:asciiTheme="majorEastAsia" w:hAnsiTheme="majorEastAsia" w:eastAsiaTheme="majorEastAsia"/>
                <w:sz w:val="22"/>
                <w:szCs w:val="22"/>
              </w:rPr>
              <w:t>-2</w:t>
            </w:r>
            <w:r>
              <w:rPr>
                <w:rFonts w:hint="eastAsia" w:cs="宋体" w:asciiTheme="majorEastAsia" w:hAnsiTheme="majorEastAsia" w:eastAsiaTheme="majorEastAsia"/>
                <w:sz w:val="22"/>
                <w:szCs w:val="22"/>
              </w:rPr>
              <w:t>（含）分；</w:t>
            </w:r>
          </w:p>
          <w:p w14:paraId="52FE89E6">
            <w:pPr>
              <w:widowControl/>
              <w:tabs>
                <w:tab w:val="left" w:pos="5040"/>
              </w:tabs>
              <w:spacing w:line="240" w:lineRule="auto"/>
              <w:ind w:left="0" w:leftChars="0" w:right="139" w:rightChars="58" w:firstLine="0" w:firstLineChars="0"/>
              <w:jc w:val="left"/>
              <w:textAlignment w:val="center"/>
              <w:rPr>
                <w:rFonts w:hint="eastAsia" w:cs="宋体" w:asciiTheme="majorEastAsia" w:hAnsiTheme="majorEastAsia" w:eastAsiaTheme="majorEastAsia"/>
                <w:kern w:val="2"/>
                <w:sz w:val="22"/>
                <w:szCs w:val="22"/>
                <w:lang w:val="en-US" w:eastAsia="zh-CN" w:bidi="ar-SA"/>
              </w:rPr>
            </w:pPr>
            <w:r>
              <w:rPr>
                <w:rFonts w:hint="eastAsia" w:cs="宋体" w:asciiTheme="majorEastAsia" w:hAnsiTheme="majorEastAsia" w:eastAsiaTheme="majorEastAsia"/>
                <w:sz w:val="22"/>
                <w:szCs w:val="22"/>
              </w:rPr>
              <w:t>差得</w:t>
            </w:r>
            <w:r>
              <w:rPr>
                <w:rFonts w:cs="宋体" w:asciiTheme="majorEastAsia" w:hAnsiTheme="majorEastAsia" w:eastAsiaTheme="majorEastAsia"/>
                <w:sz w:val="22"/>
                <w:szCs w:val="22"/>
              </w:rPr>
              <w:t>2</w:t>
            </w:r>
            <w:r>
              <w:rPr>
                <w:rFonts w:hint="eastAsia" w:cs="宋体" w:asciiTheme="majorEastAsia" w:hAnsiTheme="majorEastAsia" w:eastAsiaTheme="majorEastAsia"/>
                <w:sz w:val="22"/>
                <w:szCs w:val="22"/>
              </w:rPr>
              <w:t>（不含）-0分。</w:t>
            </w:r>
          </w:p>
        </w:tc>
      </w:tr>
      <w:tr w14:paraId="532CB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83" w:type="dxa"/>
            <w:vMerge w:val="continue"/>
            <w:tcBorders>
              <w:right w:val="single" w:color="auto" w:sz="4" w:space="0"/>
            </w:tcBorders>
            <w:vAlign w:val="center"/>
          </w:tcPr>
          <w:p w14:paraId="7B623411">
            <w:pPr>
              <w:spacing w:line="240" w:lineRule="auto"/>
              <w:ind w:firstLine="30" w:firstLineChars="14"/>
              <w:jc w:val="left"/>
              <w:rPr>
                <w:rFonts w:hint="eastAsia" w:ascii="宋体" w:hAnsi="宋体" w:cs="宋体"/>
                <w:sz w:val="22"/>
                <w:szCs w:val="22"/>
                <w:shd w:val="clear" w:color="auto" w:fill="FFFFFF"/>
              </w:rPr>
            </w:pPr>
          </w:p>
        </w:tc>
        <w:tc>
          <w:tcPr>
            <w:tcW w:w="1335" w:type="dxa"/>
            <w:vMerge w:val="continue"/>
            <w:tcBorders>
              <w:left w:val="single" w:color="auto" w:sz="4" w:space="0"/>
              <w:right w:val="single" w:color="auto" w:sz="4" w:space="0"/>
            </w:tcBorders>
            <w:vAlign w:val="center"/>
          </w:tcPr>
          <w:p w14:paraId="5CF8E8F4">
            <w:pPr>
              <w:spacing w:line="240" w:lineRule="auto"/>
              <w:ind w:firstLine="0" w:firstLineChars="0"/>
              <w:jc w:val="left"/>
              <w:rPr>
                <w:rFonts w:hint="eastAsia" w:ascii="宋体" w:hAnsi="宋体" w:cs="宋体"/>
                <w:sz w:val="22"/>
                <w:szCs w:val="22"/>
                <w:shd w:val="clear" w:color="auto" w:fill="FFFFFF"/>
              </w:rPr>
            </w:pP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5C5172EE">
            <w:pPr>
              <w:kinsoku w:val="0"/>
              <w:overflowPunct w:val="0"/>
              <w:autoSpaceDE w:val="0"/>
              <w:autoSpaceDN w:val="0"/>
              <w:adjustRightInd w:val="0"/>
              <w:spacing w:line="240" w:lineRule="auto"/>
              <w:ind w:left="0" w:leftChars="0" w:firstLine="0" w:firstLineChars="0"/>
              <w:jc w:val="left"/>
              <w:rPr>
                <w:rFonts w:hint="eastAsia" w:asciiTheme="majorEastAsia" w:hAnsiTheme="majorEastAsia" w:eastAsiaTheme="majorEastAsia"/>
                <w:sz w:val="22"/>
                <w:szCs w:val="22"/>
              </w:rPr>
            </w:pPr>
            <w:r>
              <w:rPr>
                <w:rFonts w:hint="eastAsia" w:asciiTheme="majorEastAsia" w:hAnsiTheme="majorEastAsia" w:eastAsiaTheme="majorEastAsia"/>
                <w:sz w:val="22"/>
                <w:szCs w:val="22"/>
              </w:rPr>
              <w:t>工作计划及</w:t>
            </w:r>
          </w:p>
          <w:p w14:paraId="00DAE5BE">
            <w:pPr>
              <w:kinsoku w:val="0"/>
              <w:overflowPunct w:val="0"/>
              <w:autoSpaceDE w:val="0"/>
              <w:autoSpaceDN w:val="0"/>
              <w:adjustRightInd w:val="0"/>
              <w:spacing w:line="240" w:lineRule="auto"/>
              <w:ind w:left="0" w:leftChars="0" w:firstLine="0" w:firstLineChars="0"/>
              <w:jc w:val="left"/>
              <w:rPr>
                <w:rFonts w:hint="eastAsia" w:cs="Times New Roman" w:asciiTheme="majorEastAsia" w:hAnsiTheme="majorEastAsia" w:eastAsiaTheme="majorEastAsia"/>
                <w:kern w:val="2"/>
                <w:sz w:val="22"/>
                <w:szCs w:val="22"/>
                <w:lang w:val="en-US" w:eastAsia="zh-CN" w:bidi="ar-SA"/>
              </w:rPr>
            </w:pPr>
            <w:r>
              <w:rPr>
                <w:rFonts w:hint="eastAsia" w:asciiTheme="majorEastAsia" w:hAnsiTheme="majorEastAsia" w:eastAsiaTheme="majorEastAsia"/>
                <w:sz w:val="22"/>
                <w:szCs w:val="22"/>
              </w:rPr>
              <w:t>进度控制（</w:t>
            </w:r>
            <w:r>
              <w:rPr>
                <w:rFonts w:asciiTheme="majorEastAsia" w:hAnsiTheme="majorEastAsia" w:eastAsiaTheme="majorEastAsia"/>
                <w:sz w:val="22"/>
                <w:szCs w:val="22"/>
              </w:rPr>
              <w:t>5</w:t>
            </w:r>
            <w:r>
              <w:rPr>
                <w:rFonts w:hint="eastAsia" w:asciiTheme="majorEastAsia" w:hAnsiTheme="majorEastAsia" w:eastAsiaTheme="majorEastAsia"/>
                <w:sz w:val="22"/>
                <w:szCs w:val="22"/>
              </w:rPr>
              <w:t>分）</w:t>
            </w:r>
          </w:p>
        </w:tc>
        <w:tc>
          <w:tcPr>
            <w:tcW w:w="5119" w:type="dxa"/>
            <w:tcBorders>
              <w:top w:val="single" w:color="auto" w:sz="4" w:space="0"/>
              <w:left w:val="single" w:color="auto" w:sz="4" w:space="0"/>
              <w:bottom w:val="single" w:color="auto" w:sz="4" w:space="0"/>
              <w:right w:val="single" w:color="auto" w:sz="4" w:space="0"/>
            </w:tcBorders>
            <w:shd w:val="clear" w:color="auto" w:fill="auto"/>
            <w:vAlign w:val="center"/>
          </w:tcPr>
          <w:p w14:paraId="0E4B7734">
            <w:pPr>
              <w:widowControl/>
              <w:tabs>
                <w:tab w:val="left" w:pos="5040"/>
              </w:tabs>
              <w:spacing w:line="240" w:lineRule="auto"/>
              <w:ind w:left="0" w:leftChars="0" w:right="139" w:rightChars="58" w:firstLine="0" w:firstLineChars="0"/>
              <w:jc w:val="left"/>
              <w:textAlignment w:val="center"/>
              <w:rPr>
                <w:rFonts w:hint="eastAsia" w:cs="宋体" w:asciiTheme="majorEastAsia" w:hAnsiTheme="majorEastAsia" w:eastAsiaTheme="majorEastAsia"/>
                <w:sz w:val="22"/>
                <w:szCs w:val="22"/>
              </w:rPr>
            </w:pPr>
            <w:r>
              <w:rPr>
                <w:rFonts w:hint="eastAsia" w:cs="宋体" w:asciiTheme="majorEastAsia" w:hAnsiTheme="majorEastAsia" w:eastAsiaTheme="majorEastAsia"/>
                <w:sz w:val="22"/>
                <w:szCs w:val="22"/>
              </w:rPr>
              <w:t>投标人拟定的项目总体工作内容、工作深度切实可行，工作进度计划合理可靠。</w:t>
            </w:r>
          </w:p>
          <w:p w14:paraId="056EFCAF">
            <w:pPr>
              <w:pStyle w:val="2"/>
              <w:spacing w:before="0" w:after="0" w:line="240" w:lineRule="auto"/>
              <w:ind w:left="0" w:leftChars="0" w:firstLine="0" w:firstLineChars="0"/>
              <w:jc w:val="left"/>
              <w:rPr>
                <w:rFonts w:hint="eastAsia" w:cs="宋体" w:asciiTheme="majorEastAsia" w:hAnsiTheme="majorEastAsia" w:eastAsiaTheme="majorEastAsia"/>
                <w:b w:val="0"/>
                <w:caps w:val="0"/>
                <w:kern w:val="2"/>
                <w:sz w:val="22"/>
                <w:szCs w:val="22"/>
              </w:rPr>
            </w:pPr>
            <w:r>
              <w:rPr>
                <w:rFonts w:hint="eastAsia" w:cs="宋体" w:asciiTheme="majorEastAsia" w:hAnsiTheme="majorEastAsia" w:eastAsiaTheme="majorEastAsia"/>
                <w:b w:val="0"/>
                <w:caps w:val="0"/>
                <w:kern w:val="2"/>
                <w:sz w:val="22"/>
                <w:szCs w:val="22"/>
              </w:rPr>
              <w:t>优得5-4（含）分；</w:t>
            </w:r>
          </w:p>
          <w:p w14:paraId="038CB22E">
            <w:pPr>
              <w:pStyle w:val="2"/>
              <w:spacing w:before="0" w:after="0" w:line="240" w:lineRule="auto"/>
              <w:ind w:left="0" w:leftChars="0" w:firstLine="0" w:firstLineChars="0"/>
              <w:jc w:val="left"/>
              <w:rPr>
                <w:rFonts w:hint="eastAsia" w:cs="宋体" w:asciiTheme="majorEastAsia" w:hAnsiTheme="majorEastAsia" w:eastAsiaTheme="majorEastAsia"/>
                <w:b w:val="0"/>
                <w:caps w:val="0"/>
                <w:kern w:val="2"/>
                <w:sz w:val="22"/>
                <w:szCs w:val="22"/>
              </w:rPr>
            </w:pPr>
            <w:r>
              <w:rPr>
                <w:rFonts w:hint="eastAsia" w:cs="宋体" w:asciiTheme="majorEastAsia" w:hAnsiTheme="majorEastAsia" w:eastAsiaTheme="majorEastAsia"/>
                <w:b w:val="0"/>
                <w:caps w:val="0"/>
                <w:kern w:val="2"/>
                <w:sz w:val="22"/>
                <w:szCs w:val="22"/>
              </w:rPr>
              <w:t>良得4（不含）-2（含）分；</w:t>
            </w:r>
          </w:p>
          <w:p w14:paraId="6A6C39EC">
            <w:pPr>
              <w:pStyle w:val="2"/>
              <w:spacing w:before="0" w:after="0" w:line="240" w:lineRule="auto"/>
              <w:ind w:left="0" w:leftChars="0" w:firstLine="0" w:firstLineChars="0"/>
              <w:jc w:val="left"/>
              <w:rPr>
                <w:rFonts w:hint="eastAsia" w:cs="Times New Roman" w:asciiTheme="majorEastAsia" w:hAnsiTheme="majorEastAsia" w:eastAsiaTheme="majorEastAsia"/>
                <w:b/>
                <w:bCs/>
                <w:kern w:val="2"/>
                <w:sz w:val="22"/>
                <w:szCs w:val="22"/>
                <w:lang w:val="en-US" w:eastAsia="zh-CN" w:bidi="ar-SA"/>
              </w:rPr>
            </w:pPr>
            <w:r>
              <w:rPr>
                <w:rFonts w:hint="eastAsia" w:cs="宋体" w:asciiTheme="majorEastAsia" w:hAnsiTheme="majorEastAsia" w:eastAsiaTheme="majorEastAsia"/>
                <w:b w:val="0"/>
                <w:caps w:val="0"/>
                <w:kern w:val="2"/>
                <w:sz w:val="22"/>
                <w:szCs w:val="22"/>
              </w:rPr>
              <w:t>差得2（不含）-0分。</w:t>
            </w:r>
          </w:p>
        </w:tc>
      </w:tr>
      <w:tr w14:paraId="6AEA9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83" w:type="dxa"/>
            <w:vMerge w:val="continue"/>
            <w:tcBorders>
              <w:right w:val="single" w:color="auto" w:sz="4" w:space="0"/>
            </w:tcBorders>
            <w:vAlign w:val="center"/>
          </w:tcPr>
          <w:p w14:paraId="6F3CFC25">
            <w:pPr>
              <w:spacing w:line="240" w:lineRule="auto"/>
              <w:ind w:firstLine="30" w:firstLineChars="14"/>
              <w:jc w:val="left"/>
              <w:rPr>
                <w:rFonts w:hint="eastAsia" w:ascii="宋体" w:hAnsi="宋体" w:cs="宋体"/>
                <w:sz w:val="22"/>
                <w:szCs w:val="22"/>
                <w:shd w:val="clear" w:color="auto" w:fill="FFFFFF"/>
              </w:rPr>
            </w:pPr>
          </w:p>
        </w:tc>
        <w:tc>
          <w:tcPr>
            <w:tcW w:w="1335" w:type="dxa"/>
            <w:vMerge w:val="continue"/>
            <w:tcBorders>
              <w:left w:val="single" w:color="auto" w:sz="4" w:space="0"/>
              <w:right w:val="single" w:color="auto" w:sz="4" w:space="0"/>
            </w:tcBorders>
            <w:vAlign w:val="center"/>
          </w:tcPr>
          <w:p w14:paraId="7B9DF794">
            <w:pPr>
              <w:spacing w:line="240" w:lineRule="auto"/>
              <w:ind w:firstLine="0" w:firstLineChars="0"/>
              <w:jc w:val="left"/>
              <w:rPr>
                <w:rFonts w:hint="eastAsia" w:ascii="宋体" w:hAnsi="宋体" w:cs="宋体"/>
                <w:sz w:val="22"/>
                <w:szCs w:val="22"/>
                <w:shd w:val="clear" w:color="auto" w:fill="FFFFFF"/>
              </w:rPr>
            </w:pP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44AF2909">
            <w:pPr>
              <w:kinsoku w:val="0"/>
              <w:overflowPunct w:val="0"/>
              <w:autoSpaceDE w:val="0"/>
              <w:autoSpaceDN w:val="0"/>
              <w:adjustRightInd w:val="0"/>
              <w:spacing w:line="240" w:lineRule="auto"/>
              <w:ind w:left="0" w:leftChars="0" w:firstLine="0" w:firstLineChars="0"/>
              <w:jc w:val="left"/>
              <w:rPr>
                <w:rFonts w:hint="eastAsia" w:cs="宋体" w:asciiTheme="majorEastAsia" w:hAnsiTheme="majorEastAsia" w:eastAsiaTheme="majorEastAsia"/>
                <w:kern w:val="2"/>
                <w:sz w:val="22"/>
                <w:szCs w:val="22"/>
                <w:lang w:val="en-US" w:eastAsia="zh-CN" w:bidi="ar-SA"/>
              </w:rPr>
            </w:pPr>
            <w:r>
              <w:rPr>
                <w:rFonts w:hint="eastAsia" w:asciiTheme="majorEastAsia" w:hAnsiTheme="majorEastAsia" w:eastAsiaTheme="majorEastAsia"/>
                <w:sz w:val="22"/>
                <w:szCs w:val="22"/>
              </w:rPr>
              <w:t>总体保障（</w:t>
            </w:r>
            <w:r>
              <w:rPr>
                <w:rFonts w:asciiTheme="majorEastAsia" w:hAnsiTheme="majorEastAsia" w:eastAsiaTheme="majorEastAsia"/>
                <w:sz w:val="22"/>
                <w:szCs w:val="22"/>
              </w:rPr>
              <w:t>5</w:t>
            </w:r>
            <w:r>
              <w:rPr>
                <w:rFonts w:hint="eastAsia" w:asciiTheme="majorEastAsia" w:hAnsiTheme="majorEastAsia" w:eastAsiaTheme="majorEastAsia"/>
                <w:sz w:val="22"/>
                <w:szCs w:val="22"/>
              </w:rPr>
              <w:t>分）</w:t>
            </w:r>
          </w:p>
        </w:tc>
        <w:tc>
          <w:tcPr>
            <w:tcW w:w="5119" w:type="dxa"/>
            <w:tcBorders>
              <w:top w:val="single" w:color="auto" w:sz="4" w:space="0"/>
              <w:left w:val="single" w:color="auto" w:sz="4" w:space="0"/>
              <w:bottom w:val="single" w:color="auto" w:sz="4" w:space="0"/>
              <w:right w:val="single" w:color="auto" w:sz="4" w:space="0"/>
            </w:tcBorders>
            <w:shd w:val="clear" w:color="auto" w:fill="auto"/>
            <w:vAlign w:val="center"/>
          </w:tcPr>
          <w:p w14:paraId="156565EB">
            <w:pPr>
              <w:widowControl/>
              <w:tabs>
                <w:tab w:val="left" w:pos="5040"/>
              </w:tabs>
              <w:spacing w:line="240" w:lineRule="auto"/>
              <w:ind w:left="0" w:leftChars="0" w:right="139" w:rightChars="58" w:firstLine="0" w:firstLineChars="0"/>
              <w:jc w:val="left"/>
              <w:textAlignment w:val="center"/>
              <w:rPr>
                <w:rFonts w:hint="eastAsia" w:cs="宋体" w:asciiTheme="majorEastAsia" w:hAnsiTheme="majorEastAsia" w:eastAsiaTheme="majorEastAsia"/>
                <w:sz w:val="22"/>
                <w:szCs w:val="22"/>
              </w:rPr>
            </w:pPr>
            <w:r>
              <w:rPr>
                <w:rFonts w:hint="eastAsia" w:cs="宋体" w:asciiTheme="majorEastAsia" w:hAnsiTheme="majorEastAsia" w:eastAsiaTheme="majorEastAsia"/>
                <w:sz w:val="22"/>
                <w:szCs w:val="22"/>
              </w:rPr>
              <w:t>投标人从人员保障、进度保障、质量保障等方面系统设计，内容完整，</w:t>
            </w:r>
            <w:r>
              <w:rPr>
                <w:rFonts w:hint="eastAsia" w:cs="宋体" w:asciiTheme="majorEastAsia" w:hAnsiTheme="majorEastAsia" w:eastAsiaTheme="majorEastAsia"/>
                <w:bCs/>
                <w:sz w:val="22"/>
                <w:szCs w:val="22"/>
              </w:rPr>
              <w:t>保障有力</w:t>
            </w:r>
            <w:r>
              <w:rPr>
                <w:rFonts w:hint="eastAsia" w:cs="宋体" w:asciiTheme="majorEastAsia" w:hAnsiTheme="majorEastAsia" w:eastAsiaTheme="majorEastAsia"/>
                <w:sz w:val="22"/>
                <w:szCs w:val="22"/>
              </w:rPr>
              <w:t>。</w:t>
            </w:r>
          </w:p>
          <w:p w14:paraId="6DF39DAA">
            <w:pPr>
              <w:widowControl/>
              <w:tabs>
                <w:tab w:val="left" w:pos="5040"/>
              </w:tabs>
              <w:spacing w:line="240" w:lineRule="auto"/>
              <w:ind w:left="0" w:leftChars="0" w:right="139" w:rightChars="58" w:firstLine="0" w:firstLineChars="0"/>
              <w:jc w:val="left"/>
              <w:textAlignment w:val="center"/>
              <w:rPr>
                <w:rFonts w:hint="eastAsia" w:cs="宋体" w:asciiTheme="majorEastAsia" w:hAnsiTheme="majorEastAsia" w:eastAsiaTheme="majorEastAsia"/>
                <w:sz w:val="22"/>
                <w:szCs w:val="22"/>
              </w:rPr>
            </w:pPr>
            <w:r>
              <w:rPr>
                <w:rFonts w:hint="eastAsia" w:cs="宋体" w:asciiTheme="majorEastAsia" w:hAnsiTheme="majorEastAsia" w:eastAsiaTheme="majorEastAsia"/>
                <w:sz w:val="22"/>
                <w:szCs w:val="22"/>
              </w:rPr>
              <w:t>优得5-4（含）分；</w:t>
            </w:r>
          </w:p>
          <w:p w14:paraId="68BFE833">
            <w:pPr>
              <w:widowControl/>
              <w:tabs>
                <w:tab w:val="left" w:pos="5040"/>
              </w:tabs>
              <w:spacing w:line="240" w:lineRule="auto"/>
              <w:ind w:left="0" w:leftChars="0" w:right="139" w:rightChars="58" w:firstLine="0" w:firstLineChars="0"/>
              <w:jc w:val="left"/>
              <w:textAlignment w:val="center"/>
              <w:rPr>
                <w:rFonts w:hint="eastAsia" w:cs="宋体" w:asciiTheme="majorEastAsia" w:hAnsiTheme="majorEastAsia" w:eastAsiaTheme="majorEastAsia"/>
                <w:sz w:val="22"/>
                <w:szCs w:val="22"/>
              </w:rPr>
            </w:pPr>
            <w:r>
              <w:rPr>
                <w:rFonts w:hint="eastAsia" w:cs="宋体" w:asciiTheme="majorEastAsia" w:hAnsiTheme="majorEastAsia" w:eastAsiaTheme="majorEastAsia"/>
                <w:sz w:val="22"/>
                <w:szCs w:val="22"/>
              </w:rPr>
              <w:t>良得4（不含）-2（含）分；</w:t>
            </w:r>
          </w:p>
          <w:p w14:paraId="09C20A66">
            <w:pPr>
              <w:widowControl/>
              <w:tabs>
                <w:tab w:val="left" w:pos="5040"/>
              </w:tabs>
              <w:spacing w:line="240" w:lineRule="auto"/>
              <w:ind w:left="0" w:leftChars="0" w:right="139" w:rightChars="58" w:firstLine="0" w:firstLineChars="0"/>
              <w:jc w:val="left"/>
              <w:textAlignment w:val="center"/>
              <w:rPr>
                <w:rFonts w:hint="eastAsia" w:cs="宋体" w:asciiTheme="majorEastAsia" w:hAnsiTheme="majorEastAsia" w:eastAsiaTheme="majorEastAsia"/>
                <w:kern w:val="2"/>
                <w:sz w:val="22"/>
                <w:szCs w:val="22"/>
                <w:lang w:val="en-US" w:eastAsia="zh-CN" w:bidi="ar-SA"/>
              </w:rPr>
            </w:pPr>
            <w:r>
              <w:rPr>
                <w:rFonts w:hint="eastAsia" w:cs="宋体" w:asciiTheme="majorEastAsia" w:hAnsiTheme="majorEastAsia" w:eastAsiaTheme="majorEastAsia"/>
                <w:sz w:val="22"/>
                <w:szCs w:val="22"/>
              </w:rPr>
              <w:t>差得2（不含）-0分。</w:t>
            </w:r>
          </w:p>
        </w:tc>
      </w:tr>
      <w:tr w14:paraId="5DF60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83" w:type="dxa"/>
            <w:vMerge w:val="continue"/>
            <w:tcBorders>
              <w:bottom w:val="single" w:color="auto" w:sz="4" w:space="0"/>
              <w:right w:val="single" w:color="auto" w:sz="4" w:space="0"/>
            </w:tcBorders>
            <w:vAlign w:val="center"/>
          </w:tcPr>
          <w:p w14:paraId="19AB5292">
            <w:pPr>
              <w:spacing w:line="240" w:lineRule="auto"/>
              <w:ind w:firstLine="30" w:firstLineChars="14"/>
              <w:jc w:val="left"/>
              <w:rPr>
                <w:rFonts w:hint="eastAsia" w:ascii="宋体" w:hAnsi="宋体" w:cs="宋体"/>
                <w:sz w:val="22"/>
                <w:szCs w:val="22"/>
                <w:shd w:val="clear" w:color="auto" w:fill="FFFFFF"/>
              </w:rPr>
            </w:pPr>
          </w:p>
        </w:tc>
        <w:tc>
          <w:tcPr>
            <w:tcW w:w="1335" w:type="dxa"/>
            <w:vMerge w:val="continue"/>
            <w:tcBorders>
              <w:left w:val="single" w:color="auto" w:sz="4" w:space="0"/>
              <w:bottom w:val="single" w:color="auto" w:sz="4" w:space="0"/>
              <w:right w:val="single" w:color="auto" w:sz="4" w:space="0"/>
            </w:tcBorders>
            <w:vAlign w:val="center"/>
          </w:tcPr>
          <w:p w14:paraId="2727FF15">
            <w:pPr>
              <w:spacing w:line="240" w:lineRule="auto"/>
              <w:ind w:firstLine="0" w:firstLineChars="0"/>
              <w:jc w:val="left"/>
              <w:rPr>
                <w:rFonts w:hint="eastAsia" w:ascii="宋体" w:hAnsi="宋体" w:cs="宋体"/>
                <w:sz w:val="22"/>
                <w:szCs w:val="22"/>
                <w:shd w:val="clear" w:color="auto" w:fill="FFFFFF"/>
              </w:rPr>
            </w:pP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06734399">
            <w:pPr>
              <w:kinsoku w:val="0"/>
              <w:overflowPunct w:val="0"/>
              <w:autoSpaceDE w:val="0"/>
              <w:autoSpaceDN w:val="0"/>
              <w:adjustRightInd w:val="0"/>
              <w:spacing w:line="240" w:lineRule="auto"/>
              <w:ind w:left="0" w:leftChars="0" w:firstLine="0" w:firstLineChars="0"/>
              <w:jc w:val="left"/>
              <w:rPr>
                <w:rFonts w:hint="eastAsia" w:cs="Times New Roman" w:asciiTheme="majorEastAsia" w:hAnsiTheme="majorEastAsia" w:eastAsiaTheme="majorEastAsia"/>
                <w:kern w:val="2"/>
                <w:sz w:val="22"/>
                <w:szCs w:val="22"/>
                <w:lang w:val="en-US" w:eastAsia="zh-CN" w:bidi="ar-SA"/>
              </w:rPr>
            </w:pPr>
            <w:r>
              <w:rPr>
                <w:rFonts w:hint="eastAsia" w:cs="宋体" w:asciiTheme="majorEastAsia" w:hAnsiTheme="majorEastAsia" w:eastAsiaTheme="majorEastAsia"/>
                <w:sz w:val="22"/>
                <w:szCs w:val="22"/>
              </w:rPr>
              <w:t>后续服务（</w:t>
            </w:r>
            <w:r>
              <w:rPr>
                <w:rFonts w:cs="宋体" w:asciiTheme="majorEastAsia" w:hAnsiTheme="majorEastAsia" w:eastAsiaTheme="majorEastAsia"/>
                <w:sz w:val="22"/>
                <w:szCs w:val="22"/>
              </w:rPr>
              <w:t>5</w:t>
            </w:r>
            <w:r>
              <w:rPr>
                <w:rFonts w:hint="eastAsia" w:cs="宋体" w:asciiTheme="majorEastAsia" w:hAnsiTheme="majorEastAsia" w:eastAsiaTheme="majorEastAsia"/>
                <w:sz w:val="22"/>
                <w:szCs w:val="22"/>
              </w:rPr>
              <w:t>分）</w:t>
            </w:r>
          </w:p>
        </w:tc>
        <w:tc>
          <w:tcPr>
            <w:tcW w:w="5119" w:type="dxa"/>
            <w:tcBorders>
              <w:top w:val="single" w:color="auto" w:sz="4" w:space="0"/>
              <w:left w:val="single" w:color="auto" w:sz="4" w:space="0"/>
              <w:bottom w:val="single" w:color="auto" w:sz="4" w:space="0"/>
              <w:right w:val="single" w:color="auto" w:sz="4" w:space="0"/>
            </w:tcBorders>
            <w:shd w:val="clear" w:color="auto" w:fill="auto"/>
            <w:vAlign w:val="center"/>
          </w:tcPr>
          <w:p w14:paraId="34332CFB">
            <w:pPr>
              <w:widowControl/>
              <w:kinsoku w:val="0"/>
              <w:overflowPunct w:val="0"/>
              <w:autoSpaceDE w:val="0"/>
              <w:autoSpaceDN w:val="0"/>
              <w:adjustRightInd w:val="0"/>
              <w:snapToGrid w:val="0"/>
              <w:spacing w:line="240" w:lineRule="auto"/>
              <w:ind w:left="0" w:leftChars="0" w:firstLine="0" w:firstLineChars="0"/>
              <w:jc w:val="left"/>
              <w:rPr>
                <w:rFonts w:hint="eastAsia" w:cs="宋体" w:asciiTheme="majorEastAsia" w:hAnsiTheme="majorEastAsia" w:eastAsiaTheme="majorEastAsia"/>
                <w:sz w:val="22"/>
                <w:szCs w:val="22"/>
                <w:lang w:val="en-US" w:eastAsia="zh-CN"/>
              </w:rPr>
            </w:pPr>
            <w:r>
              <w:rPr>
                <w:rFonts w:hint="eastAsia" w:cs="宋体" w:asciiTheme="majorEastAsia" w:hAnsiTheme="majorEastAsia" w:eastAsiaTheme="majorEastAsia"/>
                <w:sz w:val="22"/>
                <w:szCs w:val="22"/>
              </w:rPr>
              <w:t>对比各</w:t>
            </w:r>
            <w:r>
              <w:rPr>
                <w:rFonts w:hint="eastAsia" w:cs="宋体" w:asciiTheme="majorEastAsia" w:hAnsiTheme="majorEastAsia" w:eastAsiaTheme="majorEastAsia"/>
                <w:sz w:val="22"/>
                <w:szCs w:val="22"/>
                <w:lang w:val="en-US" w:eastAsia="zh-CN"/>
              </w:rPr>
              <w:t>竞</w:t>
            </w:r>
            <w:r>
              <w:rPr>
                <w:rFonts w:hint="eastAsia" w:cs="宋体" w:asciiTheme="majorEastAsia" w:hAnsiTheme="majorEastAsia" w:eastAsiaTheme="majorEastAsia"/>
                <w:sz w:val="22"/>
                <w:szCs w:val="22"/>
              </w:rPr>
              <w:t>标人与招标人、报告审批部门沟通的便捷程度，提供服务的措施，后续服务情况、承诺、保障措施等情况综合评价等酌情评分：</w:t>
            </w:r>
          </w:p>
          <w:p w14:paraId="4CC16723">
            <w:pPr>
              <w:widowControl/>
              <w:tabs>
                <w:tab w:val="left" w:pos="5040"/>
              </w:tabs>
              <w:spacing w:line="240" w:lineRule="auto"/>
              <w:ind w:left="0" w:leftChars="0" w:right="139" w:rightChars="58" w:firstLine="0" w:firstLineChars="0"/>
              <w:jc w:val="left"/>
              <w:textAlignment w:val="center"/>
              <w:rPr>
                <w:rFonts w:hint="eastAsia" w:cs="宋体" w:asciiTheme="majorEastAsia" w:hAnsiTheme="majorEastAsia" w:eastAsiaTheme="majorEastAsia"/>
                <w:sz w:val="22"/>
                <w:szCs w:val="22"/>
              </w:rPr>
            </w:pPr>
            <w:r>
              <w:rPr>
                <w:rFonts w:hint="eastAsia" w:cs="宋体" w:asciiTheme="majorEastAsia" w:hAnsiTheme="majorEastAsia" w:eastAsiaTheme="majorEastAsia"/>
                <w:sz w:val="22"/>
                <w:szCs w:val="22"/>
              </w:rPr>
              <w:t>优得5-4（含）分；</w:t>
            </w:r>
          </w:p>
          <w:p w14:paraId="0FFA1AA1">
            <w:pPr>
              <w:widowControl/>
              <w:tabs>
                <w:tab w:val="left" w:pos="5040"/>
              </w:tabs>
              <w:spacing w:line="240" w:lineRule="auto"/>
              <w:ind w:left="0" w:leftChars="0" w:right="139" w:rightChars="58" w:firstLine="0" w:firstLineChars="0"/>
              <w:jc w:val="left"/>
              <w:textAlignment w:val="center"/>
              <w:rPr>
                <w:rFonts w:hint="eastAsia" w:cs="宋体" w:asciiTheme="majorEastAsia" w:hAnsiTheme="majorEastAsia" w:eastAsiaTheme="majorEastAsia"/>
                <w:sz w:val="22"/>
                <w:szCs w:val="22"/>
              </w:rPr>
            </w:pPr>
            <w:r>
              <w:rPr>
                <w:rFonts w:hint="eastAsia" w:cs="宋体" w:asciiTheme="majorEastAsia" w:hAnsiTheme="majorEastAsia" w:eastAsiaTheme="majorEastAsia"/>
                <w:sz w:val="22"/>
                <w:szCs w:val="22"/>
              </w:rPr>
              <w:t>良得4（不含）-2（含）分；</w:t>
            </w:r>
          </w:p>
          <w:p w14:paraId="41BDCAEF">
            <w:pPr>
              <w:widowControl/>
              <w:kinsoku w:val="0"/>
              <w:overflowPunct w:val="0"/>
              <w:autoSpaceDE w:val="0"/>
              <w:autoSpaceDN w:val="0"/>
              <w:adjustRightInd w:val="0"/>
              <w:snapToGrid w:val="0"/>
              <w:spacing w:line="240" w:lineRule="auto"/>
              <w:ind w:left="0" w:leftChars="0" w:firstLine="0" w:firstLineChars="0"/>
              <w:jc w:val="left"/>
              <w:rPr>
                <w:rFonts w:hint="eastAsia" w:cs="宋体" w:asciiTheme="majorEastAsia" w:hAnsiTheme="majorEastAsia" w:eastAsiaTheme="majorEastAsia"/>
                <w:kern w:val="2"/>
                <w:sz w:val="22"/>
                <w:szCs w:val="22"/>
                <w:lang w:val="en-US" w:eastAsia="zh-CN" w:bidi="ar-SA"/>
              </w:rPr>
            </w:pPr>
            <w:r>
              <w:rPr>
                <w:rFonts w:hint="eastAsia" w:cs="宋体" w:asciiTheme="majorEastAsia" w:hAnsiTheme="majorEastAsia" w:eastAsiaTheme="majorEastAsia"/>
                <w:sz w:val="22"/>
                <w:szCs w:val="22"/>
              </w:rPr>
              <w:t>差得2（不含）-0分。</w:t>
            </w:r>
          </w:p>
        </w:tc>
      </w:tr>
      <w:tr w14:paraId="689F0D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83" w:type="dxa"/>
            <w:tcBorders>
              <w:top w:val="single" w:color="auto" w:sz="4" w:space="0"/>
              <w:bottom w:val="single" w:color="auto" w:sz="4" w:space="0"/>
              <w:right w:val="single" w:color="auto" w:sz="4" w:space="0"/>
            </w:tcBorders>
            <w:shd w:val="clear" w:color="auto" w:fill="auto"/>
            <w:vAlign w:val="center"/>
          </w:tcPr>
          <w:p w14:paraId="73CBB08E">
            <w:pPr>
              <w:kinsoku w:val="0"/>
              <w:overflowPunct w:val="0"/>
              <w:autoSpaceDE w:val="0"/>
              <w:autoSpaceDN w:val="0"/>
              <w:adjustRightInd w:val="0"/>
              <w:snapToGrid w:val="0"/>
              <w:spacing w:line="240" w:lineRule="auto"/>
              <w:ind w:left="0" w:leftChars="0" w:firstLine="0" w:firstLineChars="0"/>
              <w:jc w:val="left"/>
              <w:rPr>
                <w:rFonts w:hint="eastAsia" w:cs="宋体" w:asciiTheme="majorEastAsia" w:hAnsiTheme="majorEastAsia" w:eastAsiaTheme="majorEastAsia"/>
                <w:kern w:val="0"/>
                <w:sz w:val="22"/>
                <w:szCs w:val="20"/>
                <w:lang w:val="en-US" w:eastAsia="zh-CN" w:bidi="ar-SA"/>
              </w:rPr>
            </w:pPr>
            <w:r>
              <w:rPr>
                <w:rFonts w:cs="宋体" w:asciiTheme="majorEastAsia" w:hAnsiTheme="majorEastAsia" w:eastAsiaTheme="majorEastAsia"/>
                <w:kern w:val="0"/>
                <w:sz w:val="22"/>
                <w:szCs w:val="20"/>
              </w:rPr>
              <w:t>2.</w:t>
            </w:r>
            <w:r>
              <w:rPr>
                <w:rFonts w:hint="eastAsia" w:cs="宋体" w:asciiTheme="majorEastAsia" w:hAnsiTheme="majorEastAsia" w:eastAsiaTheme="majorEastAsia"/>
                <w:kern w:val="0"/>
                <w:sz w:val="22"/>
                <w:szCs w:val="20"/>
                <w:lang w:val="en-US" w:eastAsia="zh-CN"/>
              </w:rPr>
              <w:t>4</w:t>
            </w:r>
            <w:r>
              <w:rPr>
                <w:rFonts w:cs="宋体" w:asciiTheme="majorEastAsia" w:hAnsiTheme="majorEastAsia" w:eastAsiaTheme="majorEastAsia"/>
                <w:kern w:val="0"/>
                <w:sz w:val="22"/>
                <w:szCs w:val="20"/>
              </w:rPr>
              <w:t>.</w:t>
            </w:r>
            <w:r>
              <w:rPr>
                <w:rFonts w:hint="eastAsia" w:cs="宋体" w:asciiTheme="majorEastAsia" w:hAnsiTheme="majorEastAsia" w:eastAsiaTheme="majorEastAsia"/>
                <w:kern w:val="0"/>
                <w:sz w:val="22"/>
                <w:szCs w:val="20"/>
                <w:lang w:val="en-US" w:eastAsia="zh-CN"/>
              </w:rPr>
              <w:t>3</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2B075FF9">
            <w:pPr>
              <w:kinsoku w:val="0"/>
              <w:overflowPunct w:val="0"/>
              <w:autoSpaceDE w:val="0"/>
              <w:autoSpaceDN w:val="0"/>
              <w:adjustRightInd w:val="0"/>
              <w:snapToGrid w:val="0"/>
              <w:spacing w:line="240" w:lineRule="auto"/>
              <w:ind w:left="0" w:leftChars="0" w:firstLine="0" w:firstLineChars="0"/>
              <w:jc w:val="left"/>
              <w:rPr>
                <w:rFonts w:hint="eastAsia" w:asciiTheme="majorEastAsia" w:hAnsiTheme="majorEastAsia" w:eastAsiaTheme="majorEastAsia"/>
                <w:sz w:val="22"/>
                <w:szCs w:val="20"/>
              </w:rPr>
            </w:pPr>
            <w:r>
              <w:rPr>
                <w:rFonts w:hint="eastAsia" w:cs="宋体" w:asciiTheme="majorEastAsia" w:hAnsiTheme="majorEastAsia" w:eastAsiaTheme="majorEastAsia"/>
                <w:sz w:val="22"/>
                <w:szCs w:val="20"/>
              </w:rPr>
              <w:t>报价部分</w:t>
            </w:r>
          </w:p>
          <w:p w14:paraId="05D21E3A">
            <w:pPr>
              <w:kinsoku w:val="0"/>
              <w:overflowPunct w:val="0"/>
              <w:autoSpaceDE w:val="0"/>
              <w:autoSpaceDN w:val="0"/>
              <w:adjustRightInd w:val="0"/>
              <w:snapToGrid w:val="0"/>
              <w:spacing w:line="240" w:lineRule="auto"/>
              <w:ind w:left="0" w:leftChars="0" w:firstLine="0" w:firstLineChars="0"/>
              <w:jc w:val="left"/>
              <w:rPr>
                <w:rFonts w:hint="eastAsia" w:cs="宋体" w:asciiTheme="majorEastAsia" w:hAnsiTheme="majorEastAsia" w:eastAsiaTheme="majorEastAsia"/>
                <w:spacing w:val="-2"/>
                <w:kern w:val="2"/>
                <w:sz w:val="22"/>
                <w:szCs w:val="20"/>
                <w:lang w:val="en-US" w:eastAsia="zh-CN" w:bidi="ar-SA"/>
              </w:rPr>
            </w:pPr>
            <w:r>
              <w:rPr>
                <w:rFonts w:hint="eastAsia" w:cs="宋体" w:asciiTheme="majorEastAsia" w:hAnsiTheme="majorEastAsia" w:eastAsiaTheme="majorEastAsia"/>
                <w:sz w:val="22"/>
                <w:szCs w:val="20"/>
              </w:rPr>
              <w:t>（</w:t>
            </w:r>
            <w:r>
              <w:rPr>
                <w:rFonts w:cs="宋体" w:asciiTheme="majorEastAsia" w:hAnsiTheme="majorEastAsia" w:eastAsiaTheme="majorEastAsia"/>
                <w:sz w:val="22"/>
                <w:szCs w:val="20"/>
              </w:rPr>
              <w:t>70</w:t>
            </w:r>
            <w:r>
              <w:rPr>
                <w:rFonts w:hint="eastAsia" w:cs="宋体" w:asciiTheme="majorEastAsia" w:hAnsiTheme="majorEastAsia" w:eastAsiaTheme="majorEastAsia"/>
                <w:sz w:val="22"/>
                <w:szCs w:val="20"/>
              </w:rPr>
              <w:t>分）</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41D2EEA3">
            <w:pPr>
              <w:kinsoku w:val="0"/>
              <w:overflowPunct w:val="0"/>
              <w:autoSpaceDE w:val="0"/>
              <w:autoSpaceDN w:val="0"/>
              <w:adjustRightInd w:val="0"/>
              <w:spacing w:line="240" w:lineRule="auto"/>
              <w:ind w:left="0" w:leftChars="0" w:firstLine="0" w:firstLineChars="0"/>
              <w:jc w:val="left"/>
              <w:rPr>
                <w:rFonts w:hint="eastAsia" w:cs="Times New Roman" w:asciiTheme="majorEastAsia" w:hAnsiTheme="majorEastAsia" w:eastAsiaTheme="majorEastAsia"/>
                <w:kern w:val="2"/>
                <w:sz w:val="22"/>
                <w:szCs w:val="20"/>
                <w:lang w:val="en-US" w:eastAsia="zh-CN" w:bidi="ar-SA"/>
              </w:rPr>
            </w:pPr>
            <w:r>
              <w:rPr>
                <w:rFonts w:hint="eastAsia" w:cs="宋体" w:asciiTheme="majorEastAsia" w:hAnsiTheme="majorEastAsia" w:eastAsiaTheme="majorEastAsia"/>
                <w:sz w:val="22"/>
                <w:szCs w:val="20"/>
              </w:rPr>
              <w:t>投标</w:t>
            </w:r>
            <w:r>
              <w:rPr>
                <w:rFonts w:hint="eastAsia" w:asciiTheme="majorEastAsia" w:hAnsiTheme="majorEastAsia" w:eastAsiaTheme="majorEastAsia"/>
                <w:sz w:val="22"/>
                <w:szCs w:val="20"/>
              </w:rPr>
              <w:t>报价（</w:t>
            </w:r>
            <w:r>
              <w:rPr>
                <w:rFonts w:asciiTheme="majorEastAsia" w:hAnsiTheme="majorEastAsia" w:eastAsiaTheme="majorEastAsia"/>
                <w:sz w:val="22"/>
                <w:szCs w:val="20"/>
              </w:rPr>
              <w:t>70</w:t>
            </w:r>
            <w:r>
              <w:rPr>
                <w:rFonts w:hint="eastAsia" w:cs="宋体" w:asciiTheme="majorEastAsia" w:hAnsiTheme="majorEastAsia" w:eastAsiaTheme="majorEastAsia"/>
                <w:sz w:val="22"/>
                <w:szCs w:val="20"/>
              </w:rPr>
              <w:t>分）</w:t>
            </w:r>
          </w:p>
        </w:tc>
        <w:tc>
          <w:tcPr>
            <w:tcW w:w="5119" w:type="dxa"/>
            <w:tcBorders>
              <w:top w:val="single" w:color="auto" w:sz="4" w:space="0"/>
              <w:left w:val="single" w:color="auto" w:sz="4" w:space="0"/>
              <w:bottom w:val="single" w:color="auto" w:sz="4" w:space="0"/>
              <w:right w:val="single" w:color="auto" w:sz="4" w:space="0"/>
            </w:tcBorders>
            <w:shd w:val="clear" w:color="auto" w:fill="auto"/>
            <w:vAlign w:val="center"/>
          </w:tcPr>
          <w:p w14:paraId="7DE60D48">
            <w:pPr>
              <w:widowControl/>
              <w:spacing w:line="240" w:lineRule="auto"/>
              <w:ind w:left="0" w:leftChars="0" w:firstLine="0" w:firstLineChars="0"/>
              <w:jc w:val="left"/>
              <w:textAlignment w:val="center"/>
              <w:rPr>
                <w:rFonts w:hint="eastAsia" w:cs="宋体" w:asciiTheme="majorEastAsia" w:hAnsiTheme="majorEastAsia" w:eastAsiaTheme="majorEastAsia"/>
                <w:sz w:val="22"/>
                <w:szCs w:val="20"/>
              </w:rPr>
            </w:pPr>
            <w:r>
              <w:rPr>
                <w:rFonts w:hint="eastAsia" w:cs="宋体" w:asciiTheme="majorEastAsia" w:hAnsiTheme="majorEastAsia" w:eastAsiaTheme="majorEastAsia"/>
                <w:sz w:val="22"/>
                <w:szCs w:val="20"/>
              </w:rPr>
              <w:t>1.评标基准价=进入报价评审的投标人的投标总报价中去掉六分之一家数（不能整除的按小数点前整数取整，不足六家的则不去掉）的最低价和相同家数的最高价后的算术平均值；</w:t>
            </w:r>
          </w:p>
          <w:p w14:paraId="17BE235C">
            <w:pPr>
              <w:widowControl/>
              <w:spacing w:line="240" w:lineRule="auto"/>
              <w:ind w:left="0" w:leftChars="0" w:firstLine="0" w:firstLineChars="0"/>
              <w:jc w:val="left"/>
              <w:textAlignment w:val="center"/>
              <w:rPr>
                <w:rFonts w:hint="eastAsia" w:cs="宋体" w:asciiTheme="majorEastAsia" w:hAnsiTheme="majorEastAsia" w:eastAsiaTheme="majorEastAsia"/>
                <w:sz w:val="22"/>
                <w:szCs w:val="20"/>
              </w:rPr>
            </w:pPr>
            <w:r>
              <w:rPr>
                <w:rFonts w:cs="宋体" w:asciiTheme="majorEastAsia" w:hAnsiTheme="majorEastAsia" w:eastAsiaTheme="majorEastAsia"/>
                <w:sz w:val="22"/>
                <w:szCs w:val="20"/>
              </w:rPr>
              <w:t>2</w:t>
            </w:r>
            <w:r>
              <w:rPr>
                <w:rFonts w:hint="eastAsia" w:cs="宋体" w:asciiTheme="majorEastAsia" w:hAnsiTheme="majorEastAsia" w:eastAsiaTheme="majorEastAsia"/>
                <w:sz w:val="22"/>
                <w:szCs w:val="20"/>
              </w:rPr>
              <w:t>.评审价等于基准价得满分</w:t>
            </w:r>
            <w:r>
              <w:rPr>
                <w:rFonts w:cs="宋体" w:asciiTheme="majorEastAsia" w:hAnsiTheme="majorEastAsia" w:eastAsiaTheme="majorEastAsia"/>
                <w:sz w:val="22"/>
                <w:szCs w:val="20"/>
              </w:rPr>
              <w:t>70</w:t>
            </w:r>
            <w:r>
              <w:rPr>
                <w:rFonts w:hint="eastAsia" w:cs="宋体" w:asciiTheme="majorEastAsia" w:hAnsiTheme="majorEastAsia" w:eastAsiaTheme="majorEastAsia"/>
                <w:sz w:val="22"/>
                <w:szCs w:val="20"/>
              </w:rPr>
              <w:t>分；</w:t>
            </w:r>
          </w:p>
          <w:p w14:paraId="6812CE84">
            <w:pPr>
              <w:widowControl/>
              <w:spacing w:line="240" w:lineRule="auto"/>
              <w:ind w:left="0" w:leftChars="0" w:firstLine="0" w:firstLineChars="0"/>
              <w:jc w:val="left"/>
              <w:textAlignment w:val="center"/>
              <w:rPr>
                <w:rFonts w:hint="eastAsia" w:cs="宋体" w:asciiTheme="majorEastAsia" w:hAnsiTheme="majorEastAsia" w:eastAsiaTheme="majorEastAsia"/>
                <w:sz w:val="22"/>
                <w:szCs w:val="20"/>
                <w:lang w:val="en-US" w:eastAsia="zh-CN"/>
              </w:rPr>
            </w:pPr>
            <w:r>
              <w:rPr>
                <w:rFonts w:cs="宋体" w:asciiTheme="majorEastAsia" w:hAnsiTheme="majorEastAsia" w:eastAsiaTheme="majorEastAsia"/>
                <w:sz w:val="22"/>
                <w:szCs w:val="20"/>
              </w:rPr>
              <w:t>3</w:t>
            </w:r>
            <w:r>
              <w:rPr>
                <w:rFonts w:hint="eastAsia" w:cs="宋体" w:asciiTheme="majorEastAsia" w:hAnsiTheme="majorEastAsia" w:eastAsiaTheme="majorEastAsia"/>
                <w:sz w:val="22"/>
                <w:szCs w:val="20"/>
              </w:rPr>
              <w:t>.每低于基准价格1%减</w:t>
            </w:r>
            <w:r>
              <w:rPr>
                <w:rFonts w:hint="eastAsia" w:cs="宋体" w:asciiTheme="majorEastAsia" w:hAnsiTheme="majorEastAsia" w:eastAsiaTheme="majorEastAsia"/>
                <w:sz w:val="22"/>
                <w:szCs w:val="20"/>
                <w:lang w:val="en-US" w:eastAsia="zh-CN"/>
              </w:rPr>
              <w:t>0.5</w:t>
            </w:r>
            <w:r>
              <w:rPr>
                <w:rFonts w:hint="eastAsia" w:cs="宋体" w:asciiTheme="majorEastAsia" w:hAnsiTheme="majorEastAsia" w:eastAsiaTheme="majorEastAsia"/>
                <w:sz w:val="22"/>
                <w:szCs w:val="20"/>
              </w:rPr>
              <w:t>分；</w:t>
            </w:r>
          </w:p>
          <w:p w14:paraId="7E31FC88">
            <w:pPr>
              <w:widowControl/>
              <w:spacing w:line="240" w:lineRule="auto"/>
              <w:ind w:left="0" w:leftChars="0" w:firstLine="0" w:firstLineChars="0"/>
              <w:jc w:val="left"/>
              <w:textAlignment w:val="center"/>
              <w:rPr>
                <w:rFonts w:hint="eastAsia" w:cs="宋体" w:asciiTheme="majorEastAsia" w:hAnsiTheme="majorEastAsia" w:eastAsiaTheme="majorEastAsia"/>
                <w:sz w:val="22"/>
                <w:szCs w:val="20"/>
              </w:rPr>
            </w:pPr>
            <w:r>
              <w:rPr>
                <w:rFonts w:cs="宋体" w:asciiTheme="majorEastAsia" w:hAnsiTheme="majorEastAsia" w:eastAsiaTheme="majorEastAsia"/>
                <w:sz w:val="22"/>
                <w:szCs w:val="20"/>
              </w:rPr>
              <w:t>4</w:t>
            </w:r>
            <w:r>
              <w:rPr>
                <w:rFonts w:hint="eastAsia" w:cs="宋体" w:asciiTheme="majorEastAsia" w:hAnsiTheme="majorEastAsia" w:eastAsiaTheme="majorEastAsia"/>
                <w:sz w:val="22"/>
                <w:szCs w:val="20"/>
              </w:rPr>
              <w:t>.每高于基准价格1%减</w:t>
            </w:r>
            <w:r>
              <w:rPr>
                <w:rFonts w:hint="eastAsia" w:cs="宋体" w:asciiTheme="majorEastAsia" w:hAnsiTheme="majorEastAsia" w:eastAsiaTheme="majorEastAsia"/>
                <w:sz w:val="22"/>
                <w:szCs w:val="20"/>
                <w:lang w:val="en-US" w:eastAsia="zh-CN"/>
              </w:rPr>
              <w:t>1</w:t>
            </w:r>
            <w:r>
              <w:rPr>
                <w:rFonts w:hint="eastAsia" w:cs="宋体" w:asciiTheme="majorEastAsia" w:hAnsiTheme="majorEastAsia" w:eastAsiaTheme="majorEastAsia"/>
                <w:sz w:val="22"/>
                <w:szCs w:val="20"/>
              </w:rPr>
              <w:t>分；</w:t>
            </w:r>
          </w:p>
          <w:p w14:paraId="2DF7707A">
            <w:pPr>
              <w:widowControl/>
              <w:spacing w:line="240" w:lineRule="auto"/>
              <w:ind w:left="0" w:leftChars="0" w:firstLine="0" w:firstLineChars="0"/>
              <w:jc w:val="left"/>
              <w:textAlignment w:val="center"/>
              <w:rPr>
                <w:rFonts w:hint="eastAsia" w:cs="宋体" w:asciiTheme="majorEastAsia" w:hAnsiTheme="majorEastAsia" w:eastAsiaTheme="majorEastAsia"/>
                <w:sz w:val="22"/>
                <w:szCs w:val="20"/>
              </w:rPr>
            </w:pPr>
            <w:r>
              <w:rPr>
                <w:rFonts w:cs="宋体" w:asciiTheme="majorEastAsia" w:hAnsiTheme="majorEastAsia" w:eastAsiaTheme="majorEastAsia"/>
                <w:sz w:val="22"/>
                <w:szCs w:val="20"/>
              </w:rPr>
              <w:t>5</w:t>
            </w:r>
            <w:r>
              <w:rPr>
                <w:rFonts w:hint="eastAsia" w:cs="宋体" w:asciiTheme="majorEastAsia" w:hAnsiTheme="majorEastAsia" w:eastAsiaTheme="majorEastAsia"/>
                <w:sz w:val="22"/>
                <w:szCs w:val="20"/>
              </w:rPr>
              <w:t>.低于基准价/高于基准价不足1%的按照直线插入法计算；</w:t>
            </w:r>
          </w:p>
          <w:p w14:paraId="55A33DEB">
            <w:pPr>
              <w:widowControl/>
              <w:kinsoku w:val="0"/>
              <w:overflowPunct w:val="0"/>
              <w:autoSpaceDE w:val="0"/>
              <w:autoSpaceDN w:val="0"/>
              <w:adjustRightInd w:val="0"/>
              <w:snapToGrid w:val="0"/>
              <w:spacing w:line="240" w:lineRule="auto"/>
              <w:ind w:left="0" w:leftChars="0" w:firstLine="0" w:firstLineChars="0"/>
              <w:jc w:val="left"/>
              <w:rPr>
                <w:rFonts w:hint="eastAsia" w:cs="宋体" w:asciiTheme="majorEastAsia" w:hAnsiTheme="majorEastAsia" w:eastAsiaTheme="majorEastAsia"/>
                <w:kern w:val="2"/>
                <w:sz w:val="22"/>
                <w:szCs w:val="20"/>
                <w:lang w:val="en-US" w:eastAsia="zh-CN" w:bidi="ar-SA"/>
              </w:rPr>
            </w:pPr>
            <w:r>
              <w:rPr>
                <w:rFonts w:cs="宋体" w:asciiTheme="majorEastAsia" w:hAnsiTheme="majorEastAsia" w:eastAsiaTheme="majorEastAsia"/>
                <w:sz w:val="22"/>
                <w:szCs w:val="20"/>
              </w:rPr>
              <w:t>6</w:t>
            </w:r>
            <w:r>
              <w:rPr>
                <w:rFonts w:hint="eastAsia" w:cs="宋体" w:asciiTheme="majorEastAsia" w:hAnsiTheme="majorEastAsia" w:eastAsiaTheme="majorEastAsia"/>
                <w:sz w:val="22"/>
                <w:szCs w:val="20"/>
              </w:rPr>
              <w:t>.最终得分保留小数点后两位小数。</w:t>
            </w:r>
          </w:p>
        </w:tc>
      </w:tr>
      <w:tr w14:paraId="2E7753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9632" w:type="dxa"/>
            <w:gridSpan w:val="4"/>
            <w:tcBorders>
              <w:top w:val="single" w:color="auto" w:sz="4" w:space="0"/>
              <w:bottom w:val="single" w:color="auto" w:sz="4" w:space="0"/>
              <w:right w:val="single" w:color="auto" w:sz="4" w:space="0"/>
            </w:tcBorders>
            <w:vAlign w:val="center"/>
          </w:tcPr>
          <w:p w14:paraId="0EDA885F">
            <w:pPr>
              <w:spacing w:line="400" w:lineRule="exact"/>
              <w:ind w:firstLine="0" w:firstLineChars="0"/>
              <w:rPr>
                <w:sz w:val="22"/>
                <w:szCs w:val="22"/>
              </w:rPr>
            </w:pPr>
            <w:r>
              <w:rPr>
                <w:sz w:val="22"/>
                <w:szCs w:val="22"/>
              </w:rPr>
              <w:t>有下列情况之一的，</w:t>
            </w:r>
            <w:r>
              <w:rPr>
                <w:rFonts w:hint="eastAsia"/>
                <w:sz w:val="22"/>
                <w:szCs w:val="22"/>
              </w:rPr>
              <w:t>直接按</w:t>
            </w:r>
            <w:r>
              <w:rPr>
                <w:sz w:val="22"/>
                <w:szCs w:val="22"/>
              </w:rPr>
              <w:t>否决</w:t>
            </w:r>
            <w:r>
              <w:rPr>
                <w:rFonts w:hint="eastAsia"/>
                <w:sz w:val="22"/>
                <w:szCs w:val="22"/>
              </w:rPr>
              <w:t>竞标</w:t>
            </w:r>
            <w:r>
              <w:rPr>
                <w:sz w:val="22"/>
                <w:szCs w:val="22"/>
              </w:rPr>
              <w:t>处理。</w:t>
            </w:r>
          </w:p>
          <w:p w14:paraId="70AE69AB">
            <w:pPr>
              <w:spacing w:line="400" w:lineRule="exact"/>
              <w:ind w:left="480" w:leftChars="200" w:firstLine="0" w:firstLineChars="0"/>
              <w:jc w:val="left"/>
              <w:rPr>
                <w:sz w:val="22"/>
                <w:szCs w:val="22"/>
              </w:rPr>
            </w:pPr>
            <w:r>
              <w:rPr>
                <w:rFonts w:hint="eastAsia"/>
                <w:sz w:val="22"/>
                <w:szCs w:val="22"/>
              </w:rPr>
              <w:t>1.</w:t>
            </w:r>
            <w:r>
              <w:rPr>
                <w:sz w:val="22"/>
                <w:szCs w:val="22"/>
              </w:rPr>
              <w:t>不同</w:t>
            </w:r>
            <w:r>
              <w:rPr>
                <w:rFonts w:hint="eastAsia" w:ascii="宋体" w:hAnsi="宋体" w:cs="宋体"/>
                <w:sz w:val="22"/>
                <w:szCs w:val="20"/>
                <w:shd w:val="clear" w:color="auto" w:fill="FFFFFF"/>
              </w:rPr>
              <w:t>竞标人</w:t>
            </w:r>
            <w:r>
              <w:rPr>
                <w:sz w:val="22"/>
                <w:szCs w:val="22"/>
              </w:rPr>
              <w:t>的</w:t>
            </w:r>
            <w:r>
              <w:rPr>
                <w:rFonts w:hint="eastAsia"/>
                <w:sz w:val="22"/>
                <w:szCs w:val="22"/>
              </w:rPr>
              <w:t>竞标文件</w:t>
            </w:r>
            <w:r>
              <w:rPr>
                <w:sz w:val="22"/>
                <w:szCs w:val="22"/>
              </w:rPr>
              <w:t>由同一单位或者个人编制；</w:t>
            </w:r>
          </w:p>
          <w:p w14:paraId="6E18B80F">
            <w:pPr>
              <w:spacing w:line="400" w:lineRule="exact"/>
              <w:ind w:left="480" w:leftChars="200" w:firstLine="0" w:firstLineChars="0"/>
              <w:jc w:val="left"/>
              <w:rPr>
                <w:sz w:val="22"/>
                <w:szCs w:val="22"/>
              </w:rPr>
            </w:pPr>
            <w:r>
              <w:rPr>
                <w:rFonts w:hint="eastAsia"/>
                <w:sz w:val="22"/>
                <w:szCs w:val="22"/>
              </w:rPr>
              <w:t>2.</w:t>
            </w:r>
            <w:r>
              <w:rPr>
                <w:sz w:val="22"/>
                <w:szCs w:val="22"/>
              </w:rPr>
              <w:t>不同</w:t>
            </w:r>
            <w:r>
              <w:rPr>
                <w:rFonts w:hint="eastAsia" w:ascii="宋体" w:hAnsi="宋体" w:cs="宋体"/>
                <w:sz w:val="22"/>
                <w:szCs w:val="20"/>
                <w:shd w:val="clear" w:color="auto" w:fill="FFFFFF"/>
              </w:rPr>
              <w:t>竞标人</w:t>
            </w:r>
            <w:r>
              <w:rPr>
                <w:sz w:val="22"/>
                <w:szCs w:val="22"/>
              </w:rPr>
              <w:t>委托同一单位或者个人办理</w:t>
            </w:r>
            <w:r>
              <w:rPr>
                <w:rFonts w:hint="eastAsia"/>
                <w:sz w:val="22"/>
                <w:szCs w:val="22"/>
              </w:rPr>
              <w:t>竞标</w:t>
            </w:r>
            <w:r>
              <w:rPr>
                <w:sz w:val="22"/>
                <w:szCs w:val="22"/>
              </w:rPr>
              <w:t>事宜；</w:t>
            </w:r>
          </w:p>
          <w:p w14:paraId="455A09DD">
            <w:pPr>
              <w:spacing w:line="400" w:lineRule="exact"/>
              <w:ind w:left="480" w:leftChars="200" w:firstLine="0" w:firstLineChars="0"/>
              <w:jc w:val="left"/>
              <w:rPr>
                <w:sz w:val="22"/>
                <w:szCs w:val="22"/>
              </w:rPr>
            </w:pPr>
            <w:r>
              <w:rPr>
                <w:rFonts w:hint="eastAsia"/>
                <w:sz w:val="22"/>
                <w:szCs w:val="22"/>
              </w:rPr>
              <w:t>3.</w:t>
            </w:r>
            <w:r>
              <w:rPr>
                <w:sz w:val="22"/>
                <w:szCs w:val="22"/>
              </w:rPr>
              <w:t>不同</w:t>
            </w:r>
            <w:r>
              <w:rPr>
                <w:rFonts w:hint="eastAsia" w:ascii="宋体" w:hAnsi="宋体" w:cs="宋体"/>
                <w:sz w:val="22"/>
                <w:szCs w:val="20"/>
                <w:shd w:val="clear" w:color="auto" w:fill="FFFFFF"/>
              </w:rPr>
              <w:t>竞标人</w:t>
            </w:r>
            <w:r>
              <w:rPr>
                <w:sz w:val="22"/>
                <w:szCs w:val="22"/>
              </w:rPr>
              <w:t>的</w:t>
            </w:r>
            <w:r>
              <w:rPr>
                <w:rFonts w:hint="eastAsia"/>
                <w:sz w:val="22"/>
                <w:szCs w:val="22"/>
              </w:rPr>
              <w:t>竞标文件</w:t>
            </w:r>
            <w:r>
              <w:rPr>
                <w:sz w:val="22"/>
                <w:szCs w:val="22"/>
              </w:rPr>
              <w:t>载明的项目管理成员为同一人；</w:t>
            </w:r>
          </w:p>
          <w:p w14:paraId="2A394B36">
            <w:pPr>
              <w:spacing w:line="400" w:lineRule="exact"/>
              <w:ind w:left="480" w:leftChars="200" w:firstLine="0" w:firstLineChars="0"/>
              <w:jc w:val="left"/>
              <w:rPr>
                <w:sz w:val="22"/>
                <w:szCs w:val="22"/>
              </w:rPr>
            </w:pPr>
            <w:r>
              <w:rPr>
                <w:rFonts w:hint="eastAsia"/>
                <w:sz w:val="22"/>
                <w:szCs w:val="22"/>
              </w:rPr>
              <w:t>4.</w:t>
            </w:r>
            <w:r>
              <w:rPr>
                <w:sz w:val="22"/>
                <w:szCs w:val="22"/>
              </w:rPr>
              <w:t>不同</w:t>
            </w:r>
            <w:r>
              <w:rPr>
                <w:rFonts w:hint="eastAsia" w:ascii="宋体" w:hAnsi="宋体" w:cs="宋体"/>
                <w:sz w:val="22"/>
                <w:szCs w:val="20"/>
                <w:shd w:val="clear" w:color="auto" w:fill="FFFFFF"/>
              </w:rPr>
              <w:t>竞标人</w:t>
            </w:r>
            <w:r>
              <w:rPr>
                <w:sz w:val="22"/>
                <w:szCs w:val="22"/>
              </w:rPr>
              <w:t>的</w:t>
            </w:r>
            <w:r>
              <w:rPr>
                <w:rFonts w:hint="eastAsia"/>
                <w:sz w:val="22"/>
                <w:szCs w:val="22"/>
              </w:rPr>
              <w:t>竞标文件</w:t>
            </w:r>
            <w:r>
              <w:rPr>
                <w:sz w:val="22"/>
                <w:szCs w:val="22"/>
              </w:rPr>
              <w:t>异常一致或者</w:t>
            </w:r>
            <w:r>
              <w:rPr>
                <w:rFonts w:hint="eastAsia"/>
                <w:sz w:val="22"/>
                <w:szCs w:val="22"/>
              </w:rPr>
              <w:t>竞标报价</w:t>
            </w:r>
            <w:r>
              <w:rPr>
                <w:sz w:val="22"/>
                <w:szCs w:val="22"/>
              </w:rPr>
              <w:t>呈规律性差异</w:t>
            </w:r>
            <w:r>
              <w:rPr>
                <w:rFonts w:hint="eastAsia"/>
                <w:sz w:val="22"/>
                <w:szCs w:val="22"/>
              </w:rPr>
              <w:t>或报价低于成本不具备竞争性</w:t>
            </w:r>
            <w:r>
              <w:rPr>
                <w:sz w:val="22"/>
                <w:szCs w:val="22"/>
              </w:rPr>
              <w:t>；</w:t>
            </w:r>
          </w:p>
          <w:p w14:paraId="73072DFB">
            <w:pPr>
              <w:spacing w:line="400" w:lineRule="exact"/>
              <w:ind w:left="480" w:leftChars="200" w:firstLine="0" w:firstLineChars="0"/>
              <w:jc w:val="left"/>
              <w:rPr>
                <w:sz w:val="22"/>
                <w:szCs w:val="22"/>
              </w:rPr>
            </w:pPr>
            <w:r>
              <w:rPr>
                <w:rFonts w:hint="eastAsia"/>
                <w:sz w:val="22"/>
                <w:szCs w:val="22"/>
              </w:rPr>
              <w:t>5.</w:t>
            </w:r>
            <w:r>
              <w:rPr>
                <w:sz w:val="22"/>
                <w:szCs w:val="22"/>
              </w:rPr>
              <w:t>不同</w:t>
            </w:r>
            <w:r>
              <w:rPr>
                <w:rFonts w:hint="eastAsia" w:ascii="宋体" w:hAnsi="宋体" w:cs="宋体"/>
                <w:sz w:val="22"/>
                <w:szCs w:val="20"/>
                <w:shd w:val="clear" w:color="auto" w:fill="FFFFFF"/>
              </w:rPr>
              <w:t>竞标人</w:t>
            </w:r>
            <w:r>
              <w:rPr>
                <w:sz w:val="22"/>
                <w:szCs w:val="22"/>
              </w:rPr>
              <w:t>的</w:t>
            </w:r>
            <w:r>
              <w:rPr>
                <w:rFonts w:hint="eastAsia"/>
                <w:sz w:val="22"/>
                <w:szCs w:val="22"/>
              </w:rPr>
              <w:t>竞标文件</w:t>
            </w:r>
            <w:r>
              <w:rPr>
                <w:sz w:val="22"/>
                <w:szCs w:val="22"/>
              </w:rPr>
              <w:t>相互混装；</w:t>
            </w:r>
          </w:p>
          <w:p w14:paraId="757BEE71">
            <w:pPr>
              <w:spacing w:line="400" w:lineRule="exact"/>
              <w:ind w:left="480" w:leftChars="200" w:firstLine="0" w:firstLineChars="0"/>
              <w:jc w:val="left"/>
              <w:rPr>
                <w:rFonts w:eastAsia="黑体"/>
                <w:sz w:val="22"/>
                <w:szCs w:val="22"/>
              </w:rPr>
            </w:pPr>
            <w:r>
              <w:rPr>
                <w:rFonts w:hint="eastAsia" w:ascii="宋体" w:hAnsi="宋体" w:cs="宋体"/>
                <w:sz w:val="22"/>
                <w:szCs w:val="20"/>
                <w:shd w:val="clear" w:color="auto" w:fill="FFFFFF"/>
              </w:rPr>
              <w:t>6.竞标人</w:t>
            </w:r>
            <w:r>
              <w:rPr>
                <w:rFonts w:hint="eastAsia"/>
                <w:sz w:val="22"/>
                <w:szCs w:val="22"/>
              </w:rPr>
              <w:t>必须保证竞标文件的真实性，一经发现提供的文件虚假不真实，直接按否决处理。</w:t>
            </w:r>
          </w:p>
        </w:tc>
      </w:tr>
      <w:tr w14:paraId="6383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8" w:type="dxa"/>
            <w:gridSpan w:val="2"/>
            <w:vAlign w:val="center"/>
          </w:tcPr>
          <w:p w14:paraId="32C81F24">
            <w:pPr>
              <w:spacing w:line="400" w:lineRule="exact"/>
              <w:ind w:firstLine="0" w:firstLineChars="0"/>
              <w:jc w:val="center"/>
              <w:rPr>
                <w:kern w:val="0"/>
                <w:sz w:val="22"/>
                <w:szCs w:val="20"/>
              </w:rPr>
            </w:pPr>
            <w:r>
              <w:rPr>
                <w:rFonts w:hint="eastAsia"/>
                <w:sz w:val="22"/>
                <w:szCs w:val="20"/>
              </w:rPr>
              <w:t>候</w:t>
            </w:r>
            <w:r>
              <w:rPr>
                <w:sz w:val="22"/>
                <w:szCs w:val="20"/>
              </w:rPr>
              <w:t>选人</w:t>
            </w:r>
            <w:r>
              <w:rPr>
                <w:rFonts w:hint="eastAsia"/>
                <w:sz w:val="22"/>
                <w:szCs w:val="20"/>
              </w:rPr>
              <w:t>推荐</w:t>
            </w:r>
          </w:p>
        </w:tc>
        <w:tc>
          <w:tcPr>
            <w:tcW w:w="7414" w:type="dxa"/>
            <w:gridSpan w:val="2"/>
            <w:vAlign w:val="center"/>
          </w:tcPr>
          <w:p w14:paraId="425F77CD">
            <w:pPr>
              <w:spacing w:line="400" w:lineRule="exact"/>
              <w:ind w:firstLine="440"/>
              <w:rPr>
                <w:rFonts w:hint="eastAsia" w:eastAsia="宋体"/>
                <w:sz w:val="22"/>
                <w:szCs w:val="20"/>
                <w:lang w:eastAsia="zh-CN"/>
              </w:rPr>
            </w:pPr>
            <w:r>
              <w:rPr>
                <w:rFonts w:hint="eastAsia"/>
                <w:sz w:val="22"/>
                <w:szCs w:val="20"/>
              </w:rPr>
              <w:t>按最终得分从高至低的顺序进行排序，综合评分相等时，以投标报价低的优先；投标报价也相等的，以技术得分高的优先；如果技术得分也相等，由招标人或其授权的评标委员会自行确定</w:t>
            </w:r>
            <w:r>
              <w:rPr>
                <w:rFonts w:hint="eastAsia"/>
                <w:sz w:val="22"/>
                <w:szCs w:val="20"/>
                <w:lang w:eastAsia="zh-CN"/>
              </w:rPr>
              <w:t>。</w:t>
            </w:r>
          </w:p>
        </w:tc>
      </w:tr>
      <w:tr w14:paraId="79A1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8" w:type="dxa"/>
            <w:gridSpan w:val="2"/>
            <w:vAlign w:val="center"/>
          </w:tcPr>
          <w:p w14:paraId="53EF3625">
            <w:pPr>
              <w:spacing w:line="400" w:lineRule="exact"/>
              <w:ind w:firstLine="0" w:firstLineChars="0"/>
              <w:jc w:val="center"/>
              <w:rPr>
                <w:sz w:val="22"/>
                <w:szCs w:val="20"/>
              </w:rPr>
            </w:pPr>
            <w:r>
              <w:rPr>
                <w:rFonts w:hint="eastAsia" w:ascii="宋体" w:hAnsi="宋体"/>
                <w:sz w:val="22"/>
                <w:szCs w:val="20"/>
              </w:rPr>
              <w:t>报价算术错误修正</w:t>
            </w:r>
          </w:p>
        </w:tc>
        <w:tc>
          <w:tcPr>
            <w:tcW w:w="7414" w:type="dxa"/>
            <w:gridSpan w:val="2"/>
            <w:vAlign w:val="center"/>
          </w:tcPr>
          <w:p w14:paraId="1AFD11D2">
            <w:pPr>
              <w:spacing w:line="400" w:lineRule="exact"/>
              <w:ind w:firstLine="440"/>
              <w:rPr>
                <w:sz w:val="22"/>
                <w:szCs w:val="22"/>
              </w:rPr>
            </w:pPr>
            <w:r>
              <w:rPr>
                <w:rFonts w:hint="eastAsia"/>
                <w:sz w:val="22"/>
                <w:szCs w:val="22"/>
              </w:rPr>
              <w:t>若在评标过程中发现报价存在计算错误，则按以下规则进行算术修正：投标报价为各分项报价金额之和，投标报价与分项报价的合价不一致的，应以各分项合价累计数为准，修正投标报价；如分项报价中存在缺漏项，则视为缺漏项价格已包含在其他分项报价之中。投标大小写金额不一致的，以大写金额为准进行修正。总价金额和单价金额不一致的，以单价金额为准，但是单价金额有明显小数点错误的除外。</w:t>
            </w:r>
          </w:p>
        </w:tc>
      </w:tr>
      <w:tr w14:paraId="481C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8" w:type="dxa"/>
            <w:gridSpan w:val="2"/>
            <w:vAlign w:val="center"/>
          </w:tcPr>
          <w:p w14:paraId="3DFC8732">
            <w:pPr>
              <w:spacing w:line="400" w:lineRule="exact"/>
              <w:ind w:firstLine="0" w:firstLineChars="0"/>
              <w:jc w:val="center"/>
              <w:rPr>
                <w:rFonts w:hint="eastAsia" w:ascii="宋体" w:hAnsi="宋体"/>
                <w:sz w:val="22"/>
                <w:szCs w:val="20"/>
              </w:rPr>
            </w:pPr>
            <w:r>
              <w:rPr>
                <w:rFonts w:hint="eastAsia" w:ascii="宋体" w:hAnsi="宋体"/>
                <w:sz w:val="22"/>
                <w:szCs w:val="20"/>
              </w:rPr>
              <w:t>澄清</w:t>
            </w:r>
          </w:p>
        </w:tc>
        <w:tc>
          <w:tcPr>
            <w:tcW w:w="7414" w:type="dxa"/>
            <w:gridSpan w:val="2"/>
            <w:vAlign w:val="center"/>
          </w:tcPr>
          <w:p w14:paraId="1BDB536C">
            <w:pPr>
              <w:spacing w:line="400" w:lineRule="exact"/>
              <w:ind w:firstLine="440"/>
              <w:rPr>
                <w:sz w:val="22"/>
                <w:szCs w:val="22"/>
              </w:rPr>
            </w:pPr>
            <w:r>
              <w:rPr>
                <w:rFonts w:hint="eastAsia"/>
                <w:sz w:val="22"/>
                <w:szCs w:val="22"/>
              </w:rPr>
              <w:t>在评标过程中，评审小组可以要求竞标人对所提交投标文件中不明确的内容进行书面澄清或说明，或者对细微偏差进行补正。评标小组不接受竞标人主动提出的澄清、说明或补正。</w:t>
            </w:r>
          </w:p>
        </w:tc>
      </w:tr>
    </w:tbl>
    <w:p w14:paraId="76B5FC66">
      <w:pPr>
        <w:spacing w:line="360" w:lineRule="auto"/>
        <w:ind w:firstLine="440"/>
      </w:pPr>
      <w:r>
        <w:rPr>
          <w:rFonts w:hint="eastAsia"/>
          <w:sz w:val="22"/>
          <w:szCs w:val="22"/>
        </w:rPr>
        <w:t>【注】若投标人恶意竞标后不按比选要求与比选人签订合同，比选人将直接将投标人及其关联单位（含法人代表与委托代理人）一并拉入黑名单，不得参与公路养护工程（集团）有限公司所有比选项目报价。</w:t>
      </w:r>
    </w:p>
    <w:p w14:paraId="3EA0C872">
      <w:pPr>
        <w:pStyle w:val="4"/>
        <w:numPr>
          <w:ilvl w:val="0"/>
          <w:numId w:val="1"/>
        </w:numPr>
        <w:spacing w:line="360" w:lineRule="auto"/>
      </w:pPr>
      <w:r>
        <w:rPr>
          <w:rFonts w:hint="eastAsia"/>
        </w:rPr>
        <w:t>投标保证金：</w:t>
      </w:r>
    </w:p>
    <w:p w14:paraId="39368CC4">
      <w:pPr>
        <w:wordWrap/>
        <w:topLinePunct w:val="0"/>
        <w:spacing w:line="360" w:lineRule="auto"/>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1.以转账支票或电汇形式提交投标保证金的金额</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u w:val="single"/>
        </w:rPr>
        <w:t>20000元整（人民币）。</w:t>
      </w:r>
    </w:p>
    <w:p w14:paraId="7CC2FC63">
      <w:pPr>
        <w:wordWrap/>
        <w:topLinePunct w:val="0"/>
        <w:spacing w:line="360" w:lineRule="auto"/>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2.投标保证金交款形式及要求：竞标人从企业的</w:t>
      </w:r>
      <w:r>
        <w:rPr>
          <w:rFonts w:hint="eastAsia" w:asciiTheme="minorEastAsia" w:hAnsiTheme="minorEastAsia" w:eastAsiaTheme="minorEastAsia" w:cstheme="minorEastAsia"/>
          <w:b/>
          <w:bCs/>
          <w:u w:val="single"/>
        </w:rPr>
        <w:t>基本账户（开户行）</w:t>
      </w:r>
      <w:r>
        <w:rPr>
          <w:rFonts w:hint="eastAsia" w:asciiTheme="minorEastAsia" w:hAnsiTheme="minorEastAsia" w:eastAsiaTheme="minorEastAsia" w:cstheme="minorEastAsia"/>
        </w:rPr>
        <w:t>在投标截止时间前通过转账支票直接划付或以电汇方式直接划付至下面指定的投标保证金账户。若投标截止时间延期，则投标保证金提交的截止时间和投标截止时间应当保持一致。不满足上述要求的投标保证金无效。投标人自行考虑汇入时间风险，如同城汇入、异地汇入、跨行汇入的时间要求。</w:t>
      </w:r>
      <w:r>
        <w:rPr>
          <w:rFonts w:hint="eastAsia" w:asciiTheme="minorEastAsia" w:hAnsiTheme="minorEastAsia" w:eastAsiaTheme="minorEastAsia" w:cstheme="minorEastAsia"/>
          <w:b/>
          <w:bCs/>
          <w:u w:val="single"/>
        </w:rPr>
        <w:t>投标保证金以比选人展示的保证金交纳情况为准。</w:t>
      </w:r>
    </w:p>
    <w:p w14:paraId="03401B90">
      <w:pPr>
        <w:wordWrap/>
        <w:topLinePunct w:val="0"/>
        <w:spacing w:line="360" w:lineRule="auto"/>
        <w:ind w:firstLine="482"/>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3、投标保证金账户及账号：</w:t>
      </w:r>
    </w:p>
    <w:p w14:paraId="4D6E09FA">
      <w:pPr>
        <w:wordWrap/>
        <w:topLinePunct w:val="0"/>
        <w:spacing w:line="360" w:lineRule="auto"/>
        <w:ind w:firstLine="480"/>
        <w:rPr>
          <w:rFonts w:hint="eastAsia" w:asciiTheme="minorEastAsia" w:hAnsiTheme="minorEastAsia" w:eastAsiaTheme="minorEastAsia" w:cstheme="minorEastAsia"/>
          <w:b/>
          <w:bCs/>
          <w:u w:val="single"/>
        </w:rPr>
      </w:pPr>
      <w:r>
        <w:rPr>
          <w:rFonts w:hint="eastAsia" w:asciiTheme="minorEastAsia" w:hAnsiTheme="minorEastAsia" w:eastAsiaTheme="minorEastAsia" w:cstheme="minorEastAsia"/>
        </w:rPr>
        <w:t>单位名称：</w:t>
      </w:r>
      <w:r>
        <w:rPr>
          <w:rFonts w:hint="eastAsia" w:asciiTheme="minorEastAsia" w:hAnsiTheme="minorEastAsia" w:eastAsiaTheme="minorEastAsia" w:cstheme="minorEastAsia"/>
          <w:b/>
          <w:bCs/>
          <w:u w:val="single"/>
        </w:rPr>
        <w:t>重庆公路养护工程（集团）有限公司</w:t>
      </w:r>
    </w:p>
    <w:p w14:paraId="11818B2D">
      <w:pPr>
        <w:wordWrap/>
        <w:topLinePunct w:val="0"/>
        <w:spacing w:line="360" w:lineRule="auto"/>
        <w:ind w:firstLine="480"/>
        <w:rPr>
          <w:rFonts w:hint="eastAsia" w:asciiTheme="minorEastAsia" w:hAnsiTheme="minorEastAsia" w:eastAsiaTheme="minorEastAsia" w:cstheme="minorEastAsia"/>
          <w:b/>
          <w:bCs/>
          <w:u w:val="single"/>
        </w:rPr>
      </w:pPr>
      <w:r>
        <w:rPr>
          <w:rFonts w:hint="eastAsia" w:asciiTheme="minorEastAsia" w:hAnsiTheme="minorEastAsia" w:eastAsiaTheme="minorEastAsia" w:cstheme="minorEastAsia"/>
        </w:rPr>
        <w:t>开户行：</w:t>
      </w:r>
      <w:r>
        <w:rPr>
          <w:rFonts w:hint="eastAsia" w:asciiTheme="minorEastAsia" w:hAnsiTheme="minorEastAsia" w:eastAsiaTheme="minorEastAsia" w:cstheme="minorEastAsia"/>
          <w:b/>
          <w:bCs/>
          <w:u w:val="single"/>
        </w:rPr>
        <w:t>兴业银行重庆分行营业部</w:t>
      </w:r>
    </w:p>
    <w:p w14:paraId="31C4EF2D">
      <w:pPr>
        <w:wordWrap/>
        <w:topLinePunct w:val="0"/>
        <w:spacing w:line="360" w:lineRule="auto"/>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账户性质：（一般户、收入户）</w:t>
      </w:r>
    </w:p>
    <w:p w14:paraId="6B18632B">
      <w:pPr>
        <w:wordWrap/>
        <w:topLinePunct w:val="0"/>
        <w:spacing w:line="360" w:lineRule="auto"/>
        <w:ind w:firstLine="480"/>
        <w:rPr>
          <w:rFonts w:hint="eastAsia" w:asciiTheme="minorEastAsia" w:hAnsiTheme="minorEastAsia" w:eastAsiaTheme="minorEastAsia" w:cstheme="minorEastAsia"/>
          <w:b/>
          <w:bCs/>
          <w:u w:val="single"/>
        </w:rPr>
      </w:pPr>
      <w:r>
        <w:rPr>
          <w:rFonts w:hint="eastAsia" w:asciiTheme="minorEastAsia" w:hAnsiTheme="minorEastAsia" w:eastAsiaTheme="minorEastAsia" w:cstheme="minorEastAsia"/>
        </w:rPr>
        <w:t>账号：</w:t>
      </w:r>
      <w:r>
        <w:rPr>
          <w:rFonts w:hint="eastAsia" w:asciiTheme="minorEastAsia" w:hAnsiTheme="minorEastAsia" w:eastAsiaTheme="minorEastAsia" w:cstheme="minorEastAsia"/>
          <w:b/>
          <w:bCs/>
          <w:u w:val="single"/>
        </w:rPr>
        <w:t>346010100100780766</w:t>
      </w:r>
    </w:p>
    <w:p w14:paraId="21A14FF3">
      <w:pPr>
        <w:wordWrap/>
        <w:topLinePunct w:val="0"/>
        <w:spacing w:line="360" w:lineRule="auto"/>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行号：</w:t>
      </w:r>
      <w:r>
        <w:rPr>
          <w:rFonts w:hint="eastAsia" w:asciiTheme="minorEastAsia" w:hAnsiTheme="minorEastAsia" w:eastAsiaTheme="minorEastAsia" w:cstheme="minorEastAsia"/>
          <w:b/>
          <w:bCs/>
          <w:u w:val="single"/>
        </w:rPr>
        <w:t>309653011070</w:t>
      </w:r>
    </w:p>
    <w:p w14:paraId="39122DB7">
      <w:pPr>
        <w:ind w:firstLine="480"/>
      </w:pPr>
      <w:r>
        <w:rPr>
          <w:rFonts w:hint="eastAsia" w:ascii="宋体" w:hAnsi="宋体" w:cs="宋体"/>
          <w:szCs w:val="21"/>
        </w:rPr>
        <w:t>4.竞标人必须在付款凭证备注栏中注明是</w:t>
      </w:r>
      <w:r>
        <w:rPr>
          <w:rFonts w:hint="eastAsia" w:ascii="宋体" w:hAnsi="宋体" w:cs="宋体"/>
          <w:b/>
          <w:bCs/>
          <w:szCs w:val="21"/>
          <w:u w:val="single"/>
        </w:rPr>
        <w:t>“安全韧性提升工程交通安全咨询服务</w:t>
      </w:r>
      <w:r>
        <w:rPr>
          <w:rFonts w:hint="eastAsia" w:ascii="宋体" w:hAnsi="宋体" w:cs="宋体"/>
          <w:szCs w:val="21"/>
          <w:u w:val="single"/>
        </w:rPr>
        <w:t>”</w:t>
      </w:r>
      <w:r>
        <w:rPr>
          <w:rFonts w:hint="eastAsia" w:ascii="宋体" w:hAnsi="宋体" w:cs="宋体"/>
          <w:szCs w:val="21"/>
        </w:rPr>
        <w:t>。</w:t>
      </w:r>
    </w:p>
    <w:p w14:paraId="0970864C">
      <w:pPr>
        <w:numPr>
          <w:ilvl w:val="0"/>
          <w:numId w:val="1"/>
        </w:numPr>
        <w:wordWrap/>
        <w:topLinePunct w:val="0"/>
        <w:spacing w:line="400" w:lineRule="exact"/>
        <w:ind w:firstLine="0" w:firstLineChars="0"/>
      </w:pPr>
      <w:r>
        <w:rPr>
          <w:rFonts w:hint="eastAsia" w:ascii="宋体" w:hAnsi="宋体" w:cs="宋体"/>
          <w:b/>
          <w:bCs/>
          <w:szCs w:val="21"/>
        </w:rPr>
        <w:t>履约保证金：</w:t>
      </w:r>
      <w:r>
        <w:rPr>
          <w:rFonts w:hint="eastAsia"/>
        </w:rPr>
        <w:t>合同金额的</w:t>
      </w:r>
      <w:r>
        <w:rPr>
          <w:rFonts w:hint="eastAsia"/>
          <w:b/>
          <w:bCs/>
          <w:u w:val="single"/>
        </w:rPr>
        <w:t>10%</w:t>
      </w:r>
      <w:r>
        <w:rPr>
          <w:rFonts w:hint="eastAsia"/>
        </w:rPr>
        <w:t>，要求由中标人以</w:t>
      </w:r>
      <w:r>
        <w:rPr>
          <w:rFonts w:hint="eastAsia"/>
          <w:b/>
          <w:bCs/>
          <w:u w:val="single"/>
        </w:rPr>
        <w:t>现金</w:t>
      </w:r>
      <w:r>
        <w:rPr>
          <w:rFonts w:hint="eastAsia"/>
        </w:rPr>
        <w:t>缴纳。</w:t>
      </w:r>
    </w:p>
    <w:p w14:paraId="3CDCC9A8">
      <w:pPr>
        <w:wordWrap/>
        <w:topLinePunct w:val="0"/>
        <w:spacing w:line="400" w:lineRule="exact"/>
        <w:ind w:firstLine="0" w:firstLineChars="0"/>
        <w:rPr>
          <w:rFonts w:hint="eastAsia" w:ascii="宋体" w:hAnsi="宋体" w:cs="宋体"/>
        </w:rPr>
      </w:pPr>
      <w:r>
        <w:rPr>
          <w:rFonts w:hint="eastAsia" w:ascii="宋体" w:hAnsi="宋体" w:cs="宋体"/>
          <w:b/>
          <w:bCs/>
          <w:szCs w:val="21"/>
        </w:rPr>
        <w:t>八、低价风险担保：</w:t>
      </w:r>
    </w:p>
    <w:p w14:paraId="7D3106C6">
      <w:pPr>
        <w:wordWrap/>
        <w:topLinePunct w:val="0"/>
        <w:spacing w:line="360" w:lineRule="auto"/>
        <w:ind w:firstLine="480"/>
        <w:rPr>
          <w:szCs w:val="21"/>
        </w:rPr>
      </w:pPr>
      <w:r>
        <w:rPr>
          <w:rFonts w:hint="eastAsia"/>
          <w:szCs w:val="21"/>
        </w:rPr>
        <w:t>中标候选人的中标价格低于项目最高限价85%的，须缴纳低价担保金，担保方式采用</w:t>
      </w:r>
      <w:r>
        <w:rPr>
          <w:rFonts w:hint="eastAsia"/>
          <w:b/>
          <w:bCs/>
          <w:szCs w:val="21"/>
          <w:u w:val="single"/>
        </w:rPr>
        <w:t>现金</w:t>
      </w:r>
      <w:r>
        <w:rPr>
          <w:rFonts w:hint="eastAsia"/>
          <w:szCs w:val="21"/>
        </w:rPr>
        <w:t>方式，担保额度＝</w:t>
      </w:r>
      <w:r>
        <w:rPr>
          <w:szCs w:val="21"/>
        </w:rPr>
        <w:t xml:space="preserve">(最高限价× 85% - 中标价格) × </w:t>
      </w:r>
      <w:r>
        <w:rPr>
          <w:rFonts w:hint="eastAsia"/>
          <w:szCs w:val="21"/>
        </w:rPr>
        <w:t>3。</w:t>
      </w:r>
    </w:p>
    <w:p w14:paraId="5CDDC47A">
      <w:pPr>
        <w:wordWrap/>
        <w:topLinePunct w:val="0"/>
        <w:spacing w:line="360" w:lineRule="auto"/>
        <w:ind w:firstLine="0" w:firstLineChars="0"/>
        <w:rPr>
          <w:rFonts w:hint="eastAsia" w:ascii="宋体" w:hAnsi="宋体" w:cs="宋体"/>
          <w:b/>
          <w:szCs w:val="21"/>
        </w:rPr>
      </w:pPr>
      <w:r>
        <w:rPr>
          <w:rFonts w:hint="eastAsia" w:ascii="宋体" w:hAnsi="宋体" w:cs="宋体"/>
          <w:b/>
          <w:szCs w:val="21"/>
        </w:rPr>
        <w:t>九、竞争性比选须知</w:t>
      </w:r>
    </w:p>
    <w:p w14:paraId="42C7618C">
      <w:pPr>
        <w:wordWrap/>
        <w:topLinePunct w:val="0"/>
        <w:spacing w:line="360" w:lineRule="auto"/>
        <w:ind w:firstLine="480"/>
      </w:pPr>
      <w:r>
        <w:rPr>
          <w:rFonts w:hint="eastAsia"/>
          <w:szCs w:val="21"/>
        </w:rPr>
        <w:t>1</w:t>
      </w:r>
      <w:r>
        <w:rPr>
          <w:rFonts w:hint="eastAsia"/>
        </w:rPr>
        <w:t>、比选文件获取方式：凡愿意参加的潜在投标人，自挂网起至投标文件递交截止时间前，详见重庆高速集团官网（http://www.cegc.com.cn）上发布的本项目比选公告中的获取方式（链接）自行下载，不管投标人是否下载，均视为已知晓比选文件的全部内容和有关事宜，本项目不需要报名，直接投标。</w:t>
      </w:r>
    </w:p>
    <w:p w14:paraId="75F620E8">
      <w:pPr>
        <w:wordWrap/>
        <w:topLinePunct w:val="0"/>
        <w:spacing w:line="360" w:lineRule="auto"/>
        <w:ind w:firstLine="480"/>
        <w:rPr>
          <w:rFonts w:hint="eastAsia" w:ascii="宋体" w:hAnsi="宋体" w:cs="宋体"/>
        </w:rPr>
      </w:pPr>
      <w:r>
        <w:rPr>
          <w:rFonts w:hint="eastAsia"/>
        </w:rPr>
        <w:t>2、比选公告及结果公示将在</w:t>
      </w:r>
      <w:r>
        <w:rPr>
          <w:rFonts w:hint="eastAsia" w:ascii="宋体" w:hAnsi="宋体" w:cs="宋体"/>
        </w:rPr>
        <w:t>重庆高速集团官网（http://www.cegc.com.cn）</w:t>
      </w:r>
      <w:r>
        <w:rPr>
          <w:rFonts w:hint="eastAsia"/>
        </w:rPr>
        <w:t>上发布。</w:t>
      </w:r>
    </w:p>
    <w:p w14:paraId="7E595771">
      <w:pPr>
        <w:spacing w:line="360" w:lineRule="auto"/>
        <w:ind w:firstLine="480"/>
        <w:rPr>
          <w:b/>
          <w:bCs/>
        </w:rPr>
      </w:pPr>
      <w:r>
        <w:rPr>
          <w:rFonts w:hint="eastAsia"/>
        </w:rPr>
        <w:t>3、投标文件递交地点：</w:t>
      </w:r>
      <w:r>
        <w:rPr>
          <w:rFonts w:hint="eastAsia"/>
          <w:b/>
          <w:bCs/>
        </w:rPr>
        <w:t>重庆公路养护工程（集团）有限公司306室（重庆市沙坪坝区梨高路沙坪坝区档案馆旁重庆市公路养护管理段三楼）。</w:t>
      </w:r>
    </w:p>
    <w:p w14:paraId="447C914C">
      <w:pPr>
        <w:spacing w:line="360" w:lineRule="auto"/>
        <w:ind w:firstLine="480"/>
        <w:rPr>
          <w:color w:val="FF0000"/>
        </w:rPr>
      </w:pPr>
      <w:r>
        <w:rPr>
          <w:rFonts w:hint="eastAsia"/>
        </w:rPr>
        <w:t>4、投标文件递交截止时间：</w:t>
      </w:r>
      <w:r>
        <w:rPr>
          <w:rFonts w:hint="eastAsia"/>
          <w:color w:val="auto"/>
          <w:u w:val="single"/>
        </w:rPr>
        <w:t xml:space="preserve"> </w:t>
      </w:r>
      <w:r>
        <w:rPr>
          <w:rFonts w:hint="eastAsia"/>
          <w:b/>
          <w:bCs/>
          <w:color w:val="auto"/>
          <w:u w:val="single"/>
        </w:rPr>
        <w:t xml:space="preserve">2026 </w:t>
      </w:r>
      <w:r>
        <w:rPr>
          <w:rFonts w:hint="eastAsia"/>
          <w:color w:val="auto"/>
        </w:rPr>
        <w:t>年</w:t>
      </w:r>
      <w:r>
        <w:rPr>
          <w:rFonts w:hint="eastAsia"/>
          <w:b/>
          <w:bCs/>
          <w:color w:val="auto"/>
          <w:u w:val="single"/>
        </w:rPr>
        <w:t xml:space="preserve"> 1 </w:t>
      </w:r>
      <w:r>
        <w:rPr>
          <w:rFonts w:hint="eastAsia"/>
          <w:color w:val="auto"/>
        </w:rPr>
        <w:t>月</w:t>
      </w:r>
      <w:r>
        <w:rPr>
          <w:rFonts w:hint="eastAsia"/>
          <w:b/>
          <w:bCs/>
          <w:color w:val="auto"/>
          <w:u w:val="single"/>
        </w:rPr>
        <w:t xml:space="preserve"> </w:t>
      </w:r>
      <w:r>
        <w:rPr>
          <w:rFonts w:hint="eastAsia"/>
          <w:b/>
          <w:bCs/>
          <w:color w:val="auto"/>
          <w:u w:val="single"/>
          <w:lang w:val="en-US" w:eastAsia="zh-CN"/>
        </w:rPr>
        <w:t>27</w:t>
      </w:r>
      <w:r>
        <w:rPr>
          <w:rFonts w:hint="eastAsia"/>
          <w:b/>
          <w:bCs/>
          <w:color w:val="auto"/>
          <w:u w:val="single"/>
        </w:rPr>
        <w:t xml:space="preserve"> </w:t>
      </w:r>
      <w:r>
        <w:rPr>
          <w:rFonts w:hint="eastAsia"/>
          <w:color w:val="auto"/>
        </w:rPr>
        <w:t>日</w:t>
      </w:r>
      <w:r>
        <w:rPr>
          <w:rFonts w:hint="eastAsia"/>
          <w:b/>
          <w:bCs/>
          <w:color w:val="auto"/>
          <w:u w:val="single"/>
        </w:rPr>
        <w:t xml:space="preserve"> 10 </w:t>
      </w:r>
      <w:r>
        <w:rPr>
          <w:rFonts w:hint="eastAsia"/>
          <w:color w:val="auto"/>
        </w:rPr>
        <w:t>时</w:t>
      </w:r>
      <w:r>
        <w:rPr>
          <w:rFonts w:hint="eastAsia"/>
          <w:b/>
          <w:bCs/>
          <w:color w:val="auto"/>
          <w:u w:val="single"/>
        </w:rPr>
        <w:t xml:space="preserve"> 00 </w:t>
      </w:r>
      <w:r>
        <w:rPr>
          <w:rFonts w:hint="eastAsia"/>
          <w:color w:val="auto"/>
        </w:rPr>
        <w:t>分。</w:t>
      </w:r>
    </w:p>
    <w:p w14:paraId="79DEE533">
      <w:pPr>
        <w:spacing w:line="360" w:lineRule="auto"/>
        <w:ind w:firstLine="480"/>
      </w:pPr>
      <w:r>
        <w:rPr>
          <w:rFonts w:hint="eastAsia"/>
        </w:rPr>
        <w:t>5、各投标人应根据本次比选文件的具体要求，编制规范的投标文件（</w:t>
      </w:r>
      <w:r>
        <w:rPr>
          <w:rFonts w:hint="eastAsia"/>
          <w:b/>
          <w:bCs/>
        </w:rPr>
        <w:t>投标文件，要求填写规范，密封完好并在封口处加盖公章，所有投标文件均只能作一次性提交，提交后不得更改</w:t>
      </w:r>
      <w:r>
        <w:rPr>
          <w:rFonts w:hint="eastAsia"/>
        </w:rPr>
        <w:t>）。当第一次不足三家报名时，不予开标，标书当场退回；第二次不足三家报名时，可按比选文件要求进行开标。</w:t>
      </w:r>
    </w:p>
    <w:p w14:paraId="770BD880">
      <w:pPr>
        <w:spacing w:line="360" w:lineRule="auto"/>
        <w:ind w:firstLine="480"/>
      </w:pPr>
      <w:r>
        <w:rPr>
          <w:rFonts w:hint="eastAsia"/>
        </w:rPr>
        <w:t>6、密封要求：</w:t>
      </w:r>
    </w:p>
    <w:p w14:paraId="1C7D93D3">
      <w:pPr>
        <w:spacing w:line="360" w:lineRule="auto"/>
        <w:ind w:firstLine="480"/>
      </w:pPr>
      <w:r>
        <w:rPr>
          <w:rFonts w:hint="eastAsia"/>
        </w:rPr>
        <w:t>按要求编制的投标文件，将投标文件密封到一个封套中，封套上须注明以下内容：</w:t>
      </w:r>
    </w:p>
    <w:p w14:paraId="189CB9BB">
      <w:pPr>
        <w:wordWrap/>
        <w:topLinePunct w:val="0"/>
        <w:spacing w:line="360" w:lineRule="auto"/>
        <w:ind w:firstLine="0" w:firstLineChars="0"/>
        <w:jc w:val="center"/>
        <w:rPr>
          <w:b/>
          <w:bCs/>
          <w:u w:val="single"/>
        </w:rPr>
      </w:pPr>
      <w:r>
        <w:rPr>
          <w:rFonts w:hint="eastAsia"/>
          <w:b/>
          <w:bCs/>
          <w:u w:val="single"/>
        </w:rPr>
        <w:t>重庆公路养护工程（集团）有限公司安全韧性提升工程交通组织咨询服务</w:t>
      </w:r>
    </w:p>
    <w:p w14:paraId="4F8DF7A0">
      <w:pPr>
        <w:wordWrap/>
        <w:topLinePunct w:val="0"/>
        <w:spacing w:line="360" w:lineRule="auto"/>
        <w:ind w:firstLine="0" w:firstLineChars="0"/>
        <w:jc w:val="center"/>
        <w:rPr>
          <w:b/>
          <w:bCs/>
          <w:u w:val="single"/>
        </w:rPr>
      </w:pPr>
      <w:r>
        <w:rPr>
          <w:rFonts w:hint="eastAsia"/>
          <w:b/>
          <w:bCs/>
          <w:u w:val="single"/>
        </w:rPr>
        <w:t>投标文件</w:t>
      </w:r>
    </w:p>
    <w:p w14:paraId="146193EA">
      <w:pPr>
        <w:wordWrap/>
        <w:topLinePunct w:val="0"/>
        <w:spacing w:line="360" w:lineRule="auto"/>
        <w:ind w:firstLine="0" w:firstLineChars="0"/>
        <w:jc w:val="center"/>
        <w:rPr>
          <w:b/>
          <w:bCs/>
          <w:color w:val="auto"/>
          <w:u w:val="single"/>
        </w:rPr>
      </w:pPr>
      <w:r>
        <w:rPr>
          <w:b/>
          <w:bCs/>
          <w:color w:val="auto"/>
          <w:u w:val="single"/>
        </w:rPr>
        <w:t>在</w:t>
      </w:r>
      <w:r>
        <w:rPr>
          <w:rFonts w:hint="eastAsia"/>
          <w:b/>
          <w:bCs/>
          <w:color w:val="auto"/>
          <w:u w:val="single"/>
        </w:rPr>
        <w:t>2026</w:t>
      </w:r>
      <w:r>
        <w:rPr>
          <w:b/>
          <w:bCs/>
          <w:color w:val="auto"/>
          <w:u w:val="single"/>
        </w:rPr>
        <w:t>年</w:t>
      </w:r>
      <w:r>
        <w:rPr>
          <w:rFonts w:hint="eastAsia"/>
          <w:b/>
          <w:bCs/>
          <w:color w:val="auto"/>
          <w:u w:val="single"/>
        </w:rPr>
        <w:t>1</w:t>
      </w:r>
      <w:r>
        <w:rPr>
          <w:b/>
          <w:bCs/>
          <w:color w:val="auto"/>
          <w:u w:val="single"/>
        </w:rPr>
        <w:t>月</w:t>
      </w:r>
      <w:r>
        <w:rPr>
          <w:rFonts w:hint="eastAsia"/>
          <w:b/>
          <w:bCs/>
          <w:color w:val="auto"/>
          <w:u w:val="single"/>
        </w:rPr>
        <w:t xml:space="preserve"> </w:t>
      </w:r>
      <w:r>
        <w:rPr>
          <w:rFonts w:hint="eastAsia"/>
          <w:b/>
          <w:bCs/>
          <w:color w:val="auto"/>
          <w:u w:val="single"/>
          <w:lang w:val="en-US" w:eastAsia="zh-CN"/>
        </w:rPr>
        <w:t>27</w:t>
      </w:r>
      <w:r>
        <w:rPr>
          <w:rFonts w:hint="eastAsia"/>
          <w:b/>
          <w:bCs/>
          <w:color w:val="auto"/>
          <w:u w:val="single"/>
        </w:rPr>
        <w:t xml:space="preserve"> </w:t>
      </w:r>
      <w:r>
        <w:rPr>
          <w:b/>
          <w:bCs/>
          <w:color w:val="auto"/>
          <w:u w:val="single"/>
        </w:rPr>
        <w:t>日</w:t>
      </w:r>
      <w:r>
        <w:rPr>
          <w:rFonts w:hint="eastAsia"/>
          <w:b/>
          <w:bCs/>
          <w:color w:val="auto"/>
          <w:u w:val="single"/>
        </w:rPr>
        <w:t xml:space="preserve"> 10 </w:t>
      </w:r>
      <w:r>
        <w:rPr>
          <w:b/>
          <w:bCs/>
          <w:color w:val="auto"/>
          <w:u w:val="single"/>
        </w:rPr>
        <w:t>时</w:t>
      </w:r>
      <w:r>
        <w:rPr>
          <w:rFonts w:hint="eastAsia"/>
          <w:b/>
          <w:bCs/>
          <w:color w:val="auto"/>
          <w:u w:val="single"/>
        </w:rPr>
        <w:t xml:space="preserve"> 00 </w:t>
      </w:r>
      <w:r>
        <w:rPr>
          <w:b/>
          <w:bCs/>
          <w:color w:val="auto"/>
          <w:u w:val="single"/>
        </w:rPr>
        <w:t>分前不得开启</w:t>
      </w:r>
    </w:p>
    <w:p w14:paraId="7E7422DD">
      <w:pPr>
        <w:spacing w:line="360" w:lineRule="auto"/>
        <w:ind w:firstLine="480"/>
      </w:pPr>
      <w:r>
        <w:rPr>
          <w:rFonts w:hint="eastAsia"/>
        </w:rPr>
        <w:t>7、廉政约定：</w:t>
      </w:r>
    </w:p>
    <w:p w14:paraId="486A7497">
      <w:pPr>
        <w:spacing w:line="360" w:lineRule="auto"/>
        <w:ind w:firstLine="480"/>
      </w:pPr>
      <w:r>
        <w:t>为杜绝商业贿赂现象，共同营造公平、公正的竞争环境，敬请各</w:t>
      </w:r>
      <w:r>
        <w:rPr>
          <w:rFonts w:hint="eastAsia"/>
        </w:rPr>
        <w:t>投标人</w:t>
      </w:r>
      <w:r>
        <w:t>在参与竞标报价过程中，将</w:t>
      </w:r>
      <w:r>
        <w:rPr>
          <w:rFonts w:hint="eastAsia"/>
        </w:rPr>
        <w:t>比选人</w:t>
      </w:r>
      <w:r>
        <w:t>明示或暗示要求宴请、招待，或索取礼金、礼品、礼券、其他利益，或故意刁难、显失公平现象，向我司纪检监察人员进行举报</w:t>
      </w:r>
      <w:r>
        <w:rPr>
          <w:rFonts w:hint="eastAsia" w:ascii="宋体" w:hAnsi="宋体" w:cs="宋体"/>
          <w:szCs w:val="21"/>
        </w:rPr>
        <w:t>（须提供有效线索和相关证据、证明材料）</w:t>
      </w:r>
      <w:r>
        <w:t>。具体举报渠道告知如下：</w:t>
      </w:r>
    </w:p>
    <w:p w14:paraId="3707ABE2">
      <w:pPr>
        <w:spacing w:line="360" w:lineRule="auto"/>
        <w:ind w:firstLine="480"/>
      </w:pPr>
      <w:r>
        <w:t>举报部门：纪律检查室</w:t>
      </w:r>
      <w:r>
        <w:rPr>
          <w:rFonts w:hint="eastAsia"/>
        </w:rPr>
        <w:tab/>
      </w:r>
      <w:r>
        <w:rPr>
          <w:rFonts w:hint="eastAsia"/>
        </w:rPr>
        <w:tab/>
      </w:r>
      <w:r>
        <w:rPr>
          <w:rFonts w:hint="eastAsia"/>
        </w:rPr>
        <w:tab/>
      </w:r>
      <w:r>
        <w:rPr>
          <w:rFonts w:hint="eastAsia"/>
        </w:rPr>
        <w:tab/>
      </w:r>
      <w:r>
        <w:t>举报电话：</w:t>
      </w:r>
      <w:r>
        <w:rPr>
          <w:u w:val="single"/>
        </w:rPr>
        <w:t>023-89187977</w:t>
      </w:r>
    </w:p>
    <w:p w14:paraId="3C59CD93">
      <w:pPr>
        <w:spacing w:line="360" w:lineRule="auto"/>
        <w:ind w:firstLine="480"/>
      </w:pPr>
      <w:r>
        <w:t>我司承诺：对所有举报信息及时调查处理，对举报来源严格保守秘密，对举报单位因举报所可能遭受的利益损害采取特别措施予以保护。</w:t>
      </w:r>
    </w:p>
    <w:p w14:paraId="5C305D63">
      <w:pPr>
        <w:pStyle w:val="4"/>
        <w:spacing w:line="360" w:lineRule="auto"/>
      </w:pPr>
      <w:r>
        <w:rPr>
          <w:rFonts w:hint="eastAsia"/>
          <w:lang w:val="en-US" w:eastAsia="zh-CN"/>
        </w:rPr>
        <w:t>十</w:t>
      </w:r>
      <w:r>
        <w:rPr>
          <w:rFonts w:hint="eastAsia"/>
        </w:rPr>
        <w:t>、比选人联系方式</w:t>
      </w:r>
    </w:p>
    <w:p w14:paraId="467B88C3">
      <w:pPr>
        <w:spacing w:line="360" w:lineRule="auto"/>
        <w:ind w:firstLine="480"/>
        <w:rPr>
          <w:b/>
          <w:bCs/>
          <w:u w:val="thick"/>
        </w:rPr>
      </w:pPr>
      <w:r>
        <w:rPr>
          <w:rFonts w:hint="eastAsia"/>
        </w:rPr>
        <w:t>比选人：</w:t>
      </w:r>
      <w:r>
        <w:rPr>
          <w:rFonts w:hint="eastAsia"/>
          <w:b/>
          <w:bCs/>
          <w:u w:val="thick"/>
        </w:rPr>
        <w:t>重庆公路养护工程（集团）有限公司</w:t>
      </w:r>
    </w:p>
    <w:p w14:paraId="0C3A8CF7">
      <w:pPr>
        <w:spacing w:line="360" w:lineRule="auto"/>
        <w:ind w:firstLine="480"/>
      </w:pPr>
      <w:r>
        <w:rPr>
          <w:rFonts w:hint="eastAsia"/>
        </w:rPr>
        <w:t>地址：</w:t>
      </w:r>
      <w:r>
        <w:rPr>
          <w:rFonts w:hint="eastAsia"/>
          <w:b/>
          <w:bCs/>
        </w:rPr>
        <w:t>重庆公路养护工程（集团）有限公司306室</w:t>
      </w:r>
      <w:r>
        <w:rPr>
          <w:rFonts w:hint="eastAsia"/>
        </w:rPr>
        <w:t>（重庆市沙坪坝区梨高路4号三楼）</w:t>
      </w:r>
    </w:p>
    <w:p w14:paraId="3D3E9754">
      <w:pPr>
        <w:spacing w:line="360" w:lineRule="auto"/>
        <w:ind w:firstLine="480"/>
        <w:rPr>
          <w:rFonts w:hint="default" w:eastAsia="宋体"/>
          <w:highlight w:val="yellow"/>
          <w:u w:val="single"/>
          <w:lang w:val="en-US" w:eastAsia="zh-CN"/>
        </w:rPr>
        <w:sectPr>
          <w:footerReference r:id="rId7" w:type="default"/>
          <w:pgSz w:w="11906" w:h="16838"/>
          <w:pgMar w:top="1134" w:right="1134" w:bottom="1134" w:left="1134" w:header="794" w:footer="794" w:gutter="0"/>
          <w:pgBorders>
            <w:top w:val="none" w:sz="0" w:space="0"/>
            <w:left w:val="none" w:sz="0" w:space="0"/>
            <w:bottom w:val="none" w:sz="0" w:space="0"/>
            <w:right w:val="none" w:sz="0" w:space="0"/>
          </w:pgBorders>
          <w:pgNumType w:start="1"/>
          <w:cols w:space="720" w:num="1"/>
          <w:docGrid w:type="lines" w:linePitch="312" w:charSpace="0"/>
        </w:sectPr>
      </w:pPr>
      <w:r>
        <w:rPr>
          <w:rFonts w:hint="eastAsia"/>
        </w:rPr>
        <w:t>联系人：</w:t>
      </w:r>
      <w:r>
        <w:rPr>
          <w:rFonts w:hint="eastAsia"/>
          <w:lang w:val="en-US" w:eastAsia="zh-CN"/>
        </w:rPr>
        <w:t>黎</w:t>
      </w:r>
      <w:r>
        <w:rPr>
          <w:rFonts w:hint="eastAsia"/>
        </w:rPr>
        <w:t>老师</w:t>
      </w:r>
      <w:r>
        <w:rPr>
          <w:rFonts w:hint="eastAsia"/>
        </w:rPr>
        <w:tab/>
      </w:r>
      <w:r>
        <w:rPr>
          <w:rFonts w:hint="eastAsia"/>
        </w:rPr>
        <w:tab/>
      </w:r>
      <w:r>
        <w:rPr>
          <w:rFonts w:hint="eastAsia"/>
        </w:rPr>
        <w:tab/>
      </w:r>
      <w:r>
        <w:rPr>
          <w:rFonts w:hint="eastAsia"/>
        </w:rPr>
        <w:t>电话：</w:t>
      </w:r>
      <w:r>
        <w:rPr>
          <w:rFonts w:hint="eastAsia"/>
          <w:lang w:val="en-US" w:eastAsia="zh-CN"/>
        </w:rPr>
        <w:t>18723353087</w:t>
      </w:r>
    </w:p>
    <w:p w14:paraId="254042D1">
      <w:pPr>
        <w:pStyle w:val="18"/>
        <w:jc w:val="center"/>
        <w:rPr>
          <w:rFonts w:hint="eastAsia" w:ascii="宋体" w:hAnsi="宋体" w:eastAsia="宋体" w:cs="宋体"/>
          <w:b/>
          <w:bCs/>
          <w:sz w:val="32"/>
          <w:szCs w:val="32"/>
        </w:rPr>
      </w:pPr>
      <w:r>
        <w:rPr>
          <w:rFonts w:hint="eastAsia" w:ascii="宋体" w:hAnsi="宋体" w:eastAsia="宋体" w:cs="宋体"/>
          <w:b/>
          <w:bCs/>
          <w:sz w:val="32"/>
          <w:szCs w:val="32"/>
        </w:rPr>
        <w:t>重庆公路养护工程（集团）有限公司</w:t>
      </w:r>
    </w:p>
    <w:p w14:paraId="2D50027A">
      <w:pPr>
        <w:pStyle w:val="18"/>
        <w:jc w:val="center"/>
        <w:rPr>
          <w:rFonts w:hint="eastAsia" w:ascii="宋体" w:hAnsi="宋体" w:eastAsia="宋体" w:cs="宋体"/>
          <w:b/>
          <w:bCs/>
          <w:sz w:val="32"/>
          <w:szCs w:val="32"/>
        </w:rPr>
      </w:pPr>
      <w:r>
        <w:rPr>
          <w:rFonts w:hint="eastAsia" w:ascii="宋体" w:hAnsi="宋体" w:eastAsia="宋体" w:cs="宋体"/>
          <w:b/>
          <w:bCs/>
          <w:sz w:val="32"/>
          <w:szCs w:val="32"/>
        </w:rPr>
        <w:t>安全韧性提升工程交通组织咨询服务合同</w:t>
      </w:r>
    </w:p>
    <w:p w14:paraId="717BBEC9">
      <w:pPr>
        <w:ind w:firstLine="0" w:firstLineChars="0"/>
        <w:rPr>
          <w:b/>
          <w:bCs/>
          <w:u w:val="single"/>
        </w:rPr>
      </w:pPr>
      <w:r>
        <w:rPr>
          <w:rFonts w:hint="eastAsia"/>
        </w:rPr>
        <w:t>甲方：</w:t>
      </w:r>
      <w:r>
        <w:rPr>
          <w:rFonts w:hint="eastAsia"/>
          <w:b/>
          <w:bCs/>
          <w:u w:val="single"/>
        </w:rPr>
        <w:t>重庆公路养护工程（集团）有限公司</w:t>
      </w:r>
    </w:p>
    <w:p w14:paraId="33531543">
      <w:pPr>
        <w:ind w:firstLine="0" w:firstLineChars="0"/>
        <w:rPr>
          <w:u w:val="single"/>
        </w:rPr>
      </w:pPr>
      <w:r>
        <w:rPr>
          <w:rFonts w:hint="eastAsia"/>
        </w:rPr>
        <w:t>联系地址：</w:t>
      </w:r>
      <w:r>
        <w:rPr>
          <w:rFonts w:hint="eastAsia"/>
          <w:b/>
          <w:bCs/>
          <w:u w:val="single"/>
        </w:rPr>
        <w:t>重庆市沙坪坝区梨高路4号</w:t>
      </w:r>
    </w:p>
    <w:p w14:paraId="15638914">
      <w:pPr>
        <w:pStyle w:val="18"/>
      </w:pPr>
    </w:p>
    <w:p w14:paraId="268E80A9">
      <w:pPr>
        <w:spacing w:line="360" w:lineRule="auto"/>
        <w:ind w:firstLine="0" w:firstLineChars="0"/>
        <w:rPr>
          <w:u w:val="single"/>
        </w:rPr>
      </w:pPr>
      <w:r>
        <w:rPr>
          <w:rFonts w:hint="eastAsia"/>
        </w:rPr>
        <w:t>乙方：</w:t>
      </w:r>
      <w:r>
        <w:rPr>
          <w:rFonts w:hint="eastAsia"/>
          <w:b/>
          <w:bCs/>
          <w:u w:val="single"/>
        </w:rPr>
        <w:t xml:space="preserve">                           </w:t>
      </w:r>
      <w:r>
        <w:rPr>
          <w:u w:val="single"/>
        </w:rPr>
        <w:t xml:space="preserve"> </w:t>
      </w:r>
    </w:p>
    <w:p w14:paraId="43EA964E">
      <w:pPr>
        <w:spacing w:line="360" w:lineRule="auto"/>
        <w:ind w:firstLine="0" w:firstLineChars="0"/>
        <w:rPr>
          <w:u w:val="single"/>
        </w:rPr>
      </w:pPr>
      <w:r>
        <w:rPr>
          <w:rFonts w:hint="eastAsia"/>
        </w:rPr>
        <w:t>联系地址：</w:t>
      </w:r>
      <w:r>
        <w:rPr>
          <w:rFonts w:hint="eastAsia"/>
          <w:b/>
          <w:bCs/>
          <w:u w:val="single"/>
        </w:rPr>
        <w:t xml:space="preserve">                       </w:t>
      </w:r>
      <w:r>
        <w:rPr>
          <w:u w:val="single"/>
        </w:rPr>
        <w:t xml:space="preserve"> </w:t>
      </w:r>
    </w:p>
    <w:p w14:paraId="1995100C">
      <w:pPr>
        <w:pStyle w:val="18"/>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甲方因</w:t>
      </w:r>
      <w:r>
        <w:rPr>
          <w:rFonts w:hint="eastAsia" w:asciiTheme="minorEastAsia" w:hAnsiTheme="minorEastAsia" w:eastAsiaTheme="minorEastAsia" w:cstheme="minorEastAsia"/>
          <w:b/>
          <w:bCs/>
          <w:u w:val="single"/>
        </w:rPr>
        <w:t>安全韧性提升工程</w:t>
      </w:r>
      <w:r>
        <w:rPr>
          <w:rFonts w:hint="eastAsia" w:asciiTheme="minorEastAsia" w:hAnsiTheme="minorEastAsia" w:eastAsiaTheme="minorEastAsia" w:cstheme="minorEastAsia"/>
        </w:rPr>
        <w:t>施工需要，协议委托乙方实施</w:t>
      </w:r>
      <w:r>
        <w:rPr>
          <w:rFonts w:hint="eastAsia" w:asciiTheme="minorEastAsia" w:hAnsiTheme="minorEastAsia" w:eastAsiaTheme="minorEastAsia" w:cstheme="minorEastAsia"/>
          <w:b/>
          <w:bCs/>
          <w:u w:val="single"/>
        </w:rPr>
        <w:t>交通组织咨询服务</w:t>
      </w:r>
      <w:r>
        <w:rPr>
          <w:rFonts w:hint="eastAsia" w:asciiTheme="minorEastAsia" w:hAnsiTheme="minorEastAsia" w:eastAsiaTheme="minorEastAsia" w:cstheme="minorEastAsia"/>
        </w:rPr>
        <w:t>。依照《中华人民共和国民法典》及其他有关法律、行政法规，双方在遵循平等、自愿、公平和诚实守信原则的基础上，经共同协商，达成一致意见，特签订本合同：</w:t>
      </w:r>
    </w:p>
    <w:p w14:paraId="06954A72">
      <w:pPr>
        <w:pStyle w:val="4"/>
        <w:numPr>
          <w:ilvl w:val="0"/>
          <w:numId w:val="2"/>
        </w:numPr>
        <w:spacing w:line="360" w:lineRule="auto"/>
      </w:pPr>
      <w:r>
        <w:rPr>
          <w:rFonts w:hint="eastAsia"/>
        </w:rPr>
        <w:t>服务范围及内容</w:t>
      </w:r>
    </w:p>
    <w:p w14:paraId="28559FBA">
      <w:pPr>
        <w:pStyle w:val="4"/>
        <w:spacing w:line="360" w:lineRule="auto"/>
        <w:ind w:firstLine="480" w:firstLineChars="200"/>
        <w:rPr>
          <w:b w:val="0"/>
          <w:bCs/>
        </w:rPr>
      </w:pPr>
      <w:r>
        <w:rPr>
          <w:rFonts w:hint="eastAsia"/>
          <w:b w:val="0"/>
          <w:bCs/>
        </w:rPr>
        <w:t>1、服务范围</w:t>
      </w:r>
    </w:p>
    <w:p w14:paraId="5DCBDF7B">
      <w:pPr>
        <w:pStyle w:val="4"/>
        <w:spacing w:line="360" w:lineRule="auto"/>
        <w:ind w:firstLine="480" w:firstLineChars="200"/>
        <w:rPr>
          <w:rFonts w:hint="default"/>
          <w:lang w:val="en-US" w:eastAsia="zh-CN"/>
        </w:rPr>
      </w:pPr>
      <w:r>
        <w:rPr>
          <w:rFonts w:hint="eastAsia" w:ascii="宋体" w:hAnsi="宋体" w:cs="宋体"/>
          <w:b w:val="0"/>
          <w:bCs/>
        </w:rPr>
        <w:t>G42沪蓉高速奉节至梁平段（桩号K1341+546～K1574+950）、G65包茂高速彭水至酉阳段（桩号K1743+700～K1931+400）</w:t>
      </w:r>
      <w:r>
        <w:rPr>
          <w:rFonts w:hint="eastAsia"/>
          <w:b w:val="0"/>
          <w:bCs/>
          <w:lang w:val="en-US" w:eastAsia="zh-CN"/>
        </w:rPr>
        <w:t>安全韧性提升工程全路段各专业各阶段施工涉及单道双通或断道施工等特殊交通组织方式及总体交通组织安全咨询服务。</w:t>
      </w:r>
    </w:p>
    <w:p w14:paraId="33749BED">
      <w:pPr>
        <w:pStyle w:val="4"/>
        <w:spacing w:line="360" w:lineRule="auto"/>
        <w:ind w:firstLine="482" w:firstLineChars="200"/>
        <w:rPr>
          <w:rFonts w:hint="eastAsia" w:eastAsia="宋体"/>
          <w:lang w:eastAsia="zh-CN"/>
        </w:rPr>
      </w:pPr>
      <w:r>
        <w:rPr>
          <w:rFonts w:hint="eastAsia"/>
        </w:rPr>
        <w:t>2、服务内容</w:t>
      </w:r>
      <w:r>
        <w:rPr>
          <w:rFonts w:hint="eastAsia"/>
          <w:lang w:eastAsia="zh-CN"/>
        </w:rPr>
        <w:t>：</w:t>
      </w:r>
    </w:p>
    <w:p w14:paraId="55D787D5">
      <w:pPr>
        <w:pStyle w:val="4"/>
        <w:spacing w:line="360" w:lineRule="auto"/>
        <w:ind w:firstLine="480" w:firstLineChars="200"/>
        <w:rPr>
          <w:b w:val="0"/>
          <w:bCs/>
        </w:rPr>
      </w:pPr>
      <w:r>
        <w:rPr>
          <w:rFonts w:hint="eastAsia"/>
          <w:b w:val="0"/>
          <w:bCs/>
        </w:rPr>
        <w:t>包括但不限于以下工作内容（以交管总队、高速支队要求要求为准）：</w:t>
      </w:r>
    </w:p>
    <w:p w14:paraId="2CB84B3B">
      <w:pPr>
        <w:pStyle w:val="4"/>
        <w:numPr>
          <w:ilvl w:val="0"/>
          <w:numId w:val="0"/>
        </w:numPr>
        <w:spacing w:line="360" w:lineRule="auto"/>
        <w:ind w:firstLine="480" w:firstLineChars="200"/>
        <w:rPr>
          <w:b w:val="0"/>
          <w:bCs/>
        </w:rPr>
      </w:pPr>
      <w:r>
        <w:rPr>
          <w:rFonts w:hint="eastAsia"/>
          <w:b w:val="0"/>
          <w:bCs/>
          <w:lang w:eastAsia="zh-CN"/>
        </w:rPr>
        <w:t>（</w:t>
      </w:r>
      <w:r>
        <w:rPr>
          <w:rFonts w:hint="eastAsia"/>
          <w:b w:val="0"/>
          <w:bCs/>
          <w:lang w:val="en-US" w:eastAsia="zh-CN"/>
        </w:rPr>
        <w:t>1</w:t>
      </w:r>
      <w:r>
        <w:rPr>
          <w:rFonts w:hint="eastAsia"/>
          <w:b w:val="0"/>
          <w:bCs/>
          <w:lang w:eastAsia="zh-CN"/>
        </w:rPr>
        <w:t>）</w:t>
      </w:r>
      <w:r>
        <w:rPr>
          <w:rFonts w:hint="eastAsia"/>
          <w:b w:val="0"/>
          <w:bCs/>
        </w:rPr>
        <w:t>现场踏勘、施工调查、影像资料采集、数据收集等工作；</w:t>
      </w:r>
    </w:p>
    <w:p w14:paraId="48E982DD">
      <w:pPr>
        <w:pStyle w:val="4"/>
        <w:spacing w:line="360" w:lineRule="auto"/>
        <w:ind w:firstLine="480" w:firstLineChars="200"/>
        <w:rPr>
          <w:b w:val="0"/>
          <w:bCs/>
        </w:rPr>
      </w:pPr>
      <w:r>
        <w:rPr>
          <w:rFonts w:hint="eastAsia"/>
          <w:b w:val="0"/>
          <w:bCs/>
        </w:rPr>
        <w:t>（2）项目周边区域交通现状分析；</w:t>
      </w:r>
    </w:p>
    <w:p w14:paraId="09FF0B84">
      <w:pPr>
        <w:pStyle w:val="4"/>
        <w:spacing w:line="360" w:lineRule="auto"/>
        <w:ind w:firstLine="480" w:firstLineChars="200"/>
        <w:rPr>
          <w:b w:val="0"/>
          <w:bCs/>
        </w:rPr>
      </w:pPr>
      <w:r>
        <w:rPr>
          <w:rFonts w:hint="eastAsia"/>
          <w:b w:val="0"/>
          <w:bCs/>
        </w:rPr>
        <w:t>（3）施工期间交通运行情况评价，确定该工况下的通行服务等级；</w:t>
      </w:r>
    </w:p>
    <w:p w14:paraId="20C6C29F">
      <w:pPr>
        <w:pStyle w:val="4"/>
        <w:spacing w:line="360" w:lineRule="auto"/>
        <w:ind w:firstLine="480" w:firstLineChars="200"/>
        <w:rPr>
          <w:b w:val="0"/>
          <w:bCs/>
        </w:rPr>
      </w:pPr>
      <w:r>
        <w:rPr>
          <w:rFonts w:hint="eastAsia"/>
          <w:b w:val="0"/>
          <w:bCs/>
        </w:rPr>
        <w:t>（4）编制交通管制应急预案；</w:t>
      </w:r>
    </w:p>
    <w:p w14:paraId="1C4746B2">
      <w:pPr>
        <w:pStyle w:val="4"/>
        <w:spacing w:line="360" w:lineRule="auto"/>
        <w:ind w:firstLine="480" w:firstLineChars="200"/>
        <w:rPr>
          <w:b w:val="0"/>
          <w:bCs/>
        </w:rPr>
      </w:pPr>
      <w:r>
        <w:rPr>
          <w:rFonts w:hint="eastAsia"/>
          <w:b w:val="0"/>
          <w:bCs/>
        </w:rPr>
        <w:t>（5）编制</w:t>
      </w:r>
      <w:r>
        <w:rPr>
          <w:rFonts w:hint="eastAsia"/>
          <w:b w:val="0"/>
          <w:bCs/>
          <w:lang w:val="en-US" w:eastAsia="zh-CN"/>
        </w:rPr>
        <w:t>路段总体施工组织方案和</w:t>
      </w:r>
      <w:r>
        <w:rPr>
          <w:rFonts w:hint="eastAsia"/>
          <w:b w:val="0"/>
          <w:bCs/>
        </w:rPr>
        <w:t>施工期间</w:t>
      </w:r>
      <w:r>
        <w:rPr>
          <w:rFonts w:hint="eastAsia"/>
          <w:b w:val="0"/>
          <w:bCs/>
          <w:lang w:val="en-US" w:eastAsia="zh-CN"/>
        </w:rPr>
        <w:t>专项</w:t>
      </w:r>
      <w:r>
        <w:rPr>
          <w:rFonts w:hint="eastAsia"/>
          <w:b w:val="0"/>
          <w:bCs/>
        </w:rPr>
        <w:t>交通组织方案；</w:t>
      </w:r>
    </w:p>
    <w:p w14:paraId="049C220C">
      <w:pPr>
        <w:pStyle w:val="4"/>
        <w:spacing w:line="360" w:lineRule="auto"/>
        <w:ind w:firstLine="480" w:firstLineChars="200"/>
        <w:rPr>
          <w:b w:val="0"/>
          <w:bCs/>
        </w:rPr>
      </w:pPr>
      <w:r>
        <w:rPr>
          <w:rFonts w:hint="eastAsia"/>
          <w:b w:val="0"/>
          <w:bCs/>
        </w:rPr>
        <w:t>（6）完善配套安全设施设计；</w:t>
      </w:r>
    </w:p>
    <w:p w14:paraId="1D822436">
      <w:pPr>
        <w:pStyle w:val="4"/>
        <w:spacing w:line="360" w:lineRule="auto"/>
        <w:ind w:firstLine="480" w:firstLineChars="200"/>
        <w:rPr>
          <w:b w:val="0"/>
          <w:bCs/>
        </w:rPr>
      </w:pPr>
      <w:r>
        <w:rPr>
          <w:rFonts w:hint="eastAsia"/>
          <w:b w:val="0"/>
          <w:bCs/>
        </w:rPr>
        <w:t>（7）完成</w:t>
      </w:r>
      <w:r>
        <w:rPr>
          <w:rFonts w:hint="eastAsia"/>
          <w:b w:val="0"/>
          <w:bCs/>
          <w:lang w:val="en-US" w:eastAsia="zh-CN"/>
        </w:rPr>
        <w:t>总体和专项</w:t>
      </w:r>
      <w:r>
        <w:rPr>
          <w:rFonts w:hint="eastAsia"/>
          <w:b w:val="0"/>
          <w:bCs/>
        </w:rPr>
        <w:t>交通组织方案报送、评审、批复工作；</w:t>
      </w:r>
    </w:p>
    <w:p w14:paraId="2E62D9C0">
      <w:pPr>
        <w:spacing w:line="360" w:lineRule="auto"/>
        <w:ind w:firstLine="480"/>
      </w:pPr>
      <w:r>
        <w:rPr>
          <w:rFonts w:hint="eastAsia"/>
        </w:rPr>
        <w:t>（8）协调、解决交通组织方案实施过程中的相关问题；</w:t>
      </w:r>
    </w:p>
    <w:p w14:paraId="7FD3E302">
      <w:pPr>
        <w:pStyle w:val="4"/>
        <w:spacing w:line="360" w:lineRule="auto"/>
        <w:ind w:firstLine="480" w:firstLineChars="200"/>
        <w:rPr>
          <w:rFonts w:hint="eastAsia" w:eastAsia="宋体"/>
          <w:lang w:eastAsia="zh-CN"/>
        </w:rPr>
      </w:pPr>
      <w:r>
        <w:rPr>
          <w:rFonts w:hint="eastAsia"/>
          <w:b w:val="0"/>
          <w:bCs/>
        </w:rPr>
        <w:t>（9）道路交通或</w:t>
      </w:r>
      <w:r>
        <w:rPr>
          <w:rFonts w:hint="eastAsia"/>
          <w:b w:val="0"/>
          <w:bCs/>
          <w:lang w:val="en-US" w:eastAsia="zh-CN"/>
        </w:rPr>
        <w:t>甲方</w:t>
      </w:r>
      <w:r>
        <w:rPr>
          <w:rFonts w:hint="eastAsia"/>
          <w:b w:val="0"/>
          <w:bCs/>
        </w:rPr>
        <w:t>交组需求发生重大变化，已批复交组需另选交组方式</w:t>
      </w:r>
      <w:r>
        <w:rPr>
          <w:rFonts w:hint="eastAsia"/>
          <w:b w:val="0"/>
          <w:bCs/>
          <w:lang w:val="en-US" w:eastAsia="zh-CN"/>
        </w:rPr>
        <w:t>相关</w:t>
      </w:r>
      <w:r>
        <w:rPr>
          <w:rFonts w:hint="eastAsia"/>
          <w:b w:val="0"/>
          <w:bCs/>
        </w:rPr>
        <w:t>批复</w:t>
      </w:r>
      <w:r>
        <w:rPr>
          <w:rFonts w:hint="eastAsia"/>
          <w:b w:val="0"/>
          <w:bCs/>
          <w:lang w:val="en-US" w:eastAsia="zh-CN"/>
        </w:rPr>
        <w:t>工作</w:t>
      </w:r>
      <w:r>
        <w:rPr>
          <w:rFonts w:hint="eastAsia"/>
          <w:b w:val="0"/>
          <w:bCs/>
          <w:lang w:eastAsia="zh-CN"/>
        </w:rPr>
        <w:t>。</w:t>
      </w:r>
    </w:p>
    <w:p w14:paraId="32724DC3">
      <w:pPr>
        <w:spacing w:line="360" w:lineRule="auto"/>
        <w:ind w:firstLine="480"/>
        <w:rPr>
          <w:bCs/>
        </w:rPr>
      </w:pPr>
      <w:r>
        <w:rPr>
          <w:rFonts w:hint="eastAsia"/>
          <w:bCs/>
        </w:rPr>
        <w:t>（10）与本项目交通组织相关的其它咨询服务。</w:t>
      </w:r>
    </w:p>
    <w:p w14:paraId="535ACB4F">
      <w:pPr>
        <w:spacing w:line="360" w:lineRule="auto"/>
        <w:ind w:firstLine="0" w:firstLineChars="0"/>
        <w:rPr>
          <w:b/>
        </w:rPr>
      </w:pPr>
      <w:r>
        <w:rPr>
          <w:rFonts w:hint="eastAsia"/>
          <w:b/>
        </w:rPr>
        <w:t>二、</w:t>
      </w:r>
      <w:r>
        <w:rPr>
          <w:rFonts w:hint="eastAsia"/>
          <w:b/>
          <w:lang w:val="en-US" w:eastAsia="zh-CN"/>
        </w:rPr>
        <w:t>服务</w:t>
      </w:r>
      <w:r>
        <w:rPr>
          <w:rFonts w:hint="eastAsia"/>
          <w:b/>
        </w:rPr>
        <w:t>期限</w:t>
      </w:r>
    </w:p>
    <w:p w14:paraId="5D368292">
      <w:pPr>
        <w:spacing w:line="360" w:lineRule="auto"/>
        <w:ind w:firstLine="482"/>
        <w:rPr>
          <w:rFonts w:hint="eastAsia" w:ascii="宋体" w:hAnsi="宋体" w:cs="宋体"/>
        </w:rPr>
      </w:pPr>
      <w:r>
        <w:rPr>
          <w:rFonts w:hint="eastAsia"/>
          <w:b/>
          <w:bCs w:val="0"/>
          <w:u w:val="single"/>
        </w:rPr>
        <w:t>三年，</w:t>
      </w:r>
      <w:r>
        <w:rPr>
          <w:rFonts w:hint="eastAsia"/>
          <w:bCs/>
        </w:rPr>
        <w:t>自</w:t>
      </w:r>
      <w:r>
        <w:rPr>
          <w:rFonts w:hint="eastAsia" w:ascii="宋体" w:hAnsi="宋体" w:cs="宋体"/>
        </w:rPr>
        <w:t>合同生效之日起至2028年12月31日（</w:t>
      </w:r>
      <w:r>
        <w:rPr>
          <w:rFonts w:hint="eastAsia" w:ascii="宋体" w:hAnsi="宋体" w:cs="宋体"/>
          <w:lang w:val="en-US" w:eastAsia="zh-CN"/>
        </w:rPr>
        <w:t>以</w:t>
      </w:r>
      <w:r>
        <w:rPr>
          <w:rFonts w:hint="eastAsia" w:ascii="宋体" w:hAnsi="宋体" w:cs="宋体"/>
        </w:rPr>
        <w:t>项目实际完工时间为准）。</w:t>
      </w:r>
    </w:p>
    <w:p w14:paraId="0F3BF1F6">
      <w:pPr>
        <w:spacing w:line="360" w:lineRule="auto"/>
        <w:ind w:firstLine="0" w:firstLineChars="0"/>
      </w:pPr>
      <w:r>
        <w:rPr>
          <w:rFonts w:hint="eastAsia"/>
          <w:b/>
        </w:rPr>
        <w:t>三、工程量清单</w:t>
      </w:r>
    </w:p>
    <w:p w14:paraId="09BE1275">
      <w:pPr>
        <w:pStyle w:val="4"/>
        <w:wordWrap/>
        <w:jc w:val="center"/>
      </w:pPr>
      <w:r>
        <w:rPr>
          <w:rFonts w:hint="eastAsia"/>
        </w:rPr>
        <w:t>安全韧性提升工程交通组织咨询服务工程量清单</w:t>
      </w:r>
    </w:p>
    <w:p w14:paraId="5BD6CCCC">
      <w:pPr>
        <w:pStyle w:val="18"/>
        <w:jc w:val="right"/>
        <w:rPr>
          <w:rFonts w:hint="eastAsia" w:ascii="宋体" w:hAnsi="宋体" w:eastAsia="宋体" w:cs="宋体"/>
          <w:sz w:val="21"/>
          <w:szCs w:val="21"/>
        </w:rPr>
      </w:pPr>
      <w:r>
        <w:rPr>
          <w:rFonts w:hint="eastAsia" w:ascii="宋体" w:hAnsi="宋体" w:eastAsia="宋体" w:cs="宋体"/>
          <w:sz w:val="21"/>
          <w:szCs w:val="21"/>
        </w:rPr>
        <w:t xml:space="preserve">     货币单位：人民币  万元</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95"/>
        <w:gridCol w:w="2391"/>
        <w:gridCol w:w="3664"/>
        <w:gridCol w:w="1198"/>
        <w:gridCol w:w="1906"/>
      </w:tblGrid>
      <w:tr w14:paraId="446F9B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353" w:type="pct"/>
            <w:tcBorders>
              <w:tl2br w:val="nil"/>
              <w:tr2bl w:val="nil"/>
            </w:tcBorders>
            <w:vAlign w:val="center"/>
          </w:tcPr>
          <w:p w14:paraId="5A7B9416">
            <w:pPr>
              <w:wordWrap/>
              <w:topLinePunct w:val="0"/>
              <w:spacing w:line="240" w:lineRule="auto"/>
              <w:ind w:firstLine="0" w:firstLineChars="0"/>
              <w:jc w:val="center"/>
            </w:pPr>
            <w:r>
              <w:t>序号</w:t>
            </w:r>
          </w:p>
        </w:tc>
        <w:tc>
          <w:tcPr>
            <w:tcW w:w="1213" w:type="pct"/>
            <w:tcBorders>
              <w:tl2br w:val="nil"/>
              <w:tr2bl w:val="nil"/>
            </w:tcBorders>
            <w:vAlign w:val="center"/>
          </w:tcPr>
          <w:p w14:paraId="51ECF1FF">
            <w:pPr>
              <w:wordWrap/>
              <w:topLinePunct w:val="0"/>
              <w:spacing w:line="240" w:lineRule="auto"/>
              <w:ind w:firstLine="0" w:firstLineChars="0"/>
              <w:jc w:val="center"/>
            </w:pPr>
            <w:r>
              <w:rPr>
                <w:rFonts w:hint="eastAsia"/>
              </w:rPr>
              <w:t>名称</w:t>
            </w:r>
          </w:p>
        </w:tc>
        <w:tc>
          <w:tcPr>
            <w:tcW w:w="1859" w:type="pct"/>
            <w:tcBorders>
              <w:tl2br w:val="nil"/>
              <w:tr2bl w:val="nil"/>
            </w:tcBorders>
            <w:vAlign w:val="center"/>
          </w:tcPr>
          <w:p w14:paraId="0A0CB3F5">
            <w:pPr>
              <w:wordWrap/>
              <w:topLinePunct w:val="0"/>
              <w:spacing w:line="240" w:lineRule="auto"/>
              <w:ind w:firstLine="0" w:firstLineChars="0"/>
              <w:jc w:val="center"/>
            </w:pPr>
            <w:r>
              <w:rPr>
                <w:rFonts w:hint="eastAsia"/>
              </w:rPr>
              <w:t>路段</w:t>
            </w:r>
          </w:p>
        </w:tc>
        <w:tc>
          <w:tcPr>
            <w:tcW w:w="608" w:type="pct"/>
            <w:tcBorders>
              <w:tl2br w:val="nil"/>
              <w:tr2bl w:val="nil"/>
            </w:tcBorders>
            <w:vAlign w:val="center"/>
          </w:tcPr>
          <w:p w14:paraId="24607C32">
            <w:pPr>
              <w:wordWrap/>
              <w:topLinePunct w:val="0"/>
              <w:spacing w:line="240" w:lineRule="auto"/>
              <w:ind w:firstLine="0" w:firstLineChars="0"/>
              <w:jc w:val="center"/>
            </w:pPr>
            <w:r>
              <w:rPr>
                <w:rFonts w:hint="eastAsia"/>
              </w:rPr>
              <w:t>单位</w:t>
            </w:r>
          </w:p>
        </w:tc>
        <w:tc>
          <w:tcPr>
            <w:tcW w:w="964" w:type="pct"/>
            <w:tcBorders>
              <w:tl2br w:val="nil"/>
              <w:tr2bl w:val="nil"/>
            </w:tcBorders>
            <w:vAlign w:val="center"/>
          </w:tcPr>
          <w:p w14:paraId="24895ADD">
            <w:pPr>
              <w:wordWrap/>
              <w:topLinePunct w:val="0"/>
              <w:spacing w:line="240" w:lineRule="auto"/>
              <w:ind w:firstLine="0" w:firstLineChars="0"/>
              <w:jc w:val="center"/>
            </w:pPr>
            <w:r>
              <w:rPr>
                <w:rFonts w:hint="eastAsia"/>
              </w:rPr>
              <w:t>金额（含税）</w:t>
            </w:r>
          </w:p>
        </w:tc>
      </w:tr>
      <w:tr w14:paraId="231947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53" w:type="pct"/>
            <w:vMerge w:val="restart"/>
            <w:tcBorders>
              <w:tl2br w:val="nil"/>
              <w:tr2bl w:val="nil"/>
            </w:tcBorders>
            <w:vAlign w:val="center"/>
          </w:tcPr>
          <w:p w14:paraId="08B95800">
            <w:pPr>
              <w:wordWrap/>
              <w:topLinePunct w:val="0"/>
              <w:spacing w:line="240" w:lineRule="auto"/>
              <w:ind w:firstLine="0" w:firstLineChars="0"/>
              <w:jc w:val="center"/>
            </w:pPr>
            <w:r>
              <w:t>1</w:t>
            </w:r>
          </w:p>
        </w:tc>
        <w:tc>
          <w:tcPr>
            <w:tcW w:w="1213" w:type="pct"/>
            <w:vMerge w:val="restart"/>
            <w:tcBorders>
              <w:tl2br w:val="nil"/>
              <w:tr2bl w:val="nil"/>
            </w:tcBorders>
            <w:vAlign w:val="center"/>
          </w:tcPr>
          <w:p w14:paraId="4971BEE2">
            <w:pPr>
              <w:wordWrap/>
              <w:topLinePunct w:val="0"/>
              <w:spacing w:line="240" w:lineRule="auto"/>
              <w:ind w:firstLine="0" w:firstLineChars="0"/>
              <w:jc w:val="center"/>
            </w:pPr>
            <w:r>
              <w:rPr>
                <w:rFonts w:hint="eastAsia"/>
              </w:rPr>
              <w:t>安全韧性提升项目交</w:t>
            </w:r>
            <w:r>
              <w:rPr>
                <w:rFonts w:hint="eastAsia"/>
                <w:kern w:val="44"/>
              </w:rPr>
              <w:t>通组织</w:t>
            </w:r>
            <w:r>
              <w:rPr>
                <w:rFonts w:hint="eastAsia"/>
              </w:rPr>
              <w:t>咨询服务</w:t>
            </w:r>
          </w:p>
        </w:tc>
        <w:tc>
          <w:tcPr>
            <w:tcW w:w="1859" w:type="pct"/>
            <w:tcBorders>
              <w:tl2br w:val="nil"/>
              <w:tr2bl w:val="nil"/>
            </w:tcBorders>
            <w:vAlign w:val="center"/>
          </w:tcPr>
          <w:p w14:paraId="2BB4B780">
            <w:pPr>
              <w:wordWrap/>
              <w:topLinePunct w:val="0"/>
              <w:spacing w:line="240" w:lineRule="auto"/>
              <w:ind w:firstLine="0" w:firstLineChars="0"/>
              <w:jc w:val="center"/>
            </w:pPr>
            <w:r>
              <w:rPr>
                <w:rFonts w:hint="eastAsia" w:ascii="宋体" w:hAnsi="宋体" w:cs="宋体"/>
                <w:bCs/>
              </w:rPr>
              <w:t>G42沪蓉高速奉节至梁平段（桩号K1341+546～K1574+950）</w:t>
            </w:r>
          </w:p>
        </w:tc>
        <w:tc>
          <w:tcPr>
            <w:tcW w:w="608" w:type="pct"/>
            <w:vMerge w:val="restart"/>
            <w:tcBorders>
              <w:tl2br w:val="nil"/>
              <w:tr2bl w:val="nil"/>
            </w:tcBorders>
            <w:vAlign w:val="center"/>
          </w:tcPr>
          <w:p w14:paraId="4EF06358">
            <w:pPr>
              <w:wordWrap/>
              <w:topLinePunct w:val="0"/>
              <w:spacing w:line="240" w:lineRule="auto"/>
              <w:ind w:firstLine="0" w:firstLineChars="0"/>
              <w:jc w:val="center"/>
              <w:rPr>
                <w:color w:val="000000"/>
              </w:rPr>
            </w:pPr>
            <w:r>
              <w:rPr>
                <w:rFonts w:hint="eastAsia"/>
                <w:color w:val="000000"/>
              </w:rPr>
              <w:t>项</w:t>
            </w:r>
          </w:p>
        </w:tc>
        <w:tc>
          <w:tcPr>
            <w:tcW w:w="964" w:type="pct"/>
            <w:vMerge w:val="restart"/>
            <w:tcBorders>
              <w:tl2br w:val="nil"/>
              <w:tr2bl w:val="nil"/>
            </w:tcBorders>
            <w:vAlign w:val="center"/>
          </w:tcPr>
          <w:p w14:paraId="7720097F">
            <w:pPr>
              <w:wordWrap/>
              <w:topLinePunct w:val="0"/>
              <w:spacing w:line="240" w:lineRule="auto"/>
              <w:ind w:firstLine="0" w:firstLineChars="0"/>
              <w:jc w:val="center"/>
              <w:rPr>
                <w:color w:val="000000"/>
              </w:rPr>
            </w:pPr>
          </w:p>
        </w:tc>
      </w:tr>
      <w:tr w14:paraId="223700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53" w:type="pct"/>
            <w:vMerge w:val="continue"/>
            <w:tcBorders>
              <w:tl2br w:val="nil"/>
              <w:tr2bl w:val="nil"/>
            </w:tcBorders>
            <w:vAlign w:val="center"/>
          </w:tcPr>
          <w:p w14:paraId="1BE6FDDF">
            <w:pPr>
              <w:wordWrap/>
              <w:topLinePunct w:val="0"/>
              <w:spacing w:line="240" w:lineRule="auto"/>
              <w:ind w:firstLine="0" w:firstLineChars="0"/>
              <w:jc w:val="center"/>
            </w:pPr>
          </w:p>
        </w:tc>
        <w:tc>
          <w:tcPr>
            <w:tcW w:w="1213" w:type="pct"/>
            <w:vMerge w:val="continue"/>
            <w:tcBorders>
              <w:tl2br w:val="nil"/>
              <w:tr2bl w:val="nil"/>
            </w:tcBorders>
            <w:vAlign w:val="center"/>
          </w:tcPr>
          <w:p w14:paraId="07A60EE9">
            <w:pPr>
              <w:wordWrap/>
              <w:topLinePunct w:val="0"/>
              <w:spacing w:line="240" w:lineRule="auto"/>
              <w:ind w:firstLine="0" w:firstLineChars="0"/>
              <w:jc w:val="center"/>
            </w:pPr>
          </w:p>
        </w:tc>
        <w:tc>
          <w:tcPr>
            <w:tcW w:w="1859" w:type="pct"/>
            <w:tcBorders>
              <w:tl2br w:val="nil"/>
              <w:tr2bl w:val="nil"/>
            </w:tcBorders>
            <w:vAlign w:val="center"/>
          </w:tcPr>
          <w:p w14:paraId="0896AB48">
            <w:pPr>
              <w:wordWrap/>
              <w:topLinePunct w:val="0"/>
              <w:spacing w:line="240" w:lineRule="auto"/>
              <w:ind w:firstLine="0" w:firstLineChars="0"/>
              <w:jc w:val="center"/>
            </w:pPr>
            <w:r>
              <w:rPr>
                <w:rFonts w:hint="eastAsia" w:ascii="宋体" w:hAnsi="宋体" w:cs="宋体"/>
                <w:bCs/>
              </w:rPr>
              <w:t>G65包茂高速彭水至酉阳段（桩号K1743+700～K1931+400）</w:t>
            </w:r>
          </w:p>
        </w:tc>
        <w:tc>
          <w:tcPr>
            <w:tcW w:w="608" w:type="pct"/>
            <w:vMerge w:val="continue"/>
            <w:tcBorders>
              <w:tl2br w:val="nil"/>
              <w:tr2bl w:val="nil"/>
            </w:tcBorders>
            <w:vAlign w:val="center"/>
          </w:tcPr>
          <w:p w14:paraId="1735AA32">
            <w:pPr>
              <w:wordWrap/>
              <w:topLinePunct w:val="0"/>
              <w:spacing w:line="240" w:lineRule="auto"/>
              <w:ind w:firstLine="0" w:firstLineChars="0"/>
              <w:jc w:val="center"/>
              <w:rPr>
                <w:color w:val="000000"/>
              </w:rPr>
            </w:pPr>
          </w:p>
        </w:tc>
        <w:tc>
          <w:tcPr>
            <w:tcW w:w="964" w:type="pct"/>
            <w:vMerge w:val="continue"/>
            <w:tcBorders>
              <w:tl2br w:val="nil"/>
              <w:tr2bl w:val="nil"/>
            </w:tcBorders>
            <w:vAlign w:val="center"/>
          </w:tcPr>
          <w:p w14:paraId="00CF0D1F">
            <w:pPr>
              <w:wordWrap/>
              <w:topLinePunct w:val="0"/>
              <w:spacing w:line="240" w:lineRule="auto"/>
              <w:ind w:firstLine="0" w:firstLineChars="0"/>
              <w:jc w:val="center"/>
              <w:rPr>
                <w:color w:val="000000"/>
              </w:rPr>
            </w:pPr>
          </w:p>
        </w:tc>
      </w:tr>
      <w:tr w14:paraId="032779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00" w:type="pct"/>
            <w:gridSpan w:val="5"/>
            <w:tcBorders>
              <w:tl2br w:val="nil"/>
              <w:tr2bl w:val="nil"/>
            </w:tcBorders>
            <w:vAlign w:val="center"/>
          </w:tcPr>
          <w:p w14:paraId="33128F78">
            <w:pPr>
              <w:wordWrap/>
              <w:topLinePunct w:val="0"/>
              <w:spacing w:line="240" w:lineRule="auto"/>
              <w:ind w:firstLine="0" w:firstLineChars="0"/>
              <w:jc w:val="left"/>
              <w:rPr>
                <w:b/>
                <w:bCs/>
                <w:sz w:val="20"/>
                <w:szCs w:val="20"/>
              </w:rPr>
            </w:pPr>
            <w:r>
              <w:rPr>
                <w:rFonts w:hint="eastAsia"/>
                <w:b/>
                <w:bCs/>
                <w:sz w:val="20"/>
                <w:szCs w:val="20"/>
              </w:rPr>
              <w:t>备注：</w:t>
            </w:r>
          </w:p>
          <w:p w14:paraId="6A16AE3E">
            <w:pPr>
              <w:wordWrap/>
              <w:topLinePunct w:val="0"/>
              <w:spacing w:line="240" w:lineRule="auto"/>
              <w:ind w:firstLine="440"/>
              <w:jc w:val="left"/>
              <w:rPr>
                <w:color w:val="000000"/>
              </w:rPr>
            </w:pPr>
            <w:r>
              <w:rPr>
                <w:rFonts w:hint="eastAsia" w:ascii="宋体" w:hAnsi="宋体" w:cs="宋体"/>
                <w:sz w:val="22"/>
                <w:szCs w:val="22"/>
              </w:rPr>
              <w:t>表中金额为全费用固定总价，合同执行期间不作任何调整，包括但不限于以下费用：人员工资、车辆使用费、材料费、方案编制费、技术咨询费、方案评审费、安全措施费、保险费、规费、</w:t>
            </w:r>
            <w:r>
              <w:rPr>
                <w:rFonts w:hint="eastAsia" w:ascii="宋体" w:hAnsi="宋体" w:cs="宋体"/>
                <w:sz w:val="22"/>
                <w:szCs w:val="22"/>
                <w:lang w:val="en-US" w:eastAsia="zh-CN"/>
              </w:rPr>
              <w:t>税金、</w:t>
            </w:r>
            <w:r>
              <w:rPr>
                <w:rFonts w:hint="eastAsia" w:ascii="宋体" w:hAnsi="宋体" w:cs="宋体"/>
                <w:sz w:val="22"/>
                <w:szCs w:val="22"/>
              </w:rPr>
              <w:t>管理费、利润等在内的各种费用以及合同明示或暗示的所有责任、义务和一般风险。</w:t>
            </w:r>
          </w:p>
        </w:tc>
      </w:tr>
    </w:tbl>
    <w:p w14:paraId="1C614E48">
      <w:pPr>
        <w:pStyle w:val="4"/>
      </w:pPr>
      <w:r>
        <w:rPr>
          <w:rFonts w:hint="eastAsia"/>
        </w:rPr>
        <w:t>四、</w:t>
      </w:r>
      <w:r>
        <w:rPr>
          <w:rFonts w:hint="eastAsia" w:ascii="宋体" w:hAnsi="宋体" w:cs="宋体"/>
        </w:rPr>
        <w:t>验收标准</w:t>
      </w:r>
    </w:p>
    <w:p w14:paraId="16D83FFE">
      <w:pPr>
        <w:pStyle w:val="6"/>
        <w:ind w:firstLine="480" w:firstLineChars="200"/>
        <w:rPr>
          <w:rFonts w:hint="eastAsia"/>
          <w:lang w:eastAsia="zh-CN"/>
        </w:rPr>
      </w:pPr>
      <w:r>
        <w:rPr>
          <w:rFonts w:hint="eastAsia"/>
          <w:lang w:val="en-US" w:eastAsia="zh-CN"/>
        </w:rPr>
        <w:t>乙方</w:t>
      </w:r>
      <w:r>
        <w:t>须在</w:t>
      </w:r>
      <w:r>
        <w:rPr>
          <w:rFonts w:hint="eastAsia"/>
          <w:lang w:val="en-US" w:eastAsia="zh-CN"/>
        </w:rPr>
        <w:t>甲方</w:t>
      </w:r>
      <w:r>
        <w:rPr>
          <w:rFonts w:hint="eastAsia"/>
        </w:rPr>
        <w:t>要求的时限内</w:t>
      </w:r>
      <w:r>
        <w:t>完成相关</w:t>
      </w:r>
      <w:r>
        <w:rPr>
          <w:rFonts w:hint="eastAsia"/>
        </w:rPr>
        <w:t>交通组织安全</w:t>
      </w:r>
      <w:r>
        <w:t>咨询</w:t>
      </w:r>
      <w:r>
        <w:rPr>
          <w:rFonts w:hint="eastAsia"/>
        </w:rPr>
        <w:t>服务</w:t>
      </w:r>
      <w:r>
        <w:rPr>
          <w:rFonts w:hint="eastAsia"/>
          <w:lang w:eastAsia="zh-CN"/>
        </w:rPr>
        <w:t>。</w:t>
      </w:r>
    </w:p>
    <w:p w14:paraId="14D51ABC">
      <w:pPr>
        <w:pStyle w:val="6"/>
        <w:ind w:firstLine="480" w:firstLineChars="200"/>
        <w:rPr>
          <w:rFonts w:hint="eastAsia"/>
        </w:rPr>
      </w:pPr>
      <w:r>
        <w:rPr>
          <w:rFonts w:hint="eastAsia"/>
          <w:lang w:eastAsia="zh-CN"/>
        </w:rPr>
        <w:t>（</w:t>
      </w:r>
      <w:r>
        <w:rPr>
          <w:rFonts w:hint="eastAsia"/>
          <w:lang w:val="en-US" w:eastAsia="zh-CN"/>
        </w:rPr>
        <w:t>1</w:t>
      </w:r>
      <w:r>
        <w:rPr>
          <w:rFonts w:hint="eastAsia"/>
          <w:lang w:eastAsia="zh-CN"/>
        </w:rPr>
        <w:t>）</w:t>
      </w:r>
      <w:r>
        <w:rPr>
          <w:rFonts w:hint="eastAsia"/>
          <w:lang w:val="en-US" w:eastAsia="zh-CN"/>
        </w:rPr>
        <w:t>乙方</w:t>
      </w:r>
      <w:r>
        <w:rPr>
          <w:rFonts w:hint="eastAsia"/>
        </w:rPr>
        <w:t>须在</w:t>
      </w:r>
      <w:r>
        <w:rPr>
          <w:rFonts w:hint="eastAsia"/>
          <w:lang w:val="en-US" w:eastAsia="zh-CN"/>
        </w:rPr>
        <w:t>甲方</w:t>
      </w:r>
      <w:r>
        <w:rPr>
          <w:rFonts w:hint="eastAsia"/>
        </w:rPr>
        <w:t>要求的时限内</w:t>
      </w:r>
      <w:r>
        <w:rPr>
          <w:rFonts w:hint="eastAsia"/>
          <w:b/>
          <w:bCs/>
          <w:i w:val="0"/>
          <w:iCs w:val="0"/>
          <w:u w:val="single"/>
          <w:lang w:val="en-US" w:eastAsia="zh-CN"/>
        </w:rPr>
        <w:t xml:space="preserve"> 2026年2月15日前</w:t>
      </w:r>
      <w:r>
        <w:rPr>
          <w:rFonts w:hint="eastAsia"/>
          <w:lang w:val="en-US" w:eastAsia="zh-CN"/>
        </w:rPr>
        <w:t>，编制</w:t>
      </w:r>
      <w:r>
        <w:rPr>
          <w:rFonts w:hint="eastAsia"/>
        </w:rPr>
        <w:t>完成</w:t>
      </w:r>
      <w:r>
        <w:rPr>
          <w:rFonts w:hint="eastAsia"/>
          <w:lang w:val="en-US" w:eastAsia="zh-CN"/>
        </w:rPr>
        <w:t>上述路段总体</w:t>
      </w:r>
      <w:r>
        <w:rPr>
          <w:rFonts w:hint="eastAsia"/>
        </w:rPr>
        <w:t>交通组织</w:t>
      </w:r>
      <w:r>
        <w:rPr>
          <w:rFonts w:hint="eastAsia"/>
          <w:lang w:val="en-US" w:eastAsia="zh-CN"/>
        </w:rPr>
        <w:t>方案</w:t>
      </w:r>
      <w:r>
        <w:rPr>
          <w:rFonts w:hint="eastAsia"/>
          <w:lang w:eastAsia="zh-CN"/>
        </w:rPr>
        <w:t>，</w:t>
      </w:r>
      <w:r>
        <w:rPr>
          <w:rFonts w:hint="eastAsia"/>
          <w:lang w:val="en-US" w:eastAsia="zh-CN"/>
        </w:rPr>
        <w:t>并提交交管总队同意组织评审</w:t>
      </w:r>
      <w:r>
        <w:rPr>
          <w:rFonts w:hint="eastAsia"/>
        </w:rPr>
        <w:t>。若投标人未在规定的时间内</w:t>
      </w:r>
      <w:r>
        <w:rPr>
          <w:rFonts w:hint="eastAsia"/>
          <w:lang w:val="en-US" w:eastAsia="zh-CN"/>
        </w:rPr>
        <w:t>编制</w:t>
      </w:r>
      <w:r>
        <w:rPr>
          <w:rFonts w:hint="eastAsia"/>
        </w:rPr>
        <w:t>完成</w:t>
      </w:r>
      <w:r>
        <w:rPr>
          <w:rFonts w:hint="eastAsia"/>
          <w:lang w:val="en-US" w:eastAsia="zh-CN"/>
        </w:rPr>
        <w:t>路段总体</w:t>
      </w:r>
      <w:r>
        <w:rPr>
          <w:rFonts w:hint="eastAsia"/>
        </w:rPr>
        <w:t>交通组织</w:t>
      </w:r>
      <w:r>
        <w:rPr>
          <w:rFonts w:hint="eastAsia"/>
          <w:lang w:val="en-US" w:eastAsia="zh-CN"/>
        </w:rPr>
        <w:t>方案并提交交管总队同意组织评审</w:t>
      </w:r>
      <w:r>
        <w:rPr>
          <w:rFonts w:hint="eastAsia"/>
        </w:rPr>
        <w:t>投标人承担违约责任。</w:t>
      </w:r>
    </w:p>
    <w:p w14:paraId="7B969826">
      <w:pPr>
        <w:pStyle w:val="6"/>
        <w:ind w:firstLine="480" w:firstLineChars="200"/>
        <w:rPr>
          <w:rFonts w:hint="eastAsia" w:eastAsia="宋体"/>
          <w:lang w:eastAsia="zh-CN"/>
        </w:rPr>
      </w:pPr>
      <w:r>
        <w:rPr>
          <w:rFonts w:hint="eastAsia"/>
          <w:lang w:val="en-US" w:eastAsia="zh-CN"/>
        </w:rPr>
        <w:t>（2）甲方根据施工安排</w:t>
      </w:r>
      <w:r>
        <w:rPr>
          <w:rFonts w:hint="eastAsia"/>
        </w:rPr>
        <w:t>分批</w:t>
      </w:r>
      <w:r>
        <w:rPr>
          <w:rFonts w:hint="eastAsia"/>
          <w:lang w:val="en-US" w:eastAsia="zh-CN"/>
        </w:rPr>
        <w:t>分阶段分专业提出</w:t>
      </w:r>
      <w:r>
        <w:rPr>
          <w:rFonts w:hint="eastAsia"/>
        </w:rPr>
        <w:t>各路段涉路需求并提供施工方案、设计文件初稿等基础资料，限期</w:t>
      </w:r>
      <w:r>
        <w:rPr>
          <w:rFonts w:hint="eastAsia"/>
          <w:lang w:val="en-US" w:eastAsia="zh-CN"/>
        </w:rPr>
        <w:t>乙方</w:t>
      </w:r>
      <w:r>
        <w:rPr>
          <w:rFonts w:hint="eastAsia"/>
          <w:b/>
          <w:bCs/>
          <w:u w:val="single"/>
          <w:lang w:val="en-US" w:eastAsia="zh-CN"/>
        </w:rPr>
        <w:t>20</w:t>
      </w:r>
      <w:r>
        <w:rPr>
          <w:rFonts w:hint="eastAsia"/>
          <w:b/>
          <w:bCs/>
          <w:u w:val="single"/>
        </w:rPr>
        <w:t>天内</w:t>
      </w:r>
      <w:r>
        <w:rPr>
          <w:rFonts w:hint="eastAsia"/>
        </w:rPr>
        <w:t>完成</w:t>
      </w:r>
      <w:r>
        <w:rPr>
          <w:rFonts w:hint="eastAsia"/>
          <w:lang w:val="en-US" w:eastAsia="zh-CN"/>
        </w:rPr>
        <w:t>相关交通组织方案的编制、报批，取得</w:t>
      </w:r>
      <w:r>
        <w:rPr>
          <w:rFonts w:hint="eastAsia"/>
        </w:rPr>
        <w:t>交管部门批复的高速公路涉路施工交通安全审查准予决定书</w:t>
      </w:r>
      <w:r>
        <w:rPr>
          <w:rFonts w:hint="eastAsia"/>
          <w:lang w:eastAsia="zh-CN"/>
        </w:rPr>
        <w:t>。</w:t>
      </w:r>
    </w:p>
    <w:p w14:paraId="236C78F8">
      <w:pPr>
        <w:pStyle w:val="6"/>
        <w:ind w:firstLine="480" w:firstLineChars="200"/>
        <w:rPr>
          <w:rFonts w:hint="eastAsia" w:eastAsia="宋体"/>
          <w:lang w:eastAsia="zh-CN"/>
        </w:rPr>
      </w:pPr>
      <w:r>
        <w:rPr>
          <w:rFonts w:hint="eastAsia"/>
        </w:rPr>
        <w:t>若</w:t>
      </w:r>
      <w:r>
        <w:rPr>
          <w:rFonts w:hint="eastAsia"/>
          <w:lang w:val="en-US" w:eastAsia="zh-CN"/>
        </w:rPr>
        <w:t>乙方</w:t>
      </w:r>
      <w:r>
        <w:rPr>
          <w:rFonts w:hint="eastAsia"/>
        </w:rPr>
        <w:t>未在规定的时间内完成</w:t>
      </w:r>
      <w:r>
        <w:rPr>
          <w:rFonts w:hint="eastAsia"/>
          <w:lang w:val="en-US" w:eastAsia="zh-CN"/>
        </w:rPr>
        <w:t>上述</w:t>
      </w:r>
      <w:r>
        <w:rPr>
          <w:rFonts w:hint="eastAsia"/>
        </w:rPr>
        <w:t>交通组织咨询服务投标人承担</w:t>
      </w:r>
      <w:r>
        <w:rPr>
          <w:rFonts w:hint="eastAsia"/>
          <w:lang w:val="en-US" w:eastAsia="zh-CN"/>
        </w:rPr>
        <w:t>以下</w:t>
      </w:r>
      <w:r>
        <w:rPr>
          <w:rFonts w:hint="eastAsia"/>
        </w:rPr>
        <w:t>违约责任</w:t>
      </w:r>
      <w:r>
        <w:rPr>
          <w:rFonts w:hint="eastAsia"/>
          <w:lang w:eastAsia="zh-CN"/>
        </w:rPr>
        <w:t>：</w:t>
      </w:r>
    </w:p>
    <w:p w14:paraId="2EBDF1DF">
      <w:pPr>
        <w:pStyle w:val="3"/>
        <w:spacing w:after="0" w:line="360" w:lineRule="auto"/>
        <w:ind w:firstLine="480"/>
      </w:pPr>
      <w:r>
        <w:rPr>
          <w:rFonts w:hint="eastAsia"/>
        </w:rPr>
        <w:t>若在上述规定时限内未完成约定内容，</w:t>
      </w:r>
      <w:r>
        <w:rPr>
          <w:b/>
          <w:bCs/>
          <w:color w:val="auto"/>
          <w:u w:val="single"/>
        </w:rPr>
        <w:t>每逾期1个</w:t>
      </w:r>
      <w:r>
        <w:rPr>
          <w:rFonts w:hint="eastAsia"/>
          <w:b/>
          <w:bCs/>
          <w:color w:val="auto"/>
          <w:u w:val="single"/>
        </w:rPr>
        <w:t>自然</w:t>
      </w:r>
      <w:r>
        <w:rPr>
          <w:b/>
          <w:bCs/>
          <w:color w:val="auto"/>
          <w:u w:val="single"/>
        </w:rPr>
        <w:t>日，</w:t>
      </w:r>
      <w:r>
        <w:t>按</w:t>
      </w:r>
      <w:r>
        <w:rPr>
          <w:rFonts w:hint="eastAsia"/>
          <w:b/>
          <w:bCs/>
          <w:u w:val="single"/>
          <w:lang w:val="en-US" w:eastAsia="zh-CN"/>
        </w:rPr>
        <w:t>10000元/天</w:t>
      </w:r>
      <w:r>
        <w:t>向</w:t>
      </w:r>
      <w:r>
        <w:rPr>
          <w:rFonts w:hint="eastAsia"/>
          <w:lang w:val="en-US" w:eastAsia="zh-CN"/>
        </w:rPr>
        <w:t>甲方</w:t>
      </w:r>
      <w:r>
        <w:t>支付违约金</w:t>
      </w:r>
      <w:r>
        <w:rPr>
          <w:rFonts w:hint="eastAsia"/>
        </w:rPr>
        <w:t>，</w:t>
      </w:r>
      <w:r>
        <w:rPr>
          <w:rFonts w:hint="eastAsia"/>
          <w:lang w:val="en-US" w:eastAsia="zh-CN"/>
        </w:rPr>
        <w:t>逾期超过</w:t>
      </w:r>
      <w:r>
        <w:rPr>
          <w:rFonts w:hint="eastAsia"/>
          <w:b/>
          <w:bCs/>
          <w:u w:val="single"/>
          <w:lang w:val="en-US" w:eastAsia="zh-CN"/>
        </w:rPr>
        <w:t>20天（节假日除外）</w:t>
      </w:r>
      <w:r>
        <w:rPr>
          <w:rFonts w:hint="eastAsia"/>
          <w:b/>
          <w:bCs/>
          <w:u w:val="none"/>
          <w:lang w:val="en-US" w:eastAsia="zh-CN"/>
        </w:rPr>
        <w:t>，</w:t>
      </w:r>
      <w:r>
        <w:rPr>
          <w:rFonts w:hint="eastAsia"/>
          <w:b w:val="0"/>
          <w:bCs w:val="0"/>
          <w:u w:val="none"/>
          <w:lang w:val="en-US" w:eastAsia="zh-CN"/>
        </w:rPr>
        <w:t>甲方有权解除合同</w:t>
      </w:r>
      <w:r>
        <w:rPr>
          <w:rFonts w:hint="eastAsia"/>
          <w:b/>
          <w:bCs/>
          <w:u w:val="none"/>
          <w:lang w:val="en-US" w:eastAsia="zh-CN"/>
        </w:rPr>
        <w:t>。</w:t>
      </w:r>
      <w:r>
        <w:rPr>
          <w:rFonts w:hint="eastAsia"/>
        </w:rPr>
        <w:t>若因投标人未按时限要求完成审批给比选人造成损失的，比选人有权向投标人进行双倍索赔，并直接将投标人及其关联单位（含法人代表与委托代理人）一并拉入黑名单，不得参与重庆公路养护工程（集团）有限公司所有比选项目报价。</w:t>
      </w:r>
    </w:p>
    <w:p w14:paraId="51B9CE3B">
      <w:pPr>
        <w:pStyle w:val="6"/>
        <w:ind w:firstLine="480" w:firstLineChars="200"/>
        <w:rPr>
          <w:rFonts w:hint="eastAsia" w:eastAsia="宋体"/>
          <w:lang w:eastAsia="zh-CN"/>
        </w:rPr>
      </w:pPr>
      <w:r>
        <w:rPr>
          <w:rFonts w:hint="eastAsia"/>
        </w:rPr>
        <w:t>（3）乙方向甲方</w:t>
      </w:r>
      <w:r>
        <w:t>提交</w:t>
      </w:r>
      <w:r>
        <w:rPr>
          <w:rFonts w:hint="eastAsia"/>
        </w:rPr>
        <w:t>审核通过的各施工单元的交组方案</w:t>
      </w:r>
      <w:r>
        <w:t>1</w:t>
      </w:r>
      <w:r>
        <w:rPr>
          <w:rFonts w:hint="eastAsia"/>
        </w:rPr>
        <w:t>份电子资料，</w:t>
      </w:r>
      <w:r>
        <w:t>3</w:t>
      </w:r>
      <w:r>
        <w:rPr>
          <w:rFonts w:hint="eastAsia"/>
        </w:rPr>
        <w:t>份盖章纸质资料</w:t>
      </w:r>
      <w:r>
        <w:rPr>
          <w:rFonts w:hint="eastAsia"/>
          <w:lang w:eastAsia="zh-CN"/>
        </w:rPr>
        <w:t>。</w:t>
      </w:r>
    </w:p>
    <w:p w14:paraId="5BB1AA8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eastAsia="宋体"/>
          <w:b/>
          <w:bCs/>
          <w:lang w:val="en-US" w:eastAsia="zh-CN"/>
        </w:rPr>
      </w:pPr>
      <w:r>
        <w:rPr>
          <w:rFonts w:hint="eastAsia"/>
          <w:b/>
          <w:bCs/>
          <w:color w:val="000000"/>
        </w:rPr>
        <w:t>五、</w:t>
      </w:r>
      <w:r>
        <w:rPr>
          <w:rFonts w:hint="eastAsia" w:ascii="宋体" w:hAnsi="宋体" w:cs="宋体"/>
          <w:b/>
          <w:bCs/>
          <w:szCs w:val="21"/>
        </w:rPr>
        <w:t>履约保证金：</w:t>
      </w:r>
      <w:r>
        <w:rPr>
          <w:rFonts w:hint="eastAsia"/>
        </w:rPr>
        <w:t>合同金额的</w:t>
      </w:r>
      <w:r>
        <w:rPr>
          <w:rFonts w:hint="eastAsia"/>
          <w:b/>
          <w:bCs/>
          <w:u w:val="single"/>
        </w:rPr>
        <w:t>10%</w:t>
      </w:r>
      <w:r>
        <w:rPr>
          <w:rFonts w:hint="eastAsia"/>
        </w:rPr>
        <w:t>，要求由</w:t>
      </w:r>
      <w:r>
        <w:rPr>
          <w:rFonts w:hint="eastAsia"/>
          <w:lang w:val="en-US" w:eastAsia="zh-CN"/>
        </w:rPr>
        <w:t>乙方在合同签订前</w:t>
      </w:r>
      <w:r>
        <w:rPr>
          <w:rFonts w:hint="eastAsia"/>
        </w:rPr>
        <w:t>以</w:t>
      </w:r>
      <w:r>
        <w:rPr>
          <w:rFonts w:hint="eastAsia"/>
          <w:b/>
          <w:bCs/>
          <w:u w:val="single"/>
        </w:rPr>
        <w:t>现金</w:t>
      </w:r>
      <w:r>
        <w:rPr>
          <w:rFonts w:hint="eastAsia"/>
        </w:rPr>
        <w:t>缴纳</w:t>
      </w:r>
      <w:r>
        <w:rPr>
          <w:rFonts w:hint="eastAsia"/>
          <w:lang w:eastAsia="zh-CN"/>
        </w:rPr>
        <w:t>，</w:t>
      </w:r>
      <w:r>
        <w:rPr>
          <w:rFonts w:hint="eastAsia"/>
          <w:lang w:val="en-US" w:eastAsia="zh-CN"/>
        </w:rPr>
        <w:t>服务期满（以项目完工为准）无息退还。</w:t>
      </w:r>
    </w:p>
    <w:p w14:paraId="617949CF">
      <w:pPr>
        <w:wordWrap/>
        <w:topLinePunct w:val="0"/>
        <w:spacing w:line="400" w:lineRule="exact"/>
        <w:ind w:firstLine="0" w:firstLineChars="0"/>
        <w:rPr>
          <w:rFonts w:hint="eastAsia" w:ascii="宋体" w:hAnsi="宋体" w:cs="宋体"/>
        </w:rPr>
      </w:pPr>
      <w:r>
        <w:rPr>
          <w:rFonts w:hint="eastAsia" w:ascii="宋体" w:hAnsi="宋体" w:cs="宋体"/>
          <w:b/>
          <w:bCs/>
          <w:szCs w:val="21"/>
          <w:lang w:val="en-US" w:eastAsia="zh-CN"/>
        </w:rPr>
        <w:t>六、</w:t>
      </w:r>
      <w:r>
        <w:rPr>
          <w:rFonts w:hint="eastAsia" w:ascii="宋体" w:hAnsi="宋体" w:cs="宋体"/>
          <w:b/>
          <w:bCs/>
          <w:szCs w:val="21"/>
        </w:rPr>
        <w:t>低价风险担保：</w:t>
      </w:r>
    </w:p>
    <w:p w14:paraId="4C89001D">
      <w:pPr>
        <w:wordWrap/>
        <w:topLinePunct w:val="0"/>
        <w:spacing w:line="360" w:lineRule="auto"/>
        <w:ind w:firstLine="480"/>
        <w:rPr>
          <w:szCs w:val="21"/>
        </w:rPr>
      </w:pPr>
      <w:r>
        <w:rPr>
          <w:rFonts w:hint="eastAsia"/>
          <w:szCs w:val="21"/>
          <w:lang w:val="en-US" w:eastAsia="zh-CN"/>
        </w:rPr>
        <w:t>乙方</w:t>
      </w:r>
      <w:r>
        <w:rPr>
          <w:rFonts w:hint="eastAsia"/>
          <w:szCs w:val="21"/>
        </w:rPr>
        <w:t>中标价格低于项目最高限价85%的，须缴纳低价担保金，担保方式采用</w:t>
      </w:r>
      <w:r>
        <w:rPr>
          <w:rFonts w:hint="eastAsia"/>
          <w:b/>
          <w:bCs/>
          <w:szCs w:val="21"/>
          <w:u w:val="single"/>
        </w:rPr>
        <w:t>现金</w:t>
      </w:r>
      <w:r>
        <w:rPr>
          <w:rFonts w:hint="eastAsia"/>
          <w:szCs w:val="21"/>
        </w:rPr>
        <w:t>方式，担保额度＝</w:t>
      </w:r>
      <w:r>
        <w:rPr>
          <w:szCs w:val="21"/>
        </w:rPr>
        <w:t xml:space="preserve">(最高限价× 85% - 中标价格) × </w:t>
      </w:r>
      <w:r>
        <w:rPr>
          <w:rFonts w:hint="eastAsia"/>
          <w:szCs w:val="21"/>
        </w:rPr>
        <w:t>3。</w:t>
      </w:r>
    </w:p>
    <w:p w14:paraId="597EDD38">
      <w:pPr>
        <w:pStyle w:val="4"/>
        <w:spacing w:line="360" w:lineRule="auto"/>
        <w:rPr>
          <w:color w:val="000000"/>
        </w:rPr>
      </w:pPr>
      <w:r>
        <w:rPr>
          <w:rFonts w:hint="eastAsia"/>
          <w:color w:val="000000"/>
          <w:lang w:val="en-US" w:eastAsia="zh-CN"/>
        </w:rPr>
        <w:t>七、</w:t>
      </w:r>
      <w:r>
        <w:rPr>
          <w:rFonts w:hint="eastAsia"/>
          <w:color w:val="000000"/>
        </w:rPr>
        <w:t>支付</w:t>
      </w:r>
    </w:p>
    <w:p w14:paraId="6CAC6640">
      <w:pPr>
        <w:spacing w:line="360" w:lineRule="auto"/>
        <w:ind w:firstLine="480"/>
        <w:rPr>
          <w:color w:val="000000"/>
        </w:rPr>
      </w:pPr>
      <w:r>
        <w:rPr>
          <w:rFonts w:hint="eastAsia"/>
          <w:color w:val="000000"/>
          <w:lang w:val="en-US" w:eastAsia="zh-CN"/>
        </w:rPr>
        <w:t>1、</w:t>
      </w:r>
      <w:r>
        <w:rPr>
          <w:rFonts w:hint="eastAsia"/>
          <w:color w:val="000000"/>
        </w:rPr>
        <w:t>本项目无预付款。</w:t>
      </w:r>
    </w:p>
    <w:p w14:paraId="7C9E9BFA">
      <w:pPr>
        <w:spacing w:line="360" w:lineRule="auto"/>
        <w:ind w:firstLine="480"/>
        <w:rPr>
          <w:color w:val="000000"/>
        </w:rPr>
      </w:pPr>
      <w:r>
        <w:rPr>
          <w:rFonts w:hint="eastAsia"/>
          <w:color w:val="000000"/>
          <w:lang w:val="en-US" w:eastAsia="zh-CN"/>
        </w:rPr>
        <w:t>2、</w:t>
      </w:r>
      <w:r>
        <w:rPr>
          <w:rFonts w:hint="eastAsia"/>
          <w:color w:val="000000"/>
        </w:rPr>
        <w:t>第</w:t>
      </w:r>
      <w:r>
        <w:rPr>
          <w:rFonts w:hint="eastAsia"/>
          <w:color w:val="000000"/>
          <w:lang w:val="en-US" w:eastAsia="zh-CN"/>
        </w:rPr>
        <w:t>一</w:t>
      </w:r>
      <w:r>
        <w:rPr>
          <w:rFonts w:hint="eastAsia"/>
          <w:color w:val="000000"/>
        </w:rPr>
        <w:t>次支付：</w:t>
      </w:r>
      <w:r>
        <w:rPr>
          <w:rFonts w:hint="eastAsia"/>
          <w:color w:val="000000"/>
          <w:lang w:val="en-US" w:eastAsia="zh-CN"/>
        </w:rPr>
        <w:t>总体交通组织方案评审通过后</w:t>
      </w:r>
      <w:r>
        <w:rPr>
          <w:rFonts w:hint="eastAsia"/>
          <w:color w:val="000000"/>
        </w:rPr>
        <w:t>，支付至合同金额的</w:t>
      </w:r>
      <w:r>
        <w:rPr>
          <w:rFonts w:hint="eastAsia"/>
          <w:color w:val="000000"/>
          <w:u w:val="single"/>
          <w:lang w:val="en-US" w:eastAsia="zh-CN"/>
        </w:rPr>
        <w:t xml:space="preserve"> </w:t>
      </w:r>
      <w:r>
        <w:rPr>
          <w:rFonts w:hint="eastAsia"/>
          <w:b/>
          <w:bCs/>
          <w:color w:val="000000"/>
          <w:u w:val="single"/>
          <w:lang w:val="en-US" w:eastAsia="zh-CN"/>
        </w:rPr>
        <w:t>20</w:t>
      </w:r>
      <w:r>
        <w:rPr>
          <w:rFonts w:hint="eastAsia"/>
          <w:b/>
          <w:bCs/>
          <w:color w:val="000000"/>
          <w:u w:val="single"/>
        </w:rPr>
        <w:t xml:space="preserve">% </w:t>
      </w:r>
      <w:r>
        <w:rPr>
          <w:rFonts w:hint="eastAsia"/>
          <w:color w:val="000000"/>
        </w:rPr>
        <w:t>。</w:t>
      </w:r>
    </w:p>
    <w:p w14:paraId="29C60DAD">
      <w:pPr>
        <w:pStyle w:val="3"/>
        <w:spacing w:after="0" w:line="360" w:lineRule="auto"/>
        <w:ind w:firstLine="480"/>
        <w:rPr>
          <w:rFonts w:hint="default"/>
          <w:color w:val="000000"/>
          <w:lang w:val="en-US" w:eastAsia="zh-CN"/>
        </w:rPr>
      </w:pPr>
      <w:r>
        <w:rPr>
          <w:rFonts w:hint="eastAsia"/>
          <w:color w:val="000000"/>
          <w:lang w:val="en-US" w:eastAsia="zh-CN"/>
        </w:rPr>
        <w:t>3、第二次支付：服务期满1年后（以合同签订时间为准），支付至合同金额的</w:t>
      </w:r>
      <w:r>
        <w:rPr>
          <w:rFonts w:hint="eastAsia"/>
          <w:color w:val="000000"/>
          <w:u w:val="single"/>
          <w:lang w:val="en-US" w:eastAsia="zh-CN"/>
        </w:rPr>
        <w:t xml:space="preserve"> </w:t>
      </w:r>
      <w:r>
        <w:rPr>
          <w:rFonts w:hint="eastAsia"/>
          <w:b/>
          <w:bCs/>
          <w:color w:val="000000"/>
          <w:u w:val="single"/>
          <w:lang w:val="en-US" w:eastAsia="zh-CN"/>
        </w:rPr>
        <w:t>40%。</w:t>
      </w:r>
    </w:p>
    <w:p w14:paraId="6BD2C366">
      <w:pPr>
        <w:pStyle w:val="3"/>
        <w:spacing w:after="0" w:line="360" w:lineRule="auto"/>
        <w:ind w:firstLine="480"/>
        <w:rPr>
          <w:color w:val="000000"/>
        </w:rPr>
      </w:pPr>
      <w:r>
        <w:rPr>
          <w:rFonts w:hint="eastAsia"/>
          <w:color w:val="000000"/>
          <w:lang w:val="en-US" w:eastAsia="zh-CN"/>
        </w:rPr>
        <w:t>4、</w:t>
      </w:r>
      <w:r>
        <w:rPr>
          <w:rFonts w:hint="eastAsia"/>
          <w:color w:val="000000"/>
        </w:rPr>
        <w:t>第</w:t>
      </w:r>
      <w:r>
        <w:rPr>
          <w:rFonts w:hint="eastAsia"/>
          <w:color w:val="000000"/>
          <w:lang w:val="en-US" w:eastAsia="zh-CN"/>
        </w:rPr>
        <w:t>三</w:t>
      </w:r>
      <w:r>
        <w:rPr>
          <w:rFonts w:hint="eastAsia"/>
          <w:color w:val="000000"/>
        </w:rPr>
        <w:t>次支付：服务期满2年后，支付至合同金额的</w:t>
      </w:r>
      <w:r>
        <w:rPr>
          <w:rFonts w:hint="eastAsia"/>
          <w:b/>
          <w:bCs/>
          <w:color w:val="000000"/>
          <w:u w:val="single"/>
        </w:rPr>
        <w:t xml:space="preserve"> </w:t>
      </w:r>
      <w:r>
        <w:rPr>
          <w:rFonts w:hint="eastAsia"/>
          <w:b/>
          <w:bCs/>
          <w:color w:val="000000"/>
          <w:u w:val="single"/>
          <w:lang w:val="en-US" w:eastAsia="zh-CN"/>
        </w:rPr>
        <w:t>70</w:t>
      </w:r>
      <w:r>
        <w:rPr>
          <w:rFonts w:hint="eastAsia"/>
          <w:b/>
          <w:bCs/>
          <w:color w:val="000000"/>
          <w:u w:val="single"/>
        </w:rPr>
        <w:t xml:space="preserve">% </w:t>
      </w:r>
      <w:r>
        <w:rPr>
          <w:rFonts w:hint="eastAsia"/>
          <w:color w:val="000000"/>
        </w:rPr>
        <w:t>。</w:t>
      </w:r>
    </w:p>
    <w:p w14:paraId="0F9F0A62">
      <w:pPr>
        <w:spacing w:line="360" w:lineRule="auto"/>
        <w:ind w:firstLine="480"/>
      </w:pPr>
      <w:r>
        <w:rPr>
          <w:rFonts w:hint="eastAsia"/>
          <w:color w:val="000000"/>
          <w:lang w:val="en-US" w:eastAsia="zh-CN"/>
        </w:rPr>
        <w:t>5、</w:t>
      </w:r>
      <w:r>
        <w:rPr>
          <w:rFonts w:hint="eastAsia"/>
          <w:color w:val="000000"/>
        </w:rPr>
        <w:t>结算支付：项目完工后支付至合同金额</w:t>
      </w:r>
      <w:r>
        <w:rPr>
          <w:rFonts w:hint="eastAsia"/>
          <w:b/>
          <w:bCs/>
          <w:color w:val="000000"/>
          <w:u w:val="single"/>
        </w:rPr>
        <w:t xml:space="preserve"> 100% </w:t>
      </w:r>
      <w:r>
        <w:rPr>
          <w:rFonts w:hint="eastAsia"/>
          <w:color w:val="000000"/>
        </w:rPr>
        <w:t>。</w:t>
      </w:r>
    </w:p>
    <w:p w14:paraId="635DFB7C">
      <w:pPr>
        <w:spacing w:line="360" w:lineRule="auto"/>
        <w:ind w:firstLine="480"/>
      </w:pPr>
      <w:r>
        <w:rPr>
          <w:rFonts w:hint="eastAsia"/>
          <w:color w:val="000000"/>
        </w:rPr>
        <w:t>乙方向甲方提供合格发票（与付款金额等额）及结算资料，经甲方</w:t>
      </w:r>
      <w:r>
        <w:rPr>
          <w:rFonts w:hint="eastAsia" w:ascii="宋体" w:hAnsi="宋体" w:cs="宋体"/>
          <w:color w:val="000000"/>
        </w:rPr>
        <w:t>复核无误后，甲方在</w:t>
      </w:r>
      <w:r>
        <w:rPr>
          <w:rFonts w:hint="eastAsia" w:ascii="宋体" w:hAnsi="宋体" w:cs="宋体"/>
          <w:b/>
          <w:bCs/>
          <w:color w:val="000000"/>
          <w:u w:val="single"/>
        </w:rPr>
        <w:t xml:space="preserve"> 20 </w:t>
      </w:r>
      <w:r>
        <w:rPr>
          <w:rFonts w:hint="eastAsia" w:ascii="宋体" w:hAnsi="宋体" w:cs="宋体"/>
          <w:color w:val="000000"/>
        </w:rPr>
        <w:t>个工作日内以</w:t>
      </w:r>
      <w:r>
        <w:rPr>
          <w:rFonts w:hint="eastAsia" w:ascii="宋体" w:hAnsi="宋体" w:cs="宋体"/>
          <w:b/>
          <w:bCs/>
          <w:color w:val="000000"/>
          <w:u w:val="single"/>
        </w:rPr>
        <w:t xml:space="preserve"> 银行转账 </w:t>
      </w:r>
      <w:r>
        <w:rPr>
          <w:rFonts w:hint="eastAsia" w:ascii="宋体" w:hAnsi="宋体" w:cs="宋体"/>
          <w:color w:val="000000"/>
        </w:rPr>
        <w:t>方式向乙方支付供费用。</w:t>
      </w:r>
      <w:r>
        <w:rPr>
          <w:rFonts w:hint="eastAsia"/>
          <w:color w:val="000000"/>
        </w:rPr>
        <w:t>乙方延迟提供发票和相关结算资料的，甲方的付款期限相应顺延。</w:t>
      </w:r>
    </w:p>
    <w:p w14:paraId="2785B27E">
      <w:pPr>
        <w:spacing w:line="440" w:lineRule="exact"/>
        <w:ind w:firstLine="0" w:firstLineChars="0"/>
        <w:rPr>
          <w:rFonts w:hint="eastAsia" w:ascii="宋体" w:hAnsi="宋体" w:cs="宋体"/>
          <w:b/>
        </w:rPr>
      </w:pPr>
      <w:r>
        <w:rPr>
          <w:rFonts w:hint="eastAsia" w:ascii="宋体" w:hAnsi="宋体" w:cs="宋体"/>
          <w:b/>
          <w:lang w:val="en-US" w:eastAsia="zh-CN"/>
        </w:rPr>
        <w:t>八</w:t>
      </w:r>
      <w:r>
        <w:rPr>
          <w:rFonts w:hint="eastAsia" w:ascii="宋体" w:hAnsi="宋体" w:cs="宋体"/>
          <w:b/>
        </w:rPr>
        <w:t>、发票的开具</w:t>
      </w:r>
    </w:p>
    <w:p w14:paraId="4F1D5B92">
      <w:pPr>
        <w:ind w:firstLine="480"/>
        <w:rPr>
          <w:color w:val="000000"/>
        </w:rPr>
      </w:pPr>
      <w:r>
        <w:rPr>
          <w:rFonts w:hint="eastAsia"/>
          <w:color w:val="000000"/>
        </w:rPr>
        <w:t>1、交通组织咨询服务全额发票由乙方开具增值税专用发票给甲方，发票单位名称为本合同甲乙双方全称，并配合甲方验证发票的真伪。否则，甲方有权拒绝付款并顺延付款时间。因乙方开具的发票不规范、不合法或涉嫌虚开发票引起税务问题的，乙方需依法向甲方重新开具发票，并向甲方承担赔偿责任，包括但不限于税款、滞纳金、罚款及相关损失等。</w:t>
      </w:r>
    </w:p>
    <w:p w14:paraId="344EDB0A">
      <w:pPr>
        <w:ind w:firstLine="480"/>
        <w:rPr>
          <w:color w:val="000000"/>
        </w:rPr>
      </w:pPr>
      <w:r>
        <w:rPr>
          <w:rFonts w:hint="eastAsia"/>
          <w:color w:val="000000"/>
        </w:rPr>
        <w:t>2、乙方应按照甲方要求，及时向甲方开具可以抵扣税款的增值税专用发票。因乙方开具发票不及时给甲方造成无法及时认证、抵扣发票等情形的，乙方需向甲方承担赔偿责任，包括但不限于税款、滞纳金、罚款及相关损失等。</w:t>
      </w:r>
    </w:p>
    <w:p w14:paraId="5035D0CB">
      <w:pPr>
        <w:ind w:firstLine="480"/>
        <w:rPr>
          <w:color w:val="000000"/>
        </w:rPr>
      </w:pPr>
      <w:r>
        <w:rPr>
          <w:rFonts w:hint="eastAsia"/>
          <w:color w:val="000000"/>
        </w:rPr>
        <w:t>3、本合同内容经双方同意变更的，如果涉及到合同价款等增值税专用发票记载项目发生变化的，需要作废、重开、补开、红字开具增值税专用发票的，甲乙双方需履行各自的协助义务。</w:t>
      </w:r>
    </w:p>
    <w:p w14:paraId="3B97E47F">
      <w:pPr>
        <w:ind w:firstLine="480"/>
      </w:pPr>
      <w:r>
        <w:rPr>
          <w:rFonts w:hint="eastAsia"/>
          <w:color w:val="000000"/>
        </w:rPr>
        <w:t>4、合同生效后，因合同双方纳税人身份、纳税方式或因相关法律法规变动导致的增值税税率的变化，应遵循相关税收政策的要求，对合同价格及增值税税额进行调整。</w:t>
      </w:r>
    </w:p>
    <w:p w14:paraId="4D25B36D">
      <w:pPr>
        <w:spacing w:line="440" w:lineRule="exact"/>
        <w:ind w:firstLine="0" w:firstLineChars="0"/>
        <w:rPr>
          <w:rFonts w:hint="eastAsia" w:ascii="宋体" w:hAnsi="宋体" w:cs="宋体"/>
          <w:b/>
        </w:rPr>
      </w:pPr>
      <w:r>
        <w:rPr>
          <w:rFonts w:hint="eastAsia" w:ascii="宋体" w:hAnsi="宋体" w:cs="宋体"/>
          <w:b/>
          <w:lang w:val="en-US" w:eastAsia="zh-CN"/>
        </w:rPr>
        <w:t>九</w:t>
      </w:r>
      <w:r>
        <w:rPr>
          <w:rFonts w:hint="eastAsia" w:ascii="宋体" w:hAnsi="宋体" w:cs="宋体"/>
          <w:b/>
        </w:rPr>
        <w:t>、双方的权力与义务</w:t>
      </w:r>
    </w:p>
    <w:p w14:paraId="3A614DE4">
      <w:pPr>
        <w:wordWrap/>
        <w:topLinePunct w:val="0"/>
        <w:spacing w:line="360" w:lineRule="auto"/>
        <w:ind w:firstLine="482"/>
        <w:rPr>
          <w:rFonts w:hint="eastAsia" w:ascii="宋体" w:hAnsi="宋体" w:cs="宋体"/>
          <w:b/>
          <w:bCs/>
        </w:rPr>
      </w:pPr>
      <w:r>
        <w:rPr>
          <w:rFonts w:hint="eastAsia" w:ascii="宋体" w:hAnsi="宋体" w:cs="宋体"/>
          <w:b/>
          <w:bCs/>
        </w:rPr>
        <w:t>1、甲方：</w:t>
      </w:r>
    </w:p>
    <w:p w14:paraId="41F5EFE1">
      <w:pPr>
        <w:wordWrap/>
        <w:topLinePunct w:val="0"/>
        <w:spacing w:line="360" w:lineRule="auto"/>
        <w:ind w:firstLine="480"/>
        <w:rPr>
          <w:rFonts w:hint="eastAsia" w:ascii="宋体" w:hAnsi="宋体" w:cs="宋体"/>
          <w:szCs w:val="22"/>
        </w:rPr>
      </w:pPr>
      <w:r>
        <w:rPr>
          <w:rFonts w:hint="eastAsia"/>
          <w:szCs w:val="22"/>
        </w:rPr>
        <w:t>（1）</w:t>
      </w:r>
      <w:r>
        <w:rPr>
          <w:rFonts w:hint="eastAsia" w:ascii="宋体" w:hAnsi="宋体" w:cs="宋体"/>
          <w:szCs w:val="22"/>
        </w:rPr>
        <w:t>负</w:t>
      </w:r>
      <w:r>
        <w:rPr>
          <w:rFonts w:hint="eastAsia"/>
          <w:szCs w:val="22"/>
        </w:rPr>
        <w:t>责提供项目相关的设计图等技术资料。</w:t>
      </w:r>
    </w:p>
    <w:p w14:paraId="13007298">
      <w:pPr>
        <w:wordWrap/>
        <w:topLinePunct w:val="0"/>
        <w:spacing w:line="360" w:lineRule="auto"/>
        <w:ind w:firstLine="480"/>
        <w:rPr>
          <w:rFonts w:hint="eastAsia" w:ascii="宋体" w:hAnsi="宋体" w:cs="宋体"/>
          <w:szCs w:val="22"/>
        </w:rPr>
      </w:pPr>
      <w:r>
        <w:rPr>
          <w:rFonts w:hint="eastAsia" w:ascii="宋体" w:hAnsi="宋体" w:cs="宋体"/>
          <w:szCs w:val="22"/>
        </w:rPr>
        <w:t>（2）负责协调高速公路业主单位调取施工路段的流量数据。</w:t>
      </w:r>
    </w:p>
    <w:p w14:paraId="1338DB42">
      <w:pPr>
        <w:wordWrap/>
        <w:topLinePunct w:val="0"/>
        <w:spacing w:line="360" w:lineRule="auto"/>
        <w:ind w:firstLine="480"/>
      </w:pPr>
      <w:r>
        <w:rPr>
          <w:rFonts w:hint="eastAsia"/>
          <w:szCs w:val="22"/>
        </w:rPr>
        <w:t>（3）按合同约定支付款项。</w:t>
      </w:r>
    </w:p>
    <w:p w14:paraId="074022A2">
      <w:pPr>
        <w:spacing w:line="440" w:lineRule="exact"/>
        <w:ind w:firstLine="482"/>
        <w:rPr>
          <w:rFonts w:hint="eastAsia" w:ascii="宋体" w:hAnsi="宋体" w:cs="宋体"/>
          <w:b/>
          <w:bCs/>
        </w:rPr>
      </w:pPr>
      <w:r>
        <w:rPr>
          <w:rFonts w:hint="eastAsia" w:ascii="宋体" w:hAnsi="宋体" w:cs="宋体"/>
          <w:b/>
          <w:bCs/>
        </w:rPr>
        <w:t>2、乙方：</w:t>
      </w:r>
    </w:p>
    <w:p w14:paraId="427D6869">
      <w:pPr>
        <w:wordWrap/>
        <w:topLinePunct w:val="0"/>
        <w:spacing w:line="360" w:lineRule="auto"/>
        <w:ind w:firstLine="480"/>
        <w:rPr>
          <w:rFonts w:hint="eastAsia" w:ascii="宋体" w:hAnsi="宋体" w:cs="宋体"/>
        </w:rPr>
      </w:pPr>
      <w:r>
        <w:rPr>
          <w:rFonts w:hint="eastAsia" w:ascii="宋体" w:hAnsi="宋体" w:cs="宋体"/>
        </w:rPr>
        <w:t>（1）乙方指派</w:t>
      </w:r>
      <w:r>
        <w:rPr>
          <w:rFonts w:hint="eastAsia" w:ascii="宋体" w:hAnsi="宋体" w:cs="宋体"/>
          <w:b/>
          <w:bCs/>
          <w:u w:val="single"/>
        </w:rPr>
        <w:t xml:space="preserve">      </w:t>
      </w:r>
      <w:r>
        <w:rPr>
          <w:rFonts w:hint="eastAsia" w:ascii="宋体" w:hAnsi="宋体" w:cs="宋体"/>
        </w:rPr>
        <w:t>为本项目负责人，联系电话：</w:t>
      </w:r>
      <w:r>
        <w:rPr>
          <w:rFonts w:hint="eastAsia" w:ascii="宋体" w:hAnsi="宋体" w:cs="宋体"/>
          <w:b/>
          <w:bCs/>
          <w:u w:val="single"/>
        </w:rPr>
        <w:t xml:space="preserve">          </w:t>
      </w:r>
      <w:r>
        <w:rPr>
          <w:rFonts w:hint="eastAsia" w:ascii="宋体" w:hAnsi="宋体" w:cs="宋体"/>
        </w:rPr>
        <w:t>，协助甲方处理好交通组织方案（设计）报批工作。</w:t>
      </w:r>
    </w:p>
    <w:p w14:paraId="601B4987">
      <w:pPr>
        <w:wordWrap/>
        <w:topLinePunct w:val="0"/>
        <w:spacing w:line="360" w:lineRule="auto"/>
        <w:ind w:firstLine="480"/>
        <w:rPr>
          <w:rFonts w:hint="eastAsia" w:ascii="宋体" w:hAnsi="宋体" w:cs="宋体"/>
        </w:rPr>
      </w:pPr>
      <w:r>
        <w:rPr>
          <w:rFonts w:hint="eastAsia" w:ascii="宋体" w:hAnsi="宋体" w:cs="宋体"/>
        </w:rPr>
        <w:t>（2）按合同要求按时完成各项目交通组织咨询服务工作。</w:t>
      </w:r>
    </w:p>
    <w:p w14:paraId="11E0A187">
      <w:pPr>
        <w:wordWrap/>
        <w:topLinePunct w:val="0"/>
        <w:spacing w:line="360" w:lineRule="auto"/>
        <w:ind w:firstLine="480"/>
      </w:pPr>
      <w:r>
        <w:rPr>
          <w:rFonts w:hint="eastAsia" w:ascii="宋体" w:hAnsi="宋体" w:cs="宋体"/>
        </w:rPr>
        <w:t>（3）</w:t>
      </w:r>
      <w:r>
        <w:rPr>
          <w:rFonts w:hint="eastAsia" w:ascii="宋体" w:hAnsi="宋体" w:cs="宋体"/>
          <w:szCs w:val="22"/>
        </w:rPr>
        <w:t>自行组织现场踏勘工作。</w:t>
      </w:r>
      <w:r>
        <w:rPr>
          <w:rFonts w:hint="eastAsia" w:ascii="宋体" w:hAnsi="宋体" w:cs="宋体"/>
        </w:rPr>
        <w:t>如有需要，负责</w:t>
      </w:r>
      <w:r>
        <w:rPr>
          <w:rFonts w:hint="eastAsia" w:ascii="宋体" w:hAnsi="宋体" w:cs="宋体"/>
          <w:szCs w:val="22"/>
        </w:rPr>
        <w:t>高速路网以外的地方道路流量数据采集工作。</w:t>
      </w:r>
    </w:p>
    <w:p w14:paraId="71A17794">
      <w:pPr>
        <w:tabs>
          <w:tab w:val="left" w:pos="5880"/>
        </w:tabs>
        <w:wordWrap/>
        <w:topLinePunct w:val="0"/>
        <w:spacing w:line="360" w:lineRule="auto"/>
        <w:ind w:firstLine="480"/>
        <w:rPr>
          <w:rFonts w:hint="eastAsia" w:ascii="宋体" w:hAnsi="宋体" w:cs="宋体"/>
          <w:bCs/>
        </w:rPr>
      </w:pPr>
      <w:r>
        <w:rPr>
          <w:rFonts w:hint="eastAsia" w:ascii="宋体" w:hAnsi="宋体" w:cs="宋体"/>
          <w:bCs/>
        </w:rPr>
        <w:t>（4）负责对接组织交通组织方案（设计）的评审工作，并按有关部门提出要求进行修改。</w:t>
      </w:r>
    </w:p>
    <w:p w14:paraId="5A756A2A">
      <w:pPr>
        <w:wordWrap/>
        <w:topLinePunct w:val="0"/>
        <w:spacing w:line="360" w:lineRule="auto"/>
        <w:ind w:firstLine="480"/>
        <w:rPr>
          <w:rFonts w:hint="eastAsia" w:ascii="宋体" w:hAnsi="宋体" w:cs="宋体"/>
        </w:rPr>
      </w:pPr>
      <w:r>
        <w:rPr>
          <w:rFonts w:hint="eastAsia" w:ascii="宋体" w:hAnsi="宋体" w:cs="宋体"/>
          <w:bCs/>
        </w:rPr>
        <w:t>（5）</w:t>
      </w:r>
      <w:r>
        <w:rPr>
          <w:rFonts w:hint="eastAsia" w:ascii="宋体" w:hAnsi="宋体" w:cs="宋体"/>
        </w:rPr>
        <w:t>乙方合同金额中已包含安全责任保险费用，由乙方自行负责处理并自行承担合同履行过程中可能出现的一切安全事故责任与风险等。乙方人员如在工作中发生作业人员伤、亡事故，或违反安全管理规定等造成的人员伤亡和财产损失均由乙方自行承担全部法律责任和经济责任，甲方概不负责。</w:t>
      </w:r>
    </w:p>
    <w:p w14:paraId="6576C1C5">
      <w:pPr>
        <w:wordWrap/>
        <w:topLinePunct w:val="0"/>
        <w:spacing w:line="360" w:lineRule="auto"/>
        <w:ind w:firstLine="480"/>
        <w:rPr>
          <w:rFonts w:hint="eastAsia" w:ascii="宋体" w:hAnsi="宋体" w:eastAsia="宋体" w:cs="宋体"/>
          <w:bCs/>
          <w:lang w:eastAsia="zh-CN"/>
        </w:rPr>
      </w:pPr>
      <w:r>
        <w:rPr>
          <w:rFonts w:hint="eastAsia" w:ascii="宋体" w:hAnsi="宋体" w:cs="宋体"/>
          <w:bCs/>
        </w:rPr>
        <w:t>（6）协调、解决交通组织方案实施过程中的相关问题</w:t>
      </w:r>
      <w:r>
        <w:rPr>
          <w:rFonts w:hint="eastAsia" w:ascii="宋体" w:hAnsi="宋体" w:cs="宋体"/>
          <w:bCs/>
          <w:lang w:eastAsia="zh-CN"/>
        </w:rPr>
        <w:t>。</w:t>
      </w:r>
    </w:p>
    <w:p w14:paraId="17F48DB7">
      <w:pPr>
        <w:pStyle w:val="4"/>
      </w:pPr>
      <w:r>
        <w:rPr>
          <w:rFonts w:hint="eastAsia"/>
          <w:lang w:val="en-US" w:eastAsia="zh-CN"/>
        </w:rPr>
        <w:t>十</w:t>
      </w:r>
      <w:r>
        <w:rPr>
          <w:rFonts w:hint="eastAsia"/>
        </w:rPr>
        <w:t>、违约责任</w:t>
      </w:r>
    </w:p>
    <w:p w14:paraId="08BC7AA9">
      <w:pPr>
        <w:pStyle w:val="3"/>
        <w:spacing w:after="0" w:line="360" w:lineRule="auto"/>
        <w:ind w:firstLine="480"/>
        <w:rPr>
          <w:rFonts w:hint="default" w:eastAsia="宋体"/>
          <w:lang w:val="en-US" w:eastAsia="zh-CN"/>
        </w:rPr>
      </w:pPr>
      <w:r>
        <w:rPr>
          <w:rFonts w:hint="eastAsia"/>
        </w:rPr>
        <w:t>若</w:t>
      </w:r>
      <w:r>
        <w:rPr>
          <w:rFonts w:hint="eastAsia"/>
          <w:lang w:val="en-US" w:eastAsia="zh-CN"/>
        </w:rPr>
        <w:t>乙方</w:t>
      </w:r>
      <w:r>
        <w:rPr>
          <w:rFonts w:hint="eastAsia"/>
        </w:rPr>
        <w:t>在</w:t>
      </w:r>
      <w:r>
        <w:rPr>
          <w:rFonts w:hint="eastAsia"/>
          <w:lang w:val="en-US" w:eastAsia="zh-CN"/>
        </w:rPr>
        <w:t>合同工约定</w:t>
      </w:r>
      <w:r>
        <w:rPr>
          <w:rFonts w:hint="eastAsia"/>
        </w:rPr>
        <w:t>时限内未完成约定内容，</w:t>
      </w:r>
      <w:r>
        <w:rPr>
          <w:b/>
          <w:bCs/>
          <w:color w:val="auto"/>
          <w:u w:val="single"/>
        </w:rPr>
        <w:t>每逾期1个</w:t>
      </w:r>
      <w:r>
        <w:rPr>
          <w:rFonts w:hint="eastAsia"/>
          <w:b/>
          <w:bCs/>
          <w:color w:val="auto"/>
          <w:u w:val="single"/>
        </w:rPr>
        <w:t>自然</w:t>
      </w:r>
      <w:r>
        <w:rPr>
          <w:b/>
          <w:bCs/>
          <w:color w:val="auto"/>
          <w:u w:val="single"/>
        </w:rPr>
        <w:t>日，</w:t>
      </w:r>
      <w:r>
        <w:t>按</w:t>
      </w:r>
      <w:r>
        <w:rPr>
          <w:rFonts w:hint="eastAsia"/>
          <w:b/>
          <w:bCs/>
          <w:u w:val="single"/>
          <w:lang w:val="en-US" w:eastAsia="zh-CN"/>
        </w:rPr>
        <w:t>10000元/天</w:t>
      </w:r>
      <w:r>
        <w:t>向</w:t>
      </w:r>
      <w:r>
        <w:rPr>
          <w:rFonts w:hint="eastAsia"/>
          <w:lang w:val="en-US" w:eastAsia="zh-CN"/>
        </w:rPr>
        <w:t>甲方</w:t>
      </w:r>
      <w:r>
        <w:t>支付违约金</w:t>
      </w:r>
      <w:r>
        <w:rPr>
          <w:rFonts w:hint="eastAsia"/>
        </w:rPr>
        <w:t>，</w:t>
      </w:r>
      <w:r>
        <w:rPr>
          <w:rFonts w:hint="eastAsia"/>
          <w:lang w:val="en-US" w:eastAsia="zh-CN"/>
        </w:rPr>
        <w:t>逾期超过</w:t>
      </w:r>
      <w:r>
        <w:rPr>
          <w:rFonts w:hint="eastAsia"/>
          <w:b/>
          <w:bCs/>
          <w:u w:val="single"/>
          <w:lang w:val="en-US" w:eastAsia="zh-CN"/>
        </w:rPr>
        <w:t>20天（节假日除外）</w:t>
      </w:r>
      <w:r>
        <w:rPr>
          <w:rFonts w:hint="eastAsia"/>
          <w:b/>
          <w:bCs/>
          <w:u w:val="none"/>
          <w:lang w:val="en-US" w:eastAsia="zh-CN"/>
        </w:rPr>
        <w:t>，</w:t>
      </w:r>
      <w:r>
        <w:rPr>
          <w:rFonts w:hint="eastAsia"/>
          <w:b w:val="0"/>
          <w:bCs w:val="0"/>
          <w:u w:val="none"/>
          <w:lang w:val="en-US" w:eastAsia="zh-CN"/>
        </w:rPr>
        <w:t>甲方有权解除合同</w:t>
      </w:r>
      <w:r>
        <w:rPr>
          <w:rFonts w:hint="eastAsia"/>
          <w:b/>
          <w:bCs/>
          <w:u w:val="none"/>
          <w:lang w:val="en-US" w:eastAsia="zh-CN"/>
        </w:rPr>
        <w:t>。</w:t>
      </w:r>
      <w:r>
        <w:rPr>
          <w:rFonts w:hint="eastAsia"/>
        </w:rPr>
        <w:t>若因</w:t>
      </w:r>
      <w:r>
        <w:rPr>
          <w:rFonts w:hint="eastAsia"/>
          <w:lang w:val="en-US" w:eastAsia="zh-CN"/>
        </w:rPr>
        <w:t>乙方</w:t>
      </w:r>
      <w:r>
        <w:rPr>
          <w:rFonts w:hint="eastAsia"/>
        </w:rPr>
        <w:t>未按时限要求完成审批给</w:t>
      </w:r>
      <w:r>
        <w:rPr>
          <w:rFonts w:hint="eastAsia"/>
          <w:lang w:val="en-US" w:eastAsia="zh-CN"/>
        </w:rPr>
        <w:t>甲方</w:t>
      </w:r>
      <w:r>
        <w:rPr>
          <w:rFonts w:hint="eastAsia"/>
        </w:rPr>
        <w:t>造成损失的，</w:t>
      </w:r>
      <w:r>
        <w:rPr>
          <w:rFonts w:hint="eastAsia"/>
          <w:lang w:val="en-US" w:eastAsia="zh-CN"/>
        </w:rPr>
        <w:t>甲方</w:t>
      </w:r>
      <w:r>
        <w:rPr>
          <w:rFonts w:hint="eastAsia"/>
        </w:rPr>
        <w:t>有权向</w:t>
      </w:r>
      <w:r>
        <w:rPr>
          <w:rFonts w:hint="eastAsia"/>
          <w:lang w:val="en-US" w:eastAsia="zh-CN"/>
        </w:rPr>
        <w:t>乙方</w:t>
      </w:r>
      <w:r>
        <w:rPr>
          <w:rFonts w:hint="eastAsia"/>
        </w:rPr>
        <w:t>进行双倍索赔，并直接将</w:t>
      </w:r>
      <w:r>
        <w:rPr>
          <w:rFonts w:hint="eastAsia"/>
          <w:lang w:val="en-US" w:eastAsia="zh-CN"/>
        </w:rPr>
        <w:t>乙方</w:t>
      </w:r>
      <w:r>
        <w:rPr>
          <w:rFonts w:hint="eastAsia"/>
        </w:rPr>
        <w:t>及其关联单位（含法人代表与委托代理人）一并拉入黑名单，不得参与重庆公路养护工程（集团）有限公司所有比选项目报价。</w:t>
      </w:r>
    </w:p>
    <w:p w14:paraId="7FC48F45">
      <w:pPr>
        <w:pStyle w:val="4"/>
      </w:pPr>
      <w:r>
        <w:rPr>
          <w:rFonts w:hint="eastAsia"/>
          <w:lang w:val="en-US" w:eastAsia="zh-CN"/>
        </w:rPr>
        <w:t>十一</w:t>
      </w:r>
      <w:r>
        <w:rPr>
          <w:rFonts w:hint="eastAsia"/>
        </w:rPr>
        <w:t>、其它约定事项</w:t>
      </w:r>
    </w:p>
    <w:p w14:paraId="32B94879">
      <w:pPr>
        <w:ind w:firstLine="480"/>
      </w:pPr>
      <w:r>
        <w:rPr>
          <w:rFonts w:hint="eastAsia"/>
        </w:rPr>
        <w:t>1、甲方的</w:t>
      </w:r>
      <w:r>
        <w:rPr>
          <w:rFonts w:hint="eastAsia"/>
          <w:u w:val="single"/>
        </w:rPr>
        <w:t xml:space="preserve"> </w:t>
      </w:r>
      <w:r>
        <w:rPr>
          <w:rFonts w:hint="eastAsia"/>
          <w:b/>
          <w:bCs/>
          <w:u w:val="single"/>
        </w:rPr>
        <w:t xml:space="preserve">比选文件 </w:t>
      </w:r>
      <w:r>
        <w:rPr>
          <w:rFonts w:hint="eastAsia"/>
        </w:rPr>
        <w:t>及乙方的</w:t>
      </w:r>
      <w:r>
        <w:rPr>
          <w:rFonts w:hint="eastAsia"/>
          <w:u w:val="single"/>
        </w:rPr>
        <w:t xml:space="preserve"> </w:t>
      </w:r>
      <w:r>
        <w:rPr>
          <w:rFonts w:hint="eastAsia"/>
          <w:b/>
          <w:bCs/>
          <w:u w:val="single"/>
        </w:rPr>
        <w:t xml:space="preserve">投标文件 </w:t>
      </w:r>
      <w:r>
        <w:rPr>
          <w:rFonts w:hint="eastAsia"/>
        </w:rPr>
        <w:t>作为本合同的附件，具有同等法律效力，若有不一致或矛盾之处，以本合同条款为准。</w:t>
      </w:r>
    </w:p>
    <w:p w14:paraId="091E0DEC">
      <w:pPr>
        <w:spacing w:line="360" w:lineRule="auto"/>
        <w:ind w:firstLine="0" w:firstLineChars="0"/>
      </w:pPr>
      <w:r>
        <w:rPr>
          <w:rFonts w:hint="eastAsia"/>
          <w:b/>
          <w:kern w:val="44"/>
        </w:rPr>
        <w:t>十</w:t>
      </w:r>
      <w:r>
        <w:rPr>
          <w:rFonts w:hint="eastAsia"/>
          <w:b/>
          <w:kern w:val="44"/>
          <w:lang w:val="en-US" w:eastAsia="zh-CN"/>
        </w:rPr>
        <w:t>二</w:t>
      </w:r>
      <w:r>
        <w:rPr>
          <w:rFonts w:hint="eastAsia"/>
          <w:b/>
          <w:kern w:val="44"/>
        </w:rPr>
        <w:t>、本合同有效期</w:t>
      </w:r>
      <w:r>
        <w:rPr>
          <w:rFonts w:hint="eastAsia"/>
        </w:rPr>
        <w:t>：</w:t>
      </w:r>
      <w:r>
        <w:rPr>
          <w:rFonts w:hint="eastAsia"/>
          <w:bCs/>
        </w:rPr>
        <w:t>自</w:t>
      </w:r>
      <w:r>
        <w:rPr>
          <w:rFonts w:hint="eastAsia" w:ascii="宋体" w:hAnsi="宋体" w:cs="宋体"/>
        </w:rPr>
        <w:t>合同生效之日起至</w:t>
      </w:r>
      <w:r>
        <w:rPr>
          <w:rFonts w:hint="eastAsia" w:ascii="宋体" w:hAnsi="宋体" w:cs="宋体"/>
          <w:b/>
          <w:bCs/>
          <w:u w:val="single"/>
        </w:rPr>
        <w:t>2028</w:t>
      </w:r>
      <w:r>
        <w:rPr>
          <w:rFonts w:hint="eastAsia" w:ascii="宋体" w:hAnsi="宋体" w:cs="宋体"/>
        </w:rPr>
        <w:t>年</w:t>
      </w:r>
      <w:r>
        <w:rPr>
          <w:rFonts w:hint="eastAsia" w:ascii="宋体" w:hAnsi="宋体" w:cs="宋体"/>
          <w:u w:val="single"/>
        </w:rPr>
        <w:t xml:space="preserve"> </w:t>
      </w:r>
      <w:r>
        <w:rPr>
          <w:rFonts w:hint="eastAsia" w:ascii="宋体" w:hAnsi="宋体" w:cs="宋体"/>
          <w:b/>
          <w:bCs/>
          <w:u w:val="single"/>
        </w:rPr>
        <w:t xml:space="preserve">12 </w:t>
      </w:r>
      <w:r>
        <w:rPr>
          <w:rFonts w:hint="eastAsia" w:ascii="宋体" w:hAnsi="宋体" w:cs="宋体"/>
        </w:rPr>
        <w:t>月</w:t>
      </w:r>
      <w:r>
        <w:rPr>
          <w:rFonts w:hint="eastAsia" w:ascii="宋体" w:hAnsi="宋体" w:cs="宋体"/>
          <w:b/>
          <w:bCs/>
          <w:u w:val="single"/>
        </w:rPr>
        <w:t xml:space="preserve"> 31 </w:t>
      </w:r>
      <w:r>
        <w:rPr>
          <w:rFonts w:hint="eastAsia" w:ascii="宋体" w:hAnsi="宋体" w:cs="宋体"/>
        </w:rPr>
        <w:t>日</w:t>
      </w:r>
      <w:r>
        <w:rPr>
          <w:rFonts w:hint="eastAsia" w:ascii="宋体" w:hAnsi="宋体" w:cs="宋体"/>
          <w:lang w:eastAsia="zh-CN"/>
        </w:rPr>
        <w:t>（</w:t>
      </w:r>
      <w:r>
        <w:rPr>
          <w:rFonts w:hint="eastAsia" w:ascii="宋体" w:hAnsi="宋体" w:cs="宋体"/>
        </w:rPr>
        <w:t>以项目实际完工时间为准</w:t>
      </w:r>
      <w:r>
        <w:rPr>
          <w:rFonts w:hint="eastAsia" w:ascii="宋体" w:hAnsi="宋体" w:cs="宋体"/>
          <w:lang w:eastAsia="zh-CN"/>
        </w:rPr>
        <w:t>）</w:t>
      </w:r>
      <w:r>
        <w:rPr>
          <w:rFonts w:hint="eastAsia" w:ascii="宋体" w:hAnsi="宋体" w:cs="宋体"/>
        </w:rPr>
        <w:t>。</w:t>
      </w:r>
    </w:p>
    <w:p w14:paraId="6108C08B">
      <w:pPr>
        <w:pStyle w:val="4"/>
        <w:ind w:left="241" w:hanging="241" w:hangingChars="100"/>
        <w:rPr>
          <w:b w:val="0"/>
          <w:bCs/>
        </w:rPr>
      </w:pPr>
      <w:r>
        <w:rPr>
          <w:rFonts w:hint="eastAsia"/>
        </w:rPr>
        <w:t>十</w:t>
      </w:r>
      <w:r>
        <w:rPr>
          <w:rFonts w:hint="eastAsia"/>
          <w:lang w:val="en-US" w:eastAsia="zh-CN"/>
        </w:rPr>
        <w:t>三</w:t>
      </w:r>
      <w:r>
        <w:rPr>
          <w:rFonts w:hint="eastAsia"/>
        </w:rPr>
        <w:t>、争议及解决方式：如有争议，双方协商解决、协商不成可依法向重庆仲裁委员会申请仲裁。</w:t>
      </w:r>
    </w:p>
    <w:p w14:paraId="27CF7BF9">
      <w:pPr>
        <w:pStyle w:val="4"/>
      </w:pPr>
      <w:r>
        <w:rPr>
          <w:rFonts w:hint="eastAsia"/>
        </w:rPr>
        <w:t>十</w:t>
      </w:r>
      <w:r>
        <w:rPr>
          <w:rFonts w:hint="eastAsia"/>
          <w:lang w:val="en-US" w:eastAsia="zh-CN"/>
        </w:rPr>
        <w:t>四</w:t>
      </w:r>
      <w:r>
        <w:rPr>
          <w:rFonts w:hint="eastAsia"/>
        </w:rPr>
        <w:t>、</w:t>
      </w:r>
      <w:r>
        <w:rPr>
          <w:rFonts w:hint="eastAsia" w:ascii="宋体" w:hAnsi="宋体" w:cs="宋体"/>
          <w:color w:val="000000"/>
        </w:rPr>
        <w:t>合同份数及时效</w:t>
      </w:r>
    </w:p>
    <w:p w14:paraId="5DD3D360">
      <w:pPr>
        <w:ind w:firstLine="480"/>
      </w:pPr>
      <w:r>
        <w:t>本合同一式</w:t>
      </w:r>
      <w:r>
        <w:rPr>
          <w:b/>
          <w:bCs/>
          <w:u w:val="single"/>
        </w:rPr>
        <w:t xml:space="preserve"> </w:t>
      </w:r>
      <w:r>
        <w:rPr>
          <w:rFonts w:hint="eastAsia"/>
          <w:b/>
          <w:bCs/>
          <w:u w:val="single"/>
        </w:rPr>
        <w:t>捌</w:t>
      </w:r>
      <w:r>
        <w:rPr>
          <w:b/>
          <w:bCs/>
          <w:u w:val="single"/>
        </w:rPr>
        <w:t xml:space="preserve"> </w:t>
      </w:r>
      <w:r>
        <w:t>份，甲方执</w:t>
      </w:r>
      <w:r>
        <w:rPr>
          <w:b/>
          <w:bCs/>
          <w:u w:val="single"/>
        </w:rPr>
        <w:t xml:space="preserve"> 肆 </w:t>
      </w:r>
      <w:r>
        <w:t>份，乙方执</w:t>
      </w:r>
      <w:r>
        <w:rPr>
          <w:b/>
          <w:bCs/>
          <w:u w:val="single"/>
        </w:rPr>
        <w:t xml:space="preserve"> </w:t>
      </w:r>
      <w:r>
        <w:rPr>
          <w:rFonts w:hint="eastAsia"/>
          <w:b/>
          <w:bCs/>
          <w:u w:val="single"/>
        </w:rPr>
        <w:t>肆</w:t>
      </w:r>
      <w:r>
        <w:rPr>
          <w:b/>
          <w:bCs/>
          <w:u w:val="single"/>
        </w:rPr>
        <w:t xml:space="preserve"> </w:t>
      </w:r>
      <w:r>
        <w:t>份，具有同等法律效力；经双方签字盖章并加盖双方骑缝章后生效</w:t>
      </w:r>
      <w:r>
        <w:rPr>
          <w:rFonts w:hint="eastAsia"/>
        </w:rPr>
        <w:t>，</w:t>
      </w:r>
      <w:r>
        <w:t>完成财务结算支付后自动失效。</w:t>
      </w:r>
    </w:p>
    <w:p w14:paraId="7C90982E">
      <w:pPr>
        <w:pStyle w:val="18"/>
      </w:pPr>
    </w:p>
    <w:p w14:paraId="5A93D3AB">
      <w:pPr>
        <w:wordWrap/>
        <w:topLinePunct w:val="0"/>
        <w:spacing w:line="360" w:lineRule="auto"/>
        <w:ind w:firstLine="0" w:firstLineChars="0"/>
      </w:pPr>
      <w:r>
        <w:rPr>
          <w:rFonts w:hint="eastAsia"/>
        </w:rPr>
        <w:t>甲方：（盖章）</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乙方：（盖章）</w:t>
      </w:r>
    </w:p>
    <w:p w14:paraId="742C2A9F">
      <w:pPr>
        <w:wordWrap/>
        <w:topLinePunct w:val="0"/>
        <w:spacing w:line="360" w:lineRule="auto"/>
        <w:ind w:firstLine="0" w:firstLineChars="0"/>
        <w:rPr>
          <w:b/>
          <w:bCs/>
        </w:rPr>
      </w:pPr>
      <w:r>
        <w:rPr>
          <w:rFonts w:hint="eastAsia"/>
          <w:b/>
          <w:bCs/>
        </w:rPr>
        <w:t>重庆公路养护工程（集团）有限公司</w:t>
      </w:r>
      <w:r>
        <w:rPr>
          <w:rFonts w:hint="eastAsia"/>
        </w:rPr>
        <w:tab/>
      </w:r>
      <w:r>
        <w:rPr>
          <w:rFonts w:hint="eastAsia"/>
        </w:rPr>
        <w:tab/>
      </w:r>
    </w:p>
    <w:p w14:paraId="5D6C1E5B">
      <w:pPr>
        <w:pStyle w:val="18"/>
        <w:spacing w:line="360" w:lineRule="auto"/>
      </w:pPr>
    </w:p>
    <w:p w14:paraId="17D567FF">
      <w:pPr>
        <w:wordWrap/>
        <w:topLinePunct w:val="0"/>
        <w:spacing w:line="360" w:lineRule="auto"/>
        <w:ind w:firstLine="0" w:firstLineChars="0"/>
      </w:pPr>
      <w:r>
        <w:rPr>
          <w:rFonts w:hint="eastAsia"/>
        </w:rPr>
        <w:t>法定代表人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法定代表人</w:t>
      </w:r>
    </w:p>
    <w:p w14:paraId="71035A6E">
      <w:pPr>
        <w:wordWrap/>
        <w:topLinePunct w:val="0"/>
        <w:spacing w:line="360" w:lineRule="auto"/>
        <w:ind w:firstLine="0" w:firstLineChars="0"/>
      </w:pPr>
      <w:r>
        <w:rPr>
          <w:rFonts w:hint="eastAsia"/>
        </w:rPr>
        <w:t>或授权代理人：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或授权代理人：</w:t>
      </w:r>
      <w:r>
        <w:rPr>
          <w:rFonts w:hint="eastAsia"/>
        </w:rPr>
        <w:tab/>
      </w:r>
      <w:r>
        <w:rPr>
          <w:rFonts w:hint="eastAsia"/>
        </w:rPr>
        <w:tab/>
      </w:r>
      <w:r>
        <w:rPr>
          <w:rFonts w:hint="eastAsia"/>
        </w:rPr>
        <w:tab/>
      </w:r>
      <w:r>
        <w:rPr>
          <w:rFonts w:hint="eastAsia"/>
        </w:rPr>
        <w:tab/>
      </w:r>
    </w:p>
    <w:p w14:paraId="28B12207">
      <w:pPr>
        <w:pStyle w:val="18"/>
        <w:spacing w:line="360" w:lineRule="auto"/>
      </w:pPr>
    </w:p>
    <w:p w14:paraId="2E7327F5">
      <w:pPr>
        <w:wordWrap/>
        <w:topLinePunct w:val="0"/>
        <w:spacing w:line="360" w:lineRule="auto"/>
        <w:ind w:firstLine="0" w:firstLineChars="0"/>
      </w:pPr>
      <w:r>
        <w:rPr>
          <w:rFonts w:hint="eastAsia"/>
        </w:rPr>
        <w:t>部门负责人：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A4D9B76">
      <w:pPr>
        <w:wordWrap/>
        <w:topLinePunct w:val="0"/>
        <w:spacing w:line="360" w:lineRule="auto"/>
        <w:ind w:firstLine="0" w:firstLineChars="0"/>
      </w:pPr>
      <w:r>
        <w:rPr>
          <w:rFonts w:hint="eastAsia"/>
        </w:rPr>
        <w:t>经办人</w:t>
      </w:r>
      <w:r>
        <w:rPr>
          <w:rFonts w:hint="eastAsia"/>
          <w:lang w:eastAsia="zh-CN"/>
        </w:rPr>
        <w:t>：</w:t>
      </w:r>
      <w:r>
        <w:rPr>
          <w:rFonts w:hint="eastAsia"/>
        </w:rPr>
        <w:tab/>
      </w:r>
      <w:r>
        <w:rPr>
          <w:rFonts w:hint="eastAsia"/>
        </w:rPr>
        <w:tab/>
      </w:r>
      <w:r>
        <w:rPr>
          <w:rFonts w:hint="eastAsia"/>
        </w:rPr>
        <w:tab/>
      </w:r>
      <w:r>
        <w:rPr>
          <w:rFonts w:hint="eastAsia"/>
        </w:rPr>
        <w:tab/>
      </w:r>
      <w:r>
        <w:rPr>
          <w:rFonts w:hint="eastAsia"/>
        </w:rPr>
        <w:tab/>
      </w:r>
      <w:r>
        <w:rPr>
          <w:rFonts w:hint="eastAsia"/>
        </w:rPr>
        <w:tab/>
      </w:r>
    </w:p>
    <w:p w14:paraId="3E51EB6A">
      <w:pPr>
        <w:ind w:firstLine="0" w:firstLineChars="0"/>
      </w:pPr>
      <w:r>
        <w:rPr>
          <w:rFonts w:hint="eastAsia"/>
        </w:rPr>
        <w:t>签订日期：202</w:t>
      </w:r>
      <w:r>
        <w:rPr>
          <w:rFonts w:hint="eastAsia"/>
          <w:lang w:val="en-US" w:eastAsia="zh-CN"/>
        </w:rPr>
        <w:t>6</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ab/>
      </w:r>
      <w:r>
        <w:rPr>
          <w:rFonts w:hint="eastAsia"/>
        </w:rPr>
        <w:tab/>
      </w:r>
      <w:r>
        <w:rPr>
          <w:rFonts w:hint="eastAsia"/>
        </w:rPr>
        <w:tab/>
      </w:r>
      <w:r>
        <w:rPr>
          <w:rFonts w:hint="eastAsia"/>
        </w:rPr>
        <w:tab/>
      </w:r>
      <w:r>
        <w:rPr>
          <w:rFonts w:hint="eastAsia"/>
        </w:rPr>
        <w:t>签订日期：202</w:t>
      </w:r>
      <w:r>
        <w:rPr>
          <w:rFonts w:hint="eastAsia"/>
          <w:lang w:val="en-US" w:eastAsia="zh-CN"/>
        </w:rPr>
        <w:t>6</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67C10A69">
      <w:pPr>
        <w:pStyle w:val="18"/>
        <w:sectPr>
          <w:headerReference r:id="rId8" w:type="default"/>
          <w:footerReference r:id="rId9" w:type="default"/>
          <w:pgSz w:w="11906" w:h="16838"/>
          <w:pgMar w:top="1134" w:right="1134" w:bottom="1134" w:left="1134" w:header="794" w:footer="794" w:gutter="0"/>
          <w:pgBorders>
            <w:top w:val="none" w:sz="0" w:space="0"/>
            <w:left w:val="none" w:sz="0" w:space="0"/>
            <w:bottom w:val="none" w:sz="0" w:space="0"/>
            <w:right w:val="none" w:sz="0" w:space="0"/>
          </w:pgBorders>
          <w:cols w:space="720" w:num="1"/>
          <w:docGrid w:type="lines" w:linePitch="312" w:charSpace="0"/>
        </w:sectPr>
      </w:pPr>
    </w:p>
    <w:p w14:paraId="73B9543B">
      <w:pPr>
        <w:pStyle w:val="18"/>
        <w:rPr>
          <w:rFonts w:hint="eastAsia" w:ascii="宋体" w:hAnsi="宋体" w:eastAsia="宋体" w:cs="宋体"/>
          <w:b/>
          <w:bCs/>
        </w:rPr>
      </w:pPr>
      <w:r>
        <w:rPr>
          <w:rFonts w:hint="eastAsia" w:ascii="宋体" w:hAnsi="宋体" w:eastAsia="宋体" w:cs="宋体"/>
          <w:b/>
          <w:bCs/>
        </w:rPr>
        <w:t>合同附件一：</w:t>
      </w:r>
    </w:p>
    <w:p w14:paraId="27E13F77">
      <w:pPr>
        <w:wordWrap/>
        <w:topLinePunct w:val="0"/>
        <w:spacing w:line="360" w:lineRule="auto"/>
        <w:ind w:firstLine="643"/>
        <w:jc w:val="center"/>
        <w:rPr>
          <w:rFonts w:hint="eastAsia" w:ascii="宋体" w:hAnsi="宋体" w:cs="宋体"/>
          <w:b/>
          <w:bCs/>
          <w:sz w:val="32"/>
          <w:szCs w:val="32"/>
        </w:rPr>
      </w:pPr>
      <w:r>
        <w:rPr>
          <w:rFonts w:hint="eastAsia" w:ascii="宋体" w:hAnsi="宋体" w:cs="宋体"/>
          <w:b/>
          <w:color w:val="000000"/>
          <w:sz w:val="32"/>
          <w:szCs w:val="32"/>
        </w:rPr>
        <w:t>重庆公路养护工程（集团）有限公司</w:t>
      </w:r>
      <w:r>
        <w:rPr>
          <w:rFonts w:hint="eastAsia" w:ascii="宋体" w:hAnsi="宋体" w:cs="宋体"/>
          <w:b/>
          <w:bCs/>
          <w:sz w:val="32"/>
          <w:szCs w:val="32"/>
        </w:rPr>
        <w:t>安全韧性提升工程</w:t>
      </w:r>
    </w:p>
    <w:p w14:paraId="074C7E98">
      <w:pPr>
        <w:wordWrap/>
        <w:topLinePunct w:val="0"/>
        <w:spacing w:line="360" w:lineRule="auto"/>
        <w:ind w:firstLine="643"/>
        <w:jc w:val="center"/>
        <w:rPr>
          <w:rFonts w:hint="eastAsia" w:ascii="宋体" w:hAnsi="宋体" w:cs="宋体"/>
          <w:b/>
          <w:color w:val="000000"/>
          <w:sz w:val="32"/>
          <w:szCs w:val="32"/>
        </w:rPr>
      </w:pPr>
      <w:r>
        <w:rPr>
          <w:rFonts w:hint="eastAsia" w:ascii="宋体" w:hAnsi="宋体" w:cs="宋体"/>
          <w:b/>
          <w:bCs/>
          <w:sz w:val="32"/>
          <w:szCs w:val="32"/>
        </w:rPr>
        <w:t>交通组织</w:t>
      </w:r>
      <w:r>
        <w:rPr>
          <w:rFonts w:hint="eastAsia" w:ascii="宋体" w:hAnsi="宋体" w:cs="宋体"/>
          <w:b/>
          <w:color w:val="000000"/>
          <w:sz w:val="32"/>
          <w:szCs w:val="32"/>
        </w:rPr>
        <w:t>咨询服务之廉政合同</w:t>
      </w:r>
    </w:p>
    <w:p w14:paraId="1CA12FD7">
      <w:pPr>
        <w:wordWrap/>
        <w:topLinePunct w:val="0"/>
        <w:spacing w:line="360" w:lineRule="auto"/>
        <w:ind w:firstLine="480"/>
        <w:textAlignment w:val="baseline"/>
        <w:rPr>
          <w:rFonts w:hint="eastAsia" w:ascii="宋体" w:hAnsi="宋体" w:cs="宋体"/>
          <w:color w:val="000000"/>
        </w:rPr>
      </w:pPr>
      <w:r>
        <w:rPr>
          <w:rFonts w:hint="eastAsia" w:ascii="宋体" w:hAnsi="宋体" w:cs="宋体"/>
          <w:color w:val="000000"/>
        </w:rPr>
        <w:t>根据交通部《关于在交通基础设施建设中加强廉政建设的若干意见》和《关于在交通基础设施建设中推行廉政合同的通知》以及有关工程建设、廉政建设的规定，为做好工程建设中的党风廉政建设，保证工程建设高效优质，保证建设资金的安全和有效使用及投资效益，</w:t>
      </w:r>
      <w:r>
        <w:rPr>
          <w:rFonts w:hint="eastAsia" w:ascii="宋体" w:hAnsi="宋体" w:cs="宋体"/>
          <w:b/>
          <w:color w:val="000000"/>
          <w:u w:val="single"/>
        </w:rPr>
        <w:t>重庆公路养护工程（集团）有限公司</w:t>
      </w:r>
      <w:r>
        <w:rPr>
          <w:rFonts w:hint="eastAsia" w:ascii="宋体" w:hAnsi="宋体" w:cs="宋体"/>
          <w:color w:val="000000"/>
        </w:rPr>
        <w:t>（以下称甲方）与</w:t>
      </w:r>
      <w:r>
        <w:rPr>
          <w:rFonts w:hint="eastAsia" w:ascii="宋体" w:hAnsi="宋体" w:cs="宋体"/>
          <w:b/>
          <w:color w:val="000000"/>
          <w:u w:val="single"/>
        </w:rPr>
        <w:t xml:space="preserve">                       </w:t>
      </w:r>
      <w:r>
        <w:rPr>
          <w:rFonts w:hint="eastAsia" w:ascii="宋体" w:hAnsi="宋体" w:cs="宋体"/>
          <w:color w:val="000000"/>
        </w:rPr>
        <w:t>（以下称乙方），特订立如下合同。</w:t>
      </w:r>
    </w:p>
    <w:p w14:paraId="6EB4FB6F">
      <w:pPr>
        <w:wordWrap/>
        <w:topLinePunct w:val="0"/>
        <w:spacing w:line="360" w:lineRule="auto"/>
        <w:ind w:firstLine="482"/>
        <w:textAlignment w:val="baseline"/>
        <w:rPr>
          <w:rFonts w:hint="eastAsia" w:ascii="宋体" w:hAnsi="宋体" w:cs="宋体"/>
          <w:b/>
          <w:color w:val="000000"/>
        </w:rPr>
      </w:pPr>
      <w:r>
        <w:rPr>
          <w:rFonts w:hint="eastAsia" w:ascii="宋体" w:hAnsi="宋体" w:cs="宋体"/>
          <w:b/>
          <w:color w:val="000000"/>
        </w:rPr>
        <w:t>一、反商业贿赂条款</w:t>
      </w:r>
    </w:p>
    <w:p w14:paraId="301EB13C">
      <w:pPr>
        <w:wordWrap/>
        <w:topLinePunct w:val="0"/>
        <w:spacing w:line="360" w:lineRule="auto"/>
        <w:ind w:firstLine="480"/>
        <w:textAlignment w:val="baseline"/>
        <w:rPr>
          <w:rFonts w:hint="eastAsia" w:ascii="宋体" w:hAnsi="宋体" w:cs="宋体"/>
          <w:bCs/>
          <w:color w:val="000000"/>
        </w:rPr>
      </w:pPr>
      <w:r>
        <w:rPr>
          <w:rFonts w:hint="eastAsia" w:ascii="宋体" w:hAnsi="宋体" w:cs="宋体"/>
          <w:bCs/>
          <w:color w:val="000000"/>
        </w:rPr>
        <w:t>本条款是本合同之必备条款，与本合同具有同等法律效力，甲乙各方签署合同之当事人认真阅读本条款，同意签订并遵守如下反商业贿赂条款：</w:t>
      </w:r>
    </w:p>
    <w:p w14:paraId="24821175">
      <w:pPr>
        <w:wordWrap/>
        <w:topLinePunct w:val="0"/>
        <w:spacing w:line="360" w:lineRule="auto"/>
        <w:ind w:firstLine="480"/>
        <w:textAlignment w:val="baseline"/>
        <w:rPr>
          <w:rFonts w:hint="eastAsia" w:ascii="宋体" w:hAnsi="宋体" w:cs="宋体"/>
          <w:bCs/>
          <w:color w:val="000000"/>
        </w:rPr>
      </w:pPr>
      <w:r>
        <w:rPr>
          <w:rFonts w:hint="eastAsia" w:ascii="宋体" w:hAnsi="宋体" w:cs="宋体"/>
          <w:bCs/>
          <w:color w:val="000000"/>
        </w:rPr>
        <w:t>1、各方都清楚并愿意严格遵守中华人民共和国反商业贿赂的法律规定，各方都清楚任何形式的贿赂和贪渎行为都将触犯法律，并将受到法律的严惩。</w:t>
      </w:r>
    </w:p>
    <w:p w14:paraId="2CE473FF">
      <w:pPr>
        <w:wordWrap/>
        <w:topLinePunct w:val="0"/>
        <w:spacing w:line="360" w:lineRule="auto"/>
        <w:ind w:firstLine="480"/>
        <w:textAlignment w:val="baseline"/>
        <w:rPr>
          <w:rFonts w:hint="eastAsia" w:ascii="宋体" w:hAnsi="宋体" w:cs="宋体"/>
          <w:bCs/>
          <w:color w:val="000000"/>
        </w:rPr>
      </w:pPr>
      <w:r>
        <w:rPr>
          <w:rFonts w:hint="eastAsia" w:ascii="宋体" w:hAnsi="宋体" w:cs="宋体"/>
          <w:bCs/>
          <w:color w:val="000000"/>
        </w:rPr>
        <w:t>2、各方均不得向对方或对方经办人或其他相关人员索要、收受、提供、给予合同约定外的任何利益，包括但不限于明扣、暗扣、现金、购物卡、实物、有价证券、旅游或其他非物质性利益等，但如该等利益属于行业惯例或通常做法，则须在合同中明示。</w:t>
      </w:r>
    </w:p>
    <w:p w14:paraId="5342C3D8">
      <w:pPr>
        <w:wordWrap/>
        <w:topLinePunct w:val="0"/>
        <w:spacing w:line="360" w:lineRule="auto"/>
        <w:ind w:firstLine="480"/>
        <w:textAlignment w:val="baseline"/>
        <w:rPr>
          <w:rFonts w:hint="eastAsia" w:ascii="宋体" w:hAnsi="宋体" w:cs="宋体"/>
          <w:bCs/>
          <w:color w:val="000000"/>
        </w:rPr>
      </w:pPr>
      <w:r>
        <w:rPr>
          <w:rFonts w:hint="eastAsia" w:ascii="宋体" w:hAnsi="宋体" w:cs="宋体"/>
          <w:bCs/>
          <w:color w:val="000000"/>
        </w:rPr>
        <w:t>3、各方严格禁止其经办人员的任何商业贿赂行为。各方经办人发生本条第2款所列示的任何一种行为，都是违反各方公司制度的，都将受到各方制度和国家法律的惩处。</w:t>
      </w:r>
    </w:p>
    <w:p w14:paraId="436016E0">
      <w:pPr>
        <w:wordWrap/>
        <w:topLinePunct w:val="0"/>
        <w:spacing w:line="360" w:lineRule="auto"/>
        <w:ind w:firstLine="480"/>
        <w:textAlignment w:val="baseline"/>
        <w:rPr>
          <w:rFonts w:hint="eastAsia" w:ascii="宋体" w:hAnsi="宋体" w:cs="宋体"/>
          <w:bCs/>
          <w:color w:val="000000"/>
        </w:rPr>
      </w:pPr>
      <w:r>
        <w:rPr>
          <w:rFonts w:hint="eastAsia" w:ascii="宋体" w:hAnsi="宋体" w:cs="宋体"/>
          <w:bCs/>
          <w:color w:val="000000"/>
        </w:rPr>
        <w:t>4、各方郑重提示：各方反对各方或各方的经办人员为了本合同之目的与本合同以外的任何第各方发生本条款第2款所列示的任何一种行为，该等行为都是违反国家法律的行为，并将受到国家法律的惩处。</w:t>
      </w:r>
    </w:p>
    <w:p w14:paraId="585A6E4F">
      <w:pPr>
        <w:wordWrap/>
        <w:topLinePunct w:val="0"/>
        <w:spacing w:line="360" w:lineRule="auto"/>
        <w:ind w:firstLine="480"/>
        <w:textAlignment w:val="baseline"/>
        <w:rPr>
          <w:rFonts w:hint="eastAsia" w:ascii="宋体" w:hAnsi="宋体" w:cs="宋体"/>
          <w:bCs/>
          <w:color w:val="000000"/>
        </w:rPr>
      </w:pPr>
      <w:r>
        <w:rPr>
          <w:rFonts w:hint="eastAsia" w:ascii="宋体" w:hAnsi="宋体" w:cs="宋体"/>
          <w:bCs/>
          <w:color w:val="000000"/>
        </w:rPr>
        <w:t>5、如因一方或一方经办人违反上述第2款、第3款、第4款之规定，给其他方造成损失的，应承担损害赔偿责任。</w:t>
      </w:r>
    </w:p>
    <w:p w14:paraId="2046ABDC">
      <w:pPr>
        <w:wordWrap/>
        <w:topLinePunct w:val="0"/>
        <w:spacing w:line="360" w:lineRule="auto"/>
        <w:ind w:firstLine="480"/>
        <w:textAlignment w:val="baseline"/>
        <w:rPr>
          <w:rFonts w:hint="eastAsia" w:ascii="宋体" w:hAnsi="宋体" w:cs="宋体"/>
          <w:bCs/>
          <w:color w:val="000000"/>
        </w:rPr>
      </w:pPr>
      <w:r>
        <w:rPr>
          <w:rFonts w:hint="eastAsia" w:ascii="宋体" w:hAnsi="宋体" w:cs="宋体"/>
          <w:bCs/>
          <w:color w:val="000000"/>
        </w:rPr>
        <w:t>6、本条所称“其他相关人员”是指各方经办人以外的与合同有直接或间接利益关系的人员，包括但不仅限于合同经办人的亲友。</w:t>
      </w:r>
    </w:p>
    <w:p w14:paraId="523BE49F">
      <w:pPr>
        <w:wordWrap/>
        <w:topLinePunct w:val="0"/>
        <w:spacing w:line="360" w:lineRule="auto"/>
        <w:ind w:firstLine="482"/>
        <w:textAlignment w:val="baseline"/>
        <w:rPr>
          <w:rFonts w:hint="eastAsia" w:ascii="宋体" w:hAnsi="宋体" w:cs="宋体"/>
          <w:color w:val="000000"/>
        </w:rPr>
      </w:pPr>
      <w:r>
        <w:rPr>
          <w:rFonts w:hint="eastAsia" w:ascii="宋体" w:hAnsi="宋体" w:cs="宋体"/>
          <w:b/>
          <w:color w:val="000000"/>
        </w:rPr>
        <w:t>二、甲乙双方的权利和义务</w:t>
      </w:r>
    </w:p>
    <w:p w14:paraId="5EBE8F76">
      <w:pPr>
        <w:wordWrap/>
        <w:topLinePunct w:val="0"/>
        <w:spacing w:line="360" w:lineRule="auto"/>
        <w:ind w:firstLine="480"/>
        <w:rPr>
          <w:rFonts w:hint="eastAsia" w:ascii="宋体" w:hAnsi="宋体" w:cs="宋体"/>
          <w:color w:val="000000"/>
        </w:rPr>
      </w:pPr>
      <w:r>
        <w:rPr>
          <w:rFonts w:hint="eastAsia" w:ascii="宋体" w:hAnsi="宋体" w:cs="宋体"/>
          <w:color w:val="000000"/>
        </w:rPr>
        <w:t>1、严格遵守党和国家有关法律法规及交通部的有关规定。</w:t>
      </w:r>
    </w:p>
    <w:p w14:paraId="4F928AB1">
      <w:pPr>
        <w:wordWrap/>
        <w:topLinePunct w:val="0"/>
        <w:spacing w:line="360" w:lineRule="auto"/>
        <w:ind w:firstLine="480"/>
        <w:rPr>
          <w:rFonts w:hint="eastAsia" w:ascii="宋体" w:hAnsi="宋体" w:cs="宋体"/>
          <w:color w:val="000000"/>
        </w:rPr>
      </w:pPr>
      <w:r>
        <w:rPr>
          <w:rFonts w:hint="eastAsia" w:ascii="宋体" w:hAnsi="宋体" w:cs="宋体"/>
          <w:color w:val="000000"/>
        </w:rPr>
        <w:t>2、严格执行</w:t>
      </w:r>
      <w:r>
        <w:rPr>
          <w:rFonts w:hint="eastAsia" w:ascii="宋体" w:hAnsi="宋体" w:cs="宋体"/>
          <w:b/>
          <w:color w:val="000000"/>
        </w:rPr>
        <w:t>《安全韧性提升工程交通组织咨询服务采购》</w:t>
      </w:r>
      <w:r>
        <w:rPr>
          <w:rFonts w:hint="eastAsia" w:ascii="宋体" w:hAnsi="宋体" w:cs="宋体"/>
          <w:color w:val="000000"/>
        </w:rPr>
        <w:t>的相关条款，自觉按合同办事。</w:t>
      </w:r>
    </w:p>
    <w:p w14:paraId="43DF8690">
      <w:pPr>
        <w:pStyle w:val="7"/>
        <w:widowControl w:val="0"/>
        <w:wordWrap/>
        <w:topLinePunct w:val="0"/>
        <w:spacing w:line="360" w:lineRule="auto"/>
        <w:ind w:firstLine="480"/>
        <w:rPr>
          <w:rFonts w:hint="eastAsia" w:ascii="宋体" w:hAnsi="宋体" w:eastAsia="宋体" w:cs="宋体"/>
          <w:color w:val="000000"/>
        </w:rPr>
      </w:pPr>
      <w:r>
        <w:rPr>
          <w:rFonts w:hint="eastAsia" w:ascii="宋体" w:hAnsi="宋体" w:eastAsia="宋体" w:cs="宋体"/>
          <w:color w:val="000000"/>
        </w:rPr>
        <w:t>3、双方的业务活动坚持公开、公正、诚信、透明的原则（除法律认定的商业秘密和合同文件另有规定之外），不得损害国家和集体利益，违反工程建设管理规章制度。</w:t>
      </w:r>
    </w:p>
    <w:p w14:paraId="713A091E">
      <w:pPr>
        <w:wordWrap/>
        <w:topLinePunct w:val="0"/>
        <w:spacing w:line="360" w:lineRule="auto"/>
        <w:ind w:firstLine="480"/>
        <w:rPr>
          <w:rFonts w:hint="eastAsia" w:ascii="宋体" w:hAnsi="宋体" w:cs="宋体"/>
          <w:color w:val="000000"/>
        </w:rPr>
      </w:pPr>
      <w:r>
        <w:rPr>
          <w:rFonts w:hint="eastAsia" w:ascii="宋体" w:hAnsi="宋体" w:cs="宋体"/>
          <w:color w:val="000000"/>
        </w:rPr>
        <w:t>4、建立健全廉政制度，开展廉政教育，设立廉政告示牌，公布举报电话，监督并认真查处违法违纪行为。</w:t>
      </w:r>
    </w:p>
    <w:p w14:paraId="5A7CB6B0">
      <w:pPr>
        <w:wordWrap/>
        <w:topLinePunct w:val="0"/>
        <w:spacing w:line="360" w:lineRule="auto"/>
        <w:ind w:firstLine="480"/>
        <w:rPr>
          <w:rFonts w:hint="eastAsia" w:ascii="宋体" w:hAnsi="宋体" w:cs="宋体"/>
          <w:color w:val="000000"/>
        </w:rPr>
      </w:pPr>
      <w:r>
        <w:rPr>
          <w:rFonts w:hint="eastAsia" w:ascii="宋体" w:hAnsi="宋体" w:cs="宋体"/>
          <w:color w:val="000000"/>
        </w:rPr>
        <w:t>5、发现对方在业务活动中有违反廉政规定的行为，有及时提醒对方纠正的权利和义务。</w:t>
      </w:r>
    </w:p>
    <w:p w14:paraId="7D796243">
      <w:pPr>
        <w:wordWrap/>
        <w:topLinePunct w:val="0"/>
        <w:spacing w:line="360" w:lineRule="auto"/>
        <w:ind w:firstLine="480"/>
        <w:rPr>
          <w:rFonts w:hint="eastAsia" w:ascii="宋体" w:hAnsi="宋体" w:cs="宋体"/>
          <w:color w:val="000000"/>
        </w:rPr>
      </w:pPr>
      <w:r>
        <w:rPr>
          <w:rFonts w:hint="eastAsia" w:ascii="宋体" w:hAnsi="宋体" w:cs="宋体"/>
          <w:color w:val="000000"/>
        </w:rPr>
        <w:t>6、发现对方严重违反本合同义务条款的行为，有向其上级有关部门举报、建议给予处理并要求告知处理结果的权利。</w:t>
      </w:r>
    </w:p>
    <w:p w14:paraId="34BBACDC">
      <w:pPr>
        <w:wordWrap/>
        <w:topLinePunct w:val="0"/>
        <w:spacing w:line="360" w:lineRule="auto"/>
        <w:ind w:firstLine="482"/>
        <w:rPr>
          <w:rFonts w:hint="eastAsia" w:ascii="宋体" w:hAnsi="宋体" w:cs="宋体"/>
          <w:b/>
          <w:color w:val="000000"/>
        </w:rPr>
      </w:pPr>
      <w:r>
        <w:rPr>
          <w:rFonts w:hint="eastAsia" w:ascii="宋体" w:hAnsi="宋体" w:cs="宋体"/>
          <w:b/>
          <w:color w:val="000000"/>
        </w:rPr>
        <w:t>三、甲方义务</w:t>
      </w:r>
    </w:p>
    <w:p w14:paraId="1EE34BF7">
      <w:pPr>
        <w:wordWrap/>
        <w:topLinePunct w:val="0"/>
        <w:spacing w:line="360" w:lineRule="auto"/>
        <w:ind w:firstLine="480"/>
        <w:rPr>
          <w:rFonts w:hint="eastAsia" w:ascii="宋体" w:hAnsi="宋体" w:cs="宋体"/>
          <w:color w:val="000000"/>
        </w:rPr>
      </w:pPr>
      <w:r>
        <w:rPr>
          <w:rFonts w:hint="eastAsia" w:ascii="宋体" w:hAnsi="宋体" w:cs="宋体"/>
          <w:color w:val="000000"/>
        </w:rPr>
        <w:t>1、甲方及其工作人员不得索要或接受乙方的礼金、有价证券和贵重要物品，不得在乙方报销任何应由甲方或个人支付的费用等。</w:t>
      </w:r>
    </w:p>
    <w:p w14:paraId="10E6069E">
      <w:pPr>
        <w:wordWrap/>
        <w:topLinePunct w:val="0"/>
        <w:spacing w:line="360" w:lineRule="auto"/>
        <w:ind w:firstLine="480"/>
        <w:rPr>
          <w:rFonts w:hint="eastAsia" w:ascii="宋体" w:hAnsi="宋体" w:cs="宋体"/>
          <w:color w:val="000000"/>
        </w:rPr>
      </w:pPr>
      <w:r>
        <w:rPr>
          <w:rFonts w:hint="eastAsia" w:ascii="宋体" w:hAnsi="宋体" w:cs="宋体"/>
          <w:color w:val="000000"/>
        </w:rPr>
        <w:t>2、甲方工作人员不得参加乙方安排的宴请或可能影响公正的其他宴请和娱乐活动。不得接受乙方提供的通讯工具、交通工具和高档办公用品等。</w:t>
      </w:r>
    </w:p>
    <w:p w14:paraId="6398A49A">
      <w:pPr>
        <w:wordWrap/>
        <w:topLinePunct w:val="0"/>
        <w:spacing w:line="360" w:lineRule="auto"/>
        <w:ind w:firstLine="480"/>
        <w:rPr>
          <w:rFonts w:hint="eastAsia" w:ascii="宋体" w:hAnsi="宋体" w:cs="宋体"/>
          <w:color w:val="000000"/>
        </w:rPr>
      </w:pPr>
      <w:r>
        <w:rPr>
          <w:rFonts w:hint="eastAsia" w:ascii="宋体" w:hAnsi="宋体" w:cs="宋体"/>
          <w:color w:val="000000"/>
        </w:rPr>
        <w:t>3、甲方及其工作人员不得要求或者接受乙方为其住房装修、婚丧嫁娶活动、配偶子女的工作安排以及出国出境、旅游等提供方便等。</w:t>
      </w:r>
    </w:p>
    <w:p w14:paraId="71EF938A">
      <w:pPr>
        <w:wordWrap/>
        <w:topLinePunct w:val="0"/>
        <w:spacing w:line="360" w:lineRule="auto"/>
        <w:ind w:firstLine="480"/>
        <w:rPr>
          <w:rFonts w:hint="eastAsia" w:ascii="宋体" w:hAnsi="宋体" w:cs="宋体"/>
          <w:color w:val="000000"/>
        </w:rPr>
      </w:pPr>
      <w:r>
        <w:rPr>
          <w:rFonts w:hint="eastAsia" w:ascii="宋体" w:hAnsi="宋体" w:cs="宋体"/>
          <w:color w:val="000000"/>
        </w:rPr>
        <w:t>4、甲方工作人员的配偶、子女不得从事与甲方工程有关的材料设备供应、工程分包、劳务等经济活动等。</w:t>
      </w:r>
    </w:p>
    <w:p w14:paraId="0EFC0F0B">
      <w:pPr>
        <w:wordWrap/>
        <w:topLinePunct w:val="0"/>
        <w:spacing w:line="360" w:lineRule="auto"/>
        <w:ind w:firstLine="480"/>
        <w:rPr>
          <w:rFonts w:hint="eastAsia" w:ascii="宋体" w:hAnsi="宋体" w:cs="宋体"/>
          <w:color w:val="000000"/>
        </w:rPr>
      </w:pPr>
      <w:r>
        <w:rPr>
          <w:rFonts w:hint="eastAsia" w:ascii="宋体" w:hAnsi="宋体" w:cs="宋体"/>
          <w:color w:val="000000"/>
        </w:rPr>
        <w:t>5、甲方及其工作人员不得以任何理由向乙方推荐分包单位，不得要求乙方购买合同规定外的材料和设备。</w:t>
      </w:r>
    </w:p>
    <w:p w14:paraId="76D9E0D9">
      <w:pPr>
        <w:wordWrap/>
        <w:topLinePunct w:val="0"/>
        <w:spacing w:line="360" w:lineRule="auto"/>
        <w:ind w:firstLine="482"/>
        <w:rPr>
          <w:rFonts w:hint="eastAsia" w:ascii="宋体" w:hAnsi="宋体" w:cs="宋体"/>
          <w:b/>
          <w:color w:val="000000"/>
        </w:rPr>
      </w:pPr>
      <w:r>
        <w:rPr>
          <w:rFonts w:hint="eastAsia" w:ascii="宋体" w:hAnsi="宋体" w:cs="宋体"/>
          <w:b/>
          <w:color w:val="000000"/>
        </w:rPr>
        <w:t>四、乙方义务</w:t>
      </w:r>
    </w:p>
    <w:p w14:paraId="1F93EC74">
      <w:pPr>
        <w:wordWrap/>
        <w:topLinePunct w:val="0"/>
        <w:spacing w:line="360" w:lineRule="auto"/>
        <w:ind w:firstLine="480"/>
        <w:rPr>
          <w:rFonts w:hint="eastAsia" w:ascii="宋体" w:hAnsi="宋体" w:cs="宋体"/>
          <w:color w:val="000000"/>
        </w:rPr>
      </w:pPr>
      <w:r>
        <w:rPr>
          <w:rFonts w:hint="eastAsia" w:ascii="宋体" w:hAnsi="宋体" w:cs="宋体"/>
          <w:color w:val="000000"/>
        </w:rPr>
        <w:t>1、乙方不得以任何理由向甲方及其工作人员行贿或馈赠礼金、有价证券、贵重礼品。</w:t>
      </w:r>
    </w:p>
    <w:p w14:paraId="08E2EF4B">
      <w:pPr>
        <w:wordWrap/>
        <w:topLinePunct w:val="0"/>
        <w:spacing w:line="360" w:lineRule="auto"/>
        <w:ind w:firstLine="480"/>
        <w:rPr>
          <w:rFonts w:hint="eastAsia" w:ascii="宋体" w:hAnsi="宋体" w:cs="宋体"/>
          <w:color w:val="000000"/>
        </w:rPr>
      </w:pPr>
      <w:r>
        <w:rPr>
          <w:rFonts w:hint="eastAsia" w:ascii="宋体" w:hAnsi="宋体" w:cs="宋体"/>
          <w:color w:val="000000"/>
        </w:rPr>
        <w:t>2、乙方不得以任何名义为甲方及其工作人员报销应由甲方单位或个人支付的任何费用。</w:t>
      </w:r>
    </w:p>
    <w:p w14:paraId="0502B8DC">
      <w:pPr>
        <w:wordWrap/>
        <w:topLinePunct w:val="0"/>
        <w:spacing w:line="360" w:lineRule="auto"/>
        <w:ind w:firstLine="480"/>
        <w:rPr>
          <w:rFonts w:hint="eastAsia" w:ascii="宋体" w:hAnsi="宋体" w:cs="宋体"/>
          <w:color w:val="000000"/>
        </w:rPr>
      </w:pPr>
      <w:r>
        <w:rPr>
          <w:rFonts w:hint="eastAsia" w:ascii="宋体" w:hAnsi="宋体" w:cs="宋体"/>
          <w:color w:val="000000"/>
        </w:rPr>
        <w:t>3、乙方不得以任何理由邀请甲方工作人员外出旅游或安排甲方工作人员参加宴请及娱乐活动。</w:t>
      </w:r>
    </w:p>
    <w:p w14:paraId="547A94A1">
      <w:pPr>
        <w:wordWrap/>
        <w:topLinePunct w:val="0"/>
        <w:spacing w:line="360" w:lineRule="auto"/>
        <w:ind w:firstLine="480"/>
        <w:rPr>
          <w:rFonts w:hint="eastAsia" w:ascii="宋体" w:hAnsi="宋体" w:cs="宋体"/>
          <w:color w:val="000000"/>
        </w:rPr>
      </w:pPr>
      <w:r>
        <w:rPr>
          <w:rFonts w:hint="eastAsia" w:ascii="宋体" w:hAnsi="宋体" w:cs="宋体"/>
          <w:color w:val="000000"/>
        </w:rPr>
        <w:t>4、乙方不得为甲方单位和个人购置或提供通讯工具、交通工具和高档办公用品等。</w:t>
      </w:r>
    </w:p>
    <w:p w14:paraId="7DA4D3FA">
      <w:pPr>
        <w:wordWrap/>
        <w:topLinePunct w:val="0"/>
        <w:spacing w:line="360" w:lineRule="auto"/>
        <w:ind w:firstLine="480"/>
        <w:rPr>
          <w:rFonts w:hint="eastAsia" w:ascii="宋体" w:hAnsi="宋体" w:cs="宋体"/>
          <w:color w:val="000000"/>
        </w:rPr>
      </w:pPr>
      <w:r>
        <w:rPr>
          <w:rFonts w:hint="eastAsia" w:ascii="宋体" w:hAnsi="宋体" w:cs="宋体"/>
          <w:color w:val="000000"/>
        </w:rPr>
        <w:t>5、乙方及其工作人员应严格按规程办事，不得为谋取私利向工作人员非法行贿，私下串通，损害甲方利益。同时依法履行向甲方承诺的上述其他廉政义务。</w:t>
      </w:r>
    </w:p>
    <w:p w14:paraId="376528D0">
      <w:pPr>
        <w:wordWrap/>
        <w:topLinePunct w:val="0"/>
        <w:spacing w:line="360" w:lineRule="auto"/>
        <w:ind w:firstLine="480"/>
        <w:rPr>
          <w:rFonts w:hint="eastAsia" w:ascii="宋体" w:hAnsi="宋体" w:cs="宋体"/>
          <w:color w:val="000000"/>
        </w:rPr>
      </w:pPr>
      <w:r>
        <w:rPr>
          <w:rFonts w:hint="eastAsia" w:ascii="宋体" w:hAnsi="宋体" w:cs="宋体"/>
          <w:color w:val="000000"/>
        </w:rPr>
        <w:t>6、乙方如果发现甲方工作人员有违反廉政规定的行为，应向甲方组织或上级单位举报。甲方均不得找任何借口对乙方进行报复。甲方对举报属实或严格遵守廉政合同的乙方，在同等条件下给予承接后续工程的优先邀请投标权。</w:t>
      </w:r>
    </w:p>
    <w:p w14:paraId="3EDB8B4E">
      <w:pPr>
        <w:wordWrap/>
        <w:topLinePunct w:val="0"/>
        <w:spacing w:line="360" w:lineRule="auto"/>
        <w:ind w:firstLine="482"/>
        <w:rPr>
          <w:rFonts w:hint="eastAsia" w:ascii="宋体" w:hAnsi="宋体" w:cs="宋体"/>
          <w:b/>
          <w:color w:val="000000"/>
        </w:rPr>
      </w:pPr>
      <w:r>
        <w:rPr>
          <w:rFonts w:hint="eastAsia" w:ascii="宋体" w:hAnsi="宋体" w:cs="宋体"/>
          <w:b/>
          <w:color w:val="000000"/>
        </w:rPr>
        <w:t>五、违约责任</w:t>
      </w:r>
    </w:p>
    <w:p w14:paraId="077BFDB7">
      <w:pPr>
        <w:wordWrap/>
        <w:topLinePunct w:val="0"/>
        <w:spacing w:line="360" w:lineRule="auto"/>
        <w:ind w:firstLine="480"/>
        <w:rPr>
          <w:rFonts w:hint="eastAsia" w:ascii="宋体" w:hAnsi="宋体" w:cs="宋体"/>
          <w:color w:val="000000"/>
        </w:rPr>
      </w:pPr>
      <w:r>
        <w:rPr>
          <w:rFonts w:hint="eastAsia" w:ascii="宋体" w:hAnsi="宋体" w:cs="宋体"/>
          <w:color w:val="000000"/>
        </w:rPr>
        <w:t>1、甲方及其工作人员违反本合同第一、二、三条，按管理权限，依据有关规定给予党纪、政纪或组织处理；涉嫌犯罪的，移交司法机关追究刑事责任；给乙方单位造成经济损失的，应予以赔偿。</w:t>
      </w:r>
    </w:p>
    <w:p w14:paraId="3AC108CF">
      <w:pPr>
        <w:wordWrap/>
        <w:topLinePunct w:val="0"/>
        <w:spacing w:line="360" w:lineRule="auto"/>
        <w:ind w:firstLine="480"/>
        <w:rPr>
          <w:rFonts w:hint="eastAsia" w:ascii="宋体" w:hAnsi="宋体" w:cs="宋体"/>
          <w:color w:val="000000"/>
        </w:rPr>
      </w:pPr>
      <w:r>
        <w:rPr>
          <w:rFonts w:hint="eastAsia" w:ascii="宋体" w:hAnsi="宋体" w:cs="宋体"/>
          <w:color w:val="000000"/>
        </w:rPr>
        <w:t>2、乙方及其工作人员违反本合同第一、二、四条，按管理权限，依据有关规定，给予党纪、政纪或组织处理；给甲方单位造成经济损失的，应予以赔偿；情节严重的，甲方建议交通工程建设主管部门给予乙方二至五年内不得进入其主管的交通工程市场的处罚。</w:t>
      </w:r>
    </w:p>
    <w:p w14:paraId="1A7BB0F0">
      <w:pPr>
        <w:wordWrap/>
        <w:topLinePunct w:val="0"/>
        <w:spacing w:line="360" w:lineRule="auto"/>
        <w:ind w:firstLine="482"/>
        <w:rPr>
          <w:rFonts w:hint="eastAsia" w:ascii="宋体" w:hAnsi="宋体" w:cs="宋体"/>
          <w:b/>
          <w:color w:val="000000"/>
        </w:rPr>
      </w:pPr>
      <w:r>
        <w:rPr>
          <w:rFonts w:hint="eastAsia" w:ascii="宋体" w:hAnsi="宋体" w:cs="宋体"/>
          <w:b/>
          <w:color w:val="000000"/>
        </w:rPr>
        <w:t>六、双方约定</w:t>
      </w:r>
    </w:p>
    <w:p w14:paraId="163FA275">
      <w:pPr>
        <w:wordWrap/>
        <w:topLinePunct w:val="0"/>
        <w:spacing w:line="360" w:lineRule="auto"/>
        <w:ind w:firstLine="480"/>
        <w:rPr>
          <w:rFonts w:hint="eastAsia" w:ascii="宋体" w:hAnsi="宋体" w:cs="宋体"/>
          <w:color w:val="000000"/>
        </w:rPr>
      </w:pPr>
      <w:r>
        <w:rPr>
          <w:rFonts w:hint="eastAsia" w:ascii="宋体" w:hAnsi="宋体" w:cs="宋体"/>
          <w:color w:val="000000"/>
        </w:rPr>
        <w:t>本合同由双方或双方上级单位的纪检监察部门负责监督执行。</w:t>
      </w:r>
    </w:p>
    <w:p w14:paraId="22482FFB">
      <w:pPr>
        <w:wordWrap/>
        <w:topLinePunct w:val="0"/>
        <w:spacing w:line="360" w:lineRule="auto"/>
        <w:ind w:firstLine="482"/>
        <w:rPr>
          <w:rFonts w:hint="eastAsia" w:ascii="宋体" w:hAnsi="宋体" w:cs="宋体"/>
          <w:color w:val="000000"/>
        </w:rPr>
      </w:pPr>
      <w:r>
        <w:rPr>
          <w:rFonts w:hint="eastAsia" w:ascii="宋体" w:hAnsi="宋体" w:cs="宋体"/>
          <w:b/>
          <w:color w:val="000000"/>
        </w:rPr>
        <w:t>七、</w:t>
      </w:r>
      <w:r>
        <w:rPr>
          <w:rFonts w:hint="eastAsia" w:ascii="宋体" w:hAnsi="宋体" w:cs="宋体"/>
          <w:color w:val="000000"/>
        </w:rPr>
        <w:t>本合同有效期为甲乙双方签署之日起至该合同终止后止。</w:t>
      </w:r>
    </w:p>
    <w:p w14:paraId="466582FB">
      <w:pPr>
        <w:wordWrap/>
        <w:topLinePunct w:val="0"/>
        <w:spacing w:line="360" w:lineRule="auto"/>
        <w:ind w:firstLine="482"/>
        <w:rPr>
          <w:rFonts w:hint="eastAsia" w:ascii="宋体" w:hAnsi="宋体" w:cs="宋体"/>
          <w:color w:val="000000"/>
        </w:rPr>
      </w:pPr>
      <w:r>
        <w:rPr>
          <w:rFonts w:hint="eastAsia" w:ascii="宋体" w:hAnsi="宋体" w:cs="宋体"/>
          <w:b/>
          <w:color w:val="000000"/>
        </w:rPr>
        <w:t>八、</w:t>
      </w:r>
      <w:r>
        <w:rPr>
          <w:rFonts w:hint="eastAsia" w:ascii="宋体" w:hAnsi="宋体" w:cs="宋体"/>
          <w:color w:val="000000"/>
        </w:rPr>
        <w:t>本合同作为</w:t>
      </w:r>
      <w:r>
        <w:rPr>
          <w:rFonts w:hint="eastAsia" w:ascii="宋体" w:hAnsi="宋体" w:cs="宋体"/>
          <w:b/>
          <w:color w:val="000000"/>
        </w:rPr>
        <w:t>《安全韧性提升工程交通组织咨询服务合同》</w:t>
      </w:r>
      <w:r>
        <w:rPr>
          <w:rFonts w:hint="eastAsia" w:ascii="宋体" w:hAnsi="宋体" w:cs="宋体"/>
          <w:color w:val="000000"/>
        </w:rPr>
        <w:t>的附件，具有同等的法律效力，经合同双方签署立即生效。</w:t>
      </w:r>
    </w:p>
    <w:p w14:paraId="3F5EA602">
      <w:pPr>
        <w:wordWrap/>
        <w:topLinePunct w:val="0"/>
        <w:spacing w:line="360" w:lineRule="auto"/>
        <w:ind w:firstLine="482"/>
        <w:textAlignment w:val="baseline"/>
        <w:rPr>
          <w:rFonts w:hint="eastAsia" w:ascii="宋体" w:hAnsi="宋体" w:cs="宋体"/>
          <w:color w:val="000000"/>
        </w:rPr>
      </w:pPr>
      <w:r>
        <w:rPr>
          <w:rFonts w:hint="eastAsia" w:ascii="宋体" w:hAnsi="宋体" w:cs="宋体"/>
          <w:b/>
          <w:color w:val="000000"/>
        </w:rPr>
        <w:t>九、</w:t>
      </w:r>
      <w:r>
        <w:rPr>
          <w:rFonts w:hint="eastAsia" w:ascii="宋体" w:hAnsi="宋体" w:cs="宋体"/>
          <w:color w:val="000000"/>
        </w:rPr>
        <w:t>本合同一式</w:t>
      </w:r>
      <w:r>
        <w:rPr>
          <w:rFonts w:hint="eastAsia" w:ascii="宋体" w:hAnsi="宋体" w:cs="宋体"/>
          <w:b/>
          <w:color w:val="000000"/>
          <w:u w:val="single"/>
        </w:rPr>
        <w:t>捌</w:t>
      </w:r>
      <w:r>
        <w:rPr>
          <w:rFonts w:hint="eastAsia" w:ascii="宋体" w:hAnsi="宋体" w:cs="宋体"/>
          <w:color w:val="000000"/>
        </w:rPr>
        <w:t>份，甲方执</w:t>
      </w:r>
      <w:r>
        <w:rPr>
          <w:rFonts w:hint="eastAsia" w:ascii="宋体" w:hAnsi="宋体" w:cs="宋体"/>
          <w:b/>
          <w:color w:val="000000"/>
          <w:u w:val="single"/>
        </w:rPr>
        <w:t>肆</w:t>
      </w:r>
      <w:r>
        <w:rPr>
          <w:rFonts w:hint="eastAsia" w:ascii="宋体" w:hAnsi="宋体" w:cs="宋体"/>
          <w:color w:val="000000"/>
        </w:rPr>
        <w:t>份，乙方执</w:t>
      </w:r>
      <w:r>
        <w:rPr>
          <w:rFonts w:hint="eastAsia" w:ascii="宋体" w:hAnsi="宋体" w:cs="宋体"/>
          <w:b/>
          <w:color w:val="000000"/>
          <w:u w:val="single"/>
        </w:rPr>
        <w:t>肆</w:t>
      </w:r>
      <w:r>
        <w:rPr>
          <w:rFonts w:hint="eastAsia" w:ascii="宋体" w:hAnsi="宋体" w:cs="宋体"/>
          <w:color w:val="000000"/>
        </w:rPr>
        <w:t>份；由双方法定代表人或其授权代表签署并加盖公章后生效，结清财务手续后自动终止。</w:t>
      </w:r>
    </w:p>
    <w:p w14:paraId="2D1377DD">
      <w:pPr>
        <w:wordWrap/>
        <w:topLinePunct w:val="0"/>
        <w:spacing w:line="360" w:lineRule="auto"/>
        <w:ind w:firstLine="480"/>
        <w:textAlignment w:val="baseline"/>
        <w:rPr>
          <w:rFonts w:hint="eastAsia" w:ascii="宋体" w:hAnsi="宋体" w:cs="宋体"/>
          <w:color w:val="000000"/>
        </w:rPr>
      </w:pPr>
    </w:p>
    <w:p w14:paraId="5EEA2AA8">
      <w:pPr>
        <w:wordWrap/>
        <w:topLinePunct w:val="0"/>
        <w:spacing w:line="360" w:lineRule="auto"/>
        <w:ind w:firstLine="480"/>
        <w:textAlignment w:val="baseline"/>
        <w:rPr>
          <w:rFonts w:hint="eastAsia" w:ascii="宋体" w:hAnsi="宋体" w:cs="宋体"/>
          <w:color w:val="000000"/>
        </w:rPr>
      </w:pPr>
      <w:r>
        <w:rPr>
          <w:rFonts w:hint="eastAsia" w:ascii="宋体" w:hAnsi="宋体" w:cs="宋体"/>
          <w:color w:val="000000"/>
        </w:rPr>
        <w:t>甲方：（盖章）</w:t>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乙方：（盖章）</w:t>
      </w:r>
    </w:p>
    <w:p w14:paraId="587352E9">
      <w:pPr>
        <w:wordWrap/>
        <w:topLinePunct w:val="0"/>
        <w:spacing w:line="360" w:lineRule="auto"/>
        <w:ind w:firstLine="482"/>
        <w:rPr>
          <w:rFonts w:hint="eastAsia" w:ascii="宋体" w:hAnsi="宋体" w:cs="宋体"/>
          <w:b/>
          <w:bCs/>
          <w:color w:val="000000"/>
        </w:rPr>
      </w:pPr>
      <w:r>
        <w:rPr>
          <w:rFonts w:hint="eastAsia" w:ascii="宋体" w:hAnsi="宋体" w:cs="宋体"/>
          <w:b/>
          <w:bCs/>
          <w:color w:val="000000"/>
        </w:rPr>
        <w:t xml:space="preserve">重庆公路养护工程（集团）有限公司          </w:t>
      </w:r>
    </w:p>
    <w:p w14:paraId="5B40935A">
      <w:pPr>
        <w:wordWrap/>
        <w:topLinePunct w:val="0"/>
        <w:spacing w:line="360" w:lineRule="auto"/>
        <w:ind w:firstLine="480"/>
        <w:rPr>
          <w:rFonts w:hint="eastAsia" w:ascii="宋体" w:hAnsi="宋体" w:cs="宋体"/>
          <w:color w:val="000000"/>
        </w:rPr>
      </w:pPr>
      <w:r>
        <w:rPr>
          <w:rFonts w:hint="eastAsia" w:ascii="宋体" w:hAnsi="宋体" w:cs="宋体"/>
          <w:color w:val="000000"/>
        </w:rPr>
        <w:t>法定代表人</w:t>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法定代表人</w:t>
      </w:r>
    </w:p>
    <w:p w14:paraId="5761D450">
      <w:pPr>
        <w:wordWrap/>
        <w:topLinePunct w:val="0"/>
        <w:spacing w:line="360" w:lineRule="auto"/>
        <w:ind w:firstLine="480"/>
        <w:textAlignment w:val="baseline"/>
        <w:rPr>
          <w:rFonts w:hint="eastAsia" w:ascii="宋体" w:hAnsi="宋体" w:cs="宋体"/>
          <w:color w:val="000000"/>
        </w:rPr>
      </w:pPr>
      <w:r>
        <w:rPr>
          <w:rFonts w:hint="eastAsia" w:ascii="宋体" w:hAnsi="宋体" w:cs="宋体"/>
          <w:color w:val="000000"/>
        </w:rPr>
        <w:t>或授权代表：</w:t>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或授权代表：</w:t>
      </w:r>
    </w:p>
    <w:p w14:paraId="5F1ADB20">
      <w:pPr>
        <w:wordWrap/>
        <w:topLinePunct w:val="0"/>
        <w:spacing w:line="360" w:lineRule="auto"/>
        <w:ind w:firstLine="480"/>
        <w:rPr>
          <w:rFonts w:hint="eastAsia" w:ascii="宋体" w:hAnsi="宋体" w:cs="宋体"/>
          <w:color w:val="000000"/>
        </w:rPr>
      </w:pPr>
    </w:p>
    <w:p w14:paraId="24554134">
      <w:pPr>
        <w:wordWrap/>
        <w:topLinePunct w:val="0"/>
        <w:spacing w:line="360" w:lineRule="auto"/>
        <w:ind w:firstLine="480"/>
        <w:rPr>
          <w:rFonts w:hint="eastAsia" w:ascii="宋体" w:hAnsi="宋体" w:cs="宋体"/>
          <w:color w:val="000000"/>
        </w:rPr>
      </w:pPr>
      <w:r>
        <w:rPr>
          <w:rFonts w:hint="eastAsia" w:ascii="宋体" w:hAnsi="宋体" w:cs="宋体"/>
          <w:color w:val="000000"/>
        </w:rPr>
        <w:t>部门负责人：</w:t>
      </w:r>
    </w:p>
    <w:p w14:paraId="75B334EA">
      <w:pPr>
        <w:widowControl/>
        <w:wordWrap/>
        <w:topLinePunct w:val="0"/>
        <w:spacing w:line="360" w:lineRule="auto"/>
        <w:ind w:left="262" w:leftChars="109" w:firstLine="240" w:firstLineChars="100"/>
        <w:jc w:val="left"/>
        <w:textAlignment w:val="baseline"/>
        <w:rPr>
          <w:rFonts w:hint="eastAsia" w:ascii="宋体" w:hAnsi="宋体" w:cs="宋体"/>
          <w:color w:val="000000"/>
        </w:rPr>
      </w:pPr>
      <w:r>
        <w:rPr>
          <w:rFonts w:hint="eastAsia" w:ascii="宋体" w:hAnsi="宋体" w:cs="宋体"/>
          <w:color w:val="000000"/>
        </w:rPr>
        <w:t>经办人：</w:t>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经办人：</w:t>
      </w:r>
    </w:p>
    <w:p w14:paraId="7701EAB8">
      <w:pPr>
        <w:widowControl/>
        <w:wordWrap/>
        <w:topLinePunct w:val="0"/>
        <w:spacing w:line="360" w:lineRule="auto"/>
        <w:ind w:firstLine="480"/>
        <w:jc w:val="left"/>
        <w:textAlignment w:val="baseline"/>
        <w:rPr>
          <w:color w:val="000000"/>
          <w:sz w:val="21"/>
          <w:szCs w:val="21"/>
        </w:rPr>
      </w:pPr>
      <w:r>
        <w:rPr>
          <w:rFonts w:hint="eastAsia" w:ascii="宋体" w:hAnsi="宋体" w:cs="宋体"/>
          <w:color w:val="000000"/>
        </w:rPr>
        <w:t>日期：2026年</w:t>
      </w:r>
      <w:r>
        <w:rPr>
          <w:rFonts w:hint="eastAsia" w:ascii="宋体" w:hAnsi="宋体" w:cs="宋体"/>
          <w:color w:val="000000"/>
          <w:u w:val="single"/>
        </w:rPr>
        <w:t xml:space="preserve">   </w:t>
      </w:r>
      <w:r>
        <w:rPr>
          <w:rFonts w:hint="eastAsia" w:ascii="宋体" w:hAnsi="宋体" w:cs="宋体"/>
          <w:color w:val="000000"/>
        </w:rPr>
        <w:t>月</w:t>
      </w:r>
      <w:r>
        <w:rPr>
          <w:rFonts w:hint="eastAsia" w:ascii="宋体" w:hAnsi="宋体" w:cs="宋体"/>
          <w:color w:val="000000"/>
          <w:u w:val="single"/>
        </w:rPr>
        <w:t xml:space="preserve">   </w:t>
      </w:r>
      <w:r>
        <w:rPr>
          <w:rFonts w:hint="eastAsia" w:ascii="宋体" w:hAnsi="宋体" w:cs="宋体"/>
          <w:color w:val="000000"/>
        </w:rPr>
        <w:t>日</w:t>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日期：2026年</w:t>
      </w:r>
      <w:r>
        <w:rPr>
          <w:rFonts w:hint="eastAsia" w:ascii="宋体" w:hAnsi="宋体" w:cs="宋体"/>
          <w:color w:val="000000"/>
          <w:u w:val="single"/>
        </w:rPr>
        <w:t xml:space="preserve">   </w:t>
      </w:r>
      <w:r>
        <w:rPr>
          <w:rFonts w:hint="eastAsia" w:ascii="宋体" w:hAnsi="宋体" w:cs="宋体"/>
          <w:color w:val="000000"/>
        </w:rPr>
        <w:t>月</w:t>
      </w:r>
      <w:r>
        <w:rPr>
          <w:rFonts w:hint="eastAsia" w:ascii="宋体" w:hAnsi="宋体" w:cs="宋体"/>
          <w:color w:val="000000"/>
          <w:u w:val="single"/>
        </w:rPr>
        <w:t xml:space="preserve">   </w:t>
      </w:r>
      <w:r>
        <w:rPr>
          <w:rFonts w:hint="eastAsia" w:ascii="宋体" w:hAnsi="宋体" w:cs="宋体"/>
          <w:color w:val="000000"/>
        </w:rPr>
        <w:t>日</w:t>
      </w:r>
    </w:p>
    <w:p w14:paraId="1F967C79">
      <w:pPr>
        <w:spacing w:line="360" w:lineRule="exact"/>
        <w:ind w:firstLine="482"/>
        <w:jc w:val="center"/>
        <w:rPr>
          <w:rFonts w:hint="eastAsia" w:ascii="宋体" w:hAnsi="宋体" w:cs="宋体"/>
          <w:b/>
          <w:color w:val="000000"/>
          <w:szCs w:val="21"/>
        </w:rPr>
        <w:sectPr>
          <w:pgSz w:w="11906" w:h="16838"/>
          <w:pgMar w:top="1134" w:right="1134" w:bottom="1134" w:left="1134" w:header="794" w:footer="794" w:gutter="0"/>
          <w:pgBorders>
            <w:top w:val="none" w:sz="0" w:space="0"/>
            <w:left w:val="none" w:sz="0" w:space="0"/>
            <w:bottom w:val="none" w:sz="0" w:space="0"/>
            <w:right w:val="none" w:sz="0" w:space="0"/>
          </w:pgBorders>
          <w:cols w:space="720" w:num="1"/>
          <w:docGrid w:type="lines" w:linePitch="312" w:charSpace="0"/>
        </w:sectPr>
      </w:pPr>
    </w:p>
    <w:p w14:paraId="6B31E986">
      <w:pPr>
        <w:pStyle w:val="18"/>
        <w:jc w:val="center"/>
        <w:rPr>
          <w:rFonts w:hint="eastAsia" w:ascii="宋体" w:hAnsi="宋体" w:eastAsia="宋体" w:cs="宋体"/>
          <w:b/>
          <w:bCs/>
          <w:sz w:val="48"/>
          <w:szCs w:val="48"/>
        </w:rPr>
      </w:pPr>
    </w:p>
    <w:p w14:paraId="74D8A307">
      <w:pPr>
        <w:pStyle w:val="18"/>
        <w:jc w:val="center"/>
        <w:rPr>
          <w:rFonts w:hint="eastAsia" w:ascii="宋体" w:hAnsi="宋体" w:eastAsia="宋体" w:cs="宋体"/>
          <w:b/>
          <w:bCs/>
          <w:sz w:val="48"/>
          <w:szCs w:val="48"/>
        </w:rPr>
      </w:pPr>
      <w:r>
        <w:rPr>
          <w:rFonts w:hint="eastAsia" w:ascii="宋体" w:hAnsi="宋体" w:eastAsia="宋体" w:cs="宋体"/>
          <w:b/>
          <w:bCs/>
          <w:sz w:val="48"/>
          <w:szCs w:val="48"/>
        </w:rPr>
        <w:t>投标文件格式</w:t>
      </w:r>
    </w:p>
    <w:p w14:paraId="35F32C5E">
      <w:pPr>
        <w:pStyle w:val="18"/>
        <w:jc w:val="center"/>
        <w:rPr>
          <w:rFonts w:hint="eastAsia" w:ascii="宋体" w:hAnsi="宋体" w:eastAsia="宋体" w:cs="宋体"/>
          <w:b/>
          <w:bCs/>
        </w:rPr>
      </w:pPr>
    </w:p>
    <w:p w14:paraId="4CF9F07C">
      <w:pPr>
        <w:pStyle w:val="18"/>
        <w:jc w:val="center"/>
        <w:rPr>
          <w:rFonts w:hint="eastAsia" w:ascii="宋体" w:hAnsi="宋体" w:eastAsia="宋体" w:cs="宋体"/>
          <w:b/>
          <w:bCs/>
        </w:rPr>
      </w:pPr>
      <w:r>
        <w:rPr>
          <w:rFonts w:hint="eastAsia" w:ascii="宋体" w:hAnsi="宋体" w:eastAsia="宋体" w:cs="宋体"/>
          <w:b/>
          <w:bCs/>
        </w:rPr>
        <w:t>（以下内容为示例）</w:t>
      </w:r>
    </w:p>
    <w:p w14:paraId="2B8B92D3">
      <w:pPr>
        <w:pStyle w:val="18"/>
        <w:jc w:val="center"/>
        <w:rPr>
          <w:rFonts w:hint="eastAsia" w:ascii="宋体" w:hAnsi="宋体" w:eastAsia="宋体" w:cs="宋体"/>
          <w:b/>
          <w:bCs/>
        </w:rPr>
        <w:sectPr>
          <w:headerReference r:id="rId10" w:type="default"/>
          <w:pgSz w:w="11906" w:h="16838"/>
          <w:pgMar w:top="1134" w:right="1134" w:bottom="1134" w:left="1134" w:header="794" w:footer="794" w:gutter="0"/>
          <w:pgBorders>
            <w:top w:val="none" w:sz="0" w:space="0"/>
            <w:left w:val="none" w:sz="0" w:space="0"/>
            <w:bottom w:val="none" w:sz="0" w:space="0"/>
            <w:right w:val="none" w:sz="0" w:space="0"/>
          </w:pgBorders>
          <w:cols w:space="720" w:num="1"/>
          <w:docGrid w:type="lines" w:linePitch="312" w:charSpace="0"/>
        </w:sectPr>
      </w:pPr>
    </w:p>
    <w:p w14:paraId="248C70F6">
      <w:pPr>
        <w:pStyle w:val="18"/>
        <w:jc w:val="center"/>
        <w:rPr>
          <w:rFonts w:hint="eastAsia" w:ascii="宋体" w:hAnsi="宋体" w:eastAsia="宋体" w:cs="宋体"/>
          <w:b/>
          <w:bCs/>
        </w:rPr>
      </w:pPr>
    </w:p>
    <w:p w14:paraId="3AD64BB5">
      <w:pPr>
        <w:pStyle w:val="18"/>
        <w:jc w:val="center"/>
        <w:rPr>
          <w:rFonts w:hint="eastAsia" w:ascii="宋体" w:hAnsi="宋体" w:eastAsia="宋体" w:cs="宋体"/>
          <w:b/>
          <w:bCs/>
        </w:rPr>
      </w:pPr>
    </w:p>
    <w:p w14:paraId="4A233D63">
      <w:pPr>
        <w:pStyle w:val="18"/>
        <w:jc w:val="center"/>
        <w:rPr>
          <w:rFonts w:hint="eastAsia" w:ascii="宋体" w:hAnsi="宋体" w:eastAsia="宋体" w:cs="宋体"/>
          <w:b/>
          <w:bCs/>
        </w:rPr>
      </w:pPr>
    </w:p>
    <w:p w14:paraId="44F6E89D">
      <w:pPr>
        <w:pStyle w:val="18"/>
        <w:jc w:val="center"/>
        <w:rPr>
          <w:rFonts w:hint="eastAsia" w:ascii="宋体" w:hAnsi="宋体" w:eastAsia="宋体" w:cs="宋体"/>
          <w:b/>
          <w:bCs/>
          <w:sz w:val="36"/>
          <w:szCs w:val="36"/>
          <w:u w:val="single"/>
        </w:rPr>
      </w:pPr>
      <w:r>
        <w:rPr>
          <w:rFonts w:hint="eastAsia" w:ascii="宋体" w:hAnsi="宋体" w:eastAsia="宋体" w:cs="宋体"/>
          <w:b/>
          <w:bCs/>
          <w:sz w:val="36"/>
          <w:szCs w:val="36"/>
          <w:u w:val="single"/>
        </w:rPr>
        <w:t>重庆公路养护工程（集团）有限公司安全韧性提升工程</w:t>
      </w:r>
    </w:p>
    <w:p w14:paraId="4F46AD38">
      <w:pPr>
        <w:pStyle w:val="18"/>
        <w:jc w:val="center"/>
        <w:rPr>
          <w:rFonts w:hint="eastAsia" w:ascii="宋体" w:hAnsi="宋体" w:eastAsia="宋体" w:cs="宋体"/>
          <w:b/>
          <w:bCs/>
          <w:sz w:val="36"/>
          <w:szCs w:val="36"/>
          <w:u w:val="single"/>
        </w:rPr>
      </w:pPr>
      <w:r>
        <w:rPr>
          <w:rFonts w:hint="eastAsia" w:ascii="宋体" w:hAnsi="宋体" w:eastAsia="宋体" w:cs="宋体"/>
          <w:b/>
          <w:bCs/>
          <w:sz w:val="36"/>
          <w:szCs w:val="36"/>
          <w:u w:val="single"/>
        </w:rPr>
        <w:t>交通组织咨询服务投标文件</w:t>
      </w:r>
    </w:p>
    <w:p w14:paraId="6570238B">
      <w:pPr>
        <w:pStyle w:val="18"/>
        <w:jc w:val="center"/>
        <w:rPr>
          <w:rFonts w:hint="eastAsia" w:ascii="宋体" w:hAnsi="宋体" w:eastAsia="宋体" w:cs="宋体"/>
          <w:b/>
          <w:bCs/>
          <w:sz w:val="36"/>
          <w:szCs w:val="36"/>
          <w:u w:val="single"/>
        </w:rPr>
      </w:pPr>
    </w:p>
    <w:p w14:paraId="1A108269">
      <w:pPr>
        <w:pStyle w:val="18"/>
        <w:jc w:val="center"/>
        <w:rPr>
          <w:rFonts w:hint="eastAsia" w:ascii="宋体" w:hAnsi="宋体" w:eastAsia="宋体" w:cs="宋体"/>
          <w:b/>
          <w:bCs/>
          <w:sz w:val="36"/>
          <w:szCs w:val="36"/>
          <w:u w:val="single"/>
        </w:rPr>
      </w:pPr>
    </w:p>
    <w:p w14:paraId="0667B3BD">
      <w:pPr>
        <w:pStyle w:val="18"/>
        <w:jc w:val="center"/>
        <w:rPr>
          <w:rFonts w:hint="eastAsia" w:ascii="宋体" w:hAnsi="宋体" w:eastAsia="宋体" w:cs="宋体"/>
          <w:b/>
          <w:bCs/>
          <w:sz w:val="36"/>
          <w:szCs w:val="36"/>
          <w:u w:val="single"/>
        </w:rPr>
      </w:pPr>
    </w:p>
    <w:p w14:paraId="536718F9">
      <w:pPr>
        <w:pStyle w:val="18"/>
        <w:jc w:val="center"/>
        <w:rPr>
          <w:rFonts w:hint="eastAsia" w:ascii="宋体" w:hAnsi="宋体" w:eastAsia="宋体" w:cs="宋体"/>
          <w:b/>
          <w:bCs/>
          <w:sz w:val="36"/>
          <w:szCs w:val="36"/>
          <w:u w:val="single"/>
        </w:rPr>
      </w:pPr>
    </w:p>
    <w:p w14:paraId="3535F4F4">
      <w:pPr>
        <w:pStyle w:val="18"/>
        <w:jc w:val="center"/>
        <w:rPr>
          <w:rFonts w:hint="eastAsia" w:ascii="宋体" w:hAnsi="宋体" w:eastAsia="宋体" w:cs="宋体"/>
          <w:b/>
          <w:bCs/>
          <w:sz w:val="36"/>
          <w:szCs w:val="36"/>
          <w:u w:val="single"/>
        </w:rPr>
      </w:pPr>
    </w:p>
    <w:p w14:paraId="72030F14">
      <w:pPr>
        <w:pStyle w:val="18"/>
        <w:jc w:val="center"/>
        <w:rPr>
          <w:rFonts w:hint="eastAsia" w:ascii="宋体" w:hAnsi="宋体" w:eastAsia="宋体" w:cs="宋体"/>
          <w:b/>
          <w:bCs/>
          <w:sz w:val="36"/>
          <w:szCs w:val="36"/>
          <w:u w:val="single"/>
        </w:rPr>
      </w:pPr>
    </w:p>
    <w:p w14:paraId="7A665551">
      <w:pPr>
        <w:pStyle w:val="18"/>
        <w:jc w:val="center"/>
        <w:rPr>
          <w:rFonts w:hint="eastAsia" w:ascii="宋体" w:hAnsi="宋体" w:eastAsia="宋体" w:cs="宋体"/>
          <w:b/>
          <w:bCs/>
          <w:sz w:val="36"/>
          <w:szCs w:val="36"/>
          <w:u w:val="single"/>
        </w:rPr>
      </w:pPr>
    </w:p>
    <w:p w14:paraId="42E409B9">
      <w:pPr>
        <w:pStyle w:val="18"/>
        <w:jc w:val="center"/>
        <w:rPr>
          <w:rFonts w:hint="eastAsia" w:ascii="宋体" w:hAnsi="宋体" w:eastAsia="宋体" w:cs="宋体"/>
          <w:b/>
          <w:bCs/>
          <w:sz w:val="36"/>
          <w:szCs w:val="36"/>
          <w:u w:val="single"/>
        </w:rPr>
      </w:pPr>
    </w:p>
    <w:p w14:paraId="4155DD71">
      <w:pPr>
        <w:pStyle w:val="18"/>
        <w:jc w:val="center"/>
        <w:rPr>
          <w:rFonts w:hint="eastAsia" w:ascii="宋体" w:hAnsi="宋体" w:eastAsia="宋体" w:cs="宋体"/>
          <w:b/>
          <w:bCs/>
          <w:sz w:val="36"/>
          <w:szCs w:val="36"/>
          <w:u w:val="single"/>
        </w:rPr>
      </w:pPr>
    </w:p>
    <w:p w14:paraId="161D0CB9">
      <w:pPr>
        <w:pStyle w:val="18"/>
        <w:jc w:val="center"/>
        <w:rPr>
          <w:rFonts w:hint="eastAsia" w:ascii="宋体" w:hAnsi="宋体" w:eastAsia="宋体" w:cs="宋体"/>
          <w:b/>
          <w:bCs/>
          <w:sz w:val="36"/>
          <w:szCs w:val="36"/>
          <w:u w:val="single"/>
        </w:rPr>
      </w:pPr>
    </w:p>
    <w:p w14:paraId="737DD26C">
      <w:pPr>
        <w:pStyle w:val="18"/>
        <w:jc w:val="center"/>
        <w:rPr>
          <w:rFonts w:hint="eastAsia" w:ascii="宋体" w:hAnsi="宋体" w:eastAsia="宋体" w:cs="宋体"/>
          <w:b/>
          <w:bCs/>
          <w:sz w:val="36"/>
          <w:szCs w:val="36"/>
          <w:u w:val="single"/>
        </w:rPr>
      </w:pPr>
    </w:p>
    <w:p w14:paraId="3CFE626F">
      <w:pPr>
        <w:pStyle w:val="18"/>
        <w:jc w:val="center"/>
        <w:rPr>
          <w:rFonts w:hint="eastAsia" w:ascii="宋体" w:hAnsi="宋体" w:eastAsia="宋体" w:cs="宋体"/>
          <w:b/>
          <w:bCs/>
          <w:sz w:val="36"/>
          <w:szCs w:val="36"/>
          <w:u w:val="single"/>
        </w:rPr>
      </w:pPr>
    </w:p>
    <w:p w14:paraId="06131711">
      <w:pPr>
        <w:pStyle w:val="18"/>
        <w:jc w:val="center"/>
        <w:rPr>
          <w:rFonts w:hint="eastAsia" w:ascii="宋体" w:hAnsi="宋体" w:eastAsia="宋体" w:cs="宋体"/>
          <w:b/>
          <w:bCs/>
          <w:sz w:val="36"/>
          <w:szCs w:val="36"/>
          <w:u w:val="single"/>
        </w:rPr>
      </w:pPr>
    </w:p>
    <w:p w14:paraId="25689961">
      <w:pPr>
        <w:pStyle w:val="18"/>
        <w:jc w:val="center"/>
        <w:rPr>
          <w:rFonts w:hint="eastAsia" w:ascii="宋体" w:hAnsi="宋体" w:eastAsia="宋体" w:cs="宋体"/>
          <w:b/>
          <w:bCs/>
          <w:sz w:val="36"/>
          <w:szCs w:val="36"/>
          <w:u w:val="single"/>
        </w:rPr>
      </w:pPr>
    </w:p>
    <w:p w14:paraId="38D0EC8A">
      <w:pPr>
        <w:pStyle w:val="18"/>
        <w:jc w:val="center"/>
        <w:rPr>
          <w:rFonts w:hint="eastAsia" w:ascii="宋体" w:hAnsi="宋体" w:eastAsia="宋体" w:cs="宋体"/>
          <w:b/>
          <w:bCs/>
          <w:sz w:val="36"/>
          <w:szCs w:val="36"/>
          <w:u w:val="single"/>
        </w:rPr>
      </w:pPr>
    </w:p>
    <w:p w14:paraId="420F3CDB">
      <w:pPr>
        <w:pStyle w:val="18"/>
        <w:jc w:val="center"/>
        <w:rPr>
          <w:rFonts w:hint="eastAsia" w:ascii="宋体" w:hAnsi="宋体" w:eastAsia="宋体" w:cs="宋体"/>
          <w:b/>
          <w:bCs/>
          <w:sz w:val="32"/>
          <w:szCs w:val="32"/>
          <w:u w:val="single"/>
        </w:rPr>
      </w:pPr>
      <w:r>
        <w:rPr>
          <w:rFonts w:hint="eastAsia" w:ascii="宋体" w:hAnsi="宋体" w:eastAsia="宋体" w:cs="宋体"/>
          <w:b/>
          <w:bCs/>
          <w:sz w:val="32"/>
          <w:szCs w:val="32"/>
          <w:u w:val="single"/>
        </w:rPr>
        <w:t xml:space="preserve">                         （盖单位公章）</w:t>
      </w:r>
    </w:p>
    <w:p w14:paraId="5D9E656A">
      <w:pPr>
        <w:pStyle w:val="18"/>
        <w:jc w:val="center"/>
        <w:rPr>
          <w:rFonts w:hint="eastAsia" w:ascii="宋体" w:hAnsi="宋体" w:eastAsia="宋体" w:cs="宋体"/>
          <w:b/>
          <w:bCs/>
          <w:sz w:val="32"/>
          <w:szCs w:val="32"/>
          <w:u w:val="single"/>
        </w:rPr>
        <w:sectPr>
          <w:footerReference r:id="rId11" w:type="default"/>
          <w:pgSz w:w="11906" w:h="16838"/>
          <w:pgMar w:top="1134" w:right="1134" w:bottom="1134" w:left="1134" w:header="794" w:footer="794" w:gutter="0"/>
          <w:pgBorders>
            <w:top w:val="none" w:sz="0" w:space="0"/>
            <w:left w:val="none" w:sz="0" w:space="0"/>
            <w:bottom w:val="none" w:sz="0" w:space="0"/>
            <w:right w:val="none" w:sz="0" w:space="0"/>
          </w:pgBorders>
          <w:cols w:space="720" w:num="1"/>
          <w:docGrid w:type="lines" w:linePitch="312" w:charSpace="0"/>
        </w:sectPr>
      </w:pPr>
    </w:p>
    <w:p w14:paraId="20A574C4">
      <w:pPr>
        <w:pStyle w:val="18"/>
        <w:jc w:val="center"/>
        <w:rPr>
          <w:rFonts w:hint="eastAsia" w:ascii="宋体" w:hAnsi="宋体" w:eastAsia="宋体" w:cs="宋体"/>
          <w:b/>
          <w:bCs/>
          <w:sz w:val="28"/>
          <w:szCs w:val="28"/>
        </w:rPr>
      </w:pPr>
      <w:r>
        <w:rPr>
          <w:rFonts w:hint="eastAsia" w:ascii="宋体" w:hAnsi="宋体" w:eastAsia="宋体" w:cs="宋体"/>
          <w:b/>
          <w:bCs/>
          <w:sz w:val="28"/>
          <w:szCs w:val="28"/>
        </w:rPr>
        <w:t>目  录</w:t>
      </w:r>
    </w:p>
    <w:p w14:paraId="067D5434">
      <w:pPr>
        <w:pStyle w:val="18"/>
        <w:spacing w:line="360" w:lineRule="auto"/>
        <w:rPr>
          <w:rFonts w:hint="eastAsia" w:ascii="宋体" w:hAnsi="宋体" w:eastAsia="宋体" w:cs="宋体"/>
          <w:b/>
          <w:bCs/>
        </w:rPr>
      </w:pPr>
      <w:r>
        <w:rPr>
          <w:rFonts w:ascii="宋体" w:hAnsi="宋体" w:eastAsia="宋体" w:cs="宋体"/>
          <w:b/>
          <w:bCs/>
        </w:rPr>
        <w:t>一、报价书。</w:t>
      </w:r>
    </w:p>
    <w:p w14:paraId="11140FEE">
      <w:pPr>
        <w:pStyle w:val="18"/>
        <w:spacing w:line="360" w:lineRule="auto"/>
        <w:rPr>
          <w:rFonts w:hint="eastAsia" w:ascii="宋体" w:hAnsi="宋体" w:eastAsia="宋体" w:cs="宋体"/>
          <w:b/>
          <w:bCs/>
        </w:rPr>
      </w:pPr>
      <w:r>
        <w:rPr>
          <w:rFonts w:ascii="宋体" w:hAnsi="宋体" w:eastAsia="宋体" w:cs="宋体"/>
          <w:b/>
          <w:bCs/>
        </w:rPr>
        <w:t>二、法定代表人身份证明及授权委托书。</w:t>
      </w:r>
    </w:p>
    <w:p w14:paraId="49B3EA69">
      <w:pPr>
        <w:pStyle w:val="18"/>
        <w:spacing w:line="360" w:lineRule="auto"/>
        <w:rPr>
          <w:rFonts w:hint="eastAsia" w:ascii="宋体" w:hAnsi="宋体" w:eastAsia="宋体" w:cs="宋体"/>
          <w:b/>
          <w:bCs/>
        </w:rPr>
      </w:pPr>
      <w:r>
        <w:rPr>
          <w:rFonts w:ascii="宋体" w:hAnsi="宋体" w:eastAsia="宋体" w:cs="宋体"/>
          <w:b/>
          <w:bCs/>
        </w:rPr>
        <w:t>三、</w:t>
      </w:r>
      <w:r>
        <w:rPr>
          <w:rFonts w:hint="eastAsia" w:ascii="宋体" w:hAnsi="宋体" w:eastAsia="宋体" w:cs="宋体"/>
          <w:b/>
          <w:bCs/>
        </w:rPr>
        <w:t>投标</w:t>
      </w:r>
      <w:r>
        <w:rPr>
          <w:rFonts w:ascii="宋体" w:hAnsi="宋体" w:eastAsia="宋体" w:cs="宋体"/>
          <w:b/>
          <w:bCs/>
        </w:rPr>
        <w:t>资格审查资料（营业执照</w:t>
      </w:r>
      <w:r>
        <w:rPr>
          <w:rFonts w:hint="eastAsia" w:ascii="宋体" w:hAnsi="宋体" w:eastAsia="宋体" w:cs="宋体"/>
          <w:b/>
          <w:bCs/>
        </w:rPr>
        <w:t>、资质证书、业绩证明、信誉证明</w:t>
      </w:r>
      <w:r>
        <w:rPr>
          <w:rFonts w:ascii="宋体" w:hAnsi="宋体" w:eastAsia="宋体" w:cs="宋体"/>
          <w:b/>
          <w:bCs/>
        </w:rPr>
        <w:t>）</w:t>
      </w:r>
      <w:r>
        <w:rPr>
          <w:rFonts w:hint="eastAsia" w:ascii="宋体" w:hAnsi="宋体" w:eastAsia="宋体" w:cs="宋体"/>
          <w:b/>
          <w:bCs/>
        </w:rPr>
        <w:t>。</w:t>
      </w:r>
    </w:p>
    <w:p w14:paraId="1634ACE4">
      <w:pPr>
        <w:pStyle w:val="18"/>
        <w:spacing w:line="360" w:lineRule="auto"/>
        <w:rPr>
          <w:rFonts w:hint="eastAsia" w:ascii="宋体" w:hAnsi="宋体" w:eastAsia="宋体" w:cs="宋体"/>
          <w:b/>
          <w:bCs/>
        </w:rPr>
      </w:pPr>
      <w:r>
        <w:rPr>
          <w:rFonts w:hint="eastAsia" w:ascii="宋体" w:hAnsi="宋体" w:eastAsia="宋体" w:cs="宋体"/>
          <w:b/>
          <w:bCs/>
        </w:rPr>
        <w:t>四</w:t>
      </w:r>
      <w:r>
        <w:rPr>
          <w:rFonts w:ascii="宋体" w:hAnsi="宋体" w:eastAsia="宋体" w:cs="宋体"/>
          <w:b/>
          <w:bCs/>
        </w:rPr>
        <w:t>、已标价报价清单。</w:t>
      </w:r>
    </w:p>
    <w:p w14:paraId="1A7D1684">
      <w:pPr>
        <w:pStyle w:val="18"/>
        <w:spacing w:line="360" w:lineRule="auto"/>
        <w:rPr>
          <w:rFonts w:hint="eastAsia" w:ascii="宋体" w:hAnsi="宋体" w:eastAsia="宋体" w:cs="宋体"/>
          <w:b/>
          <w:bCs/>
        </w:rPr>
      </w:pPr>
      <w:r>
        <w:rPr>
          <w:rFonts w:hint="eastAsia" w:ascii="宋体" w:hAnsi="宋体" w:eastAsia="宋体" w:cs="宋体"/>
          <w:b/>
          <w:bCs/>
        </w:rPr>
        <w:t>五、验收承诺函。</w:t>
      </w:r>
    </w:p>
    <w:p w14:paraId="50B5E5A0">
      <w:pPr>
        <w:pStyle w:val="18"/>
        <w:spacing w:line="360" w:lineRule="auto"/>
        <w:rPr>
          <w:rFonts w:hint="default" w:ascii="宋体" w:hAnsi="宋体" w:eastAsia="宋体" w:cs="宋体"/>
          <w:b/>
          <w:bCs/>
          <w:lang w:val="en-US" w:eastAsia="zh-CN"/>
        </w:rPr>
      </w:pPr>
      <w:r>
        <w:rPr>
          <w:rFonts w:hint="eastAsia" w:ascii="宋体" w:hAnsi="宋体" w:eastAsia="宋体" w:cs="宋体"/>
          <w:b/>
          <w:bCs/>
          <w:lang w:val="en-US" w:eastAsia="zh-CN"/>
        </w:rPr>
        <w:t>六、商务文件。</w:t>
      </w:r>
    </w:p>
    <w:p w14:paraId="453FBCE7">
      <w:pPr>
        <w:pStyle w:val="18"/>
        <w:spacing w:line="360" w:lineRule="auto"/>
        <w:rPr>
          <w:rFonts w:hint="default" w:ascii="宋体" w:hAnsi="宋体" w:eastAsia="宋体" w:cs="宋体"/>
          <w:b/>
          <w:bCs/>
          <w:lang w:val="en-US" w:eastAsia="zh-CN"/>
        </w:rPr>
        <w:sectPr>
          <w:pgSz w:w="11906" w:h="16838"/>
          <w:pgMar w:top="1134" w:right="1134" w:bottom="1134" w:left="1134" w:header="794" w:footer="794"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bCs/>
          <w:lang w:val="en-US" w:eastAsia="zh-CN"/>
        </w:rPr>
        <w:t>七、技术文件。</w:t>
      </w:r>
    </w:p>
    <w:p w14:paraId="1916553B">
      <w:pPr>
        <w:pStyle w:val="18"/>
        <w:spacing w:line="360" w:lineRule="auto"/>
        <w:jc w:val="center"/>
        <w:rPr>
          <w:rFonts w:hint="eastAsia" w:ascii="宋体" w:hAnsi="宋体" w:eastAsia="宋体" w:cs="宋体"/>
          <w:b/>
          <w:bCs/>
        </w:rPr>
      </w:pPr>
    </w:p>
    <w:p w14:paraId="08D07C19">
      <w:pPr>
        <w:pStyle w:val="18"/>
        <w:spacing w:line="360" w:lineRule="auto"/>
        <w:jc w:val="center"/>
        <w:rPr>
          <w:rFonts w:hint="eastAsia" w:ascii="宋体" w:hAnsi="宋体" w:eastAsia="宋体" w:cs="宋体"/>
          <w:b/>
          <w:bCs/>
        </w:rPr>
      </w:pPr>
      <w:r>
        <w:rPr>
          <w:rFonts w:hint="eastAsia" w:ascii="宋体" w:hAnsi="宋体" w:eastAsia="宋体" w:cs="宋体"/>
          <w:b/>
          <w:bCs/>
        </w:rPr>
        <w:t>一、报价书</w:t>
      </w:r>
    </w:p>
    <w:p w14:paraId="41357F62">
      <w:pPr>
        <w:ind w:firstLine="0" w:firstLineChars="0"/>
        <w:rPr>
          <w:b/>
          <w:bCs/>
          <w:u w:val="single"/>
        </w:rPr>
      </w:pPr>
      <w:r>
        <w:rPr>
          <w:rFonts w:hint="eastAsia"/>
          <w:b/>
          <w:bCs/>
        </w:rPr>
        <w:t>致：</w:t>
      </w:r>
      <w:r>
        <w:rPr>
          <w:rFonts w:hint="eastAsia"/>
          <w:b/>
          <w:bCs/>
          <w:u w:val="single"/>
        </w:rPr>
        <w:t>重庆公路养护工程（集团）有限公司</w:t>
      </w:r>
    </w:p>
    <w:p w14:paraId="3C64A433">
      <w:pPr>
        <w:spacing w:line="440" w:lineRule="exact"/>
        <w:ind w:firstLine="480"/>
        <w:jc w:val="left"/>
      </w:pPr>
      <w:r>
        <w:rPr>
          <w:rFonts w:hint="eastAsia"/>
        </w:rPr>
        <w:t>1.</w:t>
      </w:r>
      <w:r>
        <w:t>我方已仔细研究了</w:t>
      </w:r>
      <w:r>
        <w:rPr>
          <w:rFonts w:hint="eastAsia"/>
          <w:b/>
          <w:bCs/>
          <w:u w:val="single"/>
        </w:rPr>
        <w:t>安全韧性提升工程交通组织咨询服务比选文件</w:t>
      </w:r>
      <w:r>
        <w:t>的全部内容，</w:t>
      </w:r>
      <w:r>
        <w:rPr>
          <w:rFonts w:hint="eastAsia"/>
        </w:rPr>
        <w:t>根据相关取费标准，</w:t>
      </w:r>
      <w:r>
        <w:rPr>
          <w:rFonts w:hint="eastAsia" w:ascii="宋体" w:hAnsi="宋体" w:cs="宋体"/>
        </w:rPr>
        <w:t>愿意在工程量清单总价限价基础上以人民币（大写）</w:t>
      </w:r>
      <w:r>
        <w:rPr>
          <w:rFonts w:hint="eastAsia"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rPr>
        <w:t>）进行竞标</w:t>
      </w:r>
      <w:r>
        <w:rPr>
          <w:rFonts w:hint="eastAsia" w:ascii="宋体" w:hAnsi="宋体" w:cs="宋体"/>
          <w:szCs w:val="21"/>
        </w:rPr>
        <w:t>，并按约定实施本项目</w:t>
      </w:r>
      <w:r>
        <w:t>。</w:t>
      </w:r>
    </w:p>
    <w:p w14:paraId="7BFC0AF2">
      <w:pPr>
        <w:ind w:firstLine="480"/>
      </w:pPr>
      <w:r>
        <w:t>2．我方承诺在投标有效期内不修改、撤销</w:t>
      </w:r>
      <w:r>
        <w:rPr>
          <w:rFonts w:hint="eastAsia"/>
        </w:rPr>
        <w:t>投标文件</w:t>
      </w:r>
      <w:r>
        <w:t>。</w:t>
      </w:r>
    </w:p>
    <w:p w14:paraId="0F3CDEA0">
      <w:pPr>
        <w:ind w:firstLine="480"/>
      </w:pPr>
      <w:r>
        <w:t>3．</w:t>
      </w:r>
      <w:r>
        <w:rPr>
          <w:rFonts w:hint="eastAsia"/>
        </w:rPr>
        <w:t>我方在此声明，所递交的投标文件及有关资料内容完整、真实和准确。</w:t>
      </w:r>
    </w:p>
    <w:p w14:paraId="2D356B94">
      <w:pPr>
        <w:ind w:firstLine="480"/>
      </w:pPr>
      <w:r>
        <w:t>4</w:t>
      </w:r>
      <w:r>
        <w:rPr>
          <w:rFonts w:hint="eastAsia"/>
        </w:rPr>
        <w:t>．在合同协议书正式签署生效之前，本报价书连同你方的中标通知书将构成我们双方之间共同遵守的文件，对双方具有约束力。</w:t>
      </w:r>
    </w:p>
    <w:p w14:paraId="756CE33B">
      <w:pPr>
        <w:ind w:firstLine="480"/>
      </w:pPr>
    </w:p>
    <w:p w14:paraId="6D563FCC">
      <w:pPr>
        <w:ind w:left="420" w:firstLine="4238" w:firstLineChars="1766"/>
      </w:pPr>
      <w:r>
        <w:rPr>
          <w:rFonts w:hint="eastAsia"/>
        </w:rPr>
        <w:t>竞</w:t>
      </w:r>
      <w:r>
        <w:t>标人：</w:t>
      </w:r>
      <w:r>
        <w:rPr>
          <w:u w:val="single"/>
        </w:rPr>
        <w:t xml:space="preserve">                  </w:t>
      </w:r>
      <w:r>
        <w:rPr>
          <w:rFonts w:hint="eastAsia"/>
          <w:u w:val="single"/>
        </w:rPr>
        <w:t xml:space="preserve"> </w:t>
      </w:r>
      <w:r>
        <w:rPr>
          <w:u w:val="single"/>
        </w:rPr>
        <w:t xml:space="preserve">    </w:t>
      </w:r>
      <w:r>
        <w:t>（盖单位章）</w:t>
      </w:r>
    </w:p>
    <w:p w14:paraId="20DA6E92">
      <w:pPr>
        <w:ind w:left="420" w:firstLine="4238" w:firstLineChars="1766"/>
      </w:pPr>
      <w:r>
        <w:t>法定代表人或其委托代理人：</w:t>
      </w:r>
      <w:r>
        <w:rPr>
          <w:u w:val="single"/>
        </w:rPr>
        <w:t xml:space="preserve">      </w:t>
      </w:r>
      <w:r>
        <w:rPr>
          <w:rFonts w:hint="eastAsia"/>
          <w:u w:val="single"/>
        </w:rPr>
        <w:t xml:space="preserve">  </w:t>
      </w:r>
      <w:r>
        <w:rPr>
          <w:u w:val="single"/>
        </w:rPr>
        <w:t xml:space="preserve"> </w:t>
      </w:r>
      <w:r>
        <w:t>（签字）</w:t>
      </w:r>
    </w:p>
    <w:p w14:paraId="76D09B72">
      <w:pPr>
        <w:ind w:left="420" w:firstLine="4238" w:firstLineChars="1766"/>
        <w:rPr>
          <w:u w:val="single"/>
        </w:rPr>
      </w:pPr>
      <w:r>
        <w:t>地址：</w:t>
      </w:r>
      <w:r>
        <w:rPr>
          <w:u w:val="single"/>
        </w:rPr>
        <w:t xml:space="preserve">                                   </w:t>
      </w:r>
    </w:p>
    <w:p w14:paraId="3BE85E66">
      <w:pPr>
        <w:ind w:firstLine="480"/>
      </w:pPr>
    </w:p>
    <w:p w14:paraId="5C7A3DCE">
      <w:pPr>
        <w:ind w:left="2100" w:firstLine="4238" w:firstLineChars="1766"/>
      </w:pPr>
      <w:r>
        <w:rPr>
          <w:rFonts w:hint="eastAsia"/>
        </w:rPr>
        <w:t>2026</w:t>
      </w:r>
      <w:r>
        <w:t>年</w:t>
      </w:r>
      <w:r>
        <w:rPr>
          <w:rFonts w:hint="eastAsia"/>
          <w:u w:val="single"/>
        </w:rPr>
        <w:t xml:space="preserve">   </w:t>
      </w:r>
      <w:r>
        <w:t>月</w:t>
      </w:r>
      <w:r>
        <w:rPr>
          <w:rFonts w:hint="eastAsia"/>
          <w:u w:val="single"/>
        </w:rPr>
        <w:t xml:space="preserve">   </w:t>
      </w:r>
      <w:r>
        <w:t>日</w:t>
      </w:r>
    </w:p>
    <w:p w14:paraId="58A1DE01">
      <w:pPr>
        <w:pStyle w:val="18"/>
        <w:spacing w:line="360" w:lineRule="auto"/>
        <w:rPr>
          <w:rFonts w:hint="eastAsia" w:ascii="宋体" w:hAnsi="宋体" w:eastAsia="宋体" w:cs="宋体"/>
          <w:b/>
          <w:bCs/>
        </w:rPr>
        <w:sectPr>
          <w:pgSz w:w="11906" w:h="16838"/>
          <w:pgMar w:top="1134" w:right="1134" w:bottom="1134" w:left="1134" w:header="794" w:footer="794" w:gutter="0"/>
          <w:pgBorders>
            <w:top w:val="none" w:sz="0" w:space="0"/>
            <w:left w:val="none" w:sz="0" w:space="0"/>
            <w:bottom w:val="none" w:sz="0" w:space="0"/>
            <w:right w:val="none" w:sz="0" w:space="0"/>
          </w:pgBorders>
          <w:cols w:space="720" w:num="1"/>
          <w:docGrid w:type="lines" w:linePitch="312" w:charSpace="0"/>
        </w:sectPr>
      </w:pPr>
    </w:p>
    <w:p w14:paraId="54CEA1DB">
      <w:pPr>
        <w:pStyle w:val="18"/>
        <w:spacing w:line="360" w:lineRule="auto"/>
        <w:rPr>
          <w:rFonts w:hint="eastAsia" w:ascii="宋体" w:hAnsi="宋体" w:eastAsia="宋体" w:cs="宋体"/>
          <w:b/>
          <w:bCs/>
        </w:rPr>
      </w:pPr>
    </w:p>
    <w:p w14:paraId="16243211">
      <w:pPr>
        <w:spacing w:line="440" w:lineRule="exact"/>
        <w:ind w:firstLine="0" w:firstLineChars="0"/>
        <w:jc w:val="center"/>
        <w:outlineLvl w:val="1"/>
        <w:rPr>
          <w:b/>
          <w:bCs/>
        </w:rPr>
      </w:pPr>
      <w:r>
        <w:rPr>
          <w:rFonts w:hint="eastAsia"/>
          <w:b/>
          <w:bCs/>
        </w:rPr>
        <w:t>二、法定代表人身份证明及授权委托书</w:t>
      </w:r>
    </w:p>
    <w:p w14:paraId="05A1720C">
      <w:pPr>
        <w:wordWrap/>
        <w:spacing w:line="360" w:lineRule="auto"/>
        <w:ind w:firstLine="482"/>
        <w:jc w:val="center"/>
        <w:outlineLvl w:val="2"/>
        <w:rPr>
          <w:b/>
        </w:rPr>
      </w:pPr>
      <w:bookmarkStart w:id="0" w:name="_Toc262547328"/>
    </w:p>
    <w:p w14:paraId="1DA0EEDC">
      <w:pPr>
        <w:spacing w:line="440" w:lineRule="exact"/>
        <w:ind w:firstLine="0" w:firstLineChars="0"/>
        <w:jc w:val="center"/>
        <w:outlineLvl w:val="1"/>
        <w:rPr>
          <w:b/>
          <w:bCs/>
        </w:rPr>
      </w:pPr>
      <w:r>
        <w:rPr>
          <w:rFonts w:hint="eastAsia"/>
          <w:b/>
          <w:bCs/>
        </w:rPr>
        <w:t>（一）法定代表人身份证明</w:t>
      </w:r>
      <w:bookmarkEnd w:id="0"/>
    </w:p>
    <w:p w14:paraId="41F81FC0">
      <w:pPr>
        <w:ind w:firstLine="0" w:firstLineChars="0"/>
        <w:rPr>
          <w:u w:val="single"/>
        </w:rPr>
      </w:pPr>
      <w:r>
        <w:rPr>
          <w:rFonts w:hint="eastAsia"/>
        </w:rPr>
        <w:t>竞标人名称：</w:t>
      </w:r>
      <w:r>
        <w:rPr>
          <w:rFonts w:hint="eastAsia"/>
          <w:u w:val="single"/>
        </w:rPr>
        <w:t xml:space="preserve">                              </w:t>
      </w:r>
    </w:p>
    <w:p w14:paraId="66E6DA92">
      <w:pPr>
        <w:ind w:firstLine="0" w:firstLineChars="0"/>
        <w:rPr>
          <w:u w:val="single"/>
        </w:rPr>
      </w:pPr>
      <w:r>
        <w:rPr>
          <w:rFonts w:hint="eastAsia"/>
        </w:rPr>
        <w:t>单位性质：</w:t>
      </w:r>
      <w:r>
        <w:rPr>
          <w:rFonts w:hint="eastAsia"/>
          <w:u w:val="single"/>
        </w:rPr>
        <w:t xml:space="preserve">                                </w:t>
      </w:r>
    </w:p>
    <w:p w14:paraId="415BFA5E">
      <w:pPr>
        <w:ind w:firstLine="0" w:firstLineChars="0"/>
        <w:rPr>
          <w:u w:val="single"/>
        </w:rPr>
      </w:pPr>
      <w:r>
        <w:rPr>
          <w:rFonts w:hint="eastAsia"/>
        </w:rPr>
        <w:t>地址：</w:t>
      </w:r>
      <w:r>
        <w:rPr>
          <w:rFonts w:hint="eastAsia"/>
          <w:u w:val="single"/>
        </w:rPr>
        <w:t xml:space="preserve">                                    </w:t>
      </w:r>
    </w:p>
    <w:p w14:paraId="00A0AE23">
      <w:pPr>
        <w:ind w:firstLine="0" w:firstLineChars="0"/>
      </w:pPr>
      <w:r>
        <w:rPr>
          <w:rFonts w:hint="eastAsia"/>
        </w:rPr>
        <w:t>成立时间：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2F451ADB">
      <w:pPr>
        <w:ind w:firstLine="0" w:firstLineChars="0"/>
        <w:rPr>
          <w:u w:val="single"/>
        </w:rPr>
      </w:pPr>
      <w:r>
        <w:rPr>
          <w:rFonts w:hint="eastAsia"/>
        </w:rPr>
        <w:t>经营期限：</w:t>
      </w:r>
      <w:r>
        <w:rPr>
          <w:rFonts w:hint="eastAsia"/>
          <w:u w:val="single"/>
        </w:rPr>
        <w:t xml:space="preserve">                                </w:t>
      </w:r>
    </w:p>
    <w:p w14:paraId="0924087F">
      <w:pPr>
        <w:ind w:firstLine="0" w:firstLineChars="0"/>
        <w:rPr>
          <w:u w:val="single"/>
        </w:rPr>
      </w:pPr>
      <w:r>
        <w:rPr>
          <w:rFonts w:hint="eastAsia"/>
        </w:rPr>
        <w:t>姓名：</w:t>
      </w:r>
      <w:r>
        <w:rPr>
          <w:rFonts w:hint="eastAsia"/>
          <w:u w:val="single"/>
        </w:rPr>
        <w:t xml:space="preserve">            </w:t>
      </w:r>
      <w:r>
        <w:rPr>
          <w:rFonts w:hint="eastAsia"/>
        </w:rPr>
        <w:t>（法人手签）性别：</w:t>
      </w:r>
      <w:r>
        <w:rPr>
          <w:rFonts w:hint="eastAsia"/>
          <w:u w:val="single"/>
        </w:rPr>
        <w:t xml:space="preserve">    </w:t>
      </w:r>
      <w:r>
        <w:rPr>
          <w:rFonts w:hint="eastAsia"/>
        </w:rPr>
        <w:t>年龄：</w:t>
      </w:r>
      <w:r>
        <w:rPr>
          <w:rFonts w:hint="eastAsia"/>
          <w:u w:val="single"/>
        </w:rPr>
        <w:t xml:space="preserve">    </w:t>
      </w:r>
      <w:r>
        <w:rPr>
          <w:rFonts w:hint="eastAsia"/>
        </w:rPr>
        <w:t>职务：</w:t>
      </w:r>
      <w:r>
        <w:rPr>
          <w:rFonts w:hint="eastAsia"/>
          <w:u w:val="single"/>
        </w:rPr>
        <w:t xml:space="preserve">        </w:t>
      </w:r>
    </w:p>
    <w:p w14:paraId="4666B34F">
      <w:pPr>
        <w:ind w:firstLine="0" w:firstLineChars="0"/>
      </w:pPr>
      <w:r>
        <w:rPr>
          <w:rFonts w:hint="eastAsia"/>
        </w:rPr>
        <w:t>系</w:t>
      </w:r>
      <w:r>
        <w:rPr>
          <w:rFonts w:hint="eastAsia"/>
          <w:u w:val="single"/>
        </w:rPr>
        <w:t xml:space="preserve">                              </w:t>
      </w:r>
      <w:r>
        <w:rPr>
          <w:rFonts w:hint="eastAsia"/>
        </w:rPr>
        <w:t>（投标人名称）的法定代表人。</w:t>
      </w:r>
    </w:p>
    <w:p w14:paraId="6CF9C49C">
      <w:pPr>
        <w:ind w:firstLine="480"/>
      </w:pPr>
      <w:r>
        <w:rPr>
          <w:rFonts w:hint="eastAsia"/>
        </w:rPr>
        <w:t>特此证明。</w:t>
      </w:r>
    </w:p>
    <w:p w14:paraId="44F89433">
      <w:pPr>
        <w:ind w:firstLine="480"/>
      </w:pPr>
    </w:p>
    <w:p w14:paraId="0F5A485D">
      <w:pPr>
        <w:ind w:firstLine="480"/>
      </w:pPr>
    </w:p>
    <w:p w14:paraId="1596D77A">
      <w:pPr>
        <w:ind w:left="3780" w:firstLine="420" w:firstLineChars="0"/>
      </w:pPr>
      <w:r>
        <w:rPr>
          <w:rFonts w:hint="eastAsia"/>
        </w:rPr>
        <w:t>投标人：</w:t>
      </w:r>
      <w:r>
        <w:rPr>
          <w:rFonts w:hint="eastAsia"/>
          <w:u w:val="single"/>
        </w:rPr>
        <w:t xml:space="preserve">                      </w:t>
      </w:r>
      <w:r>
        <w:rPr>
          <w:rFonts w:hint="eastAsia"/>
        </w:rPr>
        <w:t>（盖单位章）</w:t>
      </w:r>
    </w:p>
    <w:p w14:paraId="56D525EE">
      <w:pPr>
        <w:ind w:left="5460" w:firstLine="420" w:firstLineChars="0"/>
      </w:pPr>
    </w:p>
    <w:p w14:paraId="4A1D07A8">
      <w:pPr>
        <w:ind w:left="5460" w:firstLine="420" w:firstLineChars="0"/>
      </w:pPr>
      <w:r>
        <w:rPr>
          <w:rFonts w:hint="eastAsia"/>
        </w:rPr>
        <w:t>2026年</w:t>
      </w:r>
      <w:r>
        <w:rPr>
          <w:rFonts w:hint="eastAsia"/>
          <w:u w:val="single"/>
        </w:rPr>
        <w:t xml:space="preserve">   </w:t>
      </w:r>
      <w:r>
        <w:rPr>
          <w:rFonts w:hint="eastAsia"/>
        </w:rPr>
        <w:t>月</w:t>
      </w:r>
      <w:r>
        <w:rPr>
          <w:rFonts w:hint="eastAsia"/>
          <w:u w:val="single"/>
        </w:rPr>
        <w:t xml:space="preserve">   </w:t>
      </w:r>
      <w:r>
        <w:rPr>
          <w:rFonts w:hint="eastAsia"/>
        </w:rPr>
        <w:t>日</w:t>
      </w:r>
    </w:p>
    <w:p w14:paraId="56BB9CF5">
      <w:pPr>
        <w:ind w:firstLine="480"/>
      </w:pPr>
    </w:p>
    <w:p w14:paraId="7681568A">
      <w:pPr>
        <w:ind w:firstLine="480"/>
      </w:pPr>
    </w:p>
    <w:p w14:paraId="5AE1EFC8">
      <w:pPr>
        <w:ind w:firstLine="480"/>
      </w:pPr>
    </w:p>
    <w:p w14:paraId="28B8AB0B">
      <w:pPr>
        <w:ind w:firstLine="480"/>
      </w:pPr>
    </w:p>
    <w:p w14:paraId="4F86813D">
      <w:pPr>
        <w:ind w:firstLine="0" w:firstLineChars="0"/>
      </w:pPr>
      <w:r>
        <w:rPr>
          <w:rFonts w:hint="eastAsia"/>
          <w:b/>
          <w:bCs/>
        </w:rPr>
        <w:t>注：法定代表人的签字必须是亲笔签名，不得用印章、签名章或其他电子制版签名。</w:t>
      </w:r>
    </w:p>
    <w:p w14:paraId="7618DC7F">
      <w:pPr>
        <w:pStyle w:val="18"/>
        <w:spacing w:line="360" w:lineRule="auto"/>
        <w:rPr>
          <w:rFonts w:hint="eastAsia" w:ascii="宋体" w:hAnsi="宋体" w:eastAsia="宋体" w:cs="宋体"/>
          <w:b/>
          <w:bCs/>
        </w:rPr>
        <w:sectPr>
          <w:pgSz w:w="11906" w:h="16838"/>
          <w:pgMar w:top="1134" w:right="1134" w:bottom="1134" w:left="1134" w:header="794" w:footer="794" w:gutter="0"/>
          <w:pgBorders>
            <w:top w:val="none" w:sz="0" w:space="0"/>
            <w:left w:val="none" w:sz="0" w:space="0"/>
            <w:bottom w:val="none" w:sz="0" w:space="0"/>
            <w:right w:val="none" w:sz="0" w:space="0"/>
          </w:pgBorders>
          <w:cols w:space="720" w:num="1"/>
          <w:docGrid w:type="lines" w:linePitch="312" w:charSpace="0"/>
        </w:sectPr>
      </w:pPr>
    </w:p>
    <w:p w14:paraId="32CFDE16">
      <w:pPr>
        <w:spacing w:line="440" w:lineRule="exact"/>
        <w:ind w:firstLine="0" w:firstLineChars="0"/>
        <w:jc w:val="center"/>
        <w:outlineLvl w:val="1"/>
        <w:rPr>
          <w:b/>
          <w:bCs/>
        </w:rPr>
      </w:pPr>
      <w:r>
        <w:rPr>
          <w:rFonts w:hint="eastAsia"/>
          <w:b/>
          <w:bCs/>
        </w:rPr>
        <w:t>（二）授权委托书</w:t>
      </w:r>
    </w:p>
    <w:p w14:paraId="6B87C5D6">
      <w:pPr>
        <w:pStyle w:val="18"/>
        <w:rPr>
          <w:rFonts w:ascii="Calibri" w:hAnsi="Calibri" w:cs="Times New Roman"/>
          <w:b/>
          <w:bCs/>
        </w:rPr>
      </w:pPr>
    </w:p>
    <w:p w14:paraId="52BD8665">
      <w:pPr>
        <w:pStyle w:val="18"/>
        <w:rPr>
          <w:rFonts w:ascii="Calibri" w:hAnsi="Calibri" w:cs="Times New Roman"/>
          <w:b/>
          <w:bCs/>
        </w:rPr>
      </w:pPr>
    </w:p>
    <w:p w14:paraId="4BD9C102">
      <w:pPr>
        <w:ind w:firstLine="480"/>
      </w:pPr>
      <w:r>
        <w:t>本人</w:t>
      </w:r>
      <w:r>
        <w:rPr>
          <w:rFonts w:hint="eastAsia"/>
          <w:u w:val="single"/>
        </w:rPr>
        <w:t xml:space="preserve">        </w:t>
      </w:r>
      <w:r>
        <w:t>（姓名）系</w:t>
      </w:r>
      <w:r>
        <w:rPr>
          <w:rFonts w:hint="eastAsia"/>
          <w:u w:val="single"/>
        </w:rPr>
        <w:t xml:space="preserve">                       </w:t>
      </w:r>
      <w:r>
        <w:rPr>
          <w:rFonts w:hint="eastAsia"/>
        </w:rPr>
        <w:t>（</w:t>
      </w:r>
      <w:r>
        <w:t>竞标人名称）的法定代表人，现委托</w:t>
      </w:r>
      <w:r>
        <w:rPr>
          <w:rFonts w:hint="eastAsia"/>
          <w:u w:val="single"/>
        </w:rPr>
        <w:t xml:space="preserve">        </w:t>
      </w:r>
      <w:r>
        <w:t>（姓名）为我方代理人。代理人根据授权，以我方名义签署、澄清、说明、补正、递交、撤回、修改</w:t>
      </w:r>
      <w:r>
        <w:rPr>
          <w:rFonts w:hint="eastAsia"/>
          <w:b/>
          <w:bCs/>
          <w:u w:val="single"/>
        </w:rPr>
        <w:t>重庆公路养护工程（集团）有限公司安全韧性提升工程交通组织咨询服务</w:t>
      </w:r>
      <w:r>
        <w:rPr>
          <w:rFonts w:hint="eastAsia"/>
        </w:rPr>
        <w:t>报价书</w:t>
      </w:r>
      <w:r>
        <w:t>、签订合同和处理有关事宜，其法律后果由我方承担。</w:t>
      </w:r>
    </w:p>
    <w:p w14:paraId="7BCE4E47">
      <w:pPr>
        <w:ind w:firstLine="480"/>
        <w:rPr>
          <w:u w:val="single"/>
        </w:rPr>
      </w:pPr>
      <w:r>
        <w:t>委托期限：</w:t>
      </w:r>
      <w:r>
        <w:rPr>
          <w:u w:val="single"/>
        </w:rPr>
        <w:t xml:space="preserve">                    </w:t>
      </w:r>
      <w:r>
        <w:t>。</w:t>
      </w:r>
    </w:p>
    <w:p w14:paraId="349DF0DB">
      <w:pPr>
        <w:ind w:firstLine="480"/>
      </w:pPr>
      <w:r>
        <w:t>代理人无转委托权。</w:t>
      </w:r>
    </w:p>
    <w:p w14:paraId="2A2DCD2A">
      <w:pPr>
        <w:ind w:firstLine="482"/>
        <w:rPr>
          <w:b/>
          <w:bCs/>
        </w:rPr>
      </w:pPr>
      <w:r>
        <w:rPr>
          <w:b/>
          <w:bCs/>
        </w:rPr>
        <w:t>附：法定代表人</w:t>
      </w:r>
      <w:r>
        <w:rPr>
          <w:rFonts w:hint="eastAsia"/>
          <w:b/>
          <w:bCs/>
        </w:rPr>
        <w:t>及委托代理人</w:t>
      </w:r>
      <w:r>
        <w:rPr>
          <w:b/>
          <w:bCs/>
        </w:rPr>
        <w:t>身份</w:t>
      </w:r>
      <w:r>
        <w:rPr>
          <w:rFonts w:hint="eastAsia"/>
          <w:b/>
          <w:bCs/>
        </w:rPr>
        <w:t>证复印件</w:t>
      </w:r>
      <w:r>
        <w:rPr>
          <w:b/>
          <w:bCs/>
        </w:rPr>
        <w:t>。</w:t>
      </w:r>
    </w:p>
    <w:tbl>
      <w:tblPr>
        <w:tblStyle w:val="12"/>
        <w:tblpPr w:leftFromText="180" w:rightFromText="180" w:vertAnchor="text" w:horzAnchor="page" w:tblpX="1365" w:tblpY="340"/>
        <w:tblOverlap w:val="never"/>
        <w:tblW w:w="0" w:type="auto"/>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90"/>
        <w:gridCol w:w="4670"/>
      </w:tblGrid>
      <w:tr w14:paraId="26E8AE1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783" w:hRule="atLeast"/>
        </w:trPr>
        <w:tc>
          <w:tcPr>
            <w:tcW w:w="4990" w:type="dxa"/>
            <w:vAlign w:val="center"/>
          </w:tcPr>
          <w:p w14:paraId="3A24824D">
            <w:pPr>
              <w:spacing w:line="500" w:lineRule="exact"/>
              <w:ind w:firstLine="480"/>
              <w:jc w:val="center"/>
              <w:rPr>
                <w:rFonts w:hint="eastAsia" w:ascii="宋体" w:hAnsi="宋体" w:cs="宋体"/>
                <w:sz w:val="28"/>
              </w:rPr>
            </w:pPr>
            <w:r>
              <w:rPr>
                <w:rFonts w:hint="eastAsia" w:ascii="宋体" w:hAnsi="宋体" w:cs="宋体"/>
              </w:rPr>
              <w:t>法定代表人身份证正面</w:t>
            </w:r>
          </w:p>
        </w:tc>
        <w:tc>
          <w:tcPr>
            <w:tcW w:w="4670" w:type="dxa"/>
            <w:vAlign w:val="center"/>
          </w:tcPr>
          <w:p w14:paraId="25A786BC">
            <w:pPr>
              <w:spacing w:line="500" w:lineRule="exact"/>
              <w:ind w:firstLine="480"/>
              <w:jc w:val="center"/>
              <w:rPr>
                <w:rFonts w:hint="eastAsia" w:ascii="宋体" w:hAnsi="宋体" w:cs="宋体"/>
                <w:sz w:val="28"/>
              </w:rPr>
            </w:pPr>
            <w:r>
              <w:rPr>
                <w:rFonts w:hint="eastAsia" w:ascii="宋体" w:hAnsi="宋体" w:cs="宋体"/>
              </w:rPr>
              <w:t>法定代表人身份证反面</w:t>
            </w:r>
          </w:p>
        </w:tc>
      </w:tr>
      <w:tr w14:paraId="7727B7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808" w:hRule="atLeast"/>
        </w:trPr>
        <w:tc>
          <w:tcPr>
            <w:tcW w:w="4990" w:type="dxa"/>
            <w:vAlign w:val="center"/>
          </w:tcPr>
          <w:p w14:paraId="476A9EDD">
            <w:pPr>
              <w:spacing w:line="500" w:lineRule="exact"/>
              <w:ind w:firstLine="480"/>
              <w:jc w:val="center"/>
              <w:rPr>
                <w:rFonts w:hint="eastAsia" w:ascii="宋体" w:hAnsi="宋体" w:cs="宋体"/>
                <w:sz w:val="28"/>
              </w:rPr>
            </w:pPr>
            <w:r>
              <w:rPr>
                <w:rFonts w:hint="eastAsia" w:ascii="宋体" w:hAnsi="宋体" w:cs="宋体"/>
              </w:rPr>
              <w:t>代理人身份证正面</w:t>
            </w:r>
          </w:p>
        </w:tc>
        <w:tc>
          <w:tcPr>
            <w:tcW w:w="4670" w:type="dxa"/>
            <w:vAlign w:val="center"/>
          </w:tcPr>
          <w:p w14:paraId="605D5235">
            <w:pPr>
              <w:spacing w:line="500" w:lineRule="exact"/>
              <w:ind w:firstLine="480"/>
              <w:jc w:val="center"/>
              <w:rPr>
                <w:rFonts w:hint="eastAsia" w:ascii="宋体" w:hAnsi="宋体" w:cs="宋体"/>
                <w:sz w:val="28"/>
              </w:rPr>
            </w:pPr>
            <w:r>
              <w:rPr>
                <w:rFonts w:hint="eastAsia" w:ascii="宋体" w:hAnsi="宋体" w:cs="宋体"/>
              </w:rPr>
              <w:t>代理人身份证反面</w:t>
            </w:r>
          </w:p>
        </w:tc>
      </w:tr>
    </w:tbl>
    <w:p w14:paraId="49C54F62">
      <w:pPr>
        <w:ind w:firstLine="2985" w:firstLineChars="1244"/>
      </w:pPr>
      <w:r>
        <w:t>竞  标  人：</w:t>
      </w:r>
      <w:r>
        <w:rPr>
          <w:rFonts w:hint="eastAsia"/>
          <w:u w:val="single"/>
        </w:rPr>
        <w:t xml:space="preserve">                    </w:t>
      </w:r>
      <w:r>
        <w:t>（盖单位公章）</w:t>
      </w:r>
    </w:p>
    <w:p w14:paraId="31834223">
      <w:pPr>
        <w:ind w:firstLine="2985" w:firstLineChars="1244"/>
      </w:pPr>
      <w:r>
        <w:t>法定代表人：</w:t>
      </w:r>
      <w:r>
        <w:rPr>
          <w:rFonts w:hint="eastAsia"/>
          <w:u w:val="single"/>
        </w:rPr>
        <w:t xml:space="preserve">        </w:t>
      </w:r>
      <w:r>
        <w:t>（签字）</w:t>
      </w:r>
    </w:p>
    <w:p w14:paraId="138D02E6">
      <w:pPr>
        <w:ind w:firstLine="2985" w:firstLineChars="1244"/>
      </w:pPr>
      <w:r>
        <w:t>身份证号码：</w:t>
      </w:r>
      <w:r>
        <w:rPr>
          <w:rFonts w:hint="eastAsia"/>
          <w:u w:val="single"/>
        </w:rPr>
        <w:t xml:space="preserve">                    </w:t>
      </w:r>
    </w:p>
    <w:p w14:paraId="23B4DE4A">
      <w:pPr>
        <w:ind w:firstLine="2985" w:firstLineChars="1244"/>
      </w:pPr>
      <w:r>
        <w:t>委托代理人：</w:t>
      </w:r>
      <w:r>
        <w:rPr>
          <w:rFonts w:hint="eastAsia"/>
          <w:u w:val="single"/>
        </w:rPr>
        <w:t xml:space="preserve">        </w:t>
      </w:r>
      <w:r>
        <w:t>（签字）</w:t>
      </w:r>
    </w:p>
    <w:p w14:paraId="6CC08137">
      <w:pPr>
        <w:ind w:firstLine="2985" w:firstLineChars="1244"/>
      </w:pPr>
      <w:r>
        <w:t>身份证号码：</w:t>
      </w:r>
      <w:r>
        <w:rPr>
          <w:rFonts w:hint="eastAsia"/>
          <w:u w:val="single"/>
        </w:rPr>
        <w:t xml:space="preserve">                    </w:t>
      </w:r>
    </w:p>
    <w:p w14:paraId="302A0DFF">
      <w:pPr>
        <w:ind w:firstLine="480"/>
      </w:pPr>
    </w:p>
    <w:p w14:paraId="5867C295">
      <w:pPr>
        <w:ind w:left="420" w:firstLine="4238" w:firstLineChars="1766"/>
      </w:pPr>
      <w:r>
        <w:rPr>
          <w:rFonts w:hint="eastAsia"/>
        </w:rPr>
        <w:t>2026</w:t>
      </w:r>
      <w:r>
        <w:t>年</w:t>
      </w:r>
      <w:r>
        <w:rPr>
          <w:rFonts w:hint="eastAsia"/>
          <w:u w:val="single"/>
        </w:rPr>
        <w:t xml:space="preserve">   </w:t>
      </w:r>
      <w:r>
        <w:t>月</w:t>
      </w:r>
      <w:r>
        <w:rPr>
          <w:rFonts w:hint="eastAsia"/>
          <w:u w:val="single"/>
        </w:rPr>
        <w:t xml:space="preserve">   </w:t>
      </w:r>
      <w:r>
        <w:t>日</w:t>
      </w:r>
    </w:p>
    <w:p w14:paraId="1FA0AAE4">
      <w:pPr>
        <w:pStyle w:val="18"/>
        <w:sectPr>
          <w:pgSz w:w="11906" w:h="16838"/>
          <w:pgMar w:top="1134" w:right="1134" w:bottom="1134" w:left="1134" w:header="794" w:footer="794" w:gutter="0"/>
          <w:pgBorders>
            <w:top w:val="none" w:sz="0" w:space="0"/>
            <w:left w:val="none" w:sz="0" w:space="0"/>
            <w:bottom w:val="none" w:sz="0" w:space="0"/>
            <w:right w:val="none" w:sz="0" w:space="0"/>
          </w:pgBorders>
          <w:cols w:space="720" w:num="1"/>
          <w:docGrid w:type="lines" w:linePitch="312" w:charSpace="0"/>
        </w:sectPr>
      </w:pPr>
    </w:p>
    <w:p w14:paraId="71C8C1B8">
      <w:pPr>
        <w:pStyle w:val="18"/>
      </w:pPr>
    </w:p>
    <w:p w14:paraId="3DBCA854">
      <w:pPr>
        <w:pStyle w:val="18"/>
        <w:jc w:val="center"/>
        <w:rPr>
          <w:rFonts w:hint="eastAsia" w:ascii="宋体" w:hAnsi="宋体" w:eastAsia="宋体" w:cs="宋体"/>
          <w:b/>
          <w:bCs/>
        </w:rPr>
      </w:pPr>
      <w:r>
        <w:rPr>
          <w:rFonts w:hint="eastAsia" w:ascii="宋体" w:hAnsi="宋体" w:eastAsia="宋体" w:cs="宋体"/>
          <w:b/>
          <w:bCs/>
        </w:rPr>
        <w:t>三、投标人资格审查资料</w:t>
      </w:r>
    </w:p>
    <w:p w14:paraId="09927B5B">
      <w:pPr>
        <w:ind w:firstLine="0" w:firstLineChars="0"/>
        <w:jc w:val="center"/>
        <w:rPr>
          <w:rFonts w:hint="eastAsia" w:ascii="宋体" w:hAnsi="宋体" w:cs="宋体"/>
          <w:b/>
          <w:bCs/>
        </w:rPr>
      </w:pPr>
    </w:p>
    <w:p w14:paraId="5393078E">
      <w:pPr>
        <w:ind w:firstLine="0" w:firstLineChars="0"/>
        <w:rPr>
          <w:rFonts w:hint="eastAsia" w:ascii="宋体" w:hAnsi="宋体" w:cs="宋体"/>
          <w:b/>
          <w:bCs/>
          <w:sz w:val="30"/>
          <w:szCs w:val="30"/>
        </w:rPr>
      </w:pPr>
      <w:r>
        <w:rPr>
          <w:rFonts w:hint="eastAsia"/>
        </w:rPr>
        <w:t>投标人</w:t>
      </w:r>
      <w:r>
        <w:t>提供有效的营业执照</w:t>
      </w:r>
      <w:r>
        <w:rPr>
          <w:rFonts w:hint="eastAsia"/>
        </w:rPr>
        <w:t>、资质证书、业绩证明、信誉证明复印件</w:t>
      </w:r>
      <w:r>
        <w:t>并加盖单位鲜公章。</w:t>
      </w:r>
    </w:p>
    <w:p w14:paraId="4A95C6F3">
      <w:pPr>
        <w:pStyle w:val="18"/>
        <w:jc w:val="center"/>
        <w:rPr>
          <w:rFonts w:hint="eastAsia" w:ascii="宋体" w:hAnsi="宋体" w:eastAsia="宋体" w:cs="宋体"/>
          <w:b/>
          <w:bCs/>
        </w:rPr>
        <w:sectPr>
          <w:pgSz w:w="11906" w:h="16838"/>
          <w:pgMar w:top="1134" w:right="1134" w:bottom="1134" w:left="1134" w:header="794" w:footer="794" w:gutter="0"/>
          <w:pgBorders>
            <w:top w:val="none" w:sz="0" w:space="0"/>
            <w:left w:val="none" w:sz="0" w:space="0"/>
            <w:bottom w:val="none" w:sz="0" w:space="0"/>
            <w:right w:val="none" w:sz="0" w:space="0"/>
          </w:pgBorders>
          <w:cols w:space="720" w:num="1"/>
          <w:docGrid w:type="lines" w:linePitch="312" w:charSpace="0"/>
        </w:sectPr>
      </w:pPr>
    </w:p>
    <w:p w14:paraId="6EFE357C">
      <w:pPr>
        <w:pStyle w:val="18"/>
        <w:spacing w:line="360" w:lineRule="auto"/>
        <w:jc w:val="center"/>
        <w:rPr>
          <w:rFonts w:hint="eastAsia" w:ascii="宋体" w:hAnsi="宋体" w:eastAsia="宋体" w:cs="宋体"/>
          <w:b/>
          <w:bCs/>
        </w:rPr>
      </w:pPr>
    </w:p>
    <w:p w14:paraId="2956D4C1">
      <w:pPr>
        <w:pStyle w:val="18"/>
        <w:spacing w:line="360" w:lineRule="auto"/>
        <w:jc w:val="center"/>
        <w:rPr>
          <w:rFonts w:hint="eastAsia" w:ascii="宋体" w:hAnsi="宋体" w:eastAsia="宋体" w:cs="宋体"/>
          <w:b/>
          <w:bCs/>
        </w:rPr>
      </w:pPr>
      <w:r>
        <w:rPr>
          <w:rFonts w:hint="eastAsia" w:ascii="宋体" w:hAnsi="宋体" w:eastAsia="宋体" w:cs="宋体"/>
          <w:b/>
          <w:bCs/>
        </w:rPr>
        <w:t>四、已标价报价清单</w:t>
      </w:r>
    </w:p>
    <w:p w14:paraId="032CA996">
      <w:pPr>
        <w:pStyle w:val="18"/>
        <w:spacing w:line="360" w:lineRule="auto"/>
        <w:jc w:val="center"/>
        <w:rPr>
          <w:rFonts w:hint="eastAsia" w:ascii="宋体" w:hAnsi="宋体" w:eastAsia="宋体" w:cs="宋体"/>
          <w:b/>
          <w:bCs/>
        </w:rPr>
      </w:pPr>
      <w:r>
        <w:rPr>
          <w:rFonts w:hint="eastAsia" w:ascii="Times New Roman" w:eastAsia="宋体" w:cs="Times New Roman"/>
          <w:b/>
          <w:bCs/>
          <w:color w:val="auto"/>
        </w:rPr>
        <w:t>安全韧性提升工程交通组织咨询服务采购报价清单</w:t>
      </w:r>
    </w:p>
    <w:p w14:paraId="63729F2E">
      <w:pPr>
        <w:pStyle w:val="18"/>
        <w:jc w:val="center"/>
        <w:rPr>
          <w:rFonts w:hint="eastAsia" w:ascii="宋体" w:hAnsi="宋体" w:eastAsia="宋体" w:cs="宋体"/>
          <w:sz w:val="21"/>
          <w:szCs w:val="21"/>
        </w:rPr>
      </w:pPr>
      <w:r>
        <w:rPr>
          <w:rFonts w:hint="eastAsia" w:ascii="宋体" w:hAnsi="宋体" w:eastAsia="宋体" w:cs="宋体"/>
          <w:sz w:val="21"/>
          <w:szCs w:val="21"/>
        </w:rPr>
        <w:t xml:space="preserve">                                                                                                                  货币单位：人民币  元</w:t>
      </w:r>
    </w:p>
    <w:p w14:paraId="3F5190B0">
      <w:pPr>
        <w:pStyle w:val="18"/>
        <w:jc w:val="right"/>
        <w:rPr>
          <w:rFonts w:hint="eastAsia" w:ascii="宋体" w:hAnsi="宋体" w:eastAsia="宋体" w:cs="宋体"/>
          <w:sz w:val="21"/>
          <w:szCs w:val="21"/>
        </w:rPr>
      </w:pP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38"/>
        <w:gridCol w:w="1899"/>
        <w:gridCol w:w="6293"/>
        <w:gridCol w:w="905"/>
        <w:gridCol w:w="2318"/>
        <w:gridCol w:w="6"/>
        <w:gridCol w:w="2327"/>
      </w:tblGrid>
      <w:tr w14:paraId="625E12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351" w:type="pct"/>
            <w:tcBorders>
              <w:tl2br w:val="nil"/>
              <w:tr2bl w:val="nil"/>
            </w:tcBorders>
            <w:vAlign w:val="center"/>
          </w:tcPr>
          <w:p w14:paraId="37288CC6">
            <w:pPr>
              <w:wordWrap/>
              <w:topLinePunct w:val="0"/>
              <w:spacing w:line="240" w:lineRule="auto"/>
              <w:ind w:firstLine="0" w:firstLineChars="0"/>
              <w:jc w:val="center"/>
            </w:pPr>
            <w:r>
              <w:t>序号</w:t>
            </w:r>
          </w:p>
        </w:tc>
        <w:tc>
          <w:tcPr>
            <w:tcW w:w="642" w:type="pct"/>
            <w:tcBorders>
              <w:tl2br w:val="nil"/>
              <w:tr2bl w:val="nil"/>
            </w:tcBorders>
            <w:vAlign w:val="center"/>
          </w:tcPr>
          <w:p w14:paraId="29AD63CB">
            <w:pPr>
              <w:wordWrap/>
              <w:topLinePunct w:val="0"/>
              <w:spacing w:line="240" w:lineRule="auto"/>
              <w:ind w:firstLine="0" w:firstLineChars="0"/>
              <w:jc w:val="center"/>
            </w:pPr>
            <w:r>
              <w:rPr>
                <w:rFonts w:hint="eastAsia"/>
              </w:rPr>
              <w:t>名称</w:t>
            </w:r>
          </w:p>
        </w:tc>
        <w:tc>
          <w:tcPr>
            <w:tcW w:w="2128" w:type="pct"/>
            <w:tcBorders>
              <w:tl2br w:val="nil"/>
              <w:tr2bl w:val="nil"/>
            </w:tcBorders>
            <w:vAlign w:val="center"/>
          </w:tcPr>
          <w:p w14:paraId="7BDA30BE">
            <w:pPr>
              <w:wordWrap/>
              <w:topLinePunct w:val="0"/>
              <w:spacing w:line="240" w:lineRule="auto"/>
              <w:ind w:firstLine="0" w:firstLineChars="0"/>
              <w:jc w:val="center"/>
            </w:pPr>
            <w:r>
              <w:rPr>
                <w:rFonts w:hint="eastAsia"/>
              </w:rPr>
              <w:t>路段</w:t>
            </w:r>
          </w:p>
        </w:tc>
        <w:tc>
          <w:tcPr>
            <w:tcW w:w="306" w:type="pct"/>
            <w:tcBorders>
              <w:tl2br w:val="nil"/>
              <w:tr2bl w:val="nil"/>
            </w:tcBorders>
            <w:vAlign w:val="center"/>
          </w:tcPr>
          <w:p w14:paraId="7C8CEC98">
            <w:pPr>
              <w:wordWrap/>
              <w:topLinePunct w:val="0"/>
              <w:spacing w:line="240" w:lineRule="auto"/>
              <w:ind w:firstLine="0" w:firstLineChars="0"/>
              <w:jc w:val="center"/>
            </w:pPr>
            <w:r>
              <w:rPr>
                <w:rFonts w:hint="eastAsia"/>
              </w:rPr>
              <w:t>单位</w:t>
            </w:r>
          </w:p>
        </w:tc>
        <w:tc>
          <w:tcPr>
            <w:tcW w:w="784" w:type="pct"/>
            <w:tcBorders>
              <w:tl2br w:val="nil"/>
              <w:tr2bl w:val="nil"/>
            </w:tcBorders>
            <w:vAlign w:val="center"/>
          </w:tcPr>
          <w:p w14:paraId="455D81EC">
            <w:pPr>
              <w:wordWrap/>
              <w:topLinePunct w:val="0"/>
              <w:spacing w:line="240" w:lineRule="auto"/>
              <w:ind w:firstLine="0" w:firstLineChars="0"/>
              <w:jc w:val="center"/>
            </w:pPr>
            <w:r>
              <w:rPr>
                <w:rFonts w:hint="eastAsia"/>
              </w:rPr>
              <w:t>限价金额（含税）</w:t>
            </w:r>
          </w:p>
        </w:tc>
        <w:tc>
          <w:tcPr>
            <w:tcW w:w="787" w:type="pct"/>
            <w:gridSpan w:val="2"/>
            <w:tcBorders>
              <w:tl2br w:val="nil"/>
              <w:tr2bl w:val="nil"/>
            </w:tcBorders>
            <w:vAlign w:val="center"/>
          </w:tcPr>
          <w:p w14:paraId="2F4E1A92">
            <w:pPr>
              <w:wordWrap/>
              <w:topLinePunct w:val="0"/>
              <w:spacing w:line="240" w:lineRule="auto"/>
              <w:ind w:firstLine="0" w:firstLineChars="0"/>
              <w:jc w:val="center"/>
            </w:pPr>
            <w:r>
              <w:rPr>
                <w:rFonts w:hint="eastAsia"/>
              </w:rPr>
              <w:t>报价金额（含税）</w:t>
            </w:r>
          </w:p>
        </w:tc>
      </w:tr>
      <w:tr w14:paraId="20A76C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8" w:hRule="atLeast"/>
          <w:jc w:val="center"/>
        </w:trPr>
        <w:tc>
          <w:tcPr>
            <w:tcW w:w="351" w:type="pct"/>
            <w:vMerge w:val="restart"/>
            <w:tcBorders>
              <w:tl2br w:val="nil"/>
              <w:tr2bl w:val="nil"/>
            </w:tcBorders>
            <w:vAlign w:val="center"/>
          </w:tcPr>
          <w:p w14:paraId="4E01528B">
            <w:pPr>
              <w:wordWrap/>
              <w:topLinePunct w:val="0"/>
              <w:spacing w:line="240" w:lineRule="auto"/>
              <w:ind w:firstLine="0" w:firstLineChars="0"/>
              <w:jc w:val="center"/>
            </w:pPr>
            <w:r>
              <w:t>1</w:t>
            </w:r>
          </w:p>
        </w:tc>
        <w:tc>
          <w:tcPr>
            <w:tcW w:w="642" w:type="pct"/>
            <w:vMerge w:val="restart"/>
            <w:tcBorders>
              <w:tl2br w:val="nil"/>
              <w:tr2bl w:val="nil"/>
            </w:tcBorders>
            <w:vAlign w:val="center"/>
          </w:tcPr>
          <w:p w14:paraId="23C88AB2">
            <w:pPr>
              <w:wordWrap/>
              <w:topLinePunct w:val="0"/>
              <w:spacing w:line="240" w:lineRule="auto"/>
              <w:ind w:firstLine="0" w:firstLineChars="0"/>
              <w:jc w:val="center"/>
            </w:pPr>
            <w:r>
              <w:rPr>
                <w:rFonts w:hint="eastAsia"/>
              </w:rPr>
              <w:t>安全韧性提升项目交</w:t>
            </w:r>
            <w:r>
              <w:rPr>
                <w:rFonts w:hint="eastAsia"/>
                <w:kern w:val="44"/>
              </w:rPr>
              <w:t>通组织</w:t>
            </w:r>
            <w:r>
              <w:rPr>
                <w:rFonts w:hint="eastAsia"/>
              </w:rPr>
              <w:t>咨询服务</w:t>
            </w:r>
          </w:p>
        </w:tc>
        <w:tc>
          <w:tcPr>
            <w:tcW w:w="2128" w:type="pct"/>
            <w:tcBorders>
              <w:tl2br w:val="nil"/>
              <w:tr2bl w:val="nil"/>
            </w:tcBorders>
            <w:vAlign w:val="center"/>
          </w:tcPr>
          <w:p w14:paraId="5F7D8D3A">
            <w:pPr>
              <w:wordWrap/>
              <w:topLinePunct w:val="0"/>
              <w:spacing w:line="240" w:lineRule="auto"/>
              <w:ind w:firstLine="0" w:firstLineChars="0"/>
              <w:jc w:val="center"/>
            </w:pPr>
            <w:r>
              <w:rPr>
                <w:rFonts w:hint="eastAsia" w:ascii="宋体" w:hAnsi="宋体" w:cs="宋体"/>
                <w:bCs/>
              </w:rPr>
              <w:t>G42沪蓉高速奉节至梁平段（桩号K1341+546～K1574+950）</w:t>
            </w:r>
          </w:p>
        </w:tc>
        <w:tc>
          <w:tcPr>
            <w:tcW w:w="306" w:type="pct"/>
            <w:vMerge w:val="restart"/>
            <w:tcBorders>
              <w:tl2br w:val="nil"/>
              <w:tr2bl w:val="nil"/>
            </w:tcBorders>
            <w:vAlign w:val="center"/>
          </w:tcPr>
          <w:p w14:paraId="6E9FDD9B">
            <w:pPr>
              <w:wordWrap/>
              <w:topLinePunct w:val="0"/>
              <w:spacing w:line="240" w:lineRule="auto"/>
              <w:ind w:firstLine="0" w:firstLineChars="0"/>
              <w:jc w:val="center"/>
              <w:rPr>
                <w:color w:val="000000"/>
              </w:rPr>
            </w:pPr>
            <w:r>
              <w:rPr>
                <w:rFonts w:hint="eastAsia"/>
                <w:color w:val="000000"/>
              </w:rPr>
              <w:t>项</w:t>
            </w:r>
          </w:p>
        </w:tc>
        <w:tc>
          <w:tcPr>
            <w:tcW w:w="786" w:type="pct"/>
            <w:gridSpan w:val="2"/>
            <w:vMerge w:val="restart"/>
            <w:tcBorders>
              <w:tl2br w:val="nil"/>
              <w:tr2bl w:val="nil"/>
            </w:tcBorders>
            <w:vAlign w:val="center"/>
          </w:tcPr>
          <w:p w14:paraId="060586F6">
            <w:pPr>
              <w:wordWrap/>
              <w:topLinePunct w:val="0"/>
              <w:spacing w:line="240" w:lineRule="auto"/>
              <w:ind w:firstLine="0" w:firstLineChars="0"/>
              <w:jc w:val="center"/>
              <w:rPr>
                <w:rFonts w:hint="default" w:eastAsia="宋体"/>
                <w:color w:val="000000"/>
                <w:lang w:val="en-US" w:eastAsia="zh-CN"/>
              </w:rPr>
            </w:pPr>
            <w:r>
              <w:rPr>
                <w:rFonts w:hint="eastAsia"/>
                <w:color w:val="000000"/>
                <w:lang w:val="en-US" w:eastAsia="zh-CN"/>
              </w:rPr>
              <w:t>1500000</w:t>
            </w:r>
          </w:p>
        </w:tc>
        <w:tc>
          <w:tcPr>
            <w:tcW w:w="786" w:type="pct"/>
            <w:vMerge w:val="restart"/>
            <w:tcBorders>
              <w:tl2br w:val="nil"/>
              <w:tr2bl w:val="nil"/>
            </w:tcBorders>
            <w:vAlign w:val="center"/>
          </w:tcPr>
          <w:p w14:paraId="1D174464">
            <w:pPr>
              <w:wordWrap/>
              <w:topLinePunct w:val="0"/>
              <w:spacing w:line="240" w:lineRule="auto"/>
              <w:ind w:firstLine="0" w:firstLineChars="0"/>
              <w:jc w:val="center"/>
              <w:rPr>
                <w:color w:val="000000"/>
              </w:rPr>
            </w:pPr>
          </w:p>
        </w:tc>
      </w:tr>
      <w:tr w14:paraId="65EE47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8" w:hRule="atLeast"/>
          <w:jc w:val="center"/>
        </w:trPr>
        <w:tc>
          <w:tcPr>
            <w:tcW w:w="351" w:type="pct"/>
            <w:vMerge w:val="continue"/>
            <w:tcBorders>
              <w:tl2br w:val="nil"/>
              <w:tr2bl w:val="nil"/>
            </w:tcBorders>
            <w:vAlign w:val="center"/>
          </w:tcPr>
          <w:p w14:paraId="51FCF860">
            <w:pPr>
              <w:wordWrap/>
              <w:topLinePunct w:val="0"/>
              <w:spacing w:line="240" w:lineRule="auto"/>
              <w:ind w:firstLine="0" w:firstLineChars="0"/>
              <w:jc w:val="center"/>
            </w:pPr>
          </w:p>
        </w:tc>
        <w:tc>
          <w:tcPr>
            <w:tcW w:w="642" w:type="pct"/>
            <w:vMerge w:val="continue"/>
            <w:tcBorders>
              <w:tl2br w:val="nil"/>
              <w:tr2bl w:val="nil"/>
            </w:tcBorders>
            <w:vAlign w:val="center"/>
          </w:tcPr>
          <w:p w14:paraId="70D164D2">
            <w:pPr>
              <w:wordWrap/>
              <w:topLinePunct w:val="0"/>
              <w:spacing w:line="240" w:lineRule="auto"/>
              <w:ind w:firstLine="0" w:firstLineChars="0"/>
              <w:jc w:val="center"/>
            </w:pPr>
          </w:p>
        </w:tc>
        <w:tc>
          <w:tcPr>
            <w:tcW w:w="2128" w:type="pct"/>
            <w:tcBorders>
              <w:tl2br w:val="nil"/>
              <w:tr2bl w:val="nil"/>
            </w:tcBorders>
            <w:vAlign w:val="center"/>
          </w:tcPr>
          <w:p w14:paraId="2C15C659">
            <w:pPr>
              <w:wordWrap/>
              <w:topLinePunct w:val="0"/>
              <w:spacing w:line="240" w:lineRule="auto"/>
              <w:ind w:firstLine="0" w:firstLineChars="0"/>
              <w:jc w:val="center"/>
            </w:pPr>
            <w:r>
              <w:rPr>
                <w:rFonts w:hint="eastAsia" w:ascii="宋体" w:hAnsi="宋体" w:cs="宋体"/>
                <w:bCs/>
              </w:rPr>
              <w:t>G65包茂高速彭水至酉阳段（桩号K1743+700～K1931+400）</w:t>
            </w:r>
          </w:p>
        </w:tc>
        <w:tc>
          <w:tcPr>
            <w:tcW w:w="306" w:type="pct"/>
            <w:vMerge w:val="continue"/>
            <w:tcBorders>
              <w:tl2br w:val="nil"/>
              <w:tr2bl w:val="nil"/>
            </w:tcBorders>
            <w:vAlign w:val="center"/>
          </w:tcPr>
          <w:p w14:paraId="5A671A20">
            <w:pPr>
              <w:wordWrap/>
              <w:topLinePunct w:val="0"/>
              <w:spacing w:line="240" w:lineRule="auto"/>
              <w:ind w:firstLine="0" w:firstLineChars="0"/>
              <w:jc w:val="center"/>
              <w:rPr>
                <w:color w:val="000000"/>
              </w:rPr>
            </w:pPr>
          </w:p>
        </w:tc>
        <w:tc>
          <w:tcPr>
            <w:tcW w:w="786" w:type="pct"/>
            <w:gridSpan w:val="2"/>
            <w:vMerge w:val="continue"/>
            <w:tcBorders>
              <w:tl2br w:val="nil"/>
              <w:tr2bl w:val="nil"/>
            </w:tcBorders>
            <w:vAlign w:val="center"/>
          </w:tcPr>
          <w:p w14:paraId="406216A4">
            <w:pPr>
              <w:wordWrap/>
              <w:topLinePunct w:val="0"/>
              <w:spacing w:line="240" w:lineRule="auto"/>
              <w:ind w:firstLine="0" w:firstLineChars="0"/>
              <w:jc w:val="center"/>
              <w:rPr>
                <w:color w:val="000000"/>
              </w:rPr>
            </w:pPr>
          </w:p>
        </w:tc>
        <w:tc>
          <w:tcPr>
            <w:tcW w:w="786" w:type="pct"/>
            <w:vMerge w:val="continue"/>
            <w:tcBorders>
              <w:tl2br w:val="nil"/>
              <w:tr2bl w:val="nil"/>
            </w:tcBorders>
            <w:vAlign w:val="center"/>
          </w:tcPr>
          <w:p w14:paraId="0E0B6354">
            <w:pPr>
              <w:wordWrap/>
              <w:topLinePunct w:val="0"/>
              <w:spacing w:line="240" w:lineRule="auto"/>
              <w:ind w:firstLine="0" w:firstLineChars="0"/>
              <w:jc w:val="center"/>
              <w:rPr>
                <w:color w:val="000000"/>
              </w:rPr>
            </w:pPr>
          </w:p>
        </w:tc>
      </w:tr>
      <w:tr w14:paraId="6366CC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00" w:type="pct"/>
            <w:gridSpan w:val="7"/>
            <w:tcBorders>
              <w:tl2br w:val="nil"/>
              <w:tr2bl w:val="nil"/>
            </w:tcBorders>
            <w:vAlign w:val="center"/>
          </w:tcPr>
          <w:p w14:paraId="013A36B3">
            <w:pPr>
              <w:wordWrap/>
              <w:topLinePunct w:val="0"/>
              <w:spacing w:line="240" w:lineRule="auto"/>
              <w:ind w:firstLine="0" w:firstLineChars="0"/>
              <w:jc w:val="left"/>
              <w:rPr>
                <w:b/>
                <w:bCs/>
                <w:sz w:val="20"/>
                <w:szCs w:val="20"/>
              </w:rPr>
            </w:pPr>
            <w:r>
              <w:rPr>
                <w:rFonts w:hint="eastAsia"/>
                <w:b/>
                <w:bCs/>
                <w:sz w:val="20"/>
                <w:szCs w:val="20"/>
              </w:rPr>
              <w:t>备注：</w:t>
            </w:r>
          </w:p>
          <w:p w14:paraId="315116CB">
            <w:pPr>
              <w:spacing w:line="240" w:lineRule="auto"/>
              <w:ind w:firstLine="0" w:firstLineChars="0"/>
              <w:jc w:val="left"/>
              <w:textAlignment w:val="baseline"/>
              <w:rPr>
                <w:rFonts w:hint="eastAsia" w:ascii="宋体" w:hAnsi="宋体" w:cs="宋体"/>
                <w:sz w:val="22"/>
                <w:szCs w:val="22"/>
              </w:rPr>
            </w:pPr>
            <w:r>
              <w:rPr>
                <w:rFonts w:hint="eastAsia" w:ascii="宋体" w:hAnsi="宋体" w:cs="宋体"/>
                <w:sz w:val="22"/>
                <w:szCs w:val="22"/>
              </w:rPr>
              <w:t>1、表中单价为固定总价，合同执行期间不作任何调整。</w:t>
            </w:r>
          </w:p>
          <w:p w14:paraId="0EE43235">
            <w:pPr>
              <w:wordWrap/>
              <w:topLinePunct w:val="0"/>
              <w:spacing w:line="240" w:lineRule="auto"/>
              <w:ind w:firstLine="0" w:firstLineChars="0"/>
              <w:jc w:val="left"/>
              <w:rPr>
                <w:color w:val="000000"/>
              </w:rPr>
            </w:pPr>
            <w:r>
              <w:rPr>
                <w:rFonts w:hint="eastAsia" w:ascii="宋体" w:hAnsi="宋体" w:cs="宋体"/>
                <w:sz w:val="22"/>
                <w:szCs w:val="22"/>
              </w:rPr>
              <w:t>2、表中单价为含税综合单价，包括但不限于以下费用：人员工资、车辆使用费、方案编制费、技术咨询费、方案评审费、安全措施费、保险费、规费、管理费、税金、利润等在内的各种费用以及合同明示或暗示的所有责任、义务和一般风险。</w:t>
            </w:r>
          </w:p>
        </w:tc>
      </w:tr>
    </w:tbl>
    <w:p w14:paraId="79C6A129">
      <w:pPr>
        <w:pStyle w:val="18"/>
        <w:jc w:val="both"/>
        <w:rPr>
          <w:rFonts w:hint="eastAsia" w:ascii="宋体" w:hAnsi="宋体" w:eastAsia="宋体" w:cs="宋体"/>
          <w:sz w:val="21"/>
          <w:szCs w:val="21"/>
        </w:rPr>
      </w:pPr>
    </w:p>
    <w:p w14:paraId="54218CBE">
      <w:pPr>
        <w:pStyle w:val="18"/>
        <w:jc w:val="right"/>
        <w:rPr>
          <w:rFonts w:hint="eastAsia" w:ascii="宋体" w:hAnsi="宋体" w:eastAsia="宋体" w:cs="宋体"/>
          <w:sz w:val="21"/>
          <w:szCs w:val="21"/>
        </w:rPr>
      </w:pPr>
    </w:p>
    <w:p w14:paraId="26212FC3">
      <w:pPr>
        <w:pStyle w:val="18"/>
        <w:jc w:val="right"/>
        <w:rPr>
          <w:rFonts w:hint="eastAsia" w:ascii="宋体" w:hAnsi="宋体" w:eastAsia="宋体" w:cs="宋体"/>
          <w:sz w:val="21"/>
          <w:szCs w:val="21"/>
        </w:rPr>
      </w:pPr>
    </w:p>
    <w:p w14:paraId="62322467">
      <w:pPr>
        <w:spacing w:line="360" w:lineRule="auto"/>
        <w:ind w:firstLine="8400" w:firstLineChars="3500"/>
        <w:rPr>
          <w:b/>
          <w:bCs/>
          <w:u w:val="single"/>
        </w:rPr>
      </w:pPr>
      <w:r>
        <w:rPr>
          <w:rFonts w:hint="eastAsia"/>
        </w:rPr>
        <w:t>投标人</w:t>
      </w:r>
      <w:r>
        <w:t>（盖单位公章）：</w:t>
      </w:r>
      <w:r>
        <w:rPr>
          <w:b/>
          <w:bCs/>
        </w:rPr>
        <w:t>__________</w:t>
      </w:r>
      <w:r>
        <w:rPr>
          <w:b/>
          <w:bCs/>
          <w:u w:val="single"/>
        </w:rPr>
        <w:t>______</w:t>
      </w:r>
      <w:r>
        <w:rPr>
          <w:rFonts w:hint="eastAsia"/>
          <w:b/>
          <w:bCs/>
          <w:u w:val="single"/>
        </w:rPr>
        <w:t xml:space="preserve">    </w:t>
      </w:r>
      <w:r>
        <w:rPr>
          <w:b/>
          <w:bCs/>
          <w:u w:val="single"/>
        </w:rPr>
        <w:t>___</w:t>
      </w:r>
    </w:p>
    <w:p w14:paraId="38AB7815">
      <w:pPr>
        <w:spacing w:line="360" w:lineRule="auto"/>
        <w:ind w:firstLine="482"/>
      </w:pPr>
      <w:r>
        <w:rPr>
          <w:rFonts w:hint="eastAsia"/>
          <w:b/>
          <w:bCs/>
        </w:rPr>
        <w:t xml:space="preserve">    </w:t>
      </w:r>
      <w:r>
        <w:t xml:space="preserve">  </w:t>
      </w:r>
    </w:p>
    <w:p w14:paraId="252A905A">
      <w:pPr>
        <w:spacing w:line="360" w:lineRule="auto"/>
        <w:ind w:firstLine="8400" w:firstLineChars="3500"/>
      </w:pPr>
      <w:r>
        <w:t>法定代表人（或授权代表）：</w:t>
      </w:r>
      <w:r>
        <w:rPr>
          <w:b/>
          <w:bCs/>
        </w:rPr>
        <w:t>___________________</w:t>
      </w:r>
    </w:p>
    <w:p w14:paraId="6CF0948D">
      <w:pPr>
        <w:spacing w:line="360" w:lineRule="auto"/>
        <w:ind w:firstLine="8400" w:firstLineChars="3500"/>
        <w:sectPr>
          <w:pgSz w:w="16838" w:h="11906" w:orient="landscape"/>
          <w:pgMar w:top="1134" w:right="1134" w:bottom="1134" w:left="1134" w:header="794" w:footer="794" w:gutter="0"/>
          <w:pgBorders>
            <w:top w:val="none" w:sz="0" w:space="0"/>
            <w:left w:val="none" w:sz="0" w:space="0"/>
            <w:bottom w:val="none" w:sz="0" w:space="0"/>
            <w:right w:val="none" w:sz="0" w:space="0"/>
          </w:pgBorders>
          <w:cols w:space="720" w:num="1"/>
          <w:docGrid w:type="lines" w:linePitch="312" w:charSpace="0"/>
        </w:sectPr>
      </w:pPr>
      <w:r>
        <w:t>日期：</w:t>
      </w:r>
      <w:r>
        <w:rPr>
          <w:rFonts w:hint="eastAsia"/>
        </w:rPr>
        <w:t>2026</w:t>
      </w:r>
      <w:r>
        <w:t>年</w:t>
      </w:r>
      <w:r>
        <w:rPr>
          <w:u w:val="single"/>
        </w:rPr>
        <w:t xml:space="preserve">   </w:t>
      </w:r>
      <w:r>
        <w:t>月</w:t>
      </w:r>
      <w:r>
        <w:rPr>
          <w:u w:val="single"/>
        </w:rPr>
        <w:t xml:space="preserve">   </w:t>
      </w:r>
      <w:r>
        <w:t>日</w:t>
      </w:r>
    </w:p>
    <w:p w14:paraId="647FC67A">
      <w:pPr>
        <w:pStyle w:val="18"/>
        <w:jc w:val="center"/>
        <w:rPr>
          <w:rFonts w:hint="eastAsia" w:ascii="宋体" w:hAnsi="宋体" w:eastAsia="宋体" w:cs="宋体"/>
          <w:b/>
          <w:bCs/>
        </w:rPr>
      </w:pPr>
      <w:r>
        <w:rPr>
          <w:rFonts w:hint="eastAsia" w:ascii="宋体" w:hAnsi="宋体" w:eastAsia="宋体" w:cs="宋体"/>
          <w:b/>
          <w:bCs/>
        </w:rPr>
        <w:t>五、验收承诺函</w:t>
      </w:r>
    </w:p>
    <w:p w14:paraId="14EE2DD5">
      <w:pPr>
        <w:ind w:firstLine="0" w:firstLineChars="0"/>
        <w:jc w:val="center"/>
        <w:rPr>
          <w:rFonts w:hint="eastAsia" w:ascii="宋体" w:hAnsi="宋体" w:cs="宋体"/>
          <w:b/>
          <w:bCs/>
        </w:rPr>
      </w:pPr>
    </w:p>
    <w:p w14:paraId="1061135B">
      <w:pPr>
        <w:ind w:firstLine="0" w:firstLineChars="0"/>
        <w:rPr>
          <w:b/>
          <w:bCs/>
          <w:u w:val="single"/>
        </w:rPr>
      </w:pPr>
      <w:r>
        <w:rPr>
          <w:rFonts w:hint="eastAsia"/>
          <w:b/>
          <w:bCs/>
        </w:rPr>
        <w:t>致：</w:t>
      </w:r>
      <w:r>
        <w:rPr>
          <w:rFonts w:hint="eastAsia"/>
          <w:b/>
          <w:bCs/>
          <w:u w:val="single"/>
        </w:rPr>
        <w:t>重庆公路养护工程（集团）有限公司</w:t>
      </w:r>
    </w:p>
    <w:p w14:paraId="77304EC4">
      <w:pPr>
        <w:spacing w:line="440" w:lineRule="exact"/>
        <w:ind w:firstLine="480"/>
        <w:jc w:val="left"/>
      </w:pPr>
      <w:r>
        <w:t>我方已</w:t>
      </w:r>
      <w:r>
        <w:rPr>
          <w:rFonts w:hint="eastAsia"/>
        </w:rPr>
        <w:t>完全知晓</w:t>
      </w:r>
      <w:r>
        <w:rPr>
          <w:rFonts w:hint="eastAsia"/>
          <w:b/>
          <w:bCs/>
          <w:u w:val="single"/>
        </w:rPr>
        <w:t>安全韧性提升工程交通组织咨询服务比选文件</w:t>
      </w:r>
      <w:r>
        <w:t>的全部</w:t>
      </w:r>
      <w:r>
        <w:rPr>
          <w:rFonts w:hint="eastAsia"/>
        </w:rPr>
        <w:t>工作要求</w:t>
      </w:r>
      <w:r>
        <w:t>，</w:t>
      </w:r>
      <w:r>
        <w:rPr>
          <w:rFonts w:hint="eastAsia"/>
        </w:rPr>
        <w:t>包括但不限于工作内容要求、工作成果要求、成果提交时限要求等</w:t>
      </w:r>
      <w:r>
        <w:t>。我方承诺</w:t>
      </w:r>
      <w:r>
        <w:rPr>
          <w:rFonts w:hint="eastAsia"/>
        </w:rPr>
        <w:t>严格按照比选人要求完成本项目工作，若不能满足招标文件相关工作要求，愿意按照招标文件中相关规定接受相应处罚。</w:t>
      </w:r>
    </w:p>
    <w:p w14:paraId="134AA4B3">
      <w:pPr>
        <w:ind w:firstLine="480"/>
      </w:pPr>
    </w:p>
    <w:p w14:paraId="319D254B">
      <w:pPr>
        <w:ind w:left="420" w:firstLine="4238" w:firstLineChars="1766"/>
      </w:pPr>
      <w:r>
        <w:rPr>
          <w:rFonts w:hint="eastAsia"/>
        </w:rPr>
        <w:t>竞</w:t>
      </w:r>
      <w:r>
        <w:t>标人：</w:t>
      </w:r>
      <w:r>
        <w:rPr>
          <w:u w:val="single"/>
        </w:rPr>
        <w:t xml:space="preserve">                  </w:t>
      </w:r>
      <w:r>
        <w:rPr>
          <w:rFonts w:hint="eastAsia"/>
          <w:u w:val="single"/>
        </w:rPr>
        <w:t xml:space="preserve"> </w:t>
      </w:r>
      <w:r>
        <w:rPr>
          <w:u w:val="single"/>
        </w:rPr>
        <w:t xml:space="preserve">    </w:t>
      </w:r>
      <w:r>
        <w:t>（盖单位章）</w:t>
      </w:r>
    </w:p>
    <w:p w14:paraId="74AC85E9">
      <w:pPr>
        <w:ind w:left="420" w:firstLine="4238" w:firstLineChars="1766"/>
      </w:pPr>
      <w:r>
        <w:t>法定代表人或其委托代理人：</w:t>
      </w:r>
      <w:r>
        <w:rPr>
          <w:u w:val="single"/>
        </w:rPr>
        <w:t xml:space="preserve">      </w:t>
      </w:r>
      <w:r>
        <w:rPr>
          <w:rFonts w:hint="eastAsia"/>
          <w:u w:val="single"/>
        </w:rPr>
        <w:t xml:space="preserve">  </w:t>
      </w:r>
      <w:r>
        <w:rPr>
          <w:u w:val="single"/>
        </w:rPr>
        <w:t xml:space="preserve"> </w:t>
      </w:r>
      <w:r>
        <w:t>（签字）</w:t>
      </w:r>
    </w:p>
    <w:p w14:paraId="199A296B">
      <w:pPr>
        <w:ind w:left="420" w:firstLine="4238" w:firstLineChars="1766"/>
        <w:rPr>
          <w:u w:val="single"/>
        </w:rPr>
      </w:pPr>
      <w:r>
        <w:t>地址：</w:t>
      </w:r>
      <w:r>
        <w:rPr>
          <w:u w:val="single"/>
        </w:rPr>
        <w:t xml:space="preserve">                                   </w:t>
      </w:r>
    </w:p>
    <w:p w14:paraId="4A33A565">
      <w:pPr>
        <w:ind w:firstLine="480"/>
      </w:pPr>
    </w:p>
    <w:p w14:paraId="3A5CDE05">
      <w:pPr>
        <w:ind w:left="2100" w:firstLine="4238" w:firstLineChars="1766"/>
      </w:pPr>
      <w:r>
        <w:rPr>
          <w:rFonts w:hint="eastAsia"/>
        </w:rPr>
        <w:t>2026</w:t>
      </w:r>
      <w:r>
        <w:t>年</w:t>
      </w:r>
      <w:r>
        <w:rPr>
          <w:rFonts w:hint="eastAsia"/>
          <w:u w:val="single"/>
        </w:rPr>
        <w:t xml:space="preserve">   </w:t>
      </w:r>
      <w:r>
        <w:t>月</w:t>
      </w:r>
      <w:r>
        <w:rPr>
          <w:rFonts w:hint="eastAsia"/>
          <w:u w:val="single"/>
        </w:rPr>
        <w:t xml:space="preserve">   </w:t>
      </w:r>
      <w:r>
        <w:t>日</w:t>
      </w:r>
    </w:p>
    <w:p w14:paraId="17BE46DA">
      <w:pPr>
        <w:ind w:firstLine="0" w:firstLineChars="0"/>
      </w:pPr>
    </w:p>
    <w:p w14:paraId="79B0D549">
      <w:pPr>
        <w:pStyle w:val="18"/>
        <w:spacing w:line="360" w:lineRule="auto"/>
        <w:jc w:val="center"/>
        <w:rPr>
          <w:rFonts w:hint="eastAsia" w:ascii="宋体" w:hAnsi="宋体" w:eastAsia="宋体" w:cs="宋体"/>
          <w:b/>
          <w:bCs/>
        </w:rPr>
      </w:pPr>
    </w:p>
    <w:p w14:paraId="6A3395E8">
      <w:pPr>
        <w:pStyle w:val="18"/>
        <w:spacing w:line="360" w:lineRule="auto"/>
        <w:jc w:val="center"/>
        <w:rPr>
          <w:rFonts w:hint="eastAsia" w:ascii="宋体" w:hAnsi="宋体" w:eastAsia="宋体" w:cs="宋体"/>
          <w:b/>
          <w:bCs/>
        </w:rPr>
      </w:pPr>
    </w:p>
    <w:p w14:paraId="514AD91C">
      <w:pPr>
        <w:pStyle w:val="18"/>
        <w:spacing w:line="360" w:lineRule="auto"/>
        <w:jc w:val="center"/>
        <w:rPr>
          <w:rFonts w:hint="eastAsia" w:ascii="宋体" w:hAnsi="宋体" w:eastAsia="宋体" w:cs="宋体"/>
          <w:b/>
          <w:bCs/>
        </w:rPr>
      </w:pPr>
    </w:p>
    <w:p w14:paraId="446ABB1E">
      <w:pPr>
        <w:pStyle w:val="18"/>
        <w:spacing w:line="360" w:lineRule="auto"/>
        <w:jc w:val="center"/>
        <w:rPr>
          <w:rFonts w:hint="eastAsia" w:ascii="宋体" w:hAnsi="宋体" w:eastAsia="宋体" w:cs="宋体"/>
          <w:b/>
          <w:bCs/>
        </w:rPr>
      </w:pPr>
    </w:p>
    <w:p w14:paraId="0CADC402">
      <w:pPr>
        <w:pStyle w:val="18"/>
        <w:spacing w:line="360" w:lineRule="auto"/>
        <w:jc w:val="center"/>
        <w:rPr>
          <w:rFonts w:hint="eastAsia" w:ascii="宋体" w:hAnsi="宋体" w:eastAsia="宋体" w:cs="宋体"/>
          <w:b/>
          <w:bCs/>
        </w:rPr>
      </w:pPr>
    </w:p>
    <w:p w14:paraId="1B6B4D10">
      <w:pPr>
        <w:pStyle w:val="18"/>
        <w:spacing w:line="360" w:lineRule="auto"/>
        <w:jc w:val="center"/>
        <w:rPr>
          <w:rFonts w:hint="eastAsia" w:ascii="宋体" w:hAnsi="宋体" w:eastAsia="宋体" w:cs="宋体"/>
          <w:b/>
          <w:bCs/>
        </w:rPr>
      </w:pPr>
    </w:p>
    <w:p w14:paraId="3F18DC3C">
      <w:pPr>
        <w:pStyle w:val="18"/>
        <w:spacing w:line="360" w:lineRule="auto"/>
        <w:jc w:val="center"/>
        <w:rPr>
          <w:rFonts w:hint="eastAsia" w:ascii="宋体" w:hAnsi="宋体" w:eastAsia="宋体" w:cs="宋体"/>
          <w:b/>
          <w:bCs/>
        </w:rPr>
      </w:pPr>
    </w:p>
    <w:p w14:paraId="249497D5">
      <w:pPr>
        <w:pStyle w:val="18"/>
        <w:spacing w:line="360" w:lineRule="auto"/>
        <w:jc w:val="center"/>
        <w:rPr>
          <w:rFonts w:hint="eastAsia" w:ascii="宋体" w:hAnsi="宋体" w:eastAsia="宋体" w:cs="宋体"/>
          <w:b/>
          <w:bCs/>
        </w:rPr>
      </w:pPr>
    </w:p>
    <w:p w14:paraId="1F0B607F">
      <w:pPr>
        <w:pStyle w:val="18"/>
        <w:spacing w:line="360" w:lineRule="auto"/>
        <w:jc w:val="center"/>
        <w:rPr>
          <w:rFonts w:hint="eastAsia" w:ascii="宋体" w:hAnsi="宋体" w:eastAsia="宋体" w:cs="宋体"/>
          <w:b/>
          <w:bCs/>
        </w:rPr>
      </w:pPr>
    </w:p>
    <w:p w14:paraId="3304D176">
      <w:pPr>
        <w:pStyle w:val="18"/>
        <w:spacing w:line="360" w:lineRule="auto"/>
        <w:jc w:val="center"/>
        <w:rPr>
          <w:rFonts w:hint="eastAsia" w:ascii="宋体" w:hAnsi="宋体" w:eastAsia="宋体" w:cs="宋体"/>
          <w:b/>
          <w:bCs/>
        </w:rPr>
      </w:pPr>
    </w:p>
    <w:p w14:paraId="77F29C12">
      <w:pPr>
        <w:pStyle w:val="18"/>
        <w:spacing w:line="360" w:lineRule="auto"/>
        <w:jc w:val="center"/>
        <w:rPr>
          <w:rFonts w:hint="eastAsia" w:ascii="宋体" w:hAnsi="宋体" w:eastAsia="宋体" w:cs="宋体"/>
          <w:b/>
          <w:bCs/>
        </w:rPr>
      </w:pPr>
    </w:p>
    <w:p w14:paraId="516FC2B7">
      <w:pPr>
        <w:pStyle w:val="18"/>
        <w:spacing w:line="360" w:lineRule="auto"/>
        <w:jc w:val="center"/>
        <w:rPr>
          <w:rFonts w:hint="eastAsia" w:ascii="宋体" w:hAnsi="宋体" w:eastAsia="宋体" w:cs="宋体"/>
          <w:b/>
          <w:bCs/>
        </w:rPr>
      </w:pPr>
    </w:p>
    <w:p w14:paraId="73164C79">
      <w:pPr>
        <w:pStyle w:val="18"/>
        <w:spacing w:line="360" w:lineRule="auto"/>
        <w:jc w:val="center"/>
        <w:rPr>
          <w:rFonts w:hint="eastAsia" w:ascii="宋体" w:hAnsi="宋体" w:eastAsia="宋体" w:cs="宋体"/>
          <w:b/>
          <w:bCs/>
        </w:rPr>
      </w:pPr>
    </w:p>
    <w:p w14:paraId="5EC2624A">
      <w:pPr>
        <w:pStyle w:val="18"/>
        <w:spacing w:line="360" w:lineRule="auto"/>
        <w:jc w:val="center"/>
        <w:rPr>
          <w:rFonts w:hint="eastAsia" w:ascii="宋体" w:hAnsi="宋体" w:eastAsia="宋体" w:cs="宋体"/>
          <w:b/>
          <w:bCs/>
        </w:rPr>
      </w:pPr>
    </w:p>
    <w:p w14:paraId="2865FB76">
      <w:pPr>
        <w:pStyle w:val="18"/>
        <w:spacing w:line="360" w:lineRule="auto"/>
        <w:jc w:val="center"/>
        <w:rPr>
          <w:rFonts w:hint="eastAsia" w:ascii="宋体" w:hAnsi="宋体" w:eastAsia="宋体" w:cs="宋体"/>
          <w:b/>
          <w:bCs/>
        </w:rPr>
      </w:pPr>
    </w:p>
    <w:p w14:paraId="615EA5CE">
      <w:pPr>
        <w:pStyle w:val="18"/>
        <w:spacing w:line="360" w:lineRule="auto"/>
        <w:jc w:val="center"/>
        <w:rPr>
          <w:rFonts w:hint="eastAsia" w:ascii="宋体" w:hAnsi="宋体" w:eastAsia="宋体" w:cs="宋体"/>
          <w:b/>
          <w:bCs/>
        </w:rPr>
      </w:pPr>
    </w:p>
    <w:p w14:paraId="03B770F5">
      <w:pPr>
        <w:pStyle w:val="18"/>
        <w:spacing w:line="360" w:lineRule="auto"/>
        <w:jc w:val="center"/>
        <w:rPr>
          <w:rFonts w:hint="eastAsia" w:ascii="宋体" w:hAnsi="宋体" w:eastAsia="宋体" w:cs="宋体"/>
          <w:b/>
          <w:bCs/>
        </w:rPr>
      </w:pPr>
    </w:p>
    <w:p w14:paraId="6F01AEB1">
      <w:pPr>
        <w:pStyle w:val="18"/>
        <w:jc w:val="center"/>
        <w:rPr>
          <w:rFonts w:hint="default" w:ascii="宋体" w:hAnsi="宋体" w:eastAsia="宋体" w:cs="宋体"/>
          <w:b/>
          <w:bCs/>
          <w:lang w:val="en-US" w:eastAsia="zh-CN"/>
        </w:rPr>
      </w:pPr>
      <w:r>
        <w:rPr>
          <w:rFonts w:hint="eastAsia" w:ascii="宋体" w:hAnsi="宋体" w:eastAsia="宋体" w:cs="宋体"/>
          <w:b/>
          <w:bCs/>
          <w:lang w:val="en-US" w:eastAsia="zh-CN"/>
        </w:rPr>
        <w:t>六</w:t>
      </w:r>
      <w:r>
        <w:rPr>
          <w:rFonts w:hint="eastAsia" w:ascii="宋体" w:hAnsi="宋体" w:eastAsia="宋体" w:cs="宋体"/>
          <w:b/>
          <w:bCs/>
        </w:rPr>
        <w:t>、</w:t>
      </w:r>
      <w:r>
        <w:rPr>
          <w:rFonts w:hint="eastAsia" w:ascii="宋体" w:hAnsi="宋体" w:eastAsia="宋体" w:cs="宋体"/>
          <w:b/>
          <w:bCs/>
          <w:lang w:val="en-US" w:eastAsia="zh-CN"/>
        </w:rPr>
        <w:t>商务文件</w:t>
      </w:r>
    </w:p>
    <w:p w14:paraId="6A0DFD53">
      <w:pPr>
        <w:pStyle w:val="18"/>
        <w:spacing w:line="360" w:lineRule="auto"/>
        <w:jc w:val="center"/>
        <w:rPr>
          <w:rFonts w:hint="eastAsia" w:ascii="宋体" w:hAnsi="宋体" w:eastAsia="宋体" w:cs="宋体"/>
          <w:b/>
          <w:bCs/>
        </w:rPr>
      </w:pPr>
    </w:p>
    <w:p w14:paraId="610AAFE1">
      <w:pPr>
        <w:pStyle w:val="18"/>
        <w:spacing w:line="360" w:lineRule="auto"/>
        <w:jc w:val="center"/>
        <w:rPr>
          <w:rFonts w:hint="eastAsia" w:ascii="宋体" w:hAnsi="宋体" w:eastAsia="宋体" w:cs="宋体"/>
          <w:b/>
          <w:bCs/>
        </w:rPr>
      </w:pPr>
    </w:p>
    <w:p w14:paraId="2DD92523">
      <w:pPr>
        <w:pStyle w:val="18"/>
        <w:spacing w:line="360" w:lineRule="auto"/>
        <w:jc w:val="center"/>
        <w:rPr>
          <w:rFonts w:hint="eastAsia" w:ascii="宋体" w:hAnsi="宋体" w:eastAsia="宋体" w:cs="宋体"/>
          <w:b/>
          <w:bCs/>
        </w:rPr>
      </w:pPr>
    </w:p>
    <w:p w14:paraId="3B15E74B">
      <w:pPr>
        <w:pStyle w:val="18"/>
        <w:spacing w:line="360" w:lineRule="auto"/>
        <w:jc w:val="center"/>
        <w:rPr>
          <w:rFonts w:hint="eastAsia" w:ascii="宋体" w:hAnsi="宋体" w:eastAsia="宋体" w:cs="宋体"/>
          <w:b/>
          <w:bCs/>
        </w:rPr>
      </w:pPr>
    </w:p>
    <w:p w14:paraId="734A86A4">
      <w:pPr>
        <w:pStyle w:val="18"/>
        <w:spacing w:line="360" w:lineRule="auto"/>
        <w:jc w:val="center"/>
        <w:rPr>
          <w:rFonts w:hint="eastAsia" w:ascii="宋体" w:hAnsi="宋体" w:eastAsia="宋体" w:cs="宋体"/>
          <w:b/>
          <w:bCs/>
        </w:rPr>
      </w:pPr>
    </w:p>
    <w:p w14:paraId="3818A3C9">
      <w:pPr>
        <w:pStyle w:val="18"/>
        <w:spacing w:line="360" w:lineRule="auto"/>
        <w:jc w:val="center"/>
        <w:rPr>
          <w:rFonts w:hint="eastAsia" w:ascii="宋体" w:hAnsi="宋体" w:eastAsia="宋体" w:cs="宋体"/>
          <w:b/>
          <w:bCs/>
        </w:rPr>
      </w:pPr>
    </w:p>
    <w:p w14:paraId="42693E79">
      <w:pPr>
        <w:pStyle w:val="18"/>
        <w:spacing w:line="360" w:lineRule="auto"/>
        <w:jc w:val="center"/>
        <w:rPr>
          <w:rFonts w:hint="eastAsia" w:ascii="宋体" w:hAnsi="宋体" w:eastAsia="宋体" w:cs="宋体"/>
          <w:b/>
          <w:bCs/>
        </w:rPr>
      </w:pPr>
    </w:p>
    <w:p w14:paraId="3B486A4B">
      <w:pPr>
        <w:pStyle w:val="18"/>
        <w:spacing w:line="360" w:lineRule="auto"/>
        <w:jc w:val="center"/>
        <w:rPr>
          <w:rFonts w:hint="eastAsia" w:ascii="宋体" w:hAnsi="宋体" w:eastAsia="宋体" w:cs="宋体"/>
          <w:b/>
          <w:bCs/>
        </w:rPr>
      </w:pPr>
    </w:p>
    <w:p w14:paraId="31399C63">
      <w:pPr>
        <w:pStyle w:val="18"/>
        <w:spacing w:line="360" w:lineRule="auto"/>
        <w:jc w:val="center"/>
        <w:rPr>
          <w:rFonts w:hint="eastAsia" w:ascii="宋体" w:hAnsi="宋体" w:eastAsia="宋体" w:cs="宋体"/>
          <w:b/>
          <w:bCs/>
        </w:rPr>
      </w:pPr>
    </w:p>
    <w:p w14:paraId="0F7CCA10">
      <w:pPr>
        <w:pStyle w:val="18"/>
        <w:spacing w:line="360" w:lineRule="auto"/>
        <w:jc w:val="center"/>
        <w:rPr>
          <w:rFonts w:hint="eastAsia" w:ascii="宋体" w:hAnsi="宋体" w:eastAsia="宋体" w:cs="宋体"/>
          <w:b/>
          <w:bCs/>
        </w:rPr>
      </w:pPr>
    </w:p>
    <w:p w14:paraId="498C7557">
      <w:pPr>
        <w:pStyle w:val="18"/>
        <w:spacing w:line="360" w:lineRule="auto"/>
        <w:jc w:val="center"/>
        <w:rPr>
          <w:rFonts w:hint="eastAsia" w:ascii="宋体" w:hAnsi="宋体" w:eastAsia="宋体" w:cs="宋体"/>
          <w:b/>
          <w:bCs/>
        </w:rPr>
      </w:pPr>
    </w:p>
    <w:p w14:paraId="59FA9A07">
      <w:pPr>
        <w:pStyle w:val="18"/>
        <w:spacing w:line="360" w:lineRule="auto"/>
        <w:jc w:val="center"/>
        <w:rPr>
          <w:rFonts w:hint="eastAsia" w:ascii="宋体" w:hAnsi="宋体" w:eastAsia="宋体" w:cs="宋体"/>
          <w:b/>
          <w:bCs/>
        </w:rPr>
      </w:pPr>
    </w:p>
    <w:p w14:paraId="73D82748">
      <w:pPr>
        <w:pStyle w:val="18"/>
        <w:spacing w:line="360" w:lineRule="auto"/>
        <w:jc w:val="center"/>
        <w:rPr>
          <w:rFonts w:hint="eastAsia" w:ascii="宋体" w:hAnsi="宋体" w:eastAsia="宋体" w:cs="宋体"/>
          <w:b/>
          <w:bCs/>
        </w:rPr>
      </w:pPr>
    </w:p>
    <w:p w14:paraId="3C24B5E0">
      <w:pPr>
        <w:pStyle w:val="18"/>
        <w:spacing w:line="360" w:lineRule="auto"/>
        <w:jc w:val="center"/>
        <w:rPr>
          <w:rFonts w:hint="eastAsia" w:ascii="宋体" w:hAnsi="宋体" w:eastAsia="宋体" w:cs="宋体"/>
          <w:b/>
          <w:bCs/>
        </w:rPr>
      </w:pPr>
    </w:p>
    <w:p w14:paraId="62219612">
      <w:pPr>
        <w:pStyle w:val="18"/>
        <w:spacing w:line="360" w:lineRule="auto"/>
        <w:jc w:val="center"/>
        <w:rPr>
          <w:rFonts w:hint="eastAsia" w:ascii="宋体" w:hAnsi="宋体" w:eastAsia="宋体" w:cs="宋体"/>
          <w:b/>
          <w:bCs/>
        </w:rPr>
      </w:pPr>
    </w:p>
    <w:p w14:paraId="3E719459">
      <w:pPr>
        <w:pStyle w:val="18"/>
        <w:spacing w:line="360" w:lineRule="auto"/>
        <w:jc w:val="center"/>
        <w:rPr>
          <w:rFonts w:hint="eastAsia" w:ascii="宋体" w:hAnsi="宋体" w:eastAsia="宋体" w:cs="宋体"/>
          <w:b/>
          <w:bCs/>
        </w:rPr>
      </w:pPr>
    </w:p>
    <w:p w14:paraId="70234F9F">
      <w:pPr>
        <w:pStyle w:val="18"/>
        <w:spacing w:line="360" w:lineRule="auto"/>
        <w:jc w:val="center"/>
        <w:rPr>
          <w:rFonts w:hint="eastAsia" w:ascii="宋体" w:hAnsi="宋体" w:eastAsia="宋体" w:cs="宋体"/>
          <w:b/>
          <w:bCs/>
        </w:rPr>
      </w:pPr>
    </w:p>
    <w:p w14:paraId="72E5AE35">
      <w:pPr>
        <w:pStyle w:val="18"/>
        <w:spacing w:line="360" w:lineRule="auto"/>
        <w:jc w:val="center"/>
        <w:rPr>
          <w:rFonts w:hint="eastAsia" w:ascii="宋体" w:hAnsi="宋体" w:eastAsia="宋体" w:cs="宋体"/>
          <w:b/>
          <w:bCs/>
        </w:rPr>
      </w:pPr>
    </w:p>
    <w:p w14:paraId="7A155CE3">
      <w:pPr>
        <w:pStyle w:val="18"/>
        <w:spacing w:line="360" w:lineRule="auto"/>
        <w:jc w:val="center"/>
        <w:rPr>
          <w:rFonts w:hint="eastAsia" w:ascii="宋体" w:hAnsi="宋体" w:eastAsia="宋体" w:cs="宋体"/>
          <w:b/>
          <w:bCs/>
        </w:rPr>
      </w:pPr>
    </w:p>
    <w:p w14:paraId="04FBDEE3">
      <w:pPr>
        <w:pStyle w:val="18"/>
        <w:spacing w:line="360" w:lineRule="auto"/>
        <w:jc w:val="center"/>
        <w:rPr>
          <w:rFonts w:hint="eastAsia" w:ascii="宋体" w:hAnsi="宋体" w:eastAsia="宋体" w:cs="宋体"/>
          <w:b/>
          <w:bCs/>
        </w:rPr>
      </w:pPr>
    </w:p>
    <w:p w14:paraId="0EA6AE98">
      <w:pPr>
        <w:pStyle w:val="18"/>
        <w:spacing w:line="360" w:lineRule="auto"/>
        <w:jc w:val="center"/>
        <w:rPr>
          <w:rFonts w:hint="eastAsia" w:ascii="宋体" w:hAnsi="宋体" w:eastAsia="宋体" w:cs="宋体"/>
          <w:b/>
          <w:bCs/>
        </w:rPr>
      </w:pPr>
    </w:p>
    <w:p w14:paraId="27EAB82F">
      <w:pPr>
        <w:pStyle w:val="18"/>
        <w:spacing w:line="360" w:lineRule="auto"/>
        <w:jc w:val="center"/>
        <w:rPr>
          <w:rFonts w:hint="eastAsia" w:ascii="宋体" w:hAnsi="宋体" w:eastAsia="宋体" w:cs="宋体"/>
          <w:b/>
          <w:bCs/>
        </w:rPr>
      </w:pPr>
    </w:p>
    <w:p w14:paraId="48341B91">
      <w:pPr>
        <w:pStyle w:val="18"/>
        <w:spacing w:line="360" w:lineRule="auto"/>
        <w:jc w:val="center"/>
        <w:rPr>
          <w:rFonts w:hint="eastAsia" w:ascii="宋体" w:hAnsi="宋体" w:eastAsia="宋体" w:cs="宋体"/>
          <w:b/>
          <w:bCs/>
        </w:rPr>
      </w:pPr>
    </w:p>
    <w:p w14:paraId="4F683B2C">
      <w:pPr>
        <w:pStyle w:val="18"/>
        <w:spacing w:line="360" w:lineRule="auto"/>
        <w:jc w:val="center"/>
        <w:rPr>
          <w:rFonts w:hint="eastAsia" w:ascii="宋体" w:hAnsi="宋体" w:eastAsia="宋体" w:cs="宋体"/>
          <w:b/>
          <w:bCs/>
        </w:rPr>
      </w:pPr>
    </w:p>
    <w:p w14:paraId="4BDA890D">
      <w:pPr>
        <w:pStyle w:val="18"/>
        <w:spacing w:line="360" w:lineRule="auto"/>
        <w:jc w:val="center"/>
        <w:rPr>
          <w:rFonts w:hint="eastAsia" w:ascii="宋体" w:hAnsi="宋体" w:eastAsia="宋体" w:cs="宋体"/>
          <w:b/>
          <w:bCs/>
        </w:rPr>
      </w:pPr>
    </w:p>
    <w:p w14:paraId="3BFC712C">
      <w:pPr>
        <w:pStyle w:val="18"/>
        <w:spacing w:line="360" w:lineRule="auto"/>
        <w:jc w:val="center"/>
        <w:rPr>
          <w:rFonts w:hint="eastAsia" w:ascii="宋体" w:hAnsi="宋体" w:eastAsia="宋体" w:cs="宋体"/>
          <w:b/>
          <w:bCs/>
        </w:rPr>
      </w:pPr>
    </w:p>
    <w:p w14:paraId="60B5857A">
      <w:pPr>
        <w:pStyle w:val="18"/>
        <w:spacing w:line="360" w:lineRule="auto"/>
        <w:jc w:val="center"/>
        <w:rPr>
          <w:rFonts w:hint="eastAsia" w:ascii="宋体" w:hAnsi="宋体" w:eastAsia="宋体" w:cs="宋体"/>
          <w:b/>
          <w:bCs/>
        </w:rPr>
      </w:pPr>
    </w:p>
    <w:p w14:paraId="6235F934">
      <w:pPr>
        <w:pStyle w:val="18"/>
        <w:spacing w:line="360" w:lineRule="auto"/>
        <w:jc w:val="center"/>
        <w:rPr>
          <w:rFonts w:hint="eastAsia" w:ascii="宋体" w:hAnsi="宋体" w:eastAsia="宋体" w:cs="宋体"/>
          <w:b/>
          <w:bCs/>
        </w:rPr>
      </w:pPr>
    </w:p>
    <w:p w14:paraId="16276229">
      <w:pPr>
        <w:pStyle w:val="18"/>
        <w:spacing w:line="360" w:lineRule="auto"/>
        <w:jc w:val="center"/>
        <w:rPr>
          <w:rFonts w:hint="eastAsia" w:ascii="宋体" w:hAnsi="宋体" w:eastAsia="宋体" w:cs="宋体"/>
          <w:b/>
          <w:bCs/>
        </w:rPr>
      </w:pPr>
    </w:p>
    <w:p w14:paraId="508A6ADB">
      <w:pPr>
        <w:pStyle w:val="18"/>
        <w:jc w:val="center"/>
        <w:rPr>
          <w:rFonts w:hint="default" w:ascii="宋体" w:hAnsi="宋体" w:eastAsia="宋体" w:cs="宋体"/>
          <w:b/>
          <w:bCs/>
          <w:lang w:val="en-US" w:eastAsia="zh-CN"/>
        </w:rPr>
      </w:pPr>
      <w:r>
        <w:rPr>
          <w:rFonts w:hint="eastAsia" w:ascii="宋体" w:hAnsi="宋体" w:eastAsia="宋体" w:cs="宋体"/>
          <w:b/>
          <w:bCs/>
          <w:lang w:val="en-US" w:eastAsia="zh-CN"/>
        </w:rPr>
        <w:t>七</w:t>
      </w:r>
      <w:r>
        <w:rPr>
          <w:rFonts w:hint="eastAsia" w:ascii="宋体" w:hAnsi="宋体" w:eastAsia="宋体" w:cs="宋体"/>
          <w:b/>
          <w:bCs/>
        </w:rPr>
        <w:t>、</w:t>
      </w:r>
      <w:r>
        <w:rPr>
          <w:rFonts w:hint="eastAsia" w:ascii="宋体" w:hAnsi="宋体" w:eastAsia="宋体" w:cs="宋体"/>
          <w:b/>
          <w:bCs/>
          <w:lang w:val="en-US" w:eastAsia="zh-CN"/>
        </w:rPr>
        <w:t>技术文件</w:t>
      </w:r>
    </w:p>
    <w:p w14:paraId="5321D25A">
      <w:pPr>
        <w:pStyle w:val="18"/>
        <w:spacing w:line="360" w:lineRule="auto"/>
        <w:jc w:val="center"/>
        <w:rPr>
          <w:rFonts w:hint="eastAsia" w:ascii="宋体" w:hAnsi="宋体" w:eastAsia="宋体" w:cs="宋体"/>
          <w:b/>
          <w:bCs/>
        </w:rPr>
      </w:pPr>
    </w:p>
    <w:sectPr>
      <w:pgSz w:w="11906" w:h="16838"/>
      <w:pgMar w:top="1134" w:right="1134" w:bottom="1134" w:left="1134" w:header="794" w:footer="794" w:gutter="0"/>
      <w:pgBorders>
        <w:top w:val="none" w:sz="0" w:space="0"/>
        <w:left w:val="none" w:sz="0" w:space="0"/>
        <w:bottom w:val="none" w:sz="0" w:space="0"/>
        <w:right w:val="none" w:sz="0" w:space="0"/>
      </w:pgBorders>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C01B">
    <w:pPr>
      <w:pStyle w:val="8"/>
      <w:pBdr>
        <w:top w:val="thickThinSmallGap" w:color="9F6559" w:sz="24" w:space="1"/>
        <w:left w:val="none" w:color="auto" w:sz="0" w:space="4"/>
        <w:bottom w:val="none" w:color="auto" w:sz="0" w:space="1"/>
        <w:right w:val="none" w:color="auto" w:sz="0" w:space="4"/>
      </w:pBdr>
      <w:wordWrap/>
      <w:topLinePunct w:val="0"/>
      <w:spacing w:line="240" w:lineRule="auto"/>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A59">
    <w:pPr>
      <w:pStyle w:val="8"/>
      <w:pBdr>
        <w:top w:val="thickThinSmallGap" w:color="9F6559" w:sz="24" w:space="1"/>
        <w:left w:val="none" w:color="auto" w:sz="0" w:space="4"/>
        <w:bottom w:val="none" w:color="auto" w:sz="0" w:space="1"/>
        <w:right w:val="none" w:color="auto" w:sz="0" w:space="4"/>
      </w:pBdr>
      <w:wordWrap/>
      <w:topLinePunct w:val="0"/>
      <w:spacing w:line="240" w:lineRule="auto"/>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C814F">
                          <w:pPr>
                            <w:pStyle w:val="8"/>
                            <w:wordWrap/>
                            <w:topLinePunct w:val="0"/>
                            <w:spacing w:line="240" w:lineRule="auto"/>
                            <w:ind w:firstLine="0" w:firstLineChars="0"/>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页 共 </w:t>
                          </w:r>
                          <w:r>
                            <w:rPr>
                              <w:rFonts w:hint="eastAsia"/>
                              <w:b/>
                              <w:bCs/>
                            </w:rPr>
                            <w:t>29</w:t>
                          </w:r>
                          <w:r>
                            <w:rPr>
                              <w:b/>
                              <w:bCs/>
                            </w:rPr>
                            <w:t xml:space="preserve"> 页</w:t>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jrMLzsEBAACNAwAADgAAAAAAAAABACAAAAAeAQAAZHJzL2Uyb0RvYy54bWxQSwUG&#10;AAAAAAYABgBZAQAAUQUAAAAA&#10;">
              <v:fill on="f" focussize="0,0"/>
              <v:stroke on="f"/>
              <v:imagedata o:title=""/>
              <o:lock v:ext="edit" aspectratio="f"/>
              <v:textbox inset="0mm,0mm,0mm,0mm" style="mso-fit-shape-to-text:t;">
                <w:txbxContent>
                  <w:p w14:paraId="64EC814F">
                    <w:pPr>
                      <w:pStyle w:val="8"/>
                      <w:wordWrap/>
                      <w:topLinePunct w:val="0"/>
                      <w:spacing w:line="240" w:lineRule="auto"/>
                      <w:ind w:firstLine="0" w:firstLineChars="0"/>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页 共 </w:t>
                    </w:r>
                    <w:r>
                      <w:rPr>
                        <w:rFonts w:hint="eastAsia"/>
                        <w:b/>
                        <w:bCs/>
                      </w:rPr>
                      <w:t>29</w:t>
                    </w:r>
                    <w:r>
                      <w:rPr>
                        <w:b/>
                        <w:bCs/>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4A239">
    <w:pPr>
      <w:pStyle w:val="8"/>
      <w:pBdr>
        <w:top w:val="thickThinSmallGap" w:color="9F6559" w:sz="24" w:space="1"/>
        <w:left w:val="none" w:color="auto" w:sz="0" w:space="4"/>
        <w:bottom w:val="none" w:color="auto" w:sz="0" w:space="1"/>
        <w:right w:val="none" w:color="auto" w:sz="0" w:space="4"/>
      </w:pBdr>
      <w:wordWrap/>
      <w:topLinePunct w:val="0"/>
      <w:spacing w:line="240" w:lineRule="auto"/>
      <w:ind w:firstLine="0" w:firstLineChars="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2A6D2B">
                          <w:pPr>
                            <w:pStyle w:val="8"/>
                            <w:wordWrap/>
                            <w:topLinePunct w:val="0"/>
                            <w:spacing w:line="240" w:lineRule="auto"/>
                            <w:ind w:firstLine="0" w:firstLineChars="0"/>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2</w:t>
                          </w:r>
                          <w:r>
                            <w:rPr>
                              <w:b/>
                              <w:bCs/>
                            </w:rPr>
                            <w:fldChar w:fldCharType="end"/>
                          </w:r>
                          <w:r>
                            <w:rPr>
                              <w:b/>
                              <w:bCs/>
                            </w:rPr>
                            <w:t xml:space="preserve"> 页 共 </w:t>
                          </w:r>
                          <w:r>
                            <w:rPr>
                              <w:b/>
                              <w:bCs/>
                            </w:rPr>
                            <w:fldChar w:fldCharType="begin"/>
                          </w:r>
                          <w:r>
                            <w:rPr>
                              <w:b/>
                              <w:bCs/>
                            </w:rPr>
                            <w:instrText xml:space="preserve"> NUMPAGES  \* MERGEFORMAT </w:instrText>
                          </w:r>
                          <w:r>
                            <w:rPr>
                              <w:b/>
                              <w:bCs/>
                            </w:rPr>
                            <w:fldChar w:fldCharType="separate"/>
                          </w:r>
                          <w:r>
                            <w:rPr>
                              <w:b/>
                              <w:bCs/>
                            </w:rPr>
                            <w:t>2</w:t>
                          </w:r>
                          <w:r>
                            <w:rPr>
                              <w:b/>
                              <w:bCs/>
                            </w:rPr>
                            <w:fldChar w:fldCharType="end"/>
                          </w:r>
                          <w:r>
                            <w:rPr>
                              <w:b/>
                              <w:bCs/>
                            </w:rPr>
                            <w:t xml:space="preserve"> 页</w:t>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719g2NYBAACyAwAADgAAAAAAAAABACAAAAAe&#10;AQAAZHJzL2Uyb0RvYy54bWxQSwUGAAAAAAYABgBZAQAAZgUAAAAA&#10;">
              <v:fill on="f" focussize="0,0"/>
              <v:stroke on="f"/>
              <v:imagedata o:title=""/>
              <o:lock v:ext="edit" aspectratio="f"/>
              <v:textbox inset="0mm,0mm,0mm,0mm" style="mso-fit-shape-to-text:t;">
                <w:txbxContent>
                  <w:p w14:paraId="362A6D2B">
                    <w:pPr>
                      <w:pStyle w:val="8"/>
                      <w:wordWrap/>
                      <w:topLinePunct w:val="0"/>
                      <w:spacing w:line="240" w:lineRule="auto"/>
                      <w:ind w:firstLine="0" w:firstLineChars="0"/>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2</w:t>
                    </w:r>
                    <w:r>
                      <w:rPr>
                        <w:b/>
                        <w:bCs/>
                      </w:rPr>
                      <w:fldChar w:fldCharType="end"/>
                    </w:r>
                    <w:r>
                      <w:rPr>
                        <w:b/>
                        <w:bCs/>
                      </w:rPr>
                      <w:t xml:space="preserve"> 页 共 </w:t>
                    </w:r>
                    <w:r>
                      <w:rPr>
                        <w:b/>
                        <w:bCs/>
                      </w:rPr>
                      <w:fldChar w:fldCharType="begin"/>
                    </w:r>
                    <w:r>
                      <w:rPr>
                        <w:b/>
                        <w:bCs/>
                      </w:rPr>
                      <w:instrText xml:space="preserve"> NUMPAGES  \* MERGEFORMAT </w:instrText>
                    </w:r>
                    <w:r>
                      <w:rPr>
                        <w:b/>
                        <w:bCs/>
                      </w:rPr>
                      <w:fldChar w:fldCharType="separate"/>
                    </w:r>
                    <w:r>
                      <w:rPr>
                        <w:b/>
                        <w:bCs/>
                      </w:rPr>
                      <w:t>2</w:t>
                    </w:r>
                    <w:r>
                      <w:rPr>
                        <w:b/>
                        <w:bCs/>
                      </w:rPr>
                      <w:fldChar w:fldCharType="end"/>
                    </w:r>
                    <w:r>
                      <w:rPr>
                        <w:b/>
                        <w:bCs/>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18CF6">
    <w:pPr>
      <w:pStyle w:val="8"/>
      <w:pBdr>
        <w:top w:val="thickThinSmallGap" w:color="9F6559" w:sz="24" w:space="1"/>
        <w:left w:val="none" w:color="auto" w:sz="0" w:space="4"/>
        <w:bottom w:val="none" w:color="auto" w:sz="0" w:space="1"/>
        <w:right w:val="none" w:color="auto" w:sz="0" w:space="4"/>
      </w:pBdr>
      <w:wordWrap/>
      <w:topLinePunct w:val="0"/>
      <w:spacing w:line="240" w:lineRule="auto"/>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94D72">
    <w:pPr>
      <w:pStyle w:val="9"/>
      <w:wordWrap/>
      <w:topLinePunct w:val="0"/>
      <w:adjustRightInd w:val="0"/>
      <w:snapToGrid/>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F2C28">
    <w:pPr>
      <w:pStyle w:val="9"/>
      <w:pBdr>
        <w:bottom w:val="thinThickSmallGap" w:color="9F6559" w:sz="24" w:space="1"/>
      </w:pBdr>
      <w:wordWrap/>
      <w:topLinePunct w:val="0"/>
      <w:adjustRightInd w:val="0"/>
      <w:snapToGrid/>
      <w:ind w:firstLine="0" w:firstLineChars="0"/>
    </w:pPr>
    <w:r>
      <w:drawing>
        <wp:inline distT="0" distB="0" distL="114300" distR="114300">
          <wp:extent cx="192405" cy="96520"/>
          <wp:effectExtent l="0" t="0" r="17145" b="17780"/>
          <wp:docPr id="3" name="图片 4" descr="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司徽"/>
                  <pic:cNvPicPr>
                    <a:picLocks noChangeAspect="1"/>
                  </pic:cNvPicPr>
                </pic:nvPicPr>
                <pic:blipFill>
                  <a:blip r:embed="rId1"/>
                  <a:stretch>
                    <a:fillRect/>
                  </a:stretch>
                </pic:blipFill>
                <pic:spPr>
                  <a:xfrm>
                    <a:off x="0" y="0"/>
                    <a:ext cx="192405" cy="96520"/>
                  </a:xfrm>
                  <a:prstGeom prst="rect">
                    <a:avLst/>
                  </a:prstGeom>
                  <a:noFill/>
                  <a:ln>
                    <a:noFill/>
                  </a:ln>
                </pic:spPr>
              </pic:pic>
            </a:graphicData>
          </a:graphic>
        </wp:inline>
      </w:drawing>
    </w:r>
    <w:r>
      <w:rPr>
        <w:rFonts w:hint="eastAsia"/>
      </w:rPr>
      <w:t>重庆公路养护工程（集团）有限公司其它合同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8800E">
    <w:pPr>
      <w:pStyle w:val="9"/>
      <w:pBdr>
        <w:bottom w:val="thinThickSmallGap" w:color="9F6559" w:sz="24" w:space="1"/>
      </w:pBdr>
      <w:wordWrap/>
      <w:topLinePunct w:val="0"/>
      <w:adjustRightInd w:val="0"/>
      <w:snapToGrid/>
      <w:ind w:firstLine="0" w:firstLineChars="0"/>
    </w:pPr>
    <w:r>
      <w:drawing>
        <wp:inline distT="0" distB="0" distL="114300" distR="114300">
          <wp:extent cx="192405" cy="96520"/>
          <wp:effectExtent l="0" t="0" r="17145" b="17780"/>
          <wp:docPr id="4" name="图片 5" descr="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司徽"/>
                  <pic:cNvPicPr>
                    <a:picLocks noChangeAspect="1"/>
                  </pic:cNvPicPr>
                </pic:nvPicPr>
                <pic:blipFill>
                  <a:blip r:embed="rId1"/>
                  <a:stretch>
                    <a:fillRect/>
                  </a:stretch>
                </pic:blipFill>
                <pic:spPr>
                  <a:xfrm>
                    <a:off x="0" y="0"/>
                    <a:ext cx="192405" cy="96520"/>
                  </a:xfrm>
                  <a:prstGeom prst="rect">
                    <a:avLst/>
                  </a:prstGeom>
                  <a:noFill/>
                  <a:ln>
                    <a:noFill/>
                  </a:ln>
                </pic:spPr>
              </pic:pic>
            </a:graphicData>
          </a:graphic>
        </wp:inline>
      </w:drawing>
    </w:r>
    <w:r>
      <w:rPr>
        <w:rFonts w:hint="eastAsia"/>
      </w:rPr>
      <w:t>重庆公路养护工程（集团）有限公司比选文件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50C63"/>
    <w:multiLevelType w:val="singleLevel"/>
    <w:tmpl w:val="BF850C63"/>
    <w:lvl w:ilvl="0" w:tentative="0">
      <w:start w:val="6"/>
      <w:numFmt w:val="chineseCounting"/>
      <w:suff w:val="nothing"/>
      <w:lvlText w:val="%1、"/>
      <w:lvlJc w:val="left"/>
      <w:rPr>
        <w:rFonts w:hint="eastAsia"/>
        <w:b/>
        <w:bCs/>
      </w:rPr>
    </w:lvl>
  </w:abstractNum>
  <w:abstractNum w:abstractNumId="1">
    <w:nsid w:val="7CE6CC09"/>
    <w:multiLevelType w:val="singleLevel"/>
    <w:tmpl w:val="7CE6CC0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iYmUzODg1ZGZkNDE4MzBlYjcxMzQ0NzlkYmRlNmYifQ=="/>
  </w:docVars>
  <w:rsids>
    <w:rsidRoot w:val="006F5000"/>
    <w:rsid w:val="00046323"/>
    <w:rsid w:val="000905A1"/>
    <w:rsid w:val="000B68B4"/>
    <w:rsid w:val="000F7880"/>
    <w:rsid w:val="00122E31"/>
    <w:rsid w:val="00155FC5"/>
    <w:rsid w:val="00162F6C"/>
    <w:rsid w:val="00176C5F"/>
    <w:rsid w:val="002410F1"/>
    <w:rsid w:val="00384BAD"/>
    <w:rsid w:val="003C534F"/>
    <w:rsid w:val="004E39F9"/>
    <w:rsid w:val="00543675"/>
    <w:rsid w:val="00625373"/>
    <w:rsid w:val="006F14E0"/>
    <w:rsid w:val="006F5000"/>
    <w:rsid w:val="0076476B"/>
    <w:rsid w:val="008741BD"/>
    <w:rsid w:val="00876D89"/>
    <w:rsid w:val="008F0E2B"/>
    <w:rsid w:val="00962AD6"/>
    <w:rsid w:val="009B20DA"/>
    <w:rsid w:val="00A33001"/>
    <w:rsid w:val="00A6399D"/>
    <w:rsid w:val="00AB1D9A"/>
    <w:rsid w:val="00AC187C"/>
    <w:rsid w:val="00AE5227"/>
    <w:rsid w:val="00B23F33"/>
    <w:rsid w:val="00C46174"/>
    <w:rsid w:val="00C95A7A"/>
    <w:rsid w:val="00CA6719"/>
    <w:rsid w:val="00D67D98"/>
    <w:rsid w:val="00DA05FC"/>
    <w:rsid w:val="00E1508A"/>
    <w:rsid w:val="00E320EC"/>
    <w:rsid w:val="00E367C6"/>
    <w:rsid w:val="00E36C9D"/>
    <w:rsid w:val="00E42E61"/>
    <w:rsid w:val="00F13FBF"/>
    <w:rsid w:val="00F51166"/>
    <w:rsid w:val="00F72158"/>
    <w:rsid w:val="00FB05FD"/>
    <w:rsid w:val="00FD0D4F"/>
    <w:rsid w:val="01020947"/>
    <w:rsid w:val="01084F7C"/>
    <w:rsid w:val="010B2E9D"/>
    <w:rsid w:val="017D05C7"/>
    <w:rsid w:val="018F233B"/>
    <w:rsid w:val="019A79F0"/>
    <w:rsid w:val="019F7490"/>
    <w:rsid w:val="01D05B9B"/>
    <w:rsid w:val="01E31AA6"/>
    <w:rsid w:val="01F12F9A"/>
    <w:rsid w:val="01F26907"/>
    <w:rsid w:val="020B6A0C"/>
    <w:rsid w:val="020C7E90"/>
    <w:rsid w:val="022F3FC6"/>
    <w:rsid w:val="024E0ADE"/>
    <w:rsid w:val="026E18FF"/>
    <w:rsid w:val="02B273CB"/>
    <w:rsid w:val="02D65A77"/>
    <w:rsid w:val="02DF7E30"/>
    <w:rsid w:val="02EA76BA"/>
    <w:rsid w:val="0314324A"/>
    <w:rsid w:val="03195361"/>
    <w:rsid w:val="03292AA8"/>
    <w:rsid w:val="033423EB"/>
    <w:rsid w:val="035D3297"/>
    <w:rsid w:val="03633691"/>
    <w:rsid w:val="036F5315"/>
    <w:rsid w:val="03773225"/>
    <w:rsid w:val="03773FF3"/>
    <w:rsid w:val="037A35D8"/>
    <w:rsid w:val="039B615A"/>
    <w:rsid w:val="039F04E3"/>
    <w:rsid w:val="03AC7560"/>
    <w:rsid w:val="03CB596A"/>
    <w:rsid w:val="03D24018"/>
    <w:rsid w:val="03D723D4"/>
    <w:rsid w:val="03DE5A5A"/>
    <w:rsid w:val="03ED01C9"/>
    <w:rsid w:val="03FA293F"/>
    <w:rsid w:val="03FC4EDD"/>
    <w:rsid w:val="03FD7655"/>
    <w:rsid w:val="03FF434E"/>
    <w:rsid w:val="04074F24"/>
    <w:rsid w:val="041852F8"/>
    <w:rsid w:val="04201261"/>
    <w:rsid w:val="04431338"/>
    <w:rsid w:val="044A78AD"/>
    <w:rsid w:val="04502A32"/>
    <w:rsid w:val="047C6952"/>
    <w:rsid w:val="049D00DA"/>
    <w:rsid w:val="04A078A2"/>
    <w:rsid w:val="04A7196A"/>
    <w:rsid w:val="04B60BA6"/>
    <w:rsid w:val="04BB43D8"/>
    <w:rsid w:val="04DC01EC"/>
    <w:rsid w:val="052D4EEB"/>
    <w:rsid w:val="053265DB"/>
    <w:rsid w:val="054624B3"/>
    <w:rsid w:val="05527330"/>
    <w:rsid w:val="05652F8E"/>
    <w:rsid w:val="056827B1"/>
    <w:rsid w:val="058A6B2A"/>
    <w:rsid w:val="05956253"/>
    <w:rsid w:val="05A54A95"/>
    <w:rsid w:val="05B9052D"/>
    <w:rsid w:val="05CC10CB"/>
    <w:rsid w:val="05D90BCF"/>
    <w:rsid w:val="05F549C0"/>
    <w:rsid w:val="060D5B1A"/>
    <w:rsid w:val="061817B8"/>
    <w:rsid w:val="06227C85"/>
    <w:rsid w:val="062E1A69"/>
    <w:rsid w:val="063030BF"/>
    <w:rsid w:val="06311E4F"/>
    <w:rsid w:val="063B6F30"/>
    <w:rsid w:val="064404DC"/>
    <w:rsid w:val="0662575E"/>
    <w:rsid w:val="066E30C6"/>
    <w:rsid w:val="068B561E"/>
    <w:rsid w:val="06B56650"/>
    <w:rsid w:val="06BB7356"/>
    <w:rsid w:val="06C8001C"/>
    <w:rsid w:val="06D82550"/>
    <w:rsid w:val="06E31DDF"/>
    <w:rsid w:val="06E64378"/>
    <w:rsid w:val="06EE4206"/>
    <w:rsid w:val="07831B31"/>
    <w:rsid w:val="078F406C"/>
    <w:rsid w:val="0791107E"/>
    <w:rsid w:val="07AD34D0"/>
    <w:rsid w:val="07B31C3B"/>
    <w:rsid w:val="07B9511D"/>
    <w:rsid w:val="07DA0804"/>
    <w:rsid w:val="07DE427B"/>
    <w:rsid w:val="07E37535"/>
    <w:rsid w:val="07FB0EB1"/>
    <w:rsid w:val="081F388D"/>
    <w:rsid w:val="08226D45"/>
    <w:rsid w:val="084127C5"/>
    <w:rsid w:val="08494076"/>
    <w:rsid w:val="08655B77"/>
    <w:rsid w:val="086F019C"/>
    <w:rsid w:val="087C48CD"/>
    <w:rsid w:val="088E6BD5"/>
    <w:rsid w:val="08901514"/>
    <w:rsid w:val="08B84ACC"/>
    <w:rsid w:val="08BD013F"/>
    <w:rsid w:val="08C568A6"/>
    <w:rsid w:val="08D27CCC"/>
    <w:rsid w:val="08ED2FA4"/>
    <w:rsid w:val="09022D99"/>
    <w:rsid w:val="090F6F21"/>
    <w:rsid w:val="09176776"/>
    <w:rsid w:val="092E4EC3"/>
    <w:rsid w:val="092F4BCB"/>
    <w:rsid w:val="0936345B"/>
    <w:rsid w:val="09685C51"/>
    <w:rsid w:val="096D25CB"/>
    <w:rsid w:val="09800977"/>
    <w:rsid w:val="09844D5C"/>
    <w:rsid w:val="09980C47"/>
    <w:rsid w:val="09A93919"/>
    <w:rsid w:val="09AE29F6"/>
    <w:rsid w:val="09C13749"/>
    <w:rsid w:val="09EE1602"/>
    <w:rsid w:val="0A165F4E"/>
    <w:rsid w:val="0A6764C5"/>
    <w:rsid w:val="0A7C52D7"/>
    <w:rsid w:val="0A8B70E7"/>
    <w:rsid w:val="0A936EFE"/>
    <w:rsid w:val="0AB92370"/>
    <w:rsid w:val="0ACD772F"/>
    <w:rsid w:val="0AD118D9"/>
    <w:rsid w:val="0AFA1736"/>
    <w:rsid w:val="0AFA4A91"/>
    <w:rsid w:val="0B091495"/>
    <w:rsid w:val="0B3D46B0"/>
    <w:rsid w:val="0BBB1E54"/>
    <w:rsid w:val="0BDC6996"/>
    <w:rsid w:val="0BDF6813"/>
    <w:rsid w:val="0BE0468D"/>
    <w:rsid w:val="0C086D90"/>
    <w:rsid w:val="0C167DA5"/>
    <w:rsid w:val="0C1B2900"/>
    <w:rsid w:val="0C265298"/>
    <w:rsid w:val="0C2C4697"/>
    <w:rsid w:val="0C6A26A2"/>
    <w:rsid w:val="0C95560E"/>
    <w:rsid w:val="0C9E543B"/>
    <w:rsid w:val="0CA75C30"/>
    <w:rsid w:val="0CC701D1"/>
    <w:rsid w:val="0CD81B60"/>
    <w:rsid w:val="0CDE4578"/>
    <w:rsid w:val="0CE5425D"/>
    <w:rsid w:val="0CEB6390"/>
    <w:rsid w:val="0CF2230B"/>
    <w:rsid w:val="0D0A067C"/>
    <w:rsid w:val="0D2D630C"/>
    <w:rsid w:val="0D327330"/>
    <w:rsid w:val="0D433034"/>
    <w:rsid w:val="0D683609"/>
    <w:rsid w:val="0D723B67"/>
    <w:rsid w:val="0D7939AA"/>
    <w:rsid w:val="0D7F22E1"/>
    <w:rsid w:val="0D8F108A"/>
    <w:rsid w:val="0D9203D6"/>
    <w:rsid w:val="0D9606BA"/>
    <w:rsid w:val="0D965D57"/>
    <w:rsid w:val="0DB339FB"/>
    <w:rsid w:val="0DC572A2"/>
    <w:rsid w:val="0DCF07BE"/>
    <w:rsid w:val="0E2A7053"/>
    <w:rsid w:val="0E624C82"/>
    <w:rsid w:val="0E650DEE"/>
    <w:rsid w:val="0E664834"/>
    <w:rsid w:val="0E763B22"/>
    <w:rsid w:val="0E787637"/>
    <w:rsid w:val="0E91168C"/>
    <w:rsid w:val="0E9C6792"/>
    <w:rsid w:val="0EC51CFE"/>
    <w:rsid w:val="0EE06FBD"/>
    <w:rsid w:val="0EE219CB"/>
    <w:rsid w:val="0EFE2CB5"/>
    <w:rsid w:val="0F007C87"/>
    <w:rsid w:val="0F17210E"/>
    <w:rsid w:val="0F202290"/>
    <w:rsid w:val="0F2159AA"/>
    <w:rsid w:val="0F525C4F"/>
    <w:rsid w:val="0F551B13"/>
    <w:rsid w:val="0F5A39C8"/>
    <w:rsid w:val="0F6239E3"/>
    <w:rsid w:val="0F6F6A66"/>
    <w:rsid w:val="0F851480"/>
    <w:rsid w:val="0F967989"/>
    <w:rsid w:val="0FA63352"/>
    <w:rsid w:val="0FA63DC5"/>
    <w:rsid w:val="0FD52234"/>
    <w:rsid w:val="0FE602E5"/>
    <w:rsid w:val="101871F3"/>
    <w:rsid w:val="102472BA"/>
    <w:rsid w:val="1051315E"/>
    <w:rsid w:val="1053067F"/>
    <w:rsid w:val="105E0D37"/>
    <w:rsid w:val="105F0D66"/>
    <w:rsid w:val="107B3D4F"/>
    <w:rsid w:val="109B3C37"/>
    <w:rsid w:val="109D4079"/>
    <w:rsid w:val="10C72E03"/>
    <w:rsid w:val="10C83D1A"/>
    <w:rsid w:val="10E868DE"/>
    <w:rsid w:val="10F15826"/>
    <w:rsid w:val="1130064E"/>
    <w:rsid w:val="11425C6A"/>
    <w:rsid w:val="116633DE"/>
    <w:rsid w:val="11856232"/>
    <w:rsid w:val="11951E4E"/>
    <w:rsid w:val="11BC570C"/>
    <w:rsid w:val="11FF376C"/>
    <w:rsid w:val="11FF6E87"/>
    <w:rsid w:val="122C75C9"/>
    <w:rsid w:val="122F74A3"/>
    <w:rsid w:val="12624C09"/>
    <w:rsid w:val="126E27DD"/>
    <w:rsid w:val="12850115"/>
    <w:rsid w:val="129E78FC"/>
    <w:rsid w:val="12B96337"/>
    <w:rsid w:val="12BE50A4"/>
    <w:rsid w:val="12D60D55"/>
    <w:rsid w:val="1301347B"/>
    <w:rsid w:val="130F4A91"/>
    <w:rsid w:val="13293CCA"/>
    <w:rsid w:val="132F2CA8"/>
    <w:rsid w:val="134153C4"/>
    <w:rsid w:val="13720EF9"/>
    <w:rsid w:val="1379361D"/>
    <w:rsid w:val="13804AA9"/>
    <w:rsid w:val="138B0773"/>
    <w:rsid w:val="13D87B02"/>
    <w:rsid w:val="13DD763F"/>
    <w:rsid w:val="13E974D9"/>
    <w:rsid w:val="14094BEE"/>
    <w:rsid w:val="142314C2"/>
    <w:rsid w:val="143E4A1F"/>
    <w:rsid w:val="145C49C7"/>
    <w:rsid w:val="145E6104"/>
    <w:rsid w:val="14602BBB"/>
    <w:rsid w:val="14632936"/>
    <w:rsid w:val="146330EF"/>
    <w:rsid w:val="148042D6"/>
    <w:rsid w:val="14833801"/>
    <w:rsid w:val="148C0A7B"/>
    <w:rsid w:val="148F74FA"/>
    <w:rsid w:val="149458FB"/>
    <w:rsid w:val="149D14E7"/>
    <w:rsid w:val="14A34723"/>
    <w:rsid w:val="14AC5D06"/>
    <w:rsid w:val="14CA064F"/>
    <w:rsid w:val="14CF23A1"/>
    <w:rsid w:val="150C0679"/>
    <w:rsid w:val="151260FF"/>
    <w:rsid w:val="1517551A"/>
    <w:rsid w:val="154C0E82"/>
    <w:rsid w:val="155E7F6F"/>
    <w:rsid w:val="157032D8"/>
    <w:rsid w:val="15737F09"/>
    <w:rsid w:val="159F43E4"/>
    <w:rsid w:val="15A30677"/>
    <w:rsid w:val="15AB7914"/>
    <w:rsid w:val="15AF00BF"/>
    <w:rsid w:val="15C55075"/>
    <w:rsid w:val="15C60F57"/>
    <w:rsid w:val="15E07D64"/>
    <w:rsid w:val="15ED241E"/>
    <w:rsid w:val="16027CCE"/>
    <w:rsid w:val="160905B8"/>
    <w:rsid w:val="16145C19"/>
    <w:rsid w:val="16494A52"/>
    <w:rsid w:val="164F5CC0"/>
    <w:rsid w:val="168A4AD6"/>
    <w:rsid w:val="16977443"/>
    <w:rsid w:val="169F097D"/>
    <w:rsid w:val="16A83797"/>
    <w:rsid w:val="16BA48A8"/>
    <w:rsid w:val="16BC0043"/>
    <w:rsid w:val="16D95C56"/>
    <w:rsid w:val="16E37995"/>
    <w:rsid w:val="16E42F30"/>
    <w:rsid w:val="16EC1AF2"/>
    <w:rsid w:val="17006E9C"/>
    <w:rsid w:val="17182AC2"/>
    <w:rsid w:val="171D418C"/>
    <w:rsid w:val="17476869"/>
    <w:rsid w:val="174A7F5B"/>
    <w:rsid w:val="175D54D8"/>
    <w:rsid w:val="175F5228"/>
    <w:rsid w:val="17736BC9"/>
    <w:rsid w:val="17976651"/>
    <w:rsid w:val="17990945"/>
    <w:rsid w:val="17A7449E"/>
    <w:rsid w:val="17C105CA"/>
    <w:rsid w:val="17D45783"/>
    <w:rsid w:val="17DC5C6F"/>
    <w:rsid w:val="17FF4C3B"/>
    <w:rsid w:val="180A77BE"/>
    <w:rsid w:val="1838621D"/>
    <w:rsid w:val="183A72AB"/>
    <w:rsid w:val="18610CDC"/>
    <w:rsid w:val="18640DB0"/>
    <w:rsid w:val="18682F94"/>
    <w:rsid w:val="186F2E87"/>
    <w:rsid w:val="18803F5D"/>
    <w:rsid w:val="18A30978"/>
    <w:rsid w:val="18A51E4C"/>
    <w:rsid w:val="18CE37A5"/>
    <w:rsid w:val="18EC082B"/>
    <w:rsid w:val="18EC4DB8"/>
    <w:rsid w:val="18F741CF"/>
    <w:rsid w:val="190016EC"/>
    <w:rsid w:val="194801F7"/>
    <w:rsid w:val="19636CD6"/>
    <w:rsid w:val="19877C57"/>
    <w:rsid w:val="19A77EAA"/>
    <w:rsid w:val="19CC2759"/>
    <w:rsid w:val="19D02596"/>
    <w:rsid w:val="19D56E26"/>
    <w:rsid w:val="19F51723"/>
    <w:rsid w:val="19F70184"/>
    <w:rsid w:val="19FA26FF"/>
    <w:rsid w:val="19FD6C3F"/>
    <w:rsid w:val="19FE255B"/>
    <w:rsid w:val="1A047D4D"/>
    <w:rsid w:val="1A185737"/>
    <w:rsid w:val="1A50725A"/>
    <w:rsid w:val="1A6076B8"/>
    <w:rsid w:val="1A8C7289"/>
    <w:rsid w:val="1A9133CF"/>
    <w:rsid w:val="1A975BA9"/>
    <w:rsid w:val="1AA0714D"/>
    <w:rsid w:val="1AA77DE7"/>
    <w:rsid w:val="1AA8052D"/>
    <w:rsid w:val="1AAA67D2"/>
    <w:rsid w:val="1AC212BE"/>
    <w:rsid w:val="1AD361C2"/>
    <w:rsid w:val="1ADB2633"/>
    <w:rsid w:val="1ADD4EBE"/>
    <w:rsid w:val="1ADE5524"/>
    <w:rsid w:val="1AE43B4E"/>
    <w:rsid w:val="1AEF66E8"/>
    <w:rsid w:val="1AF22AFB"/>
    <w:rsid w:val="1AF57E02"/>
    <w:rsid w:val="1AF666BB"/>
    <w:rsid w:val="1B1A4272"/>
    <w:rsid w:val="1B293BD0"/>
    <w:rsid w:val="1B3C6613"/>
    <w:rsid w:val="1B6A02FE"/>
    <w:rsid w:val="1B80714B"/>
    <w:rsid w:val="1B87022C"/>
    <w:rsid w:val="1B904345"/>
    <w:rsid w:val="1B96415F"/>
    <w:rsid w:val="1BA116DB"/>
    <w:rsid w:val="1BAF3153"/>
    <w:rsid w:val="1BCB46BE"/>
    <w:rsid w:val="1BD20764"/>
    <w:rsid w:val="1BEB01F4"/>
    <w:rsid w:val="1C53322C"/>
    <w:rsid w:val="1C634412"/>
    <w:rsid w:val="1C7D3C0B"/>
    <w:rsid w:val="1C92436D"/>
    <w:rsid w:val="1C977190"/>
    <w:rsid w:val="1CC157B9"/>
    <w:rsid w:val="1CD0071F"/>
    <w:rsid w:val="1CE40074"/>
    <w:rsid w:val="1CFE1E6D"/>
    <w:rsid w:val="1D0A0173"/>
    <w:rsid w:val="1D2B1EAD"/>
    <w:rsid w:val="1D30750F"/>
    <w:rsid w:val="1D643175"/>
    <w:rsid w:val="1D903201"/>
    <w:rsid w:val="1D947C97"/>
    <w:rsid w:val="1DC85C03"/>
    <w:rsid w:val="1DCA1843"/>
    <w:rsid w:val="1DDE59D3"/>
    <w:rsid w:val="1DE07BBF"/>
    <w:rsid w:val="1DE254DC"/>
    <w:rsid w:val="1DED1E16"/>
    <w:rsid w:val="1E0E3D19"/>
    <w:rsid w:val="1E155C19"/>
    <w:rsid w:val="1E401523"/>
    <w:rsid w:val="1E6E70AD"/>
    <w:rsid w:val="1E776826"/>
    <w:rsid w:val="1E800708"/>
    <w:rsid w:val="1EBA7398"/>
    <w:rsid w:val="1EC079A3"/>
    <w:rsid w:val="1EDD50BF"/>
    <w:rsid w:val="1EDE1317"/>
    <w:rsid w:val="1EDF7D57"/>
    <w:rsid w:val="1F027967"/>
    <w:rsid w:val="1F224933"/>
    <w:rsid w:val="1F263F87"/>
    <w:rsid w:val="1F2F005C"/>
    <w:rsid w:val="1F3A1FB4"/>
    <w:rsid w:val="1F4D0C79"/>
    <w:rsid w:val="1F57219B"/>
    <w:rsid w:val="1F644689"/>
    <w:rsid w:val="1F6F531F"/>
    <w:rsid w:val="1F987DD7"/>
    <w:rsid w:val="1FA0658E"/>
    <w:rsid w:val="1FA2784D"/>
    <w:rsid w:val="1FB576C6"/>
    <w:rsid w:val="1FDF3F70"/>
    <w:rsid w:val="201D7094"/>
    <w:rsid w:val="20482782"/>
    <w:rsid w:val="20494115"/>
    <w:rsid w:val="204C3ED3"/>
    <w:rsid w:val="205C218A"/>
    <w:rsid w:val="207639C7"/>
    <w:rsid w:val="207761B1"/>
    <w:rsid w:val="208F3996"/>
    <w:rsid w:val="20B11D40"/>
    <w:rsid w:val="20C63616"/>
    <w:rsid w:val="20CB2ACB"/>
    <w:rsid w:val="20D34E23"/>
    <w:rsid w:val="20EB3DB2"/>
    <w:rsid w:val="20EC5601"/>
    <w:rsid w:val="21124301"/>
    <w:rsid w:val="21214900"/>
    <w:rsid w:val="212A2479"/>
    <w:rsid w:val="214B4EFF"/>
    <w:rsid w:val="214B5E6C"/>
    <w:rsid w:val="216845B0"/>
    <w:rsid w:val="21861D5F"/>
    <w:rsid w:val="21887DA2"/>
    <w:rsid w:val="219B168D"/>
    <w:rsid w:val="21A04B00"/>
    <w:rsid w:val="21E42EEE"/>
    <w:rsid w:val="21FD5962"/>
    <w:rsid w:val="22133F7D"/>
    <w:rsid w:val="221B0611"/>
    <w:rsid w:val="22370C0C"/>
    <w:rsid w:val="227B5EA2"/>
    <w:rsid w:val="228555CD"/>
    <w:rsid w:val="22950CF7"/>
    <w:rsid w:val="22A82837"/>
    <w:rsid w:val="22B250A4"/>
    <w:rsid w:val="22C57E79"/>
    <w:rsid w:val="22F84B13"/>
    <w:rsid w:val="230225B7"/>
    <w:rsid w:val="231C0472"/>
    <w:rsid w:val="231C0688"/>
    <w:rsid w:val="23272B22"/>
    <w:rsid w:val="232779A1"/>
    <w:rsid w:val="232D4A71"/>
    <w:rsid w:val="23387B31"/>
    <w:rsid w:val="2344026D"/>
    <w:rsid w:val="238B17FC"/>
    <w:rsid w:val="23BA3049"/>
    <w:rsid w:val="23BF25F0"/>
    <w:rsid w:val="23E76000"/>
    <w:rsid w:val="24122100"/>
    <w:rsid w:val="24167CD4"/>
    <w:rsid w:val="2447025B"/>
    <w:rsid w:val="24587627"/>
    <w:rsid w:val="24715FE4"/>
    <w:rsid w:val="24723718"/>
    <w:rsid w:val="247256F4"/>
    <w:rsid w:val="248C65D0"/>
    <w:rsid w:val="24A23FF5"/>
    <w:rsid w:val="24C57C43"/>
    <w:rsid w:val="24F41381"/>
    <w:rsid w:val="253478F6"/>
    <w:rsid w:val="254956E2"/>
    <w:rsid w:val="25535405"/>
    <w:rsid w:val="259E6A71"/>
    <w:rsid w:val="25A13BD2"/>
    <w:rsid w:val="25AF23B8"/>
    <w:rsid w:val="25CA2684"/>
    <w:rsid w:val="25D459BC"/>
    <w:rsid w:val="26140282"/>
    <w:rsid w:val="261A3D91"/>
    <w:rsid w:val="26201778"/>
    <w:rsid w:val="26281BD3"/>
    <w:rsid w:val="264B5662"/>
    <w:rsid w:val="265D3DB3"/>
    <w:rsid w:val="265E4AAD"/>
    <w:rsid w:val="268C3F8E"/>
    <w:rsid w:val="269C5630"/>
    <w:rsid w:val="26A02B9C"/>
    <w:rsid w:val="26C72C6E"/>
    <w:rsid w:val="26CB6EEB"/>
    <w:rsid w:val="26F40E35"/>
    <w:rsid w:val="270618C4"/>
    <w:rsid w:val="275B5F95"/>
    <w:rsid w:val="275D21BD"/>
    <w:rsid w:val="276A6185"/>
    <w:rsid w:val="277200F7"/>
    <w:rsid w:val="277257F9"/>
    <w:rsid w:val="27804ED8"/>
    <w:rsid w:val="27884C4A"/>
    <w:rsid w:val="27964429"/>
    <w:rsid w:val="27981BB6"/>
    <w:rsid w:val="27A75111"/>
    <w:rsid w:val="27B35E87"/>
    <w:rsid w:val="2804372C"/>
    <w:rsid w:val="281A1F9B"/>
    <w:rsid w:val="281B59AC"/>
    <w:rsid w:val="282002B9"/>
    <w:rsid w:val="283743EE"/>
    <w:rsid w:val="2858552C"/>
    <w:rsid w:val="28610BE1"/>
    <w:rsid w:val="287C6029"/>
    <w:rsid w:val="28854009"/>
    <w:rsid w:val="28D127AF"/>
    <w:rsid w:val="28E37F13"/>
    <w:rsid w:val="28F701EF"/>
    <w:rsid w:val="28F81218"/>
    <w:rsid w:val="29015162"/>
    <w:rsid w:val="29062EE6"/>
    <w:rsid w:val="291A7E33"/>
    <w:rsid w:val="296130F8"/>
    <w:rsid w:val="29695366"/>
    <w:rsid w:val="298016D2"/>
    <w:rsid w:val="299048BD"/>
    <w:rsid w:val="29B45C02"/>
    <w:rsid w:val="29B62B27"/>
    <w:rsid w:val="29C135D5"/>
    <w:rsid w:val="29DF2352"/>
    <w:rsid w:val="29EB48A9"/>
    <w:rsid w:val="29F94736"/>
    <w:rsid w:val="29FC08A1"/>
    <w:rsid w:val="2A1C0BCD"/>
    <w:rsid w:val="2A213888"/>
    <w:rsid w:val="2A5A367D"/>
    <w:rsid w:val="2A791E64"/>
    <w:rsid w:val="2A8755F8"/>
    <w:rsid w:val="2A913BA1"/>
    <w:rsid w:val="2AAE4B52"/>
    <w:rsid w:val="2AAF7830"/>
    <w:rsid w:val="2AB264E6"/>
    <w:rsid w:val="2AB54B27"/>
    <w:rsid w:val="2AC11AAE"/>
    <w:rsid w:val="2AC15AEA"/>
    <w:rsid w:val="2AFC6642"/>
    <w:rsid w:val="2B0C6692"/>
    <w:rsid w:val="2B303DE2"/>
    <w:rsid w:val="2B380ACD"/>
    <w:rsid w:val="2B5E377A"/>
    <w:rsid w:val="2B6808C2"/>
    <w:rsid w:val="2B696F2F"/>
    <w:rsid w:val="2B7411B6"/>
    <w:rsid w:val="2B7A5DF0"/>
    <w:rsid w:val="2B84284F"/>
    <w:rsid w:val="2B8604B9"/>
    <w:rsid w:val="2B94210E"/>
    <w:rsid w:val="2BC86218"/>
    <w:rsid w:val="2BE66A59"/>
    <w:rsid w:val="2C1138AD"/>
    <w:rsid w:val="2C123613"/>
    <w:rsid w:val="2C355EEE"/>
    <w:rsid w:val="2C5D3258"/>
    <w:rsid w:val="2C7564DE"/>
    <w:rsid w:val="2C8503E0"/>
    <w:rsid w:val="2CB354AD"/>
    <w:rsid w:val="2CD31124"/>
    <w:rsid w:val="2CD457DD"/>
    <w:rsid w:val="2CD630C6"/>
    <w:rsid w:val="2CF67D0A"/>
    <w:rsid w:val="2D186E6A"/>
    <w:rsid w:val="2D307863"/>
    <w:rsid w:val="2D3967D4"/>
    <w:rsid w:val="2D3F6A0B"/>
    <w:rsid w:val="2D78194C"/>
    <w:rsid w:val="2D7A38C5"/>
    <w:rsid w:val="2D8158DE"/>
    <w:rsid w:val="2D9560B8"/>
    <w:rsid w:val="2DA26C95"/>
    <w:rsid w:val="2DA50949"/>
    <w:rsid w:val="2DE82AFF"/>
    <w:rsid w:val="2DEE4B60"/>
    <w:rsid w:val="2E1F4078"/>
    <w:rsid w:val="2E3050EB"/>
    <w:rsid w:val="2E3C22A6"/>
    <w:rsid w:val="2E4F7C54"/>
    <w:rsid w:val="2E5E6EC7"/>
    <w:rsid w:val="2E6B5E77"/>
    <w:rsid w:val="2E6E7857"/>
    <w:rsid w:val="2E9C62DB"/>
    <w:rsid w:val="2EA93C46"/>
    <w:rsid w:val="2EB12A8D"/>
    <w:rsid w:val="2EB9100A"/>
    <w:rsid w:val="2EBF302A"/>
    <w:rsid w:val="2ED465BE"/>
    <w:rsid w:val="2EEA1977"/>
    <w:rsid w:val="2F383F9C"/>
    <w:rsid w:val="2F754C15"/>
    <w:rsid w:val="2F92016F"/>
    <w:rsid w:val="2F9D542A"/>
    <w:rsid w:val="2FB808FC"/>
    <w:rsid w:val="2FBF747E"/>
    <w:rsid w:val="2FC927C1"/>
    <w:rsid w:val="2FEB7DE6"/>
    <w:rsid w:val="2FEF6316"/>
    <w:rsid w:val="2FFC4F8A"/>
    <w:rsid w:val="3002329C"/>
    <w:rsid w:val="301A4843"/>
    <w:rsid w:val="302F70E4"/>
    <w:rsid w:val="30545A58"/>
    <w:rsid w:val="30A7716D"/>
    <w:rsid w:val="30BA664E"/>
    <w:rsid w:val="30C22EEF"/>
    <w:rsid w:val="30DC6444"/>
    <w:rsid w:val="30F51312"/>
    <w:rsid w:val="310C5DCC"/>
    <w:rsid w:val="311A4BEF"/>
    <w:rsid w:val="31233370"/>
    <w:rsid w:val="31344FDE"/>
    <w:rsid w:val="31361D50"/>
    <w:rsid w:val="313B4389"/>
    <w:rsid w:val="314D7BA4"/>
    <w:rsid w:val="31532E23"/>
    <w:rsid w:val="315C4DE2"/>
    <w:rsid w:val="31613819"/>
    <w:rsid w:val="316B2AB1"/>
    <w:rsid w:val="316F7023"/>
    <w:rsid w:val="318F5255"/>
    <w:rsid w:val="31A65AB1"/>
    <w:rsid w:val="31AF411E"/>
    <w:rsid w:val="31B5029F"/>
    <w:rsid w:val="31B65B11"/>
    <w:rsid w:val="31C12394"/>
    <w:rsid w:val="31C4318F"/>
    <w:rsid w:val="31C65D29"/>
    <w:rsid w:val="31DE156A"/>
    <w:rsid w:val="31F5501A"/>
    <w:rsid w:val="32054441"/>
    <w:rsid w:val="32251F1E"/>
    <w:rsid w:val="324131A7"/>
    <w:rsid w:val="324433D1"/>
    <w:rsid w:val="32564CEB"/>
    <w:rsid w:val="325B2AE6"/>
    <w:rsid w:val="325B2FFC"/>
    <w:rsid w:val="32911D66"/>
    <w:rsid w:val="32B0603F"/>
    <w:rsid w:val="32C321C5"/>
    <w:rsid w:val="32E17DB5"/>
    <w:rsid w:val="32E92B61"/>
    <w:rsid w:val="32F90742"/>
    <w:rsid w:val="335433CB"/>
    <w:rsid w:val="335A0D17"/>
    <w:rsid w:val="33647258"/>
    <w:rsid w:val="336A2CC2"/>
    <w:rsid w:val="336A6793"/>
    <w:rsid w:val="33716D83"/>
    <w:rsid w:val="33851EE7"/>
    <w:rsid w:val="338C3443"/>
    <w:rsid w:val="33A059EB"/>
    <w:rsid w:val="340238B0"/>
    <w:rsid w:val="341161D0"/>
    <w:rsid w:val="34263795"/>
    <w:rsid w:val="346F5D67"/>
    <w:rsid w:val="347B69E8"/>
    <w:rsid w:val="348578D7"/>
    <w:rsid w:val="34934F59"/>
    <w:rsid w:val="349C464C"/>
    <w:rsid w:val="34B52F33"/>
    <w:rsid w:val="34DA2E28"/>
    <w:rsid w:val="34FB1D40"/>
    <w:rsid w:val="35166208"/>
    <w:rsid w:val="351C0AD7"/>
    <w:rsid w:val="352F2E75"/>
    <w:rsid w:val="353F1F24"/>
    <w:rsid w:val="35475516"/>
    <w:rsid w:val="354B6B44"/>
    <w:rsid w:val="354D2404"/>
    <w:rsid w:val="35635D15"/>
    <w:rsid w:val="357D0ECE"/>
    <w:rsid w:val="358A25C4"/>
    <w:rsid w:val="359F2E7A"/>
    <w:rsid w:val="35B52AF0"/>
    <w:rsid w:val="35C5555E"/>
    <w:rsid w:val="35CB1B8B"/>
    <w:rsid w:val="35CF0C5D"/>
    <w:rsid w:val="35E96425"/>
    <w:rsid w:val="360F53A2"/>
    <w:rsid w:val="36383289"/>
    <w:rsid w:val="363B0F09"/>
    <w:rsid w:val="36476570"/>
    <w:rsid w:val="36482E72"/>
    <w:rsid w:val="364F4350"/>
    <w:rsid w:val="36510A45"/>
    <w:rsid w:val="36520A24"/>
    <w:rsid w:val="365F7148"/>
    <w:rsid w:val="36716136"/>
    <w:rsid w:val="36A37319"/>
    <w:rsid w:val="36BD3D26"/>
    <w:rsid w:val="36D03390"/>
    <w:rsid w:val="36D7545A"/>
    <w:rsid w:val="36DC52CB"/>
    <w:rsid w:val="36DD77D0"/>
    <w:rsid w:val="36E13C82"/>
    <w:rsid w:val="36E71894"/>
    <w:rsid w:val="37113C2B"/>
    <w:rsid w:val="371444D6"/>
    <w:rsid w:val="372A661C"/>
    <w:rsid w:val="37340624"/>
    <w:rsid w:val="378A7269"/>
    <w:rsid w:val="37922808"/>
    <w:rsid w:val="3792284A"/>
    <w:rsid w:val="379B4605"/>
    <w:rsid w:val="37AE7BFD"/>
    <w:rsid w:val="37B86E27"/>
    <w:rsid w:val="37B96EC4"/>
    <w:rsid w:val="37C65E94"/>
    <w:rsid w:val="37D45FD2"/>
    <w:rsid w:val="380934C1"/>
    <w:rsid w:val="38165FF2"/>
    <w:rsid w:val="3836237C"/>
    <w:rsid w:val="385B0A4F"/>
    <w:rsid w:val="385E093C"/>
    <w:rsid w:val="385F6F78"/>
    <w:rsid w:val="3861010E"/>
    <w:rsid w:val="38626757"/>
    <w:rsid w:val="386719CE"/>
    <w:rsid w:val="386858B4"/>
    <w:rsid w:val="388904EE"/>
    <w:rsid w:val="38A04294"/>
    <w:rsid w:val="38BC184E"/>
    <w:rsid w:val="38BF587F"/>
    <w:rsid w:val="38FE181C"/>
    <w:rsid w:val="39185C26"/>
    <w:rsid w:val="3933593C"/>
    <w:rsid w:val="394815BD"/>
    <w:rsid w:val="39495D48"/>
    <w:rsid w:val="3958001F"/>
    <w:rsid w:val="396C240F"/>
    <w:rsid w:val="396F2AE7"/>
    <w:rsid w:val="39726A3F"/>
    <w:rsid w:val="39841288"/>
    <w:rsid w:val="399A6F4F"/>
    <w:rsid w:val="39C877E6"/>
    <w:rsid w:val="39D70B9B"/>
    <w:rsid w:val="3A0472C2"/>
    <w:rsid w:val="3A0B1FA1"/>
    <w:rsid w:val="3A2D5038"/>
    <w:rsid w:val="3A5220C6"/>
    <w:rsid w:val="3A702564"/>
    <w:rsid w:val="3A842D3D"/>
    <w:rsid w:val="3A871B98"/>
    <w:rsid w:val="3A984A52"/>
    <w:rsid w:val="3AD531FF"/>
    <w:rsid w:val="3B1255F4"/>
    <w:rsid w:val="3B2148F7"/>
    <w:rsid w:val="3B6A419D"/>
    <w:rsid w:val="3BB45A54"/>
    <w:rsid w:val="3BB75ABA"/>
    <w:rsid w:val="3BC21465"/>
    <w:rsid w:val="3BC4746F"/>
    <w:rsid w:val="3BC93C3B"/>
    <w:rsid w:val="3BCE6E2A"/>
    <w:rsid w:val="3BE50B20"/>
    <w:rsid w:val="3BF362FD"/>
    <w:rsid w:val="3BFD537D"/>
    <w:rsid w:val="3C172859"/>
    <w:rsid w:val="3C231F23"/>
    <w:rsid w:val="3C2D2EDF"/>
    <w:rsid w:val="3C2E59FD"/>
    <w:rsid w:val="3C3E0299"/>
    <w:rsid w:val="3C7465C4"/>
    <w:rsid w:val="3C760151"/>
    <w:rsid w:val="3C76184F"/>
    <w:rsid w:val="3C8023DE"/>
    <w:rsid w:val="3C97699A"/>
    <w:rsid w:val="3CC23DE5"/>
    <w:rsid w:val="3CCD22FB"/>
    <w:rsid w:val="3CED741F"/>
    <w:rsid w:val="3CF065BC"/>
    <w:rsid w:val="3CFF3B3E"/>
    <w:rsid w:val="3D251A63"/>
    <w:rsid w:val="3D3A1978"/>
    <w:rsid w:val="3D3C4C9F"/>
    <w:rsid w:val="3D7639FF"/>
    <w:rsid w:val="3DA056E2"/>
    <w:rsid w:val="3DAB655A"/>
    <w:rsid w:val="3DB23D48"/>
    <w:rsid w:val="3DBB5FDF"/>
    <w:rsid w:val="3DBE7E80"/>
    <w:rsid w:val="3DDD2303"/>
    <w:rsid w:val="3DE42432"/>
    <w:rsid w:val="3DFA4C63"/>
    <w:rsid w:val="3E03550A"/>
    <w:rsid w:val="3E1B3F91"/>
    <w:rsid w:val="3E205CCE"/>
    <w:rsid w:val="3E3108C7"/>
    <w:rsid w:val="3E34126F"/>
    <w:rsid w:val="3E3C3193"/>
    <w:rsid w:val="3E484D75"/>
    <w:rsid w:val="3E4B34CE"/>
    <w:rsid w:val="3E626D8F"/>
    <w:rsid w:val="3E6418BC"/>
    <w:rsid w:val="3E704464"/>
    <w:rsid w:val="3E714FCD"/>
    <w:rsid w:val="3E7574BF"/>
    <w:rsid w:val="3E89765F"/>
    <w:rsid w:val="3E8B4029"/>
    <w:rsid w:val="3EA72A70"/>
    <w:rsid w:val="3EBE2135"/>
    <w:rsid w:val="3EBF4D6A"/>
    <w:rsid w:val="3EF012F5"/>
    <w:rsid w:val="3F125FDD"/>
    <w:rsid w:val="3F1A2F06"/>
    <w:rsid w:val="3F225FB0"/>
    <w:rsid w:val="3F2E70A0"/>
    <w:rsid w:val="3F4C4364"/>
    <w:rsid w:val="3F8D48A0"/>
    <w:rsid w:val="3F9E6536"/>
    <w:rsid w:val="3FA019FB"/>
    <w:rsid w:val="3FA30AB7"/>
    <w:rsid w:val="3FAF42C9"/>
    <w:rsid w:val="3FBD5259"/>
    <w:rsid w:val="3FE85BE1"/>
    <w:rsid w:val="3FF71C82"/>
    <w:rsid w:val="3FFB10E2"/>
    <w:rsid w:val="40260980"/>
    <w:rsid w:val="402E792A"/>
    <w:rsid w:val="4051599D"/>
    <w:rsid w:val="406F0330"/>
    <w:rsid w:val="407B7A7F"/>
    <w:rsid w:val="407D71CF"/>
    <w:rsid w:val="408903F2"/>
    <w:rsid w:val="409A78C4"/>
    <w:rsid w:val="40A87C18"/>
    <w:rsid w:val="40B13F96"/>
    <w:rsid w:val="40BE744A"/>
    <w:rsid w:val="40CD54BF"/>
    <w:rsid w:val="40DB3703"/>
    <w:rsid w:val="40E758C3"/>
    <w:rsid w:val="40EE5129"/>
    <w:rsid w:val="410D236D"/>
    <w:rsid w:val="412D35A2"/>
    <w:rsid w:val="41304840"/>
    <w:rsid w:val="41423F57"/>
    <w:rsid w:val="41613353"/>
    <w:rsid w:val="4168153D"/>
    <w:rsid w:val="41AD43B0"/>
    <w:rsid w:val="41AE5B1C"/>
    <w:rsid w:val="41CF4A0E"/>
    <w:rsid w:val="41D8708C"/>
    <w:rsid w:val="420155E2"/>
    <w:rsid w:val="4205606D"/>
    <w:rsid w:val="422308A7"/>
    <w:rsid w:val="426C1D19"/>
    <w:rsid w:val="42754F47"/>
    <w:rsid w:val="427F607F"/>
    <w:rsid w:val="42A124E5"/>
    <w:rsid w:val="42B42D1A"/>
    <w:rsid w:val="42C87E5E"/>
    <w:rsid w:val="42E23E1E"/>
    <w:rsid w:val="42EF1411"/>
    <w:rsid w:val="42F4315F"/>
    <w:rsid w:val="43011DCD"/>
    <w:rsid w:val="430F6B3C"/>
    <w:rsid w:val="432C3DFA"/>
    <w:rsid w:val="43310750"/>
    <w:rsid w:val="4337723F"/>
    <w:rsid w:val="43761523"/>
    <w:rsid w:val="438055D6"/>
    <w:rsid w:val="438731DD"/>
    <w:rsid w:val="438A1B5A"/>
    <w:rsid w:val="43A51762"/>
    <w:rsid w:val="43AA712C"/>
    <w:rsid w:val="43AB6556"/>
    <w:rsid w:val="43B5159F"/>
    <w:rsid w:val="43B660BD"/>
    <w:rsid w:val="43D422CC"/>
    <w:rsid w:val="43D62586"/>
    <w:rsid w:val="43E20674"/>
    <w:rsid w:val="43E81E04"/>
    <w:rsid w:val="441B36B9"/>
    <w:rsid w:val="443A16C8"/>
    <w:rsid w:val="443E76CD"/>
    <w:rsid w:val="4446477B"/>
    <w:rsid w:val="449F1BB0"/>
    <w:rsid w:val="44DB6C27"/>
    <w:rsid w:val="44DF784A"/>
    <w:rsid w:val="44E401F4"/>
    <w:rsid w:val="44F06F8C"/>
    <w:rsid w:val="44FB2728"/>
    <w:rsid w:val="45214007"/>
    <w:rsid w:val="453A78F1"/>
    <w:rsid w:val="45490783"/>
    <w:rsid w:val="45660E30"/>
    <w:rsid w:val="457C4AF8"/>
    <w:rsid w:val="458F74DC"/>
    <w:rsid w:val="45E444A4"/>
    <w:rsid w:val="45FE3848"/>
    <w:rsid w:val="462339E8"/>
    <w:rsid w:val="462B4667"/>
    <w:rsid w:val="46415B87"/>
    <w:rsid w:val="464B108B"/>
    <w:rsid w:val="466458AC"/>
    <w:rsid w:val="4673008A"/>
    <w:rsid w:val="467304A1"/>
    <w:rsid w:val="467E6918"/>
    <w:rsid w:val="46841EB6"/>
    <w:rsid w:val="46852888"/>
    <w:rsid w:val="469D6CCA"/>
    <w:rsid w:val="46A175EB"/>
    <w:rsid w:val="46B06D37"/>
    <w:rsid w:val="46C04E28"/>
    <w:rsid w:val="46DC78C4"/>
    <w:rsid w:val="46EA71D3"/>
    <w:rsid w:val="47493DC5"/>
    <w:rsid w:val="47531F4D"/>
    <w:rsid w:val="47567445"/>
    <w:rsid w:val="475C7AC3"/>
    <w:rsid w:val="476615BC"/>
    <w:rsid w:val="478005D2"/>
    <w:rsid w:val="478358B8"/>
    <w:rsid w:val="47880981"/>
    <w:rsid w:val="47AB4684"/>
    <w:rsid w:val="47DA1722"/>
    <w:rsid w:val="47F018E3"/>
    <w:rsid w:val="47F437E7"/>
    <w:rsid w:val="481A4DF6"/>
    <w:rsid w:val="48226BB1"/>
    <w:rsid w:val="48242311"/>
    <w:rsid w:val="484D54C5"/>
    <w:rsid w:val="48576682"/>
    <w:rsid w:val="485C2E35"/>
    <w:rsid w:val="486B3B4A"/>
    <w:rsid w:val="48714ABA"/>
    <w:rsid w:val="487B6DE1"/>
    <w:rsid w:val="48B9571B"/>
    <w:rsid w:val="48C31721"/>
    <w:rsid w:val="48E5557E"/>
    <w:rsid w:val="490B78EE"/>
    <w:rsid w:val="49226979"/>
    <w:rsid w:val="4925247A"/>
    <w:rsid w:val="49390973"/>
    <w:rsid w:val="49506599"/>
    <w:rsid w:val="49603CAA"/>
    <w:rsid w:val="497D4960"/>
    <w:rsid w:val="497F0713"/>
    <w:rsid w:val="49854445"/>
    <w:rsid w:val="49886BEB"/>
    <w:rsid w:val="498A39CA"/>
    <w:rsid w:val="498D0964"/>
    <w:rsid w:val="49A66FB1"/>
    <w:rsid w:val="49B93215"/>
    <w:rsid w:val="4A050C18"/>
    <w:rsid w:val="4A0D0A3B"/>
    <w:rsid w:val="4A2701DA"/>
    <w:rsid w:val="4A277639"/>
    <w:rsid w:val="4A3407D1"/>
    <w:rsid w:val="4A3D3267"/>
    <w:rsid w:val="4A3E0BDD"/>
    <w:rsid w:val="4A4D3E19"/>
    <w:rsid w:val="4A5B700A"/>
    <w:rsid w:val="4A6B5C93"/>
    <w:rsid w:val="4A6C0C67"/>
    <w:rsid w:val="4A793419"/>
    <w:rsid w:val="4AEC67F3"/>
    <w:rsid w:val="4AF137A3"/>
    <w:rsid w:val="4AF34F14"/>
    <w:rsid w:val="4AF8768C"/>
    <w:rsid w:val="4AFA3476"/>
    <w:rsid w:val="4AFA6C99"/>
    <w:rsid w:val="4B1332EC"/>
    <w:rsid w:val="4B151EF0"/>
    <w:rsid w:val="4B434821"/>
    <w:rsid w:val="4B5A44A0"/>
    <w:rsid w:val="4B605E93"/>
    <w:rsid w:val="4B6C31AE"/>
    <w:rsid w:val="4B815169"/>
    <w:rsid w:val="4B820053"/>
    <w:rsid w:val="4B87503F"/>
    <w:rsid w:val="4B9D0D02"/>
    <w:rsid w:val="4BB267DD"/>
    <w:rsid w:val="4BC66541"/>
    <w:rsid w:val="4BE32555"/>
    <w:rsid w:val="4C0377A0"/>
    <w:rsid w:val="4C095B42"/>
    <w:rsid w:val="4C373527"/>
    <w:rsid w:val="4C390570"/>
    <w:rsid w:val="4C3C0B61"/>
    <w:rsid w:val="4C574AA8"/>
    <w:rsid w:val="4C654D59"/>
    <w:rsid w:val="4C7667BA"/>
    <w:rsid w:val="4C8F7016"/>
    <w:rsid w:val="4CAF70CA"/>
    <w:rsid w:val="4CC043D8"/>
    <w:rsid w:val="4CDD2131"/>
    <w:rsid w:val="4D0C553F"/>
    <w:rsid w:val="4D101DD5"/>
    <w:rsid w:val="4D1C3590"/>
    <w:rsid w:val="4D1C4554"/>
    <w:rsid w:val="4D3D691B"/>
    <w:rsid w:val="4D4D540C"/>
    <w:rsid w:val="4D804652"/>
    <w:rsid w:val="4D9C4597"/>
    <w:rsid w:val="4DAE066A"/>
    <w:rsid w:val="4DCA28A4"/>
    <w:rsid w:val="4DD85354"/>
    <w:rsid w:val="4DE75A5A"/>
    <w:rsid w:val="4DF3135A"/>
    <w:rsid w:val="4DF91D11"/>
    <w:rsid w:val="4DFF0B0A"/>
    <w:rsid w:val="4DFF11B9"/>
    <w:rsid w:val="4E1211E3"/>
    <w:rsid w:val="4E207831"/>
    <w:rsid w:val="4E3A7912"/>
    <w:rsid w:val="4E3F21AD"/>
    <w:rsid w:val="4E870528"/>
    <w:rsid w:val="4E8D5680"/>
    <w:rsid w:val="4EA05D98"/>
    <w:rsid w:val="4EA06B7A"/>
    <w:rsid w:val="4EB61293"/>
    <w:rsid w:val="4EBE7CB0"/>
    <w:rsid w:val="4EC30F22"/>
    <w:rsid w:val="4ECB1BEE"/>
    <w:rsid w:val="4ECE254E"/>
    <w:rsid w:val="4EDE134B"/>
    <w:rsid w:val="4EDF1809"/>
    <w:rsid w:val="4EF55556"/>
    <w:rsid w:val="4EFB3ADF"/>
    <w:rsid w:val="4F1C54ED"/>
    <w:rsid w:val="4F26775B"/>
    <w:rsid w:val="4F2D5034"/>
    <w:rsid w:val="4F4E0F36"/>
    <w:rsid w:val="4F5B6C8A"/>
    <w:rsid w:val="4F6F4221"/>
    <w:rsid w:val="4F991B6B"/>
    <w:rsid w:val="4FD12D6C"/>
    <w:rsid w:val="4FE56230"/>
    <w:rsid w:val="4FED2231"/>
    <w:rsid w:val="4FFF4D06"/>
    <w:rsid w:val="50193160"/>
    <w:rsid w:val="50305DC1"/>
    <w:rsid w:val="505C4F27"/>
    <w:rsid w:val="50835472"/>
    <w:rsid w:val="50A05B3E"/>
    <w:rsid w:val="50DC47E2"/>
    <w:rsid w:val="50EC245B"/>
    <w:rsid w:val="50EC44BA"/>
    <w:rsid w:val="50FA0C82"/>
    <w:rsid w:val="50FC77AF"/>
    <w:rsid w:val="510E01FA"/>
    <w:rsid w:val="511756BA"/>
    <w:rsid w:val="511B4274"/>
    <w:rsid w:val="515131B6"/>
    <w:rsid w:val="51AD00A0"/>
    <w:rsid w:val="51C85C82"/>
    <w:rsid w:val="51CB4471"/>
    <w:rsid w:val="51CF51CE"/>
    <w:rsid w:val="51D132E7"/>
    <w:rsid w:val="52044EC0"/>
    <w:rsid w:val="52120EEF"/>
    <w:rsid w:val="521464C2"/>
    <w:rsid w:val="52406743"/>
    <w:rsid w:val="52565D2D"/>
    <w:rsid w:val="526A47C1"/>
    <w:rsid w:val="5280364C"/>
    <w:rsid w:val="52860AE9"/>
    <w:rsid w:val="52B80F2D"/>
    <w:rsid w:val="52BF2DC0"/>
    <w:rsid w:val="52C02C77"/>
    <w:rsid w:val="52C37467"/>
    <w:rsid w:val="52C877D4"/>
    <w:rsid w:val="52E57064"/>
    <w:rsid w:val="52FC2DD4"/>
    <w:rsid w:val="53081779"/>
    <w:rsid w:val="53574060"/>
    <w:rsid w:val="536F19A2"/>
    <w:rsid w:val="53847373"/>
    <w:rsid w:val="5387016F"/>
    <w:rsid w:val="539007DA"/>
    <w:rsid w:val="5392605A"/>
    <w:rsid w:val="53AD4787"/>
    <w:rsid w:val="53C86899"/>
    <w:rsid w:val="53F47310"/>
    <w:rsid w:val="54047517"/>
    <w:rsid w:val="541C0C70"/>
    <w:rsid w:val="54211ABF"/>
    <w:rsid w:val="54270223"/>
    <w:rsid w:val="542717CF"/>
    <w:rsid w:val="544C3328"/>
    <w:rsid w:val="544E5055"/>
    <w:rsid w:val="545D0E1F"/>
    <w:rsid w:val="54751A0F"/>
    <w:rsid w:val="548C0EE6"/>
    <w:rsid w:val="54B53F55"/>
    <w:rsid w:val="54BD5373"/>
    <w:rsid w:val="54C3004D"/>
    <w:rsid w:val="54CD040B"/>
    <w:rsid w:val="54D50C74"/>
    <w:rsid w:val="54F279F1"/>
    <w:rsid w:val="54FA1F58"/>
    <w:rsid w:val="55156741"/>
    <w:rsid w:val="55171FE3"/>
    <w:rsid w:val="551E723A"/>
    <w:rsid w:val="5525500E"/>
    <w:rsid w:val="552C189E"/>
    <w:rsid w:val="55472A2C"/>
    <w:rsid w:val="554C5C80"/>
    <w:rsid w:val="55766E6E"/>
    <w:rsid w:val="558B23D6"/>
    <w:rsid w:val="559778EB"/>
    <w:rsid w:val="55A8067C"/>
    <w:rsid w:val="55A96A79"/>
    <w:rsid w:val="55B1781B"/>
    <w:rsid w:val="55C61D7A"/>
    <w:rsid w:val="55D0183A"/>
    <w:rsid w:val="55E1446D"/>
    <w:rsid w:val="55EB0FF5"/>
    <w:rsid w:val="55F367A5"/>
    <w:rsid w:val="56087BA0"/>
    <w:rsid w:val="560A04B4"/>
    <w:rsid w:val="56207CFC"/>
    <w:rsid w:val="56424D70"/>
    <w:rsid w:val="564915DA"/>
    <w:rsid w:val="566275F1"/>
    <w:rsid w:val="566F22F6"/>
    <w:rsid w:val="56790282"/>
    <w:rsid w:val="56842595"/>
    <w:rsid w:val="56C65BD3"/>
    <w:rsid w:val="56CC3AE7"/>
    <w:rsid w:val="56E510F9"/>
    <w:rsid w:val="5703723E"/>
    <w:rsid w:val="571A692E"/>
    <w:rsid w:val="5794238E"/>
    <w:rsid w:val="579A62D4"/>
    <w:rsid w:val="57C4604B"/>
    <w:rsid w:val="57C9597B"/>
    <w:rsid w:val="57E50B2B"/>
    <w:rsid w:val="57E77114"/>
    <w:rsid w:val="57F5584B"/>
    <w:rsid w:val="57F56042"/>
    <w:rsid w:val="58240DA1"/>
    <w:rsid w:val="583161ED"/>
    <w:rsid w:val="58325EDF"/>
    <w:rsid w:val="5851771E"/>
    <w:rsid w:val="585F6170"/>
    <w:rsid w:val="588734E9"/>
    <w:rsid w:val="58A75F38"/>
    <w:rsid w:val="58AD24CA"/>
    <w:rsid w:val="58B153CF"/>
    <w:rsid w:val="58C55A14"/>
    <w:rsid w:val="58E022D1"/>
    <w:rsid w:val="59057A28"/>
    <w:rsid w:val="590762CD"/>
    <w:rsid w:val="591C3E53"/>
    <w:rsid w:val="5939526D"/>
    <w:rsid w:val="5958642D"/>
    <w:rsid w:val="596867BB"/>
    <w:rsid w:val="596A3CEF"/>
    <w:rsid w:val="59763CEF"/>
    <w:rsid w:val="59882632"/>
    <w:rsid w:val="5995782A"/>
    <w:rsid w:val="59A53D2F"/>
    <w:rsid w:val="59C02DF4"/>
    <w:rsid w:val="59CC1F5B"/>
    <w:rsid w:val="5A1800B4"/>
    <w:rsid w:val="5A4B3027"/>
    <w:rsid w:val="5A604DC3"/>
    <w:rsid w:val="5A812424"/>
    <w:rsid w:val="5A8617AF"/>
    <w:rsid w:val="5A993B14"/>
    <w:rsid w:val="5ABB32DB"/>
    <w:rsid w:val="5AEB3549"/>
    <w:rsid w:val="5B0B62E1"/>
    <w:rsid w:val="5B173C07"/>
    <w:rsid w:val="5B505CE1"/>
    <w:rsid w:val="5B603DF0"/>
    <w:rsid w:val="5B732E4C"/>
    <w:rsid w:val="5B913C76"/>
    <w:rsid w:val="5BDB22F7"/>
    <w:rsid w:val="5C263FB9"/>
    <w:rsid w:val="5C2E2CDB"/>
    <w:rsid w:val="5C512271"/>
    <w:rsid w:val="5C5515D4"/>
    <w:rsid w:val="5C685424"/>
    <w:rsid w:val="5C6E4D42"/>
    <w:rsid w:val="5C782E57"/>
    <w:rsid w:val="5C8B1C4B"/>
    <w:rsid w:val="5C9353DC"/>
    <w:rsid w:val="5CA8250F"/>
    <w:rsid w:val="5CBA1CED"/>
    <w:rsid w:val="5CBC4776"/>
    <w:rsid w:val="5CBF2FCD"/>
    <w:rsid w:val="5CC176AB"/>
    <w:rsid w:val="5CC77D25"/>
    <w:rsid w:val="5CCE1C98"/>
    <w:rsid w:val="5CDB3A5A"/>
    <w:rsid w:val="5CEC1755"/>
    <w:rsid w:val="5CFD7D13"/>
    <w:rsid w:val="5D007621"/>
    <w:rsid w:val="5D0B07E3"/>
    <w:rsid w:val="5D0D6ABF"/>
    <w:rsid w:val="5D191D76"/>
    <w:rsid w:val="5D2B343B"/>
    <w:rsid w:val="5D6F7FD8"/>
    <w:rsid w:val="5D9C58DF"/>
    <w:rsid w:val="5DA11AE8"/>
    <w:rsid w:val="5DA20665"/>
    <w:rsid w:val="5DA4701E"/>
    <w:rsid w:val="5DA559A1"/>
    <w:rsid w:val="5DC1278D"/>
    <w:rsid w:val="5DED7EE9"/>
    <w:rsid w:val="5DEF77F1"/>
    <w:rsid w:val="5E1567DE"/>
    <w:rsid w:val="5E2E75F2"/>
    <w:rsid w:val="5E895A52"/>
    <w:rsid w:val="5E930AF5"/>
    <w:rsid w:val="5E934B83"/>
    <w:rsid w:val="5E984EE8"/>
    <w:rsid w:val="5EA27F95"/>
    <w:rsid w:val="5ECF76E0"/>
    <w:rsid w:val="5EDB6C98"/>
    <w:rsid w:val="5EDD225B"/>
    <w:rsid w:val="5EEC2536"/>
    <w:rsid w:val="5EF05F8D"/>
    <w:rsid w:val="5F091846"/>
    <w:rsid w:val="5F116BA1"/>
    <w:rsid w:val="5F23026F"/>
    <w:rsid w:val="5F572AA9"/>
    <w:rsid w:val="5F587B84"/>
    <w:rsid w:val="5F821731"/>
    <w:rsid w:val="5F8D1984"/>
    <w:rsid w:val="5F9326EB"/>
    <w:rsid w:val="5F996AFD"/>
    <w:rsid w:val="5FA3420E"/>
    <w:rsid w:val="5FA41110"/>
    <w:rsid w:val="5FCD7F2B"/>
    <w:rsid w:val="5FD85C1A"/>
    <w:rsid w:val="5FEC74CD"/>
    <w:rsid w:val="601D2503"/>
    <w:rsid w:val="601D6B17"/>
    <w:rsid w:val="603F36AD"/>
    <w:rsid w:val="606274E1"/>
    <w:rsid w:val="606E6BE1"/>
    <w:rsid w:val="60806DF2"/>
    <w:rsid w:val="60A02589"/>
    <w:rsid w:val="60AD5D51"/>
    <w:rsid w:val="60B370A2"/>
    <w:rsid w:val="60D95D00"/>
    <w:rsid w:val="60E44F6C"/>
    <w:rsid w:val="60E81C8B"/>
    <w:rsid w:val="61053F11"/>
    <w:rsid w:val="613A3C31"/>
    <w:rsid w:val="614D6660"/>
    <w:rsid w:val="616F39FF"/>
    <w:rsid w:val="6184657F"/>
    <w:rsid w:val="618E553F"/>
    <w:rsid w:val="61B04D59"/>
    <w:rsid w:val="61E65B39"/>
    <w:rsid w:val="61F575D1"/>
    <w:rsid w:val="61FF4747"/>
    <w:rsid w:val="62080918"/>
    <w:rsid w:val="62104413"/>
    <w:rsid w:val="62216D07"/>
    <w:rsid w:val="623B1F65"/>
    <w:rsid w:val="626A7616"/>
    <w:rsid w:val="627D64F9"/>
    <w:rsid w:val="628C4CBA"/>
    <w:rsid w:val="62C720EB"/>
    <w:rsid w:val="62C9080C"/>
    <w:rsid w:val="62E074D8"/>
    <w:rsid w:val="62ED51EE"/>
    <w:rsid w:val="62F13321"/>
    <w:rsid w:val="63112211"/>
    <w:rsid w:val="631427C1"/>
    <w:rsid w:val="6318012F"/>
    <w:rsid w:val="631F7F78"/>
    <w:rsid w:val="63356566"/>
    <w:rsid w:val="6349287D"/>
    <w:rsid w:val="634F356E"/>
    <w:rsid w:val="63525825"/>
    <w:rsid w:val="635B67A7"/>
    <w:rsid w:val="63606F1A"/>
    <w:rsid w:val="637154C8"/>
    <w:rsid w:val="63BE05C1"/>
    <w:rsid w:val="63CF0914"/>
    <w:rsid w:val="63D06780"/>
    <w:rsid w:val="63DD0EAD"/>
    <w:rsid w:val="63ED0116"/>
    <w:rsid w:val="640C1CB7"/>
    <w:rsid w:val="640D7BD0"/>
    <w:rsid w:val="64206978"/>
    <w:rsid w:val="64220586"/>
    <w:rsid w:val="64313BCE"/>
    <w:rsid w:val="64391771"/>
    <w:rsid w:val="64423E37"/>
    <w:rsid w:val="646B5827"/>
    <w:rsid w:val="646C25BD"/>
    <w:rsid w:val="6473703E"/>
    <w:rsid w:val="647E3199"/>
    <w:rsid w:val="649410A4"/>
    <w:rsid w:val="64B3153A"/>
    <w:rsid w:val="64D9104D"/>
    <w:rsid w:val="64ED5A1B"/>
    <w:rsid w:val="64F8487B"/>
    <w:rsid w:val="651251EF"/>
    <w:rsid w:val="652477E4"/>
    <w:rsid w:val="653A5284"/>
    <w:rsid w:val="65456C28"/>
    <w:rsid w:val="657B6691"/>
    <w:rsid w:val="65815AE7"/>
    <w:rsid w:val="65E2643A"/>
    <w:rsid w:val="6623557E"/>
    <w:rsid w:val="663C5A0C"/>
    <w:rsid w:val="664104E9"/>
    <w:rsid w:val="667606CD"/>
    <w:rsid w:val="667E026B"/>
    <w:rsid w:val="66B168DB"/>
    <w:rsid w:val="66B75D2B"/>
    <w:rsid w:val="66FF4E65"/>
    <w:rsid w:val="67066331"/>
    <w:rsid w:val="67126F67"/>
    <w:rsid w:val="672268B1"/>
    <w:rsid w:val="675E077A"/>
    <w:rsid w:val="67634742"/>
    <w:rsid w:val="676A2781"/>
    <w:rsid w:val="676E254B"/>
    <w:rsid w:val="677D7A65"/>
    <w:rsid w:val="67CF5C7F"/>
    <w:rsid w:val="67DE1617"/>
    <w:rsid w:val="67EA115A"/>
    <w:rsid w:val="67FF0F45"/>
    <w:rsid w:val="68074CAB"/>
    <w:rsid w:val="68232B46"/>
    <w:rsid w:val="68382F20"/>
    <w:rsid w:val="68396396"/>
    <w:rsid w:val="684B3913"/>
    <w:rsid w:val="687F7EAB"/>
    <w:rsid w:val="68BE5CE3"/>
    <w:rsid w:val="68C56A3C"/>
    <w:rsid w:val="68DA25F6"/>
    <w:rsid w:val="68DC2948"/>
    <w:rsid w:val="68E53C9F"/>
    <w:rsid w:val="68E819D9"/>
    <w:rsid w:val="68E96134"/>
    <w:rsid w:val="68EE0BB9"/>
    <w:rsid w:val="68F048F6"/>
    <w:rsid w:val="68FC68C7"/>
    <w:rsid w:val="69111BBF"/>
    <w:rsid w:val="69796E69"/>
    <w:rsid w:val="698069BA"/>
    <w:rsid w:val="698523B1"/>
    <w:rsid w:val="699A7A50"/>
    <w:rsid w:val="69A07599"/>
    <w:rsid w:val="69A96FBA"/>
    <w:rsid w:val="69AA1A0D"/>
    <w:rsid w:val="69AE7CF8"/>
    <w:rsid w:val="69BB015F"/>
    <w:rsid w:val="69C01D11"/>
    <w:rsid w:val="69C028BC"/>
    <w:rsid w:val="69C42082"/>
    <w:rsid w:val="69DA3125"/>
    <w:rsid w:val="6A052CDB"/>
    <w:rsid w:val="6A1402AA"/>
    <w:rsid w:val="6A406FE8"/>
    <w:rsid w:val="6A426212"/>
    <w:rsid w:val="6A447B87"/>
    <w:rsid w:val="6A4961E4"/>
    <w:rsid w:val="6A592290"/>
    <w:rsid w:val="6A6319E3"/>
    <w:rsid w:val="6A8D0E87"/>
    <w:rsid w:val="6AC572BA"/>
    <w:rsid w:val="6AE452D0"/>
    <w:rsid w:val="6AF253BB"/>
    <w:rsid w:val="6AFC176B"/>
    <w:rsid w:val="6B0E6EB5"/>
    <w:rsid w:val="6B202C99"/>
    <w:rsid w:val="6B2069A1"/>
    <w:rsid w:val="6B400F85"/>
    <w:rsid w:val="6B445E33"/>
    <w:rsid w:val="6B487FCC"/>
    <w:rsid w:val="6B5B4451"/>
    <w:rsid w:val="6B5D48E8"/>
    <w:rsid w:val="6BF055A5"/>
    <w:rsid w:val="6C167761"/>
    <w:rsid w:val="6C4D6358"/>
    <w:rsid w:val="6C501D6F"/>
    <w:rsid w:val="6C52041F"/>
    <w:rsid w:val="6C634B43"/>
    <w:rsid w:val="6C655E01"/>
    <w:rsid w:val="6C6C46CF"/>
    <w:rsid w:val="6C8266BB"/>
    <w:rsid w:val="6C911033"/>
    <w:rsid w:val="6CA56E1E"/>
    <w:rsid w:val="6CA76655"/>
    <w:rsid w:val="6CAB79EF"/>
    <w:rsid w:val="6CBD485B"/>
    <w:rsid w:val="6CD83FDF"/>
    <w:rsid w:val="6CEF6DAD"/>
    <w:rsid w:val="6CFA1CDB"/>
    <w:rsid w:val="6D0B4A20"/>
    <w:rsid w:val="6D194857"/>
    <w:rsid w:val="6D1B3A39"/>
    <w:rsid w:val="6D325AF1"/>
    <w:rsid w:val="6D332E2F"/>
    <w:rsid w:val="6D390DAF"/>
    <w:rsid w:val="6D3B53D9"/>
    <w:rsid w:val="6D4B3CDA"/>
    <w:rsid w:val="6D4F64CA"/>
    <w:rsid w:val="6D6E76F8"/>
    <w:rsid w:val="6D9F6234"/>
    <w:rsid w:val="6DC0698D"/>
    <w:rsid w:val="6DDB0D05"/>
    <w:rsid w:val="6DE61E7E"/>
    <w:rsid w:val="6DF65B9C"/>
    <w:rsid w:val="6E0D2C76"/>
    <w:rsid w:val="6E20606A"/>
    <w:rsid w:val="6E2A5C5E"/>
    <w:rsid w:val="6E3B5B3A"/>
    <w:rsid w:val="6E504784"/>
    <w:rsid w:val="6E64276E"/>
    <w:rsid w:val="6E6C47A7"/>
    <w:rsid w:val="6E6D6B1A"/>
    <w:rsid w:val="6E955079"/>
    <w:rsid w:val="6ED91967"/>
    <w:rsid w:val="6EF63532"/>
    <w:rsid w:val="6F103A37"/>
    <w:rsid w:val="6F11099E"/>
    <w:rsid w:val="6F2A7D29"/>
    <w:rsid w:val="6F3F76B2"/>
    <w:rsid w:val="6F483E53"/>
    <w:rsid w:val="6F7B29A2"/>
    <w:rsid w:val="6FAD47D0"/>
    <w:rsid w:val="6FC43A69"/>
    <w:rsid w:val="6FD16D6D"/>
    <w:rsid w:val="6FDD0A5B"/>
    <w:rsid w:val="6FEB66A1"/>
    <w:rsid w:val="700546B4"/>
    <w:rsid w:val="700B1355"/>
    <w:rsid w:val="70190DCA"/>
    <w:rsid w:val="702754DC"/>
    <w:rsid w:val="70514737"/>
    <w:rsid w:val="7057003C"/>
    <w:rsid w:val="705D668F"/>
    <w:rsid w:val="705E34D5"/>
    <w:rsid w:val="705F3E35"/>
    <w:rsid w:val="706471F1"/>
    <w:rsid w:val="7067795E"/>
    <w:rsid w:val="70681A7C"/>
    <w:rsid w:val="706A70EA"/>
    <w:rsid w:val="70933E0F"/>
    <w:rsid w:val="709424BD"/>
    <w:rsid w:val="70A06FB7"/>
    <w:rsid w:val="70C45BF5"/>
    <w:rsid w:val="70DF0B00"/>
    <w:rsid w:val="70EE5FFA"/>
    <w:rsid w:val="7102444B"/>
    <w:rsid w:val="71241876"/>
    <w:rsid w:val="71243A4B"/>
    <w:rsid w:val="7135677C"/>
    <w:rsid w:val="715B3F7A"/>
    <w:rsid w:val="715E157C"/>
    <w:rsid w:val="716B6FB7"/>
    <w:rsid w:val="71797F37"/>
    <w:rsid w:val="719B0DE0"/>
    <w:rsid w:val="71AD4C74"/>
    <w:rsid w:val="71CB3643"/>
    <w:rsid w:val="71DD3F43"/>
    <w:rsid w:val="71E847F7"/>
    <w:rsid w:val="71EB15B3"/>
    <w:rsid w:val="72025458"/>
    <w:rsid w:val="72060608"/>
    <w:rsid w:val="721178A9"/>
    <w:rsid w:val="72154DEC"/>
    <w:rsid w:val="72333A41"/>
    <w:rsid w:val="723470F2"/>
    <w:rsid w:val="72435ED2"/>
    <w:rsid w:val="725F493A"/>
    <w:rsid w:val="7264248A"/>
    <w:rsid w:val="7277212C"/>
    <w:rsid w:val="72787956"/>
    <w:rsid w:val="729C637C"/>
    <w:rsid w:val="72A1028C"/>
    <w:rsid w:val="72DE636C"/>
    <w:rsid w:val="72E36C3E"/>
    <w:rsid w:val="72E97997"/>
    <w:rsid w:val="73286ED8"/>
    <w:rsid w:val="732D4BB8"/>
    <w:rsid w:val="73413C40"/>
    <w:rsid w:val="73512908"/>
    <w:rsid w:val="73530346"/>
    <w:rsid w:val="739657A3"/>
    <w:rsid w:val="739A7D73"/>
    <w:rsid w:val="739F35DC"/>
    <w:rsid w:val="73E72AE0"/>
    <w:rsid w:val="73F17C03"/>
    <w:rsid w:val="73F6200A"/>
    <w:rsid w:val="741E45D4"/>
    <w:rsid w:val="74221C7C"/>
    <w:rsid w:val="742F4DAF"/>
    <w:rsid w:val="7432716E"/>
    <w:rsid w:val="745875B2"/>
    <w:rsid w:val="745B7503"/>
    <w:rsid w:val="746B6883"/>
    <w:rsid w:val="748B3D82"/>
    <w:rsid w:val="74964179"/>
    <w:rsid w:val="74A873BD"/>
    <w:rsid w:val="74B972FC"/>
    <w:rsid w:val="74C41B24"/>
    <w:rsid w:val="74D16FE1"/>
    <w:rsid w:val="74DD4EEC"/>
    <w:rsid w:val="74DF1EE2"/>
    <w:rsid w:val="74ED287A"/>
    <w:rsid w:val="75050BC4"/>
    <w:rsid w:val="750F2B49"/>
    <w:rsid w:val="7510653F"/>
    <w:rsid w:val="75115DFB"/>
    <w:rsid w:val="752E3221"/>
    <w:rsid w:val="75356B33"/>
    <w:rsid w:val="753C7334"/>
    <w:rsid w:val="754132F2"/>
    <w:rsid w:val="754D2374"/>
    <w:rsid w:val="756040E7"/>
    <w:rsid w:val="7570711D"/>
    <w:rsid w:val="75712B74"/>
    <w:rsid w:val="759B797A"/>
    <w:rsid w:val="75AE191B"/>
    <w:rsid w:val="75FB250A"/>
    <w:rsid w:val="76244252"/>
    <w:rsid w:val="762951E8"/>
    <w:rsid w:val="764A0BC8"/>
    <w:rsid w:val="766B41ED"/>
    <w:rsid w:val="76721D33"/>
    <w:rsid w:val="76761C2A"/>
    <w:rsid w:val="76915E78"/>
    <w:rsid w:val="7692754E"/>
    <w:rsid w:val="76A04D81"/>
    <w:rsid w:val="76C91BF1"/>
    <w:rsid w:val="76EB2AE7"/>
    <w:rsid w:val="76F1745C"/>
    <w:rsid w:val="76FA56CD"/>
    <w:rsid w:val="772C4AF9"/>
    <w:rsid w:val="772E7150"/>
    <w:rsid w:val="77C51681"/>
    <w:rsid w:val="77C6382D"/>
    <w:rsid w:val="77C817F3"/>
    <w:rsid w:val="77CB0E43"/>
    <w:rsid w:val="77D91775"/>
    <w:rsid w:val="77DC5859"/>
    <w:rsid w:val="77DF12BE"/>
    <w:rsid w:val="7802194D"/>
    <w:rsid w:val="78046F2C"/>
    <w:rsid w:val="780600CD"/>
    <w:rsid w:val="783123C7"/>
    <w:rsid w:val="78332B56"/>
    <w:rsid w:val="785976C2"/>
    <w:rsid w:val="78B2737D"/>
    <w:rsid w:val="78BC754F"/>
    <w:rsid w:val="78DB7A68"/>
    <w:rsid w:val="78DC4274"/>
    <w:rsid w:val="78DD78F2"/>
    <w:rsid w:val="78E8162B"/>
    <w:rsid w:val="78E81D3D"/>
    <w:rsid w:val="78F14394"/>
    <w:rsid w:val="79152BE5"/>
    <w:rsid w:val="79216BC6"/>
    <w:rsid w:val="793A29B3"/>
    <w:rsid w:val="794A6AA1"/>
    <w:rsid w:val="794B3FEA"/>
    <w:rsid w:val="79727B1C"/>
    <w:rsid w:val="79810956"/>
    <w:rsid w:val="798316FB"/>
    <w:rsid w:val="798A78C4"/>
    <w:rsid w:val="79A35C32"/>
    <w:rsid w:val="79D85D4C"/>
    <w:rsid w:val="79D95BB4"/>
    <w:rsid w:val="79EF57DE"/>
    <w:rsid w:val="7A034D72"/>
    <w:rsid w:val="7A2B00E6"/>
    <w:rsid w:val="7A422689"/>
    <w:rsid w:val="7A433734"/>
    <w:rsid w:val="7A512152"/>
    <w:rsid w:val="7A54194B"/>
    <w:rsid w:val="7A5728E0"/>
    <w:rsid w:val="7A7A5A10"/>
    <w:rsid w:val="7A894EDF"/>
    <w:rsid w:val="7A8B4B2C"/>
    <w:rsid w:val="7A903512"/>
    <w:rsid w:val="7AA634A2"/>
    <w:rsid w:val="7AB34665"/>
    <w:rsid w:val="7ABF2ABC"/>
    <w:rsid w:val="7B1A7480"/>
    <w:rsid w:val="7B24295A"/>
    <w:rsid w:val="7B3E6E77"/>
    <w:rsid w:val="7B56187A"/>
    <w:rsid w:val="7B8452E2"/>
    <w:rsid w:val="7B9E350E"/>
    <w:rsid w:val="7BB96EFA"/>
    <w:rsid w:val="7BD408B9"/>
    <w:rsid w:val="7BDF2143"/>
    <w:rsid w:val="7C0F446B"/>
    <w:rsid w:val="7C181EFE"/>
    <w:rsid w:val="7C300343"/>
    <w:rsid w:val="7C3445D0"/>
    <w:rsid w:val="7C460A98"/>
    <w:rsid w:val="7C4A72EE"/>
    <w:rsid w:val="7C646169"/>
    <w:rsid w:val="7C671963"/>
    <w:rsid w:val="7C8B45B3"/>
    <w:rsid w:val="7CBC4734"/>
    <w:rsid w:val="7CC0084B"/>
    <w:rsid w:val="7CD9190C"/>
    <w:rsid w:val="7CF13052"/>
    <w:rsid w:val="7D1A248B"/>
    <w:rsid w:val="7D2C3A53"/>
    <w:rsid w:val="7D3144C8"/>
    <w:rsid w:val="7D6E4D91"/>
    <w:rsid w:val="7D6F6CC2"/>
    <w:rsid w:val="7D703C99"/>
    <w:rsid w:val="7D834898"/>
    <w:rsid w:val="7D9759EF"/>
    <w:rsid w:val="7D9D3486"/>
    <w:rsid w:val="7DA737B9"/>
    <w:rsid w:val="7DB15223"/>
    <w:rsid w:val="7DF67C8A"/>
    <w:rsid w:val="7DFB4F06"/>
    <w:rsid w:val="7E0B712D"/>
    <w:rsid w:val="7E17093E"/>
    <w:rsid w:val="7E2A0F73"/>
    <w:rsid w:val="7E343D7E"/>
    <w:rsid w:val="7E4319BA"/>
    <w:rsid w:val="7E436C9F"/>
    <w:rsid w:val="7E602592"/>
    <w:rsid w:val="7E6F726C"/>
    <w:rsid w:val="7E780DCF"/>
    <w:rsid w:val="7E932B3B"/>
    <w:rsid w:val="7EA519FA"/>
    <w:rsid w:val="7EB066CD"/>
    <w:rsid w:val="7EBD069F"/>
    <w:rsid w:val="7ED13655"/>
    <w:rsid w:val="7ED77402"/>
    <w:rsid w:val="7EE60AED"/>
    <w:rsid w:val="7F14530A"/>
    <w:rsid w:val="7F1C35A1"/>
    <w:rsid w:val="7F6B36B8"/>
    <w:rsid w:val="7F6D4430"/>
    <w:rsid w:val="7F6F7DCA"/>
    <w:rsid w:val="7F847312"/>
    <w:rsid w:val="7F874EE9"/>
    <w:rsid w:val="7F905BFD"/>
    <w:rsid w:val="7FDB4C19"/>
    <w:rsid w:val="7FEB4A4F"/>
    <w:rsid w:val="7FFA6E8A"/>
    <w:rsid w:val="7FFF3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spacing w:line="460" w:lineRule="exact"/>
      <w:ind w:firstLine="964" w:firstLineChars="200"/>
      <w:jc w:val="both"/>
    </w:pPr>
    <w:rPr>
      <w:rFonts w:ascii="Times New Roman" w:hAnsi="Times New Roman" w:eastAsia="宋体" w:cs="Times New Roman"/>
      <w:kern w:val="2"/>
      <w:sz w:val="24"/>
      <w:szCs w:val="24"/>
      <w:lang w:val="en-US" w:eastAsia="zh-CN" w:bidi="ar-SA"/>
    </w:rPr>
  </w:style>
  <w:style w:type="paragraph" w:styleId="4">
    <w:name w:val="heading 1"/>
    <w:basedOn w:val="1"/>
    <w:next w:val="1"/>
    <w:link w:val="16"/>
    <w:qFormat/>
    <w:uiPriority w:val="0"/>
    <w:pPr>
      <w:ind w:firstLine="0" w:firstLineChars="0"/>
      <w:jc w:val="left"/>
      <w:outlineLvl w:val="0"/>
    </w:pPr>
    <w:rPr>
      <w:b/>
      <w:kern w:val="44"/>
    </w:rPr>
  </w:style>
  <w:style w:type="paragraph" w:styleId="5">
    <w:name w:val="heading 2"/>
    <w:basedOn w:val="1"/>
    <w:next w:val="1"/>
    <w:unhideWhenUsed/>
    <w:qFormat/>
    <w:uiPriority w:val="0"/>
    <w:pPr>
      <w:keepNext/>
      <w:keepLines/>
      <w:spacing w:line="480" w:lineRule="exact"/>
      <w:ind w:firstLine="0" w:firstLineChars="0"/>
      <w:jc w:val="left"/>
      <w:outlineLvl w:val="1"/>
    </w:pPr>
    <w:rPr>
      <w:rFonts w:ascii="Arial" w:hAnsi="Arial"/>
      <w:b/>
    </w:rPr>
  </w:style>
  <w:style w:type="paragraph" w:styleId="2">
    <w:name w:val="heading 3"/>
    <w:basedOn w:val="1"/>
    <w:next w:val="3"/>
    <w:qFormat/>
    <w:uiPriority w:val="0"/>
    <w:pPr>
      <w:keepNext/>
      <w:keepLines/>
      <w:spacing w:before="260" w:after="260" w:line="415"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6">
    <w:name w:val="annotation text"/>
    <w:basedOn w:val="1"/>
    <w:link w:val="19"/>
    <w:unhideWhenUsed/>
    <w:qFormat/>
    <w:uiPriority w:val="99"/>
    <w:pPr>
      <w:jc w:val="left"/>
    </w:pPr>
  </w:style>
  <w:style w:type="paragraph" w:styleId="7">
    <w:name w:val="Body Text Indent"/>
    <w:basedOn w:val="1"/>
    <w:semiHidden/>
    <w:qFormat/>
    <w:uiPriority w:val="0"/>
    <w:pPr>
      <w:widowControl/>
      <w:ind w:firstLine="600"/>
    </w:pPr>
    <w:rPr>
      <w:rFonts w:ascii="黑体" w:eastAsia="黑体"/>
      <w:kern w:val="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toc 1"/>
    <w:basedOn w:val="1"/>
    <w:next w:val="1"/>
    <w:qFormat/>
    <w:uiPriority w:val="39"/>
    <w:pPr>
      <w:spacing w:before="120" w:after="120"/>
      <w:jc w:val="left"/>
    </w:pPr>
    <w:rPr>
      <w:rFonts w:ascii="Calibri" w:hAnsi="Calibri"/>
      <w:b/>
      <w:bCs/>
      <w:caps/>
      <w:sz w:val="20"/>
    </w:rPr>
  </w:style>
  <w:style w:type="paragraph" w:styleId="11">
    <w:name w:val="annotation subject"/>
    <w:basedOn w:val="6"/>
    <w:next w:val="6"/>
    <w:link w:val="20"/>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character" w:customStyle="1" w:styleId="16">
    <w:name w:val="标题 1 字符"/>
    <w:link w:val="4"/>
    <w:qFormat/>
    <w:uiPriority w:val="0"/>
    <w:rPr>
      <w:rFonts w:eastAsia="宋体"/>
      <w:b/>
      <w:kern w:val="44"/>
      <w:sz w:val="24"/>
    </w:rPr>
  </w:style>
  <w:style w:type="character" w:customStyle="1" w:styleId="17">
    <w:name w:val="占位符文本1"/>
    <w:basedOn w:val="14"/>
    <w:semiHidden/>
    <w:qFormat/>
    <w:uiPriority w:val="99"/>
    <w:rPr>
      <w:color w:val="808080"/>
    </w:rPr>
  </w:style>
  <w:style w:type="paragraph" w:customStyle="1" w:styleId="1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9">
    <w:name w:val="批注文字 字符"/>
    <w:basedOn w:val="14"/>
    <w:link w:val="6"/>
    <w:qFormat/>
    <w:uiPriority w:val="99"/>
    <w:rPr>
      <w:kern w:val="2"/>
      <w:sz w:val="24"/>
      <w:szCs w:val="24"/>
    </w:rPr>
  </w:style>
  <w:style w:type="character" w:customStyle="1" w:styleId="20">
    <w:name w:val="批注主题 字符"/>
    <w:basedOn w:val="19"/>
    <w:link w:val="11"/>
    <w:qFormat/>
    <w:uiPriority w:val="0"/>
    <w:rPr>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11938</Words>
  <Characters>12522</Characters>
  <Lines>329</Lines>
  <Paragraphs>350</Paragraphs>
  <TotalTime>53</TotalTime>
  <ScaleCrop>false</ScaleCrop>
  <LinksUpToDate>false</LinksUpToDate>
  <CharactersWithSpaces>13519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2021-06-05T14:18:00Z</dcterms:created>
  <dc:creator>lenvovo</dc:creator>
  <cp:lastModifiedBy>YY</cp:lastModifiedBy>
  <dcterms:modified xsi:type="dcterms:W3CDTF">2026-01-22T01:51:04Z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F4D9318F1BF042BF8E202F5B0A40AADC_13</vt:lpwstr>
  </property>
  <property fmtid="{D5CDD505-2E9C-101B-9397-08002B2CF9AE}" pid="4" name="KSOTemplateDocerSaveRecord">
    <vt:lpwstr>eyJoZGlkIjoiYTdlMDE5N2JhNDRiYzYxOGY2MzU2OTRiN2NhODJhYzYiLCJ1c2VySWQiOiIyNjQ2MzYzMDMifQ==</vt:lpwstr>
  </property>
</Properties>
</file>