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color w:val="auto"/>
          <w:sz w:val="32"/>
          <w:szCs w:val="32"/>
          <w:highlight w:val="none"/>
        </w:rPr>
      </w:pPr>
    </w:p>
    <w:p>
      <w:pPr>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项目名称：</w:t>
      </w:r>
      <w:r>
        <w:rPr>
          <w:rFonts w:hint="eastAsia" w:ascii="宋体" w:hAnsi="宋体" w:cs="宋体"/>
          <w:b/>
          <w:color w:val="auto"/>
          <w:sz w:val="40"/>
          <w:szCs w:val="40"/>
          <w:highlight w:val="none"/>
          <w:lang w:eastAsia="zh-CN"/>
        </w:rPr>
        <w:t>2026年永壁永津及渝湘复线机电维护劳务分包（第二次）</w:t>
      </w:r>
    </w:p>
    <w:p>
      <w:pPr>
        <w:rPr>
          <w:rFonts w:ascii="宋体" w:hAnsi="宋体" w:cs="宋体"/>
          <w:color w:val="auto"/>
          <w:sz w:val="28"/>
          <w:szCs w:val="2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pPr>
        <w:jc w:val="center"/>
        <w:rPr>
          <w:rFonts w:ascii="宋体" w:hAnsi="宋体" w:cs="宋体"/>
          <w:b/>
          <w:color w:val="auto"/>
          <w:sz w:val="48"/>
          <w:szCs w:val="48"/>
          <w:highlight w:val="none"/>
        </w:rPr>
      </w:pPr>
    </w:p>
    <w:p>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rPr>
          <w:color w:val="auto"/>
          <w:highlight w:val="none"/>
        </w:rPr>
      </w:pPr>
    </w:p>
    <w:p>
      <w:pPr>
        <w:rPr>
          <w:color w:val="auto"/>
          <w:highlight w:val="none"/>
        </w:rPr>
      </w:pPr>
    </w:p>
    <w:p>
      <w:pPr>
        <w:jc w:val="center"/>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rPr>
        <w:t>采购人：</w:t>
      </w:r>
      <w:r>
        <w:rPr>
          <w:rFonts w:hint="eastAsia" w:ascii="宋体" w:hAnsi="宋体" w:cs="宋体"/>
          <w:b/>
          <w:color w:val="auto"/>
          <w:sz w:val="28"/>
          <w:szCs w:val="28"/>
          <w:highlight w:val="none"/>
          <w:lang w:eastAsia="zh-CN"/>
        </w:rPr>
        <w:t>重庆首讯科技股份有限公司数智系统运维分公司</w:t>
      </w:r>
    </w:p>
    <w:p>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w:t>
      </w:r>
      <w:r>
        <w:rPr>
          <w:rFonts w:hint="eastAsia" w:ascii="宋体" w:hAnsi="宋体" w:cs="宋体"/>
          <w:b/>
          <w:color w:val="auto"/>
          <w:sz w:val="28"/>
          <w:szCs w:val="28"/>
          <w:highlight w:val="none"/>
          <w:lang w:val="en-US" w:eastAsia="zh-CN"/>
        </w:rPr>
        <w:t>6年1月</w:t>
      </w:r>
    </w:p>
    <w:p>
      <w:pPr>
        <w:pStyle w:val="28"/>
        <w:jc w:val="center"/>
        <w:rPr>
          <w:rFonts w:ascii="宋体" w:hAnsi="宋体" w:cs="宋体"/>
          <w:color w:val="auto"/>
          <w:szCs w:val="21"/>
          <w:highlight w:val="none"/>
        </w:rPr>
      </w:pPr>
      <w:r>
        <w:rPr>
          <w:color w:val="auto"/>
          <w:highlight w:val="none"/>
        </w:rPr>
        <w:br w:type="page"/>
      </w:r>
      <w:bookmarkStart w:id="0" w:name="_Toc296602400"/>
      <w:bookmarkStart w:id="1" w:name="_Toc507319889"/>
      <w:bookmarkStart w:id="2" w:name="_Toc507428442"/>
      <w:bookmarkStart w:id="3" w:name="_Toc247085669"/>
      <w:bookmarkStart w:id="4" w:name="_Toc246996898"/>
      <w:r>
        <w:rPr>
          <w:rFonts w:hint="eastAsia" w:ascii="宋体" w:hAnsi="宋体" w:cs="宋体"/>
          <w:b w:val="0"/>
          <w:color w:val="auto"/>
          <w:sz w:val="32"/>
          <w:highlight w:val="none"/>
        </w:rPr>
        <w:t>目   录</w:t>
      </w:r>
      <w:bookmarkEnd w:id="0"/>
      <w:bookmarkEnd w:id="1"/>
      <w:bookmarkEnd w:id="2"/>
      <w:bookmarkEnd w:id="3"/>
      <w:bookmarkEnd w:id="4"/>
    </w:p>
    <w:p>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_Toc13413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rPr>
          <w:highlight w:val="none"/>
        </w:rPr>
        <w:tab/>
      </w:r>
      <w:r>
        <w:rPr>
          <w:highlight w:val="none"/>
        </w:rPr>
        <w:fldChar w:fldCharType="begin"/>
      </w:r>
      <w:r>
        <w:rPr>
          <w:highlight w:val="none"/>
        </w:rPr>
        <w:instrText xml:space="preserve"> PAGEREF _Toc13413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_Toc16544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_Toc16544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_Toc7515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_Toc7515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_Toc1682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_Toc1682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_Toc421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4</w:t>
      </w:r>
      <w:r>
        <w:rPr>
          <w:rFonts w:hint="eastAsia" w:ascii="宋体" w:hAnsi="宋体" w:eastAsia="宋体" w:cs="宋体"/>
          <w:highlight w:val="none"/>
        </w:rPr>
        <w:t xml:space="preserve">. </w:t>
      </w:r>
      <w:r>
        <w:rPr>
          <w:rFonts w:hint="eastAsia" w:ascii="宋体" w:hAnsi="宋体" w:eastAsia="宋体" w:cs="宋体"/>
          <w:highlight w:val="none"/>
          <w:lang w:val="en-US" w:eastAsia="zh-CN"/>
        </w:rPr>
        <w:t>评标办法</w:t>
      </w:r>
      <w:r>
        <w:rPr>
          <w:highlight w:val="none"/>
        </w:rPr>
        <w:tab/>
      </w:r>
      <w:r>
        <w:rPr>
          <w:highlight w:val="none"/>
        </w:rPr>
        <w:fldChar w:fldCharType="begin"/>
      </w:r>
      <w:r>
        <w:rPr>
          <w:highlight w:val="none"/>
        </w:rPr>
        <w:instrText xml:space="preserve"> PAGEREF _Toc421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_Toc3447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_Toc3447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_Toc20302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_Toc20302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_Toc1175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_Toc1175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_Toc13375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_Toc13375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_Toc14062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资格审查文件（项目主要管理人员最低要求）</w:t>
      </w:r>
      <w:r>
        <w:rPr>
          <w:highlight w:val="none"/>
        </w:rPr>
        <w:tab/>
      </w:r>
      <w:r>
        <w:rPr>
          <w:highlight w:val="none"/>
        </w:rPr>
        <w:fldChar w:fldCharType="begin"/>
      </w:r>
      <w:r>
        <w:rPr>
          <w:highlight w:val="none"/>
        </w:rPr>
        <w:instrText xml:space="preserve"> PAGEREF _Toc14062 \h </w:instrText>
      </w:r>
      <w:r>
        <w:rPr>
          <w:highlight w:val="none"/>
        </w:rPr>
        <w:fldChar w:fldCharType="separate"/>
      </w:r>
      <w:r>
        <w:rPr>
          <w:highlight w:val="none"/>
        </w:rPr>
        <w:t>11</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_Toc14678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2</w:t>
      </w:r>
      <w:r>
        <w:rPr>
          <w:rFonts w:hint="eastAsia" w:ascii="宋体" w:hAnsi="宋体" w:eastAsia="宋体" w:cs="宋体"/>
          <w:bCs w:val="0"/>
          <w:szCs w:val="28"/>
          <w:highlight w:val="none"/>
        </w:rPr>
        <w:t xml:space="preserve"> 资格审查文件（项目</w:t>
      </w:r>
      <w:r>
        <w:rPr>
          <w:rFonts w:hint="eastAsia" w:ascii="宋体" w:hAnsi="宋体" w:eastAsia="宋体" w:cs="宋体"/>
          <w:bCs w:val="0"/>
          <w:szCs w:val="28"/>
          <w:highlight w:val="none"/>
          <w:lang w:val="en-US" w:eastAsia="zh-CN"/>
        </w:rPr>
        <w:t>其他</w:t>
      </w:r>
      <w:r>
        <w:rPr>
          <w:rFonts w:hint="eastAsia" w:ascii="宋体" w:hAnsi="宋体" w:eastAsia="宋体" w:cs="宋体"/>
          <w:bCs w:val="0"/>
          <w:szCs w:val="28"/>
          <w:highlight w:val="none"/>
        </w:rPr>
        <w:t>人员</w:t>
      </w:r>
      <w:r>
        <w:rPr>
          <w:rFonts w:hint="eastAsia" w:ascii="宋体" w:hAnsi="宋体" w:eastAsia="宋体" w:cs="宋体"/>
          <w:bCs w:val="0"/>
          <w:szCs w:val="28"/>
          <w:highlight w:val="none"/>
          <w:lang w:val="en-US" w:eastAsia="zh-CN"/>
        </w:rPr>
        <w:t>最低</w:t>
      </w:r>
      <w:r>
        <w:rPr>
          <w:rFonts w:hint="eastAsia" w:ascii="宋体" w:hAnsi="宋体" w:eastAsia="宋体" w:cs="宋体"/>
          <w:bCs w:val="0"/>
          <w:szCs w:val="28"/>
          <w:highlight w:val="none"/>
        </w:rPr>
        <w:t>要求）</w:t>
      </w:r>
      <w:r>
        <w:rPr>
          <w:highlight w:val="none"/>
        </w:rPr>
        <w:tab/>
      </w:r>
      <w:r>
        <w:rPr>
          <w:highlight w:val="none"/>
        </w:rPr>
        <w:fldChar w:fldCharType="begin"/>
      </w:r>
      <w:r>
        <w:rPr>
          <w:highlight w:val="none"/>
        </w:rPr>
        <w:instrText xml:space="preserve"> PAGEREF _Toc14678 \h </w:instrText>
      </w:r>
      <w:r>
        <w:rPr>
          <w:highlight w:val="none"/>
        </w:rPr>
        <w:fldChar w:fldCharType="separate"/>
      </w:r>
      <w:r>
        <w:rPr>
          <w:highlight w:val="none"/>
        </w:rPr>
        <w:t>11</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_Toc5232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3</w:t>
      </w:r>
      <w:r>
        <w:rPr>
          <w:rFonts w:hint="eastAsia" w:ascii="宋体" w:hAnsi="宋体" w:eastAsia="宋体" w:cs="宋体"/>
          <w:bCs w:val="0"/>
          <w:szCs w:val="28"/>
          <w:highlight w:val="none"/>
        </w:rPr>
        <w:t xml:space="preserve"> 资格审查文件（主要机械设备和试验检测设备最低要求）</w:t>
      </w:r>
      <w:r>
        <w:rPr>
          <w:highlight w:val="none"/>
        </w:rPr>
        <w:tab/>
      </w:r>
      <w:r>
        <w:rPr>
          <w:highlight w:val="none"/>
        </w:rPr>
        <w:fldChar w:fldCharType="begin"/>
      </w:r>
      <w:r>
        <w:rPr>
          <w:highlight w:val="none"/>
        </w:rPr>
        <w:instrText xml:space="preserve"> PAGEREF _Toc5232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_Toc5917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_Toc5917 \h </w:instrText>
      </w:r>
      <w:r>
        <w:rPr>
          <w:highlight w:val="none"/>
        </w:rPr>
        <w:fldChar w:fldCharType="separate"/>
      </w:r>
      <w:r>
        <w:rPr>
          <w:highlight w:val="none"/>
        </w:rPr>
        <w:t>13</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_Toc25176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_Toc25176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_Toc6480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_Toc6480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_Toc13081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_Toc13081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_Toc20382 </w:instrText>
      </w:r>
      <w:r>
        <w:rPr>
          <w:rFonts w:hint="eastAsia" w:ascii="宋体" w:hAnsi="宋体" w:cs="宋体"/>
          <w:bCs/>
          <w:caps/>
          <w:highlight w:val="none"/>
        </w:rPr>
        <w:fldChar w:fldCharType="separate"/>
      </w:r>
      <w:r>
        <w:rPr>
          <w:rFonts w:hint="eastAsia"/>
          <w:bCs/>
          <w:highlight w:val="none"/>
        </w:rPr>
        <w:t>第四章 报价说明</w:t>
      </w:r>
      <w:r>
        <w:rPr>
          <w:highlight w:val="none"/>
        </w:rPr>
        <w:tab/>
      </w:r>
      <w:r>
        <w:rPr>
          <w:highlight w:val="none"/>
        </w:rPr>
        <w:fldChar w:fldCharType="begin"/>
      </w:r>
      <w:r>
        <w:rPr>
          <w:highlight w:val="none"/>
        </w:rPr>
        <w:instrText xml:space="preserve"> PAGEREF _Toc20382 \h </w:instrText>
      </w:r>
      <w:r>
        <w:rPr>
          <w:highlight w:val="none"/>
        </w:rPr>
        <w:fldChar w:fldCharType="separate"/>
      </w:r>
      <w:r>
        <w:rPr>
          <w:highlight w:val="none"/>
        </w:rPr>
        <w:t>19</w:t>
      </w:r>
      <w:r>
        <w:rPr>
          <w:highlight w:val="none"/>
        </w:rPr>
        <w:fldChar w:fldCharType="end"/>
      </w:r>
      <w:r>
        <w:rPr>
          <w:rFonts w:hint="eastAsia" w:ascii="宋体" w:hAnsi="宋体" w:cs="宋体"/>
          <w:bCs/>
          <w:caps/>
          <w:color w:val="auto"/>
          <w:highlight w:val="none"/>
        </w:rPr>
        <w:fldChar w:fldCharType="end"/>
      </w:r>
    </w:p>
    <w:p>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_Toc2726 </w:instrText>
      </w:r>
      <w:r>
        <w:rPr>
          <w:rFonts w:hint="eastAsia" w:ascii="宋体" w:hAnsi="宋体" w:cs="宋体"/>
          <w:bCs/>
          <w:caps/>
          <w:highlight w:val="none"/>
        </w:rPr>
        <w:fldChar w:fldCharType="separate"/>
      </w:r>
      <w:r>
        <w:rPr>
          <w:rFonts w:hint="eastAsia" w:ascii="宋体" w:hAnsi="宋体" w:cs="宋体"/>
          <w:highlight w:val="none"/>
        </w:rPr>
        <w:t>第五章  工程量清单</w:t>
      </w:r>
      <w:r>
        <w:rPr>
          <w:highlight w:val="none"/>
        </w:rPr>
        <w:tab/>
      </w:r>
      <w:r>
        <w:rPr>
          <w:highlight w:val="none"/>
        </w:rPr>
        <w:fldChar w:fldCharType="begin"/>
      </w:r>
      <w:r>
        <w:rPr>
          <w:highlight w:val="none"/>
        </w:rPr>
        <w:instrText xml:space="preserve"> PAGEREF _Toc2726 \h </w:instrText>
      </w:r>
      <w:r>
        <w:rPr>
          <w:highlight w:val="none"/>
        </w:rPr>
        <w:fldChar w:fldCharType="separate"/>
      </w:r>
      <w:r>
        <w:rPr>
          <w:highlight w:val="none"/>
        </w:rPr>
        <w:t>21</w:t>
      </w:r>
      <w:r>
        <w:rPr>
          <w:highlight w:val="none"/>
        </w:rPr>
        <w:fldChar w:fldCharType="end"/>
      </w:r>
      <w:r>
        <w:rPr>
          <w:rFonts w:hint="eastAsia" w:ascii="宋体" w:hAnsi="宋体" w:cs="宋体"/>
          <w:bCs/>
          <w:caps/>
          <w:color w:val="auto"/>
          <w:highlight w:val="none"/>
        </w:rPr>
        <w:fldChar w:fldCharType="end"/>
      </w:r>
    </w:p>
    <w:p>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_Toc32056 </w:instrText>
      </w:r>
      <w:r>
        <w:rPr>
          <w:rFonts w:hint="eastAsia" w:ascii="宋体" w:hAnsi="宋体" w:cs="宋体"/>
          <w:bCs/>
          <w:caps/>
          <w:highlight w:val="none"/>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_Toc32056 \h </w:instrText>
      </w:r>
      <w:r>
        <w:rPr>
          <w:highlight w:val="none"/>
        </w:rPr>
        <w:fldChar w:fldCharType="separate"/>
      </w:r>
      <w:r>
        <w:rPr>
          <w:highlight w:val="none"/>
        </w:rPr>
        <w:t>22</w:t>
      </w:r>
      <w:r>
        <w:rPr>
          <w:highlight w:val="none"/>
        </w:rPr>
        <w:fldChar w:fldCharType="end"/>
      </w:r>
      <w:r>
        <w:rPr>
          <w:rFonts w:hint="eastAsia" w:ascii="宋体" w:hAnsi="宋体" w:cs="宋体"/>
          <w:bCs/>
          <w:caps/>
          <w:color w:val="auto"/>
          <w:highlight w:val="none"/>
        </w:rPr>
        <w:fldChar w:fldCharType="end"/>
      </w:r>
    </w:p>
    <w:p>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_Toc31278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rPr>
          <w:highlight w:val="none"/>
        </w:rPr>
        <w:tab/>
      </w:r>
      <w:r>
        <w:rPr>
          <w:highlight w:val="none"/>
        </w:rPr>
        <w:fldChar w:fldCharType="begin"/>
      </w:r>
      <w:r>
        <w:rPr>
          <w:highlight w:val="none"/>
        </w:rPr>
        <w:instrText xml:space="preserve"> PAGEREF _Toc31278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_Toc1594 </w:instrText>
      </w:r>
      <w:r>
        <w:rPr>
          <w:rFonts w:hint="eastAsia" w:ascii="宋体" w:hAnsi="宋体" w:cs="宋体"/>
          <w:bCs/>
          <w:caps/>
          <w:highlight w:val="none"/>
        </w:rPr>
        <w:fldChar w:fldCharType="separate"/>
      </w:r>
      <w:r>
        <w:rPr>
          <w:rFonts w:hint="eastAsia" w:ascii="宋体" w:hAnsi="宋体" w:cs="宋体"/>
          <w:highlight w:val="none"/>
        </w:rPr>
        <w:t>第八章  合同范本</w:t>
      </w:r>
      <w:r>
        <w:rPr>
          <w:highlight w:val="none"/>
        </w:rPr>
        <w:tab/>
      </w:r>
      <w:r>
        <w:rPr>
          <w:highlight w:val="none"/>
        </w:rPr>
        <w:fldChar w:fldCharType="begin"/>
      </w:r>
      <w:r>
        <w:rPr>
          <w:highlight w:val="none"/>
        </w:rPr>
        <w:instrText xml:space="preserve"> PAGEREF _Toc1594 \h </w:instrText>
      </w:r>
      <w:r>
        <w:rPr>
          <w:highlight w:val="none"/>
        </w:rPr>
        <w:fldChar w:fldCharType="separate"/>
      </w:r>
      <w:r>
        <w:rPr>
          <w:highlight w:val="none"/>
        </w:rPr>
        <w:t>24</w:t>
      </w:r>
      <w:r>
        <w:rPr>
          <w:highlight w:val="none"/>
        </w:rPr>
        <w:fldChar w:fldCharType="end"/>
      </w:r>
      <w:r>
        <w:rPr>
          <w:rFonts w:hint="eastAsia" w:ascii="宋体" w:hAnsi="宋体" w:cs="宋体"/>
          <w:bCs/>
          <w:caps/>
          <w:color w:val="auto"/>
          <w:highlight w:val="none"/>
        </w:rPr>
        <w:fldChar w:fldCharType="end"/>
      </w:r>
    </w:p>
    <w:p>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_Toc5758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九</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_Toc5758 \h </w:instrText>
      </w:r>
      <w:r>
        <w:rPr>
          <w:highlight w:val="none"/>
        </w:rPr>
        <w:fldChar w:fldCharType="separate"/>
      </w:r>
      <w:r>
        <w:rPr>
          <w:highlight w:val="none"/>
        </w:rPr>
        <w:t>25</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_Toc20716 </w:instrText>
      </w:r>
      <w:r>
        <w:rPr>
          <w:rFonts w:hint="eastAsia" w:ascii="宋体" w:hAnsi="宋体" w:cs="宋体"/>
          <w:bCs/>
          <w:caps/>
          <w:highlight w:val="none"/>
        </w:rPr>
        <w:fldChar w:fldCharType="separate"/>
      </w:r>
      <w:r>
        <w:rPr>
          <w:rFonts w:hint="eastAsia" w:ascii="宋体" w:hAnsi="宋体" w:eastAsia="宋体" w:cs="宋体"/>
          <w:highlight w:val="none"/>
        </w:rPr>
        <w:t>一、竞争比选响应声明书</w:t>
      </w:r>
      <w:r>
        <w:rPr>
          <w:highlight w:val="none"/>
        </w:rPr>
        <w:tab/>
      </w:r>
      <w:r>
        <w:rPr>
          <w:highlight w:val="none"/>
        </w:rPr>
        <w:fldChar w:fldCharType="begin"/>
      </w:r>
      <w:r>
        <w:rPr>
          <w:highlight w:val="none"/>
        </w:rPr>
        <w:instrText xml:space="preserve"> PAGEREF _Toc20716 \h </w:instrText>
      </w:r>
      <w:r>
        <w:rPr>
          <w:highlight w:val="none"/>
        </w:rPr>
        <w:fldChar w:fldCharType="separate"/>
      </w:r>
      <w:r>
        <w:rPr>
          <w:highlight w:val="none"/>
        </w:rPr>
        <w:t>28</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_Toc1699 </w:instrText>
      </w:r>
      <w:r>
        <w:rPr>
          <w:rFonts w:hint="eastAsia" w:ascii="宋体" w:hAnsi="宋体" w:cs="宋体"/>
          <w:bCs/>
          <w:caps/>
          <w:highlight w:val="none"/>
        </w:rPr>
        <w:fldChar w:fldCharType="separate"/>
      </w:r>
      <w:r>
        <w:rPr>
          <w:rFonts w:hint="eastAsia" w:ascii="宋体" w:hAnsi="宋体" w:eastAsia="宋体" w:cs="宋体"/>
          <w:szCs w:val="28"/>
          <w:highlight w:val="none"/>
        </w:rPr>
        <w:t>二、</w:t>
      </w:r>
      <w:r>
        <w:rPr>
          <w:rFonts w:hint="eastAsia" w:ascii="宋体" w:hAnsi="宋体" w:eastAsia="宋体" w:cs="宋体"/>
          <w:highlight w:val="none"/>
        </w:rPr>
        <w:t>法定代表人身份证明或法定代表人授权委托书</w:t>
      </w:r>
      <w:r>
        <w:rPr>
          <w:highlight w:val="none"/>
        </w:rPr>
        <w:tab/>
      </w:r>
      <w:r>
        <w:rPr>
          <w:highlight w:val="none"/>
        </w:rPr>
        <w:fldChar w:fldCharType="begin"/>
      </w:r>
      <w:r>
        <w:rPr>
          <w:highlight w:val="none"/>
        </w:rPr>
        <w:instrText xml:space="preserve"> PAGEREF _Toc1699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_Toc616 </w:instrText>
      </w:r>
      <w:r>
        <w:rPr>
          <w:rFonts w:hint="eastAsia" w:ascii="宋体" w:hAnsi="宋体" w:cs="宋体"/>
          <w:bCs/>
          <w:caps/>
          <w:highlight w:val="none"/>
        </w:rPr>
        <w:fldChar w:fldCharType="separate"/>
      </w:r>
      <w:r>
        <w:rPr>
          <w:rFonts w:hint="eastAsia" w:ascii="宋体" w:hAnsi="宋体" w:cs="宋体"/>
          <w:bCs/>
          <w:kern w:val="0"/>
          <w:szCs w:val="32"/>
          <w:highlight w:val="none"/>
        </w:rPr>
        <w:t>三、报价一览表</w:t>
      </w:r>
      <w:r>
        <w:rPr>
          <w:highlight w:val="none"/>
        </w:rPr>
        <w:tab/>
      </w:r>
      <w:r>
        <w:rPr>
          <w:highlight w:val="none"/>
        </w:rPr>
        <w:fldChar w:fldCharType="begin"/>
      </w:r>
      <w:r>
        <w:rPr>
          <w:highlight w:val="none"/>
        </w:rPr>
        <w:instrText xml:space="preserve"> PAGEREF _Toc616 \h </w:instrText>
      </w:r>
      <w:r>
        <w:rPr>
          <w:highlight w:val="none"/>
        </w:rPr>
        <w:fldChar w:fldCharType="separate"/>
      </w:r>
      <w:r>
        <w:rPr>
          <w:highlight w:val="none"/>
        </w:rPr>
        <w:t>31</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_Toc5261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_Toc5261 \h </w:instrText>
      </w:r>
      <w:r>
        <w:rPr>
          <w:highlight w:val="none"/>
        </w:rPr>
        <w:fldChar w:fldCharType="separate"/>
      </w:r>
      <w:r>
        <w:rPr>
          <w:b/>
          <w:highlight w:val="none"/>
        </w:rPr>
        <w:t>错误！未定义书签。</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_Toc31027 </w:instrText>
      </w:r>
      <w:r>
        <w:rPr>
          <w:rFonts w:hint="eastAsia" w:ascii="宋体" w:hAnsi="宋体" w:cs="宋体"/>
          <w:bCs/>
          <w:caps/>
          <w:highlight w:val="none"/>
        </w:rPr>
        <w:fldChar w:fldCharType="separate"/>
      </w:r>
      <w:r>
        <w:rPr>
          <w:rFonts w:hint="eastAsia" w:ascii="宋体" w:hAnsi="宋体" w:eastAsia="宋体" w:cs="宋体"/>
          <w:highlight w:val="none"/>
        </w:rPr>
        <w:t>五、 报价人须知前附表规定的材料</w:t>
      </w:r>
      <w:r>
        <w:rPr>
          <w:highlight w:val="none"/>
        </w:rPr>
        <w:tab/>
      </w:r>
      <w:r>
        <w:rPr>
          <w:highlight w:val="none"/>
        </w:rPr>
        <w:fldChar w:fldCharType="begin"/>
      </w:r>
      <w:r>
        <w:rPr>
          <w:highlight w:val="none"/>
        </w:rPr>
        <w:instrText xml:space="preserve"> PAGEREF _Toc31027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_Toc14261 </w:instrText>
      </w:r>
      <w:r>
        <w:rPr>
          <w:rFonts w:hint="eastAsia" w:ascii="宋体" w:hAnsi="宋体" w:cs="宋体"/>
          <w:bCs/>
          <w:caps/>
          <w:highlight w:val="none"/>
        </w:rPr>
        <w:fldChar w:fldCharType="separate"/>
      </w:r>
      <w:r>
        <w:rPr>
          <w:rFonts w:hint="eastAsia" w:ascii="宋体" w:hAnsi="宋体" w:eastAsia="宋体" w:cs="宋体"/>
          <w:highlight w:val="none"/>
        </w:rPr>
        <w:t>六、现场安全负责人承诺书</w:t>
      </w:r>
      <w:r>
        <w:rPr>
          <w:highlight w:val="none"/>
        </w:rPr>
        <w:tab/>
      </w:r>
      <w:r>
        <w:rPr>
          <w:highlight w:val="none"/>
        </w:rPr>
        <w:fldChar w:fldCharType="begin"/>
      </w:r>
      <w:r>
        <w:rPr>
          <w:highlight w:val="none"/>
        </w:rPr>
        <w:instrText xml:space="preserve"> PAGEREF _Toc14261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_Toc15807 </w:instrText>
      </w:r>
      <w:r>
        <w:rPr>
          <w:rFonts w:hint="eastAsia" w:ascii="宋体" w:hAnsi="宋体" w:cs="宋体"/>
          <w:bCs/>
          <w:caps/>
          <w:highlight w:val="none"/>
        </w:rPr>
        <w:fldChar w:fldCharType="separate"/>
      </w:r>
      <w:r>
        <w:rPr>
          <w:rFonts w:hint="eastAsia" w:ascii="宋体" w:hAnsi="宋体" w:eastAsia="宋体" w:cs="宋体"/>
          <w:highlight w:val="none"/>
        </w:rPr>
        <w:t>七、报价人基本信息及其他材料</w:t>
      </w:r>
      <w:r>
        <w:rPr>
          <w:highlight w:val="none"/>
        </w:rPr>
        <w:tab/>
      </w:r>
      <w:r>
        <w:rPr>
          <w:highlight w:val="none"/>
        </w:rPr>
        <w:fldChar w:fldCharType="begin"/>
      </w:r>
      <w:r>
        <w:rPr>
          <w:highlight w:val="none"/>
        </w:rPr>
        <w:instrText xml:space="preserve"> PAGEREF _Toc15807 \h </w:instrText>
      </w:r>
      <w:r>
        <w:rPr>
          <w:highlight w:val="none"/>
        </w:rPr>
        <w:fldChar w:fldCharType="separate"/>
      </w:r>
      <w:r>
        <w:rPr>
          <w:highlight w:val="none"/>
        </w:rPr>
        <w:t>35</w:t>
      </w:r>
      <w:r>
        <w:rPr>
          <w:highlight w:val="none"/>
        </w:rPr>
        <w:fldChar w:fldCharType="end"/>
      </w:r>
      <w:r>
        <w:rPr>
          <w:rFonts w:hint="eastAsia" w:ascii="宋体" w:hAnsi="宋体" w:cs="宋体"/>
          <w:bCs/>
          <w:caps/>
          <w:color w:val="auto"/>
          <w:highlight w:val="none"/>
        </w:rPr>
        <w:fldChar w:fldCharType="end"/>
      </w:r>
    </w:p>
    <w:p>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pPr>
        <w:pStyle w:val="2"/>
        <w:spacing w:before="0" w:after="0" w:line="360" w:lineRule="auto"/>
        <w:jc w:val="center"/>
        <w:rPr>
          <w:rFonts w:ascii="宋体" w:hAnsi="宋体" w:cs="宋体"/>
          <w:color w:val="auto"/>
          <w:highlight w:val="none"/>
        </w:rPr>
      </w:pPr>
      <w:bookmarkStart w:id="5" w:name="_Toc179632527"/>
      <w:bookmarkStart w:id="6" w:name="_Toc246996900"/>
      <w:bookmarkStart w:id="7" w:name="_Toc2000404"/>
      <w:bookmarkStart w:id="8" w:name="_Toc247096243"/>
      <w:bookmarkStart w:id="9" w:name="_Toc152042287"/>
      <w:bookmarkStart w:id="10" w:name="_Toc144974479"/>
      <w:bookmarkStart w:id="11" w:name="_Toc507319890"/>
      <w:bookmarkStart w:id="12" w:name="_Toc152045511"/>
      <w:bookmarkStart w:id="13" w:name="_Toc247085671"/>
      <w:bookmarkStart w:id="14" w:name="_Toc246996157"/>
      <w:bookmarkStart w:id="15" w:name="_Toc13413"/>
      <w:r>
        <w:rPr>
          <w:rFonts w:hint="eastAsia" w:ascii="宋体" w:hAnsi="宋体" w:cs="宋体"/>
          <w:color w:val="auto"/>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auto"/>
          <w:highlight w:val="none"/>
        </w:rPr>
        <w:t>比选公告</w:t>
      </w:r>
      <w:bookmarkEnd w:id="15"/>
    </w:p>
    <w:p>
      <w:pPr>
        <w:spacing w:line="440" w:lineRule="exact"/>
        <w:jc w:val="center"/>
        <w:rPr>
          <w:rFonts w:ascii="宋体" w:hAnsi="宋体" w:cs="宋体"/>
          <w:b/>
          <w:color w:val="auto"/>
          <w:sz w:val="28"/>
          <w:szCs w:val="28"/>
          <w:highlight w:val="none"/>
        </w:rPr>
      </w:pPr>
    </w:p>
    <w:p>
      <w:pPr>
        <w:pStyle w:val="3"/>
        <w:spacing w:before="0" w:after="0" w:line="360" w:lineRule="auto"/>
        <w:rPr>
          <w:rFonts w:ascii="宋体" w:hAnsi="宋体" w:eastAsia="宋体" w:cs="宋体"/>
          <w:color w:val="auto"/>
          <w:highlight w:val="none"/>
        </w:rPr>
      </w:pPr>
      <w:bookmarkStart w:id="16" w:name="_Toc152042288"/>
      <w:bookmarkStart w:id="17" w:name="_Toc24874"/>
      <w:bookmarkStart w:id="18" w:name="_Toc6549"/>
      <w:bookmarkStart w:id="19" w:name="_Toc246996158"/>
      <w:bookmarkStart w:id="20" w:name="_Toc144974480"/>
      <w:bookmarkStart w:id="21" w:name="_Toc10076"/>
      <w:bookmarkStart w:id="22" w:name="_Toc11329213"/>
      <w:bookmarkStart w:id="23" w:name="_Toc30430"/>
      <w:bookmarkStart w:id="24" w:name="_Toc246996901"/>
      <w:bookmarkStart w:id="25" w:name="_Toc152045512"/>
      <w:bookmarkStart w:id="26" w:name="_Toc247085672"/>
      <w:bookmarkStart w:id="27" w:name="_Toc16544"/>
      <w:bookmarkStart w:id="28" w:name="_Toc507319891"/>
      <w:bookmarkStart w:id="29" w:name="_Toc179632528"/>
      <w:r>
        <w:rPr>
          <w:rFonts w:hint="eastAsia" w:ascii="宋体" w:hAnsi="宋体" w:eastAsia="宋体" w:cs="宋体"/>
          <w:color w:val="auto"/>
          <w:highlight w:val="none"/>
        </w:rPr>
        <w:t>1. 比选条件</w:t>
      </w:r>
      <w:bookmarkEnd w:id="16"/>
      <w:bookmarkEnd w:id="17"/>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i w:val="0"/>
          <w:iCs w:val="0"/>
          <w:color w:val="auto"/>
          <w:szCs w:val="21"/>
          <w:highlight w:val="none"/>
          <w:u w:val="single"/>
          <w:lang w:eastAsia="zh-CN"/>
        </w:rPr>
        <w:t>2026年永壁永津及渝湘复线机电维护劳务分包（第二次）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重庆首讯科技股份有限公司数智系统运维分公司</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，该项目已具备比选条件，现对该项目进行竞争性比选。</w:t>
      </w:r>
    </w:p>
    <w:p>
      <w:pPr>
        <w:pStyle w:val="3"/>
        <w:spacing w:before="120" w:after="0" w:line="360" w:lineRule="auto"/>
        <w:rPr>
          <w:rFonts w:ascii="宋体" w:hAnsi="宋体" w:eastAsia="宋体" w:cs="宋体"/>
          <w:color w:val="auto"/>
          <w:highlight w:val="none"/>
        </w:rPr>
      </w:pPr>
      <w:bookmarkStart w:id="30" w:name="_Toc246996159"/>
      <w:bookmarkStart w:id="31" w:name="_Toc11329214"/>
      <w:bookmarkStart w:id="32" w:name="_Toc507319892"/>
      <w:bookmarkStart w:id="33" w:name="_Toc18109"/>
      <w:bookmarkStart w:id="34" w:name="_Toc13546"/>
      <w:bookmarkStart w:id="35" w:name="_Toc246996902"/>
      <w:bookmarkStart w:id="36" w:name="_Toc247085673"/>
      <w:bookmarkStart w:id="37" w:name="_Toc144974481"/>
      <w:bookmarkStart w:id="38" w:name="_Toc7515"/>
      <w:bookmarkStart w:id="39" w:name="_Toc152045513"/>
      <w:bookmarkStart w:id="40" w:name="_Toc152042289"/>
      <w:bookmarkStart w:id="41" w:name="_Toc21343"/>
      <w:bookmarkStart w:id="42" w:name="_Toc10952"/>
      <w:bookmarkStart w:id="43" w:name="_Toc179632529"/>
      <w:r>
        <w:rPr>
          <w:rFonts w:hint="eastAsia" w:ascii="宋体" w:hAnsi="宋体" w:eastAsia="宋体" w:cs="宋体"/>
          <w:color w:val="auto"/>
          <w:highlight w:val="none"/>
        </w:rPr>
        <w:t>2. 项目概况与比选范围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kern w:val="2"/>
          <w:sz w:val="21"/>
          <w:szCs w:val="24"/>
          <w:highlight w:val="none"/>
          <w:lang w:val="en-US" w:eastAsia="zh-CN" w:bidi="ar-SA"/>
        </w:rPr>
      </w:pPr>
      <w:bookmarkStart w:id="44"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4"/>
      <w:r>
        <w:rPr>
          <w:rFonts w:hint="eastAsia" w:ascii="宋体" w:hAnsi="宋体" w:cs="宋体"/>
          <w:color w:val="auto"/>
          <w:szCs w:val="21"/>
          <w:highlight w:val="none"/>
          <w:u w:val="single"/>
          <w:lang w:val="en-US" w:eastAsia="zh-CN"/>
        </w:rPr>
        <w:t>永壁永津高速路段、S3渝湘复线酉彭段</w:t>
      </w:r>
    </w:p>
    <w:p>
      <w:pPr>
        <w:pStyle w:val="12"/>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5" w:name="项目概况"/>
      <w:r>
        <w:rPr>
          <w:rFonts w:hint="eastAsia" w:ascii="宋体" w:hAnsi="宋体" w:cs="宋体"/>
          <w:color w:val="auto"/>
          <w:szCs w:val="21"/>
          <w:highlight w:val="none"/>
          <w:u w:val="single"/>
          <w:lang w:val="en-US" w:eastAsia="zh-CN"/>
        </w:rPr>
        <w:t>永壁永津路段情况：永津路15.499公里，涉及隧道1座，单洞2.071公里，收费站2座车道18条，永壁路25.579公里，涉及隧道1座，单洞1.443公里，收费站5座车道44条。渝湘复线酉彭段路段情况：维护范围为S3渝湘复线酉彭段桩号K196-K248（周家寨收费站-铜西互通）维护里程共计52公里，涉及隧道14座，单洞27.94公里，收费站4座收费车道30条。维护内容：维护清单内的监控、通信、收费、供配电以及隧道机电系统日常维护维修等工作内容。</w:t>
      </w:r>
      <w:bookmarkEnd w:id="45"/>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r>
        <w:rPr>
          <w:rFonts w:hint="eastAsia" w:ascii="宋体" w:hAnsi="宋体" w:cs="宋体"/>
          <w:color w:val="auto"/>
          <w:szCs w:val="21"/>
          <w:highlight w:val="none"/>
          <w:u w:val="single"/>
          <w:lang w:val="en-US" w:eastAsia="zh-CN"/>
        </w:rPr>
        <w:t>159.91</w:t>
      </w:r>
      <w:r>
        <w:rPr>
          <w:rFonts w:hint="eastAsia" w:ascii="宋体" w:hAnsi="宋体" w:cs="宋体"/>
          <w:color w:val="auto"/>
          <w:highlight w:val="none"/>
          <w:lang w:val="en-US" w:eastAsia="zh-CN"/>
        </w:rPr>
        <w:t>万元。</w:t>
      </w:r>
    </w:p>
    <w:p>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highlight w:val="none"/>
        </w:rPr>
        <w:t>2.3 比选范围：</w:t>
      </w:r>
      <w:r>
        <w:rPr>
          <w:rFonts w:hint="eastAsia" w:ascii="宋体" w:hAnsi="宋体" w:cs="宋体"/>
          <w:color w:val="auto"/>
          <w:szCs w:val="21"/>
          <w:highlight w:val="none"/>
          <w:u w:val="none"/>
          <w:lang w:val="en-US" w:eastAsia="zh-CN"/>
        </w:rPr>
        <w:t>主要内容为</w:t>
      </w:r>
      <w:r>
        <w:rPr>
          <w:rFonts w:hint="eastAsia" w:ascii="宋体" w:hAnsi="宋体" w:cs="宋体"/>
          <w:color w:val="auto"/>
          <w:kern w:val="2"/>
          <w:sz w:val="21"/>
          <w:szCs w:val="24"/>
          <w:highlight w:val="none"/>
          <w:u w:val="single"/>
          <w:lang w:val="en-US" w:eastAsia="zh-CN" w:bidi="ar-SA"/>
        </w:rPr>
        <w:t xml:space="preserve"> 2026年永壁永津及渝湘复线机电维护劳务分包（第二次） </w:t>
      </w:r>
      <w:r>
        <w:rPr>
          <w:rFonts w:hint="eastAsia" w:ascii="宋体" w:hAnsi="宋体" w:cs="宋体"/>
          <w:color w:val="auto"/>
          <w:szCs w:val="21"/>
          <w:highlight w:val="none"/>
          <w:lang w:val="en-US" w:eastAsia="zh-CN"/>
        </w:rPr>
        <w:t>，</w:t>
      </w:r>
      <w:r>
        <w:rPr>
          <w:rFonts w:hint="eastAsia" w:ascii="宋体" w:hAnsi="宋体" w:cs="宋体"/>
          <w:color w:val="auto"/>
          <w:sz w:val="21"/>
          <w:szCs w:val="21"/>
          <w:highlight w:val="none"/>
          <w:lang w:val="en-US" w:eastAsia="zh-CN"/>
        </w:rPr>
        <w:t>最终以采购人指定的关于本工程的标准设计施工图、合同清单、图纸会审纪要、变更通知、通知单等为依据，由乙方承担本项目施工等相关工作内容，详情见工程量清单</w:t>
      </w:r>
      <w:r>
        <w:rPr>
          <w:rFonts w:hint="eastAsia" w:ascii="宋体" w:hAnsi="宋体" w:cs="宋体"/>
          <w:color w:val="auto"/>
          <w:szCs w:val="21"/>
          <w:highlight w:val="none"/>
          <w:lang w:val="en-US" w:eastAsia="zh-CN"/>
        </w:rPr>
        <w:t>。</w:t>
      </w:r>
    </w:p>
    <w:p>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b w:val="0"/>
          <w:bCs w:val="0"/>
          <w:color w:val="auto"/>
          <w:kern w:val="2"/>
          <w:sz w:val="21"/>
          <w:szCs w:val="24"/>
          <w:highlight w:val="none"/>
          <w:lang w:val="en-US" w:eastAsia="zh-CN" w:bidi="ar-SA"/>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w:t>
      </w:r>
      <w:bookmarkStart w:id="46" w:name="工期、货期要求"/>
      <w:r>
        <w:rPr>
          <w:rFonts w:hint="eastAsia" w:ascii="宋体" w:hAnsi="宋体" w:cs="宋体"/>
          <w:b w:val="0"/>
          <w:bCs w:val="0"/>
          <w:color w:val="auto"/>
          <w:kern w:val="2"/>
          <w:sz w:val="21"/>
          <w:szCs w:val="24"/>
          <w:highlight w:val="none"/>
          <w:u w:val="single"/>
          <w:lang w:val="en-US" w:eastAsia="zh-CN" w:bidi="ar-SA"/>
        </w:rPr>
        <w:t>暂定工期12个月，具体开完工时间以甲方通知为准</w:t>
      </w:r>
      <w:r>
        <w:rPr>
          <w:rFonts w:hint="eastAsia" w:ascii="宋体" w:hAnsi="宋体" w:eastAsia="宋体" w:cs="宋体"/>
          <w:color w:val="auto"/>
          <w:szCs w:val="21"/>
          <w:highlight w:val="none"/>
          <w:u w:val="single"/>
        </w:rPr>
        <w:t>。</w:t>
      </w:r>
      <w:bookmarkEnd w:id="46"/>
      <w:r>
        <w:rPr>
          <w:rFonts w:hint="eastAsia" w:ascii="宋体" w:hAnsi="宋体" w:eastAsia="宋体" w:cs="宋体"/>
          <w:b w:val="0"/>
          <w:bCs w:val="0"/>
          <w:color w:val="auto"/>
          <w:sz w:val="21"/>
          <w:szCs w:val="21"/>
          <w:highlight w:val="none"/>
          <w:lang w:val="en-US" w:eastAsia="zh-CN"/>
        </w:rPr>
        <w:t>缺陷责任期要求：</w:t>
      </w:r>
      <w:bookmarkStart w:id="47" w:name="缺陷责任期"/>
      <w:r>
        <w:rPr>
          <w:rFonts w:hint="eastAsia" w:ascii="宋体" w:hAnsi="宋体" w:cs="宋体"/>
          <w:color w:val="auto"/>
          <w:kern w:val="0"/>
          <w:sz w:val="21"/>
          <w:szCs w:val="21"/>
          <w:highlight w:val="none"/>
          <w:u w:val="single"/>
          <w:lang w:val="en-US" w:eastAsia="zh-CN" w:bidi="ar-SA"/>
        </w:rPr>
        <w:t>0.00</w:t>
      </w:r>
      <w:bookmarkEnd w:id="47"/>
      <w:r>
        <w:rPr>
          <w:rFonts w:hint="eastAsia" w:ascii="宋体" w:hAnsi="宋体" w:eastAsia="宋体" w:cs="宋体"/>
          <w:b w:val="0"/>
          <w:bCs w:val="0"/>
          <w:color w:val="auto"/>
          <w:sz w:val="21"/>
          <w:szCs w:val="21"/>
          <w:highlight w:val="none"/>
          <w:lang w:val="en-US" w:eastAsia="zh-CN"/>
        </w:rPr>
        <w:t>个月</w:t>
      </w:r>
      <w:r>
        <w:rPr>
          <w:rFonts w:hint="eastAsia" w:ascii="宋体" w:hAnsi="宋体" w:eastAsia="宋体" w:cs="宋体"/>
          <w:b w:val="0"/>
          <w:bCs w:val="0"/>
          <w:color w:val="auto"/>
          <w:kern w:val="2"/>
          <w:sz w:val="21"/>
          <w:szCs w:val="24"/>
          <w:highlight w:val="none"/>
          <w:lang w:val="en-US" w:eastAsia="zh-CN" w:bidi="ar-SA"/>
        </w:rPr>
        <w:t>。</w:t>
      </w:r>
    </w:p>
    <w:p>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default" w:ascii="宋体" w:hAnsi="宋体" w:eastAsia="宋体" w:cs="宋体"/>
          <w:b/>
          <w:bCs/>
          <w:color w:val="auto"/>
          <w:highlight w:val="none"/>
          <w:lang w:val="en-US" w:eastAsia="zh-CN"/>
        </w:rPr>
      </w:pPr>
      <w:r>
        <w:rPr>
          <w:rFonts w:hint="eastAsia" w:ascii="宋体" w:hAnsi="宋体" w:cs="宋体"/>
          <w:b w:val="0"/>
          <w:bCs w:val="0"/>
          <w:color w:val="auto"/>
          <w:kern w:val="2"/>
          <w:sz w:val="21"/>
          <w:szCs w:val="24"/>
          <w:highlight w:val="none"/>
          <w:lang w:val="en-US" w:eastAsia="zh-CN" w:bidi="ar-SA"/>
        </w:rPr>
        <w:t>2.5 标段划分：本项目划分为一个标段。</w:t>
      </w:r>
    </w:p>
    <w:p>
      <w:pPr>
        <w:pStyle w:val="3"/>
        <w:spacing w:before="120" w:after="0" w:line="360" w:lineRule="auto"/>
        <w:rPr>
          <w:rFonts w:ascii="宋体" w:hAnsi="宋体" w:eastAsia="宋体" w:cs="宋体"/>
          <w:color w:val="auto"/>
          <w:highlight w:val="none"/>
        </w:rPr>
      </w:pPr>
      <w:bookmarkStart w:id="48" w:name="_Toc1682"/>
      <w:bookmarkStart w:id="49" w:name="_Toc152042290"/>
      <w:bookmarkStart w:id="50" w:name="_Toc246996903"/>
      <w:bookmarkStart w:id="51" w:name="_Toc144974482"/>
      <w:bookmarkStart w:id="52" w:name="_Toc247085674"/>
      <w:bookmarkStart w:id="53" w:name="_Toc246996160"/>
      <w:bookmarkStart w:id="54" w:name="_Toc10171"/>
      <w:bookmarkStart w:id="55" w:name="_Toc179632530"/>
      <w:bookmarkStart w:id="56" w:name="_Toc30356"/>
      <w:bookmarkStart w:id="57" w:name="_Toc7065"/>
      <w:bookmarkStart w:id="58" w:name="_Toc11329215"/>
      <w:bookmarkStart w:id="59" w:name="_Toc507319893"/>
      <w:bookmarkStart w:id="60" w:name="_Toc152045514"/>
      <w:bookmarkStart w:id="61" w:name="_Toc11874"/>
      <w:r>
        <w:rPr>
          <w:rFonts w:hint="eastAsia" w:ascii="宋体" w:hAnsi="宋体" w:eastAsia="宋体" w:cs="宋体"/>
          <w:color w:val="auto"/>
          <w:highlight w:val="none"/>
        </w:rPr>
        <w:t>3. 报价人资格要求</w:t>
      </w:r>
      <w:bookmarkEnd w:id="48"/>
      <w:bookmarkEnd w:id="49"/>
      <w:bookmarkEnd w:id="50"/>
      <w:bookmarkEnd w:id="51"/>
      <w:bookmarkEnd w:id="52"/>
      <w:bookmarkEnd w:id="53"/>
      <w:bookmarkEnd w:id="54"/>
      <w:bookmarkEnd w:id="55"/>
      <w:bookmarkEnd w:id="56"/>
      <w:bookmarkEnd w:id="57"/>
      <w:bookmarkEnd w:id="58"/>
      <w:bookmarkEnd w:id="59"/>
      <w:bookmarkEnd w:id="60"/>
      <w:bookmarkEnd w:id="61"/>
    </w:p>
    <w:p>
      <w:pPr>
        <w:pStyle w:val="12"/>
        <w:adjustRightInd w:val="0"/>
        <w:spacing w:line="400" w:lineRule="exact"/>
        <w:rPr>
          <w:rFonts w:hint="eastAsia" w:ascii="宋体" w:hAnsi="宋体" w:cs="宋体"/>
          <w:color w:val="auto"/>
          <w:highlight w:val="none"/>
          <w:lang w:val="en-US" w:eastAsia="zh-CN"/>
        </w:rPr>
      </w:pPr>
      <w:bookmarkStart w:id="62" w:name="_Toc179632531"/>
      <w:bookmarkStart w:id="63" w:name="_Toc152042291"/>
      <w:bookmarkStart w:id="64" w:name="_Toc152045515"/>
      <w:bookmarkStart w:id="65" w:name="_Toc246996161"/>
      <w:bookmarkStart w:id="66" w:name="_Toc144974483"/>
      <w:bookmarkStart w:id="67" w:name="_Toc247085675"/>
      <w:bookmarkStart w:id="68" w:name="_Toc246996904"/>
      <w:r>
        <w:rPr>
          <w:rFonts w:hint="eastAsia" w:ascii="宋体" w:hAnsi="宋体" w:cs="宋体"/>
          <w:color w:val="auto"/>
          <w:highlight w:val="none"/>
          <w:lang w:val="en-US" w:eastAsia="zh-CN"/>
        </w:rPr>
        <w:t>3.1 资质要求：</w:t>
      </w:r>
      <w:bookmarkStart w:id="69" w:name="资质要求"/>
    </w:p>
    <w:p>
      <w:pPr>
        <w:pStyle w:val="12"/>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（1）具有独立法人资格和有效的营业执照； </w:t>
      </w:r>
    </w:p>
    <w:p>
      <w:pPr>
        <w:pStyle w:val="12"/>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（2）具备有效的安全生产许可证； </w:t>
      </w:r>
    </w:p>
    <w:p>
      <w:pPr>
        <w:pStyle w:val="12"/>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（3）具备有效的建设行政主管部门颁发的施工劳务企业资质。 </w:t>
      </w:r>
    </w:p>
    <w:p>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sz w:val="21"/>
          <w:szCs w:val="21"/>
          <w:highlight w:val="none"/>
          <w:lang w:val="en-US" w:eastAsia="zh-CN"/>
        </w:rPr>
        <w:t>注：须提供有效资质证书复印件须加盖报价人公章。</w:t>
      </w:r>
      <w:bookmarkEnd w:id="69"/>
    </w:p>
    <w:p>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r>
        <w:rPr>
          <w:rFonts w:hint="eastAsia" w:ascii="宋体" w:hAnsi="宋体" w:cs="宋体"/>
          <w:color w:val="auto"/>
          <w:highlight w:val="none"/>
          <w:lang w:val="en-US" w:eastAsia="zh-CN"/>
        </w:rPr>
        <w:t>2</w:t>
      </w:r>
      <w:r>
        <w:rPr>
          <w:rFonts w:hint="eastAsia" w:ascii="宋体" w:hAnsi="宋体" w:eastAsia="宋体" w:cs="宋体"/>
          <w:color w:val="auto"/>
          <w:highlight w:val="none"/>
          <w:lang w:val="en-US" w:eastAsia="zh-CN"/>
        </w:rPr>
        <w:t>022年1月1日起至投标截止日具有一项合同额不低于80万元的高速公路维护业绩，提供业绩合同复印件</w:t>
      </w:r>
      <w:r>
        <w:rPr>
          <w:rFonts w:hint="eastAsia" w:ascii="宋体" w:hAnsi="宋体" w:cs="宋体"/>
          <w:color w:val="auto"/>
          <w:sz w:val="21"/>
          <w:szCs w:val="21"/>
          <w:highlight w:val="none"/>
          <w:lang w:val="en-US" w:eastAsia="zh-CN"/>
        </w:rPr>
        <w:t>。</w:t>
      </w:r>
    </w:p>
    <w:p>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 xml:space="preserve"> 本次比选不接受联合体报价。</w:t>
      </w:r>
    </w:p>
    <w:p>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pPr>
        <w:pStyle w:val="3"/>
        <w:spacing w:before="120" w:after="0" w:line="360" w:lineRule="auto"/>
        <w:rPr>
          <w:rFonts w:hint="default" w:ascii="宋体" w:hAnsi="宋体" w:eastAsia="宋体" w:cs="宋体"/>
          <w:color w:val="auto"/>
          <w:highlight w:val="none"/>
          <w:lang w:val="en-US" w:eastAsia="zh-CN"/>
        </w:rPr>
      </w:pPr>
      <w:bookmarkStart w:id="70" w:name="_Toc9941"/>
      <w:bookmarkStart w:id="71" w:name="_Toc421"/>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0"/>
      <w:bookmarkEnd w:id="71"/>
    </w:p>
    <w:p>
      <w:pPr>
        <w:pStyle w:val="12"/>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本项目采用综合评估法。</w:t>
      </w:r>
    </w:p>
    <w:bookmarkEnd w:id="62"/>
    <w:bookmarkEnd w:id="63"/>
    <w:bookmarkEnd w:id="64"/>
    <w:bookmarkEnd w:id="65"/>
    <w:bookmarkEnd w:id="66"/>
    <w:bookmarkEnd w:id="67"/>
    <w:bookmarkEnd w:id="68"/>
    <w:p>
      <w:pPr>
        <w:pStyle w:val="3"/>
        <w:spacing w:before="120" w:after="0" w:line="400" w:lineRule="exact"/>
        <w:rPr>
          <w:rFonts w:ascii="宋体" w:hAnsi="宋体" w:eastAsia="宋体" w:cs="宋体"/>
          <w:color w:val="auto"/>
          <w:highlight w:val="none"/>
        </w:rPr>
      </w:pPr>
      <w:bookmarkStart w:id="72" w:name="_Toc8694"/>
      <w:bookmarkStart w:id="73" w:name="_Toc3447"/>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2"/>
      <w:bookmarkEnd w:id="73"/>
    </w:p>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4" w:name="_Toc507319895"/>
      <w:bookmarkStart w:id="75" w:name="_Toc152042292"/>
      <w:bookmarkStart w:id="76" w:name="_Toc246996162"/>
      <w:bookmarkStart w:id="77" w:name="_Toc11329217"/>
      <w:bookmarkStart w:id="78" w:name="_Toc152045516"/>
      <w:bookmarkStart w:id="79" w:name="_Toc247085676"/>
      <w:bookmarkStart w:id="80" w:name="_Toc246996905"/>
      <w:bookmarkStart w:id="81" w:name="_Toc144974484"/>
      <w:bookmarkStart w:id="82" w:name="_Toc179632532"/>
      <w:r>
        <w:rPr>
          <w:rFonts w:hint="eastAsia" w:ascii="宋体" w:hAnsi="宋体"/>
          <w:color w:val="auto"/>
          <w:szCs w:val="21"/>
          <w:highlight w:val="none"/>
        </w:rPr>
        <w:t>凡愿意参加的潜在报价人，在报价截止时间前在重庆高速集团官网（http://www.cegc.com.cn/，下同）获取竞争性比选文件，各报价人应随时关注网上发布的竞争性比选文件答疑、补遗、澄清等文件内容，不管报价人是否下载，均视为已知晓竞争性比选文件的全部内容和有关事宜。</w:t>
      </w:r>
    </w:p>
    <w:p>
      <w:pPr>
        <w:pStyle w:val="3"/>
        <w:spacing w:before="120" w:after="0" w:line="400" w:lineRule="exact"/>
        <w:rPr>
          <w:rFonts w:ascii="宋体" w:hAnsi="宋体" w:eastAsia="宋体" w:cs="宋体"/>
          <w:color w:val="auto"/>
          <w:highlight w:val="none"/>
        </w:rPr>
      </w:pPr>
      <w:bookmarkStart w:id="83" w:name="_Toc9131"/>
      <w:bookmarkStart w:id="84" w:name="_Toc31493"/>
      <w:bookmarkStart w:id="85" w:name="_Toc18060"/>
      <w:bookmarkStart w:id="86" w:name="_Toc20302"/>
      <w:bookmarkStart w:id="87" w:name="_Toc16686"/>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4"/>
      <w:bookmarkEnd w:id="75"/>
      <w:bookmarkEnd w:id="76"/>
      <w:bookmarkEnd w:id="77"/>
      <w:bookmarkEnd w:id="78"/>
      <w:bookmarkEnd w:id="79"/>
      <w:bookmarkEnd w:id="80"/>
      <w:bookmarkEnd w:id="81"/>
      <w:bookmarkEnd w:id="82"/>
      <w:r>
        <w:rPr>
          <w:rFonts w:hint="eastAsia" w:ascii="宋体" w:hAnsi="宋体" w:eastAsia="宋体" w:cs="宋体"/>
          <w:color w:val="auto"/>
          <w:highlight w:val="none"/>
        </w:rPr>
        <w:t>及相关事宜</w:t>
      </w:r>
      <w:bookmarkEnd w:id="83"/>
      <w:bookmarkEnd w:id="84"/>
      <w:bookmarkEnd w:id="85"/>
      <w:bookmarkEnd w:id="86"/>
      <w:bookmarkEnd w:id="87"/>
    </w:p>
    <w:p>
      <w:pPr>
        <w:pageBreakBefore w:val="0"/>
        <w:widowControl w:val="0"/>
        <w:kinsoku/>
        <w:wordWrap w:val="0"/>
        <w:overflowPunct/>
        <w:topLinePunct w:val="0"/>
        <w:autoSpaceDE/>
        <w:autoSpaceDN/>
        <w:bidi w:val="0"/>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6.1 报价截止时间和开标时间：202</w:t>
      </w:r>
      <w:r>
        <w:rPr>
          <w:rFonts w:hint="eastAsia" w:ascii="宋体" w:hAnsi="宋体" w:cs="宋体"/>
          <w:color w:val="auto"/>
          <w:szCs w:val="21"/>
          <w:highlight w:val="none"/>
          <w:shd w:val="clear" w:color="auto" w:fill="FFFFFF"/>
          <w:lang w:val="en-US" w:eastAsia="zh-CN"/>
        </w:rPr>
        <w:t>6</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1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29 </w:t>
      </w:r>
      <w:r>
        <w:rPr>
          <w:rFonts w:hint="eastAsia" w:ascii="宋体" w:hAnsi="宋体" w:cs="宋体"/>
          <w:color w:val="auto"/>
          <w:szCs w:val="21"/>
          <w:highlight w:val="none"/>
          <w:shd w:val="clear" w:color="auto" w:fill="FFFFFF"/>
        </w:rPr>
        <w:t>日上午1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0分（北京时间）。</w:t>
      </w:r>
    </w:p>
    <w:p>
      <w:pPr>
        <w:pageBreakBefore w:val="0"/>
        <w:widowControl w:val="0"/>
        <w:kinsoku/>
        <w:wordWrap w:val="0"/>
        <w:overflowPunct/>
        <w:topLinePunct w:val="0"/>
        <w:autoSpaceDE/>
        <w:autoSpaceDN/>
        <w:bidi w:val="0"/>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6.2 报价人应当在报价截止时间前，通过临时供应商账号在</w:t>
      </w:r>
      <w:r>
        <w:rPr>
          <w:rFonts w:hint="eastAsia" w:ascii="宋体" w:hAnsi="宋体"/>
          <w:color w:val="auto"/>
          <w:szCs w:val="21"/>
          <w:highlight w:val="none"/>
        </w:rPr>
        <w:t>重庆高速首讯科技招投标管理平台</w:t>
      </w:r>
      <w:r>
        <w:rPr>
          <w:rFonts w:hint="eastAsia" w:ascii="宋体" w:hAnsi="宋体" w:cs="宋体"/>
          <w:color w:val="auto"/>
          <w:szCs w:val="21"/>
          <w:highlight w:val="none"/>
          <w:shd w:val="clear" w:color="auto" w:fill="FFFFFF"/>
        </w:rPr>
        <w:t>上进行报价并将</w:t>
      </w:r>
      <w:r>
        <w:rPr>
          <w:rFonts w:hint="eastAsia" w:ascii="宋体" w:hAnsi="宋体" w:cs="宋体"/>
          <w:color w:val="auto"/>
          <w:szCs w:val="21"/>
          <w:highlight w:val="none"/>
          <w:shd w:val="clear" w:color="auto" w:fill="FFFFFF"/>
          <w:lang w:eastAsia="zh-CN"/>
        </w:rPr>
        <w:t>竞争性比选响应文件</w:t>
      </w:r>
      <w:r>
        <w:rPr>
          <w:rFonts w:hint="eastAsia" w:ascii="宋体" w:hAnsi="宋体" w:cs="宋体"/>
          <w:color w:val="auto"/>
          <w:szCs w:val="21"/>
          <w:highlight w:val="none"/>
          <w:shd w:val="clear" w:color="auto" w:fill="FFFFFF"/>
        </w:rPr>
        <w:t>上传至该平台。</w:t>
      </w:r>
    </w:p>
    <w:p>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6.3投标文件递交地点：</w:t>
      </w:r>
      <w:r>
        <w:rPr>
          <w:rFonts w:hint="eastAsia" w:ascii="宋体" w:hAnsi="宋体" w:cs="宋体"/>
          <w:color w:val="auto"/>
          <w:szCs w:val="21"/>
          <w:highlight w:val="none"/>
          <w:lang w:val="en-US" w:eastAsia="zh-CN"/>
        </w:rPr>
        <w:t>重庆市南岸区南坪镇海峡路重庆首讯科技股份</w:t>
      </w:r>
      <w:bookmarkStart w:id="308" w:name="_GoBack"/>
      <w:bookmarkEnd w:id="308"/>
      <w:r>
        <w:rPr>
          <w:rFonts w:hint="eastAsia" w:ascii="宋体" w:hAnsi="宋体" w:cs="宋体"/>
          <w:color w:val="auto"/>
          <w:szCs w:val="21"/>
          <w:highlight w:val="none"/>
          <w:lang w:val="en-US" w:eastAsia="zh-CN"/>
        </w:rPr>
        <w:t>有限公司</w:t>
      </w:r>
      <w:r>
        <w:rPr>
          <w:rFonts w:hint="eastAsia" w:ascii="宋体" w:hAnsi="宋体" w:cs="宋体"/>
          <w:color w:val="auto"/>
          <w:szCs w:val="21"/>
          <w:highlight w:val="none"/>
        </w:rPr>
        <w:t>。</w:t>
      </w:r>
    </w:p>
    <w:p>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6.4采购人不组织现场踏勘，不召开报价预备会。</w:t>
      </w:r>
    </w:p>
    <w:p>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6.5逾期送达的或未送达指定地点的或未按要求密封的竞争性比选响应文件，采购人不予受理。</w:t>
      </w:r>
    </w:p>
    <w:p>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6.6递交方式：现场递交或邮寄，若采用现场递交方式需在竞争性比选响应文件递交截止时间前将竞争性比选响应文件送达并参与现场开标；若采用邮寄方式的需在竞争性比选响应文件递交截止时间前，通过正规快递公司将竞争性比选响应文件邮寄至重庆首讯科技股份有限公司数智系统运维分公司（邮寄地址同6.3递交地点），否则采购人有权拒收，采用邮寄方式的报价人默认认可采购人的开标结果，不得由此提出任何质疑。</w:t>
      </w:r>
    </w:p>
    <w:p>
      <w:pPr>
        <w:pStyle w:val="3"/>
        <w:spacing w:before="120" w:after="0" w:line="400" w:lineRule="exact"/>
        <w:rPr>
          <w:rFonts w:ascii="宋体" w:hAnsi="宋体" w:eastAsia="宋体" w:cs="宋体"/>
          <w:color w:val="auto"/>
          <w:highlight w:val="none"/>
        </w:rPr>
      </w:pPr>
      <w:bookmarkStart w:id="88" w:name="_Toc28867"/>
      <w:bookmarkStart w:id="89" w:name="_Toc246996907"/>
      <w:bookmarkStart w:id="90" w:name="_Toc247085678"/>
      <w:bookmarkStart w:id="91" w:name="_Toc144974485"/>
      <w:bookmarkStart w:id="92" w:name="_Toc246996164"/>
      <w:bookmarkStart w:id="93" w:name="_Toc393"/>
      <w:bookmarkStart w:id="94" w:name="_Toc507319897"/>
      <w:bookmarkStart w:id="95" w:name="_Toc1175"/>
      <w:bookmarkStart w:id="96" w:name="_Toc179632534"/>
      <w:bookmarkStart w:id="97" w:name="_Toc18402"/>
      <w:bookmarkStart w:id="98" w:name="_Toc152045517"/>
      <w:bookmarkStart w:id="99" w:name="_Toc11329219"/>
      <w:bookmarkStart w:id="100" w:name="_Toc152042293"/>
      <w:bookmarkStart w:id="101" w:name="_Toc21615"/>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88"/>
      <w:bookmarkEnd w:id="89"/>
      <w:bookmarkEnd w:id="90"/>
      <w:bookmarkEnd w:id="91"/>
      <w:bookmarkEnd w:id="92"/>
      <w:bookmarkEnd w:id="93"/>
      <w:bookmarkEnd w:id="94"/>
      <w:bookmarkEnd w:id="95"/>
      <w:bookmarkEnd w:id="96"/>
      <w:bookmarkEnd w:id="97"/>
      <w:bookmarkEnd w:id="98"/>
      <w:bookmarkEnd w:id="99"/>
      <w:bookmarkEnd w:id="100"/>
      <w:bookmarkEnd w:id="101"/>
    </w:p>
    <w:tbl>
      <w:tblPr>
        <w:tblStyle w:val="43"/>
        <w:tblW w:w="9709" w:type="dxa"/>
        <w:tblInd w:w="0" w:type="dxa"/>
        <w:tblLayout w:type="fixed"/>
        <w:tblCellMar>
          <w:top w:w="0" w:type="dxa"/>
          <w:left w:w="108" w:type="dxa"/>
          <w:bottom w:w="0" w:type="dxa"/>
          <w:right w:w="108" w:type="dxa"/>
        </w:tblCellMar>
      </w:tblPr>
      <w:tblGrid>
        <w:gridCol w:w="9709"/>
      </w:tblGrid>
      <w:tr>
        <w:tblPrEx>
          <w:tblCellMar>
            <w:top w:w="0" w:type="dxa"/>
            <w:left w:w="108" w:type="dxa"/>
            <w:bottom w:w="0" w:type="dxa"/>
            <w:right w:w="108" w:type="dxa"/>
          </w:tblCellMar>
        </w:tblPrEx>
        <w:trPr>
          <w:trHeight w:val="520" w:hRule="atLeast"/>
        </w:trPr>
        <w:tc>
          <w:tcPr>
            <w:tcW w:w="9709" w:type="dxa"/>
            <w:vAlign w:val="center"/>
          </w:tcPr>
          <w:p>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hint="eastAsia" w:ascii="宋体" w:hAnsi="宋体" w:eastAsia="宋体" w:cs="宋体"/>
                <w:color w:val="auto"/>
                <w:kern w:val="2"/>
                <w:sz w:val="21"/>
                <w:szCs w:val="21"/>
                <w:highlight w:val="none"/>
                <w:lang w:eastAsia="zh-CN"/>
              </w:rPr>
            </w:pPr>
            <w:r>
              <w:rPr>
                <w:rFonts w:hint="eastAsia" w:ascii="宋体" w:hAnsi="宋体" w:cs="宋体"/>
                <w:color w:val="auto"/>
                <w:kern w:val="2"/>
                <w:sz w:val="21"/>
                <w:szCs w:val="21"/>
                <w:highlight w:val="none"/>
              </w:rPr>
              <w:t>采购人：</w:t>
            </w:r>
            <w:r>
              <w:rPr>
                <w:rFonts w:hint="eastAsia" w:ascii="宋体" w:hAnsi="宋体" w:cs="宋体"/>
                <w:color w:val="auto"/>
                <w:kern w:val="2"/>
                <w:sz w:val="21"/>
                <w:szCs w:val="21"/>
                <w:highlight w:val="none"/>
                <w:lang w:eastAsia="zh-CN"/>
              </w:rPr>
              <w:t>重庆首讯科技股份有限公司数智系统运维分公司</w:t>
            </w:r>
          </w:p>
        </w:tc>
      </w:tr>
      <w:tr>
        <w:tblPrEx>
          <w:tblCellMar>
            <w:top w:w="0" w:type="dxa"/>
            <w:left w:w="108" w:type="dxa"/>
            <w:bottom w:w="0" w:type="dxa"/>
            <w:right w:w="108" w:type="dxa"/>
          </w:tblCellMar>
        </w:tblPrEx>
        <w:trPr>
          <w:trHeight w:val="510" w:hRule="atLeast"/>
        </w:trPr>
        <w:tc>
          <w:tcPr>
            <w:tcW w:w="9709" w:type="dxa"/>
            <w:vAlign w:val="center"/>
          </w:tcPr>
          <w:p>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重庆市南岸区南坪镇海峡路重庆首讯科技股份有限公司</w:t>
            </w:r>
          </w:p>
        </w:tc>
      </w:tr>
      <w:tr>
        <w:tblPrEx>
          <w:tblCellMar>
            <w:top w:w="0" w:type="dxa"/>
            <w:left w:w="108" w:type="dxa"/>
            <w:bottom w:w="0" w:type="dxa"/>
            <w:right w:w="108" w:type="dxa"/>
          </w:tblCellMar>
        </w:tblPrEx>
        <w:trPr>
          <w:trHeight w:val="520" w:hRule="atLeast"/>
        </w:trPr>
        <w:tc>
          <w:tcPr>
            <w:tcW w:w="9709" w:type="dxa"/>
            <w:vAlign w:val="center"/>
          </w:tcPr>
          <w:p>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18723002637 </w:t>
            </w:r>
          </w:p>
        </w:tc>
      </w:tr>
      <w:tr>
        <w:tblPrEx>
          <w:tblCellMar>
            <w:top w:w="0" w:type="dxa"/>
            <w:left w:w="108" w:type="dxa"/>
            <w:bottom w:w="0" w:type="dxa"/>
            <w:right w:w="108" w:type="dxa"/>
          </w:tblCellMar>
        </w:tblPrEx>
        <w:trPr>
          <w:trHeight w:val="448" w:hRule="atLeast"/>
        </w:trPr>
        <w:tc>
          <w:tcPr>
            <w:tcW w:w="9709" w:type="dxa"/>
            <w:vAlign w:val="center"/>
          </w:tcPr>
          <w:p>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15123685281 </w:t>
            </w:r>
          </w:p>
        </w:tc>
      </w:tr>
    </w:tbl>
    <w:p>
      <w:pPr>
        <w:rPr>
          <w:color w:val="auto"/>
          <w:highlight w:val="none"/>
        </w:rPr>
      </w:pPr>
    </w:p>
    <w:p>
      <w:pPr>
        <w:rPr>
          <w:color w:val="auto"/>
          <w:highlight w:val="none"/>
        </w:rPr>
      </w:pPr>
    </w:p>
    <w:p>
      <w:pPr>
        <w:pStyle w:val="28"/>
        <w:rPr>
          <w:color w:val="auto"/>
          <w:highlight w:val="none"/>
        </w:rPr>
      </w:pPr>
    </w:p>
    <w:p>
      <w:pPr>
        <w:rPr>
          <w:color w:val="auto"/>
          <w:highlight w:val="none"/>
        </w:rPr>
      </w:pPr>
    </w:p>
    <w:p>
      <w:pPr>
        <w:pStyle w:val="11"/>
        <w:rPr>
          <w:color w:val="auto"/>
          <w:highlight w:val="none"/>
        </w:rPr>
      </w:pPr>
    </w:p>
    <w:p>
      <w:pPr>
        <w:rPr>
          <w:color w:val="auto"/>
          <w:highlight w:val="none"/>
        </w:rPr>
      </w:pPr>
    </w:p>
    <w:p>
      <w:pPr>
        <w:pStyle w:val="16"/>
        <w:rPr>
          <w:color w:val="auto"/>
          <w:highlight w:val="none"/>
        </w:rPr>
      </w:pPr>
    </w:p>
    <w:p>
      <w:pPr>
        <w:rPr>
          <w:color w:val="auto"/>
          <w:highlight w:val="none"/>
        </w:rPr>
      </w:pPr>
    </w:p>
    <w:p>
      <w:pPr>
        <w:pStyle w:val="16"/>
        <w:rPr>
          <w:color w:val="auto"/>
          <w:highlight w:val="none"/>
        </w:rPr>
      </w:pPr>
    </w:p>
    <w:p>
      <w:pPr>
        <w:rPr>
          <w:color w:val="auto"/>
          <w:highlight w:val="none"/>
        </w:rPr>
      </w:pPr>
    </w:p>
    <w:p>
      <w:pPr>
        <w:rPr>
          <w:rFonts w:hint="eastAsia" w:ascii="宋体" w:hAnsi="宋体" w:cs="宋体"/>
          <w:color w:val="auto"/>
          <w:highlight w:val="none"/>
        </w:rPr>
      </w:pPr>
      <w:bookmarkStart w:id="102" w:name="_Toc247085687"/>
      <w:bookmarkStart w:id="103" w:name="_Toc246996173"/>
      <w:bookmarkStart w:id="104" w:name="_Toc507319898"/>
      <w:bookmarkStart w:id="105" w:name="_Toc246996916"/>
      <w:bookmarkStart w:id="106" w:name="_Toc2000405"/>
      <w:bookmarkStart w:id="107" w:name="_Toc152042303"/>
      <w:bookmarkStart w:id="108" w:name="_Toc179632544"/>
      <w:bookmarkStart w:id="109" w:name="_Toc144974495"/>
      <w:bookmarkStart w:id="110" w:name="_Toc152045527"/>
      <w:r>
        <w:rPr>
          <w:rFonts w:hint="eastAsia" w:ascii="宋体" w:hAnsi="宋体" w:cs="宋体"/>
          <w:color w:val="auto"/>
          <w:highlight w:val="none"/>
        </w:rPr>
        <w:br w:type="page"/>
      </w:r>
    </w:p>
    <w:p>
      <w:pPr>
        <w:pStyle w:val="2"/>
        <w:spacing w:before="0" w:after="0" w:line="360" w:lineRule="auto"/>
        <w:jc w:val="center"/>
        <w:rPr>
          <w:rFonts w:ascii="宋体" w:hAnsi="宋体" w:cs="宋体"/>
          <w:color w:val="auto"/>
          <w:highlight w:val="none"/>
        </w:rPr>
      </w:pPr>
      <w:bookmarkStart w:id="111" w:name="_Toc13375"/>
      <w:r>
        <w:rPr>
          <w:rFonts w:hint="eastAsia" w:ascii="宋体" w:hAnsi="宋体" w:cs="宋体"/>
          <w:color w:val="auto"/>
          <w:highlight w:val="none"/>
        </w:rPr>
        <w:t>第二章 报价人须知</w:t>
      </w:r>
      <w:bookmarkEnd w:id="102"/>
      <w:bookmarkEnd w:id="103"/>
      <w:bookmarkEnd w:id="104"/>
      <w:bookmarkEnd w:id="105"/>
      <w:bookmarkEnd w:id="106"/>
      <w:bookmarkEnd w:id="107"/>
      <w:bookmarkEnd w:id="108"/>
      <w:bookmarkEnd w:id="109"/>
      <w:bookmarkEnd w:id="110"/>
      <w:bookmarkEnd w:id="111"/>
    </w:p>
    <w:p>
      <w:pPr>
        <w:rPr>
          <w:color w:val="auto"/>
          <w:highlight w:val="none"/>
        </w:rPr>
      </w:pPr>
    </w:p>
    <w:tbl>
      <w:tblPr>
        <w:tblStyle w:val="43"/>
        <w:tblW w:w="9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088"/>
        <w:gridCol w:w="7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bookmarkStart w:id="112" w:name="_Toc326760840"/>
            <w:r>
              <w:rPr>
                <w:rFonts w:hint="eastAsia" w:ascii="宋体" w:hAnsi="宋体" w:cs="宋体"/>
                <w:b/>
                <w:color w:val="auto"/>
                <w:kern w:val="0"/>
                <w:szCs w:val="21"/>
                <w:highlight w:val="none"/>
              </w:rPr>
              <w:t>序号</w:t>
            </w:r>
          </w:p>
        </w:tc>
        <w:tc>
          <w:tcPr>
            <w:tcW w:w="2088" w:type="dxa"/>
            <w:vAlign w:val="center"/>
          </w:tcPr>
          <w:p>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068" w:type="dxa"/>
            <w:vAlign w:val="center"/>
          </w:tcPr>
          <w:p>
            <w:pPr>
              <w:keepNext w:val="0"/>
              <w:keepLines w:val="0"/>
              <w:pageBreakBefore w:val="0"/>
              <w:kinsoku/>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088" w:type="dxa"/>
            <w:vAlign w:val="center"/>
          </w:tcPr>
          <w:p>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7068" w:type="dxa"/>
            <w:vAlign w:val="center"/>
          </w:tcPr>
          <w:p>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采购人：</w:t>
            </w:r>
            <w:r>
              <w:rPr>
                <w:rFonts w:hint="eastAsia" w:ascii="宋体" w:hAnsi="宋体" w:cs="宋体"/>
                <w:color w:val="auto"/>
                <w:sz w:val="21"/>
                <w:szCs w:val="21"/>
                <w:highlight w:val="none"/>
                <w:lang w:eastAsia="zh-CN"/>
              </w:rPr>
              <w:t>重庆首讯科技股份有限公司数智系统运维分公司</w:t>
            </w:r>
          </w:p>
          <w:p>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  址：</w:t>
            </w:r>
            <w:r>
              <w:rPr>
                <w:rFonts w:hint="eastAsia" w:ascii="宋体" w:hAnsi="宋体" w:cs="宋体"/>
                <w:color w:val="auto"/>
                <w:sz w:val="21"/>
                <w:szCs w:val="21"/>
                <w:highlight w:val="none"/>
                <w:lang w:eastAsia="zh-CN"/>
              </w:rPr>
              <w:t>重庆市南岸区南坪镇海峡路重庆首讯科技股份有限公司</w:t>
            </w:r>
          </w:p>
          <w:p>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孙   </w:t>
            </w:r>
            <w:r>
              <w:rPr>
                <w:rFonts w:hint="eastAsia" w:ascii="宋体" w:hAnsi="宋体" w:cs="宋体"/>
                <w:color w:val="auto"/>
                <w:szCs w:val="21"/>
                <w:highlight w:val="none"/>
                <w:lang w:val="en-US" w:eastAsia="zh-CN"/>
              </w:rPr>
              <w:t>老师</w:t>
            </w:r>
          </w:p>
          <w:p>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088" w:type="dxa"/>
            <w:vAlign w:val="center"/>
          </w:tcPr>
          <w:p>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7068" w:type="dxa"/>
            <w:vAlign w:val="center"/>
          </w:tcPr>
          <w:p>
            <w:pPr>
              <w:keepNext w:val="0"/>
              <w:keepLines w:val="0"/>
              <w:pageBreakBefore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i w:val="0"/>
                <w:iCs w:val="0"/>
                <w:color w:val="auto"/>
                <w:szCs w:val="21"/>
                <w:highlight w:val="none"/>
                <w:u w:val="single"/>
                <w:lang w:eastAsia="zh-CN"/>
              </w:rPr>
              <w:t>2026年永壁永津及渝湘复线机电维护劳务分包（第二次）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088" w:type="dxa"/>
            <w:vAlign w:val="center"/>
          </w:tcPr>
          <w:p>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7068" w:type="dxa"/>
            <w:vAlign w:val="center"/>
          </w:tcPr>
          <w:p>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088" w:type="dxa"/>
            <w:vAlign w:val="center"/>
          </w:tcPr>
          <w:p>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7068" w:type="dxa"/>
            <w:vAlign w:val="center"/>
          </w:tcPr>
          <w:p>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088" w:type="dxa"/>
            <w:vAlign w:val="center"/>
          </w:tcPr>
          <w:p>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7068" w:type="dxa"/>
            <w:vAlign w:val="center"/>
          </w:tcPr>
          <w:p>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088" w:type="dxa"/>
            <w:vAlign w:val="center"/>
          </w:tcPr>
          <w:p>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color w:val="auto"/>
                <w:highlight w:val="none"/>
              </w:rPr>
              <w:t>质量标准</w:t>
            </w:r>
          </w:p>
        </w:tc>
        <w:tc>
          <w:tcPr>
            <w:tcW w:w="7068" w:type="dxa"/>
          </w:tcPr>
          <w:p>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p>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bookmarkStart w:id="113" w:name="缺陷责任期1"/>
            <w:r>
              <w:rPr>
                <w:rFonts w:hint="eastAsia" w:ascii="宋体" w:hAnsi="宋体" w:cs="宋体"/>
                <w:color w:val="auto"/>
                <w:kern w:val="0"/>
                <w:sz w:val="21"/>
                <w:szCs w:val="21"/>
                <w:highlight w:val="none"/>
                <w:u w:val="single"/>
                <w:lang w:val="en-US" w:eastAsia="zh-CN" w:bidi="ar-SA"/>
              </w:rPr>
              <w:t>0.00</w:t>
            </w:r>
            <w:bookmarkEnd w:id="113"/>
            <w:r>
              <w:rPr>
                <w:rFonts w:hint="eastAsia" w:ascii="宋体" w:hAnsi="宋体" w:cs="宋体"/>
                <w:color w:val="auto"/>
                <w:kern w:val="0"/>
                <w:sz w:val="21"/>
                <w:szCs w:val="21"/>
                <w:highlight w:val="none"/>
                <w:lang w:val="en-US" w:eastAsia="zh-CN" w:bidi="ar-SA"/>
              </w:rPr>
              <w:t>个月，自项目竣工验收合格之日起计算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7</w:t>
            </w:r>
          </w:p>
        </w:tc>
        <w:tc>
          <w:tcPr>
            <w:tcW w:w="2088" w:type="dxa"/>
            <w:vAlign w:val="center"/>
          </w:tcPr>
          <w:p>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7068" w:type="dxa"/>
          </w:tcPr>
          <w:p>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088" w:type="dxa"/>
            <w:vAlign w:val="center"/>
          </w:tcPr>
          <w:p>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7068" w:type="dxa"/>
            <w:vAlign w:val="center"/>
          </w:tcPr>
          <w:p>
            <w:pPr>
              <w:keepNext w:val="0"/>
              <w:keepLines w:val="0"/>
              <w:pageBreakBefore w:val="0"/>
              <w:numPr>
                <w:ilvl w:val="0"/>
                <w:numId w:val="2"/>
              </w:numPr>
              <w:kinsoku/>
              <w:overflowPunct/>
              <w:bidi w:val="0"/>
              <w:spacing w:line="400" w:lineRule="exact"/>
              <w:ind w:firstLine="420" w:firstLineChars="200"/>
              <w:textAlignment w:val="auto"/>
              <w:rPr>
                <w:color w:val="auto"/>
                <w:highlight w:val="none"/>
              </w:rPr>
            </w:pPr>
            <w:r>
              <w:rPr>
                <w:rFonts w:hint="eastAsia" w:ascii="宋体" w:hAnsi="宋体" w:cs="宋体"/>
                <w:color w:val="auto"/>
                <w:szCs w:val="21"/>
                <w:highlight w:val="none"/>
              </w:rPr>
              <w:t>资质条件：见比选公告3.1</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088" w:type="dxa"/>
            <w:vAlign w:val="center"/>
          </w:tcPr>
          <w:p>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7068" w:type="dxa"/>
            <w:vAlign w:val="center"/>
          </w:tcPr>
          <w:p>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088"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7068" w:type="dxa"/>
            <w:vAlign w:val="center"/>
          </w:tcPr>
          <w:p>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088"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7068" w:type="dxa"/>
            <w:vAlign w:val="center"/>
          </w:tcPr>
          <w:p>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088"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7068" w:type="dxa"/>
            <w:vAlign w:val="center"/>
          </w:tcPr>
          <w:p>
            <w:pPr>
              <w:keepNext w:val="0"/>
              <w:keepLines w:val="0"/>
              <w:pageBreakBefore w:val="0"/>
              <w:kinsoku/>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088" w:type="dxa"/>
            <w:vAlign w:val="center"/>
          </w:tcPr>
          <w:p>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7068" w:type="dxa"/>
            <w:vAlign w:val="center"/>
          </w:tcPr>
          <w:p>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bookmarkStart w:id="114" w:name="_Hlt227984024"/>
            <w:bookmarkEnd w:id="114"/>
            <w:r>
              <w:rPr>
                <w:rFonts w:hint="eastAsia" w:ascii="宋体" w:hAnsi="宋体" w:cs="宋体"/>
                <w:color w:val="auto"/>
                <w:kern w:val="0"/>
                <w:szCs w:val="21"/>
                <w:highlight w:val="none"/>
              </w:rPr>
              <w:t>14</w:t>
            </w:r>
          </w:p>
        </w:tc>
        <w:tc>
          <w:tcPr>
            <w:tcW w:w="2088" w:type="dxa"/>
            <w:vAlign w:val="center"/>
          </w:tcPr>
          <w:p>
            <w:pPr>
              <w:keepNext w:val="0"/>
              <w:keepLines w:val="0"/>
              <w:pageBreakBefore w:val="0"/>
              <w:kinsoku/>
              <w:overflowPunct/>
              <w:bidi w:val="0"/>
              <w:spacing w:line="400" w:lineRule="exact"/>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7068" w:type="dxa"/>
            <w:vAlign w:val="center"/>
          </w:tcPr>
          <w:p>
            <w:pPr>
              <w:pStyle w:val="149"/>
              <w:keepNext w:val="0"/>
              <w:keepLines w:val="0"/>
              <w:pageBreakBefore w:val="0"/>
              <w:kinsoku/>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088" w:type="dxa"/>
            <w:tcBorders>
              <w:bottom w:val="single" w:color="auto" w:sz="4" w:space="0"/>
            </w:tcBorders>
            <w:vAlign w:val="center"/>
          </w:tcPr>
          <w:p>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7068" w:type="dxa"/>
            <w:tcBorders>
              <w:bottom w:val="single" w:color="auto" w:sz="4" w:space="0"/>
            </w:tcBorders>
          </w:tcPr>
          <w:p>
            <w:pPr>
              <w:keepNext w:val="0"/>
              <w:keepLines w:val="0"/>
              <w:pageBreakBefore w:val="0"/>
              <w:kinsoku/>
              <w:overflowPunct/>
              <w:bidi w:val="0"/>
              <w:spacing w:line="400" w:lineRule="exact"/>
              <w:ind w:firstLine="420" w:firstLineChars="200"/>
              <w:jc w:val="left"/>
              <w:textAlignment w:val="auto"/>
              <w:rPr>
                <w:rFonts w:hint="eastAsia" w:ascii="宋体" w:hAnsi="宋体" w:cs="宋体"/>
                <w:color w:val="auto"/>
                <w:highlight w:val="none"/>
              </w:rPr>
            </w:pPr>
            <w:r>
              <w:rPr>
                <w:rFonts w:hint="eastAsia" w:ascii="宋体" w:hAnsi="宋体" w:eastAsia="宋体" w:cs="宋体"/>
                <w:color w:val="auto"/>
                <w:highlight w:val="none"/>
                <w:lang w:val="en-US" w:eastAsia="zh-CN"/>
              </w:rPr>
              <w:t>1.</w:t>
            </w: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调试、</w:t>
            </w:r>
            <w:r>
              <w:rPr>
                <w:rFonts w:hint="eastAsia"/>
                <w:color w:val="auto"/>
                <w:highlight w:val="none"/>
              </w:rPr>
              <w:t>利润和明示或隐含的风险、保险、责任和义务。</w:t>
            </w:r>
          </w:p>
          <w:p>
            <w:pPr>
              <w:keepNext w:val="0"/>
              <w:keepLines w:val="0"/>
              <w:pageBreakBefore w:val="0"/>
              <w:kinsoku/>
              <w:overflowPunct/>
              <w:bidi w:val="0"/>
              <w:spacing w:line="400" w:lineRule="exact"/>
              <w:ind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lang w:val="en-US" w:eastAsia="zh-CN"/>
              </w:rPr>
              <w:t>2.</w:t>
            </w: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pPr>
              <w:keepNext w:val="0"/>
              <w:keepLines w:val="0"/>
              <w:pageBreakBefore w:val="0"/>
              <w:kinsoku/>
              <w:overflowPunct/>
              <w:bidi w:val="0"/>
              <w:spacing w:line="400" w:lineRule="exact"/>
              <w:ind w:firstLine="422" w:firstLineChars="200"/>
              <w:jc w:val="left"/>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本项目工程量清单及说明随</w:t>
            </w:r>
            <w:r>
              <w:rPr>
                <w:rFonts w:hint="eastAsia" w:ascii="宋体" w:hAnsi="宋体" w:cs="宋体"/>
                <w:b/>
                <w:bCs/>
                <w:color w:val="auto"/>
                <w:szCs w:val="21"/>
                <w:highlight w:val="none"/>
                <w:lang w:val="en-US" w:eastAsia="zh-CN"/>
              </w:rPr>
              <w:t>竞争性</w:t>
            </w:r>
            <w:r>
              <w:rPr>
                <w:rFonts w:hint="eastAsia" w:ascii="宋体" w:hAnsi="宋体" w:cs="宋体"/>
                <w:b/>
                <w:bCs/>
                <w:color w:val="auto"/>
                <w:szCs w:val="21"/>
                <w:highlight w:val="none"/>
              </w:rPr>
              <w:t>比选文件一并发布，详见附件。</w:t>
            </w:r>
          </w:p>
          <w:p>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3.</w:t>
            </w:r>
            <w:r>
              <w:rPr>
                <w:rFonts w:hint="eastAsia" w:ascii="宋体" w:hAnsi="宋体" w:cs="宋体"/>
                <w:b w:val="0"/>
                <w:bCs w:val="0"/>
                <w:color w:val="auto"/>
                <w:highlight w:val="none"/>
              </w:rPr>
              <w:t>异常低价警戒线要求</w:t>
            </w:r>
          </w:p>
          <w:p>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是否设置</w:t>
            </w:r>
            <w:r>
              <w:rPr>
                <w:rFonts w:hint="eastAsia" w:ascii="宋体" w:hAnsi="宋体" w:cs="宋体"/>
                <w:b w:val="0"/>
                <w:bCs w:val="0"/>
                <w:color w:val="auto"/>
                <w:highlight w:val="none"/>
              </w:rPr>
              <w:t>异常低价警戒线</w:t>
            </w:r>
          </w:p>
          <w:p>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p>
            <w:pPr>
              <w:keepNext w:val="0"/>
              <w:keepLines w:val="0"/>
              <w:pageBreakBefore w:val="0"/>
              <w:kinsoku/>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highlight w:val="none"/>
                <w:lang w:val="en-US" w:eastAsia="zh-CN"/>
              </w:rPr>
              <w:t>（4）采购人对“报价一览表”的清单中序号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 </w:t>
            </w:r>
            <w:r>
              <w:rPr>
                <w:rFonts w:hint="eastAsia" w:ascii="宋体" w:hAnsi="宋体" w:cs="宋体"/>
                <w:b w:val="0"/>
                <w:bCs w:val="0"/>
                <w:color w:val="auto"/>
                <w:highlight w:val="none"/>
                <w:u w:val="none"/>
                <w:lang w:val="en-US" w:eastAsia="zh-CN"/>
              </w:rPr>
              <w:t>设置</w:t>
            </w:r>
            <w:r>
              <w:rPr>
                <w:rFonts w:hint="eastAsia" w:ascii="宋体" w:hAnsi="宋体" w:cs="宋体"/>
                <w:b w:val="0"/>
                <w:bCs w:val="0"/>
                <w:color w:val="auto"/>
                <w:highlight w:val="none"/>
              </w:rPr>
              <w:t>单项报价异常低价警戒线[提示：</w:t>
            </w:r>
            <w:r>
              <w:rPr>
                <w:rFonts w:hint="eastAsia" w:ascii="宋体" w:hAnsi="宋体" w:cs="宋体"/>
                <w:b w:val="0"/>
                <w:bCs w:val="0"/>
                <w:color w:val="auto"/>
                <w:highlight w:val="none"/>
                <w:lang w:val="en-US" w:eastAsia="zh-CN"/>
              </w:rPr>
              <w:t>采购</w:t>
            </w:r>
            <w:r>
              <w:rPr>
                <w:rFonts w:hint="eastAsia" w:ascii="宋体" w:hAnsi="宋体" w:cs="宋体"/>
                <w:b w:val="0"/>
                <w:bCs w:val="0"/>
                <w:color w:val="auto"/>
                <w:highlight w:val="none"/>
              </w:rPr>
              <w:t>人对单项报价有异常低价警戒线要求的，可自行列举部分单项进行约定。]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088" w:type="dxa"/>
            <w:tcBorders>
              <w:bottom w:val="single" w:color="auto" w:sz="4" w:space="0"/>
            </w:tcBorders>
            <w:shd w:val="clear" w:color="auto" w:fill="auto"/>
            <w:vAlign w:val="center"/>
          </w:tcPr>
          <w:p>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7068" w:type="dxa"/>
            <w:tcBorders>
              <w:bottom w:val="single" w:color="auto" w:sz="4" w:space="0"/>
            </w:tcBorders>
            <w:shd w:val="clear" w:color="auto" w:fill="auto"/>
            <w:vAlign w:val="top"/>
          </w:tcPr>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pPr>
              <w:keepNext w:val="0"/>
              <w:keepLines w:val="0"/>
              <w:pageBreakBefore w:val="0"/>
              <w:numPr>
                <w:ilvl w:val="0"/>
                <w:numId w:val="3"/>
              </w:numPr>
              <w:kinsoku/>
              <w:overflowPunct/>
              <w:bidi w:val="0"/>
              <w:spacing w:line="400" w:lineRule="exact"/>
              <w:ind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 5％本合同的签约合同价。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2088" w:type="dxa"/>
            <w:tcBorders>
              <w:bottom w:val="single" w:color="auto" w:sz="4" w:space="0"/>
            </w:tcBorders>
            <w:shd w:val="clear" w:color="auto" w:fill="auto"/>
            <w:vAlign w:val="center"/>
          </w:tcPr>
          <w:p>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7068" w:type="dxa"/>
            <w:tcBorders>
              <w:bottom w:val="single" w:color="auto" w:sz="4" w:space="0"/>
            </w:tcBorders>
            <w:shd w:val="clear" w:color="auto" w:fill="auto"/>
            <w:vAlign w:val="top"/>
          </w:tcPr>
          <w:p>
            <w:pPr>
              <w:keepNext w:val="0"/>
              <w:keepLines w:val="0"/>
              <w:pageBreakBefore w:val="0"/>
              <w:kinsoku/>
              <w:wordWrap/>
              <w:overflowPunct/>
              <w:bidi w:val="0"/>
              <w:spacing w:line="400" w:lineRule="exact"/>
              <w:ind w:firstLine="422" w:firstLineChars="200"/>
              <w:jc w:val="both"/>
              <w:textAlignment w:val="auto"/>
              <w:rPr>
                <w:rFonts w:hint="eastAsia" w:ascii="宋体" w:hAnsi="宋体" w:eastAsia="宋体" w:cs="宋体"/>
                <w:color w:val="auto"/>
                <w:sz w:val="21"/>
                <w:szCs w:val="21"/>
                <w:highlight w:val="none"/>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设置报价总价</w:t>
            </w:r>
            <w:r>
              <w:rPr>
                <w:rFonts w:hint="eastAsia" w:ascii="宋体" w:hAnsi="宋体" w:eastAsia="宋体" w:cs="宋体"/>
                <w:b/>
                <w:bCs/>
                <w:color w:val="auto"/>
                <w:sz w:val="21"/>
                <w:szCs w:val="21"/>
                <w:highlight w:val="none"/>
              </w:rPr>
              <w:t>最高限价：</w:t>
            </w:r>
            <w:r>
              <w:rPr>
                <w:rFonts w:hint="eastAsia" w:ascii="宋体" w:hAnsi="宋体" w:cs="宋体"/>
                <w:b/>
                <w:bCs/>
                <w:color w:val="auto"/>
                <w:sz w:val="21"/>
                <w:szCs w:val="21"/>
                <w:highlight w:val="none"/>
                <w:u w:val="single"/>
                <w:lang w:val="en-US" w:eastAsia="zh-CN"/>
              </w:rPr>
              <w:t>1599111.74</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rPr>
              <w:t>元，其中安全生产费</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cs="宋体"/>
                <w:b/>
                <w:bCs/>
                <w:color w:val="auto"/>
                <w:sz w:val="21"/>
                <w:szCs w:val="21"/>
                <w:highlight w:val="none"/>
                <w:u w:val="single"/>
                <w:lang w:val="en-US" w:eastAsia="zh-CN"/>
              </w:rPr>
              <w:t>31355.13</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pPr>
              <w:keepNext w:val="0"/>
              <w:keepLines w:val="0"/>
              <w:pageBreakBefore w:val="0"/>
              <w:kinsoku/>
              <w:overflowPunct/>
              <w:bidi w:val="0"/>
              <w:spacing w:line="400" w:lineRule="exact"/>
              <w:ind w:firstLine="422" w:firstLineChars="200"/>
              <w:textAlignment w:val="auto"/>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color w:val="auto"/>
                <w:sz w:val="21"/>
                <w:szCs w:val="21"/>
                <w:highlight w:val="none"/>
              </w:rPr>
              <w:t>注：报价人所报</w:t>
            </w:r>
            <w:r>
              <w:rPr>
                <w:rFonts w:hint="eastAsia" w:ascii="宋体" w:hAnsi="宋体" w:cs="宋体"/>
                <w:b/>
                <w:color w:val="auto"/>
                <w:sz w:val="21"/>
                <w:szCs w:val="21"/>
                <w:highlight w:val="none"/>
                <w:lang w:val="en-US" w:eastAsia="zh-CN"/>
              </w:rPr>
              <w:t>报价均</w:t>
            </w:r>
            <w:r>
              <w:rPr>
                <w:rFonts w:hint="eastAsia" w:ascii="宋体" w:hAnsi="宋体" w:eastAsia="宋体" w:cs="宋体"/>
                <w:b/>
                <w:color w:val="auto"/>
                <w:sz w:val="21"/>
                <w:szCs w:val="21"/>
                <w:highlight w:val="none"/>
              </w:rPr>
              <w:t>不得超过采购人发布的</w:t>
            </w:r>
            <w:r>
              <w:rPr>
                <w:rFonts w:hint="eastAsia" w:ascii="宋体" w:hAnsi="宋体" w:cs="宋体"/>
                <w:b/>
                <w:color w:val="auto"/>
                <w:sz w:val="21"/>
                <w:szCs w:val="21"/>
                <w:highlight w:val="none"/>
                <w:lang w:val="en-US" w:eastAsia="zh-CN"/>
              </w:rPr>
              <w:t>单项限价及最高</w:t>
            </w:r>
            <w:r>
              <w:rPr>
                <w:rFonts w:hint="eastAsia" w:ascii="宋体" w:hAnsi="宋体" w:eastAsia="宋体" w:cs="宋体"/>
                <w:b/>
                <w:color w:val="auto"/>
                <w:sz w:val="21"/>
                <w:szCs w:val="21"/>
                <w:highlight w:val="none"/>
              </w:rPr>
              <w:t>限价，若有报价高于采购人发布的</w:t>
            </w:r>
            <w:r>
              <w:rPr>
                <w:rFonts w:hint="eastAsia" w:ascii="宋体" w:hAnsi="宋体" w:cs="宋体"/>
                <w:b/>
                <w:color w:val="auto"/>
                <w:sz w:val="21"/>
                <w:szCs w:val="21"/>
                <w:highlight w:val="none"/>
                <w:lang w:val="en-US" w:eastAsia="zh-CN"/>
              </w:rPr>
              <w:t>最高</w:t>
            </w:r>
            <w:r>
              <w:rPr>
                <w:rFonts w:hint="eastAsia" w:ascii="宋体" w:hAnsi="宋体" w:eastAsia="宋体" w:cs="宋体"/>
                <w:b/>
                <w:color w:val="auto"/>
                <w:sz w:val="21"/>
                <w:szCs w:val="21"/>
                <w:highlight w:val="none"/>
              </w:rPr>
              <w:t>限价，其竞争性比选响应文件视为重大偏差，竞争性比选响应文件将按否决报价处理</w:t>
            </w:r>
            <w:r>
              <w:rPr>
                <w:rFonts w:hint="eastAsia" w:ascii="宋体" w:hAnsi="宋体" w:eastAsia="宋体" w:cs="宋体"/>
                <w:b/>
                <w:bCs/>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18</w:t>
            </w:r>
          </w:p>
        </w:tc>
        <w:tc>
          <w:tcPr>
            <w:tcW w:w="2088" w:type="dxa"/>
            <w:tcBorders>
              <w:bottom w:val="single" w:color="auto" w:sz="4" w:space="0"/>
            </w:tcBorders>
            <w:shd w:val="clear" w:color="auto" w:fill="auto"/>
            <w:vAlign w:val="center"/>
          </w:tcPr>
          <w:p>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7068" w:type="dxa"/>
            <w:tcBorders>
              <w:bottom w:val="single" w:color="auto" w:sz="4" w:space="0"/>
            </w:tcBorders>
            <w:shd w:val="clear" w:color="auto" w:fill="auto"/>
            <w:vAlign w:val="top"/>
          </w:tcPr>
          <w:p>
            <w:pPr>
              <w:pStyle w:val="42"/>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firstLine="400" w:firstLineChars="200"/>
              <w:textAlignment w:val="auto"/>
              <w:rPr>
                <w:rFonts w:hint="default" w:ascii="Times New Roman" w:hAnsi="Times New Roman" w:eastAsia="宋体" w:cs="Times New Roman"/>
                <w:color w:val="auto"/>
                <w:kern w:val="0"/>
                <w:sz w:val="20"/>
                <w:szCs w:val="24"/>
                <w:highlight w:val="none"/>
                <w:lang w:val="en-US" w:eastAsia="zh-CN" w:bidi="ar-SA"/>
              </w:rPr>
            </w:pPr>
            <w:r>
              <w:rPr>
                <w:rFonts w:hint="default" w:ascii="Times New Roman" w:hAnsi="Times New Roman" w:eastAsia="宋体" w:cs="Times New Roman"/>
                <w:color w:val="auto"/>
                <w:kern w:val="0"/>
                <w:sz w:val="20"/>
                <w:szCs w:val="24"/>
                <w:highlight w:val="none"/>
                <w:lang w:val="en-US" w:eastAsia="zh-CN" w:bidi="ar-SA"/>
              </w:rPr>
              <w:tab/>
            </w:r>
            <w:r>
              <w:rPr>
                <w:rFonts w:hint="default" w:ascii="Times New Roman" w:hAnsi="Times New Roman" w:eastAsia="宋体" w:cs="Times New Roman"/>
                <w:color w:val="auto"/>
                <w:kern w:val="0"/>
                <w:sz w:val="20"/>
                <w:szCs w:val="24"/>
                <w:highlight w:val="none"/>
                <w:lang w:val="en-US" w:eastAsia="zh-CN" w:bidi="ar-SA"/>
              </w:rPr>
              <w:t>每次支付前需由乙方提交书面支付申请、相关证明材料以及对应增值税专用发票经甲方审核无误后，按以下节点支付：</w:t>
            </w:r>
          </w:p>
          <w:p>
            <w:pPr>
              <w:pStyle w:val="42"/>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firstLine="400" w:firstLineChars="200"/>
              <w:textAlignment w:val="auto"/>
              <w:rPr>
                <w:rFonts w:hint="default" w:ascii="Times New Roman" w:hAnsi="Times New Roman" w:eastAsia="宋体" w:cs="Times New Roman"/>
                <w:color w:val="auto"/>
                <w:kern w:val="0"/>
                <w:sz w:val="20"/>
                <w:szCs w:val="24"/>
                <w:highlight w:val="none"/>
                <w:lang w:val="en-US" w:eastAsia="zh-CN" w:bidi="ar-SA"/>
              </w:rPr>
            </w:pPr>
            <w:r>
              <w:rPr>
                <w:rFonts w:hint="default" w:ascii="Times New Roman" w:hAnsi="Times New Roman" w:eastAsia="宋体" w:cs="Times New Roman"/>
                <w:color w:val="auto"/>
                <w:kern w:val="0"/>
                <w:sz w:val="20"/>
                <w:szCs w:val="24"/>
                <w:highlight w:val="none"/>
                <w:lang w:val="en-US" w:eastAsia="zh-CN" w:bidi="ar-SA"/>
              </w:rPr>
              <w:t>（1）项目实施完成并经验收合格后，按季度进行结算支付。中标人应于采购人每次付款前提供等额增值税专用发票。由乙方主动提出书面申请，经甲方业务部门确认后，30个工作日内全额支付（质量保证金不计任何利息），若乙方未提出书面申请，则相应的延迟责任由乙方自行承担。</w:t>
            </w:r>
          </w:p>
          <w:p>
            <w:pPr>
              <w:pStyle w:val="42"/>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firstLine="400" w:firstLineChars="200"/>
              <w:textAlignment w:val="auto"/>
              <w:rPr>
                <w:rFonts w:hint="default" w:ascii="Times New Roman" w:hAnsi="Times New Roman" w:eastAsia="宋体" w:cs="Times New Roman"/>
                <w:color w:val="auto"/>
                <w:kern w:val="0"/>
                <w:sz w:val="20"/>
                <w:szCs w:val="24"/>
                <w:highlight w:val="none"/>
                <w:lang w:val="en-US" w:eastAsia="zh-CN" w:bidi="ar-SA"/>
              </w:rPr>
            </w:pPr>
            <w:r>
              <w:rPr>
                <w:rFonts w:hint="default" w:ascii="Times New Roman" w:hAnsi="Times New Roman" w:eastAsia="宋体" w:cs="Times New Roman"/>
                <w:color w:val="auto"/>
                <w:kern w:val="0"/>
                <w:sz w:val="20"/>
                <w:szCs w:val="24"/>
                <w:highlight w:val="none"/>
                <w:lang w:val="en-US" w:eastAsia="zh-CN" w:bidi="ar-SA"/>
              </w:rPr>
              <w:t>（2）安全生产费：合同签订后30日内向乙方支付安全生产费用的50%。安全生产费按实结算，项目完工结算后结余的安全生产费用，应当退回甲方。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keepNext w:val="0"/>
              <w:keepLines w:val="0"/>
              <w:pageBreakBefore w:val="0"/>
              <w:kinsoku/>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088" w:type="dxa"/>
          </w:tcPr>
          <w:p>
            <w:pPr>
              <w:keepNext w:val="0"/>
              <w:keepLines w:val="0"/>
              <w:pageBreakBefore w:val="0"/>
              <w:kinsoku/>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068" w:type="dxa"/>
            <w:vAlign w:val="center"/>
          </w:tcPr>
          <w:p>
            <w:pPr>
              <w:keepNext w:val="0"/>
              <w:keepLines w:val="0"/>
              <w:pageBreakBefore w:val="0"/>
              <w:kinsoku/>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2088" w:type="dxa"/>
            <w:vAlign w:val="center"/>
          </w:tcPr>
          <w:p>
            <w:pPr>
              <w:pStyle w:val="149"/>
              <w:keepNext w:val="0"/>
              <w:keepLines w:val="0"/>
              <w:pageBreakBefore w:val="0"/>
              <w:kinsoku/>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068" w:type="dxa"/>
            <w:vAlign w:val="center"/>
          </w:tcPr>
          <w:p>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15" w:name="是否提供投标保证金"/>
            <w:r>
              <w:rPr>
                <w:rFonts w:hint="eastAsia" w:hAnsi="宋体" w:cs="宋体"/>
                <w:b w:val="0"/>
                <w:bCs w:val="0"/>
                <w:color w:val="auto"/>
                <w:kern w:val="0"/>
                <w:sz w:val="21"/>
                <w:szCs w:val="18"/>
                <w:highlight w:val="none"/>
                <w:lang w:val="en-US" w:eastAsia="zh-CN" w:bidi="ar"/>
              </w:rPr>
              <w:t>是</w:t>
            </w:r>
            <w:bookmarkEnd w:id="115"/>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方式一：以转账支票或电汇形式交纳投标保证金</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w:t>
            </w:r>
            <w:r>
              <w:rPr>
                <w:rFonts w:hint="eastAsia" w:ascii="宋体" w:hAnsi="宋体" w:eastAsia="宋体" w:cs="宋体"/>
                <w:color w:val="auto"/>
                <w:sz w:val="21"/>
                <w:szCs w:val="21"/>
                <w:highlight w:val="none"/>
              </w:rPr>
              <w:t>报价人须缴纳投标保证金</w:t>
            </w:r>
            <w:bookmarkStart w:id="116" w:name="投标保证金"/>
            <w:r>
              <w:rPr>
                <w:rFonts w:hint="eastAsia" w:hAnsi="宋体" w:cs="宋体"/>
                <w:color w:val="auto"/>
                <w:sz w:val="21"/>
                <w:szCs w:val="21"/>
                <w:highlight w:val="none"/>
                <w:u w:val="single"/>
                <w:lang w:val="en-US" w:eastAsia="zh-CN"/>
              </w:rPr>
              <w:t>1</w:t>
            </w:r>
            <w:bookmarkEnd w:id="116"/>
            <w:r>
              <w:rPr>
                <w:rFonts w:hint="eastAsia" w:hAnsi="宋体" w:cs="宋体"/>
                <w:color w:val="auto"/>
                <w:sz w:val="21"/>
                <w:szCs w:val="21"/>
                <w:highlight w:val="none"/>
                <w:u w:val="single"/>
                <w:lang w:val="en-US" w:eastAsia="zh-CN"/>
              </w:rPr>
              <w:t>万</w:t>
            </w:r>
            <w:r>
              <w:rPr>
                <w:rFonts w:hint="eastAsia" w:ascii="宋体" w:hAnsi="宋体" w:eastAsia="宋体" w:cs="宋体"/>
                <w:color w:val="auto"/>
                <w:sz w:val="21"/>
                <w:szCs w:val="21"/>
                <w:highlight w:val="none"/>
              </w:rPr>
              <w:t>元，由报价人从公司基本账户将投标保证金汇至以下指定账户：</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3、</w:t>
            </w: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b/>
                <w:bCs/>
                <w:color w:val="auto"/>
                <w:sz w:val="21"/>
                <w:szCs w:val="21"/>
                <w:highlight w:val="none"/>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none"/>
                <w:u w:val="single"/>
                <w:lang w:eastAsia="zh-CN"/>
              </w:rPr>
              <w:t>2026年永壁永津及渝湘复线机电维护劳务分包（第二次）</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5</w:t>
            </w:r>
            <w:r>
              <w:rPr>
                <w:rFonts w:hint="eastAsia" w:ascii="宋体" w:hAnsi="宋体" w:eastAsia="宋体" w:cs="宋体"/>
                <w:color w:val="auto"/>
                <w:sz w:val="21"/>
                <w:szCs w:val="21"/>
                <w:highlight w:val="none"/>
              </w:rPr>
              <w:t>、投标保证金退还方式</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方式二：以纸质投标保函形式交纳投标保证金</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一、以纸质投标保函形式交纳投标保证金</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纸质投标保函交纳形式及要求：</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（1）缴纳形式：纸质投标保函包括银行保函、保证保险和担保保函，其示范文本详见第九章投标文件格式。投标人提交的纸质投标保函应严格执行其示范文本，不得对示范文本中的实质性内容进行修改。</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体要求：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投标人须在投标文件资格审查资料提供纸质投标保函复印件，纸质投标保函原件应当于投标截止时间前在开标现场递交招标人保管，纸质投标保函原件不退还。</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若投标截止时间延期，则纸质投标保函递交的截止时间和投标截止时间保持一致。</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不满足上述要求的纸质投标保函无效。</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以纸质投标保函形式担保的投标保证金的金额：</w:t>
            </w:r>
            <w:r>
              <w:rPr>
                <w:rFonts w:hint="eastAsia" w:hAnsi="宋体" w:cs="宋体"/>
                <w:color w:val="auto"/>
                <w:sz w:val="21"/>
                <w:szCs w:val="21"/>
                <w:highlight w:val="none"/>
                <w:lang w:val="en-US" w:eastAsia="zh-CN"/>
              </w:rPr>
              <w:t>1</w:t>
            </w:r>
            <w:r>
              <w:rPr>
                <w:rFonts w:hint="eastAsia" w:ascii="宋体" w:hAnsi="宋体" w:eastAsia="宋体" w:cs="宋体"/>
                <w:color w:val="auto"/>
                <w:sz w:val="21"/>
                <w:szCs w:val="21"/>
                <w:highlight w:val="none"/>
              </w:rPr>
              <w:t>万元（大写：</w:t>
            </w:r>
            <w:r>
              <w:rPr>
                <w:rFonts w:hint="eastAsia" w:hAnsi="宋体" w:cs="宋体"/>
                <w:color w:val="auto"/>
                <w:sz w:val="21"/>
                <w:szCs w:val="21"/>
                <w:highlight w:val="none"/>
                <w:lang w:val="en-US" w:eastAsia="zh-CN"/>
              </w:rPr>
              <w:t>壹万</w:t>
            </w:r>
            <w:r>
              <w:rPr>
                <w:rFonts w:hint="eastAsia" w:ascii="宋体" w:hAnsi="宋体" w:eastAsia="宋体" w:cs="宋体"/>
                <w:color w:val="auto"/>
                <w:sz w:val="21"/>
                <w:szCs w:val="21"/>
                <w:highlight w:val="none"/>
              </w:rPr>
              <w:t>元整）。</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投标人须在纸质投标保函中注明在重庆市辖区范围内的核验地址和核验方式，并确保其递交的纸质投标保函能在开立人在渝的总部或者分支机构进行核验。</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投标人递交的纸质投标保函原件应与投标文件中提供的纸质投标保函复印件一致，否则由评标委员会作否决投标处理。</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已取得中标候选人资格或中标资格的投标人，按相关规定取消中标候选人资格或中标资格，给招标人造成损失的，投标人依法承担赔偿责任。投标人提交的纸质投标保函涉及弄虚作假或其他违法违规情形的，移送相关部门处理。</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、纸质投标保函的退还、注销</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确定中标人，向中标人发出中标通知书，同时向除中标候选人以外的其他投标人退还纸质投标保函并书面通知相关金融机构本项目准予提前注销纸质投标保函。具体注销事宜由投标人与金融机构协商。</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招标人应在法定时间内和中标人签订合同，并同时书面通知相关金融机构向中标人和其他中标候选人注销纸质投标保函。具体注销事宜由投标人与金融机构协商。</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b/>
                <w:bCs/>
                <w:color w:val="auto"/>
                <w:kern w:val="2"/>
                <w:sz w:val="21"/>
                <w:szCs w:val="21"/>
                <w:highlight w:val="none"/>
              </w:rPr>
            </w:pPr>
            <w:r>
              <w:rPr>
                <w:rFonts w:hint="eastAsia" w:hAnsi="宋体" w:cs="宋体"/>
                <w:b w:val="0"/>
                <w:bCs w:val="0"/>
                <w:color w:val="auto"/>
                <w:kern w:val="2"/>
                <w:sz w:val="21"/>
                <w:szCs w:val="21"/>
                <w:highlight w:val="none"/>
                <w:lang w:val="en-US" w:eastAsia="zh-CN"/>
              </w:rPr>
              <w:t>二、若本项目“第一次”采购失败，采购人发布“第二次”采购后，报价人可沿用“第一次”采购递交的投标保证金，无需重复递交投标保证金。</w:t>
            </w:r>
          </w:p>
          <w:p>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hAnsi="宋体" w:cs="宋体"/>
                <w:b/>
                <w:bCs/>
                <w:color w:val="auto"/>
                <w:kern w:val="2"/>
                <w:sz w:val="21"/>
                <w:szCs w:val="21"/>
                <w:highlight w:val="none"/>
                <w:lang w:val="en-US" w:eastAsia="zh-CN"/>
              </w:rPr>
              <w:t>三</w:t>
            </w:r>
            <w:r>
              <w:rPr>
                <w:rFonts w:hint="eastAsia" w:ascii="宋体" w:hAnsi="宋体" w:eastAsia="宋体" w:cs="宋体"/>
                <w:b/>
                <w:bCs/>
                <w:color w:val="auto"/>
                <w:kern w:val="2"/>
                <w:sz w:val="21"/>
                <w:szCs w:val="21"/>
                <w:highlight w:val="none"/>
              </w:rPr>
              <w:t>、履约保证金</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17" w:name="是否提供履约保证金"/>
            <w:r>
              <w:rPr>
                <w:rFonts w:hint="eastAsia" w:hAnsi="宋体" w:cs="宋体"/>
                <w:b w:val="0"/>
                <w:bCs w:val="0"/>
                <w:color w:val="auto"/>
                <w:kern w:val="0"/>
                <w:sz w:val="21"/>
                <w:szCs w:val="18"/>
                <w:highlight w:val="none"/>
                <w:lang w:val="en-US" w:eastAsia="zh-CN" w:bidi="ar"/>
              </w:rPr>
              <w:t>是</w:t>
            </w:r>
            <w:bookmarkEnd w:id="117"/>
          </w:p>
          <w:p>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18" w:name="履约保证金"/>
            <w:r>
              <w:rPr>
                <w:rFonts w:hint="eastAsia" w:hAnsi="宋体"/>
                <w:color w:val="auto"/>
                <w:kern w:val="2"/>
                <w:sz w:val="21"/>
                <w:szCs w:val="21"/>
                <w:highlight w:val="none"/>
                <w:u w:val="single"/>
                <w:lang w:val="en-US" w:eastAsia="zh-CN"/>
              </w:rPr>
              <w:t>中标金额的10%</w:t>
            </w:r>
            <w:bookmarkEnd w:id="118"/>
            <w:r>
              <w:rPr>
                <w:rFonts w:hint="eastAsia" w:hAnsi="宋体"/>
                <w:color w:val="auto"/>
                <w:kern w:val="2"/>
                <w:sz w:val="21"/>
                <w:szCs w:val="21"/>
                <w:highlight w:val="none"/>
                <w:lang w:val="en-US" w:eastAsia="zh-CN"/>
              </w:rPr>
              <w:t>。</w:t>
            </w:r>
          </w:p>
          <w:p>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none"/>
                <w:u w:val="single"/>
                <w:lang w:eastAsia="zh-CN"/>
              </w:rPr>
              <w:t>2026年永壁永津及渝湘复线机电维护劳务分包（第二次）</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pPr>
              <w:keepNext w:val="0"/>
              <w:keepLines w:val="0"/>
              <w:pageBreakBefore w:val="0"/>
              <w:suppressLineNumbers w:val="0"/>
              <w:kinsoku/>
              <w:overflowPunct/>
              <w:bidi w:val="0"/>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hAnsi="宋体"/>
                <w:color w:val="auto"/>
                <w:kern w:val="2"/>
                <w:sz w:val="21"/>
                <w:szCs w:val="21"/>
                <w:highlight w:val="none"/>
                <w:lang w:val="en-US" w:eastAsia="zh-CN"/>
              </w:rPr>
            </w:pPr>
            <w:r>
              <w:rPr>
                <w:rFonts w:hint="eastAsia" w:hAnsi="宋体"/>
                <w:b/>
                <w:bCs/>
                <w:color w:val="auto"/>
                <w:kern w:val="2"/>
                <w:sz w:val="21"/>
                <w:szCs w:val="21"/>
                <w:highlight w:val="none"/>
                <w:lang w:val="en-US" w:eastAsia="zh-CN"/>
              </w:rPr>
              <w:t>三</w:t>
            </w:r>
            <w:r>
              <w:rPr>
                <w:rFonts w:hint="eastAsia" w:hAnsi="宋体"/>
                <w:color w:val="auto"/>
                <w:kern w:val="2"/>
                <w:sz w:val="21"/>
                <w:szCs w:val="21"/>
                <w:highlight w:val="none"/>
                <w:lang w:val="en-US" w:eastAsia="zh-CN"/>
              </w:rPr>
              <w:t>、采购人指定的开户银行及账号如下：</w:t>
            </w:r>
          </w:p>
          <w:p>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账户名称：重庆首讯科技股份有限公司数智系统运维分公司</w:t>
            </w:r>
          </w:p>
          <w:p>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2088" w:type="dxa"/>
            <w:shd w:val="clear" w:color="auto" w:fill="auto"/>
            <w:vAlign w:val="center"/>
          </w:tcPr>
          <w:p>
            <w:pPr>
              <w:pStyle w:val="149"/>
              <w:keepNext w:val="0"/>
              <w:keepLines w:val="0"/>
              <w:pageBreakBefore w:val="0"/>
              <w:kinsoku/>
              <w:wordWrap/>
              <w:overflowPunct/>
              <w:bidi w:val="0"/>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70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pPr>
              <w:pStyle w:val="149"/>
              <w:keepNext w:val="0"/>
              <w:keepLines w:val="0"/>
              <w:pageBreakBefore w:val="0"/>
              <w:widowControl w:val="0"/>
              <w:kinsoku/>
              <w:wordWrap w:val="0"/>
              <w:overflowPunct/>
              <w:topLinePunct w:val="0"/>
              <w:autoSpaceDE w:val="0"/>
              <w:autoSpaceDN w:val="0"/>
              <w:bidi w:val="0"/>
              <w:adjustRightInd w:val="0"/>
              <w:snapToGrid/>
              <w:spacing w:line="400" w:lineRule="exact"/>
              <w:ind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2088" w:type="dxa"/>
            <w:shd w:val="clear" w:color="auto" w:fill="auto"/>
            <w:vAlign w:val="center"/>
          </w:tcPr>
          <w:p>
            <w:pPr>
              <w:pStyle w:val="149"/>
              <w:keepNext w:val="0"/>
              <w:keepLines w:val="0"/>
              <w:pageBreakBefore w:val="0"/>
              <w:kinsoku/>
              <w:overflowPunct/>
              <w:bidi w:val="0"/>
              <w:spacing w:line="400" w:lineRule="exact"/>
              <w:jc w:val="center"/>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监督部门</w:t>
            </w:r>
          </w:p>
        </w:tc>
        <w:tc>
          <w:tcPr>
            <w:tcW w:w="7068" w:type="dxa"/>
            <w:shd w:val="clear" w:color="auto" w:fill="auto"/>
            <w:vAlign w:val="center"/>
          </w:tcPr>
          <w:p>
            <w:pPr>
              <w:pStyle w:val="149"/>
              <w:keepNext w:val="0"/>
              <w:keepLines w:val="0"/>
              <w:pageBreakBefore w:val="0"/>
              <w:kinsoku/>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w:t>
            </w:r>
            <w:r>
              <w:rPr>
                <w:rFonts w:hint="eastAsia" w:hAnsi="宋体"/>
                <w:color w:val="auto"/>
                <w:kern w:val="2"/>
                <w:sz w:val="21"/>
                <w:szCs w:val="21"/>
                <w:highlight w:val="none"/>
                <w:lang w:eastAsia="zh-CN"/>
              </w:rPr>
              <w:t>重庆首讯科技股份有限公司数智系统运维分公司</w:t>
            </w:r>
            <w:r>
              <w:rPr>
                <w:rFonts w:hint="eastAsia" w:hAnsi="宋体"/>
                <w:color w:val="auto"/>
                <w:kern w:val="2"/>
                <w:sz w:val="21"/>
                <w:szCs w:val="21"/>
                <w:highlight w:val="none"/>
                <w:lang w:val="en-US" w:eastAsia="zh-CN"/>
              </w:rPr>
              <w:t>综合管理</w:t>
            </w:r>
            <w:r>
              <w:rPr>
                <w:rFonts w:hint="eastAsia" w:hAnsi="宋体"/>
                <w:color w:val="auto"/>
                <w:kern w:val="2"/>
                <w:sz w:val="21"/>
                <w:szCs w:val="21"/>
                <w:highlight w:val="none"/>
              </w:rPr>
              <w:t>部</w:t>
            </w:r>
          </w:p>
          <w:p>
            <w:pPr>
              <w:pStyle w:val="149"/>
              <w:keepNext w:val="0"/>
              <w:keepLines w:val="0"/>
              <w:pageBreakBefore w:val="0"/>
              <w:kinsoku/>
              <w:overflowPunct/>
              <w:bidi w:val="0"/>
              <w:spacing w:line="400" w:lineRule="exact"/>
              <w:ind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w:t>
            </w:r>
            <w:r>
              <w:rPr>
                <w:rFonts w:hint="eastAsia" w:hAnsi="宋体"/>
                <w:color w:val="auto"/>
                <w:kern w:val="2"/>
                <w:sz w:val="21"/>
                <w:szCs w:val="21"/>
              </w:rPr>
              <w:t>重庆市南岸区南坪镇海峡路重庆首讯科技股份有限公司</w:t>
            </w:r>
          </w:p>
          <w:p>
            <w:pPr>
              <w:pStyle w:val="149"/>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电    话：</w:t>
            </w:r>
            <w:r>
              <w:rPr>
                <w:rFonts w:hint="eastAsia" w:hAnsi="宋体"/>
                <w:color w:val="auto"/>
                <w:kern w:val="2"/>
                <w:sz w:val="21"/>
                <w:szCs w:val="21"/>
              </w:rPr>
              <w:t>023-86325020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2088" w:type="dxa"/>
            <w:vAlign w:val="center"/>
          </w:tcPr>
          <w:p>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068" w:type="dxa"/>
            <w:vAlign w:val="center"/>
          </w:tcPr>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2088" w:type="dxa"/>
            <w:vAlign w:val="center"/>
          </w:tcPr>
          <w:p>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7068" w:type="dxa"/>
            <w:vAlign w:val="center"/>
          </w:tcPr>
          <w:p>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9156" w:type="dxa"/>
            <w:gridSpan w:val="2"/>
            <w:vAlign w:val="center"/>
          </w:tcPr>
          <w:p>
            <w:pPr>
              <w:pStyle w:val="149"/>
              <w:keepNext w:val="0"/>
              <w:keepLines w:val="0"/>
              <w:pageBreakBefore w:val="0"/>
              <w:kinsoku/>
              <w:overflowPunct/>
              <w:bidi w:val="0"/>
              <w:spacing w:line="400" w:lineRule="exact"/>
              <w:ind w:firstLine="482" w:firstLineChars="200"/>
              <w:jc w:val="center"/>
              <w:textAlignment w:val="auto"/>
              <w:rPr>
                <w:rFonts w:hint="eastAsia" w:hAnsi="宋体"/>
                <w:color w:val="auto"/>
                <w:sz w:val="21"/>
                <w:szCs w:val="21"/>
                <w:highlight w:val="none"/>
              </w:rPr>
            </w:pPr>
            <w:r>
              <w:rPr>
                <w:rFonts w:hAnsi="宋体"/>
                <w:b/>
                <w:bCs/>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156" w:type="dxa"/>
            <w:gridSpan w:val="2"/>
            <w:vAlign w:val="center"/>
          </w:tcPr>
          <w:p>
            <w:pPr>
              <w:pStyle w:val="149"/>
              <w:keepNext w:val="0"/>
              <w:keepLines w:val="0"/>
              <w:pageBreakBefore w:val="0"/>
              <w:kinsoku/>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lang w:val="en-US" w:eastAsia="zh-CN"/>
              </w:rPr>
              <w:t>本次竞争性比选为第二次，如本次比选报价单位仍少于3个的，经评标专家评审后，拟确定有效报价得分最高的报价人为项目承担单位。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9156" w:type="dxa"/>
            <w:gridSpan w:val="2"/>
            <w:vAlign w:val="center"/>
          </w:tcPr>
          <w:p>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需提供投标保证金银行回执或投标保函。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25.3</w:t>
            </w:r>
          </w:p>
        </w:tc>
        <w:tc>
          <w:tcPr>
            <w:tcW w:w="9156" w:type="dxa"/>
            <w:gridSpan w:val="2"/>
            <w:vAlign w:val="center"/>
          </w:tcPr>
          <w:p>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9156" w:type="dxa"/>
            <w:gridSpan w:val="2"/>
            <w:vAlign w:val="center"/>
          </w:tcPr>
          <w:p>
            <w:pPr>
              <w:pStyle w:val="149"/>
              <w:keepNext w:val="0"/>
              <w:keepLines w:val="0"/>
              <w:pageBreakBefore w:val="0"/>
              <w:numPr>
                <w:ilvl w:val="0"/>
                <w:numId w:val="0"/>
              </w:numPr>
              <w:kinsoku/>
              <w:overflowPunct/>
              <w:bidi w:val="0"/>
              <w:spacing w:line="400" w:lineRule="exact"/>
              <w:ind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pPr>
              <w:pStyle w:val="149"/>
              <w:keepNext w:val="0"/>
              <w:keepLines w:val="0"/>
              <w:pageBreakBefore w:val="0"/>
              <w:numPr>
                <w:ilvl w:val="0"/>
                <w:numId w:val="0"/>
              </w:numPr>
              <w:kinsoku/>
              <w:overflowPunct/>
              <w:bidi w:val="0"/>
              <w:spacing w:line="400" w:lineRule="exact"/>
              <w:ind w:left="0" w:leftChars="0"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9156" w:type="dxa"/>
            <w:gridSpan w:val="2"/>
            <w:vAlign w:val="center"/>
          </w:tcPr>
          <w:p>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采购人《合格供方库管理办法》，上一年度（2024年度）评价为A级的供应商在我司同时承揽的未完工专项工程项目不得超过5个，上一次年度评价为B级的供应商（或初次入库的供应商）在我司同时承揽的未完工专项工程项目不得超过3个，上一次年度评价为C级的供应商一个自然年内至多承揽1个专项工程项目。对于承揽未完工项目数量达到上表中承揽项目限制的供应商取消本项目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9156"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26.7</w:t>
            </w:r>
          </w:p>
        </w:tc>
        <w:tc>
          <w:tcPr>
            <w:tcW w:w="9156" w:type="dxa"/>
            <w:gridSpan w:val="2"/>
            <w:vAlign w:val="center"/>
          </w:tcPr>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26.8</w:t>
            </w:r>
          </w:p>
        </w:tc>
        <w:tc>
          <w:tcPr>
            <w:tcW w:w="9156" w:type="dxa"/>
            <w:gridSpan w:val="2"/>
            <w:vAlign w:val="center"/>
          </w:tcPr>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bookmarkEnd w:id="112"/>
    </w:tbl>
    <w:p>
      <w:pPr>
        <w:spacing w:line="360" w:lineRule="auto"/>
        <w:jc w:val="center"/>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pPr>
        <w:pStyle w:val="3"/>
        <w:spacing w:before="0" w:after="0" w:line="360" w:lineRule="auto"/>
        <w:jc w:val="center"/>
        <w:rPr>
          <w:rFonts w:hint="eastAsia" w:ascii="宋体" w:hAnsi="宋体" w:eastAsia="宋体" w:cs="宋体"/>
          <w:bCs w:val="0"/>
          <w:color w:val="auto"/>
          <w:sz w:val="28"/>
          <w:szCs w:val="28"/>
          <w:highlight w:val="none"/>
        </w:rPr>
      </w:pPr>
      <w:bookmarkStart w:id="119" w:name="_Toc30198"/>
      <w:bookmarkStart w:id="120" w:name="_Toc11329222"/>
      <w:bookmarkStart w:id="121" w:name="_Toc11284"/>
      <w:bookmarkStart w:id="122" w:name="_Toc17532"/>
      <w:bookmarkStart w:id="123" w:name="_Toc9520"/>
      <w:bookmarkStart w:id="124" w:name="_Toc14062"/>
      <w:bookmarkStart w:id="125" w:name="_Toc11915"/>
      <w:bookmarkStart w:id="126" w:name="_Toc387234996"/>
      <w:bookmarkStart w:id="127" w:name="_Toc27148"/>
      <w:bookmarkStart w:id="128" w:name="_Toc11329227"/>
      <w:bookmarkStart w:id="129" w:name="_Toc8293"/>
      <w:bookmarkStart w:id="130" w:name="_Toc388534043"/>
      <w:bookmarkStart w:id="131" w:name="_Toc21487"/>
      <w:r>
        <w:rPr>
          <w:rFonts w:hint="eastAsia" w:ascii="宋体" w:hAnsi="宋体" w:eastAsia="宋体" w:cs="宋体"/>
          <w:color w:val="auto"/>
          <w:sz w:val="28"/>
          <w:szCs w:val="28"/>
          <w:highlight w:val="none"/>
        </w:rPr>
        <w:t xml:space="preserve">附录1 </w:t>
      </w:r>
      <w:bookmarkEnd w:id="119"/>
      <w:bookmarkEnd w:id="120"/>
      <w:bookmarkEnd w:id="121"/>
      <w:bookmarkEnd w:id="122"/>
      <w:bookmarkStart w:id="132" w:name="_Toc27096"/>
      <w:bookmarkStart w:id="133" w:name="_Toc25591"/>
      <w:bookmarkStart w:id="134" w:name="_Toc11329226"/>
      <w:bookmarkStart w:id="135" w:name="_Toc12773"/>
      <w:r>
        <w:rPr>
          <w:rFonts w:hint="eastAsia" w:ascii="宋体" w:hAnsi="宋体" w:eastAsia="宋体" w:cs="宋体"/>
          <w:bCs w:val="0"/>
          <w:color w:val="auto"/>
          <w:sz w:val="28"/>
          <w:szCs w:val="28"/>
          <w:highlight w:val="none"/>
        </w:rPr>
        <w:t>资格审查文件</w:t>
      </w:r>
      <w:bookmarkEnd w:id="123"/>
      <w:bookmarkEnd w:id="132"/>
      <w:bookmarkEnd w:id="133"/>
      <w:bookmarkEnd w:id="134"/>
      <w:bookmarkEnd w:id="135"/>
      <w:r>
        <w:rPr>
          <w:rFonts w:hint="eastAsia" w:ascii="宋体" w:hAnsi="宋体" w:eastAsia="宋体" w:cs="宋体"/>
          <w:bCs w:val="0"/>
          <w:color w:val="auto"/>
          <w:sz w:val="28"/>
          <w:szCs w:val="28"/>
          <w:highlight w:val="none"/>
        </w:rPr>
        <w:t>（项目主要管理人员最低要求）</w:t>
      </w:r>
      <w:bookmarkEnd w:id="124"/>
      <w:bookmarkEnd w:id="125"/>
      <w:bookmarkStart w:id="136" w:name="_Toc6945"/>
    </w:p>
    <w:p>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pPr>
              <w:pageBreakBefore w:val="0"/>
              <w:widowControl w:val="0"/>
              <w:numPr>
                <w:ilvl w:val="0"/>
                <w:numId w:val="0"/>
              </w:numPr>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bookmarkStart w:id="137" w:name="资质要求1"/>
            <w:r>
              <w:rPr>
                <w:rFonts w:hint="eastAsia" w:ascii="宋体" w:hAnsi="宋体" w:eastAsia="宋体" w:cs="宋体"/>
                <w:color w:val="auto"/>
                <w:kern w:val="2"/>
                <w:sz w:val="21"/>
                <w:szCs w:val="21"/>
                <w:lang w:val="en-US" w:eastAsia="zh-CN" w:bidi="ar-SA"/>
              </w:rPr>
              <w:t>（1）</w:t>
            </w:r>
            <w:r>
              <w:rPr>
                <w:rFonts w:hint="eastAsia" w:ascii="宋体" w:hAnsi="宋体" w:cs="宋体"/>
                <w:color w:val="auto"/>
                <w:sz w:val="21"/>
                <w:szCs w:val="21"/>
                <w:highlight w:val="none"/>
                <w:lang w:val="en-US" w:eastAsia="zh-CN"/>
              </w:rPr>
              <w:t>具有独立法人资格和有效的营业执照；</w:t>
            </w:r>
          </w:p>
          <w:p>
            <w:pPr>
              <w:pageBreakBefore w:val="0"/>
              <w:widowControl w:val="0"/>
              <w:numPr>
                <w:ilvl w:val="0"/>
                <w:numId w:val="0"/>
              </w:numPr>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（2）具备有效的安全生产许可证；</w:t>
            </w:r>
          </w:p>
          <w:p>
            <w:pPr>
              <w:pageBreakBefore w:val="0"/>
              <w:widowControl w:val="0"/>
              <w:numPr>
                <w:ilvl w:val="0"/>
                <w:numId w:val="0"/>
              </w:numPr>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（3）具备有效的建设行政主管部门颁发的施工劳务企业资质。 </w:t>
            </w:r>
          </w:p>
          <w:p>
            <w:pPr>
              <w:pageBreakBefore w:val="0"/>
              <w:widowControl w:val="0"/>
              <w:numPr>
                <w:ilvl w:val="0"/>
                <w:numId w:val="0"/>
              </w:numPr>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注：须提供有效资质证书复印件须加盖报价人公章。</w:t>
            </w:r>
            <w:bookmarkEnd w:id="1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2022年1月1日起至投标截止日具有一项合同额不低于80万元的高速公路维护业绩，提供业绩合同复印件</w:t>
            </w:r>
            <w:r>
              <w:rPr>
                <w:rFonts w:hint="eastAsia" w:ascii="宋体" w:hAnsi="宋体" w:cs="宋体"/>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val="en-US" w:eastAsia="zh-CN"/>
              </w:rPr>
              <w:t>及资质证书</w:t>
            </w:r>
            <w:r>
              <w:rPr>
                <w:rFonts w:hint="eastAsia" w:hAnsi="宋体"/>
                <w:b/>
                <w:bCs/>
                <w:color w:val="auto"/>
                <w:kern w:val="0"/>
                <w:szCs w:val="21"/>
                <w:highlight w:val="none"/>
              </w:rPr>
              <w:t>复印件，并加盖单位公章。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、验收报告、结算发票复印件（发票金额不得低于业绩要求金额），</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pPr>
        <w:rPr>
          <w:rFonts w:hint="eastAsia" w:asciiTheme="majorEastAsia" w:hAnsiTheme="majorEastAsia" w:eastAsiaTheme="majorEastAsia" w:cstheme="majorEastAsia"/>
          <w:b/>
          <w:bCs/>
          <w:color w:val="auto"/>
          <w:kern w:val="0"/>
          <w:sz w:val="28"/>
          <w:szCs w:val="32"/>
          <w:highlight w:val="none"/>
          <w:lang w:val="en-US" w:eastAsia="zh-CN" w:bidi="ar-SA"/>
        </w:rPr>
      </w:pPr>
    </w:p>
    <w:p>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pPr>
              <w:spacing w:line="40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（1）配备项目经理1名，须具备有效的二级及以上建造师资格或中级工程师及以上职称；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（2）配备安全负责人1名，配备安全负责人1名，具备建设行政主管部门颁发的安全生产考核合格证（建委 C 证或交委 C 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cs="宋体"/>
                <w:b w:val="0"/>
                <w:bCs w:val="0"/>
                <w:color w:val="auto"/>
                <w:szCs w:val="21"/>
                <w:highlight w:val="none"/>
                <w:lang w:val="en-US" w:eastAsia="zh-CN"/>
              </w:rPr>
              <w:t>注：须提供以上人员有效资质证书复印件、人员劳动合同复印件和递交2025年10月至2026年12月的养老保险证明（带有社保部门公章或社保部门的有效电子印章），并加盖报价人单位公章。</w:t>
            </w:r>
          </w:p>
        </w:tc>
      </w:tr>
    </w:tbl>
    <w:p>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10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12 </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bookmarkEnd w:id="136"/>
    <w:p>
      <w:pPr>
        <w:pStyle w:val="3"/>
        <w:jc w:val="center"/>
        <w:rPr>
          <w:rFonts w:hint="eastAsia" w:ascii="宋体" w:hAnsi="宋体" w:eastAsia="宋体" w:cs="宋体"/>
          <w:bCs w:val="0"/>
          <w:color w:val="auto"/>
          <w:sz w:val="28"/>
          <w:szCs w:val="28"/>
          <w:highlight w:val="none"/>
        </w:rPr>
      </w:pPr>
      <w:bookmarkStart w:id="138" w:name="_Toc11529"/>
      <w:bookmarkStart w:id="139" w:name="_Toc14678"/>
      <w:bookmarkStart w:id="140" w:name="_Toc19370"/>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38"/>
      <w:bookmarkEnd w:id="139"/>
      <w:bookmarkEnd w:id="140"/>
      <w:bookmarkStart w:id="141" w:name="_Toc4169"/>
      <w:bookmarkStart w:id="142" w:name="_Toc17384"/>
      <w:bookmarkStart w:id="143" w:name="_Toc6096"/>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tcPr>
          <w:p>
            <w:pPr>
              <w:numPr>
                <w:ilvl w:val="0"/>
                <w:numId w:val="0"/>
              </w:numPr>
              <w:ind w:firstLine="420" w:firstLineChars="200"/>
              <w:rPr>
                <w:rFonts w:hint="eastAsia"/>
                <w:color w:val="auto"/>
                <w:highlight w:val="none"/>
                <w:lang w:eastAsia="zh-CN"/>
              </w:rPr>
            </w:pPr>
            <w:r>
              <w:rPr>
                <w:rFonts w:hint="eastAsia"/>
                <w:color w:val="auto"/>
                <w:highlight w:val="none"/>
                <w:lang w:eastAsia="zh-CN"/>
              </w:rPr>
              <w:t>永川至璧山高速公路及三环高速公路陈食至油溪段：3名维护人员(强电1名和弱电2名，强电人员需具有3年以上供配电维护经验，须持特种作业证上岗，弱电人员需持特种作业证和上岗，其中二人居均持有C1 及以上驾照和不少于1 名维护人员持有有效的高空作业证，并具3年以上驾驶经验)；</w:t>
            </w:r>
          </w:p>
          <w:p>
            <w:pPr>
              <w:numPr>
                <w:ilvl w:val="0"/>
                <w:numId w:val="0"/>
              </w:numPr>
              <w:ind w:firstLine="420" w:firstLineChars="200"/>
              <w:rPr>
                <w:rFonts w:hint="eastAsia"/>
                <w:color w:val="auto"/>
                <w:highlight w:val="none"/>
                <w:lang w:eastAsia="zh-CN"/>
              </w:rPr>
            </w:pPr>
            <w:r>
              <w:rPr>
                <w:rFonts w:hint="eastAsia"/>
                <w:color w:val="auto"/>
                <w:highlight w:val="none"/>
                <w:lang w:eastAsia="zh-CN"/>
              </w:rPr>
              <w:t>S3渝湘复线酉彭段机：5名维护人员(强电1名和弱电4名，强电人员需具有3年以上供配电维护经验，须持特种作业证上岗，弱电人员需持特种作业证和上岗，其中二人居均持有C1及以上驾照和不少于1名维护人员持有有效的高空作业证，并具3年以上驾驶经验)。</w:t>
            </w:r>
          </w:p>
          <w:p>
            <w:pPr>
              <w:ind w:firstLine="400"/>
              <w:rPr>
                <w:rFonts w:hint="eastAsia" w:eastAsia="宋体"/>
                <w:color w:val="auto"/>
                <w:highlight w:val="none"/>
                <w:lang w:eastAsia="zh-CN"/>
              </w:rPr>
            </w:pPr>
            <w:r>
              <w:rPr>
                <w:rFonts w:hint="eastAsia"/>
                <w:color w:val="auto"/>
                <w:highlight w:val="none"/>
                <w:lang w:eastAsia="zh-CN"/>
              </w:rPr>
              <w:t>以上要求为最低要求，后续根据界面提交情况及项目部要求追加人员，满足工程进度需要。</w:t>
            </w:r>
          </w:p>
          <w:p>
            <w:pPr>
              <w:ind w:firstLine="400"/>
              <w:rPr>
                <w:color w:val="auto"/>
                <w:highlight w:val="none"/>
              </w:rPr>
            </w:pPr>
            <w:r>
              <w:rPr>
                <w:rFonts w:hint="eastAsia"/>
                <w:b/>
                <w:bCs/>
                <w:color w:val="auto"/>
                <w:highlight w:val="none"/>
              </w:rPr>
              <w:t>（报价人自行承诺即可，无需提供相关证明材料）</w:t>
            </w:r>
          </w:p>
        </w:tc>
      </w:tr>
    </w:tbl>
    <w:p>
      <w:pPr>
        <w:pStyle w:val="42"/>
        <w:rPr>
          <w:rFonts w:hint="eastAsia"/>
          <w:color w:val="auto"/>
          <w:highlight w:val="none"/>
        </w:rPr>
      </w:pPr>
    </w:p>
    <w:p>
      <w:pPr>
        <w:pStyle w:val="3"/>
        <w:jc w:val="center"/>
        <w:rPr>
          <w:rFonts w:hint="eastAsia" w:hAnsi="宋体"/>
          <w:b w:val="0"/>
          <w:color w:val="auto"/>
          <w:sz w:val="28"/>
          <w:szCs w:val="28"/>
          <w:highlight w:val="none"/>
        </w:rPr>
      </w:pPr>
      <w:bookmarkStart w:id="144" w:name="_Toc26911"/>
      <w:bookmarkStart w:id="145" w:name="_Toc775"/>
      <w:bookmarkStart w:id="146" w:name="_Toc5232"/>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41"/>
      <w:bookmarkEnd w:id="142"/>
      <w:bookmarkEnd w:id="143"/>
      <w:bookmarkEnd w:id="144"/>
      <w:bookmarkEnd w:id="145"/>
      <w:bookmarkEnd w:id="146"/>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pPr>
              <w:ind w:firstLine="420" w:firstLineChars="200"/>
              <w:rPr>
                <w:rFonts w:hint="eastAsia" w:ascii="宋体" w:hAnsi="宋体" w:eastAsia="宋体" w:cs="宋体"/>
                <w:caps/>
                <w:color w:val="auto"/>
                <w:szCs w:val="21"/>
                <w:highlight w:val="none"/>
                <w:lang w:eastAsia="zh-CN"/>
              </w:rPr>
            </w:pPr>
            <w:r>
              <w:rPr>
                <w:rFonts w:hint="eastAsia" w:ascii="宋体" w:hAnsi="宋体" w:eastAsia="宋体" w:cs="宋体"/>
                <w:caps/>
                <w:color w:val="auto"/>
                <w:szCs w:val="21"/>
                <w:highlight w:val="none"/>
                <w:lang w:eastAsia="zh-CN"/>
              </w:rPr>
              <w:t>永川至璧山高速公路及三环高速公路陈食至油溪段：一辆维护用车(提供行驶证)进行配备。</w:t>
            </w:r>
          </w:p>
          <w:p>
            <w:pPr>
              <w:ind w:firstLine="420" w:firstLineChars="200"/>
              <w:rPr>
                <w:rFonts w:hint="eastAsia" w:ascii="宋体" w:hAnsi="宋体" w:eastAsia="宋体" w:cs="宋体"/>
                <w:caps/>
                <w:color w:val="auto"/>
                <w:szCs w:val="21"/>
                <w:highlight w:val="none"/>
                <w:lang w:eastAsia="zh-CN"/>
              </w:rPr>
            </w:pPr>
            <w:r>
              <w:rPr>
                <w:rFonts w:hint="eastAsia" w:ascii="宋体" w:hAnsi="宋体" w:eastAsia="宋体" w:cs="宋体"/>
                <w:caps/>
                <w:color w:val="auto"/>
                <w:szCs w:val="21"/>
                <w:highlight w:val="none"/>
                <w:lang w:eastAsia="zh-CN"/>
              </w:rPr>
              <w:t>S3渝湘复线酉彭段机：一辆维护用车(提供行驶证)进行配备。</w:t>
            </w:r>
          </w:p>
          <w:p>
            <w:pPr>
              <w:ind w:firstLine="420" w:firstLineChars="200"/>
              <w:rPr>
                <w:rFonts w:hint="eastAsia" w:ascii="宋体" w:hAnsi="宋体" w:eastAsia="宋体" w:cs="宋体"/>
                <w:caps/>
                <w:color w:val="auto"/>
                <w:szCs w:val="21"/>
                <w:highlight w:val="none"/>
                <w:lang w:eastAsia="zh-CN"/>
              </w:rPr>
            </w:pPr>
            <w:r>
              <w:rPr>
                <w:rFonts w:hint="eastAsia" w:ascii="宋体" w:hAnsi="宋体" w:eastAsia="宋体" w:cs="宋体"/>
                <w:caps/>
                <w:color w:val="auto"/>
                <w:szCs w:val="21"/>
                <w:highlight w:val="none"/>
                <w:lang w:eastAsia="zh-CN"/>
              </w:rPr>
              <w:t>以上要求为最低要求，后续根据采购人要求追加机械设备，以满足项目需要。</w:t>
            </w:r>
          </w:p>
          <w:p>
            <w:pPr>
              <w:ind w:firstLine="420" w:firstLineChars="200"/>
              <w:rPr>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color w:val="auto"/>
                <w:highlight w:val="none"/>
              </w:rPr>
              <w:t>）</w:t>
            </w:r>
          </w:p>
        </w:tc>
      </w:tr>
    </w:tbl>
    <w:p>
      <w:pPr>
        <w:spacing w:line="400" w:lineRule="exact"/>
        <w:ind w:firstLine="420"/>
        <w:rPr>
          <w:rFonts w:ascii="宋体" w:hAnsi="宋体" w:cs="宋体"/>
          <w:color w:val="auto"/>
          <w:kern w:val="0"/>
          <w:szCs w:val="21"/>
          <w:highlight w:val="none"/>
        </w:rPr>
      </w:pPr>
    </w:p>
    <w:p>
      <w:pPr>
        <w:spacing w:line="440" w:lineRule="exact"/>
        <w:jc w:val="left"/>
        <w:rPr>
          <w:rFonts w:hint="eastAsia" w:ascii="宋体" w:hAnsi="宋体" w:eastAsia="宋体" w:cs="宋体"/>
          <w:b/>
          <w:bCs/>
          <w:color w:val="auto"/>
          <w:sz w:val="21"/>
          <w:szCs w:val="21"/>
          <w:highlight w:val="none"/>
        </w:rPr>
      </w:pPr>
    </w:p>
    <w:p>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26"/>
    <w:bookmarkEnd w:id="127"/>
    <w:bookmarkEnd w:id="128"/>
    <w:bookmarkEnd w:id="129"/>
    <w:bookmarkEnd w:id="130"/>
    <w:bookmarkEnd w:id="131"/>
    <w:p>
      <w:pPr>
        <w:pStyle w:val="2"/>
        <w:keepNext/>
        <w:keepLines/>
        <w:pageBreakBefore w:val="0"/>
        <w:widowControl w:val="0"/>
        <w:numPr>
          <w:ilvl w:val="0"/>
          <w:numId w:val="4"/>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47" w:name="_Toc31054"/>
      <w:bookmarkStart w:id="148" w:name="_Toc5917"/>
      <w:bookmarkStart w:id="149" w:name="_Toc28519"/>
      <w:r>
        <w:rPr>
          <w:rFonts w:hint="eastAsia" w:ascii="宋体" w:hAnsi="宋体" w:cs="宋体"/>
          <w:color w:val="auto"/>
          <w:highlight w:val="none"/>
        </w:rPr>
        <w:t>评标办法（综合评估法）</w:t>
      </w:r>
      <w:bookmarkEnd w:id="147"/>
      <w:bookmarkEnd w:id="148"/>
      <w:bookmarkEnd w:id="149"/>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3"/>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s="Times New Roman"/>
                <w:color w:val="auto"/>
                <w:kern w:val="2"/>
                <w:sz w:val="21"/>
                <w:szCs w:val="24"/>
                <w:highlight w:val="none"/>
                <w:lang w:val="en-US" w:eastAsia="zh-CN" w:bidi="ar-SA"/>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项目地点</w:t>
            </w:r>
          </w:p>
        </w:tc>
        <w:tc>
          <w:tcPr>
            <w:tcW w:w="5182" w:type="dxa"/>
            <w:gridSpan w:val="2"/>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5182" w:type="dxa"/>
            <w:gridSpan w:val="2"/>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color w:val="auto"/>
                <w:highlight w:val="none"/>
              </w:rPr>
              <w:t>质量标准</w:t>
            </w:r>
          </w:p>
        </w:tc>
        <w:tc>
          <w:tcPr>
            <w:tcW w:w="5182" w:type="dxa"/>
            <w:gridSpan w:val="2"/>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安全目标</w:t>
            </w:r>
          </w:p>
        </w:tc>
        <w:tc>
          <w:tcPr>
            <w:tcW w:w="5182" w:type="dxa"/>
            <w:gridSpan w:val="2"/>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12</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w:t>
            </w:r>
            <w:r>
              <w:rPr>
                <w:rFonts w:hint="default" w:asciiTheme="minorEastAsia" w:hAnsiTheme="minorEastAsia" w:eastAsiaTheme="minorEastAsia" w:cstheme="minorEastAsia"/>
                <w:color w:val="auto"/>
                <w:szCs w:val="21"/>
                <w:highlight w:val="none"/>
              </w:rPr>
              <w:t>7</w:t>
            </w:r>
            <w:r>
              <w:rPr>
                <w:rFonts w:hint="eastAsia" w:asciiTheme="minorEastAsia" w:hAnsiTheme="minorEastAsia" w:eastAsiaTheme="minorEastAsia" w:cstheme="minorEastAsia"/>
                <w:color w:val="auto"/>
                <w:szCs w:val="21"/>
                <w:highlight w:val="none"/>
                <w:lang w:val="en-US" w:eastAsia="zh-CN"/>
              </w:rPr>
              <w:t>0</w:t>
            </w:r>
            <w:r>
              <w:rPr>
                <w:rFonts w:hint="eastAsia" w:asciiTheme="minorEastAsia" w:hAnsiTheme="minorEastAsia" w:eastAsiaTheme="minorEastAsia" w:cstheme="minorEastAsia"/>
                <w:color w:val="auto"/>
                <w:szCs w:val="21"/>
                <w:highlight w:val="none"/>
              </w:rPr>
              <w:t>分；</w:t>
            </w:r>
          </w:p>
          <w:p>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w:t>
            </w:r>
            <w:r>
              <w:rPr>
                <w:rFonts w:hint="eastAsia" w:asciiTheme="minorEastAsia" w:hAnsiTheme="minorEastAsia" w:eastAsiaTheme="minorEastAsia" w:cstheme="minorEastAsia"/>
                <w:color w:val="auto"/>
                <w:szCs w:val="21"/>
                <w:highlight w:val="none"/>
                <w:lang w:val="en-US" w:eastAsia="zh-CN"/>
              </w:rPr>
              <w:t>10</w:t>
            </w:r>
            <w:r>
              <w:rPr>
                <w:rFonts w:hint="eastAsia" w:asciiTheme="minorEastAsia" w:hAnsiTheme="minorEastAsia" w:eastAsiaTheme="minorEastAsia" w:cstheme="minorEastAsia"/>
                <w:color w:val="auto"/>
                <w:szCs w:val="21"/>
                <w:highlight w:val="none"/>
              </w:rPr>
              <w:t>分；</w:t>
            </w:r>
          </w:p>
          <w:p>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w:t>
            </w:r>
            <w:r>
              <w:rPr>
                <w:rFonts w:hint="eastAsia" w:asciiTheme="minorEastAsia" w:hAnsiTheme="minorEastAsia" w:eastAsiaTheme="minorEastAsia" w:cstheme="minorEastAsia"/>
                <w:color w:val="auto"/>
                <w:szCs w:val="21"/>
                <w:highlight w:val="none"/>
                <w:lang w:val="en-US" w:eastAsia="zh-CN"/>
              </w:rPr>
              <w:t>0</w:t>
            </w:r>
            <w:r>
              <w:rPr>
                <w:rFonts w:hint="eastAsia" w:asciiTheme="minorEastAsia" w:hAnsiTheme="minorEastAsia" w:eastAsiaTheme="minorEastAsia" w:cstheme="minorEastAsia"/>
                <w:color w:val="auto"/>
                <w:szCs w:val="21"/>
                <w:highlight w:val="non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1.有效报价：系指初步评审均合格且其响应内容满足比选文件要求的报价人的投标总报价。</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2.评标基准价：所有通过初步评审合格的报价人的投标报价中去掉六分之一（不能整除的按小数点前整数取整，不足六家报价则不去掉）的最低价和相同家数的最高价后的算术平均值为评标基准价。</w:t>
            </w:r>
          </w:p>
          <w:p>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宋体" w:hAnsi="宋体" w:cs="宋体"/>
                <w:szCs w:val="21"/>
                <w:highlight w:val="none"/>
              </w:rPr>
              <w:t>注：评标基准价以元为单位，保留2位小数，按四舍五入原则进行。确认后的评标基准价在本次整个招投标期间保持不变，不随后续评审的报价人数量发生变化。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w:t>
            </w:r>
            <w:r>
              <w:rPr>
                <w:rFonts w:hint="default" w:asciiTheme="minorEastAsia" w:hAnsiTheme="minorEastAsia" w:eastAsiaTheme="minorEastAsia" w:cstheme="minorEastAsia"/>
                <w:bCs/>
                <w:color w:val="auto"/>
                <w:szCs w:val="21"/>
                <w:highlight w:val="none"/>
                <w:lang w:bidi="ar"/>
              </w:rPr>
              <w:t>2</w:t>
            </w:r>
            <w:r>
              <w:rPr>
                <w:rFonts w:hint="eastAsia" w:asciiTheme="minorEastAsia" w:hAnsiTheme="minorEastAsia" w:eastAsiaTheme="minorEastAsia" w:cstheme="minorEastAsia"/>
                <w:bCs/>
                <w:color w:val="auto"/>
                <w:szCs w:val="21"/>
                <w:highlight w:val="none"/>
                <w:lang w:bidi="ar"/>
              </w:rPr>
              <w:t>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pageBreakBefore w:val="0"/>
              <w:kinsoku/>
              <w:wordWrap/>
              <w:overflowPunct/>
              <w:topLinePunct w:val="0"/>
              <w:bidi w:val="0"/>
              <w:snapToGrid w:val="0"/>
              <w:spacing w:line="400" w:lineRule="exact"/>
              <w:jc w:val="left"/>
              <w:rPr>
                <w:rFonts w:ascii="宋体" w:hAnsi="宋体" w:cs="宋体"/>
                <w:b w:val="0"/>
                <w:bCs w:val="0"/>
                <w:color w:val="auto"/>
                <w:kern w:val="0"/>
                <w:szCs w:val="21"/>
                <w:highlight w:val="none"/>
              </w:rPr>
            </w:pPr>
            <w:r>
              <w:rPr>
                <w:rFonts w:hint="eastAsia" w:ascii="宋体" w:hAnsi="宋体" w:cs="宋体"/>
                <w:b w:val="0"/>
                <w:bCs w:val="0"/>
                <w:color w:val="auto"/>
                <w:kern w:val="0"/>
                <w:szCs w:val="21"/>
                <w:highlight w:val="none"/>
              </w:rPr>
              <w:t>现场机构设置（10分）</w:t>
            </w:r>
          </w:p>
          <w:p>
            <w:pPr>
              <w:keepNext w:val="0"/>
              <w:pageBreakBefore w:val="0"/>
              <w:kinsoku/>
              <w:wordWrap/>
              <w:overflowPunct/>
              <w:topLinePunct w:val="0"/>
              <w:autoSpaceDE w:val="0"/>
              <w:autoSpaceDN w:val="0"/>
              <w:bidi w:val="0"/>
              <w:spacing w:beforeAutospacing="0" w:line="400" w:lineRule="exact"/>
              <w:jc w:val="center"/>
              <w:rPr>
                <w:rFonts w:hint="eastAsia" w:asciiTheme="minorEastAsia" w:hAnsiTheme="minorEastAsia" w:eastAsiaTheme="minorEastAsia" w:cstheme="minorEastAsia"/>
                <w:bCs/>
                <w:i/>
                <w:iCs/>
                <w:color w:val="FF0000"/>
                <w:kern w:val="2"/>
                <w:sz w:val="21"/>
                <w:szCs w:val="21"/>
                <w:highlight w:val="none"/>
                <w:lang w:val="en-US" w:eastAsia="zh-CN" w:bidi="ar-SA"/>
              </w:rPr>
            </w:pP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人力资源保障：按照拟投入的人力资源和拟建立的现场组织机构，编制现场组织机构图和机构设置说明，说明岗位名称和数量，阐述项目经理、安全负责人和一般维护人员的岗位职责，并说明人员安排情况。</w:t>
            </w:r>
          </w:p>
          <w:p>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报价人根据对比选文件的理解和对服务区域的熟悉程度,提出的有针对性的实施方案，方案要具有系统性、可行性 、可操作性、完整性，评标委员会对比各报价人的实施方案进行综合横向评价。各专家打分取算术平均值为该报价人技术部分得分，保留小数点后两位。</w:t>
            </w:r>
          </w:p>
          <w:p>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FF0000"/>
                <w:kern w:val="2"/>
                <w:sz w:val="21"/>
                <w:szCs w:val="21"/>
                <w:highlight w:val="none"/>
                <w:lang w:val="en-US" w:eastAsia="zh-CN" w:bidi="ar-SA"/>
              </w:rPr>
            </w:pPr>
            <w:r>
              <w:rPr>
                <w:rFonts w:hint="eastAsia" w:ascii="宋体" w:hAnsi="宋体" w:cs="宋体"/>
                <w:color w:val="auto"/>
                <w:kern w:val="0"/>
                <w:szCs w:val="21"/>
                <w:highlight w:val="none"/>
                <w:lang w:val="en-US" w:eastAsia="zh-CN"/>
              </w:rPr>
              <w:t>注：较好得8~10分，一般得6~8分，较差得0~6分，缺项得0分。</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pageBreakBefore w:val="0"/>
              <w:kinsoku/>
              <w:wordWrap/>
              <w:overflowPunct/>
              <w:topLinePunct w:val="0"/>
              <w:autoSpaceDE w:val="0"/>
              <w:autoSpaceDN w:val="0"/>
              <w:bidi w:val="0"/>
              <w:spacing w:beforeAutospacing="0" w:line="400" w:lineRule="exact"/>
              <w:jc w:val="center"/>
              <w:rPr>
                <w:rFonts w:hint="eastAsia" w:asciiTheme="minorEastAsia" w:hAnsiTheme="minorEastAsia" w:eastAsiaTheme="minorEastAsia" w:cstheme="minorEastAsia"/>
                <w:bCs/>
                <w:i/>
                <w:iCs/>
                <w:color w:val="FF0000"/>
                <w:kern w:val="2"/>
                <w:sz w:val="21"/>
                <w:szCs w:val="21"/>
                <w:highlight w:val="none"/>
                <w:lang w:val="en-US" w:eastAsia="zh-CN" w:bidi="ar-SA"/>
              </w:rPr>
            </w:pPr>
            <w:r>
              <w:rPr>
                <w:rFonts w:hint="eastAsia" w:ascii="宋体" w:hAnsi="宋体" w:cs="宋体"/>
                <w:b w:val="0"/>
                <w:bCs w:val="0"/>
                <w:color w:val="auto"/>
                <w:kern w:val="0"/>
                <w:szCs w:val="21"/>
                <w:highlight w:val="none"/>
                <w:lang w:val="en-US" w:eastAsia="zh-CN"/>
              </w:rPr>
              <w:t>维护实施方案（5分）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按照比选文件的要求，制定相应的运维质量管理措施，包括但不限于运维工作计划、故障维修响应时限、员工技能提升措施等。</w:t>
            </w:r>
          </w:p>
          <w:p>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报价人根据对比选文件的理解和对服务区域的熟悉程度,提出的有针对性的实施方案，方案要具有系统性、可行性 、可操作性、完整性，评标委员会对比各报价人的实施方案进行综合横向评价。各专家打分取算术平均值为该报价人技术部分得分，保留小数点后两位。</w:t>
            </w:r>
          </w:p>
          <w:p>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FF0000"/>
                <w:kern w:val="2"/>
                <w:sz w:val="21"/>
                <w:szCs w:val="21"/>
                <w:highlight w:val="none"/>
                <w:lang w:val="en-US" w:eastAsia="zh-CN" w:bidi="ar-SA"/>
              </w:rPr>
            </w:pPr>
            <w:r>
              <w:rPr>
                <w:rFonts w:hint="eastAsia" w:ascii="宋体" w:hAnsi="宋体" w:cs="宋体"/>
                <w:color w:val="auto"/>
                <w:kern w:val="0"/>
                <w:szCs w:val="21"/>
                <w:highlight w:val="none"/>
                <w:lang w:val="en-US" w:eastAsia="zh-CN"/>
              </w:rPr>
              <w:t>注：较好得4~5分，一般得3~4分，较差得0~3分，缺项得0分。</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pageBreakBefore w:val="0"/>
              <w:kinsoku/>
              <w:wordWrap/>
              <w:overflowPunct/>
              <w:topLinePunct w:val="0"/>
              <w:autoSpaceDE w:val="0"/>
              <w:autoSpaceDN w:val="0"/>
              <w:bidi w:val="0"/>
              <w:spacing w:beforeAutospacing="0" w:line="400" w:lineRule="exact"/>
              <w:jc w:val="center"/>
              <w:rPr>
                <w:rFonts w:hint="eastAsia" w:ascii="宋体" w:hAnsi="宋体" w:cs="宋体"/>
                <w:b/>
                <w:bCs/>
                <w:color w:val="FF0000"/>
                <w:kern w:val="0"/>
                <w:szCs w:val="21"/>
                <w:highlight w:val="none"/>
              </w:rPr>
            </w:pPr>
            <w:r>
              <w:rPr>
                <w:rFonts w:hint="eastAsia" w:ascii="宋体" w:hAnsi="宋体" w:cs="宋体"/>
                <w:b w:val="0"/>
                <w:bCs w:val="0"/>
                <w:color w:val="auto"/>
                <w:kern w:val="0"/>
                <w:szCs w:val="21"/>
                <w:highlight w:val="none"/>
                <w:lang w:val="en-US" w:eastAsia="zh-CN"/>
              </w:rPr>
              <w:t>安全生产保证措施（5分）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编制适用于本项目维护人员的安全生产管理体系建设方案、安全防护用品的投入方案、安全生产培训计划、实施过程中的安全保障措施。</w:t>
            </w:r>
          </w:p>
          <w:p>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报价人根据对比选文件的理解和对服务区域的熟悉程度,提出的有针对性的实施方案，方案要具有系统性、可行性 、可操作性、完整性，评标委员会对比各报价人的实施方案进行综合横向评价。各专家打分取算术平均值为该报价人技术部分得分，保留小数点后两位。</w:t>
            </w:r>
          </w:p>
          <w:p>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FF0000"/>
                <w:kern w:val="0"/>
                <w:szCs w:val="21"/>
                <w:highlight w:val="none"/>
              </w:rPr>
            </w:pPr>
            <w:r>
              <w:rPr>
                <w:rFonts w:hint="eastAsia" w:ascii="宋体" w:hAnsi="宋体" w:cs="宋体"/>
                <w:color w:val="auto"/>
                <w:kern w:val="0"/>
                <w:szCs w:val="21"/>
                <w:highlight w:val="none"/>
                <w:lang w:val="en-US" w:eastAsia="zh-CN"/>
              </w:rPr>
              <w:t>注：较好得4~5分，一般得3~4分，较差得0~3分，缺项得0分。</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7409" w:type="dxa"/>
            <w:gridSpan w:val="3"/>
            <w:tcBorders>
              <w:top w:val="single" w:color="auto" w:sz="4" w:space="0"/>
              <w:left w:val="single" w:color="auto" w:sz="4" w:space="0"/>
              <w:bottom w:val="single" w:color="auto" w:sz="4" w:space="0"/>
              <w:right w:val="single" w:color="auto" w:sz="4" w:space="0"/>
            </w:tcBorders>
            <w:vAlign w:val="center"/>
          </w:tcPr>
          <w:p>
            <w:pPr>
              <w:pStyle w:val="120"/>
              <w:keepNext w:val="0"/>
              <w:pageBreakBefore w:val="0"/>
              <w:kinsoku/>
              <w:wordWrap/>
              <w:overflowPunct/>
              <w:topLinePunct w:val="0"/>
              <w:bidi w:val="0"/>
              <w:adjustRightInd w:val="0"/>
              <w:spacing w:beforeAutospacing="0" w:line="400" w:lineRule="exact"/>
              <w:ind w:firstLine="422" w:firstLineChars="200"/>
              <w:textAlignment w:val="baseline"/>
              <w:rPr>
                <w:rFonts w:asciiTheme="minorEastAsia" w:hAnsiTheme="minorEastAsia" w:eastAsiaTheme="minorEastAsia" w:cstheme="minorEastAsia"/>
                <w:bCs/>
                <w:color w:val="auto"/>
                <w:szCs w:val="21"/>
                <w:highlight w:val="none"/>
              </w:rPr>
            </w:pPr>
            <w:r>
              <w:rPr>
                <w:rFonts w:hint="eastAsia" w:ascii="宋体" w:hAnsi="宋体" w:cs="宋体"/>
                <w:b/>
                <w:kern w:val="0"/>
                <w:szCs w:val="21"/>
                <w:highlight w:val="none"/>
              </w:rPr>
              <w:t>注：</w:t>
            </w:r>
            <w:r>
              <w:rPr>
                <w:rFonts w:hint="eastAsia" w:ascii="宋体" w:hAnsi="宋体" w:cs="宋体"/>
                <w:b/>
                <w:kern w:val="0"/>
                <w:szCs w:val="21"/>
                <w:highlight w:val="none"/>
                <w:lang w:val="en-US" w:eastAsia="zh-CN"/>
              </w:rPr>
              <w:t>报价</w:t>
            </w:r>
            <w:r>
              <w:rPr>
                <w:rFonts w:hint="eastAsia" w:ascii="宋体" w:hAnsi="宋体" w:cs="宋体"/>
                <w:b/>
                <w:kern w:val="0"/>
                <w:szCs w:val="21"/>
                <w:highlight w:val="none"/>
              </w:rPr>
              <w:t>人在</w:t>
            </w:r>
            <w:r>
              <w:rPr>
                <w:rFonts w:hint="eastAsia" w:ascii="宋体" w:hAnsi="宋体" w:cs="宋体"/>
                <w:b/>
                <w:kern w:val="0"/>
                <w:szCs w:val="21"/>
                <w:highlight w:val="none"/>
                <w:lang w:val="en-US" w:eastAsia="zh-CN"/>
              </w:rPr>
              <w:t>竞争性比选响应</w:t>
            </w:r>
            <w:r>
              <w:rPr>
                <w:rFonts w:hint="eastAsia" w:ascii="宋体" w:hAnsi="宋体" w:cs="宋体"/>
                <w:b/>
                <w:kern w:val="0"/>
                <w:szCs w:val="21"/>
                <w:highlight w:val="none"/>
              </w:rPr>
              <w:t>文件技术部分中自行编制其内容（格式自拟）并加盖</w:t>
            </w:r>
            <w:r>
              <w:rPr>
                <w:rFonts w:hint="eastAsia" w:ascii="宋体" w:hAnsi="宋体" w:cs="宋体"/>
                <w:b/>
                <w:kern w:val="0"/>
                <w:szCs w:val="21"/>
                <w:highlight w:val="none"/>
                <w:lang w:val="en-US" w:eastAsia="zh-CN"/>
              </w:rPr>
              <w:t>报价人</w:t>
            </w:r>
            <w:r>
              <w:rPr>
                <w:rFonts w:hint="eastAsia" w:ascii="宋体" w:hAnsi="宋体" w:cs="宋体"/>
                <w:b/>
                <w:kern w:val="0"/>
                <w:szCs w:val="21"/>
                <w:highlight w:val="none"/>
              </w:rPr>
              <w:t>公章。</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w:t>
            </w:r>
            <w:r>
              <w:rPr>
                <w:rFonts w:hint="eastAsia" w:asciiTheme="minorEastAsia" w:hAnsiTheme="minorEastAsia" w:eastAsiaTheme="minorEastAsia" w:cstheme="minorEastAsia"/>
                <w:bCs/>
                <w:color w:val="auto"/>
                <w:szCs w:val="21"/>
                <w:highlight w:val="none"/>
                <w:u w:val="none"/>
                <w:lang w:val="en-US" w:eastAsia="zh-CN" w:bidi="ar"/>
              </w:rPr>
              <w:t>10</w:t>
            </w:r>
            <w:r>
              <w:rPr>
                <w:rFonts w:hint="eastAsia" w:asciiTheme="minorEastAsia" w:hAnsiTheme="minorEastAsia" w:eastAsiaTheme="minorEastAsia" w:cstheme="minorEastAsia"/>
                <w:bCs/>
                <w:color w:val="auto"/>
                <w:szCs w:val="21"/>
                <w:highlight w:val="none"/>
                <w:lang w:bidi="ar"/>
              </w:rPr>
              <w:t>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pageBreakBefore w:val="0"/>
              <w:widowControl/>
              <w:kinsoku/>
              <w:wordWrap/>
              <w:overflowPunct/>
              <w:topLinePunct w:val="0"/>
              <w:bidi w:val="0"/>
              <w:spacing w:beforeAutospacing="0" w:line="400" w:lineRule="exact"/>
              <w:jc w:val="center"/>
              <w:textAlignment w:val="center"/>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sz w:val="21"/>
                <w:szCs w:val="21"/>
                <w:highlight w:val="none"/>
                <w:lang w:val="en-US" w:eastAsia="zh-CN"/>
              </w:rPr>
              <w:t>企业能力</w:t>
            </w:r>
            <w:r>
              <w:rPr>
                <w:rFonts w:hint="eastAsia" w:ascii="宋体" w:hAnsi="宋体"/>
                <w:sz w:val="21"/>
                <w:szCs w:val="21"/>
                <w:highlight w:val="none"/>
              </w:rPr>
              <w:t>（</w:t>
            </w:r>
            <w:r>
              <w:rPr>
                <w:rFonts w:hint="eastAsia" w:ascii="宋体" w:hAnsi="宋体"/>
                <w:sz w:val="21"/>
                <w:szCs w:val="21"/>
                <w:highlight w:val="none"/>
                <w:lang w:val="en-US" w:eastAsia="zh-CN"/>
              </w:rPr>
              <w:t>1</w:t>
            </w:r>
            <w:r>
              <w:rPr>
                <w:rFonts w:hint="eastAsia" w:ascii="宋体" w:hAnsi="宋体"/>
                <w:sz w:val="21"/>
                <w:szCs w:val="21"/>
                <w:highlight w:val="none"/>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lang w:eastAsia="zh-CN"/>
              </w:rPr>
              <w:t>）</w:t>
            </w:r>
            <w:r>
              <w:rPr>
                <w:rFonts w:hint="default" w:ascii="宋体" w:hAnsi="宋体" w:cs="宋体"/>
                <w:color w:val="auto"/>
                <w:szCs w:val="21"/>
                <w:highlight w:val="none"/>
                <w:lang w:eastAsia="zh-CN"/>
              </w:rPr>
              <w:t>满足最低资质要求得</w:t>
            </w:r>
            <w:r>
              <w:rPr>
                <w:rFonts w:hint="eastAsia" w:ascii="宋体" w:hAnsi="宋体" w:cs="宋体"/>
                <w:color w:val="auto"/>
                <w:szCs w:val="21"/>
                <w:highlight w:val="none"/>
                <w:lang w:val="en-US" w:eastAsia="zh-CN"/>
              </w:rPr>
              <w:t>0.5</w:t>
            </w:r>
            <w:r>
              <w:rPr>
                <w:rFonts w:hint="default" w:ascii="宋体" w:hAnsi="宋体" w:cs="宋体"/>
                <w:color w:val="auto"/>
                <w:szCs w:val="21"/>
                <w:highlight w:val="none"/>
                <w:lang w:eastAsia="zh-CN"/>
              </w:rPr>
              <w:t>分</w:t>
            </w:r>
            <w:r>
              <w:rPr>
                <w:rFonts w:hint="eastAsia" w:ascii="宋体" w:hAnsi="宋体" w:cs="宋体"/>
                <w:color w:val="auto"/>
                <w:szCs w:val="21"/>
                <w:highlight w:val="none"/>
                <w:lang w:eastAsia="zh-CN"/>
              </w:rPr>
              <w:t>。</w:t>
            </w:r>
          </w:p>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报价人在具备</w:t>
            </w:r>
            <w:r>
              <w:rPr>
                <w:rFonts w:hint="eastAsia" w:ascii="宋体" w:hAnsi="宋体" w:eastAsia="宋体" w:cs="宋体"/>
                <w:color w:val="auto"/>
                <w:szCs w:val="21"/>
                <w:highlight w:val="none"/>
              </w:rPr>
              <w:t>施工劳务企业资质</w:t>
            </w:r>
            <w:r>
              <w:rPr>
                <w:rFonts w:hint="eastAsia" w:ascii="宋体" w:hAnsi="宋体" w:eastAsia="宋体" w:cs="宋体"/>
                <w:color w:val="auto"/>
                <w:szCs w:val="21"/>
                <w:highlight w:val="none"/>
                <w:lang w:val="en-US" w:eastAsia="zh-CN"/>
              </w:rPr>
              <w:t>的基础上，取得</w:t>
            </w:r>
            <w:r>
              <w:rPr>
                <w:rFonts w:hint="eastAsia" w:ascii="宋体" w:hAnsi="宋体" w:eastAsia="宋体" w:cs="宋体"/>
                <w:color w:val="auto"/>
                <w:kern w:val="0"/>
                <w:szCs w:val="21"/>
                <w:highlight w:val="none"/>
              </w:rPr>
              <w:t>公路交通工程（公路机电工程）专业承包壹级</w:t>
            </w:r>
            <w:r>
              <w:rPr>
                <w:rFonts w:hint="eastAsia" w:ascii="宋体" w:hAnsi="宋体" w:cs="宋体"/>
                <w:color w:val="auto"/>
                <w:kern w:val="0"/>
                <w:szCs w:val="21"/>
                <w:highlight w:val="none"/>
              </w:rPr>
              <w:t>或建筑机电安装工程专业承包</w:t>
            </w:r>
            <w:r>
              <w:rPr>
                <w:rFonts w:hint="eastAsia" w:ascii="宋体" w:hAnsi="宋体" w:cs="宋体"/>
                <w:color w:val="auto"/>
                <w:kern w:val="0"/>
                <w:szCs w:val="21"/>
                <w:highlight w:val="none"/>
                <w:lang w:val="en-US" w:eastAsia="zh-CN"/>
              </w:rPr>
              <w:t>贰</w:t>
            </w:r>
            <w:r>
              <w:rPr>
                <w:rFonts w:hint="eastAsia" w:ascii="宋体" w:hAnsi="宋体" w:cs="宋体"/>
                <w:color w:val="auto"/>
                <w:kern w:val="0"/>
                <w:szCs w:val="21"/>
                <w:highlight w:val="none"/>
              </w:rPr>
              <w:t>级及以上资质</w:t>
            </w:r>
            <w:r>
              <w:rPr>
                <w:rFonts w:hint="eastAsia" w:ascii="宋体" w:hAnsi="宋体" w:eastAsia="宋体" w:cs="宋体"/>
                <w:color w:val="auto"/>
                <w:kern w:val="0"/>
                <w:szCs w:val="21"/>
                <w:highlight w:val="none"/>
                <w:lang w:val="en-US" w:eastAsia="zh-CN"/>
              </w:rPr>
              <w:t>，</w:t>
            </w:r>
            <w:r>
              <w:rPr>
                <w:rFonts w:hint="eastAsia" w:ascii="宋体" w:hAnsi="宋体" w:eastAsia="宋体"/>
                <w:color w:val="auto"/>
                <w:highlight w:val="none"/>
                <w:lang w:val="en-US" w:eastAsia="zh-CN"/>
              </w:rPr>
              <w:t>加</w:t>
            </w:r>
            <w:r>
              <w:rPr>
                <w:rFonts w:hint="eastAsia" w:ascii="宋体" w:hAnsi="宋体"/>
                <w:color w:val="auto"/>
                <w:highlight w:val="none"/>
                <w:lang w:val="en-US" w:eastAsia="zh-CN"/>
              </w:rPr>
              <w:t>0.5</w:t>
            </w:r>
            <w:r>
              <w:rPr>
                <w:rFonts w:hint="eastAsia" w:ascii="宋体" w:hAnsi="宋体" w:eastAsia="宋体"/>
                <w:color w:val="auto"/>
                <w:highlight w:val="none"/>
                <w:lang w:val="en-US" w:eastAsia="zh-CN"/>
              </w:rPr>
              <w:t>分，最多加</w:t>
            </w:r>
            <w:r>
              <w:rPr>
                <w:rFonts w:hint="eastAsia" w:ascii="宋体" w:hAnsi="宋体"/>
                <w:color w:val="auto"/>
                <w:highlight w:val="none"/>
                <w:lang w:val="en-US" w:eastAsia="zh-CN"/>
              </w:rPr>
              <w:t>0.5</w:t>
            </w:r>
            <w:r>
              <w:rPr>
                <w:rFonts w:hint="eastAsia" w:ascii="宋体" w:hAnsi="宋体" w:eastAsia="宋体"/>
                <w:color w:val="auto"/>
                <w:highlight w:val="none"/>
                <w:lang w:val="en-US" w:eastAsia="zh-CN"/>
              </w:rPr>
              <w:t>分。</w:t>
            </w:r>
          </w:p>
          <w:p>
            <w:pPr>
              <w:keepNext w:val="0"/>
              <w:pageBreakBefore w:val="0"/>
              <w:kinsoku/>
              <w:wordWrap/>
              <w:overflowPunct/>
              <w:topLinePunct w:val="0"/>
              <w:bidi w:val="0"/>
              <w:spacing w:beforeAutospacing="0" w:line="400" w:lineRule="exact"/>
              <w:ind w:firstLine="420" w:firstLineChars="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b/>
                <w:bCs/>
                <w:color w:val="auto"/>
                <w:kern w:val="0"/>
                <w:szCs w:val="21"/>
                <w:highlight w:val="none"/>
              </w:rPr>
              <w:t>注：</w:t>
            </w:r>
            <w:r>
              <w:rPr>
                <w:rFonts w:hint="default" w:ascii="宋体" w:hAnsi="宋体" w:cs="宋体"/>
                <w:b/>
                <w:bCs/>
                <w:color w:val="auto"/>
                <w:kern w:val="0"/>
                <w:szCs w:val="21"/>
                <w:highlight w:val="none"/>
              </w:rPr>
              <w:t>提供</w:t>
            </w:r>
            <w:r>
              <w:rPr>
                <w:rFonts w:hint="eastAsia" w:ascii="宋体" w:hAnsi="宋体" w:eastAsia="宋体" w:cs="宋体"/>
                <w:b/>
                <w:bCs/>
                <w:color w:val="auto"/>
                <w:kern w:val="0"/>
                <w:szCs w:val="21"/>
                <w:highlight w:val="none"/>
              </w:rPr>
              <w:t>有效资质证书复印件须加盖报价人公章。</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bidi w:val="0"/>
              <w:spacing w:line="32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cs="宋体"/>
                <w:color w:val="auto"/>
                <w:szCs w:val="21"/>
                <w:highlight w:val="none"/>
                <w:lang w:val="en-US" w:eastAsia="zh-CN"/>
              </w:rPr>
              <w:t>业绩要求</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8</w:t>
            </w:r>
            <w:r>
              <w:rPr>
                <w:rFonts w:hint="default" w:ascii="宋体" w:hAnsi="宋体" w:eastAsia="宋体" w:cs="宋体"/>
                <w:color w:val="auto"/>
                <w:szCs w:val="21"/>
                <w:highlight w:val="none"/>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lang w:eastAsia="zh-CN"/>
              </w:rPr>
              <w:t>）报价人满足资格要求基础业绩条件得</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lang w:eastAsia="zh-CN"/>
              </w:rPr>
              <w:t>分：</w:t>
            </w:r>
          </w:p>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leftChars="0" w:right="0" w:rightChars="0" w:firstLine="420" w:firstLineChars="200"/>
              <w:jc w:val="left"/>
              <w:rPr>
                <w:rFonts w:hint="eastAsia" w:ascii="宋体" w:hAnsi="宋体" w:cs="宋体"/>
                <w:color w:val="auto"/>
                <w:szCs w:val="21"/>
                <w:highlight w:val="none"/>
                <w:lang w:val="en-US" w:eastAsia="zh-CN"/>
              </w:rPr>
            </w:pP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2</w:t>
            </w:r>
            <w:r>
              <w:rPr>
                <w:rFonts w:hint="eastAsia" w:ascii="宋体" w:hAnsi="宋体" w:eastAsia="宋体" w:cs="宋体"/>
                <w:color w:val="auto"/>
                <w:kern w:val="2"/>
                <w:sz w:val="21"/>
                <w:szCs w:val="21"/>
                <w:lang w:val="en-US" w:eastAsia="zh-CN" w:bidi="ar-SA"/>
              </w:rPr>
              <w:t>）报价人在2022年1月1日至投标截止日(以合同签订时间为准）每额外具有一项合同额超过</w:t>
            </w:r>
            <w:r>
              <w:rPr>
                <w:rFonts w:hint="eastAsia" w:ascii="宋体" w:hAnsi="宋体" w:cs="宋体"/>
                <w:color w:val="auto"/>
                <w:kern w:val="2"/>
                <w:sz w:val="21"/>
                <w:szCs w:val="21"/>
                <w:lang w:val="en-US" w:eastAsia="zh-CN" w:bidi="ar-SA"/>
              </w:rPr>
              <w:t>80</w:t>
            </w:r>
            <w:r>
              <w:rPr>
                <w:rFonts w:hint="eastAsia" w:ascii="宋体" w:hAnsi="宋体" w:eastAsia="宋体" w:cs="宋体"/>
                <w:color w:val="auto"/>
                <w:kern w:val="2"/>
                <w:sz w:val="21"/>
                <w:szCs w:val="21"/>
                <w:lang w:val="en-US" w:eastAsia="zh-CN" w:bidi="ar-SA"/>
              </w:rPr>
              <w:t>万元及以上的高速公路</w:t>
            </w:r>
            <w:r>
              <w:rPr>
                <w:rFonts w:hint="eastAsia" w:ascii="宋体" w:hAnsi="宋体" w:cs="宋体"/>
                <w:color w:val="auto"/>
                <w:kern w:val="2"/>
                <w:sz w:val="21"/>
                <w:szCs w:val="21"/>
                <w:lang w:val="en-US" w:eastAsia="zh-CN" w:bidi="ar-SA"/>
              </w:rPr>
              <w:t>维护</w:t>
            </w:r>
            <w:r>
              <w:rPr>
                <w:rFonts w:hint="eastAsia" w:ascii="宋体" w:hAnsi="宋体" w:eastAsia="宋体" w:cs="宋体"/>
                <w:color w:val="auto"/>
                <w:kern w:val="2"/>
                <w:sz w:val="21"/>
                <w:szCs w:val="21"/>
                <w:lang w:val="en-US" w:eastAsia="zh-CN" w:bidi="ar-SA"/>
              </w:rPr>
              <w:t>业绩得1分，满分2分</w:t>
            </w:r>
            <w:r>
              <w:rPr>
                <w:rFonts w:hint="eastAsia" w:ascii="宋体" w:hAnsi="宋体" w:cs="宋体"/>
                <w:color w:val="auto"/>
                <w:szCs w:val="21"/>
                <w:highlight w:val="none"/>
                <w:lang w:val="en-US" w:eastAsia="zh-CN"/>
              </w:rPr>
              <w:t>。</w:t>
            </w:r>
          </w:p>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leftChars="0" w:right="0" w:rightChars="0" w:firstLine="420" w:firstLineChars="200"/>
              <w:jc w:val="left"/>
              <w:rPr>
                <w:rFonts w:hint="eastAsia" w:ascii="宋体" w:hAnsi="宋体" w:cs="宋体"/>
                <w:color w:val="auto"/>
                <w:szCs w:val="21"/>
                <w:highlight w:val="none"/>
                <w:lang w:val="en-US" w:eastAsia="zh-CN"/>
              </w:rPr>
            </w:pP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3</w:t>
            </w:r>
            <w:r>
              <w:rPr>
                <w:rFonts w:hint="eastAsia" w:ascii="宋体" w:hAnsi="宋体" w:eastAsia="宋体" w:cs="宋体"/>
                <w:color w:val="auto"/>
                <w:kern w:val="2"/>
                <w:sz w:val="21"/>
                <w:szCs w:val="21"/>
                <w:lang w:val="en-US" w:eastAsia="zh-CN" w:bidi="ar-SA"/>
              </w:rPr>
              <w:t>）</w:t>
            </w:r>
            <w:r>
              <w:rPr>
                <w:rFonts w:hint="eastAsia" w:ascii="宋体" w:hAnsi="宋体" w:eastAsia="宋体" w:cs="宋体"/>
                <w:color w:val="auto"/>
                <w:szCs w:val="21"/>
                <w:highlight w:val="none"/>
                <w:lang w:eastAsia="zh-CN"/>
              </w:rPr>
              <w:t>每报价人在2022年1月1日至投标截止日(以合同签订时间为准）每额外具有一项合同额超过80万元及以上的</w:t>
            </w:r>
            <w:r>
              <w:rPr>
                <w:rFonts w:hint="eastAsia" w:ascii="宋体" w:hAnsi="宋体" w:cs="宋体"/>
                <w:color w:val="auto"/>
                <w:szCs w:val="21"/>
                <w:highlight w:val="none"/>
                <w:lang w:val="en-US" w:eastAsia="zh-CN"/>
              </w:rPr>
              <w:t>重庆</w:t>
            </w:r>
            <w:r>
              <w:rPr>
                <w:rFonts w:hint="eastAsia" w:ascii="宋体" w:hAnsi="宋体" w:eastAsia="宋体" w:cs="宋体"/>
                <w:color w:val="auto"/>
                <w:szCs w:val="21"/>
                <w:highlight w:val="none"/>
                <w:lang w:eastAsia="zh-CN"/>
              </w:rPr>
              <w:t>高速公路维护业绩得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eastAsia="zh-CN"/>
              </w:rPr>
              <w:t>分，满分</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eastAsia="zh-CN"/>
              </w:rPr>
              <w:t>分</w:t>
            </w:r>
            <w:r>
              <w:rPr>
                <w:rFonts w:hint="eastAsia" w:ascii="宋体" w:hAnsi="宋体" w:cs="宋体"/>
                <w:color w:val="auto"/>
                <w:szCs w:val="21"/>
                <w:highlight w:val="none"/>
                <w:lang w:val="en-US" w:eastAsia="zh-CN"/>
              </w:rPr>
              <w:t>。</w:t>
            </w:r>
          </w:p>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leftChars="0" w:right="0" w:rightChars="0" w:firstLine="420" w:firstLineChars="200"/>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上述第（2）、（3）项累计满分为4分，加满为止。</w:t>
            </w:r>
          </w:p>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leftChars="0" w:right="0" w:rightChars="0" w:firstLine="420" w:firstLineChars="200"/>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注：1.合同业绩不重复计算。</w:t>
            </w:r>
          </w:p>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leftChars="0" w:right="0" w:rightChars="0" w:firstLine="420" w:firstLineChars="200"/>
              <w:jc w:val="left"/>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2.提供合同复印件、验收报告、结算发票复印件（发票金额不得低于业绩要求金额）并加盖报价人公章。</w:t>
            </w:r>
          </w:p>
          <w:p>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leftChars="0" w:right="0" w:rightChars="0" w:firstLine="420"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cs="宋体"/>
                <w:color w:val="auto"/>
                <w:szCs w:val="21"/>
                <w:highlight w:val="none"/>
                <w:lang w:val="en-US" w:eastAsia="zh-CN"/>
              </w:rPr>
              <w:t>3.合同复印件并加盖报价人公章（合同需清晰反映上述业绩要求的主要内容，包括但不限于合同首尾页、签章页、金额页等，需能充分体现以上业绩要求各项要素），合同原件备查。</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pPr>
              <w:keepNext w:val="0"/>
              <w:pageBreakBefore w:val="0"/>
              <w:widowControl/>
              <w:kinsoku/>
              <w:wordWrap/>
              <w:overflowPunct/>
              <w:topLinePunct w:val="0"/>
              <w:bidi w:val="0"/>
              <w:spacing w:beforeAutospacing="0" w:line="400" w:lineRule="exact"/>
              <w:jc w:val="center"/>
              <w:textAlignment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cs="宋体"/>
                <w:color w:val="auto"/>
                <w:kern w:val="0"/>
                <w:szCs w:val="21"/>
                <w:highlight w:val="none"/>
                <w:lang w:val="en-US" w:eastAsia="zh-CN"/>
              </w:rPr>
              <w:t>财务要求（1分）</w:t>
            </w:r>
          </w:p>
        </w:tc>
        <w:tc>
          <w:tcPr>
            <w:tcW w:w="6280" w:type="dxa"/>
            <w:gridSpan w:val="2"/>
            <w:tcBorders>
              <w:top w:val="single" w:color="auto" w:sz="4" w:space="0"/>
              <w:left w:val="single" w:color="auto" w:sz="4" w:space="0"/>
              <w:bottom w:val="single" w:color="auto" w:sz="4" w:space="0"/>
            </w:tcBorders>
            <w:vAlign w:val="center"/>
          </w:tcPr>
          <w:p>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年经营状况良好，3年均不亏损得</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分，其余情况不得分。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asciiTheme="minorEastAsia" w:hAnsiTheme="minorEastAsia" w:eastAsiaTheme="minorEastAsia" w:cstheme="minorEastAsia"/>
                <w:bCs/>
                <w:color w:val="auto"/>
                <w:szCs w:val="21"/>
                <w:highlight w:val="none"/>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、2023、202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w:t>
            </w:r>
            <w:r>
              <w:rPr>
                <w:rFonts w:hint="eastAsia" w:asciiTheme="minorEastAsia" w:hAnsiTheme="minorEastAsia" w:eastAsiaTheme="minorEastAsia" w:cstheme="minorEastAsia"/>
                <w:bCs/>
                <w:color w:val="auto"/>
                <w:kern w:val="2"/>
                <w:sz w:val="21"/>
                <w:szCs w:val="21"/>
                <w:highlight w:val="none"/>
                <w:lang w:val="en-US" w:eastAsia="zh-CN" w:bidi="ar"/>
              </w:rPr>
              <w:t>70</w:t>
            </w:r>
            <w:r>
              <w:rPr>
                <w:rFonts w:hint="eastAsia" w:asciiTheme="minorEastAsia" w:hAnsiTheme="minorEastAsia" w:eastAsiaTheme="minorEastAsia" w:cstheme="minorEastAsia"/>
                <w:bCs/>
                <w:color w:val="auto"/>
                <w:kern w:val="2"/>
                <w:sz w:val="21"/>
                <w:szCs w:val="21"/>
                <w:highlight w:val="none"/>
                <w:lang w:bidi="ar"/>
              </w:rPr>
              <w:t>分）</w:t>
            </w:r>
          </w:p>
        </w:tc>
        <w:tc>
          <w:tcPr>
            <w:tcW w:w="1129" w:type="dxa"/>
            <w:tcBorders>
              <w:top w:val="single" w:color="auto" w:sz="4" w:space="0"/>
              <w:left w:val="single" w:color="auto" w:sz="4" w:space="0"/>
              <w:right w:val="single" w:color="auto" w:sz="4" w:space="0"/>
            </w:tcBorders>
            <w:vAlign w:val="center"/>
          </w:tcPr>
          <w:p>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w:t>
            </w:r>
            <w:r>
              <w:rPr>
                <w:rFonts w:hint="eastAsia" w:asciiTheme="minorEastAsia" w:hAnsiTheme="minorEastAsia" w:eastAsiaTheme="minorEastAsia" w:cstheme="minorEastAsia"/>
                <w:color w:val="auto"/>
                <w:kern w:val="2"/>
                <w:sz w:val="21"/>
                <w:szCs w:val="21"/>
                <w:highlight w:val="none"/>
                <w:lang w:val="en-US" w:eastAsia="zh-CN"/>
              </w:rPr>
              <w:t>70</w:t>
            </w:r>
            <w:r>
              <w:rPr>
                <w:rFonts w:hint="eastAsia" w:asciiTheme="minorEastAsia" w:hAnsiTheme="minorEastAsia" w:eastAsiaTheme="minorEastAsia" w:cstheme="minorEastAsia"/>
                <w:color w:val="auto"/>
                <w:kern w:val="2"/>
                <w:sz w:val="21"/>
                <w:szCs w:val="21"/>
                <w:highlight w:val="none"/>
              </w:rPr>
              <w:t>分，然后与评标基准价相比较，每上浮1%扣</w:t>
            </w:r>
            <w:r>
              <w:rPr>
                <w:rFonts w:hint="default"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rPr>
              <w:t>分，每下浮1%扣0.</w:t>
            </w:r>
            <w:r>
              <w:rPr>
                <w:rFonts w:hint="default" w:asciiTheme="minorEastAsia" w:hAnsiTheme="minorEastAsia" w:eastAsiaTheme="minorEastAsia" w:cstheme="minorEastAsia"/>
                <w:color w:val="auto"/>
                <w:kern w:val="2"/>
                <w:sz w:val="21"/>
                <w:szCs w:val="21"/>
                <w:highlight w:val="none"/>
              </w:rPr>
              <w:t>5</w:t>
            </w:r>
            <w:r>
              <w:rPr>
                <w:rFonts w:hint="eastAsia" w:asciiTheme="minorEastAsia" w:hAnsiTheme="minorEastAsia" w:eastAsiaTheme="minorEastAsia" w:cstheme="minorEastAsia"/>
                <w:color w:val="auto"/>
                <w:kern w:val="2"/>
                <w:sz w:val="21"/>
                <w:szCs w:val="21"/>
                <w:highlight w:val="none"/>
              </w:rPr>
              <w:t>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pPr>
        <w:rPr>
          <w:color w:val="auto"/>
          <w:highlight w:val="none"/>
        </w:rPr>
      </w:pPr>
    </w:p>
    <w:p>
      <w:pPr>
        <w:rPr>
          <w:rFonts w:hint="eastAsia" w:ascii="宋体" w:hAnsi="宋体" w:cs="宋体"/>
          <w:color w:val="auto"/>
          <w:szCs w:val="21"/>
          <w:highlight w:val="none"/>
        </w:rPr>
      </w:pPr>
      <w:r>
        <w:rPr>
          <w:rFonts w:hint="eastAsia" w:ascii="宋体" w:hAnsi="宋体" w:cs="宋体"/>
          <w:color w:val="auto"/>
          <w:szCs w:val="21"/>
          <w:highlight w:val="none"/>
        </w:rPr>
        <w:br w:type="page"/>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50" w:name="_Toc25176"/>
      <w:bookmarkStart w:id="151" w:name="_Toc19268"/>
      <w:bookmarkStart w:id="152" w:name="_Toc19953"/>
      <w:bookmarkStart w:id="153" w:name="_Toc9238"/>
      <w:bookmarkStart w:id="154" w:name="_Toc26037"/>
      <w:r>
        <w:rPr>
          <w:rFonts w:hint="eastAsia" w:ascii="宋体" w:hAnsi="宋体" w:cs="宋体"/>
          <w:color w:val="auto"/>
          <w:szCs w:val="21"/>
          <w:highlight w:val="none"/>
        </w:rPr>
        <w:t>1.  评标方法</w:t>
      </w:r>
      <w:bookmarkEnd w:id="150"/>
      <w:bookmarkEnd w:id="151"/>
      <w:bookmarkEnd w:id="152"/>
      <w:bookmarkEnd w:id="153"/>
      <w:bookmarkEnd w:id="154"/>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55" w:name="_Toc11425"/>
      <w:bookmarkStart w:id="156" w:name="_Toc31759"/>
      <w:bookmarkStart w:id="157" w:name="_Toc6480"/>
      <w:bookmarkStart w:id="158" w:name="_Toc8753"/>
      <w:bookmarkStart w:id="159" w:name="_Toc22200"/>
      <w:r>
        <w:rPr>
          <w:rFonts w:hint="eastAsia" w:ascii="宋体" w:hAnsi="宋体" w:cs="宋体"/>
          <w:color w:val="auto"/>
          <w:szCs w:val="21"/>
          <w:highlight w:val="none"/>
        </w:rPr>
        <w:t>2.  评审标准</w:t>
      </w:r>
      <w:bookmarkEnd w:id="155"/>
      <w:bookmarkEnd w:id="156"/>
      <w:bookmarkEnd w:id="157"/>
      <w:bookmarkEnd w:id="158"/>
      <w:bookmarkEnd w:id="159"/>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0" w:name="_Toc23638"/>
      <w:bookmarkStart w:id="161" w:name="_Toc13081"/>
      <w:bookmarkStart w:id="162" w:name="_Toc11564"/>
      <w:bookmarkStart w:id="163" w:name="_Toc8345"/>
      <w:bookmarkStart w:id="164" w:name="_Toc5245"/>
      <w:r>
        <w:rPr>
          <w:rFonts w:hint="eastAsia" w:ascii="宋体" w:hAnsi="宋体" w:cs="宋体"/>
          <w:color w:val="auto"/>
          <w:szCs w:val="21"/>
          <w:highlight w:val="none"/>
        </w:rPr>
        <w:t>3.  评标程序</w:t>
      </w:r>
      <w:bookmarkEnd w:id="160"/>
      <w:bookmarkEnd w:id="161"/>
      <w:bookmarkEnd w:id="162"/>
      <w:bookmarkEnd w:id="163"/>
      <w:bookmarkEnd w:id="164"/>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pPr>
        <w:pStyle w:val="16"/>
        <w:spacing w:before="76" w:line="355" w:lineRule="auto"/>
        <w:jc w:val="center"/>
        <w:rPr>
          <w:rFonts w:hint="eastAsia" w:ascii="宋体" w:hAnsi="宋体" w:cs="宋体"/>
          <w:color w:val="auto"/>
          <w:szCs w:val="21"/>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pPr>
        <w:pStyle w:val="16"/>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65" w:name="_Toc20382"/>
      <w:r>
        <w:rPr>
          <w:rStyle w:val="82"/>
          <w:rFonts w:hint="eastAsia"/>
          <w:b/>
          <w:bCs/>
          <w:color w:val="auto"/>
          <w:highlight w:val="none"/>
        </w:rPr>
        <w:t>第四章 报价说明</w:t>
      </w:r>
      <w:bookmarkEnd w:id="165"/>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17、报价人提供的材料设备需在报价清单中明确品牌及型号，且报价人提供的设备质保期为2年，自本项目</w:t>
      </w:r>
      <w:r>
        <w:rPr>
          <w:rFonts w:hint="eastAsia" w:ascii="宋体" w:hAnsi="宋体" w:cs="宋体"/>
          <w:b w:val="0"/>
          <w:bCs w:val="0"/>
          <w:color w:val="auto"/>
          <w:sz w:val="21"/>
          <w:szCs w:val="21"/>
          <w:highlight w:val="none"/>
          <w:lang w:val="en-US" w:eastAsia="zh-CN"/>
        </w:rPr>
        <w:t>竣工</w:t>
      </w:r>
      <w:r>
        <w:rPr>
          <w:rFonts w:hint="eastAsia" w:ascii="宋体" w:hAnsi="宋体" w:eastAsia="宋体" w:cs="宋体"/>
          <w:b w:val="0"/>
          <w:bCs w:val="0"/>
          <w:color w:val="auto"/>
          <w:sz w:val="21"/>
          <w:szCs w:val="21"/>
          <w:highlight w:val="none"/>
          <w:lang w:val="en-US" w:eastAsia="zh-CN"/>
        </w:rPr>
        <w:t>验收合格之日起计算。</w:t>
      </w:r>
    </w:p>
    <w:p>
      <w:pPr>
        <w:rPr>
          <w:rFonts w:hint="eastAsia" w:ascii="宋体" w:hAnsi="宋体" w:cs="宋体"/>
          <w:b w:val="0"/>
          <w:bCs w:val="0"/>
          <w:color w:val="auto"/>
          <w:sz w:val="21"/>
          <w:szCs w:val="21"/>
          <w:highlight w:val="none"/>
        </w:rPr>
      </w:pPr>
    </w:p>
    <w:p>
      <w:pPr>
        <w:pStyle w:val="28"/>
        <w:rPr>
          <w:rFonts w:hint="eastAsia"/>
          <w:color w:val="auto"/>
          <w:highlight w:val="none"/>
        </w:rPr>
      </w:pPr>
    </w:p>
    <w:p>
      <w:pPr>
        <w:rPr>
          <w:rFonts w:hint="eastAsia" w:ascii="宋体" w:hAnsi="宋体" w:cs="宋体"/>
          <w:b w:val="0"/>
          <w:bCs w:val="0"/>
          <w:color w:val="auto"/>
          <w:sz w:val="21"/>
          <w:szCs w:val="21"/>
          <w:highlight w:val="none"/>
        </w:rPr>
      </w:pPr>
    </w:p>
    <w:p>
      <w:pPr>
        <w:pStyle w:val="28"/>
        <w:rPr>
          <w:rFonts w:hint="eastAsia" w:ascii="宋体" w:hAnsi="宋体" w:cs="宋体"/>
          <w:b w:val="0"/>
          <w:bCs w:val="0"/>
          <w:color w:val="auto"/>
          <w:sz w:val="21"/>
          <w:szCs w:val="21"/>
          <w:highlight w:val="none"/>
        </w:rPr>
      </w:pPr>
    </w:p>
    <w:p>
      <w:pPr>
        <w:rPr>
          <w:rFonts w:hint="eastAsia" w:ascii="宋体" w:hAnsi="宋体" w:cs="宋体"/>
          <w:b w:val="0"/>
          <w:bCs w:val="0"/>
          <w:color w:val="auto"/>
          <w:sz w:val="21"/>
          <w:szCs w:val="21"/>
          <w:highlight w:val="none"/>
        </w:rPr>
      </w:pPr>
    </w:p>
    <w:p>
      <w:pPr>
        <w:pStyle w:val="28"/>
        <w:rPr>
          <w:rFonts w:hint="eastAsia" w:ascii="宋体" w:hAnsi="宋体" w:cs="宋体"/>
          <w:b w:val="0"/>
          <w:bCs w:val="0"/>
          <w:color w:val="auto"/>
          <w:sz w:val="21"/>
          <w:szCs w:val="21"/>
          <w:highlight w:val="none"/>
        </w:rPr>
      </w:pPr>
    </w:p>
    <w:p>
      <w:pPr>
        <w:rPr>
          <w:rFonts w:hint="eastAsia" w:ascii="宋体" w:hAnsi="宋体" w:cs="宋体"/>
          <w:b w:val="0"/>
          <w:bCs w:val="0"/>
          <w:color w:val="auto"/>
          <w:sz w:val="21"/>
          <w:szCs w:val="21"/>
          <w:highlight w:val="none"/>
        </w:rPr>
      </w:pPr>
    </w:p>
    <w:p>
      <w:pPr>
        <w:pStyle w:val="28"/>
        <w:rPr>
          <w:rFonts w:hint="eastAsia" w:ascii="宋体" w:hAnsi="宋体" w:cs="宋体"/>
          <w:b w:val="0"/>
          <w:bCs w:val="0"/>
          <w:color w:val="auto"/>
          <w:sz w:val="21"/>
          <w:szCs w:val="21"/>
          <w:highlight w:val="none"/>
        </w:rPr>
      </w:pPr>
    </w:p>
    <w:p>
      <w:pPr>
        <w:spacing w:before="0" w:after="0" w:line="360" w:lineRule="auto"/>
        <w:jc w:val="center"/>
        <w:rPr>
          <w:rFonts w:hint="eastAsia" w:ascii="宋体" w:hAnsi="宋体" w:cs="宋体"/>
          <w:color w:val="auto"/>
          <w:highlight w:val="none"/>
        </w:rPr>
      </w:pPr>
      <w:bookmarkStart w:id="166" w:name="_Toc246997083"/>
      <w:bookmarkStart w:id="167" w:name="_Toc247085855"/>
      <w:bookmarkStart w:id="168" w:name="_Toc179632789"/>
      <w:bookmarkStart w:id="169" w:name="_Toc152042554"/>
      <w:bookmarkStart w:id="170" w:name="_Toc144974834"/>
      <w:bookmarkStart w:id="171" w:name="_Toc152045772"/>
      <w:bookmarkStart w:id="172" w:name="_Toc246996340"/>
      <w:bookmarkStart w:id="173" w:name="_Toc514858705"/>
      <w:bookmarkStart w:id="174" w:name="_Toc2000409"/>
      <w:bookmarkStart w:id="175" w:name="_Toc152045786"/>
      <w:bookmarkStart w:id="176" w:name="_Toc247085872"/>
      <w:bookmarkStart w:id="177" w:name="_Toc152042575"/>
      <w:bookmarkStart w:id="178" w:name="_Toc246997097"/>
      <w:bookmarkStart w:id="179" w:name="_Toc144974855"/>
      <w:bookmarkStart w:id="180" w:name="_Toc179632806"/>
      <w:bookmarkStart w:id="181" w:name="_Toc246996354"/>
      <w:r>
        <w:rPr>
          <w:rFonts w:hint="eastAsia" w:ascii="宋体" w:hAnsi="宋体" w:cs="宋体"/>
          <w:color w:val="auto"/>
          <w:highlight w:val="none"/>
        </w:rPr>
        <w:br w:type="page"/>
      </w:r>
    </w:p>
    <w:p>
      <w:pPr>
        <w:pStyle w:val="2"/>
        <w:spacing w:before="0" w:after="0" w:line="360" w:lineRule="auto"/>
        <w:jc w:val="center"/>
        <w:rPr>
          <w:rFonts w:ascii="宋体" w:hAnsi="宋体" w:cs="宋体"/>
          <w:color w:val="auto"/>
          <w:highlight w:val="none"/>
        </w:rPr>
      </w:pPr>
      <w:bookmarkStart w:id="182" w:name="_Toc2726"/>
      <w:r>
        <w:rPr>
          <w:rFonts w:hint="eastAsia" w:ascii="宋体" w:hAnsi="宋体" w:cs="宋体"/>
          <w:color w:val="auto"/>
          <w:highlight w:val="none"/>
        </w:rPr>
        <w:t>第五章  工程量清单</w:t>
      </w:r>
      <w:bookmarkEnd w:id="166"/>
      <w:bookmarkEnd w:id="167"/>
      <w:bookmarkEnd w:id="168"/>
      <w:bookmarkEnd w:id="169"/>
      <w:bookmarkEnd w:id="170"/>
      <w:bookmarkEnd w:id="171"/>
      <w:bookmarkEnd w:id="172"/>
      <w:bookmarkEnd w:id="173"/>
      <w:bookmarkEnd w:id="174"/>
      <w:bookmarkEnd w:id="182"/>
    </w:p>
    <w:p>
      <w:pPr>
        <w:jc w:val="center"/>
        <w:rPr>
          <w:rFonts w:hint="default" w:ascii="宋体" w:hAnsi="宋体" w:eastAsia="宋体" w:cs="宋体"/>
          <w:b/>
          <w:color w:val="auto"/>
          <w:highlight w:val="none"/>
          <w:lang w:val="en-US" w:eastAsia="zh-CN"/>
        </w:rPr>
      </w:pPr>
      <w:bookmarkStart w:id="183" w:name="_Toc152045782"/>
      <w:bookmarkStart w:id="184" w:name="_Toc246996350"/>
      <w:bookmarkStart w:id="185" w:name="_Toc247096438"/>
      <w:bookmarkStart w:id="186" w:name="_Toc447827048"/>
      <w:bookmarkStart w:id="187" w:name="_Toc503951042"/>
      <w:bookmarkStart w:id="188" w:name="_Toc514858706"/>
      <w:bookmarkStart w:id="189" w:name="_Toc144974851"/>
      <w:bookmarkStart w:id="190" w:name="_Toc179632800"/>
      <w:bookmarkStart w:id="191" w:name="_Toc2000410"/>
      <w:bookmarkStart w:id="192" w:name="_Toc246997093"/>
      <w:bookmarkStart w:id="193" w:name="_Toc513633963"/>
      <w:bookmarkStart w:id="194" w:name="_Toc247085866"/>
      <w:bookmarkStart w:id="195" w:name="_Toc152042571"/>
      <w:r>
        <w:rPr>
          <w:rFonts w:hint="eastAsia" w:ascii="宋体" w:hAnsi="宋体" w:cs="宋体"/>
          <w:b/>
          <w:color w:val="auto"/>
          <w:highlight w:val="none"/>
          <w:lang w:val="en-US" w:eastAsia="zh-CN"/>
        </w:rPr>
        <w:t>详情见附件清单。</w:t>
      </w: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6"/>
        <w:rPr>
          <w:rFonts w:hint="eastAsia" w:ascii="宋体" w:hAnsi="宋体" w:cs="宋体"/>
          <w:b/>
          <w:color w:val="auto"/>
          <w:kern w:val="0"/>
          <w:sz w:val="24"/>
          <w:highlight w:val="none"/>
        </w:rPr>
      </w:pPr>
    </w:p>
    <w:p>
      <w:pPr>
        <w:rPr>
          <w:rFonts w:hint="eastAsia"/>
          <w:color w:val="auto"/>
          <w:highlight w:val="none"/>
        </w:rPr>
      </w:pPr>
    </w:p>
    <w:p>
      <w:pPr>
        <w:pStyle w:val="2"/>
        <w:spacing w:before="0" w:after="0" w:line="360" w:lineRule="auto"/>
        <w:jc w:val="center"/>
        <w:rPr>
          <w:rFonts w:ascii="宋体" w:hAnsi="宋体" w:cs="宋体"/>
          <w:color w:val="auto"/>
          <w:highlight w:val="none"/>
        </w:rPr>
      </w:pPr>
      <w:bookmarkStart w:id="196" w:name="_Toc32056"/>
      <w:r>
        <w:rPr>
          <w:rFonts w:hint="eastAsia" w:ascii="宋体" w:hAnsi="宋体" w:cs="宋体"/>
          <w:color w:val="auto"/>
          <w:highlight w:val="none"/>
        </w:rPr>
        <w:t>第六章  图  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pPr>
        <w:jc w:val="center"/>
        <w:rPr>
          <w:rFonts w:hint="eastAsia" w:ascii="宋体" w:hAnsi="宋体" w:cs="宋体"/>
          <w:b/>
          <w:color w:val="auto"/>
          <w:highlight w:val="none"/>
        </w:rPr>
      </w:pPr>
      <w:bookmarkStart w:id="197" w:name="_Toc246997096"/>
      <w:bookmarkStart w:id="198" w:name="_Toc514858707"/>
      <w:bookmarkStart w:id="199" w:name="_Toc179632804"/>
      <w:bookmarkStart w:id="200" w:name="_Toc447827049"/>
      <w:bookmarkStart w:id="201" w:name="_Toc247085870"/>
      <w:bookmarkStart w:id="202" w:name="_Toc503951043"/>
      <w:bookmarkStart w:id="203" w:name="_Toc2000411"/>
      <w:bookmarkStart w:id="204" w:name="_Toc152045785"/>
      <w:bookmarkStart w:id="205" w:name="_Toc152042574"/>
      <w:bookmarkStart w:id="206" w:name="_Toc513633964"/>
      <w:bookmarkStart w:id="207" w:name="_Toc144974854"/>
      <w:bookmarkStart w:id="208" w:name="_Toc246996353"/>
      <w:r>
        <w:rPr>
          <w:rFonts w:hint="eastAsia" w:ascii="宋体" w:hAnsi="宋体" w:cs="宋体"/>
          <w:b/>
          <w:color w:val="auto"/>
          <w:kern w:val="0"/>
          <w:sz w:val="24"/>
          <w:highlight w:val="none"/>
          <w:lang w:val="en-US" w:eastAsia="zh-CN"/>
        </w:rPr>
        <w:t>无</w:t>
      </w:r>
      <w:r>
        <w:rPr>
          <w:rFonts w:hint="eastAsia" w:ascii="宋体" w:hAnsi="宋体" w:cs="宋体"/>
          <w:b/>
          <w:color w:val="auto"/>
          <w:kern w:val="0"/>
          <w:sz w:val="24"/>
          <w:highlight w:val="none"/>
        </w:rPr>
        <w:t>。</w:t>
      </w: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42"/>
        <w:rPr>
          <w:rFonts w:hint="eastAsia" w:ascii="宋体" w:hAnsi="宋体" w:cs="宋体"/>
          <w:color w:val="auto"/>
          <w:highlight w:val="none"/>
        </w:rPr>
      </w:pPr>
    </w:p>
    <w:p>
      <w:pPr>
        <w:pStyle w:val="2"/>
        <w:spacing w:before="0" w:after="0" w:line="360" w:lineRule="auto"/>
        <w:jc w:val="center"/>
        <w:rPr>
          <w:rFonts w:ascii="宋体" w:hAnsi="宋体" w:cs="宋体"/>
          <w:color w:val="auto"/>
          <w:highlight w:val="none"/>
        </w:rPr>
      </w:pPr>
      <w:bookmarkStart w:id="209" w:name="_Toc31278"/>
      <w:r>
        <w:rPr>
          <w:rFonts w:hint="eastAsia" w:ascii="宋体" w:hAnsi="宋体" w:cs="宋体"/>
          <w:color w:val="auto"/>
          <w:highlight w:val="none"/>
        </w:rPr>
        <w:t>第七章  技术标准和工作要求</w:t>
      </w:r>
      <w:bookmarkEnd w:id="197"/>
      <w:bookmarkEnd w:id="198"/>
      <w:bookmarkEnd w:id="199"/>
      <w:bookmarkEnd w:id="200"/>
      <w:bookmarkEnd w:id="201"/>
      <w:bookmarkEnd w:id="202"/>
      <w:bookmarkEnd w:id="203"/>
      <w:bookmarkEnd w:id="204"/>
      <w:bookmarkEnd w:id="205"/>
      <w:bookmarkEnd w:id="206"/>
      <w:bookmarkEnd w:id="207"/>
      <w:bookmarkEnd w:id="208"/>
      <w:bookmarkEnd w:id="209"/>
    </w:p>
    <w:bookmarkEnd w:id="175"/>
    <w:bookmarkEnd w:id="176"/>
    <w:bookmarkEnd w:id="177"/>
    <w:bookmarkEnd w:id="178"/>
    <w:bookmarkEnd w:id="179"/>
    <w:bookmarkEnd w:id="180"/>
    <w:bookmarkEnd w:id="181"/>
    <w:p>
      <w:pPr>
        <w:numPr>
          <w:ilvl w:val="-1"/>
          <w:numId w:val="0"/>
        </w:numPr>
        <w:spacing w:beforeLines="0" w:afterLines="0" w:line="360" w:lineRule="auto"/>
        <w:ind w:firstLine="422" w:firstLineChars="200"/>
        <w:jc w:val="center"/>
        <w:rPr>
          <w:rFonts w:hint="eastAsia" w:ascii="宋体" w:hAnsi="宋体" w:cs="宋体"/>
          <w:b/>
          <w:bCs/>
          <w:color w:val="000000" w:themeColor="text1"/>
          <w:kern w:val="2"/>
          <w:sz w:val="21"/>
          <w:szCs w:val="24"/>
          <w:highlight w:val="none"/>
          <w:lang w:val="en-US" w:eastAsia="zh-CN"/>
          <w14:textFill>
            <w14:solidFill>
              <w14:schemeClr w14:val="tx1"/>
            </w14:solidFill>
          </w14:textFill>
        </w:rPr>
      </w:pPr>
      <w:bookmarkStart w:id="210" w:name="_Toc513633965"/>
      <w:bookmarkStart w:id="211" w:name="_Toc152045787"/>
      <w:bookmarkStart w:id="212" w:name="_Toc144974856"/>
      <w:bookmarkStart w:id="213" w:name="_Toc247085873"/>
      <w:bookmarkStart w:id="214" w:name="_Toc152042576"/>
      <w:bookmarkStart w:id="215" w:name="_Toc179632807"/>
      <w:bookmarkStart w:id="216" w:name="_Toc246996355"/>
      <w:bookmarkStart w:id="217" w:name="_Toc507320039"/>
      <w:bookmarkStart w:id="218" w:name="_Toc246997098"/>
      <w:r>
        <w:rPr>
          <w:rFonts w:hint="eastAsia" w:ascii="宋体" w:hAnsi="宋体" w:cs="宋体"/>
          <w:b/>
          <w:bCs/>
          <w:color w:val="000000" w:themeColor="text1"/>
          <w:kern w:val="2"/>
          <w:sz w:val="21"/>
          <w:szCs w:val="24"/>
          <w:highlight w:val="none"/>
          <w:lang w:val="en-US" w:eastAsia="zh-CN"/>
          <w14:textFill>
            <w14:solidFill>
              <w14:schemeClr w14:val="tx1"/>
            </w14:solidFill>
          </w14:textFill>
        </w:rPr>
        <w:t>详见附件。</w:t>
      </w:r>
    </w:p>
    <w:p>
      <w:pPr>
        <w:rPr>
          <w:rFonts w:hint="eastAsia" w:ascii="宋体" w:hAnsi="宋体" w:cs="宋体"/>
          <w:color w:val="auto"/>
          <w:highlight w:val="none"/>
        </w:rPr>
      </w:pPr>
    </w:p>
    <w:p>
      <w:pPr>
        <w:pStyle w:val="16"/>
        <w:rPr>
          <w:rFonts w:hint="eastAsia"/>
          <w:color w:val="auto"/>
          <w:highlight w:val="none"/>
        </w:rPr>
      </w:pPr>
    </w:p>
    <w:p>
      <w:pPr>
        <w:rPr>
          <w:rFonts w:hint="eastAsia" w:ascii="宋体" w:hAnsi="宋体" w:cs="宋体"/>
          <w:color w:val="auto"/>
          <w:highlight w:val="none"/>
        </w:rPr>
      </w:pPr>
    </w:p>
    <w:p>
      <w:pPr>
        <w:pStyle w:val="16"/>
        <w:rPr>
          <w:rFonts w:hint="eastAsia"/>
          <w:color w:val="auto"/>
          <w:highlight w:val="none"/>
        </w:rPr>
      </w:pPr>
    </w:p>
    <w:p>
      <w:pPr>
        <w:pStyle w:val="2"/>
        <w:spacing w:before="0" w:after="0" w:line="360" w:lineRule="auto"/>
        <w:jc w:val="center"/>
        <w:rPr>
          <w:rFonts w:hint="eastAsia" w:ascii="宋体" w:hAnsi="宋体" w:cs="宋体"/>
          <w:color w:val="auto"/>
          <w:highlight w:val="none"/>
        </w:rPr>
      </w:pPr>
    </w:p>
    <w:p>
      <w:pPr>
        <w:rPr>
          <w:rFonts w:hint="eastAsia"/>
          <w:color w:val="auto"/>
          <w:highlight w:val="none"/>
        </w:rPr>
      </w:pPr>
    </w:p>
    <w:p>
      <w:pPr>
        <w:pStyle w:val="16"/>
        <w:rPr>
          <w:rFonts w:hint="eastAsia"/>
          <w:color w:val="auto"/>
          <w:highlight w:val="none"/>
        </w:rPr>
      </w:pPr>
    </w:p>
    <w:p>
      <w:pPr>
        <w:rPr>
          <w:rFonts w:hint="eastAsia"/>
          <w:color w:val="auto"/>
          <w:highlight w:val="none"/>
        </w:rPr>
      </w:pPr>
    </w:p>
    <w:p>
      <w:pPr>
        <w:pStyle w:val="16"/>
        <w:rPr>
          <w:rFonts w:hint="eastAsia"/>
          <w:color w:val="auto"/>
          <w:highlight w:val="none"/>
        </w:rPr>
      </w:pPr>
    </w:p>
    <w:p>
      <w:pPr>
        <w:rPr>
          <w:rFonts w:hint="eastAsia"/>
          <w:color w:val="auto"/>
          <w:highlight w:val="none"/>
        </w:rPr>
      </w:pPr>
    </w:p>
    <w:p>
      <w:pPr>
        <w:pStyle w:val="16"/>
        <w:rPr>
          <w:rFonts w:hint="eastAsia"/>
          <w:color w:val="auto"/>
          <w:highlight w:val="none"/>
        </w:rPr>
      </w:pPr>
    </w:p>
    <w:p>
      <w:pPr>
        <w:rPr>
          <w:rFonts w:hint="eastAsia"/>
          <w:color w:val="auto"/>
          <w:highlight w:val="none"/>
        </w:rPr>
      </w:pPr>
    </w:p>
    <w:p>
      <w:pPr>
        <w:rPr>
          <w:rFonts w:hint="eastAsia"/>
          <w:color w:val="auto"/>
          <w:highlight w:val="none"/>
        </w:rPr>
      </w:pPr>
    </w:p>
    <w:p>
      <w:pPr>
        <w:pStyle w:val="16"/>
        <w:rPr>
          <w:rFonts w:hint="eastAsia"/>
          <w:color w:val="auto"/>
          <w:highlight w:val="none"/>
        </w:rPr>
      </w:pPr>
    </w:p>
    <w:p>
      <w:pPr>
        <w:rPr>
          <w:rFonts w:hint="eastAsia"/>
          <w:color w:val="auto"/>
          <w:highlight w:val="none"/>
        </w:rPr>
      </w:pPr>
    </w:p>
    <w:p>
      <w:pPr>
        <w:pStyle w:val="2"/>
        <w:spacing w:before="0" w:after="0" w:line="360" w:lineRule="auto"/>
        <w:jc w:val="center"/>
        <w:rPr>
          <w:rFonts w:hint="eastAsia" w:ascii="宋体" w:hAnsi="宋体" w:cs="宋体"/>
          <w:color w:val="auto"/>
          <w:highlight w:val="none"/>
        </w:rPr>
      </w:pPr>
      <w:bookmarkStart w:id="219" w:name="_Toc1594"/>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center"/>
        <w:rPr>
          <w:rFonts w:hint="eastAsia" w:ascii="宋体" w:hAnsi="宋体" w:cs="宋体"/>
          <w:color w:val="auto"/>
          <w:highlight w:val="none"/>
        </w:rPr>
      </w:pPr>
    </w:p>
    <w:p>
      <w:pPr>
        <w:pStyle w:val="2"/>
        <w:spacing w:before="0" w:after="0" w:line="360" w:lineRule="auto"/>
        <w:jc w:val="both"/>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pStyle w:val="2"/>
        <w:spacing w:before="0" w:after="0" w:line="360" w:lineRule="auto"/>
        <w:jc w:val="center"/>
        <w:rPr>
          <w:rFonts w:ascii="宋体" w:hAnsi="宋体" w:cs="宋体"/>
          <w:color w:val="auto"/>
          <w:highlight w:val="none"/>
        </w:rPr>
      </w:pPr>
      <w:r>
        <w:rPr>
          <w:rFonts w:hint="eastAsia" w:ascii="宋体" w:hAnsi="宋体" w:cs="宋体"/>
          <w:color w:val="auto"/>
          <w:highlight w:val="none"/>
        </w:rPr>
        <w:t>第八章  合同范本</w:t>
      </w:r>
      <w:bookmarkEnd w:id="219"/>
    </w:p>
    <w:p>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pPr>
        <w:pStyle w:val="16"/>
        <w:rPr>
          <w:color w:val="auto"/>
          <w:highlight w:val="none"/>
        </w:rPr>
      </w:pPr>
    </w:p>
    <w:p>
      <w:pPr>
        <w:spacing w:line="400" w:lineRule="exact"/>
        <w:ind w:firstLine="420" w:firstLineChars="200"/>
        <w:rPr>
          <w:rFonts w:ascii="宋体" w:hAnsi="宋体" w:cs="宋体"/>
          <w:color w:val="auto"/>
          <w:highlight w:val="none"/>
        </w:rPr>
      </w:pPr>
    </w:p>
    <w:p>
      <w:pPr>
        <w:pStyle w:val="11"/>
        <w:rPr>
          <w:rFonts w:ascii="宋体" w:hAnsi="宋体" w:cs="宋体"/>
          <w:color w:val="auto"/>
          <w:highlight w:val="none"/>
        </w:rPr>
      </w:pPr>
    </w:p>
    <w:p>
      <w:pPr>
        <w:rPr>
          <w:rFonts w:ascii="宋体" w:hAnsi="宋体" w:cs="宋体"/>
          <w:color w:val="auto"/>
          <w:highlight w:val="none"/>
        </w:rPr>
      </w:pPr>
    </w:p>
    <w:p>
      <w:pPr>
        <w:pStyle w:val="11"/>
        <w:rPr>
          <w:rFonts w:ascii="宋体" w:hAnsi="宋体" w:cs="宋体"/>
          <w:color w:val="auto"/>
          <w:highlight w:val="none"/>
        </w:rPr>
      </w:pPr>
    </w:p>
    <w:p>
      <w:pPr>
        <w:pStyle w:val="11"/>
        <w:ind w:left="0" w:leftChars="0" w:firstLine="0" w:firstLineChars="0"/>
        <w:rPr>
          <w:rFonts w:ascii="宋体" w:hAnsi="宋体" w:cs="宋体"/>
          <w:color w:val="auto"/>
          <w:highlight w:val="none"/>
        </w:rPr>
      </w:pPr>
    </w:p>
    <w:p>
      <w:pPr>
        <w:rPr>
          <w:rFonts w:ascii="宋体" w:hAnsi="宋体" w:cs="宋体"/>
          <w:color w:val="auto"/>
          <w:highlight w:val="none"/>
        </w:rPr>
      </w:pPr>
    </w:p>
    <w:p>
      <w:pPr>
        <w:pStyle w:val="28"/>
        <w:rPr>
          <w:color w:val="auto"/>
          <w:highlight w:val="none"/>
        </w:rPr>
      </w:pPr>
    </w:p>
    <w:p>
      <w:pPr>
        <w:rPr>
          <w:color w:val="auto"/>
          <w:highlight w:val="none"/>
        </w:rPr>
      </w:pPr>
    </w:p>
    <w:p>
      <w:pPr>
        <w:pStyle w:val="16"/>
        <w:rPr>
          <w:color w:val="auto"/>
          <w:highlight w:val="none"/>
        </w:rPr>
      </w:pPr>
    </w:p>
    <w:p>
      <w:pPr>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42"/>
        <w:rPr>
          <w:color w:val="auto"/>
          <w:highlight w:val="none"/>
        </w:rPr>
      </w:pPr>
    </w:p>
    <w:p>
      <w:pPr>
        <w:pStyle w:val="2"/>
        <w:spacing w:before="0" w:after="0" w:line="360" w:lineRule="auto"/>
        <w:jc w:val="center"/>
        <w:rPr>
          <w:rFonts w:ascii="宋体" w:hAnsi="宋体" w:cs="宋体"/>
          <w:color w:val="auto"/>
          <w:highlight w:val="none"/>
        </w:rPr>
      </w:pPr>
      <w:bookmarkStart w:id="220" w:name="_Toc514858709"/>
      <w:bookmarkStart w:id="221" w:name="_Toc5758"/>
      <w:bookmarkStart w:id="222" w:name="_Toc2000413"/>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10"/>
      <w:bookmarkEnd w:id="220"/>
      <w:bookmarkEnd w:id="221"/>
      <w:bookmarkEnd w:id="222"/>
    </w:p>
    <w:p>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p>
    <w:p>
      <w:pPr>
        <w:jc w:val="center"/>
        <w:rPr>
          <w:rFonts w:ascii="宋体" w:hAnsi="宋体" w:cs="宋体"/>
          <w:color w:val="auto"/>
          <w:sz w:val="52"/>
          <w:szCs w:val="52"/>
          <w:highlight w:val="none"/>
          <w:u w:val="single"/>
        </w:rPr>
      </w:pPr>
      <w:bookmarkStart w:id="223" w:name="_Toc503951046"/>
      <w:bookmarkStart w:id="224" w:name="_Toc503971829"/>
      <w:bookmarkStart w:id="225" w:name="_Toc513646738"/>
      <w:bookmarkStart w:id="226" w:name="_Toc514858710"/>
      <w:bookmarkStart w:id="227" w:name="_Toc513633967"/>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23"/>
      <w:bookmarkEnd w:id="224"/>
      <w:bookmarkEnd w:id="225"/>
      <w:bookmarkEnd w:id="226"/>
      <w:bookmarkEnd w:id="227"/>
      <w:r>
        <w:rPr>
          <w:rFonts w:hint="eastAsia" w:ascii="宋体" w:hAnsi="宋体" w:cs="宋体"/>
          <w:color w:val="auto"/>
          <w:sz w:val="52"/>
          <w:szCs w:val="52"/>
          <w:highlight w:val="none"/>
          <w:u w:val="single"/>
        </w:rPr>
        <w:t xml:space="preserve"> </w:t>
      </w:r>
    </w:p>
    <w:p>
      <w:pPr>
        <w:rPr>
          <w:rFonts w:ascii="宋体" w:hAnsi="宋体" w:cs="宋体"/>
          <w:color w:val="auto"/>
          <w:sz w:val="20"/>
          <w:szCs w:val="20"/>
          <w:highlight w:val="none"/>
        </w:rPr>
      </w:pPr>
    </w:p>
    <w:p>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pPr>
        <w:jc w:val="center"/>
        <w:rPr>
          <w:rFonts w:ascii="宋体" w:hAnsi="宋体" w:cs="宋体"/>
          <w:b/>
          <w:color w:val="auto"/>
          <w:sz w:val="32"/>
          <w:szCs w:val="32"/>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pStyle w:val="28"/>
        <w:rPr>
          <w:color w:val="auto"/>
          <w:highlight w:val="none"/>
        </w:rPr>
      </w:pPr>
    </w:p>
    <w:p>
      <w:pPr>
        <w:rPr>
          <w:color w:val="auto"/>
          <w:highlight w:val="none"/>
        </w:rPr>
      </w:pPr>
    </w:p>
    <w:p>
      <w:pPr>
        <w:pStyle w:val="28"/>
        <w:rPr>
          <w:color w:val="auto"/>
          <w:highlight w:val="none"/>
        </w:rPr>
      </w:pPr>
    </w:p>
    <w:p>
      <w:pPr>
        <w:rPr>
          <w:color w:val="auto"/>
          <w:highlight w:val="none"/>
        </w:rPr>
      </w:pPr>
    </w:p>
    <w:p>
      <w:pPr>
        <w:pStyle w:val="28"/>
        <w:rPr>
          <w:color w:val="auto"/>
          <w:highlight w:val="none"/>
        </w:rPr>
      </w:pPr>
    </w:p>
    <w:p>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bookmarkStart w:id="228" w:name="_Toc1368"/>
      <w:bookmarkStart w:id="229" w:name="_Toc11329273"/>
      <w:bookmarkStart w:id="230" w:name="_Toc5459"/>
      <w:bookmarkStart w:id="231" w:name="_Toc28780"/>
      <w:bookmarkStart w:id="232" w:name="_Toc10395"/>
      <w:r>
        <w:rPr>
          <w:rFonts w:hint="eastAsia" w:ascii="宋体" w:hAnsi="宋体" w:eastAsia="宋体" w:cs="宋体"/>
          <w:color w:val="auto"/>
          <w:sz w:val="28"/>
          <w:szCs w:val="36"/>
          <w:highlight w:val="none"/>
        </w:rPr>
        <w:t>目    录</w:t>
      </w:r>
      <w:bookmarkEnd w:id="211"/>
      <w:bookmarkEnd w:id="212"/>
      <w:bookmarkEnd w:id="213"/>
      <w:bookmarkEnd w:id="214"/>
      <w:bookmarkEnd w:id="215"/>
      <w:bookmarkEnd w:id="216"/>
      <w:bookmarkEnd w:id="217"/>
      <w:bookmarkEnd w:id="218"/>
      <w:bookmarkEnd w:id="228"/>
      <w:bookmarkEnd w:id="229"/>
      <w:bookmarkEnd w:id="230"/>
      <w:bookmarkEnd w:id="231"/>
      <w:bookmarkEnd w:id="232"/>
    </w:p>
    <w:p>
      <w:pPr>
        <w:numPr>
          <w:ilvl w:val="0"/>
          <w:numId w:val="5"/>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pPr>
        <w:numPr>
          <w:ilvl w:val="0"/>
          <w:numId w:val="5"/>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pPr>
        <w:spacing w:line="400" w:lineRule="exact"/>
        <w:rPr>
          <w:rFonts w:ascii="宋体" w:hAnsi="宋体" w:cs="宋体"/>
          <w:color w:val="auto"/>
          <w:highlight w:val="none"/>
        </w:rPr>
      </w:pPr>
      <w:r>
        <w:rPr>
          <w:rFonts w:hint="eastAsia" w:ascii="宋体" w:hAnsi="宋体" w:cs="宋体"/>
          <w:color w:val="auto"/>
          <w:highlight w:val="none"/>
        </w:rPr>
        <w:t>三、报价一览表</w:t>
      </w:r>
    </w:p>
    <w:p>
      <w:pPr>
        <w:spacing w:line="400" w:lineRule="exact"/>
        <w:rPr>
          <w:rFonts w:ascii="宋体" w:hAnsi="宋体" w:cs="宋体"/>
          <w:color w:val="auto"/>
          <w:highlight w:val="none"/>
        </w:rPr>
      </w:pPr>
      <w:r>
        <w:rPr>
          <w:rFonts w:hint="eastAsia" w:ascii="宋体" w:hAnsi="宋体" w:cs="宋体"/>
          <w:color w:val="auto"/>
          <w:highlight w:val="none"/>
        </w:rPr>
        <w:t>四、资格审查资料</w:t>
      </w:r>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pPr>
        <w:pStyle w:val="16"/>
        <w:rPr>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r>
        <w:rPr>
          <w:rFonts w:ascii="宋体" w:hAnsi="宋体" w:cs="宋体"/>
          <w:color w:val="auto"/>
          <w:highlight w:val="none"/>
        </w:rPr>
        <w:br w:type="page"/>
      </w:r>
    </w:p>
    <w:p>
      <w:pPr>
        <w:pStyle w:val="3"/>
        <w:spacing w:before="0" w:after="0" w:line="360" w:lineRule="auto"/>
        <w:jc w:val="center"/>
        <w:rPr>
          <w:rFonts w:ascii="宋体" w:hAnsi="宋体" w:eastAsia="宋体" w:cs="宋体"/>
          <w:color w:val="auto"/>
          <w:sz w:val="28"/>
          <w:highlight w:val="none"/>
        </w:rPr>
      </w:pPr>
      <w:bookmarkStart w:id="233" w:name="_Toc29547"/>
      <w:bookmarkStart w:id="234" w:name="_Toc26417"/>
      <w:bookmarkStart w:id="235" w:name="_Toc25874"/>
      <w:bookmarkStart w:id="236" w:name="_Toc8870"/>
      <w:bookmarkStart w:id="237" w:name="_Toc11329274"/>
      <w:bookmarkStart w:id="238" w:name="_Toc15863"/>
      <w:bookmarkStart w:id="239" w:name="_Toc20716"/>
      <w:bookmarkStart w:id="240" w:name="_Toc447827053"/>
      <w:bookmarkStart w:id="241" w:name="_Toc513633969"/>
      <w:bookmarkStart w:id="242" w:name="_Toc503951048"/>
      <w:r>
        <w:rPr>
          <w:rFonts w:hint="eastAsia" w:ascii="宋体" w:hAnsi="宋体" w:eastAsia="宋体" w:cs="宋体"/>
          <w:color w:val="auto"/>
          <w:sz w:val="28"/>
          <w:highlight w:val="none"/>
        </w:rPr>
        <w:t>一、</w:t>
      </w:r>
      <w:bookmarkEnd w:id="233"/>
      <w:bookmarkEnd w:id="234"/>
      <w:bookmarkEnd w:id="235"/>
      <w:bookmarkEnd w:id="236"/>
      <w:bookmarkEnd w:id="237"/>
      <w:bookmarkEnd w:id="238"/>
      <w:bookmarkEnd w:id="239"/>
      <w:r>
        <w:rPr>
          <w:rFonts w:hint="eastAsia" w:ascii="宋体" w:hAnsi="宋体" w:eastAsia="宋体" w:cs="宋体"/>
          <w:color w:val="auto"/>
          <w:sz w:val="28"/>
          <w:highlight w:val="none"/>
        </w:rPr>
        <w:t>竞争性比选响应声明书</w:t>
      </w:r>
    </w:p>
    <w:p>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lang w:eastAsia="zh-CN"/>
        </w:rPr>
        <w:t>重庆首讯科技股份有限公司数智系统运维分公司</w:t>
      </w:r>
    </w:p>
    <w:p>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施工任务。项目地点达到竞争性比选文件要求，工期要求达到竞争性比选文件要求，质量标准达到竞争性比选文件要求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pPr>
        <w:tabs>
          <w:tab w:val="left" w:pos="900"/>
        </w:tabs>
        <w:spacing w:line="300" w:lineRule="auto"/>
        <w:ind w:firstLine="480" w:firstLineChars="200"/>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pPr>
        <w:outlineLvl w:val="0"/>
        <w:rPr>
          <w:b/>
          <w:color w:val="auto"/>
          <w:sz w:val="24"/>
          <w:highlight w:val="none"/>
        </w:rPr>
      </w:pPr>
    </w:p>
    <w:p>
      <w:pPr>
        <w:pStyle w:val="28"/>
        <w:rPr>
          <w:color w:val="auto"/>
          <w:highlight w:val="none"/>
        </w:rPr>
      </w:pPr>
    </w:p>
    <w:p>
      <w:pPr>
        <w:rPr>
          <w:rFonts w:hint="eastAsia" w:ascii="宋体" w:hAnsi="宋体" w:eastAsia="宋体" w:cs="宋体"/>
          <w:color w:val="auto"/>
          <w:sz w:val="28"/>
          <w:szCs w:val="28"/>
          <w:highlight w:val="none"/>
        </w:rPr>
      </w:pPr>
      <w:bookmarkStart w:id="243" w:name="_Toc491883232"/>
      <w:bookmarkStart w:id="244" w:name="_Toc26697"/>
      <w:bookmarkStart w:id="245" w:name="_Toc27815"/>
      <w:r>
        <w:rPr>
          <w:rFonts w:hint="eastAsia" w:ascii="宋体" w:hAnsi="宋体" w:eastAsia="宋体" w:cs="宋体"/>
          <w:color w:val="auto"/>
          <w:sz w:val="28"/>
          <w:szCs w:val="28"/>
          <w:highlight w:val="none"/>
        </w:rPr>
        <w:br w:type="page"/>
      </w:r>
    </w:p>
    <w:p>
      <w:pPr>
        <w:pStyle w:val="3"/>
        <w:numPr>
          <w:ilvl w:val="0"/>
          <w:numId w:val="0"/>
        </w:numPr>
        <w:spacing w:before="0" w:after="0" w:line="360" w:lineRule="auto"/>
        <w:ind w:left="420" w:leftChars="0"/>
        <w:jc w:val="center"/>
        <w:rPr>
          <w:rFonts w:ascii="宋体" w:hAnsi="宋体" w:eastAsia="宋体" w:cs="宋体"/>
          <w:color w:val="auto"/>
          <w:sz w:val="28"/>
          <w:highlight w:val="none"/>
        </w:rPr>
      </w:pPr>
      <w:bookmarkStart w:id="246" w:name="_Toc1699"/>
      <w:r>
        <w:rPr>
          <w:rFonts w:hint="eastAsia" w:ascii="宋体" w:hAnsi="宋体" w:eastAsia="宋体" w:cs="宋体"/>
          <w:color w:val="auto"/>
          <w:sz w:val="28"/>
          <w:szCs w:val="28"/>
          <w:highlight w:val="none"/>
        </w:rPr>
        <w:t>二、</w:t>
      </w:r>
      <w:bookmarkEnd w:id="243"/>
      <w:bookmarkEnd w:id="244"/>
      <w:bookmarkEnd w:id="245"/>
      <w:bookmarkStart w:id="247" w:name="_Toc16435"/>
      <w:bookmarkStart w:id="248" w:name="_Toc32089"/>
      <w:r>
        <w:rPr>
          <w:rFonts w:hint="eastAsia" w:ascii="宋体" w:hAnsi="宋体" w:eastAsia="宋体" w:cs="宋体"/>
          <w:color w:val="auto"/>
          <w:sz w:val="28"/>
          <w:highlight w:val="none"/>
        </w:rPr>
        <w:t>法定代表人身份证明或法定代表人授权委托书</w:t>
      </w:r>
      <w:bookmarkEnd w:id="246"/>
      <w:bookmarkEnd w:id="247"/>
      <w:bookmarkEnd w:id="248"/>
    </w:p>
    <w:p>
      <w:pPr>
        <w:pStyle w:val="3"/>
        <w:spacing w:line="480" w:lineRule="auto"/>
        <w:jc w:val="center"/>
        <w:outlineLvl w:val="2"/>
        <w:rPr>
          <w:rFonts w:ascii="宋体" w:hAnsi="宋体" w:eastAsia="宋体" w:cs="宋体"/>
          <w:color w:val="auto"/>
          <w:sz w:val="24"/>
          <w:szCs w:val="24"/>
          <w:highlight w:val="none"/>
        </w:rPr>
      </w:pPr>
      <w:bookmarkStart w:id="249" w:name="_Toc14141"/>
      <w:bookmarkStart w:id="250" w:name="_Toc20985"/>
      <w:r>
        <w:rPr>
          <w:rFonts w:hint="eastAsia" w:ascii="宋体" w:hAnsi="宋体" w:eastAsia="宋体" w:cs="宋体"/>
          <w:color w:val="auto"/>
          <w:sz w:val="24"/>
          <w:szCs w:val="24"/>
          <w:highlight w:val="none"/>
        </w:rPr>
        <w:t>（一）法定代表人身份证明</w:t>
      </w:r>
      <w:bookmarkEnd w:id="249"/>
      <w:bookmarkEnd w:id="250"/>
    </w:p>
    <w:p>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51" w:name="_Toc369531698"/>
      <w:bookmarkStart w:id="252" w:name="_Toc27897"/>
      <w:bookmarkStart w:id="253" w:name="_Toc352691662"/>
      <w:r>
        <w:rPr>
          <w:rFonts w:ascii="宋体" w:hAnsi="宋体"/>
          <w:color w:val="auto"/>
          <w:highlight w:val="none"/>
          <w:u w:val="single"/>
        </w:rPr>
        <w:t xml:space="preserve">        </w:t>
      </w:r>
      <w:r>
        <w:rPr>
          <w:rFonts w:ascii="宋体" w:hAnsi="宋体"/>
          <w:color w:val="auto"/>
          <w:highlight w:val="none"/>
        </w:rPr>
        <w:t>年</w:t>
      </w:r>
      <w:bookmarkEnd w:id="251"/>
      <w:bookmarkEnd w:id="252"/>
      <w:bookmarkEnd w:id="253"/>
      <w:r>
        <w:rPr>
          <w:rFonts w:ascii="宋体" w:hAnsi="宋体"/>
          <w:color w:val="auto"/>
          <w:highlight w:val="none"/>
        </w:rPr>
        <w:t>龄</w:t>
      </w:r>
      <w:bookmarkStart w:id="254" w:name="_Toc247514248"/>
      <w:bookmarkStart w:id="255" w:name="_Toc300835211"/>
      <w:bookmarkStart w:id="256" w:name="_Toc15573"/>
      <w:bookmarkStart w:id="257" w:name="_Toc152042578"/>
      <w:bookmarkStart w:id="258" w:name="_Toc152045789"/>
      <w:bookmarkStart w:id="259" w:name="_Toc352691663"/>
      <w:bookmarkStart w:id="260" w:name="_Toc247527829"/>
      <w:bookmarkStart w:id="261" w:name="_Toc144974858"/>
      <w:bookmarkStart w:id="262" w:name="_Toc361508754"/>
      <w:bookmarkStart w:id="263" w:name="_Toc384308377"/>
      <w:bookmarkStart w:id="264" w:name="_Toc369531699"/>
      <w:r>
        <w:rPr>
          <w:rFonts w:ascii="宋体" w:hAnsi="宋体"/>
          <w:color w:val="auto"/>
          <w:highlight w:val="none"/>
        </w:rPr>
        <w:t>：</w:t>
      </w:r>
      <w:bookmarkEnd w:id="254"/>
      <w:bookmarkEnd w:id="255"/>
      <w:bookmarkEnd w:id="256"/>
      <w:bookmarkEnd w:id="257"/>
      <w:bookmarkEnd w:id="258"/>
      <w:bookmarkEnd w:id="259"/>
      <w:bookmarkEnd w:id="260"/>
      <w:bookmarkEnd w:id="261"/>
      <w:bookmarkEnd w:id="262"/>
      <w:bookmarkEnd w:id="263"/>
      <w:bookmarkEnd w:id="264"/>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pPr>
        <w:spacing w:line="480" w:lineRule="auto"/>
        <w:ind w:firstLine="420" w:firstLineChars="200"/>
        <w:rPr>
          <w:rFonts w:ascii="宋体" w:hAnsi="宋体"/>
          <w:color w:val="auto"/>
          <w:highlight w:val="none"/>
        </w:rPr>
      </w:pPr>
      <w:r>
        <w:rPr>
          <w:rFonts w:ascii="宋体" w:hAnsi="宋体"/>
          <w:color w:val="auto"/>
          <w:highlight w:val="none"/>
        </w:rPr>
        <w:t>特此证明。</w:t>
      </w:r>
    </w:p>
    <w:p>
      <w:pPr>
        <w:spacing w:line="480" w:lineRule="auto"/>
        <w:rPr>
          <w:rFonts w:ascii="宋体" w:hAnsi="宋体"/>
          <w:color w:val="auto"/>
          <w:highlight w:val="none"/>
        </w:rPr>
      </w:pPr>
    </w:p>
    <w:p>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pPr>
        <w:spacing w:line="480" w:lineRule="auto"/>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pPr>
        <w:spacing w:line="440" w:lineRule="exact"/>
        <w:rPr>
          <w:rFonts w:ascii="宋体" w:hAnsi="宋体"/>
          <w:color w:val="auto"/>
          <w:highlight w:val="none"/>
        </w:rPr>
      </w:pPr>
    </w:p>
    <w:p>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pPr>
        <w:rPr>
          <w:rFonts w:ascii="宋体" w:hAnsi="宋体"/>
          <w:color w:val="auto"/>
          <w:highlight w:val="none"/>
        </w:rPr>
      </w:pPr>
    </w:p>
    <w:p>
      <w:pPr>
        <w:rPr>
          <w:rFonts w:ascii="宋体" w:hAnsi="宋体"/>
          <w:color w:val="auto"/>
          <w:highlight w:val="none"/>
        </w:rPr>
      </w:pPr>
    </w:p>
    <w:p>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pPr>
        <w:spacing w:line="440" w:lineRule="exact"/>
        <w:rPr>
          <w:rFonts w:ascii="宋体" w:hAnsi="宋体"/>
          <w:color w:val="auto"/>
          <w:sz w:val="20"/>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pPr>
        <w:spacing w:line="20" w:lineRule="exact"/>
        <w:jc w:val="center"/>
        <w:rPr>
          <w:rFonts w:ascii="宋体" w:hAnsi="宋体"/>
          <w:color w:val="auto"/>
          <w:sz w:val="20"/>
          <w:highlight w:val="none"/>
        </w:rPr>
      </w:pPr>
      <w:r>
        <w:rPr>
          <w:rFonts w:ascii="宋体" w:hAnsi="宋体"/>
          <w:color w:val="auto"/>
          <w:sz w:val="20"/>
          <w:highlight w:val="none"/>
        </w:rPr>
        <w:br w:type="page"/>
      </w:r>
    </w:p>
    <w:p>
      <w:pPr>
        <w:pStyle w:val="3"/>
        <w:spacing w:line="480" w:lineRule="auto"/>
        <w:jc w:val="center"/>
        <w:outlineLvl w:val="2"/>
        <w:rPr>
          <w:rFonts w:ascii="宋体" w:hAnsi="宋体"/>
          <w:color w:val="auto"/>
          <w:sz w:val="28"/>
          <w:szCs w:val="28"/>
          <w:highlight w:val="none"/>
        </w:rPr>
      </w:pPr>
      <w:bookmarkStart w:id="265" w:name="_Toc491883233"/>
      <w:bookmarkStart w:id="266" w:name="_Toc3882"/>
      <w:bookmarkStart w:id="267" w:name="_Toc58"/>
      <w:r>
        <w:rPr>
          <w:rFonts w:hint="eastAsia" w:ascii="宋体" w:hAnsi="宋体" w:eastAsia="宋体" w:cs="宋体"/>
          <w:color w:val="auto"/>
          <w:sz w:val="24"/>
          <w:szCs w:val="24"/>
          <w:highlight w:val="none"/>
        </w:rPr>
        <w:t>（二）</w:t>
      </w:r>
      <w:bookmarkEnd w:id="265"/>
      <w:r>
        <w:rPr>
          <w:rFonts w:hint="eastAsia" w:ascii="宋体" w:hAnsi="宋体" w:eastAsia="宋体" w:cs="宋体"/>
          <w:color w:val="auto"/>
          <w:sz w:val="24"/>
          <w:szCs w:val="24"/>
          <w:highlight w:val="none"/>
        </w:rPr>
        <w:t>法定代表人授权委托书</w:t>
      </w:r>
      <w:bookmarkEnd w:id="266"/>
      <w:bookmarkEnd w:id="267"/>
    </w:p>
    <w:p>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pPr>
                        <w:snapToGrid w:val="0"/>
                        <w:spacing w:line="360" w:lineRule="auto"/>
                        <w:rPr>
                          <w:highlight w:val="none"/>
                        </w:rPr>
                      </w:pPr>
                    </w:p>
                  </w:txbxContent>
                </v:textbox>
              </v:shape>
            </w:pict>
          </mc:Fallback>
        </mc:AlternateContent>
      </w:r>
    </w:p>
    <w:p>
      <w:pPr>
        <w:spacing w:line="440" w:lineRule="exact"/>
        <w:rPr>
          <w:rFonts w:ascii="宋体" w:hAnsi="宋体"/>
          <w:color w:val="auto"/>
          <w:highlight w:val="none"/>
        </w:rPr>
      </w:pPr>
    </w:p>
    <w:p>
      <w:pPr>
        <w:spacing w:line="440" w:lineRule="exact"/>
        <w:rPr>
          <w:rFonts w:ascii="宋体" w:hAnsi="宋体"/>
          <w:color w:val="auto"/>
          <w:highlight w:val="none"/>
        </w:rPr>
      </w:pPr>
      <w:r>
        <w:rPr>
          <w:rFonts w:ascii="宋体" w:hAnsi="宋体"/>
          <w:color w:val="auto"/>
          <w:highlight w:val="none"/>
        </w:rPr>
        <w:t>委托代理人身份证复印件</w:t>
      </w: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pPr>
                        <w:spacing w:line="360" w:lineRule="auto"/>
                        <w:jc w:val="center"/>
                        <w:rPr>
                          <w:highlight w:val="none"/>
                        </w:rPr>
                      </w:pPr>
                    </w:p>
                  </w:txbxContent>
                </v:textbox>
              </v:shape>
            </w:pict>
          </mc:Fallback>
        </mc:AlternateContent>
      </w: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pPr>
        <w:pStyle w:val="28"/>
        <w:rPr>
          <w:color w:val="auto"/>
          <w:sz w:val="21"/>
          <w:szCs w:val="21"/>
          <w:highlight w:val="none"/>
        </w:rPr>
        <w:sectPr>
          <w:pgSz w:w="11906" w:h="16838"/>
          <w:pgMar w:top="1440" w:right="1803" w:bottom="1440" w:left="1803" w:header="851" w:footer="992" w:gutter="0"/>
          <w:cols w:space="720" w:num="1"/>
          <w:titlePg/>
          <w:docGrid w:type="lines" w:linePitch="319" w:charSpace="0"/>
        </w:sectPr>
      </w:pPr>
    </w:p>
    <w:p>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bookmarkStart w:id="268" w:name="_Toc11329275"/>
      <w:bookmarkStart w:id="269" w:name="_Toc616"/>
      <w:r>
        <w:rPr>
          <w:rFonts w:hint="eastAsia" w:ascii="宋体" w:hAnsi="宋体" w:cs="宋体"/>
          <w:b/>
          <w:bCs/>
          <w:color w:val="auto"/>
          <w:kern w:val="0"/>
          <w:sz w:val="28"/>
          <w:szCs w:val="32"/>
          <w:highlight w:val="none"/>
        </w:rPr>
        <w:t>三、</w:t>
      </w:r>
      <w:bookmarkEnd w:id="240"/>
      <w:bookmarkEnd w:id="241"/>
      <w:bookmarkEnd w:id="242"/>
      <w:bookmarkEnd w:id="268"/>
      <w:r>
        <w:rPr>
          <w:rFonts w:hint="eastAsia" w:ascii="宋体" w:hAnsi="宋体" w:cs="宋体"/>
          <w:b/>
          <w:bCs/>
          <w:color w:val="auto"/>
          <w:kern w:val="0"/>
          <w:sz w:val="28"/>
          <w:szCs w:val="32"/>
          <w:highlight w:val="none"/>
        </w:rPr>
        <w:t>报价一览表</w:t>
      </w:r>
      <w:bookmarkEnd w:id="269"/>
    </w:p>
    <w:p>
      <w:pPr>
        <w:ind w:left="765"/>
        <w:jc w:val="center"/>
        <w:rPr>
          <w:rFonts w:ascii="宋体" w:hAnsi="宋体" w:cs="宋体"/>
          <w:color w:val="auto"/>
          <w:szCs w:val="21"/>
          <w:highlight w:val="none"/>
        </w:rPr>
      </w:pPr>
    </w:p>
    <w:p>
      <w:pPr>
        <w:pStyle w:val="38"/>
        <w:jc w:val="both"/>
        <w:rPr>
          <w:rFonts w:hAnsi="宋体"/>
          <w:color w:val="auto"/>
          <w:highlight w:val="none"/>
        </w:rPr>
      </w:pPr>
      <w:r>
        <w:rPr>
          <w:rFonts w:hint="eastAsia" w:hAnsi="宋体"/>
          <w:color w:val="auto"/>
          <w:highlight w:val="none"/>
          <w:lang w:eastAsia="zh-CN"/>
        </w:rPr>
        <w:t>重庆首讯科技股份有限公司数智系统运维分公司</w:t>
      </w:r>
      <w:r>
        <w:rPr>
          <w:rFonts w:hint="eastAsia" w:hAnsi="宋体"/>
          <w:color w:val="auto"/>
          <w:highlight w:val="none"/>
        </w:rPr>
        <w:t>：</w:t>
      </w:r>
    </w:p>
    <w:p>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(项目名称)</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tbl>
      <w:tblPr>
        <w:tblStyle w:val="43"/>
        <w:tblW w:w="10651" w:type="dxa"/>
        <w:tblInd w:w="-10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0"/>
        <w:gridCol w:w="940"/>
        <w:gridCol w:w="720"/>
        <w:gridCol w:w="810"/>
        <w:gridCol w:w="530"/>
        <w:gridCol w:w="1210"/>
        <w:gridCol w:w="1190"/>
        <w:gridCol w:w="1110"/>
        <w:gridCol w:w="1260"/>
        <w:gridCol w:w="2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10651"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cs="宋体"/>
                <w:b/>
                <w:bCs/>
                <w:i w:val="0"/>
                <w:iCs w:val="0"/>
                <w:color w:val="000000"/>
                <w:kern w:val="0"/>
                <w:sz w:val="28"/>
                <w:szCs w:val="28"/>
                <w:u w:val="none"/>
                <w:lang w:val="en-US" w:eastAsia="zh-CN" w:bidi="ar"/>
              </w:rPr>
              <w:t>2026年永壁永津及渝湘复线机电维护劳务分包（第二次）</w:t>
            </w:r>
            <w:r>
              <w:rPr>
                <w:rFonts w:hint="eastAsia" w:ascii="宋体" w:hAnsi="宋体" w:eastAsia="宋体" w:cs="宋体"/>
                <w:b/>
                <w:bCs/>
                <w:i w:val="0"/>
                <w:iCs w:val="0"/>
                <w:color w:val="000000"/>
                <w:kern w:val="0"/>
                <w:sz w:val="28"/>
                <w:szCs w:val="28"/>
                <w:u w:val="none"/>
                <w:lang w:val="en-US" w:eastAsia="zh-CN" w:bidi="ar"/>
              </w:rPr>
              <w:t>报价清单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w:t>
            </w:r>
          </w:p>
        </w:tc>
        <w:tc>
          <w:tcPr>
            <w:tcW w:w="993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永壁永津维护费用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月</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含税综合限价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含税综合报价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含税合价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维护人员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14534.54 </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永津路15.499公里，涉及隧道1座，单洞2.071公里，收费站2座车道18条，永壁路25.579公里，涉及隧道1座，单洞1.443公里，收费站5座车道44条；要求3名维护人员(强电1名和弱电2名），1辆维护用车。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维护车辆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辆</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6598.12 </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1"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安全生产费</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12048.42 </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按维护人员和维护车辆合价的2%计取，据实结算</w:t>
            </w:r>
          </w:p>
        </w:tc>
        <w:tc>
          <w:tcPr>
            <w:tcW w:w="21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2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小计</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w:t>
            </w:r>
          </w:p>
        </w:tc>
        <w:tc>
          <w:tcPr>
            <w:tcW w:w="993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渝湘复线维护费用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月</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含税综合限价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含税合价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维护人员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14534.54 </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渝湘复线酉彭段桩号K196-K248（周家寨收费站-铜西互通）维护里程共计52公里，涉及隧道14座，单洞27.94公里，收费站4座收费车道30条；要求5名维护人员(强电1名和弱电4名），1辆维护用车。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维护车辆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辆</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7771.91 </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8"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安全生产费</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19306.71 </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按维护人员和维护车辆合价的2%计取，据实结算</w:t>
            </w: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2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小计</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2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0.00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r>
    </w:tbl>
    <w:p>
      <w:pPr>
        <w:spacing w:line="420" w:lineRule="exact"/>
        <w:ind w:firstLine="420" w:firstLineChars="200"/>
        <w:rPr>
          <w:rFonts w:hint="eastAsia" w:ascii="宋体" w:hAnsi="宋体" w:eastAsia="宋体" w:cs="Times New Roman"/>
          <w:color w:val="auto"/>
          <w:highlight w:val="none"/>
          <w:lang w:val="en-US" w:eastAsia="zh-CN"/>
        </w:rPr>
      </w:pPr>
      <w:bookmarkStart w:id="270" w:name="_Toc513633971"/>
      <w:bookmarkStart w:id="271" w:name="_Toc11329278"/>
      <w:bookmarkStart w:id="272" w:name="_Toc503951050"/>
      <w:bookmarkStart w:id="273" w:name="_Toc152045803"/>
      <w:bookmarkStart w:id="274" w:name="_Toc246996369"/>
      <w:bookmarkStart w:id="275" w:name="_Toc152042592"/>
      <w:bookmarkStart w:id="276" w:name="_Toc247085887"/>
      <w:bookmarkStart w:id="277" w:name="_Toc179632823"/>
      <w:bookmarkStart w:id="278" w:name="_Toc144974871"/>
      <w:bookmarkStart w:id="279" w:name="_Toc447827058"/>
      <w:bookmarkStart w:id="280" w:name="_Toc246997112"/>
    </w:p>
    <w:p>
      <w:pPr>
        <w:spacing w:line="420" w:lineRule="exact"/>
        <w:ind w:firstLine="420" w:firstLineChars="200"/>
        <w:rPr>
          <w:rFonts w:hint="eastAsia" w:ascii="宋体" w:hAnsi="宋体" w:eastAsia="宋体" w:cs="Times New Roman"/>
          <w:color w:val="auto"/>
          <w:highlight w:val="none"/>
          <w:lang w:val="en-US" w:eastAsia="zh-CN"/>
        </w:rPr>
      </w:pPr>
    </w:p>
    <w:p>
      <w:pPr>
        <w:spacing w:line="420" w:lineRule="exact"/>
        <w:ind w:firstLine="420" w:firstLineChars="200"/>
        <w:rPr>
          <w:rFonts w:ascii="宋体" w:hAnsi="宋体" w:eastAsia="宋体" w:cs="Times New Roman"/>
          <w:snapToGrid w:val="0"/>
          <w:color w:val="auto"/>
          <w:w w:val="99"/>
          <w:highlight w:val="none"/>
        </w:rPr>
      </w:pPr>
      <w:r>
        <w:rPr>
          <w:rFonts w:hint="eastAsia" w:ascii="宋体" w:hAnsi="宋体" w:eastAsia="宋体" w:cs="Times New Roman"/>
          <w:color w:val="auto"/>
          <w:highlight w:val="none"/>
          <w:lang w:val="en-US" w:eastAsia="zh-CN"/>
        </w:rPr>
        <w:t>1</w:t>
      </w:r>
      <w:r>
        <w:rPr>
          <w:rFonts w:hint="eastAsia" w:ascii="宋体" w:hAnsi="宋体" w:eastAsia="宋体" w:cs="Times New Roman"/>
          <w:color w:val="auto"/>
          <w:highlight w:val="none"/>
        </w:rPr>
        <w:t>、</w:t>
      </w:r>
      <w:r>
        <w:rPr>
          <w:rFonts w:hint="eastAsia" w:ascii="宋体" w:hAnsi="宋体" w:cs="Times New Roman"/>
          <w:color w:val="auto"/>
          <w:highlight w:val="none"/>
          <w:lang w:val="en-US" w:eastAsia="zh-CN"/>
        </w:rPr>
        <w:t>含税</w:t>
      </w:r>
      <w:r>
        <w:rPr>
          <w:rFonts w:hint="eastAsia" w:ascii="宋体" w:hAnsi="宋体" w:eastAsia="宋体" w:cs="Times New Roman"/>
          <w:color w:val="auto"/>
          <w:highlight w:val="none"/>
        </w:rPr>
        <w:t>总报价</w:t>
      </w:r>
      <w:r>
        <w:rPr>
          <w:rFonts w:ascii="宋体" w:hAnsi="宋体" w:eastAsia="宋体" w:cs="Times New Roman"/>
          <w:color w:val="auto"/>
          <w:highlight w:val="none"/>
        </w:rPr>
        <w:t>应与</w:t>
      </w:r>
      <w:r>
        <w:rPr>
          <w:rFonts w:hint="eastAsia" w:ascii="宋体" w:hAnsi="宋体" w:cs="Times New Roman"/>
          <w:color w:val="auto"/>
          <w:highlight w:val="none"/>
          <w:lang w:eastAsia="zh-CN"/>
        </w:rPr>
        <w:t>竞争性比选</w:t>
      </w:r>
      <w:r>
        <w:rPr>
          <w:rFonts w:hint="eastAsia" w:ascii="宋体" w:hAnsi="宋体" w:eastAsia="宋体" w:cs="Times New Roman"/>
          <w:color w:val="auto"/>
          <w:highlight w:val="none"/>
        </w:rPr>
        <w:t>响应声明书</w:t>
      </w:r>
      <w:r>
        <w:rPr>
          <w:rFonts w:ascii="宋体" w:hAnsi="宋体" w:eastAsia="宋体" w:cs="Times New Roman"/>
          <w:color w:val="auto"/>
          <w:highlight w:val="none"/>
        </w:rPr>
        <w:t>中的</w:t>
      </w:r>
      <w:r>
        <w:rPr>
          <w:rFonts w:hint="eastAsia" w:ascii="宋体" w:hAnsi="宋体" w:eastAsia="宋体" w:cs="Times New Roman"/>
          <w:color w:val="auto"/>
          <w:highlight w:val="none"/>
        </w:rPr>
        <w:t>报价</w:t>
      </w:r>
      <w:r>
        <w:rPr>
          <w:rFonts w:ascii="宋体" w:hAnsi="宋体" w:eastAsia="宋体" w:cs="Times New Roman"/>
          <w:color w:val="auto"/>
          <w:highlight w:val="none"/>
        </w:rPr>
        <w:t>一致；所有价格均系用人民币表示，单位为“元”，报价最多精确到</w:t>
      </w:r>
      <w:r>
        <w:rPr>
          <w:rFonts w:ascii="宋体" w:hAnsi="宋体" w:eastAsia="宋体" w:cs="Times New Roman"/>
          <w:b/>
          <w:bCs/>
          <w:color w:val="auto"/>
          <w:highlight w:val="none"/>
        </w:rPr>
        <w:t>小数点后两位</w:t>
      </w:r>
      <w:r>
        <w:rPr>
          <w:rFonts w:ascii="宋体" w:hAnsi="宋体" w:eastAsia="宋体" w:cs="Times New Roman"/>
          <w:color w:val="auto"/>
          <w:highlight w:val="none"/>
        </w:rPr>
        <w:t>。</w:t>
      </w:r>
    </w:p>
    <w:p>
      <w:pPr>
        <w:spacing w:line="420" w:lineRule="exact"/>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lang w:val="en-US" w:eastAsia="zh-CN"/>
        </w:rPr>
        <w:t>2</w:t>
      </w:r>
      <w:r>
        <w:rPr>
          <w:rFonts w:hint="eastAsia" w:ascii="宋体" w:hAnsi="宋体" w:eastAsia="宋体" w:cs="Times New Roman"/>
          <w:color w:val="auto"/>
          <w:highlight w:val="none"/>
        </w:rPr>
        <w:t>、</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人应仔细核实</w:t>
      </w:r>
      <w:r>
        <w:rPr>
          <w:rFonts w:hint="eastAsia" w:ascii="宋体" w:hAnsi="宋体" w:eastAsia="宋体" w:cs="Times New Roman"/>
          <w:color w:val="auto"/>
          <w:highlight w:val="none"/>
          <w:lang w:val="en-US" w:eastAsia="zh-CN"/>
        </w:rPr>
        <w:t>比选</w:t>
      </w:r>
      <w:r>
        <w:rPr>
          <w:rFonts w:ascii="宋体" w:hAnsi="宋体" w:eastAsia="宋体" w:cs="Times New Roman"/>
          <w:color w:val="auto"/>
          <w:highlight w:val="none"/>
        </w:rPr>
        <w:t>范围内所包含的所有计费项目，未报及漏报的项目将视为是</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人对</w:t>
      </w:r>
      <w:r>
        <w:rPr>
          <w:rFonts w:hint="eastAsia" w:ascii="宋体" w:hAnsi="宋体" w:eastAsia="宋体" w:cs="Times New Roman"/>
          <w:color w:val="auto"/>
          <w:highlight w:val="none"/>
          <w:lang w:val="en-US" w:eastAsia="zh-CN"/>
        </w:rPr>
        <w:t>采购</w:t>
      </w:r>
      <w:r>
        <w:rPr>
          <w:rFonts w:ascii="宋体" w:hAnsi="宋体" w:eastAsia="宋体" w:cs="Times New Roman"/>
          <w:color w:val="auto"/>
          <w:highlight w:val="none"/>
        </w:rPr>
        <w:t>人进行优惠，结算时不再进行增加。</w:t>
      </w:r>
    </w:p>
    <w:p>
      <w:pPr>
        <w:tabs>
          <w:tab w:val="left" w:pos="7140"/>
          <w:tab w:val="left" w:pos="7560"/>
          <w:tab w:val="left" w:pos="8300"/>
        </w:tabs>
        <w:autoSpaceDE w:val="0"/>
        <w:autoSpaceDN w:val="0"/>
        <w:adjustRightInd w:val="0"/>
        <w:spacing w:line="360" w:lineRule="auto"/>
        <w:ind w:right="210" w:firstLine="4907" w:firstLineChars="2337"/>
        <w:rPr>
          <w:rFonts w:hint="eastAsia" w:ascii="宋体" w:hAnsi="宋体"/>
          <w:snapToGrid w:val="0"/>
          <w:color w:val="auto"/>
          <w:kern w:val="0"/>
          <w:szCs w:val="21"/>
          <w:highlight w:val="none"/>
          <w:lang w:val="en-US" w:eastAsia="zh-CN"/>
        </w:rPr>
      </w:pPr>
    </w:p>
    <w:p>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pPr>
        <w:rPr>
          <w:rFonts w:hint="eastAsia"/>
          <w:highlight w:val="none"/>
        </w:rPr>
      </w:pPr>
    </w:p>
    <w:p>
      <w:pPr>
        <w:pStyle w:val="3"/>
        <w:spacing w:before="0" w:after="0" w:line="360" w:lineRule="auto"/>
        <w:jc w:val="both"/>
        <w:rPr>
          <w:rFonts w:hint="eastAsia" w:ascii="宋体" w:hAnsi="宋体" w:eastAsia="宋体" w:cs="宋体"/>
          <w:color w:val="auto"/>
          <w:sz w:val="28"/>
          <w:highlight w:val="none"/>
        </w:rPr>
      </w:pPr>
    </w:p>
    <w:p>
      <w:pPr>
        <w:pStyle w:val="3"/>
        <w:spacing w:before="0" w:after="0" w:line="360" w:lineRule="auto"/>
        <w:jc w:val="both"/>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End w:id="270"/>
      <w:bookmarkEnd w:id="271"/>
      <w:bookmarkEnd w:id="272"/>
      <w:bookmarkStart w:id="281" w:name="_Toc5278"/>
      <w:bookmarkStart w:id="282" w:name="_Toc18757"/>
      <w:bookmarkStart w:id="283" w:name="_Toc12910"/>
      <w:bookmarkStart w:id="284" w:name="_Toc7430"/>
      <w:bookmarkStart w:id="285" w:name="_Toc11961"/>
      <w:r>
        <w:rPr>
          <w:rFonts w:hint="eastAsia" w:ascii="宋体" w:hAnsi="宋体" w:eastAsia="宋体" w:cs="宋体"/>
          <w:color w:val="auto"/>
          <w:sz w:val="28"/>
          <w:highlight w:val="none"/>
        </w:rPr>
        <w:t>四、资格审查资料</w:t>
      </w:r>
      <w:bookmarkEnd w:id="281"/>
      <w:bookmarkEnd w:id="282"/>
      <w:bookmarkEnd w:id="283"/>
      <w:bookmarkEnd w:id="284"/>
      <w:bookmarkEnd w:id="285"/>
    </w:p>
    <w:p>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pPr>
              <w:pageBreakBefore w:val="0"/>
              <w:widowControl w:val="0"/>
              <w:numPr>
                <w:ilvl w:val="0"/>
                <w:numId w:val="0"/>
              </w:numPr>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bookmarkStart w:id="286" w:name="资质要求2"/>
            <w:r>
              <w:rPr>
                <w:rFonts w:hint="eastAsia" w:ascii="宋体" w:hAnsi="宋体" w:eastAsia="宋体" w:cs="宋体"/>
                <w:color w:val="auto"/>
                <w:kern w:val="2"/>
                <w:sz w:val="21"/>
                <w:szCs w:val="21"/>
                <w:lang w:val="en-US" w:eastAsia="zh-CN" w:bidi="ar-SA"/>
              </w:rPr>
              <w:t>（1）</w:t>
            </w:r>
            <w:r>
              <w:rPr>
                <w:rFonts w:hint="eastAsia" w:ascii="宋体" w:hAnsi="宋体" w:cs="宋体"/>
                <w:color w:val="auto"/>
                <w:sz w:val="21"/>
                <w:szCs w:val="21"/>
                <w:highlight w:val="none"/>
                <w:lang w:val="en-US" w:eastAsia="zh-CN"/>
              </w:rPr>
              <w:t>具有独立法人资格和有效的营业执照；</w:t>
            </w:r>
          </w:p>
          <w:p>
            <w:pPr>
              <w:pageBreakBefore w:val="0"/>
              <w:widowControl w:val="0"/>
              <w:numPr>
                <w:ilvl w:val="0"/>
                <w:numId w:val="0"/>
              </w:numPr>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（2）具备有效的安全生产许可证；</w:t>
            </w:r>
          </w:p>
          <w:p>
            <w:pPr>
              <w:pageBreakBefore w:val="0"/>
              <w:widowControl w:val="0"/>
              <w:numPr>
                <w:ilvl w:val="0"/>
                <w:numId w:val="0"/>
              </w:numPr>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（3）具备有效的建设行政主管部门颁发的施工劳务企业资质。 </w:t>
            </w:r>
          </w:p>
          <w:p>
            <w:pPr>
              <w:pageBreakBefore w:val="0"/>
              <w:widowControl w:val="0"/>
              <w:numPr>
                <w:ilvl w:val="0"/>
                <w:numId w:val="0"/>
              </w:numPr>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注：须提供有效资质证书复印件须加盖报价人公章。</w:t>
            </w:r>
            <w:bookmarkEnd w:id="28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2022年1月1日起至投标截止日具有一项合同额不低于80万元的高速公路维护业绩，提供业绩合同复印件；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注：1.提供公司营业执照复印件，并加盖单位公章。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提供合同复印件（合同需清晰反映上述业绩要求的主要内容，包括但不限于合同签订时间、合同金额及合同内容）、验收报告、结算发票复印件（发票金额不得低于业绩要求金额），并盖单位公章。若合同中无法体现上述内容的，则还需出具加盖业主公章的业主证明材料</w:t>
            </w:r>
            <w:r>
              <w:rPr>
                <w:rFonts w:hint="eastAsia" w:hAnsi="宋体"/>
                <w:b/>
                <w:bCs/>
                <w:color w:val="auto"/>
                <w:kern w:val="0"/>
                <w:szCs w:val="21"/>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pPr>
        <w:rPr>
          <w:rFonts w:hint="eastAsia" w:asciiTheme="majorEastAsia" w:hAnsiTheme="majorEastAsia" w:eastAsiaTheme="majorEastAsia" w:cstheme="majorEastAsia"/>
          <w:b/>
          <w:bCs/>
          <w:color w:val="auto"/>
          <w:kern w:val="0"/>
          <w:sz w:val="28"/>
          <w:szCs w:val="32"/>
          <w:highlight w:val="none"/>
          <w:lang w:val="en-US" w:eastAsia="zh-CN" w:bidi="ar-SA"/>
        </w:rPr>
      </w:pPr>
    </w:p>
    <w:p>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pPr>
              <w:spacing w:line="400" w:lineRule="exact"/>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（1）配备项目经理1名，须具备有效的二级及以上建造师资格或中级工程师及以上职称；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（2）配备安全负责人1名，配备安全负责人1名，具备建设行政主管部门颁发的安全生产考核合格证（建委 C 证或交委 C 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cs="宋体"/>
                <w:b w:val="0"/>
                <w:bCs w:val="0"/>
                <w:color w:val="auto"/>
                <w:szCs w:val="21"/>
                <w:highlight w:val="none"/>
                <w:lang w:val="en-US" w:eastAsia="zh-CN"/>
              </w:rPr>
              <w:t>注：须提供以上人员有效资质证书复印件、人员劳动合同复印件和递交2025年10月至2026年12月的养老保险证明（带有社保部门公章或社保部门的有效电子印章），并加盖报价人单位公章。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pPr>
              <w:spacing w:line="4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lang w:val="en-US" w:eastAsia="zh-CN"/>
              </w:rPr>
            </w:pPr>
          </w:p>
        </w:tc>
      </w:tr>
    </w:tbl>
    <w:p>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10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12 </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p>
      <w:pPr>
        <w:spacing w:line="400" w:lineRule="exact"/>
        <w:ind w:firstLine="420" w:firstLineChars="200"/>
        <w:jc w:val="left"/>
        <w:rPr>
          <w:rFonts w:hint="eastAsia" w:ascii="宋体" w:hAnsi="宋体" w:cs="宋体"/>
          <w:color w:val="auto"/>
          <w:szCs w:val="21"/>
          <w:highlight w:val="none"/>
        </w:rPr>
      </w:pPr>
    </w:p>
    <w:p>
      <w:pPr>
        <w:pStyle w:val="16"/>
        <w:rPr>
          <w:rFonts w:hint="eastAsia" w:hAnsi="宋体"/>
          <w:color w:val="auto"/>
          <w:sz w:val="21"/>
          <w:szCs w:val="21"/>
          <w:highlight w:val="none"/>
        </w:rPr>
      </w:pPr>
      <w:r>
        <w:rPr>
          <w:rFonts w:hint="eastAsia" w:ascii="宋体" w:hAnsi="宋体" w:eastAsia="宋体" w:cs="宋体"/>
          <w:color w:val="auto"/>
          <w:sz w:val="28"/>
          <w:highlight w:val="none"/>
        </w:rPr>
        <w:br w:type="page"/>
      </w:r>
      <w:bookmarkEnd w:id="273"/>
      <w:bookmarkEnd w:id="274"/>
      <w:bookmarkEnd w:id="275"/>
      <w:bookmarkEnd w:id="276"/>
      <w:bookmarkEnd w:id="277"/>
      <w:bookmarkEnd w:id="278"/>
      <w:bookmarkEnd w:id="279"/>
      <w:bookmarkEnd w:id="280"/>
      <w:bookmarkStart w:id="287" w:name="_Toc447827068"/>
      <w:bookmarkStart w:id="288" w:name="_Toc503951055"/>
      <w:bookmarkStart w:id="289" w:name="_Toc513633973"/>
      <w:bookmarkStart w:id="290" w:name="_Toc11329281"/>
      <w:bookmarkStart w:id="291" w:name="_Toc11672"/>
    </w:p>
    <w:bookmarkEnd w:id="287"/>
    <w:bookmarkEnd w:id="288"/>
    <w:bookmarkEnd w:id="289"/>
    <w:p>
      <w:pPr>
        <w:pStyle w:val="3"/>
        <w:numPr>
          <w:ilvl w:val="0"/>
          <w:numId w:val="6"/>
        </w:numPr>
        <w:spacing w:before="0" w:after="0" w:line="360" w:lineRule="auto"/>
        <w:jc w:val="center"/>
        <w:rPr>
          <w:rFonts w:hint="eastAsia" w:ascii="宋体" w:hAnsi="宋体" w:eastAsia="宋体" w:cs="宋体"/>
          <w:color w:val="auto"/>
          <w:sz w:val="28"/>
          <w:highlight w:val="none"/>
        </w:rPr>
      </w:pPr>
      <w:bookmarkStart w:id="292" w:name="_Toc28818"/>
      <w:bookmarkStart w:id="293" w:name="_Toc31027"/>
      <w:bookmarkStart w:id="294" w:name="_Toc29559"/>
      <w:bookmarkStart w:id="295" w:name="_Toc11243"/>
      <w:r>
        <w:rPr>
          <w:rFonts w:hint="eastAsia" w:ascii="宋体" w:hAnsi="宋体" w:eastAsia="宋体" w:cs="宋体"/>
          <w:color w:val="auto"/>
          <w:sz w:val="28"/>
          <w:highlight w:val="none"/>
        </w:rPr>
        <w:t>报价人须知前附表规定的材料</w:t>
      </w:r>
      <w:bookmarkEnd w:id="290"/>
      <w:bookmarkEnd w:id="291"/>
      <w:bookmarkEnd w:id="292"/>
      <w:bookmarkEnd w:id="293"/>
      <w:bookmarkEnd w:id="294"/>
      <w:bookmarkEnd w:id="295"/>
    </w:p>
    <w:p>
      <w:pPr>
        <w:pStyle w:val="4"/>
        <w:keepNext/>
        <w:keepLines/>
        <w:pageBreakBefore w:val="0"/>
        <w:widowControl w:val="0"/>
        <w:kinsoku/>
        <w:wordWrap/>
        <w:overflowPunct/>
        <w:topLinePunct w:val="0"/>
        <w:autoSpaceDE/>
        <w:autoSpaceDN/>
        <w:bidi w:val="0"/>
        <w:adjustRightInd/>
        <w:snapToGrid/>
        <w:spacing w:before="157" w:beforeLines="50" w:after="313" w:afterLines="100" w:line="500" w:lineRule="exact"/>
        <w:jc w:val="center"/>
        <w:textAlignment w:val="auto"/>
        <w:rPr>
          <w:rFonts w:ascii="宋体" w:hAnsi="宋体" w:cs="宋体"/>
          <w:color w:val="auto"/>
          <w:sz w:val="28"/>
          <w:highlight w:val="none"/>
        </w:rPr>
      </w:pPr>
      <w:bookmarkStart w:id="296" w:name="_Toc507681488"/>
      <w:bookmarkStart w:id="297" w:name="_Toc504639215"/>
      <w:bookmarkStart w:id="298" w:name="_Toc507681700"/>
      <w:bookmarkStart w:id="299" w:name="_Toc503951058"/>
      <w:bookmarkStart w:id="300" w:name="_Toc513633974"/>
      <w:r>
        <w:rPr>
          <w:rFonts w:hint="eastAsia" w:ascii="宋体" w:hAnsi="宋体" w:cs="宋体"/>
          <w:color w:val="auto"/>
          <w:sz w:val="28"/>
          <w:highlight w:val="none"/>
        </w:rPr>
        <w:t>报价人自行承诺部分</w:t>
      </w:r>
      <w:bookmarkEnd w:id="296"/>
      <w:bookmarkEnd w:id="297"/>
      <w:bookmarkEnd w:id="298"/>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致：</w:t>
      </w:r>
      <w:r>
        <w:rPr>
          <w:rFonts w:hint="eastAsia" w:ascii="宋体" w:hAnsi="宋体" w:cs="宋体"/>
          <w:color w:val="auto"/>
          <w:sz w:val="21"/>
          <w:szCs w:val="21"/>
          <w:highlight w:val="none"/>
          <w:lang w:eastAsia="zh-CN"/>
        </w:rPr>
        <w:t>重庆首讯科技股份有限公司数智系统运维分公司</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7、我公司在此承诺：未被列入采购人暂停、终止、永久取消合格供应商资格（列入诚信黑名单）名单内的单位。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w:t>
      </w:r>
      <w:r>
        <w:rPr>
          <w:rFonts w:hint="eastAsia" w:ascii="宋体" w:hAnsi="宋体" w:eastAsia="宋体" w:cs="宋体"/>
          <w:color w:val="auto"/>
          <w:sz w:val="21"/>
          <w:szCs w:val="21"/>
          <w:highlight w:val="none"/>
        </w:rPr>
        <w:t>我公司在此承诺：</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项目施工、安装及调试劳务人员最低要求，后续根据界面提交情况及项目部要求增加人员，满足工程进度需要</w:t>
            </w:r>
            <w:r>
              <w:rPr>
                <w:rFonts w:hint="eastAsia" w:ascii="宋体" w:hAnsi="宋体" w:cs="宋体"/>
                <w:color w:val="auto"/>
                <w:szCs w:val="21"/>
                <w:highlight w:val="none"/>
                <w:lang w:eastAsia="zh-CN"/>
              </w:rPr>
              <w:t>：</w:t>
            </w:r>
          </w:p>
          <w:p>
            <w:pPr>
              <w:keepNext w:val="0"/>
              <w:keepLines w:val="0"/>
              <w:pageBreakBefore w:val="0"/>
              <w:widowControl w:val="0"/>
              <w:kinsoku/>
              <w:wordWrap/>
              <w:overflowPunct/>
              <w:topLinePunct w:val="0"/>
              <w:bidi w:val="0"/>
              <w:spacing w:line="320" w:lineRule="exact"/>
              <w:ind w:firstLine="400"/>
              <w:textAlignment w:val="auto"/>
              <w:rPr>
                <w:rFonts w:hint="eastAsia" w:ascii="宋体" w:hAnsi="宋体" w:eastAsia="宋体" w:cs="宋体"/>
                <w:color w:val="auto"/>
                <w:szCs w:val="21"/>
                <w:highlight w:val="none"/>
                <w:u w:val="single"/>
                <w:lang w:eastAsia="zh-CN"/>
              </w:rPr>
            </w:pPr>
            <w:r>
              <w:rPr>
                <w:rFonts w:hint="eastAsia" w:ascii="宋体" w:hAnsi="宋体" w:eastAsia="宋体" w:cs="宋体"/>
                <w:color w:val="auto"/>
                <w:szCs w:val="21"/>
                <w:highlight w:val="none"/>
                <w:u w:val="single"/>
                <w:lang w:eastAsia="zh-CN"/>
              </w:rPr>
              <w:t>永川至璧山高速公路及三环高速公路陈食至油溪段：3名维护人员(强电1名和弱电2名，强电人员需具有3年以上供配电维护经验，须持特种作业证上岗，弱电人员需持特种作业证和上岗，其中二人居均持有C1 及以上驾照和不少于1 名维护人员持有有效的高空作业证，并具3年以上驾驶经验)；</w:t>
            </w:r>
          </w:p>
          <w:p>
            <w:pPr>
              <w:keepNext w:val="0"/>
              <w:keepLines w:val="0"/>
              <w:pageBreakBefore w:val="0"/>
              <w:widowControl w:val="0"/>
              <w:kinsoku/>
              <w:wordWrap/>
              <w:overflowPunct/>
              <w:topLinePunct w:val="0"/>
              <w:bidi w:val="0"/>
              <w:spacing w:line="320" w:lineRule="exact"/>
              <w:ind w:firstLine="4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u w:val="single"/>
                <w:lang w:eastAsia="zh-CN"/>
              </w:rPr>
              <w:t>S3渝湘复线酉彭段机：5名维护人员(强电1名和弱电4名，强电人员需具有3年以上供配电维护经验，须持特种作业证上岗，弱电人员需持特种作业证和上岗，其中二人居均持有C1及以上驾照和不少于1名维护人员持有有效的高空作业证，并具3年以上驾驶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aps/>
                <w:color w:val="auto"/>
                <w:szCs w:val="21"/>
                <w:highlight w:val="none"/>
                <w:u w:val="single"/>
                <w:lang w:eastAsia="zh-CN"/>
              </w:rPr>
            </w:pPr>
            <w:r>
              <w:rPr>
                <w:rFonts w:hint="eastAsia" w:ascii="宋体" w:hAnsi="宋体" w:cs="宋体"/>
                <w:caps/>
                <w:color w:val="auto"/>
                <w:szCs w:val="21"/>
                <w:highlight w:val="none"/>
                <w:u w:val="single"/>
                <w:lang w:eastAsia="zh-CN"/>
              </w:rPr>
              <w:tab/>
            </w:r>
            <w:r>
              <w:rPr>
                <w:rFonts w:hint="eastAsia" w:ascii="宋体" w:hAnsi="宋体" w:cs="宋体"/>
                <w:caps/>
                <w:color w:val="auto"/>
                <w:szCs w:val="21"/>
                <w:highlight w:val="none"/>
                <w:u w:val="single"/>
                <w:lang w:eastAsia="zh-CN"/>
              </w:rPr>
              <w:t>永川至璧山高速公路及三环高速公路陈食至油溪段：一辆维护用车(提供行驶证)进行配备。</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aps/>
                <w:color w:val="auto"/>
                <w:szCs w:val="21"/>
                <w:highlight w:val="none"/>
                <w:u w:val="single"/>
                <w:lang w:eastAsia="zh-CN"/>
              </w:rPr>
            </w:pPr>
            <w:r>
              <w:rPr>
                <w:rFonts w:hint="eastAsia" w:ascii="宋体" w:hAnsi="宋体" w:cs="宋体"/>
                <w:caps/>
                <w:color w:val="auto"/>
                <w:szCs w:val="21"/>
                <w:highlight w:val="none"/>
                <w:u w:val="single"/>
                <w:lang w:eastAsia="zh-CN"/>
              </w:rPr>
              <w:t>S3渝湘复线酉彭段机：一辆维护用车(提供行驶证)进行配备。</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aps/>
                <w:color w:val="auto"/>
                <w:szCs w:val="21"/>
                <w:highlight w:val="none"/>
                <w:lang w:eastAsia="zh-CN"/>
              </w:rPr>
            </w:pPr>
            <w:r>
              <w:rPr>
                <w:rFonts w:hint="eastAsia" w:ascii="宋体" w:hAnsi="宋体" w:cs="宋体"/>
                <w:caps/>
                <w:color w:val="auto"/>
                <w:szCs w:val="21"/>
                <w:highlight w:val="none"/>
                <w:u w:val="single"/>
                <w:lang w:eastAsia="zh-CN"/>
              </w:rPr>
              <w:t>以上要求为最低要求，后续根据采购人要求追加机械设备，以满足项目需要：</w:t>
            </w:r>
          </w:p>
          <w:p>
            <w:pPr>
              <w:keepNext w:val="0"/>
              <w:keepLines w:val="0"/>
              <w:pageBreakBefore w:val="0"/>
              <w:widowControl w:val="0"/>
              <w:kinsoku/>
              <w:wordWrap/>
              <w:overflowPunct/>
              <w:topLinePunct w:val="0"/>
              <w:bidi w:val="0"/>
              <w:spacing w:line="320" w:lineRule="exact"/>
              <w:ind w:firstLine="420" w:firstLineChars="200"/>
              <w:textAlignment w:val="auto"/>
              <w:rPr>
                <w:rFonts w:ascii="宋体" w:hAnsi="宋体" w:cs="宋体"/>
                <w:color w:val="auto"/>
                <w:szCs w:val="21"/>
                <w:highlight w:val="none"/>
              </w:rPr>
            </w:pPr>
            <w:r>
              <w:rPr>
                <w:rFonts w:hint="eastAsia" w:ascii="宋体" w:hAnsi="宋体" w:cs="宋体"/>
                <w:caps/>
                <w:color w:val="auto"/>
                <w:szCs w:val="21"/>
                <w:highlight w:val="none"/>
                <w:lang w:eastAsia="zh-CN"/>
              </w:rPr>
              <w:tab/>
            </w:r>
            <w:bookmarkStart w:id="301" w:name="主要机械设备要求1"/>
            <w:r>
              <w:rPr>
                <w:rFonts w:hint="eastAsia" w:ascii="宋体" w:hAnsi="宋体" w:cs="宋体"/>
                <w:caps/>
                <w:color w:val="auto"/>
                <w:szCs w:val="21"/>
                <w:highlight w:val="none"/>
                <w:u w:val="single"/>
                <w:lang w:eastAsia="zh-CN"/>
              </w:rPr>
              <w:t>满足项目需求。</w:t>
            </w:r>
            <w:bookmarkEnd w:id="301"/>
          </w:p>
        </w:tc>
      </w:tr>
    </w:tbl>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pPr>
        <w:pStyle w:val="3"/>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bookmarkStart w:id="302" w:name="_Toc14261"/>
      <w:bookmarkStart w:id="303" w:name="_Toc4456"/>
      <w:r>
        <w:rPr>
          <w:rFonts w:hint="eastAsia" w:ascii="宋体" w:hAnsi="宋体" w:eastAsia="宋体" w:cs="宋体"/>
          <w:color w:val="auto"/>
          <w:sz w:val="28"/>
          <w:highlight w:val="none"/>
        </w:rPr>
        <w:t>六、现场安全负责人承诺书</w:t>
      </w:r>
      <w:bookmarkEnd w:id="302"/>
    </w:p>
    <w:p>
      <w:pPr>
        <w:rPr>
          <w:color w:val="auto"/>
          <w:highlight w:val="none"/>
        </w:rPr>
      </w:pPr>
    </w:p>
    <w:p>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cs="宋体"/>
          <w:b/>
          <w:bCs/>
          <w:color w:val="auto"/>
          <w:sz w:val="21"/>
          <w:szCs w:val="21"/>
          <w:highlight w:val="none"/>
          <w:lang w:val="en-US" w:eastAsia="zh-CN"/>
        </w:rPr>
        <w:t>重庆首讯科技股份有限公司数智系统运维分公司</w:t>
      </w:r>
    </w:p>
    <w:p>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pPr>
        <w:pStyle w:val="16"/>
        <w:rPr>
          <w:color w:val="auto"/>
          <w:highlight w:val="none"/>
        </w:rPr>
      </w:pPr>
    </w:p>
    <w:p>
      <w:pPr>
        <w:pStyle w:val="16"/>
        <w:rPr>
          <w:color w:val="auto"/>
          <w:highlight w:val="none"/>
        </w:rPr>
      </w:pPr>
    </w:p>
    <w:p>
      <w:pPr>
        <w:rPr>
          <w:color w:val="auto"/>
          <w:highlight w:val="none"/>
        </w:rPr>
      </w:pPr>
    </w:p>
    <w:p>
      <w:pPr>
        <w:pStyle w:val="16"/>
        <w:rPr>
          <w:rFonts w:hint="eastAsia" w:ascii="宋体" w:hAnsi="宋体" w:eastAsia="宋体" w:cs="宋体"/>
          <w:color w:val="auto"/>
          <w:sz w:val="21"/>
          <w:szCs w:val="21"/>
          <w:highlight w:val="none"/>
          <w:lang w:val="en-US" w:eastAsia="zh-CN"/>
        </w:rPr>
      </w:pPr>
    </w:p>
    <w:p>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pPr>
        <w:jc w:val="right"/>
        <w:rPr>
          <w:rFonts w:hint="eastAsia" w:ascii="宋体" w:hAnsi="宋体"/>
          <w:color w:val="auto"/>
          <w:kern w:val="0"/>
          <w:szCs w:val="21"/>
          <w:highlight w:val="none"/>
          <w:u w:val="single"/>
        </w:rPr>
      </w:pPr>
    </w:p>
    <w:p>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pPr>
        <w:pStyle w:val="3"/>
        <w:spacing w:before="0" w:after="0" w:line="360" w:lineRule="auto"/>
        <w:ind w:firstLine="642"/>
        <w:jc w:val="center"/>
        <w:rPr>
          <w:rFonts w:ascii="宋体" w:hAnsi="宋体" w:eastAsia="宋体" w:cs="宋体"/>
          <w:color w:val="auto"/>
          <w:sz w:val="28"/>
          <w:highlight w:val="none"/>
        </w:rPr>
      </w:pPr>
      <w:bookmarkStart w:id="304" w:name="_Toc15807"/>
      <w:r>
        <w:rPr>
          <w:rFonts w:hint="eastAsia" w:ascii="宋体" w:hAnsi="宋体" w:eastAsia="宋体" w:cs="宋体"/>
          <w:color w:val="auto"/>
          <w:sz w:val="28"/>
          <w:highlight w:val="none"/>
        </w:rPr>
        <w:t>七、报价人基本信息及其他材料</w:t>
      </w:r>
      <w:bookmarkEnd w:id="303"/>
      <w:bookmarkEnd w:id="304"/>
    </w:p>
    <w:p>
      <w:pPr>
        <w:pStyle w:val="4"/>
        <w:spacing w:before="0" w:after="0" w:line="360" w:lineRule="auto"/>
        <w:jc w:val="center"/>
        <w:rPr>
          <w:color w:val="auto"/>
          <w:sz w:val="28"/>
          <w:szCs w:val="28"/>
          <w:highlight w:val="none"/>
        </w:rPr>
      </w:pPr>
      <w:bookmarkStart w:id="305" w:name="_Toc452107137"/>
      <w:bookmarkStart w:id="306" w:name="_Toc4375"/>
      <w:bookmarkStart w:id="307" w:name="_Toc508110857"/>
      <w:r>
        <w:rPr>
          <w:rFonts w:hint="eastAsia"/>
          <w:color w:val="auto"/>
          <w:sz w:val="28"/>
          <w:szCs w:val="28"/>
          <w:highlight w:val="none"/>
        </w:rPr>
        <w:t>（一）报价人基本信息表</w:t>
      </w:r>
      <w:bookmarkEnd w:id="305"/>
      <w:bookmarkEnd w:id="306"/>
      <w:bookmarkEnd w:id="307"/>
    </w:p>
    <w:p>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bl>
    <w:p>
      <w:pPr>
        <w:rPr>
          <w:rFonts w:hint="eastAsia"/>
          <w:color w:val="auto"/>
          <w:highlight w:val="none"/>
          <w:lang w:val="en-US" w:eastAsia="zh-CN"/>
        </w:rPr>
      </w:pPr>
      <w:r>
        <w:rPr>
          <w:rFonts w:hint="eastAsia"/>
          <w:color w:val="auto"/>
          <w:highlight w:val="none"/>
          <w:lang w:val="en-US" w:eastAsia="zh-CN"/>
        </w:rPr>
        <w:br w:type="page"/>
      </w:r>
    </w:p>
    <w:p>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pPr>
        <w:pStyle w:val="3"/>
        <w:spacing w:before="0" w:after="0" w:line="360" w:lineRule="auto"/>
        <w:jc w:val="center"/>
        <w:outlineLvl w:val="9"/>
        <w:rPr>
          <w:rFonts w:ascii="宋体" w:hAnsi="宋体" w:eastAsia="宋体" w:cs="宋体"/>
          <w:color w:val="auto"/>
          <w:sz w:val="28"/>
          <w:highlight w:val="none"/>
        </w:rPr>
      </w:pPr>
    </w:p>
    <w:p>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pPr>
        <w:pStyle w:val="3"/>
        <w:spacing w:before="0" w:after="0" w:line="360" w:lineRule="auto"/>
        <w:jc w:val="center"/>
        <w:outlineLvl w:val="9"/>
        <w:rPr>
          <w:rFonts w:hint="eastAsia" w:ascii="宋体" w:hAnsi="宋体" w:eastAsia="宋体" w:cs="宋体"/>
          <w:color w:val="auto"/>
          <w:sz w:val="21"/>
          <w:szCs w:val="21"/>
          <w:highlight w:val="none"/>
        </w:rPr>
      </w:pPr>
    </w:p>
    <w:p>
      <w:pPr>
        <w:pStyle w:val="16"/>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pPr>
        <w:rPr>
          <w:rFonts w:hint="eastAsia" w:ascii="宋体" w:hAnsi="宋体" w:cs="宋体"/>
          <w:color w:val="auto"/>
          <w:sz w:val="28"/>
          <w:highlight w:val="none"/>
        </w:rPr>
      </w:pPr>
      <w:r>
        <w:rPr>
          <w:rFonts w:hint="eastAsia" w:ascii="宋体" w:hAnsi="宋体" w:cs="宋体"/>
          <w:color w:val="auto"/>
          <w:sz w:val="28"/>
          <w:highlight w:val="none"/>
        </w:rPr>
        <w:br w:type="page"/>
      </w:r>
    </w:p>
    <w:p>
      <w:pPr>
        <w:pStyle w:val="4"/>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四</w:t>
      </w:r>
      <w:r>
        <w:rPr>
          <w:rFonts w:hint="eastAsia" w:ascii="宋体" w:hAnsi="宋体" w:cs="宋体"/>
          <w:color w:val="auto"/>
          <w:sz w:val="28"/>
          <w:highlight w:val="none"/>
        </w:rPr>
        <w:t>）其他材料</w:t>
      </w:r>
    </w:p>
    <w:p>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pPr>
        <w:pStyle w:val="16"/>
        <w:rPr>
          <w:rFonts w:hint="eastAsia"/>
          <w:color w:val="auto"/>
          <w:highlight w:val="none"/>
          <w:lang w:val="en-US" w:eastAsia="zh-CN"/>
        </w:rPr>
      </w:pPr>
    </w:p>
    <w:p>
      <w:pPr>
        <w:pStyle w:val="16"/>
        <w:rPr>
          <w:color w:val="auto"/>
          <w:highlight w:val="none"/>
        </w:rPr>
      </w:pPr>
    </w:p>
    <w:p>
      <w:pPr>
        <w:rPr>
          <w:color w:val="auto"/>
          <w:highlight w:val="none"/>
        </w:rPr>
      </w:pPr>
    </w:p>
    <w:p>
      <w:pPr>
        <w:pStyle w:val="16"/>
        <w:rPr>
          <w:color w:val="auto"/>
          <w:highlight w:val="none"/>
        </w:rPr>
      </w:pPr>
    </w:p>
    <w:p>
      <w:pPr>
        <w:rPr>
          <w:color w:val="auto"/>
          <w:highlight w:val="none"/>
        </w:rPr>
      </w:pPr>
    </w:p>
    <w:p>
      <w:pPr>
        <w:pStyle w:val="16"/>
        <w:rPr>
          <w:color w:val="auto"/>
          <w:highlight w:val="none"/>
        </w:rPr>
      </w:pPr>
    </w:p>
    <w:p>
      <w:pPr>
        <w:rPr>
          <w:color w:val="auto"/>
          <w:highlight w:val="none"/>
        </w:rPr>
      </w:pPr>
    </w:p>
    <w:p>
      <w:pPr>
        <w:pStyle w:val="16"/>
        <w:rPr>
          <w:color w:val="auto"/>
          <w:highlight w:val="none"/>
        </w:rPr>
      </w:pPr>
    </w:p>
    <w:p>
      <w:pPr>
        <w:rPr>
          <w:color w:val="auto"/>
          <w:highlight w:val="none"/>
        </w:rPr>
      </w:pPr>
    </w:p>
    <w:p>
      <w:pPr>
        <w:pStyle w:val="16"/>
        <w:rPr>
          <w:color w:val="auto"/>
          <w:highlight w:val="none"/>
        </w:rPr>
      </w:pPr>
    </w:p>
    <w:p>
      <w:pPr>
        <w:rPr>
          <w:color w:val="auto"/>
          <w:highlight w:val="none"/>
        </w:rPr>
      </w:pPr>
    </w:p>
    <w:p>
      <w:pPr>
        <w:pStyle w:val="16"/>
        <w:rPr>
          <w:color w:val="auto"/>
          <w:highlight w:val="none"/>
        </w:rPr>
      </w:pPr>
    </w:p>
    <w:bookmarkEnd w:id="299"/>
    <w:bookmarkEnd w:id="300"/>
    <w:p>
      <w:pPr>
        <w:pStyle w:val="28"/>
        <w:rPr>
          <w:color w:val="auto"/>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7"/>
      </w:rPr>
    </w:pPr>
    <w:r>
      <w:fldChar w:fldCharType="begin"/>
    </w:r>
    <w:r>
      <w:rPr>
        <w:rStyle w:val="47"/>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057F4B32"/>
    <w:multiLevelType w:val="singleLevel"/>
    <w:tmpl w:val="057F4B32"/>
    <w:lvl w:ilvl="0" w:tentative="0">
      <w:start w:val="5"/>
      <w:numFmt w:val="decimal"/>
      <w:lvlText w:val="%1."/>
      <w:lvlJc w:val="left"/>
      <w:pPr>
        <w:tabs>
          <w:tab w:val="left" w:pos="312"/>
        </w:tabs>
      </w:pPr>
    </w:lvl>
  </w:abstractNum>
  <w:abstractNum w:abstractNumId="4">
    <w:nsid w:val="3871CE1D"/>
    <w:multiLevelType w:val="singleLevel"/>
    <w:tmpl w:val="3871CE1D"/>
    <w:lvl w:ilvl="0" w:tentative="0">
      <w:start w:val="1"/>
      <w:numFmt w:val="chineseCounting"/>
      <w:suff w:val="nothing"/>
      <w:lvlText w:val="%1、"/>
      <w:lvlJc w:val="left"/>
      <w:rPr>
        <w:rFonts w:hint="eastAsia"/>
      </w:rPr>
    </w:lvl>
  </w:abstractNum>
  <w:abstractNum w:abstractNumId="5">
    <w:nsid w:val="3E7CE8BC"/>
    <w:multiLevelType w:val="singleLevel"/>
    <w:tmpl w:val="3E7CE8BC"/>
    <w:lvl w:ilvl="0" w:tentative="0">
      <w:start w:val="5"/>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 w:name="KGWebUrl" w:val="http://113.250.85.227:8081/weaver/weaver.file.FileDownloadForNews?uuid=df82070b-5d12-4b3f-97cb-61c74b3d0c90&amp;fileid=273608&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088C"/>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826A17"/>
    <w:rsid w:val="0184380B"/>
    <w:rsid w:val="01852BD3"/>
    <w:rsid w:val="018A6C3C"/>
    <w:rsid w:val="01912179"/>
    <w:rsid w:val="01A32752"/>
    <w:rsid w:val="01A8609A"/>
    <w:rsid w:val="01A93FA3"/>
    <w:rsid w:val="01CA6EA2"/>
    <w:rsid w:val="01CF06BD"/>
    <w:rsid w:val="01D91B2A"/>
    <w:rsid w:val="01E05E16"/>
    <w:rsid w:val="01E05F01"/>
    <w:rsid w:val="020C0D2B"/>
    <w:rsid w:val="02195A53"/>
    <w:rsid w:val="022831DB"/>
    <w:rsid w:val="02375428"/>
    <w:rsid w:val="02427F54"/>
    <w:rsid w:val="024F494D"/>
    <w:rsid w:val="026D36BB"/>
    <w:rsid w:val="02777D77"/>
    <w:rsid w:val="028A3DDE"/>
    <w:rsid w:val="029D41FE"/>
    <w:rsid w:val="02A800C5"/>
    <w:rsid w:val="02B53517"/>
    <w:rsid w:val="02C6499B"/>
    <w:rsid w:val="02C91CAA"/>
    <w:rsid w:val="02D0709E"/>
    <w:rsid w:val="02FA438B"/>
    <w:rsid w:val="03241FF2"/>
    <w:rsid w:val="036A0087"/>
    <w:rsid w:val="037D0CD2"/>
    <w:rsid w:val="038B3366"/>
    <w:rsid w:val="03920A67"/>
    <w:rsid w:val="03981B5E"/>
    <w:rsid w:val="03996EAD"/>
    <w:rsid w:val="039F3A25"/>
    <w:rsid w:val="03F60BFA"/>
    <w:rsid w:val="04023CC8"/>
    <w:rsid w:val="040F7530"/>
    <w:rsid w:val="04144049"/>
    <w:rsid w:val="042674F4"/>
    <w:rsid w:val="042A6EF2"/>
    <w:rsid w:val="042D3C13"/>
    <w:rsid w:val="04371846"/>
    <w:rsid w:val="04566DE4"/>
    <w:rsid w:val="04722D72"/>
    <w:rsid w:val="047A0BBC"/>
    <w:rsid w:val="04933E65"/>
    <w:rsid w:val="04BF52ED"/>
    <w:rsid w:val="04C12ED8"/>
    <w:rsid w:val="04DC5749"/>
    <w:rsid w:val="04E26FED"/>
    <w:rsid w:val="04E41F94"/>
    <w:rsid w:val="04E9263C"/>
    <w:rsid w:val="04FD6633"/>
    <w:rsid w:val="050F1997"/>
    <w:rsid w:val="051536FE"/>
    <w:rsid w:val="0515595C"/>
    <w:rsid w:val="05163267"/>
    <w:rsid w:val="052E2B3B"/>
    <w:rsid w:val="054416D2"/>
    <w:rsid w:val="05507F0F"/>
    <w:rsid w:val="055A4D20"/>
    <w:rsid w:val="056F275C"/>
    <w:rsid w:val="05753C79"/>
    <w:rsid w:val="058324D6"/>
    <w:rsid w:val="05871A0A"/>
    <w:rsid w:val="05A42E7B"/>
    <w:rsid w:val="05A70EA9"/>
    <w:rsid w:val="05CE287A"/>
    <w:rsid w:val="05D55D36"/>
    <w:rsid w:val="060C2525"/>
    <w:rsid w:val="062756FD"/>
    <w:rsid w:val="06465A4B"/>
    <w:rsid w:val="065F7A31"/>
    <w:rsid w:val="067C53E7"/>
    <w:rsid w:val="06820F5E"/>
    <w:rsid w:val="06A7180A"/>
    <w:rsid w:val="06AE2ABA"/>
    <w:rsid w:val="06BA1001"/>
    <w:rsid w:val="06C75DF5"/>
    <w:rsid w:val="06DD02BB"/>
    <w:rsid w:val="06E71F51"/>
    <w:rsid w:val="06F3282F"/>
    <w:rsid w:val="06F965AD"/>
    <w:rsid w:val="07035F04"/>
    <w:rsid w:val="07050666"/>
    <w:rsid w:val="07166CB2"/>
    <w:rsid w:val="071A6392"/>
    <w:rsid w:val="071C4DB7"/>
    <w:rsid w:val="07362674"/>
    <w:rsid w:val="073B54B2"/>
    <w:rsid w:val="07410810"/>
    <w:rsid w:val="07537EF9"/>
    <w:rsid w:val="0760673E"/>
    <w:rsid w:val="076646E5"/>
    <w:rsid w:val="077E1A2E"/>
    <w:rsid w:val="07815EE7"/>
    <w:rsid w:val="0784155A"/>
    <w:rsid w:val="079A613C"/>
    <w:rsid w:val="07A22AF8"/>
    <w:rsid w:val="07A5520D"/>
    <w:rsid w:val="07E6454D"/>
    <w:rsid w:val="07F9337E"/>
    <w:rsid w:val="081748AE"/>
    <w:rsid w:val="08635851"/>
    <w:rsid w:val="08836BD0"/>
    <w:rsid w:val="08891E69"/>
    <w:rsid w:val="08A30341"/>
    <w:rsid w:val="08AD5E33"/>
    <w:rsid w:val="08B128CB"/>
    <w:rsid w:val="08C2359B"/>
    <w:rsid w:val="08ED052C"/>
    <w:rsid w:val="09041814"/>
    <w:rsid w:val="092D7BDC"/>
    <w:rsid w:val="09332D2B"/>
    <w:rsid w:val="093E2D64"/>
    <w:rsid w:val="09455F12"/>
    <w:rsid w:val="09472203"/>
    <w:rsid w:val="098B1DA7"/>
    <w:rsid w:val="098F7872"/>
    <w:rsid w:val="09907951"/>
    <w:rsid w:val="099F43E4"/>
    <w:rsid w:val="09A31A61"/>
    <w:rsid w:val="09BA7A85"/>
    <w:rsid w:val="09DE1094"/>
    <w:rsid w:val="09E2475B"/>
    <w:rsid w:val="0A183EA3"/>
    <w:rsid w:val="0A1B17B6"/>
    <w:rsid w:val="0A207013"/>
    <w:rsid w:val="0A3F34B7"/>
    <w:rsid w:val="0A441A30"/>
    <w:rsid w:val="0A4B11BE"/>
    <w:rsid w:val="0A7B4003"/>
    <w:rsid w:val="0A7D7D7B"/>
    <w:rsid w:val="0A8E5B8D"/>
    <w:rsid w:val="0AA240FA"/>
    <w:rsid w:val="0AA73E0E"/>
    <w:rsid w:val="0AAC0CBB"/>
    <w:rsid w:val="0ACC0D02"/>
    <w:rsid w:val="0AD84BD3"/>
    <w:rsid w:val="0AE941D3"/>
    <w:rsid w:val="0AFA761E"/>
    <w:rsid w:val="0AFF387B"/>
    <w:rsid w:val="0B1061C6"/>
    <w:rsid w:val="0B127492"/>
    <w:rsid w:val="0B246449"/>
    <w:rsid w:val="0B2B08D5"/>
    <w:rsid w:val="0B3A2110"/>
    <w:rsid w:val="0B896BF3"/>
    <w:rsid w:val="0B922CC2"/>
    <w:rsid w:val="0B9874FD"/>
    <w:rsid w:val="0BA35012"/>
    <w:rsid w:val="0BA61553"/>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015A8"/>
    <w:rsid w:val="0E3B295D"/>
    <w:rsid w:val="0E47249B"/>
    <w:rsid w:val="0E4F077B"/>
    <w:rsid w:val="0E551882"/>
    <w:rsid w:val="0E5C239D"/>
    <w:rsid w:val="0E7306EC"/>
    <w:rsid w:val="0E945E50"/>
    <w:rsid w:val="0E963048"/>
    <w:rsid w:val="0EAD7E50"/>
    <w:rsid w:val="0EB254B2"/>
    <w:rsid w:val="0EB567A2"/>
    <w:rsid w:val="0ED91C40"/>
    <w:rsid w:val="0EE20684"/>
    <w:rsid w:val="0EE44C60"/>
    <w:rsid w:val="0EFB3F5D"/>
    <w:rsid w:val="0F041CC7"/>
    <w:rsid w:val="0F042317"/>
    <w:rsid w:val="0F072534"/>
    <w:rsid w:val="0F1209F8"/>
    <w:rsid w:val="0F4C19DA"/>
    <w:rsid w:val="0F4C7D05"/>
    <w:rsid w:val="0F4F31AF"/>
    <w:rsid w:val="0F5F17BD"/>
    <w:rsid w:val="0F6617B3"/>
    <w:rsid w:val="0F6B0BDE"/>
    <w:rsid w:val="0F7E014D"/>
    <w:rsid w:val="0F891F7D"/>
    <w:rsid w:val="0F904B36"/>
    <w:rsid w:val="0F90531D"/>
    <w:rsid w:val="0FAD64B5"/>
    <w:rsid w:val="0FB21FD4"/>
    <w:rsid w:val="0FB57489"/>
    <w:rsid w:val="0FE57427"/>
    <w:rsid w:val="0FE61822"/>
    <w:rsid w:val="0FFE176A"/>
    <w:rsid w:val="0FFF5930"/>
    <w:rsid w:val="1018536D"/>
    <w:rsid w:val="101D4748"/>
    <w:rsid w:val="105454A3"/>
    <w:rsid w:val="108E33C3"/>
    <w:rsid w:val="10981F7A"/>
    <w:rsid w:val="10A265EF"/>
    <w:rsid w:val="10DC5B73"/>
    <w:rsid w:val="10E305D2"/>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C043B"/>
    <w:rsid w:val="123A67B6"/>
    <w:rsid w:val="125515DD"/>
    <w:rsid w:val="125670E6"/>
    <w:rsid w:val="125E1A9C"/>
    <w:rsid w:val="1276289F"/>
    <w:rsid w:val="1288522D"/>
    <w:rsid w:val="128F714D"/>
    <w:rsid w:val="129D6A95"/>
    <w:rsid w:val="12AF4046"/>
    <w:rsid w:val="12B74046"/>
    <w:rsid w:val="12CE506D"/>
    <w:rsid w:val="12D036D1"/>
    <w:rsid w:val="12EC4D41"/>
    <w:rsid w:val="12ED7A68"/>
    <w:rsid w:val="12F65490"/>
    <w:rsid w:val="12F73D2A"/>
    <w:rsid w:val="12F9698E"/>
    <w:rsid w:val="13112273"/>
    <w:rsid w:val="131C7C5D"/>
    <w:rsid w:val="133A2482"/>
    <w:rsid w:val="134E5054"/>
    <w:rsid w:val="13511DF6"/>
    <w:rsid w:val="1359610F"/>
    <w:rsid w:val="138B4634"/>
    <w:rsid w:val="138F1214"/>
    <w:rsid w:val="13AF03F7"/>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4EC48F2"/>
    <w:rsid w:val="15067DFC"/>
    <w:rsid w:val="15181495"/>
    <w:rsid w:val="151A266A"/>
    <w:rsid w:val="153870BF"/>
    <w:rsid w:val="15436E45"/>
    <w:rsid w:val="154871D8"/>
    <w:rsid w:val="15507C7E"/>
    <w:rsid w:val="15536127"/>
    <w:rsid w:val="1556607F"/>
    <w:rsid w:val="1557566D"/>
    <w:rsid w:val="15664AEF"/>
    <w:rsid w:val="158E23E1"/>
    <w:rsid w:val="15966195"/>
    <w:rsid w:val="159D7EA6"/>
    <w:rsid w:val="159F1BF9"/>
    <w:rsid w:val="15A00DC2"/>
    <w:rsid w:val="15B71B1D"/>
    <w:rsid w:val="15E63361"/>
    <w:rsid w:val="160B0227"/>
    <w:rsid w:val="161517B0"/>
    <w:rsid w:val="16864176"/>
    <w:rsid w:val="16B07922"/>
    <w:rsid w:val="16B34B25"/>
    <w:rsid w:val="16B92931"/>
    <w:rsid w:val="16E04880"/>
    <w:rsid w:val="16F86032"/>
    <w:rsid w:val="16FE2244"/>
    <w:rsid w:val="17081A7A"/>
    <w:rsid w:val="17092996"/>
    <w:rsid w:val="17292C0C"/>
    <w:rsid w:val="1751439F"/>
    <w:rsid w:val="176F50FE"/>
    <w:rsid w:val="17AD5A18"/>
    <w:rsid w:val="17B40BB4"/>
    <w:rsid w:val="17B97E15"/>
    <w:rsid w:val="17D10049"/>
    <w:rsid w:val="17D75109"/>
    <w:rsid w:val="17DD0B49"/>
    <w:rsid w:val="17EA6CFE"/>
    <w:rsid w:val="17EC686E"/>
    <w:rsid w:val="17EE4479"/>
    <w:rsid w:val="17F1563C"/>
    <w:rsid w:val="17F23C73"/>
    <w:rsid w:val="180F3B80"/>
    <w:rsid w:val="181B1411"/>
    <w:rsid w:val="181C1400"/>
    <w:rsid w:val="18223BBF"/>
    <w:rsid w:val="18406E44"/>
    <w:rsid w:val="18463EA2"/>
    <w:rsid w:val="185C1918"/>
    <w:rsid w:val="1880349D"/>
    <w:rsid w:val="18A24E51"/>
    <w:rsid w:val="18BD142C"/>
    <w:rsid w:val="18BD60C6"/>
    <w:rsid w:val="18D435BC"/>
    <w:rsid w:val="18DC65B5"/>
    <w:rsid w:val="18E261BC"/>
    <w:rsid w:val="18E6320F"/>
    <w:rsid w:val="190050D9"/>
    <w:rsid w:val="19193365"/>
    <w:rsid w:val="19261639"/>
    <w:rsid w:val="195D5C0E"/>
    <w:rsid w:val="19795DC5"/>
    <w:rsid w:val="19801636"/>
    <w:rsid w:val="19A15C71"/>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328A6"/>
    <w:rsid w:val="1A557489"/>
    <w:rsid w:val="1A89451A"/>
    <w:rsid w:val="1AD511ED"/>
    <w:rsid w:val="1AE61F72"/>
    <w:rsid w:val="1AF45443"/>
    <w:rsid w:val="1B040045"/>
    <w:rsid w:val="1B075A0C"/>
    <w:rsid w:val="1B1A33C4"/>
    <w:rsid w:val="1B1A7868"/>
    <w:rsid w:val="1B1C7DC9"/>
    <w:rsid w:val="1B2B55D1"/>
    <w:rsid w:val="1B67066F"/>
    <w:rsid w:val="1B7229E4"/>
    <w:rsid w:val="1B7A5EC7"/>
    <w:rsid w:val="1B8D5F8D"/>
    <w:rsid w:val="1B8E5EC0"/>
    <w:rsid w:val="1BBE47DE"/>
    <w:rsid w:val="1BC10D01"/>
    <w:rsid w:val="1C2613A8"/>
    <w:rsid w:val="1C477E44"/>
    <w:rsid w:val="1C8461DD"/>
    <w:rsid w:val="1C9B22E2"/>
    <w:rsid w:val="1CA53B30"/>
    <w:rsid w:val="1CB33990"/>
    <w:rsid w:val="1CBE72D2"/>
    <w:rsid w:val="1CF6260F"/>
    <w:rsid w:val="1CF83AEA"/>
    <w:rsid w:val="1CF911FC"/>
    <w:rsid w:val="1CFC0FD3"/>
    <w:rsid w:val="1CFF7A9C"/>
    <w:rsid w:val="1D34223E"/>
    <w:rsid w:val="1D3F7112"/>
    <w:rsid w:val="1D50293C"/>
    <w:rsid w:val="1D681B82"/>
    <w:rsid w:val="1D6914D5"/>
    <w:rsid w:val="1D7C7A22"/>
    <w:rsid w:val="1D7E09CF"/>
    <w:rsid w:val="1D9F1A69"/>
    <w:rsid w:val="1DB50BD0"/>
    <w:rsid w:val="1DD7388B"/>
    <w:rsid w:val="1DE41480"/>
    <w:rsid w:val="1DEB1932"/>
    <w:rsid w:val="1E2139B7"/>
    <w:rsid w:val="1E7A14A8"/>
    <w:rsid w:val="1E7F32B0"/>
    <w:rsid w:val="1E9C7B40"/>
    <w:rsid w:val="1EA77665"/>
    <w:rsid w:val="1EBA058B"/>
    <w:rsid w:val="1EBB622E"/>
    <w:rsid w:val="1ED17F52"/>
    <w:rsid w:val="1EDD751C"/>
    <w:rsid w:val="1EE170B7"/>
    <w:rsid w:val="1EEA13A6"/>
    <w:rsid w:val="1EEB392A"/>
    <w:rsid w:val="1EFE64E9"/>
    <w:rsid w:val="1F597C91"/>
    <w:rsid w:val="1F6207D0"/>
    <w:rsid w:val="1F8A7AB0"/>
    <w:rsid w:val="1FA53BA4"/>
    <w:rsid w:val="1FCA360B"/>
    <w:rsid w:val="1FE1627D"/>
    <w:rsid w:val="1FEA603B"/>
    <w:rsid w:val="20084133"/>
    <w:rsid w:val="20133D98"/>
    <w:rsid w:val="20226856"/>
    <w:rsid w:val="20293E2F"/>
    <w:rsid w:val="202A3DCB"/>
    <w:rsid w:val="203B62B7"/>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CF480B"/>
    <w:rsid w:val="21DC13D3"/>
    <w:rsid w:val="21E57FA3"/>
    <w:rsid w:val="21FB5A74"/>
    <w:rsid w:val="22521696"/>
    <w:rsid w:val="226650A3"/>
    <w:rsid w:val="22677BAA"/>
    <w:rsid w:val="226827C0"/>
    <w:rsid w:val="227C6EFF"/>
    <w:rsid w:val="22942795"/>
    <w:rsid w:val="22A10D06"/>
    <w:rsid w:val="22B665A5"/>
    <w:rsid w:val="22B66C9F"/>
    <w:rsid w:val="22C925E0"/>
    <w:rsid w:val="22D84291"/>
    <w:rsid w:val="22DB5B2F"/>
    <w:rsid w:val="22E46F4A"/>
    <w:rsid w:val="22E82DE7"/>
    <w:rsid w:val="22F20159"/>
    <w:rsid w:val="22FC6B3F"/>
    <w:rsid w:val="23005537"/>
    <w:rsid w:val="231A3C9A"/>
    <w:rsid w:val="231B23CF"/>
    <w:rsid w:val="232C54A8"/>
    <w:rsid w:val="233C2C53"/>
    <w:rsid w:val="23486890"/>
    <w:rsid w:val="23697EDE"/>
    <w:rsid w:val="236F1F61"/>
    <w:rsid w:val="239669EF"/>
    <w:rsid w:val="23AB4CDF"/>
    <w:rsid w:val="23AE0B4E"/>
    <w:rsid w:val="23C37A75"/>
    <w:rsid w:val="240404D0"/>
    <w:rsid w:val="240D5DDB"/>
    <w:rsid w:val="241B6DE6"/>
    <w:rsid w:val="24220F3E"/>
    <w:rsid w:val="2423604B"/>
    <w:rsid w:val="243A3F7E"/>
    <w:rsid w:val="24436391"/>
    <w:rsid w:val="2450121E"/>
    <w:rsid w:val="245311D4"/>
    <w:rsid w:val="247A4C56"/>
    <w:rsid w:val="2480073C"/>
    <w:rsid w:val="2487622C"/>
    <w:rsid w:val="24973094"/>
    <w:rsid w:val="24AD6D9A"/>
    <w:rsid w:val="24E52AD8"/>
    <w:rsid w:val="24E85B0E"/>
    <w:rsid w:val="250A6267"/>
    <w:rsid w:val="251418FC"/>
    <w:rsid w:val="252B19DB"/>
    <w:rsid w:val="254925FD"/>
    <w:rsid w:val="255249D2"/>
    <w:rsid w:val="256C0CC0"/>
    <w:rsid w:val="25712B23"/>
    <w:rsid w:val="25951FC5"/>
    <w:rsid w:val="25A845B3"/>
    <w:rsid w:val="25B34D67"/>
    <w:rsid w:val="25EB71B7"/>
    <w:rsid w:val="26154215"/>
    <w:rsid w:val="261A0BE6"/>
    <w:rsid w:val="26215F4F"/>
    <w:rsid w:val="26323CB8"/>
    <w:rsid w:val="26385E8A"/>
    <w:rsid w:val="263C7691"/>
    <w:rsid w:val="2641214D"/>
    <w:rsid w:val="265E2776"/>
    <w:rsid w:val="266516B3"/>
    <w:rsid w:val="26666FDC"/>
    <w:rsid w:val="26706683"/>
    <w:rsid w:val="26963D4E"/>
    <w:rsid w:val="26AB763C"/>
    <w:rsid w:val="26B267E7"/>
    <w:rsid w:val="26D794B7"/>
    <w:rsid w:val="26E02FA9"/>
    <w:rsid w:val="26F131DC"/>
    <w:rsid w:val="26F65310"/>
    <w:rsid w:val="26F947D6"/>
    <w:rsid w:val="26FB67A0"/>
    <w:rsid w:val="27052D05"/>
    <w:rsid w:val="27082804"/>
    <w:rsid w:val="270832AE"/>
    <w:rsid w:val="27343A60"/>
    <w:rsid w:val="27357F9F"/>
    <w:rsid w:val="275E35BF"/>
    <w:rsid w:val="27A4553F"/>
    <w:rsid w:val="27BC27E0"/>
    <w:rsid w:val="27CA7E10"/>
    <w:rsid w:val="27D35135"/>
    <w:rsid w:val="27DD1D93"/>
    <w:rsid w:val="27E47234"/>
    <w:rsid w:val="27EF1935"/>
    <w:rsid w:val="280A1B75"/>
    <w:rsid w:val="28257458"/>
    <w:rsid w:val="283962F8"/>
    <w:rsid w:val="28422AB2"/>
    <w:rsid w:val="284E28FF"/>
    <w:rsid w:val="285D6583"/>
    <w:rsid w:val="287A36F4"/>
    <w:rsid w:val="288458E7"/>
    <w:rsid w:val="28A33A20"/>
    <w:rsid w:val="28A47F17"/>
    <w:rsid w:val="28A95D87"/>
    <w:rsid w:val="28C444F4"/>
    <w:rsid w:val="28FE6071"/>
    <w:rsid w:val="290212C1"/>
    <w:rsid w:val="290D5ED8"/>
    <w:rsid w:val="29552176"/>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94BC2"/>
    <w:rsid w:val="2A5A558B"/>
    <w:rsid w:val="2A7F3244"/>
    <w:rsid w:val="2A9F7561"/>
    <w:rsid w:val="2AA90FA0"/>
    <w:rsid w:val="2AB103DC"/>
    <w:rsid w:val="2AB31CE2"/>
    <w:rsid w:val="2AB55266"/>
    <w:rsid w:val="2AF000D8"/>
    <w:rsid w:val="2AF05EF0"/>
    <w:rsid w:val="2B2D6464"/>
    <w:rsid w:val="2B3C2B7F"/>
    <w:rsid w:val="2B487382"/>
    <w:rsid w:val="2B552F60"/>
    <w:rsid w:val="2B5D3585"/>
    <w:rsid w:val="2B7841A6"/>
    <w:rsid w:val="2BB367B9"/>
    <w:rsid w:val="2BB62D59"/>
    <w:rsid w:val="2BB86726"/>
    <w:rsid w:val="2BEA293F"/>
    <w:rsid w:val="2BEC2B5B"/>
    <w:rsid w:val="2C13380B"/>
    <w:rsid w:val="2C184D47"/>
    <w:rsid w:val="2C2422F5"/>
    <w:rsid w:val="2C2D4C6D"/>
    <w:rsid w:val="2C4D23AE"/>
    <w:rsid w:val="2C4F0E79"/>
    <w:rsid w:val="2C5A3F68"/>
    <w:rsid w:val="2C796A89"/>
    <w:rsid w:val="2C7C10B6"/>
    <w:rsid w:val="2CAB0320"/>
    <w:rsid w:val="2CB204A3"/>
    <w:rsid w:val="2CBD3A96"/>
    <w:rsid w:val="2CC74339"/>
    <w:rsid w:val="2CCC23F7"/>
    <w:rsid w:val="2CCE1414"/>
    <w:rsid w:val="2CF93ABF"/>
    <w:rsid w:val="2D1C573E"/>
    <w:rsid w:val="2D1E27A3"/>
    <w:rsid w:val="2D1E560F"/>
    <w:rsid w:val="2D394FF5"/>
    <w:rsid w:val="2D766528"/>
    <w:rsid w:val="2D797435"/>
    <w:rsid w:val="2DF26007"/>
    <w:rsid w:val="2DF50B51"/>
    <w:rsid w:val="2E6111A5"/>
    <w:rsid w:val="2E671D49"/>
    <w:rsid w:val="2E6A704D"/>
    <w:rsid w:val="2E6C0B54"/>
    <w:rsid w:val="2E7A444E"/>
    <w:rsid w:val="2E8A6255"/>
    <w:rsid w:val="2E8B21B7"/>
    <w:rsid w:val="2EA51EA6"/>
    <w:rsid w:val="2EB8596B"/>
    <w:rsid w:val="2EC8145A"/>
    <w:rsid w:val="2F0B1048"/>
    <w:rsid w:val="2F132DA3"/>
    <w:rsid w:val="2F141AAA"/>
    <w:rsid w:val="2F57478F"/>
    <w:rsid w:val="2F57653D"/>
    <w:rsid w:val="2F5A3045"/>
    <w:rsid w:val="2FCA4353"/>
    <w:rsid w:val="2FE55D75"/>
    <w:rsid w:val="2FF23F99"/>
    <w:rsid w:val="2FF43D8C"/>
    <w:rsid w:val="2FFD0E93"/>
    <w:rsid w:val="2FFF3277"/>
    <w:rsid w:val="300C6E37"/>
    <w:rsid w:val="30234D2B"/>
    <w:rsid w:val="3023636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BB2DB3"/>
    <w:rsid w:val="31D20CDE"/>
    <w:rsid w:val="31F37E23"/>
    <w:rsid w:val="31FE689A"/>
    <w:rsid w:val="32223DC6"/>
    <w:rsid w:val="324A4137"/>
    <w:rsid w:val="325A02A1"/>
    <w:rsid w:val="329032EF"/>
    <w:rsid w:val="329970EF"/>
    <w:rsid w:val="32AE0B6A"/>
    <w:rsid w:val="32B35AAA"/>
    <w:rsid w:val="32E672DE"/>
    <w:rsid w:val="32F81DE5"/>
    <w:rsid w:val="32FD11AA"/>
    <w:rsid w:val="330F3777"/>
    <w:rsid w:val="33135210"/>
    <w:rsid w:val="3326373F"/>
    <w:rsid w:val="333626EB"/>
    <w:rsid w:val="334459AC"/>
    <w:rsid w:val="33705A64"/>
    <w:rsid w:val="338E32D5"/>
    <w:rsid w:val="33A055AF"/>
    <w:rsid w:val="33A51E80"/>
    <w:rsid w:val="33B04066"/>
    <w:rsid w:val="33E16D1D"/>
    <w:rsid w:val="33EE589E"/>
    <w:rsid w:val="340329A9"/>
    <w:rsid w:val="340D7B12"/>
    <w:rsid w:val="341E2B5D"/>
    <w:rsid w:val="342645AD"/>
    <w:rsid w:val="342B057B"/>
    <w:rsid w:val="34335C8F"/>
    <w:rsid w:val="344F2CA0"/>
    <w:rsid w:val="345968B4"/>
    <w:rsid w:val="34617CD8"/>
    <w:rsid w:val="346317C9"/>
    <w:rsid w:val="346A286F"/>
    <w:rsid w:val="346C1C91"/>
    <w:rsid w:val="34753860"/>
    <w:rsid w:val="348C6C4A"/>
    <w:rsid w:val="34A61339"/>
    <w:rsid w:val="34AF4725"/>
    <w:rsid w:val="34CC3006"/>
    <w:rsid w:val="34F3793E"/>
    <w:rsid w:val="34FA09EA"/>
    <w:rsid w:val="354B5D9D"/>
    <w:rsid w:val="35506C87"/>
    <w:rsid w:val="35574E9C"/>
    <w:rsid w:val="35580207"/>
    <w:rsid w:val="35681367"/>
    <w:rsid w:val="35712E34"/>
    <w:rsid w:val="357E162B"/>
    <w:rsid w:val="358054A4"/>
    <w:rsid w:val="35832558"/>
    <w:rsid w:val="359305B1"/>
    <w:rsid w:val="35966E67"/>
    <w:rsid w:val="35A973C7"/>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704489"/>
    <w:rsid w:val="37710026"/>
    <w:rsid w:val="37731B16"/>
    <w:rsid w:val="37925427"/>
    <w:rsid w:val="37A01319"/>
    <w:rsid w:val="37A55DCC"/>
    <w:rsid w:val="37C075FB"/>
    <w:rsid w:val="37CA04FF"/>
    <w:rsid w:val="37D30771"/>
    <w:rsid w:val="37DD292D"/>
    <w:rsid w:val="37E3512E"/>
    <w:rsid w:val="37EC0BB8"/>
    <w:rsid w:val="382F75E3"/>
    <w:rsid w:val="38371ACC"/>
    <w:rsid w:val="38491E51"/>
    <w:rsid w:val="385B6E18"/>
    <w:rsid w:val="38665479"/>
    <w:rsid w:val="389205E6"/>
    <w:rsid w:val="38A748FD"/>
    <w:rsid w:val="38D53666"/>
    <w:rsid w:val="38E70932"/>
    <w:rsid w:val="38FF39F5"/>
    <w:rsid w:val="390F1C37"/>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A0301A"/>
    <w:rsid w:val="3BA7641A"/>
    <w:rsid w:val="3BAF3CA2"/>
    <w:rsid w:val="3BBC038E"/>
    <w:rsid w:val="3BD6104E"/>
    <w:rsid w:val="3BE44994"/>
    <w:rsid w:val="3BF72351"/>
    <w:rsid w:val="3BFE3F02"/>
    <w:rsid w:val="3C2972FD"/>
    <w:rsid w:val="3C3261E8"/>
    <w:rsid w:val="3C524EFE"/>
    <w:rsid w:val="3C53008C"/>
    <w:rsid w:val="3C5B4444"/>
    <w:rsid w:val="3C852047"/>
    <w:rsid w:val="3C896BEF"/>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76F84"/>
    <w:rsid w:val="3DCA34BB"/>
    <w:rsid w:val="3DD83D60"/>
    <w:rsid w:val="3DEE7764"/>
    <w:rsid w:val="3E044CAE"/>
    <w:rsid w:val="3E12201C"/>
    <w:rsid w:val="3E427218"/>
    <w:rsid w:val="3E460E59"/>
    <w:rsid w:val="3E597D6C"/>
    <w:rsid w:val="3E8F30B5"/>
    <w:rsid w:val="3E962C89"/>
    <w:rsid w:val="3E9D9EE9"/>
    <w:rsid w:val="3EA27573"/>
    <w:rsid w:val="3EA72ABE"/>
    <w:rsid w:val="3EAD4174"/>
    <w:rsid w:val="3EAD7F9C"/>
    <w:rsid w:val="3EB32892"/>
    <w:rsid w:val="3EBC3336"/>
    <w:rsid w:val="3EDE79C6"/>
    <w:rsid w:val="3EF60080"/>
    <w:rsid w:val="3EF65530"/>
    <w:rsid w:val="3EFEC654"/>
    <w:rsid w:val="3F064AE9"/>
    <w:rsid w:val="3F2A6A9A"/>
    <w:rsid w:val="3F3B0C43"/>
    <w:rsid w:val="3F4C62B0"/>
    <w:rsid w:val="3F585F31"/>
    <w:rsid w:val="3F6A4BE4"/>
    <w:rsid w:val="3F7279F0"/>
    <w:rsid w:val="3F7C65CA"/>
    <w:rsid w:val="3F7F0FB6"/>
    <w:rsid w:val="3F9717D1"/>
    <w:rsid w:val="3F9B13A5"/>
    <w:rsid w:val="3FB2485B"/>
    <w:rsid w:val="3FBD3AE8"/>
    <w:rsid w:val="3FEE166B"/>
    <w:rsid w:val="3FFEE24B"/>
    <w:rsid w:val="40055B41"/>
    <w:rsid w:val="402A34B8"/>
    <w:rsid w:val="402C4889"/>
    <w:rsid w:val="40360CD1"/>
    <w:rsid w:val="40361D66"/>
    <w:rsid w:val="40372B93"/>
    <w:rsid w:val="404C1EBB"/>
    <w:rsid w:val="405214DD"/>
    <w:rsid w:val="406060C3"/>
    <w:rsid w:val="40613E30"/>
    <w:rsid w:val="40736573"/>
    <w:rsid w:val="407D7357"/>
    <w:rsid w:val="40860A30"/>
    <w:rsid w:val="408D0A8F"/>
    <w:rsid w:val="409B4A07"/>
    <w:rsid w:val="40BF6E39"/>
    <w:rsid w:val="40C25B7F"/>
    <w:rsid w:val="40C73A02"/>
    <w:rsid w:val="40E02BC9"/>
    <w:rsid w:val="40E816EB"/>
    <w:rsid w:val="40F66678"/>
    <w:rsid w:val="40FA12EB"/>
    <w:rsid w:val="410A16AB"/>
    <w:rsid w:val="410E1C56"/>
    <w:rsid w:val="4120577A"/>
    <w:rsid w:val="41603084"/>
    <w:rsid w:val="41686388"/>
    <w:rsid w:val="416C142E"/>
    <w:rsid w:val="41886C7C"/>
    <w:rsid w:val="41CF4659"/>
    <w:rsid w:val="41E677EA"/>
    <w:rsid w:val="41FD121E"/>
    <w:rsid w:val="41FF0A9A"/>
    <w:rsid w:val="420936C7"/>
    <w:rsid w:val="420C2CAA"/>
    <w:rsid w:val="42117A10"/>
    <w:rsid w:val="421A7627"/>
    <w:rsid w:val="4233112B"/>
    <w:rsid w:val="42401E98"/>
    <w:rsid w:val="42474F8A"/>
    <w:rsid w:val="42537038"/>
    <w:rsid w:val="42872311"/>
    <w:rsid w:val="428B5762"/>
    <w:rsid w:val="428E62C2"/>
    <w:rsid w:val="429F3B64"/>
    <w:rsid w:val="42B64F1C"/>
    <w:rsid w:val="42C25E8B"/>
    <w:rsid w:val="42C92887"/>
    <w:rsid w:val="42D47C2B"/>
    <w:rsid w:val="42DA32B5"/>
    <w:rsid w:val="42FB45E4"/>
    <w:rsid w:val="4307713D"/>
    <w:rsid w:val="433543AC"/>
    <w:rsid w:val="43420FE8"/>
    <w:rsid w:val="434513F0"/>
    <w:rsid w:val="435475DF"/>
    <w:rsid w:val="43606D1A"/>
    <w:rsid w:val="43672D9B"/>
    <w:rsid w:val="43702851"/>
    <w:rsid w:val="437269BA"/>
    <w:rsid w:val="437F3C65"/>
    <w:rsid w:val="43B34232"/>
    <w:rsid w:val="43CA4F48"/>
    <w:rsid w:val="43FE78B1"/>
    <w:rsid w:val="440A7CA0"/>
    <w:rsid w:val="440F2351"/>
    <w:rsid w:val="441F3AB4"/>
    <w:rsid w:val="4424604A"/>
    <w:rsid w:val="442967DE"/>
    <w:rsid w:val="445014AB"/>
    <w:rsid w:val="44624B5C"/>
    <w:rsid w:val="44674A51"/>
    <w:rsid w:val="44CE660D"/>
    <w:rsid w:val="44F103C7"/>
    <w:rsid w:val="452D47A4"/>
    <w:rsid w:val="4545710C"/>
    <w:rsid w:val="454C3E11"/>
    <w:rsid w:val="454F0B76"/>
    <w:rsid w:val="45795008"/>
    <w:rsid w:val="4579514B"/>
    <w:rsid w:val="457E2BBE"/>
    <w:rsid w:val="457F72E8"/>
    <w:rsid w:val="459F05CE"/>
    <w:rsid w:val="45A24B57"/>
    <w:rsid w:val="45AC28D3"/>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7140585"/>
    <w:rsid w:val="471B3499"/>
    <w:rsid w:val="4730142A"/>
    <w:rsid w:val="4737365D"/>
    <w:rsid w:val="476870E2"/>
    <w:rsid w:val="478A0CA0"/>
    <w:rsid w:val="478E4BD2"/>
    <w:rsid w:val="47C848F5"/>
    <w:rsid w:val="47D84DCE"/>
    <w:rsid w:val="47DD756D"/>
    <w:rsid w:val="47EC7D13"/>
    <w:rsid w:val="48023096"/>
    <w:rsid w:val="48037A8A"/>
    <w:rsid w:val="48057880"/>
    <w:rsid w:val="48150BC3"/>
    <w:rsid w:val="48377D23"/>
    <w:rsid w:val="48587199"/>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E0EB3"/>
    <w:rsid w:val="4A6E7636"/>
    <w:rsid w:val="4A9106FD"/>
    <w:rsid w:val="4AA73240"/>
    <w:rsid w:val="4AB72272"/>
    <w:rsid w:val="4AC63E7C"/>
    <w:rsid w:val="4AC94650"/>
    <w:rsid w:val="4AD703A4"/>
    <w:rsid w:val="4B305E1B"/>
    <w:rsid w:val="4B4B6AFE"/>
    <w:rsid w:val="4B5D2E40"/>
    <w:rsid w:val="4B602D44"/>
    <w:rsid w:val="4B842010"/>
    <w:rsid w:val="4BB92D8E"/>
    <w:rsid w:val="4BBB7216"/>
    <w:rsid w:val="4BD07B58"/>
    <w:rsid w:val="4BE87BA5"/>
    <w:rsid w:val="4BFA6210"/>
    <w:rsid w:val="4C155F10"/>
    <w:rsid w:val="4C2F7851"/>
    <w:rsid w:val="4C3176AB"/>
    <w:rsid w:val="4C324162"/>
    <w:rsid w:val="4C350E7E"/>
    <w:rsid w:val="4C3C12ED"/>
    <w:rsid w:val="4C415DC1"/>
    <w:rsid w:val="4C5310F0"/>
    <w:rsid w:val="4C571AC7"/>
    <w:rsid w:val="4C675BBA"/>
    <w:rsid w:val="4C6E278E"/>
    <w:rsid w:val="4CA95F3B"/>
    <w:rsid w:val="4CD010CE"/>
    <w:rsid w:val="4CE45067"/>
    <w:rsid w:val="4CFF538B"/>
    <w:rsid w:val="4D185C04"/>
    <w:rsid w:val="4D2A4B22"/>
    <w:rsid w:val="4D471EEE"/>
    <w:rsid w:val="4D4D7800"/>
    <w:rsid w:val="4D7251FF"/>
    <w:rsid w:val="4DC650DF"/>
    <w:rsid w:val="4DDB4948"/>
    <w:rsid w:val="4DE50C0B"/>
    <w:rsid w:val="4DF831B6"/>
    <w:rsid w:val="4E11105D"/>
    <w:rsid w:val="4E16225A"/>
    <w:rsid w:val="4E253AB8"/>
    <w:rsid w:val="4E472C92"/>
    <w:rsid w:val="4E824D97"/>
    <w:rsid w:val="4E9D5C2D"/>
    <w:rsid w:val="4EAD0016"/>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02E09"/>
    <w:rsid w:val="50526B81"/>
    <w:rsid w:val="505E3D68"/>
    <w:rsid w:val="505F4DFA"/>
    <w:rsid w:val="505F5918"/>
    <w:rsid w:val="506F5953"/>
    <w:rsid w:val="507A0E74"/>
    <w:rsid w:val="50A218B6"/>
    <w:rsid w:val="50AD2009"/>
    <w:rsid w:val="50C2531E"/>
    <w:rsid w:val="50D13748"/>
    <w:rsid w:val="50D43A3A"/>
    <w:rsid w:val="510A120A"/>
    <w:rsid w:val="512E16EC"/>
    <w:rsid w:val="51426BF5"/>
    <w:rsid w:val="515720D8"/>
    <w:rsid w:val="516A440A"/>
    <w:rsid w:val="51B053DC"/>
    <w:rsid w:val="51BA5A6F"/>
    <w:rsid w:val="51C42E16"/>
    <w:rsid w:val="51E5538B"/>
    <w:rsid w:val="51E9259B"/>
    <w:rsid w:val="52000D12"/>
    <w:rsid w:val="520D6221"/>
    <w:rsid w:val="5244074B"/>
    <w:rsid w:val="525351F4"/>
    <w:rsid w:val="525A6FBC"/>
    <w:rsid w:val="526C0997"/>
    <w:rsid w:val="5277467D"/>
    <w:rsid w:val="527F763E"/>
    <w:rsid w:val="52855A65"/>
    <w:rsid w:val="52E11882"/>
    <w:rsid w:val="52E44E05"/>
    <w:rsid w:val="52F862D1"/>
    <w:rsid w:val="530B071F"/>
    <w:rsid w:val="53311AB3"/>
    <w:rsid w:val="53317F44"/>
    <w:rsid w:val="533D33D1"/>
    <w:rsid w:val="53511F1B"/>
    <w:rsid w:val="5353295D"/>
    <w:rsid w:val="53670B33"/>
    <w:rsid w:val="537735FB"/>
    <w:rsid w:val="53775B6A"/>
    <w:rsid w:val="538E7ED0"/>
    <w:rsid w:val="538F5737"/>
    <w:rsid w:val="53A96AB8"/>
    <w:rsid w:val="53B4450E"/>
    <w:rsid w:val="53CA0B91"/>
    <w:rsid w:val="53D43855"/>
    <w:rsid w:val="53D6214F"/>
    <w:rsid w:val="53EE1101"/>
    <w:rsid w:val="53FC4E8E"/>
    <w:rsid w:val="54111ADD"/>
    <w:rsid w:val="541717DC"/>
    <w:rsid w:val="54271D5C"/>
    <w:rsid w:val="5427740E"/>
    <w:rsid w:val="542B571F"/>
    <w:rsid w:val="54976AA9"/>
    <w:rsid w:val="549A3F89"/>
    <w:rsid w:val="54A022DD"/>
    <w:rsid w:val="54A159E1"/>
    <w:rsid w:val="54AA7049"/>
    <w:rsid w:val="54CF639A"/>
    <w:rsid w:val="54DE0134"/>
    <w:rsid w:val="54E444C0"/>
    <w:rsid w:val="54FC0026"/>
    <w:rsid w:val="553C46BA"/>
    <w:rsid w:val="55485688"/>
    <w:rsid w:val="55494082"/>
    <w:rsid w:val="555B3FA7"/>
    <w:rsid w:val="555F54CC"/>
    <w:rsid w:val="557D5B60"/>
    <w:rsid w:val="55834A19"/>
    <w:rsid w:val="559D43FA"/>
    <w:rsid w:val="559D47CC"/>
    <w:rsid w:val="55CF743F"/>
    <w:rsid w:val="55F27046"/>
    <w:rsid w:val="55F526C6"/>
    <w:rsid w:val="56066DC9"/>
    <w:rsid w:val="560B2337"/>
    <w:rsid w:val="561A7CC7"/>
    <w:rsid w:val="564E1228"/>
    <w:rsid w:val="56601B92"/>
    <w:rsid w:val="566535A8"/>
    <w:rsid w:val="567E0FA3"/>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7FDBEDD"/>
    <w:rsid w:val="5813309A"/>
    <w:rsid w:val="58466FCB"/>
    <w:rsid w:val="58750691"/>
    <w:rsid w:val="58AB575D"/>
    <w:rsid w:val="58AD0DF8"/>
    <w:rsid w:val="58BC728D"/>
    <w:rsid w:val="58BD4DB3"/>
    <w:rsid w:val="58D22E69"/>
    <w:rsid w:val="58DD0763"/>
    <w:rsid w:val="58EA22FF"/>
    <w:rsid w:val="58EB59C1"/>
    <w:rsid w:val="59445F91"/>
    <w:rsid w:val="59653481"/>
    <w:rsid w:val="596944D7"/>
    <w:rsid w:val="596A4F3B"/>
    <w:rsid w:val="59815208"/>
    <w:rsid w:val="5993057B"/>
    <w:rsid w:val="59A43D8B"/>
    <w:rsid w:val="59A64B68"/>
    <w:rsid w:val="59CC3500"/>
    <w:rsid w:val="59E84D0D"/>
    <w:rsid w:val="59F001A4"/>
    <w:rsid w:val="5A1E2DE7"/>
    <w:rsid w:val="5A20427A"/>
    <w:rsid w:val="5A331DE9"/>
    <w:rsid w:val="5A395FB6"/>
    <w:rsid w:val="5A436A2D"/>
    <w:rsid w:val="5A5D05FC"/>
    <w:rsid w:val="5A9833A8"/>
    <w:rsid w:val="5AAC047B"/>
    <w:rsid w:val="5AAF7458"/>
    <w:rsid w:val="5AC95404"/>
    <w:rsid w:val="5AD370A1"/>
    <w:rsid w:val="5B0A066E"/>
    <w:rsid w:val="5B123FA7"/>
    <w:rsid w:val="5B12588A"/>
    <w:rsid w:val="5B1D0885"/>
    <w:rsid w:val="5B4311B8"/>
    <w:rsid w:val="5B5E18A4"/>
    <w:rsid w:val="5B613C0E"/>
    <w:rsid w:val="5B8B4AEE"/>
    <w:rsid w:val="5B955E96"/>
    <w:rsid w:val="5B9B3675"/>
    <w:rsid w:val="5BA26571"/>
    <w:rsid w:val="5BAD110F"/>
    <w:rsid w:val="5BCA6564"/>
    <w:rsid w:val="5BD66D67"/>
    <w:rsid w:val="5BF000B4"/>
    <w:rsid w:val="5BFE7E52"/>
    <w:rsid w:val="5C107D40"/>
    <w:rsid w:val="5C107FF0"/>
    <w:rsid w:val="5C1D1988"/>
    <w:rsid w:val="5C1E3775"/>
    <w:rsid w:val="5C381264"/>
    <w:rsid w:val="5C3D27FC"/>
    <w:rsid w:val="5C5E6BE8"/>
    <w:rsid w:val="5C672644"/>
    <w:rsid w:val="5C8132C7"/>
    <w:rsid w:val="5CA23A25"/>
    <w:rsid w:val="5CA85A91"/>
    <w:rsid w:val="5CC26330"/>
    <w:rsid w:val="5CD67F41"/>
    <w:rsid w:val="5CDB66BF"/>
    <w:rsid w:val="5CDF760E"/>
    <w:rsid w:val="5CE07ABA"/>
    <w:rsid w:val="5CF00F5E"/>
    <w:rsid w:val="5CF35248"/>
    <w:rsid w:val="5D017C51"/>
    <w:rsid w:val="5D141BA6"/>
    <w:rsid w:val="5D2E7E3C"/>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3815EE"/>
    <w:rsid w:val="5F5C32D6"/>
    <w:rsid w:val="5FB10E83"/>
    <w:rsid w:val="5FDB7629"/>
    <w:rsid w:val="5FDC6467"/>
    <w:rsid w:val="5FE33352"/>
    <w:rsid w:val="5FFD96AC"/>
    <w:rsid w:val="600E788A"/>
    <w:rsid w:val="60173C67"/>
    <w:rsid w:val="60206354"/>
    <w:rsid w:val="60310561"/>
    <w:rsid w:val="603911C4"/>
    <w:rsid w:val="604130CF"/>
    <w:rsid w:val="60572C99"/>
    <w:rsid w:val="60663C94"/>
    <w:rsid w:val="60794FD4"/>
    <w:rsid w:val="60814FEF"/>
    <w:rsid w:val="60946411"/>
    <w:rsid w:val="60AE4E89"/>
    <w:rsid w:val="60CD4AC4"/>
    <w:rsid w:val="60D32F5A"/>
    <w:rsid w:val="60E70C20"/>
    <w:rsid w:val="61001CE1"/>
    <w:rsid w:val="610E2B4C"/>
    <w:rsid w:val="61276800"/>
    <w:rsid w:val="613E3956"/>
    <w:rsid w:val="6151253D"/>
    <w:rsid w:val="617F0AF7"/>
    <w:rsid w:val="619945D7"/>
    <w:rsid w:val="61A13C09"/>
    <w:rsid w:val="61C210E3"/>
    <w:rsid w:val="61C24BFD"/>
    <w:rsid w:val="61DE43D4"/>
    <w:rsid w:val="61E06967"/>
    <w:rsid w:val="61ED083B"/>
    <w:rsid w:val="61ED26C8"/>
    <w:rsid w:val="61FB2295"/>
    <w:rsid w:val="62184EFE"/>
    <w:rsid w:val="622F0AD0"/>
    <w:rsid w:val="623438B9"/>
    <w:rsid w:val="623A3144"/>
    <w:rsid w:val="624216A0"/>
    <w:rsid w:val="626343A0"/>
    <w:rsid w:val="626736F9"/>
    <w:rsid w:val="626B4082"/>
    <w:rsid w:val="626B6B00"/>
    <w:rsid w:val="626C251B"/>
    <w:rsid w:val="628E1BE9"/>
    <w:rsid w:val="62A3326C"/>
    <w:rsid w:val="62A56DDB"/>
    <w:rsid w:val="62C126EC"/>
    <w:rsid w:val="62CF1703"/>
    <w:rsid w:val="62D06FF9"/>
    <w:rsid w:val="62D358FF"/>
    <w:rsid w:val="62D765EB"/>
    <w:rsid w:val="62E16861"/>
    <w:rsid w:val="630A329F"/>
    <w:rsid w:val="63160842"/>
    <w:rsid w:val="636B22CC"/>
    <w:rsid w:val="636C198B"/>
    <w:rsid w:val="637013A0"/>
    <w:rsid w:val="63B65AC7"/>
    <w:rsid w:val="63D7428B"/>
    <w:rsid w:val="64002DAD"/>
    <w:rsid w:val="640C4C0D"/>
    <w:rsid w:val="641C32D6"/>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3D1756"/>
    <w:rsid w:val="654042F5"/>
    <w:rsid w:val="65AB2B63"/>
    <w:rsid w:val="65E44DFA"/>
    <w:rsid w:val="65E63B9C"/>
    <w:rsid w:val="65ED2DCA"/>
    <w:rsid w:val="65F37088"/>
    <w:rsid w:val="65F66C79"/>
    <w:rsid w:val="660447CA"/>
    <w:rsid w:val="662B5A52"/>
    <w:rsid w:val="665622BC"/>
    <w:rsid w:val="66644AC0"/>
    <w:rsid w:val="66653739"/>
    <w:rsid w:val="666C4EE6"/>
    <w:rsid w:val="66792487"/>
    <w:rsid w:val="66D470E6"/>
    <w:rsid w:val="66ED2CA0"/>
    <w:rsid w:val="66F722EC"/>
    <w:rsid w:val="66FB0FDC"/>
    <w:rsid w:val="66FC5AFF"/>
    <w:rsid w:val="6709462E"/>
    <w:rsid w:val="676C49AE"/>
    <w:rsid w:val="6777196F"/>
    <w:rsid w:val="67825F62"/>
    <w:rsid w:val="678A1ED0"/>
    <w:rsid w:val="67AB61F8"/>
    <w:rsid w:val="67BA7741"/>
    <w:rsid w:val="67C223E6"/>
    <w:rsid w:val="67CEDCD6"/>
    <w:rsid w:val="67E6170C"/>
    <w:rsid w:val="67ED1BBE"/>
    <w:rsid w:val="67ED7463"/>
    <w:rsid w:val="67FD51CC"/>
    <w:rsid w:val="680D0CA5"/>
    <w:rsid w:val="684D7F02"/>
    <w:rsid w:val="686C7F9F"/>
    <w:rsid w:val="68A45648"/>
    <w:rsid w:val="68A5668C"/>
    <w:rsid w:val="68BD44C2"/>
    <w:rsid w:val="68BE495C"/>
    <w:rsid w:val="68D27297"/>
    <w:rsid w:val="68F42855"/>
    <w:rsid w:val="6911241F"/>
    <w:rsid w:val="691636B0"/>
    <w:rsid w:val="6922138F"/>
    <w:rsid w:val="69232A11"/>
    <w:rsid w:val="69586B5E"/>
    <w:rsid w:val="69B55D5F"/>
    <w:rsid w:val="69B67115"/>
    <w:rsid w:val="69B82DF4"/>
    <w:rsid w:val="69EF53B4"/>
    <w:rsid w:val="69FB8724"/>
    <w:rsid w:val="6A114F5F"/>
    <w:rsid w:val="6A126DD2"/>
    <w:rsid w:val="6A2B4273"/>
    <w:rsid w:val="6A3D3FA6"/>
    <w:rsid w:val="6A420E56"/>
    <w:rsid w:val="6A924E32"/>
    <w:rsid w:val="6A94008C"/>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5FBCCE"/>
    <w:rsid w:val="6B6234E5"/>
    <w:rsid w:val="6B711708"/>
    <w:rsid w:val="6B737C7F"/>
    <w:rsid w:val="6B980A95"/>
    <w:rsid w:val="6BA67A32"/>
    <w:rsid w:val="6BBD11F5"/>
    <w:rsid w:val="6BCE1834"/>
    <w:rsid w:val="6BD12800"/>
    <w:rsid w:val="6BDB75D3"/>
    <w:rsid w:val="6BF44877"/>
    <w:rsid w:val="6C022DB1"/>
    <w:rsid w:val="6C172034"/>
    <w:rsid w:val="6C1B1096"/>
    <w:rsid w:val="6C2912A5"/>
    <w:rsid w:val="6C5C5D6A"/>
    <w:rsid w:val="6C5E02FC"/>
    <w:rsid w:val="6C611966"/>
    <w:rsid w:val="6C721812"/>
    <w:rsid w:val="6C8B0F52"/>
    <w:rsid w:val="6C9317CD"/>
    <w:rsid w:val="6C976C1F"/>
    <w:rsid w:val="6CA63155"/>
    <w:rsid w:val="6CC73E80"/>
    <w:rsid w:val="6CDD0DD0"/>
    <w:rsid w:val="6CFA7DB1"/>
    <w:rsid w:val="6D0127E4"/>
    <w:rsid w:val="6D106B9E"/>
    <w:rsid w:val="6D135E16"/>
    <w:rsid w:val="6D1C168A"/>
    <w:rsid w:val="6D2154B9"/>
    <w:rsid w:val="6D347A31"/>
    <w:rsid w:val="6D3668DD"/>
    <w:rsid w:val="6D471CAB"/>
    <w:rsid w:val="6D70425D"/>
    <w:rsid w:val="6D986796"/>
    <w:rsid w:val="6D9E2FAE"/>
    <w:rsid w:val="6DAC0977"/>
    <w:rsid w:val="6DB941BD"/>
    <w:rsid w:val="6DC60F63"/>
    <w:rsid w:val="6DED6545"/>
    <w:rsid w:val="6DF11063"/>
    <w:rsid w:val="6E3B32BE"/>
    <w:rsid w:val="6E445FFF"/>
    <w:rsid w:val="6E4C770B"/>
    <w:rsid w:val="6E5F1098"/>
    <w:rsid w:val="6E6F2793"/>
    <w:rsid w:val="6E703D8E"/>
    <w:rsid w:val="6E7F1EDE"/>
    <w:rsid w:val="6E84323D"/>
    <w:rsid w:val="6E942A76"/>
    <w:rsid w:val="6EA41FA2"/>
    <w:rsid w:val="6EB44AD4"/>
    <w:rsid w:val="6EBA69C8"/>
    <w:rsid w:val="6F2463D6"/>
    <w:rsid w:val="6F265009"/>
    <w:rsid w:val="6F313FE8"/>
    <w:rsid w:val="6F381CAC"/>
    <w:rsid w:val="6F6128C1"/>
    <w:rsid w:val="6F723264"/>
    <w:rsid w:val="6F9C6902"/>
    <w:rsid w:val="6F9E6156"/>
    <w:rsid w:val="6FA06B69"/>
    <w:rsid w:val="6FA0729C"/>
    <w:rsid w:val="6FBF6C0D"/>
    <w:rsid w:val="6FFB3E16"/>
    <w:rsid w:val="70100CA2"/>
    <w:rsid w:val="70393572"/>
    <w:rsid w:val="706E27A1"/>
    <w:rsid w:val="706F0977"/>
    <w:rsid w:val="707263F3"/>
    <w:rsid w:val="70880108"/>
    <w:rsid w:val="70A13280"/>
    <w:rsid w:val="70A24D48"/>
    <w:rsid w:val="70B07280"/>
    <w:rsid w:val="70BA64EF"/>
    <w:rsid w:val="70C42D2B"/>
    <w:rsid w:val="70C900DF"/>
    <w:rsid w:val="70EFD498"/>
    <w:rsid w:val="70F80524"/>
    <w:rsid w:val="710A2419"/>
    <w:rsid w:val="710E65A0"/>
    <w:rsid w:val="71326D32"/>
    <w:rsid w:val="71347EB1"/>
    <w:rsid w:val="71451751"/>
    <w:rsid w:val="71453598"/>
    <w:rsid w:val="714C2CD0"/>
    <w:rsid w:val="715A596A"/>
    <w:rsid w:val="717C247D"/>
    <w:rsid w:val="717F26E4"/>
    <w:rsid w:val="71816B8E"/>
    <w:rsid w:val="71832D29"/>
    <w:rsid w:val="71907818"/>
    <w:rsid w:val="719B609A"/>
    <w:rsid w:val="71B252F9"/>
    <w:rsid w:val="71DE7E1D"/>
    <w:rsid w:val="71E95916"/>
    <w:rsid w:val="71EB1F0E"/>
    <w:rsid w:val="7203413E"/>
    <w:rsid w:val="720A6E64"/>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92343A"/>
    <w:rsid w:val="73B060B2"/>
    <w:rsid w:val="73D223F2"/>
    <w:rsid w:val="73D73D11"/>
    <w:rsid w:val="73E95EE8"/>
    <w:rsid w:val="74281823"/>
    <w:rsid w:val="744975DD"/>
    <w:rsid w:val="74610332"/>
    <w:rsid w:val="746920A5"/>
    <w:rsid w:val="749C24F1"/>
    <w:rsid w:val="74A66292"/>
    <w:rsid w:val="74AD6F4A"/>
    <w:rsid w:val="74AE06FF"/>
    <w:rsid w:val="74CB1EDB"/>
    <w:rsid w:val="74DE73F5"/>
    <w:rsid w:val="750E239F"/>
    <w:rsid w:val="7517095A"/>
    <w:rsid w:val="751E77AF"/>
    <w:rsid w:val="75474541"/>
    <w:rsid w:val="75702156"/>
    <w:rsid w:val="757A6A57"/>
    <w:rsid w:val="75D07F8B"/>
    <w:rsid w:val="75EE5669"/>
    <w:rsid w:val="763711C0"/>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7F5BFE"/>
    <w:rsid w:val="77842F01"/>
    <w:rsid w:val="77A54D53"/>
    <w:rsid w:val="77AB25AD"/>
    <w:rsid w:val="77D75F2B"/>
    <w:rsid w:val="77FC6767"/>
    <w:rsid w:val="781A0BEC"/>
    <w:rsid w:val="78202415"/>
    <w:rsid w:val="78213FC9"/>
    <w:rsid w:val="78572B59"/>
    <w:rsid w:val="785C24C2"/>
    <w:rsid w:val="786FD340"/>
    <w:rsid w:val="78701D9C"/>
    <w:rsid w:val="78741C81"/>
    <w:rsid w:val="788952CC"/>
    <w:rsid w:val="7899537E"/>
    <w:rsid w:val="78F87A16"/>
    <w:rsid w:val="78F9F6D3"/>
    <w:rsid w:val="78FA0671"/>
    <w:rsid w:val="79393B8B"/>
    <w:rsid w:val="793A634F"/>
    <w:rsid w:val="795A4F33"/>
    <w:rsid w:val="79744F1D"/>
    <w:rsid w:val="79785617"/>
    <w:rsid w:val="797A5A56"/>
    <w:rsid w:val="797BA803"/>
    <w:rsid w:val="798635EB"/>
    <w:rsid w:val="7998397B"/>
    <w:rsid w:val="79A5750A"/>
    <w:rsid w:val="79CF368F"/>
    <w:rsid w:val="79D476A9"/>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4F027C"/>
    <w:rsid w:val="7B564EC8"/>
    <w:rsid w:val="7B5A5A6C"/>
    <w:rsid w:val="7B5C250E"/>
    <w:rsid w:val="7B5C3BBA"/>
    <w:rsid w:val="7B63305F"/>
    <w:rsid w:val="7B6D0F87"/>
    <w:rsid w:val="7B72691F"/>
    <w:rsid w:val="7B783FD8"/>
    <w:rsid w:val="7B9A3DB8"/>
    <w:rsid w:val="7BA113AB"/>
    <w:rsid w:val="7BA67BFD"/>
    <w:rsid w:val="7BAC4AE8"/>
    <w:rsid w:val="7BD52290"/>
    <w:rsid w:val="7BD568A0"/>
    <w:rsid w:val="7BD99402"/>
    <w:rsid w:val="7BE22960"/>
    <w:rsid w:val="7BE30D21"/>
    <w:rsid w:val="7BF20E1E"/>
    <w:rsid w:val="7BFC01F8"/>
    <w:rsid w:val="7BFF6BBF"/>
    <w:rsid w:val="7BFF70BE"/>
    <w:rsid w:val="7C120F4C"/>
    <w:rsid w:val="7C1B29E5"/>
    <w:rsid w:val="7C5728ED"/>
    <w:rsid w:val="7C574A54"/>
    <w:rsid w:val="7C686BCF"/>
    <w:rsid w:val="7C9408F4"/>
    <w:rsid w:val="7C956F11"/>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9F12B2"/>
    <w:rsid w:val="7DB34706"/>
    <w:rsid w:val="7DCA1604"/>
    <w:rsid w:val="7DE21305"/>
    <w:rsid w:val="7DE60785"/>
    <w:rsid w:val="7DFE1ABC"/>
    <w:rsid w:val="7E1A0A9F"/>
    <w:rsid w:val="7E2327E1"/>
    <w:rsid w:val="7E3C401A"/>
    <w:rsid w:val="7E641213"/>
    <w:rsid w:val="7E7BB322"/>
    <w:rsid w:val="7EA7EB6C"/>
    <w:rsid w:val="7EAD3628"/>
    <w:rsid w:val="7EB859C9"/>
    <w:rsid w:val="7ECB4935"/>
    <w:rsid w:val="7EE33139"/>
    <w:rsid w:val="7EEBD690"/>
    <w:rsid w:val="7EF34773"/>
    <w:rsid w:val="7EF931C4"/>
    <w:rsid w:val="7F0200B0"/>
    <w:rsid w:val="7F0D08DC"/>
    <w:rsid w:val="7F173D26"/>
    <w:rsid w:val="7F3DC597"/>
    <w:rsid w:val="7F457705"/>
    <w:rsid w:val="7F567E20"/>
    <w:rsid w:val="7F666017"/>
    <w:rsid w:val="7F6FBE70"/>
    <w:rsid w:val="7F714EE5"/>
    <w:rsid w:val="7F765549"/>
    <w:rsid w:val="7F7F2734"/>
    <w:rsid w:val="7F9B10FB"/>
    <w:rsid w:val="7FA63F96"/>
    <w:rsid w:val="7FB16B71"/>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F77D5E2"/>
    <w:rsid w:val="DFE64E7C"/>
    <w:rsid w:val="F1FE2398"/>
    <w:rsid w:val="F76F081C"/>
    <w:rsid w:val="F7760AF3"/>
    <w:rsid w:val="F7B3F097"/>
    <w:rsid w:val="F7BF1B7E"/>
    <w:rsid w:val="F7E80245"/>
    <w:rsid w:val="F927801E"/>
    <w:rsid w:val="FA5F277E"/>
    <w:rsid w:val="FB6B5221"/>
    <w:rsid w:val="FBB6A2A8"/>
    <w:rsid w:val="FDDE9CAC"/>
    <w:rsid w:val="FDDF84D4"/>
    <w:rsid w:val="FF4B3213"/>
    <w:rsid w:val="FFCB6B60"/>
    <w:rsid w:val="FFFB3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autoRedefine/>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autoRedefine/>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autoRedefine/>
    <w:semiHidden/>
    <w:unhideWhenUsed/>
    <w:qFormat/>
    <w:uiPriority w:val="1"/>
  </w:style>
  <w:style w:type="table" w:default="1" w:styleId="43">
    <w:name w:val="Normal Table"/>
    <w:autoRedefine/>
    <w:semiHidden/>
    <w:unhideWhenUsed/>
    <w:qFormat/>
    <w:uiPriority w:val="99"/>
    <w:tblPr>
      <w:tblCellMar>
        <w:top w:w="0" w:type="dxa"/>
        <w:left w:w="108" w:type="dxa"/>
        <w:bottom w:w="0" w:type="dxa"/>
        <w:right w:w="108" w:type="dxa"/>
      </w:tblCellMar>
    </w:tblPr>
  </w:style>
  <w:style w:type="paragraph" w:styleId="10">
    <w:name w:val="toc 7"/>
    <w:basedOn w:val="1"/>
    <w:next w:val="1"/>
    <w:autoRedefine/>
    <w:qFormat/>
    <w:uiPriority w:val="39"/>
    <w:pPr>
      <w:ind w:left="1260"/>
      <w:jc w:val="left"/>
    </w:pPr>
    <w:rPr>
      <w:rFonts w:ascii="Calibri" w:hAnsi="Calibri"/>
      <w:sz w:val="18"/>
      <w:szCs w:val="18"/>
    </w:rPr>
  </w:style>
  <w:style w:type="paragraph" w:styleId="11">
    <w:name w:val="table of authorities"/>
    <w:basedOn w:val="1"/>
    <w:next w:val="1"/>
    <w:autoRedefine/>
    <w:qFormat/>
    <w:uiPriority w:val="99"/>
    <w:pPr>
      <w:ind w:left="420" w:leftChars="200"/>
    </w:pPr>
  </w:style>
  <w:style w:type="paragraph" w:styleId="12">
    <w:name w:val="Normal Indent"/>
    <w:basedOn w:val="1"/>
    <w:link w:val="68"/>
    <w:autoRedefine/>
    <w:qFormat/>
    <w:uiPriority w:val="0"/>
    <w:pPr>
      <w:ind w:firstLine="420" w:firstLineChars="200"/>
    </w:pPr>
  </w:style>
  <w:style w:type="paragraph" w:styleId="13">
    <w:name w:val="Document Map"/>
    <w:basedOn w:val="1"/>
    <w:link w:val="75"/>
    <w:autoRedefine/>
    <w:qFormat/>
    <w:uiPriority w:val="0"/>
    <w:pPr>
      <w:shd w:val="clear" w:color="auto" w:fill="000080"/>
    </w:pPr>
    <w:rPr>
      <w:kern w:val="0"/>
      <w:sz w:val="20"/>
    </w:rPr>
  </w:style>
  <w:style w:type="paragraph" w:styleId="14">
    <w:name w:val="annotation text"/>
    <w:basedOn w:val="1"/>
    <w:link w:val="57"/>
    <w:autoRedefine/>
    <w:unhideWhenUsed/>
    <w:qFormat/>
    <w:uiPriority w:val="99"/>
    <w:pPr>
      <w:jc w:val="left"/>
    </w:pPr>
    <w:rPr>
      <w:kern w:val="0"/>
      <w:sz w:val="20"/>
    </w:rPr>
  </w:style>
  <w:style w:type="paragraph" w:styleId="15">
    <w:name w:val="Body Text 3"/>
    <w:basedOn w:val="1"/>
    <w:link w:val="61"/>
    <w:autoRedefine/>
    <w:qFormat/>
    <w:uiPriority w:val="0"/>
    <w:rPr>
      <w:rFonts w:ascii="宋体"/>
      <w:kern w:val="0"/>
      <w:sz w:val="24"/>
      <w:szCs w:val="20"/>
    </w:rPr>
  </w:style>
  <w:style w:type="paragraph" w:styleId="16">
    <w:name w:val="Body Text"/>
    <w:basedOn w:val="1"/>
    <w:next w:val="1"/>
    <w:link w:val="64"/>
    <w:autoRedefine/>
    <w:qFormat/>
    <w:uiPriority w:val="0"/>
    <w:pPr>
      <w:spacing w:after="120"/>
    </w:pPr>
    <w:rPr>
      <w:kern w:val="0"/>
      <w:sz w:val="20"/>
    </w:rPr>
  </w:style>
  <w:style w:type="paragraph" w:styleId="17">
    <w:name w:val="Body Text Indent"/>
    <w:basedOn w:val="1"/>
    <w:next w:val="1"/>
    <w:link w:val="74"/>
    <w:autoRedefine/>
    <w:qFormat/>
    <w:uiPriority w:val="0"/>
    <w:pPr>
      <w:spacing w:after="120"/>
      <w:ind w:left="420" w:leftChars="200"/>
    </w:pPr>
    <w:rPr>
      <w:kern w:val="0"/>
      <w:sz w:val="20"/>
    </w:rPr>
  </w:style>
  <w:style w:type="paragraph" w:styleId="18">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autoRedefine/>
    <w:qFormat/>
    <w:uiPriority w:val="39"/>
    <w:pPr>
      <w:ind w:left="840"/>
      <w:jc w:val="left"/>
    </w:pPr>
    <w:rPr>
      <w:rFonts w:ascii="Calibri" w:hAnsi="Calibri"/>
      <w:sz w:val="18"/>
      <w:szCs w:val="18"/>
    </w:rPr>
  </w:style>
  <w:style w:type="paragraph" w:styleId="20">
    <w:name w:val="toc 3"/>
    <w:basedOn w:val="1"/>
    <w:next w:val="1"/>
    <w:autoRedefine/>
    <w:qFormat/>
    <w:uiPriority w:val="39"/>
    <w:pPr>
      <w:ind w:left="420"/>
      <w:jc w:val="left"/>
    </w:pPr>
    <w:rPr>
      <w:rFonts w:ascii="Calibri" w:hAnsi="Calibri"/>
      <w:i/>
      <w:iCs/>
      <w:sz w:val="20"/>
      <w:szCs w:val="20"/>
    </w:rPr>
  </w:style>
  <w:style w:type="paragraph" w:styleId="21">
    <w:name w:val="Plain Text"/>
    <w:basedOn w:val="1"/>
    <w:link w:val="97"/>
    <w:autoRedefine/>
    <w:qFormat/>
    <w:uiPriority w:val="99"/>
    <w:rPr>
      <w:rFonts w:ascii="Courier New" w:hAnsi="Courier New"/>
      <w:kern w:val="0"/>
      <w:sz w:val="20"/>
      <w:szCs w:val="20"/>
    </w:rPr>
  </w:style>
  <w:style w:type="paragraph" w:styleId="22">
    <w:name w:val="toc 8"/>
    <w:basedOn w:val="1"/>
    <w:next w:val="1"/>
    <w:autoRedefine/>
    <w:qFormat/>
    <w:uiPriority w:val="39"/>
    <w:pPr>
      <w:ind w:left="1470"/>
      <w:jc w:val="left"/>
    </w:pPr>
    <w:rPr>
      <w:rFonts w:ascii="Calibri" w:hAnsi="Calibri"/>
      <w:sz w:val="18"/>
      <w:szCs w:val="18"/>
    </w:rPr>
  </w:style>
  <w:style w:type="paragraph" w:styleId="23">
    <w:name w:val="Date"/>
    <w:basedOn w:val="1"/>
    <w:next w:val="1"/>
    <w:link w:val="81"/>
    <w:autoRedefine/>
    <w:qFormat/>
    <w:uiPriority w:val="0"/>
    <w:rPr>
      <w:kern w:val="0"/>
      <w:sz w:val="24"/>
      <w:szCs w:val="20"/>
    </w:rPr>
  </w:style>
  <w:style w:type="paragraph" w:styleId="24">
    <w:name w:val="Body Text Indent 2"/>
    <w:basedOn w:val="1"/>
    <w:next w:val="1"/>
    <w:autoRedefine/>
    <w:qFormat/>
    <w:uiPriority w:val="0"/>
    <w:pPr>
      <w:spacing w:after="120" w:line="480" w:lineRule="auto"/>
      <w:ind w:left="420" w:leftChars="200"/>
    </w:pPr>
  </w:style>
  <w:style w:type="paragraph" w:styleId="25">
    <w:name w:val="Balloon Text"/>
    <w:basedOn w:val="1"/>
    <w:link w:val="79"/>
    <w:autoRedefine/>
    <w:qFormat/>
    <w:uiPriority w:val="0"/>
    <w:rPr>
      <w:kern w:val="0"/>
      <w:sz w:val="18"/>
      <w:szCs w:val="18"/>
    </w:rPr>
  </w:style>
  <w:style w:type="paragraph" w:styleId="26">
    <w:name w:val="footer"/>
    <w:basedOn w:val="1"/>
    <w:link w:val="93"/>
    <w:autoRedefine/>
    <w:qFormat/>
    <w:uiPriority w:val="99"/>
    <w:pPr>
      <w:tabs>
        <w:tab w:val="center" w:pos="4153"/>
        <w:tab w:val="right" w:pos="8306"/>
      </w:tabs>
      <w:snapToGrid w:val="0"/>
      <w:jc w:val="left"/>
    </w:pPr>
    <w:rPr>
      <w:kern w:val="0"/>
      <w:sz w:val="18"/>
      <w:szCs w:val="18"/>
    </w:rPr>
  </w:style>
  <w:style w:type="paragraph" w:styleId="27">
    <w:name w:val="header"/>
    <w:basedOn w:val="1"/>
    <w:link w:val="71"/>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autoRedefine/>
    <w:qFormat/>
    <w:uiPriority w:val="39"/>
    <w:pPr>
      <w:spacing w:before="120" w:after="120"/>
      <w:jc w:val="left"/>
    </w:pPr>
    <w:rPr>
      <w:rFonts w:ascii="Calibri" w:hAnsi="Calibri"/>
      <w:b/>
      <w:bCs/>
      <w:caps/>
      <w:sz w:val="20"/>
      <w:szCs w:val="20"/>
    </w:rPr>
  </w:style>
  <w:style w:type="paragraph" w:styleId="29">
    <w:name w:val="toc 4"/>
    <w:basedOn w:val="1"/>
    <w:next w:val="1"/>
    <w:autoRedefine/>
    <w:qFormat/>
    <w:uiPriority w:val="39"/>
    <w:pPr>
      <w:ind w:left="630"/>
      <w:jc w:val="left"/>
    </w:pPr>
    <w:rPr>
      <w:rFonts w:ascii="Calibri" w:hAnsi="Calibri"/>
      <w:sz w:val="18"/>
      <w:szCs w:val="18"/>
    </w:rPr>
  </w:style>
  <w:style w:type="paragraph" w:styleId="30">
    <w:name w:val="footnote text"/>
    <w:basedOn w:val="1"/>
    <w:link w:val="65"/>
    <w:autoRedefine/>
    <w:qFormat/>
    <w:uiPriority w:val="0"/>
    <w:rPr>
      <w:kern w:val="0"/>
      <w:sz w:val="20"/>
      <w:szCs w:val="20"/>
    </w:rPr>
  </w:style>
  <w:style w:type="paragraph" w:styleId="31">
    <w:name w:val="toc 6"/>
    <w:basedOn w:val="1"/>
    <w:next w:val="1"/>
    <w:autoRedefine/>
    <w:qFormat/>
    <w:uiPriority w:val="39"/>
    <w:pPr>
      <w:ind w:left="1050"/>
      <w:jc w:val="left"/>
    </w:pPr>
    <w:rPr>
      <w:rFonts w:ascii="Calibri" w:hAnsi="Calibri"/>
      <w:sz w:val="18"/>
      <w:szCs w:val="18"/>
    </w:rPr>
  </w:style>
  <w:style w:type="paragraph" w:styleId="32">
    <w:name w:val="Body Text Indent 3"/>
    <w:basedOn w:val="1"/>
    <w:link w:val="85"/>
    <w:autoRedefine/>
    <w:qFormat/>
    <w:uiPriority w:val="0"/>
    <w:pPr>
      <w:spacing w:after="120"/>
      <w:ind w:left="420" w:leftChars="200"/>
    </w:pPr>
    <w:rPr>
      <w:kern w:val="0"/>
      <w:sz w:val="16"/>
      <w:szCs w:val="16"/>
    </w:rPr>
  </w:style>
  <w:style w:type="paragraph" w:styleId="33">
    <w:name w:val="table of figures"/>
    <w:basedOn w:val="1"/>
    <w:next w:val="1"/>
    <w:autoRedefine/>
    <w:qFormat/>
    <w:uiPriority w:val="0"/>
    <w:pPr>
      <w:ind w:left="200" w:leftChars="200" w:hanging="200" w:hangingChars="200"/>
    </w:pPr>
  </w:style>
  <w:style w:type="paragraph" w:styleId="34">
    <w:name w:val="toc 2"/>
    <w:basedOn w:val="1"/>
    <w:next w:val="1"/>
    <w:autoRedefine/>
    <w:qFormat/>
    <w:uiPriority w:val="39"/>
    <w:pPr>
      <w:ind w:left="210"/>
      <w:jc w:val="left"/>
    </w:pPr>
    <w:rPr>
      <w:rFonts w:ascii="Calibri" w:hAnsi="Calibri"/>
      <w:smallCaps/>
      <w:sz w:val="20"/>
      <w:szCs w:val="20"/>
    </w:rPr>
  </w:style>
  <w:style w:type="paragraph" w:styleId="35">
    <w:name w:val="toc 9"/>
    <w:basedOn w:val="1"/>
    <w:next w:val="1"/>
    <w:autoRedefine/>
    <w:qFormat/>
    <w:uiPriority w:val="39"/>
    <w:pPr>
      <w:ind w:left="1680"/>
      <w:jc w:val="left"/>
    </w:pPr>
    <w:rPr>
      <w:rFonts w:ascii="Calibri" w:hAnsi="Calibri"/>
      <w:sz w:val="18"/>
      <w:szCs w:val="18"/>
    </w:rPr>
  </w:style>
  <w:style w:type="paragraph" w:styleId="36">
    <w:name w:val="HTML Preformatted"/>
    <w:basedOn w:val="1"/>
    <w:link w:val="95"/>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autoRedefine/>
    <w:semiHidden/>
    <w:qFormat/>
    <w:uiPriority w:val="0"/>
    <w:pPr>
      <w:spacing w:line="360" w:lineRule="auto"/>
      <w:jc w:val="center"/>
    </w:pPr>
    <w:rPr>
      <w:rFonts w:ascii="宋体" w:hAnsi="Arial" w:cs="Arial"/>
      <w:b/>
      <w:color w:val="000000"/>
      <w:sz w:val="24"/>
    </w:rPr>
  </w:style>
  <w:style w:type="paragraph" w:styleId="39">
    <w:name w:val="Title"/>
    <w:basedOn w:val="1"/>
    <w:link w:val="78"/>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autoRedefine/>
    <w:qFormat/>
    <w:uiPriority w:val="0"/>
    <w:rPr>
      <w:b/>
      <w:bCs/>
    </w:rPr>
  </w:style>
  <w:style w:type="paragraph" w:styleId="41">
    <w:name w:val="Body Text First Indent"/>
    <w:basedOn w:val="16"/>
    <w:autoRedefine/>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autoRedefine/>
    <w:unhideWhenUsed/>
    <w:qFormat/>
    <w:uiPriority w:val="0"/>
    <w:pPr>
      <w:ind w:firstLine="420"/>
    </w:pPr>
  </w:style>
  <w:style w:type="table" w:styleId="44">
    <w:name w:val="Table Grid"/>
    <w:basedOn w:val="43"/>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autoRedefine/>
    <w:qFormat/>
    <w:uiPriority w:val="0"/>
    <w:rPr>
      <w:b/>
      <w:bCs/>
    </w:rPr>
  </w:style>
  <w:style w:type="character" w:styleId="47">
    <w:name w:val="page number"/>
    <w:autoRedefine/>
    <w:qFormat/>
    <w:uiPriority w:val="0"/>
  </w:style>
  <w:style w:type="character" w:styleId="48">
    <w:name w:val="FollowedHyperlink"/>
    <w:basedOn w:val="45"/>
    <w:autoRedefine/>
    <w:qFormat/>
    <w:uiPriority w:val="0"/>
    <w:rPr>
      <w:rFonts w:hint="default" w:ascii="Arial" w:hAnsi="Arial" w:eastAsia="Arial" w:cs="Arial"/>
      <w:color w:val="333333"/>
      <w:sz w:val="21"/>
      <w:szCs w:val="21"/>
      <w:u w:val="none"/>
    </w:rPr>
  </w:style>
  <w:style w:type="character" w:styleId="49">
    <w:name w:val="Hyperlink"/>
    <w:basedOn w:val="45"/>
    <w:autoRedefine/>
    <w:qFormat/>
    <w:uiPriority w:val="99"/>
    <w:rPr>
      <w:rFonts w:ascii="Arial" w:hAnsi="Arial" w:eastAsia="Arial" w:cs="Arial"/>
      <w:color w:val="333333"/>
      <w:sz w:val="21"/>
      <w:szCs w:val="21"/>
      <w:u w:val="none"/>
    </w:rPr>
  </w:style>
  <w:style w:type="character" w:styleId="50">
    <w:name w:val="annotation reference"/>
    <w:autoRedefine/>
    <w:qFormat/>
    <w:uiPriority w:val="0"/>
    <w:rPr>
      <w:sz w:val="21"/>
      <w:szCs w:val="21"/>
    </w:rPr>
  </w:style>
  <w:style w:type="character" w:styleId="51">
    <w:name w:val="footnote reference"/>
    <w:autoRedefine/>
    <w:qFormat/>
    <w:uiPriority w:val="0"/>
    <w:rPr>
      <w:vertAlign w:val="superscript"/>
    </w:rPr>
  </w:style>
  <w:style w:type="character" w:customStyle="1" w:styleId="52">
    <w:name w:val="apple-style-span"/>
    <w:autoRedefine/>
    <w:qFormat/>
    <w:uiPriority w:val="0"/>
    <w:rPr>
      <w:rFonts w:ascii="Verdana" w:hAnsi="Verdana" w:eastAsia="宋体"/>
      <w:sz w:val="21"/>
      <w:lang w:val="en-US" w:eastAsia="en-US" w:bidi="ar-SA"/>
    </w:rPr>
  </w:style>
  <w:style w:type="character" w:customStyle="1" w:styleId="53">
    <w:name w:val="正文文本 3 Char1"/>
    <w:autoRedefine/>
    <w:semiHidden/>
    <w:qFormat/>
    <w:uiPriority w:val="99"/>
    <w:rPr>
      <w:rFonts w:ascii="Times New Roman" w:hAnsi="Times New Roman" w:eastAsia="宋体" w:cs="Times New Roman"/>
      <w:sz w:val="16"/>
      <w:szCs w:val="16"/>
    </w:rPr>
  </w:style>
  <w:style w:type="character" w:customStyle="1" w:styleId="54">
    <w:name w:val="样式 宋体"/>
    <w:autoRedefine/>
    <w:qFormat/>
    <w:uiPriority w:val="0"/>
    <w:rPr>
      <w:rFonts w:ascii="Times New Roman" w:hAnsi="Times New Roman" w:eastAsia="宋体"/>
      <w:sz w:val="21"/>
    </w:rPr>
  </w:style>
  <w:style w:type="character" w:customStyle="1" w:styleId="55">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4"/>
    <w:autoRedefine/>
    <w:qFormat/>
    <w:uiPriority w:val="0"/>
    <w:rPr>
      <w:rFonts w:ascii="Times New Roman" w:hAnsi="Times New Roman" w:eastAsia="宋体" w:cs="Times New Roman"/>
      <w:b/>
      <w:bCs/>
      <w:sz w:val="32"/>
      <w:szCs w:val="32"/>
    </w:rPr>
  </w:style>
  <w:style w:type="character" w:customStyle="1" w:styleId="57">
    <w:name w:val="批注文字 字符"/>
    <w:link w:val="14"/>
    <w:autoRedefine/>
    <w:semiHidden/>
    <w:qFormat/>
    <w:uiPriority w:val="99"/>
    <w:rPr>
      <w:rFonts w:ascii="Times New Roman" w:hAnsi="Times New Roman" w:eastAsia="宋体" w:cs="Times New Roman"/>
      <w:szCs w:val="24"/>
    </w:rPr>
  </w:style>
  <w:style w:type="character" w:customStyle="1" w:styleId="58">
    <w:name w:val="标题 6 字符"/>
    <w:link w:val="6"/>
    <w:autoRedefine/>
    <w:qFormat/>
    <w:uiPriority w:val="0"/>
    <w:rPr>
      <w:rFonts w:ascii="Arial" w:hAnsi="Arial" w:eastAsia="黑体" w:cs="Times New Roman"/>
      <w:b/>
      <w:bCs/>
      <w:kern w:val="0"/>
      <w:sz w:val="24"/>
      <w:szCs w:val="24"/>
    </w:rPr>
  </w:style>
  <w:style w:type="character" w:customStyle="1" w:styleId="59">
    <w:name w:val="Char Char8"/>
    <w:autoRedefine/>
    <w:qFormat/>
    <w:uiPriority w:val="0"/>
    <w:rPr>
      <w:rFonts w:ascii="Arial" w:hAnsi="Arial" w:eastAsia="黑体"/>
      <w:b/>
      <w:bCs/>
      <w:kern w:val="2"/>
      <w:sz w:val="32"/>
      <w:szCs w:val="32"/>
      <w:lang w:val="en-US" w:eastAsia="zh-CN" w:bidi="ar-SA"/>
    </w:rPr>
  </w:style>
  <w:style w:type="character" w:customStyle="1" w:styleId="60">
    <w:name w:val="脚注文本 Char1"/>
    <w:autoRedefine/>
    <w:semiHidden/>
    <w:qFormat/>
    <w:uiPriority w:val="99"/>
    <w:rPr>
      <w:rFonts w:ascii="Times New Roman" w:hAnsi="Times New Roman" w:eastAsia="宋体" w:cs="Times New Roman"/>
      <w:sz w:val="18"/>
      <w:szCs w:val="18"/>
    </w:rPr>
  </w:style>
  <w:style w:type="character" w:customStyle="1" w:styleId="61">
    <w:name w:val="正文文本 3 字符"/>
    <w:link w:val="15"/>
    <w:autoRedefine/>
    <w:qFormat/>
    <w:uiPriority w:val="0"/>
    <w:rPr>
      <w:rFonts w:ascii="宋体"/>
      <w:sz w:val="24"/>
    </w:rPr>
  </w:style>
  <w:style w:type="character" w:customStyle="1" w:styleId="62">
    <w:name w:val="页脚 Char1"/>
    <w:autoRedefine/>
    <w:semiHidden/>
    <w:qFormat/>
    <w:uiPriority w:val="99"/>
    <w:rPr>
      <w:rFonts w:ascii="Times New Roman" w:hAnsi="Times New Roman" w:eastAsia="宋体" w:cs="Times New Roman"/>
      <w:sz w:val="18"/>
      <w:szCs w:val="18"/>
    </w:rPr>
  </w:style>
  <w:style w:type="character" w:customStyle="1" w:styleId="63">
    <w:name w:val="标题 Char1"/>
    <w:autoRedefine/>
    <w:qFormat/>
    <w:uiPriority w:val="10"/>
    <w:rPr>
      <w:rFonts w:ascii="Calibri Light" w:hAnsi="Calibri Light" w:eastAsia="宋体" w:cs="Times New Roman"/>
      <w:b/>
      <w:bCs/>
      <w:sz w:val="32"/>
      <w:szCs w:val="32"/>
    </w:rPr>
  </w:style>
  <w:style w:type="character" w:customStyle="1" w:styleId="64">
    <w:name w:val="正文文本 字符"/>
    <w:link w:val="16"/>
    <w:autoRedefine/>
    <w:qFormat/>
    <w:uiPriority w:val="0"/>
    <w:rPr>
      <w:rFonts w:eastAsia="宋体"/>
      <w:szCs w:val="24"/>
    </w:rPr>
  </w:style>
  <w:style w:type="character" w:customStyle="1" w:styleId="65">
    <w:name w:val="脚注文本 字符"/>
    <w:link w:val="30"/>
    <w:autoRedefine/>
    <w:qFormat/>
    <w:uiPriority w:val="0"/>
    <w:rPr>
      <w:rFonts w:eastAsia="宋体"/>
    </w:rPr>
  </w:style>
  <w:style w:type="character" w:customStyle="1" w:styleId="66">
    <w:name w:val="纯文本 Char1"/>
    <w:autoRedefine/>
    <w:semiHidden/>
    <w:qFormat/>
    <w:uiPriority w:val="99"/>
    <w:rPr>
      <w:rFonts w:ascii="宋体" w:hAnsi="Courier New" w:eastAsia="宋体" w:cs="Courier New"/>
      <w:szCs w:val="21"/>
    </w:rPr>
  </w:style>
  <w:style w:type="character" w:customStyle="1" w:styleId="67">
    <w:name w:val="批注主题 字符"/>
    <w:link w:val="40"/>
    <w:autoRedefine/>
    <w:qFormat/>
    <w:uiPriority w:val="0"/>
    <w:rPr>
      <w:rFonts w:ascii="Times New Roman" w:hAnsi="Times New Roman" w:eastAsia="宋体" w:cs="Times New Roman"/>
      <w:b/>
      <w:bCs/>
      <w:szCs w:val="24"/>
    </w:rPr>
  </w:style>
  <w:style w:type="character" w:customStyle="1" w:styleId="68">
    <w:name w:val="正文缩进 字符"/>
    <w:link w:val="12"/>
    <w:autoRedefine/>
    <w:qFormat/>
    <w:locked/>
    <w:uiPriority w:val="0"/>
    <w:rPr>
      <w:kern w:val="2"/>
      <w:sz w:val="21"/>
      <w:szCs w:val="24"/>
    </w:rPr>
  </w:style>
  <w:style w:type="character" w:customStyle="1" w:styleId="69">
    <w:name w:val="font11"/>
    <w:autoRedefine/>
    <w:qFormat/>
    <w:uiPriority w:val="0"/>
    <w:rPr>
      <w:rFonts w:hint="default" w:ascii="Times New Roman" w:hAnsi="Times New Roman" w:cs="Times New Roman"/>
      <w:color w:val="000000"/>
      <w:sz w:val="22"/>
      <w:szCs w:val="22"/>
      <w:u w:val="none"/>
    </w:rPr>
  </w:style>
  <w:style w:type="character" w:customStyle="1" w:styleId="70">
    <w:name w:val="font01"/>
    <w:autoRedefine/>
    <w:qFormat/>
    <w:uiPriority w:val="0"/>
    <w:rPr>
      <w:rFonts w:hint="eastAsia" w:ascii="宋体" w:hAnsi="宋体" w:eastAsia="宋体" w:cs="宋体"/>
      <w:color w:val="000000"/>
      <w:sz w:val="22"/>
      <w:szCs w:val="22"/>
      <w:u w:val="none"/>
    </w:rPr>
  </w:style>
  <w:style w:type="character" w:customStyle="1" w:styleId="71">
    <w:name w:val="页眉 字符"/>
    <w:link w:val="27"/>
    <w:autoRedefine/>
    <w:qFormat/>
    <w:uiPriority w:val="0"/>
    <w:rPr>
      <w:rFonts w:ascii="Times New Roman" w:hAnsi="Times New Roman" w:eastAsia="宋体" w:cs="Times New Roman"/>
      <w:sz w:val="18"/>
      <w:szCs w:val="18"/>
    </w:rPr>
  </w:style>
  <w:style w:type="character" w:customStyle="1" w:styleId="72">
    <w:name w:val="标题 9 字符"/>
    <w:link w:val="9"/>
    <w:autoRedefine/>
    <w:qFormat/>
    <w:uiPriority w:val="0"/>
    <w:rPr>
      <w:rFonts w:ascii="Arial" w:hAnsi="Arial" w:eastAsia="黑体" w:cs="Times New Roman"/>
      <w:kern w:val="0"/>
      <w:szCs w:val="21"/>
    </w:rPr>
  </w:style>
  <w:style w:type="character" w:customStyle="1" w:styleId="73">
    <w:name w:val="标题 2 Char1"/>
    <w:autoRedefine/>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autoRedefine/>
    <w:qFormat/>
    <w:uiPriority w:val="0"/>
    <w:rPr>
      <w:szCs w:val="24"/>
    </w:rPr>
  </w:style>
  <w:style w:type="character" w:customStyle="1" w:styleId="75">
    <w:name w:val="文档结构图 字符"/>
    <w:link w:val="13"/>
    <w:autoRedefine/>
    <w:qFormat/>
    <w:uiPriority w:val="0"/>
    <w:rPr>
      <w:rFonts w:ascii="Times New Roman" w:hAnsi="Times New Roman" w:eastAsia="宋体" w:cs="Times New Roman"/>
      <w:szCs w:val="24"/>
      <w:shd w:val="clear" w:color="auto" w:fill="000080"/>
    </w:rPr>
  </w:style>
  <w:style w:type="character" w:customStyle="1" w:styleId="76">
    <w:name w:val="font161"/>
    <w:autoRedefine/>
    <w:qFormat/>
    <w:uiPriority w:val="0"/>
    <w:rPr>
      <w:b/>
      <w:bCs/>
      <w:sz w:val="32"/>
      <w:szCs w:val="32"/>
    </w:rPr>
  </w:style>
  <w:style w:type="character" w:customStyle="1" w:styleId="77">
    <w:name w:val="标题 2 字符"/>
    <w:link w:val="3"/>
    <w:autoRedefine/>
    <w:qFormat/>
    <w:uiPriority w:val="0"/>
    <w:rPr>
      <w:rFonts w:ascii="Arial" w:hAnsi="Arial" w:eastAsia="黑体" w:cs="Times New Roman"/>
      <w:b/>
      <w:bCs/>
      <w:sz w:val="32"/>
      <w:szCs w:val="32"/>
    </w:rPr>
  </w:style>
  <w:style w:type="character" w:customStyle="1" w:styleId="78">
    <w:name w:val="标题 字符"/>
    <w:link w:val="39"/>
    <w:autoRedefine/>
    <w:qFormat/>
    <w:uiPriority w:val="0"/>
    <w:rPr>
      <w:rFonts w:ascii="Arial" w:hAnsi="Arial"/>
      <w:b/>
      <w:sz w:val="32"/>
    </w:rPr>
  </w:style>
  <w:style w:type="character" w:customStyle="1" w:styleId="79">
    <w:name w:val="批注框文本 字符"/>
    <w:link w:val="25"/>
    <w:autoRedefine/>
    <w:qFormat/>
    <w:uiPriority w:val="0"/>
    <w:rPr>
      <w:rFonts w:ascii="Times New Roman" w:hAnsi="Times New Roman" w:eastAsia="宋体" w:cs="Times New Roman"/>
      <w:sz w:val="18"/>
      <w:szCs w:val="18"/>
    </w:rPr>
  </w:style>
  <w:style w:type="character" w:customStyle="1" w:styleId="80">
    <w:name w:val="标题 8 字符"/>
    <w:link w:val="8"/>
    <w:autoRedefine/>
    <w:qFormat/>
    <w:uiPriority w:val="0"/>
    <w:rPr>
      <w:rFonts w:ascii="Arial" w:hAnsi="Arial" w:eastAsia="黑体" w:cs="Times New Roman"/>
      <w:kern w:val="0"/>
      <w:sz w:val="24"/>
      <w:szCs w:val="24"/>
    </w:rPr>
  </w:style>
  <w:style w:type="character" w:customStyle="1" w:styleId="81">
    <w:name w:val="日期 字符"/>
    <w:link w:val="23"/>
    <w:autoRedefine/>
    <w:qFormat/>
    <w:uiPriority w:val="0"/>
    <w:rPr>
      <w:rFonts w:ascii="Times New Roman" w:hAnsi="Times New Roman" w:eastAsia="宋体" w:cs="Times New Roman"/>
      <w:sz w:val="24"/>
      <w:szCs w:val="20"/>
    </w:rPr>
  </w:style>
  <w:style w:type="character" w:customStyle="1" w:styleId="82">
    <w:name w:val="标题 1 字符"/>
    <w:link w:val="2"/>
    <w:autoRedefine/>
    <w:qFormat/>
    <w:uiPriority w:val="0"/>
    <w:rPr>
      <w:rFonts w:ascii="Times New Roman" w:hAnsi="Times New Roman" w:eastAsia="宋体" w:cs="Times New Roman"/>
      <w:b/>
      <w:bCs/>
      <w:kern w:val="44"/>
      <w:sz w:val="44"/>
      <w:szCs w:val="44"/>
    </w:rPr>
  </w:style>
  <w:style w:type="character" w:customStyle="1" w:styleId="83">
    <w:name w:val="招标节 Char"/>
    <w:link w:val="84"/>
    <w:autoRedefine/>
    <w:qFormat/>
    <w:locked/>
    <w:uiPriority w:val="0"/>
    <w:rPr>
      <w:b/>
      <w:sz w:val="24"/>
      <w:szCs w:val="24"/>
    </w:rPr>
  </w:style>
  <w:style w:type="paragraph" w:customStyle="1" w:styleId="84">
    <w:name w:val="招标节"/>
    <w:basedOn w:val="1"/>
    <w:next w:val="1"/>
    <w:link w:val="83"/>
    <w:autoRedefine/>
    <w:qFormat/>
    <w:uiPriority w:val="0"/>
    <w:pPr>
      <w:spacing w:beforeLines="50" w:afterLines="50"/>
      <w:outlineLvl w:val="1"/>
    </w:pPr>
    <w:rPr>
      <w:b/>
      <w:kern w:val="0"/>
      <w:sz w:val="24"/>
    </w:rPr>
  </w:style>
  <w:style w:type="character" w:customStyle="1" w:styleId="85">
    <w:name w:val="正文文本缩进 3 字符"/>
    <w:link w:val="32"/>
    <w:autoRedefine/>
    <w:qFormat/>
    <w:uiPriority w:val="0"/>
    <w:rPr>
      <w:rFonts w:ascii="Times New Roman" w:hAnsi="Times New Roman" w:eastAsia="宋体" w:cs="Times New Roman"/>
      <w:sz w:val="16"/>
      <w:szCs w:val="16"/>
    </w:rPr>
  </w:style>
  <w:style w:type="character" w:customStyle="1" w:styleId="86">
    <w:name w:val="tpc_content1"/>
    <w:autoRedefine/>
    <w:qFormat/>
    <w:uiPriority w:val="0"/>
    <w:rPr>
      <w:sz w:val="20"/>
      <w:szCs w:val="20"/>
    </w:rPr>
  </w:style>
  <w:style w:type="character" w:customStyle="1" w:styleId="87">
    <w:name w:val="Char Char"/>
    <w:autoRedefine/>
    <w:qFormat/>
    <w:uiPriority w:val="0"/>
    <w:rPr>
      <w:rFonts w:ascii="Arial" w:hAnsi="Arial" w:eastAsia="黑体"/>
      <w:b/>
      <w:bCs/>
      <w:kern w:val="2"/>
      <w:sz w:val="32"/>
      <w:szCs w:val="32"/>
      <w:lang w:val="en-US" w:eastAsia="zh-CN" w:bidi="ar-SA"/>
    </w:rPr>
  </w:style>
  <w:style w:type="character" w:customStyle="1" w:styleId="88">
    <w:name w:val="正文文本 Char1"/>
    <w:autoRedefine/>
    <w:semiHidden/>
    <w:qFormat/>
    <w:uiPriority w:val="99"/>
    <w:rPr>
      <w:rFonts w:ascii="Times New Roman" w:hAnsi="Times New Roman" w:eastAsia="宋体" w:cs="Times New Roman"/>
      <w:szCs w:val="24"/>
    </w:rPr>
  </w:style>
  <w:style w:type="character" w:customStyle="1" w:styleId="89">
    <w:name w:val="Char Char2"/>
    <w:autoRedefine/>
    <w:qFormat/>
    <w:uiPriority w:val="0"/>
    <w:rPr>
      <w:rFonts w:eastAsia="宋体"/>
      <w:kern w:val="2"/>
      <w:sz w:val="21"/>
      <w:szCs w:val="24"/>
      <w:lang w:val="en-US" w:eastAsia="zh-CN" w:bidi="ar-SA"/>
    </w:rPr>
  </w:style>
  <w:style w:type="character" w:customStyle="1" w:styleId="90">
    <w:name w:val="apple-converted-space"/>
    <w:autoRedefine/>
    <w:qFormat/>
    <w:uiPriority w:val="0"/>
  </w:style>
  <w:style w:type="character" w:customStyle="1" w:styleId="91">
    <w:name w:val="标题 4 字符"/>
    <w:link w:val="5"/>
    <w:autoRedefine/>
    <w:qFormat/>
    <w:uiPriority w:val="0"/>
    <w:rPr>
      <w:rFonts w:ascii="Arial" w:hAnsi="Arial" w:eastAsia="黑体" w:cs="Times New Roman"/>
      <w:b/>
      <w:bCs/>
      <w:sz w:val="28"/>
      <w:szCs w:val="28"/>
    </w:rPr>
  </w:style>
  <w:style w:type="character" w:customStyle="1" w:styleId="92">
    <w:name w:val="正文文本缩进 Char1"/>
    <w:autoRedefine/>
    <w:semiHidden/>
    <w:qFormat/>
    <w:uiPriority w:val="99"/>
    <w:rPr>
      <w:rFonts w:ascii="Times New Roman" w:hAnsi="Times New Roman" w:eastAsia="宋体" w:cs="Times New Roman"/>
      <w:szCs w:val="24"/>
    </w:rPr>
  </w:style>
  <w:style w:type="character" w:customStyle="1" w:styleId="93">
    <w:name w:val="页脚 字符"/>
    <w:link w:val="26"/>
    <w:autoRedefine/>
    <w:qFormat/>
    <w:uiPriority w:val="99"/>
    <w:rPr>
      <w:sz w:val="18"/>
      <w:szCs w:val="18"/>
    </w:rPr>
  </w:style>
  <w:style w:type="character" w:customStyle="1" w:styleId="94">
    <w:name w:val="Char Char7"/>
    <w:autoRedefine/>
    <w:qFormat/>
    <w:uiPriority w:val="0"/>
    <w:rPr>
      <w:rFonts w:ascii="Arial" w:hAnsi="Arial" w:eastAsia="黑体"/>
      <w:b/>
      <w:bCs/>
      <w:kern w:val="2"/>
      <w:sz w:val="32"/>
      <w:szCs w:val="32"/>
      <w:lang w:val="en-US" w:eastAsia="zh-CN" w:bidi="ar-SA"/>
    </w:rPr>
  </w:style>
  <w:style w:type="character" w:customStyle="1" w:styleId="95">
    <w:name w:val="HTML 预设格式 字符"/>
    <w:link w:val="36"/>
    <w:autoRedefine/>
    <w:qFormat/>
    <w:uiPriority w:val="0"/>
    <w:rPr>
      <w:rFonts w:ascii="微软雅黑" w:hAnsi="微软雅黑" w:eastAsia="微软雅黑" w:cs="Times New Roman"/>
      <w:kern w:val="0"/>
      <w:sz w:val="24"/>
      <w:szCs w:val="24"/>
    </w:rPr>
  </w:style>
  <w:style w:type="character" w:customStyle="1" w:styleId="96">
    <w:name w:val="批注文字 Char"/>
    <w:autoRedefine/>
    <w:qFormat/>
    <w:uiPriority w:val="0"/>
    <w:rPr>
      <w:rFonts w:eastAsia="宋体"/>
      <w:kern w:val="2"/>
      <w:sz w:val="21"/>
      <w:szCs w:val="24"/>
      <w:lang w:val="en-US" w:eastAsia="zh-CN" w:bidi="ar-SA"/>
    </w:rPr>
  </w:style>
  <w:style w:type="character" w:customStyle="1" w:styleId="97">
    <w:name w:val="纯文本 字符"/>
    <w:link w:val="21"/>
    <w:autoRedefine/>
    <w:qFormat/>
    <w:uiPriority w:val="99"/>
    <w:rPr>
      <w:rFonts w:ascii="Courier New" w:hAnsi="Courier New"/>
    </w:rPr>
  </w:style>
  <w:style w:type="character" w:customStyle="1" w:styleId="98">
    <w:name w:val="标题 7 字符"/>
    <w:link w:val="7"/>
    <w:autoRedefine/>
    <w:qFormat/>
    <w:uiPriority w:val="0"/>
    <w:rPr>
      <w:rFonts w:ascii="Times New Roman" w:hAnsi="Times New Roman" w:eastAsia="宋体" w:cs="Times New Roman"/>
      <w:b/>
      <w:bCs/>
      <w:kern w:val="0"/>
      <w:sz w:val="24"/>
      <w:szCs w:val="24"/>
    </w:rPr>
  </w:style>
  <w:style w:type="paragraph" w:customStyle="1" w:styleId="99">
    <w:name w:val="样式4"/>
    <w:basedOn w:val="4"/>
    <w:autoRedefine/>
    <w:qFormat/>
    <w:uiPriority w:val="0"/>
    <w:rPr>
      <w:rFonts w:eastAsia="Arial"/>
    </w:rPr>
  </w:style>
  <w:style w:type="paragraph" w:customStyle="1" w:styleId="100">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autoRedefine/>
    <w:qFormat/>
    <w:uiPriority w:val="0"/>
    <w:pPr>
      <w:widowControl/>
      <w:spacing w:before="100" w:beforeAutospacing="1" w:after="100" w:afterAutospacing="1"/>
      <w:jc w:val="left"/>
    </w:pPr>
    <w:rPr>
      <w:kern w:val="0"/>
      <w:sz w:val="28"/>
      <w:szCs w:val="28"/>
    </w:rPr>
  </w:style>
  <w:style w:type="paragraph" w:customStyle="1" w:styleId="103">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autoRedefine/>
    <w:qFormat/>
    <w:uiPriority w:val="0"/>
    <w:rPr>
      <w:rFonts w:eastAsia="Arial"/>
    </w:rPr>
  </w:style>
  <w:style w:type="paragraph" w:customStyle="1" w:styleId="106">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autoRedefine/>
    <w:qFormat/>
    <w:uiPriority w:val="0"/>
    <w:pPr>
      <w:tabs>
        <w:tab w:val="left" w:pos="360"/>
      </w:tabs>
    </w:pPr>
    <w:rPr>
      <w:sz w:val="24"/>
    </w:rPr>
  </w:style>
  <w:style w:type="paragraph" w:customStyle="1" w:styleId="109">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autoRedefine/>
    <w:qFormat/>
    <w:uiPriority w:val="0"/>
    <w:pPr>
      <w:jc w:val="center"/>
      <w:textAlignment w:val="center"/>
    </w:pPr>
    <w:rPr>
      <w:rFonts w:ascii="华文细黑" w:hAnsi="华文细黑"/>
      <w:kern w:val="0"/>
      <w:szCs w:val="20"/>
    </w:rPr>
  </w:style>
  <w:style w:type="paragraph" w:customStyle="1" w:styleId="111">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autoRedefine/>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autoRedefine/>
    <w:qFormat/>
    <w:uiPriority w:val="0"/>
  </w:style>
  <w:style w:type="paragraph" w:customStyle="1" w:styleId="127">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autoRedefine/>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autoRedefine/>
    <w:qFormat/>
    <w:uiPriority w:val="0"/>
    <w:rPr>
      <w:rFonts w:eastAsia="Arial"/>
    </w:rPr>
  </w:style>
  <w:style w:type="paragraph" w:customStyle="1" w:styleId="134">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autoRedefine/>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autoRedefine/>
    <w:qFormat/>
    <w:uiPriority w:val="0"/>
    <w:pPr>
      <w:spacing w:before="0" w:after="0" w:line="400" w:lineRule="exact"/>
    </w:pPr>
    <w:rPr>
      <w:rFonts w:eastAsia="黑体" w:cs="宋体"/>
      <w:b w:val="0"/>
      <w:bCs w:val="0"/>
      <w:sz w:val="24"/>
      <w:szCs w:val="20"/>
    </w:rPr>
  </w:style>
  <w:style w:type="paragraph" w:customStyle="1" w:styleId="14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autoRedefine/>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autoRedefine/>
    <w:qFormat/>
    <w:uiPriority w:val="99"/>
    <w:pPr>
      <w:ind w:firstLine="420" w:firstLineChars="200"/>
    </w:pPr>
  </w:style>
  <w:style w:type="paragraph" w:customStyle="1" w:styleId="155">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autoRedefine/>
    <w:qFormat/>
    <w:uiPriority w:val="0"/>
    <w:pPr>
      <w:adjustRightInd w:val="0"/>
      <w:spacing w:line="420" w:lineRule="atLeast"/>
      <w:jc w:val="left"/>
      <w:textAlignment w:val="baseline"/>
    </w:pPr>
    <w:rPr>
      <w:kern w:val="0"/>
      <w:szCs w:val="20"/>
    </w:rPr>
  </w:style>
  <w:style w:type="paragraph" w:customStyle="1" w:styleId="157">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4"/>
    <w:autoRedefine/>
    <w:qFormat/>
    <w:uiPriority w:val="0"/>
  </w:style>
  <w:style w:type="character" w:customStyle="1" w:styleId="159">
    <w:name w:val="after"/>
    <w:basedOn w:val="45"/>
    <w:autoRedefine/>
    <w:qFormat/>
    <w:uiPriority w:val="0"/>
    <w:rPr>
      <w:bdr w:val="dashed" w:color="auto" w:sz="48" w:space="0"/>
    </w:rPr>
  </w:style>
  <w:style w:type="character" w:customStyle="1" w:styleId="160">
    <w:name w:val="before"/>
    <w:basedOn w:val="45"/>
    <w:autoRedefine/>
    <w:qFormat/>
    <w:uiPriority w:val="0"/>
    <w:rPr>
      <w:bdr w:val="single" w:color="auto" w:sz="48" w:space="0"/>
    </w:rPr>
  </w:style>
  <w:style w:type="character" w:customStyle="1" w:styleId="161">
    <w:name w:val="hover48"/>
    <w:basedOn w:val="45"/>
    <w:autoRedefine/>
    <w:qFormat/>
    <w:uiPriority w:val="0"/>
    <w:rPr>
      <w:shd w:val="clear" w:color="auto" w:fill="346AC3"/>
    </w:rPr>
  </w:style>
  <w:style w:type="character" w:customStyle="1" w:styleId="162">
    <w:name w:val="hover49"/>
    <w:basedOn w:val="45"/>
    <w:autoRedefine/>
    <w:qFormat/>
    <w:uiPriority w:val="0"/>
  </w:style>
  <w:style w:type="character" w:customStyle="1" w:styleId="163">
    <w:name w:val="hover50"/>
    <w:basedOn w:val="45"/>
    <w:autoRedefine/>
    <w:qFormat/>
    <w:uiPriority w:val="0"/>
    <w:rPr>
      <w:color w:val="4285F4"/>
      <w:u w:val="none"/>
    </w:rPr>
  </w:style>
  <w:style w:type="character" w:customStyle="1" w:styleId="164">
    <w:name w:val="hover51"/>
    <w:basedOn w:val="45"/>
    <w:autoRedefine/>
    <w:qFormat/>
    <w:uiPriority w:val="0"/>
    <w:rPr>
      <w:color w:val="4285F4"/>
    </w:rPr>
  </w:style>
  <w:style w:type="character" w:customStyle="1" w:styleId="165">
    <w:name w:val="hover52"/>
    <w:basedOn w:val="45"/>
    <w:autoRedefine/>
    <w:qFormat/>
    <w:uiPriority w:val="0"/>
    <w:rPr>
      <w:color w:val="1A85D7"/>
    </w:rPr>
  </w:style>
  <w:style w:type="character" w:customStyle="1" w:styleId="166">
    <w:name w:val="credit"/>
    <w:basedOn w:val="45"/>
    <w:autoRedefine/>
    <w:qFormat/>
    <w:uiPriority w:val="0"/>
    <w:rPr>
      <w:sz w:val="18"/>
      <w:szCs w:val="18"/>
    </w:rPr>
  </w:style>
  <w:style w:type="character" w:customStyle="1" w:styleId="167">
    <w:name w:val="first-child"/>
    <w:basedOn w:val="45"/>
    <w:autoRedefine/>
    <w:qFormat/>
    <w:uiPriority w:val="0"/>
  </w:style>
  <w:style w:type="paragraph" w:customStyle="1" w:styleId="168">
    <w:name w:val="Table Paragraph"/>
    <w:basedOn w:val="1"/>
    <w:autoRedefine/>
    <w:qFormat/>
    <w:uiPriority w:val="1"/>
  </w:style>
  <w:style w:type="table" w:customStyle="1" w:styleId="169">
    <w:name w:val="Table Normal"/>
    <w:autoRedefine/>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autoRedefine/>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autoRedefine/>
    <w:qFormat/>
    <w:uiPriority w:val="99"/>
    <w:pPr>
      <w:ind w:firstLine="420" w:firstLineChars="200"/>
    </w:pPr>
  </w:style>
  <w:style w:type="paragraph" w:customStyle="1" w:styleId="172">
    <w:name w:val="*正文"/>
    <w:basedOn w:val="1"/>
    <w:autoRedefine/>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autoRedefine/>
    <w:qFormat/>
    <w:uiPriority w:val="0"/>
    <w:pPr>
      <w:snapToGrid w:val="0"/>
      <w:spacing w:line="0" w:lineRule="atLeast"/>
    </w:pPr>
    <w:rPr>
      <w:b/>
      <w:szCs w:val="20"/>
    </w:rPr>
  </w:style>
  <w:style w:type="paragraph" w:customStyle="1" w:styleId="17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42</Pages>
  <Words>15415</Words>
  <Characters>16104</Characters>
  <Lines>1</Lines>
  <Paragraphs>1</Paragraphs>
  <TotalTime>0</TotalTime>
  <ScaleCrop>false</ScaleCrop>
  <LinksUpToDate>false</LinksUpToDate>
  <CharactersWithSpaces>16419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2020-05-05T16:16:00Z</dcterms:created>
  <dc:creator>陈桂兰</dc:creator>
  <cp:lastModifiedBy>TLOP</cp:lastModifiedBy>
  <cp:lastPrinted>2023-10-21T18:24:00Z</cp:lastPrinted>
  <dcterms:modified xsi:type="dcterms:W3CDTF">2026-01-23T08:29:25Z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1F3538CFA8164F26A4641BD6C29C3306_13</vt:lpwstr>
  </property>
  <property fmtid="{D5CDD505-2E9C-101B-9397-08002B2CF9AE}" pid="4" name="commondata">
    <vt:lpwstr>eyJoZGlkIjoiNmI0YzI4NGJiMjg2ZWZlN2MzZDcyYzg5ZDEwYzBhZDAifQ==</vt:lpwstr>
  </property>
  <property fmtid="{D5CDD505-2E9C-101B-9397-08002B2CF9AE}" pid="5" name="KSOTemplateDocerSaveRecord">
    <vt:lpwstr>eyJoZGlkIjoiMmViY2MzMmY4ZjlhZjg2YzY5MDlhM2RhYjY2NWE4ZmIiLCJ1c2VySWQiOiI0NTAzMTI4MTQifQ==</vt:lpwstr>
  </property>
</Properties>
</file>