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EE965">
      <w:pPr>
        <w:spacing w:line="400" w:lineRule="exact"/>
        <w:jc w:val="center"/>
        <w:rPr>
          <w:rFonts w:ascii="宋体" w:hAnsi="宋体" w:cs="宋体"/>
          <w:b/>
          <w:color w:val="000000" w:themeColor="text1"/>
          <w:sz w:val="32"/>
          <w:szCs w:val="32"/>
          <w:highlight w:val="none"/>
          <w14:textFill>
            <w14:solidFill>
              <w14:schemeClr w14:val="tx1"/>
            </w14:solidFill>
          </w14:textFill>
        </w:rPr>
      </w:pPr>
    </w:p>
    <w:p w14:paraId="11435215">
      <w:pPr>
        <w:jc w:val="center"/>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项目名称：</w:t>
      </w:r>
      <w:r>
        <w:rPr>
          <w:rFonts w:hint="eastAsia" w:ascii="宋体" w:hAnsi="宋体" w:cs="宋体"/>
          <w:b/>
          <w:color w:val="000000" w:themeColor="text1"/>
          <w:sz w:val="40"/>
          <w:szCs w:val="40"/>
          <w:highlight w:val="none"/>
          <w:lang w:val="en-US" w:eastAsia="zh-CN"/>
          <w14:textFill>
            <w14:solidFill>
              <w14:schemeClr w14:val="tx1"/>
            </w14:solidFill>
          </w14:textFill>
        </w:rPr>
        <w:t>2026年重庆高速公路（水消防）专项维护项目（第二次）</w:t>
      </w:r>
    </w:p>
    <w:p w14:paraId="031B5836">
      <w:pPr>
        <w:rPr>
          <w:rFonts w:ascii="宋体" w:hAnsi="宋体" w:cs="宋体"/>
          <w:color w:val="000000" w:themeColor="text1"/>
          <w:sz w:val="28"/>
          <w:szCs w:val="28"/>
          <w:highlight w:val="none"/>
          <w14:textFill>
            <w14:solidFill>
              <w14:schemeClr w14:val="tx1"/>
            </w14:solidFill>
          </w14:textFill>
        </w:rPr>
      </w:pPr>
    </w:p>
    <w:p w14:paraId="15FA38E8">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竞</w:t>
      </w:r>
    </w:p>
    <w:p w14:paraId="0C7E4180">
      <w:pPr>
        <w:jc w:val="center"/>
        <w:rPr>
          <w:rFonts w:ascii="宋体" w:hAnsi="宋体" w:cs="宋体"/>
          <w:b/>
          <w:color w:val="000000" w:themeColor="text1"/>
          <w:sz w:val="48"/>
          <w:szCs w:val="48"/>
          <w:highlight w:val="none"/>
          <w14:textFill>
            <w14:solidFill>
              <w14:schemeClr w14:val="tx1"/>
            </w14:solidFill>
          </w14:textFill>
        </w:rPr>
      </w:pPr>
    </w:p>
    <w:p w14:paraId="7A0175AC">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争</w:t>
      </w:r>
    </w:p>
    <w:p w14:paraId="64775A6A">
      <w:pPr>
        <w:jc w:val="center"/>
        <w:rPr>
          <w:rFonts w:ascii="宋体" w:hAnsi="宋体" w:cs="宋体"/>
          <w:b/>
          <w:color w:val="000000" w:themeColor="text1"/>
          <w:sz w:val="48"/>
          <w:szCs w:val="48"/>
          <w:highlight w:val="none"/>
          <w14:textFill>
            <w14:solidFill>
              <w14:schemeClr w14:val="tx1"/>
            </w14:solidFill>
          </w14:textFill>
        </w:rPr>
      </w:pPr>
    </w:p>
    <w:p w14:paraId="41CC18AC">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性</w:t>
      </w:r>
    </w:p>
    <w:p w14:paraId="55A5B6AF">
      <w:pPr>
        <w:jc w:val="center"/>
        <w:rPr>
          <w:rFonts w:ascii="宋体" w:hAnsi="宋体" w:cs="宋体"/>
          <w:b/>
          <w:color w:val="000000" w:themeColor="text1"/>
          <w:sz w:val="48"/>
          <w:szCs w:val="48"/>
          <w:highlight w:val="none"/>
          <w14:textFill>
            <w14:solidFill>
              <w14:schemeClr w14:val="tx1"/>
            </w14:solidFill>
          </w14:textFill>
        </w:rPr>
      </w:pPr>
    </w:p>
    <w:p w14:paraId="2C2C0195">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比</w:t>
      </w:r>
    </w:p>
    <w:p w14:paraId="41E569EA">
      <w:pPr>
        <w:jc w:val="center"/>
        <w:rPr>
          <w:rFonts w:ascii="宋体" w:hAnsi="宋体" w:cs="宋体"/>
          <w:b/>
          <w:color w:val="000000" w:themeColor="text1"/>
          <w:sz w:val="48"/>
          <w:szCs w:val="48"/>
          <w:highlight w:val="none"/>
          <w14:textFill>
            <w14:solidFill>
              <w14:schemeClr w14:val="tx1"/>
            </w14:solidFill>
          </w14:textFill>
        </w:rPr>
      </w:pPr>
    </w:p>
    <w:p w14:paraId="036880FC">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选</w:t>
      </w:r>
    </w:p>
    <w:p w14:paraId="234054BB">
      <w:pPr>
        <w:jc w:val="center"/>
        <w:rPr>
          <w:rFonts w:ascii="宋体" w:hAnsi="宋体" w:cs="宋体"/>
          <w:b/>
          <w:color w:val="000000" w:themeColor="text1"/>
          <w:sz w:val="48"/>
          <w:szCs w:val="48"/>
          <w:highlight w:val="none"/>
          <w14:textFill>
            <w14:solidFill>
              <w14:schemeClr w14:val="tx1"/>
            </w14:solidFill>
          </w14:textFill>
        </w:rPr>
      </w:pPr>
    </w:p>
    <w:p w14:paraId="631542CB">
      <w:pP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文</w:t>
      </w:r>
    </w:p>
    <w:p w14:paraId="4A44FF8F">
      <w:pPr>
        <w:jc w:val="center"/>
        <w:rPr>
          <w:rFonts w:ascii="宋体" w:hAnsi="宋体" w:cs="宋体"/>
          <w:b/>
          <w:color w:val="000000" w:themeColor="text1"/>
          <w:sz w:val="48"/>
          <w:szCs w:val="48"/>
          <w:highlight w:val="none"/>
          <w14:textFill>
            <w14:solidFill>
              <w14:schemeClr w14:val="tx1"/>
            </w14:solidFill>
          </w14:textFill>
        </w:rPr>
      </w:pPr>
    </w:p>
    <w:p w14:paraId="76B5713D">
      <w:pPr>
        <w:jc w:val="center"/>
        <w:rPr>
          <w:rFonts w:ascii="宋体" w:hAnsi="宋体" w:cs="宋体"/>
          <w:b/>
          <w:color w:val="000000" w:themeColor="text1"/>
          <w:sz w:val="96"/>
          <w:szCs w:val="72"/>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件</w:t>
      </w:r>
    </w:p>
    <w:p w14:paraId="067EE672">
      <w:pPr>
        <w:spacing w:line="400" w:lineRule="exact"/>
        <w:rPr>
          <w:rFonts w:ascii="宋体" w:hAnsi="宋体" w:cs="宋体"/>
          <w:color w:val="000000" w:themeColor="text1"/>
          <w:highlight w:val="none"/>
          <w14:textFill>
            <w14:solidFill>
              <w14:schemeClr w14:val="tx1"/>
            </w14:solidFill>
          </w14:textFill>
        </w:rPr>
      </w:pPr>
    </w:p>
    <w:p w14:paraId="19375E38">
      <w:pPr>
        <w:spacing w:line="400" w:lineRule="exact"/>
        <w:rPr>
          <w:rFonts w:ascii="宋体" w:hAnsi="宋体" w:cs="宋体"/>
          <w:color w:val="000000" w:themeColor="text1"/>
          <w:highlight w:val="none"/>
          <w14:textFill>
            <w14:solidFill>
              <w14:schemeClr w14:val="tx1"/>
            </w14:solidFill>
          </w14:textFill>
        </w:rPr>
      </w:pPr>
    </w:p>
    <w:p w14:paraId="16EA9E16">
      <w:pPr>
        <w:spacing w:line="400" w:lineRule="exact"/>
        <w:rPr>
          <w:rFonts w:ascii="宋体" w:hAnsi="宋体" w:cs="宋体"/>
          <w:color w:val="000000" w:themeColor="text1"/>
          <w:highlight w:val="none"/>
          <w14:textFill>
            <w14:solidFill>
              <w14:schemeClr w14:val="tx1"/>
            </w14:solidFill>
          </w14:textFill>
        </w:rPr>
      </w:pPr>
    </w:p>
    <w:p w14:paraId="57167130">
      <w:pPr>
        <w:rPr>
          <w:color w:val="000000" w:themeColor="text1"/>
          <w:highlight w:val="none"/>
          <w14:textFill>
            <w14:solidFill>
              <w14:schemeClr w14:val="tx1"/>
            </w14:solidFill>
          </w14:textFill>
        </w:rPr>
      </w:pPr>
    </w:p>
    <w:p w14:paraId="264E2DE4">
      <w:pPr>
        <w:rPr>
          <w:color w:val="000000" w:themeColor="text1"/>
          <w:highlight w:val="none"/>
          <w14:textFill>
            <w14:solidFill>
              <w14:schemeClr w14:val="tx1"/>
            </w14:solidFill>
          </w14:textFill>
        </w:rPr>
      </w:pPr>
    </w:p>
    <w:p w14:paraId="26473A96">
      <w:pP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采购人：重庆首讯科技股份有限公司数智系统运维分公司</w:t>
      </w:r>
    </w:p>
    <w:p w14:paraId="594005AD">
      <w:pPr>
        <w:jc w:val="center"/>
        <w:rPr>
          <w:rFonts w:ascii="宋体" w:hAnsi="宋体" w:cs="宋体"/>
          <w:color w:val="000000" w:themeColor="text1"/>
          <w:szCs w:val="21"/>
          <w:highlight w:val="none"/>
          <w14:textFill>
            <w14:solidFill>
              <w14:schemeClr w14:val="tx1"/>
            </w14:solidFill>
          </w14:textFill>
        </w:rPr>
      </w:pPr>
      <w:bookmarkStart w:id="0" w:name="审批结束月份"/>
      <w:r>
        <w:rPr>
          <w:rFonts w:hint="eastAsia" w:ascii="宋体" w:hAnsi="宋体" w:cs="宋体"/>
          <w:b/>
          <w:color w:val="000000" w:themeColor="text1"/>
          <w:sz w:val="28"/>
          <w:szCs w:val="28"/>
          <w:highlight w:val="none"/>
          <w14:textFill>
            <w14:solidFill>
              <w14:schemeClr w14:val="tx1"/>
            </w14:solidFill>
          </w14:textFill>
        </w:rPr>
        <w:t>202</w:t>
      </w:r>
      <w:r>
        <w:rPr>
          <w:rFonts w:hint="eastAsia" w:ascii="宋体" w:hAnsi="宋体" w:cs="宋体"/>
          <w:b/>
          <w:color w:val="000000" w:themeColor="text1"/>
          <w:sz w:val="28"/>
          <w:szCs w:val="28"/>
          <w:highlight w:val="none"/>
          <w:lang w:val="en-US" w:eastAsia="zh-CN"/>
          <w14:textFill>
            <w14:solidFill>
              <w14:schemeClr w14:val="tx1"/>
            </w14:solidFill>
          </w14:textFill>
        </w:rPr>
        <w:t>6年</w:t>
      </w:r>
      <w:bookmarkEnd w:id="0"/>
      <w:r>
        <w:rPr>
          <w:rFonts w:hint="eastAsia" w:ascii="宋体" w:hAnsi="宋体" w:cs="宋体"/>
          <w:b/>
          <w:color w:val="000000" w:themeColor="text1"/>
          <w:sz w:val="28"/>
          <w:szCs w:val="28"/>
          <w:highlight w:val="none"/>
          <w:lang w:val="en-US" w:eastAsia="zh-CN"/>
          <w14:textFill>
            <w14:solidFill>
              <w14:schemeClr w14:val="tx1"/>
            </w14:solidFill>
          </w14:textFill>
        </w:rPr>
        <w:t>1月</w:t>
      </w:r>
      <w:r>
        <w:rPr>
          <w:color w:val="000000" w:themeColor="text1"/>
          <w:highlight w:val="none"/>
          <w14:textFill>
            <w14:solidFill>
              <w14:schemeClr w14:val="tx1"/>
            </w14:solidFill>
          </w14:textFill>
        </w:rPr>
        <w:br w:type="page"/>
      </w:r>
      <w:bookmarkStart w:id="1" w:name="_Toc296602400"/>
      <w:bookmarkStart w:id="2" w:name="_Toc246996898"/>
      <w:bookmarkStart w:id="3" w:name="_Toc247085669"/>
      <w:bookmarkStart w:id="4" w:name="_Toc507319889"/>
      <w:bookmarkStart w:id="5" w:name="_Toc507428442"/>
      <w:r>
        <w:rPr>
          <w:rFonts w:hint="eastAsia" w:ascii="宋体" w:hAnsi="宋体" w:cs="宋体"/>
          <w:b w:val="0"/>
          <w:color w:val="000000" w:themeColor="text1"/>
          <w:sz w:val="32"/>
          <w:highlight w:val="none"/>
          <w14:textFill>
            <w14:solidFill>
              <w14:schemeClr w14:val="tx1"/>
            </w14:solidFill>
          </w14:textFill>
        </w:rPr>
        <w:t>目   录</w:t>
      </w:r>
      <w:bookmarkEnd w:id="1"/>
      <w:bookmarkEnd w:id="2"/>
      <w:bookmarkEnd w:id="3"/>
      <w:bookmarkEnd w:id="4"/>
      <w:bookmarkEnd w:id="5"/>
    </w:p>
    <w:p w14:paraId="1616BF41">
      <w:pPr>
        <w:pStyle w:val="28"/>
        <w:tabs>
          <w:tab w:val="right" w:leader="dot" w:pos="9638"/>
        </w:tabs>
        <w:rPr>
          <w:color w:val="000000" w:themeColor="text1"/>
          <w:highlight w:val="none"/>
          <w14:textFill>
            <w14:solidFill>
              <w14:schemeClr w14:val="tx1"/>
            </w14:solidFill>
          </w14:textFill>
        </w:rPr>
      </w:pPr>
      <w:r>
        <w:rPr>
          <w:rFonts w:hint="eastAsia" w:ascii="宋体" w:hAnsi="宋体" w:cs="宋体"/>
          <w:b w:val="0"/>
          <w:bCs w:val="0"/>
          <w:caps w:val="0"/>
          <w:color w:val="000000" w:themeColor="text1"/>
          <w:highlight w:val="none"/>
          <w14:textFill>
            <w14:solidFill>
              <w14:schemeClr w14:val="tx1"/>
            </w14:solidFill>
          </w14:textFill>
        </w:rPr>
        <w:fldChar w:fldCharType="begin"/>
      </w:r>
      <w:r>
        <w:rPr>
          <w:rFonts w:hint="eastAsia" w:ascii="宋体" w:hAnsi="宋体" w:cs="宋体"/>
          <w:b w:val="0"/>
          <w:bCs w:val="0"/>
          <w:caps w:val="0"/>
          <w:color w:val="000000" w:themeColor="text1"/>
          <w:highlight w:val="none"/>
          <w14:textFill>
            <w14:solidFill>
              <w14:schemeClr w14:val="tx1"/>
            </w14:solidFill>
          </w14:textFill>
        </w:rPr>
        <w:instrText xml:space="preserve"> TOC \o "1-2" \h \z \u </w:instrText>
      </w:r>
      <w:r>
        <w:rPr>
          <w:rFonts w:hint="eastAsia" w:ascii="宋体" w:hAnsi="宋体" w:cs="宋体"/>
          <w:b w:val="0"/>
          <w:bCs w:val="0"/>
          <w:caps w:val="0"/>
          <w:color w:val="000000" w:themeColor="text1"/>
          <w:highlight w:val="none"/>
          <w14:textFill>
            <w14:solidFill>
              <w14:schemeClr w14:val="tx1"/>
            </w14:solidFill>
          </w14:textFill>
        </w:rPr>
        <w:fldChar w:fldCharType="separate"/>
      </w:r>
      <w:r>
        <w:rPr>
          <w:rFonts w:hint="eastAsia" w:ascii="宋体" w:hAnsi="宋体" w:cs="宋体"/>
          <w:bCs w:val="0"/>
          <w:caps w:val="0"/>
          <w:color w:val="000000" w:themeColor="text1"/>
          <w:highlight w:val="none"/>
          <w14:textFill>
            <w14:solidFill>
              <w14:schemeClr w14:val="tx1"/>
            </w14:solidFill>
          </w14:textFill>
        </w:rPr>
        <w:fldChar w:fldCharType="begin"/>
      </w:r>
      <w:r>
        <w:rPr>
          <w:rFonts w:hint="eastAsia" w:ascii="宋体" w:hAnsi="宋体" w:cs="宋体"/>
          <w:bCs w:val="0"/>
          <w:caps w:val="0"/>
          <w:color w:val="000000" w:themeColor="text1"/>
          <w:highlight w:val="none"/>
          <w14:textFill>
            <w14:solidFill>
              <w14:schemeClr w14:val="tx1"/>
            </w14:solidFill>
          </w14:textFill>
        </w:rPr>
        <w:instrText xml:space="preserve"> HYPERLINK \l _Toc2491 </w:instrText>
      </w:r>
      <w:r>
        <w:rPr>
          <w:rFonts w:hint="eastAsia" w:ascii="宋体" w:hAnsi="宋体" w:cs="宋体"/>
          <w:bCs w:val="0"/>
          <w:caps w:val="0"/>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第一章 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val="0"/>
          <w:caps w:val="0"/>
          <w:color w:val="000000" w:themeColor="text1"/>
          <w:highlight w:val="none"/>
          <w14:textFill>
            <w14:solidFill>
              <w14:schemeClr w14:val="tx1"/>
            </w14:solidFill>
          </w14:textFill>
        </w:rPr>
        <w:fldChar w:fldCharType="end"/>
      </w:r>
    </w:p>
    <w:p w14:paraId="1E56C4A7">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_Toc22039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1. 比选条件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_Toc22039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A378FA1">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_Toc1833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2. 项目概况与比选范围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_Toc1833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2146531">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_Toc2740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3. 报价人资格要求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_Toc2740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5308C96">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_Toc28734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_Toc28734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313217F">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_Toc4564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_Toc4564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5B0C24E">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_Toc3681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竞争性比选响应文件的递交及相关事宜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_Toc3681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46FA403">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_Toc11515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_Toc11515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444A9A6">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_Toc11232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第二章 报价人须知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_Toc11232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432F19C">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_Toc6344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 xml:space="preserve">附录1 </w:t>
      </w:r>
      <w:r>
        <w:rPr>
          <w:rFonts w:hint="eastAsia" w:ascii="宋体" w:hAnsi="宋体" w:eastAsia="宋体" w:cs="宋体"/>
          <w:bCs w:val="0"/>
          <w:color w:val="000000" w:themeColor="text1"/>
          <w:szCs w:val="28"/>
          <w:highlight w:val="none"/>
          <w14:textFill>
            <w14:solidFill>
              <w14:schemeClr w14:val="tx1"/>
            </w14:solidFill>
          </w14:textFill>
        </w:rPr>
        <w:t>资格审查文件（项目主要管理人员最低要求）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_Toc6344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74874A6">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_Toc26679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附录2 资格审查文件（项目其他人员最低要求）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_Toc26679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D53F841">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_Toc32419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附录3 资格审查文件（主要机械设备和试验检测设备最低要求）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35FAC2D">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_Toc6056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综合评估法</w:t>
      </w:r>
      <w:r>
        <w:rPr>
          <w:rFonts w:hint="eastAsia" w:ascii="宋体" w:hAnsi="宋体" w:cs="宋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_Toc6056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92C571C">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_Toc14447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第五章  工程量清单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_Toc14447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E900040">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_Toc20613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第六章  图  纸</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_Toc20613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18</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F65EC78">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_Toc7983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第七章  技术标准和工作要求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_Toc7983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F9522AB">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_Toc7132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第八章  合同范本</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_Toc7132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AEA5815">
      <w:pPr>
        <w:pStyle w:val="28"/>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_Toc9096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_Toc9096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F0117A7">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_Toc11359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一、竞争比选响应声明书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_Toc11359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24</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D2F339C">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_Toc10104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法定代表人身份证明或法定代表人授权委托书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_Toc10104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929E03A">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_Toc21956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bCs/>
          <w:color w:val="000000" w:themeColor="text1"/>
          <w:kern w:val="0"/>
          <w:szCs w:val="32"/>
          <w:highlight w:val="none"/>
          <w14:textFill>
            <w14:solidFill>
              <w14:schemeClr w14:val="tx1"/>
            </w14:solidFill>
          </w14:textFill>
        </w:rPr>
        <w:t>三、报价一览表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AB020D6">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_Toc2760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四、资格审查资料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_Toc2760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28</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D131174">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_Toc4083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五、 报价人须知前附表规定的材料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_Toc4083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A010662">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_Toc10237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六、现场安全负责人承诺书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_Toc10237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98596A7">
      <w:pPr>
        <w:pStyle w:val="34"/>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_Toc27825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七、报价人基本信息及其他材料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_Toc27825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3922F9F">
      <w:pPr>
        <w:pStyle w:val="34"/>
        <w:tabs>
          <w:tab w:val="right" w:leader="dot" w:pos="9628"/>
        </w:tabs>
        <w:ind w:left="0"/>
        <w:rPr>
          <w:rFonts w:ascii="宋体" w:hAnsi="宋体" w:cs="宋体"/>
          <w:b/>
          <w:bCs/>
          <w:caps/>
          <w:color w:val="000000" w:themeColor="text1"/>
          <w:highlight w:val="none"/>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highlight w:val="none"/>
          <w14:textFill>
            <w14:solidFill>
              <w14:schemeClr w14:val="tx1"/>
            </w14:solidFill>
          </w14:textFill>
        </w:rPr>
        <w:fldChar w:fldCharType="end"/>
      </w:r>
    </w:p>
    <w:p w14:paraId="5422C93B">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6" w:name="_Toc179632527"/>
      <w:bookmarkStart w:id="7" w:name="_Toc144974479"/>
      <w:bookmarkStart w:id="8" w:name="_Toc507319890"/>
      <w:bookmarkStart w:id="9" w:name="_Toc152042287"/>
      <w:bookmarkStart w:id="10" w:name="_Toc246996157"/>
      <w:bookmarkStart w:id="11" w:name="_Toc247096243"/>
      <w:bookmarkStart w:id="12" w:name="_Toc2000404"/>
      <w:bookmarkStart w:id="13" w:name="_Toc247085671"/>
      <w:bookmarkStart w:id="14" w:name="_Toc246996900"/>
      <w:bookmarkStart w:id="15" w:name="_Toc152045511"/>
      <w:bookmarkStart w:id="16" w:name="_Toc2491"/>
      <w:r>
        <w:rPr>
          <w:rFonts w:hint="eastAsia" w:ascii="宋体" w:hAnsi="宋体" w:cs="宋体"/>
          <w:color w:val="000000" w:themeColor="text1"/>
          <w:highlight w:val="none"/>
          <w14:textFill>
            <w14:solidFill>
              <w14:schemeClr w14:val="tx1"/>
            </w14:solidFill>
          </w14:textFill>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000000" w:themeColor="text1"/>
          <w:highlight w:val="none"/>
          <w14:textFill>
            <w14:solidFill>
              <w14:schemeClr w14:val="tx1"/>
            </w14:solidFill>
          </w14:textFill>
        </w:rPr>
        <w:t>比选公告</w:t>
      </w:r>
      <w:bookmarkEnd w:id="16"/>
    </w:p>
    <w:p w14:paraId="3D5E0C56">
      <w:pPr>
        <w:spacing w:line="440" w:lineRule="exact"/>
        <w:jc w:val="center"/>
        <w:rPr>
          <w:rFonts w:ascii="宋体" w:hAnsi="宋体" w:cs="宋体"/>
          <w:b/>
          <w:color w:val="000000" w:themeColor="text1"/>
          <w:sz w:val="28"/>
          <w:szCs w:val="28"/>
          <w:highlight w:val="none"/>
          <w14:textFill>
            <w14:solidFill>
              <w14:schemeClr w14:val="tx1"/>
            </w14:solidFill>
          </w14:textFill>
        </w:rPr>
      </w:pPr>
      <w:bookmarkStart w:id="17" w:name="OLE_LINK2"/>
      <w:bookmarkStart w:id="18" w:name="OLE_LINK3"/>
    </w:p>
    <w:p w14:paraId="14B45A80">
      <w:pPr>
        <w:pStyle w:val="4"/>
        <w:spacing w:before="0" w:after="0" w:line="360" w:lineRule="auto"/>
        <w:rPr>
          <w:rFonts w:ascii="宋体" w:hAnsi="宋体" w:eastAsia="宋体" w:cs="宋体"/>
          <w:color w:val="000000" w:themeColor="text1"/>
          <w:highlight w:val="none"/>
          <w14:textFill>
            <w14:solidFill>
              <w14:schemeClr w14:val="tx1"/>
            </w14:solidFill>
          </w14:textFill>
        </w:rPr>
      </w:pPr>
      <w:bookmarkStart w:id="19" w:name="_Toc10076"/>
      <w:bookmarkStart w:id="20" w:name="_Toc22039"/>
      <w:bookmarkStart w:id="21" w:name="_Toc11329213"/>
      <w:bookmarkStart w:id="22" w:name="_Toc152045512"/>
      <w:bookmarkStart w:id="23" w:name="_Toc246996158"/>
      <w:bookmarkStart w:id="24" w:name="_Toc24874"/>
      <w:bookmarkStart w:id="25" w:name="_Toc507319891"/>
      <w:bookmarkStart w:id="26" w:name="_Toc179632528"/>
      <w:bookmarkStart w:id="27" w:name="_Toc30430"/>
      <w:bookmarkStart w:id="28" w:name="_Toc6549"/>
      <w:bookmarkStart w:id="29" w:name="_Toc144974480"/>
      <w:bookmarkStart w:id="30" w:name="_Toc246996901"/>
      <w:bookmarkStart w:id="31" w:name="_Toc152042288"/>
      <w:bookmarkStart w:id="32" w:name="_Toc247085672"/>
      <w:r>
        <w:rPr>
          <w:rFonts w:hint="eastAsia" w:ascii="宋体" w:hAnsi="宋体" w:eastAsia="宋体" w:cs="宋体"/>
          <w:color w:val="000000" w:themeColor="text1"/>
          <w:highlight w:val="none"/>
          <w14:textFill>
            <w14:solidFill>
              <w14:schemeClr w14:val="tx1"/>
            </w14:solidFill>
          </w14:textFill>
        </w:rPr>
        <w:t>1. 比选条件</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DFFB466">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本竞争性比选项目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2026年重庆高速公路（水消防）专项维护项目（第二次）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i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，采购人为</w:t>
      </w:r>
      <w:r>
        <w:rPr>
          <w:rFonts w:hint="eastAsia" w:ascii="宋体" w:hAnsi="宋体" w:cs="宋体"/>
          <w:color w:val="000000" w:themeColor="text1"/>
          <w:szCs w:val="21"/>
          <w:highlight w:val="none"/>
          <w:u w:val="single"/>
          <w14:textFill>
            <w14:solidFill>
              <w14:schemeClr w14:val="tx1"/>
            </w14:solidFill>
          </w14:textFill>
        </w:rPr>
        <w:t xml:space="preserve"> 重庆首讯科技股份有限公司数智系统运维分公司 </w:t>
      </w:r>
      <w:r>
        <w:rPr>
          <w:rFonts w:hint="eastAsia" w:ascii="宋体" w:hAnsi="宋体" w:cs="宋体"/>
          <w:color w:val="000000" w:themeColor="text1"/>
          <w:szCs w:val="21"/>
          <w:highlight w:val="none"/>
          <w14:textFill>
            <w14:solidFill>
              <w14:schemeClr w14:val="tx1"/>
            </w14:solidFill>
          </w14:textFill>
        </w:rPr>
        <w:t>，该项目已具备比选条件，现对该项目进行竞争性比选。</w:t>
      </w:r>
    </w:p>
    <w:p w14:paraId="040CB5CD">
      <w:pPr>
        <w:pStyle w:val="4"/>
        <w:spacing w:before="120" w:after="0" w:line="360" w:lineRule="auto"/>
        <w:rPr>
          <w:rFonts w:ascii="宋体" w:hAnsi="宋体" w:eastAsia="宋体" w:cs="宋体"/>
          <w:color w:val="000000" w:themeColor="text1"/>
          <w:highlight w:val="none"/>
          <w14:textFill>
            <w14:solidFill>
              <w14:schemeClr w14:val="tx1"/>
            </w14:solidFill>
          </w14:textFill>
        </w:rPr>
      </w:pPr>
      <w:bookmarkStart w:id="33" w:name="_Toc246996902"/>
      <w:bookmarkStart w:id="34" w:name="_Toc13546"/>
      <w:bookmarkStart w:id="35" w:name="_Toc10952"/>
      <w:bookmarkStart w:id="36" w:name="_Toc1833"/>
      <w:bookmarkStart w:id="37" w:name="_Toc246996159"/>
      <w:bookmarkStart w:id="38" w:name="_Toc507319892"/>
      <w:bookmarkStart w:id="39" w:name="_Toc21343"/>
      <w:bookmarkStart w:id="40" w:name="_Toc11329214"/>
      <w:bookmarkStart w:id="41" w:name="_Toc144974481"/>
      <w:bookmarkStart w:id="42" w:name="_Toc152042289"/>
      <w:bookmarkStart w:id="43" w:name="_Toc18109"/>
      <w:bookmarkStart w:id="44" w:name="_Toc152045513"/>
      <w:bookmarkStart w:id="45" w:name="_Toc247085673"/>
      <w:bookmarkStart w:id="46" w:name="_Toc179632529"/>
      <w:r>
        <w:rPr>
          <w:rFonts w:hint="eastAsia" w:ascii="宋体" w:hAnsi="宋体" w:eastAsia="宋体" w:cs="宋体"/>
          <w:color w:val="000000" w:themeColor="text1"/>
          <w:highlight w:val="none"/>
          <w14:textFill>
            <w14:solidFill>
              <w14:schemeClr w14:val="tx1"/>
            </w14:solidFill>
          </w14:textFill>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5402924">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bookmarkStart w:id="47" w:name="_Toc446247226"/>
      <w:r>
        <w:rPr>
          <w:rFonts w:hint="eastAsia" w:ascii="宋体" w:hAnsi="宋体" w:cs="宋体"/>
          <w:color w:val="000000" w:themeColor="text1"/>
          <w:szCs w:val="21"/>
          <w:highlight w:val="none"/>
          <w14:textFill>
            <w14:solidFill>
              <w14:schemeClr w14:val="tx1"/>
            </w14:solidFill>
          </w14:textFill>
        </w:rPr>
        <w:t xml:space="preserve">2.1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项目地点：</w:t>
      </w:r>
      <w:bookmarkEnd w:id="47"/>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bookmarkStart w:id="48" w:name="交货地点"/>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bookmarkEnd w:id="48"/>
      <w:r>
        <w:rPr>
          <w:rFonts w:hint="eastAsia" w:ascii="宋体" w:hAnsi="宋体" w:cs="宋体"/>
          <w:color w:val="000000" w:themeColor="text1"/>
          <w:szCs w:val="21"/>
          <w:highlight w:val="none"/>
          <w:u w:val="single"/>
          <w:lang w:val="en-US" w:eastAsia="zh-CN"/>
          <w14:textFill>
            <w14:solidFill>
              <w14:schemeClr w14:val="tx1"/>
            </w14:solidFill>
          </w14:textFill>
        </w:rPr>
        <w:t>重庆</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38A49B69">
      <w:pPr>
        <w:pStyle w:val="12"/>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2.2 项目概况：</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2026年重庆高速公路（水消防）专项维护项目（第二次）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495A3408">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采购预计金额：</w:t>
      </w:r>
      <w:r>
        <w:rPr>
          <w:rFonts w:hint="eastAsia" w:ascii="宋体" w:hAnsi="宋体" w:cs="宋体"/>
          <w:color w:val="000000" w:themeColor="text1"/>
          <w:szCs w:val="21"/>
          <w:highlight w:val="none"/>
          <w:u w:val="single"/>
          <w:lang w:val="en-US" w:eastAsia="zh-CN"/>
          <w14:textFill>
            <w14:solidFill>
              <w14:schemeClr w14:val="tx1"/>
            </w14:solidFill>
          </w14:textFill>
        </w:rPr>
        <w:t>395</w:t>
      </w:r>
      <w:r>
        <w:rPr>
          <w:rFonts w:hint="eastAsia" w:ascii="宋体" w:hAnsi="宋体" w:cs="宋体"/>
          <w:color w:val="000000" w:themeColor="text1"/>
          <w:highlight w:val="none"/>
          <w:lang w:val="en-US" w:eastAsia="zh-CN"/>
          <w14:textFill>
            <w14:solidFill>
              <w14:schemeClr w14:val="tx1"/>
            </w14:solidFill>
          </w14:textFill>
        </w:rPr>
        <w:t>万元。</w:t>
      </w:r>
    </w:p>
    <w:p w14:paraId="1B793B78">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 比选范围：</w:t>
      </w:r>
      <w:r>
        <w:rPr>
          <w:rFonts w:hint="eastAsia" w:ascii="宋体" w:hAnsi="宋体" w:cs="宋体"/>
          <w:color w:val="000000" w:themeColor="text1"/>
          <w:szCs w:val="21"/>
          <w:highlight w:val="none"/>
          <w:u w:val="none"/>
          <w:lang w:val="en-US" w:eastAsia="zh-CN"/>
          <w14:textFill>
            <w14:solidFill>
              <w14:schemeClr w14:val="tx1"/>
            </w14:solidFill>
          </w14:textFill>
        </w:rPr>
        <w:t>主要内容为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2026年重庆高速公路（水消防）专项维护项目（第二次） </w:t>
      </w:r>
      <w:r>
        <w:rPr>
          <w:rFonts w:hint="eastAsia" w:ascii="宋体" w:hAnsi="宋体" w:cs="宋体"/>
          <w:color w:val="000000" w:themeColor="text1"/>
          <w:szCs w:val="21"/>
          <w:highlight w:val="none"/>
          <w:lang w:val="en-US"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最终以采购人指定的关于本工程的标准设计施工图、合同清单、图纸会审纪要、变更通知、通知单等为依据，由乙方承担本工程通信系统的劳务施工等相关工作内容，详情见工程量清单</w:t>
      </w:r>
      <w:r>
        <w:rPr>
          <w:rFonts w:hint="eastAsia" w:ascii="宋体" w:hAnsi="宋体" w:cs="宋体"/>
          <w:color w:val="000000" w:themeColor="text1"/>
          <w:szCs w:val="21"/>
          <w:highlight w:val="none"/>
          <w:lang w:val="en-US" w:eastAsia="zh-CN"/>
          <w14:textFill>
            <w14:solidFill>
              <w14:schemeClr w14:val="tx1"/>
            </w14:solidFill>
          </w14:textFill>
        </w:rPr>
        <w:t>。</w:t>
      </w:r>
    </w:p>
    <w:p w14:paraId="16D83193">
      <w:pPr>
        <w:keepNext w:val="0"/>
        <w:keepLines w:val="0"/>
        <w:pageBreakBefore w:val="0"/>
        <w:widowControl w:val="0"/>
        <w:kinsoku/>
        <w:wordWrap/>
        <w:overflowPunct/>
        <w:topLinePunct w:val="0"/>
        <w:autoSpaceDE/>
        <w:autoSpaceDN/>
        <w:bidi w:val="0"/>
        <w:snapToGrid/>
        <w:spacing w:line="400" w:lineRule="exact"/>
        <w:ind w:firstLine="420" w:firstLineChars="200"/>
        <w:textAlignment w:val="auto"/>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2.4</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工期要求：</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2026年12月31日完工；</w:t>
      </w:r>
    </w:p>
    <w:p w14:paraId="1C89AA2A">
      <w:pPr>
        <w:keepNext w:val="0"/>
        <w:keepLines w:val="0"/>
        <w:widowControl w:val="0"/>
        <w:suppressLineNumbers w:val="0"/>
        <w:spacing w:before="0" w:beforeAutospacing="0" w:after="0" w:afterAutospacing="0" w:line="400" w:lineRule="exact"/>
        <w:ind w:left="0" w:right="0" w:firstLine="420" w:firstLineChars="200"/>
        <w:jc w:val="both"/>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2.5 标段划分：本项目划分为两个标段，</w:t>
      </w:r>
      <w:r>
        <w:rPr>
          <w:rFonts w:hint="eastAsia" w:ascii="宋体" w:hAnsi="宋体" w:cs="宋体"/>
          <w:b w:val="0"/>
          <w:color w:val="000000" w:themeColor="text1"/>
          <w:kern w:val="2"/>
          <w:sz w:val="21"/>
          <w:szCs w:val="21"/>
          <w:highlight w:val="none"/>
          <w:lang w:val="en-US" w:eastAsia="zh-CN" w:bidi="ar"/>
          <w14:textFill>
            <w14:solidFill>
              <w14:schemeClr w14:val="tx1"/>
            </w14:solidFill>
          </w14:textFill>
        </w:rPr>
        <w:t>一标段为中西部、南方、东南；二标段为渝东、东北。</w:t>
      </w:r>
    </w:p>
    <w:p w14:paraId="5210A22F">
      <w:pPr>
        <w:pStyle w:val="4"/>
        <w:spacing w:before="120" w:after="0" w:line="360" w:lineRule="auto"/>
        <w:rPr>
          <w:rFonts w:ascii="宋体" w:hAnsi="宋体" w:eastAsia="宋体" w:cs="宋体"/>
          <w:color w:val="000000" w:themeColor="text1"/>
          <w:highlight w:val="none"/>
          <w14:textFill>
            <w14:solidFill>
              <w14:schemeClr w14:val="tx1"/>
            </w14:solidFill>
          </w14:textFill>
        </w:rPr>
      </w:pPr>
      <w:bookmarkStart w:id="49" w:name="_Toc30356"/>
      <w:bookmarkStart w:id="50" w:name="_Toc10171"/>
      <w:bookmarkStart w:id="51" w:name="_Toc246996160"/>
      <w:bookmarkStart w:id="52" w:name="_Toc507319893"/>
      <w:bookmarkStart w:id="53" w:name="_Toc144974482"/>
      <w:bookmarkStart w:id="54" w:name="_Toc11874"/>
      <w:bookmarkStart w:id="55" w:name="_Toc246996903"/>
      <w:bookmarkStart w:id="56" w:name="_Toc152045514"/>
      <w:bookmarkStart w:id="57" w:name="_Toc179632530"/>
      <w:bookmarkStart w:id="58" w:name="_Toc247085674"/>
      <w:bookmarkStart w:id="59" w:name="_Toc2740"/>
      <w:bookmarkStart w:id="60" w:name="_Toc11329215"/>
      <w:bookmarkStart w:id="61" w:name="_Toc152042290"/>
      <w:bookmarkStart w:id="62" w:name="_Toc7065"/>
      <w:r>
        <w:rPr>
          <w:rFonts w:hint="eastAsia" w:ascii="宋体" w:hAnsi="宋体" w:eastAsia="宋体" w:cs="宋体"/>
          <w:color w:val="000000" w:themeColor="text1"/>
          <w:highlight w:val="none"/>
          <w14:textFill>
            <w14:solidFill>
              <w14:schemeClr w14:val="tx1"/>
            </w14:solidFill>
          </w14:textFill>
        </w:rPr>
        <w:t>3. 报价人资格要求</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217B80">
      <w:pPr>
        <w:pStyle w:val="12"/>
        <w:adjustRightInd w:val="0"/>
        <w:spacing w:line="400" w:lineRule="exact"/>
        <w:rPr>
          <w:rFonts w:hint="eastAsia" w:ascii="宋体" w:hAnsi="宋体" w:cs="宋体"/>
          <w:color w:val="000000" w:themeColor="text1"/>
          <w:highlight w:val="none"/>
          <w:lang w:val="en-US" w:eastAsia="zh-CN"/>
          <w14:textFill>
            <w14:solidFill>
              <w14:schemeClr w14:val="tx1"/>
            </w14:solidFill>
          </w14:textFill>
        </w:rPr>
      </w:pPr>
      <w:bookmarkStart w:id="63" w:name="_Toc152042291"/>
      <w:bookmarkStart w:id="64" w:name="_Toc144974483"/>
      <w:bookmarkStart w:id="65" w:name="_Toc246996904"/>
      <w:bookmarkStart w:id="66" w:name="_Toc246996161"/>
      <w:bookmarkStart w:id="67" w:name="_Toc152045515"/>
      <w:bookmarkStart w:id="68" w:name="_Toc247085675"/>
      <w:bookmarkStart w:id="69" w:name="_Toc179632531"/>
      <w:r>
        <w:rPr>
          <w:rFonts w:hint="eastAsia" w:ascii="宋体" w:hAnsi="宋体" w:cs="宋体"/>
          <w:color w:val="000000" w:themeColor="text1"/>
          <w:highlight w:val="none"/>
          <w:lang w:val="en-US" w:eastAsia="zh-CN"/>
          <w14:textFill>
            <w14:solidFill>
              <w14:schemeClr w14:val="tx1"/>
            </w14:solidFill>
          </w14:textFill>
        </w:rPr>
        <w:t>3.1 资质要求：</w:t>
      </w:r>
    </w:p>
    <w:p w14:paraId="06BCDF42">
      <w:pPr>
        <w:pStyle w:val="12"/>
        <w:adjustRightInd w:val="0"/>
        <w:spacing w:line="400" w:lineRule="exact"/>
        <w:ind w:left="0" w:leftChars="0" w:firstLine="210" w:firstLineChars="10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（1）.具有独立法人资格和有效的营业执照。</w:t>
      </w:r>
    </w:p>
    <w:p w14:paraId="54C35A08">
      <w:pPr>
        <w:pStyle w:val="12"/>
        <w:adjustRightInd w:val="0"/>
        <w:spacing w:line="400" w:lineRule="exact"/>
        <w:ind w:left="0" w:leftChars="0" w:firstLine="210" w:firstLineChars="10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（2）.具有有效的安全生产许可证。</w:t>
      </w:r>
    </w:p>
    <w:p w14:paraId="069CDD77">
      <w:pPr>
        <w:pStyle w:val="12"/>
        <w:adjustRightInd w:val="0"/>
        <w:spacing w:line="400" w:lineRule="exact"/>
        <w:ind w:left="0" w:leftChars="0" w:firstLine="210" w:firstLineChars="10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（3）.具备有效的消防设施工程专业承包一级资质。</w:t>
      </w:r>
    </w:p>
    <w:p w14:paraId="4542E54C">
      <w:pPr>
        <w:pStyle w:val="12"/>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3.2 业绩要求</w:t>
      </w:r>
      <w:r>
        <w:rPr>
          <w:rFonts w:hint="eastAsia" w:ascii="宋体" w:hAnsi="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2022年1月1日至投标截止日（合同签订时间为准），投标人至少具有一个单项合同金额不低于100万元公路行业消防工程业绩，提供业绩合同复印件。</w:t>
      </w:r>
    </w:p>
    <w:p w14:paraId="545C11D8">
      <w:pPr>
        <w:pStyle w:val="12"/>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3.3 信誉要求：</w:t>
      </w: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000000" w:themeColor="text1"/>
          <w:sz w:val="21"/>
          <w:szCs w:val="21"/>
          <w:highlight w:val="none"/>
          <w:lang w:eastAsia="zh-CN"/>
          <w14:textFill>
            <w14:solidFill>
              <w14:schemeClr w14:val="tx1"/>
            </w14:solidFill>
          </w14:textFill>
        </w:rPr>
        <w:t>。</w:t>
      </w:r>
    </w:p>
    <w:p w14:paraId="15A32E07">
      <w:pPr>
        <w:pStyle w:val="12"/>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 xml:space="preserve"> 本次比选不接受联合体报价。</w:t>
      </w:r>
    </w:p>
    <w:p w14:paraId="492343EF">
      <w:pPr>
        <w:pStyle w:val="12"/>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lang w:val="en-US" w:eastAsia="zh-CN"/>
          <w14:textFill>
            <w14:solidFill>
              <w14:schemeClr w14:val="tx1"/>
            </w14:solidFill>
          </w14:textFill>
        </w:rPr>
        <w:t xml:space="preserve"> 单位负责人为同一人或者存在控股、管理关系的不同单位，不得同时参加本项目报价，否则均按无效报价处理。</w:t>
      </w:r>
    </w:p>
    <w:p w14:paraId="4DC41493">
      <w:pPr>
        <w:pStyle w:val="4"/>
        <w:spacing w:before="120" w:after="0" w:line="360" w:lineRule="auto"/>
        <w:rPr>
          <w:rFonts w:hint="default" w:ascii="宋体" w:hAnsi="宋体" w:eastAsia="宋体" w:cs="宋体"/>
          <w:color w:val="000000" w:themeColor="text1"/>
          <w:highlight w:val="none"/>
          <w:lang w:val="en-US" w:eastAsia="zh-CN"/>
          <w14:textFill>
            <w14:solidFill>
              <w14:schemeClr w14:val="tx1"/>
            </w14:solidFill>
          </w14:textFill>
        </w:rPr>
      </w:pPr>
      <w:bookmarkStart w:id="70" w:name="_Toc28734"/>
      <w:bookmarkStart w:id="71" w:name="_Toc9941"/>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bookmarkEnd w:id="70"/>
      <w:bookmarkEnd w:id="71"/>
    </w:p>
    <w:p w14:paraId="1C6B5D5A">
      <w:pPr>
        <w:pStyle w:val="12"/>
        <w:adjustRightInd w:val="0"/>
        <w:spacing w:line="40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本项目采用</w:t>
      </w:r>
      <w:r>
        <w:rPr>
          <w:rFonts w:hint="eastAsia" w:ascii="宋体" w:hAnsi="宋体" w:cs="宋体"/>
          <w:color w:val="000000" w:themeColor="text1"/>
          <w:sz w:val="21"/>
          <w:szCs w:val="21"/>
          <w:highlight w:val="none"/>
          <w:lang w:eastAsia="zh-CN"/>
          <w14:textFill>
            <w14:solidFill>
              <w14:schemeClr w14:val="tx1"/>
            </w14:solidFill>
          </w14:textFill>
        </w:rPr>
        <w:t>综合评估法</w:t>
      </w:r>
      <w:r>
        <w:rPr>
          <w:rFonts w:hint="eastAsia" w:ascii="宋体" w:hAnsi="宋体" w:eastAsia="宋体" w:cs="宋体"/>
          <w:color w:val="000000" w:themeColor="text1"/>
          <w:highlight w:val="none"/>
          <w:lang w:val="en-US" w:eastAsia="zh-CN"/>
          <w14:textFill>
            <w14:solidFill>
              <w14:schemeClr w14:val="tx1"/>
            </w14:solidFill>
          </w14:textFill>
        </w:rPr>
        <w:t>。</w:t>
      </w:r>
    </w:p>
    <w:bookmarkEnd w:id="63"/>
    <w:bookmarkEnd w:id="64"/>
    <w:bookmarkEnd w:id="65"/>
    <w:bookmarkEnd w:id="66"/>
    <w:bookmarkEnd w:id="67"/>
    <w:bookmarkEnd w:id="68"/>
    <w:bookmarkEnd w:id="69"/>
    <w:p w14:paraId="066A2EB0">
      <w:pPr>
        <w:pStyle w:val="4"/>
        <w:spacing w:before="120" w:after="0" w:line="400" w:lineRule="exact"/>
        <w:rPr>
          <w:rFonts w:ascii="宋体" w:hAnsi="宋体" w:eastAsia="宋体" w:cs="宋体"/>
          <w:color w:val="000000" w:themeColor="text1"/>
          <w:highlight w:val="none"/>
          <w14:textFill>
            <w14:solidFill>
              <w14:schemeClr w14:val="tx1"/>
            </w14:solidFill>
          </w14:textFill>
        </w:rPr>
      </w:pPr>
      <w:bookmarkStart w:id="72" w:name="_Toc8694"/>
      <w:bookmarkStart w:id="73" w:name="_Toc4564"/>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bookmarkEnd w:id="72"/>
      <w:bookmarkEnd w:id="73"/>
    </w:p>
    <w:p w14:paraId="52DB055D">
      <w:pPr>
        <w:pStyle w:val="12"/>
        <w:adjustRightInd w:val="0"/>
        <w:rPr>
          <w:rFonts w:hint="eastAsia" w:ascii="宋体" w:hAnsi="宋体" w:eastAsia="宋体" w:cs="宋体"/>
          <w:color w:val="000000" w:themeColor="text1"/>
          <w:highlight w:val="none"/>
          <w:lang w:val="en-US" w:eastAsia="zh-CN"/>
          <w14:textFill>
            <w14:solidFill>
              <w14:schemeClr w14:val="tx1"/>
            </w14:solidFill>
          </w14:textFill>
        </w:rPr>
      </w:pPr>
      <w:bookmarkStart w:id="74" w:name="_Toc247085676"/>
      <w:bookmarkStart w:id="75" w:name="_Toc179632532"/>
      <w:bookmarkStart w:id="76" w:name="_Toc144974484"/>
      <w:bookmarkStart w:id="77" w:name="_Toc11329217"/>
      <w:bookmarkStart w:id="78" w:name="_Toc152045516"/>
      <w:bookmarkStart w:id="79" w:name="_Toc507319895"/>
      <w:bookmarkStart w:id="80" w:name="_Toc246996162"/>
      <w:bookmarkStart w:id="81" w:name="_Toc246996905"/>
      <w:bookmarkStart w:id="82" w:name="_Toc152042292"/>
      <w:bookmarkStart w:id="83" w:name="_Toc16686"/>
      <w:bookmarkStart w:id="84" w:name="_Toc18060"/>
      <w:bookmarkStart w:id="85" w:name="_Toc3681"/>
      <w:bookmarkStart w:id="86" w:name="_Toc9131"/>
      <w:bookmarkStart w:id="87" w:name="_Toc31493"/>
      <w:r>
        <w:rPr>
          <w:rFonts w:hint="eastAsia" w:ascii="宋体" w:hAnsi="宋体" w:cs="宋体"/>
          <w:color w:val="000000" w:themeColor="text1"/>
          <w:szCs w:val="24"/>
          <w:highlight w:val="none"/>
          <w14:textFill>
            <w14:solidFill>
              <w14:schemeClr w14:val="tx1"/>
            </w14:solidFill>
          </w14:textFill>
        </w:rPr>
        <w:t>凡愿意参加的潜在报价人，在 202</w:t>
      </w:r>
      <w:r>
        <w:rPr>
          <w:rFonts w:hint="eastAsia" w:ascii="宋体" w:hAnsi="宋体" w:cs="宋体"/>
          <w:color w:val="000000" w:themeColor="text1"/>
          <w:szCs w:val="24"/>
          <w:highlight w:val="none"/>
          <w:lang w:eastAsia="zh-CN"/>
          <w14:textFill>
            <w14:solidFill>
              <w14:schemeClr w14:val="tx1"/>
            </w14:solidFill>
          </w14:textFill>
        </w:rPr>
        <w:t>6</w:t>
      </w:r>
      <w:r>
        <w:rPr>
          <w:rFonts w:hint="eastAsia" w:ascii="宋体" w:hAnsi="宋体" w:cs="宋体"/>
          <w:color w:val="000000" w:themeColor="text1"/>
          <w:szCs w:val="24"/>
          <w:highlight w:val="none"/>
          <w14:textFill>
            <w14:solidFill>
              <w14:schemeClr w14:val="tx1"/>
            </w14:solidFill>
          </w14:textFill>
        </w:rPr>
        <w:t xml:space="preserve"> 年 </w:t>
      </w:r>
      <w:r>
        <w:rPr>
          <w:rFonts w:hint="eastAsia" w:ascii="宋体" w:hAnsi="宋体" w:cs="宋体"/>
          <w:color w:val="000000" w:themeColor="text1"/>
          <w:szCs w:val="24"/>
          <w:highlight w:val="none"/>
          <w:lang w:eastAsia="zh-CN"/>
          <w14:textFill>
            <w14:solidFill>
              <w14:schemeClr w14:val="tx1"/>
            </w14:solidFill>
          </w14:textFill>
        </w:rPr>
        <w:t>1</w:t>
      </w:r>
      <w:r>
        <w:rPr>
          <w:rFonts w:hint="eastAsia" w:ascii="宋体" w:hAnsi="宋体" w:cs="宋体"/>
          <w:color w:val="000000" w:themeColor="text1"/>
          <w:szCs w:val="24"/>
          <w:highlight w:val="none"/>
          <w14:textFill>
            <w14:solidFill>
              <w14:schemeClr w14:val="tx1"/>
            </w14:solidFill>
          </w14:textFill>
        </w:rPr>
        <w:t xml:space="preserve">月 </w:t>
      </w:r>
      <w:r>
        <w:rPr>
          <w:rFonts w:hint="eastAsia" w:ascii="宋体" w:hAnsi="宋体" w:cs="宋体"/>
          <w:color w:val="000000" w:themeColor="text1"/>
          <w:szCs w:val="24"/>
          <w:highlight w:val="none"/>
          <w:lang w:val="en-US" w:eastAsia="zh-CN"/>
          <w14:textFill>
            <w14:solidFill>
              <w14:schemeClr w14:val="tx1"/>
            </w14:solidFill>
          </w14:textFill>
        </w:rPr>
        <w:t>7</w:t>
      </w:r>
      <w:r>
        <w:rPr>
          <w:rFonts w:hint="eastAsia" w:ascii="宋体" w:hAnsi="宋体" w:cs="宋体"/>
          <w:color w:val="000000" w:themeColor="text1"/>
          <w:szCs w:val="24"/>
          <w:highlight w:val="none"/>
          <w14:textFill>
            <w14:solidFill>
              <w14:schemeClr w14:val="tx1"/>
            </w14:solidFill>
          </w14:textFill>
        </w:rPr>
        <w:t>日上午 10 时 00 分前在重庆高速集团官网平台上获取比选文件、清单、澄清、修改、补充通知、最高限价通知等全部内容。各报价人应随时关注网上发布的竞争性比选文件答疑、补遗、澄清等文件内容，不管报价人是否下载，均视为已知晓竞争性比选文件的全部内容和有关事宜。</w:t>
      </w:r>
    </w:p>
    <w:p w14:paraId="05C22A2F">
      <w:pPr>
        <w:pStyle w:val="4"/>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4"/>
      <w:bookmarkEnd w:id="75"/>
      <w:bookmarkEnd w:id="76"/>
      <w:bookmarkEnd w:id="77"/>
      <w:bookmarkEnd w:id="78"/>
      <w:bookmarkEnd w:id="79"/>
      <w:bookmarkEnd w:id="80"/>
      <w:bookmarkEnd w:id="81"/>
      <w:bookmarkEnd w:id="82"/>
      <w:r>
        <w:rPr>
          <w:rFonts w:hint="eastAsia" w:ascii="宋体" w:hAnsi="宋体" w:eastAsia="宋体" w:cs="宋体"/>
          <w:color w:val="000000" w:themeColor="text1"/>
          <w:highlight w:val="none"/>
          <w14:textFill>
            <w14:solidFill>
              <w14:schemeClr w14:val="tx1"/>
            </w14:solidFill>
          </w14:textFill>
        </w:rPr>
        <w:t>及相关事宜</w:t>
      </w:r>
      <w:bookmarkEnd w:id="83"/>
      <w:bookmarkEnd w:id="84"/>
      <w:bookmarkEnd w:id="85"/>
      <w:bookmarkEnd w:id="86"/>
      <w:bookmarkEnd w:id="87"/>
    </w:p>
    <w:p w14:paraId="2FFCD343">
      <w:pPr>
        <w:tabs>
          <w:tab w:val="left" w:pos="360"/>
        </w:tabs>
        <w:spacing w:line="400" w:lineRule="exact"/>
        <w:ind w:firstLine="420" w:firstLineChars="200"/>
        <w:rPr>
          <w:rFonts w:ascii="宋体" w:hAnsi="宋体" w:cs="宋体"/>
          <w:color w:val="000000" w:themeColor="text1"/>
          <w:szCs w:val="21"/>
          <w:highlight w:val="none"/>
          <w14:textFill>
            <w14:solidFill>
              <w14:schemeClr w14:val="tx1"/>
            </w14:solidFill>
          </w14:textFill>
        </w:rPr>
      </w:pPr>
      <w:bookmarkStart w:id="88" w:name="_Toc152042293"/>
      <w:bookmarkStart w:id="89" w:name="_Toc152045517"/>
      <w:bookmarkStart w:id="90" w:name="_Toc246996164"/>
      <w:bookmarkStart w:id="91" w:name="_Toc21615"/>
      <w:bookmarkStart w:id="92" w:name="_Toc18402"/>
      <w:bookmarkStart w:id="93" w:name="_Toc11329219"/>
      <w:bookmarkStart w:id="94" w:name="_Toc11515"/>
      <w:bookmarkStart w:id="95" w:name="_Toc144974485"/>
      <w:bookmarkStart w:id="96" w:name="_Toc179632534"/>
      <w:bookmarkStart w:id="97" w:name="_Toc247085678"/>
      <w:bookmarkStart w:id="98" w:name="_Toc246996907"/>
      <w:bookmarkStart w:id="99" w:name="_Toc393"/>
      <w:bookmarkStart w:id="100" w:name="_Toc507319897"/>
      <w:bookmarkStart w:id="101" w:name="_Toc28867"/>
      <w:r>
        <w:rPr>
          <w:rFonts w:hint="eastAsia" w:ascii="宋体" w:hAnsi="宋体" w:cs="宋体"/>
          <w:color w:val="000000" w:themeColor="text1"/>
          <w:szCs w:val="21"/>
          <w:highlight w:val="none"/>
          <w:lang w:val="en-US" w:eastAsia="zh-CN"/>
          <w14:textFill>
            <w14:solidFill>
              <w14:schemeClr w14:val="tx1"/>
            </w14:solidFill>
          </w14:textFill>
        </w:rPr>
        <w:t>6</w:t>
      </w:r>
      <w:r>
        <w:rPr>
          <w:rFonts w:hint="eastAsia" w:ascii="宋体" w:hAnsi="宋体" w:cs="宋体"/>
          <w:color w:val="000000" w:themeColor="text1"/>
          <w:szCs w:val="21"/>
          <w:highlight w:val="none"/>
          <w14:textFill>
            <w14:solidFill>
              <w14:schemeClr w14:val="tx1"/>
            </w14:solidFill>
          </w14:textFill>
        </w:rPr>
        <w:t>.1</w:t>
      </w:r>
      <w:r>
        <w:rPr>
          <w:rFonts w:hint="default"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报价截止时间和开标时间：</w:t>
      </w:r>
      <w:r>
        <w:rPr>
          <w:rFonts w:hint="eastAsia" w:ascii="宋体" w:hAnsi="宋体"/>
          <w:color w:val="000000" w:themeColor="text1"/>
          <w:szCs w:val="21"/>
          <w:highlight w:val="none"/>
          <w:u w:val="single"/>
          <w14:textFill>
            <w14:solidFill>
              <w14:schemeClr w14:val="tx1"/>
            </w14:solidFill>
          </w14:textFill>
        </w:rPr>
        <w:t>202</w:t>
      </w:r>
      <w:r>
        <w:rPr>
          <w:rFonts w:hint="eastAsia" w:ascii="宋体" w:hAnsi="宋体"/>
          <w:color w:val="000000" w:themeColor="text1"/>
          <w:szCs w:val="21"/>
          <w:highlight w:val="none"/>
          <w:u w:val="singl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日上午</w:t>
      </w:r>
      <w:r>
        <w:rPr>
          <w:rFonts w:hint="eastAsia" w:ascii="宋体" w:hAnsi="宋体"/>
          <w:color w:val="000000" w:themeColor="text1"/>
          <w:szCs w:val="21"/>
          <w:highlight w:val="none"/>
          <w:u w:val="single"/>
          <w14:textFill>
            <w14:solidFill>
              <w14:schemeClr w14:val="tx1"/>
            </w14:solidFill>
          </w14:textFill>
        </w:rPr>
        <w:t>1</w:t>
      </w:r>
      <w:r>
        <w:rPr>
          <w:rFonts w:hint="eastAsia" w:ascii="宋体" w:hAnsi="宋体"/>
          <w:color w:val="000000" w:themeColor="text1"/>
          <w:szCs w:val="21"/>
          <w:highlight w:val="none"/>
          <w:u w:val="single"/>
          <w:lang w:val="en-US" w:eastAsia="zh-CN"/>
          <w14:textFill>
            <w14:solidFill>
              <w14:schemeClr w14:val="tx1"/>
            </w14:solidFill>
          </w14:textFill>
        </w:rPr>
        <w:t>0</w:t>
      </w:r>
      <w:r>
        <w:rPr>
          <w:rFonts w:hint="eastAsia" w:ascii="宋体" w:hAnsi="宋体" w:cs="宋体"/>
          <w:color w:val="000000" w:themeColor="text1"/>
          <w:szCs w:val="21"/>
          <w:highlight w:val="none"/>
          <w14:textFill>
            <w14:solidFill>
              <w14:schemeClr w14:val="tx1"/>
            </w14:solidFill>
          </w14:textFill>
        </w:rPr>
        <w:t>时</w:t>
      </w:r>
      <w:r>
        <w:rPr>
          <w:rFonts w:hint="eastAsia" w:ascii="宋体" w:hAnsi="宋体" w:cs="宋体"/>
          <w:color w:val="000000" w:themeColor="text1"/>
          <w:szCs w:val="21"/>
          <w:highlight w:val="none"/>
          <w:u w:val="single"/>
          <w14:textFill>
            <w14:solidFill>
              <w14:schemeClr w14:val="tx1"/>
            </w14:solidFill>
          </w14:textFill>
        </w:rPr>
        <w:t xml:space="preserve"> 00 </w:t>
      </w:r>
      <w:r>
        <w:rPr>
          <w:rFonts w:hint="eastAsia" w:ascii="宋体" w:hAnsi="宋体" w:cs="宋体"/>
          <w:color w:val="000000" w:themeColor="text1"/>
          <w:szCs w:val="21"/>
          <w:highlight w:val="none"/>
          <w14:textFill>
            <w14:solidFill>
              <w14:schemeClr w14:val="tx1"/>
            </w14:solidFill>
          </w14:textFill>
        </w:rPr>
        <w:t>分（北京时间）。</w:t>
      </w:r>
    </w:p>
    <w:p w14:paraId="613A3F35">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 xml:space="preserve">6.2 </w:t>
      </w:r>
      <w:r>
        <w:rPr>
          <w:rFonts w:hint="eastAsia" w:ascii="宋体" w:hAnsi="宋体" w:cs="宋体"/>
          <w:color w:val="000000" w:themeColor="text1"/>
          <w:szCs w:val="21"/>
          <w:highlight w:val="none"/>
          <w:lang w:val="en-US" w:eastAsia="zh-CN"/>
          <w14:textFill>
            <w14:solidFill>
              <w14:schemeClr w14:val="tx1"/>
            </w14:solidFill>
          </w14:textFill>
        </w:rPr>
        <w:t>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14:paraId="61E904B7">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6.3 递交地址：重庆市南岸区南坪镇海峡路重庆首讯科技股份有限公司</w:t>
      </w:r>
    </w:p>
    <w:p w14:paraId="2F58BA78">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6.4 逾期送达，或未送达指定地点，或未密封的竞争性比选响应文件，采购人不予受理。</w:t>
      </w:r>
    </w:p>
    <w:p w14:paraId="1A89FEFF">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6.5 采购人不组织现场踏勘，不召开报价预备会。</w:t>
      </w:r>
    </w:p>
    <w:p w14:paraId="72797A85">
      <w:pPr>
        <w:spacing w:line="42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6.6需提供正本一本；副本一本；电子档一份。</w:t>
      </w:r>
    </w:p>
    <w:p w14:paraId="3FD79243">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highlight w:val="none"/>
          <w14:textFill>
            <w14:solidFill>
              <w14:schemeClr w14:val="tx1"/>
            </w14:solidFill>
          </w14:textFill>
        </w:rPr>
      </w:pPr>
    </w:p>
    <w:p w14:paraId="68EB9548">
      <w:pPr>
        <w:pStyle w:val="4"/>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88"/>
      <w:bookmarkEnd w:id="89"/>
      <w:bookmarkEnd w:id="90"/>
      <w:bookmarkEnd w:id="91"/>
      <w:bookmarkEnd w:id="92"/>
      <w:bookmarkEnd w:id="93"/>
      <w:bookmarkEnd w:id="94"/>
      <w:bookmarkEnd w:id="95"/>
      <w:bookmarkEnd w:id="96"/>
      <w:bookmarkEnd w:id="97"/>
      <w:bookmarkEnd w:id="98"/>
      <w:bookmarkEnd w:id="99"/>
      <w:bookmarkEnd w:id="100"/>
      <w:bookmarkEnd w:id="101"/>
    </w:p>
    <w:tbl>
      <w:tblPr>
        <w:tblStyle w:val="43"/>
        <w:tblW w:w="9709" w:type="dxa"/>
        <w:tblInd w:w="0" w:type="dxa"/>
        <w:tblLayout w:type="fixed"/>
        <w:tblCellMar>
          <w:top w:w="0" w:type="dxa"/>
          <w:left w:w="108" w:type="dxa"/>
          <w:bottom w:w="0" w:type="dxa"/>
          <w:right w:w="108" w:type="dxa"/>
        </w:tblCellMar>
      </w:tblPr>
      <w:tblGrid>
        <w:gridCol w:w="9709"/>
      </w:tblGrid>
      <w:tr w14:paraId="411A00A3">
        <w:tblPrEx>
          <w:tblCellMar>
            <w:top w:w="0" w:type="dxa"/>
            <w:left w:w="108" w:type="dxa"/>
            <w:bottom w:w="0" w:type="dxa"/>
            <w:right w:w="108" w:type="dxa"/>
          </w:tblCellMar>
        </w:tblPrEx>
        <w:trPr>
          <w:trHeight w:val="520" w:hRule="atLeast"/>
        </w:trPr>
        <w:tc>
          <w:tcPr>
            <w:tcW w:w="9709" w:type="dxa"/>
            <w:vAlign w:val="center"/>
          </w:tcPr>
          <w:p w14:paraId="30CAE584">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default"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采购人：重庆首讯科技股份有限公司</w:t>
            </w:r>
            <w:r>
              <w:rPr>
                <w:rFonts w:hint="eastAsia" w:ascii="宋体" w:hAnsi="宋体" w:cs="宋体"/>
                <w:color w:val="000000" w:themeColor="text1"/>
                <w:kern w:val="2"/>
                <w:sz w:val="21"/>
                <w:szCs w:val="21"/>
                <w:highlight w:val="none"/>
                <w:lang w:val="en-US" w:eastAsia="zh-CN"/>
                <w14:textFill>
                  <w14:solidFill>
                    <w14:schemeClr w14:val="tx1"/>
                  </w14:solidFill>
                </w14:textFill>
              </w:rPr>
              <w:t>数智系统运维分公司</w:t>
            </w:r>
          </w:p>
        </w:tc>
      </w:tr>
      <w:tr w14:paraId="41B5705D">
        <w:tblPrEx>
          <w:tblCellMar>
            <w:top w:w="0" w:type="dxa"/>
            <w:left w:w="108" w:type="dxa"/>
            <w:bottom w:w="0" w:type="dxa"/>
            <w:right w:w="108" w:type="dxa"/>
          </w:tblCellMar>
        </w:tblPrEx>
        <w:trPr>
          <w:trHeight w:val="510" w:hRule="atLeast"/>
        </w:trPr>
        <w:tc>
          <w:tcPr>
            <w:tcW w:w="9709" w:type="dxa"/>
            <w:vAlign w:val="center"/>
          </w:tcPr>
          <w:p w14:paraId="1D9744A9">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cs="宋体"/>
                <w:color w:val="000000" w:themeColor="text1"/>
                <w:szCs w:val="21"/>
                <w:highlight w:val="none"/>
                <w:lang w:val="en-US" w:eastAsia="zh-CN"/>
                <w14:textFill>
                  <w14:solidFill>
                    <w14:schemeClr w14:val="tx1"/>
                  </w14:solidFill>
                </w14:textFill>
              </w:rPr>
              <w:t>重庆市南岸区南坪镇广黔路重庆首讯科技股份有限公司316</w:t>
            </w:r>
          </w:p>
        </w:tc>
      </w:tr>
      <w:tr w14:paraId="2752A7F6">
        <w:tblPrEx>
          <w:tblCellMar>
            <w:top w:w="0" w:type="dxa"/>
            <w:left w:w="108" w:type="dxa"/>
            <w:bottom w:w="0" w:type="dxa"/>
            <w:right w:w="108" w:type="dxa"/>
          </w:tblCellMar>
        </w:tblPrEx>
        <w:trPr>
          <w:trHeight w:val="520" w:hRule="atLeast"/>
        </w:trPr>
        <w:tc>
          <w:tcPr>
            <w:tcW w:w="9709" w:type="dxa"/>
            <w:vAlign w:val="center"/>
          </w:tcPr>
          <w:p w14:paraId="68A48862">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技术联系人：</w:t>
            </w:r>
            <w:r>
              <w:rPr>
                <w:rFonts w:hint="eastAsia" w:ascii="宋体" w:hAnsi="宋体" w:cs="宋体"/>
                <w:color w:val="000000" w:themeColor="text1"/>
                <w:szCs w:val="21"/>
                <w:highlight w:val="none"/>
                <w:lang w:val="en-US" w:eastAsia="zh-CN"/>
                <w14:textFill>
                  <w14:solidFill>
                    <w14:schemeClr w14:val="tx1"/>
                  </w14:solidFill>
                </w14:textFill>
              </w:rPr>
              <w:t>龙老师  电 话：16623427711</w:t>
            </w:r>
          </w:p>
        </w:tc>
      </w:tr>
      <w:tr w14:paraId="08638AB4">
        <w:tblPrEx>
          <w:tblCellMar>
            <w:top w:w="0" w:type="dxa"/>
            <w:left w:w="108" w:type="dxa"/>
            <w:bottom w:w="0" w:type="dxa"/>
            <w:right w:w="108" w:type="dxa"/>
          </w:tblCellMar>
        </w:tblPrEx>
        <w:trPr>
          <w:trHeight w:val="448" w:hRule="atLeast"/>
        </w:trPr>
        <w:tc>
          <w:tcPr>
            <w:tcW w:w="9709" w:type="dxa"/>
            <w:vAlign w:val="center"/>
          </w:tcPr>
          <w:p w14:paraId="290253AC">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商务联系人：</w:t>
            </w:r>
            <w:r>
              <w:rPr>
                <w:rFonts w:hint="eastAsia" w:ascii="宋体" w:hAnsi="宋体" w:cs="宋体"/>
                <w:color w:val="000000" w:themeColor="text1"/>
                <w:szCs w:val="21"/>
                <w:highlight w:val="none"/>
                <w:lang w:val="en-US" w:eastAsia="zh-CN"/>
                <w14:textFill>
                  <w14:solidFill>
                    <w14:schemeClr w14:val="tx1"/>
                  </w14:solidFill>
                </w14:textFill>
              </w:rPr>
              <w:t>方老师  电 话：19922923241</w:t>
            </w:r>
          </w:p>
        </w:tc>
      </w:tr>
    </w:tbl>
    <w:p w14:paraId="3DE1DB7A">
      <w:pPr>
        <w:rPr>
          <w:rFonts w:hint="eastAsia" w:eastAsia="宋体"/>
          <w:color w:val="000000" w:themeColor="text1"/>
          <w:highlight w:val="none"/>
          <w:lang w:val="en-US" w:eastAsia="zh-CN"/>
          <w14:textFill>
            <w14:solidFill>
              <w14:schemeClr w14:val="tx1"/>
            </w14:solidFill>
          </w14:textFill>
        </w:rPr>
      </w:pPr>
    </w:p>
    <w:p w14:paraId="68330F40">
      <w:pPr>
        <w:rPr>
          <w:color w:val="000000" w:themeColor="text1"/>
          <w:highlight w:val="none"/>
          <w14:textFill>
            <w14:solidFill>
              <w14:schemeClr w14:val="tx1"/>
            </w14:solidFill>
          </w14:textFill>
        </w:rPr>
      </w:pPr>
    </w:p>
    <w:p w14:paraId="1ACF6620">
      <w:pPr>
        <w:pStyle w:val="28"/>
        <w:rPr>
          <w:color w:val="000000" w:themeColor="text1"/>
          <w:highlight w:val="none"/>
          <w14:textFill>
            <w14:solidFill>
              <w14:schemeClr w14:val="tx1"/>
            </w14:solidFill>
          </w14:textFill>
        </w:rPr>
      </w:pPr>
    </w:p>
    <w:p w14:paraId="5EAD4FAA">
      <w:pPr>
        <w:rPr>
          <w:color w:val="000000" w:themeColor="text1"/>
          <w:highlight w:val="none"/>
          <w14:textFill>
            <w14:solidFill>
              <w14:schemeClr w14:val="tx1"/>
            </w14:solidFill>
          </w14:textFill>
        </w:rPr>
      </w:pPr>
    </w:p>
    <w:p w14:paraId="4953F236">
      <w:pPr>
        <w:pStyle w:val="11"/>
        <w:rPr>
          <w:color w:val="000000" w:themeColor="text1"/>
          <w:highlight w:val="none"/>
          <w14:textFill>
            <w14:solidFill>
              <w14:schemeClr w14:val="tx1"/>
            </w14:solidFill>
          </w14:textFill>
        </w:rPr>
      </w:pPr>
    </w:p>
    <w:p w14:paraId="368C0A4C">
      <w:pPr>
        <w:rPr>
          <w:color w:val="000000" w:themeColor="text1"/>
          <w:highlight w:val="none"/>
          <w14:textFill>
            <w14:solidFill>
              <w14:schemeClr w14:val="tx1"/>
            </w14:solidFill>
          </w14:textFill>
        </w:rPr>
      </w:pPr>
    </w:p>
    <w:p w14:paraId="5C28B73F">
      <w:pPr>
        <w:pStyle w:val="16"/>
        <w:rPr>
          <w:color w:val="000000" w:themeColor="text1"/>
          <w:highlight w:val="none"/>
          <w14:textFill>
            <w14:solidFill>
              <w14:schemeClr w14:val="tx1"/>
            </w14:solidFill>
          </w14:textFill>
        </w:rPr>
      </w:pPr>
    </w:p>
    <w:p w14:paraId="7F764201">
      <w:pPr>
        <w:rPr>
          <w:color w:val="000000" w:themeColor="text1"/>
          <w:highlight w:val="none"/>
          <w14:textFill>
            <w14:solidFill>
              <w14:schemeClr w14:val="tx1"/>
            </w14:solidFill>
          </w14:textFill>
        </w:rPr>
      </w:pPr>
    </w:p>
    <w:p w14:paraId="413A6C8C">
      <w:pPr>
        <w:pStyle w:val="16"/>
        <w:rPr>
          <w:color w:val="000000" w:themeColor="text1"/>
          <w:highlight w:val="none"/>
          <w14:textFill>
            <w14:solidFill>
              <w14:schemeClr w14:val="tx1"/>
            </w14:solidFill>
          </w14:textFill>
        </w:rPr>
      </w:pPr>
    </w:p>
    <w:p w14:paraId="0077A46D">
      <w:pPr>
        <w:rPr>
          <w:color w:val="000000" w:themeColor="text1"/>
          <w:highlight w:val="none"/>
          <w14:textFill>
            <w14:solidFill>
              <w14:schemeClr w14:val="tx1"/>
            </w14:solidFill>
          </w14:textFill>
        </w:rPr>
      </w:pPr>
    </w:p>
    <w:bookmarkEnd w:id="17"/>
    <w:bookmarkEnd w:id="18"/>
    <w:p w14:paraId="2921DF19">
      <w:pPr>
        <w:rPr>
          <w:rFonts w:hint="eastAsia" w:ascii="宋体" w:hAnsi="宋体" w:cs="宋体"/>
          <w:color w:val="000000" w:themeColor="text1"/>
          <w:highlight w:val="none"/>
          <w14:textFill>
            <w14:solidFill>
              <w14:schemeClr w14:val="tx1"/>
            </w14:solidFill>
          </w14:textFill>
        </w:rPr>
      </w:pPr>
      <w:bookmarkStart w:id="102" w:name="_Toc179632544"/>
      <w:bookmarkStart w:id="103" w:name="_Toc246996173"/>
      <w:bookmarkStart w:id="104" w:name="_Toc144974495"/>
      <w:bookmarkStart w:id="105" w:name="_Toc152042303"/>
      <w:bookmarkStart w:id="106" w:name="_Toc2000405"/>
      <w:bookmarkStart w:id="107" w:name="_Toc247085687"/>
      <w:bookmarkStart w:id="108" w:name="_Toc507319898"/>
      <w:bookmarkStart w:id="109" w:name="_Toc152045527"/>
      <w:bookmarkStart w:id="110" w:name="_Toc246996916"/>
      <w:r>
        <w:rPr>
          <w:rFonts w:hint="eastAsia" w:ascii="宋体" w:hAnsi="宋体" w:cs="宋体"/>
          <w:color w:val="000000" w:themeColor="text1"/>
          <w:highlight w:val="none"/>
          <w14:textFill>
            <w14:solidFill>
              <w14:schemeClr w14:val="tx1"/>
            </w14:solidFill>
          </w14:textFill>
        </w:rPr>
        <w:br w:type="page"/>
      </w:r>
    </w:p>
    <w:p w14:paraId="359907EA">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111" w:name="_Toc11232"/>
      <w:r>
        <w:rPr>
          <w:rFonts w:hint="eastAsia" w:ascii="宋体" w:hAnsi="宋体" w:cs="宋体"/>
          <w:color w:val="000000" w:themeColor="text1"/>
          <w:highlight w:val="none"/>
          <w14:textFill>
            <w14:solidFill>
              <w14:schemeClr w14:val="tx1"/>
            </w14:solidFill>
          </w14:textFill>
        </w:rPr>
        <w:t>第二章 报价人须知</w:t>
      </w:r>
      <w:bookmarkEnd w:id="102"/>
      <w:bookmarkEnd w:id="103"/>
      <w:bookmarkEnd w:id="104"/>
      <w:bookmarkEnd w:id="105"/>
      <w:bookmarkEnd w:id="106"/>
      <w:bookmarkEnd w:id="107"/>
      <w:bookmarkEnd w:id="108"/>
      <w:bookmarkEnd w:id="109"/>
      <w:bookmarkEnd w:id="110"/>
      <w:bookmarkEnd w:id="111"/>
    </w:p>
    <w:p w14:paraId="6AEA1BBC">
      <w:pPr>
        <w:rPr>
          <w:color w:val="000000" w:themeColor="text1"/>
          <w:highlight w:val="none"/>
          <w14:textFill>
            <w14:solidFill>
              <w14:schemeClr w14:val="tx1"/>
            </w14:solidFill>
          </w14:textFill>
        </w:rPr>
      </w:pPr>
    </w:p>
    <w:tbl>
      <w:tblPr>
        <w:tblStyle w:val="4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091"/>
        <w:gridCol w:w="7068"/>
      </w:tblGrid>
      <w:tr w14:paraId="059F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7" w:type="pct"/>
            <w:vAlign w:val="center"/>
          </w:tcPr>
          <w:p w14:paraId="6DA2F6D6">
            <w:pPr>
              <w:spacing w:line="400" w:lineRule="exact"/>
              <w:jc w:val="center"/>
              <w:rPr>
                <w:rFonts w:ascii="宋体" w:hAnsi="宋体" w:cs="宋体"/>
                <w:b/>
                <w:color w:val="000000" w:themeColor="text1"/>
                <w:kern w:val="0"/>
                <w:szCs w:val="21"/>
                <w:highlight w:val="none"/>
                <w14:textFill>
                  <w14:solidFill>
                    <w14:schemeClr w14:val="tx1"/>
                  </w14:solidFill>
                </w14:textFill>
              </w:rPr>
            </w:pPr>
            <w:bookmarkStart w:id="112" w:name="_Toc326760840"/>
            <w:r>
              <w:rPr>
                <w:rFonts w:hint="eastAsia" w:ascii="宋体" w:hAnsi="宋体" w:cs="宋体"/>
                <w:b/>
                <w:color w:val="000000" w:themeColor="text1"/>
                <w:kern w:val="0"/>
                <w:szCs w:val="21"/>
                <w:highlight w:val="none"/>
                <w14:textFill>
                  <w14:solidFill>
                    <w14:schemeClr w14:val="tx1"/>
                  </w14:solidFill>
                </w14:textFill>
              </w:rPr>
              <w:t>序号</w:t>
            </w:r>
          </w:p>
        </w:tc>
        <w:tc>
          <w:tcPr>
            <w:tcW w:w="1062" w:type="pct"/>
            <w:vAlign w:val="center"/>
          </w:tcPr>
          <w:p w14:paraId="653E4E05">
            <w:pPr>
              <w:spacing w:line="400" w:lineRule="exact"/>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条款名称</w:t>
            </w:r>
          </w:p>
        </w:tc>
        <w:tc>
          <w:tcPr>
            <w:tcW w:w="3590" w:type="pct"/>
            <w:vAlign w:val="center"/>
          </w:tcPr>
          <w:p w14:paraId="41F09237">
            <w:pPr>
              <w:spacing w:line="400" w:lineRule="exact"/>
              <w:ind w:firstLine="422" w:firstLineChars="200"/>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编  列  内  容</w:t>
            </w:r>
          </w:p>
        </w:tc>
      </w:tr>
      <w:tr w14:paraId="24A4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7" w:type="pct"/>
            <w:vAlign w:val="center"/>
          </w:tcPr>
          <w:p w14:paraId="04B84912">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1062" w:type="pct"/>
            <w:vAlign w:val="center"/>
          </w:tcPr>
          <w:p w14:paraId="45733F4B">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采购人</w:t>
            </w:r>
          </w:p>
        </w:tc>
        <w:tc>
          <w:tcPr>
            <w:tcW w:w="3590" w:type="pct"/>
            <w:vAlign w:val="center"/>
          </w:tcPr>
          <w:p w14:paraId="7FE46238">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14:textFill>
                  <w14:solidFill>
                    <w14:schemeClr w14:val="tx1"/>
                  </w14:solidFill>
                </w14:textFill>
              </w:rPr>
              <w:t>重庆首讯科技股份有限公司</w:t>
            </w:r>
            <w:r>
              <w:rPr>
                <w:rFonts w:hint="eastAsia" w:ascii="宋体" w:hAnsi="宋体" w:cs="宋体"/>
                <w:color w:val="000000" w:themeColor="text1"/>
                <w:kern w:val="2"/>
                <w:sz w:val="21"/>
                <w:szCs w:val="21"/>
                <w:highlight w:val="none"/>
                <w:lang w:val="en-US" w:eastAsia="zh-CN"/>
                <w14:textFill>
                  <w14:solidFill>
                    <w14:schemeClr w14:val="tx1"/>
                  </w14:solidFill>
                </w14:textFill>
              </w:rPr>
              <w:t>数智系统运维分公司</w:t>
            </w:r>
          </w:p>
          <w:p w14:paraId="55D6A601">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  址：</w:t>
            </w:r>
            <w:r>
              <w:rPr>
                <w:rFonts w:hint="eastAsia" w:ascii="宋体" w:hAnsi="宋体" w:cs="宋体"/>
                <w:color w:val="000000" w:themeColor="text1"/>
                <w:sz w:val="21"/>
                <w:szCs w:val="21"/>
                <w:highlight w:val="none"/>
                <w:lang w:eastAsia="zh-CN"/>
                <w14:textFill>
                  <w14:solidFill>
                    <w14:schemeClr w14:val="tx1"/>
                  </w14:solidFill>
                </w14:textFill>
              </w:rPr>
              <w:t>重庆市南岸区南坪镇广黔路重庆首讯科技股份有限公司316</w:t>
            </w:r>
          </w:p>
          <w:p w14:paraId="080BC6DD">
            <w:pPr>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联系人：</w:t>
            </w:r>
            <w:r>
              <w:rPr>
                <w:rFonts w:hint="eastAsia" w:ascii="宋体" w:hAnsi="宋体" w:cs="宋体"/>
                <w:color w:val="000000" w:themeColor="text1"/>
                <w:szCs w:val="21"/>
                <w:highlight w:val="none"/>
                <w:u w:val="single"/>
                <w:lang w:val="en-US" w:eastAsia="zh-CN"/>
                <w14:textFill>
                  <w14:solidFill>
                    <w14:schemeClr w14:val="tx1"/>
                  </w14:solidFill>
                </w14:textFill>
              </w:rPr>
              <w:t>方</w:t>
            </w:r>
            <w:r>
              <w:rPr>
                <w:rFonts w:hint="eastAsia" w:ascii="宋体" w:hAnsi="宋体" w:cs="宋体"/>
                <w:color w:val="000000" w:themeColor="text1"/>
                <w:szCs w:val="21"/>
                <w:highlight w:val="none"/>
                <w:lang w:val="en-US" w:eastAsia="zh-CN"/>
                <w14:textFill>
                  <w14:solidFill>
                    <w14:schemeClr w14:val="tx1"/>
                  </w14:solidFill>
                </w14:textFill>
              </w:rPr>
              <w:t>老师</w:t>
            </w:r>
          </w:p>
          <w:p w14:paraId="47A07BFC">
            <w:pPr>
              <w:keepNext w:val="0"/>
              <w:keepLines w:val="0"/>
              <w:pageBreakBefore w:val="0"/>
              <w:kinsoku/>
              <w:wordWrap/>
              <w:overflowPunct/>
              <w:topLinePunct/>
              <w:bidi w:val="0"/>
              <w:spacing w:line="360" w:lineRule="exact"/>
              <w:ind w:firstLine="420" w:firstLineChars="200"/>
              <w:jc w:val="both"/>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电  话：</w:t>
            </w:r>
            <w:r>
              <w:rPr>
                <w:rFonts w:hint="eastAsia" w:ascii="宋体" w:hAnsi="宋体" w:cs="宋体"/>
                <w:color w:val="000000" w:themeColor="text1"/>
                <w:szCs w:val="21"/>
                <w:highlight w:val="none"/>
                <w:u w:val="single"/>
                <w:lang w:val="en-US" w:eastAsia="zh-CN"/>
                <w14:textFill>
                  <w14:solidFill>
                    <w14:schemeClr w14:val="tx1"/>
                  </w14:solidFill>
                </w14:textFill>
              </w:rPr>
              <w:t>19922923241</w:t>
            </w:r>
          </w:p>
        </w:tc>
      </w:tr>
      <w:tr w14:paraId="59DE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7" w:type="pct"/>
            <w:vAlign w:val="center"/>
          </w:tcPr>
          <w:p w14:paraId="60919CF3">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p>
        </w:tc>
        <w:tc>
          <w:tcPr>
            <w:tcW w:w="1062" w:type="pct"/>
            <w:vAlign w:val="center"/>
          </w:tcPr>
          <w:p w14:paraId="121427E0">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项目名称</w:t>
            </w:r>
          </w:p>
        </w:tc>
        <w:tc>
          <w:tcPr>
            <w:tcW w:w="3590" w:type="pct"/>
            <w:vAlign w:val="center"/>
          </w:tcPr>
          <w:p w14:paraId="3968C14A">
            <w:pPr>
              <w:keepNext w:val="0"/>
              <w:keepLines w:val="0"/>
              <w:pageBreakBefore w:val="0"/>
              <w:kinsoku/>
              <w:wordWrap/>
              <w:overflowPunct/>
              <w:bidi w:val="0"/>
              <w:spacing w:line="360" w:lineRule="exact"/>
              <w:ind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2026年重庆高速公路（水消防）专项维护项目（第二次）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p>
        </w:tc>
      </w:tr>
      <w:tr w14:paraId="1332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7" w:type="pct"/>
            <w:vAlign w:val="center"/>
          </w:tcPr>
          <w:p w14:paraId="15845040">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p>
        </w:tc>
        <w:tc>
          <w:tcPr>
            <w:tcW w:w="1062" w:type="pct"/>
            <w:vAlign w:val="center"/>
          </w:tcPr>
          <w:p w14:paraId="56C08A35">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比选范围</w:t>
            </w:r>
          </w:p>
        </w:tc>
        <w:tc>
          <w:tcPr>
            <w:tcW w:w="3590" w:type="pct"/>
            <w:vAlign w:val="center"/>
          </w:tcPr>
          <w:p w14:paraId="1588B54B">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见比选公告</w:t>
            </w:r>
          </w:p>
        </w:tc>
      </w:tr>
      <w:tr w14:paraId="06515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7" w:type="pct"/>
            <w:vAlign w:val="center"/>
          </w:tcPr>
          <w:p w14:paraId="1FD18D55">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w:t>
            </w:r>
          </w:p>
        </w:tc>
        <w:tc>
          <w:tcPr>
            <w:tcW w:w="1062" w:type="pct"/>
            <w:vAlign w:val="center"/>
          </w:tcPr>
          <w:p w14:paraId="4516E1B5">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项目地点</w:t>
            </w:r>
          </w:p>
        </w:tc>
        <w:tc>
          <w:tcPr>
            <w:tcW w:w="3590" w:type="pct"/>
            <w:vAlign w:val="center"/>
          </w:tcPr>
          <w:p w14:paraId="5C9FD2DF">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0431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 w:type="pct"/>
            <w:vAlign w:val="center"/>
          </w:tcPr>
          <w:p w14:paraId="7AB01DE1">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w:t>
            </w:r>
          </w:p>
        </w:tc>
        <w:tc>
          <w:tcPr>
            <w:tcW w:w="1062" w:type="pct"/>
            <w:vAlign w:val="center"/>
          </w:tcPr>
          <w:p w14:paraId="1651FCC2">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工期要求</w:t>
            </w:r>
          </w:p>
        </w:tc>
        <w:tc>
          <w:tcPr>
            <w:tcW w:w="3590" w:type="pct"/>
            <w:vAlign w:val="center"/>
          </w:tcPr>
          <w:p w14:paraId="5285F1EF">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4B5D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088AAD89">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w:t>
            </w:r>
          </w:p>
        </w:tc>
        <w:tc>
          <w:tcPr>
            <w:tcW w:w="1062" w:type="pct"/>
            <w:vAlign w:val="center"/>
          </w:tcPr>
          <w:p w14:paraId="3267CD15">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质量标准</w:t>
            </w:r>
          </w:p>
        </w:tc>
        <w:tc>
          <w:tcPr>
            <w:tcW w:w="3590" w:type="pct"/>
          </w:tcPr>
          <w:p w14:paraId="297A7DBC">
            <w:pPr>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达到国家和地方现行有关质量标准和比选文件第七章技术标准和工作要求，并且一次性验收合格。</w:t>
            </w:r>
          </w:p>
          <w:p w14:paraId="5323D362">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 xml:space="preserve"> </w:t>
            </w:r>
            <w:bookmarkStart w:id="113" w:name="缺陷责任期"/>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缺陷责任期</w:t>
            </w:r>
            <w:bookmarkEnd w:id="113"/>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24</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个月，自项目验收合格之日起计算</w:t>
            </w:r>
          </w:p>
        </w:tc>
      </w:tr>
      <w:tr w14:paraId="3051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14C10927">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w:t>
            </w:r>
          </w:p>
        </w:tc>
        <w:tc>
          <w:tcPr>
            <w:tcW w:w="1062" w:type="pct"/>
            <w:vAlign w:val="center"/>
          </w:tcPr>
          <w:p w14:paraId="5300D5D1">
            <w:pPr>
              <w:keepNext w:val="0"/>
              <w:keepLines w:val="0"/>
              <w:pageBreakBefore w:val="0"/>
              <w:widowControl w:val="0"/>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安全目标</w:t>
            </w:r>
          </w:p>
        </w:tc>
        <w:tc>
          <w:tcPr>
            <w:tcW w:w="3590" w:type="pct"/>
          </w:tcPr>
          <w:p w14:paraId="070F8470">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无安全生产责任事故。</w:t>
            </w:r>
          </w:p>
        </w:tc>
      </w:tr>
      <w:tr w14:paraId="2DC0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7" w:type="pct"/>
            <w:vAlign w:val="center"/>
          </w:tcPr>
          <w:p w14:paraId="54947692">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8</w:t>
            </w:r>
          </w:p>
        </w:tc>
        <w:tc>
          <w:tcPr>
            <w:tcW w:w="1062" w:type="pct"/>
            <w:vAlign w:val="center"/>
          </w:tcPr>
          <w:p w14:paraId="3BCDE676">
            <w:pP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报价人资质条件、能力与信誉</w:t>
            </w:r>
          </w:p>
        </w:tc>
        <w:tc>
          <w:tcPr>
            <w:tcW w:w="3590" w:type="pct"/>
            <w:vAlign w:val="center"/>
          </w:tcPr>
          <w:p w14:paraId="7B47A450">
            <w:pPr>
              <w:numPr>
                <w:ilvl w:val="0"/>
                <w:numId w:val="2"/>
              </w:numPr>
              <w:spacing w:line="400" w:lineRule="exact"/>
              <w:ind w:firstLine="420" w:firstLineChars="20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资质条件：见比选公告3.1</w:t>
            </w:r>
          </w:p>
          <w:p w14:paraId="39A46D9E">
            <w:pP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）业绩要求：见比选公告3.</w:t>
            </w:r>
            <w:r>
              <w:rPr>
                <w:rFonts w:hint="eastAsia" w:ascii="宋体" w:hAnsi="宋体" w:cs="宋体"/>
                <w:color w:val="000000" w:themeColor="text1"/>
                <w:szCs w:val="21"/>
                <w:highlight w:val="none"/>
                <w:lang w:val="en-US" w:eastAsia="zh-CN"/>
                <w14:textFill>
                  <w14:solidFill>
                    <w14:schemeClr w14:val="tx1"/>
                  </w14:solidFill>
                </w14:textFill>
              </w:rPr>
              <w:t>2</w:t>
            </w:r>
          </w:p>
          <w:p w14:paraId="62C6AF28">
            <w:pP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）信誉要求：见比选公告3.</w:t>
            </w:r>
            <w:r>
              <w:rPr>
                <w:rFonts w:hint="eastAsia" w:ascii="宋体" w:hAnsi="宋体" w:cs="宋体"/>
                <w:color w:val="000000" w:themeColor="text1"/>
                <w:szCs w:val="21"/>
                <w:highlight w:val="none"/>
                <w:lang w:val="en-US" w:eastAsia="zh-CN"/>
                <w14:textFill>
                  <w14:solidFill>
                    <w14:schemeClr w14:val="tx1"/>
                  </w14:solidFill>
                </w14:textFill>
              </w:rPr>
              <w:t>3</w:t>
            </w:r>
          </w:p>
          <w:p w14:paraId="1DC7BCB6">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）项目主要人员要求：见附录1</w:t>
            </w:r>
          </w:p>
          <w:p w14:paraId="4915A521">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）其他要求：见附录2、见附录3</w:t>
            </w:r>
          </w:p>
        </w:tc>
      </w:tr>
      <w:tr w14:paraId="3DF8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7" w:type="pct"/>
            <w:vAlign w:val="center"/>
          </w:tcPr>
          <w:p w14:paraId="7E3074FE">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p>
        </w:tc>
        <w:tc>
          <w:tcPr>
            <w:tcW w:w="1062" w:type="pct"/>
            <w:vAlign w:val="center"/>
          </w:tcPr>
          <w:p w14:paraId="016244DC">
            <w:pP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是否接受</w:t>
            </w:r>
          </w:p>
          <w:p w14:paraId="1F46F74A">
            <w:pP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联合体报价</w:t>
            </w:r>
          </w:p>
        </w:tc>
        <w:tc>
          <w:tcPr>
            <w:tcW w:w="3590" w:type="pct"/>
            <w:vAlign w:val="center"/>
          </w:tcPr>
          <w:p w14:paraId="12D6E017">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不接受</w:t>
            </w:r>
          </w:p>
        </w:tc>
      </w:tr>
      <w:tr w14:paraId="38DBD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7" w:type="pct"/>
            <w:vAlign w:val="center"/>
          </w:tcPr>
          <w:p w14:paraId="3DA41547">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10</w:t>
            </w:r>
          </w:p>
        </w:tc>
        <w:tc>
          <w:tcPr>
            <w:tcW w:w="1062" w:type="pct"/>
            <w:vAlign w:val="center"/>
          </w:tcPr>
          <w:p w14:paraId="1019F3A4">
            <w:pPr>
              <w:keepNext w:val="0"/>
              <w:keepLines w:val="0"/>
              <w:pageBreakBefore w:val="0"/>
              <w:widowControl w:val="0"/>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踏勘现场</w:t>
            </w:r>
          </w:p>
        </w:tc>
        <w:tc>
          <w:tcPr>
            <w:tcW w:w="3590" w:type="pct"/>
            <w:vAlign w:val="center"/>
          </w:tcPr>
          <w:p w14:paraId="5D9E08D0">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不组织，由各报价人根据需要自行完成现场踏勘</w:t>
            </w:r>
          </w:p>
        </w:tc>
      </w:tr>
      <w:tr w14:paraId="1AA6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67D1BECB">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w:t>
            </w:r>
          </w:p>
        </w:tc>
        <w:tc>
          <w:tcPr>
            <w:tcW w:w="1062" w:type="pct"/>
            <w:vAlign w:val="center"/>
          </w:tcPr>
          <w:p w14:paraId="351F637B">
            <w:pPr>
              <w:keepNext w:val="0"/>
              <w:keepLines w:val="0"/>
              <w:pageBreakBefore w:val="0"/>
              <w:widowControl w:val="0"/>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分包</w:t>
            </w:r>
          </w:p>
        </w:tc>
        <w:tc>
          <w:tcPr>
            <w:tcW w:w="3590" w:type="pct"/>
            <w:vAlign w:val="center"/>
          </w:tcPr>
          <w:p w14:paraId="601478D3">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不允许</w:t>
            </w:r>
          </w:p>
        </w:tc>
      </w:tr>
      <w:tr w14:paraId="042A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5C376C9E">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12</w:t>
            </w:r>
          </w:p>
        </w:tc>
        <w:tc>
          <w:tcPr>
            <w:tcW w:w="1062" w:type="pct"/>
            <w:vAlign w:val="center"/>
          </w:tcPr>
          <w:p w14:paraId="0C86018C">
            <w:pPr>
              <w:keepNext w:val="0"/>
              <w:keepLines w:val="0"/>
              <w:pageBreakBefore w:val="0"/>
              <w:widowControl w:val="0"/>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偏差</w:t>
            </w:r>
          </w:p>
        </w:tc>
        <w:tc>
          <w:tcPr>
            <w:tcW w:w="3590" w:type="pct"/>
            <w:vAlign w:val="center"/>
          </w:tcPr>
          <w:p w14:paraId="1ADFDDC0">
            <w:pPr>
              <w:spacing w:line="400" w:lineRule="exact"/>
              <w:ind w:firstLine="422"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不允许负偏差</w:t>
            </w:r>
          </w:p>
        </w:tc>
      </w:tr>
      <w:tr w14:paraId="7B3A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7" w:type="pct"/>
            <w:vAlign w:val="center"/>
          </w:tcPr>
          <w:p w14:paraId="14F63633">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w:t>
            </w:r>
          </w:p>
        </w:tc>
        <w:tc>
          <w:tcPr>
            <w:tcW w:w="1062" w:type="pct"/>
            <w:vAlign w:val="center"/>
          </w:tcPr>
          <w:p w14:paraId="7497677B">
            <w:pP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构成比选文件的其他材料</w:t>
            </w:r>
          </w:p>
        </w:tc>
        <w:tc>
          <w:tcPr>
            <w:tcW w:w="3590" w:type="pct"/>
            <w:vAlign w:val="center"/>
          </w:tcPr>
          <w:p w14:paraId="4BB68D64">
            <w:pPr>
              <w:spacing w:line="4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采购人发布的图纸、补遗书、答疑、澄清、最高限价通知等附件。</w:t>
            </w:r>
          </w:p>
        </w:tc>
      </w:tr>
      <w:tr w14:paraId="3631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7" w:type="pct"/>
            <w:vAlign w:val="center"/>
          </w:tcPr>
          <w:p w14:paraId="5623769C">
            <w:pPr>
              <w:spacing w:line="400" w:lineRule="exact"/>
              <w:jc w:val="center"/>
              <w:rPr>
                <w:rFonts w:ascii="宋体" w:hAnsi="宋体" w:cs="宋体"/>
                <w:color w:val="000000" w:themeColor="text1"/>
                <w:kern w:val="0"/>
                <w:szCs w:val="21"/>
                <w:highlight w:val="none"/>
                <w14:textFill>
                  <w14:solidFill>
                    <w14:schemeClr w14:val="tx1"/>
                  </w14:solidFill>
                </w14:textFill>
              </w:rPr>
            </w:pPr>
            <w:bookmarkStart w:id="114" w:name="_Hlt227984024"/>
            <w:bookmarkEnd w:id="114"/>
            <w:r>
              <w:rPr>
                <w:rFonts w:hint="eastAsia" w:ascii="宋体" w:hAnsi="宋体" w:cs="宋体"/>
                <w:color w:val="000000" w:themeColor="text1"/>
                <w:kern w:val="0"/>
                <w:szCs w:val="21"/>
                <w:highlight w:val="none"/>
                <w14:textFill>
                  <w14:solidFill>
                    <w14:schemeClr w14:val="tx1"/>
                  </w14:solidFill>
                </w14:textFill>
              </w:rPr>
              <w:t>14</w:t>
            </w:r>
          </w:p>
        </w:tc>
        <w:tc>
          <w:tcPr>
            <w:tcW w:w="1062" w:type="pct"/>
            <w:vAlign w:val="center"/>
          </w:tcPr>
          <w:p w14:paraId="4B5E43C2">
            <w:pP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构成竞争性比选响应文件的其他材料</w:t>
            </w:r>
          </w:p>
        </w:tc>
        <w:tc>
          <w:tcPr>
            <w:tcW w:w="3590" w:type="pct"/>
            <w:vAlign w:val="center"/>
          </w:tcPr>
          <w:p w14:paraId="4B52615A">
            <w:pPr>
              <w:pStyle w:val="149"/>
              <w:spacing w:before="72" w:line="400" w:lineRule="exact"/>
              <w:ind w:firstLine="420" w:firstLineChars="20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报价人书面澄清或补正，但不得改变竞争性比选响应文件实质。</w:t>
            </w:r>
          </w:p>
        </w:tc>
      </w:tr>
      <w:tr w14:paraId="54F1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7" w:type="pct"/>
            <w:tcBorders>
              <w:bottom w:val="single" w:color="auto" w:sz="4" w:space="0"/>
            </w:tcBorders>
            <w:vAlign w:val="center"/>
          </w:tcPr>
          <w:p w14:paraId="317C3342">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w:t>
            </w:r>
          </w:p>
        </w:tc>
        <w:tc>
          <w:tcPr>
            <w:tcW w:w="1062" w:type="pct"/>
            <w:tcBorders>
              <w:bottom w:val="single" w:color="auto" w:sz="4" w:space="0"/>
            </w:tcBorders>
            <w:vAlign w:val="center"/>
          </w:tcPr>
          <w:p w14:paraId="1B59FCFF">
            <w:pP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报价人须知</w:t>
            </w:r>
          </w:p>
        </w:tc>
        <w:tc>
          <w:tcPr>
            <w:tcW w:w="3590" w:type="pct"/>
            <w:tcBorders>
              <w:bottom w:val="single" w:color="auto" w:sz="4" w:space="0"/>
            </w:tcBorders>
          </w:tcPr>
          <w:p w14:paraId="6A09F032">
            <w:pPr>
              <w:spacing w:line="400" w:lineRule="exact"/>
              <w:ind w:firstLine="420" w:firstLineChars="200"/>
              <w:jc w:val="left"/>
              <w:rPr>
                <w:rFonts w:hint="eastAsia" w:ascii="宋体" w:hAnsi="宋体" w:cs="宋体"/>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报价人</w:t>
            </w:r>
            <w:r>
              <w:rPr>
                <w:rFonts w:hint="eastAsia"/>
                <w:color w:val="000000" w:themeColor="text1"/>
                <w:highlight w:val="none"/>
                <w14:textFill>
                  <w14:solidFill>
                    <w14:schemeClr w14:val="tx1"/>
                  </w14:solidFill>
                </w14:textFill>
              </w:rPr>
              <w:t>应认真阅读</w:t>
            </w:r>
            <w:r>
              <w:rPr>
                <w:rFonts w:hint="eastAsia"/>
                <w:color w:val="000000" w:themeColor="text1"/>
                <w:highlight w:val="none"/>
                <w:lang w:val="en-US" w:eastAsia="zh-CN"/>
                <w14:textFill>
                  <w14:solidFill>
                    <w14:schemeClr w14:val="tx1"/>
                  </w14:solidFill>
                </w14:textFill>
              </w:rPr>
              <w:t>工作内容及图纸</w:t>
            </w:r>
            <w:r>
              <w:rPr>
                <w:rFonts w:hint="eastAsia"/>
                <w:color w:val="000000" w:themeColor="text1"/>
                <w:highlight w:val="none"/>
                <w14:textFill>
                  <w14:solidFill>
                    <w14:schemeClr w14:val="tx1"/>
                  </w14:solidFill>
                </w14:textFill>
              </w:rPr>
              <w:t>后以确认在填报单价和价格之前，设备的所在范围已被包括在每个项目内，报出的单价和价格应被认为包括所有劳务、材料、机械、运输、</w:t>
            </w:r>
            <w:r>
              <w:rPr>
                <w:rFonts w:hint="eastAsia"/>
                <w:color w:val="000000" w:themeColor="text1"/>
                <w:highlight w:val="none"/>
                <w:lang w:val="en-US" w:eastAsia="zh-CN"/>
                <w14:textFill>
                  <w14:solidFill>
                    <w14:schemeClr w14:val="tx1"/>
                  </w14:solidFill>
                </w14:textFill>
              </w:rPr>
              <w:t>卸货、</w:t>
            </w:r>
            <w:r>
              <w:rPr>
                <w:rFonts w:hint="eastAsia"/>
                <w:color w:val="000000" w:themeColor="text1"/>
                <w:highlight w:val="none"/>
                <w14:textFill>
                  <w14:solidFill>
                    <w14:schemeClr w14:val="tx1"/>
                  </w14:solidFill>
                </w14:textFill>
              </w:rPr>
              <w:t>出厂检验、相关税率、</w:t>
            </w:r>
            <w:r>
              <w:rPr>
                <w:rFonts w:hint="eastAsia"/>
                <w:color w:val="000000" w:themeColor="text1"/>
                <w:highlight w:val="none"/>
                <w:lang w:val="en-US" w:eastAsia="zh-CN"/>
                <w14:textFill>
                  <w14:solidFill>
                    <w14:schemeClr w14:val="tx1"/>
                  </w14:solidFill>
                </w14:textFill>
              </w:rPr>
              <w:t>调试、</w:t>
            </w:r>
            <w:r>
              <w:rPr>
                <w:rFonts w:hint="eastAsia"/>
                <w:color w:val="000000" w:themeColor="text1"/>
                <w:highlight w:val="none"/>
                <w14:textFill>
                  <w14:solidFill>
                    <w14:schemeClr w14:val="tx1"/>
                  </w14:solidFill>
                </w14:textFill>
              </w:rPr>
              <w:t>利润和明示或隐含的风险、保险、责任和义务。</w:t>
            </w:r>
          </w:p>
          <w:p w14:paraId="5348F6D2">
            <w:pPr>
              <w:spacing w:line="400" w:lineRule="exact"/>
              <w:ind w:firstLine="420" w:firstLineChars="20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报价人按照采购人提供的工程量清单填写工程量清单</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color w:val="000000" w:themeColor="text1"/>
                <w:szCs w:val="21"/>
                <w:highlight w:val="none"/>
                <w14:textFill>
                  <w14:solidFill>
                    <w14:schemeClr w14:val="tx1"/>
                  </w14:solidFill>
                </w14:textFill>
              </w:rPr>
              <w:t>综合单价取小数点后两位，小数点后第三位四舍五入。</w:t>
            </w:r>
          </w:p>
          <w:p w14:paraId="4CD6BA93">
            <w:pPr>
              <w:spacing w:line="400" w:lineRule="exact"/>
              <w:ind w:firstLine="422"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本项目工程量清单及说明随比选文件一并发布，详见附件。</w:t>
            </w:r>
          </w:p>
        </w:tc>
      </w:tr>
      <w:tr w14:paraId="75F4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47" w:type="pct"/>
            <w:tcBorders>
              <w:bottom w:val="single" w:color="auto" w:sz="4" w:space="0"/>
            </w:tcBorders>
            <w:vAlign w:val="center"/>
          </w:tcPr>
          <w:p w14:paraId="3FA34361">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w:t>
            </w:r>
          </w:p>
        </w:tc>
        <w:tc>
          <w:tcPr>
            <w:tcW w:w="1062" w:type="pct"/>
            <w:tcBorders>
              <w:bottom w:val="single" w:color="auto" w:sz="4" w:space="0"/>
            </w:tcBorders>
            <w:shd w:val="clear" w:color="auto" w:fill="auto"/>
            <w:vAlign w:val="center"/>
          </w:tcPr>
          <w:p w14:paraId="0F6664F4">
            <w:pP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乙方违约的处理</w:t>
            </w:r>
          </w:p>
        </w:tc>
        <w:tc>
          <w:tcPr>
            <w:tcW w:w="3590" w:type="pct"/>
            <w:tcBorders>
              <w:bottom w:val="single" w:color="auto" w:sz="4" w:space="0"/>
            </w:tcBorders>
            <w:shd w:val="clear" w:color="auto" w:fill="auto"/>
            <w:vAlign w:val="top"/>
          </w:tcPr>
          <w:p w14:paraId="1277CC82">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05BD8EB2">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乙方在本项目工作开展期间，更换项目经理，甲方按5万元/人进行违约处理；更换安全负责人，甲方按2万元/人进行违约处理。新更换的人员不低于比选文件人员资质要求。</w:t>
            </w:r>
          </w:p>
          <w:p w14:paraId="63A35CA6">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乙方分包的工程项目，不得再行转包或分包，否则将无条件被认为乙方违约，由此引起的一切责任、事故和损失由乙方负责。此外，乙方还应当向甲方支付 1 万元违约金，甲方有权终止或解除合同。</w:t>
            </w:r>
          </w:p>
          <w:p w14:paraId="38B3AB52">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  1 万元违约金。</w:t>
            </w:r>
          </w:p>
          <w:p w14:paraId="779D9D26">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0DD98F61">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因乙方原因，出现下列情况之一的，甲方有权采取认为合理的一切措施进行处理，由此引起的损失由乙方承担。</w:t>
            </w:r>
          </w:p>
          <w:p w14:paraId="6ACEB863">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4.1乙方的主要人员、机械设备及流动资金不能按时到位的，严重制约了工程的施工；</w:t>
            </w:r>
          </w:p>
          <w:p w14:paraId="17D2467E">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4.2进度滞后该工程总体进度计划的10％或落到工程管理曲线下线以下的；</w:t>
            </w:r>
          </w:p>
          <w:p w14:paraId="6AF7940A">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4.3不按施工技术规范和标准要求施工，造成工程质量低劣的达不到验收标准的；</w:t>
            </w:r>
          </w:p>
          <w:p w14:paraId="07BEE7C1">
            <w:pP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4.4不遵守甲方的管理，不能服从采购人和监理人的指令，造成工程不能管理无法推进。</w:t>
            </w:r>
          </w:p>
          <w:p w14:paraId="6F05282B">
            <w:pPr>
              <w:spacing w:line="440" w:lineRule="exact"/>
              <w:ind w:firstLine="42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5.乙方应按本合同规定的工期及质量要求完成，否则应偿付给甲方10000元/天的逾期违约金，并承担甲方项目部延期完成任务以后后续发生的管理费用，限额为 5％本合同的签约合同价。</w:t>
            </w:r>
          </w:p>
        </w:tc>
      </w:tr>
      <w:tr w14:paraId="26C8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7" w:type="pct"/>
            <w:tcBorders>
              <w:bottom w:val="single" w:color="auto" w:sz="4" w:space="0"/>
            </w:tcBorders>
            <w:vAlign w:val="center"/>
          </w:tcPr>
          <w:p w14:paraId="117702BE">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w:t>
            </w:r>
          </w:p>
        </w:tc>
        <w:tc>
          <w:tcPr>
            <w:tcW w:w="1062" w:type="pct"/>
            <w:tcBorders>
              <w:bottom w:val="single" w:color="auto" w:sz="4" w:space="0"/>
            </w:tcBorders>
            <w:shd w:val="clear" w:color="auto" w:fill="auto"/>
            <w:vAlign w:val="center"/>
          </w:tcPr>
          <w:p w14:paraId="4A8F6263">
            <w:pP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最高投标限价</w:t>
            </w:r>
          </w:p>
        </w:tc>
        <w:tc>
          <w:tcPr>
            <w:tcW w:w="3590" w:type="pct"/>
            <w:tcBorders>
              <w:bottom w:val="single" w:color="auto" w:sz="4" w:space="0"/>
            </w:tcBorders>
            <w:shd w:val="clear" w:color="auto" w:fill="auto"/>
            <w:vAlign w:val="top"/>
          </w:tcPr>
          <w:p w14:paraId="7B417925">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本</w:t>
            </w:r>
            <w:r>
              <w:rPr>
                <w:rFonts w:hint="eastAsia" w:ascii="宋体" w:hAnsi="宋体" w:eastAsia="宋体" w:cs="宋体"/>
                <w:b/>
                <w:bCs/>
                <w:color w:val="000000" w:themeColor="text1"/>
                <w:sz w:val="21"/>
                <w:szCs w:val="21"/>
                <w:highlight w:val="none"/>
                <w14:textFill>
                  <w14:solidFill>
                    <w14:schemeClr w14:val="tx1"/>
                  </w14:solidFill>
                </w14:textFill>
              </w:rPr>
              <w:t>项目</w:t>
            </w:r>
            <w:r>
              <w:rPr>
                <w:rFonts w:hint="eastAsia" w:ascii="宋体" w:hAnsi="宋体" w:cs="宋体"/>
                <w:b/>
                <w:bCs/>
                <w:color w:val="000000" w:themeColor="text1"/>
                <w:sz w:val="21"/>
                <w:szCs w:val="21"/>
                <w:highlight w:val="none"/>
                <w:lang w:val="en-US" w:eastAsia="zh-CN"/>
                <w14:textFill>
                  <w14:solidFill>
                    <w14:schemeClr w14:val="tx1"/>
                  </w14:solidFill>
                </w14:textFill>
              </w:rPr>
              <w:t>设置报价总价</w:t>
            </w:r>
            <w:r>
              <w:rPr>
                <w:rFonts w:hint="eastAsia" w:ascii="宋体" w:hAnsi="宋体" w:eastAsia="宋体" w:cs="宋体"/>
                <w:b/>
                <w:bCs/>
                <w:color w:val="000000" w:themeColor="text1"/>
                <w:sz w:val="21"/>
                <w:szCs w:val="21"/>
                <w:highlight w:val="none"/>
                <w14:textFill>
                  <w14:solidFill>
                    <w14:schemeClr w14:val="tx1"/>
                  </w14:solidFill>
                </w14:textFill>
              </w:rPr>
              <w:t>最高限价：</w:t>
            </w:r>
            <w:r>
              <w:rPr>
                <w:rFonts w:hint="eastAsia" w:ascii="宋体" w:hAnsi="宋体"/>
                <w:b/>
                <w:bCs/>
                <w:color w:val="000000" w:themeColor="text1"/>
                <w:szCs w:val="21"/>
                <w:highlight w:val="none"/>
                <w:u w:val="single"/>
                <w:lang w:val="en-US" w:eastAsia="zh-CN"/>
                <w14:textFill>
                  <w14:solidFill>
                    <w14:schemeClr w14:val="tx1"/>
                  </w14:solidFill>
                </w14:textFill>
              </w:rPr>
              <w:t>3926080.48</w:t>
            </w:r>
            <w:r>
              <w:rPr>
                <w:rFonts w:hint="eastAsia" w:ascii="宋体" w:hAnsi="宋体"/>
                <w:b/>
                <w:bCs/>
                <w:color w:val="000000" w:themeColor="text1"/>
                <w:szCs w:val="21"/>
                <w:highlight w:val="none"/>
                <w14:textFill>
                  <w14:solidFill>
                    <w14:schemeClr w14:val="tx1"/>
                  </w14:solidFill>
                </w14:textFill>
              </w:rPr>
              <w:t>元</w:t>
            </w:r>
            <w:r>
              <w:rPr>
                <w:rFonts w:hint="eastAsia" w:ascii="宋体" w:hAnsi="宋体"/>
                <w:b/>
                <w:bCs/>
                <w:color w:val="000000" w:themeColor="text1"/>
                <w:szCs w:val="21"/>
                <w:highlight w:val="none"/>
                <w:lang w:val="en-US" w:eastAsia="zh-CN"/>
                <w14:textFill>
                  <w14:solidFill>
                    <w14:schemeClr w14:val="tx1"/>
                  </w14:solidFill>
                </w14:textFill>
              </w:rPr>
              <w:t>，一标段限价：1743516.52元；二标段限价：2182563.96元；</w:t>
            </w:r>
            <w:r>
              <w:rPr>
                <w:rFonts w:hint="eastAsia" w:ascii="宋体" w:hAnsi="宋体"/>
                <w:b/>
                <w:bCs/>
                <w:color w:val="000000" w:themeColor="text1"/>
                <w:szCs w:val="21"/>
                <w:highlight w:val="none"/>
                <w14:textFill>
                  <w14:solidFill>
                    <w14:schemeClr w14:val="tx1"/>
                  </w14:solidFill>
                </w14:textFill>
              </w:rPr>
              <w:t>其中安全文明施工费</w:t>
            </w:r>
            <w:r>
              <w:rPr>
                <w:rFonts w:hint="eastAsia" w:ascii="宋体" w:hAnsi="宋体"/>
                <w:b/>
                <w:bCs/>
                <w:color w:val="000000" w:themeColor="text1"/>
                <w:szCs w:val="21"/>
                <w:highlight w:val="none"/>
                <w:lang w:val="en-US" w:eastAsia="zh-CN"/>
                <w14:textFill>
                  <w14:solidFill>
                    <w14:schemeClr w14:val="tx1"/>
                  </w14:solidFill>
                </w14:textFill>
              </w:rPr>
              <w:t>78521.61</w:t>
            </w:r>
            <w:r>
              <w:rPr>
                <w:rFonts w:hint="eastAsia" w:ascii="黑体" w:hAnsi="宋体" w:eastAsia="黑体" w:cs="黑体"/>
                <w:b/>
                <w:bCs/>
                <w:i w:val="0"/>
                <w:iCs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b/>
                <w:bCs/>
                <w:color w:val="000000" w:themeColor="text1"/>
                <w:szCs w:val="21"/>
                <w:highlight w:val="none"/>
                <w:lang w:val="en-US" w:eastAsia="zh-CN"/>
                <w14:textFill>
                  <w14:solidFill>
                    <w14:schemeClr w14:val="tx1"/>
                  </w14:solidFill>
                </w14:textFill>
              </w:rPr>
              <w:t>元；一标段34870.00元；二标段43651.28元；（安全生产费比例不可竞争性调整；比例为报价合计金额的2%；据实结算；）</w:t>
            </w:r>
            <w:r>
              <w:rPr>
                <w:rFonts w:hint="eastAsia" w:ascii="宋体" w:hAnsi="宋体" w:cs="宋体"/>
                <w:b/>
                <w:bCs/>
                <w:color w:val="000000" w:themeColor="text1"/>
                <w:sz w:val="21"/>
                <w:szCs w:val="21"/>
                <w:highlight w:val="none"/>
                <w:u w:val="none"/>
                <w:lang w:eastAsia="zh-CN"/>
                <w14:textFill>
                  <w14:solidFill>
                    <w14:schemeClr w14:val="tx1"/>
                  </w14:solidFill>
                </w14:textFill>
              </w:rPr>
              <w:t>，</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41ECB144">
            <w:pPr>
              <w:spacing w:line="400" w:lineRule="exact"/>
              <w:ind w:firstLine="422" w:firstLineChars="200"/>
              <w:rPr>
                <w:rFonts w:hint="default" w:ascii="宋体" w:hAnsi="宋体" w:eastAsia="宋体" w:cs="宋体"/>
                <w:b/>
                <w:bCs/>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注：本项目安全生产费，报价人报价时，只能按照竞争性比选文件公布的价格进行填报，不得浮动，否则视为不符合竞争性比选文件规定。报价人所报</w:t>
            </w:r>
            <w:r>
              <w:rPr>
                <w:rFonts w:hint="eastAsia" w:ascii="宋体" w:hAnsi="宋体" w:cs="宋体"/>
                <w:b/>
                <w:color w:val="000000" w:themeColor="text1"/>
                <w:sz w:val="21"/>
                <w:szCs w:val="21"/>
                <w:highlight w:val="none"/>
                <w:lang w:val="en-US" w:eastAsia="zh-CN"/>
                <w14:textFill>
                  <w14:solidFill>
                    <w14:schemeClr w14:val="tx1"/>
                  </w14:solidFill>
                </w14:textFill>
              </w:rPr>
              <w:t>报价均</w:t>
            </w:r>
            <w:r>
              <w:rPr>
                <w:rFonts w:hint="eastAsia" w:ascii="宋体" w:hAnsi="宋体" w:eastAsia="宋体" w:cs="宋体"/>
                <w:b/>
                <w:color w:val="000000" w:themeColor="text1"/>
                <w:sz w:val="21"/>
                <w:szCs w:val="21"/>
                <w:highlight w:val="none"/>
                <w14:textFill>
                  <w14:solidFill>
                    <w14:schemeClr w14:val="tx1"/>
                  </w14:solidFill>
                </w14:textFill>
              </w:rPr>
              <w:t>不得超过采购人发布的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限价，若有报价高于采购人发布的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限价，其竞争性比选响应文件视为重大偏差，竞争性比选响应文件将按否决报价处理</w:t>
            </w:r>
            <w:r>
              <w:rPr>
                <w:rFonts w:hint="eastAsia" w:ascii="宋体" w:hAnsi="宋体" w:eastAsia="宋体" w:cs="宋体"/>
                <w:b/>
                <w:bCs/>
                <w:color w:val="000000" w:themeColor="text1"/>
                <w:kern w:val="0"/>
                <w:sz w:val="21"/>
                <w:szCs w:val="21"/>
                <w:highlight w:val="none"/>
                <w14:textFill>
                  <w14:solidFill>
                    <w14:schemeClr w14:val="tx1"/>
                  </w14:solidFill>
                </w14:textFill>
              </w:rPr>
              <w:t>。</w:t>
            </w:r>
          </w:p>
        </w:tc>
      </w:tr>
      <w:tr w14:paraId="0640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47" w:type="pct"/>
            <w:tcBorders>
              <w:bottom w:val="single" w:color="auto" w:sz="4" w:space="0"/>
            </w:tcBorders>
            <w:vAlign w:val="center"/>
          </w:tcPr>
          <w:p w14:paraId="7E7FFD5A">
            <w:pP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w:t>
            </w:r>
          </w:p>
        </w:tc>
        <w:tc>
          <w:tcPr>
            <w:tcW w:w="1062" w:type="pct"/>
            <w:tcBorders>
              <w:bottom w:val="single" w:color="auto" w:sz="4" w:space="0"/>
            </w:tcBorders>
            <w:shd w:val="clear" w:color="auto" w:fill="auto"/>
            <w:vAlign w:val="center"/>
          </w:tcPr>
          <w:p w14:paraId="511B6EC6">
            <w:pP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合同支付办法</w:t>
            </w:r>
          </w:p>
        </w:tc>
        <w:tc>
          <w:tcPr>
            <w:tcW w:w="3590" w:type="pct"/>
            <w:tcBorders>
              <w:bottom w:val="single" w:color="auto" w:sz="4" w:space="0"/>
            </w:tcBorders>
            <w:shd w:val="clear" w:color="auto" w:fill="auto"/>
            <w:vAlign w:val="top"/>
          </w:tcPr>
          <w:p w14:paraId="3454EC95">
            <w:pPr>
              <w:pStyle w:val="42"/>
              <w:keepNext w:val="0"/>
              <w:keepLines w:val="0"/>
              <w:pageBreakBefore w:val="0"/>
              <w:widowControl w:val="0"/>
              <w:kinsoku/>
              <w:wordWrap/>
              <w:overflowPunct/>
              <w:topLinePunct w:val="0"/>
              <w:autoSpaceDE/>
              <w:autoSpaceDN/>
              <w:bidi w:val="0"/>
              <w:adjustRightInd/>
              <w:snapToGrid/>
              <w:spacing w:after="0" w:line="400" w:lineRule="exact"/>
              <w:ind w:left="0" w:leftChars="0" w:firstLine="400" w:firstLineChars="200"/>
              <w:textAlignment w:val="auto"/>
              <w:rPr>
                <w:rFonts w:hint="default" w:ascii="Times New Roman" w:hAnsi="Times New Roman" w:eastAsia="宋体" w:cs="Times New Roman"/>
                <w:color w:val="000000" w:themeColor="text1"/>
                <w:kern w:val="0"/>
                <w:sz w:val="20"/>
                <w:szCs w:val="24"/>
                <w:highlight w:val="none"/>
                <w:lang w:val="en-US" w:eastAsia="zh-CN" w:bidi="ar-SA"/>
                <w14:textFill>
                  <w14:solidFill>
                    <w14:schemeClr w14:val="tx1"/>
                  </w14:solidFill>
                </w14:textFill>
              </w:rPr>
            </w:pPr>
            <w:r>
              <w:rPr>
                <w:rFonts w:hint="default"/>
                <w:color w:val="000000" w:themeColor="text1"/>
                <w:highlight w:val="none"/>
                <w14:textFill>
                  <w14:solidFill>
                    <w14:schemeClr w14:val="tx1"/>
                  </w14:solidFill>
                </w14:textFill>
              </w:rPr>
              <w:t>工程开工日一个月内向承包人支付至少50%企业安全生产费用。安全生产费按实结算。工程竣工结算后结余的企业安全生产费用，应当退回发包人。按照合同清单工程量及工作任务包干、未实施部分按清单单价扣减的计量支付原则，开工后每季度支付一次，乙方向甲方提交相应的维护资料和支付资料，经甲方验收后将维护费用支付给乙方。乙方应于甲方每次付款（预付款除外）前提供等额增值税专用发票给甲方。</w:t>
            </w:r>
          </w:p>
        </w:tc>
      </w:tr>
      <w:tr w14:paraId="0789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7" w:type="pct"/>
            <w:vAlign w:val="center"/>
          </w:tcPr>
          <w:p w14:paraId="049211D7">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19</w:t>
            </w:r>
          </w:p>
        </w:tc>
        <w:tc>
          <w:tcPr>
            <w:tcW w:w="1062" w:type="pct"/>
          </w:tcPr>
          <w:p w14:paraId="4365245B">
            <w:pP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中标候选人的人数</w:t>
            </w:r>
          </w:p>
        </w:tc>
        <w:tc>
          <w:tcPr>
            <w:tcW w:w="3590" w:type="pct"/>
            <w:vAlign w:val="center"/>
          </w:tcPr>
          <w:p w14:paraId="13DE846F">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推荐的中标候选人数：2名。</w:t>
            </w:r>
          </w:p>
        </w:tc>
      </w:tr>
      <w:tr w14:paraId="37C5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7" w:type="pct"/>
            <w:vAlign w:val="center"/>
          </w:tcPr>
          <w:p w14:paraId="30FEFAF6">
            <w:pPr>
              <w:pStyle w:val="149"/>
              <w:spacing w:line="400" w:lineRule="exact"/>
              <w:jc w:val="center"/>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20</w:t>
            </w:r>
          </w:p>
        </w:tc>
        <w:tc>
          <w:tcPr>
            <w:tcW w:w="1062" w:type="pct"/>
            <w:vAlign w:val="center"/>
          </w:tcPr>
          <w:p w14:paraId="7E378514">
            <w:pPr>
              <w:pStyle w:val="149"/>
              <w:spacing w:line="400" w:lineRule="exact"/>
              <w:jc w:val="center"/>
              <w:rPr>
                <w:rFonts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保证金</w:t>
            </w:r>
          </w:p>
        </w:tc>
        <w:tc>
          <w:tcPr>
            <w:tcW w:w="3590" w:type="pct"/>
            <w:vAlign w:val="center"/>
          </w:tcPr>
          <w:p w14:paraId="4EAA78F7">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一、投标保证金</w:t>
            </w:r>
          </w:p>
          <w:p w14:paraId="2548D81E">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报价人是否提供投标保证金：是</w:t>
            </w:r>
          </w:p>
          <w:p w14:paraId="37B08B56">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1、报价人须缴纳投标保证金</w:t>
            </w:r>
            <w:r>
              <w:rPr>
                <w:rFonts w:hint="eastAsia" w:hAnsi="宋体"/>
                <w:color w:val="000000" w:themeColor="text1"/>
                <w:sz w:val="21"/>
                <w:szCs w:val="21"/>
                <w:highlight w:val="none"/>
                <w:lang w:eastAsia="zh-CN"/>
                <w14:textFill>
                  <w14:solidFill>
                    <w14:schemeClr w14:val="tx1"/>
                  </w14:solidFill>
                </w14:textFill>
              </w:rPr>
              <w:t>1</w:t>
            </w:r>
            <w:r>
              <w:rPr>
                <w:rFonts w:hint="eastAsia" w:hAnsi="宋体"/>
                <w:color w:val="000000" w:themeColor="text1"/>
                <w:sz w:val="21"/>
                <w:szCs w:val="21"/>
                <w:highlight w:val="none"/>
                <w:lang w:val="en-US" w:eastAsia="zh-CN"/>
                <w14:textFill>
                  <w14:solidFill>
                    <w14:schemeClr w14:val="tx1"/>
                  </w14:solidFill>
                </w14:textFill>
              </w:rPr>
              <w:t>0000.00</w:t>
            </w:r>
            <w:r>
              <w:rPr>
                <w:rFonts w:hint="eastAsia" w:hAnsi="宋体"/>
                <w:color w:val="000000" w:themeColor="text1"/>
                <w:sz w:val="21"/>
                <w:szCs w:val="21"/>
                <w:highlight w:val="none"/>
                <w14:textFill>
                  <w14:solidFill>
                    <w14:schemeClr w14:val="tx1"/>
                  </w14:solidFill>
                </w14:textFill>
              </w:rPr>
              <w:t>元，由报价人从公司基本账户将投标保证金汇至以下指定账户：</w:t>
            </w:r>
          </w:p>
          <w:p w14:paraId="2004300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保证金到账截止时间：开标截止时间前；</w:t>
            </w:r>
          </w:p>
          <w:p w14:paraId="7520A6B8">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3C101E51">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转款备注：             （项目名称）投标保证金（项目名称可简写）。</w:t>
            </w:r>
          </w:p>
          <w:p w14:paraId="7F3D5CC9">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2、投标保证金退还方式</w:t>
            </w:r>
          </w:p>
          <w:p w14:paraId="44C4420F">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B5779B2">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未中标报价人的投标保证金，于该项目结果公示期结束，未中标报价人按要求提供资料后15个工作日内无息退还至报价人基本账户。</w:t>
            </w:r>
          </w:p>
          <w:p w14:paraId="21AFD0E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中标人的投标保证金，自合同签订后，中标报价人按要求提供资料15个工作日内无息退还至中标人基本账户。</w:t>
            </w:r>
          </w:p>
          <w:p w14:paraId="5AA9E754">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14:textFill>
                  <w14:solidFill>
                    <w14:schemeClr w14:val="tx1"/>
                  </w14:solidFill>
                </w14:textFill>
              </w:rPr>
              <w:t>二、履约保证金</w:t>
            </w:r>
          </w:p>
          <w:p w14:paraId="7658667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b w:val="0"/>
                <w:bCs w:val="0"/>
                <w:color w:val="000000" w:themeColor="text1"/>
                <w:kern w:val="2"/>
                <w:sz w:val="21"/>
                <w:szCs w:val="21"/>
                <w:highlight w:val="none"/>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p>
          <w:p w14:paraId="4E736FE3">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1、</w:t>
            </w:r>
            <w:r>
              <w:rPr>
                <w:rFonts w:hint="default" w:hAnsi="宋体"/>
                <w:color w:val="000000" w:themeColor="text1"/>
                <w:kern w:val="2"/>
                <w:sz w:val="21"/>
                <w:szCs w:val="21"/>
                <w:highlight w:val="none"/>
                <w:lang w:val="en-US" w:eastAsia="zh-CN"/>
                <w14:textFill>
                  <w14:solidFill>
                    <w14:schemeClr w14:val="tx1"/>
                  </w14:solidFill>
                </w14:textFill>
              </w:rPr>
              <w:t>履约</w:t>
            </w:r>
            <w:r>
              <w:rPr>
                <w:rFonts w:hint="eastAsia" w:hAnsi="宋体"/>
                <w:color w:val="000000" w:themeColor="text1"/>
                <w:kern w:val="2"/>
                <w:sz w:val="21"/>
                <w:szCs w:val="21"/>
                <w:highlight w:val="none"/>
                <w:lang w:val="en-US" w:eastAsia="zh-CN"/>
                <w14:textFill>
                  <w14:solidFill>
                    <w14:schemeClr w14:val="tx1"/>
                  </w14:solidFill>
                </w14:textFill>
              </w:rPr>
              <w:t>保证金</w:t>
            </w:r>
            <w:r>
              <w:rPr>
                <w:rFonts w:hint="default" w:hAnsi="宋体"/>
                <w:color w:val="000000" w:themeColor="text1"/>
                <w:kern w:val="2"/>
                <w:sz w:val="21"/>
                <w:szCs w:val="21"/>
                <w:highlight w:val="none"/>
                <w:lang w:val="en-US" w:eastAsia="zh-CN"/>
                <w14:textFill>
                  <w14:solidFill>
                    <w14:schemeClr w14:val="tx1"/>
                  </w14:solidFill>
                </w14:textFill>
              </w:rPr>
              <w:t>作为本</w:t>
            </w:r>
            <w:r>
              <w:rPr>
                <w:rFonts w:hint="eastAsia" w:hAnsi="宋体"/>
                <w:color w:val="000000" w:themeColor="text1"/>
                <w:kern w:val="2"/>
                <w:sz w:val="21"/>
                <w:szCs w:val="21"/>
                <w:highlight w:val="none"/>
                <w:lang w:val="en-US" w:eastAsia="zh-CN"/>
                <w14:textFill>
                  <w14:solidFill>
                    <w14:schemeClr w14:val="tx1"/>
                  </w14:solidFill>
                </w14:textFill>
              </w:rPr>
              <w:t>项目</w:t>
            </w:r>
            <w:r>
              <w:rPr>
                <w:rFonts w:hint="default" w:hAnsi="宋体"/>
                <w:color w:val="000000" w:themeColor="text1"/>
                <w:kern w:val="2"/>
                <w:sz w:val="21"/>
                <w:szCs w:val="21"/>
                <w:highlight w:val="none"/>
                <w:lang w:val="en-US" w:eastAsia="zh-CN"/>
                <w14:textFill>
                  <w14:solidFill>
                    <w14:schemeClr w14:val="tx1"/>
                  </w14:solidFill>
                </w14:textFill>
              </w:rPr>
              <w:t>合同附件</w:t>
            </w:r>
            <w:r>
              <w:rPr>
                <w:rFonts w:hint="eastAsia" w:hAnsi="宋体"/>
                <w:color w:val="000000" w:themeColor="text1"/>
                <w:kern w:val="2"/>
                <w:sz w:val="21"/>
                <w:szCs w:val="21"/>
                <w:highlight w:val="none"/>
                <w:lang w:val="en-US" w:eastAsia="zh-CN"/>
                <w14:textFill>
                  <w14:solidFill>
                    <w14:schemeClr w14:val="tx1"/>
                  </w14:solidFill>
                </w14:textFill>
              </w:rPr>
              <w:t>。</w:t>
            </w:r>
          </w:p>
          <w:p w14:paraId="5FD5B964">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2、履约保证金的金额：</w:t>
            </w:r>
            <w:r>
              <w:rPr>
                <w:rFonts w:hint="eastAsia" w:hAnsi="宋体"/>
                <w:color w:val="000000" w:themeColor="text1"/>
                <w:kern w:val="2"/>
                <w:sz w:val="21"/>
                <w:szCs w:val="21"/>
                <w:highlight w:val="none"/>
                <w:u w:val="single"/>
                <w:lang w:val="en-US" w:eastAsia="zh-CN"/>
                <w14:textFill>
                  <w14:solidFill>
                    <w14:schemeClr w14:val="tx1"/>
                  </w14:solidFill>
                </w14:textFill>
              </w:rPr>
              <w:t>中标金额的5%</w:t>
            </w:r>
            <w:r>
              <w:rPr>
                <w:rFonts w:hint="eastAsia" w:hAnsi="宋体"/>
                <w:color w:val="000000" w:themeColor="text1"/>
                <w:kern w:val="2"/>
                <w:sz w:val="21"/>
                <w:szCs w:val="21"/>
                <w:highlight w:val="none"/>
                <w:lang w:val="en-US" w:eastAsia="zh-CN"/>
                <w14:textFill>
                  <w14:solidFill>
                    <w14:schemeClr w14:val="tx1"/>
                  </w14:solidFill>
                </w14:textFill>
              </w:rPr>
              <w:t>。</w:t>
            </w:r>
          </w:p>
          <w:p w14:paraId="4AEADC5D">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3、履约保证金有效期：自双方签订的合同文件生效之日起，至合同约定的工作验收完成止。</w:t>
            </w:r>
          </w:p>
          <w:p w14:paraId="6555D8B8">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4、履约保证金缴纳方式：现金或保函</w:t>
            </w:r>
          </w:p>
          <w:p w14:paraId="387ED7AC">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5、履约保证金的提交：在甲方发出中标通知书后5个工作日内，中标人向采购人提供履约保证金</w:t>
            </w:r>
            <w:r>
              <w:rPr>
                <w:rFonts w:hint="default" w:hAnsi="宋体"/>
                <w:color w:val="000000" w:themeColor="text1"/>
                <w:kern w:val="2"/>
                <w:sz w:val="21"/>
                <w:szCs w:val="21"/>
                <w:highlight w:val="none"/>
                <w:lang w:val="en-US" w:eastAsia="zh-CN"/>
                <w14:textFill>
                  <w14:solidFill>
                    <w14:schemeClr w14:val="tx1"/>
                  </w14:solidFill>
                </w14:textFill>
              </w:rPr>
              <w:t>缴纳凭证</w:t>
            </w:r>
            <w:r>
              <w:rPr>
                <w:rFonts w:hint="eastAsia" w:hAnsi="宋体"/>
                <w:color w:val="000000" w:themeColor="text1"/>
                <w:kern w:val="2"/>
                <w:sz w:val="21"/>
                <w:szCs w:val="21"/>
                <w:highlight w:val="none"/>
                <w:lang w:val="en-US" w:eastAsia="zh-CN"/>
                <w14:textFill>
                  <w14:solidFill>
                    <w14:schemeClr w14:val="tx1"/>
                  </w14:solidFill>
                </w14:textFill>
              </w:rPr>
              <w:t>。若缴纳现金的，</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则需</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备注</w:t>
            </w:r>
            <w:r>
              <w:rPr>
                <w:rFonts w:hint="eastAsia" w:ascii="宋体" w:hAnsi="宋体" w:eastAsia="宋体" w:cs="宋体"/>
                <w:i w:val="0"/>
                <w:cap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转款备注：</w:t>
            </w:r>
            <w:r>
              <w:rPr>
                <w:rFonts w:hint="eastAsia" w:cs="宋体"/>
                <w:color w:val="000000" w:themeColor="text1"/>
                <w:sz w:val="21"/>
                <w:szCs w:val="21"/>
                <w:highlight w:val="none"/>
                <w:u w:val="single"/>
                <w:lang w:val="en-US" w:eastAsia="zh-CN"/>
                <w14:textFill>
                  <w14:solidFill>
                    <w14:schemeClr w14:val="tx1"/>
                  </w14:solidFill>
                </w14:textFill>
              </w:rPr>
              <w:t>2026年重庆高速公路（水消防）专项维护项目（第二次）</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履约</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p>
          <w:p w14:paraId="3D13DB6B">
            <w:pPr>
              <w:keepNext w:val="0"/>
              <w:keepLines w:val="0"/>
              <w:suppressLineNumbers w:val="0"/>
              <w:spacing w:before="0" w:beforeAutospacing="0" w:after="0" w:afterAutospacing="0" w:line="400" w:lineRule="exact"/>
              <w:ind w:left="0" w:right="0"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6、若提供保函的：</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14:textFill>
                  <w14:solidFill>
                    <w14:schemeClr w14:val="tx1"/>
                  </w14:solidFill>
                </w14:textFill>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lang w:eastAsia="zh-CN"/>
                <w14:textFill>
                  <w14:solidFill>
                    <w14:schemeClr w14:val="tx1"/>
                  </w14:solidFill>
                </w14:textFill>
              </w:rPr>
              <w:t>保函应合法合规，符合招投标行政监督部门、行业主管部门和金融监管部门的相关规定，满足</w:t>
            </w:r>
            <w:r>
              <w:rPr>
                <w:rFonts w:hint="eastAsia" w:ascii="宋体" w:hAnsi="宋体" w:cs="宋体"/>
                <w:color w:val="000000" w:themeColor="text1"/>
                <w:kern w:val="0"/>
                <w:szCs w:val="21"/>
                <w:highlight w:val="none"/>
                <w:lang w:val="en-US" w:eastAsia="zh-CN"/>
                <w14:textFill>
                  <w14:solidFill>
                    <w14:schemeClr w14:val="tx1"/>
                  </w14:solidFill>
                </w14:textFill>
              </w:rPr>
              <w:t>竞争性比选文件</w:t>
            </w:r>
            <w:r>
              <w:rPr>
                <w:rFonts w:hint="eastAsia" w:ascii="宋体" w:hAnsi="宋体" w:eastAsia="宋体" w:cs="宋体"/>
                <w:color w:val="000000" w:themeColor="text1"/>
                <w:kern w:val="0"/>
                <w:szCs w:val="21"/>
                <w:highlight w:val="none"/>
                <w:lang w:eastAsia="zh-CN"/>
                <w14:textFill>
                  <w14:solidFill>
                    <w14:schemeClr w14:val="tx1"/>
                  </w14:solidFill>
                </w14:textFill>
              </w:rPr>
              <w:t>约定要求。</w:t>
            </w:r>
            <w:r>
              <w:rPr>
                <w:rFonts w:hint="eastAsia" w:ascii="宋体" w:hAnsi="宋体" w:eastAsia="宋体" w:cs="宋体"/>
                <w:color w:val="000000" w:themeColor="text1"/>
                <w:kern w:val="0"/>
                <w:szCs w:val="21"/>
                <w:highlight w:val="none"/>
                <w:lang w:val="en-US" w:eastAsia="zh-CN"/>
                <w14:textFill>
                  <w14:solidFill>
                    <w14:schemeClr w14:val="tx1"/>
                  </w14:solidFill>
                </w14:textFill>
              </w:rPr>
              <w:t>报价人对所提交的纸质投标保函的真实性、合法性、有效性负责。</w:t>
            </w:r>
          </w:p>
          <w:p w14:paraId="5AF6417D">
            <w:pPr>
              <w:pStyle w:val="149"/>
              <w:keepNext w:val="0"/>
              <w:keepLines w:val="0"/>
              <w:pageBreakBefore w:val="0"/>
              <w:widowControl w:val="0"/>
              <w:kinsoku/>
              <w:wordWrap/>
              <w:overflowPunct/>
              <w:topLinePunct w:val="0"/>
              <w:bidi w:val="0"/>
              <w:spacing w:line="360" w:lineRule="exact"/>
              <w:ind w:firstLine="420"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7、</w:t>
            </w:r>
            <w:r>
              <w:rPr>
                <w:rFonts w:hint="default" w:ascii="宋体" w:hAnsi="宋体" w:cs="宋体"/>
                <w:color w:val="000000" w:themeColor="text1"/>
                <w:kern w:val="2"/>
                <w:sz w:val="21"/>
                <w:szCs w:val="21"/>
                <w:highlight w:val="none"/>
                <w:lang w:val="en-US" w:eastAsia="zh-CN"/>
                <w14:textFill>
                  <w14:solidFill>
                    <w14:schemeClr w14:val="tx1"/>
                  </w14:solidFill>
                </w14:textFill>
              </w:rPr>
              <w:t>履约保证金退还：缴纳现金保函的，在完成合同约定的全部工作内容后28天后无息退还剩余部分。</w:t>
            </w:r>
          </w:p>
          <w:p w14:paraId="38A18921">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三、采购人指定的开户银行及账号如下：</w:t>
            </w:r>
          </w:p>
          <w:p w14:paraId="5914E824">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账户名称：重庆首讯科技股份有限公司</w:t>
            </w:r>
          </w:p>
          <w:p w14:paraId="7AD4174F">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开户银行：兴业银行重庆分行营业部</w:t>
            </w:r>
          </w:p>
          <w:p w14:paraId="2F22CE52">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帐    号：3460 1010 0100 4791 14</w:t>
            </w:r>
          </w:p>
          <w:p w14:paraId="2704AD8C">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s="宋体"/>
                <w:color w:val="000000" w:themeColor="text1"/>
                <w:highlight w:val="none"/>
                <w14:textFill>
                  <w14:solidFill>
                    <w14:schemeClr w14:val="tx1"/>
                  </w14:solidFill>
                </w14:textFill>
              </w:rPr>
            </w:pPr>
            <w:r>
              <w:rPr>
                <w:rFonts w:hint="eastAsia" w:hAnsi="宋体"/>
                <w:b/>
                <w:bCs/>
                <w:color w:val="000000" w:themeColor="text1"/>
                <w:kern w:val="2"/>
                <w:sz w:val="21"/>
                <w:szCs w:val="21"/>
                <w:highlight w:val="none"/>
                <w:lang w:val="en-US" w:eastAsia="zh-CN"/>
                <w14:textFill>
                  <w14:solidFill>
                    <w14:schemeClr w14:val="tx1"/>
                  </w14:solidFill>
                </w14:textFill>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231D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5A0D5961">
            <w:pPr>
              <w:pStyle w:val="149"/>
              <w:spacing w:line="400" w:lineRule="exact"/>
              <w:jc w:val="center"/>
              <w:rPr>
                <w:rFonts w:hint="eastAsia" w:hAnsi="宋体" w:eastAsia="宋体"/>
                <w:color w:val="000000" w:themeColor="text1"/>
                <w:sz w:val="21"/>
                <w:szCs w:val="21"/>
                <w:highlight w:val="none"/>
                <w:lang w:eastAsia="zh-CN"/>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w:t>
            </w:r>
            <w:r>
              <w:rPr>
                <w:rFonts w:hint="eastAsia" w:hAnsi="宋体"/>
                <w:color w:val="000000" w:themeColor="text1"/>
                <w:sz w:val="21"/>
                <w:szCs w:val="21"/>
                <w:highlight w:val="none"/>
                <w:lang w:val="en-US" w:eastAsia="zh-CN"/>
                <w14:textFill>
                  <w14:solidFill>
                    <w14:schemeClr w14:val="tx1"/>
                  </w14:solidFill>
                </w14:textFill>
              </w:rPr>
              <w:t>1</w:t>
            </w:r>
          </w:p>
        </w:tc>
        <w:tc>
          <w:tcPr>
            <w:tcW w:w="1062" w:type="pct"/>
            <w:vAlign w:val="center"/>
          </w:tcPr>
          <w:p w14:paraId="070D74BC">
            <w:pPr>
              <w:pStyle w:val="149"/>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p>
        </w:tc>
        <w:tc>
          <w:tcPr>
            <w:tcW w:w="3590" w:type="pct"/>
            <w:vAlign w:val="center"/>
          </w:tcPr>
          <w:p w14:paraId="70E86B89">
            <w:pPr>
              <w:pStyle w:val="149"/>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r>
              <w:rPr>
                <w:rFonts w:hint="eastAsia" w:ascii="宋体" w:hAnsi="宋体" w:cs="宋体"/>
                <w:color w:val="000000" w:themeColor="text1"/>
                <w:kern w:val="2"/>
                <w:sz w:val="21"/>
                <w:szCs w:val="21"/>
                <w:highlight w:val="none"/>
                <w14:textFill>
                  <w14:solidFill>
                    <w14:schemeClr w14:val="tx1"/>
                  </w14:solidFill>
                </w14:textFill>
              </w:rPr>
              <w:t>重庆首讯科技股份有限公司</w:t>
            </w:r>
            <w:r>
              <w:rPr>
                <w:rFonts w:hint="eastAsia" w:hAnsi="宋体" w:cs="宋体"/>
                <w:color w:val="000000" w:themeColor="text1"/>
                <w:kern w:val="2"/>
                <w:sz w:val="21"/>
                <w:szCs w:val="21"/>
                <w:highlight w:val="none"/>
                <w:lang w:val="en-US" w:eastAsia="zh-CN"/>
                <w14:textFill>
                  <w14:solidFill>
                    <w14:schemeClr w14:val="tx1"/>
                  </w14:solidFill>
                </w14:textFill>
              </w:rPr>
              <w:t>数智系统运维分公司综合管理部</w:t>
            </w:r>
          </w:p>
          <w:p w14:paraId="4515470B">
            <w:pPr>
              <w:pStyle w:val="149"/>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地    址</w:t>
            </w:r>
            <w:r>
              <w:rPr>
                <w:rFonts w:hint="eastAsia" w:hAnsi="宋体"/>
                <w:color w:val="000000" w:themeColor="text1"/>
                <w:kern w:val="2"/>
                <w:sz w:val="21"/>
                <w:szCs w:val="21"/>
                <w:highlight w:val="none"/>
                <w:lang w:eastAsia="zh-CN"/>
                <w14:textFill>
                  <w14:solidFill>
                    <w14:schemeClr w14:val="tx1"/>
                  </w14:solidFill>
                </w14:textFill>
              </w:rPr>
              <w:t>：</w:t>
            </w:r>
            <w:r>
              <w:rPr>
                <w:rFonts w:hint="eastAsia" w:hAnsi="宋体"/>
                <w:color w:val="000000" w:themeColor="text1"/>
                <w:kern w:val="2"/>
                <w:sz w:val="21"/>
                <w:szCs w:val="21"/>
                <w:highlight w:val="none"/>
                <w:lang w:val="en-US" w:eastAsia="zh-CN"/>
                <w14:textFill>
                  <w14:solidFill>
                    <w14:schemeClr w14:val="tx1"/>
                  </w14:solidFill>
                </w14:textFill>
              </w:rPr>
              <w:t>重庆市南岸区南坪镇广黔路重庆首讯科技股份有限公司</w:t>
            </w:r>
          </w:p>
          <w:p w14:paraId="0D6EFDD5">
            <w:pPr>
              <w:pStyle w:val="149"/>
              <w:spacing w:line="400" w:lineRule="exact"/>
              <w:ind w:firstLine="420" w:firstLineChars="200"/>
              <w:rPr>
                <w:rFonts w:hint="default" w:hAnsi="宋体"/>
                <w:color w:val="000000" w:themeColor="text1"/>
                <w:sz w:val="21"/>
                <w:szCs w:val="21"/>
                <w:highlight w:val="none"/>
                <w:lang w:val="en-US"/>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电    话：</w:t>
            </w:r>
            <w:r>
              <w:rPr>
                <w:rFonts w:hint="eastAsia" w:hAnsi="宋体"/>
                <w:color w:val="000000" w:themeColor="text1"/>
                <w:kern w:val="2"/>
                <w:sz w:val="21"/>
                <w:szCs w:val="21"/>
                <w:highlight w:val="none"/>
                <w:lang w:val="en-US" w:eastAsia="zh-CN"/>
                <w14:textFill>
                  <w14:solidFill>
                    <w14:schemeClr w14:val="tx1"/>
                  </w14:solidFill>
                </w14:textFill>
              </w:rPr>
              <w:t>023-86325020</w:t>
            </w:r>
          </w:p>
        </w:tc>
      </w:tr>
      <w:tr w14:paraId="4984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0E77199A">
            <w:pPr>
              <w:pStyle w:val="149"/>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22</w:t>
            </w:r>
          </w:p>
        </w:tc>
        <w:tc>
          <w:tcPr>
            <w:tcW w:w="1062" w:type="pct"/>
            <w:vAlign w:val="center"/>
          </w:tcPr>
          <w:p w14:paraId="247FFF84">
            <w:pPr>
              <w:pStyle w:val="149"/>
              <w:keepNext w:val="0"/>
              <w:keepLines w:val="0"/>
              <w:pageBreakBefore w:val="0"/>
              <w:kinsoku/>
              <w:wordWrap/>
              <w:overflowPunct/>
              <w:bidi w:val="0"/>
              <w:spacing w:line="360" w:lineRule="exact"/>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竞争性比选响应文件的组成</w:t>
            </w:r>
          </w:p>
        </w:tc>
        <w:tc>
          <w:tcPr>
            <w:tcW w:w="3590" w:type="pct"/>
            <w:vAlign w:val="center"/>
          </w:tcPr>
          <w:p w14:paraId="19A40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竞争性比选响应文件提交正本1份，副本1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14:paraId="0FB81E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6CA9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3.密封要求：竞争性比选响应文件密封到一个封袋中。</w:t>
            </w:r>
          </w:p>
          <w:p w14:paraId="52DE7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4.竞争性比选响应文件的标记</w:t>
            </w:r>
          </w:p>
          <w:p w14:paraId="3ED45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应在 “竞争性比选响应文件”封袋写明以下内容：</w:t>
            </w:r>
          </w:p>
          <w:p w14:paraId="2B1CF4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采购人名称：</w:t>
            </w:r>
          </w:p>
          <w:p w14:paraId="02804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 xml:space="preserve">          （项目名称）                响应文件</w:t>
            </w:r>
          </w:p>
          <w:p w14:paraId="74A5B2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报价人名称：           （加盖报价人单位公章）</w:t>
            </w:r>
          </w:p>
          <w:p w14:paraId="535CEB94">
            <w:pPr>
              <w:pStyle w:val="149"/>
              <w:keepNext w:val="0"/>
              <w:keepLines w:val="0"/>
              <w:pageBreakBefore w:val="0"/>
              <w:widowControl w:val="0"/>
              <w:kinsoku/>
              <w:wordWrap w:val="0"/>
              <w:overflowPunct/>
              <w:topLinePunct w:val="0"/>
              <w:autoSpaceDE w:val="0"/>
              <w:autoSpaceDN w:val="0"/>
              <w:bidi w:val="0"/>
              <w:adjustRightInd w:val="0"/>
              <w:snapToGrid/>
              <w:spacing w:line="360" w:lineRule="exact"/>
              <w:ind w:firstLine="482" w:firstLineChars="200"/>
              <w:jc w:val="both"/>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在  年  月  日  时  分（同报价截止时间）前不得开启</w:t>
            </w:r>
          </w:p>
        </w:tc>
      </w:tr>
      <w:tr w14:paraId="279E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47" w:type="pct"/>
            <w:vAlign w:val="center"/>
          </w:tcPr>
          <w:p w14:paraId="5DD6C216">
            <w:pPr>
              <w:pStyle w:val="149"/>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23</w:t>
            </w:r>
          </w:p>
        </w:tc>
        <w:tc>
          <w:tcPr>
            <w:tcW w:w="1062" w:type="pct"/>
            <w:vAlign w:val="center"/>
          </w:tcPr>
          <w:p w14:paraId="749D7D6F">
            <w:pPr>
              <w:keepNext w:val="0"/>
              <w:keepLines w:val="0"/>
              <w:pageBreakBefore w:val="0"/>
              <w:kinsoku/>
              <w:wordWrap/>
              <w:overflowPunct/>
              <w:bidi w:val="0"/>
              <w:spacing w:line="360" w:lineRule="exact"/>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中标候选人公示</w:t>
            </w:r>
          </w:p>
        </w:tc>
        <w:tc>
          <w:tcPr>
            <w:tcW w:w="3590" w:type="pct"/>
            <w:vAlign w:val="center"/>
          </w:tcPr>
          <w:p w14:paraId="7213F87C">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评标结果将在</w:t>
            </w:r>
            <w:r>
              <w:rPr>
                <w:rFonts w:hint="eastAsia" w:ascii="宋体" w:hAnsi="宋体"/>
                <w:color w:val="000000" w:themeColor="text1"/>
                <w:szCs w:val="21"/>
                <w:highlight w:val="none"/>
                <w14:textFill>
                  <w14:solidFill>
                    <w14:schemeClr w14:val="tx1"/>
                  </w14:solidFill>
                </w14:textFill>
              </w:rPr>
              <w:t>重庆高速集团官网</w:t>
            </w:r>
            <w:r>
              <w:rPr>
                <w:rFonts w:hint="eastAsia" w:ascii="宋体" w:hAnsi="宋体" w:eastAsia="宋体" w:cs="宋体"/>
                <w:color w:val="000000" w:themeColor="text1"/>
                <w:sz w:val="21"/>
                <w:szCs w:val="21"/>
                <w:highlight w:val="none"/>
                <w14:textFill>
                  <w14:solidFill>
                    <w14:schemeClr w14:val="tx1"/>
                  </w14:solidFill>
                </w14:textFill>
              </w:rPr>
              <w:t>上进行公示，公示期为3日。公示内容包括中标候选人名称、排序、投标报价；提出异议、投诉的渠道和方式。</w:t>
            </w:r>
          </w:p>
        </w:tc>
      </w:tr>
      <w:tr w14:paraId="60DA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6B1EA510">
            <w:pPr>
              <w:pStyle w:val="149"/>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bidi="ar-SA"/>
                <w14:textFill>
                  <w14:solidFill>
                    <w14:schemeClr w14:val="tx1"/>
                  </w14:solidFill>
                </w14:textFill>
              </w:rPr>
              <w:t>24</w:t>
            </w:r>
          </w:p>
        </w:tc>
        <w:tc>
          <w:tcPr>
            <w:tcW w:w="1062" w:type="pct"/>
            <w:vAlign w:val="center"/>
          </w:tcPr>
          <w:p w14:paraId="36F7CB0F">
            <w:pPr>
              <w:keepNext w:val="0"/>
              <w:keepLines w:val="0"/>
              <w:pageBreakBefore w:val="0"/>
              <w:kinsoku/>
              <w:wordWrap w:val="0"/>
              <w:overflowPunct/>
              <w:topLinePunct w:val="0"/>
              <w:bidi w:val="0"/>
              <w:adjustRightInd w:val="0"/>
              <w:snapToGrid w:val="0"/>
              <w:spacing w:line="420" w:lineRule="exact"/>
              <w:ind w:left="0" w:leftChars="0"/>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确定中标人</w:t>
            </w:r>
          </w:p>
        </w:tc>
        <w:tc>
          <w:tcPr>
            <w:tcW w:w="3590" w:type="pct"/>
            <w:vAlign w:val="center"/>
          </w:tcPr>
          <w:p w14:paraId="0EB7FC8D">
            <w:pPr>
              <w:keepNext w:val="0"/>
              <w:keepLines w:val="0"/>
              <w:pageBreakBefore w:val="0"/>
              <w:kinsoku/>
              <w:wordWrap w:val="0"/>
              <w:overflowPunct/>
              <w:topLinePunct w:val="0"/>
              <w:bidi w:val="0"/>
              <w:spacing w:line="420" w:lineRule="exact"/>
              <w:ind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中标候选人公示</w:t>
            </w:r>
            <w:r>
              <w:rPr>
                <w:rFonts w:hint="eastAsia" w:ascii="宋体" w:hAnsi="宋体" w:eastAsia="宋体" w:cs="宋体"/>
                <w:b w:val="0"/>
                <w:color w:val="000000" w:themeColor="text1"/>
                <w:sz w:val="21"/>
                <w:szCs w:val="21"/>
                <w:highlight w:val="none"/>
                <w14:textFill>
                  <w14:solidFill>
                    <w14:schemeClr w14:val="tx1"/>
                  </w14:solidFill>
                </w14:textFill>
              </w:rPr>
              <w:t>结束且无异议的，</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确定排名第一的中标候选人为中标人。</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不得在中标候选人之外确定中标人。</w:t>
            </w:r>
          </w:p>
          <w:p w14:paraId="51219B41">
            <w:pPr>
              <w:keepNext w:val="0"/>
              <w:keepLines w:val="0"/>
              <w:pageBreakBefore w:val="0"/>
              <w:kinsoku/>
              <w:wordWrap w:val="0"/>
              <w:overflowPunct/>
              <w:topLinePunct w:val="0"/>
              <w:bidi w:val="0"/>
              <w:spacing w:line="420" w:lineRule="exact"/>
              <w:ind w:left="0"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2.排名第一的中标候选人放弃中标、因不可抗力不能签订合同、不按照</w:t>
            </w:r>
            <w:r>
              <w:rPr>
                <w:rFonts w:hint="eastAsia" w:ascii="宋体" w:hAnsi="宋体" w:cs="宋体"/>
                <w:b w:val="0"/>
                <w:color w:val="000000" w:themeColor="text1"/>
                <w:sz w:val="21"/>
                <w:szCs w:val="21"/>
                <w:highlight w:val="none"/>
                <w:lang w:val="en-US" w:eastAsia="zh-CN"/>
                <w14:textFill>
                  <w14:solidFill>
                    <w14:schemeClr w14:val="tx1"/>
                  </w14:solidFill>
                </w14:textFill>
              </w:rPr>
              <w:t>竞争性比选文件</w:t>
            </w:r>
            <w:r>
              <w:rPr>
                <w:rFonts w:hint="eastAsia" w:ascii="宋体" w:hAnsi="宋体" w:eastAsia="宋体" w:cs="宋体"/>
                <w:b w:val="0"/>
                <w:color w:val="000000" w:themeColor="text1"/>
                <w:sz w:val="21"/>
                <w:szCs w:val="21"/>
                <w:highlight w:val="none"/>
                <w14:textFill>
                  <w14:solidFill>
                    <w14:schemeClr w14:val="tx1"/>
                  </w14:solidFill>
                </w14:textFill>
              </w:rPr>
              <w:t>要求提交履约保证金，或者被查实存在影响中标结果的违法行为等情形，不符合中标条件的，</w:t>
            </w:r>
            <w:r>
              <w:rPr>
                <w:rFonts w:hint="eastAsia" w:ascii="宋体" w:hAnsi="宋体" w:cs="宋体"/>
                <w:b w:val="0"/>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val="0"/>
                <w:color w:val="000000" w:themeColor="text1"/>
                <w:sz w:val="21"/>
                <w:szCs w:val="21"/>
                <w:highlight w:val="none"/>
                <w14:textFill>
                  <w14:solidFill>
                    <w14:schemeClr w14:val="tx1"/>
                  </w14:solidFill>
                </w14:textFill>
              </w:rPr>
              <w:t>人可以按照评标委员会提出的中标候选人名单排序依次确定其他中标候选人为中标人，也可以重新招标。</w:t>
            </w:r>
          </w:p>
          <w:p w14:paraId="2402C91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须同时对本项目的两个标段进行报价，但只能成为其中一个标段的第一中标候选人。评标委员会评审时，按照标段1、标段2的顺序依次进行评审，当投标人被评标委员会推荐为本项目标段1的第一中标候选人时，则不再参与余下标段的评审，以此类推。因投标人自身原因，在异议、投诉处理中被取消投标资格或中标资格的，由投标人自行承担相关责任。投标人参与投标的，视为同意本条款。</w:t>
            </w:r>
          </w:p>
        </w:tc>
      </w:tr>
      <w:tr w14:paraId="2DE5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1BCEAA9">
            <w:pPr>
              <w:pStyle w:val="149"/>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p>
        </w:tc>
        <w:tc>
          <w:tcPr>
            <w:tcW w:w="4652" w:type="pct"/>
            <w:gridSpan w:val="2"/>
            <w:vAlign w:val="center"/>
          </w:tcPr>
          <w:p w14:paraId="566EC90A">
            <w:pPr>
              <w:pStyle w:val="149"/>
              <w:spacing w:line="400" w:lineRule="exact"/>
              <w:ind w:firstLine="482" w:firstLineChars="200"/>
              <w:jc w:val="center"/>
              <w:rPr>
                <w:rFonts w:hint="eastAsia" w:hAnsi="宋体"/>
                <w:color w:val="000000" w:themeColor="text1"/>
                <w:sz w:val="21"/>
                <w:szCs w:val="21"/>
                <w:highlight w:val="none"/>
                <w14:textFill>
                  <w14:solidFill>
                    <w14:schemeClr w14:val="tx1"/>
                  </w14:solidFill>
                </w14:textFill>
              </w:rPr>
            </w:pPr>
            <w:r>
              <w:rPr>
                <w:rFonts w:hAnsi="宋体"/>
                <w:b/>
                <w:bCs/>
                <w:color w:val="000000" w:themeColor="text1"/>
                <w:szCs w:val="21"/>
                <w:highlight w:val="none"/>
                <w14:textFill>
                  <w14:solidFill>
                    <w14:schemeClr w14:val="tx1"/>
                  </w14:solidFill>
                </w14:textFill>
              </w:rPr>
              <w:t>需要补充的其他内容</w:t>
            </w:r>
          </w:p>
        </w:tc>
      </w:tr>
      <w:tr w14:paraId="6C33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1C2010DB">
            <w:pPr>
              <w:pStyle w:val="149"/>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.1</w:t>
            </w:r>
          </w:p>
        </w:tc>
        <w:tc>
          <w:tcPr>
            <w:tcW w:w="4652" w:type="pct"/>
            <w:gridSpan w:val="2"/>
            <w:vAlign w:val="center"/>
          </w:tcPr>
          <w:p w14:paraId="0C1CFA7D">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有下列情形之一的，招标人将重新招标：</w:t>
            </w:r>
          </w:p>
          <w:p w14:paraId="10174C68">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（1）投标截止时间止，投标人少于</w:t>
            </w:r>
            <w:r>
              <w:rPr>
                <w:rFonts w:hint="eastAsia" w:cs="宋体"/>
                <w:color w:val="000000" w:themeColor="text1"/>
                <w:kern w:val="0"/>
                <w:sz w:val="21"/>
                <w:szCs w:val="21"/>
                <w:highlight w:val="none"/>
                <w:lang w:val="en-US" w:eastAsia="zh-CN" w:bidi="ar"/>
                <w14:textFill>
                  <w14:solidFill>
                    <w14:schemeClr w14:val="tx1"/>
                  </w14:solidFill>
                </w14:textFill>
              </w:rPr>
              <w:t>1</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个的；</w:t>
            </w:r>
          </w:p>
          <w:p w14:paraId="19D4BA15">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（2）投标截止时间止，经评标委员会评审后，有效投标人大于等于</w:t>
            </w:r>
            <w:r>
              <w:rPr>
                <w:rFonts w:hint="eastAsia" w:cs="宋体"/>
                <w:color w:val="000000" w:themeColor="text1"/>
                <w:kern w:val="0"/>
                <w:sz w:val="21"/>
                <w:szCs w:val="21"/>
                <w:highlight w:val="none"/>
                <w:lang w:val="en-US" w:eastAsia="zh-CN" w:bidi="ar"/>
                <w14:textFill>
                  <w14:solidFill>
                    <w14:schemeClr w14:val="tx1"/>
                  </w14:solidFill>
                </w14:textFill>
              </w:rPr>
              <w:t>1</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个但少于</w:t>
            </w:r>
            <w:r>
              <w:rPr>
                <w:rFonts w:hint="eastAsia" w:cs="宋体"/>
                <w:color w:val="000000" w:themeColor="text1"/>
                <w:kern w:val="0"/>
                <w:sz w:val="21"/>
                <w:szCs w:val="21"/>
                <w:highlight w:val="none"/>
                <w:lang w:val="en-US" w:eastAsia="zh-CN" w:bidi="ar"/>
                <w14:textFill>
                  <w14:solidFill>
                    <w14:schemeClr w14:val="tx1"/>
                  </w14:solidFill>
                </w14:textFill>
              </w:rPr>
              <w:t>2</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个的，按标段顺序，优先确定标段1中标候选人，并重新组织其余标段的招标，但标段1中标单位禁止参与其余标段的投标；</w:t>
            </w:r>
          </w:p>
          <w:p w14:paraId="5F677C9D">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w:t>
            </w:r>
            <w:r>
              <w:rPr>
                <w:rFonts w:hint="eastAsia" w:cs="宋体"/>
                <w:color w:val="000000" w:themeColor="text1"/>
                <w:kern w:val="0"/>
                <w:sz w:val="21"/>
                <w:szCs w:val="21"/>
                <w:highlight w:val="none"/>
                <w:lang w:val="en-US" w:eastAsia="zh-CN" w:bidi="ar"/>
                <w14:textFill>
                  <w14:solidFill>
                    <w14:schemeClr w14:val="tx1"/>
                  </w14:solidFill>
                </w14:textFill>
              </w:rPr>
              <w:t>3</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）经评标委员会评审后否决所有投标的；</w:t>
            </w:r>
          </w:p>
          <w:p w14:paraId="0FE3917D">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w:t>
            </w:r>
            <w:r>
              <w:rPr>
                <w:rFonts w:hint="eastAsia" w:cs="宋体"/>
                <w:color w:val="000000" w:themeColor="text1"/>
                <w:kern w:val="0"/>
                <w:sz w:val="21"/>
                <w:szCs w:val="21"/>
                <w:highlight w:val="none"/>
                <w:lang w:val="en-US" w:eastAsia="zh-CN" w:bidi="ar"/>
                <w14:textFill>
                  <w14:solidFill>
                    <w14:schemeClr w14:val="tx1"/>
                  </w14:solidFill>
                </w14:textFill>
              </w:rPr>
              <w:t>4</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）法律法规规定的其他情形。</w:t>
            </w:r>
          </w:p>
        </w:tc>
      </w:tr>
      <w:tr w14:paraId="5B72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77908B0A">
            <w:pPr>
              <w:pStyle w:val="149"/>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.2</w:t>
            </w:r>
          </w:p>
        </w:tc>
        <w:tc>
          <w:tcPr>
            <w:tcW w:w="4652" w:type="pct"/>
            <w:gridSpan w:val="2"/>
            <w:vAlign w:val="center"/>
          </w:tcPr>
          <w:p w14:paraId="1BE5CC75">
            <w:pPr>
              <w:pStyle w:val="149"/>
              <w:numPr>
                <w:ilvl w:val="0"/>
                <w:numId w:val="3"/>
              </w:numPr>
              <w:spacing w:line="400" w:lineRule="exact"/>
              <w:ind w:firstLine="420" w:firstLineChars="200"/>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乙供设备材料如无法满足工程量清单中任一参数要求，采购人有权退货、终止合同，并扣除乙供设备材料合同金额的10%作为违约金。</w:t>
            </w:r>
          </w:p>
          <w:p w14:paraId="2EA7D33C">
            <w:pPr>
              <w:pStyle w:val="149"/>
              <w:numPr>
                <w:ilvl w:val="0"/>
                <w:numId w:val="3"/>
              </w:numP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将现场验收和第三方检测相结合进行质量的把控，随机抽查</w:t>
            </w:r>
            <w:r>
              <w:rPr>
                <w:rFonts w:hint="eastAsia" w:hAnsi="宋体"/>
                <w:color w:val="000000" w:themeColor="text1"/>
                <w:sz w:val="21"/>
                <w:szCs w:val="21"/>
                <w:highlight w:val="none"/>
                <w:lang w:val="en-US" w:eastAsia="zh-CN"/>
                <w14:textFill>
                  <w14:solidFill>
                    <w14:schemeClr w14:val="tx1"/>
                  </w14:solidFill>
                </w14:textFill>
              </w:rPr>
              <w:t>乙供设备材料产品</w:t>
            </w:r>
            <w:r>
              <w:rPr>
                <w:rFonts w:hint="default" w:hAnsi="宋体"/>
                <w:color w:val="000000" w:themeColor="text1"/>
                <w:sz w:val="21"/>
                <w:szCs w:val="21"/>
                <w:highlight w:val="none"/>
                <w:lang w:val="en-US" w:eastAsia="zh-CN"/>
                <w14:textFill>
                  <w14:solidFill>
                    <w14:schemeClr w14:val="tx1"/>
                  </w14:solidFill>
                </w14:textFill>
              </w:rPr>
              <w:t>质量。对于现场验收不合格的产品，该批次货物做退货处理，并有权扣除供货人部分履约担保和低价担保（如有）；对于随机抽取至第三方检测机构进行检测的产品，</w:t>
            </w: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将立即对该批次货物做退货处理，并扣除中标人的履约担保和低价担保（如有），若产品已安装完成，则由中标人赔偿相应损失。</w:t>
            </w:r>
          </w:p>
        </w:tc>
      </w:tr>
      <w:tr w14:paraId="064C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84A25CA">
            <w:pPr>
              <w:pStyle w:val="149"/>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25.3</w:t>
            </w:r>
          </w:p>
        </w:tc>
        <w:tc>
          <w:tcPr>
            <w:tcW w:w="4652" w:type="pct"/>
            <w:gridSpan w:val="2"/>
            <w:vAlign w:val="center"/>
          </w:tcPr>
          <w:p w14:paraId="2841F97C">
            <w:pPr>
              <w:pStyle w:val="149"/>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需提供投标保证金银行回执（如有）。</w:t>
            </w:r>
          </w:p>
        </w:tc>
      </w:tr>
      <w:tr w14:paraId="131E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2F32B47">
            <w:pPr>
              <w:pStyle w:val="149"/>
              <w:keepNext w:val="0"/>
              <w:keepLines w:val="0"/>
              <w:pageBreakBefore w:val="0"/>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25.4</w:t>
            </w:r>
          </w:p>
        </w:tc>
        <w:tc>
          <w:tcPr>
            <w:tcW w:w="4652" w:type="pct"/>
            <w:gridSpan w:val="2"/>
            <w:vAlign w:val="center"/>
          </w:tcPr>
          <w:p w14:paraId="0D639068">
            <w:pPr>
              <w:pStyle w:val="149"/>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hAnsi="宋体" w:cs="宋体"/>
                <w:color w:val="000000" w:themeColor="text1"/>
                <w:sz w:val="21"/>
                <w:szCs w:val="21"/>
                <w:highlight w:val="none"/>
                <w:lang w:val="en-US" w:eastAsia="zh-CN"/>
                <w14:textFill>
                  <w14:solidFill>
                    <w14:schemeClr w14:val="tx1"/>
                  </w14:solidFill>
                </w14:textFill>
              </w:rPr>
              <w:t>报价人</w:t>
            </w:r>
            <w:r>
              <w:rPr>
                <w:rFonts w:hint="eastAsia" w:ascii="宋体" w:hAnsi="宋体" w:eastAsia="宋体" w:cs="宋体"/>
                <w:color w:val="000000" w:themeColor="text1"/>
                <w:sz w:val="21"/>
                <w:szCs w:val="21"/>
                <w:highlight w:val="none"/>
                <w14:textFill>
                  <w14:solidFill>
                    <w14:schemeClr w14:val="tx1"/>
                  </w14:solidFill>
                </w14:textFill>
              </w:rPr>
              <w:t>在报价时应充分考虑原料价格波动、人工费用上涨、</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人采购量波动等不确定因素的风险，该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人若中标，其报价在供货期内不得调整。</w:t>
            </w:r>
          </w:p>
          <w:p w14:paraId="4B2B8A1A">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人对</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货物的供货范围有漏报、漏项的情况发生，</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人均视为</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人已充分理解</w:t>
            </w:r>
            <w:r>
              <w:rPr>
                <w:rFonts w:hint="eastAsia" w:hAnsi="宋体" w:cs="宋体"/>
                <w:color w:val="000000" w:themeColor="text1"/>
                <w:sz w:val="21"/>
                <w:szCs w:val="21"/>
                <w:highlight w:val="none"/>
                <w:lang w:val="en-US" w:eastAsia="zh-CN"/>
                <w14:textFill>
                  <w14:solidFill>
                    <w14:schemeClr w14:val="tx1"/>
                  </w14:solidFill>
                </w14:textFill>
              </w:rPr>
              <w:t>竞争性比选</w:t>
            </w:r>
            <w:r>
              <w:rPr>
                <w:rFonts w:hint="eastAsia" w:ascii="宋体" w:hAnsi="宋体" w:eastAsia="宋体" w:cs="宋体"/>
                <w:color w:val="000000" w:themeColor="text1"/>
                <w:sz w:val="21"/>
                <w:szCs w:val="21"/>
                <w:highlight w:val="none"/>
                <w14:textFill>
                  <w14:solidFill>
                    <w14:schemeClr w14:val="tx1"/>
                  </w14:solidFill>
                </w14:textFill>
              </w:rPr>
              <w:t>文件要求，漏报、漏项部分已包含在其投标报价之中。该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人若中标，其报价不调整。</w:t>
            </w:r>
          </w:p>
        </w:tc>
      </w:tr>
      <w:tr w14:paraId="0EE0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4484DA3E">
            <w:pPr>
              <w:pStyle w:val="149"/>
              <w:keepNext w:val="0"/>
              <w:keepLines w:val="0"/>
              <w:pageBreakBefore w:val="0"/>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25.5</w:t>
            </w:r>
          </w:p>
        </w:tc>
        <w:tc>
          <w:tcPr>
            <w:tcW w:w="4652" w:type="pct"/>
            <w:gridSpan w:val="2"/>
            <w:vAlign w:val="center"/>
          </w:tcPr>
          <w:p w14:paraId="3393533E">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评标委员会在</w:t>
            </w:r>
            <w:r>
              <w:rPr>
                <w:rFonts w:hint="eastAsia" w:hAnsi="宋体" w:cs="宋体"/>
                <w:color w:val="000000" w:themeColor="text1"/>
                <w:sz w:val="21"/>
                <w:szCs w:val="21"/>
                <w:highlight w:val="none"/>
                <w:lang w:val="en-US" w:eastAsia="zh-CN"/>
                <w14:textFill>
                  <w14:solidFill>
                    <w14:schemeClr w14:val="tx1"/>
                  </w14:solidFill>
                </w14:textFill>
              </w:rPr>
              <w:t>评审</w:t>
            </w:r>
            <w:r>
              <w:rPr>
                <w:rFonts w:hint="eastAsia" w:ascii="宋体" w:hAnsi="宋体" w:eastAsia="宋体" w:cs="宋体"/>
                <w:color w:val="000000" w:themeColor="text1"/>
                <w:sz w:val="21"/>
                <w:szCs w:val="21"/>
                <w:highlight w:val="none"/>
                <w14:textFill>
                  <w14:solidFill>
                    <w14:schemeClr w14:val="tx1"/>
                  </w14:solidFill>
                </w14:textFill>
              </w:rPr>
              <w:t>过程中，发现</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人的报价明显低于其他报价使得其报价可能低于其个别成本的，应当要求该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人作出书面说明并提供相关证明材料。</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人不能合理说明或者不能提供相关证明材料的，</w:t>
            </w:r>
            <w:r>
              <w:rPr>
                <w:rFonts w:hint="eastAsia" w:hAnsi="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认定该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人以低于成本报价竞标的，其</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应作无效</w:t>
            </w:r>
            <w:r>
              <w:rPr>
                <w:rFonts w:hint="eastAsia" w:hAnsi="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w:t>
            </w:r>
          </w:p>
        </w:tc>
      </w:tr>
      <w:tr w14:paraId="1029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2C8F381">
            <w:pPr>
              <w:pStyle w:val="149"/>
              <w:keepNext w:val="0"/>
              <w:keepLines w:val="0"/>
              <w:pageBreakBefore w:val="0"/>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25.6</w:t>
            </w:r>
          </w:p>
        </w:tc>
        <w:tc>
          <w:tcPr>
            <w:tcW w:w="4652" w:type="pct"/>
            <w:gridSpan w:val="2"/>
            <w:vAlign w:val="center"/>
          </w:tcPr>
          <w:p w14:paraId="695AEECD">
            <w:pPr>
              <w:pStyle w:val="149"/>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b/>
            </w:r>
            <w:r>
              <w:rPr>
                <w:rFonts w:hint="eastAsia" w:hAnsi="宋体"/>
                <w:color w:val="000000" w:themeColor="text1"/>
                <w:sz w:val="21"/>
                <w:szCs w:val="21"/>
                <w:highlight w:val="none"/>
                <w14:textFill>
                  <w14:solidFill>
                    <w14:schemeClr w14:val="tx1"/>
                  </w14:solidFill>
                </w14:textFill>
              </w:rPr>
              <w:t>1、劳务单位需牵头负责甲供设备的安装和调试，以及系统的接入等，专业化承担较高的设备由厂家配合，并配备1名专职安全负责人;</w:t>
            </w:r>
          </w:p>
          <w:p w14:paraId="7F127A90">
            <w:pPr>
              <w:pStyle w:val="149"/>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2、劳务需提供甲供材料以外的其他所有安装附件及辅材，不再另行计量;</w:t>
            </w:r>
          </w:p>
          <w:p w14:paraId="30BEE6B2">
            <w:pPr>
              <w:pStyle w:val="149"/>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5C84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4ACAB53E">
            <w:pPr>
              <w:pStyle w:val="149"/>
              <w:keepNext w:val="0"/>
              <w:keepLines w:val="0"/>
              <w:pageBreakBefore w:val="0"/>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25.7</w:t>
            </w:r>
          </w:p>
        </w:tc>
        <w:tc>
          <w:tcPr>
            <w:tcW w:w="4652" w:type="pct"/>
            <w:gridSpan w:val="2"/>
            <w:vAlign w:val="center"/>
          </w:tcPr>
          <w:p w14:paraId="4A0CB748">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根据采购人需求，中标人与重庆首讯科技股份有限公司签订相关合同。</w:t>
            </w:r>
          </w:p>
        </w:tc>
      </w:tr>
      <w:bookmarkEnd w:id="112"/>
    </w:tbl>
    <w:p w14:paraId="2F765519">
      <w:pPr>
        <w:spacing w:line="360" w:lineRule="auto"/>
        <w:jc w:val="center"/>
        <w:rPr>
          <w:rFonts w:ascii="宋体" w:hAnsi="宋体" w:cs="宋体"/>
          <w:b/>
          <w:color w:val="000000" w:themeColor="text1"/>
          <w:sz w:val="28"/>
          <w:szCs w:val="28"/>
          <w:highlight w:val="none"/>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14:paraId="4372ABEB">
      <w:pPr>
        <w:pStyle w:val="4"/>
        <w:spacing w:before="0" w:after="0" w:line="360" w:lineRule="auto"/>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15" w:name="_Toc11329222"/>
      <w:bookmarkStart w:id="116" w:name="_Toc17532"/>
      <w:bookmarkStart w:id="117" w:name="_Toc11284"/>
      <w:bookmarkStart w:id="118" w:name="_Toc30198"/>
      <w:bookmarkStart w:id="119" w:name="_Toc9520"/>
      <w:bookmarkStart w:id="120" w:name="_Toc6344"/>
      <w:bookmarkStart w:id="121" w:name="_Toc387234996"/>
      <w:bookmarkStart w:id="122" w:name="_Toc8293"/>
      <w:bookmarkStart w:id="123" w:name="_Toc21487"/>
      <w:bookmarkStart w:id="124" w:name="_Toc11329227"/>
      <w:bookmarkStart w:id="125" w:name="_Toc27148"/>
      <w:bookmarkStart w:id="126" w:name="_Toc388534043"/>
      <w:r>
        <w:rPr>
          <w:rFonts w:hint="eastAsia" w:ascii="宋体" w:hAnsi="宋体" w:eastAsia="宋体" w:cs="宋体"/>
          <w:color w:val="000000" w:themeColor="text1"/>
          <w:sz w:val="28"/>
          <w:szCs w:val="28"/>
          <w:highlight w:val="none"/>
          <w14:textFill>
            <w14:solidFill>
              <w14:schemeClr w14:val="tx1"/>
            </w14:solidFill>
          </w14:textFill>
        </w:rPr>
        <w:t xml:space="preserve">附录1 </w:t>
      </w:r>
      <w:bookmarkEnd w:id="115"/>
      <w:bookmarkEnd w:id="116"/>
      <w:bookmarkEnd w:id="117"/>
      <w:bookmarkEnd w:id="118"/>
      <w:bookmarkStart w:id="127" w:name="_Toc27096"/>
      <w:bookmarkStart w:id="128" w:name="_Toc11329226"/>
      <w:bookmarkStart w:id="129" w:name="_Toc12773"/>
      <w:bookmarkStart w:id="130" w:name="_Toc25591"/>
      <w:r>
        <w:rPr>
          <w:rFonts w:hint="eastAsia" w:ascii="宋体" w:hAnsi="宋体" w:eastAsia="宋体" w:cs="宋体"/>
          <w:bCs w:val="0"/>
          <w:color w:val="000000" w:themeColor="text1"/>
          <w:sz w:val="28"/>
          <w:szCs w:val="28"/>
          <w:highlight w:val="none"/>
          <w14:textFill>
            <w14:solidFill>
              <w14:schemeClr w14:val="tx1"/>
            </w14:solidFill>
          </w14:textFill>
        </w:rPr>
        <w:t>资格审查文件</w:t>
      </w:r>
      <w:bookmarkEnd w:id="119"/>
      <w:bookmarkEnd w:id="127"/>
      <w:bookmarkEnd w:id="128"/>
      <w:bookmarkEnd w:id="129"/>
      <w:bookmarkEnd w:id="130"/>
      <w:r>
        <w:rPr>
          <w:rFonts w:hint="eastAsia" w:ascii="宋体" w:hAnsi="宋体" w:eastAsia="宋体" w:cs="宋体"/>
          <w:bCs w:val="0"/>
          <w:color w:val="000000" w:themeColor="text1"/>
          <w:sz w:val="28"/>
          <w:szCs w:val="28"/>
          <w:highlight w:val="none"/>
          <w14:textFill>
            <w14:solidFill>
              <w14:schemeClr w14:val="tx1"/>
            </w14:solidFill>
          </w14:textFill>
        </w:rPr>
        <w:t>（项目主要管理人员最低要求）</w:t>
      </w:r>
      <w:bookmarkEnd w:id="120"/>
      <w:bookmarkStart w:id="131" w:name="_Toc6945"/>
    </w:p>
    <w:p w14:paraId="1F0EE276">
      <w:pPr>
        <w:pStyle w:val="4"/>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07CE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24DC22E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2CE85A93">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3BD1CEA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5906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74344AA7">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247FC334">
            <w:pPr>
              <w:pageBreakBefore w:val="0"/>
              <w:widowControl w:val="0"/>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500CF094">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1.具有独立法人资格和有效的营业执照。</w:t>
            </w:r>
          </w:p>
          <w:p w14:paraId="214D8122">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2.具有有效的安全生产许可证。</w:t>
            </w:r>
          </w:p>
          <w:p w14:paraId="18F4BD86">
            <w:pPr>
              <w:pageBreakBefore w:val="0"/>
              <w:widowControl w:val="0"/>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3.具备有效的消防设施工程专业承包一级资质。</w:t>
            </w:r>
          </w:p>
        </w:tc>
      </w:tr>
      <w:tr w14:paraId="3007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2677504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220DF7D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70C71F3F">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2022年1月1日至投标截止日（合同签订时间为准），投标人至少具有一个单项合同金额不低于100万元公路行业消防工程业绩，提供业绩合同复印件。</w:t>
            </w:r>
          </w:p>
        </w:tc>
      </w:tr>
      <w:tr w14:paraId="7592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25717E9A">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0A148EA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B3D3694">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78C1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59A6DE39">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3B375CF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073F4F17">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9B181A3">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1A5DE5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B60C62A">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8DFE283">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7A548D4">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5F2B907">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7EEF22D9">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61854799">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4E9E401">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94527EE">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6036AC80">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73FF8E50">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D031DB7">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239BB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69DEF131">
            <w:pP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19A16722">
            <w:pP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05F4F76">
            <w:pP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5ED6FA6C">
            <w:pP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5533B326">
            <w:pP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3F313CFE">
            <w:pP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52F45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21BF34A6">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2EF2859C">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6B746BAD">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9EFEC6B">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00307C1D">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91F4F1D">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7E8D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C501BE8">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1EC8F40">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401260FC">
            <w:pPr>
              <w:widowControl/>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kern w:val="0"/>
                <w:sz w:val="21"/>
                <w:szCs w:val="21"/>
                <w:highlight w:val="none"/>
                <w:u w:val="single"/>
                <w:lang w:val="en-US" w:eastAsia="zh-CN"/>
                <w14:textFill>
                  <w14:solidFill>
                    <w14:schemeClr w14:val="tx1"/>
                  </w14:solidFill>
                </w14:textFill>
              </w:rPr>
              <w:t>机电</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专业二级及以上注册建造师执业资格，且在人员方面具有相应的施工能力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02A93EB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2109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709C9610">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385109F7">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72BAC338">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5DB35A0">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4AB8BCF">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0EDF3395">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78FA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6B883946">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396B4438">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1D7BCE9">
            <w:pPr>
              <w:keepNext w:val="0"/>
              <w:keepLines w:val="0"/>
              <w:pageBreakBefore w:val="0"/>
              <w:widowControl w:val="0"/>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具有机电相关中级及以上职称或者具有机电专业二级及以上注册建造师执业资格。</w:t>
            </w:r>
          </w:p>
        </w:tc>
      </w:tr>
      <w:tr w14:paraId="220C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1269995A">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2C96CD3E">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1302BA09">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16651CA2">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247D72ED">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8A6BA2F">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7FCA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2DDB8386">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7DC01DCD">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5FB3B7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09147D27">
      <w:pP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2025年10月至2025年12月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bookmarkEnd w:id="131"/>
    <w:p w14:paraId="25A5C5A3">
      <w:pPr>
        <w:pStyle w:val="4"/>
        <w:jc w:val="center"/>
        <w:rPr>
          <w:rFonts w:hint="eastAsia" w:ascii="宋体" w:hAnsi="宋体" w:eastAsia="宋体" w:cs="宋体"/>
          <w:bCs w:val="0"/>
          <w:color w:val="000000" w:themeColor="text1"/>
          <w:sz w:val="28"/>
          <w:szCs w:val="28"/>
          <w:highlight w:val="none"/>
          <w14:textFill>
            <w14:solidFill>
              <w14:schemeClr w14:val="tx1"/>
            </w14:solidFill>
          </w14:textFill>
        </w:rPr>
      </w:pPr>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 w:val="28"/>
          <w:szCs w:val="28"/>
          <w:highlight w:val="none"/>
          <w14:textFill>
            <w14:solidFill>
              <w14:schemeClr w14:val="tx1"/>
            </w14:solidFill>
          </w14:textFill>
        </w:rPr>
        <w:t>人员</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 w:val="28"/>
          <w:szCs w:val="28"/>
          <w:highlight w:val="none"/>
          <w14:textFill>
            <w14:solidFill>
              <w14:schemeClr w14:val="tx1"/>
            </w14:solidFill>
          </w14:textFill>
        </w:rPr>
        <w:t>要求）</w:t>
      </w:r>
      <w:bookmarkStart w:id="132" w:name="_Toc6096"/>
      <w:bookmarkStart w:id="133" w:name="_Toc4169"/>
      <w:bookmarkStart w:id="134" w:name="_Toc17384"/>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3387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1426C9A5">
            <w:pP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项目施工、安装及调试劳务人员最低要求</w:t>
            </w:r>
          </w:p>
        </w:tc>
      </w:tr>
      <w:tr w14:paraId="4F89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0C6DE8D2">
            <w:pPr>
              <w:ind w:firstLine="40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 xml:space="preserve">1.一标段施工劳务人员，至少 12 人，其中6名需持低压电工操作证；二标段施工劳务人员，至少 8人，其中4名需持低压电工操作证；必须为报价人自有员工或者劳务派遣员工（报价人自行承诺即可，无需提供相关证明材料）。 </w:t>
            </w:r>
          </w:p>
        </w:tc>
      </w:tr>
    </w:tbl>
    <w:p w14:paraId="0FA3D9C8">
      <w:pPr>
        <w:pStyle w:val="42"/>
        <w:rPr>
          <w:rFonts w:hint="eastAsia"/>
          <w:color w:val="000000" w:themeColor="text1"/>
          <w:highlight w:val="none"/>
          <w14:textFill>
            <w14:solidFill>
              <w14:schemeClr w14:val="tx1"/>
            </w14:solidFill>
          </w14:textFill>
        </w:rPr>
      </w:pPr>
    </w:p>
    <w:p w14:paraId="6F6D3D6E">
      <w:pPr>
        <w:pStyle w:val="4"/>
        <w:jc w:val="center"/>
        <w:rPr>
          <w:rFonts w:hint="eastAsia" w:hAnsi="宋体"/>
          <w:b w:val="0"/>
          <w:color w:val="000000" w:themeColor="text1"/>
          <w:sz w:val="28"/>
          <w:szCs w:val="28"/>
          <w:highlight w:val="none"/>
          <w14:textFill>
            <w14:solidFill>
              <w14:schemeClr w14:val="tx1"/>
            </w14:solidFill>
          </w14:textFill>
        </w:rPr>
      </w:pPr>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资格审查文件（主要机械设备和试验检测设备最低要求）</w:t>
      </w:r>
      <w:bookmarkEnd w:id="132"/>
      <w:bookmarkEnd w:id="133"/>
      <w:bookmarkEnd w:id="13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6889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509CC059">
            <w:pP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主要机械设备和试验检测设备最低要求</w:t>
            </w:r>
          </w:p>
        </w:tc>
      </w:tr>
      <w:tr w14:paraId="7E25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17009585">
            <w:pPr>
              <w:ind w:firstLine="420" w:firstLineChars="200"/>
              <w:rPr>
                <w:rFonts w:hint="eastAsia" w:ascii="宋体" w:hAnsi="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根据项目实际施工进度情况配置。</w:t>
            </w:r>
          </w:p>
          <w:p w14:paraId="79DEE20B">
            <w:pPr>
              <w:ind w:firstLine="420" w:firstLineChars="200"/>
              <w:rPr>
                <w:rFonts w:hint="eastAsia" w:ascii="宋体" w:hAnsi="宋体" w:eastAsia="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以上要求为最低要求，后续根据界面提交情况及项目部要求追加相应车辆及机械，满足工程进度需要</w:t>
            </w:r>
          </w:p>
          <w:p w14:paraId="2AF71126">
            <w:pPr>
              <w:ind w:firstLine="420" w:firstLineChars="200"/>
              <w:rPr>
                <w:color w:val="000000" w:themeColor="text1"/>
                <w:highlight w:val="none"/>
                <w14:textFill>
                  <w14:solidFill>
                    <w14:schemeClr w14:val="tx1"/>
                  </w14:solidFill>
                </w14:textFill>
              </w:rPr>
            </w:pPr>
            <w:r>
              <w:rPr>
                <w:rFonts w:hint="eastAsia" w:ascii="宋体" w:hAnsi="宋体" w:cs="宋体"/>
                <w:caps/>
                <w:color w:val="000000" w:themeColor="text1"/>
                <w:szCs w:val="2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报价人自行承诺即可，无需提供相关证明材料</w:t>
            </w:r>
            <w:r>
              <w:rPr>
                <w:rFonts w:hint="eastAsia"/>
                <w:b/>
                <w:color w:val="000000" w:themeColor="text1"/>
                <w:highlight w:val="none"/>
                <w14:textFill>
                  <w14:solidFill>
                    <w14:schemeClr w14:val="tx1"/>
                  </w14:solidFill>
                </w14:textFill>
              </w:rPr>
              <w:t>）</w:t>
            </w:r>
          </w:p>
        </w:tc>
      </w:tr>
    </w:tbl>
    <w:p w14:paraId="42373903">
      <w:pPr>
        <w:spacing w:line="440" w:lineRule="exact"/>
        <w:ind w:firstLine="420" w:firstLineChars="200"/>
        <w:jc w:val="left"/>
        <w:rPr>
          <w:rFonts w:hint="eastAsia" w:ascii="宋体" w:hAnsi="宋体" w:eastAsia="宋体" w:cs="宋体"/>
          <w:color w:val="000000" w:themeColor="text1"/>
          <w:szCs w:val="21"/>
          <w:highlight w:val="none"/>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p>
    <w:bookmarkEnd w:id="121"/>
    <w:bookmarkEnd w:id="122"/>
    <w:bookmarkEnd w:id="123"/>
    <w:bookmarkEnd w:id="124"/>
    <w:bookmarkEnd w:id="125"/>
    <w:bookmarkEnd w:id="126"/>
    <w:p w14:paraId="31A5654B">
      <w:pPr>
        <w:pStyle w:val="3"/>
        <w:numPr>
          <w:ilvl w:val="0"/>
          <w:numId w:val="4"/>
        </w:numPr>
        <w:spacing w:before="0" w:after="0" w:line="360" w:lineRule="auto"/>
        <w:jc w:val="center"/>
        <w:rPr>
          <w:color w:val="000000" w:themeColor="text1"/>
          <w:highlight w:val="none"/>
          <w14:textFill>
            <w14:solidFill>
              <w14:schemeClr w14:val="tx1"/>
            </w14:solidFill>
          </w14:textFill>
        </w:rPr>
      </w:pPr>
      <w:bookmarkStart w:id="135" w:name="_Toc2000406"/>
      <w:bookmarkStart w:id="136" w:name="_Toc6056"/>
      <w:bookmarkStart w:id="137" w:name="_Toc152045587"/>
      <w:bookmarkStart w:id="138" w:name="_Toc247085745"/>
      <w:bookmarkStart w:id="139" w:name="_Toc179632605"/>
      <w:bookmarkStart w:id="140" w:name="_Toc507319957"/>
      <w:bookmarkStart w:id="141" w:name="_Toc144974554"/>
      <w:bookmarkStart w:id="142" w:name="_Toc246996973"/>
      <w:bookmarkStart w:id="143" w:name="_Toc246996230"/>
      <w:bookmarkStart w:id="144" w:name="_Toc152042364"/>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综合评估法</w:t>
      </w:r>
      <w:r>
        <w:rPr>
          <w:rFonts w:hint="eastAsia" w:ascii="宋体" w:hAnsi="宋体" w:cs="宋体"/>
          <w:color w:val="000000" w:themeColor="text1"/>
          <w:highlight w:val="none"/>
          <w14:textFill>
            <w14:solidFill>
              <w14:schemeClr w14:val="tx1"/>
            </w14:solidFill>
          </w14:textFill>
        </w:rPr>
        <w:t>）</w:t>
      </w:r>
      <w:bookmarkEnd w:id="135"/>
      <w:bookmarkEnd w:id="136"/>
      <w:bookmarkEnd w:id="137"/>
      <w:bookmarkEnd w:id="138"/>
      <w:bookmarkEnd w:id="139"/>
      <w:bookmarkEnd w:id="140"/>
      <w:bookmarkEnd w:id="141"/>
      <w:bookmarkEnd w:id="142"/>
      <w:bookmarkEnd w:id="143"/>
      <w:bookmarkEnd w:id="144"/>
    </w:p>
    <w:p w14:paraId="5C0C92CC">
      <w:pPr>
        <w:rPr>
          <w:color w:val="000000" w:themeColor="text1"/>
          <w:highlight w:val="none"/>
          <w14:textFill>
            <w14:solidFill>
              <w14:schemeClr w14:val="tx1"/>
            </w14:solidFill>
          </w14:textFill>
        </w:rPr>
      </w:pPr>
    </w:p>
    <w:tbl>
      <w:tblPr>
        <w:tblStyle w:val="43"/>
        <w:tblW w:w="94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7"/>
        <w:gridCol w:w="961"/>
        <w:gridCol w:w="1048"/>
        <w:gridCol w:w="1640"/>
        <w:gridCol w:w="4027"/>
        <w:gridCol w:w="1021"/>
      </w:tblGrid>
      <w:tr w14:paraId="66A7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blHeader/>
          <w:jc w:val="center"/>
        </w:trPr>
        <w:tc>
          <w:tcPr>
            <w:tcW w:w="2736" w:type="dxa"/>
            <w:gridSpan w:val="3"/>
            <w:tcBorders>
              <w:top w:val="single" w:color="auto" w:sz="4" w:space="0"/>
              <w:bottom w:val="single" w:color="auto" w:sz="4" w:space="0"/>
              <w:right w:val="single" w:color="auto" w:sz="4" w:space="0"/>
            </w:tcBorders>
            <w:vAlign w:val="center"/>
          </w:tcPr>
          <w:p w14:paraId="0AE86C1D">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条款号</w:t>
            </w:r>
          </w:p>
        </w:tc>
        <w:tc>
          <w:tcPr>
            <w:tcW w:w="1640" w:type="dxa"/>
            <w:tcBorders>
              <w:top w:val="single" w:color="auto" w:sz="4" w:space="0"/>
              <w:left w:val="single" w:color="auto" w:sz="4" w:space="0"/>
              <w:bottom w:val="single" w:color="auto" w:sz="4" w:space="0"/>
              <w:right w:val="single" w:color="auto" w:sz="4" w:space="0"/>
            </w:tcBorders>
            <w:vAlign w:val="center"/>
          </w:tcPr>
          <w:p w14:paraId="2A09DE76">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评审因素</w:t>
            </w:r>
          </w:p>
        </w:tc>
        <w:tc>
          <w:tcPr>
            <w:tcW w:w="5048" w:type="dxa"/>
            <w:gridSpan w:val="2"/>
            <w:tcBorders>
              <w:top w:val="single" w:color="auto" w:sz="4" w:space="0"/>
              <w:left w:val="single" w:color="auto" w:sz="4" w:space="0"/>
              <w:bottom w:val="single" w:color="auto" w:sz="4" w:space="0"/>
            </w:tcBorders>
            <w:vAlign w:val="center"/>
          </w:tcPr>
          <w:p w14:paraId="5A587F39">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评审标准</w:t>
            </w:r>
          </w:p>
        </w:tc>
      </w:tr>
      <w:tr w14:paraId="0F7692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7" w:type="dxa"/>
            <w:tcBorders>
              <w:top w:val="single" w:color="auto" w:sz="4" w:space="0"/>
              <w:right w:val="single" w:color="auto" w:sz="4" w:space="0"/>
            </w:tcBorders>
            <w:vAlign w:val="center"/>
          </w:tcPr>
          <w:p w14:paraId="4456412E">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1</w:t>
            </w:r>
          </w:p>
        </w:tc>
        <w:tc>
          <w:tcPr>
            <w:tcW w:w="2009" w:type="dxa"/>
            <w:gridSpan w:val="2"/>
            <w:tcBorders>
              <w:top w:val="single" w:color="auto" w:sz="4" w:space="0"/>
              <w:left w:val="single" w:color="auto" w:sz="4" w:space="0"/>
              <w:right w:val="single" w:color="auto" w:sz="4" w:space="0"/>
            </w:tcBorders>
            <w:vAlign w:val="center"/>
          </w:tcPr>
          <w:p w14:paraId="438331E7">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评标方法</w:t>
            </w:r>
          </w:p>
        </w:tc>
        <w:tc>
          <w:tcPr>
            <w:tcW w:w="1640" w:type="dxa"/>
            <w:tcBorders>
              <w:top w:val="single" w:color="auto" w:sz="4" w:space="0"/>
              <w:left w:val="single" w:color="auto" w:sz="4" w:space="0"/>
              <w:bottom w:val="single" w:color="auto" w:sz="4" w:space="0"/>
              <w:right w:val="single" w:color="auto" w:sz="4" w:space="0"/>
            </w:tcBorders>
            <w:vAlign w:val="center"/>
          </w:tcPr>
          <w:p w14:paraId="1E4FDC1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中标候选人排序方法</w:t>
            </w:r>
          </w:p>
        </w:tc>
        <w:tc>
          <w:tcPr>
            <w:tcW w:w="5048" w:type="dxa"/>
            <w:gridSpan w:val="2"/>
            <w:tcBorders>
              <w:top w:val="single" w:color="auto" w:sz="4" w:space="0"/>
              <w:left w:val="single" w:color="auto" w:sz="4" w:space="0"/>
              <w:bottom w:val="single" w:color="auto" w:sz="4" w:space="0"/>
            </w:tcBorders>
          </w:tcPr>
          <w:p w14:paraId="17F6595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报价人得分=A+B+C，对通过初步评审的报价人按照投标总得分（商务+技术+报价）由从高到低的先后顺序。如出现得分(精确到小数点后两位)相等时，按以下原则确定第一中标候选人：</w:t>
            </w:r>
          </w:p>
          <w:p w14:paraId="114D6CE7">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（1）以评标价低的报价人优先；</w:t>
            </w:r>
          </w:p>
          <w:p w14:paraId="752B01D4">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（2）如评标价也相同时，以技术得分较高的报价人优先；</w:t>
            </w:r>
          </w:p>
          <w:p w14:paraId="0367AE3A">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（3）如技术得分也相同时，以商务得分高的优先；</w:t>
            </w:r>
          </w:p>
          <w:p w14:paraId="7C56E1D4">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 xml:space="preserve">（4）如商务得分也相同时，由评标委员会投票决定。 </w:t>
            </w:r>
          </w:p>
        </w:tc>
      </w:tr>
      <w:tr w14:paraId="6563E8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right w:val="single" w:color="auto" w:sz="4" w:space="0"/>
            </w:tcBorders>
            <w:vAlign w:val="center"/>
          </w:tcPr>
          <w:p w14:paraId="2A862686">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2</w:t>
            </w:r>
          </w:p>
        </w:tc>
        <w:tc>
          <w:tcPr>
            <w:tcW w:w="2009" w:type="dxa"/>
            <w:gridSpan w:val="2"/>
            <w:vMerge w:val="restart"/>
            <w:tcBorders>
              <w:top w:val="single" w:color="auto" w:sz="4" w:space="0"/>
              <w:left w:val="single" w:color="auto" w:sz="4" w:space="0"/>
              <w:right w:val="single" w:color="auto" w:sz="4" w:space="0"/>
            </w:tcBorders>
            <w:vAlign w:val="center"/>
          </w:tcPr>
          <w:p w14:paraId="4DD3CC1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形式评审标准</w:t>
            </w:r>
          </w:p>
        </w:tc>
        <w:tc>
          <w:tcPr>
            <w:tcW w:w="1640" w:type="dxa"/>
            <w:tcBorders>
              <w:top w:val="single" w:color="auto" w:sz="4" w:space="0"/>
              <w:left w:val="single" w:color="auto" w:sz="4" w:space="0"/>
              <w:bottom w:val="single" w:color="auto" w:sz="4" w:space="0"/>
              <w:right w:val="single" w:color="auto" w:sz="4" w:space="0"/>
            </w:tcBorders>
            <w:vAlign w:val="center"/>
          </w:tcPr>
          <w:p w14:paraId="1AEE484A">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报价人名称</w:t>
            </w:r>
          </w:p>
        </w:tc>
        <w:tc>
          <w:tcPr>
            <w:tcW w:w="5048" w:type="dxa"/>
            <w:gridSpan w:val="2"/>
            <w:tcBorders>
              <w:top w:val="single" w:color="auto" w:sz="4" w:space="0"/>
              <w:left w:val="single" w:color="auto" w:sz="4" w:space="0"/>
              <w:bottom w:val="single" w:color="auto" w:sz="4" w:space="0"/>
            </w:tcBorders>
            <w:vAlign w:val="center"/>
          </w:tcPr>
          <w:p w14:paraId="3C6DB157">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与营业执照、资质证书一致。</w:t>
            </w:r>
          </w:p>
        </w:tc>
      </w:tr>
      <w:tr w14:paraId="39AA33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14:paraId="53FEABB7">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right w:val="single" w:color="auto" w:sz="4" w:space="0"/>
            </w:tcBorders>
            <w:vAlign w:val="center"/>
          </w:tcPr>
          <w:p w14:paraId="06D266A7">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04667138">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报价函签字盖章</w:t>
            </w:r>
          </w:p>
        </w:tc>
        <w:tc>
          <w:tcPr>
            <w:tcW w:w="5048" w:type="dxa"/>
            <w:gridSpan w:val="2"/>
            <w:tcBorders>
              <w:top w:val="single" w:color="auto" w:sz="4" w:space="0"/>
              <w:left w:val="single" w:color="auto" w:sz="4" w:space="0"/>
              <w:bottom w:val="single" w:color="auto" w:sz="4" w:space="0"/>
            </w:tcBorders>
            <w:vAlign w:val="center"/>
          </w:tcPr>
          <w:p w14:paraId="0A2099E5">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有法定代表人或委托代理人签字或加盖单位鲜公章。</w:t>
            </w:r>
          </w:p>
        </w:tc>
      </w:tr>
      <w:tr w14:paraId="5A4F8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14:paraId="5BCDF45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right w:val="single" w:color="auto" w:sz="4" w:space="0"/>
            </w:tcBorders>
            <w:vAlign w:val="center"/>
          </w:tcPr>
          <w:p w14:paraId="22F3750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741F040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竞争性比选响应文件格式</w:t>
            </w:r>
          </w:p>
        </w:tc>
        <w:tc>
          <w:tcPr>
            <w:tcW w:w="5048" w:type="dxa"/>
            <w:gridSpan w:val="2"/>
            <w:tcBorders>
              <w:top w:val="single" w:color="auto" w:sz="4" w:space="0"/>
              <w:left w:val="single" w:color="auto" w:sz="4" w:space="0"/>
              <w:bottom w:val="single" w:color="auto" w:sz="4" w:space="0"/>
            </w:tcBorders>
            <w:vAlign w:val="center"/>
          </w:tcPr>
          <w:p w14:paraId="1AF21FFA">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符合第九章“竞争性比选响应文件格式”的要求，字迹清晰可辨。</w:t>
            </w:r>
          </w:p>
          <w:p w14:paraId="295983BC">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1.报价函的所有数据均符合比选文件的规定；</w:t>
            </w:r>
          </w:p>
          <w:p w14:paraId="2FB1CEAF">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2.竞争性比选响应文件附表齐全完整，内容均按规定填写；</w:t>
            </w:r>
          </w:p>
        </w:tc>
      </w:tr>
      <w:tr w14:paraId="07CD9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14:paraId="647B7878">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right w:val="single" w:color="auto" w:sz="4" w:space="0"/>
            </w:tcBorders>
            <w:vAlign w:val="center"/>
          </w:tcPr>
          <w:p w14:paraId="0398DA96">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1FA5293C">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已标价工程量清单</w:t>
            </w:r>
          </w:p>
        </w:tc>
        <w:tc>
          <w:tcPr>
            <w:tcW w:w="5048" w:type="dxa"/>
            <w:gridSpan w:val="2"/>
            <w:tcBorders>
              <w:top w:val="single" w:color="auto" w:sz="4" w:space="0"/>
              <w:left w:val="single" w:color="auto" w:sz="4" w:space="0"/>
              <w:bottom w:val="single" w:color="auto" w:sz="4" w:space="0"/>
            </w:tcBorders>
            <w:vAlign w:val="center"/>
          </w:tcPr>
          <w:p w14:paraId="005B8AED">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符合第五章“工程量清单”给出的范围及数量。</w:t>
            </w:r>
          </w:p>
        </w:tc>
      </w:tr>
      <w:tr w14:paraId="4A2479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14:paraId="1B70754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right w:val="single" w:color="auto" w:sz="4" w:space="0"/>
            </w:tcBorders>
            <w:vAlign w:val="center"/>
          </w:tcPr>
          <w:p w14:paraId="7D906582">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4D0E10F4">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报价其它要求</w:t>
            </w:r>
          </w:p>
        </w:tc>
        <w:tc>
          <w:tcPr>
            <w:tcW w:w="5048" w:type="dxa"/>
            <w:gridSpan w:val="2"/>
            <w:tcBorders>
              <w:top w:val="single" w:color="auto" w:sz="4" w:space="0"/>
              <w:left w:val="single" w:color="auto" w:sz="4" w:space="0"/>
              <w:bottom w:val="single" w:color="auto" w:sz="4" w:space="0"/>
            </w:tcBorders>
            <w:vAlign w:val="center"/>
          </w:tcPr>
          <w:p w14:paraId="69BCE019">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竞争性比选响应文件报价表中的报价与报价书文字报价应保持一致。</w:t>
            </w:r>
          </w:p>
        </w:tc>
      </w:tr>
      <w:tr w14:paraId="4FB1C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14:paraId="58F15D9C">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left w:val="single" w:color="auto" w:sz="4" w:space="0"/>
              <w:right w:val="single" w:color="auto" w:sz="4" w:space="0"/>
            </w:tcBorders>
            <w:vAlign w:val="center"/>
          </w:tcPr>
          <w:p w14:paraId="5AB30732">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right w:val="single" w:color="auto" w:sz="4" w:space="0"/>
            </w:tcBorders>
            <w:vAlign w:val="center"/>
          </w:tcPr>
          <w:p w14:paraId="3854C3AC">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竞争性比选响应文件正本中法定代表人或其授权代理人签署</w:t>
            </w:r>
          </w:p>
        </w:tc>
        <w:tc>
          <w:tcPr>
            <w:tcW w:w="5048" w:type="dxa"/>
            <w:gridSpan w:val="2"/>
            <w:tcBorders>
              <w:top w:val="single" w:color="auto" w:sz="4" w:space="0"/>
              <w:left w:val="single" w:color="auto" w:sz="4" w:space="0"/>
              <w:bottom w:val="single" w:color="auto" w:sz="4" w:space="0"/>
            </w:tcBorders>
            <w:vAlign w:val="center"/>
          </w:tcPr>
          <w:p w14:paraId="7D4EEC4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竞争性比选响应文件正本中法定代表人或授权代理人签署姓名齐全，符合比选文件规定；</w:t>
            </w:r>
          </w:p>
        </w:tc>
      </w:tr>
      <w:tr w14:paraId="715099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98" w:hRule="atLeast"/>
          <w:jc w:val="center"/>
        </w:trPr>
        <w:tc>
          <w:tcPr>
            <w:tcW w:w="727" w:type="dxa"/>
            <w:vMerge w:val="continue"/>
            <w:tcBorders>
              <w:right w:val="single" w:color="auto" w:sz="4" w:space="0"/>
            </w:tcBorders>
            <w:vAlign w:val="center"/>
          </w:tcPr>
          <w:p w14:paraId="3709DB95">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left w:val="single" w:color="auto" w:sz="4" w:space="0"/>
              <w:right w:val="single" w:color="auto" w:sz="4" w:space="0"/>
            </w:tcBorders>
            <w:vAlign w:val="center"/>
          </w:tcPr>
          <w:p w14:paraId="7B32ABCA">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right w:val="single" w:color="auto" w:sz="4" w:space="0"/>
            </w:tcBorders>
            <w:vAlign w:val="center"/>
          </w:tcPr>
          <w:p w14:paraId="390EAEA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其它材料</w:t>
            </w:r>
          </w:p>
        </w:tc>
        <w:tc>
          <w:tcPr>
            <w:tcW w:w="5048" w:type="dxa"/>
            <w:gridSpan w:val="2"/>
            <w:tcBorders>
              <w:top w:val="single" w:color="auto" w:sz="4" w:space="0"/>
              <w:left w:val="single" w:color="auto" w:sz="4" w:space="0"/>
            </w:tcBorders>
            <w:vAlign w:val="center"/>
          </w:tcPr>
          <w:p w14:paraId="486ABF21">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单位负责人为同一人或者存在控股、管理关系的不同单位，不得同时参加报价，否则相关报价均无效。</w:t>
            </w:r>
          </w:p>
        </w:tc>
      </w:tr>
      <w:tr w14:paraId="6AFD5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14:paraId="190AB9C1">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3</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14:paraId="4496E896">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资格评审标准</w:t>
            </w:r>
          </w:p>
        </w:tc>
        <w:tc>
          <w:tcPr>
            <w:tcW w:w="1640" w:type="dxa"/>
            <w:tcBorders>
              <w:top w:val="single" w:color="auto" w:sz="4" w:space="0"/>
              <w:left w:val="single" w:color="auto" w:sz="4" w:space="0"/>
              <w:bottom w:val="single" w:color="auto" w:sz="4" w:space="0"/>
              <w:right w:val="single" w:color="auto" w:sz="4" w:space="0"/>
            </w:tcBorders>
            <w:vAlign w:val="center"/>
          </w:tcPr>
          <w:p w14:paraId="2C242061">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营业执照</w:t>
            </w:r>
          </w:p>
        </w:tc>
        <w:tc>
          <w:tcPr>
            <w:tcW w:w="5048" w:type="dxa"/>
            <w:gridSpan w:val="2"/>
            <w:tcBorders>
              <w:top w:val="single" w:color="auto" w:sz="4" w:space="0"/>
              <w:left w:val="single" w:color="auto" w:sz="4" w:space="0"/>
              <w:bottom w:val="single" w:color="auto" w:sz="4" w:space="0"/>
            </w:tcBorders>
            <w:vAlign w:val="center"/>
          </w:tcPr>
          <w:p w14:paraId="75CCBD46">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符合第二章“报价人须知”第</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项规定，具备有效的营业执照</w:t>
            </w:r>
          </w:p>
        </w:tc>
      </w:tr>
      <w:tr w14:paraId="73CC21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 w:hRule="atLeast"/>
          <w:jc w:val="center"/>
        </w:trPr>
        <w:tc>
          <w:tcPr>
            <w:tcW w:w="727" w:type="dxa"/>
            <w:vMerge w:val="continue"/>
            <w:tcBorders>
              <w:top w:val="single" w:color="auto" w:sz="4" w:space="0"/>
              <w:bottom w:val="single" w:color="auto" w:sz="4" w:space="0"/>
              <w:right w:val="single" w:color="auto" w:sz="4" w:space="0"/>
            </w:tcBorders>
            <w:vAlign w:val="center"/>
          </w:tcPr>
          <w:p w14:paraId="3C5C5399">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7787A805">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1AB324DD">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资质要求</w:t>
            </w:r>
          </w:p>
        </w:tc>
        <w:tc>
          <w:tcPr>
            <w:tcW w:w="5048" w:type="dxa"/>
            <w:gridSpan w:val="2"/>
            <w:tcBorders>
              <w:top w:val="single" w:color="auto" w:sz="4" w:space="0"/>
              <w:left w:val="single" w:color="auto" w:sz="4" w:space="0"/>
              <w:bottom w:val="single" w:color="auto" w:sz="4" w:space="0"/>
            </w:tcBorders>
            <w:vAlign w:val="center"/>
          </w:tcPr>
          <w:p w14:paraId="364E70B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符合第二章“报价人须知”前附表附录1的规定</w:t>
            </w:r>
          </w:p>
        </w:tc>
      </w:tr>
      <w:tr w14:paraId="488FC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3" w:hRule="atLeast"/>
          <w:jc w:val="center"/>
        </w:trPr>
        <w:tc>
          <w:tcPr>
            <w:tcW w:w="727" w:type="dxa"/>
            <w:vMerge w:val="continue"/>
            <w:tcBorders>
              <w:top w:val="single" w:color="auto" w:sz="4" w:space="0"/>
              <w:bottom w:val="single" w:color="auto" w:sz="4" w:space="0"/>
              <w:right w:val="single" w:color="auto" w:sz="4" w:space="0"/>
            </w:tcBorders>
            <w:vAlign w:val="center"/>
          </w:tcPr>
          <w:p w14:paraId="21DD413C">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2D7E9F4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50B58DD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业绩要求</w:t>
            </w:r>
          </w:p>
        </w:tc>
        <w:tc>
          <w:tcPr>
            <w:tcW w:w="5048" w:type="dxa"/>
            <w:gridSpan w:val="2"/>
            <w:tcBorders>
              <w:top w:val="single" w:color="auto" w:sz="4" w:space="0"/>
              <w:left w:val="single" w:color="auto" w:sz="4" w:space="0"/>
              <w:bottom w:val="single" w:color="auto" w:sz="4" w:space="0"/>
            </w:tcBorders>
          </w:tcPr>
          <w:p w14:paraId="0BACE876">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符合第二章“报价人须知”前附表附录</w:t>
            </w:r>
            <w:r>
              <w:rPr>
                <w:rFonts w:hint="default" w:asciiTheme="minorEastAsia" w:hAnsiTheme="minorEastAsia" w:eastAsiaTheme="minorEastAsia" w:cstheme="minorEastAsia"/>
                <w:color w:val="000000" w:themeColor="text1"/>
                <w:sz w:val="21"/>
                <w:szCs w:val="21"/>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的规定</w:t>
            </w:r>
          </w:p>
        </w:tc>
      </w:tr>
      <w:tr w14:paraId="02DDF2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5" w:hRule="atLeast"/>
          <w:jc w:val="center"/>
        </w:trPr>
        <w:tc>
          <w:tcPr>
            <w:tcW w:w="727" w:type="dxa"/>
            <w:vMerge w:val="continue"/>
            <w:tcBorders>
              <w:top w:val="single" w:color="auto" w:sz="4" w:space="0"/>
              <w:bottom w:val="single" w:color="auto" w:sz="4" w:space="0"/>
              <w:right w:val="single" w:color="auto" w:sz="4" w:space="0"/>
            </w:tcBorders>
            <w:vAlign w:val="center"/>
          </w:tcPr>
          <w:p w14:paraId="43ED7A01">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41895B7D">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66FB565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项目主要管理人员最低要求</w:t>
            </w:r>
          </w:p>
        </w:tc>
        <w:tc>
          <w:tcPr>
            <w:tcW w:w="5048" w:type="dxa"/>
            <w:gridSpan w:val="2"/>
            <w:tcBorders>
              <w:top w:val="single" w:color="auto" w:sz="4" w:space="0"/>
              <w:left w:val="single" w:color="auto" w:sz="4" w:space="0"/>
              <w:bottom w:val="single" w:color="auto" w:sz="4" w:space="0"/>
            </w:tcBorders>
            <w:vAlign w:val="center"/>
          </w:tcPr>
          <w:p w14:paraId="5C93417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符合第二章“报价人须知”前附表附录</w:t>
            </w:r>
            <w:r>
              <w:rPr>
                <w:rFonts w:hint="default" w:asciiTheme="minorEastAsia" w:hAnsiTheme="minorEastAsia" w:eastAsiaTheme="minorEastAsia" w:cstheme="minorEastAsia"/>
                <w:color w:val="000000" w:themeColor="text1"/>
                <w:sz w:val="21"/>
                <w:szCs w:val="21"/>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的规定</w:t>
            </w:r>
          </w:p>
        </w:tc>
      </w:tr>
      <w:tr w14:paraId="708F34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727" w:type="dxa"/>
            <w:vMerge w:val="continue"/>
            <w:tcBorders>
              <w:top w:val="single" w:color="auto" w:sz="4" w:space="0"/>
              <w:bottom w:val="single" w:color="auto" w:sz="4" w:space="0"/>
              <w:right w:val="single" w:color="auto" w:sz="4" w:space="0"/>
            </w:tcBorders>
            <w:vAlign w:val="center"/>
          </w:tcPr>
          <w:p w14:paraId="6EFFB2E8">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1A18A80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54D91509">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信誉要求</w:t>
            </w:r>
          </w:p>
        </w:tc>
        <w:tc>
          <w:tcPr>
            <w:tcW w:w="5048" w:type="dxa"/>
            <w:gridSpan w:val="2"/>
            <w:tcBorders>
              <w:top w:val="single" w:color="auto" w:sz="4" w:space="0"/>
              <w:left w:val="single" w:color="auto" w:sz="4" w:space="0"/>
              <w:bottom w:val="single" w:color="auto" w:sz="4" w:space="0"/>
            </w:tcBorders>
            <w:vAlign w:val="center"/>
          </w:tcPr>
          <w:p w14:paraId="69129BA9">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符合第二章“报价人须知”前附表附录5的规定</w:t>
            </w:r>
          </w:p>
        </w:tc>
      </w:tr>
      <w:tr w14:paraId="2E808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727" w:type="dxa"/>
            <w:vMerge w:val="continue"/>
            <w:tcBorders>
              <w:top w:val="single" w:color="auto" w:sz="4" w:space="0"/>
              <w:bottom w:val="single" w:color="auto" w:sz="4" w:space="0"/>
              <w:right w:val="single" w:color="auto" w:sz="4" w:space="0"/>
            </w:tcBorders>
            <w:vAlign w:val="center"/>
          </w:tcPr>
          <w:p w14:paraId="039FA18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26E7E5C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7054BF15">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highlight w:val="none"/>
                <w:lang w:val="en-US" w:eastAsia="zh-CN"/>
                <w14:textFill>
                  <w14:solidFill>
                    <w14:schemeClr w14:val="tx1"/>
                  </w14:solidFill>
                </w14:textFill>
              </w:rPr>
              <w:t>其他</w:t>
            </w:r>
          </w:p>
        </w:tc>
        <w:tc>
          <w:tcPr>
            <w:tcW w:w="5048" w:type="dxa"/>
            <w:gridSpan w:val="2"/>
            <w:tcBorders>
              <w:top w:val="single" w:color="auto" w:sz="4" w:space="0"/>
              <w:left w:val="single" w:color="auto" w:sz="4" w:space="0"/>
              <w:bottom w:val="single" w:color="auto" w:sz="4" w:space="0"/>
            </w:tcBorders>
            <w:vAlign w:val="center"/>
          </w:tcPr>
          <w:p w14:paraId="1811648C">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符合第二章“报价人须知”前附表附录6的规定</w:t>
            </w:r>
          </w:p>
        </w:tc>
      </w:tr>
      <w:tr w14:paraId="5D7B2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1" w:hRule="atLeast"/>
          <w:jc w:val="center"/>
        </w:trPr>
        <w:tc>
          <w:tcPr>
            <w:tcW w:w="727" w:type="dxa"/>
            <w:vMerge w:val="restart"/>
            <w:tcBorders>
              <w:top w:val="single" w:color="auto" w:sz="4" w:space="0"/>
              <w:bottom w:val="single" w:color="auto" w:sz="4" w:space="0"/>
              <w:right w:val="single" w:color="auto" w:sz="4" w:space="0"/>
            </w:tcBorders>
            <w:vAlign w:val="center"/>
          </w:tcPr>
          <w:p w14:paraId="1737023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4</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14:paraId="356FF1C0">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响应性评审标准</w:t>
            </w:r>
          </w:p>
        </w:tc>
        <w:tc>
          <w:tcPr>
            <w:tcW w:w="1640" w:type="dxa"/>
            <w:tcBorders>
              <w:top w:val="single" w:color="auto" w:sz="4" w:space="0"/>
              <w:left w:val="single" w:color="auto" w:sz="4" w:space="0"/>
              <w:bottom w:val="single" w:color="auto" w:sz="4" w:space="0"/>
              <w:right w:val="single" w:color="auto" w:sz="4" w:space="0"/>
            </w:tcBorders>
            <w:vAlign w:val="center"/>
          </w:tcPr>
          <w:p w14:paraId="7193C74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投标内容</w:t>
            </w:r>
          </w:p>
        </w:tc>
        <w:tc>
          <w:tcPr>
            <w:tcW w:w="5048" w:type="dxa"/>
            <w:gridSpan w:val="2"/>
            <w:tcBorders>
              <w:top w:val="single" w:color="auto" w:sz="4" w:space="0"/>
              <w:left w:val="single" w:color="auto" w:sz="4" w:space="0"/>
              <w:bottom w:val="single" w:color="auto" w:sz="4" w:space="0"/>
            </w:tcBorders>
            <w:vAlign w:val="center"/>
          </w:tcPr>
          <w:p w14:paraId="5E8D0841">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符合第二章“报价人须知”第</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项规定</w:t>
            </w:r>
          </w:p>
        </w:tc>
      </w:tr>
      <w:tr w14:paraId="1D83A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14:paraId="1A24A68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left w:val="single" w:color="auto" w:sz="4" w:space="0"/>
              <w:right w:val="single" w:color="auto" w:sz="4" w:space="0"/>
            </w:tcBorders>
            <w:vAlign w:val="center"/>
          </w:tcPr>
          <w:p w14:paraId="33BB67C8">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30D484BF">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报价</w:t>
            </w:r>
          </w:p>
        </w:tc>
        <w:tc>
          <w:tcPr>
            <w:tcW w:w="5048" w:type="dxa"/>
            <w:gridSpan w:val="2"/>
            <w:tcBorders>
              <w:top w:val="single" w:color="auto" w:sz="4" w:space="0"/>
              <w:left w:val="single" w:color="auto" w:sz="4" w:space="0"/>
              <w:bottom w:val="single" w:color="auto" w:sz="4" w:space="0"/>
            </w:tcBorders>
            <w:vAlign w:val="center"/>
          </w:tcPr>
          <w:p w14:paraId="0881831D">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符合比选文件给出的范围及数量，且报价不得超过采购人公布的最高限价，但也不得低于报价人的企业成本。</w:t>
            </w:r>
          </w:p>
        </w:tc>
      </w:tr>
      <w:tr w14:paraId="6FD1D1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727" w:type="dxa"/>
            <w:vMerge w:val="continue"/>
            <w:tcBorders>
              <w:top w:val="single" w:color="auto" w:sz="4" w:space="0"/>
              <w:bottom w:val="single" w:color="auto" w:sz="4" w:space="0"/>
              <w:right w:val="single" w:color="auto" w:sz="4" w:space="0"/>
            </w:tcBorders>
            <w:vAlign w:val="center"/>
          </w:tcPr>
          <w:p w14:paraId="7ABCE7FA">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65AC8F0A">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0C87E0E9">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工期</w:t>
            </w:r>
          </w:p>
        </w:tc>
        <w:tc>
          <w:tcPr>
            <w:tcW w:w="5048" w:type="dxa"/>
            <w:gridSpan w:val="2"/>
            <w:tcBorders>
              <w:top w:val="single" w:color="auto" w:sz="4" w:space="0"/>
              <w:left w:val="single" w:color="auto" w:sz="4" w:space="0"/>
              <w:bottom w:val="single" w:color="auto" w:sz="4" w:space="0"/>
            </w:tcBorders>
            <w:vAlign w:val="center"/>
          </w:tcPr>
          <w:p w14:paraId="12B4D878">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符合第二章“报价人须知”第</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项规定</w:t>
            </w:r>
          </w:p>
        </w:tc>
      </w:tr>
      <w:tr w14:paraId="1B055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atLeast"/>
          <w:jc w:val="center"/>
        </w:trPr>
        <w:tc>
          <w:tcPr>
            <w:tcW w:w="727" w:type="dxa"/>
            <w:vMerge w:val="continue"/>
            <w:tcBorders>
              <w:top w:val="single" w:color="auto" w:sz="4" w:space="0"/>
              <w:bottom w:val="single" w:color="auto" w:sz="4" w:space="0"/>
              <w:right w:val="single" w:color="auto" w:sz="4" w:space="0"/>
            </w:tcBorders>
            <w:vAlign w:val="center"/>
          </w:tcPr>
          <w:p w14:paraId="694BFCF5">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56E0B064">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45C82553">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质量标准</w:t>
            </w:r>
          </w:p>
        </w:tc>
        <w:tc>
          <w:tcPr>
            <w:tcW w:w="5048" w:type="dxa"/>
            <w:gridSpan w:val="2"/>
            <w:tcBorders>
              <w:top w:val="single" w:color="auto" w:sz="4" w:space="0"/>
              <w:left w:val="single" w:color="auto" w:sz="4" w:space="0"/>
              <w:bottom w:val="single" w:color="auto" w:sz="4" w:space="0"/>
            </w:tcBorders>
            <w:vAlign w:val="center"/>
          </w:tcPr>
          <w:p w14:paraId="319EC9EC">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符合第二章“报价人须知”第</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项规定</w:t>
            </w:r>
          </w:p>
        </w:tc>
      </w:tr>
      <w:tr w14:paraId="65E943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2" w:hRule="atLeast"/>
          <w:jc w:val="center"/>
        </w:trPr>
        <w:tc>
          <w:tcPr>
            <w:tcW w:w="727" w:type="dxa"/>
            <w:vMerge w:val="continue"/>
            <w:tcBorders>
              <w:top w:val="single" w:color="auto" w:sz="4" w:space="0"/>
              <w:bottom w:val="single" w:color="auto" w:sz="4" w:space="0"/>
              <w:right w:val="single" w:color="auto" w:sz="4" w:space="0"/>
            </w:tcBorders>
            <w:vAlign w:val="center"/>
          </w:tcPr>
          <w:p w14:paraId="01FAE90E">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14:paraId="0DAFE70B">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vAlign w:val="center"/>
          </w:tcPr>
          <w:p w14:paraId="249D479E">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安全目标</w:t>
            </w:r>
          </w:p>
        </w:tc>
        <w:tc>
          <w:tcPr>
            <w:tcW w:w="5048" w:type="dxa"/>
            <w:gridSpan w:val="2"/>
            <w:tcBorders>
              <w:top w:val="single" w:color="auto" w:sz="4" w:space="0"/>
              <w:left w:val="single" w:color="auto" w:sz="4" w:space="0"/>
              <w:bottom w:val="single" w:color="auto" w:sz="4" w:space="0"/>
            </w:tcBorders>
            <w:vAlign w:val="center"/>
          </w:tcPr>
          <w:p w14:paraId="4313783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符合第二章“报价人须知”第</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项规定</w:t>
            </w:r>
          </w:p>
        </w:tc>
      </w:tr>
      <w:tr w14:paraId="6127F7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14:paraId="6BB8173A">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t>5</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21A72553">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t>分值构成</w:t>
            </w:r>
          </w:p>
          <w:p w14:paraId="0BCF9FD0">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t>(总分1O0分)</w:t>
            </w:r>
          </w:p>
        </w:tc>
        <w:tc>
          <w:tcPr>
            <w:tcW w:w="6688" w:type="dxa"/>
            <w:gridSpan w:val="3"/>
            <w:tcBorders>
              <w:top w:val="single" w:color="auto" w:sz="4" w:space="0"/>
              <w:left w:val="single" w:color="auto" w:sz="4" w:space="0"/>
              <w:bottom w:val="single" w:color="auto" w:sz="4" w:space="0"/>
            </w:tcBorders>
          </w:tcPr>
          <w:p w14:paraId="75DFB5DD">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A：投标报价</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0分；</w:t>
            </w:r>
          </w:p>
          <w:p w14:paraId="5FECDE8F">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B：商务部分</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0分；</w:t>
            </w:r>
          </w:p>
          <w:p w14:paraId="009BCAB5">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C：技术部分</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0分。</w:t>
            </w:r>
          </w:p>
        </w:tc>
      </w:tr>
      <w:tr w14:paraId="7B4EE4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42" w:hRule="atLeast"/>
          <w:jc w:val="center"/>
        </w:trPr>
        <w:tc>
          <w:tcPr>
            <w:tcW w:w="727" w:type="dxa"/>
            <w:tcBorders>
              <w:top w:val="single" w:color="auto" w:sz="4" w:space="0"/>
              <w:bottom w:val="single" w:color="auto" w:sz="4" w:space="0"/>
              <w:right w:val="single" w:color="auto" w:sz="4" w:space="0"/>
            </w:tcBorders>
            <w:vAlign w:val="center"/>
          </w:tcPr>
          <w:p w14:paraId="7D142DEA">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lang w:val="en-US" w:eastAsia="zh-CN"/>
                <w14:textFill>
                  <w14:solidFill>
                    <w14:schemeClr w14:val="tx1"/>
                  </w14:solidFill>
                </w14:textFill>
              </w:rPr>
              <w:t>6</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2E1EF98E">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lang w:val="en-US" w:eastAsia="zh-CN" w:bidi="ar"/>
                <w14:textFill>
                  <w14:solidFill>
                    <w14:schemeClr w14:val="tx1"/>
                  </w14:solidFill>
                </w14:textFill>
              </w:rPr>
              <w:t>评标基准价计算方法</w:t>
            </w:r>
          </w:p>
        </w:tc>
        <w:tc>
          <w:tcPr>
            <w:tcW w:w="6688" w:type="dxa"/>
            <w:gridSpan w:val="3"/>
            <w:tcBorders>
              <w:top w:val="single" w:color="auto" w:sz="4" w:space="0"/>
              <w:left w:val="single" w:color="auto" w:sz="4" w:space="0"/>
              <w:bottom w:val="single" w:color="auto" w:sz="4" w:space="0"/>
            </w:tcBorders>
            <w:vAlign w:val="top"/>
          </w:tcPr>
          <w:p w14:paraId="7781D5FA">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pPr>
          </w:p>
          <w:p w14:paraId="5017B1EA">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由评标委员会计算评标基准价：</w:t>
            </w:r>
          </w:p>
          <w:p w14:paraId="3EEF25D7">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（1）评标价的确定：评标价＝投标函文字报价</w:t>
            </w:r>
          </w:p>
          <w:p w14:paraId="0082A0F8">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（2）评标基准价的确定：</w:t>
            </w:r>
          </w:p>
          <w:p w14:paraId="715A41E6">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在通过初步评审后且不高于最高限价的投标报价中去掉六分之一（不能整除的按小数前整数取整，不足六家报价则不去掉）的最低价和相同家数的最高价后的算术平均值K1即为评标基准价。</w:t>
            </w:r>
          </w:p>
          <w:p w14:paraId="6F5D0ED4">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评标基准价=K1</w:t>
            </w:r>
          </w:p>
          <w:p w14:paraId="1363D5AC">
            <w:pPr>
              <w:pStyle w:val="37"/>
              <w:keepNext w:val="0"/>
              <w:keepLines w:val="0"/>
              <w:widowControl w:val="0"/>
              <w:suppressLineNumbers w:val="0"/>
              <w:spacing w:before="0" w:beforeAutospacing="0" w:after="0" w:afterAutospacing="0" w:line="320" w:lineRule="exact"/>
              <w:ind w:left="0" w:leftChars="0" w:right="0" w:rightChars="0" w:firstLine="0" w:firstLineChars="0"/>
              <w:jc w:val="both"/>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以上计算取小数点后两位，第三位四舍五入。</w:t>
            </w:r>
          </w:p>
        </w:tc>
      </w:tr>
      <w:tr w14:paraId="520E46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tcBorders>
              <w:top w:val="single" w:color="auto" w:sz="4" w:space="0"/>
              <w:bottom w:val="single" w:color="auto" w:sz="4" w:space="0"/>
              <w:right w:val="single" w:color="auto" w:sz="4" w:space="0"/>
            </w:tcBorders>
            <w:vAlign w:val="center"/>
          </w:tcPr>
          <w:p w14:paraId="6974D297">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none"/>
                <w:lang w:val="en-US" w:eastAsia="zh-CN"/>
                <w14:textFill>
                  <w14:solidFill>
                    <w14:schemeClr w14:val="tx1"/>
                  </w14:solidFill>
                </w14:textFill>
              </w:rPr>
              <w:t>7</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42A56E34">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评标价的偏差率计算公式</w:t>
            </w:r>
          </w:p>
        </w:tc>
        <w:tc>
          <w:tcPr>
            <w:tcW w:w="6688" w:type="dxa"/>
            <w:gridSpan w:val="3"/>
            <w:tcBorders>
              <w:top w:val="single" w:color="auto" w:sz="4" w:space="0"/>
              <w:left w:val="single" w:color="auto" w:sz="4" w:space="0"/>
              <w:bottom w:val="single" w:color="auto" w:sz="4" w:space="0"/>
            </w:tcBorders>
            <w:vAlign w:val="center"/>
          </w:tcPr>
          <w:p w14:paraId="6066E15E">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t>偏差率＝100%×（投标价-评标基准价）/评标基准价，偏差率为百分率（示例：xx.xx%)，偏差率计算保留小数点后两位，小数点后第三位“四舍五入”。</w:t>
            </w:r>
          </w:p>
        </w:tc>
      </w:tr>
      <w:tr w14:paraId="685E3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727" w:type="dxa"/>
            <w:tcBorders>
              <w:top w:val="single" w:color="auto" w:sz="4" w:space="0"/>
              <w:bottom w:val="single" w:color="auto" w:sz="4" w:space="0"/>
              <w:right w:val="single" w:color="auto" w:sz="4" w:space="0"/>
            </w:tcBorders>
            <w:vAlign w:val="center"/>
          </w:tcPr>
          <w:p w14:paraId="567DF7EA">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t>条款号</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40F28FB0">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t>评分因素权重分值</w:t>
            </w:r>
          </w:p>
        </w:tc>
        <w:tc>
          <w:tcPr>
            <w:tcW w:w="5667" w:type="dxa"/>
            <w:gridSpan w:val="2"/>
            <w:tcBorders>
              <w:top w:val="single" w:color="auto" w:sz="4" w:space="0"/>
              <w:left w:val="single" w:color="auto" w:sz="4" w:space="0"/>
              <w:bottom w:val="single" w:color="auto" w:sz="4" w:space="0"/>
            </w:tcBorders>
            <w:vAlign w:val="center"/>
          </w:tcPr>
          <w:p w14:paraId="3604B3D8">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t>各评分因素细分项</w:t>
            </w:r>
          </w:p>
        </w:tc>
        <w:tc>
          <w:tcPr>
            <w:tcW w:w="1021" w:type="dxa"/>
            <w:tcBorders>
              <w:top w:val="single" w:color="auto" w:sz="4" w:space="0"/>
              <w:left w:val="single" w:color="auto" w:sz="4" w:space="0"/>
              <w:bottom w:val="single" w:color="auto" w:sz="4" w:space="0"/>
            </w:tcBorders>
            <w:vAlign w:val="center"/>
          </w:tcPr>
          <w:p w14:paraId="385CFC35">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t>备注</w:t>
            </w:r>
          </w:p>
        </w:tc>
      </w:tr>
      <w:tr w14:paraId="73E4DC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14:paraId="7C5ADE8F">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8</w:t>
            </w:r>
          </w:p>
        </w:tc>
        <w:tc>
          <w:tcPr>
            <w:tcW w:w="961" w:type="dxa"/>
            <w:vMerge w:val="restart"/>
            <w:tcBorders>
              <w:top w:val="single" w:color="auto" w:sz="4" w:space="0"/>
              <w:left w:val="single" w:color="auto" w:sz="4" w:space="0"/>
              <w:bottom w:val="single" w:color="auto" w:sz="4" w:space="0"/>
              <w:right w:val="single" w:color="auto" w:sz="4" w:space="0"/>
            </w:tcBorders>
            <w:vAlign w:val="center"/>
          </w:tcPr>
          <w:p w14:paraId="62813FE7">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商务评分标准（10分）</w:t>
            </w:r>
          </w:p>
        </w:tc>
        <w:tc>
          <w:tcPr>
            <w:tcW w:w="1048" w:type="dxa"/>
            <w:tcBorders>
              <w:top w:val="single" w:color="auto" w:sz="4" w:space="0"/>
              <w:left w:val="single" w:color="auto" w:sz="4" w:space="0"/>
              <w:bottom w:val="single" w:color="auto" w:sz="4" w:space="0"/>
              <w:right w:val="single" w:color="auto" w:sz="4" w:space="0"/>
            </w:tcBorders>
            <w:vAlign w:val="center"/>
          </w:tcPr>
          <w:p w14:paraId="6A3955CC">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color w:val="000000" w:themeColor="text1"/>
                <w14:textFill>
                  <w14:solidFill>
                    <w14:schemeClr w14:val="tx1"/>
                  </w14:solidFill>
                </w14:textFill>
              </w:rPr>
              <w:t>业绩要求（8分）</w:t>
            </w:r>
          </w:p>
        </w:tc>
        <w:tc>
          <w:tcPr>
            <w:tcW w:w="5667" w:type="dxa"/>
            <w:gridSpan w:val="2"/>
            <w:tcBorders>
              <w:top w:val="single" w:color="auto" w:sz="4" w:space="0"/>
              <w:left w:val="single" w:color="auto" w:sz="4" w:space="0"/>
              <w:bottom w:val="single" w:color="auto" w:sz="4" w:space="0"/>
            </w:tcBorders>
            <w:vAlign w:val="center"/>
          </w:tcPr>
          <w:p w14:paraId="1C1795C4">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1.满足资格条件的业绩要求得4分；</w:t>
            </w:r>
          </w:p>
          <w:p w14:paraId="2740FFC8">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2.在满足资格条件的业绩要求基础上，2022年1月1日至报价截止日(以合同签订时间为准）至少具有1个合同金额不低于100万元的公路行业消防工程项目业绩的得2分，本项最多得4分。</w:t>
            </w:r>
          </w:p>
          <w:p w14:paraId="6B296D2F">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b/>
                <w:color w:val="000000" w:themeColor="text1"/>
                <w:kern w:val="2"/>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 xml:space="preserve">   注：需提供以上业绩合同扫描件加盖公章。</w:t>
            </w:r>
          </w:p>
        </w:tc>
        <w:tc>
          <w:tcPr>
            <w:tcW w:w="1021" w:type="dxa"/>
            <w:tcBorders>
              <w:top w:val="single" w:color="auto" w:sz="4" w:space="0"/>
              <w:left w:val="single" w:color="auto" w:sz="4" w:space="0"/>
              <w:bottom w:val="single" w:color="auto" w:sz="4" w:space="0"/>
            </w:tcBorders>
            <w:vAlign w:val="center"/>
          </w:tcPr>
          <w:p w14:paraId="139FE1E0">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pPr>
          </w:p>
        </w:tc>
      </w:tr>
      <w:tr w14:paraId="051FED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bottom w:val="single" w:color="auto" w:sz="4" w:space="0"/>
              <w:right w:val="single" w:color="auto" w:sz="4" w:space="0"/>
            </w:tcBorders>
            <w:vAlign w:val="center"/>
          </w:tcPr>
          <w:p w14:paraId="1368EE51">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p>
        </w:tc>
        <w:tc>
          <w:tcPr>
            <w:tcW w:w="961" w:type="dxa"/>
            <w:vMerge w:val="continue"/>
            <w:tcBorders>
              <w:top w:val="single" w:color="auto" w:sz="4" w:space="0"/>
              <w:left w:val="single" w:color="auto" w:sz="4" w:space="0"/>
              <w:bottom w:val="single" w:color="auto" w:sz="4" w:space="0"/>
              <w:right w:val="single" w:color="auto" w:sz="4" w:space="0"/>
            </w:tcBorders>
            <w:vAlign w:val="center"/>
          </w:tcPr>
          <w:p w14:paraId="1078686A">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p>
        </w:tc>
        <w:tc>
          <w:tcPr>
            <w:tcW w:w="1048" w:type="dxa"/>
            <w:tcBorders>
              <w:top w:val="single" w:color="auto" w:sz="4" w:space="0"/>
              <w:left w:val="single" w:color="auto" w:sz="4" w:space="0"/>
              <w:bottom w:val="single" w:color="auto" w:sz="4" w:space="0"/>
              <w:right w:val="single" w:color="auto" w:sz="4" w:space="0"/>
            </w:tcBorders>
            <w:vAlign w:val="center"/>
          </w:tcPr>
          <w:p w14:paraId="0F5E4EA1">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财务要求</w:t>
            </w:r>
            <w:r>
              <w:rPr>
                <w:rFonts w:hint="eastAsia"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2</w:t>
            </w:r>
            <w:r>
              <w:rPr>
                <w:rFonts w:hint="eastAsia" w:ascii="Times New Roman" w:hAnsi="Times New Roman" w:eastAsia="宋体" w:cs="Times New Roman"/>
                <w:color w:val="000000" w:themeColor="text1"/>
                <w14:textFill>
                  <w14:solidFill>
                    <w14:schemeClr w14:val="tx1"/>
                  </w14:solidFill>
                </w14:textFill>
              </w:rPr>
              <w:t>分）</w:t>
            </w:r>
          </w:p>
        </w:tc>
        <w:tc>
          <w:tcPr>
            <w:tcW w:w="5667" w:type="dxa"/>
            <w:gridSpan w:val="2"/>
            <w:tcBorders>
              <w:top w:val="single" w:color="auto" w:sz="4" w:space="0"/>
              <w:left w:val="single" w:color="auto" w:sz="4" w:space="0"/>
              <w:bottom w:val="single" w:color="auto" w:sz="4" w:space="0"/>
            </w:tcBorders>
            <w:vAlign w:val="center"/>
          </w:tcPr>
          <w:p w14:paraId="4EE90752">
            <w:pPr>
              <w:pStyle w:val="2"/>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 w:val="0"/>
                <w:bCs w:val="0"/>
                <w:color w:val="000000" w:themeColor="text1"/>
                <w:kern w:val="0"/>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1"/>
                <w:szCs w:val="21"/>
                <w:highlight w:val="none"/>
                <w:lang w:val="en-US" w:eastAsia="zh-CN" w:bidi="ar"/>
                <w14:textFill>
                  <w14:solidFill>
                    <w14:schemeClr w14:val="tx1"/>
                  </w14:solidFill>
                </w14:textFill>
              </w:rPr>
              <w:t>投标人2022年、2023年以及2024年经营状况良好，3年均不亏损得2分；其余情况不得分。</w:t>
            </w:r>
          </w:p>
          <w:p w14:paraId="3BA3515B">
            <w:pPr>
              <w:pStyle w:val="2"/>
              <w:suppressLineNumbers w:val="0"/>
              <w:spacing w:before="0" w:beforeAutospacing="0" w:after="0" w:afterAutospacing="0" w:line="400" w:lineRule="exact"/>
              <w:ind w:left="0" w:leftChars="0" w:right="0" w:rightChars="0"/>
              <w:rPr>
                <w:rFonts w:hint="eastAsia" w:asciiTheme="minorEastAsia" w:hAnsiTheme="minorEastAsia" w:eastAsiaTheme="minorEastAsia" w:cstheme="minorEastAsia"/>
                <w:b/>
                <w:color w:val="000000" w:themeColor="text1"/>
                <w:kern w:val="2"/>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1"/>
                <w:szCs w:val="21"/>
                <w:highlight w:val="none"/>
                <w:lang w:val="en-US" w:eastAsia="zh-CN" w:bidi="ar"/>
                <w14:textFill>
                  <w14:solidFill>
                    <w14:schemeClr w14:val="tx1"/>
                  </w14:solidFill>
                </w14:textFill>
              </w:rPr>
              <w:t>注：提供第三方审计机构出具的审计报告复印件并加盖投标人公章。</w:t>
            </w:r>
          </w:p>
        </w:tc>
        <w:tc>
          <w:tcPr>
            <w:tcW w:w="1021" w:type="dxa"/>
            <w:tcBorders>
              <w:top w:val="single" w:color="auto" w:sz="4" w:space="0"/>
              <w:left w:val="single" w:color="auto" w:sz="4" w:space="0"/>
              <w:bottom w:val="single" w:color="auto" w:sz="4" w:space="0"/>
            </w:tcBorders>
            <w:vAlign w:val="center"/>
          </w:tcPr>
          <w:p w14:paraId="54B0D506">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pPr>
          </w:p>
        </w:tc>
      </w:tr>
      <w:tr w14:paraId="785B2D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right w:val="single" w:color="auto" w:sz="4" w:space="0"/>
            </w:tcBorders>
            <w:vAlign w:val="center"/>
          </w:tcPr>
          <w:p w14:paraId="24E3EFAA">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9</w:t>
            </w:r>
          </w:p>
        </w:tc>
        <w:tc>
          <w:tcPr>
            <w:tcW w:w="961" w:type="dxa"/>
            <w:tcBorders>
              <w:top w:val="single" w:color="auto" w:sz="4" w:space="0"/>
              <w:left w:val="single" w:color="auto" w:sz="4" w:space="0"/>
              <w:right w:val="single" w:color="auto" w:sz="4" w:space="0"/>
            </w:tcBorders>
            <w:vAlign w:val="center"/>
          </w:tcPr>
          <w:p w14:paraId="32B485CE">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技术评分标准（20分）</w:t>
            </w:r>
          </w:p>
        </w:tc>
        <w:tc>
          <w:tcPr>
            <w:tcW w:w="1048" w:type="dxa"/>
            <w:tcBorders>
              <w:top w:val="single" w:color="auto" w:sz="4" w:space="0"/>
              <w:left w:val="single" w:color="auto" w:sz="4" w:space="0"/>
              <w:bottom w:val="single" w:color="auto" w:sz="4" w:space="0"/>
              <w:right w:val="single" w:color="auto" w:sz="4" w:space="0"/>
            </w:tcBorders>
            <w:vAlign w:val="center"/>
          </w:tcPr>
          <w:p w14:paraId="7AF55480">
            <w:pPr>
              <w:keepNext w:val="0"/>
              <w:keepLines w:val="0"/>
              <w:suppressLineNumbers w:val="0"/>
              <w:autoSpaceDE w:val="0"/>
              <w:autoSpaceDN w:val="0"/>
              <w:adjustRightInd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施工组织设计</w:t>
            </w:r>
            <w:r>
              <w:rPr>
                <w:rFonts w:hint="eastAsia" w:ascii="宋体" w:hAnsi="宋体" w:cs="宋体"/>
                <w:color w:val="000000" w:themeColor="text1"/>
                <w:highlight w:val="none"/>
                <w14:textFill>
                  <w14:solidFill>
                    <w14:schemeClr w14:val="tx1"/>
                  </w14:solidFill>
                </w14:textFill>
              </w:rPr>
              <w:t>方案</w:t>
            </w:r>
            <w:r>
              <w:rPr>
                <w:rFonts w:hint="eastAsia" w:ascii="宋体" w:hAnsi="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lang w:val="en-US" w:eastAsia="zh-CN"/>
                <w14:textFill>
                  <w14:solidFill>
                    <w14:schemeClr w14:val="tx1"/>
                  </w14:solidFill>
                </w14:textFill>
              </w:rPr>
              <w:t>20</w:t>
            </w:r>
            <w:r>
              <w:rPr>
                <w:rFonts w:hint="eastAsia" w:ascii="宋体" w:hAnsi="宋体" w:cs="宋体"/>
                <w:color w:val="000000" w:themeColor="text1"/>
                <w:kern w:val="0"/>
                <w:szCs w:val="21"/>
                <w:highlight w:val="none"/>
                <w14:textFill>
                  <w14:solidFill>
                    <w14:schemeClr w14:val="tx1"/>
                  </w14:solidFill>
                </w14:textFill>
              </w:rPr>
              <w:t>分）</w:t>
            </w:r>
          </w:p>
        </w:tc>
        <w:tc>
          <w:tcPr>
            <w:tcW w:w="5667" w:type="dxa"/>
            <w:gridSpan w:val="2"/>
            <w:tcBorders>
              <w:top w:val="single" w:color="auto" w:sz="4" w:space="0"/>
              <w:left w:val="single" w:color="auto" w:sz="4" w:space="0"/>
              <w:bottom w:val="single" w:color="auto" w:sz="4" w:space="0"/>
            </w:tcBorders>
            <w:vAlign w:val="center"/>
          </w:tcPr>
          <w:p w14:paraId="3D937FE8">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施工组织设计方案需包含以下内容：</w:t>
            </w:r>
          </w:p>
          <w:p w14:paraId="20817D5C">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1.施工方案与技术措施，包括工程特点、重点与难点描述的准确性及相应针对性措施。</w:t>
            </w:r>
          </w:p>
          <w:p w14:paraId="021AF8F6">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2.质量、安全、文明施工及环境保护管理体系与防噪音施工措施。</w:t>
            </w:r>
          </w:p>
          <w:p w14:paraId="08C46A3B">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 xml:space="preserve">3.施工总进度计划及保证措施，包含但不限于：详细的项目进度计划、项目工期保证措施、管理措施。                                                                </w:t>
            </w:r>
          </w:p>
          <w:p w14:paraId="49725652">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4.资源配备计划，包括主要施工设备、检测试验和仪表设备、主要材料及劳动力计划。</w:t>
            </w:r>
          </w:p>
          <w:p w14:paraId="10955D9D">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5.对重大危险源的识别分析管理措施；特殊气候条件下的施工方案；紧急情况的处理措施、预案以及抵抗风险的措施；成品保护和工程保修工作的管理措施和承诺。</w:t>
            </w:r>
          </w:p>
          <w:p w14:paraId="47F699EF">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6.对专业工程的配合、协调、管理、服务方案；与采购人的配合。</w:t>
            </w:r>
          </w:p>
          <w:p w14:paraId="51AF76E5">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 xml:space="preserve">7.项目管理机构（含项目负责人、技术负责人、质量负责人、安全负责人及其他主要人员的资格）；对项目管理机构人员的到位情况承诺。                      </w:t>
            </w:r>
          </w:p>
          <w:p w14:paraId="1D176C84">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8.应急预案：提供详细合理的应急预案，包括但不限于：施工过程常见风险因素应急预案、针对本项目实施过程实际情况可能发生的应急预案。</w:t>
            </w:r>
          </w:p>
          <w:p w14:paraId="68F6CD95">
            <w:pPr>
              <w:pStyle w:val="41"/>
              <w:keepNext w:val="0"/>
              <w:keepLines w:val="0"/>
              <w:suppressLineNumbers w:val="0"/>
              <w:spacing w:before="0" w:beforeAutospacing="0" w:afterAutospacing="0" w:line="400" w:lineRule="exact"/>
              <w:ind w:left="0" w:leftChars="0" w:right="0" w:rightChars="0" w:firstLine="420" w:firstLineChars="200"/>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bidi="ar"/>
                <w14:textFill>
                  <w14:solidFill>
                    <w14:schemeClr w14:val="tx1"/>
                  </w14:solidFill>
                </w14:textFill>
              </w:rPr>
              <w:t>综合比较打分：方案描述清晰、完整，可操作性强得20-16分，方案描述较清晰、较完整，可操作性较强得15.99-12分；方案描述不够清晰，不够完整得11.99-0分。保留小数点后两位。</w:t>
            </w:r>
          </w:p>
        </w:tc>
        <w:tc>
          <w:tcPr>
            <w:tcW w:w="1021" w:type="dxa"/>
            <w:tcBorders>
              <w:top w:val="single" w:color="auto" w:sz="4" w:space="0"/>
              <w:left w:val="single" w:color="auto" w:sz="4" w:space="0"/>
            </w:tcBorders>
            <w:vAlign w:val="center"/>
          </w:tcPr>
          <w:p w14:paraId="1F2A0E5C">
            <w:pPr>
              <w:keepNext w:val="0"/>
              <w:keepLines w:val="0"/>
              <w:widowControl w:val="0"/>
              <w:suppressLineNumbers w:val="0"/>
              <w:spacing w:before="0" w:beforeAutospacing="0" w:after="0" w:afterAutospacing="0"/>
              <w:ind w:left="0" w:right="0"/>
              <w:jc w:val="both"/>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技术得分由评标委员会各成员打分后的算术平均值作为投标人的技术得分。评标委员打分时保留两位小数。</w:t>
            </w:r>
          </w:p>
          <w:p w14:paraId="0DE5CAFF">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pPr>
          </w:p>
        </w:tc>
      </w:tr>
      <w:tr w14:paraId="0A532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14:paraId="40925A36">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10</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58EFF757">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0" w:firstLineChars="0"/>
              <w:jc w:val="center"/>
              <w:textAlignment w:val="baseline"/>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评标价（70分）</w:t>
            </w:r>
          </w:p>
        </w:tc>
        <w:tc>
          <w:tcPr>
            <w:tcW w:w="5667" w:type="dxa"/>
            <w:gridSpan w:val="2"/>
            <w:tcBorders>
              <w:top w:val="single" w:color="auto" w:sz="4" w:space="0"/>
              <w:left w:val="single" w:color="auto" w:sz="4" w:space="0"/>
              <w:bottom w:val="single" w:color="auto" w:sz="4" w:space="0"/>
            </w:tcBorders>
            <w:vAlign w:val="center"/>
          </w:tcPr>
          <w:p w14:paraId="04226C80">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420" w:firstLineChars="200"/>
              <w:jc w:val="both"/>
              <w:textAlignment w:val="baseline"/>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1.</w:t>
            </w:r>
            <w:r>
              <w:rPr>
                <w:rFonts w:hint="eastAsia" w:asciiTheme="minorEastAsia" w:hAnsiTheme="minorEastAsia" w:eastAsiaTheme="minorEastAsia" w:cstheme="minorEastAsia"/>
                <w:color w:val="000000" w:themeColor="text1"/>
                <w:kern w:val="2"/>
                <w:sz w:val="21"/>
                <w:szCs w:val="21"/>
                <w:highlight w:val="none"/>
                <w:lang w:bidi="ar"/>
                <w14:textFill>
                  <w14:solidFill>
                    <w14:schemeClr w14:val="tx1"/>
                  </w14:solidFill>
                </w14:textFill>
              </w:rPr>
              <w:t>所有有效投标报价分别与评标基准价相比较，等于基准价得</w:t>
            </w: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7</w:t>
            </w:r>
            <w:r>
              <w:rPr>
                <w:rFonts w:hint="eastAsia" w:asciiTheme="minorEastAsia" w:hAnsiTheme="minorEastAsia" w:eastAsiaTheme="minorEastAsia" w:cstheme="minorEastAsia"/>
                <w:color w:val="000000" w:themeColor="text1"/>
                <w:kern w:val="2"/>
                <w:sz w:val="21"/>
                <w:szCs w:val="21"/>
                <w:highlight w:val="none"/>
                <w:lang w:bidi="ar"/>
                <w14:textFill>
                  <w14:solidFill>
                    <w14:schemeClr w14:val="tx1"/>
                  </w14:solidFill>
                </w14:textFill>
              </w:rPr>
              <w:t>0分，每增加1%扣</w:t>
            </w: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1</w:t>
            </w:r>
            <w:r>
              <w:rPr>
                <w:rFonts w:hint="eastAsia" w:asciiTheme="minorEastAsia" w:hAnsiTheme="minorEastAsia" w:eastAsiaTheme="minorEastAsia" w:cstheme="minorEastAsia"/>
                <w:color w:val="000000" w:themeColor="text1"/>
                <w:kern w:val="2"/>
                <w:sz w:val="21"/>
                <w:szCs w:val="21"/>
                <w:highlight w:val="none"/>
                <w:lang w:bidi="ar"/>
                <w14:textFill>
                  <w14:solidFill>
                    <w14:schemeClr w14:val="tx1"/>
                  </w14:solidFill>
                </w14:textFill>
              </w:rPr>
              <w:t>分；每减少1%扣0.</w:t>
            </w: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5</w:t>
            </w:r>
            <w:r>
              <w:rPr>
                <w:rFonts w:hint="eastAsia" w:asciiTheme="minorEastAsia" w:hAnsiTheme="minorEastAsia" w:eastAsiaTheme="minorEastAsia" w:cstheme="minorEastAsia"/>
                <w:color w:val="000000" w:themeColor="text1"/>
                <w:kern w:val="2"/>
                <w:sz w:val="21"/>
                <w:szCs w:val="21"/>
                <w:highlight w:val="none"/>
                <w:lang w:bidi="ar"/>
                <w14:textFill>
                  <w14:solidFill>
                    <w14:schemeClr w14:val="tx1"/>
                  </w14:solidFill>
                </w14:textFill>
              </w:rPr>
              <w:t>分。按插入法计算得分。以上计算取小数点后两位，第三位四舍五入。</w:t>
            </w:r>
          </w:p>
        </w:tc>
        <w:tc>
          <w:tcPr>
            <w:tcW w:w="1021" w:type="dxa"/>
            <w:tcBorders>
              <w:top w:val="single" w:color="auto" w:sz="4" w:space="0"/>
              <w:left w:val="single" w:color="auto" w:sz="4" w:space="0"/>
              <w:bottom w:val="single" w:color="auto" w:sz="4" w:space="0"/>
            </w:tcBorders>
            <w:vAlign w:val="center"/>
          </w:tcPr>
          <w:p w14:paraId="00DA648C">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pPr>
          </w:p>
        </w:tc>
      </w:tr>
      <w:tr w14:paraId="2AC7B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14:paraId="54631D13">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1"/>
                <w:szCs w:val="21"/>
                <w:highlight w:val="none"/>
                <w:lang w:val="en-US" w:eastAsia="zh-CN" w:bidi="ar"/>
                <w14:textFill>
                  <w14:solidFill>
                    <w14:schemeClr w14:val="tx1"/>
                  </w14:solidFill>
                </w14:textFill>
              </w:rPr>
              <w:t>11</w:t>
            </w:r>
          </w:p>
        </w:tc>
        <w:tc>
          <w:tcPr>
            <w:tcW w:w="8697" w:type="dxa"/>
            <w:gridSpan w:val="5"/>
            <w:tcBorders>
              <w:top w:val="single" w:color="auto" w:sz="4" w:space="0"/>
              <w:left w:val="single" w:color="auto" w:sz="4" w:space="0"/>
              <w:bottom w:val="single" w:color="auto" w:sz="4" w:space="0"/>
            </w:tcBorders>
            <w:vAlign w:val="center"/>
          </w:tcPr>
          <w:p w14:paraId="1EB72BDC">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补充正文：</w:t>
            </w:r>
          </w:p>
          <w:p w14:paraId="02ABAA1E">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中标候选人推荐办法：</w:t>
            </w:r>
          </w:p>
          <w:p w14:paraId="2F44CE1D">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1.对通过评审的投标人按照综合得分（商务得分+技术得分+报价得分）由高到低排序。</w:t>
            </w:r>
          </w:p>
          <w:p w14:paraId="683E3373">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b/>
                <w:color w:val="000000" w:themeColor="text1"/>
                <w:kern w:val="2"/>
                <w:sz w:val="21"/>
                <w:szCs w:val="21"/>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en-US" w:eastAsia="zh-CN" w:bidi="ar"/>
                <w14:textFill>
                  <w14:solidFill>
                    <w14:schemeClr w14:val="tx1"/>
                  </w14:solidFill>
                </w14:textFill>
              </w:rPr>
              <w:t>2.按评标综合得分由高到低排序推荐2名中标候选人。</w:t>
            </w:r>
          </w:p>
        </w:tc>
      </w:tr>
    </w:tbl>
    <w:p w14:paraId="7E5C1457">
      <w:pPr>
        <w:jc w:val="left"/>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p>
    <w:p w14:paraId="3DCD78A8">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一、</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综合评</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估</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法，是指</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满足</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全部实质性要求且按照评审因素的量化指标评审得分最高的报价人为中标候选人的评标方法。报价人总得分为价格、商务、技术等评定因素分别按照相应权重值计算分项得分后相加，满分为100分。</w:t>
      </w:r>
    </w:p>
    <w:p w14:paraId="5C63CF2B">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（一）符合性审查</w:t>
      </w:r>
    </w:p>
    <w:p w14:paraId="55F8D289">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评标委员会应当对符合资格的报价人的</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进行符合性审查，以确定其是否满足</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的实质性要求。</w:t>
      </w:r>
    </w:p>
    <w:p w14:paraId="33A76B43">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（二）澄清有关问题。对</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中含义不明确、同类问题表述不一致或者有明显文字和计算错误的内容，评标委员会可以书面形式（应当由评标委员会成员签字）要求报价人作出必要澄清、说明或者纠正。报价人的澄清、说明或者补正应当采用书面形式，由其法定代表人授权代表签字，其澄清的内容不得超出</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的范围或者改变</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的实质性内容。</w:t>
      </w:r>
    </w:p>
    <w:p w14:paraId="24BF5BEB">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（三）比较与评价。按</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中规定的评标方法和标准，对资格审查和符合性审查合格的</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进行商务和技术评估。</w:t>
      </w:r>
    </w:p>
    <w:p w14:paraId="77C964A9">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评标委员会各成员独立对每个有效报价人（通过资格审查、符合性审查的报价人）的</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进行评价、打分，然后由评标委员会对各成员打分情况进行核查及复核，个别成员对同一报价人同一评分项的打分偏离较大的，应对报价人的</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进行再次核对，确属打分有误的，应及时进行修正。</w:t>
      </w:r>
    </w:p>
    <w:p w14:paraId="021035F7">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复核后，评标委员会汇总每个报价人每项评分因素的得分。</w:t>
      </w:r>
    </w:p>
    <w:p w14:paraId="60CBC9FE">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（四）推荐中标候选人名单。</w:t>
      </w:r>
    </w:p>
    <w:p w14:paraId="072B33C1">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按评审后得分由高到低的排列顺序推荐综合得分前</w:t>
      </w:r>
      <w:r>
        <w:rPr>
          <w:rFonts w:hint="eastAsia" w:asciiTheme="minorEastAsia" w:hAnsiTheme="minorEastAsia" w:eastAsiaTheme="minorEastAsia" w:cstheme="minorEastAsia"/>
          <w:color w:val="000000" w:themeColor="text1"/>
          <w:highlight w:val="none"/>
          <w14:textFill>
            <w14:solidFill>
              <w14:schemeClr w14:val="tx1"/>
            </w14:solidFill>
          </w14:textFill>
        </w:rPr>
        <w:t>2名中标候选人</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为本项目中标候选人。</w:t>
      </w:r>
    </w:p>
    <w:p w14:paraId="29DC4E34">
      <w:pPr>
        <w:tabs>
          <w:tab w:val="left" w:pos="360"/>
        </w:tabs>
        <w:spacing w:line="400" w:lineRule="exact"/>
        <w:ind w:firstLine="422" w:firstLineChars="200"/>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说明：评标委员会认为，排名在前面的中标候选人的投标报价或者某些分项报价明显不合理或者低于成本，有可能影响服务质量和不能诚信履约的，将要求其在规定的期限内提供书面文件予以解释说明，并提交相关证明材料；否则，评标委员会可以取消该中标候选人资格，按顺序由排在后一位的中标候选人递补，以此类推。</w:t>
      </w:r>
    </w:p>
    <w:p w14:paraId="549D29D9">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二</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、无效条款</w:t>
      </w:r>
    </w:p>
    <w:p w14:paraId="611E05A0">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报价人或其</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出现下列情况之一者，应为无效投标：</w:t>
      </w:r>
    </w:p>
    <w:p w14:paraId="3CF778B9">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（1）</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未按</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要求签署、盖章的；</w:t>
      </w:r>
    </w:p>
    <w:p w14:paraId="098314FF">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（2）不具备</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中规定的资格要求的；</w:t>
      </w:r>
    </w:p>
    <w:p w14:paraId="2ECD1A7A">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（3）报价超过</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中规定的预算金额或者最高限价的；</w:t>
      </w:r>
    </w:p>
    <w:p w14:paraId="7F6F88E5">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（4）</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比选响应文件</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含有采购人不能接受的附加条件的；</w:t>
      </w:r>
    </w:p>
    <w:p w14:paraId="65B8146C">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（5）报价人串通投标的；</w:t>
      </w:r>
    </w:p>
    <w:p w14:paraId="50D38CF1">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（6）报价人组成联合体投标的；</w:t>
      </w:r>
    </w:p>
    <w:p w14:paraId="3AA9B293">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（7）法律、法规和</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规定的其他无效情形。</w:t>
      </w:r>
    </w:p>
    <w:p w14:paraId="652F9401">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、废标条款</w:t>
      </w:r>
    </w:p>
    <w:p w14:paraId="07230040">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评标委员会评审时出现以下情况之一的，应予废标：</w:t>
      </w:r>
    </w:p>
    <w:p w14:paraId="2E6E70C0">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（1）符合专业条件的报价人或者对</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竞争性比选函</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作实质响应的报价人不足三家的；</w:t>
      </w:r>
    </w:p>
    <w:p w14:paraId="531888E1">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（2）报价人的报价均超过了采购预算，采购人不能支付的；</w:t>
      </w:r>
    </w:p>
    <w:p w14:paraId="26B64359">
      <w:pPr>
        <w:tabs>
          <w:tab w:val="left" w:pos="360"/>
        </w:tabs>
        <w:spacing w:line="400" w:lineRule="exact"/>
        <w:ind w:firstLine="420" w:firstLineChars="200"/>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（3）出现影响采购公正的违法、违规行为的；</w:t>
      </w:r>
    </w:p>
    <w:p w14:paraId="38D0F621">
      <w:pPr>
        <w:pStyle w:val="16"/>
        <w:spacing w:before="76" w:line="355" w:lineRule="auto"/>
        <w:ind w:firstLine="400" w:firstLineChars="200"/>
        <w:jc w:val="both"/>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（4）因重大变故，采购任务取消的。</w:t>
      </w:r>
    </w:p>
    <w:p w14:paraId="7932F36F">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6CC594FB">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03736DD2">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1731B605">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6478E989">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0587393F">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7376CBFE">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3E7AB8C5">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6779CB0B">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3667C323">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504A8176">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13E10D78">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1AE00083">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1FEB302B">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5672FE87">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074FB8D7">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609F6706">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4744684F">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58E3D84F">
      <w:pPr>
        <w:pStyle w:val="16"/>
        <w:spacing w:before="76" w:line="355" w:lineRule="auto"/>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p w14:paraId="276FC60B">
      <w:pPr>
        <w:pStyle w:val="16"/>
        <w:spacing w:before="76" w:line="355" w:lineRule="auto"/>
        <w:jc w:val="center"/>
        <w:rPr>
          <w:color w:val="000000" w:themeColor="text1"/>
          <w:highlight w:val="none"/>
          <w14:textFill>
            <w14:solidFill>
              <w14:schemeClr w14:val="tx1"/>
            </w14:solidFill>
          </w14:textFill>
        </w:rPr>
      </w:pPr>
      <w:r>
        <w:rPr>
          <w:rStyle w:val="82"/>
          <w:rFonts w:hint="eastAsia"/>
          <w:b/>
          <w:bCs/>
          <w:color w:val="000000" w:themeColor="text1"/>
          <w:highlight w:val="none"/>
          <w14:textFill>
            <w14:solidFill>
              <w14:schemeClr w14:val="tx1"/>
            </w14:solidFill>
          </w14:textFill>
        </w:rPr>
        <w:t>第四章 报价说明</w:t>
      </w:r>
    </w:p>
    <w:p w14:paraId="43316264">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1、工程量清单应与本工程竞争性比选文件、技术标准和要求等文件结合起来查阅与理解。</w:t>
      </w:r>
    </w:p>
    <w:p w14:paraId="3FD08EA0">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税率为9%）等完成本项目的一切费用（即本项目除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17E086D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3BDF4D6C">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69077DB2">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14:paraId="08D37D5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14:paraId="158D15BF">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7、工程量清单中所列工程量的变动，丝毫不会降低或影响合同条款的效力，也不免除报价人按规定的标准进行施工和修复缺陷的责任。</w:t>
      </w:r>
    </w:p>
    <w:p w14:paraId="10BBD42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348B5E23">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9、不同单项及单位工程中的分部分项工程量清单中相同项目（项目特征及工作内容相同）的应报价统一，如有差异，按最低的一个报价进行结算；材料设备单价处理办法相同。</w:t>
      </w:r>
    </w:p>
    <w:p w14:paraId="77AAE1FF">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5B4EF995">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0A956903">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12、工程量清单中的任何内容不得随意删除或涂改，若有误，在有效时间内书面向采购人提出，以“补遗”资料为准。</w:t>
      </w:r>
    </w:p>
    <w:p w14:paraId="006F90F3">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13、报价中的单价和合价全部以人民币（元）表示。</w:t>
      </w:r>
    </w:p>
    <w:p w14:paraId="620A24C4">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14、对于报价人报价中明显高于市场价的单项报价，采购人有权进行价格审核后调整。调整后应以取得报价人的同意，并确认修正后的最终报价。如果报价人拒绝确认，则其竞争性响应文件将不予评审。</w:t>
      </w:r>
    </w:p>
    <w:p w14:paraId="549B9CC7">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15、合同为单价合同，合同期间不予调价。</w:t>
      </w:r>
    </w:p>
    <w:p w14:paraId="0A9ECE1C">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16、报价人应严格按照工程量清单进行报价，不得随意修改采购人发布的工程量清单数量、公式及相关内容。</w:t>
      </w:r>
    </w:p>
    <w:p w14:paraId="1706033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17、报价人提供的材料设备需在报价清单中明确品牌及型号，且报价人提供的设备质保期为2年，自本项目交工验收合格之日起计算。</w:t>
      </w:r>
    </w:p>
    <w:p w14:paraId="530FBE00">
      <w:pPr>
        <w:rPr>
          <w:rFonts w:hint="eastAsia" w:ascii="宋体" w:hAnsi="宋体" w:cs="宋体"/>
          <w:b w:val="0"/>
          <w:bCs w:val="0"/>
          <w:color w:val="000000" w:themeColor="text1"/>
          <w:sz w:val="21"/>
          <w:szCs w:val="21"/>
          <w:highlight w:val="none"/>
          <w14:textFill>
            <w14:solidFill>
              <w14:schemeClr w14:val="tx1"/>
            </w14:solidFill>
          </w14:textFill>
        </w:rPr>
      </w:pPr>
    </w:p>
    <w:p w14:paraId="7E6F44DF">
      <w:pPr>
        <w:pStyle w:val="28"/>
        <w:rPr>
          <w:rFonts w:hint="eastAsia"/>
          <w:color w:val="000000" w:themeColor="text1"/>
          <w:highlight w:val="none"/>
          <w14:textFill>
            <w14:solidFill>
              <w14:schemeClr w14:val="tx1"/>
            </w14:solidFill>
          </w14:textFill>
        </w:rPr>
      </w:pPr>
    </w:p>
    <w:p w14:paraId="4A511582">
      <w:pPr>
        <w:rPr>
          <w:rFonts w:hint="eastAsia" w:ascii="宋体" w:hAnsi="宋体" w:cs="宋体"/>
          <w:b w:val="0"/>
          <w:bCs w:val="0"/>
          <w:color w:val="000000" w:themeColor="text1"/>
          <w:sz w:val="21"/>
          <w:szCs w:val="21"/>
          <w:highlight w:val="none"/>
          <w14:textFill>
            <w14:solidFill>
              <w14:schemeClr w14:val="tx1"/>
            </w14:solidFill>
          </w14:textFill>
        </w:rPr>
      </w:pPr>
    </w:p>
    <w:p w14:paraId="734FEF59">
      <w:pPr>
        <w:pStyle w:val="28"/>
        <w:rPr>
          <w:rFonts w:hint="eastAsia" w:ascii="宋体" w:hAnsi="宋体" w:cs="宋体"/>
          <w:b w:val="0"/>
          <w:bCs w:val="0"/>
          <w:color w:val="000000" w:themeColor="text1"/>
          <w:sz w:val="21"/>
          <w:szCs w:val="21"/>
          <w:highlight w:val="none"/>
          <w14:textFill>
            <w14:solidFill>
              <w14:schemeClr w14:val="tx1"/>
            </w14:solidFill>
          </w14:textFill>
        </w:rPr>
      </w:pPr>
    </w:p>
    <w:p w14:paraId="1062DC4B">
      <w:pPr>
        <w:rPr>
          <w:rFonts w:hint="eastAsia" w:ascii="宋体" w:hAnsi="宋体" w:cs="宋体"/>
          <w:b w:val="0"/>
          <w:bCs w:val="0"/>
          <w:color w:val="000000" w:themeColor="text1"/>
          <w:sz w:val="21"/>
          <w:szCs w:val="21"/>
          <w:highlight w:val="none"/>
          <w14:textFill>
            <w14:solidFill>
              <w14:schemeClr w14:val="tx1"/>
            </w14:solidFill>
          </w14:textFill>
        </w:rPr>
      </w:pPr>
    </w:p>
    <w:p w14:paraId="52DEDB0D">
      <w:pPr>
        <w:pStyle w:val="28"/>
        <w:rPr>
          <w:rFonts w:hint="eastAsia" w:ascii="宋体" w:hAnsi="宋体" w:cs="宋体"/>
          <w:b w:val="0"/>
          <w:bCs w:val="0"/>
          <w:color w:val="000000" w:themeColor="text1"/>
          <w:sz w:val="21"/>
          <w:szCs w:val="21"/>
          <w:highlight w:val="none"/>
          <w14:textFill>
            <w14:solidFill>
              <w14:schemeClr w14:val="tx1"/>
            </w14:solidFill>
          </w14:textFill>
        </w:rPr>
      </w:pPr>
    </w:p>
    <w:p w14:paraId="52A8B2B6">
      <w:pPr>
        <w:rPr>
          <w:rFonts w:hint="eastAsia" w:ascii="宋体" w:hAnsi="宋体" w:cs="宋体"/>
          <w:b w:val="0"/>
          <w:bCs w:val="0"/>
          <w:color w:val="000000" w:themeColor="text1"/>
          <w:sz w:val="21"/>
          <w:szCs w:val="21"/>
          <w:highlight w:val="none"/>
          <w14:textFill>
            <w14:solidFill>
              <w14:schemeClr w14:val="tx1"/>
            </w14:solidFill>
          </w14:textFill>
        </w:rPr>
      </w:pPr>
    </w:p>
    <w:p w14:paraId="6D2E9B5A">
      <w:pPr>
        <w:pStyle w:val="28"/>
        <w:rPr>
          <w:rFonts w:hint="eastAsia" w:ascii="宋体" w:hAnsi="宋体" w:cs="宋体"/>
          <w:b w:val="0"/>
          <w:bCs w:val="0"/>
          <w:color w:val="000000" w:themeColor="text1"/>
          <w:sz w:val="21"/>
          <w:szCs w:val="21"/>
          <w:highlight w:val="none"/>
          <w14:textFill>
            <w14:solidFill>
              <w14:schemeClr w14:val="tx1"/>
            </w14:solidFill>
          </w14:textFill>
        </w:rPr>
      </w:pPr>
    </w:p>
    <w:p w14:paraId="599C0D37">
      <w:pPr>
        <w:spacing w:before="0" w:after="0" w:line="360" w:lineRule="auto"/>
        <w:jc w:val="center"/>
        <w:rPr>
          <w:rFonts w:hint="eastAsia" w:ascii="宋体" w:hAnsi="宋体" w:cs="宋体"/>
          <w:color w:val="000000" w:themeColor="text1"/>
          <w:highlight w:val="none"/>
          <w14:textFill>
            <w14:solidFill>
              <w14:schemeClr w14:val="tx1"/>
            </w14:solidFill>
          </w14:textFill>
        </w:rPr>
      </w:pPr>
      <w:bookmarkStart w:id="145" w:name="_Toc152045772"/>
      <w:bookmarkStart w:id="146" w:name="_Toc246997083"/>
      <w:bookmarkStart w:id="147" w:name="_Toc179632789"/>
      <w:bookmarkStart w:id="148" w:name="_Toc144974834"/>
      <w:bookmarkStart w:id="149" w:name="_Toc246996340"/>
      <w:bookmarkStart w:id="150" w:name="_Toc152042554"/>
      <w:bookmarkStart w:id="151" w:name="_Toc247085855"/>
      <w:bookmarkStart w:id="152" w:name="_Toc514858705"/>
      <w:bookmarkStart w:id="153" w:name="_Toc2000409"/>
      <w:bookmarkStart w:id="154" w:name="_Toc144974855"/>
      <w:bookmarkStart w:id="155" w:name="_Toc152045786"/>
      <w:bookmarkStart w:id="156" w:name="_Toc246996354"/>
      <w:bookmarkStart w:id="157" w:name="_Toc152042575"/>
      <w:bookmarkStart w:id="158" w:name="_Toc246997097"/>
      <w:bookmarkStart w:id="159" w:name="_Toc247085872"/>
      <w:bookmarkStart w:id="160" w:name="_Toc179632806"/>
      <w:r>
        <w:rPr>
          <w:rFonts w:hint="eastAsia" w:ascii="宋体" w:hAnsi="宋体" w:cs="宋体"/>
          <w:color w:val="000000" w:themeColor="text1"/>
          <w:highlight w:val="none"/>
          <w14:textFill>
            <w14:solidFill>
              <w14:schemeClr w14:val="tx1"/>
            </w14:solidFill>
          </w14:textFill>
        </w:rPr>
        <w:br w:type="page"/>
      </w:r>
    </w:p>
    <w:p w14:paraId="547059AD">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161" w:name="_Toc14447"/>
      <w:r>
        <w:rPr>
          <w:rFonts w:hint="eastAsia" w:ascii="宋体" w:hAnsi="宋体" w:cs="宋体"/>
          <w:color w:val="000000" w:themeColor="text1"/>
          <w:highlight w:val="none"/>
          <w14:textFill>
            <w14:solidFill>
              <w14:schemeClr w14:val="tx1"/>
            </w14:solidFill>
          </w14:textFill>
        </w:rPr>
        <w:t>第五章  工程量清单</w:t>
      </w:r>
      <w:bookmarkEnd w:id="145"/>
      <w:bookmarkEnd w:id="146"/>
      <w:bookmarkEnd w:id="147"/>
      <w:bookmarkEnd w:id="148"/>
      <w:bookmarkEnd w:id="149"/>
      <w:bookmarkEnd w:id="150"/>
      <w:bookmarkEnd w:id="151"/>
      <w:bookmarkEnd w:id="152"/>
      <w:bookmarkEnd w:id="153"/>
      <w:bookmarkEnd w:id="161"/>
    </w:p>
    <w:p w14:paraId="418B747E">
      <w:pPr>
        <w:jc w:val="center"/>
        <w:rPr>
          <w:rFonts w:hint="eastAsia" w:ascii="宋体" w:hAnsi="宋体" w:cs="宋体"/>
          <w:b/>
          <w:color w:val="000000" w:themeColor="text1"/>
          <w:highlight w:val="none"/>
          <w14:textFill>
            <w14:solidFill>
              <w14:schemeClr w14:val="tx1"/>
            </w14:solidFill>
          </w14:textFill>
        </w:rPr>
      </w:pPr>
      <w:bookmarkStart w:id="162" w:name="_Toc514858706"/>
      <w:bookmarkStart w:id="163" w:name="_Toc144974851"/>
      <w:bookmarkStart w:id="164" w:name="_Toc246997093"/>
      <w:bookmarkStart w:id="165" w:name="_Toc503951042"/>
      <w:bookmarkStart w:id="166" w:name="_Toc179632800"/>
      <w:bookmarkStart w:id="167" w:name="_Toc152045782"/>
      <w:bookmarkStart w:id="168" w:name="_Toc513633963"/>
      <w:bookmarkStart w:id="169" w:name="_Toc2000410"/>
      <w:bookmarkStart w:id="170" w:name="_Toc247085866"/>
      <w:bookmarkStart w:id="171" w:name="_Toc247096438"/>
      <w:bookmarkStart w:id="172" w:name="_Toc246996350"/>
      <w:bookmarkStart w:id="173" w:name="_Toc152042571"/>
      <w:bookmarkStart w:id="174" w:name="_Toc447827048"/>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3540FAE9">
      <w:pPr>
        <w:pStyle w:val="16"/>
        <w:rPr>
          <w:rFonts w:hint="eastAsia" w:ascii="宋体" w:hAnsi="宋体" w:cs="宋体"/>
          <w:b/>
          <w:color w:val="000000" w:themeColor="text1"/>
          <w:kern w:val="0"/>
          <w:sz w:val="24"/>
          <w:highlight w:val="none"/>
          <w14:textFill>
            <w14:solidFill>
              <w14:schemeClr w14:val="tx1"/>
            </w14:solidFill>
          </w14:textFill>
        </w:rPr>
      </w:pPr>
    </w:p>
    <w:p w14:paraId="6D435573">
      <w:pPr>
        <w:rPr>
          <w:rFonts w:hint="eastAsia" w:ascii="宋体" w:hAnsi="宋体" w:cs="宋体"/>
          <w:b/>
          <w:color w:val="000000" w:themeColor="text1"/>
          <w:kern w:val="0"/>
          <w:sz w:val="24"/>
          <w:highlight w:val="none"/>
          <w14:textFill>
            <w14:solidFill>
              <w14:schemeClr w14:val="tx1"/>
            </w14:solidFill>
          </w14:textFill>
        </w:rPr>
      </w:pPr>
    </w:p>
    <w:p w14:paraId="0285306B">
      <w:pPr>
        <w:pStyle w:val="16"/>
        <w:rPr>
          <w:rFonts w:hint="eastAsia" w:ascii="宋体" w:hAnsi="宋体" w:cs="宋体"/>
          <w:b/>
          <w:color w:val="000000" w:themeColor="text1"/>
          <w:kern w:val="0"/>
          <w:sz w:val="24"/>
          <w:highlight w:val="none"/>
          <w14:textFill>
            <w14:solidFill>
              <w14:schemeClr w14:val="tx1"/>
            </w14:solidFill>
          </w14:textFill>
        </w:rPr>
      </w:pPr>
    </w:p>
    <w:p w14:paraId="1F95EB41">
      <w:pPr>
        <w:rPr>
          <w:rFonts w:hint="eastAsia" w:ascii="宋体" w:hAnsi="宋体" w:cs="宋体"/>
          <w:b/>
          <w:color w:val="000000" w:themeColor="text1"/>
          <w:kern w:val="0"/>
          <w:sz w:val="24"/>
          <w:highlight w:val="none"/>
          <w14:textFill>
            <w14:solidFill>
              <w14:schemeClr w14:val="tx1"/>
            </w14:solidFill>
          </w14:textFill>
        </w:rPr>
      </w:pPr>
    </w:p>
    <w:p w14:paraId="1C983AAD">
      <w:pPr>
        <w:pStyle w:val="16"/>
        <w:rPr>
          <w:rFonts w:hint="eastAsia" w:ascii="宋体" w:hAnsi="宋体" w:cs="宋体"/>
          <w:b/>
          <w:color w:val="000000" w:themeColor="text1"/>
          <w:kern w:val="0"/>
          <w:sz w:val="24"/>
          <w:highlight w:val="none"/>
          <w14:textFill>
            <w14:solidFill>
              <w14:schemeClr w14:val="tx1"/>
            </w14:solidFill>
          </w14:textFill>
        </w:rPr>
      </w:pPr>
    </w:p>
    <w:p w14:paraId="3074053D">
      <w:pPr>
        <w:rPr>
          <w:rFonts w:hint="eastAsia" w:ascii="宋体" w:hAnsi="宋体" w:cs="宋体"/>
          <w:b/>
          <w:color w:val="000000" w:themeColor="text1"/>
          <w:kern w:val="0"/>
          <w:sz w:val="24"/>
          <w:highlight w:val="none"/>
          <w14:textFill>
            <w14:solidFill>
              <w14:schemeClr w14:val="tx1"/>
            </w14:solidFill>
          </w14:textFill>
        </w:rPr>
      </w:pPr>
    </w:p>
    <w:p w14:paraId="0039BF98">
      <w:pPr>
        <w:pStyle w:val="16"/>
        <w:rPr>
          <w:rFonts w:hint="eastAsia" w:ascii="宋体" w:hAnsi="宋体" w:cs="宋体"/>
          <w:b/>
          <w:color w:val="000000" w:themeColor="text1"/>
          <w:kern w:val="0"/>
          <w:sz w:val="24"/>
          <w:highlight w:val="none"/>
          <w14:textFill>
            <w14:solidFill>
              <w14:schemeClr w14:val="tx1"/>
            </w14:solidFill>
          </w14:textFill>
        </w:rPr>
      </w:pPr>
    </w:p>
    <w:p w14:paraId="57428B03">
      <w:pPr>
        <w:rPr>
          <w:rFonts w:hint="eastAsia" w:ascii="宋体" w:hAnsi="宋体" w:cs="宋体"/>
          <w:b/>
          <w:color w:val="000000" w:themeColor="text1"/>
          <w:kern w:val="0"/>
          <w:sz w:val="24"/>
          <w:highlight w:val="none"/>
          <w14:textFill>
            <w14:solidFill>
              <w14:schemeClr w14:val="tx1"/>
            </w14:solidFill>
          </w14:textFill>
        </w:rPr>
      </w:pPr>
    </w:p>
    <w:p w14:paraId="3324C87B">
      <w:pPr>
        <w:pStyle w:val="16"/>
        <w:rPr>
          <w:rFonts w:hint="eastAsia" w:ascii="宋体" w:hAnsi="宋体" w:cs="宋体"/>
          <w:b/>
          <w:color w:val="000000" w:themeColor="text1"/>
          <w:kern w:val="0"/>
          <w:sz w:val="24"/>
          <w:highlight w:val="none"/>
          <w14:textFill>
            <w14:solidFill>
              <w14:schemeClr w14:val="tx1"/>
            </w14:solidFill>
          </w14:textFill>
        </w:rPr>
      </w:pPr>
    </w:p>
    <w:p w14:paraId="59E30C5D">
      <w:pPr>
        <w:rPr>
          <w:rFonts w:hint="eastAsia" w:ascii="宋体" w:hAnsi="宋体" w:cs="宋体"/>
          <w:b/>
          <w:color w:val="000000" w:themeColor="text1"/>
          <w:kern w:val="0"/>
          <w:sz w:val="24"/>
          <w:highlight w:val="none"/>
          <w14:textFill>
            <w14:solidFill>
              <w14:schemeClr w14:val="tx1"/>
            </w14:solidFill>
          </w14:textFill>
        </w:rPr>
      </w:pPr>
    </w:p>
    <w:p w14:paraId="69F86BFB">
      <w:pPr>
        <w:pStyle w:val="16"/>
        <w:rPr>
          <w:rFonts w:hint="eastAsia" w:ascii="宋体" w:hAnsi="宋体" w:cs="宋体"/>
          <w:b/>
          <w:color w:val="000000" w:themeColor="text1"/>
          <w:kern w:val="0"/>
          <w:sz w:val="24"/>
          <w:highlight w:val="none"/>
          <w14:textFill>
            <w14:solidFill>
              <w14:schemeClr w14:val="tx1"/>
            </w14:solidFill>
          </w14:textFill>
        </w:rPr>
      </w:pPr>
    </w:p>
    <w:p w14:paraId="449FEF20">
      <w:pPr>
        <w:rPr>
          <w:rFonts w:hint="eastAsia" w:ascii="宋体" w:hAnsi="宋体" w:cs="宋体"/>
          <w:b/>
          <w:color w:val="000000" w:themeColor="text1"/>
          <w:kern w:val="0"/>
          <w:sz w:val="24"/>
          <w:highlight w:val="none"/>
          <w14:textFill>
            <w14:solidFill>
              <w14:schemeClr w14:val="tx1"/>
            </w14:solidFill>
          </w14:textFill>
        </w:rPr>
      </w:pPr>
    </w:p>
    <w:p w14:paraId="56511C09">
      <w:pPr>
        <w:pStyle w:val="16"/>
        <w:rPr>
          <w:rFonts w:hint="eastAsia" w:ascii="宋体" w:hAnsi="宋体" w:cs="宋体"/>
          <w:b/>
          <w:color w:val="000000" w:themeColor="text1"/>
          <w:kern w:val="0"/>
          <w:sz w:val="24"/>
          <w:highlight w:val="none"/>
          <w14:textFill>
            <w14:solidFill>
              <w14:schemeClr w14:val="tx1"/>
            </w14:solidFill>
          </w14:textFill>
        </w:rPr>
      </w:pPr>
    </w:p>
    <w:p w14:paraId="1AB17C4D">
      <w:pPr>
        <w:rPr>
          <w:rFonts w:hint="eastAsia" w:ascii="宋体" w:hAnsi="宋体" w:cs="宋体"/>
          <w:b/>
          <w:color w:val="000000" w:themeColor="text1"/>
          <w:kern w:val="0"/>
          <w:sz w:val="24"/>
          <w:highlight w:val="none"/>
          <w14:textFill>
            <w14:solidFill>
              <w14:schemeClr w14:val="tx1"/>
            </w14:solidFill>
          </w14:textFill>
        </w:rPr>
      </w:pPr>
    </w:p>
    <w:p w14:paraId="2B654990">
      <w:pPr>
        <w:pStyle w:val="16"/>
        <w:rPr>
          <w:rFonts w:hint="eastAsia" w:ascii="宋体" w:hAnsi="宋体" w:cs="宋体"/>
          <w:b/>
          <w:color w:val="000000" w:themeColor="text1"/>
          <w:kern w:val="0"/>
          <w:sz w:val="24"/>
          <w:highlight w:val="none"/>
          <w14:textFill>
            <w14:solidFill>
              <w14:schemeClr w14:val="tx1"/>
            </w14:solidFill>
          </w14:textFill>
        </w:rPr>
      </w:pPr>
    </w:p>
    <w:p w14:paraId="62322F01">
      <w:pPr>
        <w:rPr>
          <w:rFonts w:hint="eastAsia" w:ascii="宋体" w:hAnsi="宋体" w:cs="宋体"/>
          <w:b/>
          <w:color w:val="000000" w:themeColor="text1"/>
          <w:kern w:val="0"/>
          <w:sz w:val="24"/>
          <w:highlight w:val="none"/>
          <w14:textFill>
            <w14:solidFill>
              <w14:schemeClr w14:val="tx1"/>
            </w14:solidFill>
          </w14:textFill>
        </w:rPr>
      </w:pPr>
    </w:p>
    <w:p w14:paraId="518DCAB4">
      <w:pPr>
        <w:pStyle w:val="16"/>
        <w:rPr>
          <w:rFonts w:hint="eastAsia" w:ascii="宋体" w:hAnsi="宋体" w:cs="宋体"/>
          <w:b/>
          <w:color w:val="000000" w:themeColor="text1"/>
          <w:kern w:val="0"/>
          <w:sz w:val="24"/>
          <w:highlight w:val="none"/>
          <w14:textFill>
            <w14:solidFill>
              <w14:schemeClr w14:val="tx1"/>
            </w14:solidFill>
          </w14:textFill>
        </w:rPr>
      </w:pPr>
    </w:p>
    <w:p w14:paraId="0AC4C9B1">
      <w:pPr>
        <w:rPr>
          <w:rFonts w:hint="eastAsia" w:ascii="宋体" w:hAnsi="宋体" w:cs="宋体"/>
          <w:b/>
          <w:color w:val="000000" w:themeColor="text1"/>
          <w:kern w:val="0"/>
          <w:sz w:val="24"/>
          <w:highlight w:val="none"/>
          <w14:textFill>
            <w14:solidFill>
              <w14:schemeClr w14:val="tx1"/>
            </w14:solidFill>
          </w14:textFill>
        </w:rPr>
      </w:pPr>
    </w:p>
    <w:p w14:paraId="45A1E7DA">
      <w:pPr>
        <w:pStyle w:val="16"/>
        <w:rPr>
          <w:rFonts w:hint="eastAsia" w:ascii="宋体" w:hAnsi="宋体" w:cs="宋体"/>
          <w:b/>
          <w:color w:val="000000" w:themeColor="text1"/>
          <w:kern w:val="0"/>
          <w:sz w:val="24"/>
          <w:highlight w:val="none"/>
          <w14:textFill>
            <w14:solidFill>
              <w14:schemeClr w14:val="tx1"/>
            </w14:solidFill>
          </w14:textFill>
        </w:rPr>
      </w:pPr>
    </w:p>
    <w:p w14:paraId="53759096">
      <w:pPr>
        <w:rPr>
          <w:rFonts w:hint="eastAsia" w:ascii="宋体" w:hAnsi="宋体" w:cs="宋体"/>
          <w:b/>
          <w:color w:val="000000" w:themeColor="text1"/>
          <w:kern w:val="0"/>
          <w:sz w:val="24"/>
          <w:highlight w:val="none"/>
          <w14:textFill>
            <w14:solidFill>
              <w14:schemeClr w14:val="tx1"/>
            </w14:solidFill>
          </w14:textFill>
        </w:rPr>
      </w:pPr>
    </w:p>
    <w:p w14:paraId="34DC6361">
      <w:pPr>
        <w:pStyle w:val="16"/>
        <w:rPr>
          <w:rFonts w:hint="eastAsia" w:ascii="宋体" w:hAnsi="宋体" w:cs="宋体"/>
          <w:b/>
          <w:color w:val="000000" w:themeColor="text1"/>
          <w:kern w:val="0"/>
          <w:sz w:val="24"/>
          <w:highlight w:val="none"/>
          <w14:textFill>
            <w14:solidFill>
              <w14:schemeClr w14:val="tx1"/>
            </w14:solidFill>
          </w14:textFill>
        </w:rPr>
      </w:pPr>
    </w:p>
    <w:p w14:paraId="13247DC1">
      <w:pPr>
        <w:rPr>
          <w:rFonts w:hint="eastAsia" w:ascii="宋体" w:hAnsi="宋体" w:cs="宋体"/>
          <w:b/>
          <w:color w:val="000000" w:themeColor="text1"/>
          <w:kern w:val="0"/>
          <w:sz w:val="24"/>
          <w:highlight w:val="none"/>
          <w14:textFill>
            <w14:solidFill>
              <w14:schemeClr w14:val="tx1"/>
            </w14:solidFill>
          </w14:textFill>
        </w:rPr>
      </w:pPr>
    </w:p>
    <w:p w14:paraId="44AC83F4">
      <w:pPr>
        <w:pStyle w:val="16"/>
        <w:rPr>
          <w:rFonts w:hint="eastAsia" w:ascii="宋体" w:hAnsi="宋体" w:cs="宋体"/>
          <w:b/>
          <w:color w:val="000000" w:themeColor="text1"/>
          <w:kern w:val="0"/>
          <w:sz w:val="24"/>
          <w:highlight w:val="none"/>
          <w14:textFill>
            <w14:solidFill>
              <w14:schemeClr w14:val="tx1"/>
            </w14:solidFill>
          </w14:textFill>
        </w:rPr>
      </w:pPr>
    </w:p>
    <w:p w14:paraId="699576B0">
      <w:pPr>
        <w:rPr>
          <w:rFonts w:hint="eastAsia" w:ascii="宋体" w:hAnsi="宋体" w:cs="宋体"/>
          <w:b/>
          <w:color w:val="000000" w:themeColor="text1"/>
          <w:kern w:val="0"/>
          <w:sz w:val="24"/>
          <w:highlight w:val="none"/>
          <w14:textFill>
            <w14:solidFill>
              <w14:schemeClr w14:val="tx1"/>
            </w14:solidFill>
          </w14:textFill>
        </w:rPr>
      </w:pPr>
    </w:p>
    <w:p w14:paraId="5A846274">
      <w:pPr>
        <w:pStyle w:val="16"/>
        <w:rPr>
          <w:rFonts w:hint="eastAsia" w:ascii="宋体" w:hAnsi="宋体" w:cs="宋体"/>
          <w:b/>
          <w:color w:val="000000" w:themeColor="text1"/>
          <w:kern w:val="0"/>
          <w:sz w:val="24"/>
          <w:highlight w:val="none"/>
          <w14:textFill>
            <w14:solidFill>
              <w14:schemeClr w14:val="tx1"/>
            </w14:solidFill>
          </w14:textFill>
        </w:rPr>
      </w:pPr>
    </w:p>
    <w:p w14:paraId="493ED8A1">
      <w:pPr>
        <w:rPr>
          <w:rFonts w:hint="eastAsia" w:ascii="宋体" w:hAnsi="宋体" w:cs="宋体"/>
          <w:b/>
          <w:color w:val="000000" w:themeColor="text1"/>
          <w:kern w:val="0"/>
          <w:sz w:val="24"/>
          <w:highlight w:val="none"/>
          <w14:textFill>
            <w14:solidFill>
              <w14:schemeClr w14:val="tx1"/>
            </w14:solidFill>
          </w14:textFill>
        </w:rPr>
      </w:pPr>
    </w:p>
    <w:p w14:paraId="595E440A">
      <w:pPr>
        <w:pStyle w:val="16"/>
        <w:rPr>
          <w:rFonts w:hint="eastAsia" w:ascii="宋体" w:hAnsi="宋体" w:cs="宋体"/>
          <w:b/>
          <w:color w:val="000000" w:themeColor="text1"/>
          <w:kern w:val="0"/>
          <w:sz w:val="24"/>
          <w:highlight w:val="none"/>
          <w14:textFill>
            <w14:solidFill>
              <w14:schemeClr w14:val="tx1"/>
            </w14:solidFill>
          </w14:textFill>
        </w:rPr>
      </w:pPr>
    </w:p>
    <w:p w14:paraId="5F3BDB67">
      <w:pPr>
        <w:rPr>
          <w:rFonts w:hint="eastAsia" w:ascii="宋体" w:hAnsi="宋体" w:cs="宋体"/>
          <w:b/>
          <w:color w:val="000000" w:themeColor="text1"/>
          <w:kern w:val="0"/>
          <w:sz w:val="24"/>
          <w:highlight w:val="none"/>
          <w14:textFill>
            <w14:solidFill>
              <w14:schemeClr w14:val="tx1"/>
            </w14:solidFill>
          </w14:textFill>
        </w:rPr>
      </w:pPr>
    </w:p>
    <w:p w14:paraId="2FE541DC">
      <w:pPr>
        <w:pStyle w:val="16"/>
        <w:rPr>
          <w:rFonts w:hint="eastAsia" w:ascii="宋体" w:hAnsi="宋体" w:cs="宋体"/>
          <w:b/>
          <w:color w:val="000000" w:themeColor="text1"/>
          <w:kern w:val="0"/>
          <w:sz w:val="24"/>
          <w:highlight w:val="none"/>
          <w14:textFill>
            <w14:solidFill>
              <w14:schemeClr w14:val="tx1"/>
            </w14:solidFill>
          </w14:textFill>
        </w:rPr>
      </w:pPr>
    </w:p>
    <w:p w14:paraId="007261CF">
      <w:pPr>
        <w:rPr>
          <w:rFonts w:hint="eastAsia" w:ascii="宋体" w:hAnsi="宋体" w:cs="宋体"/>
          <w:b/>
          <w:color w:val="000000" w:themeColor="text1"/>
          <w:kern w:val="0"/>
          <w:sz w:val="24"/>
          <w:highlight w:val="none"/>
          <w14:textFill>
            <w14:solidFill>
              <w14:schemeClr w14:val="tx1"/>
            </w14:solidFill>
          </w14:textFill>
        </w:rPr>
      </w:pPr>
    </w:p>
    <w:p w14:paraId="3B975FA0">
      <w:pPr>
        <w:pStyle w:val="16"/>
        <w:rPr>
          <w:rFonts w:hint="eastAsia" w:ascii="宋体" w:hAnsi="宋体" w:cs="宋体"/>
          <w:b/>
          <w:color w:val="000000" w:themeColor="text1"/>
          <w:kern w:val="0"/>
          <w:sz w:val="24"/>
          <w:highlight w:val="none"/>
          <w14:textFill>
            <w14:solidFill>
              <w14:schemeClr w14:val="tx1"/>
            </w14:solidFill>
          </w14:textFill>
        </w:rPr>
      </w:pPr>
    </w:p>
    <w:p w14:paraId="62BAA971">
      <w:pPr>
        <w:rPr>
          <w:rFonts w:hint="eastAsia"/>
          <w:color w:val="000000" w:themeColor="text1"/>
          <w:highlight w:val="none"/>
          <w14:textFill>
            <w14:solidFill>
              <w14:schemeClr w14:val="tx1"/>
            </w14:solidFill>
          </w14:textFill>
        </w:rPr>
      </w:pPr>
    </w:p>
    <w:p w14:paraId="4491BFB3">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175" w:name="_Toc20613"/>
      <w:r>
        <w:rPr>
          <w:rFonts w:hint="eastAsia" w:ascii="宋体" w:hAnsi="宋体" w:cs="宋体"/>
          <w:color w:val="000000" w:themeColor="text1"/>
          <w:highlight w:val="none"/>
          <w14:textFill>
            <w14:solidFill>
              <w14:schemeClr w14:val="tx1"/>
            </w14:solidFill>
          </w14:textFill>
        </w:rPr>
        <w:t>第六章  图  纸</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3902A6B">
      <w:pPr>
        <w:jc w:val="center"/>
        <w:rPr>
          <w:rFonts w:hint="eastAsia" w:ascii="宋体" w:hAnsi="宋体" w:cs="宋体"/>
          <w:b/>
          <w:color w:val="000000" w:themeColor="text1"/>
          <w:highlight w:val="none"/>
          <w14:textFill>
            <w14:solidFill>
              <w14:schemeClr w14:val="tx1"/>
            </w14:solidFill>
          </w14:textFill>
        </w:rPr>
      </w:pPr>
      <w:bookmarkStart w:id="176" w:name="_Toc2000411"/>
      <w:bookmarkStart w:id="177" w:name="_Toc447827049"/>
      <w:bookmarkStart w:id="178" w:name="_Toc513633964"/>
      <w:bookmarkStart w:id="179" w:name="_Toc152045785"/>
      <w:bookmarkStart w:id="180" w:name="_Toc514858707"/>
      <w:bookmarkStart w:id="181" w:name="_Toc246997096"/>
      <w:bookmarkStart w:id="182" w:name="_Toc246996353"/>
      <w:bookmarkStart w:id="183" w:name="_Toc152042574"/>
      <w:bookmarkStart w:id="184" w:name="_Toc503951043"/>
      <w:bookmarkStart w:id="185" w:name="_Toc179632804"/>
      <w:bookmarkStart w:id="186" w:name="_Toc247085870"/>
      <w:bookmarkStart w:id="187" w:name="_Toc144974854"/>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1A96EC81">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7A09AF">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E484B17">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235741F0">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827CED9">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6C1E551">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3BC58023">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2A0742E4">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81E3CE">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5A44042">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7921614A">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169D061">
      <w:pPr>
        <w:rPr>
          <w:rFonts w:hint="eastAsia" w:ascii="宋体" w:hAnsi="宋体" w:cs="宋体"/>
          <w:color w:val="000000" w:themeColor="text1"/>
          <w:highlight w:val="none"/>
          <w14:textFill>
            <w14:solidFill>
              <w14:schemeClr w14:val="tx1"/>
            </w14:solidFill>
          </w14:textFill>
        </w:rPr>
      </w:pPr>
    </w:p>
    <w:p w14:paraId="7CFB1092">
      <w:pPr>
        <w:pStyle w:val="42"/>
        <w:rPr>
          <w:rFonts w:hint="eastAsia" w:ascii="宋体" w:hAnsi="宋体" w:cs="宋体"/>
          <w:color w:val="000000" w:themeColor="text1"/>
          <w:highlight w:val="none"/>
          <w14:textFill>
            <w14:solidFill>
              <w14:schemeClr w14:val="tx1"/>
            </w14:solidFill>
          </w14:textFill>
        </w:rPr>
      </w:pPr>
    </w:p>
    <w:p w14:paraId="5A8E826E">
      <w:pPr>
        <w:pStyle w:val="42"/>
        <w:rPr>
          <w:rFonts w:hint="eastAsia" w:ascii="宋体" w:hAnsi="宋体" w:cs="宋体"/>
          <w:color w:val="000000" w:themeColor="text1"/>
          <w:highlight w:val="none"/>
          <w14:textFill>
            <w14:solidFill>
              <w14:schemeClr w14:val="tx1"/>
            </w14:solidFill>
          </w14:textFill>
        </w:rPr>
      </w:pPr>
    </w:p>
    <w:p w14:paraId="26144238">
      <w:pPr>
        <w:pStyle w:val="42"/>
        <w:rPr>
          <w:rFonts w:hint="eastAsia" w:ascii="宋体" w:hAnsi="宋体" w:cs="宋体"/>
          <w:color w:val="000000" w:themeColor="text1"/>
          <w:highlight w:val="none"/>
          <w14:textFill>
            <w14:solidFill>
              <w14:schemeClr w14:val="tx1"/>
            </w14:solidFill>
          </w14:textFill>
        </w:rPr>
      </w:pPr>
    </w:p>
    <w:p w14:paraId="5751C1D0">
      <w:pPr>
        <w:pStyle w:val="42"/>
        <w:rPr>
          <w:rFonts w:hint="eastAsia" w:ascii="宋体" w:hAnsi="宋体" w:cs="宋体"/>
          <w:color w:val="000000" w:themeColor="text1"/>
          <w:highlight w:val="none"/>
          <w14:textFill>
            <w14:solidFill>
              <w14:schemeClr w14:val="tx1"/>
            </w14:solidFill>
          </w14:textFill>
        </w:rPr>
      </w:pPr>
    </w:p>
    <w:p w14:paraId="517571BC">
      <w:pPr>
        <w:pStyle w:val="42"/>
        <w:rPr>
          <w:rFonts w:hint="eastAsia" w:ascii="宋体" w:hAnsi="宋体" w:cs="宋体"/>
          <w:color w:val="000000" w:themeColor="text1"/>
          <w:highlight w:val="none"/>
          <w14:textFill>
            <w14:solidFill>
              <w14:schemeClr w14:val="tx1"/>
            </w14:solidFill>
          </w14:textFill>
        </w:rPr>
      </w:pPr>
    </w:p>
    <w:p w14:paraId="7C45B514">
      <w:pPr>
        <w:pStyle w:val="42"/>
        <w:rPr>
          <w:rFonts w:hint="eastAsia" w:ascii="宋体" w:hAnsi="宋体" w:cs="宋体"/>
          <w:color w:val="000000" w:themeColor="text1"/>
          <w:highlight w:val="none"/>
          <w14:textFill>
            <w14:solidFill>
              <w14:schemeClr w14:val="tx1"/>
            </w14:solidFill>
          </w14:textFill>
        </w:rPr>
      </w:pPr>
    </w:p>
    <w:p w14:paraId="12DDEAC2">
      <w:pPr>
        <w:pStyle w:val="42"/>
        <w:rPr>
          <w:rFonts w:hint="eastAsia" w:ascii="宋体" w:hAnsi="宋体" w:cs="宋体"/>
          <w:color w:val="000000" w:themeColor="text1"/>
          <w:highlight w:val="none"/>
          <w14:textFill>
            <w14:solidFill>
              <w14:schemeClr w14:val="tx1"/>
            </w14:solidFill>
          </w14:textFill>
        </w:rPr>
      </w:pPr>
    </w:p>
    <w:p w14:paraId="462315F1">
      <w:pPr>
        <w:pStyle w:val="42"/>
        <w:rPr>
          <w:rFonts w:hint="eastAsia" w:ascii="宋体" w:hAnsi="宋体" w:cs="宋体"/>
          <w:color w:val="000000" w:themeColor="text1"/>
          <w:highlight w:val="none"/>
          <w14:textFill>
            <w14:solidFill>
              <w14:schemeClr w14:val="tx1"/>
            </w14:solidFill>
          </w14:textFill>
        </w:rPr>
      </w:pPr>
    </w:p>
    <w:p w14:paraId="3C8B7268">
      <w:pPr>
        <w:pStyle w:val="42"/>
        <w:rPr>
          <w:rFonts w:hint="eastAsia" w:ascii="宋体" w:hAnsi="宋体" w:cs="宋体"/>
          <w:color w:val="000000" w:themeColor="text1"/>
          <w:highlight w:val="none"/>
          <w14:textFill>
            <w14:solidFill>
              <w14:schemeClr w14:val="tx1"/>
            </w14:solidFill>
          </w14:textFill>
        </w:rPr>
      </w:pPr>
    </w:p>
    <w:p w14:paraId="30CB3EBC">
      <w:pPr>
        <w:pStyle w:val="42"/>
        <w:rPr>
          <w:rFonts w:hint="eastAsia" w:ascii="宋体" w:hAnsi="宋体" w:cs="宋体"/>
          <w:color w:val="000000" w:themeColor="text1"/>
          <w:highlight w:val="none"/>
          <w14:textFill>
            <w14:solidFill>
              <w14:schemeClr w14:val="tx1"/>
            </w14:solidFill>
          </w14:textFill>
        </w:rPr>
      </w:pPr>
    </w:p>
    <w:p w14:paraId="6AC410EE">
      <w:pPr>
        <w:pStyle w:val="42"/>
        <w:rPr>
          <w:rFonts w:hint="eastAsia" w:ascii="宋体" w:hAnsi="宋体" w:cs="宋体"/>
          <w:color w:val="000000" w:themeColor="text1"/>
          <w:highlight w:val="none"/>
          <w14:textFill>
            <w14:solidFill>
              <w14:schemeClr w14:val="tx1"/>
            </w14:solidFill>
          </w14:textFill>
        </w:rPr>
      </w:pPr>
    </w:p>
    <w:p w14:paraId="73B07B00">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188" w:name="_Toc7983"/>
      <w:r>
        <w:rPr>
          <w:rFonts w:hint="eastAsia" w:ascii="宋体" w:hAnsi="宋体" w:cs="宋体"/>
          <w:color w:val="000000" w:themeColor="text1"/>
          <w:highlight w:val="none"/>
          <w14:textFill>
            <w14:solidFill>
              <w14:schemeClr w14:val="tx1"/>
            </w14:solidFill>
          </w14:textFill>
        </w:rPr>
        <w:t>第七章  技术标准和工作要求</w:t>
      </w:r>
      <w:bookmarkEnd w:id="176"/>
      <w:bookmarkEnd w:id="177"/>
      <w:bookmarkEnd w:id="178"/>
      <w:bookmarkEnd w:id="179"/>
      <w:bookmarkEnd w:id="180"/>
      <w:bookmarkEnd w:id="181"/>
      <w:bookmarkEnd w:id="182"/>
      <w:bookmarkEnd w:id="183"/>
      <w:bookmarkEnd w:id="184"/>
      <w:bookmarkEnd w:id="185"/>
      <w:bookmarkEnd w:id="186"/>
      <w:bookmarkEnd w:id="187"/>
      <w:bookmarkEnd w:id="188"/>
    </w:p>
    <w:bookmarkEnd w:id="154"/>
    <w:bookmarkEnd w:id="155"/>
    <w:bookmarkEnd w:id="156"/>
    <w:bookmarkEnd w:id="157"/>
    <w:bookmarkEnd w:id="158"/>
    <w:bookmarkEnd w:id="159"/>
    <w:bookmarkEnd w:id="160"/>
    <w:p w14:paraId="41CEC82C">
      <w:pPr>
        <w:numPr>
          <w:ilvl w:val="0"/>
          <w:numId w:val="5"/>
        </w:numPr>
        <w:outlineLvl w:val="0"/>
        <w:rPr>
          <w:rFonts w:ascii="方正仿宋_GBK" w:hAnsi="方正仿宋_GBK" w:cs="方正仿宋_GBK"/>
          <w:color w:val="000000" w:themeColor="text1"/>
          <w:szCs w:val="32"/>
          <w14:textFill>
            <w14:solidFill>
              <w14:schemeClr w14:val="tx1"/>
            </w14:solidFill>
          </w14:textFill>
        </w:rPr>
      </w:pPr>
      <w:bookmarkStart w:id="189" w:name="_Toc513633965"/>
      <w:bookmarkStart w:id="190" w:name="_Toc507320039"/>
      <w:bookmarkStart w:id="191" w:name="_Toc144974856"/>
      <w:bookmarkStart w:id="192" w:name="_Toc179632807"/>
      <w:bookmarkStart w:id="193" w:name="_Toc246996355"/>
      <w:bookmarkStart w:id="194" w:name="_Toc152045787"/>
      <w:bookmarkStart w:id="195" w:name="_Toc247085873"/>
      <w:bookmarkStart w:id="196" w:name="_Toc246997098"/>
      <w:bookmarkStart w:id="197" w:name="_Toc152042576"/>
      <w:r>
        <w:rPr>
          <w:rFonts w:hint="eastAsia" w:ascii="方正仿宋_GBK" w:hAnsi="方正仿宋_GBK" w:cs="方正仿宋_GBK"/>
          <w:color w:val="000000" w:themeColor="text1"/>
          <w:szCs w:val="32"/>
          <w14:textFill>
            <w14:solidFill>
              <w14:schemeClr w14:val="tx1"/>
            </w14:solidFill>
          </w14:textFill>
        </w:rPr>
        <w:t>主要工作内容及范围</w:t>
      </w:r>
    </w:p>
    <w:p w14:paraId="59EC0AF0">
      <w:pPr>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维护范围：高速公路隧道</w:t>
      </w:r>
      <w:r>
        <w:rPr>
          <w:rFonts w:hint="eastAsia" w:ascii="方正仿宋_GBK" w:hAnsi="方正仿宋_GBK" w:cs="方正仿宋_GBK"/>
          <w:color w:val="000000" w:themeColor="text1"/>
          <w:szCs w:val="32"/>
          <w14:textFill>
            <w14:solidFill>
              <w14:schemeClr w14:val="tx1"/>
            </w14:solidFill>
          </w14:textFill>
        </w:rPr>
        <w:t>所辖消防设备，主要包括以下设备设施：</w:t>
      </w:r>
    </w:p>
    <w:p w14:paraId="730B5D8C">
      <w:pPr>
        <w:numPr>
          <w:ilvl w:val="0"/>
          <w:numId w:val="6"/>
        </w:numPr>
        <w:ind w:firstLine="420" w:firstLineChars="200"/>
        <w:outlineLvl w:val="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消防箱：箱内设备（除消防水带、消防水枪、灭火器外）的所有设施设备；</w:t>
      </w:r>
    </w:p>
    <w:p w14:paraId="70D1C11C">
      <w:pPr>
        <w:numPr>
          <w:ilvl w:val="0"/>
          <w:numId w:val="6"/>
        </w:numPr>
        <w:ind w:firstLine="420" w:firstLineChars="200"/>
        <w:outlineLvl w:val="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消防支管（消防支管为洞内主管网到消防栓之间的管道及附属设施）及洞内主管网阀门（洞内主管网阀门为隧道洞内主管网的减压阀、闸阀、蝶阀等所有阀门）；</w:t>
      </w:r>
    </w:p>
    <w:p w14:paraId="51687C72">
      <w:pPr>
        <w:numPr>
          <w:ilvl w:val="0"/>
          <w:numId w:val="6"/>
        </w:numPr>
        <w:ind w:firstLine="420" w:firstLineChars="200"/>
        <w:outlineLvl w:val="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水泵房内水泵及控制系统、高低位水池液位检测系统；</w:t>
      </w:r>
    </w:p>
    <w:p w14:paraId="075C11F5">
      <w:pPr>
        <w:numPr>
          <w:ilvl w:val="0"/>
          <w:numId w:val="6"/>
        </w:numPr>
        <w:ind w:firstLine="420" w:firstLineChars="200"/>
        <w:outlineLvl w:val="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隧道内光电指示标志（光电指示标志是指隧道内的逃生标志、消防指示标志、车行人行车道指示标志、紧急停车港指示标志、紧急电话指示标志）。</w:t>
      </w:r>
    </w:p>
    <w:p w14:paraId="246ACE5D">
      <w:pPr>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维护内容：</w:t>
      </w:r>
    </w:p>
    <w:p w14:paraId="2E93282A">
      <w:pPr>
        <w:numPr>
          <w:ilvl w:val="0"/>
          <w:numId w:val="7"/>
        </w:numPr>
        <w:ind w:firstLine="64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每季度对消防箱及箱内设备进行检查、清洁、保养和维修、更换；每季度对消防水带、水枪及灭火器进行检查；每年对消防箱（含箱内设备）的锈蚀部分进行一次除锈刷漆。负责消防水带、水枪及灭火器的补充更换，消防水带、水枪及灭火器由甲方提供。</w:t>
      </w:r>
    </w:p>
    <w:p w14:paraId="7056B8B8">
      <w:pPr>
        <w:numPr>
          <w:ilvl w:val="0"/>
          <w:numId w:val="7"/>
        </w:numPr>
        <w:ind w:firstLine="64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每季度对水成膜系统进行检查、清洁、维护保养和维修更换。每年对水成膜系统锈蚀设备进行一次除锈刷漆工作；每季度对缺失的水成膜液进行补充。</w:t>
      </w:r>
    </w:p>
    <w:p w14:paraId="415154D6">
      <w:pPr>
        <w:numPr>
          <w:ilvl w:val="0"/>
          <w:numId w:val="7"/>
        </w:numPr>
        <w:ind w:firstLine="64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每季度对消防支管及洞内主管网阀门进行检查、清洁、维护保养和维修更换。每年对洞内主管网阀门、消防支管的锈蚀部分进行除锈刷漆工作。维护工作开始半年内，乙方需在隧道主干网阀门处标注其阀门位置并向乙方出具水消防系统图。</w:t>
      </w:r>
    </w:p>
    <w:p w14:paraId="2D4B55FE">
      <w:pPr>
        <w:numPr>
          <w:ilvl w:val="0"/>
          <w:numId w:val="7"/>
        </w:numPr>
        <w:ind w:firstLine="64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每季度对液位检测系统、水泵及控制系统进行检查、清洁、维护保养和维修更换；确保设备工作正常，自动控制正常。</w:t>
      </w:r>
    </w:p>
    <w:p w14:paraId="714643F4">
      <w:pPr>
        <w:numPr>
          <w:ilvl w:val="0"/>
          <w:numId w:val="7"/>
        </w:numPr>
        <w:ind w:firstLine="64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每季度对光电指示标志进行检查、清洁、维护保养和维修更换；确保显示清晰、完好，相应支架稳固牢靠，无倾斜、移位、破损或丢失。</w:t>
      </w:r>
    </w:p>
    <w:p w14:paraId="0D181892">
      <w:pPr>
        <w:numPr>
          <w:ilvl w:val="0"/>
          <w:numId w:val="7"/>
        </w:numPr>
        <w:ind w:firstLine="640"/>
        <w:rPr>
          <w:rFonts w:ascii="宋体" w:hAnsi="宋体" w:cs="等线"/>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应急抢修应服从甲方的安排并及时响应，相关费用由甲方另行计量支付。</w:t>
      </w:r>
    </w:p>
    <w:p w14:paraId="74AC19C9">
      <w:pPr>
        <w:numPr>
          <w:ilvl w:val="0"/>
          <w:numId w:val="7"/>
        </w:numPr>
        <w:ind w:firstLine="640"/>
        <w:rPr>
          <w:rFonts w:ascii="宋体" w:hAnsi="宋体" w:cs="等线"/>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按业主要求使用由业主提供的维护管理平台，做好计划编制、数据录入等工作。</w:t>
      </w:r>
    </w:p>
    <w:p w14:paraId="291F74AA">
      <w:pPr>
        <w:numPr>
          <w:ilvl w:val="0"/>
          <w:numId w:val="5"/>
        </w:numPr>
        <w:outlineLvl w:val="0"/>
        <w:rPr>
          <w:rFonts w:ascii="方正仿宋_GBK" w:hAnsi="方正仿宋_GBK" w:cs="方正仿宋_GBK"/>
          <w:color w:val="000000" w:themeColor="text1"/>
          <w:szCs w:val="32"/>
          <w14:textFill>
            <w14:solidFill>
              <w14:schemeClr w14:val="tx1"/>
            </w14:solidFill>
          </w14:textFill>
        </w:rPr>
      </w:pPr>
      <w:r>
        <w:rPr>
          <w:rFonts w:hint="eastAsia" w:ascii="方正仿宋_GBK" w:hAnsi="方正仿宋_GBK" w:cs="方正仿宋_GBK"/>
          <w:color w:val="000000" w:themeColor="text1"/>
          <w:szCs w:val="32"/>
          <w14:textFill>
            <w14:solidFill>
              <w14:schemeClr w14:val="tx1"/>
            </w14:solidFill>
          </w14:textFill>
        </w:rPr>
        <w:t>维护要求</w:t>
      </w:r>
    </w:p>
    <w:p w14:paraId="6934109D">
      <w:pPr>
        <w:ind w:left="420"/>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1、消防箱及箱内设备</w:t>
      </w:r>
    </w:p>
    <w:p w14:paraId="00E02E78">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1）对消防箱设备及箱内设备、水成膜系统进行检查、清洁以及维护保养、维修更换；对箱内消防水带、水枪及灭火器进行检查、清洁、规整；确保阀门、软管、水枪头、消火栓等设备无锈蚀、破损、使用正常。</w:t>
      </w:r>
    </w:p>
    <w:p w14:paraId="5BF28A96">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2）对各种阀门及消火栓、水泵接合器等设备进行检查、清洁以及维护保养、维修更换，确保各消防阀门开启正常灵活，无跑冒滴漏、各种金属部件无锈蚀、使用正常。</w:t>
      </w:r>
    </w:p>
    <w:p w14:paraId="19436C10">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3）对消防箱锈蚀部分进行一次除锈刷漆、对箱内设备（如消火栓、阀门、水成膜系统、软管卷盘等）锈蚀设备进行除锈刷漆。</w:t>
      </w:r>
    </w:p>
    <w:p w14:paraId="10066FB8">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4）检查消防箱体、箱门及其标识是否完好、规范；检查箱内消火栓、联络管子、压力表、消防箱内阀门、消防水带、灭火器等设备是否正常。</w:t>
      </w:r>
    </w:p>
    <w:p w14:paraId="7D7E6D4F">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5）检查箱内消火栓、联络管子、压力表、消防箱内阀门、消防水带等连接处密封性是否良好；箱内设备开启灵活、无滴漏和渗水现象、箱内设备是否完好无损、对接方便；并对其进行维护保养和维修更换。</w:t>
      </w:r>
    </w:p>
    <w:p w14:paraId="0AC1A325">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6）对箱体、箱门及箱内设备进行清洁、箱内设备摆放整齐、易于取用。</w:t>
      </w:r>
    </w:p>
    <w:p w14:paraId="5D83D72A">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2、消防支管及洞内主管网阀门</w:t>
      </w:r>
    </w:p>
    <w:p w14:paraId="0B7EFE60">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1）对消防支管及洞内主管网阀门进行检查、清洁、维护保养和维修更换。</w:t>
      </w:r>
    </w:p>
    <w:p w14:paraId="2D887E4F">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2）对消防支管锈蚀部分进行一次除锈刷漆、对洞内主管网阀门锈蚀设备进行一次除锈刷漆工作。</w:t>
      </w:r>
    </w:p>
    <w:p w14:paraId="59F569B1">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3）对消防支管进行表面清洁、内部通畅性检查及维护保养，保证管道清洁、无堵塞。</w:t>
      </w:r>
    </w:p>
    <w:p w14:paraId="426BAC48">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4）对消防支管及附属设施进行维护保养和维修更换，确保管道无裂缝、撕破、变形、沙眼、碰伤、滴漏和渗水等现象；保湿防冻层应完好。</w:t>
      </w:r>
    </w:p>
    <w:p w14:paraId="49B1079A">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5）对洞内主管网阀门及消防支管阀门进行检查、维护保养及故障更换，确保阀门无锈蚀、漏水等现象；阀门开启、关闭灵活，使用正常。阀门压盖螺栓应留有足够调整余量。</w:t>
      </w:r>
    </w:p>
    <w:p w14:paraId="100B3693">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3、水泵房内水泵及控制系统、高低位水池液位检测系统</w:t>
      </w:r>
    </w:p>
    <w:p w14:paraId="537D61C2">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对液位系统及水泵系统进行检查、清洁、维护保养和维修更换；确保设备工作正常，自动控制正常。</w:t>
      </w:r>
    </w:p>
    <w:p w14:paraId="01580ED0">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4、隧道内光电指示标志</w:t>
      </w:r>
    </w:p>
    <w:p w14:paraId="5D135424">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对隧道光电标志进行的检查、清洁、维护保养和维修更换；检查维修电源线路；确保光电标志干净、明亮，标志显示清晰、完整，无缺画；标志结构稳固，无脱落、相应支架稳固牢靠，无倾斜、移位、破损或丢失。单套故障光电标志的整体更换由甲方负责提供设备，更换工作由乙方负责，不再另行支付费用。</w:t>
      </w:r>
    </w:p>
    <w:p w14:paraId="18362F76">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5、除锈刷漆要求</w:t>
      </w:r>
    </w:p>
    <w:p w14:paraId="2A09F06C">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对隧道消防箱、消防支管及洞内主管网阀门锈蚀部分进行除锈刷漆；对箱内各类闸阀、消防栓、软管卷盘等锈蚀设备进行除锈刷漆，除锈刷漆的要求如下：</w:t>
      </w:r>
    </w:p>
    <w:p w14:paraId="2EB535D6">
      <w:pPr>
        <w:rPr>
          <w:rFonts w:ascii="宋体" w:hAnsi="宋体" w:cs="等线"/>
          <w:bCs/>
          <w:color w:val="000000" w:themeColor="text1"/>
          <w:szCs w:val="21"/>
          <w14:textFill>
            <w14:solidFill>
              <w14:schemeClr w14:val="tx1"/>
            </w14:solidFill>
          </w14:textFill>
        </w:rPr>
      </w:pPr>
      <w:r>
        <w:rPr>
          <w:rFonts w:hint="eastAsia" w:ascii="宋体" w:hAnsi="宋体" w:cs="等线"/>
          <w:bCs/>
          <w:color w:val="000000" w:themeColor="text1"/>
          <w:szCs w:val="21"/>
          <w14:textFill>
            <w14:solidFill>
              <w14:schemeClr w14:val="tx1"/>
            </w14:solidFill>
          </w14:textFill>
        </w:rPr>
        <w:t>利用工具去除疏松油漆和附着的铁锈；除锈处理后，必须尽快涂刷头道底漆、待底漆全干燥后，涂一道面漆。每刷完一层，都要待漆干燥后，再刷下一层，每层油漆不宜太厚，前后层涂刷方向垂直，呈纵横交错均匀平整，刷漆与除锈不能同时进行，以免砂尘进入未干的漆，影响质量；漆膜厚度应达到要求标准，无论现场涂刷油漆条件如何，漆膜表面必须平整、光洁，没有明显凹凸不平情况出现；施工表面所有部位漆涂前若表面有浮尘、油污等要及时清理，保证表面清洁无杂物。漆表面外观均匀一致无透底、漏刷、无留痕、皱纹、脱落、漆粒和明显刷痕，油漆色彩应一致，不变色、无分层现象。</w:t>
      </w:r>
    </w:p>
    <w:p w14:paraId="3636A911">
      <w:pPr>
        <w:rPr>
          <w:rFonts w:ascii="宋体" w:hAnsi="宋体"/>
          <w:color w:val="000000" w:themeColor="text1"/>
          <w:szCs w:val="21"/>
          <w14:textFill>
            <w14:solidFill>
              <w14:schemeClr w14:val="tx1"/>
            </w14:solidFill>
          </w14:textFill>
        </w:rPr>
      </w:pPr>
    </w:p>
    <w:p w14:paraId="64EE9225">
      <w:pPr>
        <w:pStyle w:val="28"/>
        <w:tabs>
          <w:tab w:val="left" w:pos="1200"/>
          <w:tab w:val="right" w:leader="dot" w:pos="9730"/>
        </w:tabs>
        <w:ind w:firstLine="420"/>
        <w:rPr>
          <w:color w:val="000000" w:themeColor="text1"/>
          <w:sz w:val="21"/>
          <w:szCs w:val="21"/>
          <w14:textFill>
            <w14:solidFill>
              <w14:schemeClr w14:val="tx1"/>
            </w14:solidFill>
          </w14:textFill>
        </w:rPr>
      </w:pPr>
    </w:p>
    <w:p w14:paraId="5381FFD1">
      <w:pPr>
        <w:pStyle w:val="28"/>
        <w:tabs>
          <w:tab w:val="left" w:pos="1200"/>
          <w:tab w:val="right" w:leader="dot" w:pos="9730"/>
        </w:tabs>
        <w:ind w:firstLine="0" w:firstLineChars="0"/>
        <w:rPr>
          <w:color w:val="000000" w:themeColor="text1"/>
          <w14:textFill>
            <w14:solidFill>
              <w14:schemeClr w14:val="tx1"/>
            </w14:solidFill>
          </w14:textFill>
        </w:rPr>
      </w:pPr>
    </w:p>
    <w:tbl>
      <w:tblPr>
        <w:tblStyle w:val="43"/>
        <w:tblW w:w="7930" w:type="dxa"/>
        <w:tblInd w:w="0" w:type="dxa"/>
        <w:tblLayout w:type="fixed"/>
        <w:tblCellMar>
          <w:top w:w="15" w:type="dxa"/>
          <w:left w:w="15" w:type="dxa"/>
          <w:bottom w:w="15" w:type="dxa"/>
          <w:right w:w="15" w:type="dxa"/>
        </w:tblCellMar>
      </w:tblPr>
      <w:tblGrid>
        <w:gridCol w:w="1410"/>
        <w:gridCol w:w="3451"/>
        <w:gridCol w:w="3069"/>
      </w:tblGrid>
      <w:tr w14:paraId="641FBBD2">
        <w:tblPrEx>
          <w:tblCellMar>
            <w:top w:w="15" w:type="dxa"/>
            <w:left w:w="15" w:type="dxa"/>
            <w:bottom w:w="15" w:type="dxa"/>
            <w:right w:w="15" w:type="dxa"/>
          </w:tblCellMar>
        </w:tblPrEx>
        <w:trPr>
          <w:trHeight w:val="285"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43823838">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设备名称</w:t>
            </w:r>
          </w:p>
        </w:tc>
        <w:tc>
          <w:tcPr>
            <w:tcW w:w="3451" w:type="dxa"/>
            <w:tcBorders>
              <w:top w:val="single" w:color="000000" w:sz="4" w:space="0"/>
              <w:left w:val="single" w:color="000000" w:sz="4" w:space="0"/>
              <w:bottom w:val="single" w:color="000000" w:sz="4" w:space="0"/>
              <w:right w:val="single" w:color="000000" w:sz="4" w:space="0"/>
            </w:tcBorders>
            <w:vAlign w:val="center"/>
          </w:tcPr>
          <w:p w14:paraId="698A9C89">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维护内容</w:t>
            </w:r>
          </w:p>
        </w:tc>
        <w:tc>
          <w:tcPr>
            <w:tcW w:w="3069" w:type="dxa"/>
            <w:tcBorders>
              <w:top w:val="single" w:color="000000" w:sz="4" w:space="0"/>
              <w:left w:val="single" w:color="000000" w:sz="4" w:space="0"/>
              <w:bottom w:val="single" w:color="000000" w:sz="4" w:space="0"/>
              <w:right w:val="single" w:color="000000" w:sz="4" w:space="0"/>
            </w:tcBorders>
            <w:vAlign w:val="center"/>
          </w:tcPr>
          <w:p w14:paraId="553E472C">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维护要求</w:t>
            </w:r>
          </w:p>
        </w:tc>
      </w:tr>
      <w:tr w14:paraId="3093E972">
        <w:tblPrEx>
          <w:tblCellMar>
            <w:top w:w="15" w:type="dxa"/>
            <w:left w:w="15" w:type="dxa"/>
            <w:bottom w:w="15" w:type="dxa"/>
            <w:right w:w="15" w:type="dxa"/>
          </w:tblCellMar>
        </w:tblPrEx>
        <w:trPr>
          <w:trHeight w:val="164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322FD8F5">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隧道内光电指示标志</w:t>
            </w:r>
          </w:p>
        </w:tc>
        <w:tc>
          <w:tcPr>
            <w:tcW w:w="3451" w:type="dxa"/>
            <w:tcBorders>
              <w:top w:val="single" w:color="000000" w:sz="4" w:space="0"/>
              <w:left w:val="single" w:color="000000" w:sz="4" w:space="0"/>
              <w:bottom w:val="single" w:color="000000" w:sz="4" w:space="0"/>
              <w:right w:val="single" w:color="000000" w:sz="4" w:space="0"/>
            </w:tcBorders>
            <w:vAlign w:val="center"/>
          </w:tcPr>
          <w:p w14:paraId="58416C48">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1、检查/调节LED集束像素管的发光亮度</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2、检查显示功能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3、检查箱体的防水、防尘、防振以及防干扰功能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4、检查电源线和信号线输入端的避雷器功能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5、维护立柱、支架</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6、检测接地电阻</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7、检查外壳有无锈蚀</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8、检查标志是否完好、字迹是否清晰、有无倾斜、位移、破碎或丢失</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9、检查、清洁、保养维护、维修更换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5ABF9BB4">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1、显示清晰完好、醒目</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2、立柱、支架稳固牢靠</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3、接地电阻≤4欧姆</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4、外壳无锈蚀</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5、单位面积上的发光强度不小于8000cd/平方米</w:t>
            </w:r>
          </w:p>
        </w:tc>
      </w:tr>
      <w:tr w14:paraId="3652C086">
        <w:tblPrEx>
          <w:tblCellMar>
            <w:top w:w="15" w:type="dxa"/>
            <w:left w:w="15" w:type="dxa"/>
            <w:bottom w:w="15" w:type="dxa"/>
            <w:right w:w="15" w:type="dxa"/>
          </w:tblCellMar>
        </w:tblPrEx>
        <w:trPr>
          <w:trHeight w:val="659"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1F0CD3B4">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灭火器</w:t>
            </w:r>
          </w:p>
        </w:tc>
        <w:tc>
          <w:tcPr>
            <w:tcW w:w="3451" w:type="dxa"/>
            <w:tcBorders>
              <w:top w:val="single" w:color="000000" w:sz="4" w:space="0"/>
              <w:left w:val="single" w:color="000000" w:sz="4" w:space="0"/>
              <w:bottom w:val="single" w:color="000000" w:sz="4" w:space="0"/>
              <w:right w:val="single" w:color="000000" w:sz="4" w:space="0"/>
            </w:tcBorders>
            <w:vAlign w:val="center"/>
          </w:tcPr>
          <w:p w14:paraId="6655D048">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有无漏水、腐蚀、软管损伤</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2、确认灭火器数量及其有效期</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3、灭火器腐蚀情况、有无失效</w:t>
            </w:r>
          </w:p>
        </w:tc>
        <w:tc>
          <w:tcPr>
            <w:tcW w:w="3069" w:type="dxa"/>
            <w:tcBorders>
              <w:top w:val="single" w:color="000000" w:sz="4" w:space="0"/>
              <w:left w:val="single" w:color="000000" w:sz="4" w:space="0"/>
              <w:bottom w:val="single" w:color="000000" w:sz="4" w:space="0"/>
              <w:right w:val="single" w:color="000000" w:sz="4" w:space="0"/>
            </w:tcBorders>
            <w:vAlign w:val="center"/>
          </w:tcPr>
          <w:p w14:paraId="773C1AC7">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1、无漏水、腐蚀、软管损伤现象发生</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2、灭火器外壳无锈蚀</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3、配置完整、布防整齐</w:t>
            </w:r>
          </w:p>
        </w:tc>
      </w:tr>
      <w:tr w14:paraId="722F1C42">
        <w:tblPrEx>
          <w:tblCellMar>
            <w:top w:w="15" w:type="dxa"/>
            <w:left w:w="15" w:type="dxa"/>
            <w:bottom w:w="15" w:type="dxa"/>
            <w:right w:w="15" w:type="dxa"/>
          </w:tblCellMar>
        </w:tblPrEx>
        <w:trPr>
          <w:trHeight w:val="216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1CDC2CDB">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消防箱及箱内设备</w:t>
            </w:r>
          </w:p>
        </w:tc>
        <w:tc>
          <w:tcPr>
            <w:tcW w:w="3451" w:type="dxa"/>
            <w:tcBorders>
              <w:top w:val="single" w:color="000000" w:sz="4" w:space="0"/>
              <w:left w:val="single" w:color="000000" w:sz="4" w:space="0"/>
              <w:bottom w:val="single" w:color="000000" w:sz="4" w:space="0"/>
              <w:right w:val="single" w:color="000000" w:sz="4" w:space="0"/>
            </w:tcBorders>
            <w:vAlign w:val="center"/>
          </w:tcPr>
          <w:p w14:paraId="38A94C07">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检查消防箱及其标识</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2、清洁箱体、消防栓各个部件</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3、检查消防栓阀件</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4、检查栓头</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5、整理箱内各部件</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6、检查水带和水枪</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7、检查、清洁、保养维护、维修更换</w:t>
            </w:r>
          </w:p>
          <w:p w14:paraId="7E5448EE">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8、进行除锈刷漆工作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2D4D1927">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1、表面清洁、无粉尘污渍</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2、接头密封性良好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3、消防箱标志规范、明显、箱体完好、清洁</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4、箱内整洁、各部件、水带、水枪摆放整齐，易于取用</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5、消防栓阀件开启灵活，关闭时无滴漏和渗水现象</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6、消防栓、水带、水枪三者对接的栓头应完好无损、对接方便</w:t>
            </w:r>
          </w:p>
        </w:tc>
      </w:tr>
      <w:tr w14:paraId="54D65FCD">
        <w:tblPrEx>
          <w:tblCellMar>
            <w:top w:w="15" w:type="dxa"/>
            <w:left w:w="15" w:type="dxa"/>
            <w:bottom w:w="15" w:type="dxa"/>
            <w:right w:w="15" w:type="dxa"/>
          </w:tblCellMar>
        </w:tblPrEx>
        <w:trPr>
          <w:trHeight w:val="211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0F56F92D">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水泵及控制系统</w:t>
            </w:r>
          </w:p>
        </w:tc>
        <w:tc>
          <w:tcPr>
            <w:tcW w:w="3451" w:type="dxa"/>
            <w:tcBorders>
              <w:top w:val="single" w:color="000000" w:sz="4" w:space="0"/>
              <w:left w:val="single" w:color="000000" w:sz="4" w:space="0"/>
              <w:bottom w:val="single" w:color="000000" w:sz="4" w:space="0"/>
              <w:right w:val="single" w:color="000000" w:sz="4" w:space="0"/>
            </w:tcBorders>
            <w:vAlign w:val="center"/>
          </w:tcPr>
          <w:p w14:paraId="417DF3DB">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运转时有无异响、振动、过热、压力上升时闸阀的动作是否正常</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2、外观有无污染与损坏</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3、轴承部分加油与排气检查</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4、启动试验与自动阀同时进行</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5、轴承内加注润滑油或润滑脂</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6、检查联轴器间隙</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7、紧固泵体各部连接螺栓</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8、清洁泵体</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9、清除离心泵泵内垃圾</w:t>
            </w:r>
          </w:p>
          <w:p w14:paraId="7C0F3E3D">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10、检查、清洁、保养维护、维修更换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620944F3">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1、运转时无异响、振动、过热、压力上升时闸阀的动作正常</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2、外观无污染与损坏</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3、水泵电机转向正确、运行平衡、无异常振动和异响</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4、水泵应在规定电压、电流、转速、扬程范围内运行</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5、水泵轴承温度正常</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6、泵体联机管道和机座螺栓紧固、不得漏水</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7、水泵应保持整洁、无积灰、无油垢</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8、水泵停止运行时、止回阀响声正常、水泵无倒转情况</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9、水泵运行前盘车时、水泵电机不得有碰擦和轻重不均现象，水泵各轴承应正常润滑</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10、水泵轴无严重变形，轴颈无磨损沟痕</w:t>
            </w:r>
          </w:p>
        </w:tc>
      </w:tr>
      <w:tr w14:paraId="079E4001">
        <w:tblPrEx>
          <w:tblCellMar>
            <w:top w:w="15" w:type="dxa"/>
            <w:left w:w="15" w:type="dxa"/>
            <w:bottom w:w="15" w:type="dxa"/>
            <w:right w:w="15" w:type="dxa"/>
          </w:tblCellMar>
        </w:tblPrEx>
        <w:trPr>
          <w:trHeight w:val="81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55DE4900">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液位检测系统</w:t>
            </w:r>
          </w:p>
        </w:tc>
        <w:tc>
          <w:tcPr>
            <w:tcW w:w="3451" w:type="dxa"/>
            <w:tcBorders>
              <w:top w:val="single" w:color="000000" w:sz="4" w:space="0"/>
              <w:left w:val="single" w:color="000000" w:sz="4" w:space="0"/>
              <w:bottom w:val="single" w:color="000000" w:sz="4" w:space="0"/>
              <w:right w:val="single" w:color="000000" w:sz="4" w:space="0"/>
            </w:tcBorders>
            <w:vAlign w:val="center"/>
          </w:tcPr>
          <w:p w14:paraId="782FBF39">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清洁表面</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2、检查功能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3、环境安全检查</w:t>
            </w:r>
          </w:p>
          <w:p w14:paraId="350B8B7D">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3、检查、清洁、保养维护、维修更换</w:t>
            </w:r>
          </w:p>
        </w:tc>
        <w:tc>
          <w:tcPr>
            <w:tcW w:w="3069" w:type="dxa"/>
            <w:tcBorders>
              <w:top w:val="single" w:color="000000" w:sz="4" w:space="0"/>
              <w:left w:val="single" w:color="000000" w:sz="4" w:space="0"/>
              <w:bottom w:val="single" w:color="000000" w:sz="4" w:space="0"/>
              <w:right w:val="single" w:color="000000" w:sz="4" w:space="0"/>
            </w:tcBorders>
            <w:vAlign w:val="center"/>
          </w:tcPr>
          <w:p w14:paraId="5392744A">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1、外表无锈蚀、污垢、安装良好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2、使用正常</w:t>
            </w:r>
          </w:p>
        </w:tc>
      </w:tr>
      <w:tr w14:paraId="012FFD40">
        <w:tblPrEx>
          <w:tblCellMar>
            <w:top w:w="15" w:type="dxa"/>
            <w:left w:w="15" w:type="dxa"/>
            <w:bottom w:w="15" w:type="dxa"/>
            <w:right w:w="15" w:type="dxa"/>
          </w:tblCellMar>
        </w:tblPrEx>
        <w:trPr>
          <w:trHeight w:val="665"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29694F35">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消防管道</w:t>
            </w:r>
          </w:p>
        </w:tc>
        <w:tc>
          <w:tcPr>
            <w:tcW w:w="3451" w:type="dxa"/>
            <w:tcBorders>
              <w:top w:val="single" w:color="000000" w:sz="4" w:space="0"/>
              <w:left w:val="single" w:color="000000" w:sz="4" w:space="0"/>
              <w:bottom w:val="single" w:color="000000" w:sz="4" w:space="0"/>
              <w:right w:val="single" w:color="000000" w:sz="4" w:space="0"/>
            </w:tcBorders>
            <w:vAlign w:val="center"/>
          </w:tcPr>
          <w:p w14:paraId="5B3EA267">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清洁表面、内部</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2、检查畅通性</w:t>
            </w:r>
          </w:p>
          <w:p w14:paraId="30CCCE12">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3、检查、清洁、保养维护、维修更换</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4、环境安全检查（防冻）、进行除锈刷漆工作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07DFF157">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1、表面清洁、无粉尘污渍</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2、管道畅通、无堵塞物</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3、确保管道无裂缝、撕破、变形、沙眼、碰伤、滴漏和渗水等现象；保湿防冻层应完好</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4、管子、管件及接口静密封部位不应泄漏</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5、各紧固件连接部位不应松动</w:t>
            </w:r>
          </w:p>
        </w:tc>
      </w:tr>
      <w:tr w14:paraId="3707D1F8">
        <w:tblPrEx>
          <w:tblCellMar>
            <w:top w:w="15" w:type="dxa"/>
            <w:left w:w="15" w:type="dxa"/>
            <w:bottom w:w="15" w:type="dxa"/>
            <w:right w:w="15" w:type="dxa"/>
          </w:tblCellMar>
        </w:tblPrEx>
        <w:trPr>
          <w:trHeight w:val="1350" w:hRule="atLeast"/>
        </w:trPr>
        <w:tc>
          <w:tcPr>
            <w:tcW w:w="1410" w:type="dxa"/>
            <w:tcBorders>
              <w:top w:val="single" w:color="000000" w:sz="4" w:space="0"/>
              <w:left w:val="single" w:color="000000" w:sz="4" w:space="0"/>
              <w:bottom w:val="single" w:color="000000" w:sz="4" w:space="0"/>
              <w:right w:val="single" w:color="000000" w:sz="4" w:space="0"/>
            </w:tcBorders>
            <w:vAlign w:val="center"/>
          </w:tcPr>
          <w:p w14:paraId="3B38EAAC">
            <w:pPr>
              <w:jc w:val="cente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各种阀门</w:t>
            </w:r>
          </w:p>
        </w:tc>
        <w:tc>
          <w:tcPr>
            <w:tcW w:w="3451" w:type="dxa"/>
            <w:tcBorders>
              <w:top w:val="single" w:color="000000" w:sz="4" w:space="0"/>
              <w:left w:val="single" w:color="000000" w:sz="4" w:space="0"/>
              <w:bottom w:val="single" w:color="000000" w:sz="4" w:space="0"/>
              <w:right w:val="single" w:color="000000" w:sz="4" w:space="0"/>
            </w:tcBorders>
            <w:vAlign w:val="center"/>
          </w:tcPr>
          <w:p w14:paraId="6D1AA470">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外观检查、有无漏水、腐蚀</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2、操作试验是否正常</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3、导通试验</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4、保温装置的状况</w:t>
            </w:r>
          </w:p>
          <w:p w14:paraId="34DDE3AE">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5、检查、清洁、保养维护、维修更换</w:t>
            </w:r>
          </w:p>
          <w:p w14:paraId="1B7DF121">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6、换进行除锈刷漆工作</w:t>
            </w:r>
          </w:p>
        </w:tc>
        <w:tc>
          <w:tcPr>
            <w:tcW w:w="3069" w:type="dxa"/>
            <w:tcBorders>
              <w:top w:val="single" w:color="000000" w:sz="4" w:space="0"/>
              <w:left w:val="single" w:color="000000" w:sz="4" w:space="0"/>
              <w:bottom w:val="single" w:color="000000" w:sz="4" w:space="0"/>
              <w:right w:val="single" w:color="000000" w:sz="4" w:space="0"/>
            </w:tcBorders>
            <w:vAlign w:val="center"/>
          </w:tcPr>
          <w:p w14:paraId="156DFCDD">
            <w:pPr>
              <w:rPr>
                <w:rFonts w:ascii="宋体" w:hAnsi="宋体" w:cs="等线"/>
                <w:bCs/>
                <w:color w:val="000000" w:themeColor="text1"/>
                <w:sz w:val="22"/>
                <w:szCs w:val="22"/>
                <w14:textFill>
                  <w14:solidFill>
                    <w14:schemeClr w14:val="tx1"/>
                  </w14:solidFill>
                </w14:textFill>
              </w:rPr>
            </w:pPr>
            <w:r>
              <w:rPr>
                <w:rFonts w:hint="eastAsia" w:ascii="宋体" w:hAnsi="宋体" w:cs="等线"/>
                <w:bCs/>
                <w:color w:val="000000" w:themeColor="text1"/>
                <w:sz w:val="22"/>
                <w:szCs w:val="22"/>
                <w14:textFill>
                  <w14:solidFill>
                    <w14:schemeClr w14:val="tx1"/>
                  </w14:solidFill>
                </w14:textFill>
              </w:rPr>
              <w:t>1、无漏水现场</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2、阀门无腐蚀</w:t>
            </w:r>
            <w:r>
              <w:rPr>
                <w:rFonts w:hint="eastAsia" w:ascii="宋体" w:hAnsi="宋体" w:cs="等线"/>
                <w:bCs/>
                <w:color w:val="000000" w:themeColor="text1"/>
                <w:sz w:val="22"/>
                <w:szCs w:val="22"/>
                <w14:textFill>
                  <w14:solidFill>
                    <w14:schemeClr w14:val="tx1"/>
                  </w14:solidFill>
                </w14:textFill>
              </w:rPr>
              <w:br w:type="textWrapping"/>
            </w:r>
            <w:r>
              <w:rPr>
                <w:rFonts w:hint="eastAsia" w:ascii="宋体" w:hAnsi="宋体" w:cs="等线"/>
                <w:bCs/>
                <w:color w:val="000000" w:themeColor="text1"/>
                <w:sz w:val="22"/>
                <w:szCs w:val="22"/>
                <w14:textFill>
                  <w14:solidFill>
                    <w14:schemeClr w14:val="tx1"/>
                  </w14:solidFill>
                </w14:textFill>
              </w:rPr>
              <w:t>3、阀门开启、关闭灵活，开启出水正常、关闭则无出水。阀门压盖螺栓应留有足够的调整余量</w:t>
            </w:r>
          </w:p>
        </w:tc>
      </w:tr>
    </w:tbl>
    <w:p w14:paraId="66EF914B">
      <w:pPr>
        <w:ind w:left="420"/>
        <w:rPr>
          <w:color w:val="000000" w:themeColor="text1"/>
          <w14:textFill>
            <w14:solidFill>
              <w14:schemeClr w14:val="tx1"/>
            </w14:solidFill>
          </w14:textFill>
        </w:rPr>
      </w:pPr>
      <w:r>
        <w:rPr>
          <w:rFonts w:hint="eastAsia"/>
          <w:color w:val="000000" w:themeColor="text1"/>
          <w:highlight w:val="lightGray"/>
          <w14:textFill>
            <w14:solidFill>
              <w14:schemeClr w14:val="tx1"/>
            </w14:solidFill>
          </w14:textFill>
        </w:rPr>
        <w:t>四、</w:t>
      </w:r>
      <w:r>
        <w:rPr>
          <w:rFonts w:hint="eastAsia"/>
          <w:color w:val="000000" w:themeColor="text1"/>
          <w14:textFill>
            <w14:solidFill>
              <w14:schemeClr w14:val="tx1"/>
            </w14:solidFill>
          </w14:textFill>
        </w:rPr>
        <w:t>其他要求</w:t>
      </w:r>
    </w:p>
    <w:p w14:paraId="70062D15">
      <w:pPr>
        <w:numPr>
          <w:ilvl w:val="0"/>
          <w:numId w:val="8"/>
        </w:numPr>
        <w:rPr>
          <w:color w:val="000000" w:themeColor="text1"/>
          <w14:textFill>
            <w14:solidFill>
              <w14:schemeClr w14:val="tx1"/>
            </w14:solidFill>
          </w14:textFill>
        </w:rPr>
      </w:pPr>
      <w:r>
        <w:rPr>
          <w:rFonts w:hint="eastAsia"/>
          <w:color w:val="000000" w:themeColor="text1"/>
          <w14:textFill>
            <w14:solidFill>
              <w14:schemeClr w14:val="tx1"/>
            </w14:solidFill>
          </w14:textFill>
        </w:rPr>
        <w:t>每季度第三个月中旬必须向运维中心提交下季度维护计划。并严格按计划实施。</w:t>
      </w:r>
    </w:p>
    <w:p w14:paraId="0FB7FF6B">
      <w:pPr>
        <w:numPr>
          <w:ilvl w:val="0"/>
          <w:numId w:val="8"/>
        </w:numPr>
        <w:rPr>
          <w:color w:val="000000" w:themeColor="text1"/>
          <w14:textFill>
            <w14:solidFill>
              <w14:schemeClr w14:val="tx1"/>
            </w14:solidFill>
          </w14:textFill>
        </w:rPr>
      </w:pPr>
      <w:r>
        <w:rPr>
          <w:rFonts w:hint="eastAsia"/>
          <w:color w:val="000000" w:themeColor="text1"/>
          <w14:textFill>
            <w14:solidFill>
              <w14:schemeClr w14:val="tx1"/>
            </w14:solidFill>
          </w14:textFill>
        </w:rPr>
        <w:t>乙方每次巡检、维护、保养、更换等工作的维护记录资料，须经我司运维中心/机电站人员的签字认可，维护记录必须按时完整提交。</w:t>
      </w:r>
    </w:p>
    <w:p w14:paraId="42AF2FFB">
      <w:pPr>
        <w:numPr>
          <w:ilvl w:val="0"/>
          <w:numId w:val="8"/>
        </w:numPr>
        <w:rPr>
          <w:color w:val="000000" w:themeColor="text1"/>
          <w14:textFill>
            <w14:solidFill>
              <w14:schemeClr w14:val="tx1"/>
            </w14:solidFill>
          </w14:textFill>
        </w:rPr>
      </w:pPr>
      <w:r>
        <w:rPr>
          <w:rFonts w:hint="eastAsia"/>
          <w:color w:val="000000" w:themeColor="text1"/>
          <w14:textFill>
            <w14:solidFill>
              <w14:schemeClr w14:val="tx1"/>
            </w14:solidFill>
          </w14:textFill>
        </w:rPr>
        <w:t>维护资料填写必须字迹清晰、工整，不得有空缺和漏填，打印文档要求宋体四号，签名处必须维护人员本人手签。资料一式三份，交运维中心审核。资料于每次维护任务完成后15日内提交。</w:t>
      </w:r>
    </w:p>
    <w:p w14:paraId="1F3D669F">
      <w:pPr>
        <w:ind w:left="420"/>
        <w:outlineLvl w:val="0"/>
        <w:rPr>
          <w:rFonts w:ascii="方正仿宋_GBK" w:hAnsi="方正仿宋_GBK" w:cs="方正仿宋_GBK"/>
          <w:color w:val="000000" w:themeColor="text1"/>
          <w:szCs w:val="32"/>
          <w14:textFill>
            <w14:solidFill>
              <w14:schemeClr w14:val="tx1"/>
            </w14:solidFill>
          </w14:textFill>
        </w:rPr>
      </w:pPr>
      <w:r>
        <w:rPr>
          <w:rFonts w:hint="eastAsia" w:ascii="方正仿宋_GBK" w:hAnsi="方正仿宋_GBK" w:cs="方正仿宋_GBK"/>
          <w:color w:val="000000" w:themeColor="text1"/>
          <w:szCs w:val="32"/>
          <w14:textFill>
            <w14:solidFill>
              <w14:schemeClr w14:val="tx1"/>
            </w14:solidFill>
          </w14:textFill>
        </w:rPr>
        <w:t>维护工程量清单</w:t>
      </w:r>
    </w:p>
    <w:p w14:paraId="04B65235">
      <w:pPr>
        <w:pStyle w:val="174"/>
        <w:ind w:left="420" w:firstLine="0" w:firstLineChars="0"/>
        <w:outlineLvl w:val="0"/>
        <w:rPr>
          <w:rFonts w:ascii="方正仿宋_GBK" w:hAnsi="方正仿宋_GBK" w:cs="方正仿宋_GBK"/>
          <w:color w:val="000000" w:themeColor="text1"/>
          <w:szCs w:val="32"/>
          <w14:textFill>
            <w14:solidFill>
              <w14:schemeClr w14:val="tx1"/>
            </w14:solidFill>
          </w14:textFill>
        </w:rPr>
      </w:pPr>
      <w:r>
        <w:rPr>
          <w:rFonts w:hint="eastAsia" w:ascii="方正仿宋_GBK" w:hAnsi="方正仿宋_GBK" w:cs="方正仿宋_GBK"/>
          <w:color w:val="000000" w:themeColor="text1"/>
          <w:szCs w:val="32"/>
          <w14:textFill>
            <w14:solidFill>
              <w14:schemeClr w14:val="tx1"/>
            </w14:solidFill>
          </w14:textFill>
        </w:rPr>
        <w:t>另册</w:t>
      </w:r>
    </w:p>
    <w:p w14:paraId="1149BEAE">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14:textFill>
            <w14:solidFill>
              <w14:schemeClr w14:val="tx1"/>
            </w14:solidFill>
          </w14:textFill>
        </w:rPr>
        <w:t>维护包件耗材清单表</w:t>
      </w:r>
    </w:p>
    <w:tbl>
      <w:tblPr>
        <w:tblStyle w:val="43"/>
        <w:tblW w:w="8336" w:type="dxa"/>
        <w:tblInd w:w="0" w:type="dxa"/>
        <w:tblLayout w:type="fixed"/>
        <w:tblCellMar>
          <w:top w:w="15" w:type="dxa"/>
          <w:left w:w="15" w:type="dxa"/>
          <w:bottom w:w="15" w:type="dxa"/>
          <w:right w:w="15" w:type="dxa"/>
        </w:tblCellMar>
      </w:tblPr>
      <w:tblGrid>
        <w:gridCol w:w="4260"/>
        <w:gridCol w:w="4076"/>
      </w:tblGrid>
      <w:tr w14:paraId="2EC717E9">
        <w:tblPrEx>
          <w:tblCellMar>
            <w:top w:w="15" w:type="dxa"/>
            <w:left w:w="15" w:type="dxa"/>
            <w:bottom w:w="15" w:type="dxa"/>
            <w:right w:w="15" w:type="dxa"/>
          </w:tblCellMar>
        </w:tblPrEx>
        <w:trPr>
          <w:trHeight w:val="285" w:hRule="atLeast"/>
        </w:trPr>
        <w:tc>
          <w:tcPr>
            <w:tcW w:w="8336" w:type="dxa"/>
            <w:gridSpan w:val="2"/>
            <w:tcBorders>
              <w:top w:val="single" w:color="000000" w:sz="4" w:space="0"/>
              <w:left w:val="single" w:color="000000" w:sz="4" w:space="0"/>
              <w:bottom w:val="single" w:color="000000" w:sz="4" w:space="0"/>
              <w:right w:val="single" w:color="000000" w:sz="4" w:space="0"/>
            </w:tcBorders>
            <w:vAlign w:val="center"/>
          </w:tcPr>
          <w:p w14:paraId="2A15E64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维护包件耗材清单表</w:t>
            </w:r>
          </w:p>
        </w:tc>
      </w:tr>
      <w:tr w14:paraId="1572BE9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48F408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1寸活接</w:t>
            </w:r>
          </w:p>
        </w:tc>
        <w:tc>
          <w:tcPr>
            <w:tcW w:w="4076" w:type="dxa"/>
            <w:tcBorders>
              <w:top w:val="single" w:color="000000" w:sz="4" w:space="0"/>
              <w:left w:val="single" w:color="000000" w:sz="4" w:space="0"/>
              <w:bottom w:val="single" w:color="000000" w:sz="4" w:space="0"/>
              <w:right w:val="single" w:color="000000" w:sz="4" w:space="0"/>
            </w:tcBorders>
            <w:vAlign w:val="center"/>
          </w:tcPr>
          <w:p w14:paraId="1782168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金属波纹管</w:t>
            </w:r>
          </w:p>
        </w:tc>
      </w:tr>
      <w:tr w14:paraId="25A03260">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8E1F1A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ab胶</w:t>
            </w:r>
          </w:p>
        </w:tc>
        <w:tc>
          <w:tcPr>
            <w:tcW w:w="4076" w:type="dxa"/>
            <w:tcBorders>
              <w:top w:val="single" w:color="000000" w:sz="4" w:space="0"/>
              <w:left w:val="single" w:color="000000" w:sz="4" w:space="0"/>
              <w:bottom w:val="single" w:color="000000" w:sz="4" w:space="0"/>
              <w:right w:val="single" w:color="000000" w:sz="4" w:space="0"/>
            </w:tcBorders>
            <w:vAlign w:val="center"/>
          </w:tcPr>
          <w:p w14:paraId="5018B42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镀锌钢管（应用在消火栓支管）</w:t>
            </w:r>
          </w:p>
        </w:tc>
      </w:tr>
      <w:tr w14:paraId="1E62FD0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FAC4DC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PPR外丝接头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0CCFF06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卷盘软管支架</w:t>
            </w:r>
          </w:p>
        </w:tc>
      </w:tr>
      <w:tr w14:paraId="34D6562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45FAE4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PVC弯头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6508407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可曲扰橡胶接头</w:t>
            </w:r>
          </w:p>
        </w:tc>
      </w:tr>
      <w:tr w14:paraId="3AEA0BD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832373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PVC线管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16D5C8B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可调式减压阀</w:t>
            </w:r>
          </w:p>
        </w:tc>
      </w:tr>
      <w:tr w14:paraId="6BDA4BA1">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9F44C3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Y型过滤器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5D41A69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控制电缆线</w:t>
            </w:r>
          </w:p>
        </w:tc>
      </w:tr>
      <w:tr w14:paraId="397E30E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2BEF9F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比例混合器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45AC692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连接铜管</w:t>
            </w:r>
          </w:p>
        </w:tc>
      </w:tr>
      <w:tr w14:paraId="263D2E3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A9ABE3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玻纹软管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1DCBD21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联轴器胶垫</w:t>
            </w:r>
          </w:p>
        </w:tc>
      </w:tr>
      <w:tr w14:paraId="25666DB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9D00CC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不锈钢卡子</w:t>
            </w:r>
          </w:p>
        </w:tc>
        <w:tc>
          <w:tcPr>
            <w:tcW w:w="4076" w:type="dxa"/>
            <w:tcBorders>
              <w:top w:val="single" w:color="000000" w:sz="4" w:space="0"/>
              <w:left w:val="single" w:color="000000" w:sz="4" w:space="0"/>
              <w:bottom w:val="single" w:color="000000" w:sz="4" w:space="0"/>
              <w:right w:val="single" w:color="000000" w:sz="4" w:space="0"/>
            </w:tcBorders>
            <w:vAlign w:val="center"/>
          </w:tcPr>
          <w:p w14:paraId="36886B3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减压阀</w:t>
            </w:r>
          </w:p>
        </w:tc>
      </w:tr>
      <w:tr w14:paraId="277B9CB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DD13EC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不锈钢泡沫箱</w:t>
            </w:r>
          </w:p>
        </w:tc>
        <w:tc>
          <w:tcPr>
            <w:tcW w:w="4076" w:type="dxa"/>
            <w:tcBorders>
              <w:top w:val="single" w:color="000000" w:sz="4" w:space="0"/>
              <w:left w:val="single" w:color="000000" w:sz="4" w:space="0"/>
              <w:bottom w:val="single" w:color="000000" w:sz="4" w:space="0"/>
              <w:right w:val="single" w:color="000000" w:sz="4" w:space="0"/>
            </w:tcBorders>
            <w:vAlign w:val="center"/>
          </w:tcPr>
          <w:p w14:paraId="46CA4C2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螺丝、螺帽、螺栓、垫圈</w:t>
            </w:r>
          </w:p>
        </w:tc>
      </w:tr>
      <w:tr w14:paraId="559794D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C62E26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插座</w:t>
            </w:r>
          </w:p>
        </w:tc>
        <w:tc>
          <w:tcPr>
            <w:tcW w:w="4076" w:type="dxa"/>
            <w:tcBorders>
              <w:top w:val="single" w:color="000000" w:sz="4" w:space="0"/>
              <w:left w:val="single" w:color="000000" w:sz="4" w:space="0"/>
              <w:bottom w:val="single" w:color="000000" w:sz="4" w:space="0"/>
              <w:right w:val="single" w:color="000000" w:sz="4" w:space="0"/>
            </w:tcBorders>
            <w:vAlign w:val="center"/>
          </w:tcPr>
          <w:p w14:paraId="09FBF66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密封胶垫</w:t>
            </w:r>
          </w:p>
        </w:tc>
      </w:tr>
      <w:tr w14:paraId="46E515F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1B4BE6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超声波液位计</w:t>
            </w:r>
          </w:p>
        </w:tc>
        <w:tc>
          <w:tcPr>
            <w:tcW w:w="4076" w:type="dxa"/>
            <w:tcBorders>
              <w:top w:val="single" w:color="000000" w:sz="4" w:space="0"/>
              <w:left w:val="single" w:color="000000" w:sz="4" w:space="0"/>
              <w:bottom w:val="single" w:color="000000" w:sz="4" w:space="0"/>
              <w:right w:val="single" w:color="000000" w:sz="4" w:space="0"/>
            </w:tcBorders>
            <w:vAlign w:val="center"/>
          </w:tcPr>
          <w:p w14:paraId="580C170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密封盘根</w:t>
            </w:r>
          </w:p>
        </w:tc>
      </w:tr>
      <w:tr w14:paraId="3829E57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55B888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除锈剂</w:t>
            </w:r>
          </w:p>
        </w:tc>
        <w:tc>
          <w:tcPr>
            <w:tcW w:w="4076" w:type="dxa"/>
            <w:tcBorders>
              <w:top w:val="single" w:color="000000" w:sz="4" w:space="0"/>
              <w:left w:val="single" w:color="000000" w:sz="4" w:space="0"/>
              <w:bottom w:val="single" w:color="000000" w:sz="4" w:space="0"/>
              <w:right w:val="single" w:color="000000" w:sz="4" w:space="0"/>
            </w:tcBorders>
            <w:vAlign w:val="center"/>
          </w:tcPr>
          <w:p w14:paraId="02768F7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密封生胶带</w:t>
            </w:r>
          </w:p>
        </w:tc>
      </w:tr>
      <w:tr w14:paraId="46B6B65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2A92E6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大小头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72485AA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尼龙扎带</w:t>
            </w:r>
          </w:p>
        </w:tc>
      </w:tr>
      <w:tr w14:paraId="32A9647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EB0CDF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单控翘板开关 </w:t>
            </w:r>
          </w:p>
        </w:tc>
        <w:tc>
          <w:tcPr>
            <w:tcW w:w="4076" w:type="dxa"/>
            <w:tcBorders>
              <w:top w:val="single" w:color="000000" w:sz="4" w:space="0"/>
              <w:left w:val="single" w:color="000000" w:sz="4" w:space="0"/>
              <w:bottom w:val="single" w:color="000000" w:sz="4" w:space="0"/>
              <w:right w:val="single" w:color="000000" w:sz="4" w:space="0"/>
            </w:tcBorders>
            <w:vAlign w:val="center"/>
          </w:tcPr>
          <w:p w14:paraId="188F5C9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排污泵控制柜</w:t>
            </w:r>
          </w:p>
        </w:tc>
      </w:tr>
      <w:tr w14:paraId="41AF140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1CD6D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单向阀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E8A427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泡沫储液罐</w:t>
            </w:r>
          </w:p>
        </w:tc>
      </w:tr>
      <w:tr w14:paraId="4785CFE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9769BD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导向架</w:t>
            </w:r>
          </w:p>
        </w:tc>
        <w:tc>
          <w:tcPr>
            <w:tcW w:w="4076" w:type="dxa"/>
            <w:tcBorders>
              <w:top w:val="single" w:color="000000" w:sz="4" w:space="0"/>
              <w:left w:val="single" w:color="000000" w:sz="4" w:space="0"/>
              <w:bottom w:val="single" w:color="000000" w:sz="4" w:space="0"/>
              <w:right w:val="single" w:color="000000" w:sz="4" w:space="0"/>
            </w:tcBorders>
            <w:vAlign w:val="center"/>
          </w:tcPr>
          <w:p w14:paraId="7DC59E6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泡沫喷枪</w:t>
            </w:r>
          </w:p>
        </w:tc>
      </w:tr>
      <w:tr w14:paraId="66D0783D">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8E1261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电焊条</w:t>
            </w:r>
          </w:p>
        </w:tc>
        <w:tc>
          <w:tcPr>
            <w:tcW w:w="4076" w:type="dxa"/>
            <w:tcBorders>
              <w:top w:val="single" w:color="000000" w:sz="4" w:space="0"/>
              <w:left w:val="single" w:color="000000" w:sz="4" w:space="0"/>
              <w:bottom w:val="single" w:color="000000" w:sz="4" w:space="0"/>
              <w:right w:val="single" w:color="000000" w:sz="4" w:space="0"/>
            </w:tcBorders>
            <w:vAlign w:val="center"/>
          </w:tcPr>
          <w:p w14:paraId="192D4A6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泡沫液出液阀</w:t>
            </w:r>
          </w:p>
        </w:tc>
      </w:tr>
      <w:tr w14:paraId="2461F35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ADE51A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电机线圈防水漆包铜线</w:t>
            </w:r>
          </w:p>
        </w:tc>
        <w:tc>
          <w:tcPr>
            <w:tcW w:w="4076" w:type="dxa"/>
            <w:tcBorders>
              <w:top w:val="single" w:color="000000" w:sz="4" w:space="0"/>
              <w:left w:val="single" w:color="000000" w:sz="4" w:space="0"/>
              <w:bottom w:val="single" w:color="000000" w:sz="4" w:space="0"/>
              <w:right w:val="single" w:color="000000" w:sz="4" w:space="0"/>
            </w:tcBorders>
            <w:vAlign w:val="center"/>
          </w:tcPr>
          <w:p w14:paraId="37987CD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潜水泵 功率在3KW以下</w:t>
            </w:r>
          </w:p>
        </w:tc>
      </w:tr>
      <w:tr w14:paraId="4E847EC1">
        <w:tblPrEx>
          <w:tblCellMar>
            <w:top w:w="15" w:type="dxa"/>
            <w:left w:w="15" w:type="dxa"/>
            <w:bottom w:w="15" w:type="dxa"/>
            <w:right w:w="15" w:type="dxa"/>
          </w:tblCellMar>
        </w:tblPrEx>
        <w:trPr>
          <w:trHeight w:val="90"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3552B4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电接点压力表</w:t>
            </w:r>
          </w:p>
        </w:tc>
        <w:tc>
          <w:tcPr>
            <w:tcW w:w="4076" w:type="dxa"/>
            <w:tcBorders>
              <w:top w:val="single" w:color="000000" w:sz="4" w:space="0"/>
              <w:left w:val="single" w:color="000000" w:sz="4" w:space="0"/>
              <w:bottom w:val="single" w:color="000000" w:sz="4" w:space="0"/>
              <w:right w:val="single" w:color="000000" w:sz="4" w:space="0"/>
            </w:tcBorders>
            <w:vAlign w:val="center"/>
          </w:tcPr>
          <w:p w14:paraId="400805E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球阀</w:t>
            </w:r>
          </w:p>
        </w:tc>
      </w:tr>
      <w:tr w14:paraId="3FFF111A">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C28BE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电接点真空压力表</w:t>
            </w:r>
          </w:p>
        </w:tc>
        <w:tc>
          <w:tcPr>
            <w:tcW w:w="4076" w:type="dxa"/>
            <w:tcBorders>
              <w:top w:val="single" w:color="000000" w:sz="4" w:space="0"/>
              <w:left w:val="single" w:color="000000" w:sz="4" w:space="0"/>
              <w:bottom w:val="single" w:color="000000" w:sz="4" w:space="0"/>
              <w:right w:val="single" w:color="000000" w:sz="4" w:space="0"/>
            </w:tcBorders>
            <w:vAlign w:val="center"/>
          </w:tcPr>
          <w:p w14:paraId="3DE1813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软管卷盘</w:t>
            </w:r>
          </w:p>
        </w:tc>
      </w:tr>
      <w:tr w14:paraId="13A5351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9FA901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镀锌管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4EF20C7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三通接头</w:t>
            </w:r>
          </w:p>
        </w:tc>
      </w:tr>
      <w:tr w14:paraId="1239841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F46BA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镀锌活接头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2A11534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消火栓</w:t>
            </w:r>
          </w:p>
        </w:tc>
      </w:tr>
      <w:tr w14:paraId="4736C451">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0CF566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断路器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02FCB1E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蝶阀</w:t>
            </w:r>
          </w:p>
        </w:tc>
      </w:tr>
      <w:tr w14:paraId="2411647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E658FB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多功能水泵控制阀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2011D7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数显液位表</w:t>
            </w:r>
          </w:p>
        </w:tc>
      </w:tr>
      <w:tr w14:paraId="528D6F5B">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8B5EB7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二通接头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3937CA5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水泵结合器</w:t>
            </w:r>
          </w:p>
        </w:tc>
      </w:tr>
      <w:tr w14:paraId="38382E80">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492DD7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法兰盘</w:t>
            </w:r>
          </w:p>
        </w:tc>
        <w:tc>
          <w:tcPr>
            <w:tcW w:w="4076" w:type="dxa"/>
            <w:tcBorders>
              <w:top w:val="single" w:color="000000" w:sz="4" w:space="0"/>
              <w:left w:val="single" w:color="000000" w:sz="4" w:space="0"/>
              <w:bottom w:val="single" w:color="000000" w:sz="4" w:space="0"/>
              <w:right w:val="single" w:color="000000" w:sz="4" w:space="0"/>
            </w:tcBorders>
            <w:vAlign w:val="center"/>
          </w:tcPr>
          <w:p w14:paraId="08E3B39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水泵轴</w:t>
            </w:r>
          </w:p>
        </w:tc>
      </w:tr>
      <w:tr w14:paraId="33F8EEE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0EA09E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法兰盘密封胶垫</w:t>
            </w:r>
          </w:p>
        </w:tc>
        <w:tc>
          <w:tcPr>
            <w:tcW w:w="4076" w:type="dxa"/>
            <w:tcBorders>
              <w:top w:val="single" w:color="000000" w:sz="4" w:space="0"/>
              <w:left w:val="single" w:color="000000" w:sz="4" w:space="0"/>
              <w:bottom w:val="single" w:color="000000" w:sz="4" w:space="0"/>
              <w:right w:val="single" w:color="000000" w:sz="4" w:space="0"/>
            </w:tcBorders>
            <w:vAlign w:val="center"/>
          </w:tcPr>
          <w:p w14:paraId="2165162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水泵轴承</w:t>
            </w:r>
          </w:p>
        </w:tc>
      </w:tr>
      <w:tr w14:paraId="5C7109C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5C6373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放水阀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ADA99E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水平管</w:t>
            </w:r>
          </w:p>
        </w:tc>
      </w:tr>
      <w:tr w14:paraId="68DE3138">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0D9B62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放液阀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14AF838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铜管</w:t>
            </w:r>
          </w:p>
        </w:tc>
      </w:tr>
      <w:tr w14:paraId="5503F90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66DB66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浮球液位计</w:t>
            </w:r>
          </w:p>
        </w:tc>
        <w:tc>
          <w:tcPr>
            <w:tcW w:w="4076" w:type="dxa"/>
            <w:tcBorders>
              <w:top w:val="single" w:color="000000" w:sz="4" w:space="0"/>
              <w:left w:val="single" w:color="000000" w:sz="4" w:space="0"/>
              <w:bottom w:val="single" w:color="000000" w:sz="4" w:space="0"/>
              <w:right w:val="single" w:color="000000" w:sz="4" w:space="0"/>
            </w:tcBorders>
            <w:vAlign w:val="center"/>
          </w:tcPr>
          <w:p w14:paraId="2198D3F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铜直接</w:t>
            </w:r>
          </w:p>
        </w:tc>
      </w:tr>
      <w:tr w14:paraId="18015DFC">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DD0BB9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钢管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268DDC8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弯头</w:t>
            </w:r>
          </w:p>
        </w:tc>
      </w:tr>
      <w:tr w14:paraId="3C5674AD">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6CF461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钢丝</w:t>
            </w:r>
          </w:p>
        </w:tc>
        <w:tc>
          <w:tcPr>
            <w:tcW w:w="4076" w:type="dxa"/>
            <w:tcBorders>
              <w:top w:val="single" w:color="000000" w:sz="4" w:space="0"/>
              <w:left w:val="single" w:color="000000" w:sz="4" w:space="0"/>
              <w:bottom w:val="single" w:color="000000" w:sz="4" w:space="0"/>
              <w:right w:val="single" w:color="000000" w:sz="4" w:space="0"/>
            </w:tcBorders>
            <w:vAlign w:val="center"/>
          </w:tcPr>
          <w:p w14:paraId="350482C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吸液管路</w:t>
            </w:r>
          </w:p>
        </w:tc>
      </w:tr>
      <w:tr w14:paraId="4162F67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A5529D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截止阀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47B05F3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稀释剂</w:t>
            </w:r>
          </w:p>
        </w:tc>
      </w:tr>
      <w:tr w14:paraId="79EE9D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C5B727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闸阀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52C614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橡胶软接头</w:t>
            </w:r>
          </w:p>
        </w:tc>
      </w:tr>
      <w:tr w14:paraId="1CE693F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7C9160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橡胶水管</w:t>
            </w:r>
          </w:p>
        </w:tc>
        <w:tc>
          <w:tcPr>
            <w:tcW w:w="4076" w:type="dxa"/>
            <w:tcBorders>
              <w:top w:val="single" w:color="000000" w:sz="4" w:space="0"/>
              <w:left w:val="single" w:color="000000" w:sz="4" w:space="0"/>
              <w:bottom w:val="single" w:color="000000" w:sz="4" w:space="0"/>
              <w:right w:val="single" w:color="000000" w:sz="4" w:space="0"/>
            </w:tcBorders>
            <w:vAlign w:val="center"/>
          </w:tcPr>
          <w:p w14:paraId="7FC8006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消防栓</w:t>
            </w:r>
          </w:p>
        </w:tc>
      </w:tr>
      <w:tr w14:paraId="0687FD5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1467237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供水阀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250F75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压力变送器</w:t>
            </w:r>
          </w:p>
        </w:tc>
      </w:tr>
      <w:tr w14:paraId="330A20D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2973497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光电标志灯泡、镇流器、电源</w:t>
            </w:r>
          </w:p>
        </w:tc>
        <w:tc>
          <w:tcPr>
            <w:tcW w:w="4076" w:type="dxa"/>
            <w:tcBorders>
              <w:top w:val="single" w:color="000000" w:sz="4" w:space="0"/>
              <w:left w:val="single" w:color="000000" w:sz="4" w:space="0"/>
              <w:bottom w:val="single" w:color="000000" w:sz="4" w:space="0"/>
              <w:right w:val="single" w:color="000000" w:sz="4" w:space="0"/>
            </w:tcBorders>
            <w:vAlign w:val="center"/>
          </w:tcPr>
          <w:p w14:paraId="1274937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压力表</w:t>
            </w:r>
          </w:p>
        </w:tc>
      </w:tr>
      <w:tr w14:paraId="418AA74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BAAA5E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过滤器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1E12088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压力表缓冲管</w:t>
            </w:r>
          </w:p>
        </w:tc>
      </w:tr>
      <w:tr w14:paraId="10D91C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C21A8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过载保护器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1321249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压力表弯管</w:t>
            </w:r>
          </w:p>
        </w:tc>
      </w:tr>
      <w:tr w14:paraId="16E17A93">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13FE7A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哈佛接</w:t>
            </w:r>
          </w:p>
        </w:tc>
        <w:tc>
          <w:tcPr>
            <w:tcW w:w="4076" w:type="dxa"/>
            <w:tcBorders>
              <w:top w:val="single" w:color="000000" w:sz="4" w:space="0"/>
              <w:left w:val="single" w:color="000000" w:sz="4" w:space="0"/>
              <w:bottom w:val="single" w:color="000000" w:sz="4" w:space="0"/>
              <w:right w:val="single" w:color="000000" w:sz="4" w:space="0"/>
            </w:tcBorders>
            <w:vAlign w:val="center"/>
          </w:tcPr>
          <w:p w14:paraId="1EAFE6F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压力调节器</w:t>
            </w:r>
          </w:p>
        </w:tc>
      </w:tr>
      <w:tr w14:paraId="4E0A6162">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FF3EC2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法兰盘</w:t>
            </w:r>
          </w:p>
        </w:tc>
        <w:tc>
          <w:tcPr>
            <w:tcW w:w="4076" w:type="dxa"/>
            <w:tcBorders>
              <w:top w:val="single" w:color="000000" w:sz="4" w:space="0"/>
              <w:left w:val="single" w:color="000000" w:sz="4" w:space="0"/>
              <w:bottom w:val="single" w:color="000000" w:sz="4" w:space="0"/>
              <w:right w:val="single" w:color="000000" w:sz="4" w:space="0"/>
            </w:tcBorders>
            <w:vAlign w:val="center"/>
          </w:tcPr>
          <w:p w14:paraId="1580C70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液位管</w:t>
            </w:r>
          </w:p>
        </w:tc>
      </w:tr>
      <w:tr w14:paraId="6C77FE46">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A77D7C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法兰盘盲板</w:t>
            </w:r>
          </w:p>
        </w:tc>
        <w:tc>
          <w:tcPr>
            <w:tcW w:w="4076" w:type="dxa"/>
            <w:tcBorders>
              <w:top w:val="single" w:color="000000" w:sz="4" w:space="0"/>
              <w:left w:val="single" w:color="000000" w:sz="4" w:space="0"/>
              <w:bottom w:val="single" w:color="000000" w:sz="4" w:space="0"/>
              <w:right w:val="single" w:color="000000" w:sz="4" w:space="0"/>
            </w:tcBorders>
            <w:vAlign w:val="center"/>
          </w:tcPr>
          <w:p w14:paraId="2726753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油封</w:t>
            </w:r>
          </w:p>
        </w:tc>
      </w:tr>
      <w:tr w14:paraId="17A475EF">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076DA4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焊条</w:t>
            </w:r>
          </w:p>
        </w:tc>
        <w:tc>
          <w:tcPr>
            <w:tcW w:w="4076" w:type="dxa"/>
            <w:tcBorders>
              <w:top w:val="single" w:color="000000" w:sz="4" w:space="0"/>
              <w:left w:val="single" w:color="000000" w:sz="4" w:space="0"/>
              <w:bottom w:val="single" w:color="000000" w:sz="4" w:space="0"/>
              <w:right w:val="single" w:color="000000" w:sz="4" w:space="0"/>
            </w:tcBorders>
            <w:vAlign w:val="center"/>
          </w:tcPr>
          <w:p w14:paraId="6D48D67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油漆</w:t>
            </w:r>
          </w:p>
        </w:tc>
      </w:tr>
      <w:tr w14:paraId="343607A7">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79B0BEF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活接头</w:t>
            </w:r>
          </w:p>
        </w:tc>
        <w:tc>
          <w:tcPr>
            <w:tcW w:w="4076" w:type="dxa"/>
            <w:tcBorders>
              <w:top w:val="single" w:color="000000" w:sz="4" w:space="0"/>
              <w:left w:val="single" w:color="000000" w:sz="4" w:space="0"/>
              <w:bottom w:val="single" w:color="000000" w:sz="4" w:space="0"/>
              <w:right w:val="single" w:color="000000" w:sz="4" w:space="0"/>
            </w:tcBorders>
            <w:vAlign w:val="center"/>
          </w:tcPr>
          <w:p w14:paraId="3C13856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刷子</w:t>
            </w:r>
          </w:p>
        </w:tc>
      </w:tr>
      <w:tr w14:paraId="55E421E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6ED7C11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机械润滑油</w:t>
            </w:r>
          </w:p>
        </w:tc>
        <w:tc>
          <w:tcPr>
            <w:tcW w:w="4076" w:type="dxa"/>
            <w:tcBorders>
              <w:top w:val="single" w:color="000000" w:sz="4" w:space="0"/>
              <w:left w:val="single" w:color="000000" w:sz="4" w:space="0"/>
              <w:bottom w:val="single" w:color="000000" w:sz="4" w:space="0"/>
              <w:right w:val="single" w:color="000000" w:sz="4" w:space="0"/>
            </w:tcBorders>
            <w:vAlign w:val="center"/>
          </w:tcPr>
          <w:p w14:paraId="07A6F3A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关断阀</w:t>
            </w:r>
          </w:p>
        </w:tc>
      </w:tr>
      <w:tr w14:paraId="480A2A2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AA34DD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机械油封</w:t>
            </w:r>
          </w:p>
        </w:tc>
        <w:tc>
          <w:tcPr>
            <w:tcW w:w="4076" w:type="dxa"/>
            <w:tcBorders>
              <w:top w:val="single" w:color="000000" w:sz="4" w:space="0"/>
              <w:left w:val="single" w:color="000000" w:sz="4" w:space="0"/>
              <w:bottom w:val="single" w:color="000000" w:sz="4" w:space="0"/>
              <w:right w:val="single" w:color="000000" w:sz="4" w:space="0"/>
            </w:tcBorders>
            <w:vAlign w:val="center"/>
          </w:tcPr>
          <w:p w14:paraId="2CF2086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直接头</w:t>
            </w:r>
          </w:p>
        </w:tc>
      </w:tr>
      <w:tr w14:paraId="6314E4D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0A219137">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水成膜消火栓箱</w:t>
            </w:r>
          </w:p>
        </w:tc>
        <w:tc>
          <w:tcPr>
            <w:tcW w:w="4076" w:type="dxa"/>
            <w:tcBorders>
              <w:top w:val="single" w:color="000000" w:sz="4" w:space="0"/>
              <w:left w:val="single" w:color="000000" w:sz="4" w:space="0"/>
              <w:bottom w:val="single" w:color="000000" w:sz="4" w:space="0"/>
              <w:right w:val="single" w:color="000000" w:sz="4" w:space="0"/>
            </w:tcBorders>
            <w:vAlign w:val="center"/>
          </w:tcPr>
          <w:p w14:paraId="4EB3CDF1">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止回阀</w:t>
            </w:r>
          </w:p>
        </w:tc>
      </w:tr>
      <w:tr w14:paraId="14540CC4">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4AD9E84D">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交流接触器</w:t>
            </w:r>
          </w:p>
        </w:tc>
        <w:tc>
          <w:tcPr>
            <w:tcW w:w="4076" w:type="dxa"/>
            <w:tcBorders>
              <w:top w:val="single" w:color="000000" w:sz="4" w:space="0"/>
              <w:left w:val="single" w:color="000000" w:sz="4" w:space="0"/>
              <w:bottom w:val="single" w:color="000000" w:sz="4" w:space="0"/>
              <w:right w:val="single" w:color="000000" w:sz="4" w:space="0"/>
            </w:tcBorders>
            <w:vAlign w:val="center"/>
          </w:tcPr>
          <w:p w14:paraId="5C339AE1">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轴套</w:t>
            </w:r>
          </w:p>
        </w:tc>
      </w:tr>
      <w:tr w14:paraId="5D1C404E">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E9935BE">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胶垫</w:t>
            </w:r>
          </w:p>
        </w:tc>
        <w:tc>
          <w:tcPr>
            <w:tcW w:w="4076" w:type="dxa"/>
            <w:tcBorders>
              <w:top w:val="single" w:color="000000" w:sz="4" w:space="0"/>
              <w:left w:val="single" w:color="000000" w:sz="4" w:space="0"/>
              <w:bottom w:val="single" w:color="000000" w:sz="4" w:space="0"/>
              <w:right w:val="single" w:color="000000" w:sz="4" w:space="0"/>
            </w:tcBorders>
            <w:vAlign w:val="center"/>
          </w:tcPr>
          <w:p w14:paraId="326DFA0E">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转换接头</w:t>
            </w:r>
          </w:p>
        </w:tc>
      </w:tr>
      <w:tr w14:paraId="19734915">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5F080509">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防水胶带</w:t>
            </w:r>
          </w:p>
        </w:tc>
        <w:tc>
          <w:tcPr>
            <w:tcW w:w="4076" w:type="dxa"/>
            <w:tcBorders>
              <w:top w:val="single" w:color="000000" w:sz="4" w:space="0"/>
              <w:left w:val="single" w:color="000000" w:sz="4" w:space="0"/>
              <w:bottom w:val="single" w:color="000000" w:sz="4" w:space="0"/>
              <w:right w:val="single" w:color="000000" w:sz="4" w:space="0"/>
            </w:tcBorders>
            <w:vAlign w:val="center"/>
          </w:tcPr>
          <w:p w14:paraId="58671C3C">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排气阀</w:t>
            </w:r>
          </w:p>
        </w:tc>
      </w:tr>
      <w:tr w14:paraId="78C46039">
        <w:tblPrEx>
          <w:tblCellMar>
            <w:top w:w="15" w:type="dxa"/>
            <w:left w:w="15" w:type="dxa"/>
            <w:bottom w:w="15" w:type="dxa"/>
            <w:right w:w="15" w:type="dxa"/>
          </w:tblCellMar>
        </w:tblPrEx>
        <w:trPr>
          <w:trHeight w:val="285" w:hRule="atLeast"/>
        </w:trPr>
        <w:tc>
          <w:tcPr>
            <w:tcW w:w="4260" w:type="dxa"/>
            <w:tcBorders>
              <w:top w:val="single" w:color="000000" w:sz="4" w:space="0"/>
              <w:left w:val="single" w:color="000000" w:sz="4" w:space="0"/>
              <w:bottom w:val="single" w:color="000000" w:sz="4" w:space="0"/>
              <w:right w:val="single" w:color="000000" w:sz="4" w:space="0"/>
            </w:tcBorders>
            <w:vAlign w:val="center"/>
          </w:tcPr>
          <w:p w14:paraId="3DF5DE3D">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调节阀</w:t>
            </w:r>
          </w:p>
        </w:tc>
        <w:tc>
          <w:tcPr>
            <w:tcW w:w="4076" w:type="dxa"/>
            <w:tcBorders>
              <w:top w:val="single" w:color="000000" w:sz="4" w:space="0"/>
              <w:left w:val="single" w:color="000000" w:sz="4" w:space="0"/>
              <w:bottom w:val="single" w:color="000000" w:sz="4" w:space="0"/>
              <w:right w:val="single" w:color="000000" w:sz="4" w:space="0"/>
            </w:tcBorders>
            <w:vAlign w:val="center"/>
          </w:tcPr>
          <w:p w14:paraId="3BD534E1">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放空阀</w:t>
            </w:r>
          </w:p>
        </w:tc>
      </w:tr>
    </w:tbl>
    <w:p w14:paraId="54DFEC65">
      <w:pPr>
        <w:pStyle w:val="174"/>
        <w:numPr>
          <w:ilvl w:val="0"/>
          <w:numId w:val="9"/>
        </w:numPr>
        <w:ind w:firstLineChars="0"/>
        <w:outlineLvl w:val="0"/>
        <w:rPr>
          <w:rFonts w:ascii="方正仿宋_GBK" w:hAnsi="方正仿宋_GBK" w:cs="方正仿宋_GBK"/>
          <w:color w:val="000000" w:themeColor="text1"/>
          <w:szCs w:val="32"/>
          <w14:textFill>
            <w14:solidFill>
              <w14:schemeClr w14:val="tx1"/>
            </w14:solidFill>
          </w14:textFill>
        </w:rPr>
      </w:pPr>
      <w:bookmarkStart w:id="198" w:name="_Hlk92217241"/>
      <w:r>
        <w:rPr>
          <w:rFonts w:hint="eastAsia" w:ascii="方正仿宋_GBK" w:hAnsi="方正仿宋_GBK" w:cs="方正仿宋_GBK"/>
          <w:color w:val="000000" w:themeColor="text1"/>
          <w:szCs w:val="32"/>
          <w14:textFill>
            <w14:solidFill>
              <w14:schemeClr w14:val="tx1"/>
            </w14:solidFill>
          </w14:textFill>
        </w:rPr>
        <w:t>维护费用说明</w:t>
      </w:r>
    </w:p>
    <w:bookmarkEnd w:id="198"/>
    <w:p w14:paraId="655D1175">
      <w:pPr>
        <w:outlineLvl w:val="0"/>
        <w:rPr>
          <w:rFonts w:ascii="方正仿宋_GBK" w:hAnsi="方正仿宋_GBK" w:cs="方正仿宋_GBK"/>
          <w:color w:val="000000" w:themeColor="text1"/>
          <w:szCs w:val="32"/>
          <w14:textFill>
            <w14:solidFill>
              <w14:schemeClr w14:val="tx1"/>
            </w14:solidFill>
          </w14:textFill>
        </w:rPr>
      </w:pPr>
      <w:bookmarkStart w:id="199" w:name="_Hlk92217233"/>
      <w:r>
        <w:rPr>
          <w:rFonts w:hint="eastAsia" w:ascii="方正仿宋_GBK" w:hAnsi="方正仿宋_GBK" w:cs="方正仿宋_GBK"/>
          <w:color w:val="000000" w:themeColor="text1"/>
          <w:szCs w:val="32"/>
          <w14:textFill>
            <w14:solidFill>
              <w14:schemeClr w14:val="tx1"/>
            </w14:solidFill>
          </w14:textFill>
        </w:rPr>
        <w:t>上述维护范围、内容及维护包件耗材清单表内的耗材均含在报价内，采购人不再另行支付费用</w:t>
      </w:r>
      <w:bookmarkEnd w:id="199"/>
      <w:r>
        <w:rPr>
          <w:rFonts w:hint="eastAsia" w:ascii="方正仿宋_GBK" w:hAnsi="方正仿宋_GBK" w:cs="方正仿宋_GBK"/>
          <w:color w:val="000000" w:themeColor="text1"/>
          <w:szCs w:val="32"/>
          <w14:textFill>
            <w14:solidFill>
              <w14:schemeClr w14:val="tx1"/>
            </w14:solidFill>
          </w14:textFill>
        </w:rPr>
        <w:t>。</w:t>
      </w:r>
    </w:p>
    <w:p w14:paraId="2951C950">
      <w:pPr>
        <w:pStyle w:val="174"/>
        <w:numPr>
          <w:ilvl w:val="0"/>
          <w:numId w:val="9"/>
        </w:numPr>
        <w:ind w:firstLineChars="0"/>
        <w:outlineLvl w:val="0"/>
        <w:rPr>
          <w:rFonts w:ascii="方正仿宋_GBK" w:hAnsi="方正仿宋_GBK" w:cs="方正仿宋_GBK"/>
          <w:color w:val="000000" w:themeColor="text1"/>
          <w:szCs w:val="32"/>
          <w14:textFill>
            <w14:solidFill>
              <w14:schemeClr w14:val="tx1"/>
            </w14:solidFill>
          </w14:textFill>
        </w:rPr>
      </w:pPr>
      <w:r>
        <w:rPr>
          <w:rFonts w:hint="eastAsia" w:ascii="方正仿宋_GBK" w:hAnsi="方正仿宋_GBK" w:cs="方正仿宋_GBK"/>
          <w:color w:val="000000" w:themeColor="text1"/>
          <w:szCs w:val="32"/>
          <w14:textFill>
            <w14:solidFill>
              <w14:schemeClr w14:val="tx1"/>
            </w14:solidFill>
          </w14:textFill>
        </w:rPr>
        <w:t>违约责任</w:t>
      </w:r>
    </w:p>
    <w:p w14:paraId="3EEC0906">
      <w:pPr>
        <w:ind w:firstLine="560"/>
        <w:rPr>
          <w:rFonts w:ascii="宋体" w:hAnsi="宋体"/>
          <w:color w:val="000000" w:themeColor="text1"/>
          <w:szCs w:val="21"/>
          <w14:textFill>
            <w14:solidFill>
              <w14:schemeClr w14:val="tx1"/>
            </w14:solidFill>
          </w14:textFill>
        </w:rPr>
      </w:pPr>
      <w:bookmarkStart w:id="200" w:name="_Hlk92216130"/>
      <w:r>
        <w:rPr>
          <w:rFonts w:hint="eastAsia" w:ascii="宋体" w:hAnsi="宋体"/>
          <w:color w:val="000000" w:themeColor="text1"/>
          <w:szCs w:val="21"/>
          <w14:textFill>
            <w14:solidFill>
              <w14:schemeClr w14:val="tx1"/>
            </w14:solidFill>
          </w14:textFill>
        </w:rPr>
        <w:t>1、突发性设备故障承包人的维修人员应确保4小时内赶到现场；一般设备故障承包人应保证在48小时内排除；特殊设备故障承包人在规定时间内必须得以解决；特殊原因不能及时排除故障的书面向招标人报告。如因承包人原因不能在规定时间内赶到设备现场或在规定时间内未恢复设备的正常运行状态，对设备安全运行或营运收费等工作带来较大影响，从履约保证金中每超过一天扣款500元。</w:t>
      </w:r>
      <w:bookmarkEnd w:id="200"/>
    </w:p>
    <w:p w14:paraId="09627A1C">
      <w:pPr>
        <w:ind w:firstLine="560"/>
        <w:rPr>
          <w:rFonts w:ascii="宋体" w:hAnsi="宋体"/>
          <w:color w:val="000000" w:themeColor="text1"/>
          <w:szCs w:val="21"/>
          <w14:textFill>
            <w14:solidFill>
              <w14:schemeClr w14:val="tx1"/>
            </w14:solidFill>
          </w14:textFill>
        </w:rPr>
      </w:pPr>
      <w:bookmarkStart w:id="201" w:name="_Hlk92216195"/>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、未按照要求进行人员驻点和24小时值守且发生未经招标人批准离开维护路段内的情形，每人每次从履约保证金中扣款500元。</w:t>
      </w:r>
    </w:p>
    <w:p w14:paraId="01968F05">
      <w:pPr>
        <w:pStyle w:val="28"/>
        <w:tabs>
          <w:tab w:val="left" w:pos="1200"/>
          <w:tab w:val="right" w:leader="dot" w:pos="9730"/>
        </w:tabs>
        <w:ind w:firstLine="560"/>
        <w:rPr>
          <w:b w:val="0"/>
          <w:color w:val="000000" w:themeColor="text1"/>
          <w14:textFill>
            <w14:solidFill>
              <w14:schemeClr w14:val="tx1"/>
            </w14:solidFill>
          </w14:textFill>
        </w:rPr>
      </w:pPr>
      <w:r>
        <w:rPr>
          <w:rFonts w:hint="eastAsia"/>
          <w:b w:val="0"/>
          <w:color w:val="000000" w:themeColor="text1"/>
          <w14:textFill>
            <w14:solidFill>
              <w14:schemeClr w14:val="tx1"/>
            </w14:solidFill>
          </w14:textFill>
        </w:rPr>
        <w:t>注：中标人所提供维护人员不能从事本项目以外的所有工程项目及其他工作，每发现一次从履约保证金中扣1000元/人罚款。</w:t>
      </w:r>
    </w:p>
    <w:p w14:paraId="49F45BD3">
      <w:pPr>
        <w:pStyle w:val="28"/>
        <w:tabs>
          <w:tab w:val="left" w:pos="1200"/>
          <w:tab w:val="right" w:leader="dot" w:pos="9730"/>
        </w:tabs>
        <w:ind w:firstLine="560"/>
        <w:rPr>
          <w:color w:val="000000" w:themeColor="text1"/>
          <w14:textFill>
            <w14:solidFill>
              <w14:schemeClr w14:val="tx1"/>
            </w14:solidFill>
          </w14:textFill>
        </w:rPr>
      </w:pPr>
      <w:r>
        <w:rPr>
          <w:rFonts w:hint="eastAsia"/>
          <w:b w:val="0"/>
          <w:color w:val="000000" w:themeColor="text1"/>
          <w14:textFill>
            <w14:solidFill>
              <w14:schemeClr w14:val="tx1"/>
            </w14:solidFill>
          </w14:textFill>
        </w:rPr>
        <w:t>现场驻点维护人员必须与投标文件提供的人员一致。中标人不得随意更换维护人员，若中标人需更换维护人员，需提前14天提交资料给采购人，经采购人同意后方能进行更换。如中标人私自更换维护人员，一经发现从履约保证金中扣10000元/人罚款。</w:t>
      </w:r>
    </w:p>
    <w:p w14:paraId="66608C69">
      <w:pPr>
        <w:ind w:firstLine="56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、如出现1次以上未达到维护质量要求、资料提交不及时等情况，招标人有权要求承包人进行整改；拒不整改或维护弄虚作假的，招标人有权终止维护合同的执行，由此带来的损失由承包人承担。</w:t>
      </w:r>
    </w:p>
    <w:p w14:paraId="7850226A">
      <w:pPr>
        <w:ind w:firstLine="56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、承包人因违章作业受到行政处罚导致招标人信用受到损失，造成社会负面影响，将纳入招标人对承包人的信用考核，并按相关制度处理。</w:t>
      </w:r>
    </w:p>
    <w:p w14:paraId="22FB365E">
      <w:pPr>
        <w:ind w:firstLine="56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w:t>
      </w:r>
      <w:bookmarkEnd w:id="201"/>
      <w:r>
        <w:rPr>
          <w:rFonts w:hint="eastAsia" w:ascii="宋体" w:hAnsi="宋体"/>
          <w:color w:val="000000" w:themeColor="text1"/>
          <w:szCs w:val="21"/>
          <w14:textFill>
            <w14:solidFill>
              <w14:schemeClr w14:val="tx1"/>
            </w14:solidFill>
          </w14:textFill>
        </w:rPr>
        <w:t>若履约保证金累计处罚到总金额的50%，则报价人应在10个工作日内补交到100%，如不能按时补交，则采购人有权终止合同。中标人擅自离场或单方面终止合同，中标人应赔付采购人合同金额的20%。</w:t>
      </w:r>
    </w:p>
    <w:p w14:paraId="51C6563D">
      <w:pPr>
        <w:pStyle w:val="28"/>
        <w:tabs>
          <w:tab w:val="left" w:pos="1200"/>
          <w:tab w:val="right" w:leader="dot" w:pos="9730"/>
        </w:tabs>
        <w:ind w:firstLine="640"/>
        <w:rPr>
          <w:rFonts w:hint="eastAsia" w:ascii="宋体" w:hAnsi="宋体" w:eastAsia="宋体" w:cs="Times New Roman"/>
          <w:b w:val="0"/>
          <w:bCs w:val="0"/>
          <w:caps w:val="0"/>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b w:val="0"/>
          <w:bCs w:val="0"/>
          <w:caps w:val="0"/>
          <w:color w:val="000000" w:themeColor="text1"/>
          <w:kern w:val="2"/>
          <w:sz w:val="21"/>
          <w:szCs w:val="21"/>
          <w:lang w:val="en-US" w:eastAsia="zh-CN" w:bidi="ar-SA"/>
          <w14:textFill>
            <w14:solidFill>
              <w14:schemeClr w14:val="tx1"/>
            </w14:solidFill>
          </w14:textFill>
        </w:rPr>
        <w:t>6、中标人必须遵守执行重庆首讯科技股份有限公司《工程安全生产的违约处理细则》、《工程管理违约处理实施细则》（详见附件）。如有违约按照细则条款处罚执行。</w:t>
      </w:r>
    </w:p>
    <w:p w14:paraId="5452EB8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、乙方应在每季度维护完成后30天内提交当期支付（结算）资料，若超期未提交，每超期一天扣减当期应支付金额1%，最高扣减20%；若超期90天未提交支付资料，则在履约保证金另外再处罚一万元。</w:t>
      </w:r>
    </w:p>
    <w:p w14:paraId="1F7BE252">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、采购人将不定期检查维护人员的合同及参保信息，若发现维护人员与中标单位合同到期后未续签的或中标单位未对维护人员进行参保的，采购人将扣除中标单位的履约保证金10000元/人次。</w:t>
      </w:r>
    </w:p>
    <w:p w14:paraId="0B02B566">
      <w:pPr>
        <w:jc w:val="center"/>
        <w:rPr>
          <w:rFonts w:hint="eastAsia" w:ascii="宋体" w:hAnsi="宋体" w:eastAsia="宋体" w:cs="宋体"/>
          <w:b/>
          <w:color w:val="000000" w:themeColor="text1"/>
          <w:kern w:val="0"/>
          <w:sz w:val="24"/>
          <w:highlight w:val="none"/>
          <w:lang w:val="en-US" w:eastAsia="zh-CN"/>
          <w14:textFill>
            <w14:solidFill>
              <w14:schemeClr w14:val="tx1"/>
            </w14:solidFill>
          </w14:textFill>
        </w:rPr>
      </w:pPr>
    </w:p>
    <w:p w14:paraId="5B08DEEF">
      <w:pPr>
        <w:pStyle w:val="3"/>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32A4467">
      <w:pPr>
        <w:rPr>
          <w:rFonts w:hint="eastAsia" w:ascii="宋体" w:hAnsi="宋体" w:cs="宋体"/>
          <w:color w:val="000000" w:themeColor="text1"/>
          <w:highlight w:val="none"/>
          <w14:textFill>
            <w14:solidFill>
              <w14:schemeClr w14:val="tx1"/>
            </w14:solidFill>
          </w14:textFill>
        </w:rPr>
      </w:pPr>
    </w:p>
    <w:p w14:paraId="4B19E5B4">
      <w:pPr>
        <w:pStyle w:val="16"/>
        <w:rPr>
          <w:rFonts w:hint="eastAsia"/>
          <w:color w:val="000000" w:themeColor="text1"/>
          <w:highlight w:val="none"/>
          <w14:textFill>
            <w14:solidFill>
              <w14:schemeClr w14:val="tx1"/>
            </w14:solidFill>
          </w14:textFill>
        </w:rPr>
      </w:pPr>
    </w:p>
    <w:p w14:paraId="0AAA731C">
      <w:pPr>
        <w:rPr>
          <w:rFonts w:hint="eastAsia" w:ascii="宋体" w:hAnsi="宋体" w:cs="宋体"/>
          <w:color w:val="000000" w:themeColor="text1"/>
          <w:highlight w:val="none"/>
          <w14:textFill>
            <w14:solidFill>
              <w14:schemeClr w14:val="tx1"/>
            </w14:solidFill>
          </w14:textFill>
        </w:rPr>
      </w:pPr>
    </w:p>
    <w:p w14:paraId="305DAE04">
      <w:pPr>
        <w:rPr>
          <w:rFonts w:hint="eastAsia"/>
          <w:color w:val="000000" w:themeColor="text1"/>
          <w:highlight w:val="none"/>
          <w14:textFill>
            <w14:solidFill>
              <w14:schemeClr w14:val="tx1"/>
            </w14:solidFill>
          </w14:textFill>
        </w:rPr>
      </w:pPr>
    </w:p>
    <w:p w14:paraId="02B77C98">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202" w:name="_Toc7132"/>
      <w:r>
        <w:rPr>
          <w:rFonts w:hint="eastAsia" w:ascii="宋体" w:hAnsi="宋体" w:cs="宋体"/>
          <w:color w:val="000000" w:themeColor="text1"/>
          <w:highlight w:val="none"/>
          <w14:textFill>
            <w14:solidFill>
              <w14:schemeClr w14:val="tx1"/>
            </w14:solidFill>
          </w14:textFill>
        </w:rPr>
        <w:t>第八章  合同范本</w:t>
      </w:r>
      <w:bookmarkEnd w:id="202"/>
    </w:p>
    <w:p w14:paraId="5C4D980B">
      <w:pPr>
        <w:jc w:val="center"/>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002BC16C">
      <w:pPr>
        <w:pStyle w:val="16"/>
        <w:rPr>
          <w:color w:val="000000" w:themeColor="text1"/>
          <w:highlight w:val="none"/>
          <w14:textFill>
            <w14:solidFill>
              <w14:schemeClr w14:val="tx1"/>
            </w14:solidFill>
          </w14:textFill>
        </w:rPr>
      </w:pPr>
    </w:p>
    <w:p w14:paraId="5056F876">
      <w:pPr>
        <w:spacing w:line="400" w:lineRule="exact"/>
        <w:ind w:firstLine="420" w:firstLineChars="200"/>
        <w:rPr>
          <w:rFonts w:ascii="宋体" w:hAnsi="宋体" w:cs="宋体"/>
          <w:color w:val="000000" w:themeColor="text1"/>
          <w:highlight w:val="none"/>
          <w14:textFill>
            <w14:solidFill>
              <w14:schemeClr w14:val="tx1"/>
            </w14:solidFill>
          </w14:textFill>
        </w:rPr>
      </w:pPr>
    </w:p>
    <w:p w14:paraId="7465BFF7">
      <w:pPr>
        <w:pStyle w:val="11"/>
        <w:rPr>
          <w:rFonts w:ascii="宋体" w:hAnsi="宋体" w:cs="宋体"/>
          <w:color w:val="000000" w:themeColor="text1"/>
          <w:highlight w:val="none"/>
          <w14:textFill>
            <w14:solidFill>
              <w14:schemeClr w14:val="tx1"/>
            </w14:solidFill>
          </w14:textFill>
        </w:rPr>
      </w:pPr>
    </w:p>
    <w:p w14:paraId="79D8D738">
      <w:pPr>
        <w:rPr>
          <w:rFonts w:ascii="宋体" w:hAnsi="宋体" w:cs="宋体"/>
          <w:color w:val="000000" w:themeColor="text1"/>
          <w:highlight w:val="none"/>
          <w14:textFill>
            <w14:solidFill>
              <w14:schemeClr w14:val="tx1"/>
            </w14:solidFill>
          </w14:textFill>
        </w:rPr>
      </w:pPr>
    </w:p>
    <w:p w14:paraId="75EF18FD">
      <w:pPr>
        <w:pStyle w:val="11"/>
        <w:rPr>
          <w:rFonts w:ascii="宋体" w:hAnsi="宋体" w:cs="宋体"/>
          <w:color w:val="000000" w:themeColor="text1"/>
          <w:highlight w:val="none"/>
          <w14:textFill>
            <w14:solidFill>
              <w14:schemeClr w14:val="tx1"/>
            </w14:solidFill>
          </w14:textFill>
        </w:rPr>
      </w:pPr>
    </w:p>
    <w:p w14:paraId="63014951">
      <w:pPr>
        <w:pStyle w:val="11"/>
        <w:ind w:left="0" w:leftChars="0" w:firstLine="0" w:firstLineChars="0"/>
        <w:rPr>
          <w:rFonts w:ascii="宋体" w:hAnsi="宋体" w:cs="宋体"/>
          <w:color w:val="000000" w:themeColor="text1"/>
          <w:highlight w:val="none"/>
          <w14:textFill>
            <w14:solidFill>
              <w14:schemeClr w14:val="tx1"/>
            </w14:solidFill>
          </w14:textFill>
        </w:rPr>
      </w:pPr>
    </w:p>
    <w:p w14:paraId="777F5229">
      <w:pPr>
        <w:rPr>
          <w:rFonts w:ascii="宋体" w:hAnsi="宋体" w:cs="宋体"/>
          <w:color w:val="000000" w:themeColor="text1"/>
          <w:highlight w:val="none"/>
          <w14:textFill>
            <w14:solidFill>
              <w14:schemeClr w14:val="tx1"/>
            </w14:solidFill>
          </w14:textFill>
        </w:rPr>
      </w:pPr>
    </w:p>
    <w:p w14:paraId="3009363D">
      <w:pPr>
        <w:pStyle w:val="28"/>
        <w:rPr>
          <w:color w:val="000000" w:themeColor="text1"/>
          <w:highlight w:val="none"/>
          <w14:textFill>
            <w14:solidFill>
              <w14:schemeClr w14:val="tx1"/>
            </w14:solidFill>
          </w14:textFill>
        </w:rPr>
      </w:pPr>
    </w:p>
    <w:p w14:paraId="36E64DF6">
      <w:pPr>
        <w:rPr>
          <w:color w:val="000000" w:themeColor="text1"/>
          <w:highlight w:val="none"/>
          <w14:textFill>
            <w14:solidFill>
              <w14:schemeClr w14:val="tx1"/>
            </w14:solidFill>
          </w14:textFill>
        </w:rPr>
      </w:pPr>
    </w:p>
    <w:p w14:paraId="059775AF">
      <w:pPr>
        <w:pStyle w:val="16"/>
        <w:rPr>
          <w:color w:val="000000" w:themeColor="text1"/>
          <w:highlight w:val="none"/>
          <w14:textFill>
            <w14:solidFill>
              <w14:schemeClr w14:val="tx1"/>
            </w14:solidFill>
          </w14:textFill>
        </w:rPr>
      </w:pPr>
    </w:p>
    <w:p w14:paraId="1644E909">
      <w:pPr>
        <w:rPr>
          <w:color w:val="000000" w:themeColor="text1"/>
          <w:highlight w:val="none"/>
          <w14:textFill>
            <w14:solidFill>
              <w14:schemeClr w14:val="tx1"/>
            </w14:solidFill>
          </w14:textFill>
        </w:rPr>
      </w:pPr>
    </w:p>
    <w:p w14:paraId="44C376B9">
      <w:pPr>
        <w:pStyle w:val="42"/>
        <w:rPr>
          <w:color w:val="000000" w:themeColor="text1"/>
          <w:highlight w:val="none"/>
          <w14:textFill>
            <w14:solidFill>
              <w14:schemeClr w14:val="tx1"/>
            </w14:solidFill>
          </w14:textFill>
        </w:rPr>
      </w:pPr>
    </w:p>
    <w:p w14:paraId="71294507">
      <w:pPr>
        <w:pStyle w:val="42"/>
        <w:rPr>
          <w:color w:val="000000" w:themeColor="text1"/>
          <w:highlight w:val="none"/>
          <w14:textFill>
            <w14:solidFill>
              <w14:schemeClr w14:val="tx1"/>
            </w14:solidFill>
          </w14:textFill>
        </w:rPr>
      </w:pPr>
    </w:p>
    <w:p w14:paraId="53AB41D6">
      <w:pPr>
        <w:pStyle w:val="42"/>
        <w:rPr>
          <w:color w:val="000000" w:themeColor="text1"/>
          <w:highlight w:val="none"/>
          <w14:textFill>
            <w14:solidFill>
              <w14:schemeClr w14:val="tx1"/>
            </w14:solidFill>
          </w14:textFill>
        </w:rPr>
      </w:pPr>
    </w:p>
    <w:p w14:paraId="3427F683">
      <w:pPr>
        <w:pStyle w:val="42"/>
        <w:rPr>
          <w:color w:val="000000" w:themeColor="text1"/>
          <w:highlight w:val="none"/>
          <w14:textFill>
            <w14:solidFill>
              <w14:schemeClr w14:val="tx1"/>
            </w14:solidFill>
          </w14:textFill>
        </w:rPr>
      </w:pPr>
    </w:p>
    <w:p w14:paraId="38827845">
      <w:pPr>
        <w:pStyle w:val="42"/>
        <w:rPr>
          <w:color w:val="000000" w:themeColor="text1"/>
          <w:highlight w:val="none"/>
          <w14:textFill>
            <w14:solidFill>
              <w14:schemeClr w14:val="tx1"/>
            </w14:solidFill>
          </w14:textFill>
        </w:rPr>
      </w:pPr>
    </w:p>
    <w:p w14:paraId="4C9D5662">
      <w:pPr>
        <w:pStyle w:val="42"/>
        <w:rPr>
          <w:color w:val="000000" w:themeColor="text1"/>
          <w:highlight w:val="none"/>
          <w14:textFill>
            <w14:solidFill>
              <w14:schemeClr w14:val="tx1"/>
            </w14:solidFill>
          </w14:textFill>
        </w:rPr>
      </w:pPr>
    </w:p>
    <w:p w14:paraId="2C044564">
      <w:pPr>
        <w:pStyle w:val="42"/>
        <w:rPr>
          <w:color w:val="000000" w:themeColor="text1"/>
          <w:highlight w:val="none"/>
          <w14:textFill>
            <w14:solidFill>
              <w14:schemeClr w14:val="tx1"/>
            </w14:solidFill>
          </w14:textFill>
        </w:rPr>
      </w:pPr>
    </w:p>
    <w:p w14:paraId="4840CD38">
      <w:pPr>
        <w:pStyle w:val="42"/>
        <w:rPr>
          <w:color w:val="000000" w:themeColor="text1"/>
          <w:highlight w:val="none"/>
          <w14:textFill>
            <w14:solidFill>
              <w14:schemeClr w14:val="tx1"/>
            </w14:solidFill>
          </w14:textFill>
        </w:rPr>
      </w:pPr>
    </w:p>
    <w:p w14:paraId="74CE6714">
      <w:pPr>
        <w:pStyle w:val="42"/>
        <w:rPr>
          <w:color w:val="000000" w:themeColor="text1"/>
          <w:highlight w:val="none"/>
          <w14:textFill>
            <w14:solidFill>
              <w14:schemeClr w14:val="tx1"/>
            </w14:solidFill>
          </w14:textFill>
        </w:rPr>
      </w:pPr>
    </w:p>
    <w:p w14:paraId="6E2BA0D9">
      <w:pPr>
        <w:pStyle w:val="42"/>
        <w:rPr>
          <w:color w:val="000000" w:themeColor="text1"/>
          <w:highlight w:val="none"/>
          <w14:textFill>
            <w14:solidFill>
              <w14:schemeClr w14:val="tx1"/>
            </w14:solidFill>
          </w14:textFill>
        </w:rPr>
      </w:pPr>
    </w:p>
    <w:p w14:paraId="312BA6B2">
      <w:pPr>
        <w:pStyle w:val="42"/>
        <w:rPr>
          <w:color w:val="000000" w:themeColor="text1"/>
          <w:highlight w:val="none"/>
          <w14:textFill>
            <w14:solidFill>
              <w14:schemeClr w14:val="tx1"/>
            </w14:solidFill>
          </w14:textFill>
        </w:rPr>
      </w:pPr>
    </w:p>
    <w:p w14:paraId="6E08AE06">
      <w:pPr>
        <w:pStyle w:val="42"/>
        <w:rPr>
          <w:color w:val="000000" w:themeColor="text1"/>
          <w:highlight w:val="none"/>
          <w14:textFill>
            <w14:solidFill>
              <w14:schemeClr w14:val="tx1"/>
            </w14:solidFill>
          </w14:textFill>
        </w:rPr>
      </w:pPr>
    </w:p>
    <w:p w14:paraId="362286D8">
      <w:pPr>
        <w:pStyle w:val="42"/>
        <w:rPr>
          <w:color w:val="000000" w:themeColor="text1"/>
          <w:highlight w:val="none"/>
          <w14:textFill>
            <w14:solidFill>
              <w14:schemeClr w14:val="tx1"/>
            </w14:solidFill>
          </w14:textFill>
        </w:rPr>
      </w:pPr>
    </w:p>
    <w:p w14:paraId="04C0A1FA">
      <w:pPr>
        <w:pStyle w:val="42"/>
        <w:rPr>
          <w:color w:val="000000" w:themeColor="text1"/>
          <w:highlight w:val="none"/>
          <w14:textFill>
            <w14:solidFill>
              <w14:schemeClr w14:val="tx1"/>
            </w14:solidFill>
          </w14:textFill>
        </w:rPr>
      </w:pPr>
    </w:p>
    <w:p w14:paraId="41996D6E">
      <w:pPr>
        <w:pStyle w:val="42"/>
        <w:rPr>
          <w:color w:val="000000" w:themeColor="text1"/>
          <w:highlight w:val="none"/>
          <w14:textFill>
            <w14:solidFill>
              <w14:schemeClr w14:val="tx1"/>
            </w14:solidFill>
          </w14:textFill>
        </w:rPr>
      </w:pPr>
    </w:p>
    <w:p w14:paraId="07173FAA">
      <w:pPr>
        <w:pStyle w:val="42"/>
        <w:rPr>
          <w:color w:val="000000" w:themeColor="text1"/>
          <w:highlight w:val="none"/>
          <w14:textFill>
            <w14:solidFill>
              <w14:schemeClr w14:val="tx1"/>
            </w14:solidFill>
          </w14:textFill>
        </w:rPr>
      </w:pPr>
    </w:p>
    <w:p w14:paraId="3FBCBDA0">
      <w:pPr>
        <w:pStyle w:val="42"/>
        <w:rPr>
          <w:color w:val="000000" w:themeColor="text1"/>
          <w:highlight w:val="none"/>
          <w14:textFill>
            <w14:solidFill>
              <w14:schemeClr w14:val="tx1"/>
            </w14:solidFill>
          </w14:textFill>
        </w:rPr>
      </w:pPr>
    </w:p>
    <w:p w14:paraId="51DC1649">
      <w:pPr>
        <w:pStyle w:val="42"/>
        <w:rPr>
          <w:color w:val="000000" w:themeColor="text1"/>
          <w:highlight w:val="none"/>
          <w14:textFill>
            <w14:solidFill>
              <w14:schemeClr w14:val="tx1"/>
            </w14:solidFill>
          </w14:textFill>
        </w:rPr>
      </w:pPr>
    </w:p>
    <w:p w14:paraId="1D784DAE">
      <w:pPr>
        <w:pStyle w:val="42"/>
        <w:rPr>
          <w:color w:val="000000" w:themeColor="text1"/>
          <w:highlight w:val="none"/>
          <w14:textFill>
            <w14:solidFill>
              <w14:schemeClr w14:val="tx1"/>
            </w14:solidFill>
          </w14:textFill>
        </w:rPr>
      </w:pPr>
    </w:p>
    <w:p w14:paraId="02941F6A">
      <w:pPr>
        <w:pStyle w:val="42"/>
        <w:rPr>
          <w:color w:val="000000" w:themeColor="text1"/>
          <w:highlight w:val="none"/>
          <w14:textFill>
            <w14:solidFill>
              <w14:schemeClr w14:val="tx1"/>
            </w14:solidFill>
          </w14:textFill>
        </w:rPr>
      </w:pPr>
    </w:p>
    <w:p w14:paraId="11E8E709">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203" w:name="_Toc514858709"/>
      <w:bookmarkStart w:id="204" w:name="_Toc2000413"/>
      <w:bookmarkStart w:id="205" w:name="_Toc9096"/>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bookmarkEnd w:id="189"/>
      <w:bookmarkEnd w:id="203"/>
      <w:bookmarkEnd w:id="204"/>
      <w:bookmarkEnd w:id="205"/>
    </w:p>
    <w:p w14:paraId="010FE4AC">
      <w:pPr>
        <w:rPr>
          <w:rFonts w:ascii="宋体" w:hAnsi="宋体" w:cs="宋体"/>
          <w:color w:val="000000" w:themeColor="text1"/>
          <w:highlight w:val="none"/>
          <w14:textFill>
            <w14:solidFill>
              <w14:schemeClr w14:val="tx1"/>
            </w14:solidFill>
          </w14:textFill>
        </w:rPr>
        <w:sectPr>
          <w:footerReference r:id="rId9" w:type="default"/>
          <w:pgSz w:w="11906" w:h="16838"/>
          <w:pgMar w:top="1440" w:right="1803" w:bottom="1440" w:left="1803" w:header="851" w:footer="992" w:gutter="0"/>
          <w:cols w:space="720" w:num="1"/>
          <w:titlePg/>
          <w:docGrid w:type="lines" w:linePitch="319" w:charSpace="0"/>
        </w:sectPr>
      </w:pPr>
    </w:p>
    <w:p w14:paraId="065C77B9">
      <w:pPr>
        <w:jc w:val="center"/>
        <w:rPr>
          <w:rFonts w:ascii="宋体" w:hAnsi="宋体" w:cs="宋体"/>
          <w:color w:val="000000" w:themeColor="text1"/>
          <w:sz w:val="52"/>
          <w:szCs w:val="52"/>
          <w:highlight w:val="none"/>
          <w:u w:val="single"/>
          <w14:textFill>
            <w14:solidFill>
              <w14:schemeClr w14:val="tx1"/>
            </w14:solidFill>
          </w14:textFill>
        </w:rPr>
      </w:pPr>
      <w:bookmarkStart w:id="206" w:name="_Toc513646738"/>
      <w:bookmarkStart w:id="207" w:name="_Toc503971829"/>
      <w:bookmarkStart w:id="208" w:name="_Toc514858710"/>
      <w:bookmarkStart w:id="209" w:name="_Toc503951046"/>
      <w:bookmarkStart w:id="210" w:name="_Toc513633967"/>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sz w:val="52"/>
          <w:szCs w:val="52"/>
          <w:highlight w:val="none"/>
          <w:u w:val="single"/>
          <w14:textFill>
            <w14:solidFill>
              <w14:schemeClr w14:val="tx1"/>
            </w14:solidFill>
          </w14:textFill>
        </w:rPr>
        <w:t>（项目名称）</w:t>
      </w:r>
      <w:bookmarkEnd w:id="206"/>
      <w:bookmarkEnd w:id="207"/>
      <w:bookmarkEnd w:id="208"/>
      <w:bookmarkEnd w:id="209"/>
      <w:bookmarkEnd w:id="210"/>
      <w:r>
        <w:rPr>
          <w:rFonts w:hint="eastAsia" w:ascii="宋体" w:hAnsi="宋体" w:cs="宋体"/>
          <w:color w:val="000000" w:themeColor="text1"/>
          <w:sz w:val="52"/>
          <w:szCs w:val="52"/>
          <w:highlight w:val="none"/>
          <w:u w:val="single"/>
          <w14:textFill>
            <w14:solidFill>
              <w14:schemeClr w14:val="tx1"/>
            </w14:solidFill>
          </w14:textFill>
        </w:rPr>
        <w:t xml:space="preserve"> </w:t>
      </w:r>
    </w:p>
    <w:p w14:paraId="4D2243C7">
      <w:pPr>
        <w:rPr>
          <w:rFonts w:ascii="宋体" w:hAnsi="宋体" w:cs="宋体"/>
          <w:color w:val="000000" w:themeColor="text1"/>
          <w:sz w:val="20"/>
          <w:szCs w:val="20"/>
          <w:highlight w:val="none"/>
          <w14:textFill>
            <w14:solidFill>
              <w14:schemeClr w14:val="tx1"/>
            </w14:solidFill>
          </w14:textFill>
        </w:rPr>
      </w:pPr>
    </w:p>
    <w:p w14:paraId="6039606B">
      <w:pPr>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 xml:space="preserve"> </w:t>
      </w:r>
    </w:p>
    <w:p w14:paraId="776D7BC3">
      <w:pPr>
        <w:rPr>
          <w:rFonts w:ascii="宋体" w:hAnsi="宋体" w:cs="宋体"/>
          <w:color w:val="000000" w:themeColor="text1"/>
          <w:sz w:val="28"/>
          <w:szCs w:val="28"/>
          <w:highlight w:val="none"/>
          <w14:textFill>
            <w14:solidFill>
              <w14:schemeClr w14:val="tx1"/>
            </w14:solidFill>
          </w14:textFill>
        </w:rPr>
      </w:pPr>
    </w:p>
    <w:p w14:paraId="095B43E2">
      <w:pPr>
        <w:rPr>
          <w:rFonts w:ascii="宋体" w:hAnsi="宋体" w:cs="宋体"/>
          <w:color w:val="000000" w:themeColor="text1"/>
          <w:sz w:val="28"/>
          <w:szCs w:val="28"/>
          <w:highlight w:val="none"/>
          <w14:textFill>
            <w14:solidFill>
              <w14:schemeClr w14:val="tx1"/>
            </w14:solidFill>
          </w14:textFill>
        </w:rPr>
      </w:pPr>
    </w:p>
    <w:p w14:paraId="02D4443B">
      <w:pPr>
        <w:rPr>
          <w:rFonts w:ascii="宋体" w:hAnsi="宋体" w:cs="宋体"/>
          <w:color w:val="000000" w:themeColor="text1"/>
          <w:sz w:val="28"/>
          <w:szCs w:val="28"/>
          <w:highlight w:val="none"/>
          <w14:textFill>
            <w14:solidFill>
              <w14:schemeClr w14:val="tx1"/>
            </w14:solidFill>
          </w14:textFill>
        </w:rPr>
      </w:pPr>
    </w:p>
    <w:p w14:paraId="6891C792">
      <w:pPr>
        <w:jc w:val="center"/>
        <w:rPr>
          <w:rFonts w:ascii="宋体" w:hAnsi="宋体" w:cs="宋体"/>
          <w:b/>
          <w:color w:val="000000" w:themeColor="text1"/>
          <w:sz w:val="72"/>
          <w:szCs w:val="44"/>
          <w:highlight w:val="none"/>
          <w14:textFill>
            <w14:solidFill>
              <w14:schemeClr w14:val="tx1"/>
            </w14:solidFill>
          </w14:textFill>
        </w:rPr>
      </w:pPr>
      <w:r>
        <w:rPr>
          <w:rFonts w:hint="eastAsia" w:ascii="宋体" w:hAnsi="宋体" w:cs="宋体"/>
          <w:b/>
          <w:color w:val="000000" w:themeColor="text1"/>
          <w:sz w:val="72"/>
          <w:szCs w:val="44"/>
          <w:highlight w:val="none"/>
          <w14:textFill>
            <w14:solidFill>
              <w14:schemeClr w14:val="tx1"/>
            </w14:solidFill>
          </w14:textFill>
        </w:rPr>
        <w:t>竞争性比选响应文件</w:t>
      </w:r>
    </w:p>
    <w:p w14:paraId="44936E75">
      <w:pPr>
        <w:jc w:val="center"/>
        <w:rPr>
          <w:rFonts w:ascii="宋体" w:hAnsi="宋体" w:cs="宋体"/>
          <w:b/>
          <w:color w:val="000000" w:themeColor="text1"/>
          <w:sz w:val="32"/>
          <w:szCs w:val="32"/>
          <w:highlight w:val="none"/>
          <w14:textFill>
            <w14:solidFill>
              <w14:schemeClr w14:val="tx1"/>
            </w14:solidFill>
          </w14:textFill>
        </w:rPr>
      </w:pPr>
    </w:p>
    <w:p w14:paraId="26C65401">
      <w:pPr>
        <w:rPr>
          <w:rFonts w:ascii="宋体" w:hAnsi="宋体" w:cs="宋体"/>
          <w:color w:val="000000" w:themeColor="text1"/>
          <w:sz w:val="28"/>
          <w:szCs w:val="28"/>
          <w:highlight w:val="none"/>
          <w14:textFill>
            <w14:solidFill>
              <w14:schemeClr w14:val="tx1"/>
            </w14:solidFill>
          </w14:textFill>
        </w:rPr>
      </w:pPr>
    </w:p>
    <w:p w14:paraId="1400053B">
      <w:pPr>
        <w:rPr>
          <w:rFonts w:ascii="宋体" w:hAnsi="宋体" w:cs="宋体"/>
          <w:color w:val="000000" w:themeColor="text1"/>
          <w:sz w:val="28"/>
          <w:szCs w:val="28"/>
          <w:highlight w:val="none"/>
          <w14:textFill>
            <w14:solidFill>
              <w14:schemeClr w14:val="tx1"/>
            </w14:solidFill>
          </w14:textFill>
        </w:rPr>
      </w:pPr>
    </w:p>
    <w:p w14:paraId="7F1A693C">
      <w:pPr>
        <w:rPr>
          <w:rFonts w:ascii="宋体" w:hAnsi="宋体" w:cs="宋体"/>
          <w:color w:val="000000" w:themeColor="text1"/>
          <w:sz w:val="28"/>
          <w:szCs w:val="28"/>
          <w:highlight w:val="none"/>
          <w14:textFill>
            <w14:solidFill>
              <w14:schemeClr w14:val="tx1"/>
            </w14:solidFill>
          </w14:textFill>
        </w:rPr>
      </w:pPr>
    </w:p>
    <w:p w14:paraId="15706D30">
      <w:pPr>
        <w:rPr>
          <w:rFonts w:ascii="宋体" w:hAnsi="宋体" w:cs="宋体"/>
          <w:color w:val="000000" w:themeColor="text1"/>
          <w:sz w:val="28"/>
          <w:szCs w:val="28"/>
          <w:highlight w:val="none"/>
          <w14:textFill>
            <w14:solidFill>
              <w14:schemeClr w14:val="tx1"/>
            </w14:solidFill>
          </w14:textFill>
        </w:rPr>
      </w:pPr>
    </w:p>
    <w:p w14:paraId="7EE71A0D">
      <w:pPr>
        <w:rPr>
          <w:rFonts w:ascii="宋体" w:hAnsi="宋体" w:cs="宋体"/>
          <w:color w:val="000000" w:themeColor="text1"/>
          <w:sz w:val="28"/>
          <w:szCs w:val="28"/>
          <w:highlight w:val="none"/>
          <w14:textFill>
            <w14:solidFill>
              <w14:schemeClr w14:val="tx1"/>
            </w14:solidFill>
          </w14:textFill>
        </w:rPr>
      </w:pPr>
    </w:p>
    <w:p w14:paraId="0D536564">
      <w:pPr>
        <w:pStyle w:val="28"/>
        <w:rPr>
          <w:color w:val="000000" w:themeColor="text1"/>
          <w:highlight w:val="none"/>
          <w14:textFill>
            <w14:solidFill>
              <w14:schemeClr w14:val="tx1"/>
            </w14:solidFill>
          </w14:textFill>
        </w:rPr>
      </w:pPr>
    </w:p>
    <w:p w14:paraId="5AD29AE9">
      <w:pPr>
        <w:rPr>
          <w:color w:val="000000" w:themeColor="text1"/>
          <w:highlight w:val="none"/>
          <w14:textFill>
            <w14:solidFill>
              <w14:schemeClr w14:val="tx1"/>
            </w14:solidFill>
          </w14:textFill>
        </w:rPr>
      </w:pPr>
    </w:p>
    <w:p w14:paraId="2678426A">
      <w:pPr>
        <w:pStyle w:val="28"/>
        <w:rPr>
          <w:color w:val="000000" w:themeColor="text1"/>
          <w:highlight w:val="none"/>
          <w14:textFill>
            <w14:solidFill>
              <w14:schemeClr w14:val="tx1"/>
            </w14:solidFill>
          </w14:textFill>
        </w:rPr>
      </w:pPr>
    </w:p>
    <w:p w14:paraId="76ED5A8F">
      <w:pPr>
        <w:rPr>
          <w:color w:val="000000" w:themeColor="text1"/>
          <w:highlight w:val="none"/>
          <w14:textFill>
            <w14:solidFill>
              <w14:schemeClr w14:val="tx1"/>
            </w14:solidFill>
          </w14:textFill>
        </w:rPr>
      </w:pPr>
    </w:p>
    <w:p w14:paraId="43CD7C12">
      <w:pPr>
        <w:pStyle w:val="28"/>
        <w:rPr>
          <w:color w:val="000000" w:themeColor="text1"/>
          <w:highlight w:val="none"/>
          <w14:textFill>
            <w14:solidFill>
              <w14:schemeClr w14:val="tx1"/>
            </w14:solidFill>
          </w14:textFill>
        </w:rPr>
      </w:pPr>
    </w:p>
    <w:p w14:paraId="16448667">
      <w:pPr>
        <w:jc w:val="center"/>
        <w:rPr>
          <w:rFonts w:ascii="宋体" w:hAnsi="宋体" w:cs="宋体"/>
          <w:color w:val="000000" w:themeColor="text1"/>
          <w:sz w:val="28"/>
          <w:szCs w:val="28"/>
          <w:highlight w:val="none"/>
          <w:u w:val="singl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报价人：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（盖单位鲜公章）</w:t>
      </w:r>
    </w:p>
    <w:p w14:paraId="277C5BE4">
      <w:pPr>
        <w:jc w:val="center"/>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法定代表人或其委托代理人：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w:t>
      </w:r>
      <w:r>
        <w:rPr>
          <w:rFonts w:hint="eastAsia" w:ascii="宋体" w:hAnsi="宋体" w:cs="宋体"/>
          <w:color w:val="000000" w:themeColor="text1"/>
          <w:sz w:val="28"/>
          <w:szCs w:val="28"/>
          <w:highlight w:val="none"/>
          <w:lang w:eastAsia="zh-CN"/>
          <w14:textFill>
            <w14:solidFill>
              <w14:schemeClr w14:val="tx1"/>
            </w14:solidFill>
          </w14:textFill>
        </w:rPr>
        <w:t>签名</w:t>
      </w:r>
      <w:r>
        <w:rPr>
          <w:rFonts w:hint="eastAsia" w:ascii="宋体" w:hAnsi="宋体" w:cs="宋体"/>
          <w:color w:val="000000" w:themeColor="text1"/>
          <w:sz w:val="28"/>
          <w:szCs w:val="28"/>
          <w:highlight w:val="none"/>
          <w14:textFill>
            <w14:solidFill>
              <w14:schemeClr w14:val="tx1"/>
            </w14:solidFill>
          </w14:textFill>
        </w:rPr>
        <w:t>）</w:t>
      </w:r>
    </w:p>
    <w:p w14:paraId="0B00E7F6">
      <w:pPr>
        <w:jc w:val="center"/>
        <w:rPr>
          <w:rFonts w:ascii="宋体" w:hAnsi="宋体" w:cs="宋体"/>
          <w:color w:val="000000" w:themeColor="text1"/>
          <w:sz w:val="20"/>
          <w:szCs w:val="20"/>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1BBE6B80">
      <w:pPr>
        <w:spacing w:line="400" w:lineRule="exact"/>
        <w:rPr>
          <w:rFonts w:ascii="宋体" w:hAnsi="宋体" w:cs="宋体"/>
          <w:color w:val="000000" w:themeColor="text1"/>
          <w:highlight w:val="none"/>
          <w14:textFill>
            <w14:solidFill>
              <w14:schemeClr w14:val="tx1"/>
            </w14:solidFill>
          </w14:textFill>
        </w:rPr>
      </w:pPr>
    </w:p>
    <w:p w14:paraId="60DA3400">
      <w:pPr>
        <w:spacing w:line="400" w:lineRule="exact"/>
        <w:rPr>
          <w:rFonts w:ascii="宋体" w:hAnsi="宋体" w:cs="宋体"/>
          <w:color w:val="000000" w:themeColor="text1"/>
          <w:highlight w:val="none"/>
          <w14:textFill>
            <w14:solidFill>
              <w14:schemeClr w14:val="tx1"/>
            </w14:solidFill>
          </w14:textFill>
        </w:rPr>
      </w:pPr>
    </w:p>
    <w:p w14:paraId="724A05C8">
      <w:pPr>
        <w:spacing w:line="400" w:lineRule="exact"/>
        <w:rPr>
          <w:rFonts w:ascii="宋体" w:hAnsi="宋体" w:cs="宋体"/>
          <w:color w:val="000000" w:themeColor="text1"/>
          <w:highlight w:val="none"/>
          <w14:textFill>
            <w14:solidFill>
              <w14:schemeClr w14:val="tx1"/>
            </w14:solidFill>
          </w14:textFill>
        </w:rPr>
      </w:pPr>
    </w:p>
    <w:p w14:paraId="4FEE42B9">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000000" w:themeColor="text1"/>
          <w:sz w:val="28"/>
          <w:szCs w:val="36"/>
          <w:highlight w:val="none"/>
          <w14:textFill>
            <w14:solidFill>
              <w14:schemeClr w14:val="tx1"/>
            </w14:solidFill>
          </w14:textFill>
        </w:rPr>
      </w:pPr>
      <w:bookmarkStart w:id="211" w:name="_Toc5459"/>
      <w:bookmarkStart w:id="212" w:name="_Toc11329273"/>
      <w:bookmarkStart w:id="213" w:name="_Toc1368"/>
      <w:bookmarkStart w:id="214" w:name="_Toc28780"/>
      <w:bookmarkStart w:id="215" w:name="_Toc10395"/>
      <w:r>
        <w:rPr>
          <w:rFonts w:hint="eastAsia" w:ascii="宋体" w:hAnsi="宋体" w:eastAsia="宋体" w:cs="宋体"/>
          <w:color w:val="000000" w:themeColor="text1"/>
          <w:sz w:val="28"/>
          <w:szCs w:val="36"/>
          <w:highlight w:val="none"/>
          <w14:textFill>
            <w14:solidFill>
              <w14:schemeClr w14:val="tx1"/>
            </w14:solidFill>
          </w14:textFill>
        </w:rPr>
        <w:t>目    录</w:t>
      </w:r>
      <w:bookmarkEnd w:id="190"/>
      <w:bookmarkEnd w:id="191"/>
      <w:bookmarkEnd w:id="192"/>
      <w:bookmarkEnd w:id="193"/>
      <w:bookmarkEnd w:id="194"/>
      <w:bookmarkEnd w:id="195"/>
      <w:bookmarkEnd w:id="196"/>
      <w:bookmarkEnd w:id="197"/>
      <w:bookmarkEnd w:id="211"/>
      <w:bookmarkEnd w:id="212"/>
      <w:bookmarkEnd w:id="213"/>
      <w:bookmarkEnd w:id="214"/>
      <w:bookmarkEnd w:id="215"/>
    </w:p>
    <w:p w14:paraId="0E73C553">
      <w:pPr>
        <w:numPr>
          <w:ilvl w:val="0"/>
          <w:numId w:val="10"/>
        </w:numP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竞争性响应声明书</w:t>
      </w:r>
    </w:p>
    <w:p w14:paraId="2E129B3B">
      <w:pPr>
        <w:numPr>
          <w:ilvl w:val="0"/>
          <w:numId w:val="10"/>
        </w:numP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法定代表人身份证明或法定代表人授权委托书</w:t>
      </w:r>
    </w:p>
    <w:p w14:paraId="29ABE010">
      <w:pP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三、报价一览表</w:t>
      </w:r>
    </w:p>
    <w:p w14:paraId="444337B6">
      <w:pP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四、资格审查资料</w:t>
      </w:r>
    </w:p>
    <w:p w14:paraId="73AC2192">
      <w:pP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五、报价人须知前附表规定要求的资料</w:t>
      </w:r>
    </w:p>
    <w:p w14:paraId="1A8E0DAB">
      <w:pP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六、报价人基本信息及其他材料 </w:t>
      </w:r>
    </w:p>
    <w:p w14:paraId="11304ECF">
      <w:pP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七、现场安全负责人承诺书</w:t>
      </w:r>
    </w:p>
    <w:p w14:paraId="3671E1A2">
      <w:pPr>
        <w:pStyle w:val="16"/>
        <w:rPr>
          <w:color w:val="000000" w:themeColor="text1"/>
          <w:highlight w:val="none"/>
          <w14:textFill>
            <w14:solidFill>
              <w14:schemeClr w14:val="tx1"/>
            </w14:solidFill>
          </w14:textFill>
        </w:rPr>
      </w:pPr>
    </w:p>
    <w:p w14:paraId="42A719A3">
      <w:pPr>
        <w:spacing w:line="400" w:lineRule="exact"/>
        <w:rPr>
          <w:rFonts w:ascii="宋体" w:hAnsi="宋体" w:cs="宋体"/>
          <w:color w:val="000000" w:themeColor="text1"/>
          <w:highlight w:val="none"/>
          <w14:textFill>
            <w14:solidFill>
              <w14:schemeClr w14:val="tx1"/>
            </w14:solidFill>
          </w14:textFill>
        </w:rPr>
      </w:pPr>
    </w:p>
    <w:p w14:paraId="7BE235C8">
      <w:pPr>
        <w:spacing w:line="400" w:lineRule="exact"/>
        <w:rPr>
          <w:rFonts w:ascii="宋体" w:hAnsi="宋体" w:cs="宋体"/>
          <w:color w:val="000000" w:themeColor="text1"/>
          <w:highlight w:val="none"/>
          <w14:textFill>
            <w14:solidFill>
              <w14:schemeClr w14:val="tx1"/>
            </w14:solidFill>
          </w14:textFill>
        </w:rPr>
      </w:pPr>
    </w:p>
    <w:p w14:paraId="2D2DBFE5">
      <w:pPr>
        <w:spacing w:line="400" w:lineRule="exact"/>
        <w:rPr>
          <w:rFonts w:ascii="宋体" w:hAnsi="宋体" w:cs="宋体"/>
          <w:color w:val="000000" w:themeColor="text1"/>
          <w:highlight w:val="none"/>
          <w14:textFill>
            <w14:solidFill>
              <w14:schemeClr w14:val="tx1"/>
            </w14:solidFill>
          </w14:textFill>
        </w:rPr>
      </w:pPr>
    </w:p>
    <w:p w14:paraId="6C7C2E4D">
      <w:pPr>
        <w:spacing w:line="400" w:lineRule="exact"/>
        <w:rPr>
          <w:rFonts w:ascii="宋体" w:hAnsi="宋体" w:cs="宋体"/>
          <w:color w:val="000000" w:themeColor="text1"/>
          <w:highlight w:val="none"/>
          <w14:textFill>
            <w14:solidFill>
              <w14:schemeClr w14:val="tx1"/>
            </w14:solidFill>
          </w14:textFill>
        </w:rPr>
      </w:pPr>
    </w:p>
    <w:p w14:paraId="14C5E033">
      <w:pPr>
        <w:spacing w:line="400" w:lineRule="exact"/>
        <w:rPr>
          <w:rFonts w:ascii="宋体" w:hAnsi="宋体" w:cs="宋体"/>
          <w:color w:val="000000" w:themeColor="text1"/>
          <w:highlight w:val="none"/>
          <w14:textFill>
            <w14:solidFill>
              <w14:schemeClr w14:val="tx1"/>
            </w14:solidFill>
          </w14:textFill>
        </w:rPr>
      </w:pPr>
    </w:p>
    <w:p w14:paraId="56506087">
      <w:pPr>
        <w:spacing w:line="400" w:lineRule="exact"/>
        <w:rPr>
          <w:rFonts w:ascii="宋体" w:hAnsi="宋体" w:cs="宋体"/>
          <w:color w:val="000000" w:themeColor="text1"/>
          <w:highlight w:val="none"/>
          <w14:textFill>
            <w14:solidFill>
              <w14:schemeClr w14:val="tx1"/>
            </w14:solidFill>
          </w14:textFill>
        </w:rPr>
      </w:pPr>
    </w:p>
    <w:p w14:paraId="176F8DD0">
      <w:pPr>
        <w:spacing w:line="400" w:lineRule="exact"/>
        <w:rPr>
          <w:rFonts w:ascii="宋体" w:hAnsi="宋体" w:cs="宋体"/>
          <w:color w:val="000000" w:themeColor="text1"/>
          <w:highlight w:val="none"/>
          <w14:textFill>
            <w14:solidFill>
              <w14:schemeClr w14:val="tx1"/>
            </w14:solidFill>
          </w14:textFill>
        </w:rPr>
      </w:pPr>
    </w:p>
    <w:p w14:paraId="4F048022">
      <w:pPr>
        <w:spacing w:line="400" w:lineRule="exact"/>
        <w:rPr>
          <w:rFonts w:ascii="宋体" w:hAnsi="宋体" w:cs="宋体"/>
          <w:color w:val="000000" w:themeColor="text1"/>
          <w:highlight w:val="none"/>
          <w14:textFill>
            <w14:solidFill>
              <w14:schemeClr w14:val="tx1"/>
            </w14:solidFill>
          </w14:textFill>
        </w:rPr>
      </w:pPr>
    </w:p>
    <w:p w14:paraId="4540CDEA">
      <w:pPr>
        <w:spacing w:line="400" w:lineRule="exact"/>
        <w:rPr>
          <w:rFonts w:ascii="宋体" w:hAnsi="宋体" w:cs="宋体"/>
          <w:color w:val="000000" w:themeColor="text1"/>
          <w:highlight w:val="none"/>
          <w14:textFill>
            <w14:solidFill>
              <w14:schemeClr w14:val="tx1"/>
            </w14:solidFill>
          </w14:textFill>
        </w:rPr>
      </w:pPr>
    </w:p>
    <w:p w14:paraId="47BAA033">
      <w:pPr>
        <w:spacing w:line="400" w:lineRule="exact"/>
        <w:rPr>
          <w:rFonts w:ascii="宋体" w:hAnsi="宋体" w:cs="宋体"/>
          <w:color w:val="000000" w:themeColor="text1"/>
          <w:highlight w:val="none"/>
          <w14:textFill>
            <w14:solidFill>
              <w14:schemeClr w14:val="tx1"/>
            </w14:solidFill>
          </w14:textFill>
        </w:rPr>
      </w:pPr>
    </w:p>
    <w:p w14:paraId="7C3613DB">
      <w:pPr>
        <w:spacing w:line="400" w:lineRule="exact"/>
        <w:rPr>
          <w:rFonts w:ascii="宋体" w:hAnsi="宋体" w:cs="宋体"/>
          <w:color w:val="000000" w:themeColor="text1"/>
          <w:highlight w:val="none"/>
          <w14:textFill>
            <w14:solidFill>
              <w14:schemeClr w14:val="tx1"/>
            </w14:solidFill>
          </w14:textFill>
        </w:rPr>
      </w:pPr>
    </w:p>
    <w:p w14:paraId="093D94A6">
      <w:pPr>
        <w:spacing w:line="400" w:lineRule="exact"/>
        <w:rPr>
          <w:rFonts w:ascii="宋体" w:hAnsi="宋体" w:cs="宋体"/>
          <w:color w:val="000000" w:themeColor="text1"/>
          <w:highlight w:val="none"/>
          <w14:textFill>
            <w14:solidFill>
              <w14:schemeClr w14:val="tx1"/>
            </w14:solidFill>
          </w14:textFill>
        </w:rPr>
      </w:pPr>
    </w:p>
    <w:p w14:paraId="24B0976F">
      <w:pPr>
        <w:spacing w:line="400" w:lineRule="exact"/>
        <w:rPr>
          <w:rFonts w:ascii="宋体" w:hAnsi="宋体" w:cs="宋体"/>
          <w:color w:val="000000" w:themeColor="text1"/>
          <w:highlight w:val="none"/>
          <w14:textFill>
            <w14:solidFill>
              <w14:schemeClr w14:val="tx1"/>
            </w14:solidFill>
          </w14:textFill>
        </w:rPr>
      </w:pPr>
    </w:p>
    <w:p w14:paraId="550E10E2">
      <w:pPr>
        <w:spacing w:line="400" w:lineRule="exact"/>
        <w:rPr>
          <w:rFonts w:ascii="宋体" w:hAnsi="宋体" w:cs="宋体"/>
          <w:color w:val="000000" w:themeColor="text1"/>
          <w:highlight w:val="none"/>
          <w14:textFill>
            <w14:solidFill>
              <w14:schemeClr w14:val="tx1"/>
            </w14:solidFill>
          </w14:textFill>
        </w:rPr>
      </w:pPr>
    </w:p>
    <w:p w14:paraId="4E3B9850">
      <w:pPr>
        <w:spacing w:line="400" w:lineRule="exact"/>
        <w:rPr>
          <w:rFonts w:ascii="宋体" w:hAnsi="宋体" w:cs="宋体"/>
          <w:color w:val="000000" w:themeColor="text1"/>
          <w:highlight w:val="none"/>
          <w14:textFill>
            <w14:solidFill>
              <w14:schemeClr w14:val="tx1"/>
            </w14:solidFill>
          </w14:textFill>
        </w:rPr>
      </w:pPr>
    </w:p>
    <w:p w14:paraId="089588E5">
      <w:pPr>
        <w:spacing w:line="400" w:lineRule="exact"/>
        <w:rPr>
          <w:rFonts w:ascii="宋体" w:hAnsi="宋体" w:cs="宋体"/>
          <w:color w:val="000000" w:themeColor="text1"/>
          <w:highlight w:val="none"/>
          <w14:textFill>
            <w14:solidFill>
              <w14:schemeClr w14:val="tx1"/>
            </w14:solidFill>
          </w14:textFill>
        </w:rPr>
      </w:pPr>
    </w:p>
    <w:p w14:paraId="5660FA68">
      <w:pPr>
        <w:spacing w:line="400" w:lineRule="exact"/>
        <w:rPr>
          <w:rFonts w:ascii="宋体" w:hAnsi="宋体" w:cs="宋体"/>
          <w:color w:val="000000" w:themeColor="text1"/>
          <w:highlight w:val="none"/>
          <w14:textFill>
            <w14:solidFill>
              <w14:schemeClr w14:val="tx1"/>
            </w14:solidFill>
          </w14:textFill>
        </w:rPr>
      </w:pPr>
    </w:p>
    <w:p w14:paraId="5F4A599D">
      <w:pPr>
        <w:spacing w:line="400" w:lineRule="exact"/>
        <w:rPr>
          <w:rFonts w:ascii="宋体" w:hAnsi="宋体" w:cs="宋体"/>
          <w:color w:val="000000" w:themeColor="text1"/>
          <w:highlight w:val="none"/>
          <w14:textFill>
            <w14:solidFill>
              <w14:schemeClr w14:val="tx1"/>
            </w14:solidFill>
          </w14:textFill>
        </w:rPr>
      </w:pPr>
    </w:p>
    <w:p w14:paraId="550E3B7E">
      <w:pPr>
        <w:spacing w:line="400" w:lineRule="exact"/>
        <w:rPr>
          <w:rFonts w:ascii="宋体" w:hAnsi="宋体" w:cs="宋体"/>
          <w:color w:val="000000" w:themeColor="text1"/>
          <w:highlight w:val="none"/>
          <w14:textFill>
            <w14:solidFill>
              <w14:schemeClr w14:val="tx1"/>
            </w14:solidFill>
          </w14:textFill>
        </w:rPr>
      </w:pPr>
    </w:p>
    <w:p w14:paraId="1CC63A07">
      <w:pPr>
        <w:spacing w:line="400" w:lineRule="exact"/>
        <w:rPr>
          <w:rFonts w:ascii="宋体" w:hAnsi="宋体" w:cs="宋体"/>
          <w:color w:val="000000" w:themeColor="text1"/>
          <w:highlight w:val="none"/>
          <w14:textFill>
            <w14:solidFill>
              <w14:schemeClr w14:val="tx1"/>
            </w14:solidFill>
          </w14:textFill>
        </w:rPr>
      </w:pPr>
    </w:p>
    <w:p w14:paraId="0118DFF3">
      <w:pP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br w:type="page"/>
      </w:r>
    </w:p>
    <w:p w14:paraId="23B38D08">
      <w:pPr>
        <w:pStyle w:val="4"/>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bookmarkStart w:id="216" w:name="_Toc11329274"/>
      <w:bookmarkStart w:id="217" w:name="_Toc8870"/>
      <w:bookmarkStart w:id="218" w:name="_Toc29547"/>
      <w:bookmarkStart w:id="219" w:name="_Toc25874"/>
      <w:bookmarkStart w:id="220" w:name="_Toc26417"/>
      <w:bookmarkStart w:id="221" w:name="_Toc15863"/>
      <w:bookmarkStart w:id="222" w:name="_Toc11359"/>
      <w:bookmarkStart w:id="223" w:name="_Toc503951048"/>
      <w:bookmarkStart w:id="224" w:name="_Toc447827053"/>
      <w:bookmarkStart w:id="225" w:name="_Toc513633969"/>
      <w:r>
        <w:rPr>
          <w:rFonts w:hint="eastAsia" w:ascii="宋体" w:hAnsi="宋体" w:eastAsia="宋体" w:cs="宋体"/>
          <w:color w:val="000000" w:themeColor="text1"/>
          <w:sz w:val="28"/>
          <w:highlight w:val="none"/>
          <w14:textFill>
            <w14:solidFill>
              <w14:schemeClr w14:val="tx1"/>
            </w14:solidFill>
          </w14:textFill>
        </w:rPr>
        <w:t>一、</w:t>
      </w:r>
      <w:bookmarkEnd w:id="216"/>
      <w:bookmarkEnd w:id="217"/>
      <w:r>
        <w:rPr>
          <w:rFonts w:hint="eastAsia" w:ascii="宋体" w:hAnsi="宋体" w:eastAsia="宋体" w:cs="宋体"/>
          <w:color w:val="000000" w:themeColor="text1"/>
          <w:sz w:val="28"/>
          <w:highlight w:val="none"/>
          <w14:textFill>
            <w14:solidFill>
              <w14:schemeClr w14:val="tx1"/>
            </w14:solidFill>
          </w14:textFill>
        </w:rPr>
        <w:t>竞争比选响应声明书</w:t>
      </w:r>
      <w:bookmarkEnd w:id="218"/>
      <w:bookmarkEnd w:id="219"/>
      <w:bookmarkEnd w:id="220"/>
      <w:bookmarkEnd w:id="221"/>
      <w:bookmarkEnd w:id="222"/>
    </w:p>
    <w:p w14:paraId="3702D343">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ascii="Arial" w:hAnsi="Arial" w:cs="Arial"/>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致：</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重庆首讯科技股份有限公司数智系统运维分公司</w:t>
      </w:r>
    </w:p>
    <w:p w14:paraId="20691A7C">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我方收到</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（项目名称）</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的竞争性比选文件，经详细研究，决定参加该项目的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（全名、职务）</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经正式授权并代表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响应单位名称）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提交报价文件。</w:t>
      </w:r>
    </w:p>
    <w:p w14:paraId="126E6F22">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一标段</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二标段</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的报价按照</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文件的要求，提供本次</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文件要求的</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供货任务。项目地点达到竞争性比选文件要求，工期要求达到竞争性比选文件要求，质量标准达到竞争性比选文件要求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p>
    <w:p w14:paraId="66E0CB39">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据此函，</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代表宣布同意如下：</w:t>
      </w:r>
    </w:p>
    <w:p w14:paraId="6DFC6F76">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响应单位将按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文件规定履行合同责任和义务。</w:t>
      </w:r>
    </w:p>
    <w:p w14:paraId="637ACB0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响应单位已详细审查全部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文件，包括修改文件（如有的话）以及全部参考资料和相关附件。我们完全理解并同意放弃对这方面有不明及误解的权利。</w:t>
      </w:r>
    </w:p>
    <w:p w14:paraId="735D3616">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响应单位同意提供采购人可能要求的与其</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响应文件有关的一切数据或资料，完全理解采购人不一定要接受最低报价的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响应或收到的任何报价。</w:t>
      </w:r>
    </w:p>
    <w:p w14:paraId="3DB9199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4、与本</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响应有关的一切正式往来通讯请寄：</w:t>
      </w:r>
    </w:p>
    <w:p w14:paraId="2A4EA9C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邮编：</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 xml:space="preserve">  </w:t>
      </w:r>
    </w:p>
    <w:p w14:paraId="6D4A887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电话：</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传真：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7A73B07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3B11514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B9F4A9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响应单位名称（加盖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公章）：</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1735BDDA">
      <w:pPr>
        <w:tabs>
          <w:tab w:val="left" w:pos="900"/>
        </w:tabs>
        <w:spacing w:line="30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2F51F17">
      <w:pPr>
        <w:tabs>
          <w:tab w:val="left" w:pos="900"/>
        </w:tabs>
        <w:spacing w:line="300" w:lineRule="auto"/>
        <w:ind w:firstLine="48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6DE14CF1">
      <w:pPr>
        <w:rPr>
          <w:rFonts w:ascii="宋体" w:hAnsi="宋体" w:eastAsia="宋体" w:cs="宋体"/>
          <w:color w:val="000000" w:themeColor="text1"/>
          <w:sz w:val="28"/>
          <w:highlight w:val="none"/>
          <w14:textFill>
            <w14:solidFill>
              <w14:schemeClr w14:val="tx1"/>
            </w14:solidFill>
          </w14:textFill>
        </w:rPr>
      </w:pPr>
      <w:bookmarkStart w:id="226" w:name="_Toc26697"/>
      <w:bookmarkStart w:id="227" w:name="_Toc27815"/>
      <w:bookmarkStart w:id="228" w:name="_Toc491883232"/>
      <w:r>
        <w:rPr>
          <w:rFonts w:hint="eastAsia" w:ascii="宋体" w:hAnsi="宋体" w:eastAsia="宋体" w:cs="宋体"/>
          <w:color w:val="000000" w:themeColor="text1"/>
          <w:sz w:val="28"/>
          <w:szCs w:val="28"/>
          <w:highlight w:val="none"/>
          <w14:textFill>
            <w14:solidFill>
              <w14:schemeClr w14:val="tx1"/>
            </w14:solidFill>
          </w14:textFill>
        </w:rPr>
        <w:br w:type="page"/>
      </w:r>
      <w:bookmarkStart w:id="229" w:name="_Toc10104"/>
      <w:r>
        <w:rPr>
          <w:rFonts w:hint="eastAsia" w:ascii="宋体" w:hAnsi="宋体" w:eastAsia="宋体" w:cs="宋体"/>
          <w:color w:val="000000" w:themeColor="text1"/>
          <w:sz w:val="28"/>
          <w:szCs w:val="28"/>
          <w:highlight w:val="none"/>
          <w14:textFill>
            <w14:solidFill>
              <w14:schemeClr w14:val="tx1"/>
            </w14:solidFill>
          </w14:textFill>
        </w:rPr>
        <w:t>二、</w:t>
      </w:r>
      <w:bookmarkEnd w:id="226"/>
      <w:bookmarkEnd w:id="227"/>
      <w:bookmarkEnd w:id="228"/>
      <w:bookmarkStart w:id="230" w:name="_Toc16435"/>
      <w:bookmarkStart w:id="231" w:name="_Toc32089"/>
      <w:r>
        <w:rPr>
          <w:rFonts w:hint="eastAsia" w:ascii="宋体" w:hAnsi="宋体" w:eastAsia="宋体" w:cs="宋体"/>
          <w:color w:val="000000" w:themeColor="text1"/>
          <w:sz w:val="28"/>
          <w:highlight w:val="none"/>
          <w14:textFill>
            <w14:solidFill>
              <w14:schemeClr w14:val="tx1"/>
            </w14:solidFill>
          </w14:textFill>
        </w:rPr>
        <w:t>法定代表人身份证明或法定代表人授权委托书</w:t>
      </w:r>
      <w:bookmarkEnd w:id="229"/>
      <w:bookmarkEnd w:id="230"/>
      <w:bookmarkEnd w:id="231"/>
    </w:p>
    <w:p w14:paraId="3E996A31">
      <w:pPr>
        <w:pStyle w:val="4"/>
        <w:spacing w:line="480" w:lineRule="auto"/>
        <w:jc w:val="center"/>
        <w:outlineLvl w:val="2"/>
        <w:rPr>
          <w:rFonts w:ascii="宋体" w:hAnsi="宋体" w:eastAsia="宋体" w:cs="宋体"/>
          <w:color w:val="000000" w:themeColor="text1"/>
          <w:sz w:val="24"/>
          <w:szCs w:val="24"/>
          <w:highlight w:val="none"/>
          <w14:textFill>
            <w14:solidFill>
              <w14:schemeClr w14:val="tx1"/>
            </w14:solidFill>
          </w14:textFill>
        </w:rPr>
      </w:pPr>
      <w:bookmarkStart w:id="232" w:name="_Toc14141"/>
      <w:bookmarkStart w:id="233" w:name="_Toc20985"/>
      <w:r>
        <w:rPr>
          <w:rFonts w:hint="eastAsia" w:ascii="宋体" w:hAnsi="宋体" w:eastAsia="宋体" w:cs="宋体"/>
          <w:color w:val="000000" w:themeColor="text1"/>
          <w:sz w:val="24"/>
          <w:szCs w:val="24"/>
          <w:highlight w:val="none"/>
          <w14:textFill>
            <w14:solidFill>
              <w14:schemeClr w14:val="tx1"/>
            </w14:solidFill>
          </w14:textFill>
        </w:rPr>
        <w:t>（一）法定代表人身份证明</w:t>
      </w:r>
      <w:bookmarkEnd w:id="232"/>
      <w:bookmarkEnd w:id="233"/>
    </w:p>
    <w:p w14:paraId="65CE2CB1">
      <w:pPr>
        <w:spacing w:line="48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w:t>
      </w:r>
      <w:r>
        <w:rPr>
          <w:rFonts w:ascii="宋体" w:hAnsi="宋体"/>
          <w:color w:val="000000" w:themeColor="text1"/>
          <w:highlight w:val="none"/>
          <w:u w:val="single"/>
          <w14:textFill>
            <w14:solidFill>
              <w14:schemeClr w14:val="tx1"/>
            </w14:solidFill>
          </w14:textFill>
        </w:rPr>
        <w:t xml:space="preserve">                        </w:t>
      </w:r>
    </w:p>
    <w:p w14:paraId="60F6C4A5">
      <w:pP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姓名：</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性别：</w:t>
      </w:r>
      <w:bookmarkStart w:id="234" w:name="_Toc369531698"/>
      <w:bookmarkStart w:id="235" w:name="_Toc352691662"/>
      <w:bookmarkStart w:id="236" w:name="_Toc27897"/>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bookmarkEnd w:id="234"/>
      <w:bookmarkEnd w:id="235"/>
      <w:bookmarkEnd w:id="236"/>
      <w:r>
        <w:rPr>
          <w:rFonts w:ascii="宋体" w:hAnsi="宋体"/>
          <w:color w:val="000000" w:themeColor="text1"/>
          <w:highlight w:val="none"/>
          <w14:textFill>
            <w14:solidFill>
              <w14:schemeClr w14:val="tx1"/>
            </w14:solidFill>
          </w14:textFill>
        </w:rPr>
        <w:t>龄</w:t>
      </w:r>
      <w:bookmarkStart w:id="237" w:name="_Toc15573"/>
      <w:bookmarkStart w:id="238" w:name="_Toc247514248"/>
      <w:bookmarkStart w:id="239" w:name="_Toc152045789"/>
      <w:bookmarkStart w:id="240" w:name="_Toc369531699"/>
      <w:bookmarkStart w:id="241" w:name="_Toc361508754"/>
      <w:bookmarkStart w:id="242" w:name="_Toc352691663"/>
      <w:bookmarkStart w:id="243" w:name="_Toc144974858"/>
      <w:bookmarkStart w:id="244" w:name="_Toc384308377"/>
      <w:bookmarkStart w:id="245" w:name="_Toc152042578"/>
      <w:bookmarkStart w:id="246" w:name="_Toc247527829"/>
      <w:bookmarkStart w:id="247" w:name="_Toc300835211"/>
      <w:r>
        <w:rPr>
          <w:rFonts w:ascii="宋体" w:hAnsi="宋体"/>
          <w:color w:val="000000" w:themeColor="text1"/>
          <w:highlight w:val="none"/>
          <w14:textFill>
            <w14:solidFill>
              <w14:schemeClr w14:val="tx1"/>
            </w14:solidFill>
          </w14:textFill>
        </w:rPr>
        <w:t>：</w:t>
      </w:r>
      <w:bookmarkEnd w:id="237"/>
      <w:bookmarkEnd w:id="238"/>
      <w:bookmarkEnd w:id="239"/>
      <w:bookmarkEnd w:id="240"/>
      <w:bookmarkEnd w:id="241"/>
      <w:bookmarkEnd w:id="242"/>
      <w:bookmarkEnd w:id="243"/>
      <w:bookmarkEnd w:id="244"/>
      <w:bookmarkEnd w:id="245"/>
      <w:bookmarkEnd w:id="246"/>
      <w:bookmarkEnd w:id="247"/>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职务：</w:t>
      </w:r>
      <w:r>
        <w:rPr>
          <w:rFonts w:ascii="宋体" w:hAnsi="宋体"/>
          <w:color w:val="000000" w:themeColor="text1"/>
          <w:highlight w:val="none"/>
          <w:u w:val="single"/>
          <w14:textFill>
            <w14:solidFill>
              <w14:schemeClr w14:val="tx1"/>
            </w14:solidFill>
          </w14:textFill>
        </w:rPr>
        <w:t xml:space="preserve">        </w:t>
      </w:r>
    </w:p>
    <w:p w14:paraId="43E5C9A2">
      <w:pP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w:t>
      </w:r>
    </w:p>
    <w:p w14:paraId="372ED0B7">
      <w:pPr>
        <w:spacing w:line="480" w:lineRule="auto"/>
        <w:ind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677AECF9">
      <w:pPr>
        <w:spacing w:line="480" w:lineRule="auto"/>
        <w:rPr>
          <w:rFonts w:ascii="宋体" w:hAnsi="宋体"/>
          <w:color w:val="000000" w:themeColor="text1"/>
          <w:highlight w:val="none"/>
          <w14:textFill>
            <w14:solidFill>
              <w14:schemeClr w14:val="tx1"/>
            </w14:solidFill>
          </w14:textFill>
        </w:rPr>
      </w:pPr>
    </w:p>
    <w:p w14:paraId="2B024D3B">
      <w:pPr>
        <w:spacing w:line="480" w:lineRule="auto"/>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C427C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BA946E4">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63C427C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BA946E4">
                      <w:pPr>
                        <w:snapToGrid w:val="0"/>
                        <w:spacing w:line="360" w:lineRule="auto"/>
                        <w:rPr>
                          <w:highlight w:val="none"/>
                        </w:rPr>
                      </w:pPr>
                    </w:p>
                  </w:txbxContent>
                </v:textbox>
              </v:shape>
            </w:pict>
          </mc:Fallback>
        </mc:AlternateContent>
      </w:r>
      <w:r>
        <w:rPr>
          <w:rFonts w:ascii="宋体" w:hAnsi="宋体"/>
          <w:color w:val="000000" w:themeColor="text1"/>
          <w:highlight w:val="none"/>
          <w14:textFill>
            <w14:solidFill>
              <w14:schemeClr w14:val="tx1"/>
            </w14:solidFill>
          </w14:textFill>
        </w:rPr>
        <w:t>附：法定代表人身份证复印件</w:t>
      </w:r>
      <w:r>
        <w:rPr>
          <w:rFonts w:hint="eastAsia" w:ascii="宋体" w:hAnsi="宋体"/>
          <w:b/>
          <w:bCs/>
          <w:color w:val="000000" w:themeColor="text1"/>
          <w:highlight w:val="none"/>
          <w14:textFill>
            <w14:solidFill>
              <w14:schemeClr w14:val="tx1"/>
            </w14:solidFill>
          </w14:textFill>
        </w:rPr>
        <w:t>（正、反面）</w:t>
      </w:r>
      <w:r>
        <w:rPr>
          <w:rFonts w:ascii="宋体" w:hAnsi="宋体"/>
          <w:color w:val="000000" w:themeColor="text1"/>
          <w:highlight w:val="none"/>
          <w14:textFill>
            <w14:solidFill>
              <w14:schemeClr w14:val="tx1"/>
            </w14:solidFill>
          </w14:textFill>
        </w:rPr>
        <w:t>。</w:t>
      </w:r>
    </w:p>
    <w:p w14:paraId="789740BF">
      <w:pPr>
        <w:spacing w:line="480" w:lineRule="auto"/>
        <w:rPr>
          <w:rFonts w:ascii="宋体" w:hAnsi="宋体"/>
          <w:color w:val="000000" w:themeColor="text1"/>
          <w:highlight w:val="none"/>
          <w14:textFill>
            <w14:solidFill>
              <w14:schemeClr w14:val="tx1"/>
            </w14:solidFill>
          </w14:textFill>
        </w:rPr>
      </w:pPr>
    </w:p>
    <w:p w14:paraId="1EABAE64">
      <w:pPr>
        <w:spacing w:line="440" w:lineRule="exact"/>
        <w:rPr>
          <w:rFonts w:ascii="宋体" w:hAnsi="宋体"/>
          <w:color w:val="000000" w:themeColor="text1"/>
          <w:highlight w:val="none"/>
          <w14:textFill>
            <w14:solidFill>
              <w14:schemeClr w14:val="tx1"/>
            </w14:solidFill>
          </w14:textFill>
        </w:rPr>
      </w:pPr>
    </w:p>
    <w:p w14:paraId="2A94795F">
      <w:pPr>
        <w:spacing w:line="440" w:lineRule="exact"/>
        <w:rPr>
          <w:rFonts w:ascii="宋体" w:hAnsi="宋体"/>
          <w:color w:val="000000" w:themeColor="text1"/>
          <w:highlight w:val="none"/>
          <w14:textFill>
            <w14:solidFill>
              <w14:schemeClr w14:val="tx1"/>
            </w14:solidFill>
          </w14:textFill>
        </w:rPr>
      </w:pPr>
    </w:p>
    <w:p w14:paraId="3B6008EE">
      <w:pPr>
        <w:spacing w:line="440" w:lineRule="exact"/>
        <w:rPr>
          <w:rFonts w:ascii="宋体" w:hAnsi="宋体"/>
          <w:color w:val="000000" w:themeColor="text1"/>
          <w:highlight w:val="none"/>
          <w14:textFill>
            <w14:solidFill>
              <w14:schemeClr w14:val="tx1"/>
            </w14:solidFill>
          </w14:textFill>
        </w:rPr>
      </w:pPr>
    </w:p>
    <w:p w14:paraId="7D47DE7B">
      <w:pPr>
        <w:spacing w:line="440" w:lineRule="exact"/>
        <w:rPr>
          <w:rFonts w:ascii="宋体" w:hAnsi="宋体"/>
          <w:color w:val="000000" w:themeColor="text1"/>
          <w:highlight w:val="none"/>
          <w14:textFill>
            <w14:solidFill>
              <w14:schemeClr w14:val="tx1"/>
            </w14:solidFill>
          </w14:textFill>
        </w:rPr>
      </w:pPr>
    </w:p>
    <w:p w14:paraId="7EBE900E">
      <w:pPr>
        <w:spacing w:line="440" w:lineRule="exact"/>
        <w:rPr>
          <w:rFonts w:ascii="宋体" w:hAnsi="宋体"/>
          <w:color w:val="000000" w:themeColor="text1"/>
          <w:highlight w:val="none"/>
          <w14:textFill>
            <w14:solidFill>
              <w14:schemeClr w14:val="tx1"/>
            </w14:solidFill>
          </w14:textFill>
        </w:rPr>
      </w:pPr>
    </w:p>
    <w:p w14:paraId="7C048F95">
      <w:pPr>
        <w:spacing w:line="440" w:lineRule="exact"/>
        <w:rPr>
          <w:rFonts w:ascii="宋体" w:hAnsi="宋体"/>
          <w:color w:val="000000" w:themeColor="text1"/>
          <w:highlight w:val="none"/>
          <w14:textFill>
            <w14:solidFill>
              <w14:schemeClr w14:val="tx1"/>
            </w14:solidFill>
          </w14:textFill>
        </w:rPr>
      </w:pPr>
    </w:p>
    <w:p w14:paraId="78FDD692">
      <w:pPr>
        <w:spacing w:line="440" w:lineRule="exact"/>
        <w:rPr>
          <w:rFonts w:ascii="宋体" w:hAnsi="宋体"/>
          <w:color w:val="000000" w:themeColor="text1"/>
          <w:highlight w:val="none"/>
          <w14:textFill>
            <w14:solidFill>
              <w14:schemeClr w14:val="tx1"/>
            </w14:solidFill>
          </w14:textFill>
        </w:rPr>
      </w:pPr>
    </w:p>
    <w:p w14:paraId="7BC61CA5">
      <w:pPr>
        <w:spacing w:line="440" w:lineRule="exact"/>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07216CE8">
      <w:pPr>
        <w:spacing w:line="440" w:lineRule="exact"/>
        <w:rPr>
          <w:rFonts w:ascii="宋体" w:hAnsi="宋体"/>
          <w:color w:val="000000" w:themeColor="text1"/>
          <w:highlight w:val="none"/>
          <w14:textFill>
            <w14:solidFill>
              <w14:schemeClr w14:val="tx1"/>
            </w14:solidFill>
          </w14:textFill>
        </w:rPr>
      </w:pPr>
    </w:p>
    <w:p w14:paraId="46813BC8">
      <w:pPr>
        <w:spacing w:line="440" w:lineRule="exact"/>
        <w:ind w:firstLine="4620" w:firstLineChars="2200"/>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2003962F">
      <w:pPr>
        <w:rPr>
          <w:rFonts w:ascii="宋体" w:hAnsi="宋体"/>
          <w:color w:val="000000" w:themeColor="text1"/>
          <w:highlight w:val="none"/>
          <w14:textFill>
            <w14:solidFill>
              <w14:schemeClr w14:val="tx1"/>
            </w14:solidFill>
          </w14:textFill>
        </w:rPr>
      </w:pPr>
    </w:p>
    <w:p w14:paraId="69D295E1">
      <w:pPr>
        <w:rPr>
          <w:rFonts w:ascii="宋体" w:hAnsi="宋体"/>
          <w:color w:val="000000" w:themeColor="text1"/>
          <w:highlight w:val="none"/>
          <w14:textFill>
            <w14:solidFill>
              <w14:schemeClr w14:val="tx1"/>
            </w14:solidFill>
          </w14:textFill>
        </w:rPr>
      </w:pPr>
    </w:p>
    <w:p w14:paraId="20A97CA0">
      <w:pP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注：本身份证明需由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3C6AFF67">
      <w:pPr>
        <w:spacing w:line="440" w:lineRule="exact"/>
        <w:rPr>
          <w:rFonts w:ascii="宋体" w:hAnsi="宋体"/>
          <w:color w:val="000000" w:themeColor="text1"/>
          <w:sz w:val="20"/>
          <w:highlight w:val="none"/>
          <w14:textFill>
            <w14:solidFill>
              <w14:schemeClr w14:val="tx1"/>
            </w14:solidFill>
          </w14:textFill>
        </w:rPr>
      </w:pPr>
    </w:p>
    <w:p w14:paraId="51DFA1F1">
      <w:pPr>
        <w:spacing w:line="20" w:lineRule="exact"/>
        <w:jc w:val="cente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5C7F0332">
      <w:pPr>
        <w:pStyle w:val="4"/>
        <w:spacing w:line="480" w:lineRule="auto"/>
        <w:jc w:val="center"/>
        <w:outlineLvl w:val="2"/>
        <w:rPr>
          <w:rFonts w:ascii="宋体" w:hAnsi="宋体"/>
          <w:color w:val="000000" w:themeColor="text1"/>
          <w:sz w:val="28"/>
          <w:szCs w:val="28"/>
          <w:highlight w:val="none"/>
          <w14:textFill>
            <w14:solidFill>
              <w14:schemeClr w14:val="tx1"/>
            </w14:solidFill>
          </w14:textFill>
        </w:rPr>
      </w:pPr>
      <w:bookmarkStart w:id="248" w:name="_Toc491883233"/>
      <w:bookmarkStart w:id="249" w:name="_Toc58"/>
      <w:bookmarkStart w:id="250" w:name="_Toc3882"/>
      <w:r>
        <w:rPr>
          <w:rFonts w:hint="eastAsia" w:ascii="宋体" w:hAnsi="宋体" w:eastAsia="宋体" w:cs="宋体"/>
          <w:color w:val="000000" w:themeColor="text1"/>
          <w:sz w:val="24"/>
          <w:szCs w:val="24"/>
          <w:highlight w:val="none"/>
          <w14:textFill>
            <w14:solidFill>
              <w14:schemeClr w14:val="tx1"/>
            </w14:solidFill>
          </w14:textFill>
        </w:rPr>
        <w:t>（二）</w:t>
      </w:r>
      <w:bookmarkEnd w:id="248"/>
      <w:r>
        <w:rPr>
          <w:rFonts w:hint="eastAsia" w:ascii="宋体" w:hAnsi="宋体" w:eastAsia="宋体" w:cs="宋体"/>
          <w:color w:val="000000" w:themeColor="text1"/>
          <w:sz w:val="24"/>
          <w:szCs w:val="24"/>
          <w:highlight w:val="none"/>
          <w14:textFill>
            <w14:solidFill>
              <w14:schemeClr w14:val="tx1"/>
            </w14:solidFill>
          </w14:textFill>
        </w:rPr>
        <w:t>法定代表人授权委托书</w:t>
      </w:r>
      <w:bookmarkEnd w:id="249"/>
      <w:bookmarkEnd w:id="250"/>
    </w:p>
    <w:p w14:paraId="36F85DCD">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本人</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名称）的法定代表人，现委托</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（姓名）为我方代理人。代理人根据授权，以我方名义签署、澄清确认、递交、撤回、修改</w:t>
      </w:r>
      <w:r>
        <w:rPr>
          <w:rFonts w:hint="eastAsia" w:ascii="宋体" w:hAnsi="宋体"/>
          <w:color w:val="000000" w:themeColor="text1"/>
          <w:highlight w:val="none"/>
          <w:lang w:val="en-US" w:eastAsia="zh-CN"/>
          <w14:textFill>
            <w14:solidFill>
              <w14:schemeClr w14:val="tx1"/>
            </w14:solidFill>
          </w14:textFill>
        </w:rPr>
        <w:t>采购</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文件、签订合同和处理有关事宜，其法律后果由我方承担。</w:t>
      </w:r>
    </w:p>
    <w:p w14:paraId="6F766D3C">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委托期限：</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p>
    <w:p w14:paraId="3D1F550A">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代理人无转委托权。</w:t>
      </w:r>
    </w:p>
    <w:p w14:paraId="7CE2C97A">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附：法定代表人身份证复印件及委托代理人身份证复印件</w:t>
      </w:r>
      <w:r>
        <w:rPr>
          <w:rFonts w:hint="eastAsia" w:ascii="宋体" w:hAnsi="宋体"/>
          <w:b/>
          <w:bCs/>
          <w:color w:val="000000" w:themeColor="text1"/>
          <w:highlight w:val="none"/>
          <w14:textFill>
            <w14:solidFill>
              <w14:schemeClr w14:val="tx1"/>
            </w14:solidFill>
          </w14:textFill>
        </w:rPr>
        <w:t>（正、反面）</w:t>
      </w:r>
    </w:p>
    <w:p w14:paraId="69492D20">
      <w:pPr>
        <w:spacing w:line="440" w:lineRule="exact"/>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78F581">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3944572E">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4978F581">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3944572E">
                      <w:pPr>
                        <w:snapToGrid w:val="0"/>
                        <w:spacing w:line="360" w:lineRule="auto"/>
                        <w:rPr>
                          <w:highlight w:val="none"/>
                        </w:rPr>
                      </w:pPr>
                    </w:p>
                  </w:txbxContent>
                </v:textbox>
              </v:shape>
            </w:pict>
          </mc:Fallback>
        </mc:AlternateContent>
      </w:r>
    </w:p>
    <w:p w14:paraId="22519CAF">
      <w:pPr>
        <w:spacing w:line="440" w:lineRule="exact"/>
        <w:rPr>
          <w:rFonts w:ascii="宋体" w:hAnsi="宋体"/>
          <w:color w:val="000000" w:themeColor="text1"/>
          <w:highlight w:val="none"/>
          <w14:textFill>
            <w14:solidFill>
              <w14:schemeClr w14:val="tx1"/>
            </w14:solidFill>
          </w14:textFill>
        </w:rPr>
      </w:pPr>
    </w:p>
    <w:p w14:paraId="36E63A40">
      <w:pP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委托代理人身份证复印件</w:t>
      </w:r>
    </w:p>
    <w:p w14:paraId="2D466713">
      <w:pPr>
        <w:spacing w:line="440" w:lineRule="exact"/>
        <w:rPr>
          <w:rFonts w:ascii="宋体" w:hAnsi="宋体"/>
          <w:color w:val="000000" w:themeColor="text1"/>
          <w:highlight w:val="none"/>
          <w14:textFill>
            <w14:solidFill>
              <w14:schemeClr w14:val="tx1"/>
            </w14:solidFill>
          </w14:textFill>
        </w:rPr>
      </w:pPr>
    </w:p>
    <w:p w14:paraId="4F03B970">
      <w:pPr>
        <w:spacing w:line="440" w:lineRule="exact"/>
        <w:rPr>
          <w:rFonts w:ascii="宋体" w:hAnsi="宋体"/>
          <w:color w:val="000000" w:themeColor="text1"/>
          <w:highlight w:val="none"/>
          <w14:textFill>
            <w14:solidFill>
              <w14:schemeClr w14:val="tx1"/>
            </w14:solidFill>
          </w14:textFill>
        </w:rPr>
      </w:pPr>
    </w:p>
    <w:p w14:paraId="5DE11756">
      <w:pPr>
        <w:spacing w:line="440" w:lineRule="exact"/>
        <w:rPr>
          <w:rFonts w:ascii="宋体" w:hAnsi="宋体"/>
          <w:color w:val="000000" w:themeColor="text1"/>
          <w:highlight w:val="none"/>
          <w14:textFill>
            <w14:solidFill>
              <w14:schemeClr w14:val="tx1"/>
            </w14:solidFill>
          </w14:textFill>
        </w:rPr>
      </w:pPr>
    </w:p>
    <w:p w14:paraId="060A3394">
      <w:pPr>
        <w:spacing w:line="440" w:lineRule="exact"/>
        <w:rPr>
          <w:rFonts w:ascii="宋体" w:hAnsi="宋体"/>
          <w:color w:val="000000" w:themeColor="text1"/>
          <w:highlight w:val="none"/>
          <w14:textFill>
            <w14:solidFill>
              <w14:schemeClr w14:val="tx1"/>
            </w14:solidFill>
          </w14:textFill>
        </w:rPr>
      </w:pPr>
    </w:p>
    <w:p w14:paraId="4A8B5135">
      <w:pPr>
        <w:spacing w:line="440" w:lineRule="exact"/>
        <w:ind w:firstLine="2692" w:firstLineChars="1282"/>
        <w:rPr>
          <w:rFonts w:hint="eastAsia" w:ascii="宋体" w:hAnsi="宋体"/>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B081AD">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B633BBF">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5AB081AD">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B633BBF">
                      <w:pPr>
                        <w:spacing w:line="360" w:lineRule="auto"/>
                        <w:jc w:val="center"/>
                        <w:rPr>
                          <w:highlight w:val="none"/>
                        </w:rPr>
                      </w:pPr>
                    </w:p>
                  </w:txbxContent>
                </v:textbox>
              </v:shape>
            </w:pict>
          </mc:Fallback>
        </mc:AlternateContent>
      </w:r>
    </w:p>
    <w:p w14:paraId="04BF29C0">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7A84542">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D8B5DCD">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562DC89">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EDA1EF7">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6798AB98">
      <w:pP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B312C8B">
      <w:pPr>
        <w:spacing w:line="440" w:lineRule="exact"/>
        <w:ind w:firstLine="2692" w:firstLineChars="128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  价  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F3BF4A9">
      <w:pPr>
        <w:spacing w:line="440" w:lineRule="exact"/>
        <w:ind w:firstLine="2690" w:firstLineChars="1281"/>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法定代表人：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28DDC637">
      <w:pP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78A8718E">
      <w:pP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04DBCFB0">
      <w:pP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31605C5B">
      <w:pPr>
        <w:spacing w:line="440" w:lineRule="exact"/>
        <w:ind w:firstLine="4057" w:firstLineChars="1932"/>
        <w:jc w:val="right"/>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42D890ED">
      <w:pPr>
        <w:rPr>
          <w:rFonts w:ascii="宋体" w:hAnsi="宋体"/>
          <w:color w:val="000000" w:themeColor="text1"/>
          <w:highlight w:val="none"/>
          <w14:textFill>
            <w14:solidFill>
              <w14:schemeClr w14:val="tx1"/>
            </w14:solidFill>
          </w14:textFill>
        </w:rPr>
      </w:pPr>
    </w:p>
    <w:p w14:paraId="4422466B">
      <w:pPr>
        <w:rPr>
          <w:rFonts w:ascii="宋体" w:hAnsi="宋体"/>
          <w:color w:val="000000" w:themeColor="text1"/>
          <w:highlight w:val="none"/>
          <w14:textFill>
            <w14:solidFill>
              <w14:schemeClr w14:val="tx1"/>
            </w14:solidFill>
          </w14:textFill>
        </w:rPr>
      </w:pPr>
    </w:p>
    <w:p w14:paraId="33EEB4A6">
      <w:pPr>
        <w:spacing w:line="44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注：本授权委托书需由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并由其法定代表人和委托代理人签</w:t>
      </w:r>
      <w:r>
        <w:rPr>
          <w:rFonts w:hint="eastAsia" w:ascii="宋体" w:hAnsi="宋体"/>
          <w:color w:val="000000" w:themeColor="text1"/>
          <w:highlight w:val="none"/>
          <w:lang w:val="en-US" w:eastAsia="zh-CN"/>
          <w14:textFill>
            <w14:solidFill>
              <w14:schemeClr w14:val="tx1"/>
            </w14:solidFill>
          </w14:textFill>
        </w:rPr>
        <w:t>名。</w:t>
      </w:r>
    </w:p>
    <w:p w14:paraId="158A3B9E">
      <w:pPr>
        <w:pStyle w:val="28"/>
        <w:rPr>
          <w:color w:val="000000" w:themeColor="text1"/>
          <w:sz w:val="21"/>
          <w:szCs w:val="21"/>
          <w:highlight w:val="none"/>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14:paraId="2952B563">
      <w:pPr>
        <w:keepNext w:val="0"/>
        <w:keepLines w:val="0"/>
        <w:pageBreakBefore w:val="0"/>
        <w:widowControl w:val="0"/>
        <w:kinsoku/>
        <w:wordWrap/>
        <w:overflowPunct/>
        <w:topLinePunct w:val="0"/>
        <w:autoSpaceDE/>
        <w:autoSpaceDN/>
        <w:bidi w:val="0"/>
        <w:adjustRightInd/>
        <w:snapToGrid/>
        <w:jc w:val="center"/>
        <w:textAlignment w:val="auto"/>
        <w:outlineLvl w:val="1"/>
        <w:rPr>
          <w:rFonts w:ascii="宋体" w:hAnsi="宋体" w:cs="宋体"/>
          <w:b/>
          <w:color w:val="000000" w:themeColor="text1"/>
          <w:highlight w:val="none"/>
          <w14:textFill>
            <w14:solidFill>
              <w14:schemeClr w14:val="tx1"/>
            </w14:solidFill>
          </w14:textFill>
        </w:rPr>
      </w:pPr>
      <w:bookmarkStart w:id="251" w:name="_Toc11329275"/>
      <w:bookmarkStart w:id="252" w:name="_Toc21956"/>
      <w:r>
        <w:rPr>
          <w:rFonts w:hint="eastAsia" w:ascii="宋体" w:hAnsi="宋体" w:cs="宋体"/>
          <w:b/>
          <w:bCs/>
          <w:color w:val="000000" w:themeColor="text1"/>
          <w:kern w:val="0"/>
          <w:sz w:val="28"/>
          <w:szCs w:val="32"/>
          <w:highlight w:val="none"/>
          <w14:textFill>
            <w14:solidFill>
              <w14:schemeClr w14:val="tx1"/>
            </w14:solidFill>
          </w14:textFill>
        </w:rPr>
        <w:t>三、</w:t>
      </w:r>
      <w:bookmarkEnd w:id="223"/>
      <w:bookmarkEnd w:id="224"/>
      <w:bookmarkEnd w:id="225"/>
      <w:bookmarkEnd w:id="251"/>
      <w:r>
        <w:rPr>
          <w:rFonts w:hint="eastAsia" w:ascii="宋体" w:hAnsi="宋体" w:cs="宋体"/>
          <w:b/>
          <w:bCs/>
          <w:color w:val="000000" w:themeColor="text1"/>
          <w:kern w:val="0"/>
          <w:sz w:val="28"/>
          <w:szCs w:val="32"/>
          <w:highlight w:val="none"/>
          <w14:textFill>
            <w14:solidFill>
              <w14:schemeClr w14:val="tx1"/>
            </w14:solidFill>
          </w14:textFill>
        </w:rPr>
        <w:t>报价一览表</w:t>
      </w:r>
      <w:bookmarkEnd w:id="252"/>
    </w:p>
    <w:p w14:paraId="012362D8">
      <w:pPr>
        <w:ind w:left="765"/>
        <w:jc w:val="center"/>
        <w:rPr>
          <w:rFonts w:ascii="宋体" w:hAnsi="宋体" w:cs="宋体"/>
          <w:color w:val="000000" w:themeColor="text1"/>
          <w:szCs w:val="21"/>
          <w:highlight w:val="none"/>
          <w14:textFill>
            <w14:solidFill>
              <w14:schemeClr w14:val="tx1"/>
            </w14:solidFill>
          </w14:textFill>
        </w:rPr>
      </w:pPr>
    </w:p>
    <w:p w14:paraId="127D60E8">
      <w:pPr>
        <w:pStyle w:val="38"/>
        <w:jc w:val="both"/>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重庆首讯科技股份有限公司数智系统运维分公司：</w:t>
      </w:r>
    </w:p>
    <w:p w14:paraId="5B70B4DA">
      <w:pPr>
        <w:spacing w:line="360" w:lineRule="auto"/>
        <w:ind w:firstLine="420" w:firstLineChars="200"/>
        <w:jc w:val="left"/>
        <w:rPr>
          <w:rFonts w:ascii="宋体" w:hAnsi="宋体"/>
          <w:b/>
          <w:color w:val="000000" w:themeColor="text1"/>
          <w:sz w:val="24"/>
          <w:highlight w:val="none"/>
          <w14:textFill>
            <w14:solidFill>
              <w14:schemeClr w14:val="tx1"/>
            </w14:solidFill>
          </w14:textFill>
        </w:rPr>
      </w:pPr>
      <w:r>
        <w:rPr>
          <w:rFonts w:hint="eastAsia" w:ascii="宋体" w:hAnsi="宋体" w:eastAsia="宋体" w:cs="Times New Roman"/>
          <w:color w:val="000000" w:themeColor="text1"/>
          <w:highlight w:val="none"/>
          <w14:textFill>
            <w14:solidFill>
              <w14:schemeClr w14:val="tx1"/>
            </w14:solidFill>
          </w14:textFill>
        </w:rPr>
        <w:t>在研究了竞争比选文件中所有文件后，我司对</w:t>
      </w:r>
      <w:r>
        <w:rPr>
          <w:rFonts w:hint="eastAsia" w:ascii="宋体" w:hAnsi="宋体" w:cs="Times New Roman"/>
          <w:color w:val="000000" w:themeColor="text1"/>
          <w:highlight w:val="none"/>
          <w:u w:val="single"/>
          <w:lang w:val="en-US" w:eastAsia="zh-CN"/>
          <w14:textFill>
            <w14:solidFill>
              <w14:schemeClr w14:val="tx1"/>
            </w14:solidFill>
          </w14:textFill>
        </w:rPr>
        <w:t xml:space="preserve">           (项目名称)</w:t>
      </w:r>
      <w:r>
        <w:rPr>
          <w:rFonts w:hint="eastAsia" w:ascii="宋体" w:hAnsi="宋体" w:eastAsia="宋体" w:cs="Times New Roman"/>
          <w:color w:val="000000" w:themeColor="text1"/>
          <w:highlight w:val="none"/>
          <w14:textFill>
            <w14:solidFill>
              <w14:schemeClr w14:val="tx1"/>
            </w14:solidFill>
          </w14:textFill>
        </w:rPr>
        <w:t>竞争比选响应报价如下：</w:t>
      </w:r>
      <w:r>
        <w:rPr>
          <w:rFonts w:hint="eastAsia" w:ascii="宋体" w:hAnsi="宋体"/>
          <w:b/>
          <w:color w:val="000000" w:themeColor="text1"/>
          <w:sz w:val="24"/>
          <w:highlight w:val="none"/>
          <w14:textFill>
            <w14:solidFill>
              <w14:schemeClr w14:val="tx1"/>
            </w14:solidFill>
          </w14:textFill>
        </w:rPr>
        <w:t xml:space="preserve"> </w:t>
      </w:r>
    </w:p>
    <w:p w14:paraId="13E1242A">
      <w:pPr>
        <w:spacing w:line="360" w:lineRule="auto"/>
        <w:ind w:firstLine="422" w:firstLineChars="200"/>
        <w:jc w:val="left"/>
        <w:rPr>
          <w:rFonts w:hint="eastAsia" w:ascii="宋体" w:hAnsi="宋体" w:eastAsia="宋体" w:cs="Times New Roman"/>
          <w:b/>
          <w:bCs/>
          <w:color w:val="000000" w:themeColor="text1"/>
          <w:highlight w:val="none"/>
          <w14:textFill>
            <w14:solidFill>
              <w14:schemeClr w14:val="tx1"/>
            </w14:solidFill>
          </w14:textFill>
        </w:rPr>
      </w:pPr>
      <w:r>
        <w:rPr>
          <w:rFonts w:hint="eastAsia" w:ascii="宋体" w:hAnsi="宋体" w:eastAsia="宋体" w:cs="Times New Roman"/>
          <w:b/>
          <w:bCs/>
          <w:color w:val="000000" w:themeColor="text1"/>
          <w:highlight w:val="none"/>
          <w14:textFill>
            <w14:solidFill>
              <w14:schemeClr w14:val="tx1"/>
            </w14:solidFill>
          </w14:textFill>
        </w:rPr>
        <w:t xml:space="preserve"> </w:t>
      </w:r>
      <w:r>
        <w:rPr>
          <w:rFonts w:hint="eastAsia" w:ascii="宋体" w:hAnsi="宋体" w:eastAsia="宋体" w:cs="Times New Roman"/>
          <w:b/>
          <w:bCs/>
          <w:color w:val="000000" w:themeColor="text1"/>
          <w:highlight w:val="none"/>
          <w:lang w:eastAsia="zh-CN"/>
          <w14:textFill>
            <w14:solidFill>
              <w14:schemeClr w14:val="tx1"/>
            </w14:solidFill>
          </w14:textFill>
        </w:rPr>
        <w:t>报价采用表格形式，见“工程量清单”。</w:t>
      </w:r>
      <w:r>
        <w:rPr>
          <w:rFonts w:hint="eastAsia" w:ascii="宋体" w:hAnsi="宋体" w:eastAsia="宋体" w:cs="Times New Roman"/>
          <w:b/>
          <w:bCs/>
          <w:color w:val="000000" w:themeColor="text1"/>
          <w:highlight w:val="none"/>
          <w14:textFill>
            <w14:solidFill>
              <w14:schemeClr w14:val="tx1"/>
            </w14:solidFill>
          </w14:textFill>
        </w:rPr>
        <w:t xml:space="preserve"> </w:t>
      </w:r>
    </w:p>
    <w:p w14:paraId="0FBA9372">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1DD64CB9">
      <w:pPr>
        <w:pStyle w:val="4"/>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53" w:name="_Toc503951050"/>
      <w:bookmarkStart w:id="254" w:name="_Toc11329278"/>
      <w:bookmarkStart w:id="255" w:name="_Toc513633971"/>
      <w:bookmarkStart w:id="256" w:name="_Toc246996369"/>
      <w:bookmarkStart w:id="257" w:name="_Toc247085887"/>
      <w:bookmarkStart w:id="258" w:name="_Toc246997112"/>
      <w:bookmarkStart w:id="259" w:name="_Toc152042592"/>
      <w:bookmarkStart w:id="260" w:name="_Toc144974871"/>
      <w:bookmarkStart w:id="261" w:name="_Toc179632823"/>
      <w:bookmarkStart w:id="262" w:name="_Toc152045803"/>
      <w:bookmarkStart w:id="263" w:name="_Toc447827058"/>
    </w:p>
    <w:p w14:paraId="231E1B2D">
      <w:pPr>
        <w:pStyle w:val="4"/>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p>
    <w:p w14:paraId="009F92F4">
      <w:pP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hint="eastAsia" w:ascii="宋体" w:hAnsi="宋体"/>
          <w:b/>
          <w:bCs/>
          <w:snapToGrid w:val="0"/>
          <w:color w:val="000000" w:themeColor="text1"/>
          <w:kern w:val="0"/>
          <w:szCs w:val="21"/>
          <w:highlight w:val="none"/>
          <w:lang w:val="en-US" w:eastAsia="zh-CN"/>
          <w14:textFill>
            <w14:solidFill>
              <w14:schemeClr w14:val="tx1"/>
            </w14:solidFill>
          </w14:textFill>
        </w:rPr>
        <w:t>报</w:t>
      </w:r>
      <w:r>
        <w:rPr>
          <w:rFonts w:ascii="宋体" w:hAnsi="宋体"/>
          <w:b/>
          <w:bCs/>
          <w:snapToGrid w:val="0"/>
          <w:color w:val="000000" w:themeColor="text1"/>
          <w:kern w:val="0"/>
          <w:szCs w:val="21"/>
          <w:highlight w:val="none"/>
          <w14:textFill>
            <w14:solidFill>
              <w14:schemeClr w14:val="tx1"/>
            </w14:solidFill>
          </w14:textFill>
        </w:rPr>
        <w:t xml:space="preserve">  </w:t>
      </w:r>
      <w:r>
        <w:rPr>
          <w:rFonts w:hint="eastAsia" w:ascii="宋体" w:hAnsi="宋体"/>
          <w:b/>
          <w:bCs/>
          <w:snapToGrid w:val="0"/>
          <w:color w:val="000000" w:themeColor="text1"/>
          <w:kern w:val="0"/>
          <w:szCs w:val="21"/>
          <w:highlight w:val="none"/>
          <w:lang w:val="en-US" w:eastAsia="zh-CN"/>
          <w14:textFill>
            <w14:solidFill>
              <w14:schemeClr w14:val="tx1"/>
            </w14:solidFill>
          </w14:textFill>
        </w:rPr>
        <w:t>价</w:t>
      </w:r>
      <w:r>
        <w:rPr>
          <w:rFonts w:ascii="宋体" w:hAnsi="宋体"/>
          <w:b/>
          <w:bCs/>
          <w:snapToGrid w:val="0"/>
          <w:color w:val="000000" w:themeColor="text1"/>
          <w:kern w:val="0"/>
          <w:szCs w:val="21"/>
          <w:highlight w:val="none"/>
          <w14:textFill>
            <w14:solidFill>
              <w14:schemeClr w14:val="tx1"/>
            </w14:solidFill>
          </w14:textFill>
        </w:rPr>
        <w:t xml:space="preserve">  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（盖单位</w:t>
      </w:r>
      <w:r>
        <w:rPr>
          <w:rFonts w:hint="eastAsia" w:ascii="宋体" w:hAnsi="宋体"/>
          <w:b/>
          <w:bCs/>
          <w:snapToGrid w:val="0"/>
          <w:color w:val="000000" w:themeColor="text1"/>
          <w:kern w:val="0"/>
          <w:szCs w:val="21"/>
          <w:highlight w:val="none"/>
          <w:lang w:val="en-US" w:eastAsia="zh-CN"/>
          <w14:textFill>
            <w14:solidFill>
              <w14:schemeClr w14:val="tx1"/>
            </w14:solidFill>
          </w14:textFill>
        </w:rPr>
        <w:t>公</w:t>
      </w:r>
      <w:r>
        <w:rPr>
          <w:rFonts w:ascii="宋体" w:hAnsi="宋体"/>
          <w:b/>
          <w:bCs/>
          <w:snapToGrid w:val="0"/>
          <w:color w:val="000000" w:themeColor="text1"/>
          <w:kern w:val="0"/>
          <w:szCs w:val="21"/>
          <w:highlight w:val="none"/>
          <w14:textFill>
            <w14:solidFill>
              <w14:schemeClr w14:val="tx1"/>
            </w14:solidFill>
          </w14:textFill>
        </w:rPr>
        <w:t xml:space="preserve">章） </w:t>
      </w:r>
    </w:p>
    <w:p w14:paraId="5D75943D">
      <w:pP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ascii="宋体" w:hAnsi="宋体"/>
          <w:b/>
          <w:bCs/>
          <w:snapToGrid w:val="0"/>
          <w:color w:val="000000" w:themeColor="text1"/>
          <w:kern w:val="0"/>
          <w:szCs w:val="21"/>
          <w:highlight w:val="none"/>
          <w14:textFill>
            <w14:solidFill>
              <w14:schemeClr w14:val="tx1"/>
            </w14:solidFill>
          </w14:textFill>
        </w:rPr>
        <w:t>法定代表人或其委托代理人：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w:t>
      </w:r>
      <w:r>
        <w:rPr>
          <w:rFonts w:hint="eastAsia" w:ascii="宋体" w:hAnsi="宋体"/>
          <w:b/>
          <w:bCs/>
          <w:snapToGrid w:val="0"/>
          <w:color w:val="000000" w:themeColor="text1"/>
          <w:kern w:val="0"/>
          <w:szCs w:val="21"/>
          <w:highlight w:val="none"/>
          <w14:textFill>
            <w14:solidFill>
              <w14:schemeClr w14:val="tx1"/>
            </w14:solidFill>
          </w14:textFill>
        </w:rPr>
        <w:t>签名</w:t>
      </w:r>
      <w:r>
        <w:rPr>
          <w:rFonts w:ascii="宋体" w:hAnsi="宋体"/>
          <w:b/>
          <w:bCs/>
          <w:snapToGrid w:val="0"/>
          <w:color w:val="000000" w:themeColor="text1"/>
          <w:kern w:val="0"/>
          <w:szCs w:val="21"/>
          <w:highlight w:val="none"/>
          <w14:textFill>
            <w14:solidFill>
              <w14:schemeClr w14:val="tx1"/>
            </w14:solidFill>
          </w14:textFill>
        </w:rPr>
        <w:t xml:space="preserve">或盖章） </w:t>
      </w:r>
    </w:p>
    <w:p w14:paraId="75ACE84D">
      <w:pPr>
        <w:pStyle w:val="4"/>
        <w:spacing w:before="0" w:after="0" w:line="360" w:lineRule="auto"/>
        <w:jc w:val="both"/>
        <w:rPr>
          <w:rFonts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日期：</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年</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月</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日</w:t>
      </w:r>
      <w:r>
        <w:rPr>
          <w:rFonts w:hint="eastAsia" w:ascii="宋体" w:hAnsi="宋体" w:eastAsia="宋体" w:cs="宋体"/>
          <w:color w:val="000000" w:themeColor="text1"/>
          <w:sz w:val="28"/>
          <w:highlight w:val="none"/>
          <w14:textFill>
            <w14:solidFill>
              <w14:schemeClr w14:val="tx1"/>
            </w14:solidFill>
          </w14:textFill>
        </w:rPr>
        <w:br w:type="page"/>
      </w:r>
      <w:bookmarkStart w:id="264" w:name="_Toc2760"/>
      <w:bookmarkStart w:id="265" w:name="_Toc11961"/>
      <w:bookmarkStart w:id="266" w:name="_Toc18757"/>
      <w:bookmarkStart w:id="267" w:name="_Toc12910"/>
      <w:bookmarkStart w:id="268" w:name="_Toc7430"/>
      <w:r>
        <w:rPr>
          <w:rFonts w:hint="eastAsia" w:ascii="宋体" w:hAnsi="宋体" w:eastAsia="宋体" w:cs="宋体"/>
          <w:color w:val="000000" w:themeColor="text1"/>
          <w:sz w:val="28"/>
          <w:highlight w:val="none"/>
          <w14:textFill>
            <w14:solidFill>
              <w14:schemeClr w14:val="tx1"/>
            </w14:solidFill>
          </w14:textFill>
        </w:rPr>
        <w:t>四、资格审查资料</w:t>
      </w:r>
      <w:bookmarkEnd w:id="253"/>
      <w:bookmarkEnd w:id="254"/>
      <w:bookmarkEnd w:id="255"/>
      <w:bookmarkEnd w:id="264"/>
      <w:bookmarkEnd w:id="265"/>
      <w:bookmarkEnd w:id="266"/>
      <w:bookmarkEnd w:id="267"/>
      <w:bookmarkEnd w:id="268"/>
    </w:p>
    <w:p w14:paraId="1F25356C">
      <w:pPr>
        <w:pStyle w:val="4"/>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3D67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07E555E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60A49AC6">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124B98A6">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386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43A73312">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4F61D70E">
            <w:pPr>
              <w:pageBreakBefore w:val="0"/>
              <w:widowControl w:val="0"/>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4E196A76">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1.具有独立法人资格和有效的营业执照。</w:t>
            </w:r>
          </w:p>
          <w:p w14:paraId="2EFD010C">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2.具有有效的安全生产许可证。</w:t>
            </w:r>
          </w:p>
          <w:p w14:paraId="3D072B94">
            <w:pPr>
              <w:pageBreakBefore w:val="0"/>
              <w:widowControl w:val="0"/>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3.具备有效的消防设施工程专业承包一级资质。</w:t>
            </w:r>
          </w:p>
        </w:tc>
      </w:tr>
      <w:tr w14:paraId="6667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58D4429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5958A66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061EB77">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2022年1月1日至投标截止日（合同签订时间为准），投标人至少具有一个单项合同金额不低于100万元公路行业消防工程业绩，提供业绩合同复印件。</w:t>
            </w:r>
          </w:p>
        </w:tc>
      </w:tr>
      <w:tr w14:paraId="57CB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32D7982">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386028E3">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11BD5A1F">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41ED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6C1C987">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6C5B387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0CD3A199">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3AA6553">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8DA880D">
      <w:pPr>
        <w:pStyle w:val="28"/>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832C29D">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54895BE">
      <w:pPr>
        <w:pStyle w:val="28"/>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4831235">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BF50504">
      <w:pPr>
        <w:pStyle w:val="28"/>
        <w:rPr>
          <w:rFonts w:hint="eastAsia"/>
          <w:color w:val="000000" w:themeColor="text1"/>
          <w:lang w:val="en-US" w:eastAsia="zh-CN"/>
          <w14:textFill>
            <w14:solidFill>
              <w14:schemeClr w14:val="tx1"/>
            </w14:solidFill>
          </w14:textFill>
        </w:rPr>
      </w:pPr>
    </w:p>
    <w:p w14:paraId="30232F77">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55736F0">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6638663">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99D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7D9DED3">
            <w:pP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1EC65B00">
            <w:pP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1BFFACE8">
            <w:pP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5D4C4699">
            <w:pP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475900D3">
            <w:pP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563AE8CE">
            <w:pP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166E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2356572">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6D437DF6">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21591AEF">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4AD18355">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2F8BF18">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304B8692">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332D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B184A9A">
            <w:pP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23C3574">
            <w:pP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7D79F9C">
            <w:pPr>
              <w:widowControl/>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cs="宋体"/>
                <w:color w:val="000000" w:themeColor="text1"/>
                <w:kern w:val="0"/>
                <w:sz w:val="21"/>
                <w:szCs w:val="21"/>
                <w:highlight w:val="none"/>
                <w:u w:val="single"/>
                <w:lang w:val="en-US" w:eastAsia="zh-CN"/>
                <w14:textFill>
                  <w14:solidFill>
                    <w14:schemeClr w14:val="tx1"/>
                  </w14:solidFill>
                </w14:textFill>
              </w:rPr>
              <w:t>机电</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专业二级及以上注册建造师执业资格，且在人员方面具有相应的施工能力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53A97BF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5637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13C76E8E">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2EBA3282">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6FBC5CEA">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79B7A724">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0275C09E">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130296AE">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77CE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45C65885">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380EAC3">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79BBB1B">
            <w:pPr>
              <w:keepNext w:val="0"/>
              <w:keepLines w:val="0"/>
              <w:pageBreakBefore w:val="0"/>
              <w:widowControl w:val="0"/>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具有机电相关中级及以上职称或者具有机电专业二级及以上注册建造师执业资格。</w:t>
            </w:r>
          </w:p>
        </w:tc>
      </w:tr>
      <w:tr w14:paraId="05E2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39CA1BA">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6E9C9C88">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27F36059">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4455FBE">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56266C7">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2E7AF2E3">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2568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6E1295C8">
            <w:pP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4474E108">
            <w:pP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108355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2E892A3A">
      <w:pP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bookmarkStart w:id="289" w:name="_GoBack"/>
      <w:bookmarkEnd w:id="289"/>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2025年10月至2025年12月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p w14:paraId="0168C5A3">
      <w:pPr>
        <w:spacing w:line="400" w:lineRule="exact"/>
        <w:ind w:firstLine="420" w:firstLineChars="200"/>
        <w:jc w:val="left"/>
        <w:rPr>
          <w:rFonts w:hint="eastAsia" w:ascii="宋体" w:hAnsi="宋体" w:cs="宋体"/>
          <w:color w:val="000000" w:themeColor="text1"/>
          <w:szCs w:val="21"/>
          <w:highlight w:val="none"/>
          <w14:textFill>
            <w14:solidFill>
              <w14:schemeClr w14:val="tx1"/>
            </w14:solidFill>
          </w14:textFill>
        </w:rPr>
      </w:pPr>
    </w:p>
    <w:p w14:paraId="5EA1A87C">
      <w:pPr>
        <w:pStyle w:val="16"/>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End w:id="256"/>
      <w:bookmarkEnd w:id="257"/>
      <w:bookmarkEnd w:id="258"/>
      <w:bookmarkEnd w:id="259"/>
      <w:bookmarkEnd w:id="260"/>
      <w:bookmarkEnd w:id="261"/>
      <w:bookmarkEnd w:id="262"/>
      <w:bookmarkEnd w:id="263"/>
      <w:bookmarkStart w:id="269" w:name="_Toc447827068"/>
      <w:bookmarkStart w:id="270" w:name="_Toc513633973"/>
      <w:bookmarkStart w:id="271" w:name="_Toc503951055"/>
      <w:bookmarkStart w:id="272" w:name="_Toc11672"/>
      <w:bookmarkStart w:id="273" w:name="_Toc11329281"/>
    </w:p>
    <w:bookmarkEnd w:id="269"/>
    <w:bookmarkEnd w:id="270"/>
    <w:bookmarkEnd w:id="271"/>
    <w:p w14:paraId="2AC1A936">
      <w:pPr>
        <w:pStyle w:val="4"/>
        <w:numPr>
          <w:ilvl w:val="0"/>
          <w:numId w:val="11"/>
        </w:numPr>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74" w:name="_Toc11243"/>
      <w:bookmarkStart w:id="275" w:name="_Toc29559"/>
      <w:bookmarkStart w:id="276" w:name="_Toc4083"/>
      <w:bookmarkStart w:id="277" w:name="_Toc28818"/>
      <w:r>
        <w:rPr>
          <w:rFonts w:hint="eastAsia" w:ascii="宋体" w:hAnsi="宋体" w:eastAsia="宋体" w:cs="宋体"/>
          <w:color w:val="000000" w:themeColor="text1"/>
          <w:sz w:val="28"/>
          <w:highlight w:val="none"/>
          <w14:textFill>
            <w14:solidFill>
              <w14:schemeClr w14:val="tx1"/>
            </w14:solidFill>
          </w14:textFill>
        </w:rPr>
        <w:t>报价人须知前附表规定的材料</w:t>
      </w:r>
      <w:bookmarkEnd w:id="272"/>
      <w:bookmarkEnd w:id="273"/>
      <w:bookmarkEnd w:id="274"/>
      <w:bookmarkEnd w:id="275"/>
      <w:bookmarkEnd w:id="276"/>
      <w:bookmarkEnd w:id="277"/>
    </w:p>
    <w:p w14:paraId="0CDEE87D">
      <w:pPr>
        <w:pStyle w:val="5"/>
        <w:jc w:val="center"/>
        <w:rPr>
          <w:rFonts w:ascii="宋体" w:hAnsi="宋体" w:cs="宋体"/>
          <w:color w:val="000000" w:themeColor="text1"/>
          <w:sz w:val="28"/>
          <w:highlight w:val="none"/>
          <w14:textFill>
            <w14:solidFill>
              <w14:schemeClr w14:val="tx1"/>
            </w14:solidFill>
          </w14:textFill>
        </w:rPr>
      </w:pPr>
      <w:bookmarkStart w:id="278" w:name="_Toc507681488"/>
      <w:bookmarkStart w:id="279" w:name="_Toc507681700"/>
      <w:bookmarkStart w:id="280" w:name="_Toc504639215"/>
      <w:bookmarkStart w:id="281" w:name="_Toc513633974"/>
      <w:bookmarkStart w:id="282" w:name="_Toc503951058"/>
      <w:r>
        <w:rPr>
          <w:rFonts w:hint="eastAsia" w:ascii="宋体" w:hAnsi="宋体" w:cs="宋体"/>
          <w:color w:val="000000" w:themeColor="text1"/>
          <w:sz w:val="28"/>
          <w:highlight w:val="none"/>
          <w14:textFill>
            <w14:solidFill>
              <w14:schemeClr w14:val="tx1"/>
            </w14:solidFill>
          </w14:textFill>
        </w:rPr>
        <w:t>报价人自行承诺部分</w:t>
      </w:r>
      <w:bookmarkEnd w:id="278"/>
      <w:bookmarkEnd w:id="279"/>
      <w:bookmarkEnd w:id="280"/>
    </w:p>
    <w:p w14:paraId="0B6A738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致：重庆首讯科技股份有限公司数智系统运维分公司</w:t>
      </w:r>
    </w:p>
    <w:p w14:paraId="1D89AF88">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竞争性比选文件中要求内容完全响应做出以下承诺：</w:t>
      </w:r>
    </w:p>
    <w:p w14:paraId="7CF56215">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1、我方比选响应文件中所有资料都是真实、准确、完整的</w:t>
      </w:r>
      <w:r>
        <w:rPr>
          <w:rFonts w:hint="eastAsia" w:ascii="宋体" w:hAnsi="宋体" w:cs="宋体"/>
          <w:color w:val="000000" w:themeColor="text1"/>
          <w:sz w:val="21"/>
          <w:szCs w:val="21"/>
          <w:highlight w:val="none"/>
          <w:lang w:eastAsia="zh-CN"/>
          <w14:textFill>
            <w14:solidFill>
              <w14:schemeClr w14:val="tx1"/>
            </w14:solidFill>
          </w14:textFill>
        </w:rPr>
        <w:t>。</w:t>
      </w:r>
    </w:p>
    <w:p w14:paraId="28CFFF96">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2、我方不存在资质挂靠或参与串标、围标情形。所报项目相关人员未在其他项目任职。</w:t>
      </w:r>
    </w:p>
    <w:p w14:paraId="11B89796">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3、完全响应竞争性比选文件中的人员要求、</w:t>
      </w:r>
      <w:r>
        <w:rPr>
          <w:rFonts w:hint="eastAsia" w:ascii="宋体" w:hAnsi="宋体" w:cs="宋体"/>
          <w:color w:val="000000" w:themeColor="text1"/>
          <w:sz w:val="21"/>
          <w:szCs w:val="21"/>
          <w:highlight w:val="none"/>
          <w:lang w:val="en-US" w:eastAsia="zh-CN"/>
          <w14:textFill>
            <w14:solidFill>
              <w14:schemeClr w14:val="tx1"/>
            </w14:solidFill>
          </w14:textFill>
        </w:rPr>
        <w:t>机械要求、</w:t>
      </w:r>
      <w:r>
        <w:rPr>
          <w:rFonts w:hint="eastAsia" w:ascii="宋体" w:hAnsi="宋体" w:eastAsia="宋体" w:cs="宋体"/>
          <w:color w:val="000000" w:themeColor="text1"/>
          <w:sz w:val="21"/>
          <w:szCs w:val="21"/>
          <w:highlight w:val="none"/>
          <w14:textFill>
            <w14:solidFill>
              <w14:schemeClr w14:val="tx1"/>
            </w14:solidFill>
          </w14:textFill>
        </w:rPr>
        <w:t>投标内容要求、报价要求、工期要求、质量标准等要求</w:t>
      </w:r>
      <w:r>
        <w:rPr>
          <w:rFonts w:hint="eastAsia" w:ascii="宋体" w:hAnsi="宋体" w:cs="宋体"/>
          <w:color w:val="000000" w:themeColor="text1"/>
          <w:sz w:val="21"/>
          <w:szCs w:val="21"/>
          <w:highlight w:val="none"/>
          <w:lang w:eastAsia="zh-CN"/>
          <w14:textFill>
            <w14:solidFill>
              <w14:schemeClr w14:val="tx1"/>
            </w14:solidFill>
          </w14:textFill>
        </w:rPr>
        <w:t>。</w:t>
      </w:r>
    </w:p>
    <w:p w14:paraId="747B5B0F">
      <w:pP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为其缴纳的养老保险证明材料。中标后不能满足该要求的，采购人可取消其中标资格，给采购人造成损失的，</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依法承担违约赔偿责任。</w:t>
      </w:r>
    </w:p>
    <w:p w14:paraId="37B15A3C">
      <w:pP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w:t>
      </w:r>
      <w:r>
        <w:rPr>
          <w:rFonts w:hint="eastAsia" w:ascii="宋体" w:hAnsi="宋体" w:cs="宋体"/>
          <w:caps/>
          <w:color w:val="000000" w:themeColor="text1"/>
          <w:szCs w:val="21"/>
          <w:highlight w:val="none"/>
          <w14:textFill>
            <w14:solidFill>
              <w14:schemeClr w14:val="tx1"/>
            </w14:solidFill>
          </w14:textFill>
        </w:rPr>
        <w:t>根据项目实际施工进度情况及时增加相关机械设备和试验检测设备。</w:t>
      </w:r>
    </w:p>
    <w:p w14:paraId="346D2081">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如我方违反上述承诺，隐瞒、提供虚假资料或不按竞争性比选文件要求组织实施，被贵方发现或被他人举报查实，无条件接受贵司的处罚，对造成的损失，任何法律和经济责任完全由我方承担。</w:t>
      </w:r>
    </w:p>
    <w:p w14:paraId="037B0B88">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2AA1434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51F405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D4A00C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报价人（单位名称）：</w:t>
      </w:r>
    </w:p>
    <w:p w14:paraId="76EBACD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法定代表人（或委托代理人）</w:t>
      </w:r>
      <w:r>
        <w:rPr>
          <w:rFonts w:hint="eastAsia" w:ascii="宋体" w:hAnsi="宋体" w:cs="宋体"/>
          <w:color w:val="000000" w:themeColor="text1"/>
          <w:sz w:val="21"/>
          <w:szCs w:val="21"/>
          <w:highlight w:val="none"/>
          <w:lang w:eastAsia="zh-CN"/>
          <w14:textFill>
            <w14:solidFill>
              <w14:schemeClr w14:val="tx1"/>
            </w14:solidFill>
          </w14:textFill>
        </w:rPr>
        <w:t>签名</w:t>
      </w:r>
      <w:r>
        <w:rPr>
          <w:rFonts w:hint="eastAsia" w:ascii="宋体" w:hAnsi="宋体" w:eastAsia="宋体" w:cs="宋体"/>
          <w:color w:val="000000" w:themeColor="text1"/>
          <w:sz w:val="21"/>
          <w:szCs w:val="21"/>
          <w:highlight w:val="none"/>
          <w14:textFill>
            <w14:solidFill>
              <w14:schemeClr w14:val="tx1"/>
            </w14:solidFill>
          </w14:textFill>
        </w:rPr>
        <w:t>：</w:t>
      </w:r>
    </w:p>
    <w:p w14:paraId="025EA6FF">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日期：</w:t>
      </w:r>
    </w:p>
    <w:p w14:paraId="190D5870">
      <w:pPr>
        <w:pStyle w:val="5"/>
        <w:jc w:val="center"/>
        <w:rPr>
          <w:rFonts w:ascii="宋体" w:hAnsi="宋体" w:cs="宋体"/>
          <w:color w:val="000000" w:themeColor="text1"/>
          <w:sz w:val="28"/>
          <w:highlight w:val="none"/>
          <w14:textFill>
            <w14:solidFill>
              <w14:schemeClr w14:val="tx1"/>
            </w14:solidFill>
          </w14:textFill>
        </w:rPr>
      </w:pPr>
    </w:p>
    <w:p w14:paraId="342B7ED2">
      <w:pPr>
        <w:pStyle w:val="4"/>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br w:type="page"/>
      </w:r>
      <w:bookmarkStart w:id="283" w:name="_Toc10237"/>
      <w:bookmarkStart w:id="284" w:name="_Toc4456"/>
      <w:r>
        <w:rPr>
          <w:rFonts w:hint="eastAsia" w:ascii="宋体" w:hAnsi="宋体" w:eastAsia="宋体" w:cs="宋体"/>
          <w:color w:val="000000" w:themeColor="text1"/>
          <w:sz w:val="28"/>
          <w:highlight w:val="none"/>
          <w14:textFill>
            <w14:solidFill>
              <w14:schemeClr w14:val="tx1"/>
            </w14:solidFill>
          </w14:textFill>
        </w:rPr>
        <w:t>六、现场安全负责人承诺书</w:t>
      </w:r>
      <w:bookmarkEnd w:id="283"/>
    </w:p>
    <w:p w14:paraId="4452F9EB">
      <w:pPr>
        <w:rPr>
          <w:color w:val="000000" w:themeColor="text1"/>
          <w:highlight w:val="none"/>
          <w14:textFill>
            <w14:solidFill>
              <w14:schemeClr w14:val="tx1"/>
            </w14:solidFill>
          </w14:textFill>
        </w:rPr>
      </w:pPr>
    </w:p>
    <w:p w14:paraId="368F7526">
      <w:pP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致：</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重庆首讯科技股份有限公司数智系统运维分公司</w:t>
      </w:r>
    </w:p>
    <w:p w14:paraId="1C8A64ED">
      <w:pP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根据贵方为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竞争比选项目及服务的竞争比选邀请，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（姓名）</w:t>
      </w:r>
      <w:r>
        <w:rPr>
          <w:rFonts w:hint="eastAsia" w:ascii="宋体" w:hAnsi="宋体" w:eastAsia="宋体" w:cs="宋体"/>
          <w:color w:val="000000" w:themeColor="text1"/>
          <w:sz w:val="21"/>
          <w:szCs w:val="21"/>
          <w:highlight w:val="none"/>
          <w:lang w:val="en-US" w:eastAsia="zh-CN"/>
          <w14:textFill>
            <w14:solidFill>
              <w14:schemeClr w14:val="tx1"/>
            </w14:solidFill>
          </w14:textFill>
        </w:rPr>
        <w:t>经正式任命为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现场安全负责人，严格遵守国家有关安全生产的法律法规及《首讯公司工程安全生产的违约处理细则》渝高速首讯文〔2019〕40 号等有关安全生产的规定，承诺施工期间在现场开展安全管理工作。</w:t>
      </w:r>
    </w:p>
    <w:p w14:paraId="0D3E942E">
      <w:pPr>
        <w:pStyle w:val="16"/>
        <w:rPr>
          <w:color w:val="000000" w:themeColor="text1"/>
          <w:highlight w:val="none"/>
          <w14:textFill>
            <w14:solidFill>
              <w14:schemeClr w14:val="tx1"/>
            </w14:solidFill>
          </w14:textFill>
        </w:rPr>
      </w:pPr>
    </w:p>
    <w:p w14:paraId="36C9E642">
      <w:pPr>
        <w:pStyle w:val="16"/>
        <w:rPr>
          <w:color w:val="000000" w:themeColor="text1"/>
          <w:highlight w:val="none"/>
          <w14:textFill>
            <w14:solidFill>
              <w14:schemeClr w14:val="tx1"/>
            </w14:solidFill>
          </w14:textFill>
        </w:rPr>
      </w:pPr>
    </w:p>
    <w:p w14:paraId="534E2E38">
      <w:pPr>
        <w:rPr>
          <w:color w:val="000000" w:themeColor="text1"/>
          <w:highlight w:val="none"/>
          <w14:textFill>
            <w14:solidFill>
              <w14:schemeClr w14:val="tx1"/>
            </w14:solidFill>
          </w14:textFill>
        </w:rPr>
      </w:pPr>
    </w:p>
    <w:p w14:paraId="5BCE1458">
      <w:pPr>
        <w:pStyle w:val="16"/>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69BA04D2">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36682477">
      <w:pPr>
        <w:jc w:val="right"/>
        <w:rPr>
          <w:rFonts w:hint="eastAsia" w:ascii="宋体" w:hAnsi="宋体"/>
          <w:color w:val="000000" w:themeColor="text1"/>
          <w:kern w:val="0"/>
          <w:szCs w:val="21"/>
          <w:highlight w:val="none"/>
          <w:u w:val="single"/>
          <w14:textFill>
            <w14:solidFill>
              <w14:schemeClr w14:val="tx1"/>
            </w14:solidFill>
          </w14:textFill>
        </w:rPr>
      </w:pPr>
    </w:p>
    <w:p w14:paraId="093CA7C1">
      <w:pPr>
        <w:keepNext/>
        <w:keepLines/>
        <w:pageBreakBefore w:val="0"/>
        <w:widowControl w:val="0"/>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000000" w:themeColor="text1"/>
          <w:kern w:val="0"/>
          <w:szCs w:val="21"/>
          <w:highlight w:val="none"/>
          <w14:textFill>
            <w14:solidFill>
              <w14:schemeClr w14:val="tx1"/>
            </w14:solidFill>
          </w14:textFill>
        </w:rPr>
      </w:pP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年</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月</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日</w:t>
      </w:r>
    </w:p>
    <w:p w14:paraId="0E341C5B">
      <w:pPr>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p>
    <w:p w14:paraId="064B1450">
      <w:pPr>
        <w:pStyle w:val="4"/>
        <w:spacing w:before="0" w:after="0" w:line="360" w:lineRule="auto"/>
        <w:ind w:firstLine="642"/>
        <w:jc w:val="center"/>
        <w:rPr>
          <w:rFonts w:ascii="宋体" w:hAnsi="宋体" w:eastAsia="宋体" w:cs="宋体"/>
          <w:color w:val="000000" w:themeColor="text1"/>
          <w:sz w:val="28"/>
          <w:highlight w:val="none"/>
          <w14:textFill>
            <w14:solidFill>
              <w14:schemeClr w14:val="tx1"/>
            </w14:solidFill>
          </w14:textFill>
        </w:rPr>
      </w:pPr>
      <w:bookmarkStart w:id="285" w:name="_Toc27825"/>
      <w:r>
        <w:rPr>
          <w:rFonts w:hint="eastAsia" w:ascii="宋体" w:hAnsi="宋体" w:eastAsia="宋体" w:cs="宋体"/>
          <w:color w:val="000000" w:themeColor="text1"/>
          <w:sz w:val="28"/>
          <w:highlight w:val="none"/>
          <w14:textFill>
            <w14:solidFill>
              <w14:schemeClr w14:val="tx1"/>
            </w14:solidFill>
          </w14:textFill>
        </w:rPr>
        <w:t>七、报价人基本信息及其他材料</w:t>
      </w:r>
      <w:bookmarkEnd w:id="284"/>
      <w:bookmarkEnd w:id="285"/>
    </w:p>
    <w:p w14:paraId="59F5B1E3">
      <w:pPr>
        <w:pStyle w:val="5"/>
        <w:spacing w:before="0" w:after="0" w:line="360" w:lineRule="auto"/>
        <w:jc w:val="center"/>
        <w:rPr>
          <w:color w:val="000000" w:themeColor="text1"/>
          <w:sz w:val="28"/>
          <w:szCs w:val="28"/>
          <w:highlight w:val="none"/>
          <w14:textFill>
            <w14:solidFill>
              <w14:schemeClr w14:val="tx1"/>
            </w14:solidFill>
          </w14:textFill>
        </w:rPr>
      </w:pPr>
      <w:bookmarkStart w:id="286" w:name="_Toc4375"/>
      <w:bookmarkStart w:id="287" w:name="_Toc508110857"/>
      <w:bookmarkStart w:id="288" w:name="_Toc452107137"/>
      <w:r>
        <w:rPr>
          <w:rFonts w:hint="eastAsia"/>
          <w:color w:val="000000" w:themeColor="text1"/>
          <w:sz w:val="28"/>
          <w:szCs w:val="28"/>
          <w:highlight w:val="none"/>
          <w14:textFill>
            <w14:solidFill>
              <w14:schemeClr w14:val="tx1"/>
            </w14:solidFill>
          </w14:textFill>
        </w:rPr>
        <w:t>（一）报价人基本信息表</w:t>
      </w:r>
      <w:bookmarkEnd w:id="286"/>
      <w:bookmarkEnd w:id="287"/>
      <w:bookmarkEnd w:id="288"/>
    </w:p>
    <w:p w14:paraId="1261699E">
      <w:pPr>
        <w:pStyle w:val="26"/>
        <w:rPr>
          <w:color w:val="000000" w:themeColor="text1"/>
          <w:highlight w:val="none"/>
          <w14:textFill>
            <w14:solidFill>
              <w14:schemeClr w14:val="tx1"/>
            </w14:solidFill>
          </w14:textFill>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BF0D3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787A92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EF4F7B9">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447CF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59BF047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w:t>
            </w:r>
          </w:p>
          <w:p w14:paraId="4D854C2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01963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04E5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2BACD32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B4CF7C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511C11A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B6A5E1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371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3C4BC4A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5467A3E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00E5A2E">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6B7BB3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C997F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9004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6AD1BF1">
            <w:pPr>
              <w:widowControl/>
              <w:jc w:val="left"/>
              <w:rPr>
                <w:rFonts w:ascii="宋体" w:hAnsi="宋体" w:cs="宋体"/>
                <w:color w:val="000000" w:themeColor="text1"/>
                <w:szCs w:val="21"/>
                <w:highlight w:val="none"/>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14:paraId="6EA461D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7694271">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B67309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61936B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3F3BF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4DB265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E1C7B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3DDD3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61C1F3A">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49B3A1E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67CEA2E">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9AFB18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D81B38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BCDB6C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F489F4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08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DF1528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4CC740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B10523F">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15AFC3C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557F80F">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A86DB4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B1F41C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400C5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508D9F3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10CD1C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年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37DD4CBA">
            <w:pPr>
              <w:topLinePunct/>
              <w:spacing w:line="440" w:lineRule="exact"/>
              <w:ind w:firstLine="105" w:firstLineChars="5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员工总人数：</w:t>
            </w:r>
          </w:p>
        </w:tc>
      </w:tr>
      <w:tr w14:paraId="74B938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764ED51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61879BD">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A9EBD0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CD29A4A">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20354C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BF55F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6C44171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C2C9ADD">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1FDD183">
            <w:pPr>
              <w:widowControl/>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BE14A2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C84F835">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3C563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C09A2B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47B630D">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C260409">
            <w:pPr>
              <w:widowControl/>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F296BF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924609C">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1368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2557E08A">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05F64EC">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96B86DB">
            <w:pPr>
              <w:widowControl/>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C601B91">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AF745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6EC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6D4BF86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36A7A76">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5AC8C2D">
            <w:pPr>
              <w:widowControl/>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BE641EF">
            <w:pPr>
              <w:topLinePunct/>
              <w:spacing w:line="440" w:lineRule="exact"/>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4EF8E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04EA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7AC6E835">
            <w:pPr>
              <w:topLinePunct/>
              <w:spacing w:line="440" w:lineRule="exact"/>
              <w:ind w:firstLine="210" w:firstLineChars="10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14:paraId="6F720B8E">
            <w:pPr>
              <w:topLinePunct/>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w:t>
            </w:r>
          </w:p>
        </w:tc>
      </w:tr>
      <w:tr w14:paraId="5FBE34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713BFEF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7765159">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AA1BFBA">
      <w:pPr>
        <w:rPr>
          <w:rFonts w:hint="eastAsia" w:ascii="宋体" w:hAnsi="宋体" w:cs="宋体"/>
          <w:b/>
          <w:bCs/>
          <w:color w:val="000000" w:themeColor="text1"/>
          <w:kern w:val="0"/>
          <w:sz w:val="28"/>
          <w:szCs w:val="32"/>
          <w:highlight w:val="none"/>
          <w:lang w:eastAsia="zh-CN"/>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br w:type="page"/>
      </w:r>
    </w:p>
    <w:p w14:paraId="102C620E">
      <w:pPr>
        <w:pStyle w:val="5"/>
        <w:jc w:val="center"/>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w:t>
      </w:r>
      <w:r>
        <w:rPr>
          <w:rFonts w:hint="eastAsia" w:ascii="宋体" w:hAnsi="宋体" w:cs="宋体"/>
          <w:color w:val="000000" w:themeColor="text1"/>
          <w:sz w:val="28"/>
          <w:highlight w:val="none"/>
          <w:lang w:val="en-US" w:eastAsia="zh-CN"/>
          <w14:textFill>
            <w14:solidFill>
              <w14:schemeClr w14:val="tx1"/>
            </w14:solidFill>
          </w14:textFill>
        </w:rPr>
        <w:t>二</w:t>
      </w:r>
      <w:r>
        <w:rPr>
          <w:rFonts w:hint="eastAsia" w:ascii="宋体" w:hAnsi="宋体" w:cs="宋体"/>
          <w:color w:val="000000" w:themeColor="text1"/>
          <w:sz w:val="28"/>
          <w:highlight w:val="none"/>
          <w14:textFill>
            <w14:solidFill>
              <w14:schemeClr w14:val="tx1"/>
            </w14:solidFill>
          </w14:textFill>
        </w:rPr>
        <w:t>）其他材料</w:t>
      </w:r>
    </w:p>
    <w:p w14:paraId="0251E656">
      <w:pPr>
        <w:numPr>
          <w:ilvl w:val="0"/>
          <w:numId w:val="0"/>
        </w:numP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val="en-US" w:eastAsia="zh-CN" w:bidi="ar"/>
          <w14:textFill>
            <w14:solidFill>
              <w14:schemeClr w14:val="tx1"/>
            </w14:solidFill>
          </w14:textFill>
        </w:rPr>
        <w:t>1.</w:t>
      </w:r>
      <w:r>
        <w:rPr>
          <w:rFonts w:hint="eastAsia" w:ascii="宋体" w:hAnsi="宋体" w:cs="宋体"/>
          <w:color w:val="000000" w:themeColor="text1"/>
          <w:szCs w:val="21"/>
          <w:highlight w:val="none"/>
          <w:lang w:bidi="ar"/>
          <w14:textFill>
            <w14:solidFill>
              <w14:schemeClr w14:val="tx1"/>
            </w14:solidFill>
          </w14:textFill>
        </w:rPr>
        <w:t>投标保证金（以转账形式交纳投标保证金的，须提供投标保证金交纳凭证）；</w:t>
      </w:r>
    </w:p>
    <w:p w14:paraId="23B72402">
      <w:pPr>
        <w:numPr>
          <w:ilvl w:val="0"/>
          <w:numId w:val="0"/>
        </w:numPr>
        <w:wordWrap w:val="0"/>
        <w:adjustRightInd w:val="0"/>
        <w:snapToGrid w:val="0"/>
        <w:spacing w:line="460" w:lineRule="exact"/>
        <w:jc w:val="left"/>
        <w:rPr>
          <w:rFonts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2.在满足</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文件实质性要求的基础上，</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人可以提出比</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文件要求更有利于</w:t>
      </w:r>
      <w:r>
        <w:rPr>
          <w:rFonts w:hint="eastAsia" w:ascii="宋体" w:hAnsi="宋体" w:cs="宋体"/>
          <w:color w:val="000000" w:themeColor="text1"/>
          <w:szCs w:val="21"/>
          <w:highlight w:val="none"/>
          <w:lang w:val="en-US" w:eastAsia="zh-CN" w:bidi="ar"/>
          <w14:textFill>
            <w14:solidFill>
              <w14:schemeClr w14:val="tx1"/>
            </w14:solidFill>
          </w14:textFill>
        </w:rPr>
        <w:t>采购</w:t>
      </w:r>
      <w:r>
        <w:rPr>
          <w:rFonts w:hint="eastAsia" w:ascii="宋体" w:hAnsi="宋体" w:cs="宋体"/>
          <w:color w:val="000000" w:themeColor="text1"/>
          <w:szCs w:val="21"/>
          <w:highlight w:val="none"/>
          <w:lang w:bidi="ar"/>
          <w14:textFill>
            <w14:solidFill>
              <w14:schemeClr w14:val="tx1"/>
            </w14:solidFill>
          </w14:textFill>
        </w:rPr>
        <w:t>人的承诺（格式自拟）；</w:t>
      </w:r>
    </w:p>
    <w:p w14:paraId="69FD45BA">
      <w:pP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3.</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人认为有必要提供的资料，标明其内容且格式自拟。</w:t>
      </w:r>
    </w:p>
    <w:p w14:paraId="24DC56EB">
      <w:pPr>
        <w:pStyle w:val="16"/>
        <w:rPr>
          <w:rFonts w:hint="eastAsia"/>
          <w:color w:val="000000" w:themeColor="text1"/>
          <w:highlight w:val="none"/>
          <w:lang w:val="en-US" w:eastAsia="zh-CN"/>
          <w14:textFill>
            <w14:solidFill>
              <w14:schemeClr w14:val="tx1"/>
            </w14:solidFill>
          </w14:textFill>
        </w:rPr>
      </w:pPr>
    </w:p>
    <w:p w14:paraId="4A4B94DA">
      <w:pPr>
        <w:pStyle w:val="16"/>
        <w:rPr>
          <w:color w:val="000000" w:themeColor="text1"/>
          <w:highlight w:val="none"/>
          <w14:textFill>
            <w14:solidFill>
              <w14:schemeClr w14:val="tx1"/>
            </w14:solidFill>
          </w14:textFill>
        </w:rPr>
      </w:pPr>
    </w:p>
    <w:p w14:paraId="16F1544B">
      <w:pPr>
        <w:rPr>
          <w:color w:val="000000" w:themeColor="text1"/>
          <w:highlight w:val="none"/>
          <w14:textFill>
            <w14:solidFill>
              <w14:schemeClr w14:val="tx1"/>
            </w14:solidFill>
          </w14:textFill>
        </w:rPr>
      </w:pPr>
    </w:p>
    <w:p w14:paraId="40B22D8A">
      <w:pPr>
        <w:pStyle w:val="16"/>
        <w:rPr>
          <w:color w:val="000000" w:themeColor="text1"/>
          <w:highlight w:val="none"/>
          <w14:textFill>
            <w14:solidFill>
              <w14:schemeClr w14:val="tx1"/>
            </w14:solidFill>
          </w14:textFill>
        </w:rPr>
      </w:pPr>
    </w:p>
    <w:p w14:paraId="5BBAB076">
      <w:pPr>
        <w:rPr>
          <w:color w:val="000000" w:themeColor="text1"/>
          <w:highlight w:val="none"/>
          <w14:textFill>
            <w14:solidFill>
              <w14:schemeClr w14:val="tx1"/>
            </w14:solidFill>
          </w14:textFill>
        </w:rPr>
      </w:pPr>
    </w:p>
    <w:p w14:paraId="2C835F2D">
      <w:pPr>
        <w:pStyle w:val="16"/>
        <w:rPr>
          <w:color w:val="000000" w:themeColor="text1"/>
          <w:highlight w:val="none"/>
          <w14:textFill>
            <w14:solidFill>
              <w14:schemeClr w14:val="tx1"/>
            </w14:solidFill>
          </w14:textFill>
        </w:rPr>
      </w:pPr>
    </w:p>
    <w:p w14:paraId="224AC214">
      <w:pPr>
        <w:rPr>
          <w:color w:val="000000" w:themeColor="text1"/>
          <w:highlight w:val="none"/>
          <w14:textFill>
            <w14:solidFill>
              <w14:schemeClr w14:val="tx1"/>
            </w14:solidFill>
          </w14:textFill>
        </w:rPr>
      </w:pPr>
    </w:p>
    <w:p w14:paraId="0D7987C5">
      <w:pPr>
        <w:pStyle w:val="16"/>
        <w:rPr>
          <w:color w:val="000000" w:themeColor="text1"/>
          <w:highlight w:val="none"/>
          <w14:textFill>
            <w14:solidFill>
              <w14:schemeClr w14:val="tx1"/>
            </w14:solidFill>
          </w14:textFill>
        </w:rPr>
      </w:pPr>
    </w:p>
    <w:p w14:paraId="40E2AB00">
      <w:pPr>
        <w:rPr>
          <w:color w:val="000000" w:themeColor="text1"/>
          <w:highlight w:val="none"/>
          <w14:textFill>
            <w14:solidFill>
              <w14:schemeClr w14:val="tx1"/>
            </w14:solidFill>
          </w14:textFill>
        </w:rPr>
      </w:pPr>
    </w:p>
    <w:p w14:paraId="04801B2F">
      <w:pPr>
        <w:pStyle w:val="16"/>
        <w:rPr>
          <w:color w:val="000000" w:themeColor="text1"/>
          <w:highlight w:val="none"/>
          <w14:textFill>
            <w14:solidFill>
              <w14:schemeClr w14:val="tx1"/>
            </w14:solidFill>
          </w14:textFill>
        </w:rPr>
      </w:pPr>
    </w:p>
    <w:p w14:paraId="24E5B15F">
      <w:pPr>
        <w:rPr>
          <w:color w:val="000000" w:themeColor="text1"/>
          <w:highlight w:val="none"/>
          <w14:textFill>
            <w14:solidFill>
              <w14:schemeClr w14:val="tx1"/>
            </w14:solidFill>
          </w14:textFill>
        </w:rPr>
      </w:pPr>
    </w:p>
    <w:p w14:paraId="50C851A2">
      <w:pPr>
        <w:pStyle w:val="16"/>
        <w:rPr>
          <w:color w:val="000000" w:themeColor="text1"/>
          <w:highlight w:val="none"/>
          <w14:textFill>
            <w14:solidFill>
              <w14:schemeClr w14:val="tx1"/>
            </w14:solidFill>
          </w14:textFill>
        </w:rPr>
      </w:pPr>
    </w:p>
    <w:bookmarkEnd w:id="281"/>
    <w:bookmarkEnd w:id="282"/>
    <w:p w14:paraId="680685C0">
      <w:pPr>
        <w:pStyle w:val="28"/>
        <w:rPr>
          <w:color w:val="000000" w:themeColor="text1"/>
          <w:highlight w:val="none"/>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258A950-B1E6-4936-BAB9-BCA2283D505B}"/>
  </w:font>
  <w:font w:name="黑体">
    <w:panose1 w:val="02010609060101010101"/>
    <w:charset w:val="86"/>
    <w:family w:val="auto"/>
    <w:pitch w:val="default"/>
    <w:sig w:usb0="800002BF" w:usb1="38CF7CFA" w:usb2="00000016" w:usb3="00000000" w:csb0="00040001" w:csb1="00000000"/>
    <w:embedRegular r:id="rId2" w:fontKey="{2DD4BBFF-FFD3-4BA5-AA60-03874EE0B6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仿宋_GBK">
    <w:altName w:val="微软雅黑"/>
    <w:panose1 w:val="02000000000000000000"/>
    <w:charset w:val="86"/>
    <w:family w:val="auto"/>
    <w:pitch w:val="default"/>
    <w:sig w:usb0="00000000" w:usb1="00000000" w:usb2="00082016" w:usb3="00000000" w:csb0="00040001" w:csb1="00000000"/>
    <w:embedRegular r:id="rId3" w:fontKey="{2FB4EB5A-B893-43BA-B9BB-6F58597B76BB}"/>
  </w:font>
  <w:font w:name="等线">
    <w:panose1 w:val="02010600030101010101"/>
    <w:charset w:val="86"/>
    <w:family w:val="auto"/>
    <w:pitch w:val="default"/>
    <w:sig w:usb0="A00002BF" w:usb1="38CF7CFA" w:usb2="00000016" w:usb3="00000000" w:csb0="0004000F" w:csb1="00000000"/>
    <w:embedRegular r:id="rId4" w:fontKey="{FE46F4E3-49F9-4F53-8BA4-BB786C5C56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8122">
    <w:pPr>
      <w:pStyle w:val="26"/>
      <w:jc w:val="center"/>
    </w:pPr>
  </w:p>
  <w:p w14:paraId="529FC26E">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6E836">
    <w:pPr>
      <w:pStyle w:val="26"/>
      <w:framePr w:wrap="around" w:vAnchor="text" w:hAnchor="margin" w:xAlign="center" w:y="1"/>
      <w:rPr>
        <w:rStyle w:val="47"/>
      </w:rPr>
    </w:pPr>
    <w:r>
      <w:fldChar w:fldCharType="begin"/>
    </w:r>
    <w:r>
      <w:rPr>
        <w:rStyle w:val="47"/>
      </w:rPr>
      <w:instrText xml:space="preserve">PAGE  </w:instrText>
    </w:r>
    <w:r>
      <w:fldChar w:fldCharType="end"/>
    </w:r>
  </w:p>
  <w:p w14:paraId="1755FAC7">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7560">
    <w:pPr>
      <w:pStyle w:val="26"/>
      <w:jc w:val="center"/>
    </w:pPr>
    <w:r>
      <w:fldChar w:fldCharType="begin"/>
    </w:r>
    <w:r>
      <w:instrText xml:space="preserve">PAGE   \* MERGEFORMAT</w:instrText>
    </w:r>
    <w:r>
      <w:fldChar w:fldCharType="separate"/>
    </w:r>
    <w:r>
      <w:rPr>
        <w:lang w:val="zh-CN"/>
      </w:rPr>
      <w:t>79</w:t>
    </w:r>
    <w:r>
      <w:fldChar w:fldCharType="end"/>
    </w:r>
  </w:p>
  <w:p w14:paraId="46024EA6">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98490">
    <w:pPr>
      <w:pStyle w:val="26"/>
      <w:jc w:val="center"/>
    </w:pPr>
    <w:r>
      <w:fldChar w:fldCharType="begin"/>
    </w:r>
    <w:r>
      <w:instrText xml:space="preserve">PAGE   \* MERGEFORMAT</w:instrText>
    </w:r>
    <w:r>
      <w:fldChar w:fldCharType="separate"/>
    </w:r>
    <w:r>
      <w:rPr>
        <w:lang w:val="zh-CN"/>
      </w:rPr>
      <w:t>35</w:t>
    </w:r>
    <w:r>
      <w:fldChar w:fldCharType="end"/>
    </w:r>
  </w:p>
  <w:p w14:paraId="672982B7">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A19AC">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44E493E0">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3A0C">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25DCDB94">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AC9A7">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C3FF20">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2AC3FF20">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3E7B0">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91B257">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391B257">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AAE23">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8465635B"/>
    <w:multiLevelType w:val="singleLevel"/>
    <w:tmpl w:val="8465635B"/>
    <w:lvl w:ilvl="0" w:tentative="0">
      <w:start w:val="1"/>
      <w:numFmt w:val="chineseCounting"/>
      <w:suff w:val="nothing"/>
      <w:lvlText w:val="%1、"/>
      <w:lvlJc w:val="left"/>
      <w:pPr>
        <w:ind w:left="0" w:firstLine="420"/>
      </w:pPr>
      <w:rPr>
        <w:rFonts w:hint="eastAsia"/>
      </w:rPr>
    </w:lvl>
  </w:abstractNum>
  <w:abstractNum w:abstractNumId="2">
    <w:nsid w:val="92A7BD9E"/>
    <w:multiLevelType w:val="singleLevel"/>
    <w:tmpl w:val="92A7BD9E"/>
    <w:lvl w:ilvl="0" w:tentative="0">
      <w:start w:val="1"/>
      <w:numFmt w:val="decimal"/>
      <w:suff w:val="nothing"/>
      <w:lvlText w:val="%1．"/>
      <w:lvlJc w:val="left"/>
      <w:pPr>
        <w:ind w:left="0" w:firstLine="400"/>
      </w:pPr>
      <w:rPr>
        <w:rFonts w:hint="default"/>
      </w:rPr>
    </w:lvl>
  </w:abstractNum>
  <w:abstractNum w:abstractNumId="3">
    <w:nsid w:val="998E9553"/>
    <w:multiLevelType w:val="singleLevel"/>
    <w:tmpl w:val="998E9553"/>
    <w:lvl w:ilvl="0" w:tentative="0">
      <w:start w:val="1"/>
      <w:numFmt w:val="decimal"/>
      <w:suff w:val="nothing"/>
      <w:lvlText w:val="%1．"/>
      <w:lvlJc w:val="left"/>
      <w:pPr>
        <w:ind w:left="0" w:firstLine="400"/>
      </w:pPr>
      <w:rPr>
        <w:rFonts w:hint="default"/>
      </w:r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0FF842B9"/>
    <w:multiLevelType w:val="singleLevel"/>
    <w:tmpl w:val="0FF842B9"/>
    <w:lvl w:ilvl="0" w:tentative="0">
      <w:start w:val="1"/>
      <w:numFmt w:val="decimal"/>
      <w:suff w:val="nothing"/>
      <w:lvlText w:val="%1、"/>
      <w:lvlJc w:val="left"/>
    </w:lvl>
  </w:abstractNum>
  <w:abstractNum w:abstractNumId="6">
    <w:nsid w:val="3871CE1D"/>
    <w:multiLevelType w:val="singleLevel"/>
    <w:tmpl w:val="3871CE1D"/>
    <w:lvl w:ilvl="0" w:tentative="0">
      <w:start w:val="1"/>
      <w:numFmt w:val="chineseCounting"/>
      <w:suff w:val="nothing"/>
      <w:lvlText w:val="%1、"/>
      <w:lvlJc w:val="left"/>
      <w:rPr>
        <w:rFonts w:hint="eastAsia"/>
      </w:rPr>
    </w:lvl>
  </w:abstractNum>
  <w:abstractNum w:abstractNumId="7">
    <w:nsid w:val="3E7CE8BC"/>
    <w:multiLevelType w:val="singleLevel"/>
    <w:tmpl w:val="3E7CE8BC"/>
    <w:lvl w:ilvl="0" w:tentative="0">
      <w:start w:val="5"/>
      <w:numFmt w:val="chineseCounting"/>
      <w:suff w:val="nothing"/>
      <w:lvlText w:val="%1、"/>
      <w:lvlJc w:val="left"/>
      <w:rPr>
        <w:rFonts w:hint="eastAsia"/>
      </w:rPr>
    </w:lvl>
  </w:abstractNum>
  <w:abstractNum w:abstractNumId="8">
    <w:nsid w:val="436DE491"/>
    <w:multiLevelType w:val="singleLevel"/>
    <w:tmpl w:val="436DE491"/>
    <w:lvl w:ilvl="0" w:tentative="0">
      <w:start w:val="1"/>
      <w:numFmt w:val="decimal"/>
      <w:suff w:val="nothing"/>
      <w:lvlText w:val="%1．"/>
      <w:lvlJc w:val="left"/>
      <w:pPr>
        <w:ind w:left="320" w:firstLine="400"/>
      </w:pPr>
      <w:rPr>
        <w:rFonts w:hint="default"/>
      </w:rPr>
    </w:lvl>
  </w:abstractNum>
  <w:abstractNum w:abstractNumId="9">
    <w:nsid w:val="55E7E3B4"/>
    <w:multiLevelType w:val="singleLevel"/>
    <w:tmpl w:val="55E7E3B4"/>
    <w:lvl w:ilvl="0" w:tentative="0">
      <w:start w:val="3"/>
      <w:numFmt w:val="chineseCounting"/>
      <w:suff w:val="space"/>
      <w:lvlText w:val="第%1章"/>
      <w:lvlJc w:val="left"/>
      <w:rPr>
        <w:rFonts w:hint="eastAsia"/>
      </w:rPr>
    </w:lvl>
  </w:abstractNum>
  <w:abstractNum w:abstractNumId="10">
    <w:nsid w:val="6FD74906"/>
    <w:multiLevelType w:val="multilevel"/>
    <w:tmpl w:val="6FD74906"/>
    <w:lvl w:ilvl="0" w:tentative="0">
      <w:start w:val="6"/>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0"/>
  </w:num>
  <w:num w:numId="3">
    <w:abstractNumId w:val="5"/>
  </w:num>
  <w:num w:numId="4">
    <w:abstractNumId w:val="9"/>
  </w:num>
  <w:num w:numId="5">
    <w:abstractNumId w:val="1"/>
  </w:num>
  <w:num w:numId="6">
    <w:abstractNumId w:val="2"/>
  </w:num>
  <w:num w:numId="7">
    <w:abstractNumId w:val="8"/>
  </w:num>
  <w:num w:numId="8">
    <w:abstractNumId w:val="3"/>
  </w:num>
  <w:num w:numId="9">
    <w:abstractNumId w:val="10"/>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75428"/>
    <w:rsid w:val="02427F54"/>
    <w:rsid w:val="024F494D"/>
    <w:rsid w:val="026D36BB"/>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26BC3"/>
    <w:rsid w:val="067C53E7"/>
    <w:rsid w:val="06820F5E"/>
    <w:rsid w:val="06A7180A"/>
    <w:rsid w:val="06AE2ABA"/>
    <w:rsid w:val="06BA1001"/>
    <w:rsid w:val="06C75DF5"/>
    <w:rsid w:val="06DD02BB"/>
    <w:rsid w:val="06E71F51"/>
    <w:rsid w:val="06F3282F"/>
    <w:rsid w:val="06F965AD"/>
    <w:rsid w:val="07035F04"/>
    <w:rsid w:val="07050666"/>
    <w:rsid w:val="07166CB2"/>
    <w:rsid w:val="071A6392"/>
    <w:rsid w:val="071C4DB7"/>
    <w:rsid w:val="07362674"/>
    <w:rsid w:val="073B54B2"/>
    <w:rsid w:val="07410810"/>
    <w:rsid w:val="07537EF9"/>
    <w:rsid w:val="0760673E"/>
    <w:rsid w:val="076646E5"/>
    <w:rsid w:val="076A6097"/>
    <w:rsid w:val="077E1A2E"/>
    <w:rsid w:val="07815EE7"/>
    <w:rsid w:val="0784155A"/>
    <w:rsid w:val="079A613C"/>
    <w:rsid w:val="07A22AF8"/>
    <w:rsid w:val="07E6454D"/>
    <w:rsid w:val="08117055"/>
    <w:rsid w:val="081748AE"/>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B1061C6"/>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03673D"/>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71B1D"/>
    <w:rsid w:val="15E63361"/>
    <w:rsid w:val="160B0227"/>
    <w:rsid w:val="16864176"/>
    <w:rsid w:val="16960F30"/>
    <w:rsid w:val="16B34B25"/>
    <w:rsid w:val="16B92931"/>
    <w:rsid w:val="16E04880"/>
    <w:rsid w:val="16F86032"/>
    <w:rsid w:val="16FE2244"/>
    <w:rsid w:val="17081A7A"/>
    <w:rsid w:val="17092996"/>
    <w:rsid w:val="17292C0C"/>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D511ED"/>
    <w:rsid w:val="1AE61F72"/>
    <w:rsid w:val="1AF45443"/>
    <w:rsid w:val="1B075A0C"/>
    <w:rsid w:val="1B1A7868"/>
    <w:rsid w:val="1B1C7DC9"/>
    <w:rsid w:val="1B67066F"/>
    <w:rsid w:val="1B7229E4"/>
    <w:rsid w:val="1B7A5EC7"/>
    <w:rsid w:val="1B8D5F8D"/>
    <w:rsid w:val="1B8E5EC0"/>
    <w:rsid w:val="1BBE47DE"/>
    <w:rsid w:val="1BC10D01"/>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C7B40"/>
    <w:rsid w:val="1EA77665"/>
    <w:rsid w:val="1EBA058B"/>
    <w:rsid w:val="1EBB622E"/>
    <w:rsid w:val="1ED17F52"/>
    <w:rsid w:val="1EDD751C"/>
    <w:rsid w:val="1EE170B7"/>
    <w:rsid w:val="1EEA13A6"/>
    <w:rsid w:val="1EEB392A"/>
    <w:rsid w:val="1EFE64E9"/>
    <w:rsid w:val="1F6207D0"/>
    <w:rsid w:val="1F8A7AB0"/>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F1F61"/>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3C2B7F"/>
    <w:rsid w:val="2B487382"/>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F93ABF"/>
    <w:rsid w:val="2D1C573E"/>
    <w:rsid w:val="2D1E27A3"/>
    <w:rsid w:val="2D1E560F"/>
    <w:rsid w:val="2D394FF5"/>
    <w:rsid w:val="2D4033B3"/>
    <w:rsid w:val="2D766528"/>
    <w:rsid w:val="2D797435"/>
    <w:rsid w:val="2DF26007"/>
    <w:rsid w:val="2DF50B51"/>
    <w:rsid w:val="2E6111A5"/>
    <w:rsid w:val="2E671D49"/>
    <w:rsid w:val="2E6A704D"/>
    <w:rsid w:val="2E6C0B54"/>
    <w:rsid w:val="2E7A444E"/>
    <w:rsid w:val="2E8A6255"/>
    <w:rsid w:val="2E8B21B7"/>
    <w:rsid w:val="2EA51EA6"/>
    <w:rsid w:val="2EB4662E"/>
    <w:rsid w:val="2EB8596B"/>
    <w:rsid w:val="2EC8145A"/>
    <w:rsid w:val="2F0B1048"/>
    <w:rsid w:val="2F132DA3"/>
    <w:rsid w:val="2F141AAA"/>
    <w:rsid w:val="2F57653D"/>
    <w:rsid w:val="2F5A3045"/>
    <w:rsid w:val="2FCA4353"/>
    <w:rsid w:val="2FE55D75"/>
    <w:rsid w:val="2FF23F99"/>
    <w:rsid w:val="2FF43D8C"/>
    <w:rsid w:val="2FFD0E93"/>
    <w:rsid w:val="2FFF3277"/>
    <w:rsid w:val="300C6E37"/>
    <w:rsid w:val="30236367"/>
    <w:rsid w:val="302748E7"/>
    <w:rsid w:val="30331BC6"/>
    <w:rsid w:val="303E7E03"/>
    <w:rsid w:val="30405AEB"/>
    <w:rsid w:val="304A182B"/>
    <w:rsid w:val="30700C52"/>
    <w:rsid w:val="30757C00"/>
    <w:rsid w:val="30782C0F"/>
    <w:rsid w:val="307D5D65"/>
    <w:rsid w:val="30B34CE3"/>
    <w:rsid w:val="30CB1C83"/>
    <w:rsid w:val="30ED2830"/>
    <w:rsid w:val="30F21BA3"/>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B93F7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D3462E"/>
    <w:rsid w:val="37E3512E"/>
    <w:rsid w:val="37EC0BB8"/>
    <w:rsid w:val="382F75E3"/>
    <w:rsid w:val="38371ACC"/>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A0301A"/>
    <w:rsid w:val="3BAF3CA2"/>
    <w:rsid w:val="3BBC038E"/>
    <w:rsid w:val="3BD6104E"/>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117A10"/>
    <w:rsid w:val="421A7627"/>
    <w:rsid w:val="42271A55"/>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244F73"/>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2E16EC"/>
    <w:rsid w:val="51426BF5"/>
    <w:rsid w:val="515720D8"/>
    <w:rsid w:val="516A440A"/>
    <w:rsid w:val="51B053DC"/>
    <w:rsid w:val="51BA5A6F"/>
    <w:rsid w:val="51C42E16"/>
    <w:rsid w:val="51E5538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535A8"/>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A45648"/>
    <w:rsid w:val="68A5668C"/>
    <w:rsid w:val="68BD44C2"/>
    <w:rsid w:val="68D27297"/>
    <w:rsid w:val="68F42855"/>
    <w:rsid w:val="6911241F"/>
    <w:rsid w:val="6922138F"/>
    <w:rsid w:val="69232A11"/>
    <w:rsid w:val="69586B5E"/>
    <w:rsid w:val="69B55D5F"/>
    <w:rsid w:val="69B67115"/>
    <w:rsid w:val="69B82DF4"/>
    <w:rsid w:val="69C230E6"/>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071AC"/>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6128C1"/>
    <w:rsid w:val="6F723264"/>
    <w:rsid w:val="6F9C6902"/>
    <w:rsid w:val="6F9E6156"/>
    <w:rsid w:val="6FA06B69"/>
    <w:rsid w:val="6FA0729C"/>
    <w:rsid w:val="6FBF6C0D"/>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2">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2"/>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42</Pages>
  <Words>382</Words>
  <Characters>412</Characters>
  <Lines>1</Lines>
  <Paragraphs>1</Paragraphs>
  <TotalTime>3</TotalTime>
  <ScaleCrop>false</ScaleCrop>
  <LinksUpToDate>false</LinksUpToDate>
  <CharactersWithSpaces>465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2020-05-05T08:16:00Z</dcterms:created>
  <dc:creator>陈桂兰</dc:creator>
  <cp:lastModifiedBy>小方</cp:lastModifiedBy>
  <cp:lastPrinted>2023-10-21T10:24:00Z</cp:lastPrinted>
  <dcterms:modified xsi:type="dcterms:W3CDTF">2025-12-30T13:45:37Z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245E0E093B484163B71B9140C601B315_13</vt:lpwstr>
  </property>
  <property fmtid="{D5CDD505-2E9C-101B-9397-08002B2CF9AE}" pid="4" name="commondata">
    <vt:lpwstr>eyJoZGlkIjoiNmI0YzI4NGJiMjg2ZWZlN2MzZDcyYzg5ZDEwYzBhZDAifQ==</vt:lpwstr>
  </property>
  <property fmtid="{D5CDD505-2E9C-101B-9397-08002B2CF9AE}" pid="5" name="KSOTemplateDocerSaveRecord">
    <vt:lpwstr>eyJoZGlkIjoiYTU1YThlNGQwNDMxZjM2NDQ1ZTk3NjExNzc3ODg5ZjQiLCJ1c2VySWQiOiIxMjg4NTQwMDA1In0=</vt:lpwstr>
  </property>
</Properties>
</file>