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7C1D5">
      <w:pPr>
        <w:pBdr>
          <w:bottom w:val="single" w:color="DEE0E3" w:sz="2" w:space="0"/>
          <w:between w:val="single" w:color="DEE0E3" w:sz="2" w:space="0"/>
        </w:pBdr>
        <w:spacing w:before="120" w:after="120" w:line="288" w:lineRule="auto"/>
        <w:rPr>
          <w:highlight w:val="none"/>
        </w:rPr>
      </w:pPr>
    </w:p>
    <w:p w14:paraId="19D28FA4">
      <w:pPr>
        <w:spacing w:before="380" w:after="140" w:line="288" w:lineRule="auto"/>
        <w:jc w:val="center"/>
        <w:outlineLvl w:val="0"/>
        <w:rPr>
          <w:highlight w:val="none"/>
        </w:rPr>
      </w:pPr>
      <w:bookmarkStart w:id="0" w:name="heading_0"/>
      <w:r>
        <w:rPr>
          <w:rFonts w:hint="eastAsia" w:ascii="Arial" w:hAnsi="Arial" w:eastAsia="等线" w:cs="Arial"/>
          <w:b/>
          <w:sz w:val="36"/>
          <w:highlight w:val="none"/>
          <w:lang w:eastAsia="zh-CN"/>
        </w:rPr>
        <w:t>2026年中渝公司计重称台维修服务</w:t>
      </w:r>
      <w:r>
        <w:rPr>
          <w:rFonts w:ascii="Arial" w:hAnsi="Arial" w:eastAsia="等线" w:cs="Arial"/>
          <w:b/>
          <w:sz w:val="36"/>
          <w:highlight w:val="none"/>
        </w:rPr>
        <w:t>施工方案</w:t>
      </w:r>
      <w:bookmarkEnd w:id="0"/>
    </w:p>
    <w:p w14:paraId="34B8279E">
      <w:pPr>
        <w:spacing w:before="120" w:after="120" w:line="288" w:lineRule="auto"/>
        <w:jc w:val="left"/>
        <w:rPr>
          <w:highlight w:val="none"/>
        </w:rPr>
      </w:pPr>
      <w:r>
        <w:rPr>
          <w:rFonts w:ascii="Arial" w:hAnsi="Arial" w:eastAsia="等线" w:cs="Arial"/>
          <w:b/>
          <w:sz w:val="22"/>
          <w:highlight w:val="none"/>
        </w:rPr>
        <w:t>工程编号：</w:t>
      </w:r>
      <w:r>
        <w:rPr>
          <w:rFonts w:ascii="Arial" w:hAnsi="Arial" w:eastAsia="等线" w:cs="Arial"/>
          <w:sz w:val="22"/>
          <w:highlight w:val="none"/>
        </w:rPr>
        <w:t xml:space="preserve"> ____________________</w:t>
      </w:r>
    </w:p>
    <w:p w14:paraId="35E37B21">
      <w:pPr>
        <w:spacing w:before="120" w:after="120" w:line="288" w:lineRule="auto"/>
        <w:jc w:val="left"/>
        <w:rPr>
          <w:highlight w:val="none"/>
        </w:rPr>
      </w:pPr>
      <w:r>
        <w:rPr>
          <w:rFonts w:ascii="Arial" w:hAnsi="Arial" w:eastAsia="等线" w:cs="Arial"/>
          <w:b/>
          <w:sz w:val="22"/>
          <w:highlight w:val="none"/>
        </w:rPr>
        <w:t>编制单位：</w:t>
      </w:r>
      <w:r>
        <w:rPr>
          <w:rFonts w:ascii="Arial" w:hAnsi="Arial" w:eastAsia="等线" w:cs="Arial"/>
          <w:sz w:val="22"/>
          <w:highlight w:val="none"/>
        </w:rPr>
        <w:t xml:space="preserve"> ____________________</w:t>
      </w:r>
    </w:p>
    <w:p w14:paraId="4E05D1F4">
      <w:pPr>
        <w:spacing w:before="120" w:after="120" w:line="288" w:lineRule="auto"/>
        <w:jc w:val="left"/>
        <w:rPr>
          <w:highlight w:val="none"/>
        </w:rPr>
      </w:pPr>
      <w:r>
        <w:rPr>
          <w:rFonts w:ascii="Arial" w:hAnsi="Arial" w:eastAsia="等线" w:cs="Arial"/>
          <w:b/>
          <w:sz w:val="22"/>
          <w:highlight w:val="none"/>
        </w:rPr>
        <w:t>编制日期：</w:t>
      </w:r>
      <w:r>
        <w:rPr>
          <w:rFonts w:ascii="Arial" w:hAnsi="Arial" w:eastAsia="等线" w:cs="Arial"/>
          <w:sz w:val="22"/>
          <w:highlight w:val="none"/>
        </w:rPr>
        <w:t xml:space="preserve"> 2026年____月____日</w:t>
      </w:r>
    </w:p>
    <w:p w14:paraId="63467184">
      <w:pPr>
        <w:pBdr>
          <w:bottom w:val="single" w:color="DEE0E3" w:sz="2" w:space="0"/>
          <w:between w:val="single" w:color="DEE0E3" w:sz="2" w:space="0"/>
        </w:pBdr>
        <w:spacing w:before="120" w:after="120" w:line="288" w:lineRule="auto"/>
        <w:rPr>
          <w:highlight w:val="none"/>
        </w:rPr>
      </w:pPr>
    </w:p>
    <w:p w14:paraId="383B437E">
      <w:pPr>
        <w:spacing w:before="320" w:after="120" w:line="288" w:lineRule="auto"/>
        <w:jc w:val="left"/>
        <w:outlineLvl w:val="1"/>
        <w:rPr>
          <w:highlight w:val="none"/>
        </w:rPr>
      </w:pPr>
      <w:bookmarkStart w:id="1" w:name="heading_1"/>
      <w:r>
        <w:rPr>
          <w:rFonts w:ascii="Arial" w:hAnsi="Arial" w:eastAsia="等线" w:cs="Arial"/>
          <w:b/>
          <w:sz w:val="32"/>
          <w:highlight w:val="none"/>
        </w:rPr>
        <w:t>目录</w:t>
      </w:r>
      <w:bookmarkEnd w:id="1"/>
    </w:p>
    <w:p w14:paraId="3151B64B">
      <w:pPr>
        <w:spacing w:before="120" w:after="120" w:line="288" w:lineRule="auto"/>
        <w:jc w:val="left"/>
        <w:rPr>
          <w:highlight w:val="none"/>
        </w:rPr>
      </w:pPr>
      <w:r>
        <w:rPr>
          <w:rFonts w:ascii="Arial" w:hAnsi="Arial" w:eastAsia="等线" w:cs="Arial"/>
          <w:b/>
          <w:sz w:val="22"/>
          <w:highlight w:val="none"/>
        </w:rPr>
        <w:t>第一章 编制说明与</w:t>
      </w:r>
      <w:r>
        <w:rPr>
          <w:rFonts w:hint="eastAsia" w:ascii="Arial" w:hAnsi="Arial" w:eastAsia="等线" w:cs="Arial"/>
          <w:b/>
          <w:sz w:val="22"/>
          <w:highlight w:val="none"/>
          <w:lang w:val="en-US" w:eastAsia="zh-CN"/>
        </w:rPr>
        <w:t>维修服务</w:t>
      </w:r>
      <w:r>
        <w:rPr>
          <w:rFonts w:ascii="Arial" w:hAnsi="Arial" w:eastAsia="等线" w:cs="Arial"/>
          <w:b/>
          <w:sz w:val="22"/>
          <w:highlight w:val="none"/>
        </w:rPr>
        <w:t>概况</w:t>
      </w:r>
    </w:p>
    <w:p w14:paraId="7E411B79">
      <w:pPr>
        <w:spacing w:before="120" w:after="120" w:line="288" w:lineRule="auto"/>
        <w:jc w:val="left"/>
        <w:rPr>
          <w:highlight w:val="none"/>
        </w:rPr>
      </w:pPr>
      <w:r>
        <w:rPr>
          <w:rFonts w:ascii="Arial" w:hAnsi="Arial" w:eastAsia="等线" w:cs="Arial"/>
          <w:b/>
          <w:sz w:val="22"/>
          <w:highlight w:val="none"/>
        </w:rPr>
        <w:t>第二章 施工部署与管理架构</w:t>
      </w:r>
    </w:p>
    <w:p w14:paraId="648185ED">
      <w:pPr>
        <w:spacing w:before="120" w:after="120" w:line="288" w:lineRule="auto"/>
        <w:jc w:val="left"/>
        <w:rPr>
          <w:highlight w:val="none"/>
        </w:rPr>
      </w:pPr>
      <w:r>
        <w:rPr>
          <w:rFonts w:ascii="Arial" w:hAnsi="Arial" w:eastAsia="等线" w:cs="Arial"/>
          <w:b/>
          <w:sz w:val="22"/>
          <w:highlight w:val="none"/>
        </w:rPr>
        <w:t>第三章 施工准备工作计划</w:t>
      </w:r>
    </w:p>
    <w:p w14:paraId="6B1DC096">
      <w:pPr>
        <w:spacing w:before="120" w:after="120" w:line="288" w:lineRule="auto"/>
        <w:jc w:val="left"/>
        <w:rPr>
          <w:highlight w:val="none"/>
        </w:rPr>
      </w:pPr>
      <w:r>
        <w:rPr>
          <w:rFonts w:ascii="Arial" w:hAnsi="Arial" w:eastAsia="等线" w:cs="Arial"/>
          <w:b/>
          <w:sz w:val="22"/>
          <w:highlight w:val="none"/>
        </w:rPr>
        <w:t>第四章 主要施工技术方案及措施</w:t>
      </w:r>
    </w:p>
    <w:p w14:paraId="52FEDA78">
      <w:pPr>
        <w:spacing w:before="120" w:after="120" w:line="288" w:lineRule="auto"/>
        <w:jc w:val="left"/>
        <w:rPr>
          <w:highlight w:val="none"/>
        </w:rPr>
      </w:pPr>
      <w:r>
        <w:rPr>
          <w:rFonts w:ascii="Arial" w:hAnsi="Arial" w:eastAsia="等线" w:cs="Arial"/>
          <w:b/>
          <w:sz w:val="22"/>
          <w:highlight w:val="none"/>
        </w:rPr>
        <w:t>第五章 质量保证体系与控制措施</w:t>
      </w:r>
    </w:p>
    <w:p w14:paraId="29F1E891">
      <w:pPr>
        <w:spacing w:before="120" w:after="120" w:line="288" w:lineRule="auto"/>
        <w:jc w:val="left"/>
        <w:rPr>
          <w:highlight w:val="none"/>
        </w:rPr>
      </w:pPr>
      <w:r>
        <w:rPr>
          <w:rFonts w:ascii="Arial" w:hAnsi="Arial" w:eastAsia="等线" w:cs="Arial"/>
          <w:b/>
          <w:sz w:val="22"/>
          <w:highlight w:val="none"/>
        </w:rPr>
        <w:t>第六章 安全文明施工及环境保护措施</w:t>
      </w:r>
    </w:p>
    <w:p w14:paraId="73573A5A">
      <w:pPr>
        <w:spacing w:before="120" w:after="120" w:line="288" w:lineRule="auto"/>
        <w:jc w:val="left"/>
        <w:rPr>
          <w:highlight w:val="none"/>
        </w:rPr>
      </w:pPr>
      <w:r>
        <w:rPr>
          <w:rFonts w:ascii="Arial" w:hAnsi="Arial" w:eastAsia="等线" w:cs="Arial"/>
          <w:b/>
          <w:sz w:val="22"/>
          <w:highlight w:val="none"/>
        </w:rPr>
        <w:t>第七章 工期安排及进度保证措施</w:t>
      </w:r>
    </w:p>
    <w:p w14:paraId="78149E69">
      <w:pPr>
        <w:spacing w:before="120" w:after="120" w:line="288" w:lineRule="auto"/>
        <w:jc w:val="left"/>
        <w:rPr>
          <w:highlight w:val="none"/>
        </w:rPr>
      </w:pPr>
      <w:r>
        <w:rPr>
          <w:rFonts w:ascii="Arial" w:hAnsi="Arial" w:eastAsia="等线" w:cs="Arial"/>
          <w:b/>
          <w:sz w:val="22"/>
          <w:highlight w:val="none"/>
        </w:rPr>
        <w:t>第八章 雨季及突发事件应急预案</w:t>
      </w:r>
    </w:p>
    <w:p w14:paraId="55715AC8">
      <w:pPr>
        <w:spacing w:before="120" w:after="120" w:line="288" w:lineRule="auto"/>
        <w:jc w:val="left"/>
        <w:rPr>
          <w:highlight w:val="none"/>
        </w:rPr>
      </w:pPr>
      <w:r>
        <w:rPr>
          <w:rFonts w:ascii="Arial" w:hAnsi="Arial" w:eastAsia="等线" w:cs="Arial"/>
          <w:b/>
          <w:sz w:val="22"/>
          <w:highlight w:val="none"/>
        </w:rPr>
        <w:t>第九章 竣工验收与资料交付</w:t>
      </w:r>
    </w:p>
    <w:p w14:paraId="30C33180">
      <w:pPr>
        <w:spacing w:before="120" w:after="120" w:line="288" w:lineRule="auto"/>
        <w:jc w:val="left"/>
        <w:rPr>
          <w:highlight w:val="none"/>
        </w:rPr>
      </w:pPr>
      <w:r>
        <w:rPr>
          <w:rFonts w:ascii="Arial" w:hAnsi="Arial" w:eastAsia="等线" w:cs="Arial"/>
          <w:b/>
          <w:sz w:val="22"/>
          <w:highlight w:val="none"/>
        </w:rPr>
        <w:t>附录 常用表格及记录</w:t>
      </w:r>
    </w:p>
    <w:p w14:paraId="56C133A2">
      <w:pPr>
        <w:pBdr>
          <w:bottom w:val="single" w:color="DEE0E3" w:sz="2" w:space="0"/>
          <w:between w:val="single" w:color="DEE0E3" w:sz="2" w:space="0"/>
        </w:pBdr>
        <w:spacing w:before="120" w:after="120" w:line="288" w:lineRule="auto"/>
        <w:rPr>
          <w:highlight w:val="none"/>
        </w:rPr>
      </w:pPr>
    </w:p>
    <w:p w14:paraId="35F11C16">
      <w:pPr>
        <w:spacing w:before="320" w:after="120" w:line="288" w:lineRule="auto"/>
        <w:jc w:val="left"/>
        <w:outlineLvl w:val="1"/>
        <w:rPr>
          <w:highlight w:val="none"/>
        </w:rPr>
      </w:pPr>
      <w:bookmarkStart w:id="2" w:name="heading_2"/>
      <w:r>
        <w:rPr>
          <w:rFonts w:ascii="Arial" w:hAnsi="Arial" w:eastAsia="等线" w:cs="Arial"/>
          <w:b/>
          <w:sz w:val="32"/>
          <w:highlight w:val="none"/>
        </w:rPr>
        <w:t>第一章 编制说明与</w:t>
      </w:r>
      <w:r>
        <w:rPr>
          <w:rFonts w:hint="eastAsia" w:ascii="Arial" w:hAnsi="Arial" w:eastAsia="等线" w:cs="Arial"/>
          <w:b/>
          <w:sz w:val="32"/>
          <w:highlight w:val="none"/>
          <w:lang w:val="en-US" w:eastAsia="zh-CN"/>
        </w:rPr>
        <w:t>维修服务</w:t>
      </w:r>
      <w:r>
        <w:rPr>
          <w:rFonts w:ascii="Arial" w:hAnsi="Arial" w:eastAsia="等线" w:cs="Arial"/>
          <w:b/>
          <w:sz w:val="32"/>
          <w:highlight w:val="none"/>
        </w:rPr>
        <w:t>概况</w:t>
      </w:r>
      <w:bookmarkEnd w:id="2"/>
    </w:p>
    <w:p w14:paraId="2D55B6E2">
      <w:pPr>
        <w:spacing w:before="300" w:after="120" w:line="288" w:lineRule="auto"/>
        <w:jc w:val="left"/>
        <w:outlineLvl w:val="2"/>
        <w:rPr>
          <w:highlight w:val="none"/>
        </w:rPr>
      </w:pPr>
      <w:bookmarkStart w:id="3" w:name="heading_3"/>
      <w:r>
        <w:rPr>
          <w:rFonts w:ascii="Arial" w:hAnsi="Arial" w:eastAsia="等线" w:cs="Arial"/>
          <w:b/>
          <w:sz w:val="30"/>
          <w:highlight w:val="none"/>
        </w:rPr>
        <w:t>1.1 编制说明</w:t>
      </w:r>
      <w:bookmarkEnd w:id="3"/>
    </w:p>
    <w:p w14:paraId="63395BB6">
      <w:pPr>
        <w:spacing w:before="120" w:after="120" w:line="288" w:lineRule="auto"/>
        <w:jc w:val="left"/>
        <w:rPr>
          <w:rFonts w:ascii="Arial" w:hAnsi="Arial" w:eastAsia="等线" w:cs="Arial"/>
          <w:sz w:val="22"/>
          <w:highlight w:val="none"/>
        </w:rPr>
      </w:pPr>
      <w:r>
        <w:rPr>
          <w:rFonts w:ascii="Arial" w:hAnsi="Arial" w:eastAsia="等线" w:cs="Arial"/>
          <w:sz w:val="22"/>
          <w:highlight w:val="none"/>
        </w:rPr>
        <w:t>本方案依据重庆绕城高速公路运营管理要求及现场实际病害情况编制，用于指导收费站入口称重车道的基础维修与设备</w:t>
      </w:r>
      <w:r>
        <w:rPr>
          <w:rFonts w:hint="eastAsia" w:ascii="Arial" w:hAnsi="Arial" w:eastAsia="等线" w:cs="Arial"/>
          <w:sz w:val="22"/>
          <w:highlight w:val="none"/>
        </w:rPr>
        <w:t>维修</w:t>
      </w:r>
      <w:r>
        <w:rPr>
          <w:rFonts w:ascii="Arial" w:hAnsi="Arial" w:eastAsia="等线" w:cs="Arial"/>
          <w:sz w:val="22"/>
          <w:highlight w:val="none"/>
        </w:rPr>
        <w:t>工程。旨在确保施工过程安全、高效，完工后设备达到国家计量标准及高速通行要求。</w:t>
      </w:r>
    </w:p>
    <w:p w14:paraId="7AEA59E6">
      <w:pPr>
        <w:spacing w:before="120" w:after="120" w:line="288" w:lineRule="auto"/>
        <w:jc w:val="left"/>
        <w:rPr>
          <w:rFonts w:ascii="Arial" w:hAnsi="Arial" w:eastAsia="等线" w:cs="Arial"/>
          <w:sz w:val="22"/>
          <w:highlight w:val="none"/>
        </w:rPr>
      </w:pPr>
    </w:p>
    <w:p w14:paraId="457F044D">
      <w:pPr>
        <w:spacing w:before="120" w:after="120" w:line="288" w:lineRule="auto"/>
        <w:jc w:val="left"/>
        <w:rPr>
          <w:rFonts w:ascii="Arial" w:hAnsi="Arial" w:eastAsia="等线" w:cs="Arial"/>
          <w:sz w:val="22"/>
          <w:highlight w:val="none"/>
        </w:rPr>
      </w:pPr>
    </w:p>
    <w:p w14:paraId="1A0A999C">
      <w:pPr>
        <w:spacing w:before="120" w:after="120" w:line="288" w:lineRule="auto"/>
        <w:jc w:val="left"/>
        <w:rPr>
          <w:rFonts w:ascii="Arial" w:hAnsi="Arial" w:eastAsia="等线" w:cs="Arial"/>
          <w:sz w:val="22"/>
          <w:highlight w:val="none"/>
        </w:rPr>
      </w:pPr>
    </w:p>
    <w:p w14:paraId="6C5D3EF8">
      <w:pPr>
        <w:spacing w:before="300" w:after="120" w:line="288" w:lineRule="auto"/>
        <w:jc w:val="left"/>
        <w:outlineLvl w:val="2"/>
        <w:rPr>
          <w:highlight w:val="none"/>
        </w:rPr>
      </w:pPr>
      <w:bookmarkStart w:id="4" w:name="heading_4"/>
      <w:r>
        <w:rPr>
          <w:rFonts w:ascii="Arial" w:hAnsi="Arial" w:eastAsia="等线" w:cs="Arial"/>
          <w:b/>
          <w:sz w:val="30"/>
          <w:highlight w:val="none"/>
        </w:rPr>
        <w:t xml:space="preserve">1.2 </w:t>
      </w:r>
      <w:r>
        <w:rPr>
          <w:rFonts w:hint="eastAsia" w:ascii="Arial" w:hAnsi="Arial" w:eastAsia="等线" w:cs="Arial"/>
          <w:b/>
          <w:sz w:val="30"/>
          <w:highlight w:val="none"/>
          <w:lang w:val="en-US" w:eastAsia="zh-CN"/>
        </w:rPr>
        <w:t>维修服务</w:t>
      </w:r>
      <w:r>
        <w:rPr>
          <w:rFonts w:ascii="Arial" w:hAnsi="Arial" w:eastAsia="等线" w:cs="Arial"/>
          <w:b/>
          <w:sz w:val="30"/>
          <w:highlight w:val="none"/>
        </w:rPr>
        <w:t>概况</w:t>
      </w:r>
      <w:bookmarkEnd w:id="4"/>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000"/>
        <w:gridCol w:w="3000"/>
      </w:tblGrid>
      <w:tr w14:paraId="6DF647F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C6AEE60">
            <w:pPr>
              <w:spacing w:before="120" w:after="120" w:line="288" w:lineRule="auto"/>
              <w:jc w:val="left"/>
              <w:rPr>
                <w:highlight w:val="none"/>
              </w:rPr>
            </w:pPr>
            <w:r>
              <w:rPr>
                <w:rFonts w:ascii="Arial" w:hAnsi="Arial" w:eastAsia="等线" w:cs="Arial"/>
                <w:sz w:val="22"/>
                <w:highlight w:val="none"/>
              </w:rPr>
              <w:t>项目</w:t>
            </w:r>
          </w:p>
        </w:tc>
        <w:tc>
          <w:tcPr>
            <w:tcW w:w="3000" w:type="dxa"/>
            <w:tcMar>
              <w:top w:w="60" w:type="dxa"/>
              <w:left w:w="120" w:type="dxa"/>
              <w:bottom w:w="30" w:type="dxa"/>
              <w:right w:w="120" w:type="dxa"/>
            </w:tcMar>
          </w:tcPr>
          <w:p w14:paraId="01699647">
            <w:pPr>
              <w:spacing w:before="120" w:after="120" w:line="288" w:lineRule="auto"/>
              <w:jc w:val="left"/>
              <w:rPr>
                <w:highlight w:val="none"/>
              </w:rPr>
            </w:pPr>
            <w:r>
              <w:rPr>
                <w:rFonts w:ascii="Arial" w:hAnsi="Arial" w:eastAsia="等线" w:cs="Arial"/>
                <w:sz w:val="22"/>
                <w:highlight w:val="none"/>
              </w:rPr>
              <w:t>内容</w:t>
            </w:r>
          </w:p>
        </w:tc>
      </w:tr>
      <w:tr w14:paraId="32AF148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646960E8">
            <w:pPr>
              <w:spacing w:before="120" w:after="120" w:line="288" w:lineRule="auto"/>
              <w:jc w:val="left"/>
              <w:rPr>
                <w:highlight w:val="none"/>
              </w:rPr>
            </w:pPr>
            <w:r>
              <w:rPr>
                <w:rFonts w:hint="eastAsia" w:ascii="Arial" w:hAnsi="Arial" w:eastAsia="等线" w:cs="Arial"/>
                <w:b/>
                <w:sz w:val="22"/>
                <w:highlight w:val="none"/>
                <w:lang w:val="en-US" w:eastAsia="zh-CN"/>
              </w:rPr>
              <w:t>维修服务</w:t>
            </w:r>
            <w:r>
              <w:rPr>
                <w:rFonts w:ascii="Arial" w:hAnsi="Arial" w:eastAsia="等线" w:cs="Arial"/>
                <w:b/>
                <w:sz w:val="22"/>
                <w:highlight w:val="none"/>
              </w:rPr>
              <w:t>名称</w:t>
            </w:r>
          </w:p>
        </w:tc>
        <w:tc>
          <w:tcPr>
            <w:tcW w:w="3000" w:type="dxa"/>
            <w:tcMar>
              <w:top w:w="60" w:type="dxa"/>
              <w:left w:w="120" w:type="dxa"/>
              <w:bottom w:w="30" w:type="dxa"/>
              <w:right w:w="120" w:type="dxa"/>
            </w:tcMar>
          </w:tcPr>
          <w:p w14:paraId="3A7473A0">
            <w:pPr>
              <w:spacing w:before="120" w:after="120" w:line="288" w:lineRule="auto"/>
              <w:jc w:val="left"/>
              <w:rPr>
                <w:rFonts w:hint="eastAsia" w:eastAsiaTheme="minorEastAsia"/>
                <w:highlight w:val="none"/>
                <w:lang w:eastAsia="zh-CN"/>
              </w:rPr>
            </w:pPr>
            <w:r>
              <w:rPr>
                <w:rFonts w:hint="eastAsia" w:ascii="Arial" w:hAnsi="Arial" w:eastAsia="等线" w:cs="Arial"/>
                <w:sz w:val="22"/>
                <w:highlight w:val="none"/>
                <w:lang w:eastAsia="zh-CN"/>
              </w:rPr>
              <w:t>2026年中渝公司计重称台维修服务</w:t>
            </w:r>
          </w:p>
        </w:tc>
      </w:tr>
      <w:tr w14:paraId="3E22DD7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A1A7E59">
            <w:pPr>
              <w:spacing w:before="120" w:after="120" w:line="288" w:lineRule="auto"/>
              <w:jc w:val="left"/>
              <w:rPr>
                <w:highlight w:val="none"/>
              </w:rPr>
            </w:pPr>
            <w:r>
              <w:rPr>
                <w:rFonts w:hint="eastAsia" w:ascii="Arial" w:hAnsi="Arial" w:eastAsia="等线" w:cs="Arial"/>
                <w:b/>
                <w:sz w:val="22"/>
                <w:highlight w:val="none"/>
                <w:lang w:val="en-US" w:eastAsia="zh-CN"/>
              </w:rPr>
              <w:t>维修</w:t>
            </w:r>
            <w:r>
              <w:rPr>
                <w:rFonts w:ascii="Arial" w:hAnsi="Arial" w:eastAsia="等线" w:cs="Arial"/>
                <w:b/>
                <w:sz w:val="22"/>
                <w:highlight w:val="none"/>
              </w:rPr>
              <w:t>地点</w:t>
            </w:r>
          </w:p>
        </w:tc>
        <w:tc>
          <w:tcPr>
            <w:tcW w:w="3000" w:type="dxa"/>
            <w:tcMar>
              <w:top w:w="60" w:type="dxa"/>
              <w:left w:w="120" w:type="dxa"/>
              <w:bottom w:w="30" w:type="dxa"/>
              <w:right w:w="120" w:type="dxa"/>
            </w:tcMar>
          </w:tcPr>
          <w:p w14:paraId="63528C6C">
            <w:pPr>
              <w:spacing w:before="120" w:after="120" w:line="288" w:lineRule="auto"/>
              <w:jc w:val="left"/>
              <w:rPr>
                <w:highlight w:val="none"/>
              </w:rPr>
            </w:pPr>
            <w:r>
              <w:rPr>
                <w:rFonts w:hint="eastAsia" w:ascii="等线" w:hAnsi="等线" w:eastAsia="等线" w:cs="等线"/>
                <w:sz w:val="22"/>
                <w:highlight w:val="none"/>
              </w:rPr>
              <w:t>绕城高速XX收费站入口称重检测车道</w:t>
            </w:r>
          </w:p>
        </w:tc>
      </w:tr>
      <w:tr w14:paraId="5E2DACF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4D4BD2E4">
            <w:pPr>
              <w:spacing w:before="120" w:after="120" w:line="288" w:lineRule="auto"/>
              <w:jc w:val="left"/>
              <w:rPr>
                <w:highlight w:val="none"/>
              </w:rPr>
            </w:pPr>
            <w:r>
              <w:rPr>
                <w:rFonts w:ascii="Arial" w:hAnsi="Arial" w:eastAsia="等线" w:cs="Arial"/>
                <w:b/>
                <w:sz w:val="22"/>
                <w:highlight w:val="none"/>
              </w:rPr>
              <w:t>建设单位</w:t>
            </w:r>
          </w:p>
        </w:tc>
        <w:tc>
          <w:tcPr>
            <w:tcW w:w="3000" w:type="dxa"/>
            <w:tcMar>
              <w:top w:w="60" w:type="dxa"/>
              <w:left w:w="120" w:type="dxa"/>
              <w:bottom w:w="30" w:type="dxa"/>
              <w:right w:w="120" w:type="dxa"/>
            </w:tcMar>
          </w:tcPr>
          <w:p w14:paraId="378128CF">
            <w:pPr>
              <w:spacing w:before="120" w:after="120" w:line="288" w:lineRule="auto"/>
              <w:jc w:val="left"/>
              <w:rPr>
                <w:highlight w:val="none"/>
              </w:rPr>
            </w:pPr>
            <w:r>
              <w:rPr>
                <w:rFonts w:ascii="Arial" w:hAnsi="Arial" w:eastAsia="等线" w:cs="Arial"/>
                <w:sz w:val="22"/>
                <w:highlight w:val="none"/>
              </w:rPr>
              <w:t>重庆高速</w:t>
            </w:r>
            <w:r>
              <w:rPr>
                <w:rFonts w:hint="eastAsia" w:ascii="Arial" w:hAnsi="Arial" w:eastAsia="等线" w:cs="Arial"/>
                <w:sz w:val="22"/>
                <w:highlight w:val="none"/>
              </w:rPr>
              <w:t>公路</w:t>
            </w:r>
            <w:r>
              <w:rPr>
                <w:rFonts w:ascii="Arial" w:hAnsi="Arial" w:eastAsia="等线" w:cs="Arial"/>
                <w:sz w:val="22"/>
                <w:highlight w:val="none"/>
              </w:rPr>
              <w:t>集团</w:t>
            </w:r>
            <w:r>
              <w:rPr>
                <w:rFonts w:hint="eastAsia" w:ascii="Arial" w:hAnsi="Arial" w:eastAsia="等线" w:cs="Arial"/>
                <w:sz w:val="22"/>
                <w:highlight w:val="none"/>
              </w:rPr>
              <w:t>有限公司中渝营运分公司</w:t>
            </w:r>
          </w:p>
        </w:tc>
      </w:tr>
      <w:tr w14:paraId="780E0D5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3BA0A3C1">
            <w:pPr>
              <w:spacing w:before="120" w:after="120" w:line="288" w:lineRule="auto"/>
              <w:jc w:val="left"/>
              <w:rPr>
                <w:highlight w:val="none"/>
              </w:rPr>
            </w:pPr>
            <w:r>
              <w:rPr>
                <w:rFonts w:ascii="Arial" w:hAnsi="Arial" w:eastAsia="等线" w:cs="Arial"/>
                <w:b/>
                <w:sz w:val="22"/>
                <w:highlight w:val="none"/>
              </w:rPr>
              <w:t>施工单位</w:t>
            </w:r>
          </w:p>
        </w:tc>
        <w:tc>
          <w:tcPr>
            <w:tcW w:w="3000" w:type="dxa"/>
            <w:tcMar>
              <w:top w:w="60" w:type="dxa"/>
              <w:left w:w="120" w:type="dxa"/>
              <w:bottom w:w="30" w:type="dxa"/>
              <w:right w:w="120" w:type="dxa"/>
            </w:tcMar>
          </w:tcPr>
          <w:p w14:paraId="37F9AF08">
            <w:pPr>
              <w:spacing w:before="120" w:after="120" w:line="288" w:lineRule="auto"/>
              <w:jc w:val="left"/>
              <w:rPr>
                <w:rFonts w:eastAsia="宋体"/>
                <w:highlight w:val="none"/>
              </w:rPr>
            </w:pPr>
            <w:r>
              <w:rPr>
                <w:rFonts w:hint="eastAsia" w:ascii="等线" w:hAnsi="等线" w:eastAsia="等线" w:cs="等线"/>
                <w:highlight w:val="none"/>
              </w:rPr>
              <w:t>重庆首讯科技股份有限公司</w:t>
            </w:r>
          </w:p>
        </w:tc>
      </w:tr>
      <w:tr w14:paraId="5EEBCDB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0CDBB114">
            <w:pPr>
              <w:spacing w:before="120" w:after="120" w:line="288" w:lineRule="auto"/>
              <w:jc w:val="left"/>
              <w:rPr>
                <w:highlight w:val="none"/>
              </w:rPr>
            </w:pPr>
            <w:r>
              <w:rPr>
                <w:rFonts w:hint="eastAsia" w:ascii="Arial" w:hAnsi="Arial" w:eastAsia="等线" w:cs="Arial"/>
                <w:b/>
                <w:sz w:val="22"/>
                <w:highlight w:val="none"/>
                <w:lang w:val="en-US" w:eastAsia="zh-CN"/>
              </w:rPr>
              <w:t>维修服务</w:t>
            </w:r>
            <w:bookmarkStart w:id="45" w:name="_GoBack"/>
            <w:bookmarkEnd w:id="45"/>
            <w:r>
              <w:rPr>
                <w:rFonts w:ascii="Arial" w:hAnsi="Arial" w:eastAsia="等线" w:cs="Arial"/>
                <w:b/>
                <w:sz w:val="22"/>
                <w:highlight w:val="none"/>
              </w:rPr>
              <w:t>性质</w:t>
            </w:r>
          </w:p>
        </w:tc>
        <w:tc>
          <w:tcPr>
            <w:tcW w:w="3000" w:type="dxa"/>
            <w:tcMar>
              <w:top w:w="60" w:type="dxa"/>
              <w:left w:w="120" w:type="dxa"/>
              <w:bottom w:w="30" w:type="dxa"/>
              <w:right w:w="120" w:type="dxa"/>
            </w:tcMar>
          </w:tcPr>
          <w:p w14:paraId="41CD5119">
            <w:pPr>
              <w:spacing w:before="120" w:after="120" w:line="288" w:lineRule="auto"/>
              <w:jc w:val="left"/>
              <w:rPr>
                <w:highlight w:val="none"/>
              </w:rPr>
            </w:pPr>
            <w:r>
              <w:rPr>
                <w:rFonts w:ascii="Arial" w:hAnsi="Arial" w:eastAsia="等线" w:cs="Arial"/>
                <w:sz w:val="22"/>
                <w:highlight w:val="none"/>
              </w:rPr>
              <w:t>维修改造（保留原秤体）</w:t>
            </w:r>
          </w:p>
        </w:tc>
      </w:tr>
      <w:tr w14:paraId="1CF4C12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28B8467">
            <w:pPr>
              <w:spacing w:before="120" w:after="120" w:line="288" w:lineRule="auto"/>
              <w:jc w:val="left"/>
              <w:rPr>
                <w:highlight w:val="none"/>
              </w:rPr>
            </w:pPr>
            <w:r>
              <w:rPr>
                <w:rFonts w:ascii="Arial" w:hAnsi="Arial" w:eastAsia="等线" w:cs="Arial"/>
                <w:b/>
                <w:sz w:val="22"/>
                <w:highlight w:val="none"/>
              </w:rPr>
              <w:t>主要病害</w:t>
            </w:r>
          </w:p>
        </w:tc>
        <w:tc>
          <w:tcPr>
            <w:tcW w:w="3000" w:type="dxa"/>
            <w:tcMar>
              <w:top w:w="60" w:type="dxa"/>
              <w:left w:w="120" w:type="dxa"/>
              <w:bottom w:w="30" w:type="dxa"/>
              <w:right w:w="120" w:type="dxa"/>
            </w:tcMar>
          </w:tcPr>
          <w:p w14:paraId="60CBD6ED">
            <w:pPr>
              <w:spacing w:before="120" w:after="120" w:line="288" w:lineRule="auto"/>
              <w:jc w:val="left"/>
              <w:rPr>
                <w:highlight w:val="none"/>
              </w:rPr>
            </w:pPr>
            <w:r>
              <w:rPr>
                <w:rFonts w:ascii="Arial" w:hAnsi="Arial" w:eastAsia="等线" w:cs="Arial"/>
                <w:sz w:val="22"/>
                <w:highlight w:val="none"/>
              </w:rPr>
              <w:t>1. 基础沉降、基坑淤泥积水</w:t>
            </w:r>
            <w:r>
              <w:rPr>
                <w:rFonts w:hint="eastAsia" w:ascii="Arial" w:hAnsi="Arial" w:eastAsia="等线" w:cs="Arial"/>
                <w:sz w:val="22"/>
                <w:highlight w:val="none"/>
              </w:rPr>
              <w:t>清理</w:t>
            </w:r>
            <w:r>
              <w:rPr>
                <w:rFonts w:ascii="Arial" w:hAnsi="Arial" w:eastAsia="等线" w:cs="Arial"/>
                <w:sz w:val="22"/>
                <w:highlight w:val="none"/>
              </w:rPr>
              <w:t>&lt;br&gt;2. 预埋件及角钢断裂&lt;br&gt;3. 传感器、钢球、限位螺丝</w:t>
            </w:r>
            <w:r>
              <w:rPr>
                <w:rFonts w:hint="eastAsia" w:ascii="Arial" w:hAnsi="Arial" w:eastAsia="等线" w:cs="Arial"/>
                <w:sz w:val="22"/>
                <w:highlight w:val="none"/>
              </w:rPr>
              <w:t>、秤台搭接板</w:t>
            </w:r>
            <w:r>
              <w:rPr>
                <w:rFonts w:ascii="Arial" w:hAnsi="Arial" w:eastAsia="等线" w:cs="Arial"/>
                <w:sz w:val="22"/>
                <w:highlight w:val="none"/>
              </w:rPr>
              <w:t>损坏</w:t>
            </w:r>
          </w:p>
        </w:tc>
      </w:tr>
    </w:tbl>
    <w:p w14:paraId="10560EDD">
      <w:pPr>
        <w:spacing w:before="300" w:after="120" w:line="288" w:lineRule="auto"/>
        <w:jc w:val="left"/>
        <w:outlineLvl w:val="2"/>
        <w:rPr>
          <w:highlight w:val="none"/>
        </w:rPr>
      </w:pPr>
      <w:bookmarkStart w:id="5" w:name="heading_5"/>
      <w:r>
        <w:rPr>
          <w:rFonts w:ascii="Arial" w:hAnsi="Arial" w:eastAsia="等线" w:cs="Arial"/>
          <w:b/>
          <w:sz w:val="30"/>
          <w:highlight w:val="none"/>
        </w:rPr>
        <w:t>1.3 编制依据</w:t>
      </w:r>
      <w:bookmarkEnd w:id="5"/>
    </w:p>
    <w:p w14:paraId="641B58BB">
      <w:pPr>
        <w:numPr>
          <w:ilvl w:val="0"/>
          <w:numId w:val="1"/>
        </w:numPr>
        <w:spacing w:before="120" w:after="120" w:line="288" w:lineRule="auto"/>
        <w:jc w:val="left"/>
        <w:rPr>
          <w:highlight w:val="none"/>
        </w:rPr>
      </w:pPr>
      <w:r>
        <w:rPr>
          <w:rFonts w:ascii="Arial" w:hAnsi="Arial" w:eastAsia="等线" w:cs="Arial"/>
          <w:sz w:val="22"/>
          <w:highlight w:val="none"/>
        </w:rPr>
        <w:t>GB/T 21296.2-2020《动态公路车辆自动衡器 第2部分：整车式》</w:t>
      </w:r>
    </w:p>
    <w:p w14:paraId="5064CC07">
      <w:pPr>
        <w:numPr>
          <w:ilvl w:val="0"/>
          <w:numId w:val="2"/>
        </w:numPr>
        <w:spacing w:before="120" w:after="120" w:line="288" w:lineRule="auto"/>
        <w:jc w:val="left"/>
        <w:rPr>
          <w:highlight w:val="none"/>
        </w:rPr>
      </w:pPr>
      <w:r>
        <w:rPr>
          <w:rFonts w:ascii="Arial" w:hAnsi="Arial" w:eastAsia="等线" w:cs="Arial"/>
          <w:sz w:val="22"/>
          <w:highlight w:val="none"/>
        </w:rPr>
        <w:t>JTG/T 4320-2022《公路车辆动态称重检测系统技术规范》</w:t>
      </w:r>
    </w:p>
    <w:p w14:paraId="47C631EB">
      <w:pPr>
        <w:numPr>
          <w:ilvl w:val="0"/>
          <w:numId w:val="3"/>
        </w:numPr>
        <w:spacing w:before="120" w:after="120" w:line="288" w:lineRule="auto"/>
        <w:jc w:val="left"/>
        <w:rPr>
          <w:highlight w:val="none"/>
        </w:rPr>
      </w:pPr>
      <w:r>
        <w:rPr>
          <w:rFonts w:ascii="Arial" w:hAnsi="Arial" w:eastAsia="等线" w:cs="Arial"/>
          <w:sz w:val="22"/>
          <w:highlight w:val="none"/>
        </w:rPr>
        <w:t>《公路工程施工安全技术规范》</w:t>
      </w:r>
    </w:p>
    <w:p w14:paraId="2AF926CB">
      <w:pPr>
        <w:numPr>
          <w:ilvl w:val="0"/>
          <w:numId w:val="4"/>
        </w:numPr>
        <w:spacing w:before="120" w:after="120" w:line="288" w:lineRule="auto"/>
        <w:jc w:val="left"/>
        <w:rPr>
          <w:highlight w:val="none"/>
        </w:rPr>
      </w:pPr>
      <w:r>
        <w:rPr>
          <w:rFonts w:ascii="Arial" w:hAnsi="Arial" w:eastAsia="等线" w:cs="Arial"/>
          <w:sz w:val="22"/>
          <w:highlight w:val="none"/>
        </w:rPr>
        <w:t>施工现场实地勘查记录及设备原厂技术手册</w:t>
      </w:r>
    </w:p>
    <w:p w14:paraId="158B6074">
      <w:pPr>
        <w:pBdr>
          <w:bottom w:val="single" w:color="DEE0E3" w:sz="2" w:space="0"/>
          <w:between w:val="single" w:color="DEE0E3" w:sz="2" w:space="0"/>
        </w:pBdr>
        <w:spacing w:before="120" w:after="120" w:line="288" w:lineRule="auto"/>
        <w:rPr>
          <w:highlight w:val="none"/>
        </w:rPr>
      </w:pPr>
    </w:p>
    <w:p w14:paraId="3E4E15D8">
      <w:pPr>
        <w:spacing w:before="320" w:after="120" w:line="288" w:lineRule="auto"/>
        <w:jc w:val="left"/>
        <w:outlineLvl w:val="1"/>
        <w:rPr>
          <w:highlight w:val="none"/>
        </w:rPr>
      </w:pPr>
      <w:bookmarkStart w:id="6" w:name="heading_6"/>
      <w:r>
        <w:rPr>
          <w:rFonts w:ascii="Arial" w:hAnsi="Arial" w:eastAsia="等线" w:cs="Arial"/>
          <w:b/>
          <w:sz w:val="32"/>
          <w:highlight w:val="none"/>
        </w:rPr>
        <w:t>第二章 施工部署与管理架构</w:t>
      </w:r>
      <w:bookmarkEnd w:id="6"/>
    </w:p>
    <w:p w14:paraId="2596A4D0">
      <w:pPr>
        <w:spacing w:before="300" w:after="120" w:line="288" w:lineRule="auto"/>
        <w:jc w:val="left"/>
        <w:outlineLvl w:val="2"/>
        <w:rPr>
          <w:highlight w:val="none"/>
        </w:rPr>
      </w:pPr>
      <w:bookmarkStart w:id="7" w:name="heading_7"/>
      <w:r>
        <w:rPr>
          <w:rFonts w:ascii="Arial" w:hAnsi="Arial" w:eastAsia="等线" w:cs="Arial"/>
          <w:b/>
          <w:sz w:val="30"/>
          <w:highlight w:val="none"/>
        </w:rPr>
        <w:t>2.1 组织管理机构</w:t>
      </w:r>
      <w:bookmarkEnd w:id="7"/>
    </w:p>
    <w:p w14:paraId="22A830E9">
      <w:pPr>
        <w:spacing w:before="120" w:after="120" w:line="288" w:lineRule="auto"/>
        <w:jc w:val="left"/>
        <w:rPr>
          <w:highlight w:val="none"/>
        </w:rPr>
      </w:pPr>
      <w:r>
        <w:rPr>
          <w:rFonts w:ascii="Arial" w:hAnsi="Arial" w:eastAsia="等线" w:cs="Arial"/>
          <w:sz w:val="22"/>
          <w:highlight w:val="none"/>
        </w:rPr>
        <w:t>成立项目部，实行项目负责人负责制，人员配置如下：</w:t>
      </w:r>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760"/>
        <w:gridCol w:w="2760"/>
        <w:gridCol w:w="2760"/>
      </w:tblGrid>
      <w:tr w14:paraId="7E4F9E7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7E6CE8BA">
            <w:pPr>
              <w:spacing w:before="120" w:after="120" w:line="288" w:lineRule="auto"/>
              <w:jc w:val="left"/>
              <w:rPr>
                <w:highlight w:val="none"/>
              </w:rPr>
            </w:pPr>
            <w:r>
              <w:rPr>
                <w:rFonts w:ascii="Arial" w:hAnsi="Arial" w:eastAsia="等线" w:cs="Arial"/>
                <w:sz w:val="22"/>
                <w:highlight w:val="none"/>
              </w:rPr>
              <w:t>岗位</w:t>
            </w:r>
          </w:p>
        </w:tc>
        <w:tc>
          <w:tcPr>
            <w:tcW w:w="2760" w:type="dxa"/>
            <w:tcMar>
              <w:top w:w="60" w:type="dxa"/>
              <w:left w:w="120" w:type="dxa"/>
              <w:bottom w:w="30" w:type="dxa"/>
              <w:right w:w="120" w:type="dxa"/>
            </w:tcMar>
          </w:tcPr>
          <w:p w14:paraId="32E35071">
            <w:pPr>
              <w:spacing w:before="120" w:after="120" w:line="288" w:lineRule="auto"/>
              <w:jc w:val="left"/>
              <w:rPr>
                <w:highlight w:val="none"/>
              </w:rPr>
            </w:pPr>
            <w:r>
              <w:rPr>
                <w:rFonts w:ascii="Arial" w:hAnsi="Arial" w:eastAsia="等线" w:cs="Arial"/>
                <w:sz w:val="22"/>
                <w:highlight w:val="none"/>
              </w:rPr>
              <w:t>姓名</w:t>
            </w:r>
          </w:p>
        </w:tc>
        <w:tc>
          <w:tcPr>
            <w:tcW w:w="2760" w:type="dxa"/>
            <w:tcMar>
              <w:top w:w="60" w:type="dxa"/>
              <w:left w:w="120" w:type="dxa"/>
              <w:bottom w:w="30" w:type="dxa"/>
              <w:right w:w="120" w:type="dxa"/>
            </w:tcMar>
          </w:tcPr>
          <w:p w14:paraId="6D6F9544">
            <w:pPr>
              <w:spacing w:before="120" w:after="120" w:line="288" w:lineRule="auto"/>
              <w:jc w:val="left"/>
              <w:rPr>
                <w:highlight w:val="none"/>
              </w:rPr>
            </w:pPr>
            <w:r>
              <w:rPr>
                <w:rFonts w:ascii="Arial" w:hAnsi="Arial" w:eastAsia="等线" w:cs="Arial"/>
                <w:sz w:val="22"/>
                <w:highlight w:val="none"/>
              </w:rPr>
              <w:t>职责</w:t>
            </w:r>
          </w:p>
        </w:tc>
      </w:tr>
      <w:tr w14:paraId="721DE79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0836F534">
            <w:pPr>
              <w:spacing w:before="120" w:after="120" w:line="288" w:lineRule="auto"/>
              <w:jc w:val="left"/>
              <w:rPr>
                <w:highlight w:val="none"/>
              </w:rPr>
            </w:pPr>
            <w:r>
              <w:rPr>
                <w:rFonts w:ascii="Arial" w:hAnsi="Arial" w:eastAsia="等线" w:cs="Arial"/>
                <w:b/>
                <w:sz w:val="22"/>
                <w:highlight w:val="none"/>
              </w:rPr>
              <w:t>项目负责人</w:t>
            </w:r>
          </w:p>
        </w:tc>
        <w:tc>
          <w:tcPr>
            <w:tcW w:w="2760" w:type="dxa"/>
            <w:tcMar>
              <w:top w:w="60" w:type="dxa"/>
              <w:left w:w="120" w:type="dxa"/>
              <w:bottom w:w="30" w:type="dxa"/>
              <w:right w:w="120" w:type="dxa"/>
            </w:tcMar>
          </w:tcPr>
          <w:p w14:paraId="4FF6DB17">
            <w:pPr>
              <w:rPr>
                <w:highlight w:val="none"/>
              </w:rPr>
            </w:pPr>
          </w:p>
        </w:tc>
        <w:tc>
          <w:tcPr>
            <w:tcW w:w="2760" w:type="dxa"/>
            <w:tcMar>
              <w:top w:w="60" w:type="dxa"/>
              <w:left w:w="120" w:type="dxa"/>
              <w:bottom w:w="30" w:type="dxa"/>
              <w:right w:w="120" w:type="dxa"/>
            </w:tcMar>
          </w:tcPr>
          <w:p w14:paraId="7854873E">
            <w:pPr>
              <w:spacing w:before="120" w:after="120" w:line="288" w:lineRule="auto"/>
              <w:jc w:val="left"/>
              <w:rPr>
                <w:highlight w:val="none"/>
              </w:rPr>
            </w:pPr>
            <w:r>
              <w:rPr>
                <w:rFonts w:ascii="Arial" w:hAnsi="Arial" w:eastAsia="等线" w:cs="Arial"/>
                <w:sz w:val="22"/>
                <w:highlight w:val="none"/>
              </w:rPr>
              <w:t>全面负责工程协调、进度、安全、质量总把控</w:t>
            </w:r>
          </w:p>
        </w:tc>
      </w:tr>
      <w:tr w14:paraId="2113E05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093AF0DD">
            <w:pPr>
              <w:spacing w:before="120" w:after="120" w:line="288" w:lineRule="auto"/>
              <w:jc w:val="left"/>
              <w:rPr>
                <w:highlight w:val="none"/>
              </w:rPr>
            </w:pPr>
            <w:r>
              <w:rPr>
                <w:rFonts w:ascii="Arial" w:hAnsi="Arial" w:eastAsia="等线" w:cs="Arial"/>
                <w:b/>
                <w:sz w:val="22"/>
                <w:highlight w:val="none"/>
              </w:rPr>
              <w:t>技术负责人</w:t>
            </w:r>
          </w:p>
        </w:tc>
        <w:tc>
          <w:tcPr>
            <w:tcW w:w="2760" w:type="dxa"/>
            <w:tcMar>
              <w:top w:w="60" w:type="dxa"/>
              <w:left w:w="120" w:type="dxa"/>
              <w:bottom w:w="30" w:type="dxa"/>
              <w:right w:w="120" w:type="dxa"/>
            </w:tcMar>
          </w:tcPr>
          <w:p w14:paraId="0A69A36E">
            <w:pPr>
              <w:rPr>
                <w:highlight w:val="none"/>
              </w:rPr>
            </w:pPr>
          </w:p>
        </w:tc>
        <w:tc>
          <w:tcPr>
            <w:tcW w:w="2760" w:type="dxa"/>
            <w:tcMar>
              <w:top w:w="60" w:type="dxa"/>
              <w:left w:w="120" w:type="dxa"/>
              <w:bottom w:w="30" w:type="dxa"/>
              <w:right w:w="120" w:type="dxa"/>
            </w:tcMar>
          </w:tcPr>
          <w:p w14:paraId="5DDB29DA">
            <w:pPr>
              <w:spacing w:before="120" w:after="120" w:line="288" w:lineRule="auto"/>
              <w:jc w:val="left"/>
              <w:rPr>
                <w:highlight w:val="none"/>
              </w:rPr>
            </w:pPr>
            <w:r>
              <w:rPr>
                <w:rFonts w:ascii="Arial" w:hAnsi="Arial" w:eastAsia="等线" w:cs="Arial"/>
                <w:sz w:val="22"/>
                <w:highlight w:val="none"/>
              </w:rPr>
              <w:t>负责施工技术交底、工艺控制、调试检定</w:t>
            </w:r>
          </w:p>
        </w:tc>
      </w:tr>
      <w:tr w14:paraId="20DB0B8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2B584FD9">
            <w:pPr>
              <w:spacing w:before="120" w:after="120" w:line="288" w:lineRule="auto"/>
              <w:jc w:val="left"/>
              <w:rPr>
                <w:rFonts w:eastAsia="等线"/>
                <w:highlight w:val="none"/>
              </w:rPr>
            </w:pPr>
            <w:r>
              <w:rPr>
                <w:rFonts w:ascii="Arial" w:hAnsi="Arial" w:eastAsia="等线" w:cs="Arial"/>
                <w:b/>
                <w:sz w:val="22"/>
                <w:highlight w:val="none"/>
              </w:rPr>
              <w:t>土建</w:t>
            </w:r>
            <w:r>
              <w:rPr>
                <w:rFonts w:hint="eastAsia" w:ascii="Arial" w:hAnsi="Arial" w:eastAsia="等线" w:cs="Arial"/>
                <w:b/>
                <w:sz w:val="22"/>
                <w:highlight w:val="none"/>
              </w:rPr>
              <w:t>工长</w:t>
            </w:r>
          </w:p>
        </w:tc>
        <w:tc>
          <w:tcPr>
            <w:tcW w:w="2760" w:type="dxa"/>
            <w:tcMar>
              <w:top w:w="60" w:type="dxa"/>
              <w:left w:w="120" w:type="dxa"/>
              <w:bottom w:w="30" w:type="dxa"/>
              <w:right w:w="120" w:type="dxa"/>
            </w:tcMar>
          </w:tcPr>
          <w:p w14:paraId="3615DB77">
            <w:pPr>
              <w:rPr>
                <w:highlight w:val="none"/>
              </w:rPr>
            </w:pPr>
          </w:p>
        </w:tc>
        <w:tc>
          <w:tcPr>
            <w:tcW w:w="2760" w:type="dxa"/>
            <w:tcMar>
              <w:top w:w="60" w:type="dxa"/>
              <w:left w:w="120" w:type="dxa"/>
              <w:bottom w:w="30" w:type="dxa"/>
              <w:right w:w="120" w:type="dxa"/>
            </w:tcMar>
          </w:tcPr>
          <w:p w14:paraId="4FEAB744">
            <w:pPr>
              <w:spacing w:before="120" w:after="120" w:line="288" w:lineRule="auto"/>
              <w:jc w:val="left"/>
              <w:rPr>
                <w:highlight w:val="none"/>
              </w:rPr>
            </w:pPr>
            <w:r>
              <w:rPr>
                <w:rFonts w:ascii="Arial" w:hAnsi="Arial" w:eastAsia="等线" w:cs="Arial"/>
                <w:sz w:val="22"/>
                <w:highlight w:val="none"/>
              </w:rPr>
              <w:t>负责基坑处理、混凝土浇筑、基础结构修复</w:t>
            </w:r>
          </w:p>
        </w:tc>
      </w:tr>
      <w:tr w14:paraId="0DB37C4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6F2B9F19">
            <w:pPr>
              <w:spacing w:before="120" w:after="120" w:line="288" w:lineRule="auto"/>
              <w:jc w:val="left"/>
              <w:rPr>
                <w:highlight w:val="none"/>
              </w:rPr>
            </w:pPr>
            <w:r>
              <w:rPr>
                <w:rFonts w:ascii="Arial" w:hAnsi="Arial" w:eastAsia="等线" w:cs="Arial"/>
                <w:b/>
                <w:sz w:val="22"/>
                <w:highlight w:val="none"/>
              </w:rPr>
              <w:t>机电工程师</w:t>
            </w:r>
          </w:p>
        </w:tc>
        <w:tc>
          <w:tcPr>
            <w:tcW w:w="2760" w:type="dxa"/>
            <w:tcMar>
              <w:top w:w="60" w:type="dxa"/>
              <w:left w:w="120" w:type="dxa"/>
              <w:bottom w:w="30" w:type="dxa"/>
              <w:right w:w="120" w:type="dxa"/>
            </w:tcMar>
          </w:tcPr>
          <w:p w14:paraId="19C9A763">
            <w:pPr>
              <w:rPr>
                <w:highlight w:val="none"/>
              </w:rPr>
            </w:pPr>
          </w:p>
        </w:tc>
        <w:tc>
          <w:tcPr>
            <w:tcW w:w="2760" w:type="dxa"/>
            <w:tcMar>
              <w:top w:w="60" w:type="dxa"/>
              <w:left w:w="120" w:type="dxa"/>
              <w:bottom w:w="30" w:type="dxa"/>
              <w:right w:w="120" w:type="dxa"/>
            </w:tcMar>
          </w:tcPr>
          <w:p w14:paraId="5B46DB32">
            <w:pPr>
              <w:spacing w:before="120" w:after="120" w:line="288" w:lineRule="auto"/>
              <w:jc w:val="left"/>
              <w:rPr>
                <w:highlight w:val="none"/>
              </w:rPr>
            </w:pPr>
            <w:r>
              <w:rPr>
                <w:rFonts w:ascii="Arial" w:hAnsi="Arial" w:eastAsia="等线" w:cs="Arial"/>
                <w:sz w:val="22"/>
                <w:highlight w:val="none"/>
              </w:rPr>
              <w:t>负责传感器安装、接线调试、仪表校准</w:t>
            </w:r>
          </w:p>
        </w:tc>
      </w:tr>
      <w:tr w14:paraId="1678EA4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760" w:type="dxa"/>
            <w:tcMar>
              <w:top w:w="60" w:type="dxa"/>
              <w:left w:w="120" w:type="dxa"/>
              <w:bottom w:w="30" w:type="dxa"/>
              <w:right w:w="120" w:type="dxa"/>
            </w:tcMar>
          </w:tcPr>
          <w:p w14:paraId="44C3D4A9">
            <w:pPr>
              <w:spacing w:before="120" w:after="120" w:line="288" w:lineRule="auto"/>
              <w:jc w:val="left"/>
              <w:rPr>
                <w:highlight w:val="none"/>
              </w:rPr>
            </w:pPr>
            <w:r>
              <w:rPr>
                <w:rFonts w:ascii="Arial" w:hAnsi="Arial" w:eastAsia="等线" w:cs="Arial"/>
                <w:b/>
                <w:sz w:val="22"/>
                <w:highlight w:val="none"/>
              </w:rPr>
              <w:t>安全员</w:t>
            </w:r>
          </w:p>
        </w:tc>
        <w:tc>
          <w:tcPr>
            <w:tcW w:w="2760" w:type="dxa"/>
            <w:tcMar>
              <w:top w:w="60" w:type="dxa"/>
              <w:left w:w="120" w:type="dxa"/>
              <w:bottom w:w="30" w:type="dxa"/>
              <w:right w:w="120" w:type="dxa"/>
            </w:tcMar>
          </w:tcPr>
          <w:p w14:paraId="2528A912">
            <w:pPr>
              <w:rPr>
                <w:highlight w:val="none"/>
              </w:rPr>
            </w:pPr>
          </w:p>
        </w:tc>
        <w:tc>
          <w:tcPr>
            <w:tcW w:w="2760" w:type="dxa"/>
            <w:tcMar>
              <w:top w:w="60" w:type="dxa"/>
              <w:left w:w="120" w:type="dxa"/>
              <w:bottom w:w="30" w:type="dxa"/>
              <w:right w:w="120" w:type="dxa"/>
            </w:tcMar>
          </w:tcPr>
          <w:p w14:paraId="47095DDE">
            <w:pPr>
              <w:spacing w:before="120" w:after="120" w:line="288" w:lineRule="auto"/>
              <w:jc w:val="left"/>
              <w:rPr>
                <w:highlight w:val="none"/>
              </w:rPr>
            </w:pPr>
            <w:r>
              <w:rPr>
                <w:rFonts w:ascii="Arial" w:hAnsi="Arial" w:eastAsia="等线" w:cs="Arial"/>
                <w:sz w:val="22"/>
                <w:highlight w:val="none"/>
              </w:rPr>
              <w:t>负责安全巡查、交通管制布设、应急预案执行</w:t>
            </w:r>
          </w:p>
        </w:tc>
      </w:tr>
    </w:tbl>
    <w:p w14:paraId="6CE42757">
      <w:pPr>
        <w:spacing w:before="300" w:after="120" w:line="288" w:lineRule="auto"/>
        <w:jc w:val="left"/>
        <w:outlineLvl w:val="2"/>
        <w:rPr>
          <w:highlight w:val="none"/>
        </w:rPr>
      </w:pPr>
      <w:bookmarkStart w:id="8" w:name="heading_8"/>
      <w:r>
        <w:rPr>
          <w:rFonts w:ascii="Arial" w:hAnsi="Arial" w:eastAsia="等线" w:cs="Arial"/>
          <w:b/>
          <w:sz w:val="30"/>
          <w:highlight w:val="none"/>
        </w:rPr>
        <w:t>2.2 施工总体流程</w:t>
      </w:r>
      <w:bookmarkEnd w:id="8"/>
    </w:p>
    <w:p w14:paraId="1C69D6F2">
      <w:pPr>
        <w:spacing w:before="120" w:after="120" w:line="288" w:lineRule="auto"/>
        <w:jc w:val="left"/>
        <w:rPr>
          <w:highlight w:val="none"/>
        </w:rPr>
      </w:pPr>
      <w:r>
        <w:rPr>
          <w:rFonts w:ascii="Arial" w:hAnsi="Arial" w:eastAsia="等线" w:cs="Arial"/>
          <w:b/>
          <w:sz w:val="22"/>
          <w:highlight w:val="none"/>
        </w:rPr>
        <w:t xml:space="preserve">吊装移秤 → 基坑清淤破除 → 预埋件/角钢更换 → </w:t>
      </w:r>
      <w:r>
        <w:rPr>
          <w:rFonts w:hint="eastAsia" w:ascii="Arial" w:hAnsi="Arial" w:eastAsia="等线" w:cs="Arial"/>
          <w:b/>
          <w:sz w:val="22"/>
          <w:highlight w:val="none"/>
        </w:rPr>
        <w:t>基础结构修复</w:t>
      </w:r>
      <w:r>
        <w:rPr>
          <w:rFonts w:ascii="Arial" w:hAnsi="Arial" w:eastAsia="等线" w:cs="Arial"/>
          <w:b/>
          <w:sz w:val="22"/>
          <w:highlight w:val="none"/>
        </w:rPr>
        <w:t xml:space="preserve"> → 传感器/配件更换 → 系统联调 → 计量检定 → 验收通车</w:t>
      </w:r>
    </w:p>
    <w:p w14:paraId="5B93F641">
      <w:pPr>
        <w:pBdr>
          <w:bottom w:val="single" w:color="DEE0E3" w:sz="2" w:space="0"/>
          <w:between w:val="single" w:color="DEE0E3" w:sz="2" w:space="0"/>
        </w:pBdr>
        <w:spacing w:before="120" w:after="120" w:line="288" w:lineRule="auto"/>
        <w:rPr>
          <w:highlight w:val="none"/>
        </w:rPr>
      </w:pPr>
    </w:p>
    <w:p w14:paraId="68C03B1E">
      <w:pPr>
        <w:spacing w:before="320" w:after="120" w:line="288" w:lineRule="auto"/>
        <w:jc w:val="left"/>
        <w:outlineLvl w:val="1"/>
        <w:rPr>
          <w:highlight w:val="none"/>
        </w:rPr>
      </w:pPr>
      <w:bookmarkStart w:id="9" w:name="heading_9"/>
      <w:r>
        <w:rPr>
          <w:rFonts w:ascii="Arial" w:hAnsi="Arial" w:eastAsia="等线" w:cs="Arial"/>
          <w:b/>
          <w:sz w:val="32"/>
          <w:highlight w:val="none"/>
        </w:rPr>
        <w:t>第三章 施工准备工作计划</w:t>
      </w:r>
      <w:bookmarkEnd w:id="9"/>
    </w:p>
    <w:p w14:paraId="0D9EAE47">
      <w:pPr>
        <w:spacing w:before="300" w:after="120" w:line="288" w:lineRule="auto"/>
        <w:jc w:val="left"/>
        <w:outlineLvl w:val="2"/>
        <w:rPr>
          <w:highlight w:val="none"/>
        </w:rPr>
      </w:pPr>
      <w:bookmarkStart w:id="10" w:name="heading_10"/>
      <w:r>
        <w:rPr>
          <w:rFonts w:ascii="Arial" w:hAnsi="Arial" w:eastAsia="等线" w:cs="Arial"/>
          <w:b/>
          <w:sz w:val="30"/>
          <w:highlight w:val="none"/>
        </w:rPr>
        <w:t>3.1 技术准备</w:t>
      </w:r>
      <w:bookmarkEnd w:id="10"/>
    </w:p>
    <w:p w14:paraId="72D38E8F">
      <w:pPr>
        <w:numPr>
          <w:ilvl w:val="0"/>
          <w:numId w:val="5"/>
        </w:numPr>
        <w:spacing w:before="120" w:after="120" w:line="288" w:lineRule="auto"/>
        <w:jc w:val="left"/>
        <w:rPr>
          <w:highlight w:val="none"/>
        </w:rPr>
      </w:pPr>
      <w:r>
        <w:rPr>
          <w:rFonts w:ascii="Arial" w:hAnsi="Arial" w:eastAsia="等线" w:cs="Arial"/>
          <w:sz w:val="22"/>
          <w:highlight w:val="none"/>
        </w:rPr>
        <w:t>组织施工班组进场，进行安全与技术交底。</w:t>
      </w:r>
    </w:p>
    <w:p w14:paraId="0266A461">
      <w:pPr>
        <w:numPr>
          <w:ilvl w:val="0"/>
          <w:numId w:val="6"/>
        </w:numPr>
        <w:spacing w:before="120" w:after="120" w:line="288" w:lineRule="auto"/>
        <w:jc w:val="left"/>
        <w:rPr>
          <w:highlight w:val="none"/>
        </w:rPr>
      </w:pPr>
      <w:r>
        <w:rPr>
          <w:rFonts w:ascii="Arial" w:hAnsi="Arial" w:eastAsia="等线" w:cs="Arial"/>
          <w:sz w:val="22"/>
          <w:highlight w:val="none"/>
        </w:rPr>
        <w:t>核对新传感器、钢球</w:t>
      </w:r>
      <w:r>
        <w:rPr>
          <w:rFonts w:hint="eastAsia" w:ascii="Arial" w:hAnsi="Arial" w:eastAsia="等线" w:cs="Arial"/>
          <w:sz w:val="22"/>
          <w:highlight w:val="none"/>
          <w:lang w:eastAsia="zh-CN"/>
        </w:rPr>
        <w:t>、</w:t>
      </w:r>
      <w:r>
        <w:rPr>
          <w:rFonts w:ascii="Arial" w:hAnsi="Arial" w:eastAsia="等线" w:cs="Arial"/>
          <w:sz w:val="22"/>
          <w:highlight w:val="none"/>
        </w:rPr>
        <w:t>限位螺丝等材料的型号规格，确保与原秤体匹配。</w:t>
      </w:r>
    </w:p>
    <w:p w14:paraId="5595285B">
      <w:pPr>
        <w:spacing w:before="300" w:after="120" w:line="288" w:lineRule="auto"/>
        <w:jc w:val="left"/>
        <w:outlineLvl w:val="2"/>
        <w:rPr>
          <w:highlight w:val="none"/>
        </w:rPr>
      </w:pPr>
      <w:bookmarkStart w:id="11" w:name="heading_11"/>
      <w:r>
        <w:rPr>
          <w:rFonts w:ascii="Arial" w:hAnsi="Arial" w:eastAsia="等线" w:cs="Arial"/>
          <w:b/>
          <w:sz w:val="30"/>
          <w:highlight w:val="none"/>
        </w:rPr>
        <w:t>3.2 物资设备准备</w:t>
      </w:r>
      <w:bookmarkEnd w:id="11"/>
    </w:p>
    <w:p w14:paraId="4DA229C5">
      <w:pPr>
        <w:spacing w:before="260" w:after="120" w:line="288" w:lineRule="auto"/>
        <w:jc w:val="left"/>
        <w:outlineLvl w:val="3"/>
        <w:rPr>
          <w:rFonts w:ascii="Arial" w:hAnsi="Arial" w:eastAsia="等线" w:cs="Arial"/>
          <w:b/>
          <w:sz w:val="28"/>
          <w:highlight w:val="none"/>
        </w:rPr>
      </w:pPr>
      <w:bookmarkStart w:id="12" w:name="heading_12"/>
    </w:p>
    <w:p w14:paraId="786D99DC">
      <w:pPr>
        <w:spacing w:before="260" w:after="120" w:line="288" w:lineRule="auto"/>
        <w:jc w:val="left"/>
        <w:outlineLvl w:val="3"/>
        <w:rPr>
          <w:rFonts w:ascii="Arial" w:hAnsi="Arial" w:eastAsia="等线" w:cs="Arial"/>
          <w:b/>
          <w:sz w:val="28"/>
          <w:highlight w:val="none"/>
        </w:rPr>
      </w:pPr>
    </w:p>
    <w:p w14:paraId="2EE24749">
      <w:pPr>
        <w:spacing w:before="260" w:after="120" w:line="288" w:lineRule="auto"/>
        <w:jc w:val="left"/>
        <w:outlineLvl w:val="3"/>
        <w:rPr>
          <w:rFonts w:ascii="Arial" w:hAnsi="Arial" w:eastAsia="等线" w:cs="Arial"/>
          <w:b/>
          <w:sz w:val="28"/>
          <w:highlight w:val="none"/>
        </w:rPr>
      </w:pPr>
    </w:p>
    <w:p w14:paraId="74DE4EAA">
      <w:pPr>
        <w:spacing w:before="260" w:after="120" w:line="288" w:lineRule="auto"/>
        <w:jc w:val="left"/>
        <w:outlineLvl w:val="3"/>
        <w:rPr>
          <w:highlight w:val="none"/>
        </w:rPr>
      </w:pPr>
      <w:r>
        <w:rPr>
          <w:rFonts w:ascii="Arial" w:hAnsi="Arial" w:eastAsia="等线" w:cs="Arial"/>
          <w:b/>
          <w:sz w:val="28"/>
          <w:highlight w:val="none"/>
        </w:rPr>
        <w:t>3.2.1 主要材料清单</w:t>
      </w:r>
      <w:bookmarkEnd w:id="12"/>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3000"/>
        <w:gridCol w:w="3000"/>
      </w:tblGrid>
      <w:tr w14:paraId="65B1841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151B5375">
            <w:pPr>
              <w:spacing w:before="120" w:after="120" w:line="288" w:lineRule="auto"/>
              <w:jc w:val="left"/>
              <w:rPr>
                <w:highlight w:val="none"/>
              </w:rPr>
            </w:pPr>
            <w:r>
              <w:rPr>
                <w:rFonts w:ascii="Arial" w:hAnsi="Arial" w:eastAsia="等线" w:cs="Arial"/>
                <w:sz w:val="22"/>
                <w:highlight w:val="none"/>
              </w:rPr>
              <w:t>类别</w:t>
            </w:r>
          </w:p>
        </w:tc>
        <w:tc>
          <w:tcPr>
            <w:tcW w:w="3000" w:type="dxa"/>
            <w:tcMar>
              <w:top w:w="60" w:type="dxa"/>
              <w:left w:w="120" w:type="dxa"/>
              <w:bottom w:w="30" w:type="dxa"/>
              <w:right w:w="120" w:type="dxa"/>
            </w:tcMar>
          </w:tcPr>
          <w:p w14:paraId="45D3D184">
            <w:pPr>
              <w:spacing w:before="120" w:after="120" w:line="288" w:lineRule="auto"/>
              <w:jc w:val="left"/>
              <w:rPr>
                <w:highlight w:val="none"/>
              </w:rPr>
            </w:pPr>
            <w:r>
              <w:rPr>
                <w:rFonts w:ascii="Arial" w:hAnsi="Arial" w:eastAsia="等线" w:cs="Arial"/>
                <w:sz w:val="22"/>
                <w:highlight w:val="none"/>
              </w:rPr>
              <w:t>主要材料</w:t>
            </w:r>
          </w:p>
        </w:tc>
      </w:tr>
      <w:tr w14:paraId="5F90A5A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45E6AC23">
            <w:pPr>
              <w:spacing w:before="120" w:after="120" w:line="288" w:lineRule="auto"/>
              <w:jc w:val="left"/>
              <w:rPr>
                <w:highlight w:val="none"/>
              </w:rPr>
            </w:pPr>
            <w:r>
              <w:rPr>
                <w:rFonts w:ascii="Arial" w:hAnsi="Arial" w:eastAsia="等线" w:cs="Arial"/>
                <w:b/>
                <w:sz w:val="22"/>
                <w:highlight w:val="none"/>
              </w:rPr>
              <w:t>土建材料</w:t>
            </w:r>
          </w:p>
        </w:tc>
        <w:tc>
          <w:tcPr>
            <w:tcW w:w="3000" w:type="dxa"/>
            <w:tcMar>
              <w:top w:w="60" w:type="dxa"/>
              <w:left w:w="120" w:type="dxa"/>
              <w:bottom w:w="30" w:type="dxa"/>
              <w:right w:w="120" w:type="dxa"/>
            </w:tcMar>
          </w:tcPr>
          <w:p w14:paraId="24DBB9C7">
            <w:pPr>
              <w:spacing w:before="120" w:after="120" w:line="288" w:lineRule="auto"/>
              <w:jc w:val="left"/>
              <w:rPr>
                <w:highlight w:val="none"/>
              </w:rPr>
            </w:pPr>
            <w:r>
              <w:rPr>
                <w:rFonts w:hint="eastAsia" w:ascii="Arial" w:hAnsi="Arial" w:eastAsia="等线" w:cs="Arial"/>
                <w:sz w:val="22"/>
                <w:highlight w:val="none"/>
              </w:rPr>
              <w:t>灌浆料</w:t>
            </w:r>
            <w:r>
              <w:rPr>
                <w:rFonts w:ascii="Arial" w:hAnsi="Arial" w:eastAsia="等线" w:cs="Arial"/>
                <w:sz w:val="22"/>
                <w:highlight w:val="none"/>
              </w:rPr>
              <w:t>、钢筋、新预埋件、加厚</w:t>
            </w:r>
            <w:r>
              <w:rPr>
                <w:rFonts w:hint="eastAsia" w:ascii="Arial" w:hAnsi="Arial" w:eastAsia="等线" w:cs="Arial"/>
                <w:sz w:val="22"/>
                <w:highlight w:val="none"/>
              </w:rPr>
              <w:t>定制</w:t>
            </w:r>
            <w:r>
              <w:rPr>
                <w:rFonts w:ascii="Arial" w:hAnsi="Arial" w:eastAsia="等线" w:cs="Arial"/>
                <w:sz w:val="22"/>
                <w:highlight w:val="none"/>
              </w:rPr>
              <w:t>角钢</w:t>
            </w:r>
          </w:p>
        </w:tc>
      </w:tr>
      <w:tr w14:paraId="48D9D31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3000" w:type="dxa"/>
            <w:tcMar>
              <w:top w:w="60" w:type="dxa"/>
              <w:left w:w="120" w:type="dxa"/>
              <w:bottom w:w="30" w:type="dxa"/>
              <w:right w:w="120" w:type="dxa"/>
            </w:tcMar>
          </w:tcPr>
          <w:p w14:paraId="02A492E8">
            <w:pPr>
              <w:spacing w:before="120" w:after="120" w:line="288" w:lineRule="auto"/>
              <w:jc w:val="left"/>
              <w:rPr>
                <w:highlight w:val="none"/>
              </w:rPr>
            </w:pPr>
            <w:r>
              <w:rPr>
                <w:rFonts w:ascii="Arial" w:hAnsi="Arial" w:eastAsia="等线" w:cs="Arial"/>
                <w:b/>
                <w:sz w:val="22"/>
                <w:highlight w:val="none"/>
              </w:rPr>
              <w:t>机电设备</w:t>
            </w:r>
          </w:p>
        </w:tc>
        <w:tc>
          <w:tcPr>
            <w:tcW w:w="3000" w:type="dxa"/>
            <w:tcMar>
              <w:top w:w="60" w:type="dxa"/>
              <w:left w:w="120" w:type="dxa"/>
              <w:bottom w:w="30" w:type="dxa"/>
              <w:right w:w="120" w:type="dxa"/>
            </w:tcMar>
          </w:tcPr>
          <w:p w14:paraId="3B67FB9D">
            <w:pPr>
              <w:spacing w:before="120" w:after="120" w:line="288" w:lineRule="auto"/>
              <w:jc w:val="left"/>
              <w:rPr>
                <w:rFonts w:eastAsia="等线"/>
                <w:highlight w:val="none"/>
              </w:rPr>
            </w:pPr>
            <w:r>
              <w:rPr>
                <w:rFonts w:ascii="Arial" w:hAnsi="Arial" w:eastAsia="等线" w:cs="Arial"/>
                <w:sz w:val="22"/>
                <w:highlight w:val="none"/>
              </w:rPr>
              <w:t>称重传感器、钢球、限位</w:t>
            </w:r>
            <w:r>
              <w:rPr>
                <w:rFonts w:hint="eastAsia" w:ascii="Arial" w:hAnsi="Arial" w:eastAsia="等线" w:cs="Arial"/>
                <w:sz w:val="22"/>
                <w:highlight w:val="none"/>
                <w:lang w:val="en-US" w:eastAsia="zh-CN"/>
              </w:rPr>
              <w:t>螺丝</w:t>
            </w:r>
            <w:r>
              <w:rPr>
                <w:rFonts w:hint="eastAsia" w:ascii="Arial" w:hAnsi="Arial" w:eastAsia="等线" w:cs="Arial"/>
                <w:sz w:val="22"/>
                <w:highlight w:val="none"/>
              </w:rPr>
              <w:t>等</w:t>
            </w:r>
          </w:p>
        </w:tc>
      </w:tr>
    </w:tbl>
    <w:p w14:paraId="5A819B3E">
      <w:pPr>
        <w:spacing w:before="260" w:after="120" w:line="288" w:lineRule="auto"/>
        <w:jc w:val="left"/>
        <w:outlineLvl w:val="3"/>
        <w:rPr>
          <w:highlight w:val="none"/>
        </w:rPr>
      </w:pPr>
      <w:bookmarkStart w:id="13" w:name="heading_13"/>
      <w:r>
        <w:rPr>
          <w:rFonts w:ascii="Arial" w:hAnsi="Arial" w:eastAsia="等线" w:cs="Arial"/>
          <w:b/>
          <w:sz w:val="28"/>
          <w:highlight w:val="none"/>
        </w:rPr>
        <w:t>3.2.2 施工机具清单</w:t>
      </w:r>
      <w:bookmarkEnd w:id="13"/>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650"/>
        <w:gridCol w:w="1650"/>
        <w:gridCol w:w="1650"/>
        <w:gridCol w:w="1650"/>
        <w:gridCol w:w="1650"/>
      </w:tblGrid>
      <w:tr w14:paraId="42A3783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32EE81C5">
            <w:pPr>
              <w:spacing w:before="120" w:after="120" w:line="288" w:lineRule="auto"/>
              <w:jc w:val="left"/>
              <w:rPr>
                <w:highlight w:val="none"/>
              </w:rPr>
            </w:pPr>
            <w:r>
              <w:rPr>
                <w:rFonts w:ascii="Arial" w:hAnsi="Arial" w:eastAsia="等线" w:cs="Arial"/>
                <w:sz w:val="22"/>
                <w:highlight w:val="none"/>
              </w:rPr>
              <w:t>序号</w:t>
            </w:r>
          </w:p>
        </w:tc>
        <w:tc>
          <w:tcPr>
            <w:tcW w:w="1650" w:type="dxa"/>
            <w:tcMar>
              <w:top w:w="60" w:type="dxa"/>
              <w:left w:w="120" w:type="dxa"/>
              <w:bottom w:w="30" w:type="dxa"/>
              <w:right w:w="120" w:type="dxa"/>
            </w:tcMar>
          </w:tcPr>
          <w:p w14:paraId="074E3CE2">
            <w:pPr>
              <w:spacing w:before="120" w:after="120" w:line="288" w:lineRule="auto"/>
              <w:jc w:val="left"/>
              <w:rPr>
                <w:highlight w:val="none"/>
              </w:rPr>
            </w:pPr>
            <w:r>
              <w:rPr>
                <w:rFonts w:ascii="Arial" w:hAnsi="Arial" w:eastAsia="等线" w:cs="Arial"/>
                <w:sz w:val="22"/>
                <w:highlight w:val="none"/>
              </w:rPr>
              <w:t>设备名称</w:t>
            </w:r>
          </w:p>
        </w:tc>
        <w:tc>
          <w:tcPr>
            <w:tcW w:w="1650" w:type="dxa"/>
            <w:tcMar>
              <w:top w:w="60" w:type="dxa"/>
              <w:left w:w="120" w:type="dxa"/>
              <w:bottom w:w="30" w:type="dxa"/>
              <w:right w:w="120" w:type="dxa"/>
            </w:tcMar>
          </w:tcPr>
          <w:p w14:paraId="271A714C">
            <w:pPr>
              <w:spacing w:before="120" w:after="120" w:line="288" w:lineRule="auto"/>
              <w:jc w:val="left"/>
              <w:rPr>
                <w:highlight w:val="none"/>
              </w:rPr>
            </w:pPr>
            <w:r>
              <w:rPr>
                <w:rFonts w:ascii="Arial" w:hAnsi="Arial" w:eastAsia="等线" w:cs="Arial"/>
                <w:sz w:val="22"/>
                <w:highlight w:val="none"/>
              </w:rPr>
              <w:t>规格型号</w:t>
            </w:r>
          </w:p>
        </w:tc>
        <w:tc>
          <w:tcPr>
            <w:tcW w:w="1650" w:type="dxa"/>
            <w:tcMar>
              <w:top w:w="60" w:type="dxa"/>
              <w:left w:w="120" w:type="dxa"/>
              <w:bottom w:w="30" w:type="dxa"/>
              <w:right w:w="120" w:type="dxa"/>
            </w:tcMar>
          </w:tcPr>
          <w:p w14:paraId="6DF1173E">
            <w:pPr>
              <w:spacing w:before="120" w:after="120" w:line="288" w:lineRule="auto"/>
              <w:jc w:val="left"/>
              <w:rPr>
                <w:highlight w:val="none"/>
              </w:rPr>
            </w:pPr>
            <w:r>
              <w:rPr>
                <w:rFonts w:ascii="Arial" w:hAnsi="Arial" w:eastAsia="等线" w:cs="Arial"/>
                <w:sz w:val="22"/>
                <w:highlight w:val="none"/>
              </w:rPr>
              <w:t>数量</w:t>
            </w:r>
          </w:p>
        </w:tc>
        <w:tc>
          <w:tcPr>
            <w:tcW w:w="1650" w:type="dxa"/>
            <w:tcMar>
              <w:top w:w="60" w:type="dxa"/>
              <w:left w:w="120" w:type="dxa"/>
              <w:bottom w:w="30" w:type="dxa"/>
              <w:right w:w="120" w:type="dxa"/>
            </w:tcMar>
          </w:tcPr>
          <w:p w14:paraId="57FCF46E">
            <w:pPr>
              <w:spacing w:before="120" w:after="120" w:line="288" w:lineRule="auto"/>
              <w:jc w:val="left"/>
              <w:rPr>
                <w:highlight w:val="none"/>
              </w:rPr>
            </w:pPr>
            <w:r>
              <w:rPr>
                <w:rFonts w:ascii="Arial" w:hAnsi="Arial" w:eastAsia="等线" w:cs="Arial"/>
                <w:sz w:val="22"/>
                <w:highlight w:val="none"/>
              </w:rPr>
              <w:t>备注</w:t>
            </w:r>
          </w:p>
        </w:tc>
      </w:tr>
      <w:tr w14:paraId="5C9711A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387E1C8F">
            <w:pPr>
              <w:spacing w:before="120" w:after="120" w:line="288" w:lineRule="auto"/>
              <w:jc w:val="left"/>
              <w:rPr>
                <w:highlight w:val="none"/>
              </w:rPr>
            </w:pPr>
            <w:r>
              <w:rPr>
                <w:rFonts w:ascii="Arial" w:hAnsi="Arial" w:eastAsia="等线" w:cs="Arial"/>
                <w:sz w:val="22"/>
                <w:highlight w:val="none"/>
              </w:rPr>
              <w:t>1</w:t>
            </w:r>
          </w:p>
        </w:tc>
        <w:tc>
          <w:tcPr>
            <w:tcW w:w="1650" w:type="dxa"/>
            <w:tcMar>
              <w:top w:w="60" w:type="dxa"/>
              <w:left w:w="120" w:type="dxa"/>
              <w:bottom w:w="30" w:type="dxa"/>
              <w:right w:w="120" w:type="dxa"/>
            </w:tcMar>
          </w:tcPr>
          <w:p w14:paraId="52C7180B">
            <w:pPr>
              <w:spacing w:before="120" w:after="120" w:line="288" w:lineRule="auto"/>
              <w:jc w:val="left"/>
              <w:rPr>
                <w:highlight w:val="none"/>
              </w:rPr>
            </w:pPr>
            <w:r>
              <w:rPr>
                <w:rFonts w:ascii="Arial" w:hAnsi="Arial" w:eastAsia="等线" w:cs="Arial"/>
                <w:sz w:val="22"/>
                <w:highlight w:val="none"/>
              </w:rPr>
              <w:t>汽车吊</w:t>
            </w:r>
          </w:p>
        </w:tc>
        <w:tc>
          <w:tcPr>
            <w:tcW w:w="1650" w:type="dxa"/>
            <w:tcMar>
              <w:top w:w="60" w:type="dxa"/>
              <w:left w:w="120" w:type="dxa"/>
              <w:bottom w:w="30" w:type="dxa"/>
              <w:right w:w="120" w:type="dxa"/>
            </w:tcMar>
          </w:tcPr>
          <w:p w14:paraId="0568AE9B">
            <w:pPr>
              <w:spacing w:before="120" w:after="120" w:line="288" w:lineRule="auto"/>
              <w:jc w:val="left"/>
              <w:rPr>
                <w:highlight w:val="none"/>
              </w:rPr>
            </w:pPr>
            <w:r>
              <w:rPr>
                <w:rFonts w:hint="eastAsia" w:ascii="Arial" w:hAnsi="Arial" w:eastAsia="等线" w:cs="Arial"/>
                <w:sz w:val="22"/>
                <w:highlight w:val="none"/>
              </w:rPr>
              <w:t>不小于</w:t>
            </w:r>
            <w:r>
              <w:rPr>
                <w:rFonts w:ascii="Arial" w:hAnsi="Arial" w:eastAsia="等线" w:cs="Arial"/>
                <w:sz w:val="22"/>
                <w:highlight w:val="none"/>
              </w:rPr>
              <w:t>25吨</w:t>
            </w:r>
          </w:p>
        </w:tc>
        <w:tc>
          <w:tcPr>
            <w:tcW w:w="1650" w:type="dxa"/>
            <w:tcMar>
              <w:top w:w="60" w:type="dxa"/>
              <w:left w:w="120" w:type="dxa"/>
              <w:bottom w:w="30" w:type="dxa"/>
              <w:right w:w="120" w:type="dxa"/>
            </w:tcMar>
          </w:tcPr>
          <w:p w14:paraId="6F95D781">
            <w:pPr>
              <w:spacing w:before="120" w:after="120" w:line="288" w:lineRule="auto"/>
              <w:jc w:val="left"/>
              <w:rPr>
                <w:highlight w:val="none"/>
              </w:rPr>
            </w:pPr>
            <w:r>
              <w:rPr>
                <w:rFonts w:ascii="Arial" w:hAnsi="Arial" w:eastAsia="等线" w:cs="Arial"/>
                <w:sz w:val="22"/>
                <w:highlight w:val="none"/>
              </w:rPr>
              <w:t>1台</w:t>
            </w:r>
          </w:p>
        </w:tc>
        <w:tc>
          <w:tcPr>
            <w:tcW w:w="1650" w:type="dxa"/>
            <w:tcMar>
              <w:top w:w="60" w:type="dxa"/>
              <w:left w:w="120" w:type="dxa"/>
              <w:bottom w:w="30" w:type="dxa"/>
              <w:right w:w="120" w:type="dxa"/>
            </w:tcMar>
          </w:tcPr>
          <w:p w14:paraId="71E782AE">
            <w:pPr>
              <w:spacing w:before="120" w:after="120" w:line="288" w:lineRule="auto"/>
              <w:jc w:val="left"/>
              <w:rPr>
                <w:highlight w:val="none"/>
              </w:rPr>
            </w:pPr>
            <w:r>
              <w:rPr>
                <w:rFonts w:ascii="Arial" w:hAnsi="Arial" w:eastAsia="等线" w:cs="Arial"/>
                <w:sz w:val="22"/>
                <w:highlight w:val="none"/>
              </w:rPr>
              <w:t>吊装秤体</w:t>
            </w:r>
          </w:p>
        </w:tc>
      </w:tr>
      <w:tr w14:paraId="1797121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8B2F5E5">
            <w:pPr>
              <w:spacing w:before="120" w:after="120" w:line="288" w:lineRule="auto"/>
              <w:jc w:val="left"/>
              <w:rPr>
                <w:highlight w:val="none"/>
              </w:rPr>
            </w:pPr>
            <w:r>
              <w:rPr>
                <w:rFonts w:ascii="Arial" w:hAnsi="Arial" w:eastAsia="等线" w:cs="Arial"/>
                <w:sz w:val="22"/>
                <w:highlight w:val="none"/>
              </w:rPr>
              <w:t>2</w:t>
            </w:r>
          </w:p>
        </w:tc>
        <w:tc>
          <w:tcPr>
            <w:tcW w:w="1650" w:type="dxa"/>
            <w:tcMar>
              <w:top w:w="60" w:type="dxa"/>
              <w:left w:w="120" w:type="dxa"/>
              <w:bottom w:w="30" w:type="dxa"/>
              <w:right w:w="120" w:type="dxa"/>
            </w:tcMar>
          </w:tcPr>
          <w:p w14:paraId="3370AD14">
            <w:pPr>
              <w:spacing w:before="120" w:after="120" w:line="288" w:lineRule="auto"/>
              <w:jc w:val="left"/>
              <w:rPr>
                <w:rFonts w:hint="default" w:eastAsia="等线"/>
                <w:highlight w:val="none"/>
                <w:lang w:val="en-US" w:eastAsia="zh-CN"/>
              </w:rPr>
            </w:pPr>
            <w:r>
              <w:rPr>
                <w:rFonts w:hint="eastAsia" w:ascii="Arial" w:hAnsi="Arial" w:eastAsia="等线" w:cs="Arial"/>
                <w:sz w:val="22"/>
                <w:highlight w:val="none"/>
              </w:rPr>
              <w:t>随车吊</w:t>
            </w:r>
            <w:r>
              <w:rPr>
                <w:rFonts w:hint="eastAsia" w:ascii="Arial" w:hAnsi="Arial" w:eastAsia="等线" w:cs="Arial"/>
                <w:sz w:val="22"/>
                <w:highlight w:val="none"/>
                <w:lang w:val="en-US" w:eastAsia="zh-CN"/>
              </w:rPr>
              <w:t>/货车</w:t>
            </w:r>
          </w:p>
        </w:tc>
        <w:tc>
          <w:tcPr>
            <w:tcW w:w="1650" w:type="dxa"/>
            <w:tcMar>
              <w:top w:w="60" w:type="dxa"/>
              <w:left w:w="120" w:type="dxa"/>
              <w:bottom w:w="30" w:type="dxa"/>
              <w:right w:w="120" w:type="dxa"/>
            </w:tcMar>
          </w:tcPr>
          <w:p w14:paraId="282C1686">
            <w:pPr>
              <w:spacing w:before="120" w:after="120" w:line="288" w:lineRule="auto"/>
              <w:jc w:val="left"/>
              <w:rPr>
                <w:highlight w:val="none"/>
              </w:rPr>
            </w:pPr>
            <w:r>
              <w:rPr>
                <w:rFonts w:ascii="Arial" w:hAnsi="Arial" w:eastAsia="等线" w:cs="Arial"/>
                <w:sz w:val="22"/>
                <w:highlight w:val="none"/>
              </w:rPr>
              <w:t>/</w:t>
            </w:r>
          </w:p>
        </w:tc>
        <w:tc>
          <w:tcPr>
            <w:tcW w:w="1650" w:type="dxa"/>
            <w:tcMar>
              <w:top w:w="60" w:type="dxa"/>
              <w:left w:w="120" w:type="dxa"/>
              <w:bottom w:w="30" w:type="dxa"/>
              <w:right w:w="120" w:type="dxa"/>
            </w:tcMar>
          </w:tcPr>
          <w:p w14:paraId="76138ECC">
            <w:pPr>
              <w:spacing w:before="120" w:after="120" w:line="288" w:lineRule="auto"/>
              <w:jc w:val="left"/>
              <w:rPr>
                <w:highlight w:val="none"/>
              </w:rPr>
            </w:pPr>
            <w:r>
              <w:rPr>
                <w:rFonts w:ascii="Arial" w:hAnsi="Arial" w:eastAsia="等线" w:cs="Arial"/>
                <w:sz w:val="22"/>
                <w:highlight w:val="none"/>
              </w:rPr>
              <w:t>1台</w:t>
            </w:r>
          </w:p>
        </w:tc>
        <w:tc>
          <w:tcPr>
            <w:tcW w:w="1650" w:type="dxa"/>
            <w:tcMar>
              <w:top w:w="60" w:type="dxa"/>
              <w:left w:w="120" w:type="dxa"/>
              <w:bottom w:w="30" w:type="dxa"/>
              <w:right w:w="120" w:type="dxa"/>
            </w:tcMar>
          </w:tcPr>
          <w:p w14:paraId="3CBA83A7">
            <w:pPr>
              <w:spacing w:before="120" w:after="120" w:line="288" w:lineRule="auto"/>
              <w:jc w:val="left"/>
              <w:rPr>
                <w:highlight w:val="none"/>
              </w:rPr>
            </w:pPr>
            <w:r>
              <w:rPr>
                <w:rFonts w:ascii="Arial" w:hAnsi="Arial" w:eastAsia="等线" w:cs="Arial"/>
                <w:sz w:val="22"/>
                <w:highlight w:val="none"/>
              </w:rPr>
              <w:t>基坑清淤</w:t>
            </w:r>
          </w:p>
        </w:tc>
      </w:tr>
      <w:tr w14:paraId="627024A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652F14F7">
            <w:pPr>
              <w:spacing w:before="120" w:after="120" w:line="288" w:lineRule="auto"/>
              <w:jc w:val="left"/>
              <w:rPr>
                <w:highlight w:val="none"/>
              </w:rPr>
            </w:pPr>
            <w:r>
              <w:rPr>
                <w:rFonts w:ascii="Arial" w:hAnsi="Arial" w:eastAsia="等线" w:cs="Arial"/>
                <w:sz w:val="22"/>
                <w:highlight w:val="none"/>
              </w:rPr>
              <w:t>3</w:t>
            </w:r>
          </w:p>
        </w:tc>
        <w:tc>
          <w:tcPr>
            <w:tcW w:w="1650" w:type="dxa"/>
            <w:tcMar>
              <w:top w:w="60" w:type="dxa"/>
              <w:left w:w="120" w:type="dxa"/>
              <w:bottom w:w="30" w:type="dxa"/>
              <w:right w:w="120" w:type="dxa"/>
            </w:tcMar>
          </w:tcPr>
          <w:p w14:paraId="5A598688">
            <w:pPr>
              <w:spacing w:before="120" w:after="120" w:line="288" w:lineRule="auto"/>
              <w:jc w:val="left"/>
              <w:rPr>
                <w:rFonts w:eastAsia="宋体"/>
                <w:highlight w:val="none"/>
              </w:rPr>
            </w:pPr>
            <w:r>
              <w:rPr>
                <w:rFonts w:hint="eastAsia" w:ascii="Arial" w:hAnsi="Arial" w:eastAsia="等线" w:cs="Arial"/>
                <w:sz w:val="22"/>
                <w:highlight w:val="none"/>
              </w:rPr>
              <w:t>电镐</w:t>
            </w:r>
          </w:p>
        </w:tc>
        <w:tc>
          <w:tcPr>
            <w:tcW w:w="1650" w:type="dxa"/>
            <w:tcMar>
              <w:top w:w="60" w:type="dxa"/>
              <w:left w:w="120" w:type="dxa"/>
              <w:bottom w:w="30" w:type="dxa"/>
              <w:right w:w="120" w:type="dxa"/>
            </w:tcMar>
          </w:tcPr>
          <w:p w14:paraId="1519BA1A">
            <w:pPr>
              <w:spacing w:before="120" w:after="120" w:line="288" w:lineRule="auto"/>
              <w:jc w:val="left"/>
              <w:rPr>
                <w:rFonts w:eastAsia="宋体"/>
                <w:highlight w:val="none"/>
              </w:rPr>
            </w:pPr>
            <w:r>
              <w:rPr>
                <w:rFonts w:hint="eastAsia" w:ascii="Arial" w:hAnsi="Arial" w:eastAsia="等线" w:cs="Arial"/>
                <w:sz w:val="22"/>
                <w:highlight w:val="none"/>
              </w:rPr>
              <w:t>/</w:t>
            </w:r>
          </w:p>
        </w:tc>
        <w:tc>
          <w:tcPr>
            <w:tcW w:w="1650" w:type="dxa"/>
            <w:tcMar>
              <w:top w:w="60" w:type="dxa"/>
              <w:left w:w="120" w:type="dxa"/>
              <w:bottom w:w="30" w:type="dxa"/>
              <w:right w:w="120" w:type="dxa"/>
            </w:tcMar>
          </w:tcPr>
          <w:p w14:paraId="77B4ECB8">
            <w:pPr>
              <w:spacing w:before="120" w:after="120" w:line="288" w:lineRule="auto"/>
              <w:jc w:val="left"/>
              <w:rPr>
                <w:highlight w:val="none"/>
              </w:rPr>
            </w:pPr>
            <w:r>
              <w:rPr>
                <w:rFonts w:hint="eastAsia" w:ascii="Arial" w:hAnsi="Arial" w:eastAsia="等线" w:cs="Arial"/>
                <w:sz w:val="22"/>
                <w:highlight w:val="none"/>
              </w:rPr>
              <w:t>2</w:t>
            </w:r>
            <w:r>
              <w:rPr>
                <w:rFonts w:ascii="Arial" w:hAnsi="Arial" w:eastAsia="等线" w:cs="Arial"/>
                <w:sz w:val="22"/>
                <w:highlight w:val="none"/>
              </w:rPr>
              <w:t>台</w:t>
            </w:r>
          </w:p>
        </w:tc>
        <w:tc>
          <w:tcPr>
            <w:tcW w:w="1650" w:type="dxa"/>
            <w:tcMar>
              <w:top w:w="60" w:type="dxa"/>
              <w:left w:w="120" w:type="dxa"/>
              <w:bottom w:w="30" w:type="dxa"/>
              <w:right w:w="120" w:type="dxa"/>
            </w:tcMar>
          </w:tcPr>
          <w:p w14:paraId="6B4C5920">
            <w:pPr>
              <w:spacing w:before="120" w:after="120" w:line="288" w:lineRule="auto"/>
              <w:jc w:val="left"/>
              <w:rPr>
                <w:rFonts w:eastAsia="宋体"/>
                <w:highlight w:val="none"/>
              </w:rPr>
            </w:pPr>
            <w:r>
              <w:rPr>
                <w:rFonts w:hint="eastAsia" w:ascii="Arial" w:hAnsi="Arial" w:eastAsia="等线" w:cs="Arial"/>
                <w:sz w:val="22"/>
                <w:highlight w:val="none"/>
              </w:rPr>
              <w:t>基础结构破除</w:t>
            </w:r>
          </w:p>
        </w:tc>
      </w:tr>
      <w:tr w14:paraId="7F7F6D9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18E612D">
            <w:pPr>
              <w:spacing w:before="120" w:after="120" w:line="288" w:lineRule="auto"/>
              <w:jc w:val="left"/>
              <w:rPr>
                <w:rFonts w:ascii="Arial" w:hAnsi="Arial" w:eastAsia="等线" w:cs="Arial"/>
                <w:sz w:val="22"/>
                <w:highlight w:val="none"/>
              </w:rPr>
            </w:pPr>
            <w:r>
              <w:rPr>
                <w:rFonts w:hint="eastAsia" w:ascii="Arial" w:hAnsi="Arial" w:eastAsia="等线" w:cs="Arial"/>
                <w:sz w:val="22"/>
                <w:highlight w:val="none"/>
              </w:rPr>
              <w:t>4</w:t>
            </w:r>
          </w:p>
        </w:tc>
        <w:tc>
          <w:tcPr>
            <w:tcW w:w="1650" w:type="dxa"/>
            <w:tcMar>
              <w:top w:w="60" w:type="dxa"/>
              <w:left w:w="120" w:type="dxa"/>
              <w:bottom w:w="30" w:type="dxa"/>
              <w:right w:w="120" w:type="dxa"/>
            </w:tcMar>
          </w:tcPr>
          <w:p w14:paraId="168676AB">
            <w:pPr>
              <w:spacing w:before="120" w:after="120" w:line="288" w:lineRule="auto"/>
              <w:jc w:val="left"/>
              <w:rPr>
                <w:rFonts w:ascii="Arial" w:hAnsi="Arial" w:eastAsia="等线" w:cs="Arial"/>
                <w:sz w:val="22"/>
                <w:highlight w:val="none"/>
              </w:rPr>
            </w:pPr>
            <w:r>
              <w:rPr>
                <w:rFonts w:hint="eastAsia" w:ascii="Arial" w:hAnsi="Arial" w:eastAsia="等线" w:cs="Arial"/>
                <w:sz w:val="22"/>
                <w:highlight w:val="none"/>
              </w:rPr>
              <w:t>风炮</w:t>
            </w:r>
          </w:p>
        </w:tc>
        <w:tc>
          <w:tcPr>
            <w:tcW w:w="1650" w:type="dxa"/>
            <w:tcMar>
              <w:top w:w="60" w:type="dxa"/>
              <w:left w:w="120" w:type="dxa"/>
              <w:bottom w:w="30" w:type="dxa"/>
              <w:right w:w="120" w:type="dxa"/>
            </w:tcMar>
          </w:tcPr>
          <w:p w14:paraId="6F01D54C">
            <w:pPr>
              <w:spacing w:before="120" w:after="120" w:line="288" w:lineRule="auto"/>
              <w:jc w:val="left"/>
              <w:rPr>
                <w:rFonts w:ascii="Arial" w:hAnsi="Arial" w:eastAsia="等线" w:cs="Arial"/>
                <w:sz w:val="22"/>
                <w:highlight w:val="none"/>
              </w:rPr>
            </w:pPr>
            <w:r>
              <w:rPr>
                <w:rFonts w:hint="eastAsia" w:ascii="Arial" w:hAnsi="Arial" w:eastAsia="等线" w:cs="Arial"/>
                <w:sz w:val="22"/>
                <w:highlight w:val="none"/>
              </w:rPr>
              <w:t>/</w:t>
            </w:r>
          </w:p>
        </w:tc>
        <w:tc>
          <w:tcPr>
            <w:tcW w:w="1650" w:type="dxa"/>
            <w:tcMar>
              <w:top w:w="60" w:type="dxa"/>
              <w:left w:w="120" w:type="dxa"/>
              <w:bottom w:w="30" w:type="dxa"/>
              <w:right w:w="120" w:type="dxa"/>
            </w:tcMar>
          </w:tcPr>
          <w:p w14:paraId="49F1AB46">
            <w:pPr>
              <w:spacing w:before="120" w:after="120" w:line="288" w:lineRule="auto"/>
              <w:jc w:val="left"/>
              <w:rPr>
                <w:rFonts w:ascii="Arial" w:hAnsi="Arial" w:eastAsia="等线" w:cs="Arial"/>
                <w:sz w:val="22"/>
                <w:highlight w:val="none"/>
              </w:rPr>
            </w:pPr>
            <w:r>
              <w:rPr>
                <w:rFonts w:hint="eastAsia" w:ascii="Arial" w:hAnsi="Arial" w:eastAsia="等线" w:cs="Arial"/>
                <w:sz w:val="22"/>
                <w:highlight w:val="none"/>
              </w:rPr>
              <w:t>1台</w:t>
            </w:r>
          </w:p>
        </w:tc>
        <w:tc>
          <w:tcPr>
            <w:tcW w:w="1650" w:type="dxa"/>
            <w:tcMar>
              <w:top w:w="60" w:type="dxa"/>
              <w:left w:w="120" w:type="dxa"/>
              <w:bottom w:w="30" w:type="dxa"/>
              <w:right w:w="120" w:type="dxa"/>
            </w:tcMar>
          </w:tcPr>
          <w:p w14:paraId="13EA081C">
            <w:pPr>
              <w:spacing w:before="120" w:after="120" w:line="288" w:lineRule="auto"/>
              <w:jc w:val="left"/>
              <w:rPr>
                <w:rFonts w:ascii="Arial" w:hAnsi="Arial" w:eastAsia="等线" w:cs="Arial"/>
                <w:sz w:val="22"/>
                <w:highlight w:val="none"/>
              </w:rPr>
            </w:pPr>
            <w:r>
              <w:rPr>
                <w:rFonts w:hint="eastAsia" w:ascii="Arial" w:hAnsi="Arial" w:eastAsia="等线" w:cs="Arial"/>
                <w:sz w:val="22"/>
                <w:highlight w:val="none"/>
              </w:rPr>
              <w:t>预埋件拆装</w:t>
            </w:r>
          </w:p>
        </w:tc>
      </w:tr>
      <w:tr w14:paraId="593261D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312D6633">
            <w:pPr>
              <w:spacing w:before="120" w:after="120" w:line="288" w:lineRule="auto"/>
              <w:jc w:val="left"/>
              <w:rPr>
                <w:rFonts w:eastAsia="宋体"/>
                <w:highlight w:val="none"/>
              </w:rPr>
            </w:pPr>
            <w:r>
              <w:rPr>
                <w:rFonts w:hint="eastAsia" w:ascii="Arial" w:hAnsi="Arial" w:eastAsia="等线" w:cs="Arial"/>
                <w:sz w:val="22"/>
                <w:highlight w:val="none"/>
              </w:rPr>
              <w:t>5</w:t>
            </w:r>
          </w:p>
        </w:tc>
        <w:tc>
          <w:tcPr>
            <w:tcW w:w="1650" w:type="dxa"/>
            <w:tcMar>
              <w:top w:w="60" w:type="dxa"/>
              <w:left w:w="120" w:type="dxa"/>
              <w:bottom w:w="30" w:type="dxa"/>
              <w:right w:w="120" w:type="dxa"/>
            </w:tcMar>
          </w:tcPr>
          <w:p w14:paraId="753C171F">
            <w:pPr>
              <w:spacing w:before="120" w:after="120" w:line="288" w:lineRule="auto"/>
              <w:jc w:val="left"/>
              <w:rPr>
                <w:highlight w:val="none"/>
              </w:rPr>
            </w:pPr>
            <w:r>
              <w:rPr>
                <w:rFonts w:ascii="Arial" w:hAnsi="Arial" w:eastAsia="等线" w:cs="Arial"/>
                <w:sz w:val="22"/>
                <w:highlight w:val="none"/>
              </w:rPr>
              <w:t>电焊机</w:t>
            </w:r>
          </w:p>
        </w:tc>
        <w:tc>
          <w:tcPr>
            <w:tcW w:w="1650" w:type="dxa"/>
            <w:tcMar>
              <w:top w:w="60" w:type="dxa"/>
              <w:left w:w="120" w:type="dxa"/>
              <w:bottom w:w="30" w:type="dxa"/>
              <w:right w:w="120" w:type="dxa"/>
            </w:tcMar>
          </w:tcPr>
          <w:p w14:paraId="1D8FF9E4">
            <w:pPr>
              <w:spacing w:before="120" w:after="120" w:line="288" w:lineRule="auto"/>
              <w:jc w:val="left"/>
              <w:rPr>
                <w:highlight w:val="none"/>
              </w:rPr>
            </w:pPr>
            <w:r>
              <w:rPr>
                <w:rFonts w:ascii="Arial" w:hAnsi="Arial" w:eastAsia="等线" w:cs="Arial"/>
                <w:sz w:val="22"/>
                <w:highlight w:val="none"/>
              </w:rPr>
              <w:t>/</w:t>
            </w:r>
          </w:p>
        </w:tc>
        <w:tc>
          <w:tcPr>
            <w:tcW w:w="1650" w:type="dxa"/>
            <w:tcMar>
              <w:top w:w="60" w:type="dxa"/>
              <w:left w:w="120" w:type="dxa"/>
              <w:bottom w:w="30" w:type="dxa"/>
              <w:right w:w="120" w:type="dxa"/>
            </w:tcMar>
          </w:tcPr>
          <w:p w14:paraId="14BBBE78">
            <w:pPr>
              <w:spacing w:before="120" w:after="120" w:line="288" w:lineRule="auto"/>
              <w:jc w:val="left"/>
              <w:rPr>
                <w:highlight w:val="none"/>
              </w:rPr>
            </w:pPr>
            <w:r>
              <w:rPr>
                <w:rFonts w:hint="eastAsia" w:ascii="Arial" w:hAnsi="Arial" w:eastAsia="等线" w:cs="Arial"/>
                <w:sz w:val="22"/>
                <w:highlight w:val="none"/>
              </w:rPr>
              <w:t>1</w:t>
            </w:r>
            <w:r>
              <w:rPr>
                <w:rFonts w:ascii="Arial" w:hAnsi="Arial" w:eastAsia="等线" w:cs="Arial"/>
                <w:sz w:val="22"/>
                <w:highlight w:val="none"/>
              </w:rPr>
              <w:t>台</w:t>
            </w:r>
          </w:p>
        </w:tc>
        <w:tc>
          <w:tcPr>
            <w:tcW w:w="1650" w:type="dxa"/>
            <w:tcMar>
              <w:top w:w="60" w:type="dxa"/>
              <w:left w:w="120" w:type="dxa"/>
              <w:bottom w:w="30" w:type="dxa"/>
              <w:right w:w="120" w:type="dxa"/>
            </w:tcMar>
          </w:tcPr>
          <w:p w14:paraId="27868DA9">
            <w:pPr>
              <w:spacing w:before="120" w:after="120" w:line="288" w:lineRule="auto"/>
              <w:jc w:val="left"/>
              <w:rPr>
                <w:highlight w:val="none"/>
              </w:rPr>
            </w:pPr>
            <w:r>
              <w:rPr>
                <w:rFonts w:ascii="Arial" w:hAnsi="Arial" w:eastAsia="等线" w:cs="Arial"/>
                <w:sz w:val="22"/>
                <w:highlight w:val="none"/>
              </w:rPr>
              <w:t>预埋件焊接</w:t>
            </w:r>
          </w:p>
        </w:tc>
      </w:tr>
      <w:tr w14:paraId="1596BFA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FEF7945">
            <w:pPr>
              <w:spacing w:before="120" w:after="120" w:line="288" w:lineRule="auto"/>
              <w:jc w:val="left"/>
              <w:rPr>
                <w:rFonts w:eastAsia="宋体"/>
                <w:highlight w:val="none"/>
              </w:rPr>
            </w:pPr>
            <w:r>
              <w:rPr>
                <w:rFonts w:hint="eastAsia" w:ascii="Arial" w:hAnsi="Arial" w:eastAsia="等线" w:cs="Arial"/>
                <w:sz w:val="22"/>
                <w:highlight w:val="none"/>
              </w:rPr>
              <w:t>6</w:t>
            </w:r>
          </w:p>
        </w:tc>
        <w:tc>
          <w:tcPr>
            <w:tcW w:w="1650" w:type="dxa"/>
            <w:tcMar>
              <w:top w:w="60" w:type="dxa"/>
              <w:left w:w="120" w:type="dxa"/>
              <w:bottom w:w="30" w:type="dxa"/>
              <w:right w:w="120" w:type="dxa"/>
            </w:tcMar>
          </w:tcPr>
          <w:p w14:paraId="3B655F55">
            <w:pPr>
              <w:spacing w:before="120" w:after="120" w:line="288" w:lineRule="auto"/>
              <w:jc w:val="left"/>
              <w:rPr>
                <w:highlight w:val="none"/>
              </w:rPr>
            </w:pPr>
            <w:r>
              <w:rPr>
                <w:rFonts w:ascii="Arial" w:hAnsi="Arial" w:eastAsia="等线" w:cs="Arial"/>
                <w:sz w:val="22"/>
                <w:highlight w:val="none"/>
              </w:rPr>
              <w:t>水准仪</w:t>
            </w:r>
          </w:p>
        </w:tc>
        <w:tc>
          <w:tcPr>
            <w:tcW w:w="1650" w:type="dxa"/>
            <w:tcMar>
              <w:top w:w="60" w:type="dxa"/>
              <w:left w:w="120" w:type="dxa"/>
              <w:bottom w:w="30" w:type="dxa"/>
              <w:right w:w="120" w:type="dxa"/>
            </w:tcMar>
          </w:tcPr>
          <w:p w14:paraId="2046B22F">
            <w:pPr>
              <w:spacing w:before="120" w:after="120" w:line="288" w:lineRule="auto"/>
              <w:jc w:val="left"/>
              <w:rPr>
                <w:highlight w:val="none"/>
              </w:rPr>
            </w:pPr>
            <w:r>
              <w:rPr>
                <w:rFonts w:ascii="Arial" w:hAnsi="Arial" w:eastAsia="等线" w:cs="Arial"/>
                <w:sz w:val="22"/>
                <w:highlight w:val="none"/>
              </w:rPr>
              <w:t>/</w:t>
            </w:r>
          </w:p>
        </w:tc>
        <w:tc>
          <w:tcPr>
            <w:tcW w:w="1650" w:type="dxa"/>
            <w:tcMar>
              <w:top w:w="60" w:type="dxa"/>
              <w:left w:w="120" w:type="dxa"/>
              <w:bottom w:w="30" w:type="dxa"/>
              <w:right w:w="120" w:type="dxa"/>
            </w:tcMar>
          </w:tcPr>
          <w:p w14:paraId="7FBE462B">
            <w:pPr>
              <w:spacing w:before="120" w:after="120" w:line="288" w:lineRule="auto"/>
              <w:jc w:val="left"/>
              <w:rPr>
                <w:highlight w:val="none"/>
              </w:rPr>
            </w:pPr>
            <w:r>
              <w:rPr>
                <w:rFonts w:ascii="Arial" w:hAnsi="Arial" w:eastAsia="等线" w:cs="Arial"/>
                <w:sz w:val="22"/>
                <w:highlight w:val="none"/>
              </w:rPr>
              <w:t>1台</w:t>
            </w:r>
          </w:p>
        </w:tc>
        <w:tc>
          <w:tcPr>
            <w:tcW w:w="1650" w:type="dxa"/>
            <w:tcMar>
              <w:top w:w="60" w:type="dxa"/>
              <w:left w:w="120" w:type="dxa"/>
              <w:bottom w:w="30" w:type="dxa"/>
              <w:right w:w="120" w:type="dxa"/>
            </w:tcMar>
          </w:tcPr>
          <w:p w14:paraId="1BA6AA9F">
            <w:pPr>
              <w:spacing w:before="120" w:after="120" w:line="288" w:lineRule="auto"/>
              <w:jc w:val="left"/>
              <w:rPr>
                <w:highlight w:val="none"/>
              </w:rPr>
            </w:pPr>
            <w:r>
              <w:rPr>
                <w:rFonts w:ascii="Arial" w:hAnsi="Arial" w:eastAsia="等线" w:cs="Arial"/>
                <w:sz w:val="22"/>
                <w:highlight w:val="none"/>
              </w:rPr>
              <w:t>标高检测</w:t>
            </w:r>
          </w:p>
        </w:tc>
      </w:tr>
    </w:tbl>
    <w:p w14:paraId="34F1F1F2">
      <w:pPr>
        <w:pBdr>
          <w:bottom w:val="single" w:color="DEE0E3" w:sz="2" w:space="0"/>
          <w:between w:val="single" w:color="DEE0E3" w:sz="2" w:space="0"/>
        </w:pBdr>
        <w:spacing w:before="120" w:after="120" w:line="288" w:lineRule="auto"/>
        <w:rPr>
          <w:highlight w:val="none"/>
        </w:rPr>
      </w:pPr>
    </w:p>
    <w:p w14:paraId="18BF1D01">
      <w:pPr>
        <w:spacing w:before="320" w:after="120" w:line="288" w:lineRule="auto"/>
        <w:jc w:val="left"/>
        <w:outlineLvl w:val="1"/>
        <w:rPr>
          <w:highlight w:val="none"/>
        </w:rPr>
      </w:pPr>
      <w:bookmarkStart w:id="14" w:name="heading_14"/>
      <w:r>
        <w:rPr>
          <w:rFonts w:ascii="Arial" w:hAnsi="Arial" w:eastAsia="等线" w:cs="Arial"/>
          <w:b/>
          <w:sz w:val="32"/>
          <w:highlight w:val="none"/>
        </w:rPr>
        <w:t>第四章 主要施工技术方案及措施</w:t>
      </w:r>
      <w:bookmarkEnd w:id="14"/>
    </w:p>
    <w:p w14:paraId="3E489B20">
      <w:pPr>
        <w:spacing w:before="300" w:after="120" w:line="288" w:lineRule="auto"/>
        <w:jc w:val="left"/>
        <w:outlineLvl w:val="2"/>
        <w:rPr>
          <w:highlight w:val="none"/>
        </w:rPr>
      </w:pPr>
      <w:bookmarkStart w:id="15" w:name="heading_15"/>
      <w:r>
        <w:rPr>
          <w:rFonts w:ascii="Arial" w:hAnsi="Arial" w:eastAsia="等线" w:cs="Arial"/>
          <w:b/>
          <w:sz w:val="30"/>
          <w:highlight w:val="none"/>
        </w:rPr>
        <w:t>4.1 交通管制与现场防护</w:t>
      </w:r>
      <w:bookmarkEnd w:id="15"/>
    </w:p>
    <w:p w14:paraId="1A960461">
      <w:pPr>
        <w:numPr>
          <w:ilvl w:val="0"/>
          <w:numId w:val="7"/>
        </w:numPr>
        <w:spacing w:before="120" w:after="120" w:line="288" w:lineRule="auto"/>
        <w:jc w:val="left"/>
        <w:rPr>
          <w:highlight w:val="none"/>
        </w:rPr>
      </w:pPr>
      <w:r>
        <w:rPr>
          <w:rFonts w:ascii="Arial" w:hAnsi="Arial" w:eastAsia="等线" w:cs="Arial"/>
          <w:b/>
          <w:sz w:val="22"/>
          <w:highlight w:val="none"/>
        </w:rPr>
        <w:t>管制布设</w:t>
      </w:r>
      <w:r>
        <w:rPr>
          <w:rFonts w:ascii="Arial" w:hAnsi="Arial" w:eastAsia="等线" w:cs="Arial"/>
          <w:sz w:val="22"/>
          <w:highlight w:val="none"/>
        </w:rPr>
        <w:t>：在收费站500m、200m、50m处设置“车道封闭”、“施工慢行”提示牌。</w:t>
      </w:r>
    </w:p>
    <w:p w14:paraId="39700BA0">
      <w:pPr>
        <w:numPr>
          <w:ilvl w:val="0"/>
          <w:numId w:val="8"/>
        </w:numPr>
        <w:spacing w:before="120" w:after="120" w:line="288" w:lineRule="auto"/>
        <w:jc w:val="left"/>
        <w:rPr>
          <w:highlight w:val="none"/>
        </w:rPr>
      </w:pPr>
      <w:r>
        <w:rPr>
          <w:rFonts w:ascii="Arial" w:hAnsi="Arial" w:eastAsia="等线" w:cs="Arial"/>
          <w:b/>
          <w:sz w:val="22"/>
          <w:highlight w:val="none"/>
        </w:rPr>
        <w:t>作业区封闭</w:t>
      </w:r>
      <w:r>
        <w:rPr>
          <w:rFonts w:ascii="Arial" w:hAnsi="Arial" w:eastAsia="等线" w:cs="Arial"/>
          <w:sz w:val="22"/>
          <w:highlight w:val="none"/>
        </w:rPr>
        <w:t>：采用</w:t>
      </w:r>
      <w:r>
        <w:rPr>
          <w:rFonts w:hint="eastAsia" w:ascii="Arial" w:hAnsi="Arial" w:eastAsia="等线" w:cs="Arial"/>
          <w:sz w:val="22"/>
          <w:highlight w:val="none"/>
        </w:rPr>
        <w:t>水马或</w:t>
      </w:r>
      <w:r>
        <w:rPr>
          <w:rFonts w:ascii="Arial" w:hAnsi="Arial" w:eastAsia="等线" w:cs="Arial"/>
          <w:sz w:val="22"/>
          <w:highlight w:val="none"/>
        </w:rPr>
        <w:t>1.8m高硬质围挡封闭作业区域，设置警示灯，确保夜间可视。</w:t>
      </w:r>
    </w:p>
    <w:p w14:paraId="02CF3DEF">
      <w:pPr>
        <w:numPr>
          <w:ilvl w:val="0"/>
          <w:numId w:val="9"/>
        </w:numPr>
        <w:spacing w:before="120" w:after="120" w:line="288" w:lineRule="auto"/>
        <w:jc w:val="left"/>
        <w:rPr>
          <w:highlight w:val="none"/>
        </w:rPr>
      </w:pPr>
      <w:r>
        <w:rPr>
          <w:rFonts w:ascii="Arial" w:hAnsi="Arial" w:eastAsia="等线" w:cs="Arial"/>
          <w:b/>
          <w:sz w:val="22"/>
          <w:highlight w:val="none"/>
        </w:rPr>
        <w:t>人员管理</w:t>
      </w:r>
      <w:r>
        <w:rPr>
          <w:rFonts w:ascii="Arial" w:hAnsi="Arial" w:eastAsia="等线" w:cs="Arial"/>
          <w:sz w:val="22"/>
          <w:highlight w:val="none"/>
        </w:rPr>
        <w:t>：施工人员穿戴反光背心</w:t>
      </w:r>
      <w:r>
        <w:rPr>
          <w:rFonts w:hint="eastAsia" w:ascii="Arial" w:hAnsi="Arial" w:eastAsia="等线" w:cs="Arial"/>
          <w:sz w:val="22"/>
          <w:highlight w:val="none"/>
        </w:rPr>
        <w:t>及安全帽</w:t>
      </w:r>
      <w:r>
        <w:rPr>
          <w:rFonts w:ascii="Arial" w:hAnsi="Arial" w:eastAsia="等线" w:cs="Arial"/>
          <w:sz w:val="22"/>
          <w:highlight w:val="none"/>
        </w:rPr>
        <w:t>，严禁非作业人员进入</w:t>
      </w:r>
      <w:r>
        <w:rPr>
          <w:rFonts w:hint="eastAsia" w:ascii="Arial" w:hAnsi="Arial" w:eastAsia="等线" w:cs="Arial"/>
          <w:sz w:val="22"/>
          <w:highlight w:val="none"/>
        </w:rPr>
        <w:t>施工区域</w:t>
      </w:r>
      <w:r>
        <w:rPr>
          <w:rFonts w:ascii="Arial" w:hAnsi="Arial" w:eastAsia="等线" w:cs="Arial"/>
          <w:sz w:val="22"/>
          <w:highlight w:val="none"/>
        </w:rPr>
        <w:t>。</w:t>
      </w:r>
    </w:p>
    <w:p w14:paraId="75D8157B">
      <w:pPr>
        <w:spacing w:before="300" w:after="120" w:line="288" w:lineRule="auto"/>
        <w:jc w:val="left"/>
        <w:outlineLvl w:val="2"/>
        <w:rPr>
          <w:highlight w:val="none"/>
        </w:rPr>
      </w:pPr>
      <w:bookmarkStart w:id="16" w:name="heading_16"/>
      <w:r>
        <w:rPr>
          <w:rFonts w:ascii="Arial" w:hAnsi="Arial" w:eastAsia="等线" w:cs="Arial"/>
          <w:b/>
          <w:sz w:val="30"/>
          <w:highlight w:val="none"/>
        </w:rPr>
        <w:t>4.2 基础维修施工方案（核心）</w:t>
      </w:r>
      <w:bookmarkEnd w:id="16"/>
    </w:p>
    <w:p w14:paraId="6DF9C060">
      <w:pPr>
        <w:spacing w:before="260" w:after="120" w:line="288" w:lineRule="auto"/>
        <w:jc w:val="left"/>
        <w:outlineLvl w:val="3"/>
        <w:rPr>
          <w:highlight w:val="none"/>
        </w:rPr>
      </w:pPr>
      <w:bookmarkStart w:id="17" w:name="heading_17"/>
      <w:r>
        <w:rPr>
          <w:rFonts w:ascii="Arial" w:hAnsi="Arial" w:eastAsia="等线" w:cs="Arial"/>
          <w:b/>
          <w:sz w:val="28"/>
          <w:highlight w:val="none"/>
        </w:rPr>
        <w:t>4.2.1 秤体吊装与保护</w:t>
      </w:r>
      <w:bookmarkEnd w:id="17"/>
    </w:p>
    <w:p w14:paraId="1CDBB379">
      <w:pPr>
        <w:numPr>
          <w:ilvl w:val="0"/>
          <w:numId w:val="10"/>
        </w:numPr>
        <w:spacing w:before="120" w:after="120" w:line="288" w:lineRule="auto"/>
        <w:jc w:val="left"/>
        <w:rPr>
          <w:highlight w:val="none"/>
        </w:rPr>
      </w:pPr>
      <w:r>
        <w:rPr>
          <w:rFonts w:ascii="Arial" w:hAnsi="Arial" w:eastAsia="等线" w:cs="Arial"/>
          <w:sz w:val="22"/>
          <w:highlight w:val="none"/>
        </w:rPr>
        <w:t>吊车就位，使用专用吊具平稳吊起原秤体。</w:t>
      </w:r>
    </w:p>
    <w:p w14:paraId="56603012">
      <w:pPr>
        <w:numPr>
          <w:ilvl w:val="0"/>
          <w:numId w:val="11"/>
        </w:numPr>
        <w:spacing w:before="120" w:after="120" w:line="288" w:lineRule="auto"/>
        <w:jc w:val="left"/>
        <w:rPr>
          <w:highlight w:val="none"/>
        </w:rPr>
      </w:pPr>
      <w:r>
        <w:rPr>
          <w:rFonts w:ascii="Arial" w:hAnsi="Arial" w:eastAsia="等线" w:cs="Arial"/>
          <w:sz w:val="22"/>
          <w:highlight w:val="none"/>
        </w:rPr>
        <w:t>将秤体移至</w:t>
      </w:r>
      <w:r>
        <w:rPr>
          <w:rFonts w:hint="eastAsia" w:ascii="Arial" w:hAnsi="Arial" w:eastAsia="等线" w:cs="Arial"/>
          <w:sz w:val="22"/>
          <w:highlight w:val="none"/>
        </w:rPr>
        <w:t>基坑前方或后方</w:t>
      </w:r>
      <w:r>
        <w:rPr>
          <w:rFonts w:ascii="Arial" w:hAnsi="Arial" w:eastAsia="等线" w:cs="Arial"/>
          <w:sz w:val="22"/>
          <w:highlight w:val="none"/>
        </w:rPr>
        <w:t>平整空地放置</w:t>
      </w:r>
      <w:r>
        <w:rPr>
          <w:rFonts w:hint="eastAsia" w:ascii="Arial" w:hAnsi="Arial" w:eastAsia="等线" w:cs="Arial"/>
          <w:sz w:val="22"/>
          <w:highlight w:val="none"/>
        </w:rPr>
        <w:t>，四周用警戒线包围。</w:t>
      </w:r>
    </w:p>
    <w:p w14:paraId="05562A86">
      <w:pPr>
        <w:spacing w:before="260" w:after="120" w:line="288" w:lineRule="auto"/>
        <w:jc w:val="left"/>
        <w:outlineLvl w:val="3"/>
        <w:rPr>
          <w:highlight w:val="none"/>
        </w:rPr>
      </w:pPr>
      <w:bookmarkStart w:id="18" w:name="heading_18"/>
      <w:r>
        <w:rPr>
          <w:rFonts w:ascii="Arial" w:hAnsi="Arial" w:eastAsia="等线" w:cs="Arial"/>
          <w:b/>
          <w:sz w:val="28"/>
          <w:highlight w:val="none"/>
        </w:rPr>
        <w:t>4.2.2 基坑清淤与破除</w:t>
      </w:r>
      <w:bookmarkEnd w:id="18"/>
    </w:p>
    <w:p w14:paraId="599A9126">
      <w:pPr>
        <w:numPr>
          <w:ilvl w:val="0"/>
          <w:numId w:val="12"/>
        </w:numPr>
        <w:spacing w:before="120" w:after="120" w:line="288" w:lineRule="auto"/>
        <w:jc w:val="left"/>
        <w:rPr>
          <w:highlight w:val="none"/>
        </w:rPr>
      </w:pPr>
      <w:r>
        <w:rPr>
          <w:rFonts w:ascii="Arial" w:hAnsi="Arial" w:eastAsia="等线" w:cs="Arial"/>
          <w:b/>
          <w:sz w:val="22"/>
          <w:highlight w:val="none"/>
        </w:rPr>
        <w:t>清淤</w:t>
      </w:r>
      <w:r>
        <w:rPr>
          <w:rFonts w:ascii="Arial" w:hAnsi="Arial" w:eastAsia="等线" w:cs="Arial"/>
          <w:sz w:val="22"/>
          <w:highlight w:val="none"/>
        </w:rPr>
        <w:t>：组织人员/机械清理基坑内淤泥及积水，杂物装车外运。</w:t>
      </w:r>
    </w:p>
    <w:p w14:paraId="5FA63C62">
      <w:pPr>
        <w:numPr>
          <w:ilvl w:val="0"/>
          <w:numId w:val="13"/>
        </w:numPr>
        <w:spacing w:before="120" w:after="120" w:line="288" w:lineRule="auto"/>
        <w:jc w:val="left"/>
        <w:rPr>
          <w:highlight w:val="none"/>
        </w:rPr>
      </w:pPr>
      <w:r>
        <w:rPr>
          <w:rFonts w:ascii="Arial" w:hAnsi="Arial" w:eastAsia="等线" w:cs="Arial"/>
          <w:b/>
          <w:sz w:val="22"/>
          <w:highlight w:val="none"/>
        </w:rPr>
        <w:t>破除</w:t>
      </w:r>
      <w:r>
        <w:rPr>
          <w:rFonts w:ascii="Arial" w:hAnsi="Arial" w:eastAsia="等线" w:cs="Arial"/>
          <w:sz w:val="22"/>
          <w:highlight w:val="none"/>
        </w:rPr>
        <w:t>：</w:t>
      </w:r>
      <w:r>
        <w:rPr>
          <w:rFonts w:hint="eastAsia" w:ascii="Arial" w:hAnsi="Arial" w:eastAsia="等线" w:cs="Arial"/>
          <w:sz w:val="22"/>
          <w:highlight w:val="none"/>
        </w:rPr>
        <w:t>电</w:t>
      </w:r>
      <w:r>
        <w:rPr>
          <w:rFonts w:ascii="Arial" w:hAnsi="Arial" w:eastAsia="等线" w:cs="Arial"/>
          <w:sz w:val="22"/>
          <w:highlight w:val="none"/>
        </w:rPr>
        <w:t>镐破除沉降及开裂混凝土。</w:t>
      </w:r>
    </w:p>
    <w:p w14:paraId="6D6E0953">
      <w:pPr>
        <w:spacing w:before="260" w:after="120" w:line="288" w:lineRule="auto"/>
        <w:jc w:val="left"/>
        <w:outlineLvl w:val="3"/>
        <w:rPr>
          <w:highlight w:val="none"/>
        </w:rPr>
      </w:pPr>
      <w:bookmarkStart w:id="19" w:name="heading_19"/>
      <w:r>
        <w:rPr>
          <w:rFonts w:ascii="Arial" w:hAnsi="Arial" w:eastAsia="等线" w:cs="Arial"/>
          <w:b/>
          <w:sz w:val="28"/>
          <w:highlight w:val="none"/>
        </w:rPr>
        <w:t>4.2.3 预埋件及角钢修复</w:t>
      </w:r>
      <w:bookmarkEnd w:id="19"/>
    </w:p>
    <w:p w14:paraId="4C889407">
      <w:pPr>
        <w:numPr>
          <w:ilvl w:val="0"/>
          <w:numId w:val="14"/>
        </w:numPr>
        <w:spacing w:before="120" w:after="120" w:line="288" w:lineRule="auto"/>
        <w:jc w:val="left"/>
        <w:rPr>
          <w:highlight w:val="none"/>
        </w:rPr>
      </w:pPr>
      <w:r>
        <w:rPr>
          <w:rFonts w:ascii="Arial" w:hAnsi="Arial" w:eastAsia="等线" w:cs="Arial"/>
          <w:sz w:val="22"/>
          <w:highlight w:val="none"/>
        </w:rPr>
        <w:t>拆除断裂、锈蚀的预埋件及角钢。</w:t>
      </w:r>
    </w:p>
    <w:p w14:paraId="433B5EA9">
      <w:pPr>
        <w:numPr>
          <w:ilvl w:val="0"/>
          <w:numId w:val="15"/>
        </w:numPr>
        <w:spacing w:before="120" w:after="120" w:line="288" w:lineRule="auto"/>
        <w:jc w:val="left"/>
        <w:rPr>
          <w:highlight w:val="none"/>
        </w:rPr>
      </w:pPr>
      <w:r>
        <w:rPr>
          <w:rFonts w:ascii="Arial" w:hAnsi="Arial" w:eastAsia="等线" w:cs="Arial"/>
          <w:b/>
          <w:sz w:val="22"/>
          <w:highlight w:val="none"/>
        </w:rPr>
        <w:t>新件安装</w:t>
      </w:r>
      <w:r>
        <w:rPr>
          <w:rFonts w:ascii="Arial" w:hAnsi="Arial" w:eastAsia="等线" w:cs="Arial"/>
          <w:sz w:val="22"/>
          <w:highlight w:val="none"/>
        </w:rPr>
        <w:t>：安装新预埋件及加厚角钢，焊接牢固，确保预埋件水平度≤</w:t>
      </w:r>
      <w:r>
        <w:rPr>
          <w:rFonts w:hint="eastAsia" w:ascii="Arial" w:hAnsi="Arial" w:eastAsia="等线" w:cs="Arial"/>
          <w:sz w:val="22"/>
          <w:highlight w:val="none"/>
        </w:rPr>
        <w:t>3</w:t>
      </w:r>
      <w:r>
        <w:rPr>
          <w:rFonts w:ascii="Arial" w:hAnsi="Arial" w:eastAsia="等线" w:cs="Arial"/>
          <w:sz w:val="22"/>
          <w:highlight w:val="none"/>
        </w:rPr>
        <w:t>mm，间距偏差≤</w:t>
      </w:r>
      <w:r>
        <w:rPr>
          <w:rFonts w:hint="eastAsia" w:ascii="Arial" w:hAnsi="Arial" w:eastAsia="等线" w:cs="Arial"/>
          <w:sz w:val="22"/>
          <w:highlight w:val="none"/>
        </w:rPr>
        <w:t>5</w:t>
      </w:r>
      <w:r>
        <w:rPr>
          <w:rFonts w:ascii="Arial" w:hAnsi="Arial" w:eastAsia="等线" w:cs="Arial"/>
          <w:sz w:val="22"/>
          <w:highlight w:val="none"/>
        </w:rPr>
        <w:t>mm。</w:t>
      </w:r>
    </w:p>
    <w:p w14:paraId="29C1E7E9">
      <w:pPr>
        <w:spacing w:before="260" w:after="120" w:line="288" w:lineRule="auto"/>
        <w:jc w:val="left"/>
        <w:outlineLvl w:val="3"/>
        <w:rPr>
          <w:rFonts w:eastAsia="等线"/>
          <w:highlight w:val="none"/>
        </w:rPr>
      </w:pPr>
      <w:bookmarkStart w:id="20" w:name="heading_20"/>
      <w:r>
        <w:rPr>
          <w:rFonts w:ascii="Arial" w:hAnsi="Arial" w:eastAsia="等线" w:cs="Arial"/>
          <w:b/>
          <w:sz w:val="28"/>
          <w:highlight w:val="none"/>
        </w:rPr>
        <w:t>4.2.4 排水系统</w:t>
      </w:r>
      <w:bookmarkEnd w:id="20"/>
      <w:r>
        <w:rPr>
          <w:rFonts w:hint="eastAsia" w:ascii="Arial" w:hAnsi="Arial" w:eastAsia="等线" w:cs="Arial"/>
          <w:b/>
          <w:sz w:val="28"/>
          <w:highlight w:val="none"/>
        </w:rPr>
        <w:t>检查</w:t>
      </w:r>
    </w:p>
    <w:p w14:paraId="7B276C60">
      <w:pPr>
        <w:numPr>
          <w:ilvl w:val="0"/>
          <w:numId w:val="16"/>
        </w:numPr>
        <w:spacing w:before="120" w:after="120" w:line="288" w:lineRule="auto"/>
        <w:jc w:val="left"/>
        <w:rPr>
          <w:highlight w:val="none"/>
        </w:rPr>
      </w:pPr>
      <w:r>
        <w:rPr>
          <w:rFonts w:hint="eastAsia" w:ascii="Arial" w:hAnsi="Arial" w:eastAsia="等线" w:cs="Arial"/>
          <w:sz w:val="22"/>
          <w:highlight w:val="none"/>
        </w:rPr>
        <w:t>检查</w:t>
      </w:r>
      <w:r>
        <w:rPr>
          <w:rFonts w:ascii="Arial" w:hAnsi="Arial" w:eastAsia="等线" w:cs="Arial"/>
          <w:sz w:val="22"/>
          <w:highlight w:val="none"/>
        </w:rPr>
        <w:t>基坑底部铺设排水管</w:t>
      </w:r>
      <w:r>
        <w:rPr>
          <w:rFonts w:hint="eastAsia" w:ascii="Arial" w:hAnsi="Arial" w:eastAsia="等线" w:cs="Arial"/>
          <w:sz w:val="22"/>
          <w:highlight w:val="none"/>
        </w:rPr>
        <w:t>是否通畅。</w:t>
      </w:r>
    </w:p>
    <w:p w14:paraId="0B88C06E">
      <w:pPr>
        <w:numPr>
          <w:ilvl w:val="0"/>
          <w:numId w:val="17"/>
        </w:numPr>
        <w:spacing w:before="120" w:after="120" w:line="288" w:lineRule="auto"/>
        <w:jc w:val="left"/>
        <w:rPr>
          <w:highlight w:val="none"/>
        </w:rPr>
      </w:pPr>
      <w:r>
        <w:rPr>
          <w:rFonts w:ascii="Arial" w:hAnsi="Arial" w:eastAsia="等线" w:cs="Arial"/>
          <w:sz w:val="22"/>
          <w:highlight w:val="none"/>
        </w:rPr>
        <w:t>确保</w:t>
      </w:r>
      <w:r>
        <w:rPr>
          <w:rFonts w:hint="eastAsia" w:ascii="Arial" w:hAnsi="Arial" w:eastAsia="等线" w:cs="Arial"/>
          <w:sz w:val="22"/>
          <w:highlight w:val="none"/>
        </w:rPr>
        <w:t>基坑内</w:t>
      </w:r>
      <w:r>
        <w:rPr>
          <w:rFonts w:ascii="Arial" w:hAnsi="Arial" w:eastAsia="等线" w:cs="Arial"/>
          <w:sz w:val="22"/>
          <w:highlight w:val="none"/>
        </w:rPr>
        <w:t>排水顺畅，无积水隐患。</w:t>
      </w:r>
    </w:p>
    <w:p w14:paraId="234FCE98">
      <w:pPr>
        <w:spacing w:before="260" w:after="120" w:line="288" w:lineRule="auto"/>
        <w:jc w:val="left"/>
        <w:outlineLvl w:val="3"/>
        <w:rPr>
          <w:rFonts w:eastAsia="等线"/>
          <w:highlight w:val="none"/>
        </w:rPr>
      </w:pPr>
      <w:bookmarkStart w:id="21" w:name="heading_21"/>
      <w:r>
        <w:rPr>
          <w:rFonts w:ascii="Arial" w:hAnsi="Arial" w:eastAsia="等线" w:cs="Arial"/>
          <w:b/>
          <w:sz w:val="28"/>
          <w:highlight w:val="none"/>
        </w:rPr>
        <w:t xml:space="preserve">4.2.5 </w:t>
      </w:r>
      <w:bookmarkEnd w:id="21"/>
      <w:r>
        <w:rPr>
          <w:rFonts w:hint="eastAsia" w:ascii="Arial" w:hAnsi="Arial" w:eastAsia="等线" w:cs="Arial"/>
          <w:b/>
          <w:sz w:val="28"/>
          <w:highlight w:val="none"/>
        </w:rPr>
        <w:t>基础结构修复</w:t>
      </w:r>
    </w:p>
    <w:p w14:paraId="11849912">
      <w:pPr>
        <w:numPr>
          <w:ilvl w:val="0"/>
          <w:numId w:val="18"/>
        </w:numPr>
        <w:spacing w:before="120" w:after="120" w:line="288" w:lineRule="auto"/>
        <w:jc w:val="left"/>
        <w:rPr>
          <w:highlight w:val="none"/>
        </w:rPr>
      </w:pPr>
      <w:r>
        <w:rPr>
          <w:rFonts w:hint="eastAsia" w:ascii="Arial" w:hAnsi="Arial" w:eastAsia="等线" w:cs="Arial"/>
          <w:sz w:val="22"/>
          <w:highlight w:val="none"/>
        </w:rPr>
        <w:t>材料：灌浆料</w:t>
      </w:r>
      <w:r>
        <w:rPr>
          <w:rFonts w:ascii="Arial" w:hAnsi="Arial" w:eastAsia="等线" w:cs="Arial"/>
          <w:sz w:val="22"/>
          <w:highlight w:val="none"/>
        </w:rPr>
        <w:t>。</w:t>
      </w:r>
    </w:p>
    <w:p w14:paraId="67ED2A6A">
      <w:pPr>
        <w:numPr>
          <w:ilvl w:val="0"/>
          <w:numId w:val="19"/>
        </w:numPr>
        <w:spacing w:before="120" w:after="120" w:line="288" w:lineRule="auto"/>
        <w:jc w:val="left"/>
        <w:rPr>
          <w:highlight w:val="none"/>
        </w:rPr>
      </w:pPr>
      <w:r>
        <w:rPr>
          <w:rFonts w:ascii="Arial" w:hAnsi="Arial" w:eastAsia="等线" w:cs="Arial"/>
          <w:bCs/>
          <w:sz w:val="22"/>
          <w:highlight w:val="none"/>
        </w:rPr>
        <w:t>养护</w:t>
      </w:r>
      <w:r>
        <w:rPr>
          <w:rFonts w:ascii="Arial" w:hAnsi="Arial" w:eastAsia="等线" w:cs="Arial"/>
          <w:sz w:val="22"/>
          <w:highlight w:val="none"/>
        </w:rPr>
        <w:t>：</w:t>
      </w:r>
      <w:r>
        <w:rPr>
          <w:rFonts w:hint="eastAsia" w:ascii="Arial" w:hAnsi="Arial" w:eastAsia="等线" w:cs="Arial"/>
          <w:sz w:val="22"/>
          <w:highlight w:val="none"/>
        </w:rPr>
        <w:t>修复</w:t>
      </w:r>
      <w:r>
        <w:rPr>
          <w:rFonts w:ascii="Arial" w:hAnsi="Arial" w:eastAsia="等线" w:cs="Arial"/>
          <w:sz w:val="22"/>
          <w:highlight w:val="none"/>
        </w:rPr>
        <w:t>完成后养护</w:t>
      </w:r>
      <w:r>
        <w:rPr>
          <w:rFonts w:ascii="Arial" w:hAnsi="Arial" w:eastAsia="等线" w:cs="Arial"/>
          <w:b/>
          <w:sz w:val="22"/>
          <w:highlight w:val="none"/>
        </w:rPr>
        <w:t>≥</w:t>
      </w:r>
      <w:r>
        <w:rPr>
          <w:rFonts w:hint="eastAsia" w:ascii="Arial" w:hAnsi="Arial" w:eastAsia="等线" w:cs="Arial"/>
          <w:b/>
          <w:sz w:val="22"/>
          <w:highlight w:val="none"/>
        </w:rPr>
        <w:t>48</w:t>
      </w:r>
      <w:r>
        <w:rPr>
          <w:rFonts w:ascii="Arial" w:hAnsi="Arial" w:eastAsia="等线" w:cs="Arial"/>
          <w:b/>
          <w:sz w:val="22"/>
          <w:highlight w:val="none"/>
        </w:rPr>
        <w:t>小时</w:t>
      </w:r>
      <w:r>
        <w:rPr>
          <w:rFonts w:ascii="Arial" w:hAnsi="Arial" w:eastAsia="等线" w:cs="Arial"/>
          <w:sz w:val="22"/>
          <w:highlight w:val="none"/>
        </w:rPr>
        <w:t>。</w:t>
      </w:r>
    </w:p>
    <w:p w14:paraId="768A1476">
      <w:pPr>
        <w:spacing w:before="300" w:after="120" w:line="288" w:lineRule="auto"/>
        <w:jc w:val="left"/>
        <w:outlineLvl w:val="2"/>
        <w:rPr>
          <w:highlight w:val="none"/>
        </w:rPr>
      </w:pPr>
      <w:bookmarkStart w:id="22" w:name="heading_22"/>
      <w:r>
        <w:rPr>
          <w:rFonts w:ascii="Arial" w:hAnsi="Arial" w:eastAsia="等线" w:cs="Arial"/>
          <w:b/>
          <w:sz w:val="30"/>
          <w:highlight w:val="none"/>
        </w:rPr>
        <w:t>4.3 设备安装调试方案</w:t>
      </w:r>
      <w:bookmarkEnd w:id="22"/>
    </w:p>
    <w:p w14:paraId="18959D3A">
      <w:pPr>
        <w:spacing w:before="260" w:after="120" w:line="288" w:lineRule="auto"/>
        <w:jc w:val="left"/>
        <w:outlineLvl w:val="3"/>
        <w:rPr>
          <w:highlight w:val="none"/>
        </w:rPr>
      </w:pPr>
      <w:bookmarkStart w:id="23" w:name="heading_23"/>
      <w:r>
        <w:rPr>
          <w:rFonts w:ascii="Arial" w:hAnsi="Arial" w:eastAsia="等线" w:cs="Arial"/>
          <w:b/>
          <w:sz w:val="28"/>
          <w:highlight w:val="none"/>
        </w:rPr>
        <w:t>4.3.1 传感器及配件安装</w:t>
      </w:r>
      <w:bookmarkEnd w:id="23"/>
    </w:p>
    <w:p w14:paraId="33F12B39">
      <w:pPr>
        <w:numPr>
          <w:ilvl w:val="0"/>
          <w:numId w:val="20"/>
        </w:numPr>
        <w:spacing w:before="120" w:after="120" w:line="288" w:lineRule="auto"/>
        <w:jc w:val="left"/>
        <w:rPr>
          <w:highlight w:val="none"/>
        </w:rPr>
      </w:pPr>
      <w:r>
        <w:rPr>
          <w:rFonts w:ascii="Arial" w:hAnsi="Arial" w:eastAsia="等线" w:cs="Arial"/>
          <w:b/>
          <w:sz w:val="22"/>
          <w:highlight w:val="none"/>
        </w:rPr>
        <w:t>配件更换</w:t>
      </w:r>
      <w:r>
        <w:rPr>
          <w:rFonts w:ascii="Arial" w:hAnsi="Arial" w:eastAsia="等线" w:cs="Arial"/>
          <w:sz w:val="22"/>
          <w:highlight w:val="none"/>
        </w:rPr>
        <w:t>：安装全新传感器</w:t>
      </w:r>
      <w:r>
        <w:rPr>
          <w:rFonts w:hint="eastAsia" w:ascii="Arial" w:hAnsi="Arial" w:eastAsia="等线" w:cs="Arial"/>
          <w:sz w:val="22"/>
          <w:highlight w:val="none"/>
          <w:lang w:eastAsia="zh-CN"/>
        </w:rPr>
        <w:t>、</w:t>
      </w:r>
      <w:r>
        <w:rPr>
          <w:rFonts w:ascii="Arial" w:hAnsi="Arial" w:eastAsia="等线" w:cs="Arial"/>
          <w:sz w:val="22"/>
          <w:highlight w:val="none"/>
        </w:rPr>
        <w:t>钢球、限位</w:t>
      </w:r>
      <w:r>
        <w:rPr>
          <w:rFonts w:hint="eastAsia" w:ascii="Arial" w:hAnsi="Arial" w:eastAsia="等线" w:cs="Arial"/>
          <w:sz w:val="22"/>
          <w:highlight w:val="none"/>
          <w:lang w:val="en-US" w:eastAsia="zh-CN"/>
        </w:rPr>
        <w:t>螺丝</w:t>
      </w:r>
      <w:r>
        <w:rPr>
          <w:rFonts w:ascii="Arial" w:hAnsi="Arial" w:eastAsia="等线" w:cs="Arial"/>
          <w:sz w:val="22"/>
          <w:highlight w:val="none"/>
        </w:rPr>
        <w:t>。</w:t>
      </w:r>
    </w:p>
    <w:p w14:paraId="7E8FCF7B">
      <w:pPr>
        <w:numPr>
          <w:ilvl w:val="0"/>
          <w:numId w:val="21"/>
        </w:numPr>
        <w:spacing w:before="120" w:after="120" w:line="288" w:lineRule="auto"/>
        <w:jc w:val="left"/>
        <w:rPr>
          <w:highlight w:val="none"/>
        </w:rPr>
      </w:pPr>
      <w:r>
        <w:rPr>
          <w:rFonts w:ascii="Arial" w:hAnsi="Arial" w:eastAsia="等线" w:cs="Arial"/>
          <w:b/>
          <w:sz w:val="22"/>
          <w:highlight w:val="none"/>
        </w:rPr>
        <w:t>传感器安装</w:t>
      </w:r>
      <w:r>
        <w:rPr>
          <w:rFonts w:ascii="Arial" w:hAnsi="Arial" w:eastAsia="等线" w:cs="Arial"/>
          <w:sz w:val="22"/>
          <w:highlight w:val="none"/>
        </w:rPr>
        <w:t>：</w:t>
      </w:r>
      <w:r>
        <w:rPr>
          <w:rFonts w:hint="eastAsia" w:ascii="Arial" w:hAnsi="Arial" w:eastAsia="等线" w:cs="Arial"/>
          <w:sz w:val="22"/>
          <w:highlight w:val="none"/>
        </w:rPr>
        <w:t>调整好</w:t>
      </w:r>
      <w:r>
        <w:rPr>
          <w:rFonts w:ascii="Arial" w:hAnsi="Arial" w:eastAsia="等线" w:cs="Arial"/>
          <w:sz w:val="22"/>
          <w:highlight w:val="none"/>
        </w:rPr>
        <w:t>传感器</w:t>
      </w:r>
      <w:r>
        <w:rPr>
          <w:rFonts w:hint="eastAsia" w:ascii="Arial" w:hAnsi="Arial" w:eastAsia="等线" w:cs="Arial"/>
          <w:sz w:val="22"/>
          <w:highlight w:val="none"/>
        </w:rPr>
        <w:t>位置</w:t>
      </w:r>
      <w:r>
        <w:rPr>
          <w:rFonts w:ascii="Arial" w:hAnsi="Arial" w:eastAsia="等线" w:cs="Arial"/>
          <w:sz w:val="22"/>
          <w:highlight w:val="none"/>
        </w:rPr>
        <w:t>，确保传感器</w:t>
      </w:r>
      <w:r>
        <w:rPr>
          <w:rFonts w:hint="eastAsia" w:ascii="Arial" w:hAnsi="Arial" w:eastAsia="等线" w:cs="Arial"/>
          <w:sz w:val="22"/>
          <w:highlight w:val="none"/>
        </w:rPr>
        <w:t>压实且</w:t>
      </w:r>
      <w:r>
        <w:rPr>
          <w:rFonts w:ascii="Arial" w:hAnsi="Arial" w:eastAsia="等线" w:cs="Arial"/>
          <w:sz w:val="22"/>
          <w:highlight w:val="none"/>
        </w:rPr>
        <w:t>受垂直力。</w:t>
      </w:r>
    </w:p>
    <w:p w14:paraId="07E5C924">
      <w:pPr>
        <w:spacing w:before="260" w:after="120" w:line="288" w:lineRule="auto"/>
        <w:jc w:val="left"/>
        <w:outlineLvl w:val="3"/>
        <w:rPr>
          <w:highlight w:val="none"/>
        </w:rPr>
      </w:pPr>
      <w:bookmarkStart w:id="24" w:name="heading_24"/>
      <w:r>
        <w:rPr>
          <w:rFonts w:ascii="Arial" w:hAnsi="Arial" w:eastAsia="等线" w:cs="Arial"/>
          <w:b/>
          <w:sz w:val="28"/>
          <w:highlight w:val="none"/>
        </w:rPr>
        <w:t>4.3.2 秤体回装</w:t>
      </w:r>
      <w:bookmarkEnd w:id="24"/>
    </w:p>
    <w:p w14:paraId="341577E1">
      <w:pPr>
        <w:numPr>
          <w:ilvl w:val="0"/>
          <w:numId w:val="22"/>
        </w:numPr>
        <w:spacing w:before="120" w:after="120" w:line="288" w:lineRule="auto"/>
        <w:jc w:val="left"/>
        <w:rPr>
          <w:highlight w:val="none"/>
        </w:rPr>
      </w:pPr>
      <w:r>
        <w:rPr>
          <w:rFonts w:ascii="Arial" w:hAnsi="Arial" w:eastAsia="等线" w:cs="Arial"/>
          <w:sz w:val="22"/>
          <w:highlight w:val="none"/>
        </w:rPr>
        <w:t>吊车将原秤体复位安装，确保秤体落在传感器上，无倾斜、无卡滞。</w:t>
      </w:r>
    </w:p>
    <w:p w14:paraId="02CE3C24">
      <w:pPr>
        <w:numPr>
          <w:ilvl w:val="0"/>
          <w:numId w:val="23"/>
        </w:numPr>
        <w:spacing w:before="120" w:after="120" w:line="288" w:lineRule="auto"/>
        <w:jc w:val="left"/>
        <w:rPr>
          <w:highlight w:val="none"/>
        </w:rPr>
      </w:pPr>
      <w:r>
        <w:rPr>
          <w:rFonts w:ascii="Arial" w:hAnsi="Arial" w:eastAsia="等线" w:cs="Arial"/>
          <w:sz w:val="22"/>
          <w:highlight w:val="none"/>
        </w:rPr>
        <w:t>调整限位间隙，控制在2-3mm范围内。</w:t>
      </w:r>
    </w:p>
    <w:p w14:paraId="4954B61C">
      <w:pPr>
        <w:spacing w:before="260" w:after="120" w:line="288" w:lineRule="auto"/>
        <w:jc w:val="left"/>
        <w:outlineLvl w:val="3"/>
        <w:rPr>
          <w:highlight w:val="none"/>
        </w:rPr>
      </w:pPr>
      <w:bookmarkStart w:id="25" w:name="heading_25"/>
      <w:r>
        <w:rPr>
          <w:rFonts w:ascii="Arial" w:hAnsi="Arial" w:eastAsia="等线" w:cs="Arial"/>
          <w:b/>
          <w:sz w:val="28"/>
          <w:highlight w:val="none"/>
        </w:rPr>
        <w:t>4.3.3 系统调试</w:t>
      </w:r>
      <w:bookmarkEnd w:id="25"/>
    </w:p>
    <w:p w14:paraId="7480BED1">
      <w:pPr>
        <w:numPr>
          <w:ilvl w:val="0"/>
          <w:numId w:val="24"/>
        </w:numPr>
        <w:spacing w:before="120" w:after="120" w:line="288" w:lineRule="auto"/>
        <w:jc w:val="left"/>
        <w:rPr>
          <w:highlight w:val="none"/>
        </w:rPr>
      </w:pPr>
      <w:r>
        <w:rPr>
          <w:rFonts w:ascii="Arial" w:hAnsi="Arial" w:eastAsia="等线" w:cs="Arial"/>
          <w:b/>
          <w:sz w:val="22"/>
          <w:highlight w:val="none"/>
        </w:rPr>
        <w:t>接线</w:t>
      </w:r>
      <w:r>
        <w:rPr>
          <w:rFonts w:ascii="Arial" w:hAnsi="Arial" w:eastAsia="等线" w:cs="Arial"/>
          <w:sz w:val="22"/>
          <w:highlight w:val="none"/>
        </w:rPr>
        <w:t>：规范敷设信号线，做好防水密封。</w:t>
      </w:r>
    </w:p>
    <w:p w14:paraId="3EDA25BD">
      <w:pPr>
        <w:numPr>
          <w:ilvl w:val="0"/>
          <w:numId w:val="25"/>
        </w:numPr>
        <w:spacing w:before="120" w:after="120" w:line="288" w:lineRule="auto"/>
        <w:jc w:val="left"/>
        <w:rPr>
          <w:highlight w:val="none"/>
        </w:rPr>
      </w:pPr>
      <w:r>
        <w:rPr>
          <w:rFonts w:ascii="Arial" w:hAnsi="Arial" w:eastAsia="等线" w:cs="Arial"/>
          <w:b/>
          <w:sz w:val="22"/>
          <w:highlight w:val="none"/>
        </w:rPr>
        <w:t>校准</w:t>
      </w:r>
      <w:r>
        <w:rPr>
          <w:rFonts w:ascii="Arial" w:hAnsi="Arial" w:eastAsia="等线" w:cs="Arial"/>
          <w:sz w:val="22"/>
          <w:highlight w:val="none"/>
        </w:rPr>
        <w:t>：通电调试仪表，进行零点、量程、线性校准。</w:t>
      </w:r>
    </w:p>
    <w:p w14:paraId="561BDE9F">
      <w:pPr>
        <w:numPr>
          <w:ilvl w:val="0"/>
          <w:numId w:val="26"/>
        </w:numPr>
        <w:spacing w:before="120" w:after="120" w:line="288" w:lineRule="auto"/>
        <w:jc w:val="left"/>
        <w:rPr>
          <w:highlight w:val="none"/>
        </w:rPr>
      </w:pPr>
      <w:r>
        <w:rPr>
          <w:rFonts w:ascii="Arial" w:hAnsi="Arial" w:eastAsia="等线" w:cs="Arial"/>
          <w:b/>
          <w:sz w:val="22"/>
          <w:highlight w:val="none"/>
        </w:rPr>
        <w:t>联调</w:t>
      </w:r>
      <w:r>
        <w:rPr>
          <w:rFonts w:ascii="Arial" w:hAnsi="Arial" w:eastAsia="等线" w:cs="Arial"/>
          <w:sz w:val="22"/>
          <w:highlight w:val="none"/>
        </w:rPr>
        <w:t>：测试动态称重数据及通讯状态。</w:t>
      </w:r>
    </w:p>
    <w:p w14:paraId="0AB66C64">
      <w:pPr>
        <w:pBdr>
          <w:bottom w:val="single" w:color="DEE0E3" w:sz="2" w:space="0"/>
          <w:between w:val="single" w:color="DEE0E3" w:sz="2" w:space="0"/>
        </w:pBdr>
        <w:spacing w:before="120" w:after="120" w:line="288" w:lineRule="auto"/>
        <w:rPr>
          <w:highlight w:val="none"/>
        </w:rPr>
      </w:pPr>
    </w:p>
    <w:p w14:paraId="6AD8302D">
      <w:pPr>
        <w:spacing w:before="320" w:after="120" w:line="288" w:lineRule="auto"/>
        <w:jc w:val="left"/>
        <w:outlineLvl w:val="1"/>
        <w:rPr>
          <w:highlight w:val="none"/>
        </w:rPr>
      </w:pPr>
      <w:bookmarkStart w:id="26" w:name="heading_26"/>
      <w:r>
        <w:rPr>
          <w:rFonts w:ascii="Arial" w:hAnsi="Arial" w:eastAsia="等线" w:cs="Arial"/>
          <w:b/>
          <w:sz w:val="32"/>
          <w:highlight w:val="none"/>
        </w:rPr>
        <w:t>第五章 质量保证体系与控制措施</w:t>
      </w:r>
      <w:bookmarkEnd w:id="26"/>
    </w:p>
    <w:p w14:paraId="48A11F34">
      <w:pPr>
        <w:spacing w:before="300" w:after="120" w:line="288" w:lineRule="auto"/>
        <w:jc w:val="left"/>
        <w:outlineLvl w:val="2"/>
        <w:rPr>
          <w:highlight w:val="none"/>
        </w:rPr>
      </w:pPr>
      <w:bookmarkStart w:id="27" w:name="heading_27"/>
      <w:r>
        <w:rPr>
          <w:rFonts w:ascii="Arial" w:hAnsi="Arial" w:eastAsia="等线" w:cs="Arial"/>
          <w:b/>
          <w:sz w:val="30"/>
          <w:highlight w:val="none"/>
        </w:rPr>
        <w:t>5.1 质量目标</w:t>
      </w:r>
      <w:bookmarkEnd w:id="27"/>
    </w:p>
    <w:p w14:paraId="6F9C845A">
      <w:pPr>
        <w:spacing w:before="120" w:after="120" w:line="288" w:lineRule="auto"/>
        <w:jc w:val="left"/>
        <w:rPr>
          <w:highlight w:val="none"/>
        </w:rPr>
      </w:pPr>
      <w:r>
        <w:rPr>
          <w:rFonts w:ascii="Arial" w:hAnsi="Arial" w:eastAsia="等线" w:cs="Arial"/>
          <w:sz w:val="22"/>
          <w:highlight w:val="none"/>
        </w:rPr>
        <w:t>工程一次验收合格率100%，通过重庆市计量质量检测研究院检定</w:t>
      </w:r>
      <w:r>
        <w:rPr>
          <w:rFonts w:hint="eastAsia" w:ascii="Arial" w:hAnsi="Arial" w:eastAsia="等线" w:cs="Arial"/>
          <w:sz w:val="22"/>
          <w:highlight w:val="none"/>
        </w:rPr>
        <w:t>合格</w:t>
      </w:r>
      <w:r>
        <w:rPr>
          <w:rFonts w:ascii="Arial" w:hAnsi="Arial" w:eastAsia="等线" w:cs="Arial"/>
          <w:sz w:val="22"/>
          <w:highlight w:val="none"/>
        </w:rPr>
        <w:t>，计量性能符合国家标准。</w:t>
      </w:r>
    </w:p>
    <w:p w14:paraId="0F008543">
      <w:pPr>
        <w:spacing w:before="300" w:after="120" w:line="288" w:lineRule="auto"/>
        <w:jc w:val="left"/>
        <w:outlineLvl w:val="2"/>
        <w:rPr>
          <w:highlight w:val="none"/>
        </w:rPr>
      </w:pPr>
      <w:bookmarkStart w:id="28" w:name="heading_28"/>
      <w:r>
        <w:rPr>
          <w:rFonts w:ascii="Arial" w:hAnsi="Arial" w:eastAsia="等线" w:cs="Arial"/>
          <w:b/>
          <w:sz w:val="30"/>
          <w:highlight w:val="none"/>
        </w:rPr>
        <w:t>5.2 关键控制点</w:t>
      </w:r>
      <w:bookmarkEnd w:id="28"/>
    </w:p>
    <w:p w14:paraId="150AD03D">
      <w:pPr>
        <w:numPr>
          <w:ilvl w:val="0"/>
          <w:numId w:val="27"/>
        </w:numPr>
        <w:spacing w:before="120" w:after="120" w:line="288" w:lineRule="auto"/>
        <w:jc w:val="left"/>
        <w:rPr>
          <w:highlight w:val="none"/>
        </w:rPr>
      </w:pPr>
      <w:r>
        <w:rPr>
          <w:rFonts w:ascii="Arial" w:hAnsi="Arial" w:eastAsia="等线" w:cs="Arial"/>
          <w:b/>
          <w:sz w:val="22"/>
          <w:highlight w:val="none"/>
        </w:rPr>
        <w:t>基础平面度</w:t>
      </w:r>
      <w:r>
        <w:rPr>
          <w:rFonts w:ascii="Arial" w:hAnsi="Arial" w:eastAsia="等线" w:cs="Arial"/>
          <w:sz w:val="22"/>
          <w:highlight w:val="none"/>
        </w:rPr>
        <w:t>：施工完成后，用水准仪检测，平面度误差≤</w:t>
      </w:r>
      <w:r>
        <w:rPr>
          <w:rFonts w:hint="eastAsia" w:ascii="Arial" w:hAnsi="Arial" w:eastAsia="等线" w:cs="Arial"/>
          <w:sz w:val="22"/>
          <w:highlight w:val="none"/>
        </w:rPr>
        <w:t>3</w:t>
      </w:r>
      <w:r>
        <w:rPr>
          <w:rFonts w:ascii="Arial" w:hAnsi="Arial" w:eastAsia="等线" w:cs="Arial"/>
          <w:sz w:val="22"/>
          <w:highlight w:val="none"/>
        </w:rPr>
        <w:t>mm/m。</w:t>
      </w:r>
    </w:p>
    <w:p w14:paraId="577AB9F5">
      <w:pPr>
        <w:numPr>
          <w:ilvl w:val="0"/>
          <w:numId w:val="28"/>
        </w:numPr>
        <w:spacing w:before="120" w:after="120" w:line="288" w:lineRule="auto"/>
        <w:jc w:val="left"/>
        <w:rPr>
          <w:highlight w:val="none"/>
        </w:rPr>
      </w:pPr>
      <w:r>
        <w:rPr>
          <w:rFonts w:ascii="Arial" w:hAnsi="Arial" w:eastAsia="等线" w:cs="Arial"/>
          <w:b/>
          <w:sz w:val="22"/>
          <w:highlight w:val="none"/>
        </w:rPr>
        <w:t>预埋件</w:t>
      </w:r>
      <w:r>
        <w:rPr>
          <w:rFonts w:hint="eastAsia" w:ascii="Arial" w:hAnsi="Arial" w:eastAsia="等线" w:cs="Arial"/>
          <w:b/>
          <w:sz w:val="22"/>
          <w:highlight w:val="none"/>
        </w:rPr>
        <w:t>水平度</w:t>
      </w:r>
      <w:r>
        <w:rPr>
          <w:rFonts w:ascii="Arial" w:hAnsi="Arial" w:eastAsia="等线" w:cs="Arial"/>
          <w:sz w:val="22"/>
          <w:highlight w:val="none"/>
        </w:rPr>
        <w:t>：经</w:t>
      </w:r>
      <w:r>
        <w:rPr>
          <w:rFonts w:hint="eastAsia" w:ascii="Arial" w:hAnsi="Arial" w:eastAsia="等线" w:cs="Arial"/>
          <w:sz w:val="22"/>
          <w:highlight w:val="none"/>
        </w:rPr>
        <w:t>现场</w:t>
      </w:r>
      <w:r>
        <w:rPr>
          <w:rFonts w:ascii="Arial" w:hAnsi="Arial" w:eastAsia="等线" w:cs="Arial"/>
          <w:sz w:val="22"/>
          <w:highlight w:val="none"/>
        </w:rPr>
        <w:t>技术负责人验收合格后方可</w:t>
      </w:r>
      <w:r>
        <w:rPr>
          <w:rFonts w:hint="eastAsia" w:ascii="Arial" w:hAnsi="Arial" w:eastAsia="等线" w:cs="Arial"/>
          <w:sz w:val="22"/>
          <w:highlight w:val="none"/>
        </w:rPr>
        <w:t>吊装秤台</w:t>
      </w:r>
      <w:r>
        <w:rPr>
          <w:rFonts w:ascii="Arial" w:hAnsi="Arial" w:eastAsia="等线" w:cs="Arial"/>
          <w:sz w:val="22"/>
          <w:highlight w:val="none"/>
        </w:rPr>
        <w:t>。</w:t>
      </w:r>
    </w:p>
    <w:p w14:paraId="28AB8CA0">
      <w:pPr>
        <w:numPr>
          <w:ilvl w:val="0"/>
          <w:numId w:val="29"/>
        </w:numPr>
        <w:spacing w:before="120" w:after="120" w:line="288" w:lineRule="auto"/>
        <w:jc w:val="left"/>
        <w:rPr>
          <w:highlight w:val="none"/>
        </w:rPr>
      </w:pPr>
      <w:r>
        <w:rPr>
          <w:rFonts w:ascii="Arial" w:hAnsi="Arial" w:eastAsia="等线" w:cs="Arial"/>
          <w:b/>
          <w:sz w:val="22"/>
          <w:highlight w:val="none"/>
        </w:rPr>
        <w:t>传感器</w:t>
      </w:r>
      <w:r>
        <w:rPr>
          <w:rFonts w:hint="eastAsia" w:ascii="Arial" w:hAnsi="Arial" w:eastAsia="等线" w:cs="Arial"/>
          <w:b/>
          <w:sz w:val="22"/>
          <w:highlight w:val="none"/>
        </w:rPr>
        <w:t>输入阻抗</w:t>
      </w:r>
      <w:r>
        <w:rPr>
          <w:rFonts w:ascii="Arial" w:hAnsi="Arial" w:eastAsia="等线" w:cs="Arial"/>
          <w:sz w:val="22"/>
          <w:highlight w:val="none"/>
        </w:rPr>
        <w:t>：检测传感器</w:t>
      </w:r>
      <w:r>
        <w:rPr>
          <w:rFonts w:hint="eastAsia" w:ascii="Arial" w:hAnsi="Arial" w:eastAsia="等线" w:cs="Arial"/>
          <w:sz w:val="22"/>
          <w:highlight w:val="none"/>
        </w:rPr>
        <w:t>输入阻抗700±7Ω</w:t>
      </w:r>
      <w:r>
        <w:rPr>
          <w:rFonts w:ascii="Arial" w:hAnsi="Arial" w:eastAsia="等线" w:cs="Arial"/>
          <w:sz w:val="22"/>
          <w:highlight w:val="none"/>
        </w:rPr>
        <w:t>。</w:t>
      </w:r>
    </w:p>
    <w:p w14:paraId="6AE777CE">
      <w:pPr>
        <w:numPr>
          <w:ilvl w:val="0"/>
          <w:numId w:val="30"/>
        </w:numPr>
        <w:spacing w:before="120" w:after="120" w:line="288" w:lineRule="auto"/>
        <w:jc w:val="left"/>
        <w:rPr>
          <w:highlight w:val="none"/>
        </w:rPr>
      </w:pPr>
      <w:r>
        <w:rPr>
          <w:rFonts w:ascii="Arial" w:hAnsi="Arial" w:eastAsia="等线" w:cs="Arial"/>
          <w:b/>
          <w:sz w:val="22"/>
          <w:highlight w:val="none"/>
        </w:rPr>
        <w:t>检定合格</w:t>
      </w:r>
      <w:r>
        <w:rPr>
          <w:rFonts w:ascii="Arial" w:hAnsi="Arial" w:eastAsia="等线" w:cs="Arial"/>
          <w:sz w:val="22"/>
          <w:highlight w:val="none"/>
        </w:rPr>
        <w:t>：法定计量检定机构</w:t>
      </w:r>
      <w:r>
        <w:rPr>
          <w:rFonts w:hint="eastAsia" w:ascii="Arial" w:hAnsi="Arial" w:eastAsia="等线" w:cs="Arial"/>
          <w:sz w:val="22"/>
          <w:highlight w:val="none"/>
        </w:rPr>
        <w:t>检定</w:t>
      </w:r>
      <w:r>
        <w:rPr>
          <w:rFonts w:hint="eastAsia" w:ascii="Arial" w:hAnsi="Arial" w:eastAsia="等线" w:cs="Arial"/>
          <w:sz w:val="22"/>
          <w:highlight w:val="none"/>
          <w:lang w:val="en-US" w:eastAsia="zh-CN"/>
        </w:rPr>
        <w:t>及张贴检定</w:t>
      </w:r>
      <w:r>
        <w:rPr>
          <w:rFonts w:ascii="Arial" w:hAnsi="Arial" w:eastAsia="等线" w:cs="Arial"/>
          <w:sz w:val="22"/>
          <w:highlight w:val="none"/>
        </w:rPr>
        <w:t>合格</w:t>
      </w:r>
      <w:r>
        <w:rPr>
          <w:rFonts w:hint="eastAsia" w:ascii="Arial" w:hAnsi="Arial" w:eastAsia="等线" w:cs="Arial"/>
          <w:sz w:val="22"/>
          <w:highlight w:val="none"/>
          <w:lang w:val="en-US" w:eastAsia="zh-CN"/>
        </w:rPr>
        <w:t>标签</w:t>
      </w:r>
      <w:r>
        <w:rPr>
          <w:rFonts w:hint="eastAsia" w:ascii="Arial" w:hAnsi="Arial" w:eastAsia="等线" w:cs="Arial"/>
          <w:sz w:val="22"/>
          <w:highlight w:val="none"/>
        </w:rPr>
        <w:t>后</w:t>
      </w:r>
      <w:r>
        <w:rPr>
          <w:rFonts w:ascii="Arial" w:hAnsi="Arial" w:eastAsia="等线" w:cs="Arial"/>
          <w:sz w:val="22"/>
          <w:highlight w:val="none"/>
        </w:rPr>
        <w:t>方可投入使用。</w:t>
      </w:r>
    </w:p>
    <w:p w14:paraId="48039590">
      <w:pPr>
        <w:pBdr>
          <w:bottom w:val="single" w:color="DEE0E3" w:sz="2" w:space="0"/>
          <w:between w:val="single" w:color="DEE0E3" w:sz="2" w:space="0"/>
        </w:pBdr>
        <w:spacing w:before="120" w:after="120" w:line="288" w:lineRule="auto"/>
        <w:rPr>
          <w:highlight w:val="none"/>
        </w:rPr>
      </w:pPr>
    </w:p>
    <w:p w14:paraId="4ADA3351">
      <w:pPr>
        <w:spacing w:before="320" w:after="120" w:line="288" w:lineRule="auto"/>
        <w:jc w:val="left"/>
        <w:outlineLvl w:val="1"/>
        <w:rPr>
          <w:highlight w:val="none"/>
        </w:rPr>
      </w:pPr>
      <w:bookmarkStart w:id="29" w:name="heading_29"/>
      <w:r>
        <w:rPr>
          <w:rFonts w:ascii="Arial" w:hAnsi="Arial" w:eastAsia="等线" w:cs="Arial"/>
          <w:b/>
          <w:sz w:val="32"/>
          <w:highlight w:val="none"/>
        </w:rPr>
        <w:t>第六章 安全文明施工及环境保护措施</w:t>
      </w:r>
      <w:bookmarkEnd w:id="29"/>
    </w:p>
    <w:p w14:paraId="35091111">
      <w:pPr>
        <w:spacing w:before="300" w:after="120" w:line="288" w:lineRule="auto"/>
        <w:jc w:val="left"/>
        <w:outlineLvl w:val="2"/>
        <w:rPr>
          <w:highlight w:val="none"/>
        </w:rPr>
      </w:pPr>
      <w:bookmarkStart w:id="30" w:name="heading_30"/>
      <w:r>
        <w:rPr>
          <w:rFonts w:ascii="Arial" w:hAnsi="Arial" w:eastAsia="等线" w:cs="Arial"/>
          <w:b/>
          <w:sz w:val="30"/>
          <w:highlight w:val="none"/>
        </w:rPr>
        <w:t>6.1 安全施工措施</w:t>
      </w:r>
      <w:bookmarkEnd w:id="30"/>
    </w:p>
    <w:p w14:paraId="6233E280">
      <w:pPr>
        <w:numPr>
          <w:ilvl w:val="0"/>
          <w:numId w:val="31"/>
        </w:numPr>
        <w:spacing w:before="120" w:after="120" w:line="288" w:lineRule="auto"/>
        <w:jc w:val="left"/>
        <w:rPr>
          <w:highlight w:val="none"/>
        </w:rPr>
      </w:pPr>
      <w:r>
        <w:rPr>
          <w:rFonts w:ascii="Arial" w:hAnsi="Arial" w:eastAsia="等线" w:cs="Arial"/>
          <w:b/>
          <w:sz w:val="22"/>
          <w:highlight w:val="none"/>
        </w:rPr>
        <w:t>吊装安全</w:t>
      </w:r>
      <w:r>
        <w:rPr>
          <w:rFonts w:ascii="Arial" w:hAnsi="Arial" w:eastAsia="等线" w:cs="Arial"/>
          <w:sz w:val="22"/>
          <w:highlight w:val="none"/>
        </w:rPr>
        <w:t>：专人指挥吊车，严禁超载，作业半径内严禁站人。</w:t>
      </w:r>
    </w:p>
    <w:p w14:paraId="33DF897F">
      <w:pPr>
        <w:numPr>
          <w:ilvl w:val="0"/>
          <w:numId w:val="32"/>
        </w:numPr>
        <w:spacing w:before="120" w:after="120" w:line="288" w:lineRule="auto"/>
        <w:jc w:val="left"/>
        <w:rPr>
          <w:highlight w:val="none"/>
        </w:rPr>
      </w:pPr>
      <w:r>
        <w:rPr>
          <w:rFonts w:ascii="Arial" w:hAnsi="Arial" w:eastAsia="等线" w:cs="Arial"/>
          <w:b/>
          <w:sz w:val="22"/>
          <w:highlight w:val="none"/>
        </w:rPr>
        <w:t>用电安全</w:t>
      </w:r>
      <w:r>
        <w:rPr>
          <w:rFonts w:ascii="Arial" w:hAnsi="Arial" w:eastAsia="等线" w:cs="Arial"/>
          <w:sz w:val="22"/>
          <w:highlight w:val="none"/>
        </w:rPr>
        <w:t>：三级配电两级保护，电焊机接地可靠，线缆严禁拖地。</w:t>
      </w:r>
    </w:p>
    <w:p w14:paraId="72488968">
      <w:pPr>
        <w:numPr>
          <w:ilvl w:val="0"/>
          <w:numId w:val="33"/>
        </w:numPr>
        <w:spacing w:before="120" w:after="120" w:line="288" w:lineRule="auto"/>
        <w:jc w:val="left"/>
        <w:rPr>
          <w:highlight w:val="none"/>
        </w:rPr>
      </w:pPr>
      <w:r>
        <w:rPr>
          <w:rFonts w:ascii="Arial" w:hAnsi="Arial" w:eastAsia="等线" w:cs="Arial"/>
          <w:b/>
          <w:sz w:val="22"/>
          <w:highlight w:val="none"/>
        </w:rPr>
        <w:t>基坑防护</w:t>
      </w:r>
      <w:r>
        <w:rPr>
          <w:rFonts w:ascii="Arial" w:hAnsi="Arial" w:eastAsia="等线" w:cs="Arial"/>
          <w:sz w:val="22"/>
          <w:highlight w:val="none"/>
        </w:rPr>
        <w:t>：基坑周边设置</w:t>
      </w:r>
      <w:r>
        <w:rPr>
          <w:rFonts w:hint="eastAsia" w:ascii="Arial" w:hAnsi="Arial" w:eastAsia="等线" w:cs="Arial"/>
          <w:sz w:val="22"/>
          <w:highlight w:val="none"/>
        </w:rPr>
        <w:t>围挡</w:t>
      </w:r>
      <w:r>
        <w:rPr>
          <w:rFonts w:ascii="Arial" w:hAnsi="Arial" w:eastAsia="等线" w:cs="Arial"/>
          <w:sz w:val="22"/>
          <w:highlight w:val="none"/>
        </w:rPr>
        <w:t>，</w:t>
      </w:r>
      <w:r>
        <w:rPr>
          <w:rFonts w:hint="eastAsia" w:ascii="Arial" w:hAnsi="Arial" w:eastAsia="等线" w:cs="Arial"/>
          <w:sz w:val="22"/>
          <w:highlight w:val="none"/>
        </w:rPr>
        <w:t>设置</w:t>
      </w:r>
      <w:r>
        <w:rPr>
          <w:rFonts w:ascii="Arial" w:hAnsi="Arial" w:eastAsia="等线" w:cs="Arial"/>
          <w:sz w:val="22"/>
          <w:highlight w:val="none"/>
        </w:rPr>
        <w:t>警示标识。</w:t>
      </w:r>
    </w:p>
    <w:p w14:paraId="37BE157C">
      <w:pPr>
        <w:spacing w:before="300" w:after="120" w:line="288" w:lineRule="auto"/>
        <w:jc w:val="left"/>
        <w:outlineLvl w:val="2"/>
        <w:rPr>
          <w:highlight w:val="none"/>
        </w:rPr>
      </w:pPr>
      <w:bookmarkStart w:id="31" w:name="heading_31"/>
      <w:r>
        <w:rPr>
          <w:rFonts w:ascii="Arial" w:hAnsi="Arial" w:eastAsia="等线" w:cs="Arial"/>
          <w:b/>
          <w:sz w:val="30"/>
          <w:highlight w:val="none"/>
        </w:rPr>
        <w:t>6.2 文明与环保</w:t>
      </w:r>
      <w:bookmarkEnd w:id="31"/>
    </w:p>
    <w:p w14:paraId="24BD2FEC">
      <w:pPr>
        <w:numPr>
          <w:ilvl w:val="0"/>
          <w:numId w:val="34"/>
        </w:numPr>
        <w:spacing w:before="120" w:after="120" w:line="288" w:lineRule="auto"/>
        <w:jc w:val="left"/>
        <w:rPr>
          <w:highlight w:val="none"/>
        </w:rPr>
      </w:pPr>
      <w:r>
        <w:rPr>
          <w:rFonts w:ascii="Arial" w:hAnsi="Arial" w:eastAsia="等线" w:cs="Arial"/>
          <w:b/>
          <w:sz w:val="22"/>
          <w:highlight w:val="none"/>
        </w:rPr>
        <w:t>噪音控制</w:t>
      </w:r>
      <w:r>
        <w:rPr>
          <w:rFonts w:ascii="Arial" w:hAnsi="Arial" w:eastAsia="等线" w:cs="Arial"/>
          <w:sz w:val="22"/>
          <w:highlight w:val="none"/>
        </w:rPr>
        <w:t>：夜间（</w:t>
      </w:r>
      <w:r>
        <w:rPr>
          <w:rFonts w:hint="eastAsia" w:ascii="Arial" w:hAnsi="Arial" w:eastAsia="等线" w:cs="Arial"/>
          <w:sz w:val="22"/>
          <w:highlight w:val="none"/>
        </w:rPr>
        <w:t>19</w:t>
      </w:r>
      <w:r>
        <w:rPr>
          <w:rFonts w:ascii="Arial" w:hAnsi="Arial" w:eastAsia="等线" w:cs="Arial"/>
          <w:sz w:val="22"/>
          <w:highlight w:val="none"/>
        </w:rPr>
        <w:t>:00-次日</w:t>
      </w:r>
      <w:r>
        <w:rPr>
          <w:rFonts w:hint="eastAsia" w:ascii="Arial" w:hAnsi="Arial" w:eastAsia="等线" w:cs="Arial"/>
          <w:sz w:val="22"/>
          <w:highlight w:val="none"/>
        </w:rPr>
        <w:t>7</w:t>
      </w:r>
      <w:r>
        <w:rPr>
          <w:rFonts w:ascii="Arial" w:hAnsi="Arial" w:eastAsia="等线" w:cs="Arial"/>
          <w:sz w:val="22"/>
          <w:highlight w:val="none"/>
        </w:rPr>
        <w:t>:00）不进行产生噪音的破除及施工作业。</w:t>
      </w:r>
    </w:p>
    <w:p w14:paraId="1F665906">
      <w:pPr>
        <w:numPr>
          <w:ilvl w:val="0"/>
          <w:numId w:val="35"/>
        </w:numPr>
        <w:spacing w:before="120" w:after="120" w:line="288" w:lineRule="auto"/>
        <w:jc w:val="left"/>
        <w:rPr>
          <w:highlight w:val="none"/>
        </w:rPr>
      </w:pPr>
      <w:r>
        <w:rPr>
          <w:rFonts w:ascii="Arial" w:hAnsi="Arial" w:eastAsia="等线" w:cs="Arial"/>
          <w:b/>
          <w:sz w:val="22"/>
          <w:highlight w:val="none"/>
        </w:rPr>
        <w:t>扬尘控制</w:t>
      </w:r>
      <w:r>
        <w:rPr>
          <w:rFonts w:ascii="Arial" w:hAnsi="Arial" w:eastAsia="等线" w:cs="Arial"/>
          <w:sz w:val="22"/>
          <w:highlight w:val="none"/>
        </w:rPr>
        <w:t>：破除、切割时全程洒水湿法作业。</w:t>
      </w:r>
    </w:p>
    <w:p w14:paraId="33C8945A">
      <w:pPr>
        <w:numPr>
          <w:ilvl w:val="0"/>
          <w:numId w:val="36"/>
        </w:numPr>
        <w:spacing w:before="120" w:after="120" w:line="288" w:lineRule="auto"/>
        <w:jc w:val="left"/>
        <w:rPr>
          <w:highlight w:val="none"/>
        </w:rPr>
      </w:pPr>
      <w:r>
        <w:rPr>
          <w:rFonts w:hint="eastAsia" w:ascii="Arial" w:hAnsi="Arial" w:eastAsia="等线" w:cs="Arial"/>
          <w:b/>
          <w:bCs/>
          <w:sz w:val="22"/>
          <w:highlight w:val="none"/>
        </w:rPr>
        <w:t>垃圾清运</w:t>
      </w:r>
      <w:r>
        <w:rPr>
          <w:rFonts w:ascii="Arial" w:hAnsi="Arial" w:eastAsia="等线" w:cs="Arial"/>
          <w:sz w:val="22"/>
          <w:highlight w:val="none"/>
        </w:rPr>
        <w:t>：基坑</w:t>
      </w:r>
      <w:r>
        <w:rPr>
          <w:rFonts w:hint="eastAsia" w:ascii="Arial" w:hAnsi="Arial" w:eastAsia="等线" w:cs="Arial"/>
          <w:sz w:val="22"/>
          <w:highlight w:val="none"/>
        </w:rPr>
        <w:t>内淤泥及破碎垃圾清运至渣场，不得随意倒弃</w:t>
      </w:r>
      <w:r>
        <w:rPr>
          <w:rFonts w:ascii="Arial" w:hAnsi="Arial" w:eastAsia="等线" w:cs="Arial"/>
          <w:sz w:val="22"/>
          <w:highlight w:val="none"/>
        </w:rPr>
        <w:t>。</w:t>
      </w:r>
    </w:p>
    <w:p w14:paraId="342CA0D9">
      <w:pPr>
        <w:pBdr>
          <w:bottom w:val="single" w:color="DEE0E3" w:sz="2" w:space="0"/>
          <w:between w:val="single" w:color="DEE0E3" w:sz="2" w:space="0"/>
        </w:pBdr>
        <w:spacing w:before="120" w:after="120" w:line="288" w:lineRule="auto"/>
        <w:rPr>
          <w:highlight w:val="none"/>
        </w:rPr>
      </w:pPr>
    </w:p>
    <w:p w14:paraId="6D2A732C">
      <w:pPr>
        <w:spacing w:before="320" w:after="120" w:line="288" w:lineRule="auto"/>
        <w:jc w:val="left"/>
        <w:outlineLvl w:val="1"/>
        <w:rPr>
          <w:highlight w:val="none"/>
        </w:rPr>
      </w:pPr>
      <w:bookmarkStart w:id="32" w:name="heading_32"/>
      <w:r>
        <w:rPr>
          <w:rFonts w:ascii="Arial" w:hAnsi="Arial" w:eastAsia="等线" w:cs="Arial"/>
          <w:b/>
          <w:sz w:val="32"/>
          <w:highlight w:val="none"/>
        </w:rPr>
        <w:t>第七章 工期安排及进度保证措施</w:t>
      </w:r>
      <w:bookmarkEnd w:id="32"/>
    </w:p>
    <w:p w14:paraId="247688A2">
      <w:pPr>
        <w:spacing w:before="120" w:after="120" w:line="288" w:lineRule="auto"/>
        <w:jc w:val="left"/>
        <w:rPr>
          <w:highlight w:val="none"/>
        </w:rPr>
      </w:pPr>
      <w:r>
        <w:rPr>
          <w:rFonts w:ascii="Arial" w:hAnsi="Arial" w:eastAsia="等线" w:cs="Arial"/>
          <w:sz w:val="22"/>
          <w:highlight w:val="none"/>
        </w:rPr>
        <w:t>本工程</w:t>
      </w:r>
      <w:r>
        <w:rPr>
          <w:rFonts w:hint="eastAsia" w:ascii="Arial" w:hAnsi="Arial" w:eastAsia="等线" w:cs="Arial"/>
          <w:sz w:val="22"/>
          <w:highlight w:val="none"/>
          <w:lang w:val="en-US" w:eastAsia="zh-CN"/>
        </w:rPr>
        <w:t>单台</w:t>
      </w:r>
      <w:r>
        <w:rPr>
          <w:rFonts w:ascii="Arial" w:hAnsi="Arial" w:eastAsia="等线" w:cs="Arial"/>
          <w:sz w:val="22"/>
          <w:highlight w:val="none"/>
        </w:rPr>
        <w:t xml:space="preserve">计划总工期为 </w:t>
      </w:r>
      <w:r>
        <w:rPr>
          <w:rFonts w:ascii="Arial" w:hAnsi="Arial" w:eastAsia="等线" w:cs="Arial"/>
          <w:b/>
          <w:sz w:val="22"/>
          <w:highlight w:val="none"/>
        </w:rPr>
        <w:t>7日历天</w:t>
      </w:r>
      <w:r>
        <w:rPr>
          <w:rFonts w:ascii="Arial" w:hAnsi="Arial" w:eastAsia="等线" w:cs="Arial"/>
          <w:sz w:val="22"/>
          <w:highlight w:val="none"/>
        </w:rPr>
        <w:t>。</w:t>
      </w:r>
    </w:p>
    <w:p w14:paraId="4BC6FE01">
      <w:pPr>
        <w:spacing w:before="300" w:after="120" w:line="288" w:lineRule="auto"/>
        <w:jc w:val="left"/>
        <w:outlineLvl w:val="2"/>
        <w:rPr>
          <w:highlight w:val="none"/>
        </w:rPr>
      </w:pPr>
      <w:bookmarkStart w:id="33" w:name="heading_33"/>
      <w:r>
        <w:rPr>
          <w:rFonts w:ascii="Arial" w:hAnsi="Arial" w:eastAsia="等线" w:cs="Arial"/>
          <w:b/>
          <w:sz w:val="30"/>
          <w:highlight w:val="none"/>
        </w:rPr>
        <w:t>7.1 横道计划</w:t>
      </w:r>
      <w:bookmarkEnd w:id="33"/>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070"/>
        <w:gridCol w:w="2070"/>
        <w:gridCol w:w="2070"/>
        <w:gridCol w:w="2070"/>
      </w:tblGrid>
      <w:tr w14:paraId="344DC7B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55EEA3C6">
            <w:pPr>
              <w:spacing w:before="120" w:after="120" w:line="288" w:lineRule="auto"/>
              <w:jc w:val="left"/>
              <w:rPr>
                <w:highlight w:val="none"/>
              </w:rPr>
            </w:pPr>
            <w:r>
              <w:rPr>
                <w:rFonts w:ascii="Arial" w:hAnsi="Arial" w:eastAsia="等线" w:cs="Arial"/>
                <w:sz w:val="22"/>
                <w:highlight w:val="none"/>
              </w:rPr>
              <w:t>序号</w:t>
            </w:r>
          </w:p>
        </w:tc>
        <w:tc>
          <w:tcPr>
            <w:tcW w:w="2070" w:type="dxa"/>
            <w:tcMar>
              <w:top w:w="60" w:type="dxa"/>
              <w:left w:w="120" w:type="dxa"/>
              <w:bottom w:w="30" w:type="dxa"/>
              <w:right w:w="120" w:type="dxa"/>
            </w:tcMar>
          </w:tcPr>
          <w:p w14:paraId="3BA13C4F">
            <w:pPr>
              <w:spacing w:before="120" w:after="120" w:line="288" w:lineRule="auto"/>
              <w:jc w:val="left"/>
              <w:rPr>
                <w:highlight w:val="none"/>
              </w:rPr>
            </w:pPr>
            <w:r>
              <w:rPr>
                <w:rFonts w:ascii="Arial" w:hAnsi="Arial" w:eastAsia="等线" w:cs="Arial"/>
                <w:sz w:val="22"/>
                <w:highlight w:val="none"/>
              </w:rPr>
              <w:t>工作内容</w:t>
            </w:r>
          </w:p>
        </w:tc>
        <w:tc>
          <w:tcPr>
            <w:tcW w:w="2070" w:type="dxa"/>
            <w:tcMar>
              <w:top w:w="60" w:type="dxa"/>
              <w:left w:w="120" w:type="dxa"/>
              <w:bottom w:w="30" w:type="dxa"/>
              <w:right w:w="120" w:type="dxa"/>
            </w:tcMar>
          </w:tcPr>
          <w:p w14:paraId="0FD5FADC">
            <w:pPr>
              <w:spacing w:before="120" w:after="120" w:line="288" w:lineRule="auto"/>
              <w:jc w:val="left"/>
              <w:rPr>
                <w:highlight w:val="none"/>
              </w:rPr>
            </w:pPr>
            <w:r>
              <w:rPr>
                <w:rFonts w:ascii="Arial" w:hAnsi="Arial" w:eastAsia="等线" w:cs="Arial"/>
                <w:sz w:val="22"/>
                <w:highlight w:val="none"/>
              </w:rPr>
              <w:t>工期(天)</w:t>
            </w:r>
          </w:p>
        </w:tc>
        <w:tc>
          <w:tcPr>
            <w:tcW w:w="2070" w:type="dxa"/>
            <w:tcMar>
              <w:top w:w="60" w:type="dxa"/>
              <w:left w:w="120" w:type="dxa"/>
              <w:bottom w:w="30" w:type="dxa"/>
              <w:right w:w="120" w:type="dxa"/>
            </w:tcMar>
          </w:tcPr>
          <w:p w14:paraId="0627468F">
            <w:pPr>
              <w:spacing w:before="120" w:after="120" w:line="288" w:lineRule="auto"/>
              <w:jc w:val="left"/>
              <w:rPr>
                <w:highlight w:val="none"/>
              </w:rPr>
            </w:pPr>
            <w:r>
              <w:rPr>
                <w:rFonts w:ascii="Arial" w:hAnsi="Arial" w:eastAsia="等线" w:cs="Arial"/>
                <w:sz w:val="22"/>
                <w:highlight w:val="none"/>
              </w:rPr>
              <w:t>时间安排</w:t>
            </w:r>
          </w:p>
        </w:tc>
      </w:tr>
      <w:tr w14:paraId="574F99C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17875408">
            <w:pPr>
              <w:spacing w:before="120" w:after="120" w:line="288" w:lineRule="auto"/>
              <w:jc w:val="left"/>
              <w:rPr>
                <w:highlight w:val="none"/>
              </w:rPr>
            </w:pPr>
            <w:r>
              <w:rPr>
                <w:rFonts w:ascii="Arial" w:hAnsi="Arial" w:eastAsia="等线" w:cs="Arial"/>
                <w:sz w:val="22"/>
                <w:highlight w:val="none"/>
              </w:rPr>
              <w:t>1</w:t>
            </w:r>
          </w:p>
        </w:tc>
        <w:tc>
          <w:tcPr>
            <w:tcW w:w="2070" w:type="dxa"/>
            <w:tcMar>
              <w:top w:w="60" w:type="dxa"/>
              <w:left w:w="120" w:type="dxa"/>
              <w:bottom w:w="30" w:type="dxa"/>
              <w:right w:w="120" w:type="dxa"/>
            </w:tcMar>
          </w:tcPr>
          <w:p w14:paraId="41924541">
            <w:pPr>
              <w:spacing w:before="120" w:after="120" w:line="288" w:lineRule="auto"/>
              <w:jc w:val="left"/>
              <w:rPr>
                <w:rFonts w:eastAsia="等线"/>
                <w:highlight w:val="none"/>
              </w:rPr>
            </w:pPr>
            <w:r>
              <w:rPr>
                <w:rFonts w:ascii="Arial" w:hAnsi="Arial" w:eastAsia="等线" w:cs="Arial"/>
                <w:sz w:val="22"/>
                <w:highlight w:val="none"/>
              </w:rPr>
              <w:t>审批、勘查、</w:t>
            </w:r>
            <w:r>
              <w:rPr>
                <w:rFonts w:hint="eastAsia" w:ascii="Arial" w:hAnsi="Arial" w:eastAsia="等线" w:cs="Arial"/>
                <w:sz w:val="22"/>
                <w:highlight w:val="none"/>
              </w:rPr>
              <w:t>秤台</w:t>
            </w:r>
            <w:r>
              <w:rPr>
                <w:rFonts w:ascii="Arial" w:hAnsi="Arial" w:eastAsia="等线" w:cs="Arial"/>
                <w:sz w:val="22"/>
                <w:highlight w:val="none"/>
              </w:rPr>
              <w:t>吊装</w:t>
            </w:r>
          </w:p>
        </w:tc>
        <w:tc>
          <w:tcPr>
            <w:tcW w:w="2070" w:type="dxa"/>
            <w:tcMar>
              <w:top w:w="60" w:type="dxa"/>
              <w:left w:w="120" w:type="dxa"/>
              <w:bottom w:w="30" w:type="dxa"/>
              <w:right w:w="120" w:type="dxa"/>
            </w:tcMar>
          </w:tcPr>
          <w:p w14:paraId="7241063D">
            <w:pPr>
              <w:spacing w:before="120" w:after="120" w:line="288" w:lineRule="auto"/>
              <w:jc w:val="left"/>
              <w:rPr>
                <w:highlight w:val="none"/>
              </w:rPr>
            </w:pPr>
            <w:r>
              <w:rPr>
                <w:rFonts w:ascii="Arial" w:hAnsi="Arial" w:eastAsia="等线" w:cs="Arial"/>
                <w:sz w:val="22"/>
                <w:highlight w:val="none"/>
              </w:rPr>
              <w:t>1</w:t>
            </w:r>
          </w:p>
        </w:tc>
        <w:tc>
          <w:tcPr>
            <w:tcW w:w="2070" w:type="dxa"/>
            <w:tcMar>
              <w:top w:w="60" w:type="dxa"/>
              <w:left w:w="120" w:type="dxa"/>
              <w:bottom w:w="30" w:type="dxa"/>
              <w:right w:w="120" w:type="dxa"/>
            </w:tcMar>
          </w:tcPr>
          <w:p w14:paraId="57BE10F2">
            <w:pPr>
              <w:spacing w:before="120" w:after="120" w:line="288" w:lineRule="auto"/>
              <w:jc w:val="left"/>
              <w:rPr>
                <w:highlight w:val="none"/>
              </w:rPr>
            </w:pPr>
            <w:r>
              <w:rPr>
                <w:rFonts w:ascii="Arial" w:hAnsi="Arial" w:eastAsia="等线" w:cs="Arial"/>
                <w:sz w:val="22"/>
                <w:highlight w:val="none"/>
              </w:rPr>
              <w:t>第1天</w:t>
            </w:r>
          </w:p>
        </w:tc>
      </w:tr>
      <w:tr w14:paraId="75E9D3F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28DFDE20">
            <w:pPr>
              <w:spacing w:before="120" w:after="120" w:line="288" w:lineRule="auto"/>
              <w:jc w:val="left"/>
              <w:rPr>
                <w:highlight w:val="none"/>
              </w:rPr>
            </w:pPr>
            <w:r>
              <w:rPr>
                <w:rFonts w:ascii="Arial" w:hAnsi="Arial" w:eastAsia="等线" w:cs="Arial"/>
                <w:sz w:val="22"/>
                <w:highlight w:val="none"/>
              </w:rPr>
              <w:t>2</w:t>
            </w:r>
          </w:p>
        </w:tc>
        <w:tc>
          <w:tcPr>
            <w:tcW w:w="2070" w:type="dxa"/>
            <w:tcMar>
              <w:top w:w="60" w:type="dxa"/>
              <w:left w:w="120" w:type="dxa"/>
              <w:bottom w:w="30" w:type="dxa"/>
              <w:right w:w="120" w:type="dxa"/>
            </w:tcMar>
          </w:tcPr>
          <w:p w14:paraId="0276EE25">
            <w:pPr>
              <w:spacing w:before="120" w:after="120" w:line="288" w:lineRule="auto"/>
              <w:jc w:val="left"/>
              <w:rPr>
                <w:highlight w:val="none"/>
              </w:rPr>
            </w:pPr>
            <w:r>
              <w:rPr>
                <w:rFonts w:ascii="Arial" w:hAnsi="Arial" w:eastAsia="等线" w:cs="Arial"/>
                <w:sz w:val="22"/>
                <w:highlight w:val="none"/>
              </w:rPr>
              <w:t>基坑清淤、破除、预埋件施工</w:t>
            </w:r>
          </w:p>
        </w:tc>
        <w:tc>
          <w:tcPr>
            <w:tcW w:w="2070" w:type="dxa"/>
            <w:tcMar>
              <w:top w:w="60" w:type="dxa"/>
              <w:left w:w="120" w:type="dxa"/>
              <w:bottom w:w="30" w:type="dxa"/>
              <w:right w:w="120" w:type="dxa"/>
            </w:tcMar>
          </w:tcPr>
          <w:p w14:paraId="04872267">
            <w:pPr>
              <w:spacing w:before="120" w:after="120" w:line="288" w:lineRule="auto"/>
              <w:jc w:val="left"/>
              <w:rPr>
                <w:highlight w:val="none"/>
              </w:rPr>
            </w:pPr>
            <w:r>
              <w:rPr>
                <w:rFonts w:ascii="Arial" w:hAnsi="Arial" w:eastAsia="等线" w:cs="Arial"/>
                <w:sz w:val="22"/>
                <w:highlight w:val="none"/>
              </w:rPr>
              <w:t>2</w:t>
            </w:r>
          </w:p>
        </w:tc>
        <w:tc>
          <w:tcPr>
            <w:tcW w:w="2070" w:type="dxa"/>
            <w:tcMar>
              <w:top w:w="60" w:type="dxa"/>
              <w:left w:w="120" w:type="dxa"/>
              <w:bottom w:w="30" w:type="dxa"/>
              <w:right w:w="120" w:type="dxa"/>
            </w:tcMar>
          </w:tcPr>
          <w:p w14:paraId="013E2E35">
            <w:pPr>
              <w:spacing w:before="120" w:after="120" w:line="288" w:lineRule="auto"/>
              <w:jc w:val="left"/>
              <w:rPr>
                <w:highlight w:val="none"/>
              </w:rPr>
            </w:pPr>
            <w:r>
              <w:rPr>
                <w:rFonts w:ascii="Arial" w:hAnsi="Arial" w:eastAsia="等线" w:cs="Arial"/>
                <w:sz w:val="22"/>
                <w:highlight w:val="none"/>
              </w:rPr>
              <w:t>第2-3天</w:t>
            </w:r>
          </w:p>
        </w:tc>
      </w:tr>
      <w:tr w14:paraId="5F64A8B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0D3D118D">
            <w:pPr>
              <w:spacing w:before="120" w:after="120" w:line="288" w:lineRule="auto"/>
              <w:jc w:val="left"/>
              <w:rPr>
                <w:highlight w:val="none"/>
              </w:rPr>
            </w:pPr>
            <w:r>
              <w:rPr>
                <w:rFonts w:ascii="Arial" w:hAnsi="Arial" w:eastAsia="等线" w:cs="Arial"/>
                <w:sz w:val="22"/>
                <w:highlight w:val="none"/>
              </w:rPr>
              <w:t>3</w:t>
            </w:r>
          </w:p>
        </w:tc>
        <w:tc>
          <w:tcPr>
            <w:tcW w:w="2070" w:type="dxa"/>
            <w:tcMar>
              <w:top w:w="60" w:type="dxa"/>
              <w:left w:w="120" w:type="dxa"/>
              <w:bottom w:w="30" w:type="dxa"/>
              <w:right w:w="120" w:type="dxa"/>
            </w:tcMar>
          </w:tcPr>
          <w:p w14:paraId="09F789BD">
            <w:pPr>
              <w:spacing w:before="120" w:after="120" w:line="288" w:lineRule="auto"/>
              <w:jc w:val="left"/>
              <w:rPr>
                <w:highlight w:val="none"/>
              </w:rPr>
            </w:pPr>
            <w:r>
              <w:rPr>
                <w:rFonts w:hint="eastAsia" w:ascii="Arial" w:hAnsi="Arial" w:eastAsia="等线" w:cs="Arial"/>
                <w:sz w:val="22"/>
                <w:highlight w:val="none"/>
              </w:rPr>
              <w:t>基础结构修复</w:t>
            </w:r>
            <w:r>
              <w:rPr>
                <w:rFonts w:ascii="Arial" w:hAnsi="Arial" w:eastAsia="等线" w:cs="Arial"/>
                <w:sz w:val="22"/>
                <w:highlight w:val="none"/>
              </w:rPr>
              <w:t>及养护</w:t>
            </w:r>
          </w:p>
        </w:tc>
        <w:tc>
          <w:tcPr>
            <w:tcW w:w="2070" w:type="dxa"/>
            <w:tcMar>
              <w:top w:w="60" w:type="dxa"/>
              <w:left w:w="120" w:type="dxa"/>
              <w:bottom w:w="30" w:type="dxa"/>
              <w:right w:w="120" w:type="dxa"/>
            </w:tcMar>
          </w:tcPr>
          <w:p w14:paraId="1C8E03A1">
            <w:pPr>
              <w:spacing w:before="120" w:after="120" w:line="288" w:lineRule="auto"/>
              <w:jc w:val="left"/>
              <w:rPr>
                <w:highlight w:val="none"/>
              </w:rPr>
            </w:pPr>
            <w:r>
              <w:rPr>
                <w:rFonts w:ascii="Arial" w:hAnsi="Arial" w:eastAsia="等线" w:cs="Arial"/>
                <w:sz w:val="22"/>
                <w:highlight w:val="none"/>
              </w:rPr>
              <w:t>2</w:t>
            </w:r>
          </w:p>
        </w:tc>
        <w:tc>
          <w:tcPr>
            <w:tcW w:w="2070" w:type="dxa"/>
            <w:tcMar>
              <w:top w:w="60" w:type="dxa"/>
              <w:left w:w="120" w:type="dxa"/>
              <w:bottom w:w="30" w:type="dxa"/>
              <w:right w:w="120" w:type="dxa"/>
            </w:tcMar>
          </w:tcPr>
          <w:p w14:paraId="2EF82EB7">
            <w:pPr>
              <w:spacing w:before="120" w:after="120" w:line="288" w:lineRule="auto"/>
              <w:jc w:val="left"/>
              <w:rPr>
                <w:highlight w:val="none"/>
              </w:rPr>
            </w:pPr>
            <w:r>
              <w:rPr>
                <w:rFonts w:ascii="Arial" w:hAnsi="Arial" w:eastAsia="等线" w:cs="Arial"/>
                <w:sz w:val="22"/>
                <w:highlight w:val="none"/>
              </w:rPr>
              <w:t>第</w:t>
            </w:r>
            <w:r>
              <w:rPr>
                <w:rFonts w:hint="eastAsia" w:ascii="Arial" w:hAnsi="Arial" w:eastAsia="等线" w:cs="Arial"/>
                <w:sz w:val="22"/>
                <w:highlight w:val="none"/>
              </w:rPr>
              <w:t>4-5</w:t>
            </w:r>
            <w:r>
              <w:rPr>
                <w:rFonts w:ascii="Arial" w:hAnsi="Arial" w:eastAsia="等线" w:cs="Arial"/>
                <w:sz w:val="22"/>
                <w:highlight w:val="none"/>
              </w:rPr>
              <w:t>天</w:t>
            </w:r>
          </w:p>
        </w:tc>
      </w:tr>
      <w:tr w14:paraId="3D14662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33FDEFA5">
            <w:pPr>
              <w:spacing w:before="120" w:after="120" w:line="288" w:lineRule="auto"/>
              <w:jc w:val="left"/>
              <w:rPr>
                <w:highlight w:val="none"/>
              </w:rPr>
            </w:pPr>
            <w:r>
              <w:rPr>
                <w:rFonts w:ascii="Arial" w:hAnsi="Arial" w:eastAsia="等线" w:cs="Arial"/>
                <w:sz w:val="22"/>
                <w:highlight w:val="none"/>
              </w:rPr>
              <w:t>4</w:t>
            </w:r>
          </w:p>
        </w:tc>
        <w:tc>
          <w:tcPr>
            <w:tcW w:w="2070" w:type="dxa"/>
            <w:tcMar>
              <w:top w:w="60" w:type="dxa"/>
              <w:left w:w="120" w:type="dxa"/>
              <w:bottom w:w="30" w:type="dxa"/>
              <w:right w:w="120" w:type="dxa"/>
            </w:tcMar>
          </w:tcPr>
          <w:p w14:paraId="4602EACD">
            <w:pPr>
              <w:spacing w:before="120" w:after="120" w:line="288" w:lineRule="auto"/>
              <w:jc w:val="left"/>
              <w:rPr>
                <w:highlight w:val="none"/>
              </w:rPr>
            </w:pPr>
            <w:r>
              <w:rPr>
                <w:rFonts w:ascii="Arial" w:hAnsi="Arial" w:eastAsia="等线" w:cs="Arial"/>
                <w:sz w:val="22"/>
                <w:highlight w:val="none"/>
              </w:rPr>
              <w:t>传感器安装、接线、仪表调试</w:t>
            </w:r>
          </w:p>
        </w:tc>
        <w:tc>
          <w:tcPr>
            <w:tcW w:w="2070" w:type="dxa"/>
            <w:tcMar>
              <w:top w:w="60" w:type="dxa"/>
              <w:left w:w="120" w:type="dxa"/>
              <w:bottom w:w="30" w:type="dxa"/>
              <w:right w:w="120" w:type="dxa"/>
            </w:tcMar>
          </w:tcPr>
          <w:p w14:paraId="4E824496">
            <w:pPr>
              <w:spacing w:before="120" w:after="120" w:line="288" w:lineRule="auto"/>
              <w:jc w:val="left"/>
              <w:rPr>
                <w:rFonts w:eastAsia="宋体"/>
                <w:highlight w:val="none"/>
              </w:rPr>
            </w:pPr>
            <w:r>
              <w:rPr>
                <w:rFonts w:hint="eastAsia" w:ascii="Arial" w:hAnsi="Arial" w:eastAsia="等线" w:cs="Arial"/>
                <w:sz w:val="22"/>
                <w:highlight w:val="none"/>
              </w:rPr>
              <w:t>1</w:t>
            </w:r>
          </w:p>
        </w:tc>
        <w:tc>
          <w:tcPr>
            <w:tcW w:w="2070" w:type="dxa"/>
            <w:tcMar>
              <w:top w:w="60" w:type="dxa"/>
              <w:left w:w="120" w:type="dxa"/>
              <w:bottom w:w="30" w:type="dxa"/>
              <w:right w:w="120" w:type="dxa"/>
            </w:tcMar>
          </w:tcPr>
          <w:p w14:paraId="1959EDD0">
            <w:pPr>
              <w:spacing w:before="120" w:after="120" w:line="288" w:lineRule="auto"/>
              <w:jc w:val="left"/>
              <w:rPr>
                <w:highlight w:val="none"/>
              </w:rPr>
            </w:pPr>
            <w:r>
              <w:rPr>
                <w:rFonts w:ascii="Arial" w:hAnsi="Arial" w:eastAsia="等线" w:cs="Arial"/>
                <w:sz w:val="22"/>
                <w:highlight w:val="none"/>
              </w:rPr>
              <w:t>第</w:t>
            </w:r>
            <w:r>
              <w:rPr>
                <w:rFonts w:hint="eastAsia" w:ascii="Arial" w:hAnsi="Arial" w:eastAsia="等线" w:cs="Arial"/>
                <w:sz w:val="22"/>
                <w:highlight w:val="none"/>
              </w:rPr>
              <w:t>6</w:t>
            </w:r>
            <w:r>
              <w:rPr>
                <w:rFonts w:ascii="Arial" w:hAnsi="Arial" w:eastAsia="等线" w:cs="Arial"/>
                <w:sz w:val="22"/>
                <w:highlight w:val="none"/>
              </w:rPr>
              <w:t>天</w:t>
            </w:r>
          </w:p>
        </w:tc>
      </w:tr>
      <w:tr w14:paraId="1EDA8AE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53F83C0E">
            <w:pPr>
              <w:spacing w:before="120" w:after="120" w:line="288" w:lineRule="auto"/>
              <w:jc w:val="left"/>
              <w:rPr>
                <w:highlight w:val="none"/>
              </w:rPr>
            </w:pPr>
            <w:r>
              <w:rPr>
                <w:rFonts w:ascii="Arial" w:hAnsi="Arial" w:eastAsia="等线" w:cs="Arial"/>
                <w:sz w:val="22"/>
                <w:highlight w:val="none"/>
              </w:rPr>
              <w:t>5</w:t>
            </w:r>
          </w:p>
        </w:tc>
        <w:tc>
          <w:tcPr>
            <w:tcW w:w="2070" w:type="dxa"/>
            <w:tcMar>
              <w:top w:w="60" w:type="dxa"/>
              <w:left w:w="120" w:type="dxa"/>
              <w:bottom w:w="30" w:type="dxa"/>
              <w:right w:w="120" w:type="dxa"/>
            </w:tcMar>
          </w:tcPr>
          <w:p w14:paraId="6A41D9CD">
            <w:pPr>
              <w:spacing w:before="120" w:after="120" w:line="288" w:lineRule="auto"/>
              <w:jc w:val="left"/>
              <w:rPr>
                <w:highlight w:val="none"/>
              </w:rPr>
            </w:pPr>
            <w:r>
              <w:rPr>
                <w:rFonts w:ascii="Arial" w:hAnsi="Arial" w:eastAsia="等线" w:cs="Arial"/>
                <w:sz w:val="22"/>
                <w:highlight w:val="none"/>
              </w:rPr>
              <w:t>计量检定、验收、通车</w:t>
            </w:r>
          </w:p>
        </w:tc>
        <w:tc>
          <w:tcPr>
            <w:tcW w:w="2070" w:type="dxa"/>
            <w:tcMar>
              <w:top w:w="60" w:type="dxa"/>
              <w:left w:w="120" w:type="dxa"/>
              <w:bottom w:w="30" w:type="dxa"/>
              <w:right w:w="120" w:type="dxa"/>
            </w:tcMar>
          </w:tcPr>
          <w:p w14:paraId="2D4F100A">
            <w:pPr>
              <w:spacing w:before="120" w:after="120" w:line="288" w:lineRule="auto"/>
              <w:jc w:val="left"/>
              <w:rPr>
                <w:highlight w:val="none"/>
              </w:rPr>
            </w:pPr>
            <w:r>
              <w:rPr>
                <w:rFonts w:ascii="Arial" w:hAnsi="Arial" w:eastAsia="等线" w:cs="Arial"/>
                <w:sz w:val="22"/>
                <w:highlight w:val="none"/>
              </w:rPr>
              <w:t>1</w:t>
            </w:r>
          </w:p>
        </w:tc>
        <w:tc>
          <w:tcPr>
            <w:tcW w:w="2070" w:type="dxa"/>
            <w:tcMar>
              <w:top w:w="60" w:type="dxa"/>
              <w:left w:w="120" w:type="dxa"/>
              <w:bottom w:w="30" w:type="dxa"/>
              <w:right w:w="120" w:type="dxa"/>
            </w:tcMar>
          </w:tcPr>
          <w:p w14:paraId="522493CD">
            <w:pPr>
              <w:spacing w:before="120" w:after="120" w:line="288" w:lineRule="auto"/>
              <w:jc w:val="left"/>
              <w:rPr>
                <w:highlight w:val="none"/>
              </w:rPr>
            </w:pPr>
            <w:r>
              <w:rPr>
                <w:rFonts w:ascii="Arial" w:hAnsi="Arial" w:eastAsia="等线" w:cs="Arial"/>
                <w:sz w:val="22"/>
                <w:highlight w:val="none"/>
              </w:rPr>
              <w:t>第</w:t>
            </w:r>
            <w:r>
              <w:rPr>
                <w:rFonts w:hint="eastAsia" w:ascii="Arial" w:hAnsi="Arial" w:eastAsia="等线" w:cs="Arial"/>
                <w:sz w:val="22"/>
                <w:highlight w:val="none"/>
              </w:rPr>
              <w:t>7</w:t>
            </w:r>
            <w:r>
              <w:rPr>
                <w:rFonts w:ascii="Arial" w:hAnsi="Arial" w:eastAsia="等线" w:cs="Arial"/>
                <w:sz w:val="22"/>
                <w:highlight w:val="none"/>
              </w:rPr>
              <w:t>天</w:t>
            </w:r>
          </w:p>
        </w:tc>
      </w:tr>
    </w:tbl>
    <w:p w14:paraId="27EB3017">
      <w:pPr>
        <w:spacing w:before="300" w:after="120" w:line="288" w:lineRule="auto"/>
        <w:jc w:val="left"/>
        <w:outlineLvl w:val="2"/>
        <w:rPr>
          <w:highlight w:val="none"/>
        </w:rPr>
      </w:pPr>
      <w:bookmarkStart w:id="34" w:name="heading_34"/>
      <w:r>
        <w:rPr>
          <w:rFonts w:ascii="Arial" w:hAnsi="Arial" w:eastAsia="等线" w:cs="Arial"/>
          <w:b/>
          <w:sz w:val="30"/>
          <w:highlight w:val="none"/>
        </w:rPr>
        <w:t>7.2 保证措施</w:t>
      </w:r>
      <w:bookmarkEnd w:id="34"/>
    </w:p>
    <w:p w14:paraId="63354645">
      <w:pPr>
        <w:numPr>
          <w:ilvl w:val="0"/>
          <w:numId w:val="37"/>
        </w:numPr>
        <w:spacing w:before="120" w:after="120" w:line="288" w:lineRule="auto"/>
        <w:jc w:val="left"/>
        <w:rPr>
          <w:highlight w:val="none"/>
        </w:rPr>
      </w:pPr>
      <w:r>
        <w:rPr>
          <w:rFonts w:ascii="Arial" w:hAnsi="Arial" w:eastAsia="等线" w:cs="Arial"/>
          <w:sz w:val="22"/>
          <w:highlight w:val="none"/>
        </w:rPr>
        <w:t>配备充足的备用传感器及配件，避免因材料短缺停工。</w:t>
      </w:r>
    </w:p>
    <w:p w14:paraId="2A1F7F13">
      <w:pPr>
        <w:numPr>
          <w:ilvl w:val="0"/>
          <w:numId w:val="38"/>
        </w:numPr>
        <w:spacing w:before="120" w:after="120" w:line="288" w:lineRule="auto"/>
        <w:jc w:val="left"/>
        <w:rPr>
          <w:highlight w:val="none"/>
        </w:rPr>
      </w:pPr>
      <w:r>
        <w:rPr>
          <w:rFonts w:ascii="Arial" w:hAnsi="Arial" w:eastAsia="等线" w:cs="Arial"/>
          <w:sz w:val="22"/>
          <w:highlight w:val="none"/>
        </w:rPr>
        <w:t>安排专人与高速运营单位沟通，确保审批流程顺畅。</w:t>
      </w:r>
    </w:p>
    <w:p w14:paraId="2085FB45">
      <w:pPr>
        <w:pBdr>
          <w:bottom w:val="single" w:color="DEE0E3" w:sz="2" w:space="0"/>
          <w:between w:val="single" w:color="DEE0E3" w:sz="2" w:space="0"/>
        </w:pBdr>
        <w:spacing w:before="120" w:after="120" w:line="288" w:lineRule="auto"/>
        <w:rPr>
          <w:highlight w:val="none"/>
        </w:rPr>
      </w:pPr>
    </w:p>
    <w:p w14:paraId="630EB9F0">
      <w:pPr>
        <w:spacing w:before="320" w:after="120" w:line="288" w:lineRule="auto"/>
        <w:jc w:val="left"/>
        <w:outlineLvl w:val="1"/>
        <w:rPr>
          <w:highlight w:val="none"/>
        </w:rPr>
      </w:pPr>
      <w:bookmarkStart w:id="35" w:name="heading_35"/>
      <w:r>
        <w:rPr>
          <w:rFonts w:ascii="Arial" w:hAnsi="Arial" w:eastAsia="等线" w:cs="Arial"/>
          <w:b/>
          <w:sz w:val="32"/>
          <w:highlight w:val="none"/>
        </w:rPr>
        <w:t>第八章 雨季及突发事件应急预案</w:t>
      </w:r>
      <w:bookmarkEnd w:id="35"/>
    </w:p>
    <w:p w14:paraId="5790A49A">
      <w:pPr>
        <w:spacing w:before="300" w:after="120" w:line="288" w:lineRule="auto"/>
        <w:jc w:val="left"/>
        <w:outlineLvl w:val="2"/>
        <w:rPr>
          <w:highlight w:val="none"/>
        </w:rPr>
      </w:pPr>
      <w:bookmarkStart w:id="36" w:name="heading_36"/>
      <w:r>
        <w:rPr>
          <w:rFonts w:ascii="Arial" w:hAnsi="Arial" w:eastAsia="等线" w:cs="Arial"/>
          <w:b/>
          <w:sz w:val="30"/>
          <w:highlight w:val="none"/>
        </w:rPr>
        <w:t>8.1 暴雨应急预案</w:t>
      </w:r>
      <w:bookmarkEnd w:id="36"/>
    </w:p>
    <w:p w14:paraId="2B02B413">
      <w:pPr>
        <w:numPr>
          <w:ilvl w:val="0"/>
          <w:numId w:val="39"/>
        </w:numPr>
        <w:spacing w:before="120" w:after="120" w:line="288" w:lineRule="auto"/>
        <w:jc w:val="left"/>
        <w:rPr>
          <w:highlight w:val="none"/>
        </w:rPr>
      </w:pPr>
      <w:r>
        <w:rPr>
          <w:rFonts w:ascii="Arial" w:hAnsi="Arial" w:eastAsia="等线" w:cs="Arial"/>
          <w:sz w:val="22"/>
          <w:highlight w:val="none"/>
        </w:rPr>
        <w:t>遇暴雨立即停止基坑施工，用防雨布覆盖基坑。</w:t>
      </w:r>
    </w:p>
    <w:p w14:paraId="07E4E33A">
      <w:pPr>
        <w:numPr>
          <w:ilvl w:val="0"/>
          <w:numId w:val="40"/>
        </w:numPr>
        <w:spacing w:before="120" w:after="120" w:line="288" w:lineRule="auto"/>
        <w:jc w:val="left"/>
        <w:rPr>
          <w:highlight w:val="none"/>
        </w:rPr>
      </w:pPr>
      <w:r>
        <w:rPr>
          <w:rFonts w:ascii="Arial" w:hAnsi="Arial" w:eastAsia="等线" w:cs="Arial"/>
          <w:sz w:val="22"/>
          <w:highlight w:val="none"/>
        </w:rPr>
        <w:t>启动大功率抽水泵，强制排水，防止基坑被淹导致基础受损。</w:t>
      </w:r>
    </w:p>
    <w:p w14:paraId="234E0A31">
      <w:pPr>
        <w:spacing w:before="300" w:after="120" w:line="288" w:lineRule="auto"/>
        <w:jc w:val="left"/>
        <w:outlineLvl w:val="2"/>
        <w:rPr>
          <w:highlight w:val="none"/>
        </w:rPr>
      </w:pPr>
      <w:bookmarkStart w:id="37" w:name="heading_37"/>
      <w:r>
        <w:rPr>
          <w:rFonts w:ascii="Arial" w:hAnsi="Arial" w:eastAsia="等线" w:cs="Arial"/>
          <w:b/>
          <w:sz w:val="30"/>
          <w:highlight w:val="none"/>
        </w:rPr>
        <w:t>8.2 交通拥堵预案</w:t>
      </w:r>
      <w:bookmarkEnd w:id="37"/>
    </w:p>
    <w:p w14:paraId="25EEE5FE">
      <w:pPr>
        <w:numPr>
          <w:ilvl w:val="0"/>
          <w:numId w:val="41"/>
        </w:numPr>
        <w:spacing w:before="120" w:after="120" w:line="288" w:lineRule="auto"/>
        <w:jc w:val="left"/>
        <w:rPr>
          <w:highlight w:val="none"/>
        </w:rPr>
      </w:pPr>
      <w:r>
        <w:rPr>
          <w:rFonts w:ascii="Arial" w:hAnsi="Arial" w:eastAsia="等线" w:cs="Arial"/>
          <w:sz w:val="22"/>
          <w:highlight w:val="none"/>
        </w:rPr>
        <w:t>若收费站通行压力过大，立即协调交警</w:t>
      </w:r>
      <w:r>
        <w:rPr>
          <w:rFonts w:hint="eastAsia" w:ascii="Arial" w:hAnsi="Arial" w:eastAsia="等线" w:cs="Arial"/>
          <w:sz w:val="22"/>
          <w:highlight w:val="none"/>
        </w:rPr>
        <w:t>疏导交通</w:t>
      </w:r>
      <w:r>
        <w:rPr>
          <w:rFonts w:ascii="Arial" w:hAnsi="Arial" w:eastAsia="等线" w:cs="Arial"/>
          <w:sz w:val="22"/>
          <w:highlight w:val="none"/>
        </w:rPr>
        <w:t>，</w:t>
      </w:r>
      <w:r>
        <w:rPr>
          <w:rFonts w:hint="eastAsia" w:ascii="Arial" w:hAnsi="Arial" w:eastAsia="等线" w:cs="Arial"/>
          <w:sz w:val="22"/>
          <w:highlight w:val="none"/>
        </w:rPr>
        <w:t>合理</w:t>
      </w:r>
      <w:r>
        <w:rPr>
          <w:rFonts w:ascii="Arial" w:hAnsi="Arial" w:eastAsia="等线" w:cs="Arial"/>
          <w:sz w:val="22"/>
          <w:highlight w:val="none"/>
        </w:rPr>
        <w:t>缩短封闭时长。</w:t>
      </w:r>
    </w:p>
    <w:p w14:paraId="67DDB23F">
      <w:pPr>
        <w:pBdr>
          <w:bottom w:val="single" w:color="DEE0E3" w:sz="2" w:space="0"/>
          <w:between w:val="single" w:color="DEE0E3" w:sz="2" w:space="0"/>
        </w:pBdr>
        <w:spacing w:before="120" w:after="120" w:line="288" w:lineRule="auto"/>
        <w:rPr>
          <w:highlight w:val="none"/>
        </w:rPr>
      </w:pPr>
    </w:p>
    <w:p w14:paraId="2E6D85D0">
      <w:pPr>
        <w:spacing w:before="320" w:after="120" w:line="288" w:lineRule="auto"/>
        <w:jc w:val="left"/>
        <w:outlineLvl w:val="1"/>
        <w:rPr>
          <w:highlight w:val="none"/>
        </w:rPr>
      </w:pPr>
      <w:bookmarkStart w:id="38" w:name="heading_38"/>
      <w:r>
        <w:rPr>
          <w:rFonts w:ascii="Arial" w:hAnsi="Arial" w:eastAsia="等线" w:cs="Arial"/>
          <w:b/>
          <w:sz w:val="32"/>
          <w:highlight w:val="none"/>
        </w:rPr>
        <w:t>第九章 竣工验收与资料交付</w:t>
      </w:r>
      <w:bookmarkEnd w:id="38"/>
    </w:p>
    <w:p w14:paraId="1E1F4BA4">
      <w:pPr>
        <w:spacing w:before="300" w:after="120" w:line="288" w:lineRule="auto"/>
        <w:jc w:val="left"/>
        <w:outlineLvl w:val="2"/>
        <w:rPr>
          <w:highlight w:val="none"/>
        </w:rPr>
      </w:pPr>
      <w:bookmarkStart w:id="39" w:name="heading_39"/>
      <w:r>
        <w:rPr>
          <w:rFonts w:ascii="Arial" w:hAnsi="Arial" w:eastAsia="等线" w:cs="Arial"/>
          <w:b/>
          <w:sz w:val="30"/>
          <w:highlight w:val="none"/>
        </w:rPr>
        <w:t>9.1 验收内容</w:t>
      </w:r>
      <w:bookmarkEnd w:id="39"/>
    </w:p>
    <w:p w14:paraId="0B94C4A7">
      <w:pPr>
        <w:numPr>
          <w:ilvl w:val="0"/>
          <w:numId w:val="42"/>
        </w:numPr>
        <w:spacing w:before="120" w:after="120" w:line="288" w:lineRule="auto"/>
        <w:jc w:val="left"/>
        <w:rPr>
          <w:highlight w:val="none"/>
        </w:rPr>
      </w:pPr>
      <w:r>
        <w:rPr>
          <w:rFonts w:ascii="Arial" w:hAnsi="Arial" w:eastAsia="等线" w:cs="Arial"/>
          <w:b/>
          <w:sz w:val="22"/>
          <w:highlight w:val="none"/>
        </w:rPr>
        <w:t>基础工程</w:t>
      </w:r>
      <w:r>
        <w:rPr>
          <w:rFonts w:ascii="Arial" w:hAnsi="Arial" w:eastAsia="等线" w:cs="Arial"/>
          <w:sz w:val="22"/>
          <w:highlight w:val="none"/>
        </w:rPr>
        <w:t>：沉降消除、预埋件牢固、排水通畅。</w:t>
      </w:r>
    </w:p>
    <w:p w14:paraId="0FF5FE60">
      <w:pPr>
        <w:numPr>
          <w:ilvl w:val="0"/>
          <w:numId w:val="43"/>
        </w:numPr>
        <w:spacing w:before="120" w:after="120" w:line="288" w:lineRule="auto"/>
        <w:jc w:val="left"/>
        <w:rPr>
          <w:highlight w:val="none"/>
        </w:rPr>
      </w:pPr>
      <w:r>
        <w:rPr>
          <w:rFonts w:ascii="Arial" w:hAnsi="Arial" w:eastAsia="等线" w:cs="Arial"/>
          <w:b/>
          <w:sz w:val="22"/>
          <w:highlight w:val="none"/>
        </w:rPr>
        <w:t>设备工程</w:t>
      </w:r>
      <w:r>
        <w:rPr>
          <w:rFonts w:ascii="Arial" w:hAnsi="Arial" w:eastAsia="等线" w:cs="Arial"/>
          <w:sz w:val="22"/>
          <w:highlight w:val="none"/>
        </w:rPr>
        <w:t>：传感器工作正常、仪表显示准确、通讯数据正常。</w:t>
      </w:r>
    </w:p>
    <w:p w14:paraId="7AD4B317">
      <w:pPr>
        <w:numPr>
          <w:ilvl w:val="0"/>
          <w:numId w:val="44"/>
        </w:numPr>
        <w:spacing w:before="120" w:after="120" w:line="288" w:lineRule="auto"/>
        <w:jc w:val="left"/>
        <w:rPr>
          <w:highlight w:val="none"/>
        </w:rPr>
      </w:pPr>
      <w:r>
        <w:rPr>
          <w:rFonts w:ascii="Arial" w:hAnsi="Arial" w:eastAsia="等线" w:cs="Arial"/>
          <w:b/>
          <w:sz w:val="22"/>
          <w:highlight w:val="none"/>
        </w:rPr>
        <w:t>检定</w:t>
      </w:r>
      <w:r>
        <w:rPr>
          <w:rFonts w:hint="eastAsia" w:ascii="Arial" w:hAnsi="Arial" w:eastAsia="等线" w:cs="Arial"/>
          <w:b/>
          <w:sz w:val="22"/>
          <w:highlight w:val="none"/>
        </w:rPr>
        <w:t>合格证</w:t>
      </w:r>
      <w:r>
        <w:rPr>
          <w:rFonts w:ascii="Arial" w:hAnsi="Arial" w:eastAsia="等线" w:cs="Arial"/>
          <w:sz w:val="22"/>
          <w:highlight w:val="none"/>
        </w:rPr>
        <w:t>：法定计量检定机构</w:t>
      </w:r>
      <w:r>
        <w:rPr>
          <w:rFonts w:hint="eastAsia" w:ascii="Arial" w:hAnsi="Arial" w:eastAsia="等线" w:cs="Arial"/>
          <w:sz w:val="22"/>
          <w:highlight w:val="none"/>
        </w:rPr>
        <w:t>检定</w:t>
      </w:r>
      <w:r>
        <w:rPr>
          <w:rFonts w:ascii="Arial" w:hAnsi="Arial" w:eastAsia="等线" w:cs="Arial"/>
          <w:sz w:val="22"/>
          <w:highlight w:val="none"/>
        </w:rPr>
        <w:t>合格</w:t>
      </w:r>
      <w:r>
        <w:rPr>
          <w:rFonts w:hint="eastAsia" w:ascii="Arial" w:hAnsi="Arial" w:eastAsia="等线" w:cs="Arial"/>
          <w:sz w:val="22"/>
          <w:highlight w:val="none"/>
          <w:lang w:val="en-US" w:eastAsia="zh-CN"/>
        </w:rPr>
        <w:t>标签</w:t>
      </w:r>
      <w:r>
        <w:rPr>
          <w:rFonts w:ascii="Arial" w:hAnsi="Arial" w:eastAsia="等线" w:cs="Arial"/>
          <w:sz w:val="22"/>
          <w:highlight w:val="none"/>
        </w:rPr>
        <w:t>。</w:t>
      </w:r>
    </w:p>
    <w:p w14:paraId="2C5AEE56">
      <w:pPr>
        <w:spacing w:before="300" w:after="120" w:line="288" w:lineRule="auto"/>
        <w:jc w:val="left"/>
        <w:outlineLvl w:val="2"/>
        <w:rPr>
          <w:highlight w:val="none"/>
        </w:rPr>
      </w:pPr>
      <w:bookmarkStart w:id="40" w:name="heading_40"/>
      <w:r>
        <w:rPr>
          <w:rFonts w:ascii="Arial" w:hAnsi="Arial" w:eastAsia="等线" w:cs="Arial"/>
          <w:b/>
          <w:sz w:val="30"/>
          <w:highlight w:val="none"/>
        </w:rPr>
        <w:t>9.2 资料移交清单</w:t>
      </w:r>
      <w:bookmarkEnd w:id="40"/>
    </w:p>
    <w:p w14:paraId="085AC0F0">
      <w:pPr>
        <w:spacing w:before="120" w:after="120" w:line="288" w:lineRule="auto"/>
        <w:jc w:val="left"/>
        <w:rPr>
          <w:highlight w:val="none"/>
        </w:rPr>
      </w:pPr>
      <w:r>
        <w:rPr>
          <w:rFonts w:ascii="Arial" w:hAnsi="Arial" w:eastAsia="等线" w:cs="Arial"/>
          <w:sz w:val="22"/>
          <w:highlight w:val="none"/>
        </w:rPr>
        <w:t>施工单位向建设单位移交以下资料：</w:t>
      </w:r>
    </w:p>
    <w:p w14:paraId="6459C8F4">
      <w:pPr>
        <w:numPr>
          <w:ilvl w:val="0"/>
          <w:numId w:val="45"/>
        </w:numPr>
        <w:spacing w:before="120" w:after="120" w:line="288" w:lineRule="auto"/>
        <w:jc w:val="left"/>
        <w:rPr>
          <w:highlight w:val="none"/>
        </w:rPr>
      </w:pPr>
      <w:r>
        <w:rPr>
          <w:rFonts w:ascii="Arial" w:hAnsi="Arial" w:eastAsia="等线" w:cs="Arial"/>
          <w:sz w:val="22"/>
          <w:highlight w:val="none"/>
        </w:rPr>
        <w:t>施工方案审批表</w:t>
      </w:r>
    </w:p>
    <w:p w14:paraId="73C764A2">
      <w:pPr>
        <w:numPr>
          <w:ilvl w:val="0"/>
          <w:numId w:val="46"/>
        </w:numPr>
        <w:spacing w:before="120" w:after="120" w:line="288" w:lineRule="auto"/>
        <w:jc w:val="left"/>
        <w:rPr>
          <w:highlight w:val="none"/>
        </w:rPr>
      </w:pPr>
      <w:r>
        <w:rPr>
          <w:rFonts w:ascii="Arial" w:hAnsi="Arial" w:eastAsia="等线" w:cs="Arial"/>
          <w:sz w:val="22"/>
          <w:highlight w:val="none"/>
        </w:rPr>
        <w:t>材料合格证</w:t>
      </w:r>
      <w:r>
        <w:rPr>
          <w:rFonts w:hint="eastAsia" w:ascii="Arial" w:hAnsi="Arial" w:eastAsia="等线" w:cs="Arial"/>
          <w:sz w:val="22"/>
          <w:highlight w:val="none"/>
        </w:rPr>
        <w:t>或检测报告</w:t>
      </w:r>
    </w:p>
    <w:p w14:paraId="43C863E3">
      <w:pPr>
        <w:numPr>
          <w:ilvl w:val="0"/>
          <w:numId w:val="47"/>
        </w:numPr>
        <w:spacing w:before="120" w:after="120" w:line="288" w:lineRule="auto"/>
        <w:jc w:val="left"/>
        <w:rPr>
          <w:highlight w:val="none"/>
        </w:rPr>
      </w:pPr>
      <w:r>
        <w:rPr>
          <w:rFonts w:hint="eastAsia" w:ascii="Arial" w:hAnsi="Arial" w:eastAsia="等线" w:cs="Arial"/>
          <w:sz w:val="22"/>
          <w:highlight w:val="none"/>
        </w:rPr>
        <w:t>隐蔽工程施工记录</w:t>
      </w:r>
    </w:p>
    <w:p w14:paraId="14607CA0">
      <w:pPr>
        <w:numPr>
          <w:ilvl w:val="0"/>
          <w:numId w:val="48"/>
        </w:numPr>
        <w:spacing w:before="120" w:after="120" w:line="288" w:lineRule="auto"/>
        <w:jc w:val="left"/>
        <w:rPr>
          <w:highlight w:val="none"/>
        </w:rPr>
      </w:pPr>
      <w:r>
        <w:rPr>
          <w:rFonts w:hint="eastAsia" w:ascii="Arial" w:hAnsi="Arial" w:eastAsia="等线" w:cs="Arial"/>
          <w:sz w:val="22"/>
          <w:highlight w:val="none"/>
        </w:rPr>
        <w:t>施工日志及照片</w:t>
      </w:r>
    </w:p>
    <w:p w14:paraId="0B276695">
      <w:pPr>
        <w:numPr>
          <w:ilvl w:val="0"/>
          <w:numId w:val="49"/>
        </w:numPr>
        <w:spacing w:before="120" w:after="120" w:line="288" w:lineRule="auto"/>
        <w:jc w:val="left"/>
        <w:rPr>
          <w:highlight w:val="none"/>
        </w:rPr>
      </w:pPr>
      <w:r>
        <w:rPr>
          <w:rFonts w:hint="eastAsia" w:ascii="Arial" w:hAnsi="Arial" w:eastAsia="等线" w:cs="Arial"/>
          <w:sz w:val="22"/>
          <w:highlight w:val="none"/>
        </w:rPr>
        <w:t>检定合格</w:t>
      </w:r>
      <w:r>
        <w:rPr>
          <w:rFonts w:hint="eastAsia" w:ascii="Arial" w:hAnsi="Arial" w:eastAsia="等线" w:cs="Arial"/>
          <w:sz w:val="22"/>
          <w:highlight w:val="none"/>
          <w:lang w:val="en-US" w:eastAsia="zh-CN"/>
        </w:rPr>
        <w:t>标签</w:t>
      </w:r>
      <w:r>
        <w:rPr>
          <w:rFonts w:hint="eastAsia" w:ascii="Arial" w:hAnsi="Arial" w:eastAsia="等线" w:cs="Arial"/>
          <w:sz w:val="22"/>
          <w:highlight w:val="none"/>
        </w:rPr>
        <w:t>照片</w:t>
      </w:r>
    </w:p>
    <w:p w14:paraId="2E23D294">
      <w:pPr>
        <w:pBdr>
          <w:bottom w:val="single" w:color="DEE0E3" w:sz="2" w:space="0"/>
          <w:between w:val="single" w:color="DEE0E3" w:sz="2" w:space="0"/>
        </w:pBdr>
        <w:spacing w:before="120" w:after="120" w:line="288" w:lineRule="auto"/>
        <w:rPr>
          <w:highlight w:val="none"/>
        </w:rPr>
      </w:pPr>
    </w:p>
    <w:p w14:paraId="082C3213">
      <w:pPr>
        <w:spacing w:before="320" w:after="120" w:line="288" w:lineRule="auto"/>
        <w:jc w:val="left"/>
        <w:outlineLvl w:val="1"/>
        <w:rPr>
          <w:highlight w:val="none"/>
        </w:rPr>
      </w:pPr>
      <w:bookmarkStart w:id="41" w:name="heading_41"/>
      <w:r>
        <w:rPr>
          <w:rFonts w:ascii="Arial" w:hAnsi="Arial" w:eastAsia="等线" w:cs="Arial"/>
          <w:b/>
          <w:sz w:val="32"/>
          <w:highlight w:val="none"/>
        </w:rPr>
        <w:t>附录：常用填写表格（可直接复制使用）</w:t>
      </w:r>
      <w:bookmarkEnd w:id="41"/>
    </w:p>
    <w:p w14:paraId="045548B3">
      <w:pPr>
        <w:spacing w:before="300" w:after="120" w:line="288" w:lineRule="auto"/>
        <w:jc w:val="left"/>
        <w:outlineLvl w:val="2"/>
        <w:rPr>
          <w:highlight w:val="none"/>
        </w:rPr>
      </w:pPr>
      <w:bookmarkStart w:id="42" w:name="heading_42"/>
      <w:r>
        <w:rPr>
          <w:rFonts w:ascii="Arial" w:hAnsi="Arial" w:eastAsia="等线" w:cs="Arial"/>
          <w:b/>
          <w:sz w:val="30"/>
          <w:highlight w:val="none"/>
        </w:rPr>
        <w:t>附表1：材料进场验收记录表</w:t>
      </w:r>
      <w:bookmarkEnd w:id="42"/>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035"/>
        <w:gridCol w:w="1035"/>
        <w:gridCol w:w="1035"/>
        <w:gridCol w:w="1035"/>
        <w:gridCol w:w="1035"/>
        <w:gridCol w:w="1035"/>
        <w:gridCol w:w="1035"/>
        <w:gridCol w:w="1035"/>
      </w:tblGrid>
      <w:tr w14:paraId="076233A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035" w:type="dxa"/>
            <w:tcMar>
              <w:top w:w="60" w:type="dxa"/>
              <w:left w:w="120" w:type="dxa"/>
              <w:bottom w:w="30" w:type="dxa"/>
              <w:right w:w="120" w:type="dxa"/>
            </w:tcMar>
          </w:tcPr>
          <w:p w14:paraId="2B18A6FE">
            <w:pPr>
              <w:spacing w:before="120" w:after="120" w:line="288" w:lineRule="auto"/>
              <w:jc w:val="center"/>
              <w:rPr>
                <w:highlight w:val="none"/>
              </w:rPr>
            </w:pPr>
            <w:r>
              <w:rPr>
                <w:rFonts w:ascii="Arial" w:hAnsi="Arial" w:eastAsia="等线" w:cs="Arial"/>
                <w:sz w:val="22"/>
                <w:highlight w:val="none"/>
              </w:rPr>
              <w:t>序号</w:t>
            </w:r>
          </w:p>
        </w:tc>
        <w:tc>
          <w:tcPr>
            <w:tcW w:w="1035" w:type="dxa"/>
            <w:tcMar>
              <w:top w:w="60" w:type="dxa"/>
              <w:left w:w="120" w:type="dxa"/>
              <w:bottom w:w="30" w:type="dxa"/>
              <w:right w:w="120" w:type="dxa"/>
            </w:tcMar>
          </w:tcPr>
          <w:p w14:paraId="4D026A91">
            <w:pPr>
              <w:spacing w:before="120" w:after="120" w:line="288" w:lineRule="auto"/>
              <w:jc w:val="left"/>
              <w:rPr>
                <w:highlight w:val="none"/>
              </w:rPr>
            </w:pPr>
            <w:r>
              <w:rPr>
                <w:rFonts w:ascii="Arial" w:hAnsi="Arial" w:eastAsia="等线" w:cs="Arial"/>
                <w:sz w:val="22"/>
                <w:highlight w:val="none"/>
              </w:rPr>
              <w:t>材料名称</w:t>
            </w:r>
          </w:p>
        </w:tc>
        <w:tc>
          <w:tcPr>
            <w:tcW w:w="1035" w:type="dxa"/>
            <w:tcMar>
              <w:top w:w="60" w:type="dxa"/>
              <w:left w:w="120" w:type="dxa"/>
              <w:bottom w:w="30" w:type="dxa"/>
              <w:right w:w="120" w:type="dxa"/>
            </w:tcMar>
          </w:tcPr>
          <w:p w14:paraId="25E98397">
            <w:pPr>
              <w:spacing w:before="120" w:after="120" w:line="288" w:lineRule="auto"/>
              <w:jc w:val="left"/>
              <w:rPr>
                <w:highlight w:val="none"/>
              </w:rPr>
            </w:pPr>
            <w:r>
              <w:rPr>
                <w:rFonts w:ascii="Arial" w:hAnsi="Arial" w:eastAsia="等线" w:cs="Arial"/>
                <w:sz w:val="22"/>
                <w:highlight w:val="none"/>
              </w:rPr>
              <w:t>规格型号</w:t>
            </w:r>
          </w:p>
        </w:tc>
        <w:tc>
          <w:tcPr>
            <w:tcW w:w="1035" w:type="dxa"/>
            <w:tcMar>
              <w:top w:w="60" w:type="dxa"/>
              <w:left w:w="120" w:type="dxa"/>
              <w:bottom w:w="30" w:type="dxa"/>
              <w:right w:w="120" w:type="dxa"/>
            </w:tcMar>
          </w:tcPr>
          <w:p w14:paraId="480A36EF">
            <w:pPr>
              <w:spacing w:before="120" w:after="120" w:line="288" w:lineRule="auto"/>
              <w:jc w:val="left"/>
              <w:rPr>
                <w:highlight w:val="none"/>
              </w:rPr>
            </w:pPr>
            <w:r>
              <w:rPr>
                <w:rFonts w:ascii="Arial" w:hAnsi="Arial" w:eastAsia="等线" w:cs="Arial"/>
                <w:sz w:val="22"/>
                <w:highlight w:val="none"/>
              </w:rPr>
              <w:t>数量</w:t>
            </w:r>
          </w:p>
        </w:tc>
        <w:tc>
          <w:tcPr>
            <w:tcW w:w="1035" w:type="dxa"/>
            <w:tcMar>
              <w:top w:w="60" w:type="dxa"/>
              <w:left w:w="120" w:type="dxa"/>
              <w:bottom w:w="30" w:type="dxa"/>
              <w:right w:w="120" w:type="dxa"/>
            </w:tcMar>
          </w:tcPr>
          <w:p w14:paraId="327BDAF1">
            <w:pPr>
              <w:spacing w:before="120" w:after="120" w:line="288" w:lineRule="auto"/>
              <w:jc w:val="left"/>
              <w:rPr>
                <w:highlight w:val="none"/>
              </w:rPr>
            </w:pPr>
            <w:r>
              <w:rPr>
                <w:rFonts w:ascii="Arial" w:hAnsi="Arial" w:eastAsia="等线" w:cs="Arial"/>
                <w:sz w:val="22"/>
                <w:highlight w:val="none"/>
              </w:rPr>
              <w:t>生产厂家</w:t>
            </w:r>
          </w:p>
        </w:tc>
        <w:tc>
          <w:tcPr>
            <w:tcW w:w="1035" w:type="dxa"/>
            <w:tcMar>
              <w:top w:w="60" w:type="dxa"/>
              <w:left w:w="120" w:type="dxa"/>
              <w:bottom w:w="30" w:type="dxa"/>
              <w:right w:w="120" w:type="dxa"/>
            </w:tcMar>
          </w:tcPr>
          <w:p w14:paraId="6F1D73AB">
            <w:pPr>
              <w:spacing w:before="120" w:after="120" w:line="288" w:lineRule="auto"/>
              <w:jc w:val="left"/>
              <w:rPr>
                <w:highlight w:val="none"/>
              </w:rPr>
            </w:pPr>
            <w:r>
              <w:rPr>
                <w:rFonts w:ascii="Arial" w:hAnsi="Arial" w:eastAsia="等线" w:cs="Arial"/>
                <w:sz w:val="22"/>
                <w:highlight w:val="none"/>
              </w:rPr>
              <w:t>合格证编号</w:t>
            </w:r>
          </w:p>
        </w:tc>
        <w:tc>
          <w:tcPr>
            <w:tcW w:w="1035" w:type="dxa"/>
            <w:tcMar>
              <w:top w:w="60" w:type="dxa"/>
              <w:left w:w="120" w:type="dxa"/>
              <w:bottom w:w="30" w:type="dxa"/>
              <w:right w:w="120" w:type="dxa"/>
            </w:tcMar>
          </w:tcPr>
          <w:p w14:paraId="724FE95B">
            <w:pPr>
              <w:spacing w:before="120" w:after="120" w:line="288" w:lineRule="auto"/>
              <w:jc w:val="left"/>
              <w:rPr>
                <w:highlight w:val="none"/>
              </w:rPr>
            </w:pPr>
            <w:r>
              <w:rPr>
                <w:rFonts w:ascii="Arial" w:hAnsi="Arial" w:eastAsia="等线" w:cs="Arial"/>
                <w:sz w:val="22"/>
                <w:highlight w:val="none"/>
              </w:rPr>
              <w:t>验收结果</w:t>
            </w:r>
          </w:p>
        </w:tc>
        <w:tc>
          <w:tcPr>
            <w:tcW w:w="1035" w:type="dxa"/>
            <w:tcMar>
              <w:top w:w="60" w:type="dxa"/>
              <w:left w:w="120" w:type="dxa"/>
              <w:bottom w:w="30" w:type="dxa"/>
              <w:right w:w="120" w:type="dxa"/>
            </w:tcMar>
          </w:tcPr>
          <w:p w14:paraId="68F5D20B">
            <w:pPr>
              <w:spacing w:before="120" w:after="120" w:line="288" w:lineRule="auto"/>
              <w:jc w:val="left"/>
              <w:rPr>
                <w:highlight w:val="none"/>
              </w:rPr>
            </w:pPr>
            <w:r>
              <w:rPr>
                <w:rFonts w:ascii="Arial" w:hAnsi="Arial" w:eastAsia="等线" w:cs="Arial"/>
                <w:sz w:val="22"/>
                <w:highlight w:val="none"/>
              </w:rPr>
              <w:t>验收人</w:t>
            </w:r>
          </w:p>
        </w:tc>
      </w:tr>
      <w:tr w14:paraId="017B9B1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726" w:hRule="atLeast"/>
        </w:trPr>
        <w:tc>
          <w:tcPr>
            <w:tcW w:w="1035" w:type="dxa"/>
            <w:tcMar>
              <w:top w:w="60" w:type="dxa"/>
              <w:left w:w="120" w:type="dxa"/>
              <w:bottom w:w="30" w:type="dxa"/>
              <w:right w:w="120" w:type="dxa"/>
            </w:tcMar>
          </w:tcPr>
          <w:p w14:paraId="56391803">
            <w:pPr>
              <w:spacing w:before="120" w:after="120" w:line="288" w:lineRule="auto"/>
              <w:jc w:val="center"/>
              <w:rPr>
                <w:highlight w:val="none"/>
              </w:rPr>
            </w:pPr>
            <w:r>
              <w:rPr>
                <w:rFonts w:ascii="Arial" w:hAnsi="Arial" w:eastAsia="等线" w:cs="Arial"/>
                <w:sz w:val="22"/>
                <w:highlight w:val="none"/>
              </w:rPr>
              <w:t>1</w:t>
            </w:r>
          </w:p>
        </w:tc>
        <w:tc>
          <w:tcPr>
            <w:tcW w:w="1035" w:type="dxa"/>
            <w:tcMar>
              <w:top w:w="60" w:type="dxa"/>
              <w:left w:w="120" w:type="dxa"/>
              <w:bottom w:w="30" w:type="dxa"/>
              <w:right w:w="120" w:type="dxa"/>
            </w:tcMar>
          </w:tcPr>
          <w:p w14:paraId="06333B40">
            <w:pPr>
              <w:spacing w:before="120" w:after="120" w:line="288" w:lineRule="auto"/>
              <w:jc w:val="left"/>
              <w:rPr>
                <w:rFonts w:eastAsia="宋体"/>
                <w:highlight w:val="none"/>
              </w:rPr>
            </w:pPr>
            <w:r>
              <w:rPr>
                <w:rFonts w:hint="eastAsia" w:ascii="Arial" w:hAnsi="Arial" w:eastAsia="等线" w:cs="Arial"/>
                <w:sz w:val="22"/>
                <w:highlight w:val="none"/>
              </w:rPr>
              <w:t>预埋件</w:t>
            </w:r>
          </w:p>
        </w:tc>
        <w:tc>
          <w:tcPr>
            <w:tcW w:w="1035" w:type="dxa"/>
            <w:tcMar>
              <w:top w:w="60" w:type="dxa"/>
              <w:left w:w="120" w:type="dxa"/>
              <w:bottom w:w="30" w:type="dxa"/>
              <w:right w:w="120" w:type="dxa"/>
            </w:tcMar>
          </w:tcPr>
          <w:p w14:paraId="782A0E49">
            <w:pPr>
              <w:rPr>
                <w:highlight w:val="none"/>
              </w:rPr>
            </w:pPr>
          </w:p>
        </w:tc>
        <w:tc>
          <w:tcPr>
            <w:tcW w:w="1035" w:type="dxa"/>
            <w:tcMar>
              <w:top w:w="60" w:type="dxa"/>
              <w:left w:w="120" w:type="dxa"/>
              <w:bottom w:w="30" w:type="dxa"/>
              <w:right w:w="120" w:type="dxa"/>
            </w:tcMar>
          </w:tcPr>
          <w:p w14:paraId="0EA1292D">
            <w:pPr>
              <w:rPr>
                <w:highlight w:val="none"/>
              </w:rPr>
            </w:pPr>
          </w:p>
        </w:tc>
        <w:tc>
          <w:tcPr>
            <w:tcW w:w="1035" w:type="dxa"/>
            <w:tcMar>
              <w:top w:w="60" w:type="dxa"/>
              <w:left w:w="120" w:type="dxa"/>
              <w:bottom w:w="30" w:type="dxa"/>
              <w:right w:w="120" w:type="dxa"/>
            </w:tcMar>
          </w:tcPr>
          <w:p w14:paraId="7619C580">
            <w:pPr>
              <w:rPr>
                <w:highlight w:val="none"/>
              </w:rPr>
            </w:pPr>
          </w:p>
        </w:tc>
        <w:tc>
          <w:tcPr>
            <w:tcW w:w="1035" w:type="dxa"/>
            <w:tcMar>
              <w:top w:w="60" w:type="dxa"/>
              <w:left w:w="120" w:type="dxa"/>
              <w:bottom w:w="30" w:type="dxa"/>
              <w:right w:w="120" w:type="dxa"/>
            </w:tcMar>
          </w:tcPr>
          <w:p w14:paraId="2FD6A138">
            <w:pPr>
              <w:rPr>
                <w:highlight w:val="none"/>
              </w:rPr>
            </w:pPr>
          </w:p>
        </w:tc>
        <w:tc>
          <w:tcPr>
            <w:tcW w:w="1035" w:type="dxa"/>
            <w:tcMar>
              <w:top w:w="60" w:type="dxa"/>
              <w:left w:w="120" w:type="dxa"/>
              <w:bottom w:w="30" w:type="dxa"/>
              <w:right w:w="120" w:type="dxa"/>
            </w:tcMar>
          </w:tcPr>
          <w:p w14:paraId="2184CF62">
            <w:pPr>
              <w:spacing w:before="120" w:after="120" w:line="288" w:lineRule="auto"/>
              <w:jc w:val="left"/>
              <w:rPr>
                <w:highlight w:val="none"/>
              </w:rPr>
            </w:pPr>
            <w:r>
              <w:rPr>
                <w:rFonts w:ascii="Arial" w:hAnsi="Arial" w:eastAsia="等线" w:cs="Arial"/>
                <w:sz w:val="22"/>
                <w:highlight w:val="none"/>
              </w:rPr>
              <w:t>合格/不合格</w:t>
            </w:r>
          </w:p>
        </w:tc>
        <w:tc>
          <w:tcPr>
            <w:tcW w:w="1035" w:type="dxa"/>
            <w:tcMar>
              <w:top w:w="60" w:type="dxa"/>
              <w:left w:w="120" w:type="dxa"/>
              <w:bottom w:w="30" w:type="dxa"/>
              <w:right w:w="120" w:type="dxa"/>
            </w:tcMar>
          </w:tcPr>
          <w:p w14:paraId="7E985E06">
            <w:pPr>
              <w:rPr>
                <w:highlight w:val="none"/>
              </w:rPr>
            </w:pPr>
          </w:p>
        </w:tc>
      </w:tr>
      <w:tr w14:paraId="2BCF5F9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035" w:type="dxa"/>
            <w:tcMar>
              <w:top w:w="60" w:type="dxa"/>
              <w:left w:w="120" w:type="dxa"/>
              <w:bottom w:w="30" w:type="dxa"/>
              <w:right w:w="120" w:type="dxa"/>
            </w:tcMar>
          </w:tcPr>
          <w:p w14:paraId="5FA98AD7">
            <w:pPr>
              <w:spacing w:before="120" w:after="120" w:line="288" w:lineRule="auto"/>
              <w:jc w:val="center"/>
              <w:rPr>
                <w:highlight w:val="none"/>
              </w:rPr>
            </w:pPr>
            <w:r>
              <w:rPr>
                <w:rFonts w:ascii="Arial" w:hAnsi="Arial" w:eastAsia="等线" w:cs="Arial"/>
                <w:sz w:val="22"/>
                <w:highlight w:val="none"/>
              </w:rPr>
              <w:t>2</w:t>
            </w:r>
          </w:p>
        </w:tc>
        <w:tc>
          <w:tcPr>
            <w:tcW w:w="1035" w:type="dxa"/>
            <w:tcMar>
              <w:top w:w="60" w:type="dxa"/>
              <w:left w:w="120" w:type="dxa"/>
              <w:bottom w:w="30" w:type="dxa"/>
              <w:right w:w="120" w:type="dxa"/>
            </w:tcMar>
          </w:tcPr>
          <w:p w14:paraId="6B14CAB8">
            <w:pPr>
              <w:spacing w:before="120" w:after="120" w:line="288" w:lineRule="auto"/>
              <w:jc w:val="left"/>
              <w:rPr>
                <w:rFonts w:eastAsia="宋体"/>
                <w:highlight w:val="none"/>
              </w:rPr>
            </w:pPr>
            <w:r>
              <w:rPr>
                <w:rFonts w:hint="eastAsia" w:ascii="Arial" w:hAnsi="Arial" w:eastAsia="等线" w:cs="Arial"/>
                <w:sz w:val="22"/>
                <w:highlight w:val="none"/>
              </w:rPr>
              <w:t>角钢</w:t>
            </w:r>
          </w:p>
        </w:tc>
        <w:tc>
          <w:tcPr>
            <w:tcW w:w="1035" w:type="dxa"/>
            <w:tcMar>
              <w:top w:w="60" w:type="dxa"/>
              <w:left w:w="120" w:type="dxa"/>
              <w:bottom w:w="30" w:type="dxa"/>
              <w:right w:w="120" w:type="dxa"/>
            </w:tcMar>
          </w:tcPr>
          <w:p w14:paraId="11E07BB4">
            <w:pPr>
              <w:rPr>
                <w:highlight w:val="none"/>
              </w:rPr>
            </w:pPr>
          </w:p>
        </w:tc>
        <w:tc>
          <w:tcPr>
            <w:tcW w:w="1035" w:type="dxa"/>
            <w:tcMar>
              <w:top w:w="60" w:type="dxa"/>
              <w:left w:w="120" w:type="dxa"/>
              <w:bottom w:w="30" w:type="dxa"/>
              <w:right w:w="120" w:type="dxa"/>
            </w:tcMar>
          </w:tcPr>
          <w:p w14:paraId="20F53C83">
            <w:pPr>
              <w:rPr>
                <w:highlight w:val="none"/>
              </w:rPr>
            </w:pPr>
          </w:p>
        </w:tc>
        <w:tc>
          <w:tcPr>
            <w:tcW w:w="1035" w:type="dxa"/>
            <w:tcMar>
              <w:top w:w="60" w:type="dxa"/>
              <w:left w:w="120" w:type="dxa"/>
              <w:bottom w:w="30" w:type="dxa"/>
              <w:right w:w="120" w:type="dxa"/>
            </w:tcMar>
          </w:tcPr>
          <w:p w14:paraId="7F464C79">
            <w:pPr>
              <w:rPr>
                <w:highlight w:val="none"/>
              </w:rPr>
            </w:pPr>
          </w:p>
        </w:tc>
        <w:tc>
          <w:tcPr>
            <w:tcW w:w="1035" w:type="dxa"/>
            <w:tcMar>
              <w:top w:w="60" w:type="dxa"/>
              <w:left w:w="120" w:type="dxa"/>
              <w:bottom w:w="30" w:type="dxa"/>
              <w:right w:w="120" w:type="dxa"/>
            </w:tcMar>
          </w:tcPr>
          <w:p w14:paraId="67F28A1E">
            <w:pPr>
              <w:rPr>
                <w:highlight w:val="none"/>
              </w:rPr>
            </w:pPr>
          </w:p>
        </w:tc>
        <w:tc>
          <w:tcPr>
            <w:tcW w:w="1035" w:type="dxa"/>
            <w:tcMar>
              <w:top w:w="60" w:type="dxa"/>
              <w:left w:w="120" w:type="dxa"/>
              <w:bottom w:w="30" w:type="dxa"/>
              <w:right w:w="120" w:type="dxa"/>
            </w:tcMar>
          </w:tcPr>
          <w:p w14:paraId="440073B3">
            <w:pPr>
              <w:spacing w:before="120" w:after="120" w:line="288" w:lineRule="auto"/>
              <w:jc w:val="left"/>
              <w:rPr>
                <w:highlight w:val="none"/>
              </w:rPr>
            </w:pPr>
            <w:r>
              <w:rPr>
                <w:rFonts w:ascii="Arial" w:hAnsi="Arial" w:eastAsia="等线" w:cs="Arial"/>
                <w:sz w:val="22"/>
                <w:highlight w:val="none"/>
              </w:rPr>
              <w:t>合格/不合格</w:t>
            </w:r>
          </w:p>
        </w:tc>
        <w:tc>
          <w:tcPr>
            <w:tcW w:w="1035" w:type="dxa"/>
            <w:tcMar>
              <w:top w:w="60" w:type="dxa"/>
              <w:left w:w="120" w:type="dxa"/>
              <w:bottom w:w="30" w:type="dxa"/>
              <w:right w:w="120" w:type="dxa"/>
            </w:tcMar>
          </w:tcPr>
          <w:p w14:paraId="4F51AF0A">
            <w:pPr>
              <w:rPr>
                <w:highlight w:val="none"/>
              </w:rPr>
            </w:pPr>
          </w:p>
        </w:tc>
      </w:tr>
      <w:tr w14:paraId="31B727B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035" w:type="dxa"/>
            <w:tcMar>
              <w:top w:w="60" w:type="dxa"/>
              <w:left w:w="120" w:type="dxa"/>
              <w:bottom w:w="30" w:type="dxa"/>
              <w:right w:w="120" w:type="dxa"/>
            </w:tcMar>
          </w:tcPr>
          <w:p w14:paraId="01021F64">
            <w:pPr>
              <w:spacing w:before="120" w:after="120" w:line="288" w:lineRule="auto"/>
              <w:jc w:val="center"/>
              <w:rPr>
                <w:highlight w:val="none"/>
              </w:rPr>
            </w:pPr>
            <w:r>
              <w:rPr>
                <w:rFonts w:ascii="Arial" w:hAnsi="Arial" w:eastAsia="等线" w:cs="Arial"/>
                <w:sz w:val="22"/>
                <w:highlight w:val="none"/>
              </w:rPr>
              <w:t>3</w:t>
            </w:r>
          </w:p>
        </w:tc>
        <w:tc>
          <w:tcPr>
            <w:tcW w:w="1035" w:type="dxa"/>
            <w:tcMar>
              <w:top w:w="60" w:type="dxa"/>
              <w:left w:w="120" w:type="dxa"/>
              <w:bottom w:w="30" w:type="dxa"/>
              <w:right w:w="120" w:type="dxa"/>
            </w:tcMar>
          </w:tcPr>
          <w:p w14:paraId="26F04E1F">
            <w:pPr>
              <w:spacing w:before="120" w:after="120" w:line="288" w:lineRule="auto"/>
              <w:jc w:val="left"/>
              <w:rPr>
                <w:rFonts w:eastAsia="宋体"/>
                <w:highlight w:val="none"/>
              </w:rPr>
            </w:pPr>
            <w:r>
              <w:rPr>
                <w:rFonts w:hint="eastAsia"/>
                <w:highlight w:val="none"/>
              </w:rPr>
              <w:t>传感器、钢球</w:t>
            </w:r>
          </w:p>
        </w:tc>
        <w:tc>
          <w:tcPr>
            <w:tcW w:w="1035" w:type="dxa"/>
            <w:tcMar>
              <w:top w:w="60" w:type="dxa"/>
              <w:left w:w="120" w:type="dxa"/>
              <w:bottom w:w="30" w:type="dxa"/>
              <w:right w:w="120" w:type="dxa"/>
            </w:tcMar>
          </w:tcPr>
          <w:p w14:paraId="0443F326">
            <w:pPr>
              <w:spacing w:before="120" w:after="120" w:line="288" w:lineRule="auto"/>
              <w:jc w:val="left"/>
              <w:rPr>
                <w:highlight w:val="none"/>
              </w:rPr>
            </w:pPr>
          </w:p>
        </w:tc>
        <w:tc>
          <w:tcPr>
            <w:tcW w:w="1035" w:type="dxa"/>
            <w:tcMar>
              <w:top w:w="60" w:type="dxa"/>
              <w:left w:w="120" w:type="dxa"/>
              <w:bottom w:w="30" w:type="dxa"/>
              <w:right w:w="120" w:type="dxa"/>
            </w:tcMar>
          </w:tcPr>
          <w:p w14:paraId="040BC323">
            <w:pPr>
              <w:rPr>
                <w:highlight w:val="none"/>
              </w:rPr>
            </w:pPr>
          </w:p>
        </w:tc>
        <w:tc>
          <w:tcPr>
            <w:tcW w:w="1035" w:type="dxa"/>
            <w:tcMar>
              <w:top w:w="60" w:type="dxa"/>
              <w:left w:w="120" w:type="dxa"/>
              <w:bottom w:w="30" w:type="dxa"/>
              <w:right w:w="120" w:type="dxa"/>
            </w:tcMar>
          </w:tcPr>
          <w:p w14:paraId="57562E60">
            <w:pPr>
              <w:rPr>
                <w:highlight w:val="none"/>
              </w:rPr>
            </w:pPr>
          </w:p>
        </w:tc>
        <w:tc>
          <w:tcPr>
            <w:tcW w:w="1035" w:type="dxa"/>
            <w:tcMar>
              <w:top w:w="60" w:type="dxa"/>
              <w:left w:w="120" w:type="dxa"/>
              <w:bottom w:w="30" w:type="dxa"/>
              <w:right w:w="120" w:type="dxa"/>
            </w:tcMar>
          </w:tcPr>
          <w:p w14:paraId="7E6EA269">
            <w:pPr>
              <w:rPr>
                <w:highlight w:val="none"/>
              </w:rPr>
            </w:pPr>
          </w:p>
        </w:tc>
        <w:tc>
          <w:tcPr>
            <w:tcW w:w="1035" w:type="dxa"/>
            <w:tcMar>
              <w:top w:w="60" w:type="dxa"/>
              <w:left w:w="120" w:type="dxa"/>
              <w:bottom w:w="30" w:type="dxa"/>
              <w:right w:w="120" w:type="dxa"/>
            </w:tcMar>
          </w:tcPr>
          <w:p w14:paraId="753055BE">
            <w:pPr>
              <w:spacing w:before="120" w:after="120" w:line="288" w:lineRule="auto"/>
              <w:jc w:val="left"/>
              <w:rPr>
                <w:highlight w:val="none"/>
              </w:rPr>
            </w:pPr>
            <w:r>
              <w:rPr>
                <w:rFonts w:ascii="Arial" w:hAnsi="Arial" w:eastAsia="等线" w:cs="Arial"/>
                <w:sz w:val="22"/>
                <w:highlight w:val="none"/>
              </w:rPr>
              <w:t>合格/不合格</w:t>
            </w:r>
          </w:p>
        </w:tc>
        <w:tc>
          <w:tcPr>
            <w:tcW w:w="1035" w:type="dxa"/>
            <w:tcMar>
              <w:top w:w="60" w:type="dxa"/>
              <w:left w:w="120" w:type="dxa"/>
              <w:bottom w:w="30" w:type="dxa"/>
              <w:right w:w="120" w:type="dxa"/>
            </w:tcMar>
          </w:tcPr>
          <w:p w14:paraId="7FC116FC">
            <w:pPr>
              <w:rPr>
                <w:highlight w:val="none"/>
              </w:rPr>
            </w:pPr>
          </w:p>
        </w:tc>
      </w:tr>
      <w:tr w14:paraId="1E29262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931" w:hRule="atLeast"/>
        </w:trPr>
        <w:tc>
          <w:tcPr>
            <w:tcW w:w="1035" w:type="dxa"/>
            <w:tcMar>
              <w:top w:w="60" w:type="dxa"/>
              <w:left w:w="120" w:type="dxa"/>
              <w:bottom w:w="30" w:type="dxa"/>
              <w:right w:w="120" w:type="dxa"/>
            </w:tcMar>
          </w:tcPr>
          <w:p w14:paraId="4E83F757">
            <w:pPr>
              <w:spacing w:before="120" w:after="120" w:line="288" w:lineRule="auto"/>
              <w:jc w:val="center"/>
              <w:rPr>
                <w:rFonts w:ascii="Arial" w:hAnsi="Arial" w:eastAsia="等线" w:cs="Arial"/>
                <w:sz w:val="22"/>
                <w:highlight w:val="none"/>
              </w:rPr>
            </w:pPr>
            <w:bookmarkStart w:id="43" w:name="heading_43"/>
            <w:r>
              <w:rPr>
                <w:rFonts w:hint="eastAsia" w:ascii="Arial" w:hAnsi="Arial" w:eastAsia="等线" w:cs="Arial"/>
                <w:sz w:val="22"/>
                <w:highlight w:val="none"/>
              </w:rPr>
              <w:t>4</w:t>
            </w:r>
          </w:p>
        </w:tc>
        <w:tc>
          <w:tcPr>
            <w:tcW w:w="1035" w:type="dxa"/>
            <w:tcMar>
              <w:top w:w="60" w:type="dxa"/>
              <w:left w:w="120" w:type="dxa"/>
              <w:bottom w:w="30" w:type="dxa"/>
              <w:right w:w="120" w:type="dxa"/>
            </w:tcMar>
          </w:tcPr>
          <w:p w14:paraId="5669A6A3">
            <w:pPr>
              <w:spacing w:before="120" w:after="120" w:line="288" w:lineRule="auto"/>
              <w:jc w:val="left"/>
              <w:rPr>
                <w:highlight w:val="none"/>
              </w:rPr>
            </w:pPr>
            <w:r>
              <w:rPr>
                <w:rFonts w:hint="eastAsia"/>
                <w:highlight w:val="none"/>
              </w:rPr>
              <w:t>灌浆料</w:t>
            </w:r>
          </w:p>
        </w:tc>
        <w:tc>
          <w:tcPr>
            <w:tcW w:w="1035" w:type="dxa"/>
            <w:tcMar>
              <w:top w:w="60" w:type="dxa"/>
              <w:left w:w="120" w:type="dxa"/>
              <w:bottom w:w="30" w:type="dxa"/>
              <w:right w:w="120" w:type="dxa"/>
            </w:tcMar>
          </w:tcPr>
          <w:p w14:paraId="61D20BF6">
            <w:pPr>
              <w:spacing w:before="120" w:after="120" w:line="288" w:lineRule="auto"/>
              <w:jc w:val="left"/>
              <w:rPr>
                <w:rFonts w:ascii="Arial" w:hAnsi="Arial" w:eastAsia="等线" w:cs="Arial"/>
                <w:sz w:val="22"/>
                <w:highlight w:val="none"/>
              </w:rPr>
            </w:pPr>
          </w:p>
        </w:tc>
        <w:tc>
          <w:tcPr>
            <w:tcW w:w="1035" w:type="dxa"/>
            <w:tcMar>
              <w:top w:w="60" w:type="dxa"/>
              <w:left w:w="120" w:type="dxa"/>
              <w:bottom w:w="30" w:type="dxa"/>
              <w:right w:w="120" w:type="dxa"/>
            </w:tcMar>
          </w:tcPr>
          <w:p w14:paraId="624049D1">
            <w:pPr>
              <w:rPr>
                <w:highlight w:val="none"/>
              </w:rPr>
            </w:pPr>
          </w:p>
        </w:tc>
        <w:tc>
          <w:tcPr>
            <w:tcW w:w="1035" w:type="dxa"/>
            <w:tcMar>
              <w:top w:w="60" w:type="dxa"/>
              <w:left w:w="120" w:type="dxa"/>
              <w:bottom w:w="30" w:type="dxa"/>
              <w:right w:w="120" w:type="dxa"/>
            </w:tcMar>
          </w:tcPr>
          <w:p w14:paraId="5E3E4D5F">
            <w:pPr>
              <w:rPr>
                <w:highlight w:val="none"/>
              </w:rPr>
            </w:pPr>
          </w:p>
        </w:tc>
        <w:tc>
          <w:tcPr>
            <w:tcW w:w="1035" w:type="dxa"/>
            <w:tcMar>
              <w:top w:w="60" w:type="dxa"/>
              <w:left w:w="120" w:type="dxa"/>
              <w:bottom w:w="30" w:type="dxa"/>
              <w:right w:w="120" w:type="dxa"/>
            </w:tcMar>
          </w:tcPr>
          <w:p w14:paraId="4FBDF620">
            <w:pPr>
              <w:rPr>
                <w:highlight w:val="none"/>
              </w:rPr>
            </w:pPr>
          </w:p>
        </w:tc>
        <w:tc>
          <w:tcPr>
            <w:tcW w:w="1035" w:type="dxa"/>
            <w:tcMar>
              <w:top w:w="60" w:type="dxa"/>
              <w:left w:w="120" w:type="dxa"/>
              <w:bottom w:w="30" w:type="dxa"/>
              <w:right w:w="120" w:type="dxa"/>
            </w:tcMar>
          </w:tcPr>
          <w:p w14:paraId="636337A6">
            <w:pPr>
              <w:spacing w:before="120" w:after="120" w:line="288" w:lineRule="auto"/>
              <w:jc w:val="left"/>
              <w:rPr>
                <w:rFonts w:ascii="Arial" w:hAnsi="Arial" w:eastAsia="等线" w:cs="Arial"/>
                <w:sz w:val="22"/>
                <w:highlight w:val="none"/>
              </w:rPr>
            </w:pPr>
            <w:r>
              <w:rPr>
                <w:rFonts w:ascii="Arial" w:hAnsi="Arial" w:eastAsia="等线" w:cs="Arial"/>
                <w:sz w:val="22"/>
                <w:highlight w:val="none"/>
              </w:rPr>
              <w:t>合格/不合格</w:t>
            </w:r>
          </w:p>
        </w:tc>
        <w:tc>
          <w:tcPr>
            <w:tcW w:w="1035" w:type="dxa"/>
            <w:tcMar>
              <w:top w:w="60" w:type="dxa"/>
              <w:left w:w="120" w:type="dxa"/>
              <w:bottom w:w="30" w:type="dxa"/>
              <w:right w:w="120" w:type="dxa"/>
            </w:tcMar>
          </w:tcPr>
          <w:p w14:paraId="4A2C867E">
            <w:pPr>
              <w:rPr>
                <w:highlight w:val="none"/>
              </w:rPr>
            </w:pPr>
          </w:p>
        </w:tc>
      </w:tr>
      <w:tr w14:paraId="155E1C9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849" w:hRule="atLeast"/>
        </w:trPr>
        <w:tc>
          <w:tcPr>
            <w:tcW w:w="1035" w:type="dxa"/>
            <w:tcMar>
              <w:top w:w="60" w:type="dxa"/>
              <w:left w:w="120" w:type="dxa"/>
              <w:bottom w:w="30" w:type="dxa"/>
              <w:right w:w="120" w:type="dxa"/>
            </w:tcMar>
          </w:tcPr>
          <w:p w14:paraId="5CDDC45C">
            <w:pPr>
              <w:spacing w:before="120" w:after="120" w:line="288" w:lineRule="auto"/>
              <w:jc w:val="center"/>
              <w:rPr>
                <w:rFonts w:ascii="Arial" w:hAnsi="Arial" w:eastAsia="等线" w:cs="Arial"/>
                <w:sz w:val="22"/>
                <w:highlight w:val="none"/>
              </w:rPr>
            </w:pPr>
            <w:r>
              <w:rPr>
                <w:rFonts w:hint="eastAsia" w:ascii="Arial" w:hAnsi="Arial" w:eastAsia="等线" w:cs="Arial"/>
                <w:sz w:val="22"/>
                <w:highlight w:val="none"/>
              </w:rPr>
              <w:t>5</w:t>
            </w:r>
          </w:p>
        </w:tc>
        <w:tc>
          <w:tcPr>
            <w:tcW w:w="1035" w:type="dxa"/>
            <w:tcMar>
              <w:top w:w="60" w:type="dxa"/>
              <w:left w:w="120" w:type="dxa"/>
              <w:bottom w:w="30" w:type="dxa"/>
              <w:right w:w="120" w:type="dxa"/>
            </w:tcMar>
          </w:tcPr>
          <w:p w14:paraId="1C56C417">
            <w:pPr>
              <w:spacing w:before="120" w:after="120" w:line="288" w:lineRule="auto"/>
              <w:jc w:val="left"/>
              <w:rPr>
                <w:highlight w:val="none"/>
              </w:rPr>
            </w:pPr>
            <w:r>
              <w:rPr>
                <w:rFonts w:hint="eastAsia"/>
                <w:highlight w:val="none"/>
              </w:rPr>
              <w:t>限位螺丝</w:t>
            </w:r>
          </w:p>
        </w:tc>
        <w:tc>
          <w:tcPr>
            <w:tcW w:w="1035" w:type="dxa"/>
            <w:tcMar>
              <w:top w:w="60" w:type="dxa"/>
              <w:left w:w="120" w:type="dxa"/>
              <w:bottom w:w="30" w:type="dxa"/>
              <w:right w:w="120" w:type="dxa"/>
            </w:tcMar>
          </w:tcPr>
          <w:p w14:paraId="13E8F427">
            <w:pPr>
              <w:spacing w:before="120" w:after="120" w:line="288" w:lineRule="auto"/>
              <w:jc w:val="left"/>
              <w:rPr>
                <w:rFonts w:ascii="Arial" w:hAnsi="Arial" w:eastAsia="等线" w:cs="Arial"/>
                <w:sz w:val="22"/>
                <w:highlight w:val="none"/>
              </w:rPr>
            </w:pPr>
          </w:p>
        </w:tc>
        <w:tc>
          <w:tcPr>
            <w:tcW w:w="1035" w:type="dxa"/>
            <w:tcMar>
              <w:top w:w="60" w:type="dxa"/>
              <w:left w:w="120" w:type="dxa"/>
              <w:bottom w:w="30" w:type="dxa"/>
              <w:right w:w="120" w:type="dxa"/>
            </w:tcMar>
          </w:tcPr>
          <w:p w14:paraId="21FC40D2">
            <w:pPr>
              <w:rPr>
                <w:highlight w:val="none"/>
              </w:rPr>
            </w:pPr>
          </w:p>
        </w:tc>
        <w:tc>
          <w:tcPr>
            <w:tcW w:w="1035" w:type="dxa"/>
            <w:tcMar>
              <w:top w:w="60" w:type="dxa"/>
              <w:left w:w="120" w:type="dxa"/>
              <w:bottom w:w="30" w:type="dxa"/>
              <w:right w:w="120" w:type="dxa"/>
            </w:tcMar>
          </w:tcPr>
          <w:p w14:paraId="6B00652C">
            <w:pPr>
              <w:rPr>
                <w:highlight w:val="none"/>
              </w:rPr>
            </w:pPr>
          </w:p>
        </w:tc>
        <w:tc>
          <w:tcPr>
            <w:tcW w:w="1035" w:type="dxa"/>
            <w:tcMar>
              <w:top w:w="60" w:type="dxa"/>
              <w:left w:w="120" w:type="dxa"/>
              <w:bottom w:w="30" w:type="dxa"/>
              <w:right w:w="120" w:type="dxa"/>
            </w:tcMar>
          </w:tcPr>
          <w:p w14:paraId="430B8812">
            <w:pPr>
              <w:rPr>
                <w:highlight w:val="none"/>
              </w:rPr>
            </w:pPr>
          </w:p>
        </w:tc>
        <w:tc>
          <w:tcPr>
            <w:tcW w:w="1035" w:type="dxa"/>
            <w:tcMar>
              <w:top w:w="60" w:type="dxa"/>
              <w:left w:w="120" w:type="dxa"/>
              <w:bottom w:w="30" w:type="dxa"/>
              <w:right w:w="120" w:type="dxa"/>
            </w:tcMar>
          </w:tcPr>
          <w:p w14:paraId="20FF099E">
            <w:pPr>
              <w:spacing w:before="120" w:after="120" w:line="288" w:lineRule="auto"/>
              <w:jc w:val="left"/>
              <w:rPr>
                <w:rFonts w:ascii="Arial" w:hAnsi="Arial" w:eastAsia="等线" w:cs="Arial"/>
                <w:sz w:val="22"/>
                <w:highlight w:val="none"/>
              </w:rPr>
            </w:pPr>
            <w:r>
              <w:rPr>
                <w:rFonts w:ascii="Arial" w:hAnsi="Arial" w:eastAsia="等线" w:cs="Arial"/>
                <w:sz w:val="22"/>
                <w:highlight w:val="none"/>
              </w:rPr>
              <w:t>合格/不合格</w:t>
            </w:r>
          </w:p>
        </w:tc>
        <w:tc>
          <w:tcPr>
            <w:tcW w:w="1035" w:type="dxa"/>
            <w:tcMar>
              <w:top w:w="60" w:type="dxa"/>
              <w:left w:w="120" w:type="dxa"/>
              <w:bottom w:w="30" w:type="dxa"/>
              <w:right w:w="120" w:type="dxa"/>
            </w:tcMar>
          </w:tcPr>
          <w:p w14:paraId="499DD7FD">
            <w:pPr>
              <w:rPr>
                <w:highlight w:val="none"/>
              </w:rPr>
            </w:pPr>
          </w:p>
        </w:tc>
      </w:tr>
    </w:tbl>
    <w:p w14:paraId="3F3D2491">
      <w:pPr>
        <w:spacing w:before="300" w:after="120" w:line="288" w:lineRule="auto"/>
        <w:jc w:val="left"/>
        <w:outlineLvl w:val="2"/>
        <w:rPr>
          <w:highlight w:val="none"/>
        </w:rPr>
      </w:pPr>
      <w:r>
        <w:rPr>
          <w:rFonts w:ascii="Arial" w:hAnsi="Arial" w:eastAsia="等线" w:cs="Arial"/>
          <w:b/>
          <w:sz w:val="30"/>
          <w:highlight w:val="none"/>
        </w:rPr>
        <w:t>附表2：基坑隐蔽工程验收记录</w:t>
      </w:r>
      <w:bookmarkEnd w:id="43"/>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286"/>
        <w:gridCol w:w="1677"/>
        <w:gridCol w:w="2250"/>
        <w:gridCol w:w="1432"/>
        <w:gridCol w:w="1663"/>
      </w:tblGrid>
      <w:tr w14:paraId="661A68C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86" w:type="dxa"/>
            <w:tcMar>
              <w:top w:w="60" w:type="dxa"/>
              <w:left w:w="120" w:type="dxa"/>
              <w:bottom w:w="30" w:type="dxa"/>
              <w:right w:w="120" w:type="dxa"/>
            </w:tcMar>
          </w:tcPr>
          <w:p w14:paraId="46233B04">
            <w:pPr>
              <w:spacing w:before="120" w:after="120" w:line="288" w:lineRule="auto"/>
              <w:jc w:val="left"/>
              <w:rPr>
                <w:highlight w:val="none"/>
              </w:rPr>
            </w:pPr>
            <w:r>
              <w:rPr>
                <w:rFonts w:ascii="Arial" w:hAnsi="Arial" w:eastAsia="等线" w:cs="Arial"/>
                <w:sz w:val="22"/>
                <w:highlight w:val="none"/>
              </w:rPr>
              <w:t>验收部位</w:t>
            </w:r>
          </w:p>
        </w:tc>
        <w:tc>
          <w:tcPr>
            <w:tcW w:w="1677" w:type="dxa"/>
            <w:tcMar>
              <w:top w:w="60" w:type="dxa"/>
              <w:left w:w="120" w:type="dxa"/>
              <w:bottom w:w="30" w:type="dxa"/>
              <w:right w:w="120" w:type="dxa"/>
            </w:tcMar>
          </w:tcPr>
          <w:p w14:paraId="57EB4842">
            <w:pPr>
              <w:spacing w:before="120" w:after="120" w:line="288" w:lineRule="auto"/>
              <w:jc w:val="left"/>
              <w:rPr>
                <w:highlight w:val="none"/>
              </w:rPr>
            </w:pPr>
            <w:r>
              <w:rPr>
                <w:rFonts w:hint="eastAsia" w:ascii="Arial" w:hAnsi="Arial" w:eastAsia="等线" w:cs="Arial"/>
                <w:sz w:val="22"/>
                <w:highlight w:val="none"/>
              </w:rPr>
              <w:t>基坑</w:t>
            </w:r>
            <w:r>
              <w:rPr>
                <w:rFonts w:ascii="Arial" w:hAnsi="Arial" w:eastAsia="等线" w:cs="Arial"/>
                <w:sz w:val="22"/>
                <w:highlight w:val="none"/>
              </w:rPr>
              <w:t>清理情况</w:t>
            </w:r>
          </w:p>
        </w:tc>
        <w:tc>
          <w:tcPr>
            <w:tcW w:w="2250" w:type="dxa"/>
            <w:tcMar>
              <w:top w:w="60" w:type="dxa"/>
              <w:left w:w="120" w:type="dxa"/>
              <w:bottom w:w="30" w:type="dxa"/>
              <w:right w:w="120" w:type="dxa"/>
            </w:tcMar>
            <w:vAlign w:val="center"/>
          </w:tcPr>
          <w:p w14:paraId="4130379A">
            <w:pPr>
              <w:spacing w:before="120" w:after="120" w:line="288" w:lineRule="auto"/>
              <w:jc w:val="center"/>
              <w:rPr>
                <w:highlight w:val="none"/>
              </w:rPr>
            </w:pPr>
            <w:r>
              <w:rPr>
                <w:rFonts w:ascii="Arial" w:hAnsi="Arial" w:eastAsia="等线" w:cs="Arial"/>
                <w:sz w:val="22"/>
                <w:highlight w:val="none"/>
              </w:rPr>
              <w:t>预埋件位置/水平度</w:t>
            </w:r>
          </w:p>
        </w:tc>
        <w:tc>
          <w:tcPr>
            <w:tcW w:w="1432" w:type="dxa"/>
            <w:tcMar>
              <w:top w:w="60" w:type="dxa"/>
              <w:left w:w="120" w:type="dxa"/>
              <w:bottom w:w="30" w:type="dxa"/>
              <w:right w:w="120" w:type="dxa"/>
            </w:tcMar>
          </w:tcPr>
          <w:p w14:paraId="141D6B85">
            <w:pPr>
              <w:spacing w:before="120" w:after="120" w:line="288" w:lineRule="auto"/>
              <w:ind w:firstLine="220" w:firstLineChars="100"/>
              <w:jc w:val="left"/>
              <w:rPr>
                <w:highlight w:val="none"/>
              </w:rPr>
            </w:pPr>
            <w:r>
              <w:rPr>
                <w:rFonts w:ascii="Arial" w:hAnsi="Arial" w:eastAsia="等线" w:cs="Arial"/>
                <w:sz w:val="22"/>
                <w:highlight w:val="none"/>
              </w:rPr>
              <w:t>排水设施</w:t>
            </w:r>
          </w:p>
        </w:tc>
        <w:tc>
          <w:tcPr>
            <w:tcW w:w="1663" w:type="dxa"/>
            <w:tcMar>
              <w:top w:w="60" w:type="dxa"/>
              <w:left w:w="120" w:type="dxa"/>
              <w:bottom w:w="30" w:type="dxa"/>
              <w:right w:w="120" w:type="dxa"/>
            </w:tcMar>
          </w:tcPr>
          <w:p w14:paraId="22691167">
            <w:pPr>
              <w:spacing w:before="120" w:after="120" w:line="288" w:lineRule="auto"/>
              <w:ind w:firstLine="220" w:firstLineChars="100"/>
              <w:jc w:val="left"/>
              <w:rPr>
                <w:highlight w:val="none"/>
              </w:rPr>
            </w:pPr>
            <w:r>
              <w:rPr>
                <w:rFonts w:ascii="Arial" w:hAnsi="Arial" w:eastAsia="等线" w:cs="Arial"/>
                <w:sz w:val="22"/>
                <w:highlight w:val="none"/>
              </w:rPr>
              <w:t>验收结论</w:t>
            </w:r>
          </w:p>
        </w:tc>
      </w:tr>
      <w:tr w14:paraId="4DB6C01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86" w:type="dxa"/>
            <w:tcMar>
              <w:top w:w="60" w:type="dxa"/>
              <w:left w:w="120" w:type="dxa"/>
              <w:bottom w:w="30" w:type="dxa"/>
              <w:right w:w="120" w:type="dxa"/>
            </w:tcMar>
            <w:vAlign w:val="center"/>
          </w:tcPr>
          <w:p w14:paraId="00AA5D99">
            <w:pPr>
              <w:spacing w:before="120" w:after="120" w:line="288" w:lineRule="auto"/>
              <w:jc w:val="center"/>
              <w:rPr>
                <w:highlight w:val="none"/>
              </w:rPr>
            </w:pPr>
            <w:r>
              <w:rPr>
                <w:rFonts w:ascii="Arial" w:hAnsi="Arial" w:eastAsia="等线" w:cs="Arial"/>
                <w:sz w:val="22"/>
                <w:highlight w:val="none"/>
              </w:rPr>
              <w:t>秤台基础</w:t>
            </w:r>
          </w:p>
        </w:tc>
        <w:tc>
          <w:tcPr>
            <w:tcW w:w="1677" w:type="dxa"/>
            <w:tcMar>
              <w:top w:w="60" w:type="dxa"/>
              <w:left w:w="120" w:type="dxa"/>
              <w:bottom w:w="30" w:type="dxa"/>
              <w:right w:w="120" w:type="dxa"/>
            </w:tcMar>
            <w:vAlign w:val="center"/>
          </w:tcPr>
          <w:p w14:paraId="3ACB1BF7">
            <w:pPr>
              <w:spacing w:before="120" w:after="120" w:line="288" w:lineRule="auto"/>
              <w:jc w:val="center"/>
              <w:rPr>
                <w:highlight w:val="none"/>
              </w:rPr>
            </w:pPr>
            <w:r>
              <w:rPr>
                <w:rFonts w:ascii="Arial" w:hAnsi="Arial" w:eastAsia="等线" w:cs="Arial"/>
                <w:sz w:val="22"/>
                <w:highlight w:val="none"/>
              </w:rPr>
              <w:t>干净无杂物</w:t>
            </w:r>
          </w:p>
        </w:tc>
        <w:tc>
          <w:tcPr>
            <w:tcW w:w="2250" w:type="dxa"/>
            <w:tcMar>
              <w:top w:w="60" w:type="dxa"/>
              <w:left w:w="120" w:type="dxa"/>
              <w:bottom w:w="30" w:type="dxa"/>
              <w:right w:w="120" w:type="dxa"/>
            </w:tcMar>
            <w:vAlign w:val="center"/>
          </w:tcPr>
          <w:p w14:paraId="11A2443F">
            <w:pPr>
              <w:jc w:val="center"/>
              <w:rPr>
                <w:rFonts w:eastAsia="宋体"/>
                <w:highlight w:val="none"/>
              </w:rPr>
            </w:pPr>
            <w:r>
              <w:rPr>
                <w:rFonts w:hint="eastAsia"/>
                <w:highlight w:val="none"/>
              </w:rPr>
              <w:t>≤3mm</w:t>
            </w:r>
          </w:p>
        </w:tc>
        <w:tc>
          <w:tcPr>
            <w:tcW w:w="1432" w:type="dxa"/>
            <w:tcMar>
              <w:top w:w="60" w:type="dxa"/>
              <w:left w:w="120" w:type="dxa"/>
              <w:bottom w:w="30" w:type="dxa"/>
              <w:right w:w="120" w:type="dxa"/>
            </w:tcMar>
            <w:vAlign w:val="center"/>
          </w:tcPr>
          <w:p w14:paraId="21AD6096">
            <w:pPr>
              <w:spacing w:before="120" w:after="120" w:line="288" w:lineRule="auto"/>
              <w:jc w:val="center"/>
              <w:rPr>
                <w:highlight w:val="none"/>
              </w:rPr>
            </w:pPr>
            <w:r>
              <w:rPr>
                <w:rFonts w:ascii="Arial" w:hAnsi="Arial" w:eastAsia="等线" w:cs="Arial"/>
                <w:sz w:val="22"/>
                <w:highlight w:val="none"/>
              </w:rPr>
              <w:t>排水管通畅</w:t>
            </w:r>
          </w:p>
        </w:tc>
        <w:tc>
          <w:tcPr>
            <w:tcW w:w="1663" w:type="dxa"/>
            <w:tcMar>
              <w:top w:w="60" w:type="dxa"/>
              <w:left w:w="120" w:type="dxa"/>
              <w:bottom w:w="30" w:type="dxa"/>
              <w:right w:w="120" w:type="dxa"/>
            </w:tcMar>
            <w:vAlign w:val="center"/>
          </w:tcPr>
          <w:p w14:paraId="2510367D">
            <w:pPr>
              <w:spacing w:before="120" w:after="120" w:line="288" w:lineRule="auto"/>
              <w:jc w:val="center"/>
              <w:rPr>
                <w:highlight w:val="none"/>
              </w:rPr>
            </w:pPr>
            <w:r>
              <w:rPr>
                <w:rFonts w:ascii="Arial" w:hAnsi="Arial" w:eastAsia="等线" w:cs="Arial"/>
                <w:sz w:val="22"/>
                <w:highlight w:val="none"/>
              </w:rPr>
              <w:t>□同意 □待整改</w:t>
            </w:r>
          </w:p>
        </w:tc>
      </w:tr>
    </w:tbl>
    <w:p w14:paraId="722446FC">
      <w:pPr>
        <w:spacing w:before="300" w:after="120" w:line="288" w:lineRule="auto"/>
        <w:jc w:val="left"/>
        <w:outlineLvl w:val="2"/>
        <w:rPr>
          <w:highlight w:val="none"/>
        </w:rPr>
      </w:pPr>
      <w:bookmarkStart w:id="44" w:name="heading_44"/>
      <w:r>
        <w:rPr>
          <w:rFonts w:ascii="Arial" w:hAnsi="Arial" w:eastAsia="等线" w:cs="Arial"/>
          <w:b/>
          <w:sz w:val="30"/>
          <w:highlight w:val="none"/>
        </w:rPr>
        <w:t>附表3：设备调试记录表</w:t>
      </w:r>
      <w:bookmarkEnd w:id="44"/>
    </w:p>
    <w:tbl>
      <w:tblPr>
        <w:tblStyle w:val="2"/>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2070"/>
        <w:gridCol w:w="2070"/>
        <w:gridCol w:w="2070"/>
        <w:gridCol w:w="2070"/>
      </w:tblGrid>
      <w:tr w14:paraId="74A0278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40E645B9">
            <w:pPr>
              <w:spacing w:before="120" w:after="120" w:line="288" w:lineRule="auto"/>
              <w:jc w:val="left"/>
              <w:rPr>
                <w:highlight w:val="none"/>
              </w:rPr>
            </w:pPr>
            <w:r>
              <w:rPr>
                <w:rFonts w:ascii="Arial" w:hAnsi="Arial" w:eastAsia="等线" w:cs="Arial"/>
                <w:sz w:val="22"/>
                <w:highlight w:val="none"/>
              </w:rPr>
              <w:t>调试项目</w:t>
            </w:r>
          </w:p>
        </w:tc>
        <w:tc>
          <w:tcPr>
            <w:tcW w:w="2070" w:type="dxa"/>
            <w:tcMar>
              <w:top w:w="60" w:type="dxa"/>
              <w:left w:w="120" w:type="dxa"/>
              <w:bottom w:w="30" w:type="dxa"/>
              <w:right w:w="120" w:type="dxa"/>
            </w:tcMar>
          </w:tcPr>
          <w:p w14:paraId="0A2A54E7">
            <w:pPr>
              <w:spacing w:before="120" w:after="120" w:line="288" w:lineRule="auto"/>
              <w:jc w:val="left"/>
              <w:rPr>
                <w:highlight w:val="none"/>
              </w:rPr>
            </w:pPr>
            <w:r>
              <w:rPr>
                <w:rFonts w:ascii="Arial" w:hAnsi="Arial" w:eastAsia="等线" w:cs="Arial"/>
                <w:sz w:val="22"/>
                <w:highlight w:val="none"/>
              </w:rPr>
              <w:t>技术要求</w:t>
            </w:r>
          </w:p>
        </w:tc>
        <w:tc>
          <w:tcPr>
            <w:tcW w:w="2070" w:type="dxa"/>
            <w:tcMar>
              <w:top w:w="60" w:type="dxa"/>
              <w:left w:w="120" w:type="dxa"/>
              <w:bottom w:w="30" w:type="dxa"/>
              <w:right w:w="120" w:type="dxa"/>
            </w:tcMar>
          </w:tcPr>
          <w:p w14:paraId="643FD1E4">
            <w:pPr>
              <w:spacing w:before="120" w:after="120" w:line="288" w:lineRule="auto"/>
              <w:jc w:val="left"/>
              <w:rPr>
                <w:highlight w:val="none"/>
              </w:rPr>
            </w:pPr>
            <w:r>
              <w:rPr>
                <w:rFonts w:ascii="Arial" w:hAnsi="Arial" w:eastAsia="等线" w:cs="Arial"/>
                <w:sz w:val="22"/>
                <w:highlight w:val="none"/>
              </w:rPr>
              <w:t>实测数据</w:t>
            </w:r>
          </w:p>
        </w:tc>
        <w:tc>
          <w:tcPr>
            <w:tcW w:w="2070" w:type="dxa"/>
            <w:tcMar>
              <w:top w:w="60" w:type="dxa"/>
              <w:left w:w="120" w:type="dxa"/>
              <w:bottom w:w="30" w:type="dxa"/>
              <w:right w:w="120" w:type="dxa"/>
            </w:tcMar>
          </w:tcPr>
          <w:p w14:paraId="27C3F32A">
            <w:pPr>
              <w:spacing w:before="120" w:after="120" w:line="288" w:lineRule="auto"/>
              <w:jc w:val="left"/>
              <w:rPr>
                <w:highlight w:val="none"/>
              </w:rPr>
            </w:pPr>
            <w:r>
              <w:rPr>
                <w:rFonts w:ascii="Arial" w:hAnsi="Arial" w:eastAsia="等线" w:cs="Arial"/>
                <w:sz w:val="22"/>
                <w:highlight w:val="none"/>
              </w:rPr>
              <w:t>结果</w:t>
            </w:r>
          </w:p>
        </w:tc>
      </w:tr>
      <w:tr w14:paraId="29E725D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000D3F92">
            <w:pPr>
              <w:spacing w:before="120" w:after="120" w:line="288" w:lineRule="auto"/>
              <w:jc w:val="left"/>
              <w:rPr>
                <w:highlight w:val="none"/>
              </w:rPr>
            </w:pPr>
            <w:r>
              <w:rPr>
                <w:rFonts w:ascii="Arial" w:hAnsi="Arial" w:eastAsia="等线" w:cs="Arial"/>
                <w:sz w:val="22"/>
                <w:highlight w:val="none"/>
              </w:rPr>
              <w:t>传感器阻抗</w:t>
            </w:r>
          </w:p>
        </w:tc>
        <w:tc>
          <w:tcPr>
            <w:tcW w:w="2070" w:type="dxa"/>
            <w:tcMar>
              <w:top w:w="60" w:type="dxa"/>
              <w:left w:w="120" w:type="dxa"/>
              <w:bottom w:w="30" w:type="dxa"/>
              <w:right w:w="120" w:type="dxa"/>
            </w:tcMar>
          </w:tcPr>
          <w:p w14:paraId="59B94F49">
            <w:pPr>
              <w:spacing w:before="120" w:after="120" w:line="288" w:lineRule="auto"/>
              <w:jc w:val="left"/>
              <w:rPr>
                <w:rFonts w:eastAsia="等线"/>
                <w:highlight w:val="none"/>
              </w:rPr>
            </w:pPr>
            <w:r>
              <w:rPr>
                <w:rFonts w:hint="eastAsia"/>
                <w:sz w:val="22"/>
                <w:highlight w:val="none"/>
              </w:rPr>
              <w:t>700</w:t>
            </w:r>
            <w:r>
              <w:rPr>
                <w:rFonts w:ascii="Arial" w:hAnsi="Arial" w:eastAsia="等线" w:cs="Arial"/>
                <w:sz w:val="22"/>
                <w:highlight w:val="none"/>
              </w:rPr>
              <w:t>±</w:t>
            </w:r>
            <w:r>
              <w:rPr>
                <w:rFonts w:hint="eastAsia"/>
                <w:sz w:val="22"/>
                <w:highlight w:val="none"/>
              </w:rPr>
              <w:t>7Ω</w:t>
            </w:r>
          </w:p>
        </w:tc>
        <w:tc>
          <w:tcPr>
            <w:tcW w:w="2070" w:type="dxa"/>
            <w:tcMar>
              <w:top w:w="60" w:type="dxa"/>
              <w:left w:w="120" w:type="dxa"/>
              <w:bottom w:w="30" w:type="dxa"/>
              <w:right w:w="120" w:type="dxa"/>
            </w:tcMar>
          </w:tcPr>
          <w:p w14:paraId="59FA6737">
            <w:pPr>
              <w:rPr>
                <w:highlight w:val="none"/>
              </w:rPr>
            </w:pPr>
          </w:p>
        </w:tc>
        <w:tc>
          <w:tcPr>
            <w:tcW w:w="2070" w:type="dxa"/>
            <w:tcMar>
              <w:top w:w="60" w:type="dxa"/>
              <w:left w:w="120" w:type="dxa"/>
              <w:bottom w:w="30" w:type="dxa"/>
              <w:right w:w="120" w:type="dxa"/>
            </w:tcMar>
          </w:tcPr>
          <w:p w14:paraId="7BEF5CAE">
            <w:pPr>
              <w:spacing w:before="120" w:after="120" w:line="288" w:lineRule="auto"/>
              <w:jc w:val="left"/>
              <w:rPr>
                <w:highlight w:val="none"/>
              </w:rPr>
            </w:pPr>
            <w:r>
              <w:rPr>
                <w:rFonts w:ascii="Arial" w:hAnsi="Arial" w:eastAsia="等线" w:cs="Arial"/>
                <w:sz w:val="22"/>
                <w:highlight w:val="none"/>
              </w:rPr>
              <w:t>合格/不合格</w:t>
            </w:r>
          </w:p>
        </w:tc>
      </w:tr>
      <w:tr w14:paraId="3FD49CA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78A6221F">
            <w:pPr>
              <w:spacing w:before="120" w:after="120" w:line="288" w:lineRule="auto"/>
              <w:jc w:val="left"/>
              <w:rPr>
                <w:highlight w:val="none"/>
              </w:rPr>
            </w:pPr>
            <w:r>
              <w:rPr>
                <w:rFonts w:ascii="Arial" w:hAnsi="Arial" w:eastAsia="等线" w:cs="Arial"/>
                <w:sz w:val="22"/>
                <w:highlight w:val="none"/>
              </w:rPr>
              <w:t>零点漂移</w:t>
            </w:r>
          </w:p>
        </w:tc>
        <w:tc>
          <w:tcPr>
            <w:tcW w:w="2070" w:type="dxa"/>
            <w:tcMar>
              <w:top w:w="60" w:type="dxa"/>
              <w:left w:w="120" w:type="dxa"/>
              <w:bottom w:w="30" w:type="dxa"/>
              <w:right w:w="120" w:type="dxa"/>
            </w:tcMar>
          </w:tcPr>
          <w:p w14:paraId="727E29E5">
            <w:pPr>
              <w:spacing w:before="120" w:after="120" w:line="288" w:lineRule="auto"/>
              <w:jc w:val="left"/>
              <w:rPr>
                <w:rFonts w:eastAsia="等线"/>
                <w:highlight w:val="none"/>
              </w:rPr>
            </w:pPr>
            <w:r>
              <w:rPr>
                <w:rFonts w:ascii="Arial" w:hAnsi="Arial" w:eastAsia="等线" w:cs="Arial"/>
                <w:sz w:val="22"/>
                <w:highlight w:val="none"/>
              </w:rPr>
              <w:t>≤</w:t>
            </w:r>
            <w:r>
              <w:rPr>
                <w:rFonts w:hint="eastAsia" w:ascii="Arial" w:hAnsi="Arial" w:eastAsia="等线" w:cs="Arial"/>
                <w:sz w:val="22"/>
                <w:highlight w:val="none"/>
              </w:rPr>
              <w:t>50kg</w:t>
            </w:r>
          </w:p>
        </w:tc>
        <w:tc>
          <w:tcPr>
            <w:tcW w:w="2070" w:type="dxa"/>
            <w:tcMar>
              <w:top w:w="60" w:type="dxa"/>
              <w:left w:w="120" w:type="dxa"/>
              <w:bottom w:w="30" w:type="dxa"/>
              <w:right w:w="120" w:type="dxa"/>
            </w:tcMar>
          </w:tcPr>
          <w:p w14:paraId="08D5CFAC">
            <w:pPr>
              <w:rPr>
                <w:highlight w:val="none"/>
              </w:rPr>
            </w:pPr>
          </w:p>
        </w:tc>
        <w:tc>
          <w:tcPr>
            <w:tcW w:w="2070" w:type="dxa"/>
            <w:tcMar>
              <w:top w:w="60" w:type="dxa"/>
              <w:left w:w="120" w:type="dxa"/>
              <w:bottom w:w="30" w:type="dxa"/>
              <w:right w:w="120" w:type="dxa"/>
            </w:tcMar>
          </w:tcPr>
          <w:p w14:paraId="684E749D">
            <w:pPr>
              <w:spacing w:before="120" w:after="120" w:line="288" w:lineRule="auto"/>
              <w:jc w:val="left"/>
              <w:rPr>
                <w:highlight w:val="none"/>
              </w:rPr>
            </w:pPr>
            <w:r>
              <w:rPr>
                <w:rFonts w:ascii="Arial" w:hAnsi="Arial" w:eastAsia="等线" w:cs="Arial"/>
                <w:sz w:val="22"/>
                <w:highlight w:val="none"/>
              </w:rPr>
              <w:t>合格/不合格</w:t>
            </w:r>
          </w:p>
        </w:tc>
      </w:tr>
      <w:tr w14:paraId="17E16BA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6A5C1AF0">
            <w:pPr>
              <w:spacing w:before="120" w:after="120" w:line="288" w:lineRule="auto"/>
              <w:jc w:val="left"/>
              <w:rPr>
                <w:highlight w:val="none"/>
              </w:rPr>
            </w:pPr>
            <w:r>
              <w:rPr>
                <w:rFonts w:ascii="Arial" w:hAnsi="Arial" w:eastAsia="等线" w:cs="Arial"/>
                <w:sz w:val="22"/>
                <w:highlight w:val="none"/>
              </w:rPr>
              <w:t>动态误差</w:t>
            </w:r>
          </w:p>
        </w:tc>
        <w:tc>
          <w:tcPr>
            <w:tcW w:w="2070" w:type="dxa"/>
            <w:tcMar>
              <w:top w:w="60" w:type="dxa"/>
              <w:left w:w="120" w:type="dxa"/>
              <w:bottom w:w="30" w:type="dxa"/>
              <w:right w:w="120" w:type="dxa"/>
            </w:tcMar>
          </w:tcPr>
          <w:p w14:paraId="6F55003C">
            <w:pPr>
              <w:spacing w:before="120" w:after="120" w:line="288" w:lineRule="auto"/>
              <w:jc w:val="left"/>
              <w:rPr>
                <w:highlight w:val="none"/>
              </w:rPr>
            </w:pPr>
            <w:r>
              <w:rPr>
                <w:rFonts w:ascii="Arial" w:hAnsi="Arial" w:eastAsia="等线" w:cs="Arial"/>
                <w:sz w:val="22"/>
                <w:highlight w:val="none"/>
              </w:rPr>
              <w:t>≤±</w:t>
            </w:r>
            <w:r>
              <w:rPr>
                <w:rFonts w:hint="eastAsia" w:ascii="Arial" w:hAnsi="Arial" w:eastAsia="等线" w:cs="Arial"/>
                <w:sz w:val="22"/>
                <w:highlight w:val="none"/>
              </w:rPr>
              <w:t>1</w:t>
            </w:r>
            <w:r>
              <w:rPr>
                <w:rFonts w:ascii="Arial" w:hAnsi="Arial" w:eastAsia="等线" w:cs="Arial"/>
                <w:sz w:val="22"/>
                <w:highlight w:val="none"/>
              </w:rPr>
              <w:t>%</w:t>
            </w:r>
          </w:p>
        </w:tc>
        <w:tc>
          <w:tcPr>
            <w:tcW w:w="2070" w:type="dxa"/>
            <w:tcMar>
              <w:top w:w="60" w:type="dxa"/>
              <w:left w:w="120" w:type="dxa"/>
              <w:bottom w:w="30" w:type="dxa"/>
              <w:right w:w="120" w:type="dxa"/>
            </w:tcMar>
          </w:tcPr>
          <w:p w14:paraId="454F3012">
            <w:pPr>
              <w:rPr>
                <w:highlight w:val="none"/>
              </w:rPr>
            </w:pPr>
          </w:p>
        </w:tc>
        <w:tc>
          <w:tcPr>
            <w:tcW w:w="2070" w:type="dxa"/>
            <w:tcMar>
              <w:top w:w="60" w:type="dxa"/>
              <w:left w:w="120" w:type="dxa"/>
              <w:bottom w:w="30" w:type="dxa"/>
              <w:right w:w="120" w:type="dxa"/>
            </w:tcMar>
          </w:tcPr>
          <w:p w14:paraId="70DC08C7">
            <w:pPr>
              <w:spacing w:before="120" w:after="120" w:line="288" w:lineRule="auto"/>
              <w:jc w:val="left"/>
              <w:rPr>
                <w:highlight w:val="none"/>
              </w:rPr>
            </w:pPr>
            <w:r>
              <w:rPr>
                <w:rFonts w:ascii="Arial" w:hAnsi="Arial" w:eastAsia="等线" w:cs="Arial"/>
                <w:sz w:val="22"/>
                <w:highlight w:val="none"/>
              </w:rPr>
              <w:t>合格/不合格</w:t>
            </w:r>
          </w:p>
        </w:tc>
      </w:tr>
      <w:tr w14:paraId="2E12B0D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2070" w:type="dxa"/>
            <w:tcMar>
              <w:top w:w="60" w:type="dxa"/>
              <w:left w:w="120" w:type="dxa"/>
              <w:bottom w:w="30" w:type="dxa"/>
              <w:right w:w="120" w:type="dxa"/>
            </w:tcMar>
          </w:tcPr>
          <w:p w14:paraId="22032E60">
            <w:pPr>
              <w:spacing w:before="120" w:after="120" w:line="288" w:lineRule="auto"/>
              <w:jc w:val="left"/>
              <w:rPr>
                <w:highlight w:val="none"/>
              </w:rPr>
            </w:pPr>
            <w:r>
              <w:rPr>
                <w:rFonts w:ascii="Arial" w:hAnsi="Arial" w:eastAsia="等线" w:cs="Arial"/>
                <w:sz w:val="22"/>
                <w:highlight w:val="none"/>
              </w:rPr>
              <w:t>通讯状态</w:t>
            </w:r>
          </w:p>
        </w:tc>
        <w:tc>
          <w:tcPr>
            <w:tcW w:w="2070" w:type="dxa"/>
            <w:tcMar>
              <w:top w:w="60" w:type="dxa"/>
              <w:left w:w="120" w:type="dxa"/>
              <w:bottom w:w="30" w:type="dxa"/>
              <w:right w:w="120" w:type="dxa"/>
            </w:tcMar>
          </w:tcPr>
          <w:p w14:paraId="235ECF11">
            <w:pPr>
              <w:spacing w:before="120" w:after="120" w:line="288" w:lineRule="auto"/>
              <w:jc w:val="left"/>
              <w:rPr>
                <w:highlight w:val="none"/>
              </w:rPr>
            </w:pPr>
            <w:r>
              <w:rPr>
                <w:rFonts w:ascii="Arial" w:hAnsi="Arial" w:eastAsia="等线" w:cs="Arial"/>
                <w:sz w:val="22"/>
                <w:highlight w:val="none"/>
              </w:rPr>
              <w:t>稳定不掉线</w:t>
            </w:r>
          </w:p>
        </w:tc>
        <w:tc>
          <w:tcPr>
            <w:tcW w:w="2070" w:type="dxa"/>
            <w:tcMar>
              <w:top w:w="60" w:type="dxa"/>
              <w:left w:w="120" w:type="dxa"/>
              <w:bottom w:w="30" w:type="dxa"/>
              <w:right w:w="120" w:type="dxa"/>
            </w:tcMar>
          </w:tcPr>
          <w:p w14:paraId="1ED44A34">
            <w:pPr>
              <w:rPr>
                <w:highlight w:val="none"/>
              </w:rPr>
            </w:pPr>
          </w:p>
        </w:tc>
        <w:tc>
          <w:tcPr>
            <w:tcW w:w="2070" w:type="dxa"/>
            <w:tcMar>
              <w:top w:w="60" w:type="dxa"/>
              <w:left w:w="120" w:type="dxa"/>
              <w:bottom w:w="30" w:type="dxa"/>
              <w:right w:w="120" w:type="dxa"/>
            </w:tcMar>
          </w:tcPr>
          <w:p w14:paraId="167D991B">
            <w:pPr>
              <w:spacing w:before="120" w:after="120" w:line="288" w:lineRule="auto"/>
              <w:jc w:val="left"/>
              <w:rPr>
                <w:highlight w:val="none"/>
              </w:rPr>
            </w:pPr>
            <w:r>
              <w:rPr>
                <w:rFonts w:ascii="Arial" w:hAnsi="Arial" w:eastAsia="等线" w:cs="Arial"/>
                <w:sz w:val="22"/>
                <w:highlight w:val="none"/>
              </w:rPr>
              <w:t>合格/不合格</w:t>
            </w:r>
          </w:p>
        </w:tc>
      </w:tr>
    </w:tbl>
    <w:p w14:paraId="31ED2043">
      <w:pPr>
        <w:spacing w:before="120" w:after="120" w:line="288" w:lineRule="auto"/>
        <w:jc w:val="left"/>
        <w:rPr>
          <w:highlight w:val="none"/>
        </w:rPr>
      </w:pPr>
    </w:p>
    <w:sectPr>
      <w:headerReference r:id="rId3" w:type="default"/>
      <w:footerReference r:id="rId4" w:type="default"/>
      <w:pgSz w:w="11905"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E87A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60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2"/>
      <w:numFmt w:val="decimal"/>
      <w:lvlText w:val="%1."/>
      <w:lvlJc w:val="left"/>
      <w:rPr>
        <w:color w:val="3370FF"/>
      </w:rPr>
    </w:lvl>
  </w:abstractNum>
  <w:abstractNum w:abstractNumId="1">
    <w:nsid w:val="845B5372"/>
    <w:multiLevelType w:val="singleLevel"/>
    <w:tmpl w:val="845B5372"/>
    <w:lvl w:ilvl="0" w:tentative="0">
      <w:start w:val="2"/>
      <w:numFmt w:val="decimal"/>
      <w:lvlText w:val="%1."/>
      <w:lvlJc w:val="left"/>
      <w:rPr>
        <w:color w:val="3370FF"/>
      </w:rPr>
    </w:lvl>
  </w:abstractNum>
  <w:abstractNum w:abstractNumId="2">
    <w:nsid w:val="8461FADE"/>
    <w:multiLevelType w:val="singleLevel"/>
    <w:tmpl w:val="8461FADE"/>
    <w:lvl w:ilvl="0" w:tentative="0">
      <w:start w:val="3"/>
      <w:numFmt w:val="decimal"/>
      <w:lvlText w:val="%1."/>
      <w:lvlJc w:val="left"/>
      <w:rPr>
        <w:color w:val="3370FF"/>
      </w:rPr>
    </w:lvl>
  </w:abstractNum>
  <w:abstractNum w:abstractNumId="3">
    <w:nsid w:val="8CAEB125"/>
    <w:multiLevelType w:val="singleLevel"/>
    <w:tmpl w:val="8CAEB125"/>
    <w:lvl w:ilvl="0" w:tentative="0">
      <w:start w:val="1"/>
      <w:numFmt w:val="decimal"/>
      <w:lvlText w:val="%1."/>
      <w:lvlJc w:val="left"/>
      <w:rPr>
        <w:color w:val="3370FF"/>
      </w:rPr>
    </w:lvl>
  </w:abstractNum>
  <w:abstractNum w:abstractNumId="4">
    <w:nsid w:val="91995D4F"/>
    <w:multiLevelType w:val="singleLevel"/>
    <w:tmpl w:val="91995D4F"/>
    <w:lvl w:ilvl="0" w:tentative="0">
      <w:start w:val="2"/>
      <w:numFmt w:val="decimal"/>
      <w:lvlText w:val="%1."/>
      <w:lvlJc w:val="left"/>
      <w:rPr>
        <w:color w:val="3370FF"/>
      </w:rPr>
    </w:lvl>
  </w:abstractNum>
  <w:abstractNum w:abstractNumId="5">
    <w:nsid w:val="9239341B"/>
    <w:multiLevelType w:val="singleLevel"/>
    <w:tmpl w:val="9239341B"/>
    <w:lvl w:ilvl="0" w:tentative="0">
      <w:start w:val="3"/>
      <w:numFmt w:val="decimal"/>
      <w:lvlText w:val="%1."/>
      <w:lvlJc w:val="left"/>
      <w:rPr>
        <w:color w:val="3370FF"/>
      </w:rPr>
    </w:lvl>
  </w:abstractNum>
  <w:abstractNum w:abstractNumId="6">
    <w:nsid w:val="9288B902"/>
    <w:multiLevelType w:val="singleLevel"/>
    <w:tmpl w:val="9288B902"/>
    <w:lvl w:ilvl="0" w:tentative="0">
      <w:start w:val="1"/>
      <w:numFmt w:val="decimal"/>
      <w:lvlText w:val="%1."/>
      <w:lvlJc w:val="left"/>
      <w:rPr>
        <w:color w:val="3370FF"/>
      </w:rPr>
    </w:lvl>
  </w:abstractNum>
  <w:abstractNum w:abstractNumId="7">
    <w:nsid w:val="9C8AC8EF"/>
    <w:multiLevelType w:val="singleLevel"/>
    <w:tmpl w:val="9C8AC8EF"/>
    <w:lvl w:ilvl="0" w:tentative="0">
      <w:start w:val="1"/>
      <w:numFmt w:val="decimal"/>
      <w:lvlText w:val="%1."/>
      <w:lvlJc w:val="left"/>
      <w:rPr>
        <w:color w:val="3370FF"/>
      </w:rPr>
    </w:lvl>
  </w:abstractNum>
  <w:abstractNum w:abstractNumId="8">
    <w:nsid w:val="B0F1ACD9"/>
    <w:multiLevelType w:val="singleLevel"/>
    <w:tmpl w:val="B0F1ACD9"/>
    <w:lvl w:ilvl="0" w:tentative="0">
      <w:start w:val="1"/>
      <w:numFmt w:val="decimal"/>
      <w:lvlText w:val="%1."/>
      <w:lvlJc w:val="left"/>
      <w:rPr>
        <w:color w:val="3370FF"/>
      </w:rPr>
    </w:lvl>
  </w:abstractNum>
  <w:abstractNum w:abstractNumId="9">
    <w:nsid w:val="B5E306ED"/>
    <w:multiLevelType w:val="singleLevel"/>
    <w:tmpl w:val="B5E306ED"/>
    <w:lvl w:ilvl="0" w:tentative="0">
      <w:start w:val="1"/>
      <w:numFmt w:val="decimal"/>
      <w:lvlText w:val="%1."/>
      <w:lvlJc w:val="left"/>
      <w:rPr>
        <w:color w:val="3370FF"/>
      </w:rPr>
    </w:lvl>
  </w:abstractNum>
  <w:abstractNum w:abstractNumId="10">
    <w:nsid w:val="B8CEF35B"/>
    <w:multiLevelType w:val="singleLevel"/>
    <w:tmpl w:val="B8CEF35B"/>
    <w:lvl w:ilvl="0" w:tentative="0">
      <w:start w:val="1"/>
      <w:numFmt w:val="decimal"/>
      <w:lvlText w:val="%1."/>
      <w:lvlJc w:val="left"/>
      <w:rPr>
        <w:color w:val="3370FF"/>
      </w:rPr>
    </w:lvl>
  </w:abstractNum>
  <w:abstractNum w:abstractNumId="11">
    <w:nsid w:val="BB64CFA9"/>
    <w:multiLevelType w:val="singleLevel"/>
    <w:tmpl w:val="BB64CFA9"/>
    <w:lvl w:ilvl="0" w:tentative="0">
      <w:start w:val="1"/>
      <w:numFmt w:val="decimal"/>
      <w:lvlText w:val="%1."/>
      <w:lvlJc w:val="left"/>
      <w:rPr>
        <w:color w:val="3370FF"/>
      </w:rPr>
    </w:lvl>
  </w:abstractNum>
  <w:abstractNum w:abstractNumId="12">
    <w:nsid w:val="BE923771"/>
    <w:multiLevelType w:val="singleLevel"/>
    <w:tmpl w:val="BE923771"/>
    <w:lvl w:ilvl="0" w:tentative="0">
      <w:start w:val="2"/>
      <w:numFmt w:val="decimal"/>
      <w:lvlText w:val="%1."/>
      <w:lvlJc w:val="left"/>
      <w:rPr>
        <w:color w:val="3370FF"/>
      </w:rPr>
    </w:lvl>
  </w:abstractNum>
  <w:abstractNum w:abstractNumId="13">
    <w:nsid w:val="BF205925"/>
    <w:multiLevelType w:val="singleLevel"/>
    <w:tmpl w:val="BF205925"/>
    <w:lvl w:ilvl="0" w:tentative="0">
      <w:start w:val="4"/>
      <w:numFmt w:val="decimal"/>
      <w:lvlText w:val="%1."/>
      <w:lvlJc w:val="left"/>
      <w:rPr>
        <w:color w:val="3370FF"/>
      </w:rPr>
    </w:lvl>
  </w:abstractNum>
  <w:abstractNum w:abstractNumId="14">
    <w:nsid w:val="C8879AEF"/>
    <w:multiLevelType w:val="singleLevel"/>
    <w:tmpl w:val="C8879AEF"/>
    <w:lvl w:ilvl="0" w:tentative="0">
      <w:start w:val="1"/>
      <w:numFmt w:val="decimal"/>
      <w:lvlText w:val="%1."/>
      <w:lvlJc w:val="left"/>
      <w:rPr>
        <w:color w:val="3370FF"/>
      </w:rPr>
    </w:lvl>
  </w:abstractNum>
  <w:abstractNum w:abstractNumId="15">
    <w:nsid w:val="CF092B84"/>
    <w:multiLevelType w:val="singleLevel"/>
    <w:tmpl w:val="CF092B84"/>
    <w:lvl w:ilvl="0" w:tentative="0">
      <w:start w:val="2"/>
      <w:numFmt w:val="decimal"/>
      <w:lvlText w:val="%1."/>
      <w:lvlJc w:val="left"/>
      <w:rPr>
        <w:color w:val="3370FF"/>
      </w:rPr>
    </w:lvl>
  </w:abstractNum>
  <w:abstractNum w:abstractNumId="16">
    <w:nsid w:val="D7F9FE59"/>
    <w:multiLevelType w:val="singleLevel"/>
    <w:tmpl w:val="D7F9FE59"/>
    <w:lvl w:ilvl="0" w:tentative="0">
      <w:start w:val="2"/>
      <w:numFmt w:val="decimal"/>
      <w:lvlText w:val="%1."/>
      <w:lvlJc w:val="left"/>
      <w:rPr>
        <w:color w:val="3370FF"/>
      </w:rPr>
    </w:lvl>
  </w:abstractNum>
  <w:abstractNum w:abstractNumId="17">
    <w:nsid w:val="DCBA6B53"/>
    <w:multiLevelType w:val="singleLevel"/>
    <w:tmpl w:val="DCBA6B53"/>
    <w:lvl w:ilvl="0" w:tentative="0">
      <w:start w:val="1"/>
      <w:numFmt w:val="decimal"/>
      <w:lvlText w:val="%1."/>
      <w:lvlJc w:val="left"/>
      <w:rPr>
        <w:color w:val="3370FF"/>
      </w:rPr>
    </w:lvl>
  </w:abstractNum>
  <w:abstractNum w:abstractNumId="18">
    <w:nsid w:val="E093A4B0"/>
    <w:multiLevelType w:val="singleLevel"/>
    <w:tmpl w:val="E093A4B0"/>
    <w:lvl w:ilvl="0" w:tentative="0">
      <w:start w:val="3"/>
      <w:numFmt w:val="decimal"/>
      <w:lvlText w:val="%1."/>
      <w:lvlJc w:val="left"/>
      <w:rPr>
        <w:color w:val="3370FF"/>
      </w:rPr>
    </w:lvl>
  </w:abstractNum>
  <w:abstractNum w:abstractNumId="19">
    <w:nsid w:val="F4B5D9F5"/>
    <w:multiLevelType w:val="singleLevel"/>
    <w:tmpl w:val="F4B5D9F5"/>
    <w:lvl w:ilvl="0" w:tentative="0">
      <w:start w:val="1"/>
      <w:numFmt w:val="decimal"/>
      <w:lvlText w:val="%1."/>
      <w:lvlJc w:val="left"/>
      <w:rPr>
        <w:color w:val="3370FF"/>
      </w:rPr>
    </w:lvl>
  </w:abstractNum>
  <w:abstractNum w:abstractNumId="20">
    <w:nsid w:val="F7735DC9"/>
    <w:multiLevelType w:val="singleLevel"/>
    <w:tmpl w:val="F7735DC9"/>
    <w:lvl w:ilvl="0" w:tentative="0">
      <w:start w:val="2"/>
      <w:numFmt w:val="decimal"/>
      <w:lvlText w:val="%1."/>
      <w:lvlJc w:val="left"/>
      <w:rPr>
        <w:color w:val="3370FF"/>
      </w:rPr>
    </w:lvl>
  </w:abstractNum>
  <w:abstractNum w:abstractNumId="21">
    <w:nsid w:val="0053208E"/>
    <w:multiLevelType w:val="singleLevel"/>
    <w:tmpl w:val="0053208E"/>
    <w:lvl w:ilvl="0" w:tentative="0">
      <w:start w:val="1"/>
      <w:numFmt w:val="decimal"/>
      <w:lvlText w:val="%1."/>
      <w:lvlJc w:val="left"/>
      <w:rPr>
        <w:color w:val="3370FF"/>
      </w:rPr>
    </w:lvl>
  </w:abstractNum>
  <w:abstractNum w:abstractNumId="22">
    <w:nsid w:val="0248C179"/>
    <w:multiLevelType w:val="singleLevel"/>
    <w:tmpl w:val="0248C179"/>
    <w:lvl w:ilvl="0" w:tentative="0">
      <w:start w:val="2"/>
      <w:numFmt w:val="decimal"/>
      <w:lvlText w:val="%1."/>
      <w:lvlJc w:val="left"/>
      <w:rPr>
        <w:color w:val="3370FF"/>
      </w:rPr>
    </w:lvl>
  </w:abstractNum>
  <w:abstractNum w:abstractNumId="23">
    <w:nsid w:val="03D62ECE"/>
    <w:multiLevelType w:val="singleLevel"/>
    <w:tmpl w:val="03D62ECE"/>
    <w:lvl w:ilvl="0" w:tentative="0">
      <w:start w:val="2"/>
      <w:numFmt w:val="decimal"/>
      <w:lvlText w:val="%1."/>
      <w:lvlJc w:val="left"/>
      <w:rPr>
        <w:color w:val="3370FF"/>
      </w:rPr>
    </w:lvl>
  </w:abstractNum>
  <w:abstractNum w:abstractNumId="24">
    <w:nsid w:val="0E640482"/>
    <w:multiLevelType w:val="singleLevel"/>
    <w:tmpl w:val="0E640482"/>
    <w:lvl w:ilvl="0" w:tentative="0">
      <w:start w:val="1"/>
      <w:numFmt w:val="decimal"/>
      <w:lvlText w:val="%1."/>
      <w:lvlJc w:val="left"/>
      <w:rPr>
        <w:color w:val="3370FF"/>
      </w:rPr>
    </w:lvl>
  </w:abstractNum>
  <w:abstractNum w:abstractNumId="25">
    <w:nsid w:val="1ACDE60F"/>
    <w:multiLevelType w:val="singleLevel"/>
    <w:tmpl w:val="1ACDE60F"/>
    <w:lvl w:ilvl="0" w:tentative="0">
      <w:start w:val="3"/>
      <w:numFmt w:val="decimal"/>
      <w:lvlText w:val="%1."/>
      <w:lvlJc w:val="left"/>
      <w:rPr>
        <w:color w:val="3370FF"/>
      </w:rPr>
    </w:lvl>
  </w:abstractNum>
  <w:abstractNum w:abstractNumId="26">
    <w:nsid w:val="243FCF68"/>
    <w:multiLevelType w:val="singleLevel"/>
    <w:tmpl w:val="243FCF68"/>
    <w:lvl w:ilvl="0" w:tentative="0">
      <w:start w:val="3"/>
      <w:numFmt w:val="decimal"/>
      <w:lvlText w:val="%1."/>
      <w:lvlJc w:val="left"/>
      <w:rPr>
        <w:color w:val="3370FF"/>
      </w:rPr>
    </w:lvl>
  </w:abstractNum>
  <w:abstractNum w:abstractNumId="27">
    <w:nsid w:val="2470EC97"/>
    <w:multiLevelType w:val="singleLevel"/>
    <w:tmpl w:val="2470EC97"/>
    <w:lvl w:ilvl="0" w:tentative="0">
      <w:start w:val="2"/>
      <w:numFmt w:val="decimal"/>
      <w:lvlText w:val="%1."/>
      <w:lvlJc w:val="left"/>
      <w:rPr>
        <w:color w:val="3370FF"/>
      </w:rPr>
    </w:lvl>
  </w:abstractNum>
  <w:abstractNum w:abstractNumId="28">
    <w:nsid w:val="2A8F537B"/>
    <w:multiLevelType w:val="singleLevel"/>
    <w:tmpl w:val="2A8F537B"/>
    <w:lvl w:ilvl="0" w:tentative="0">
      <w:start w:val="1"/>
      <w:numFmt w:val="decimal"/>
      <w:lvlText w:val="%1."/>
      <w:lvlJc w:val="left"/>
      <w:rPr>
        <w:color w:val="3370FF"/>
      </w:rPr>
    </w:lvl>
  </w:abstractNum>
  <w:abstractNum w:abstractNumId="29">
    <w:nsid w:val="30FC5B15"/>
    <w:multiLevelType w:val="singleLevel"/>
    <w:tmpl w:val="30FC5B15"/>
    <w:lvl w:ilvl="0" w:tentative="0">
      <w:start w:val="1"/>
      <w:numFmt w:val="decimal"/>
      <w:lvlText w:val="%1."/>
      <w:lvlJc w:val="left"/>
      <w:rPr>
        <w:color w:val="3370FF"/>
      </w:rPr>
    </w:lvl>
  </w:abstractNum>
  <w:abstractNum w:abstractNumId="30">
    <w:nsid w:val="322D85CA"/>
    <w:multiLevelType w:val="singleLevel"/>
    <w:tmpl w:val="322D85CA"/>
    <w:lvl w:ilvl="0" w:tentative="0">
      <w:start w:val="5"/>
      <w:numFmt w:val="decimal"/>
      <w:lvlText w:val="%1."/>
      <w:lvlJc w:val="left"/>
      <w:rPr>
        <w:color w:val="3370FF"/>
      </w:rPr>
    </w:lvl>
  </w:abstractNum>
  <w:abstractNum w:abstractNumId="31">
    <w:nsid w:val="39A0D9AC"/>
    <w:multiLevelType w:val="singleLevel"/>
    <w:tmpl w:val="39A0D9AC"/>
    <w:lvl w:ilvl="0" w:tentative="0">
      <w:start w:val="2"/>
      <w:numFmt w:val="decimal"/>
      <w:lvlText w:val="%1."/>
      <w:lvlJc w:val="left"/>
      <w:rPr>
        <w:color w:val="3370FF"/>
      </w:rPr>
    </w:lvl>
  </w:abstractNum>
  <w:abstractNum w:abstractNumId="32">
    <w:nsid w:val="46A08BB8"/>
    <w:multiLevelType w:val="singleLevel"/>
    <w:tmpl w:val="46A08BB8"/>
    <w:lvl w:ilvl="0" w:tentative="0">
      <w:start w:val="2"/>
      <w:numFmt w:val="decimal"/>
      <w:lvlText w:val="%1."/>
      <w:lvlJc w:val="left"/>
      <w:rPr>
        <w:color w:val="3370FF"/>
      </w:rPr>
    </w:lvl>
  </w:abstractNum>
  <w:abstractNum w:abstractNumId="33">
    <w:nsid w:val="4C1BAE26"/>
    <w:multiLevelType w:val="singleLevel"/>
    <w:tmpl w:val="4C1BAE26"/>
    <w:lvl w:ilvl="0" w:tentative="0">
      <w:start w:val="2"/>
      <w:numFmt w:val="decimal"/>
      <w:lvlText w:val="%1."/>
      <w:lvlJc w:val="left"/>
      <w:rPr>
        <w:color w:val="3370FF"/>
      </w:rPr>
    </w:lvl>
  </w:abstractNum>
  <w:abstractNum w:abstractNumId="34">
    <w:nsid w:val="4C3D7A74"/>
    <w:multiLevelType w:val="singleLevel"/>
    <w:tmpl w:val="4C3D7A74"/>
    <w:lvl w:ilvl="0" w:tentative="0">
      <w:start w:val="4"/>
      <w:numFmt w:val="decimal"/>
      <w:lvlText w:val="%1."/>
      <w:lvlJc w:val="left"/>
      <w:rPr>
        <w:color w:val="3370FF"/>
      </w:rPr>
    </w:lvl>
  </w:abstractNum>
  <w:abstractNum w:abstractNumId="35">
    <w:nsid w:val="4D4DC07F"/>
    <w:multiLevelType w:val="singleLevel"/>
    <w:tmpl w:val="4D4DC07F"/>
    <w:lvl w:ilvl="0" w:tentative="0">
      <w:start w:val="2"/>
      <w:numFmt w:val="decimal"/>
      <w:lvlText w:val="%1."/>
      <w:lvlJc w:val="left"/>
      <w:rPr>
        <w:color w:val="3370FF"/>
      </w:rPr>
    </w:lvl>
  </w:abstractNum>
  <w:abstractNum w:abstractNumId="36">
    <w:nsid w:val="4D94DA66"/>
    <w:multiLevelType w:val="singleLevel"/>
    <w:tmpl w:val="4D94DA66"/>
    <w:lvl w:ilvl="0" w:tentative="0">
      <w:start w:val="1"/>
      <w:numFmt w:val="decimal"/>
      <w:lvlText w:val="%1."/>
      <w:lvlJc w:val="left"/>
      <w:rPr>
        <w:color w:val="3370FF"/>
      </w:rPr>
    </w:lvl>
  </w:abstractNum>
  <w:abstractNum w:abstractNumId="37">
    <w:nsid w:val="58765686"/>
    <w:multiLevelType w:val="singleLevel"/>
    <w:tmpl w:val="58765686"/>
    <w:lvl w:ilvl="0" w:tentative="0">
      <w:start w:val="4"/>
      <w:numFmt w:val="decimal"/>
      <w:lvlText w:val="%1."/>
      <w:lvlJc w:val="left"/>
      <w:rPr>
        <w:color w:val="3370FF"/>
      </w:rPr>
    </w:lvl>
  </w:abstractNum>
  <w:abstractNum w:abstractNumId="38">
    <w:nsid w:val="59ADCABA"/>
    <w:multiLevelType w:val="singleLevel"/>
    <w:tmpl w:val="59ADCABA"/>
    <w:lvl w:ilvl="0" w:tentative="0">
      <w:start w:val="3"/>
      <w:numFmt w:val="decimal"/>
      <w:lvlText w:val="%1."/>
      <w:lvlJc w:val="left"/>
      <w:rPr>
        <w:color w:val="3370FF"/>
      </w:rPr>
    </w:lvl>
  </w:abstractNum>
  <w:abstractNum w:abstractNumId="39">
    <w:nsid w:val="5A241D34"/>
    <w:multiLevelType w:val="singleLevel"/>
    <w:tmpl w:val="5A241D34"/>
    <w:lvl w:ilvl="0" w:tentative="0">
      <w:start w:val="2"/>
      <w:numFmt w:val="decimal"/>
      <w:lvlText w:val="%1."/>
      <w:lvlJc w:val="left"/>
      <w:rPr>
        <w:color w:val="3370FF"/>
      </w:rPr>
    </w:lvl>
  </w:abstractNum>
  <w:abstractNum w:abstractNumId="40">
    <w:nsid w:val="5E29AB5A"/>
    <w:multiLevelType w:val="singleLevel"/>
    <w:tmpl w:val="5E29AB5A"/>
    <w:lvl w:ilvl="0" w:tentative="0">
      <w:start w:val="1"/>
      <w:numFmt w:val="decimal"/>
      <w:lvlText w:val="%1."/>
      <w:lvlJc w:val="left"/>
      <w:rPr>
        <w:color w:val="3370FF"/>
      </w:rPr>
    </w:lvl>
  </w:abstractNum>
  <w:abstractNum w:abstractNumId="41">
    <w:nsid w:val="5FFFB1A7"/>
    <w:multiLevelType w:val="singleLevel"/>
    <w:tmpl w:val="5FFFB1A7"/>
    <w:lvl w:ilvl="0" w:tentative="0">
      <w:start w:val="2"/>
      <w:numFmt w:val="decimal"/>
      <w:lvlText w:val="%1."/>
      <w:lvlJc w:val="left"/>
      <w:rPr>
        <w:color w:val="3370FF"/>
      </w:rPr>
    </w:lvl>
  </w:abstractNum>
  <w:abstractNum w:abstractNumId="42">
    <w:nsid w:val="629F7852"/>
    <w:multiLevelType w:val="singleLevel"/>
    <w:tmpl w:val="629F7852"/>
    <w:lvl w:ilvl="0" w:tentative="0">
      <w:start w:val="3"/>
      <w:numFmt w:val="decimal"/>
      <w:lvlText w:val="%1."/>
      <w:lvlJc w:val="left"/>
      <w:rPr>
        <w:color w:val="3370FF"/>
      </w:rPr>
    </w:lvl>
  </w:abstractNum>
  <w:abstractNum w:abstractNumId="43">
    <w:nsid w:val="72183CF9"/>
    <w:multiLevelType w:val="singleLevel"/>
    <w:tmpl w:val="72183CF9"/>
    <w:lvl w:ilvl="0" w:tentative="0">
      <w:start w:val="1"/>
      <w:numFmt w:val="decimal"/>
      <w:lvlText w:val="%1."/>
      <w:lvlJc w:val="left"/>
      <w:rPr>
        <w:color w:val="3370FF"/>
      </w:rPr>
    </w:lvl>
  </w:abstractNum>
  <w:abstractNum w:abstractNumId="44">
    <w:nsid w:val="74C28B35"/>
    <w:multiLevelType w:val="singleLevel"/>
    <w:tmpl w:val="74C28B35"/>
    <w:lvl w:ilvl="0" w:tentative="0">
      <w:start w:val="3"/>
      <w:numFmt w:val="decimal"/>
      <w:lvlText w:val="%1."/>
      <w:lvlJc w:val="left"/>
      <w:rPr>
        <w:color w:val="3370FF"/>
      </w:rPr>
    </w:lvl>
  </w:abstractNum>
  <w:abstractNum w:abstractNumId="45">
    <w:nsid w:val="77ECEA79"/>
    <w:multiLevelType w:val="singleLevel"/>
    <w:tmpl w:val="77ECEA79"/>
    <w:lvl w:ilvl="0" w:tentative="0">
      <w:start w:val="1"/>
      <w:numFmt w:val="decimal"/>
      <w:lvlText w:val="%1."/>
      <w:lvlJc w:val="left"/>
      <w:rPr>
        <w:color w:val="3370FF"/>
      </w:rPr>
    </w:lvl>
  </w:abstractNum>
  <w:abstractNum w:abstractNumId="46">
    <w:nsid w:val="79AA4FA4"/>
    <w:multiLevelType w:val="singleLevel"/>
    <w:tmpl w:val="79AA4FA4"/>
    <w:lvl w:ilvl="0" w:tentative="0">
      <w:start w:val="2"/>
      <w:numFmt w:val="decimal"/>
      <w:lvlText w:val="%1."/>
      <w:lvlJc w:val="left"/>
      <w:rPr>
        <w:color w:val="3370FF"/>
      </w:rPr>
    </w:lvl>
  </w:abstractNum>
  <w:abstractNum w:abstractNumId="47">
    <w:nsid w:val="7C246926"/>
    <w:multiLevelType w:val="singleLevel"/>
    <w:tmpl w:val="7C246926"/>
    <w:lvl w:ilvl="0" w:tentative="0">
      <w:start w:val="2"/>
      <w:numFmt w:val="decimal"/>
      <w:lvlText w:val="%1."/>
      <w:lvlJc w:val="left"/>
      <w:rPr>
        <w:color w:val="3370FF"/>
      </w:rPr>
    </w:lvl>
  </w:abstractNum>
  <w:abstractNum w:abstractNumId="48">
    <w:nsid w:val="7DEC2089"/>
    <w:multiLevelType w:val="singleLevel"/>
    <w:tmpl w:val="7DEC2089"/>
    <w:lvl w:ilvl="0" w:tentative="0">
      <w:start w:val="1"/>
      <w:numFmt w:val="decimal"/>
      <w:lvlText w:val="%1."/>
      <w:lvlJc w:val="left"/>
      <w:rPr>
        <w:color w:val="3370FF"/>
      </w:rPr>
    </w:lvl>
  </w:abstractNum>
  <w:num w:numId="1">
    <w:abstractNumId w:val="21"/>
  </w:num>
  <w:num w:numId="2">
    <w:abstractNumId w:val="15"/>
  </w:num>
  <w:num w:numId="3">
    <w:abstractNumId w:val="38"/>
  </w:num>
  <w:num w:numId="4">
    <w:abstractNumId w:val="13"/>
  </w:num>
  <w:num w:numId="5">
    <w:abstractNumId w:val="9"/>
  </w:num>
  <w:num w:numId="6">
    <w:abstractNumId w:val="23"/>
  </w:num>
  <w:num w:numId="7">
    <w:abstractNumId w:val="43"/>
  </w:num>
  <w:num w:numId="8">
    <w:abstractNumId w:val="22"/>
  </w:num>
  <w:num w:numId="9">
    <w:abstractNumId w:val="5"/>
  </w:num>
  <w:num w:numId="10">
    <w:abstractNumId w:val="28"/>
  </w:num>
  <w:num w:numId="11">
    <w:abstractNumId w:val="39"/>
  </w:num>
  <w:num w:numId="12">
    <w:abstractNumId w:val="14"/>
  </w:num>
  <w:num w:numId="13">
    <w:abstractNumId w:val="35"/>
  </w:num>
  <w:num w:numId="14">
    <w:abstractNumId w:val="19"/>
  </w:num>
  <w:num w:numId="15">
    <w:abstractNumId w:val="27"/>
  </w:num>
  <w:num w:numId="16">
    <w:abstractNumId w:val="17"/>
  </w:num>
  <w:num w:numId="17">
    <w:abstractNumId w:val="16"/>
  </w:num>
  <w:num w:numId="18">
    <w:abstractNumId w:val="7"/>
  </w:num>
  <w:num w:numId="19">
    <w:abstractNumId w:val="33"/>
  </w:num>
  <w:num w:numId="20">
    <w:abstractNumId w:val="24"/>
  </w:num>
  <w:num w:numId="21">
    <w:abstractNumId w:val="32"/>
  </w:num>
  <w:num w:numId="22">
    <w:abstractNumId w:val="8"/>
  </w:num>
  <w:num w:numId="23">
    <w:abstractNumId w:val="47"/>
  </w:num>
  <w:num w:numId="24">
    <w:abstractNumId w:val="45"/>
  </w:num>
  <w:num w:numId="25">
    <w:abstractNumId w:val="12"/>
  </w:num>
  <w:num w:numId="26">
    <w:abstractNumId w:val="42"/>
  </w:num>
  <w:num w:numId="27">
    <w:abstractNumId w:val="6"/>
  </w:num>
  <w:num w:numId="28">
    <w:abstractNumId w:val="31"/>
  </w:num>
  <w:num w:numId="29">
    <w:abstractNumId w:val="2"/>
  </w:num>
  <w:num w:numId="30">
    <w:abstractNumId w:val="37"/>
  </w:num>
  <w:num w:numId="31">
    <w:abstractNumId w:val="48"/>
  </w:num>
  <w:num w:numId="32">
    <w:abstractNumId w:val="0"/>
  </w:num>
  <w:num w:numId="33">
    <w:abstractNumId w:val="26"/>
  </w:num>
  <w:num w:numId="34">
    <w:abstractNumId w:val="36"/>
  </w:num>
  <w:num w:numId="35">
    <w:abstractNumId w:val="20"/>
  </w:num>
  <w:num w:numId="36">
    <w:abstractNumId w:val="18"/>
  </w:num>
  <w:num w:numId="37">
    <w:abstractNumId w:val="29"/>
  </w:num>
  <w:num w:numId="38">
    <w:abstractNumId w:val="46"/>
  </w:num>
  <w:num w:numId="39">
    <w:abstractNumId w:val="11"/>
  </w:num>
  <w:num w:numId="40">
    <w:abstractNumId w:val="4"/>
  </w:num>
  <w:num w:numId="41">
    <w:abstractNumId w:val="10"/>
  </w:num>
  <w:num w:numId="42">
    <w:abstractNumId w:val="40"/>
  </w:num>
  <w:num w:numId="43">
    <w:abstractNumId w:val="1"/>
  </w:num>
  <w:num w:numId="44">
    <w:abstractNumId w:val="25"/>
  </w:num>
  <w:num w:numId="45">
    <w:abstractNumId w:val="3"/>
  </w:num>
  <w:num w:numId="46">
    <w:abstractNumId w:val="41"/>
  </w:num>
  <w:num w:numId="47">
    <w:abstractNumId w:val="44"/>
  </w:num>
  <w:num w:numId="48">
    <w:abstractNumId w:val="34"/>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48"/>
    <w:rsid w:val="00765A5E"/>
    <w:rsid w:val="00871810"/>
    <w:rsid w:val="00AC4AC8"/>
    <w:rsid w:val="00BC6548"/>
    <w:rsid w:val="098D7D07"/>
    <w:rsid w:val="0E6F3E7F"/>
    <w:rsid w:val="11D5049D"/>
    <w:rsid w:val="14074B59"/>
    <w:rsid w:val="14353475"/>
    <w:rsid w:val="161E1612"/>
    <w:rsid w:val="19235F91"/>
    <w:rsid w:val="1CB05D8E"/>
    <w:rsid w:val="21894E00"/>
    <w:rsid w:val="2CC8316C"/>
    <w:rsid w:val="2F2E6FE6"/>
    <w:rsid w:val="306E3B3E"/>
    <w:rsid w:val="311A1F18"/>
    <w:rsid w:val="328A09D8"/>
    <w:rsid w:val="34264730"/>
    <w:rsid w:val="357F234A"/>
    <w:rsid w:val="38E726E0"/>
    <w:rsid w:val="3A445B17"/>
    <w:rsid w:val="3F32042D"/>
    <w:rsid w:val="46081EE8"/>
    <w:rsid w:val="521D6D1B"/>
    <w:rsid w:val="54A8334B"/>
    <w:rsid w:val="59E553CF"/>
    <w:rsid w:val="5C84486E"/>
    <w:rsid w:val="5D443CF5"/>
    <w:rsid w:val="5DC1697B"/>
    <w:rsid w:val="62E573E1"/>
    <w:rsid w:val="65396149"/>
    <w:rsid w:val="659D3FA3"/>
    <w:rsid w:val="6A03326E"/>
    <w:rsid w:val="6F12155D"/>
    <w:rsid w:val="72A43BD4"/>
    <w:rsid w:val="738D5656"/>
    <w:rsid w:val="73B250BD"/>
    <w:rsid w:val="766879BA"/>
    <w:rsid w:val="77D25D2E"/>
    <w:rsid w:val="7B673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477</Words>
  <Characters>574</Characters>
  <Lines>23</Lines>
  <Paragraphs>6</Paragraphs>
  <TotalTime>1</TotalTime>
  <ScaleCrop>false</ScaleCrop>
  <LinksUpToDate>false</LinksUpToDate>
  <CharactersWithSpaces>597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2026-03-19T13:55:00Z</dcterms:created>
  <dc:creator>Apache POI</dc:creator>
  <cp:lastModifiedBy>天涯</cp:lastModifiedBy>
  <dcterms:modified xsi:type="dcterms:W3CDTF">2026-04-20T08:37:09Z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eyJoZGlkIjoiNTE4MzBiNTgwMjYxOWI5YTU3MTk0N2NhOGU2MDI1MTAiLCJ1c2VySWQiOiIzODA0MjI1NzQifQ==</vt:lpwstr>
  </property>
  <property fmtid="{D5CDD505-2E9C-101B-9397-08002B2CF9AE}" pid="3" name="KSOProductBuildVer">
    <vt:lpwstr>2052-12.1.0.23542</vt:lpwstr>
  </property>
  <property fmtid="{D5CDD505-2E9C-101B-9397-08002B2CF9AE}" pid="4" name="ICV">
    <vt:lpwstr>6F8A6CE7F3394037BCCEE2BAF1BC27DB_13</vt:lpwstr>
  </property>
</Properties>
</file>