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35A9B9">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2026年东北数智运维中心食材配送服务采购</w:t>
      </w:r>
    </w:p>
    <w:p w14:paraId="301B24D1">
      <w:pPr>
        <w:rPr>
          <w:rFonts w:ascii="宋体" w:hAnsi="宋体" w:cs="宋体"/>
          <w:color w:val="auto"/>
          <w:sz w:val="28"/>
          <w:szCs w:val="28"/>
          <w:highlight w:val="none"/>
        </w:rPr>
      </w:pPr>
    </w:p>
    <w:p w14:paraId="06E85422">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14:paraId="356BD4FE">
      <w:pPr>
        <w:jc w:val="center"/>
        <w:rPr>
          <w:rFonts w:ascii="宋体" w:hAnsi="宋体" w:cs="宋体"/>
          <w:b/>
          <w:color w:val="auto"/>
          <w:sz w:val="48"/>
          <w:szCs w:val="48"/>
          <w:highlight w:val="none"/>
        </w:rPr>
      </w:pPr>
    </w:p>
    <w:p w14:paraId="05E5C716">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14:paraId="089C9B0B">
      <w:pPr>
        <w:jc w:val="center"/>
        <w:rPr>
          <w:rFonts w:ascii="宋体" w:hAnsi="宋体" w:cs="宋体"/>
          <w:b/>
          <w:color w:val="auto"/>
          <w:sz w:val="48"/>
          <w:szCs w:val="48"/>
          <w:highlight w:val="none"/>
        </w:rPr>
      </w:pPr>
    </w:p>
    <w:p w14:paraId="2FB3ED4C">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14:paraId="5E6025EA">
      <w:pPr>
        <w:jc w:val="center"/>
        <w:rPr>
          <w:rFonts w:ascii="宋体" w:hAnsi="宋体" w:cs="宋体"/>
          <w:b/>
          <w:color w:val="auto"/>
          <w:sz w:val="48"/>
          <w:szCs w:val="48"/>
          <w:highlight w:val="none"/>
        </w:rPr>
      </w:pPr>
    </w:p>
    <w:p w14:paraId="5D63A745">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14:paraId="6C495CCC">
      <w:pPr>
        <w:jc w:val="center"/>
        <w:rPr>
          <w:rFonts w:ascii="宋体" w:hAnsi="宋体" w:cs="宋体"/>
          <w:b/>
          <w:color w:val="auto"/>
          <w:sz w:val="48"/>
          <w:szCs w:val="48"/>
          <w:highlight w:val="none"/>
        </w:rPr>
      </w:pPr>
    </w:p>
    <w:p w14:paraId="2CF0482F">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14:paraId="1756F554">
      <w:pPr>
        <w:jc w:val="center"/>
        <w:rPr>
          <w:rFonts w:ascii="宋体" w:hAnsi="宋体" w:cs="宋体"/>
          <w:b/>
          <w:color w:val="auto"/>
          <w:sz w:val="48"/>
          <w:szCs w:val="48"/>
          <w:highlight w:val="none"/>
        </w:rPr>
      </w:pPr>
    </w:p>
    <w:p w14:paraId="564980CD">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14:paraId="7FC2AAEA">
      <w:pPr>
        <w:jc w:val="center"/>
        <w:rPr>
          <w:rFonts w:ascii="宋体" w:hAnsi="宋体" w:cs="宋体"/>
          <w:b/>
          <w:color w:val="auto"/>
          <w:sz w:val="48"/>
          <w:szCs w:val="48"/>
          <w:highlight w:val="none"/>
        </w:rPr>
      </w:pPr>
    </w:p>
    <w:p w14:paraId="2EF93BDD">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14:paraId="55211B6D">
      <w:pPr>
        <w:spacing w:line="400" w:lineRule="exact"/>
        <w:rPr>
          <w:rFonts w:ascii="宋体" w:hAnsi="宋体" w:cs="宋体"/>
          <w:color w:val="auto"/>
          <w:highlight w:val="none"/>
        </w:rPr>
      </w:pPr>
    </w:p>
    <w:p w14:paraId="463E979E">
      <w:pPr>
        <w:rPr>
          <w:color w:val="auto"/>
          <w:highlight w:val="none"/>
        </w:rPr>
      </w:pPr>
    </w:p>
    <w:p w14:paraId="6B9A0181">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14:paraId="43F50600">
      <w:pPr>
        <w:jc w:val="center"/>
        <w:rPr>
          <w:rFonts w:hint="eastAsia" w:ascii="宋体" w:hAnsi="宋体" w:cs="宋体"/>
          <w:b/>
          <w:color w:val="auto"/>
          <w:sz w:val="32"/>
          <w:szCs w:val="32"/>
          <w:highlight w:val="none"/>
          <w:u w:val="single"/>
        </w:rPr>
      </w:pPr>
    </w:p>
    <w:p w14:paraId="4A7056C3">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 04 月</w:t>
      </w:r>
    </w:p>
    <w:p w14:paraId="072DA673">
      <w:pPr>
        <w:pStyle w:val="28"/>
        <w:jc w:val="center"/>
        <w:rPr>
          <w:rFonts w:ascii="宋体" w:hAnsi="宋体" w:cs="宋体"/>
          <w:color w:val="auto"/>
          <w:szCs w:val="21"/>
          <w:highlight w:val="none"/>
        </w:rPr>
      </w:pPr>
      <w:r>
        <w:rPr>
          <w:color w:val="auto"/>
          <w:highlight w:val="none"/>
        </w:rPr>
        <w:br w:type="page"/>
      </w:r>
      <w:bookmarkStart w:id="0" w:name="_Toc507319889"/>
      <w:bookmarkStart w:id="1" w:name="_Toc507428442"/>
      <w:bookmarkStart w:id="2" w:name="_Toc296602400"/>
      <w:bookmarkStart w:id="3" w:name="_Toc247085669"/>
      <w:bookmarkStart w:id="4" w:name="_Toc246996898"/>
      <w:r>
        <w:rPr>
          <w:rFonts w:hint="eastAsia" w:ascii="宋体" w:hAnsi="宋体" w:cs="宋体"/>
          <w:b w:val="0"/>
          <w:color w:val="auto"/>
          <w:sz w:val="32"/>
          <w:highlight w:val="none"/>
        </w:rPr>
        <w:t>目   录</w:t>
      </w:r>
      <w:bookmarkEnd w:id="0"/>
      <w:bookmarkEnd w:id="1"/>
      <w:bookmarkEnd w:id="2"/>
      <w:bookmarkEnd w:id="3"/>
      <w:bookmarkEnd w:id="4"/>
    </w:p>
    <w:p w14:paraId="1A1322C5">
      <w:pPr>
        <w:pStyle w:val="28"/>
        <w:tabs>
          <w:tab w:val="right" w:leader="dot" w:pos="9638"/>
        </w:tabs>
        <w:rPr>
          <w:color w:val="auto"/>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color w:val="auto"/>
          <w:highlight w:val="none"/>
        </w:rPr>
        <w:instrText xml:space="preserve"> HYPERLINK \l _Toc29643 </w:instrText>
      </w:r>
      <w:r>
        <w:rPr>
          <w:rFonts w:hint="eastAsia" w:ascii="宋体" w:hAnsi="宋体" w:cs="宋体"/>
          <w:bCs w:val="0"/>
          <w:caps w:val="0"/>
          <w:color w:val="auto"/>
          <w:highlight w:val="none"/>
        </w:rPr>
        <w:fldChar w:fldCharType="separate"/>
      </w:r>
      <w:r>
        <w:rPr>
          <w:rFonts w:hint="eastAsia" w:ascii="宋体" w:hAnsi="宋体" w:eastAsia="宋体" w:cs="宋体"/>
          <w:bCs/>
          <w:smallCaps w:val="0"/>
          <w:color w:val="auto"/>
          <w:kern w:val="44"/>
          <w:szCs w:val="44"/>
          <w:highlight w:val="none"/>
          <w:lang w:val="en-US" w:eastAsia="zh-CN" w:bidi="ar-SA"/>
        </w:rPr>
        <w:t>第一章 比选公告</w:t>
      </w:r>
      <w:r>
        <w:rPr>
          <w:color w:val="auto"/>
        </w:rPr>
        <w:tab/>
      </w:r>
      <w:r>
        <w:rPr>
          <w:color w:val="auto"/>
        </w:rPr>
        <w:fldChar w:fldCharType="begin"/>
      </w:r>
      <w:r>
        <w:rPr>
          <w:color w:val="auto"/>
        </w:rPr>
        <w:instrText xml:space="preserve"> PAGEREF _Toc29643 \h </w:instrText>
      </w:r>
      <w:r>
        <w:rPr>
          <w:color w:val="auto"/>
        </w:rPr>
        <w:fldChar w:fldCharType="separate"/>
      </w:r>
      <w:r>
        <w:rPr>
          <w:color w:val="auto"/>
        </w:rPr>
        <w:t>1</w:t>
      </w:r>
      <w:r>
        <w:rPr>
          <w:color w:val="auto"/>
        </w:rPr>
        <w:fldChar w:fldCharType="end"/>
      </w:r>
      <w:r>
        <w:rPr>
          <w:rFonts w:hint="eastAsia" w:ascii="宋体" w:hAnsi="宋体" w:cs="宋体"/>
          <w:bCs w:val="0"/>
          <w:caps w:val="0"/>
          <w:color w:val="auto"/>
          <w:highlight w:val="none"/>
        </w:rPr>
        <w:fldChar w:fldCharType="end"/>
      </w:r>
    </w:p>
    <w:p w14:paraId="0721B946">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_Toc27743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1. 比选条件</w:t>
      </w:r>
      <w:r>
        <w:rPr>
          <w:color w:val="auto"/>
        </w:rPr>
        <w:tab/>
      </w:r>
      <w:r>
        <w:rPr>
          <w:color w:val="auto"/>
        </w:rPr>
        <w:fldChar w:fldCharType="begin"/>
      </w:r>
      <w:r>
        <w:rPr>
          <w:color w:val="auto"/>
        </w:rPr>
        <w:instrText xml:space="preserve"> PAGEREF _Toc27743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42327329">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_Toc1258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2. 项目概况与比选范围</w:t>
      </w:r>
      <w:r>
        <w:rPr>
          <w:color w:val="auto"/>
        </w:rPr>
        <w:tab/>
      </w:r>
      <w:r>
        <w:rPr>
          <w:color w:val="auto"/>
        </w:rPr>
        <w:fldChar w:fldCharType="begin"/>
      </w:r>
      <w:r>
        <w:rPr>
          <w:color w:val="auto"/>
        </w:rPr>
        <w:instrText xml:space="preserve"> PAGEREF _Toc1258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073DDFE2">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_Toc5542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3. 报价人资格要求</w:t>
      </w:r>
      <w:r>
        <w:rPr>
          <w:color w:val="auto"/>
        </w:rPr>
        <w:tab/>
      </w:r>
      <w:r>
        <w:rPr>
          <w:color w:val="auto"/>
        </w:rPr>
        <w:fldChar w:fldCharType="begin"/>
      </w:r>
      <w:r>
        <w:rPr>
          <w:color w:val="auto"/>
        </w:rPr>
        <w:instrText xml:space="preserve"> PAGEREF _Toc5542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3E18A0C5">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_Toc28877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4. 评标办法</w:t>
      </w:r>
      <w:r>
        <w:rPr>
          <w:color w:val="auto"/>
        </w:rPr>
        <w:tab/>
      </w:r>
      <w:r>
        <w:rPr>
          <w:color w:val="auto"/>
        </w:rPr>
        <w:fldChar w:fldCharType="begin"/>
      </w:r>
      <w:r>
        <w:rPr>
          <w:color w:val="auto"/>
        </w:rPr>
        <w:instrText xml:space="preserve"> PAGEREF _Toc28877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23A66163">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_Toc8694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r>
        <w:rPr>
          <w:color w:val="auto"/>
        </w:rPr>
        <w:tab/>
      </w:r>
      <w:r>
        <w:rPr>
          <w:color w:val="auto"/>
        </w:rPr>
        <w:fldChar w:fldCharType="begin"/>
      </w:r>
      <w:r>
        <w:rPr>
          <w:color w:val="auto"/>
        </w:rPr>
        <w:instrText xml:space="preserve"> PAGEREF _Toc8694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2255E184">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_Toc18060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竞争性比选响应文件的递交及相关事宜</w:t>
      </w:r>
      <w:r>
        <w:rPr>
          <w:color w:val="auto"/>
        </w:rPr>
        <w:tab/>
      </w:r>
      <w:r>
        <w:rPr>
          <w:color w:val="auto"/>
        </w:rPr>
        <w:fldChar w:fldCharType="begin"/>
      </w:r>
      <w:r>
        <w:rPr>
          <w:color w:val="auto"/>
        </w:rPr>
        <w:instrText xml:space="preserve"> PAGEREF _Toc18060 \h </w:instrText>
      </w:r>
      <w:r>
        <w:rPr>
          <w:color w:val="auto"/>
        </w:rPr>
        <w:fldChar w:fldCharType="separate"/>
      </w:r>
      <w:r>
        <w:rPr>
          <w:color w:val="auto"/>
        </w:rPr>
        <w:t>1</w:t>
      </w:r>
      <w:r>
        <w:rPr>
          <w:color w:val="auto"/>
        </w:rPr>
        <w:fldChar w:fldCharType="end"/>
      </w:r>
      <w:r>
        <w:rPr>
          <w:rFonts w:hint="eastAsia" w:ascii="宋体" w:hAnsi="宋体" w:cs="宋体"/>
          <w:bCs/>
          <w:caps/>
          <w:color w:val="auto"/>
          <w:highlight w:val="none"/>
        </w:rPr>
        <w:fldChar w:fldCharType="end"/>
      </w:r>
    </w:p>
    <w:p w14:paraId="0EAEEB48">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_Toc28867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r>
        <w:rPr>
          <w:color w:val="auto"/>
        </w:rPr>
        <w:tab/>
      </w:r>
      <w:r>
        <w:rPr>
          <w:color w:val="auto"/>
        </w:rPr>
        <w:fldChar w:fldCharType="begin"/>
      </w:r>
      <w:r>
        <w:rPr>
          <w:color w:val="auto"/>
        </w:rPr>
        <w:instrText xml:space="preserve"> PAGEREF _Toc28867 \h </w:instrText>
      </w:r>
      <w:r>
        <w:rPr>
          <w:color w:val="auto"/>
        </w:rPr>
        <w:fldChar w:fldCharType="separate"/>
      </w:r>
      <w:r>
        <w:rPr>
          <w:color w:val="auto"/>
        </w:rPr>
        <w:t>2</w:t>
      </w:r>
      <w:r>
        <w:rPr>
          <w:color w:val="auto"/>
        </w:rPr>
        <w:fldChar w:fldCharType="end"/>
      </w:r>
      <w:r>
        <w:rPr>
          <w:rFonts w:hint="eastAsia" w:ascii="宋体" w:hAnsi="宋体" w:cs="宋体"/>
          <w:bCs/>
          <w:caps/>
          <w:color w:val="auto"/>
          <w:highlight w:val="none"/>
        </w:rPr>
        <w:fldChar w:fldCharType="end"/>
      </w:r>
    </w:p>
    <w:p w14:paraId="5F09EBD2">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_Toc10659 </w:instrText>
      </w:r>
      <w:r>
        <w:rPr>
          <w:rFonts w:hint="eastAsia" w:ascii="宋体" w:hAnsi="宋体" w:cs="宋体"/>
          <w:bCs/>
          <w:caps/>
          <w:color w:val="auto"/>
          <w:highlight w:val="none"/>
        </w:rPr>
        <w:fldChar w:fldCharType="separate"/>
      </w:r>
      <w:r>
        <w:rPr>
          <w:rFonts w:hint="eastAsia" w:ascii="宋体" w:hAnsi="宋体" w:cs="宋体"/>
          <w:color w:val="auto"/>
          <w:highlight w:val="none"/>
        </w:rPr>
        <w:t>第二章 报价人须知</w:t>
      </w:r>
      <w:r>
        <w:rPr>
          <w:color w:val="auto"/>
        </w:rPr>
        <w:tab/>
      </w:r>
      <w:r>
        <w:rPr>
          <w:color w:val="auto"/>
        </w:rPr>
        <w:fldChar w:fldCharType="begin"/>
      </w:r>
      <w:r>
        <w:rPr>
          <w:color w:val="auto"/>
        </w:rPr>
        <w:instrText xml:space="preserve"> PAGEREF _Toc10659 \h </w:instrText>
      </w:r>
      <w:r>
        <w:rPr>
          <w:color w:val="auto"/>
        </w:rPr>
        <w:fldChar w:fldCharType="separate"/>
      </w:r>
      <w:r>
        <w:rPr>
          <w:color w:val="auto"/>
        </w:rPr>
        <w:t>3</w:t>
      </w:r>
      <w:r>
        <w:rPr>
          <w:color w:val="auto"/>
        </w:rPr>
        <w:fldChar w:fldCharType="end"/>
      </w:r>
      <w:r>
        <w:rPr>
          <w:rFonts w:hint="eastAsia" w:ascii="宋体" w:hAnsi="宋体" w:cs="宋体"/>
          <w:bCs/>
          <w:caps/>
          <w:color w:val="auto"/>
          <w:highlight w:val="none"/>
        </w:rPr>
        <w:fldChar w:fldCharType="end"/>
      </w:r>
    </w:p>
    <w:p w14:paraId="6699F911">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_Toc6693 </w:instrText>
      </w:r>
      <w:r>
        <w:rPr>
          <w:rFonts w:hint="eastAsia" w:ascii="宋体" w:hAnsi="宋体" w:cs="宋体"/>
          <w:bCs/>
          <w:caps/>
          <w:color w:val="auto"/>
          <w:highlight w:val="none"/>
        </w:rPr>
        <w:fldChar w:fldCharType="separate"/>
      </w:r>
      <w:r>
        <w:rPr>
          <w:rFonts w:hint="eastAsia" w:ascii="宋体" w:hAnsi="宋体" w:eastAsia="宋体" w:cs="宋体"/>
          <w:color w:val="auto"/>
          <w:szCs w:val="28"/>
          <w:highlight w:val="none"/>
        </w:rPr>
        <w:t xml:space="preserve">附录1  </w:t>
      </w:r>
      <w:r>
        <w:rPr>
          <w:rFonts w:hint="eastAsia" w:ascii="宋体" w:hAnsi="宋体" w:eastAsia="宋体" w:cs="宋体"/>
          <w:bCs w:val="0"/>
          <w:color w:val="auto"/>
          <w:szCs w:val="28"/>
          <w:highlight w:val="none"/>
        </w:rPr>
        <w:t>报价人资格要求</w:t>
      </w:r>
      <w:r>
        <w:rPr>
          <w:color w:val="auto"/>
        </w:rPr>
        <w:tab/>
      </w:r>
      <w:r>
        <w:rPr>
          <w:color w:val="auto"/>
        </w:rPr>
        <w:fldChar w:fldCharType="begin"/>
      </w:r>
      <w:r>
        <w:rPr>
          <w:color w:val="auto"/>
        </w:rPr>
        <w:instrText xml:space="preserve"> PAGEREF _Toc6693 \h </w:instrText>
      </w:r>
      <w:r>
        <w:rPr>
          <w:color w:val="auto"/>
        </w:rPr>
        <w:fldChar w:fldCharType="separate"/>
      </w:r>
      <w:r>
        <w:rPr>
          <w:color w:val="auto"/>
        </w:rPr>
        <w:t>10</w:t>
      </w:r>
      <w:r>
        <w:rPr>
          <w:color w:val="auto"/>
        </w:rPr>
        <w:fldChar w:fldCharType="end"/>
      </w:r>
      <w:r>
        <w:rPr>
          <w:rFonts w:hint="eastAsia" w:ascii="宋体" w:hAnsi="宋体" w:cs="宋体"/>
          <w:bCs/>
          <w:caps/>
          <w:color w:val="auto"/>
          <w:highlight w:val="none"/>
        </w:rPr>
        <w:fldChar w:fldCharType="end"/>
      </w:r>
    </w:p>
    <w:p w14:paraId="4EDC60AD">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_Toc29226 </w:instrText>
      </w:r>
      <w:r>
        <w:rPr>
          <w:rFonts w:hint="eastAsia" w:ascii="宋体" w:hAnsi="宋体" w:cs="宋体"/>
          <w:bCs/>
          <w:caps/>
          <w:color w:val="auto"/>
          <w:highlight w:val="none"/>
        </w:rPr>
        <w:fldChar w:fldCharType="separate"/>
      </w:r>
      <w:r>
        <w:rPr>
          <w:rFonts w:hint="eastAsia"/>
          <w:color w:val="auto"/>
        </w:rPr>
        <w:t xml:space="preserve">第三章 </w:t>
      </w:r>
      <w:r>
        <w:rPr>
          <w:rFonts w:hint="eastAsia" w:ascii="宋体" w:hAnsi="宋体" w:cs="宋体"/>
          <w:color w:val="auto"/>
          <w:highlight w:val="none"/>
        </w:rPr>
        <w:t>评标办法（经评审的最低投标价法）</w:t>
      </w:r>
      <w:r>
        <w:rPr>
          <w:color w:val="auto"/>
        </w:rPr>
        <w:tab/>
      </w:r>
      <w:r>
        <w:rPr>
          <w:color w:val="auto"/>
        </w:rPr>
        <w:fldChar w:fldCharType="begin"/>
      </w:r>
      <w:r>
        <w:rPr>
          <w:color w:val="auto"/>
        </w:rPr>
        <w:instrText xml:space="preserve"> PAGEREF _Toc29226 \h </w:instrText>
      </w:r>
      <w:r>
        <w:rPr>
          <w:color w:val="auto"/>
        </w:rPr>
        <w:fldChar w:fldCharType="separate"/>
      </w:r>
      <w:r>
        <w:rPr>
          <w:color w:val="auto"/>
        </w:rPr>
        <w:t>12</w:t>
      </w:r>
      <w:r>
        <w:rPr>
          <w:color w:val="auto"/>
        </w:rPr>
        <w:fldChar w:fldCharType="end"/>
      </w:r>
      <w:r>
        <w:rPr>
          <w:rFonts w:hint="eastAsia" w:ascii="宋体" w:hAnsi="宋体" w:cs="宋体"/>
          <w:bCs/>
          <w:caps/>
          <w:color w:val="auto"/>
          <w:highlight w:val="none"/>
        </w:rPr>
        <w:fldChar w:fldCharType="end"/>
      </w:r>
    </w:p>
    <w:p w14:paraId="6911F821">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_Toc15534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1. 评标方法</w:t>
      </w:r>
      <w:r>
        <w:rPr>
          <w:color w:val="auto"/>
        </w:rPr>
        <w:tab/>
      </w:r>
      <w:r>
        <w:rPr>
          <w:color w:val="auto"/>
        </w:rPr>
        <w:fldChar w:fldCharType="begin"/>
      </w:r>
      <w:r>
        <w:rPr>
          <w:color w:val="auto"/>
        </w:rPr>
        <w:instrText xml:space="preserve"> PAGEREF _Toc15534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1806F8BF">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_Toc14299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rPr>
        <w:t>2. 评审标准</w:t>
      </w:r>
      <w:r>
        <w:rPr>
          <w:color w:val="auto"/>
        </w:rPr>
        <w:tab/>
      </w:r>
      <w:r>
        <w:rPr>
          <w:color w:val="auto"/>
        </w:rPr>
        <w:fldChar w:fldCharType="begin"/>
      </w:r>
      <w:r>
        <w:rPr>
          <w:color w:val="auto"/>
        </w:rPr>
        <w:instrText xml:space="preserve"> PAGEREF _Toc14299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340CBD76">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_Toc32470 </w:instrText>
      </w:r>
      <w:r>
        <w:rPr>
          <w:rFonts w:hint="eastAsia" w:ascii="宋体" w:hAnsi="宋体" w:cs="宋体"/>
          <w:bCs/>
          <w:caps/>
          <w:color w:val="auto"/>
          <w:highlight w:val="none"/>
        </w:rPr>
        <w:fldChar w:fldCharType="separate"/>
      </w:r>
      <w:r>
        <w:rPr>
          <w:rFonts w:hint="eastAsia" w:ascii="宋体" w:hAnsi="宋体" w:cs="宋体"/>
          <w:color w:val="auto"/>
          <w:szCs w:val="21"/>
          <w:highlight w:val="none"/>
          <w:lang w:val="en-US" w:eastAsia="zh-CN"/>
        </w:rPr>
        <w:t>3. 评标程序</w:t>
      </w:r>
      <w:r>
        <w:rPr>
          <w:color w:val="auto"/>
        </w:rPr>
        <w:tab/>
      </w:r>
      <w:r>
        <w:rPr>
          <w:color w:val="auto"/>
        </w:rPr>
        <w:fldChar w:fldCharType="begin"/>
      </w:r>
      <w:r>
        <w:rPr>
          <w:color w:val="auto"/>
        </w:rPr>
        <w:instrText xml:space="preserve"> PAGEREF _Toc32470 \h </w:instrText>
      </w:r>
      <w:r>
        <w:rPr>
          <w:color w:val="auto"/>
        </w:rPr>
        <w:fldChar w:fldCharType="separate"/>
      </w:r>
      <w:r>
        <w:rPr>
          <w:color w:val="auto"/>
        </w:rPr>
        <w:t>14</w:t>
      </w:r>
      <w:r>
        <w:rPr>
          <w:color w:val="auto"/>
        </w:rPr>
        <w:fldChar w:fldCharType="end"/>
      </w:r>
      <w:r>
        <w:rPr>
          <w:rFonts w:hint="eastAsia" w:ascii="宋体" w:hAnsi="宋体" w:cs="宋体"/>
          <w:bCs/>
          <w:caps/>
          <w:color w:val="auto"/>
          <w:highlight w:val="none"/>
        </w:rPr>
        <w:fldChar w:fldCharType="end"/>
      </w:r>
    </w:p>
    <w:p w14:paraId="06D9D9C2">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_Toc26193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color w:val="auto"/>
        </w:rPr>
        <w:tab/>
      </w:r>
      <w:r>
        <w:rPr>
          <w:color w:val="auto"/>
        </w:rPr>
        <w:fldChar w:fldCharType="begin"/>
      </w:r>
      <w:r>
        <w:rPr>
          <w:color w:val="auto"/>
        </w:rPr>
        <w:instrText xml:space="preserve"> PAGEREF _Toc26193 \h </w:instrText>
      </w:r>
      <w:r>
        <w:rPr>
          <w:color w:val="auto"/>
        </w:rPr>
        <w:fldChar w:fldCharType="separate"/>
      </w:r>
      <w:r>
        <w:rPr>
          <w:color w:val="auto"/>
        </w:rPr>
        <w:t>16</w:t>
      </w:r>
      <w:r>
        <w:rPr>
          <w:color w:val="auto"/>
        </w:rPr>
        <w:fldChar w:fldCharType="end"/>
      </w:r>
      <w:r>
        <w:rPr>
          <w:rFonts w:hint="eastAsia" w:ascii="宋体" w:hAnsi="宋体" w:cs="宋体"/>
          <w:bCs/>
          <w:caps/>
          <w:color w:val="auto"/>
          <w:highlight w:val="none"/>
        </w:rPr>
        <w:fldChar w:fldCharType="end"/>
      </w:r>
    </w:p>
    <w:p w14:paraId="7B3ADF23">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_Toc2248 </w:instrText>
      </w:r>
      <w:r>
        <w:rPr>
          <w:rFonts w:hint="eastAsia" w:ascii="宋体" w:hAnsi="宋体" w:cs="宋体"/>
          <w:bCs/>
          <w:caps/>
          <w:color w:val="auto"/>
          <w:highlight w:val="none"/>
        </w:rPr>
        <w:fldChar w:fldCharType="separate"/>
      </w:r>
      <w:r>
        <w:rPr>
          <w:rFonts w:hint="eastAsia" w:ascii="宋体" w:hAnsi="宋体" w:eastAsia="宋体" w:cs="宋体"/>
          <w:bCs/>
          <w:color w:val="auto"/>
          <w:kern w:val="44"/>
          <w:szCs w:val="44"/>
          <w:highlight w:val="none"/>
          <w:lang w:val="en-US" w:eastAsia="zh-CN" w:bidi="ar-SA"/>
        </w:rPr>
        <w:t>第五章  合同范本</w:t>
      </w:r>
      <w:r>
        <w:rPr>
          <w:color w:val="auto"/>
        </w:rPr>
        <w:tab/>
      </w:r>
      <w:r>
        <w:rPr>
          <w:color w:val="auto"/>
        </w:rPr>
        <w:fldChar w:fldCharType="begin"/>
      </w:r>
      <w:r>
        <w:rPr>
          <w:color w:val="auto"/>
        </w:rPr>
        <w:instrText xml:space="preserve"> PAGEREF _Toc2248 \h </w:instrText>
      </w:r>
      <w:r>
        <w:rPr>
          <w:color w:val="auto"/>
        </w:rPr>
        <w:fldChar w:fldCharType="separate"/>
      </w:r>
      <w:r>
        <w:rPr>
          <w:color w:val="auto"/>
        </w:rPr>
        <w:t>17</w:t>
      </w:r>
      <w:r>
        <w:rPr>
          <w:color w:val="auto"/>
        </w:rPr>
        <w:fldChar w:fldCharType="end"/>
      </w:r>
      <w:r>
        <w:rPr>
          <w:rFonts w:hint="eastAsia" w:ascii="宋体" w:hAnsi="宋体" w:cs="宋体"/>
          <w:bCs/>
          <w:caps/>
          <w:color w:val="auto"/>
          <w:highlight w:val="none"/>
        </w:rPr>
        <w:fldChar w:fldCharType="end"/>
      </w:r>
    </w:p>
    <w:p w14:paraId="3953D0E9">
      <w:pPr>
        <w:pStyle w:val="28"/>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_Toc11294 </w:instrText>
      </w:r>
      <w:r>
        <w:rPr>
          <w:rFonts w:hint="eastAsia" w:ascii="宋体" w:hAnsi="宋体" w:cs="宋体"/>
          <w:bCs/>
          <w:caps/>
          <w:color w:val="auto"/>
          <w:highlight w:val="none"/>
        </w:rPr>
        <w:fldChar w:fldCharType="separate"/>
      </w:r>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r>
        <w:rPr>
          <w:color w:val="auto"/>
        </w:rPr>
        <w:tab/>
      </w:r>
      <w:r>
        <w:rPr>
          <w:color w:val="auto"/>
        </w:rPr>
        <w:fldChar w:fldCharType="begin"/>
      </w:r>
      <w:r>
        <w:rPr>
          <w:color w:val="auto"/>
        </w:rPr>
        <w:instrText xml:space="preserve"> PAGEREF _Toc11294 \h </w:instrText>
      </w:r>
      <w:r>
        <w:rPr>
          <w:color w:val="auto"/>
        </w:rPr>
        <w:fldChar w:fldCharType="separate"/>
      </w:r>
      <w:r>
        <w:rPr>
          <w:color w:val="auto"/>
        </w:rPr>
        <w:t>22</w:t>
      </w:r>
      <w:r>
        <w:rPr>
          <w:color w:val="auto"/>
        </w:rPr>
        <w:fldChar w:fldCharType="end"/>
      </w:r>
      <w:r>
        <w:rPr>
          <w:rFonts w:hint="eastAsia" w:ascii="宋体" w:hAnsi="宋体" w:cs="宋体"/>
          <w:bCs/>
          <w:caps/>
          <w:color w:val="auto"/>
          <w:highlight w:val="none"/>
        </w:rPr>
        <w:fldChar w:fldCharType="end"/>
      </w:r>
    </w:p>
    <w:p w14:paraId="632388CB">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_Toc8599 </w:instrText>
      </w:r>
      <w:r>
        <w:rPr>
          <w:rFonts w:hint="eastAsia" w:ascii="宋体" w:hAnsi="宋体" w:cs="宋体"/>
          <w:bCs/>
          <w:caps/>
          <w:color w:val="auto"/>
          <w:highlight w:val="none"/>
        </w:rPr>
        <w:fldChar w:fldCharType="separate"/>
      </w:r>
      <w:r>
        <w:rPr>
          <w:rFonts w:hint="eastAsia" w:ascii="宋体" w:hAnsi="宋体" w:eastAsia="宋体" w:cs="宋体"/>
          <w:color w:val="auto"/>
        </w:rPr>
        <w:t xml:space="preserve">一、 </w:t>
      </w:r>
      <w:r>
        <w:rPr>
          <w:rFonts w:hint="eastAsia" w:ascii="宋体" w:hAnsi="宋体" w:eastAsia="宋体" w:cs="宋体"/>
          <w:color w:val="auto"/>
          <w:highlight w:val="none"/>
        </w:rPr>
        <w:t>竞争比选响应声明书</w:t>
      </w:r>
      <w:r>
        <w:rPr>
          <w:color w:val="auto"/>
        </w:rPr>
        <w:tab/>
      </w:r>
      <w:r>
        <w:rPr>
          <w:color w:val="auto"/>
        </w:rPr>
        <w:fldChar w:fldCharType="begin"/>
      </w:r>
      <w:r>
        <w:rPr>
          <w:color w:val="auto"/>
        </w:rPr>
        <w:instrText xml:space="preserve"> PAGEREF _Toc8599 \h </w:instrText>
      </w:r>
      <w:r>
        <w:rPr>
          <w:color w:val="auto"/>
        </w:rPr>
        <w:fldChar w:fldCharType="separate"/>
      </w:r>
      <w:r>
        <w:rPr>
          <w:color w:val="auto"/>
        </w:rPr>
        <w:t>25</w:t>
      </w:r>
      <w:r>
        <w:rPr>
          <w:color w:val="auto"/>
        </w:rPr>
        <w:fldChar w:fldCharType="end"/>
      </w:r>
      <w:r>
        <w:rPr>
          <w:rFonts w:hint="eastAsia" w:ascii="宋体" w:hAnsi="宋体" w:cs="宋体"/>
          <w:bCs/>
          <w:caps/>
          <w:color w:val="auto"/>
          <w:highlight w:val="none"/>
        </w:rPr>
        <w:fldChar w:fldCharType="end"/>
      </w:r>
    </w:p>
    <w:p w14:paraId="0DACBD87">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_Toc25515 </w:instrText>
      </w:r>
      <w:r>
        <w:rPr>
          <w:rFonts w:hint="eastAsia" w:ascii="宋体" w:hAnsi="宋体" w:cs="宋体"/>
          <w:bCs/>
          <w:caps/>
          <w:color w:val="auto"/>
          <w:highlight w:val="none"/>
        </w:rPr>
        <w:fldChar w:fldCharType="separate"/>
      </w:r>
      <w:r>
        <w:rPr>
          <w:rFonts w:hint="eastAsia" w:ascii="宋体" w:hAnsi="宋体" w:eastAsia="宋体" w:cs="宋体"/>
          <w:color w:val="auto"/>
        </w:rPr>
        <w:t xml:space="preserve">二、 </w:t>
      </w:r>
      <w:r>
        <w:rPr>
          <w:rFonts w:hint="eastAsia" w:ascii="宋体" w:hAnsi="宋体" w:eastAsia="宋体" w:cs="宋体"/>
          <w:color w:val="auto"/>
          <w:highlight w:val="none"/>
        </w:rPr>
        <w:t>法定代表人身份证明或法定代表人授权委托书</w:t>
      </w:r>
      <w:r>
        <w:rPr>
          <w:color w:val="auto"/>
        </w:rPr>
        <w:tab/>
      </w:r>
      <w:r>
        <w:rPr>
          <w:color w:val="auto"/>
        </w:rPr>
        <w:fldChar w:fldCharType="begin"/>
      </w:r>
      <w:r>
        <w:rPr>
          <w:color w:val="auto"/>
        </w:rPr>
        <w:instrText xml:space="preserve"> PAGEREF _Toc25515 \h </w:instrText>
      </w:r>
      <w:r>
        <w:rPr>
          <w:color w:val="auto"/>
        </w:rPr>
        <w:fldChar w:fldCharType="separate"/>
      </w:r>
      <w:r>
        <w:rPr>
          <w:color w:val="auto"/>
        </w:rPr>
        <w:t>26</w:t>
      </w:r>
      <w:r>
        <w:rPr>
          <w:color w:val="auto"/>
        </w:rPr>
        <w:fldChar w:fldCharType="end"/>
      </w:r>
      <w:r>
        <w:rPr>
          <w:rFonts w:hint="eastAsia" w:ascii="宋体" w:hAnsi="宋体" w:cs="宋体"/>
          <w:bCs/>
          <w:caps/>
          <w:color w:val="auto"/>
          <w:highlight w:val="none"/>
        </w:rPr>
        <w:fldChar w:fldCharType="end"/>
      </w:r>
    </w:p>
    <w:p w14:paraId="5EE21F56">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_Toc13095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三、报价一览表</w:t>
      </w:r>
      <w:r>
        <w:rPr>
          <w:color w:val="auto"/>
        </w:rPr>
        <w:tab/>
      </w:r>
      <w:r>
        <w:rPr>
          <w:color w:val="auto"/>
        </w:rPr>
        <w:fldChar w:fldCharType="begin"/>
      </w:r>
      <w:r>
        <w:rPr>
          <w:color w:val="auto"/>
        </w:rPr>
        <w:instrText xml:space="preserve"> PAGEREF _Toc13095 \h </w:instrText>
      </w:r>
      <w:r>
        <w:rPr>
          <w:color w:val="auto"/>
        </w:rPr>
        <w:fldChar w:fldCharType="separate"/>
      </w:r>
      <w:r>
        <w:rPr>
          <w:color w:val="auto"/>
        </w:rPr>
        <w:t>28</w:t>
      </w:r>
      <w:r>
        <w:rPr>
          <w:color w:val="auto"/>
        </w:rPr>
        <w:fldChar w:fldCharType="end"/>
      </w:r>
      <w:r>
        <w:rPr>
          <w:rFonts w:hint="eastAsia" w:ascii="宋体" w:hAnsi="宋体" w:cs="宋体"/>
          <w:bCs/>
          <w:caps/>
          <w:color w:val="auto"/>
          <w:highlight w:val="none"/>
        </w:rPr>
        <w:fldChar w:fldCharType="end"/>
      </w:r>
    </w:p>
    <w:p w14:paraId="123E38E0">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_Toc19454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四、资格审查资料</w:t>
      </w:r>
      <w:r>
        <w:rPr>
          <w:color w:val="auto"/>
        </w:rPr>
        <w:tab/>
      </w:r>
      <w:r>
        <w:rPr>
          <w:color w:val="auto"/>
        </w:rPr>
        <w:fldChar w:fldCharType="begin"/>
      </w:r>
      <w:r>
        <w:rPr>
          <w:color w:val="auto"/>
        </w:rPr>
        <w:instrText xml:space="preserve"> PAGEREF _Toc19454 \h </w:instrText>
      </w:r>
      <w:r>
        <w:rPr>
          <w:color w:val="auto"/>
        </w:rPr>
        <w:fldChar w:fldCharType="separate"/>
      </w:r>
      <w:r>
        <w:rPr>
          <w:color w:val="auto"/>
        </w:rPr>
        <w:t>29</w:t>
      </w:r>
      <w:r>
        <w:rPr>
          <w:color w:val="auto"/>
        </w:rPr>
        <w:fldChar w:fldCharType="end"/>
      </w:r>
      <w:r>
        <w:rPr>
          <w:rFonts w:hint="eastAsia" w:ascii="宋体" w:hAnsi="宋体" w:cs="宋体"/>
          <w:bCs/>
          <w:caps/>
          <w:color w:val="auto"/>
          <w:highlight w:val="none"/>
        </w:rPr>
        <w:fldChar w:fldCharType="end"/>
      </w:r>
    </w:p>
    <w:p w14:paraId="70F88B55">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_Toc21066 </w:instrText>
      </w:r>
      <w:r>
        <w:rPr>
          <w:rFonts w:hint="eastAsia" w:ascii="宋体" w:hAnsi="宋体" w:cs="宋体"/>
          <w:bCs/>
          <w:caps/>
          <w:color w:val="auto"/>
          <w:highlight w:val="none"/>
        </w:rPr>
        <w:fldChar w:fldCharType="separate"/>
      </w:r>
      <w:r>
        <w:rPr>
          <w:rFonts w:hint="eastAsia" w:ascii="宋体" w:hAnsi="宋体" w:eastAsia="宋体" w:cs="宋体"/>
          <w:color w:val="auto"/>
          <w:highlight w:val="none"/>
        </w:rPr>
        <w:t>五、报价人承诺</w:t>
      </w:r>
      <w:r>
        <w:rPr>
          <w:color w:val="auto"/>
        </w:rPr>
        <w:tab/>
      </w:r>
      <w:r>
        <w:rPr>
          <w:color w:val="auto"/>
        </w:rPr>
        <w:fldChar w:fldCharType="begin"/>
      </w:r>
      <w:r>
        <w:rPr>
          <w:color w:val="auto"/>
        </w:rPr>
        <w:instrText xml:space="preserve"> PAGEREF _Toc21066 \h </w:instrText>
      </w:r>
      <w:r>
        <w:rPr>
          <w:color w:val="auto"/>
        </w:rPr>
        <w:fldChar w:fldCharType="separate"/>
      </w:r>
      <w:r>
        <w:rPr>
          <w:color w:val="auto"/>
        </w:rPr>
        <w:t>32</w:t>
      </w:r>
      <w:r>
        <w:rPr>
          <w:color w:val="auto"/>
        </w:rPr>
        <w:fldChar w:fldCharType="end"/>
      </w:r>
      <w:r>
        <w:rPr>
          <w:rFonts w:hint="eastAsia" w:ascii="宋体" w:hAnsi="宋体" w:cs="宋体"/>
          <w:bCs/>
          <w:caps/>
          <w:color w:val="auto"/>
          <w:highlight w:val="none"/>
        </w:rPr>
        <w:fldChar w:fldCharType="end"/>
      </w:r>
    </w:p>
    <w:p w14:paraId="609B6E5D">
      <w:pPr>
        <w:pStyle w:val="34"/>
        <w:tabs>
          <w:tab w:val="right" w:leader="dot" w:pos="9638"/>
        </w:tabs>
        <w:rPr>
          <w:color w:val="auto"/>
        </w:rPr>
      </w:pPr>
      <w:r>
        <w:rPr>
          <w:rFonts w:hint="eastAsia" w:ascii="宋体" w:hAnsi="宋体" w:cs="宋体"/>
          <w:bCs/>
          <w:caps/>
          <w:color w:val="auto"/>
          <w:highlight w:val="none"/>
        </w:rPr>
        <w:fldChar w:fldCharType="begin"/>
      </w:r>
      <w:r>
        <w:rPr>
          <w:rFonts w:hint="eastAsia" w:ascii="宋体" w:hAnsi="宋体" w:cs="宋体"/>
          <w:bCs/>
          <w:caps/>
          <w:color w:val="auto"/>
          <w:highlight w:val="none"/>
        </w:rPr>
        <w:instrText xml:space="preserve"> HYPERLINK \l _Toc22750 </w:instrText>
      </w:r>
      <w:r>
        <w:rPr>
          <w:rFonts w:hint="eastAsia" w:ascii="宋体" w:hAnsi="宋体" w:cs="宋体"/>
          <w:bCs/>
          <w:caps/>
          <w:color w:val="auto"/>
          <w:highlight w:val="none"/>
        </w:rPr>
        <w:fldChar w:fldCharType="separate"/>
      </w:r>
      <w:r>
        <w:rPr>
          <w:rFonts w:hint="eastAsia" w:ascii="宋体" w:hAnsi="宋体" w:eastAsia="宋体" w:cs="宋体"/>
          <w:bCs/>
          <w:color w:val="auto"/>
          <w:kern w:val="0"/>
          <w:szCs w:val="32"/>
          <w:highlight w:val="none"/>
          <w:lang w:val="en-US" w:eastAsia="zh-CN" w:bidi="ar-SA"/>
        </w:rPr>
        <w:t>六、报价人其他资料</w:t>
      </w:r>
      <w:r>
        <w:rPr>
          <w:color w:val="auto"/>
        </w:rPr>
        <w:tab/>
      </w:r>
      <w:r>
        <w:rPr>
          <w:color w:val="auto"/>
        </w:rPr>
        <w:fldChar w:fldCharType="begin"/>
      </w:r>
      <w:r>
        <w:rPr>
          <w:color w:val="auto"/>
        </w:rPr>
        <w:instrText xml:space="preserve"> PAGEREF _Toc22750 \h </w:instrText>
      </w:r>
      <w:r>
        <w:rPr>
          <w:color w:val="auto"/>
        </w:rPr>
        <w:fldChar w:fldCharType="separate"/>
      </w:r>
      <w:r>
        <w:rPr>
          <w:color w:val="auto"/>
        </w:rPr>
        <w:t>33</w:t>
      </w:r>
      <w:r>
        <w:rPr>
          <w:color w:val="auto"/>
        </w:rPr>
        <w:fldChar w:fldCharType="end"/>
      </w:r>
      <w:r>
        <w:rPr>
          <w:rFonts w:hint="eastAsia" w:ascii="宋体" w:hAnsi="宋体" w:cs="宋体"/>
          <w:bCs/>
          <w:caps/>
          <w:color w:val="auto"/>
          <w:highlight w:val="none"/>
        </w:rPr>
        <w:fldChar w:fldCharType="end"/>
      </w:r>
    </w:p>
    <w:p w14:paraId="26E6E4D5">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5" w:name="_Toc152045511"/>
      <w:bookmarkStart w:id="6" w:name="_Toc507319890"/>
      <w:bookmarkStart w:id="7" w:name="_Toc144974479"/>
      <w:bookmarkStart w:id="8" w:name="_Toc2000404"/>
      <w:bookmarkStart w:id="9" w:name="_Toc246996900"/>
      <w:bookmarkStart w:id="10" w:name="_Toc246996157"/>
      <w:bookmarkStart w:id="11" w:name="_Toc179632527"/>
      <w:bookmarkStart w:id="12" w:name="_Toc247085671"/>
      <w:bookmarkStart w:id="13" w:name="_Toc152042287"/>
      <w:bookmarkStart w:id="14" w:name="_Toc247096243"/>
    </w:p>
    <w:p w14:paraId="40569036">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15" w:name="_Toc29643"/>
      <w:r>
        <w:rPr>
          <w:rFonts w:hint="eastAsia" w:ascii="宋体" w:hAnsi="宋体" w:eastAsia="宋体" w:cs="宋体"/>
          <w:b/>
          <w:bCs/>
          <w:smallCaps w:val="0"/>
          <w:color w:val="auto"/>
          <w:kern w:val="44"/>
          <w:sz w:val="44"/>
          <w:szCs w:val="44"/>
          <w:highlight w:val="none"/>
          <w:lang w:val="en-US" w:eastAsia="zh-CN" w:bidi="ar-SA"/>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eastAsia="宋体" w:cs="宋体"/>
          <w:b/>
          <w:bCs/>
          <w:smallCaps w:val="0"/>
          <w:color w:val="auto"/>
          <w:kern w:val="44"/>
          <w:sz w:val="44"/>
          <w:szCs w:val="44"/>
          <w:highlight w:val="none"/>
          <w:lang w:val="en-US" w:eastAsia="zh-CN" w:bidi="ar-SA"/>
        </w:rPr>
        <w:t>比选公告</w:t>
      </w:r>
      <w:bookmarkEnd w:id="15"/>
    </w:p>
    <w:p w14:paraId="47B37110">
      <w:pPr>
        <w:spacing w:line="440" w:lineRule="exact"/>
        <w:jc w:val="center"/>
        <w:rPr>
          <w:rFonts w:ascii="宋体" w:hAnsi="宋体" w:cs="宋体"/>
          <w:b/>
          <w:color w:val="auto"/>
          <w:sz w:val="28"/>
          <w:szCs w:val="28"/>
          <w:highlight w:val="none"/>
        </w:rPr>
      </w:pPr>
    </w:p>
    <w:p w14:paraId="3CE5044B">
      <w:pPr>
        <w:pStyle w:val="4"/>
        <w:spacing w:before="0" w:after="0" w:line="360" w:lineRule="auto"/>
        <w:rPr>
          <w:rFonts w:ascii="宋体" w:hAnsi="宋体" w:eastAsia="宋体" w:cs="宋体"/>
          <w:color w:val="auto"/>
          <w:highlight w:val="none"/>
        </w:rPr>
      </w:pPr>
      <w:bookmarkStart w:id="16" w:name="_Toc6549"/>
      <w:bookmarkStart w:id="17" w:name="_Toc179632528"/>
      <w:bookmarkStart w:id="18" w:name="_Toc11329213"/>
      <w:bookmarkStart w:id="19" w:name="_Toc246996158"/>
      <w:bookmarkStart w:id="20" w:name="_Toc247085672"/>
      <w:bookmarkStart w:id="21" w:name="_Toc24874"/>
      <w:bookmarkStart w:id="22" w:name="_Toc27743"/>
      <w:bookmarkStart w:id="23" w:name="_Toc152045512"/>
      <w:bookmarkStart w:id="24" w:name="_Toc152042288"/>
      <w:bookmarkStart w:id="25" w:name="_Toc10076"/>
      <w:bookmarkStart w:id="26" w:name="_Toc246996901"/>
      <w:bookmarkStart w:id="27" w:name="_Toc144974480"/>
      <w:bookmarkStart w:id="28" w:name="_Toc507319891"/>
      <w:r>
        <w:rPr>
          <w:rFonts w:hint="eastAsia" w:ascii="宋体" w:hAnsi="宋体" w:eastAsia="宋体" w:cs="宋体"/>
          <w:color w:val="auto"/>
          <w:highlight w:val="none"/>
        </w:rPr>
        <w:t>1. 比选条件</w:t>
      </w:r>
      <w:bookmarkEnd w:id="16"/>
      <w:bookmarkEnd w:id="17"/>
      <w:bookmarkEnd w:id="18"/>
      <w:bookmarkEnd w:id="19"/>
      <w:bookmarkEnd w:id="20"/>
      <w:bookmarkEnd w:id="21"/>
      <w:bookmarkEnd w:id="22"/>
      <w:bookmarkEnd w:id="23"/>
      <w:bookmarkEnd w:id="24"/>
      <w:bookmarkEnd w:id="25"/>
      <w:bookmarkEnd w:id="26"/>
      <w:bookmarkEnd w:id="27"/>
      <w:bookmarkEnd w:id="28"/>
    </w:p>
    <w:p w14:paraId="57DC17A6">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2026年东北数智运维中心食材配送服务采购 </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14:paraId="6DB1702A">
      <w:pPr>
        <w:pStyle w:val="4"/>
        <w:spacing w:before="120" w:after="0" w:line="360" w:lineRule="auto"/>
        <w:rPr>
          <w:rFonts w:ascii="宋体" w:hAnsi="宋体" w:eastAsia="宋体" w:cs="宋体"/>
          <w:color w:val="auto"/>
          <w:highlight w:val="none"/>
        </w:rPr>
      </w:pPr>
      <w:bookmarkStart w:id="29" w:name="_Toc247085673"/>
      <w:bookmarkStart w:id="30" w:name="_Toc1258"/>
      <w:bookmarkStart w:id="31" w:name="_Toc179632529"/>
      <w:bookmarkStart w:id="32" w:name="_Toc10952"/>
      <w:bookmarkStart w:id="33" w:name="_Toc21343"/>
      <w:bookmarkStart w:id="34" w:name="_Toc11329214"/>
      <w:bookmarkStart w:id="35" w:name="_Toc152042289"/>
      <w:bookmarkStart w:id="36" w:name="_Toc246996902"/>
      <w:bookmarkStart w:id="37" w:name="_Toc152045513"/>
      <w:bookmarkStart w:id="38" w:name="_Toc18109"/>
      <w:bookmarkStart w:id="39" w:name="_Toc144974481"/>
      <w:bookmarkStart w:id="40" w:name="_Toc507319892"/>
      <w:bookmarkStart w:id="41" w:name="_Toc246996159"/>
      <w:r>
        <w:rPr>
          <w:rFonts w:hint="eastAsia" w:ascii="宋体" w:hAnsi="宋体" w:eastAsia="宋体" w:cs="宋体"/>
          <w:color w:val="auto"/>
          <w:highlight w:val="none"/>
        </w:rPr>
        <w:t>2. 项目概况与比选范围</w:t>
      </w:r>
      <w:bookmarkEnd w:id="29"/>
      <w:bookmarkEnd w:id="30"/>
      <w:bookmarkEnd w:id="31"/>
      <w:bookmarkEnd w:id="32"/>
      <w:bookmarkEnd w:id="33"/>
      <w:bookmarkEnd w:id="34"/>
      <w:bookmarkEnd w:id="35"/>
      <w:bookmarkEnd w:id="36"/>
      <w:bookmarkEnd w:id="37"/>
      <w:bookmarkEnd w:id="38"/>
      <w:bookmarkEnd w:id="39"/>
      <w:bookmarkEnd w:id="40"/>
      <w:bookmarkEnd w:id="41"/>
    </w:p>
    <w:p w14:paraId="57FC255B">
      <w:pPr>
        <w:spacing w:line="420" w:lineRule="exact"/>
        <w:ind w:firstLine="420" w:firstLineChars="200"/>
        <w:rPr>
          <w:rFonts w:hint="default" w:ascii="宋体" w:hAnsi="宋体" w:cs="宋体"/>
          <w:color w:val="auto"/>
          <w:szCs w:val="21"/>
          <w:highlight w:val="none"/>
          <w:u w:val="single"/>
          <w:lang w:val="en-US" w:eastAsia="zh-CN"/>
        </w:rPr>
      </w:pPr>
      <w:bookmarkStart w:id="42" w:name="_Toc382816230"/>
      <w:bookmarkStart w:id="43"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重庆市万州区G42沪蓉高速与天城互通交叉口东220米</w:t>
      </w:r>
      <w:bookmarkStart w:id="250" w:name="_GoBack"/>
      <w:bookmarkEnd w:id="250"/>
      <w:r>
        <w:rPr>
          <w:rFonts w:hint="eastAsia" w:ascii="宋体" w:hAnsi="宋体" w:cs="宋体"/>
          <w:color w:val="auto"/>
          <w:szCs w:val="21"/>
          <w:highlight w:val="none"/>
          <w:u w:val="single"/>
          <w:lang w:val="en-US" w:eastAsia="zh-CN"/>
        </w:rPr>
        <w:t>。</w:t>
      </w:r>
    </w:p>
    <w:p w14:paraId="33E52102">
      <w:pPr>
        <w:keepNext w:val="0"/>
        <w:keepLines w:val="0"/>
        <w:pageBreakBefore w:val="0"/>
        <w:kinsoku/>
        <w:wordWrap w:val="0"/>
        <w:overflowPunct/>
        <w:topLinePunct w:val="0"/>
        <w:bidi w:val="0"/>
        <w:snapToGrid w:val="0"/>
        <w:spacing w:line="420" w:lineRule="exact"/>
        <w:ind w:firstLine="413" w:firstLineChars="197"/>
        <w:textAlignment w:val="auto"/>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r>
        <w:rPr>
          <w:rFonts w:hint="eastAsia" w:ascii="宋体" w:hAnsi="宋体" w:cs="宋体"/>
          <w:color w:val="auto"/>
          <w:szCs w:val="21"/>
          <w:highlight w:val="none"/>
          <w:u w:val="single"/>
          <w:lang w:val="en-US" w:eastAsia="zh-CN"/>
        </w:rPr>
        <w:t xml:space="preserve">  2026年东北数智运维中心食材配送服务，为东北部数智运维中心基地职工食堂提供生鲜配送（包含但不限于肉类、蛋类、水产类、腊味类、蔬菜类、豆制品类、水果类、米面类、粮油干副类、调料类、奶制品类等），预计配送期限1年。</w:t>
      </w:r>
    </w:p>
    <w:p w14:paraId="6E086AD0">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single"/>
          <w:lang w:val="en-US" w:eastAsia="zh-CN"/>
        </w:rPr>
        <w:t>9.50</w:t>
      </w:r>
      <w:r>
        <w:rPr>
          <w:rFonts w:hint="eastAsia" w:ascii="宋体" w:hAnsi="宋体" w:eastAsia="宋体" w:cs="宋体"/>
          <w:color w:val="auto"/>
          <w:szCs w:val="21"/>
          <w:highlight w:val="none"/>
          <w:u w:val="single"/>
        </w:rPr>
        <w:t xml:space="preserve"> </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14:paraId="6E8925D7">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eastAsia="宋体" w:cs="宋体"/>
          <w:color w:val="auto"/>
          <w:szCs w:val="21"/>
          <w:highlight w:val="none"/>
          <w:u w:val="single"/>
        </w:rPr>
        <w:t>为</w:t>
      </w:r>
      <w:r>
        <w:rPr>
          <w:rFonts w:hint="eastAsia" w:ascii="宋体" w:hAnsi="宋体" w:cs="宋体"/>
          <w:color w:val="auto"/>
          <w:szCs w:val="21"/>
          <w:highlight w:val="none"/>
          <w:u w:val="single"/>
          <w:lang w:val="en-US" w:eastAsia="zh-CN"/>
        </w:rPr>
        <w:t>东北部数智运维中心</w:t>
      </w:r>
      <w:r>
        <w:rPr>
          <w:rFonts w:hint="eastAsia" w:ascii="宋体" w:hAnsi="宋体" w:eastAsia="宋体" w:cs="宋体"/>
          <w:color w:val="auto"/>
          <w:szCs w:val="21"/>
          <w:highlight w:val="none"/>
          <w:u w:val="single"/>
        </w:rPr>
        <w:t>基地职工食堂提供生鲜配送</w:t>
      </w:r>
      <w:r>
        <w:rPr>
          <w:rFonts w:hint="eastAsia" w:ascii="宋体" w:hAnsi="宋体" w:cs="宋体"/>
          <w:color w:val="auto"/>
          <w:szCs w:val="21"/>
          <w:highlight w:val="none"/>
          <w:u w:val="single"/>
          <w:lang w:val="en-US" w:eastAsia="zh-CN"/>
        </w:rPr>
        <w:t>（包含但不限于肉类、蛋类、水产类、腊味类、蔬菜类、豆制品类、水果类、米面类、粮油干副类、主副食调料类、奶制品类等）</w:t>
      </w:r>
      <w:r>
        <w:rPr>
          <w:rFonts w:hint="eastAsia" w:ascii="宋体" w:hAnsi="宋体" w:eastAsia="宋体" w:cs="宋体"/>
          <w:color w:val="auto"/>
          <w:szCs w:val="21"/>
          <w:highlight w:val="none"/>
          <w:u w:val="single"/>
        </w:rPr>
        <w:t>，</w:t>
      </w:r>
      <w:r>
        <w:rPr>
          <w:rFonts w:hint="eastAsia" w:ascii="宋体" w:hAnsi="宋体" w:cs="宋体"/>
          <w:color w:val="auto"/>
          <w:szCs w:val="21"/>
          <w:highlight w:val="none"/>
          <w:u w:val="single"/>
          <w:lang w:val="en-US" w:eastAsia="zh-CN"/>
        </w:rPr>
        <w:t>预计配送期限两年</w:t>
      </w:r>
      <w:r>
        <w:rPr>
          <w:rFonts w:hint="eastAsia" w:ascii="宋体" w:hAnsi="宋体" w:cs="宋体"/>
          <w:color w:val="auto"/>
          <w:szCs w:val="21"/>
          <w:highlight w:val="none"/>
          <w:u w:val="single"/>
          <w:lang w:eastAsia="zh-CN"/>
        </w:rPr>
        <w:t>。</w:t>
      </w:r>
      <w:r>
        <w:rPr>
          <w:rFonts w:hint="eastAsia" w:ascii="宋体" w:hAnsi="宋体"/>
          <w:snapToGrid w:val="0"/>
          <w:color w:val="auto"/>
          <w:kern w:val="0"/>
          <w:szCs w:val="21"/>
          <w:highlight w:val="none"/>
          <w:u w:val="single"/>
          <w:lang w:val="en-US" w:eastAsia="zh-CN"/>
        </w:rPr>
        <w:t>包括但不限于完成采购内容所有的原材料、食材价、食材的包装费、运输费、装卸费、搬运费、人工费、机械费、服务费、仓储保管费、保险费、检测费、通讯费、培训费、验收费、合理利润、一切风险及各种应纳的规费税费和其它相关伴随服务等工作内容</w:t>
      </w:r>
      <w:r>
        <w:rPr>
          <w:rFonts w:hint="eastAsia" w:ascii="宋体" w:hAnsi="宋体" w:cs="宋体"/>
          <w:color w:val="auto"/>
          <w:highlight w:val="none"/>
          <w:lang w:eastAsia="zh-CN"/>
        </w:rPr>
        <w:t>；</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42"/>
    <w:bookmarkEnd w:id="43"/>
    <w:p w14:paraId="48BC14F9">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r>
        <w:rPr>
          <w:rFonts w:hint="eastAsia" w:ascii="宋体" w:hAnsi="宋体" w:cs="宋体"/>
          <w:color w:val="auto"/>
          <w:szCs w:val="21"/>
          <w:highlight w:val="none"/>
          <w:u w:val="single"/>
          <w:lang w:val="en-US" w:eastAsia="zh-CN"/>
        </w:rPr>
        <w:t>自合同签定之日起至2026年12月31日</w:t>
      </w:r>
      <w:r>
        <w:rPr>
          <w:rFonts w:hint="eastAsia" w:ascii="宋体" w:hAnsi="宋体" w:cs="宋体"/>
          <w:color w:val="auto"/>
          <w:szCs w:val="21"/>
          <w:highlight w:val="none"/>
        </w:rPr>
        <w:t>。</w:t>
      </w:r>
    </w:p>
    <w:p w14:paraId="51EE59AC">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44" w:name="_Toc30356"/>
      <w:bookmarkStart w:id="45" w:name="_Toc152042290"/>
      <w:bookmarkStart w:id="46" w:name="_Toc179632530"/>
      <w:bookmarkStart w:id="47" w:name="_Toc152045514"/>
      <w:bookmarkStart w:id="48" w:name="_Toc246996903"/>
      <w:bookmarkStart w:id="49" w:name="_Toc144974482"/>
      <w:bookmarkStart w:id="50" w:name="_Toc247085674"/>
      <w:bookmarkStart w:id="51" w:name="_Toc11329215"/>
      <w:bookmarkStart w:id="52" w:name="_Toc507319893"/>
      <w:bookmarkStart w:id="53" w:name="_Toc246996160"/>
      <w:bookmarkStart w:id="54" w:name="_Toc10171"/>
      <w:bookmarkStart w:id="55" w:name="_Toc7065"/>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 </w:t>
      </w:r>
      <w:r>
        <w:rPr>
          <w:rFonts w:hint="eastAsia" w:ascii="宋体" w:hAnsi="宋体" w:cs="宋体"/>
          <w:b w:val="0"/>
          <w:bCs w:val="0"/>
          <w:color w:val="auto"/>
          <w:kern w:val="2"/>
          <w:sz w:val="21"/>
          <w:szCs w:val="24"/>
          <w:highlight w:val="none"/>
          <w:lang w:val="en-US" w:eastAsia="zh-CN" w:bidi="ar-SA"/>
        </w:rPr>
        <w:t>个标段。</w:t>
      </w:r>
    </w:p>
    <w:p w14:paraId="78925372">
      <w:pPr>
        <w:pStyle w:val="4"/>
        <w:spacing w:before="120" w:after="0" w:line="360" w:lineRule="auto"/>
        <w:rPr>
          <w:rFonts w:ascii="宋体" w:hAnsi="宋体" w:eastAsia="宋体" w:cs="宋体"/>
          <w:color w:val="auto"/>
          <w:highlight w:val="none"/>
        </w:rPr>
      </w:pPr>
      <w:bookmarkStart w:id="56" w:name="_Toc5542"/>
      <w:r>
        <w:rPr>
          <w:rFonts w:hint="eastAsia" w:ascii="宋体" w:hAnsi="宋体" w:eastAsia="宋体" w:cs="宋体"/>
          <w:color w:val="auto"/>
          <w:highlight w:val="none"/>
        </w:rPr>
        <w:t>3. 报价人资格要求</w:t>
      </w:r>
      <w:bookmarkEnd w:id="44"/>
      <w:bookmarkEnd w:id="45"/>
      <w:bookmarkEnd w:id="46"/>
      <w:bookmarkEnd w:id="47"/>
      <w:bookmarkEnd w:id="48"/>
      <w:bookmarkEnd w:id="49"/>
      <w:bookmarkEnd w:id="50"/>
      <w:bookmarkEnd w:id="51"/>
      <w:bookmarkEnd w:id="52"/>
      <w:bookmarkEnd w:id="53"/>
      <w:bookmarkEnd w:id="54"/>
      <w:bookmarkEnd w:id="55"/>
      <w:bookmarkEnd w:id="56"/>
    </w:p>
    <w:p w14:paraId="4DD82E10">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bookmarkStart w:id="57" w:name="_Toc247085675"/>
      <w:bookmarkStart w:id="58" w:name="_Toc152042291"/>
      <w:bookmarkStart w:id="59" w:name="_Toc246996161"/>
      <w:bookmarkStart w:id="60" w:name="_Toc246996904"/>
      <w:bookmarkStart w:id="61" w:name="_Toc152045515"/>
      <w:bookmarkStart w:id="62" w:name="_Toc179632531"/>
      <w:bookmarkStart w:id="63" w:name="_Toc144974483"/>
      <w:r>
        <w:rPr>
          <w:rFonts w:hint="eastAsia" w:ascii="宋体" w:hAnsi="宋体" w:cs="宋体"/>
          <w:color w:val="auto"/>
          <w:sz w:val="21"/>
          <w:szCs w:val="21"/>
          <w:highlight w:val="none"/>
          <w:lang w:val="en-US" w:eastAsia="zh-CN"/>
        </w:rPr>
        <w:t>3.1 资质要求：</w:t>
      </w:r>
    </w:p>
    <w:p w14:paraId="06410D09">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（1）报价人具有独立法人资格及有效的营业执照。</w:t>
      </w:r>
    </w:p>
    <w:p w14:paraId="76A92DB3">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（2）报价人具有有效的《食品生产许可证》或《食品经营许可证》。</w:t>
      </w:r>
    </w:p>
    <w:p w14:paraId="3295702D">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（3）报价人具有有效的食品销售或配送业务相关的ISO9001质量管理体系认证证书及ISO45001职业健康安全管理体系认证证书。</w:t>
      </w:r>
    </w:p>
    <w:p w14:paraId="484D08E7">
      <w:pPr>
        <w:pStyle w:val="13"/>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yellow"/>
          <w:lang w:val="en-US" w:eastAsia="zh-CN"/>
        </w:rPr>
      </w:pPr>
      <w:r>
        <w:rPr>
          <w:rFonts w:hint="eastAsia" w:ascii="宋体" w:hAnsi="宋体" w:cs="宋体"/>
          <w:color w:val="auto"/>
          <w:sz w:val="21"/>
          <w:szCs w:val="21"/>
          <w:highlight w:val="none"/>
          <w:lang w:val="en-US" w:eastAsia="zh-CN"/>
        </w:rPr>
        <w:t>（4）报价人须已投保有效的食品安全责任保险（保单累计责任限额不低于2000万元，每次事故责任限额不低于200万元），且在保险期间内。</w:t>
      </w:r>
    </w:p>
    <w:p w14:paraId="65594434">
      <w:pPr>
        <w:pStyle w:val="13"/>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yellow"/>
          <w:shd w:val="clear" w:color="auto" w:fill="FFFFFF"/>
          <w:lang w:val="en-US" w:eastAsia="zh-CN"/>
        </w:rPr>
      </w:pPr>
      <w:r>
        <w:rPr>
          <w:rFonts w:hint="eastAsia" w:ascii="宋体" w:hAnsi="宋体" w:eastAsia="宋体" w:cs="宋体"/>
          <w:color w:val="auto"/>
          <w:sz w:val="21"/>
          <w:szCs w:val="21"/>
          <w:highlight w:val="none"/>
          <w:lang w:val="en-US" w:eastAsia="zh-CN"/>
        </w:rPr>
        <w:t>3.2 业绩要求：报价人</w:t>
      </w:r>
      <w:r>
        <w:rPr>
          <w:rFonts w:hint="eastAsia" w:ascii="宋体" w:hAnsi="宋体" w:cs="宋体"/>
          <w:color w:val="auto"/>
          <w:sz w:val="21"/>
          <w:szCs w:val="21"/>
          <w:highlight w:val="none"/>
          <w:lang w:val="en-US" w:eastAsia="zh-CN"/>
        </w:rPr>
        <w:t>在</w:t>
      </w: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年1月1日至竞争性比选文件发出之日（以合同签订时间为准）至少具有一个合同</w:t>
      </w:r>
      <w:r>
        <w:rPr>
          <w:rFonts w:hint="eastAsia" w:ascii="宋体" w:hAnsi="宋体" w:cs="宋体"/>
          <w:color w:val="auto"/>
          <w:sz w:val="21"/>
          <w:szCs w:val="21"/>
          <w:highlight w:val="none"/>
          <w:lang w:val="en-US" w:eastAsia="zh-CN"/>
        </w:rPr>
        <w:t>供货</w:t>
      </w:r>
      <w:r>
        <w:rPr>
          <w:rFonts w:hint="eastAsia" w:ascii="宋体" w:hAnsi="宋体" w:eastAsia="宋体" w:cs="宋体"/>
          <w:color w:val="auto"/>
          <w:sz w:val="21"/>
          <w:szCs w:val="21"/>
          <w:highlight w:val="none"/>
          <w:lang w:val="en-US" w:eastAsia="zh-CN"/>
        </w:rPr>
        <w:t>金额5万元及以上的类似生鲜食品配送或销售业绩（需提供合同及合同对应结算发票，结算发票金额不低于5万元</w:t>
      </w:r>
      <w:r>
        <w:rPr>
          <w:rFonts w:hint="default" w:ascii="宋体" w:hAnsi="宋体" w:eastAsia="宋体" w:cs="宋体"/>
          <w:color w:val="auto"/>
          <w:sz w:val="21"/>
          <w:szCs w:val="21"/>
          <w:highlight w:val="none"/>
          <w:lang w:val="en-US" w:eastAsia="zh-CN"/>
        </w:rPr>
        <w:t>，以发票金额为准）</w:t>
      </w:r>
      <w:r>
        <w:rPr>
          <w:rFonts w:hint="eastAsia" w:ascii="宋体" w:hAnsi="宋体" w:eastAsia="宋体" w:cs="宋体"/>
          <w:color w:val="auto"/>
          <w:sz w:val="21"/>
          <w:szCs w:val="21"/>
          <w:highlight w:val="none"/>
          <w:lang w:val="en-US" w:eastAsia="zh-CN"/>
        </w:rPr>
        <w:t>。</w:t>
      </w:r>
    </w:p>
    <w:p w14:paraId="35D1E177">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14:paraId="0D8BE9D9">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14:paraId="4DB3C8E9">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shd w:val="clear" w:color="auto" w:fill="FFFFFF"/>
        </w:rPr>
        <w:t>单位负责人为同一人或者存在控股、管理关系的不同单位，不得同时参加本项目报价，否则均按无效报价处理。</w:t>
      </w:r>
    </w:p>
    <w:p w14:paraId="71B5695A">
      <w:pPr>
        <w:pStyle w:val="4"/>
        <w:spacing w:before="120" w:after="0" w:line="400" w:lineRule="exact"/>
        <w:rPr>
          <w:rFonts w:hint="eastAsia" w:ascii="宋体" w:hAnsi="宋体" w:eastAsia="宋体" w:cs="宋体"/>
          <w:color w:val="auto"/>
          <w:highlight w:val="none"/>
        </w:rPr>
      </w:pPr>
      <w:bookmarkStart w:id="64" w:name="_Toc28877"/>
      <w:bookmarkStart w:id="65" w:name="_Toc507319894"/>
      <w:bookmarkStart w:id="66" w:name="_Toc11329216"/>
      <w:bookmarkStart w:id="67" w:name="_Toc25619"/>
      <w:bookmarkStart w:id="68" w:name="_Toc14361"/>
      <w:bookmarkStart w:id="69" w:name="_Toc12460"/>
      <w:r>
        <w:rPr>
          <w:rFonts w:hint="eastAsia" w:ascii="宋体" w:hAnsi="宋体" w:eastAsia="宋体" w:cs="宋体"/>
          <w:color w:val="auto"/>
          <w:highlight w:val="none"/>
        </w:rPr>
        <w:t>4. 评标办法</w:t>
      </w:r>
      <w:bookmarkEnd w:id="64"/>
    </w:p>
    <w:p w14:paraId="7058D258">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经评审的</w:t>
      </w:r>
      <w:r>
        <w:rPr>
          <w:rFonts w:hint="eastAsia" w:ascii="宋体" w:hAnsi="宋体" w:eastAsia="宋体" w:cs="宋体"/>
          <w:b w:val="0"/>
          <w:bCs w:val="0"/>
          <w:color w:val="auto"/>
          <w:kern w:val="2"/>
          <w:sz w:val="21"/>
          <w:szCs w:val="24"/>
          <w:highlight w:val="none"/>
          <w:lang w:val="en-US" w:eastAsia="zh-CN" w:bidi="ar-SA"/>
        </w:rPr>
        <w:t>最低投标价法</w:t>
      </w:r>
      <w:r>
        <w:rPr>
          <w:rFonts w:hint="eastAsia" w:ascii="宋体" w:hAnsi="宋体" w:cs="宋体"/>
          <w:b w:val="0"/>
          <w:bCs w:val="0"/>
          <w:color w:val="auto"/>
          <w:kern w:val="2"/>
          <w:sz w:val="21"/>
          <w:szCs w:val="24"/>
          <w:highlight w:val="none"/>
          <w:lang w:val="en-US" w:eastAsia="zh-CN" w:bidi="ar-SA"/>
        </w:rPr>
        <w:t>。</w:t>
      </w:r>
    </w:p>
    <w:p w14:paraId="724CDBB1">
      <w:pPr>
        <w:pStyle w:val="4"/>
        <w:spacing w:before="120" w:after="0" w:line="400" w:lineRule="exact"/>
        <w:rPr>
          <w:rFonts w:ascii="宋体" w:hAnsi="宋体" w:eastAsia="宋体" w:cs="宋体"/>
          <w:color w:val="auto"/>
          <w:highlight w:val="none"/>
        </w:rPr>
      </w:pPr>
      <w:bookmarkStart w:id="70" w:name="_Toc8694"/>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57"/>
      <w:bookmarkEnd w:id="58"/>
      <w:bookmarkEnd w:id="59"/>
      <w:bookmarkEnd w:id="60"/>
      <w:bookmarkEnd w:id="61"/>
      <w:bookmarkEnd w:id="62"/>
      <w:bookmarkEnd w:id="63"/>
      <w:bookmarkEnd w:id="65"/>
      <w:bookmarkEnd w:id="66"/>
      <w:bookmarkEnd w:id="67"/>
      <w:bookmarkEnd w:id="68"/>
      <w:bookmarkEnd w:id="69"/>
      <w:bookmarkEnd w:id="70"/>
    </w:p>
    <w:p w14:paraId="68FC3ED9">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71" w:name="_Toc11329217"/>
      <w:bookmarkStart w:id="72" w:name="_Toc152045516"/>
      <w:bookmarkStart w:id="73" w:name="_Toc247085676"/>
      <w:bookmarkStart w:id="74" w:name="_Toc144974484"/>
      <w:bookmarkStart w:id="75" w:name="_Toc179632532"/>
      <w:bookmarkStart w:id="76" w:name="_Toc152042292"/>
      <w:bookmarkStart w:id="77" w:name="_Toc246996162"/>
      <w:bookmarkStart w:id="78" w:name="_Toc246996905"/>
      <w:bookmarkStart w:id="79" w:name="_Toc507319895"/>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14:paraId="593C70BB">
      <w:pPr>
        <w:pStyle w:val="4"/>
        <w:spacing w:before="120" w:after="0" w:line="400" w:lineRule="exact"/>
        <w:rPr>
          <w:rFonts w:ascii="宋体" w:hAnsi="宋体" w:eastAsia="宋体" w:cs="宋体"/>
          <w:color w:val="auto"/>
          <w:highlight w:val="none"/>
        </w:rPr>
      </w:pPr>
      <w:bookmarkStart w:id="80" w:name="_Toc31493"/>
      <w:bookmarkStart w:id="81" w:name="_Toc16686"/>
      <w:bookmarkStart w:id="82" w:name="_Toc18060"/>
      <w:bookmarkStart w:id="83" w:name="_Toc9131"/>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71"/>
      <w:bookmarkEnd w:id="72"/>
      <w:bookmarkEnd w:id="73"/>
      <w:bookmarkEnd w:id="74"/>
      <w:bookmarkEnd w:id="75"/>
      <w:bookmarkEnd w:id="76"/>
      <w:bookmarkEnd w:id="77"/>
      <w:bookmarkEnd w:id="78"/>
      <w:bookmarkEnd w:id="79"/>
      <w:r>
        <w:rPr>
          <w:rFonts w:hint="eastAsia" w:ascii="宋体" w:hAnsi="宋体" w:eastAsia="宋体" w:cs="宋体"/>
          <w:color w:val="auto"/>
          <w:highlight w:val="none"/>
        </w:rPr>
        <w:t>及相关事宜</w:t>
      </w:r>
      <w:bookmarkEnd w:id="80"/>
      <w:bookmarkEnd w:id="81"/>
      <w:bookmarkEnd w:id="82"/>
      <w:bookmarkEnd w:id="83"/>
    </w:p>
    <w:p w14:paraId="3C9F1E2C">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.1</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04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29</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rPr>
        <w:t>（北京时间）。</w:t>
      </w:r>
    </w:p>
    <w:p w14:paraId="1729E00B">
      <w:pPr>
        <w:spacing w:line="420" w:lineRule="exact"/>
        <w:ind w:firstLine="420" w:firstLineChars="200"/>
        <w:rPr>
          <w:rFonts w:hint="eastAsia" w:ascii="宋体" w:hAnsi="宋体" w:cs="宋体"/>
          <w:color w:val="auto"/>
          <w:szCs w:val="21"/>
        </w:rPr>
      </w:pPr>
      <w:r>
        <w:rPr>
          <w:rFonts w:hint="eastAsia" w:ascii="宋体" w:hAnsi="宋体" w:cs="宋体"/>
          <w:color w:val="auto"/>
          <w:szCs w:val="21"/>
          <w:lang w:val="en-US" w:eastAsia="zh-CN"/>
        </w:rPr>
        <w:t>6</w:t>
      </w:r>
      <w:r>
        <w:rPr>
          <w:rFonts w:hint="eastAsia" w:ascii="宋体" w:hAnsi="宋体" w:cs="宋体"/>
          <w:color w:val="auto"/>
          <w:szCs w:val="21"/>
        </w:rPr>
        <w:t>.2开标时间：</w:t>
      </w:r>
      <w:r>
        <w:rPr>
          <w:rFonts w:hint="eastAsia" w:ascii="宋体" w:hAnsi="宋体" w:cs="宋体"/>
          <w:color w:val="auto"/>
          <w:szCs w:val="21"/>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p>
    <w:p w14:paraId="68B96D9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lang w:val="en-US" w:eastAsia="zh-CN"/>
        </w:rPr>
        <w:t>6</w:t>
      </w:r>
      <w:r>
        <w:rPr>
          <w:rFonts w:hint="eastAsia" w:ascii="宋体" w:hAnsi="宋体" w:cs="宋体"/>
          <w:color w:val="auto"/>
          <w:szCs w:val="21"/>
        </w:rPr>
        <w:t>.3</w:t>
      </w:r>
      <w:r>
        <w:rPr>
          <w:rFonts w:hint="eastAsia" w:ascii="宋体" w:hAnsi="宋体" w:cs="宋体"/>
          <w:color w:val="auto"/>
          <w:szCs w:val="21"/>
          <w:lang w:val="en-US" w:eastAsia="zh-CN"/>
        </w:rPr>
        <w:t>竞争性比选响应文件</w:t>
      </w:r>
      <w:r>
        <w:rPr>
          <w:rFonts w:hint="eastAsia" w:ascii="宋体" w:hAnsi="宋体" w:cs="宋体"/>
          <w:color w:val="auto"/>
          <w:szCs w:val="21"/>
        </w:rPr>
        <w:t>递交地点：</w:t>
      </w:r>
      <w:bookmarkStart w:id="84" w:name="_Hlk535257540"/>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南坪镇海峡路首讯科技1楼</w:t>
      </w:r>
      <w:r>
        <w:rPr>
          <w:rFonts w:hint="eastAsia" w:ascii="宋体" w:hAnsi="宋体" w:cs="宋体"/>
          <w:color w:val="auto"/>
          <w:szCs w:val="21"/>
          <w:highlight w:val="none"/>
        </w:rPr>
        <w:t>（</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w:t>
      </w:r>
      <w:r>
        <w:rPr>
          <w:rFonts w:hint="eastAsia" w:ascii="宋体" w:hAnsi="宋体" w:cs="宋体"/>
          <w:color w:val="auto"/>
          <w:szCs w:val="21"/>
        </w:rPr>
        <w:t>。</w:t>
      </w:r>
      <w:bookmarkEnd w:id="84"/>
    </w:p>
    <w:p w14:paraId="6055C85E">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14:paraId="634B8D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14:paraId="200513FD">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lang w:val="en-US" w:eastAsia="zh-CN"/>
        </w:rPr>
        <w:t>响应</w:t>
      </w:r>
      <w:r>
        <w:rPr>
          <w:rFonts w:hint="eastAsia" w:ascii="宋体" w:hAnsi="宋体" w:cs="宋体"/>
          <w:color w:val="auto"/>
          <w:szCs w:val="21"/>
        </w:rPr>
        <w:t>文件递交</w:t>
      </w:r>
      <w:r>
        <w:rPr>
          <w:rFonts w:hint="eastAsia" w:ascii="宋体" w:hAnsi="宋体" w:cs="宋体"/>
          <w:color w:val="auto"/>
          <w:szCs w:val="21"/>
          <w:lang w:val="en-US" w:eastAsia="zh-CN"/>
        </w:rPr>
        <w:t>截止</w:t>
      </w:r>
      <w:r>
        <w:rPr>
          <w:rFonts w:hint="eastAsia" w:ascii="宋体" w:hAnsi="宋体" w:cs="宋体"/>
          <w:color w:val="auto"/>
          <w:szCs w:val="21"/>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14:paraId="638E58CD">
      <w:pPr>
        <w:pStyle w:val="4"/>
        <w:spacing w:before="120" w:after="0" w:line="400" w:lineRule="exact"/>
        <w:rPr>
          <w:rFonts w:ascii="宋体" w:hAnsi="宋体" w:eastAsia="宋体" w:cs="宋体"/>
          <w:color w:val="auto"/>
          <w:highlight w:val="none"/>
        </w:rPr>
      </w:pPr>
      <w:bookmarkStart w:id="85" w:name="_Toc246996907"/>
      <w:bookmarkStart w:id="86" w:name="_Toc152045517"/>
      <w:bookmarkStart w:id="87" w:name="_Toc11329219"/>
      <w:bookmarkStart w:id="88" w:name="_Toc393"/>
      <w:bookmarkStart w:id="89" w:name="_Toc247085678"/>
      <w:bookmarkStart w:id="90" w:name="_Toc246996164"/>
      <w:bookmarkStart w:id="91" w:name="_Toc144974485"/>
      <w:bookmarkStart w:id="92" w:name="_Toc21615"/>
      <w:bookmarkStart w:id="93" w:name="_Toc152042293"/>
      <w:bookmarkStart w:id="94" w:name="_Toc507319897"/>
      <w:bookmarkStart w:id="95" w:name="_Toc179632534"/>
      <w:bookmarkStart w:id="96" w:name="_Toc28867"/>
      <w:bookmarkStart w:id="97" w:name="_Toc18402"/>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85"/>
      <w:bookmarkEnd w:id="86"/>
      <w:bookmarkEnd w:id="87"/>
      <w:bookmarkEnd w:id="88"/>
      <w:bookmarkEnd w:id="89"/>
      <w:bookmarkEnd w:id="90"/>
      <w:bookmarkEnd w:id="91"/>
      <w:bookmarkEnd w:id="92"/>
      <w:bookmarkEnd w:id="93"/>
      <w:bookmarkEnd w:id="94"/>
      <w:bookmarkEnd w:id="95"/>
      <w:bookmarkEnd w:id="96"/>
      <w:bookmarkEnd w:id="97"/>
    </w:p>
    <w:tbl>
      <w:tblPr>
        <w:tblStyle w:val="42"/>
        <w:tblW w:w="9709" w:type="dxa"/>
        <w:tblInd w:w="0" w:type="dxa"/>
        <w:tblLayout w:type="fixed"/>
        <w:tblCellMar>
          <w:top w:w="0" w:type="dxa"/>
          <w:left w:w="108" w:type="dxa"/>
          <w:bottom w:w="0" w:type="dxa"/>
          <w:right w:w="108" w:type="dxa"/>
        </w:tblCellMar>
      </w:tblPr>
      <w:tblGrid>
        <w:gridCol w:w="9709"/>
      </w:tblGrid>
      <w:tr w14:paraId="3D677F85">
        <w:tblPrEx>
          <w:tblCellMar>
            <w:top w:w="0" w:type="dxa"/>
            <w:left w:w="108" w:type="dxa"/>
            <w:bottom w:w="0" w:type="dxa"/>
            <w:right w:w="108" w:type="dxa"/>
          </w:tblCellMar>
        </w:tblPrEx>
        <w:trPr>
          <w:trHeight w:val="520" w:hRule="atLeast"/>
        </w:trPr>
        <w:tc>
          <w:tcPr>
            <w:tcW w:w="9709" w:type="dxa"/>
            <w:vAlign w:val="center"/>
          </w:tcPr>
          <w:p w14:paraId="7182E04D">
            <w:pPr>
              <w:pStyle w:val="102"/>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14:paraId="10E5AEBF">
        <w:tblPrEx>
          <w:tblCellMar>
            <w:top w:w="0" w:type="dxa"/>
            <w:left w:w="108" w:type="dxa"/>
            <w:bottom w:w="0" w:type="dxa"/>
            <w:right w:w="108" w:type="dxa"/>
          </w:tblCellMar>
        </w:tblPrEx>
        <w:trPr>
          <w:trHeight w:val="510" w:hRule="atLeast"/>
        </w:trPr>
        <w:tc>
          <w:tcPr>
            <w:tcW w:w="9709" w:type="dxa"/>
            <w:vAlign w:val="center"/>
          </w:tcPr>
          <w:p w14:paraId="0A4F158F">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南坪镇海峡路首讯科技1楼</w:t>
            </w:r>
          </w:p>
        </w:tc>
      </w:tr>
      <w:tr w14:paraId="30D7F5C9">
        <w:tblPrEx>
          <w:tblCellMar>
            <w:top w:w="0" w:type="dxa"/>
            <w:left w:w="108" w:type="dxa"/>
            <w:bottom w:w="0" w:type="dxa"/>
            <w:right w:w="108" w:type="dxa"/>
          </w:tblCellMar>
        </w:tblPrEx>
        <w:trPr>
          <w:trHeight w:val="520" w:hRule="atLeast"/>
        </w:trPr>
        <w:tc>
          <w:tcPr>
            <w:tcW w:w="9709" w:type="dxa"/>
            <w:vAlign w:val="center"/>
          </w:tcPr>
          <w:p w14:paraId="7A01F557">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兰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18523789923  </w:t>
            </w:r>
          </w:p>
        </w:tc>
      </w:tr>
      <w:tr w14:paraId="22C4EABF">
        <w:tblPrEx>
          <w:tblCellMar>
            <w:top w:w="0" w:type="dxa"/>
            <w:left w:w="108" w:type="dxa"/>
            <w:bottom w:w="0" w:type="dxa"/>
            <w:right w:w="108" w:type="dxa"/>
          </w:tblCellMar>
        </w:tblPrEx>
        <w:trPr>
          <w:trHeight w:val="448" w:hRule="atLeast"/>
        </w:trPr>
        <w:tc>
          <w:tcPr>
            <w:tcW w:w="9709" w:type="dxa"/>
            <w:vAlign w:val="center"/>
          </w:tcPr>
          <w:p w14:paraId="490375FD">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13251281994  </w:t>
            </w:r>
          </w:p>
        </w:tc>
      </w:tr>
    </w:tbl>
    <w:p w14:paraId="74C369FA">
      <w:pPr>
        <w:pStyle w:val="3"/>
        <w:spacing w:before="0" w:after="0" w:line="360" w:lineRule="auto"/>
        <w:jc w:val="center"/>
        <w:rPr>
          <w:rFonts w:ascii="宋体" w:hAnsi="宋体" w:cs="宋体"/>
          <w:color w:val="auto"/>
          <w:highlight w:val="none"/>
        </w:rPr>
      </w:pPr>
      <w:bookmarkStart w:id="98" w:name="_Toc507319898"/>
      <w:bookmarkStart w:id="99" w:name="_Toc2000405"/>
      <w:bookmarkStart w:id="100" w:name="_Toc152042303"/>
      <w:bookmarkStart w:id="101" w:name="_Toc246996916"/>
      <w:bookmarkStart w:id="102" w:name="_Toc152045527"/>
      <w:bookmarkStart w:id="103" w:name="_Toc247085687"/>
      <w:bookmarkStart w:id="104" w:name="_Toc144974495"/>
      <w:bookmarkStart w:id="105" w:name="_Toc179632544"/>
      <w:bookmarkStart w:id="106" w:name="_Toc246996173"/>
      <w:r>
        <w:rPr>
          <w:rFonts w:hint="eastAsia" w:ascii="宋体" w:hAnsi="宋体" w:cs="宋体"/>
          <w:color w:val="auto"/>
          <w:highlight w:val="none"/>
        </w:rPr>
        <w:br w:type="page"/>
      </w:r>
      <w:bookmarkStart w:id="107" w:name="_Toc10659"/>
      <w:r>
        <w:rPr>
          <w:rFonts w:hint="eastAsia" w:ascii="宋体" w:hAnsi="宋体" w:cs="宋体"/>
          <w:color w:val="auto"/>
          <w:highlight w:val="none"/>
        </w:rPr>
        <w:t>第二章 报价人须知</w:t>
      </w:r>
      <w:bookmarkEnd w:id="98"/>
      <w:bookmarkEnd w:id="99"/>
      <w:bookmarkEnd w:id="100"/>
      <w:bookmarkEnd w:id="101"/>
      <w:bookmarkEnd w:id="102"/>
      <w:bookmarkEnd w:id="103"/>
      <w:bookmarkEnd w:id="104"/>
      <w:bookmarkEnd w:id="105"/>
      <w:bookmarkEnd w:id="106"/>
      <w:bookmarkEnd w:id="107"/>
    </w:p>
    <w:tbl>
      <w:tblPr>
        <w:tblStyle w:val="42"/>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14:paraId="51749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14:paraId="27388F5E">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108" w:name="_Toc326760840"/>
            <w:r>
              <w:rPr>
                <w:rFonts w:hint="eastAsia" w:ascii="宋体" w:hAnsi="宋体" w:cs="宋体"/>
                <w:b/>
                <w:color w:val="auto"/>
                <w:kern w:val="0"/>
                <w:szCs w:val="21"/>
                <w:highlight w:val="none"/>
              </w:rPr>
              <w:t>序号</w:t>
            </w:r>
          </w:p>
        </w:tc>
        <w:tc>
          <w:tcPr>
            <w:tcW w:w="2106" w:type="dxa"/>
            <w:vAlign w:val="center"/>
          </w:tcPr>
          <w:p w14:paraId="430C4E27">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14:paraId="57875CA2">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14:paraId="0FD8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DD43B96">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14:paraId="7132BF6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14:paraId="2B24319C">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14:paraId="2F8A253E">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w:t>
            </w:r>
            <w:r>
              <w:rPr>
                <w:rFonts w:hint="eastAsia" w:ascii="宋体" w:hAnsi="宋体" w:cs="宋体"/>
                <w:color w:val="auto"/>
                <w:szCs w:val="21"/>
                <w:highlight w:val="none"/>
              </w:rPr>
              <w:t>重庆市</w:t>
            </w:r>
            <w:r>
              <w:rPr>
                <w:rFonts w:hint="eastAsia" w:ascii="宋体" w:hAnsi="宋体" w:cs="宋体"/>
                <w:color w:val="auto"/>
                <w:szCs w:val="21"/>
                <w:highlight w:val="none"/>
                <w:lang w:val="en-US" w:eastAsia="zh-CN"/>
              </w:rPr>
              <w:t>南岸</w:t>
            </w:r>
            <w:r>
              <w:rPr>
                <w:rFonts w:hint="eastAsia" w:ascii="宋体" w:hAnsi="宋体" w:cs="宋体"/>
                <w:color w:val="auto"/>
                <w:szCs w:val="21"/>
                <w:highlight w:val="none"/>
              </w:rPr>
              <w:t>区</w:t>
            </w:r>
            <w:r>
              <w:rPr>
                <w:rFonts w:hint="eastAsia" w:ascii="宋体" w:hAnsi="宋体" w:cs="宋体"/>
                <w:color w:val="auto"/>
                <w:szCs w:val="21"/>
                <w:highlight w:val="none"/>
                <w:lang w:val="en-US" w:eastAsia="zh-CN"/>
              </w:rPr>
              <w:t>南坪镇海峡路首讯科技1楼</w:t>
            </w:r>
          </w:p>
          <w:p w14:paraId="2FB6CD5D">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李  </w:t>
            </w:r>
            <w:r>
              <w:rPr>
                <w:rFonts w:hint="eastAsia" w:ascii="宋体" w:hAnsi="宋体" w:cs="宋体"/>
                <w:color w:val="auto"/>
                <w:szCs w:val="21"/>
                <w:highlight w:val="none"/>
                <w:lang w:val="en-US" w:eastAsia="zh-CN"/>
              </w:rPr>
              <w:t>老师</w:t>
            </w:r>
          </w:p>
          <w:p w14:paraId="548D25DD">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eastAsia="宋体" w:cs="宋体"/>
                <w:color w:val="auto"/>
                <w:sz w:val="21"/>
                <w:szCs w:val="21"/>
                <w:highlight w:val="none"/>
              </w:rPr>
              <w:t>电  话：</w:t>
            </w:r>
            <w:r>
              <w:rPr>
                <w:rFonts w:hint="eastAsia" w:ascii="宋体" w:hAnsi="宋体" w:cs="宋体"/>
                <w:color w:val="auto"/>
                <w:szCs w:val="21"/>
                <w:highlight w:val="none"/>
                <w:u w:val="single"/>
                <w:lang w:val="en-US" w:eastAsia="zh-CN"/>
              </w:rPr>
              <w:t xml:space="preserve"> 13251281994          </w:t>
            </w:r>
          </w:p>
        </w:tc>
      </w:tr>
      <w:tr w14:paraId="41E09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9F2E9B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14:paraId="4B062B4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14:paraId="04A2CE39">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2026年东北数智运维中心食材配送服务采购</w:t>
            </w:r>
            <w:r>
              <w:rPr>
                <w:rFonts w:hint="eastAsia" w:ascii="宋体" w:hAnsi="宋体" w:cs="宋体"/>
                <w:color w:val="auto"/>
                <w:szCs w:val="21"/>
                <w:highlight w:val="none"/>
                <w:u w:val="single"/>
                <w:lang w:val="en-US" w:eastAsia="zh-CN"/>
              </w:rPr>
              <w:t xml:space="preserve">           </w:t>
            </w:r>
          </w:p>
        </w:tc>
      </w:tr>
      <w:tr w14:paraId="2A82A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84A6531">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14:paraId="76E59BD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lang w:val="en-US" w:eastAsia="zh-CN"/>
              </w:rPr>
              <w:t>服务地点</w:t>
            </w:r>
          </w:p>
        </w:tc>
        <w:tc>
          <w:tcPr>
            <w:tcW w:w="7104" w:type="dxa"/>
            <w:vAlign w:val="center"/>
          </w:tcPr>
          <w:p w14:paraId="25CD3442">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14:paraId="33C4F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C8333C8">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14:paraId="351C4A83">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rPr>
              <w:t>项目规模</w:t>
            </w:r>
          </w:p>
        </w:tc>
        <w:tc>
          <w:tcPr>
            <w:tcW w:w="7104" w:type="dxa"/>
            <w:vAlign w:val="center"/>
          </w:tcPr>
          <w:p w14:paraId="5CA56F96">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14:paraId="10C3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0244A6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14:paraId="08A4F57B">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14:paraId="6A601163">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14:paraId="7D29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329E13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14:paraId="2D83C99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rPr>
              <w:t>服务期限</w:t>
            </w:r>
          </w:p>
        </w:tc>
        <w:tc>
          <w:tcPr>
            <w:tcW w:w="7104" w:type="dxa"/>
            <w:vAlign w:val="center"/>
          </w:tcPr>
          <w:p w14:paraId="724CB19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14:paraId="17FB8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1A503C9">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14:paraId="0678EA34">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14:paraId="314927DB">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14:paraId="60246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524A2F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14:paraId="60FFF724">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14:paraId="4787CA80">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14:paraId="16F3A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BC0C858">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14:paraId="12D2A769">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14:paraId="17BC5505">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14:paraId="6B8580DE">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14:paraId="7249C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181584EA">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14:paraId="3D555E0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14:paraId="4C795CA2">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14:paraId="48C4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3A3088E">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14:paraId="10B44967">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14:paraId="0E203EC4">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14:paraId="49096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33FF64E0">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14:paraId="5AFC2D6D">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14:paraId="200795DA">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b w:val="0"/>
                <w:bCs/>
                <w:color w:val="auto"/>
                <w:sz w:val="21"/>
                <w:szCs w:val="21"/>
                <w:highlight w:val="none"/>
                <w:lang w:eastAsia="zh-CN" w:bidi="ar"/>
              </w:rPr>
              <w:t>本项目</w:t>
            </w:r>
            <w:r>
              <w:rPr>
                <w:rFonts w:hint="eastAsia" w:ascii="宋体" w:hAnsi="宋体" w:eastAsia="宋体" w:cs="宋体"/>
                <w:b w:val="0"/>
                <w:bCs/>
                <w:color w:val="auto"/>
                <w:sz w:val="21"/>
                <w:szCs w:val="21"/>
                <w:highlight w:val="none"/>
                <w:lang w:bidi="ar"/>
              </w:rPr>
              <w:t>不允许任何负偏离。</w:t>
            </w:r>
          </w:p>
        </w:tc>
      </w:tr>
      <w:tr w14:paraId="40FB2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6C02363">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14:paraId="1AB7387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14:paraId="4D948A08">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14:paraId="7CA4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0FA6FB36">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14:paraId="5EFBBFEB">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14:paraId="77E1395F">
            <w:pPr>
              <w:pStyle w:val="149"/>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2FE2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3847AAF5">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14:paraId="664F1139">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14:paraId="7390F850">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1.投标报价：</w:t>
            </w:r>
          </w:p>
          <w:p w14:paraId="3FFE59B8">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rPr>
            </w:pPr>
            <w:r>
              <w:rPr>
                <w:rFonts w:hint="eastAsia" w:ascii="宋体" w:hAnsi="宋体" w:cs="宋体"/>
                <w:color w:val="auto"/>
                <w:szCs w:val="21"/>
                <w:u w:val="single"/>
              </w:rPr>
              <w:t>本项目</w:t>
            </w:r>
            <w:r>
              <w:rPr>
                <w:rFonts w:hint="eastAsia" w:ascii="宋体" w:hAnsi="宋体" w:eastAsia="宋体" w:cs="宋体"/>
                <w:color w:val="auto"/>
                <w:szCs w:val="21"/>
                <w:u w:val="single"/>
              </w:rPr>
              <w:t>采用总价包干报价，</w:t>
            </w:r>
            <w:r>
              <w:rPr>
                <w:rFonts w:hint="eastAsia" w:ascii="宋体" w:hAnsi="宋体" w:eastAsia="宋体" w:cs="宋体"/>
                <w:color w:val="auto"/>
                <w:szCs w:val="21"/>
                <w:u w:val="single"/>
                <w:lang w:val="en-US" w:eastAsia="zh-CN"/>
              </w:rPr>
              <w:t>报价</w:t>
            </w:r>
            <w:r>
              <w:rPr>
                <w:rFonts w:hint="eastAsia" w:ascii="宋体" w:hAnsi="宋体" w:eastAsia="宋体" w:cs="宋体"/>
                <w:color w:val="auto"/>
                <w:szCs w:val="21"/>
                <w:u w:val="single"/>
              </w:rPr>
              <w:t>人所报投</w:t>
            </w:r>
            <w:r>
              <w:rPr>
                <w:rFonts w:hint="eastAsia" w:ascii="宋体" w:hAnsi="宋体" w:cs="宋体"/>
                <w:color w:val="auto"/>
                <w:szCs w:val="21"/>
                <w:u w:val="single"/>
              </w:rPr>
              <w:t>标报价应包含但不限于完成本项目</w:t>
            </w:r>
            <w:r>
              <w:rPr>
                <w:rFonts w:hint="eastAsia" w:ascii="宋体" w:hAnsi="宋体" w:cs="宋体"/>
                <w:color w:val="auto"/>
                <w:szCs w:val="21"/>
                <w:u w:val="single"/>
                <w:lang w:val="en-US" w:eastAsia="zh-CN"/>
              </w:rPr>
              <w:t>比选</w:t>
            </w:r>
            <w:r>
              <w:rPr>
                <w:rFonts w:hint="eastAsia" w:ascii="宋体" w:hAnsi="宋体" w:cs="宋体"/>
                <w:color w:val="auto"/>
                <w:szCs w:val="21"/>
                <w:u w:val="single"/>
              </w:rPr>
              <w:t>内容全部工作内容所需的人工、材料</w:t>
            </w:r>
            <w:r>
              <w:rPr>
                <w:rFonts w:hint="eastAsia" w:ascii="宋体" w:hAnsi="宋体" w:cs="宋体"/>
                <w:color w:val="auto"/>
                <w:szCs w:val="21"/>
                <w:u w:val="single"/>
                <w:lang w:eastAsia="zh-CN"/>
              </w:rPr>
              <w:t>、</w:t>
            </w:r>
            <w:r>
              <w:rPr>
                <w:rFonts w:hint="eastAsia" w:ascii="宋体" w:hAnsi="宋体" w:cs="宋体"/>
                <w:color w:val="auto"/>
                <w:szCs w:val="21"/>
                <w:u w:val="single"/>
                <w:lang w:val="en-US" w:eastAsia="zh-CN"/>
              </w:rPr>
              <w:t>服务</w:t>
            </w:r>
            <w:r>
              <w:rPr>
                <w:rFonts w:hint="eastAsia" w:ascii="宋体" w:hAnsi="宋体" w:cs="宋体"/>
                <w:color w:val="auto"/>
                <w:szCs w:val="21"/>
                <w:u w:val="single"/>
              </w:rPr>
              <w:t>、税金、管理费、利润等所有</w:t>
            </w:r>
            <w:r>
              <w:rPr>
                <w:rFonts w:hint="eastAsia" w:ascii="宋体" w:hAnsi="宋体" w:cs="宋体"/>
                <w:color w:val="auto"/>
                <w:szCs w:val="21"/>
                <w:u w:val="single"/>
                <w:lang w:val="en-US" w:eastAsia="zh-CN"/>
              </w:rPr>
              <w:t>一切</w:t>
            </w:r>
            <w:r>
              <w:rPr>
                <w:rFonts w:hint="eastAsia" w:ascii="宋体" w:hAnsi="宋体" w:cs="宋体"/>
                <w:color w:val="auto"/>
                <w:szCs w:val="21"/>
                <w:u w:val="single"/>
              </w:rPr>
              <w:t>费用，一旦中标，</w:t>
            </w:r>
            <w:r>
              <w:rPr>
                <w:rFonts w:hint="eastAsia" w:ascii="宋体" w:hAnsi="宋体" w:cs="宋体"/>
                <w:color w:val="auto"/>
                <w:szCs w:val="21"/>
                <w:u w:val="single"/>
                <w:lang w:val="en-US" w:eastAsia="zh-CN"/>
              </w:rPr>
              <w:t>采购</w:t>
            </w:r>
            <w:r>
              <w:rPr>
                <w:rFonts w:hint="eastAsia" w:ascii="宋体" w:hAnsi="宋体" w:cs="宋体"/>
                <w:color w:val="auto"/>
                <w:szCs w:val="21"/>
                <w:u w:val="single"/>
              </w:rPr>
              <w:t>人不再额外支付任何费用</w:t>
            </w:r>
            <w:r>
              <w:rPr>
                <w:rFonts w:hint="eastAsia" w:ascii="宋体" w:hAnsi="宋体" w:cs="宋体"/>
                <w:color w:val="auto"/>
                <w:szCs w:val="21"/>
              </w:rPr>
              <w:t>。</w:t>
            </w:r>
          </w:p>
          <w:p w14:paraId="510020FF">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rPr>
            </w:pPr>
            <w:r>
              <w:rPr>
                <w:rFonts w:hint="eastAsia" w:ascii="宋体" w:hAnsi="宋体" w:cs="宋体"/>
                <w:color w:val="auto"/>
              </w:rPr>
              <w:t>2.报价原则</w:t>
            </w:r>
          </w:p>
          <w:p w14:paraId="148933C1">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u w:val="single"/>
              </w:rPr>
            </w:pPr>
            <w:r>
              <w:rPr>
                <w:rFonts w:hint="eastAsia" w:ascii="宋体" w:hAnsi="宋体" w:cs="宋体"/>
                <w:color w:val="auto"/>
                <w:u w:val="single"/>
                <w:lang w:eastAsia="zh-CN"/>
              </w:rPr>
              <w:t>报价人</w:t>
            </w:r>
            <w:r>
              <w:rPr>
                <w:rFonts w:hint="eastAsia" w:ascii="宋体" w:hAnsi="宋体" w:cs="宋体"/>
                <w:color w:val="auto"/>
                <w:u w:val="single"/>
              </w:rPr>
              <w:t>应严格根据</w:t>
            </w:r>
            <w:r>
              <w:rPr>
                <w:rFonts w:hint="eastAsia" w:ascii="宋体" w:hAnsi="宋体" w:cs="宋体"/>
                <w:color w:val="auto"/>
                <w:u w:val="single"/>
                <w:lang w:val="en-US" w:eastAsia="zh-CN"/>
              </w:rPr>
              <w:t>竞争性比选文件</w:t>
            </w:r>
            <w:r>
              <w:rPr>
                <w:rFonts w:hint="eastAsia" w:ascii="宋体" w:hAnsi="宋体" w:cs="宋体"/>
                <w:color w:val="auto"/>
                <w:u w:val="single"/>
              </w:rPr>
              <w:t>及相关资料，结合市场价格、依据企业自身实力、技术及生产管理水平等，进行自主报价；</w:t>
            </w:r>
            <w:r>
              <w:rPr>
                <w:rFonts w:hint="eastAsia" w:ascii="宋体" w:hAnsi="宋体" w:cs="宋体"/>
                <w:color w:val="auto"/>
                <w:u w:val="single"/>
                <w:lang w:eastAsia="zh-CN"/>
              </w:rPr>
              <w:t>报价人</w:t>
            </w:r>
            <w:r>
              <w:rPr>
                <w:rFonts w:hint="eastAsia" w:ascii="宋体" w:hAnsi="宋体" w:cs="宋体"/>
                <w:color w:val="auto"/>
                <w:u w:val="single"/>
              </w:rPr>
              <w:t>投标总报价只能有一个有效报价，不得提交选择性报价，否则竞争性比选响应文件将按否决报价处理。</w:t>
            </w:r>
          </w:p>
          <w:p w14:paraId="77155734">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14:paraId="73177E9C">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14:paraId="5E78F79A">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14:paraId="28E34CA9">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rPr>
            </w:pPr>
            <w:r>
              <w:rPr>
                <w:rFonts w:hint="eastAsia" w:ascii="宋体" w:hAnsi="宋体" w:cs="宋体"/>
                <w:b w:val="0"/>
                <w:bCs w:val="0"/>
                <w:color w:val="auto"/>
              </w:rPr>
              <w:t>特别提醒：</w:t>
            </w:r>
          </w:p>
          <w:p w14:paraId="4A4B8EDD">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rPr>
            </w:pPr>
            <w:r>
              <w:rPr>
                <w:rFonts w:hint="eastAsia" w:ascii="宋体" w:hAnsi="宋体" w:cs="宋体"/>
                <w:b w:val="0"/>
                <w:bCs w:val="0"/>
                <w:color w:val="auto"/>
                <w:szCs w:val="21"/>
              </w:rPr>
              <w:t>1.</w:t>
            </w:r>
            <w:r>
              <w:rPr>
                <w:rFonts w:hint="eastAsia" w:ascii="宋体" w:hAnsi="宋体" w:cs="宋体"/>
                <w:b w:val="0"/>
                <w:bCs w:val="0"/>
                <w:color w:val="auto"/>
                <w:u w:val="single"/>
              </w:rPr>
              <w:t>若因</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在报价时有漏报、漏项的情况发生，</w:t>
            </w:r>
            <w:r>
              <w:rPr>
                <w:rFonts w:hint="eastAsia" w:ascii="宋体" w:hAnsi="宋体" w:cs="宋体"/>
                <w:b w:val="0"/>
                <w:bCs w:val="0"/>
                <w:color w:val="auto"/>
                <w:u w:val="single"/>
                <w:lang w:eastAsia="zh-CN"/>
              </w:rPr>
              <w:t>采购人</w:t>
            </w:r>
            <w:r>
              <w:rPr>
                <w:rFonts w:hint="eastAsia" w:ascii="宋体" w:hAnsi="宋体" w:cs="宋体"/>
                <w:b w:val="0"/>
                <w:bCs w:val="0"/>
                <w:color w:val="auto"/>
                <w:u w:val="single"/>
              </w:rPr>
              <w:t>均视为</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已充分理解</w:t>
            </w:r>
            <w:r>
              <w:rPr>
                <w:rFonts w:hint="eastAsia" w:ascii="宋体" w:hAnsi="宋体" w:cs="宋体"/>
                <w:b w:val="0"/>
                <w:bCs w:val="0"/>
                <w:color w:val="auto"/>
                <w:u w:val="single"/>
                <w:lang w:val="en-US" w:eastAsia="zh-CN"/>
              </w:rPr>
              <w:t>竞争性比选</w:t>
            </w:r>
            <w:r>
              <w:rPr>
                <w:rFonts w:hint="eastAsia" w:ascii="宋体" w:hAnsi="宋体" w:cs="宋体"/>
                <w:b w:val="0"/>
                <w:bCs w:val="0"/>
                <w:color w:val="auto"/>
                <w:u w:val="single"/>
              </w:rPr>
              <w:t>文件要求，漏报、漏项部分已包含在其报价之中。该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若中标，其报价不得调整</w:t>
            </w:r>
            <w:r>
              <w:rPr>
                <w:rFonts w:hint="eastAsia" w:ascii="宋体" w:hAnsi="宋体" w:cs="宋体"/>
                <w:b w:val="0"/>
                <w:bCs w:val="0"/>
                <w:color w:val="auto"/>
              </w:rPr>
              <w:t>。</w:t>
            </w:r>
          </w:p>
          <w:p w14:paraId="3DE69397">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rPr>
              <w:t>2.</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在报价时应充分考虑市场价格波动、人工费用上涨等不确定因素的风险，该</w:t>
            </w:r>
            <w:r>
              <w:rPr>
                <w:rFonts w:hint="eastAsia" w:ascii="宋体" w:hAnsi="宋体" w:cs="宋体"/>
                <w:b w:val="0"/>
                <w:bCs w:val="0"/>
                <w:color w:val="auto"/>
                <w:u w:val="single"/>
                <w:lang w:eastAsia="zh-CN"/>
              </w:rPr>
              <w:t>报价人</w:t>
            </w:r>
            <w:r>
              <w:rPr>
                <w:rFonts w:hint="eastAsia" w:ascii="宋体" w:hAnsi="宋体" w:cs="宋体"/>
                <w:b w:val="0"/>
                <w:bCs w:val="0"/>
                <w:color w:val="auto"/>
                <w:u w:val="single"/>
              </w:rPr>
              <w:t>若中标，其报价在服务期内不得调整</w:t>
            </w:r>
            <w:r>
              <w:rPr>
                <w:rFonts w:hint="eastAsia" w:ascii="宋体" w:hAnsi="宋体" w:cs="宋体"/>
                <w:b w:val="0"/>
                <w:bCs w:val="0"/>
                <w:color w:val="auto"/>
              </w:rPr>
              <w:t>。</w:t>
            </w:r>
          </w:p>
        </w:tc>
      </w:tr>
      <w:tr w14:paraId="5688D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27E16F37">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17</w:t>
            </w:r>
          </w:p>
        </w:tc>
        <w:tc>
          <w:tcPr>
            <w:tcW w:w="2106" w:type="dxa"/>
            <w:tcBorders>
              <w:bottom w:val="single" w:color="auto" w:sz="4" w:space="0"/>
            </w:tcBorders>
            <w:vAlign w:val="center"/>
          </w:tcPr>
          <w:p w14:paraId="4F330620">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14:paraId="7161B3EE">
            <w:pPr>
              <w:keepNext w:val="0"/>
              <w:keepLines w:val="0"/>
              <w:pageBreakBefore w:val="0"/>
              <w:kinsoku/>
              <w:wordWrap/>
              <w:overflowPunct/>
              <w:bidi w:val="0"/>
              <w:spacing w:line="400" w:lineRule="exact"/>
              <w:ind w:firstLine="422" w:firstLineChars="200"/>
              <w:jc w:val="both"/>
              <w:textAlignment w:val="auto"/>
              <w:rPr>
                <w:rFonts w:hint="eastAsia" w:ascii="宋体" w:hAnsi="宋体" w:eastAsia="宋体" w:cs="宋体"/>
                <w:color w:val="auto"/>
                <w:sz w:val="21"/>
                <w:szCs w:val="21"/>
                <w:highlight w:val="none"/>
              </w:rPr>
            </w:pPr>
            <w:r>
              <w:rPr>
                <w:rFonts w:hint="eastAsia" w:ascii="宋体" w:hAnsi="宋体" w:cs="宋体"/>
                <w:b/>
                <w:bCs/>
                <w:color w:val="auto"/>
                <w:sz w:val="21"/>
                <w:szCs w:val="21"/>
                <w:highlight w:val="none"/>
                <w:lang w:val="en-US" w:eastAsia="zh-CN"/>
              </w:rPr>
              <w:t>本</w:t>
            </w:r>
            <w:r>
              <w:rPr>
                <w:rFonts w:hint="eastAsia" w:ascii="宋体" w:hAnsi="宋体" w:eastAsia="宋体" w:cs="宋体"/>
                <w:b/>
                <w:bCs/>
                <w:color w:val="auto"/>
                <w:sz w:val="21"/>
                <w:szCs w:val="21"/>
                <w:highlight w:val="none"/>
              </w:rPr>
              <w:t>项目</w:t>
            </w:r>
            <w:r>
              <w:rPr>
                <w:rFonts w:hint="eastAsia" w:ascii="宋体" w:hAnsi="宋体" w:cs="宋体"/>
                <w:b/>
                <w:bCs/>
                <w:color w:val="auto"/>
                <w:sz w:val="21"/>
                <w:szCs w:val="21"/>
                <w:highlight w:val="none"/>
                <w:lang w:val="en-US" w:eastAsia="zh-CN"/>
              </w:rPr>
              <w:t>设置最高报价折扣率</w:t>
            </w:r>
            <w:r>
              <w:rPr>
                <w:rFonts w:hint="eastAsia" w:ascii="宋体" w:hAnsi="宋体" w:cs="宋体"/>
                <w:b/>
                <w:bCs/>
                <w:color w:val="auto"/>
                <w:sz w:val="21"/>
                <w:szCs w:val="21"/>
                <w:highlight w:val="none"/>
                <w:u w:val="single"/>
                <w:lang w:val="en-US" w:eastAsia="zh-CN"/>
              </w:rPr>
              <w:t xml:space="preserve"> 分类1（D1）：87.90%；分类2（D2）：87.90% </w:t>
            </w:r>
            <w:r>
              <w:rPr>
                <w:rFonts w:hint="eastAsia" w:ascii="宋体" w:hAnsi="宋体" w:cs="宋体"/>
                <w:b/>
                <w:bCs/>
                <w:color w:val="auto"/>
                <w:sz w:val="21"/>
                <w:szCs w:val="21"/>
                <w:highlight w:val="none"/>
                <w:lang w:val="en-US" w:eastAsia="zh-CN"/>
              </w:rPr>
              <w:t>。</w:t>
            </w:r>
          </w:p>
          <w:p w14:paraId="392133C4">
            <w:pPr>
              <w:keepNext w:val="0"/>
              <w:keepLines w:val="0"/>
              <w:pageBreakBefore w:val="0"/>
              <w:widowControl w:val="0"/>
              <w:kinsoku/>
              <w:wordWrap/>
              <w:overflowPunct/>
              <w:bidi w:val="0"/>
              <w:spacing w:line="400" w:lineRule="exact"/>
              <w:ind w:firstLine="422" w:firstLineChars="200"/>
              <w:textAlignment w:val="auto"/>
              <w:rPr>
                <w:rFonts w:ascii="宋体" w:hAnsi="宋体" w:cs="宋体"/>
                <w:b/>
                <w:bCs/>
                <w:color w:val="auto"/>
                <w:kern w:val="0"/>
                <w:szCs w:val="21"/>
                <w:highlight w:val="none"/>
              </w:rPr>
            </w:pPr>
            <w:r>
              <w:rPr>
                <w:rFonts w:hint="eastAsia" w:ascii="宋体" w:hAnsi="宋体" w:eastAsia="宋体" w:cs="宋体"/>
                <w:b/>
                <w:color w:val="auto"/>
                <w:sz w:val="21"/>
                <w:szCs w:val="21"/>
                <w:highlight w:val="none"/>
              </w:rPr>
              <w:t>报价人所报</w:t>
            </w:r>
            <w:r>
              <w:rPr>
                <w:rFonts w:hint="eastAsia" w:ascii="宋体" w:hAnsi="宋体" w:cs="宋体"/>
                <w:b/>
                <w:color w:val="auto"/>
                <w:sz w:val="21"/>
                <w:szCs w:val="21"/>
                <w:highlight w:val="none"/>
                <w:lang w:val="en-US" w:eastAsia="zh-CN"/>
              </w:rPr>
              <w:t>报价均</w:t>
            </w:r>
            <w:r>
              <w:rPr>
                <w:rFonts w:hint="eastAsia" w:ascii="宋体" w:hAnsi="宋体" w:eastAsia="宋体" w:cs="宋体"/>
                <w:b/>
                <w:color w:val="auto"/>
                <w:sz w:val="21"/>
                <w:szCs w:val="21"/>
                <w:highlight w:val="none"/>
              </w:rPr>
              <w:t>不得超过采购人发布的</w:t>
            </w:r>
            <w:r>
              <w:rPr>
                <w:rFonts w:hint="eastAsia" w:ascii="宋体" w:hAnsi="宋体" w:cs="宋体"/>
                <w:b/>
                <w:color w:val="auto"/>
                <w:sz w:val="21"/>
                <w:szCs w:val="21"/>
                <w:highlight w:val="none"/>
                <w:lang w:val="en-US" w:eastAsia="zh-CN"/>
              </w:rPr>
              <w:t>最高</w:t>
            </w:r>
            <w:r>
              <w:rPr>
                <w:rFonts w:hint="eastAsia" w:ascii="宋体" w:hAnsi="宋体" w:cs="宋体"/>
                <w:b/>
                <w:bCs/>
                <w:color w:val="auto"/>
                <w:sz w:val="21"/>
                <w:szCs w:val="21"/>
                <w:highlight w:val="none"/>
                <w:lang w:val="en-US" w:eastAsia="zh-CN"/>
              </w:rPr>
              <w:t>折扣率</w:t>
            </w:r>
            <w:r>
              <w:rPr>
                <w:rFonts w:hint="eastAsia" w:ascii="宋体" w:hAnsi="宋体" w:eastAsia="宋体" w:cs="宋体"/>
                <w:b/>
                <w:color w:val="auto"/>
                <w:sz w:val="21"/>
                <w:szCs w:val="21"/>
                <w:highlight w:val="none"/>
              </w:rPr>
              <w:t>，若有报价高于采购人发布的</w:t>
            </w:r>
            <w:r>
              <w:rPr>
                <w:rFonts w:hint="eastAsia" w:ascii="宋体" w:hAnsi="宋体" w:cs="宋体"/>
                <w:b/>
                <w:color w:val="auto"/>
                <w:sz w:val="21"/>
                <w:szCs w:val="21"/>
                <w:highlight w:val="none"/>
                <w:lang w:val="en-US" w:eastAsia="zh-CN"/>
              </w:rPr>
              <w:t>最高</w:t>
            </w:r>
            <w:r>
              <w:rPr>
                <w:rFonts w:hint="eastAsia" w:ascii="宋体" w:hAnsi="宋体" w:cs="宋体"/>
                <w:b/>
                <w:bCs/>
                <w:color w:val="auto"/>
                <w:sz w:val="21"/>
                <w:szCs w:val="21"/>
                <w:highlight w:val="none"/>
                <w:lang w:val="en-US" w:eastAsia="zh-CN"/>
              </w:rPr>
              <w:t>折扣率</w:t>
            </w:r>
            <w:r>
              <w:rPr>
                <w:rFonts w:hint="eastAsia" w:ascii="宋体" w:hAnsi="宋体" w:eastAsia="宋体" w:cs="宋体"/>
                <w:b/>
                <w:color w:val="auto"/>
                <w:sz w:val="21"/>
                <w:szCs w:val="21"/>
                <w:highlight w:val="none"/>
              </w:rPr>
              <w:t>，其竞争性比选响应文件视为重大偏差，竞争性比选响应文件将按否决报价处理</w:t>
            </w:r>
            <w:r>
              <w:rPr>
                <w:rFonts w:hint="eastAsia" w:ascii="宋体" w:hAnsi="宋体" w:eastAsia="宋体" w:cs="宋体"/>
                <w:b/>
                <w:bCs/>
                <w:color w:val="auto"/>
                <w:kern w:val="0"/>
                <w:sz w:val="21"/>
                <w:szCs w:val="21"/>
                <w:highlight w:val="none"/>
              </w:rPr>
              <w:t>。</w:t>
            </w:r>
          </w:p>
        </w:tc>
      </w:tr>
      <w:tr w14:paraId="1F1B2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14:paraId="7FC0C00F">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14:paraId="35127573">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14:paraId="3927A864">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当月配送物资采价地为甲方所在地周边的新世纪超市或永辉超市等大型商超或农产品批发市场，（选用以上地点的现场执行价，如现场有优惠按就低不就高的原则选择优惠价执行，但临期商品特殊降价除外）。结算单价=甲、乙方共同采价的单价*折扣率。每次支付前需由乙方提交书面支付申请、相关证明材料以及对应增值税专用发票经甲方审核无误后，按以下节点支付，因乙方原因未按时提交相关资料，导致支付延期的，非甲方违约责任：</w:t>
            </w:r>
          </w:p>
          <w:p w14:paraId="640827C6">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bookmarkStart w:id="109" w:name="支付方式"/>
            <w:r>
              <w:rPr>
                <w:rFonts w:hint="eastAsia" w:ascii="宋体" w:hAnsi="宋体" w:eastAsia="宋体" w:cs="宋体"/>
                <w:b w:val="0"/>
                <w:bCs w:val="0"/>
                <w:caps/>
                <w:color w:val="auto"/>
                <w:kern w:val="2"/>
                <w:sz w:val="21"/>
                <w:szCs w:val="21"/>
                <w:highlight w:val="none"/>
                <w:lang w:val="en-US" w:eastAsia="zh-CN" w:bidi="ar-SA"/>
              </w:rPr>
              <w:t>1.乙方先送货甲方委托采购的食堂物资后付款</w:t>
            </w:r>
            <w:r>
              <w:rPr>
                <w:rFonts w:hint="eastAsia" w:ascii="宋体" w:hAnsi="宋体" w:cs="宋体"/>
                <w:b w:val="0"/>
                <w:bCs w:val="0"/>
                <w:caps/>
                <w:color w:val="auto"/>
                <w:kern w:val="2"/>
                <w:sz w:val="21"/>
                <w:szCs w:val="21"/>
                <w:highlight w:val="none"/>
                <w:lang w:val="en-US" w:eastAsia="zh-CN" w:bidi="ar-SA"/>
              </w:rPr>
              <w:t>，</w:t>
            </w:r>
            <w:r>
              <w:rPr>
                <w:rFonts w:hint="eastAsia" w:ascii="宋体" w:hAnsi="宋体" w:eastAsia="宋体" w:cs="宋体"/>
                <w:b w:val="0"/>
                <w:bCs w:val="0"/>
                <w:caps/>
                <w:color w:val="auto"/>
                <w:kern w:val="2"/>
                <w:sz w:val="21"/>
                <w:szCs w:val="21"/>
                <w:highlight w:val="none"/>
                <w:lang w:val="en-US" w:eastAsia="zh-CN" w:bidi="ar-SA"/>
              </w:rPr>
              <w:t>货款结算方式为月结</w:t>
            </w:r>
            <w:r>
              <w:rPr>
                <w:rFonts w:hint="eastAsia" w:ascii="宋体" w:hAnsi="宋体" w:cs="宋体"/>
                <w:b w:val="0"/>
                <w:bCs w:val="0"/>
                <w:caps/>
                <w:color w:val="auto"/>
                <w:kern w:val="2"/>
                <w:sz w:val="21"/>
                <w:szCs w:val="21"/>
                <w:highlight w:val="none"/>
                <w:lang w:val="en-US" w:eastAsia="zh-CN" w:bidi="ar-SA"/>
              </w:rPr>
              <w:t>，乙方提供相应结算资料配合甲方办理月度结算后，</w:t>
            </w:r>
            <w:r>
              <w:rPr>
                <w:rFonts w:hint="eastAsia" w:ascii="宋体" w:hAnsi="宋体" w:eastAsia="宋体" w:cs="宋体"/>
                <w:b w:val="0"/>
                <w:bCs w:val="0"/>
                <w:caps/>
                <w:color w:val="auto"/>
                <w:kern w:val="2"/>
                <w:sz w:val="21"/>
                <w:szCs w:val="21"/>
                <w:highlight w:val="none"/>
                <w:lang w:val="en-US" w:eastAsia="zh-CN" w:bidi="ar-SA"/>
              </w:rPr>
              <w:t>甲方在次月15个工作日内</w:t>
            </w:r>
            <w:r>
              <w:rPr>
                <w:rFonts w:hint="eastAsia" w:ascii="宋体" w:hAnsi="宋体" w:cs="宋体"/>
                <w:b w:val="0"/>
                <w:bCs w:val="0"/>
                <w:caps/>
                <w:color w:val="auto"/>
                <w:kern w:val="2"/>
                <w:sz w:val="21"/>
                <w:szCs w:val="21"/>
                <w:highlight w:val="none"/>
                <w:lang w:val="en-US" w:eastAsia="zh-CN" w:bidi="ar-SA"/>
              </w:rPr>
              <w:t>将</w:t>
            </w:r>
            <w:r>
              <w:rPr>
                <w:rFonts w:hint="eastAsia" w:ascii="宋体" w:hAnsi="宋体" w:eastAsia="宋体" w:cs="宋体"/>
                <w:b w:val="0"/>
                <w:bCs w:val="0"/>
                <w:caps/>
                <w:color w:val="auto"/>
                <w:kern w:val="2"/>
                <w:sz w:val="21"/>
                <w:szCs w:val="21"/>
                <w:highlight w:val="none"/>
                <w:lang w:val="en-US" w:eastAsia="zh-CN" w:bidi="ar-SA"/>
              </w:rPr>
              <w:t>费用支付给乙方。</w:t>
            </w:r>
            <w:bookmarkEnd w:id="109"/>
          </w:p>
        </w:tc>
      </w:tr>
      <w:tr w14:paraId="1300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C78067">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9</w:t>
            </w:r>
          </w:p>
        </w:tc>
        <w:tc>
          <w:tcPr>
            <w:tcW w:w="2106" w:type="dxa"/>
            <w:vAlign w:val="center"/>
          </w:tcPr>
          <w:p w14:paraId="78C5CBA6">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14:paraId="41C995B5">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14:paraId="53D54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1DE57FE">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14:paraId="6CA76F63">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14:paraId="507A5BAA">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14:paraId="08905D3D">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110" w:name="是否提供投标保证金"/>
            <w:r>
              <w:rPr>
                <w:rFonts w:hint="eastAsia" w:hAnsi="宋体" w:cs="宋体"/>
                <w:b w:val="0"/>
                <w:bCs w:val="0"/>
                <w:color w:val="auto"/>
                <w:kern w:val="0"/>
                <w:sz w:val="21"/>
                <w:szCs w:val="18"/>
                <w:highlight w:val="none"/>
                <w:lang w:val="en-US" w:eastAsia="zh-CN" w:bidi="ar"/>
              </w:rPr>
              <w:t>是提供投标保证金</w:t>
            </w:r>
            <w:bookmarkEnd w:id="110"/>
          </w:p>
          <w:p w14:paraId="26341D76">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r>
              <w:rPr>
                <w:rFonts w:hint="eastAsia" w:hAnsi="宋体" w:cs="宋体"/>
                <w:color w:val="auto"/>
                <w:sz w:val="21"/>
                <w:szCs w:val="21"/>
                <w:highlight w:val="none"/>
                <w:u w:val="single"/>
                <w:lang w:val="en-US" w:eastAsia="zh-CN"/>
              </w:rPr>
              <w:t xml:space="preserve"> 2000.00   </w:t>
            </w:r>
            <w:r>
              <w:rPr>
                <w:rFonts w:hint="eastAsia" w:ascii="宋体" w:hAnsi="宋体" w:eastAsia="宋体" w:cs="宋体"/>
                <w:color w:val="auto"/>
                <w:sz w:val="21"/>
                <w:szCs w:val="21"/>
                <w:highlight w:val="none"/>
              </w:rPr>
              <w:t>元，由报价人从公司基本账户将投标保证金汇至以下指定账户：</w:t>
            </w:r>
          </w:p>
          <w:p w14:paraId="0194C835">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14:paraId="318CF3D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14:paraId="1125E87E">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2026年东北数智运维中心食材配送服务采购</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14:paraId="41EACE32">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14:paraId="1FE19842">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14:paraId="680C40B1">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14:paraId="66671FA9">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14:paraId="1991AF49">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b w:val="0"/>
                <w:bCs w:val="0"/>
                <w:color w:val="auto"/>
                <w:kern w:val="2"/>
                <w:sz w:val="21"/>
                <w:szCs w:val="21"/>
                <w:highlight w:val="none"/>
                <w:lang w:val="en-US" w:eastAsia="zh-CN"/>
              </w:rPr>
              <w:t>3、若本项目“第一次”采购失败，采购人发布“第二次”采购后，报价人可沿用“第一次”采购递交的投标保证金，无需重复递交投标保证金。</w:t>
            </w:r>
          </w:p>
          <w:p w14:paraId="4DD7D90D">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14:paraId="177F36E7">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111" w:name="是否提供履约保证金"/>
            <w:r>
              <w:rPr>
                <w:rFonts w:hint="eastAsia" w:hAnsi="宋体" w:cs="宋体"/>
                <w:b w:val="0"/>
                <w:bCs w:val="0"/>
                <w:color w:val="auto"/>
                <w:kern w:val="0"/>
                <w:sz w:val="21"/>
                <w:szCs w:val="18"/>
                <w:highlight w:val="none"/>
                <w:lang w:val="en-US" w:eastAsia="zh-CN" w:bidi="ar"/>
              </w:rPr>
              <w:t>是提供履约保证金</w:t>
            </w:r>
            <w:bookmarkEnd w:id="111"/>
          </w:p>
          <w:p w14:paraId="506DF492">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14:paraId="137EE82B">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w:t>
            </w:r>
            <w:r>
              <w:rPr>
                <w:rFonts w:hint="eastAsia" w:hAnsi="宋体"/>
                <w:color w:val="auto"/>
                <w:kern w:val="2"/>
                <w:sz w:val="21"/>
                <w:szCs w:val="21"/>
                <w:highlight w:val="none"/>
                <w:u w:val="single"/>
                <w:lang w:val="en-US" w:eastAsia="zh-CN"/>
              </w:rPr>
              <w:t>5000.00元</w:t>
            </w:r>
            <w:r>
              <w:rPr>
                <w:rFonts w:hint="eastAsia" w:hAnsi="宋体"/>
                <w:color w:val="auto"/>
                <w:kern w:val="2"/>
                <w:sz w:val="21"/>
                <w:szCs w:val="21"/>
                <w:highlight w:val="none"/>
                <w:lang w:val="en-US" w:eastAsia="zh-CN"/>
              </w:rPr>
              <w:t>。</w:t>
            </w:r>
          </w:p>
          <w:p w14:paraId="7F047330">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14:paraId="6205CF8A">
            <w:pPr>
              <w:pStyle w:val="149"/>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14:paraId="290B1AE0">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2026年东北数智运维中心食材配送服务采购</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14:paraId="58525200">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14:paraId="4226598A">
            <w:pPr>
              <w:pStyle w:val="149"/>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14:paraId="36BB1494">
            <w:pPr>
              <w:pStyle w:val="149"/>
              <w:keepNext w:val="0"/>
              <w:keepLines w:val="0"/>
              <w:pageBreakBefore w:val="0"/>
              <w:widowControl w:val="0"/>
              <w:kinsoku/>
              <w:wordWrap/>
              <w:overflowPunct/>
              <w:topLinePunct w:val="0"/>
              <w:bidi w:val="0"/>
              <w:spacing w:line="400" w:lineRule="exact"/>
              <w:ind w:firstLine="422" w:firstLineChars="200"/>
              <w:jc w:val="both"/>
              <w:textAlignment w:val="auto"/>
              <w:rPr>
                <w:rFonts w:hint="default" w:ascii="宋体" w:hAnsi="宋体" w:eastAsia="宋体" w:cs="宋体"/>
                <w:b/>
                <w:bCs/>
                <w:color w:val="auto"/>
                <w:kern w:val="2"/>
                <w:sz w:val="21"/>
                <w:szCs w:val="21"/>
                <w:highlight w:val="none"/>
                <w:lang w:val="en-US" w:eastAsia="zh-CN"/>
              </w:rPr>
            </w:pPr>
            <w:r>
              <w:rPr>
                <w:rFonts w:hint="eastAsia" w:ascii="宋体" w:hAnsi="宋体" w:eastAsia="宋体" w:cs="宋体"/>
                <w:b/>
                <w:bCs/>
                <w:color w:val="auto"/>
                <w:kern w:val="2"/>
                <w:sz w:val="21"/>
                <w:szCs w:val="21"/>
                <w:highlight w:val="none"/>
                <w:lang w:val="en-US" w:eastAsia="zh-CN"/>
              </w:rPr>
              <w:t>三、、采购人指定的开户银行及账号如下：</w:t>
            </w:r>
          </w:p>
          <w:p w14:paraId="0E77E969">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w:t>
            </w:r>
          </w:p>
          <w:p w14:paraId="714AD8DA">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14:paraId="1B2A2BFA">
            <w:pPr>
              <w:pStyle w:val="149"/>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14:paraId="29689FCF">
            <w:pPr>
              <w:pStyle w:val="149"/>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14:paraId="63031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D640867">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14:paraId="4088B8E5">
            <w:pPr>
              <w:pStyle w:val="149"/>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14:paraId="1C5CA403">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14:paraId="4B22B07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14:paraId="5548E06E">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14:paraId="0313B457">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14:paraId="22288B7D">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rPr>
              <w:t>”</w:t>
            </w:r>
            <w:r>
              <w:rPr>
                <w:rFonts w:hint="eastAsia" w:ascii="宋体" w:hAnsi="宋体" w:cs="宋体"/>
                <w:color w:val="auto"/>
                <w:szCs w:val="21"/>
                <w:highlight w:val="none"/>
              </w:rPr>
              <w:t>封袋</w:t>
            </w:r>
            <w:r>
              <w:rPr>
                <w:rFonts w:hint="eastAsia" w:ascii="宋体" w:hAnsi="宋体" w:cs="宋体"/>
                <w:color w:val="auto"/>
                <w:kern w:val="0"/>
                <w:szCs w:val="21"/>
              </w:rPr>
              <w:t>写明以下内容：</w:t>
            </w:r>
          </w:p>
          <w:tbl>
            <w:tblPr>
              <w:tblStyle w:val="42"/>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14:paraId="280D0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jc w:val="center"/>
              </w:trPr>
              <w:tc>
                <w:tcPr>
                  <w:tcW w:w="6142" w:type="dxa"/>
                  <w:noWrap w:val="0"/>
                  <w:vAlign w:val="top"/>
                </w:tcPr>
                <w:p w14:paraId="53062F3A">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eastAsia="zh-CN"/>
                    </w:rPr>
                    <w:t>采购人</w:t>
                  </w:r>
                  <w:r>
                    <w:rPr>
                      <w:rFonts w:hint="eastAsia" w:ascii="宋体" w:hAnsi="宋体" w:cs="宋体"/>
                      <w:color w:val="auto"/>
                      <w:kern w:val="0"/>
                      <w:szCs w:val="21"/>
                    </w:rPr>
                    <w:t>名称：</w:t>
                  </w:r>
                </w:p>
                <w:p w14:paraId="55DEC50C">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rPr>
                    <w:t>文件</w:t>
                  </w:r>
                </w:p>
                <w:p w14:paraId="3A7D0428">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lang w:val="en-US" w:eastAsia="zh-CN"/>
                    </w:rPr>
                    <w:t>报价</w:t>
                  </w:r>
                  <w:r>
                    <w:rPr>
                      <w:rFonts w:hint="eastAsia" w:ascii="宋体" w:hAnsi="宋体" w:cs="宋体"/>
                      <w:color w:val="auto"/>
                      <w:kern w:val="0"/>
                      <w:szCs w:val="21"/>
                    </w:rPr>
                    <w:t>人名称：</w:t>
                  </w:r>
                  <w:r>
                    <w:rPr>
                      <w:rFonts w:hint="eastAsia" w:ascii="宋体" w:hAnsi="宋体" w:cs="宋体"/>
                      <w:color w:val="auto"/>
                      <w:kern w:val="0"/>
                      <w:szCs w:val="21"/>
                      <w:u w:val="single"/>
                    </w:rPr>
                    <w:t xml:space="preserve">           </w:t>
                  </w:r>
                  <w:r>
                    <w:rPr>
                      <w:rFonts w:hint="eastAsia" w:ascii="宋体" w:hAnsi="宋体" w:cs="宋体"/>
                      <w:color w:val="auto"/>
                      <w:kern w:val="0"/>
                      <w:szCs w:val="21"/>
                    </w:rPr>
                    <w:t>（加盖</w:t>
                  </w:r>
                  <w:r>
                    <w:rPr>
                      <w:rFonts w:hint="eastAsia" w:ascii="宋体" w:hAnsi="宋体" w:cs="宋体"/>
                      <w:color w:val="auto"/>
                      <w:kern w:val="0"/>
                      <w:szCs w:val="21"/>
                      <w:lang w:val="en-US" w:eastAsia="zh-CN"/>
                    </w:rPr>
                    <w:t>报价</w:t>
                  </w:r>
                  <w:r>
                    <w:rPr>
                      <w:rFonts w:hint="eastAsia" w:ascii="宋体" w:hAnsi="宋体" w:cs="宋体"/>
                      <w:color w:val="auto"/>
                      <w:kern w:val="0"/>
                      <w:szCs w:val="21"/>
                    </w:rPr>
                    <w:t>人单位</w:t>
                  </w:r>
                  <w:r>
                    <w:rPr>
                      <w:rFonts w:hint="eastAsia" w:ascii="宋体" w:hAnsi="宋体" w:cs="宋体"/>
                      <w:color w:val="auto"/>
                      <w:kern w:val="0"/>
                      <w:szCs w:val="21"/>
                      <w:lang w:val="en-US" w:eastAsia="zh-CN"/>
                    </w:rPr>
                    <w:t>公</w:t>
                  </w:r>
                  <w:r>
                    <w:rPr>
                      <w:rFonts w:hint="eastAsia" w:ascii="宋体" w:hAnsi="宋体" w:cs="宋体"/>
                      <w:color w:val="auto"/>
                      <w:kern w:val="0"/>
                      <w:szCs w:val="21"/>
                    </w:rPr>
                    <w:t>章）</w:t>
                  </w:r>
                </w:p>
                <w:p w14:paraId="27596463">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rPr>
                  </w:pPr>
                  <w:r>
                    <w:rPr>
                      <w:rFonts w:hint="eastAsia" w:ascii="宋体" w:hAnsi="宋体" w:cs="宋体"/>
                      <w:color w:val="auto"/>
                      <w:kern w:val="0"/>
                      <w:szCs w:val="21"/>
                    </w:rPr>
                    <w:t>在</w:t>
                  </w:r>
                  <w:r>
                    <w:rPr>
                      <w:rFonts w:hint="eastAsia" w:ascii="宋体" w:hAnsi="宋体" w:cs="宋体"/>
                      <w:color w:val="auto"/>
                      <w:szCs w:val="21"/>
                      <w:u w:val="single"/>
                    </w:rPr>
                    <w:t xml:space="preserve">  </w:t>
                  </w:r>
                  <w:r>
                    <w:rPr>
                      <w:rFonts w:hint="eastAsia" w:ascii="宋体" w:hAnsi="宋体" w:cs="宋体"/>
                      <w:color w:val="auto"/>
                      <w:kern w:val="0"/>
                      <w:szCs w:val="21"/>
                    </w:rPr>
                    <w:t>年</w:t>
                  </w:r>
                  <w:r>
                    <w:rPr>
                      <w:rFonts w:hint="eastAsia" w:ascii="宋体" w:hAnsi="宋体" w:cs="宋体"/>
                      <w:color w:val="auto"/>
                      <w:kern w:val="0"/>
                      <w:szCs w:val="21"/>
                      <w:u w:val="single"/>
                    </w:rPr>
                    <w:t xml:space="preserve">  </w:t>
                  </w:r>
                  <w:r>
                    <w:rPr>
                      <w:rFonts w:hint="eastAsia" w:ascii="宋体" w:hAnsi="宋体" w:cs="宋体"/>
                      <w:color w:val="auto"/>
                      <w:kern w:val="0"/>
                      <w:szCs w:val="21"/>
                    </w:rPr>
                    <w:t>月</w:t>
                  </w:r>
                  <w:r>
                    <w:rPr>
                      <w:rFonts w:hint="eastAsia" w:ascii="宋体" w:hAnsi="宋体" w:cs="宋体"/>
                      <w:color w:val="auto"/>
                      <w:kern w:val="0"/>
                      <w:szCs w:val="21"/>
                      <w:u w:val="single"/>
                    </w:rPr>
                    <w:t xml:space="preserve">  </w:t>
                  </w:r>
                  <w:r>
                    <w:rPr>
                      <w:rFonts w:hint="eastAsia" w:ascii="宋体" w:hAnsi="宋体" w:cs="宋体"/>
                      <w:color w:val="auto"/>
                      <w:kern w:val="0"/>
                      <w:szCs w:val="21"/>
                    </w:rPr>
                    <w:t>日</w:t>
                  </w:r>
                  <w:r>
                    <w:rPr>
                      <w:rFonts w:hint="eastAsia" w:ascii="宋体" w:hAnsi="宋体" w:cs="宋体"/>
                      <w:color w:val="auto"/>
                      <w:kern w:val="0"/>
                      <w:szCs w:val="21"/>
                      <w:u w:val="single"/>
                    </w:rPr>
                    <w:t xml:space="preserve">  </w:t>
                  </w:r>
                  <w:r>
                    <w:rPr>
                      <w:rFonts w:hint="eastAsia" w:ascii="宋体" w:hAnsi="宋体" w:cs="宋体"/>
                      <w:color w:val="auto"/>
                      <w:kern w:val="0"/>
                      <w:szCs w:val="21"/>
                    </w:rPr>
                    <w:t>时</w:t>
                  </w:r>
                  <w:r>
                    <w:rPr>
                      <w:rFonts w:hint="eastAsia" w:ascii="宋体" w:hAnsi="宋体" w:cs="宋体"/>
                      <w:color w:val="auto"/>
                      <w:kern w:val="0"/>
                      <w:szCs w:val="21"/>
                      <w:u w:val="single"/>
                    </w:rPr>
                    <w:t xml:space="preserve">  </w:t>
                  </w:r>
                  <w:r>
                    <w:rPr>
                      <w:rFonts w:hint="eastAsia" w:ascii="宋体" w:hAnsi="宋体" w:cs="宋体"/>
                      <w:color w:val="auto"/>
                      <w:kern w:val="0"/>
                      <w:szCs w:val="21"/>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rPr>
                    <w:t>）前不得开启</w:t>
                  </w:r>
                </w:p>
              </w:tc>
            </w:tr>
          </w:tbl>
          <w:p w14:paraId="357649DC">
            <w:pPr>
              <w:pStyle w:val="149"/>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14:paraId="4271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B46E2E6">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14:paraId="54CE4295">
            <w:pPr>
              <w:pStyle w:val="149"/>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14:paraId="2533A2C9">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14:paraId="74A59431">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eastAsia="宋体"/>
                <w:color w:val="auto"/>
                <w:kern w:val="2"/>
                <w:sz w:val="21"/>
                <w:szCs w:val="21"/>
                <w:highlight w:val="none"/>
                <w:lang w:val="en-US" w:eastAsia="zh-CN"/>
              </w:rPr>
            </w:pPr>
            <w:r>
              <w:rPr>
                <w:rFonts w:hint="eastAsia" w:hAnsi="宋体"/>
                <w:color w:val="auto"/>
                <w:kern w:val="2"/>
                <w:sz w:val="21"/>
                <w:szCs w:val="21"/>
                <w:highlight w:val="none"/>
              </w:rPr>
              <w:t>地    址：重庆市</w:t>
            </w:r>
            <w:r>
              <w:rPr>
                <w:rFonts w:hint="eastAsia" w:hAnsi="宋体"/>
                <w:color w:val="auto"/>
                <w:kern w:val="2"/>
                <w:sz w:val="21"/>
                <w:szCs w:val="21"/>
                <w:highlight w:val="none"/>
                <w:lang w:val="en-US" w:eastAsia="zh-CN"/>
              </w:rPr>
              <w:t>南岸</w:t>
            </w:r>
            <w:r>
              <w:rPr>
                <w:rFonts w:hint="eastAsia" w:hAnsi="宋体"/>
                <w:color w:val="auto"/>
                <w:kern w:val="2"/>
                <w:sz w:val="21"/>
                <w:szCs w:val="21"/>
                <w:highlight w:val="none"/>
              </w:rPr>
              <w:t>区</w:t>
            </w:r>
            <w:r>
              <w:rPr>
                <w:rFonts w:hint="eastAsia" w:hAnsi="宋体"/>
                <w:color w:val="auto"/>
                <w:kern w:val="2"/>
                <w:sz w:val="21"/>
                <w:szCs w:val="21"/>
                <w:highlight w:val="none"/>
                <w:lang w:val="en-US" w:eastAsia="zh-CN"/>
              </w:rPr>
              <w:t>南坪镇海峡路首讯科技</w:t>
            </w:r>
            <w:r>
              <w:rPr>
                <w:rFonts w:hint="eastAsia" w:hAnsi="宋体"/>
                <w:color w:val="auto"/>
                <w:kern w:val="2"/>
                <w:sz w:val="21"/>
                <w:szCs w:val="21"/>
                <w:highlight w:val="none"/>
              </w:rPr>
              <w:t>1</w:t>
            </w:r>
            <w:r>
              <w:rPr>
                <w:rFonts w:hint="eastAsia" w:hAnsi="宋体"/>
                <w:color w:val="auto"/>
                <w:kern w:val="2"/>
                <w:sz w:val="21"/>
                <w:szCs w:val="21"/>
                <w:highlight w:val="none"/>
                <w:lang w:val="en-US" w:eastAsia="zh-CN"/>
              </w:rPr>
              <w:t>楼</w:t>
            </w:r>
          </w:p>
          <w:p w14:paraId="7193A588">
            <w:pPr>
              <w:pStyle w:val="149"/>
              <w:keepNext w:val="0"/>
              <w:keepLines w:val="0"/>
              <w:pageBreakBefore w:val="0"/>
              <w:widowControl w:val="0"/>
              <w:kinsoku/>
              <w:wordWrap/>
              <w:overflowPunct/>
              <w:bidi w:val="0"/>
              <w:spacing w:line="400" w:lineRule="exact"/>
              <w:ind w:firstLine="420" w:firstLineChars="200"/>
              <w:textAlignment w:val="auto"/>
              <w:rPr>
                <w:rFonts w:hAnsi="宋体"/>
                <w:color w:val="auto"/>
                <w:sz w:val="21"/>
                <w:szCs w:val="21"/>
                <w:highlight w:val="none"/>
              </w:rPr>
            </w:pPr>
            <w:r>
              <w:rPr>
                <w:rFonts w:hint="eastAsia" w:hAnsi="宋体"/>
                <w:color w:val="auto"/>
                <w:kern w:val="2"/>
                <w:sz w:val="21"/>
                <w:szCs w:val="21"/>
                <w:highlight w:val="none"/>
              </w:rPr>
              <w:t>电    话：023-</w:t>
            </w:r>
            <w:r>
              <w:rPr>
                <w:rFonts w:hint="eastAsia" w:hAnsi="宋体"/>
                <w:color w:val="auto"/>
                <w:kern w:val="2"/>
                <w:sz w:val="21"/>
                <w:szCs w:val="21"/>
              </w:rPr>
              <w:t>86325020</w:t>
            </w:r>
          </w:p>
        </w:tc>
      </w:tr>
      <w:tr w14:paraId="6B3E0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3807B45">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14:paraId="7600EFC3">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14:paraId="197A486F">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14:paraId="3F15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FE962AD">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14:paraId="61C4B9EC">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14:paraId="4CA46711">
            <w:pPr>
              <w:keepNext w:val="0"/>
              <w:keepLines w:val="0"/>
              <w:pageBreakBefore w:val="0"/>
              <w:kinsoku/>
              <w:wordWrap w:val="0"/>
              <w:overflowPunct/>
              <w:topLinePunct w:val="0"/>
              <w:bidi w:val="0"/>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14:paraId="7E08E75A">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14:paraId="16ED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D827530">
            <w:pPr>
              <w:pStyle w:val="149"/>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14:paraId="7192C832">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14:paraId="0A415CC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乙方应按合同附件一规定的供货范围按时交货。如乙方未按合同规定的日期按时交货，每延迟5个日历</w:t>
            </w:r>
            <w:r>
              <w:rPr>
                <w:rFonts w:hint="eastAsia" w:ascii="宋体" w:hAnsi="宋体" w:cs="宋体"/>
                <w:color w:val="auto"/>
                <w:highlight w:val="none"/>
                <w:lang w:val="en-US" w:eastAsia="zh-CN"/>
              </w:rPr>
              <w:t>天</w:t>
            </w:r>
            <w:r>
              <w:rPr>
                <w:rFonts w:hint="eastAsia" w:ascii="宋体" w:hAnsi="宋体" w:eastAsia="宋体" w:cs="宋体"/>
                <w:color w:val="auto"/>
                <w:highlight w:val="none"/>
              </w:rPr>
              <w:t>（不足5日按5日计算），乙方应承担合同额千分之五（5‰）的罚款。甲方有权从当批付款中扣除。如延迟【15】个日历日乙方仍未交货的，甲方有权解除合同；</w:t>
            </w:r>
          </w:p>
          <w:p w14:paraId="71E5B2C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rPr>
              <w:t>乙方提供的设备因不符合规定的质量标准，导致本</w:t>
            </w:r>
            <w:r>
              <w:rPr>
                <w:rFonts w:hint="eastAsia" w:ascii="宋体" w:hAnsi="宋体" w:cs="宋体"/>
                <w:color w:val="auto"/>
                <w:highlight w:val="none"/>
                <w:lang w:val="en-US" w:eastAsia="zh-CN"/>
              </w:rPr>
              <w:t>项目</w:t>
            </w:r>
            <w:r>
              <w:rPr>
                <w:rFonts w:hint="eastAsia" w:ascii="宋体" w:hAnsi="宋体" w:eastAsia="宋体" w:cs="宋体"/>
                <w:color w:val="auto"/>
                <w:highlight w:val="none"/>
              </w:rPr>
              <w:t>的目的不能实现的，甲方可以拒绝接受设备或者解除合同。甲方拒绝接受设备或解除合同的，设备毁损、灭失的风险由乙方承担，乙方需将全部货物拉回并自行承担对甲方造成的一切损失（包括直接和间接费用）；</w:t>
            </w:r>
          </w:p>
          <w:p w14:paraId="229AB18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因乙方产品任何形式的质量问题导致本工程拖期或遭到第三方索赔，而给甲方造成损失的，甲方有权解除本合同，由乙方承担全部赔偿责任；</w:t>
            </w:r>
          </w:p>
          <w:p w14:paraId="3BE673F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因乙方提供的产品侵犯第三方权益而引起任何由第三人提起的仲裁或诉讼，则乙方应承担一切法律责任，并承担甲方为取得合法所有权、使用权所支付的全部费用，并赔偿甲方因此遭受的全部损失，同时甲方有权解除本合同；</w:t>
            </w:r>
          </w:p>
          <w:p w14:paraId="12DFC0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乙方在缺陷责任期及质量保修期内，未能在合理期限对</w:t>
            </w:r>
            <w:r>
              <w:rPr>
                <w:rFonts w:hint="eastAsia" w:ascii="宋体" w:hAnsi="宋体" w:cs="宋体"/>
                <w:color w:val="auto"/>
                <w:highlight w:val="none"/>
                <w:lang w:val="en-US" w:eastAsia="zh-CN"/>
              </w:rPr>
              <w:t>产品</w:t>
            </w:r>
            <w:r>
              <w:rPr>
                <w:rFonts w:hint="eastAsia" w:ascii="宋体" w:hAnsi="宋体" w:eastAsia="宋体" w:cs="宋体"/>
                <w:color w:val="auto"/>
                <w:highlight w:val="none"/>
              </w:rPr>
              <w:t>缺陷进行修复，或拒绝按甲方要求进行修复的，甲方有权自行修复或委托第三方修复，所需费用由乙方承担，甲方有权解除本合同；</w:t>
            </w:r>
          </w:p>
          <w:p w14:paraId="15E3832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乙方明确表示或者以其行为表明不履行本合同主要义务的，甲方有权解除本合同并要求乙方支付合同价款总额30%的违约金，违约金不足以补偿甲方损失的，乙方应足额赔偿甲方遭受的损失；</w:t>
            </w:r>
          </w:p>
          <w:p w14:paraId="168C7D7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因乙方违约行为导致甲方须按主合同约定承担违约或赔偿责任，由乙方承担前述主合同约定的违约责任或赔偿责任；</w:t>
            </w:r>
          </w:p>
          <w:p w14:paraId="7F5A8F04">
            <w:pPr>
              <w:keepNext w:val="0"/>
              <w:keepLines w:val="0"/>
              <w:pageBreakBefore w:val="0"/>
              <w:widowControl w:val="0"/>
              <w:kinsoku/>
              <w:wordWrap w:val="0"/>
              <w:overflowPunct/>
              <w:topLinePunct w:val="0"/>
              <w:autoSpaceDE/>
              <w:autoSpaceDN/>
              <w:bidi w:val="0"/>
              <w:adjustRightInd/>
              <w:snapToGrid/>
              <w:spacing w:line="400" w:lineRule="exact"/>
              <w:ind w:left="0" w:leftChars="0" w:firstLine="420" w:firstLineChars="200"/>
              <w:textAlignment w:val="auto"/>
              <w:rPr>
                <w:rFonts w:hint="eastAsia" w:ascii="宋体" w:hAnsi="宋体" w:cs="宋体"/>
                <w:b w:val="0"/>
                <w:color w:val="auto"/>
                <w:sz w:val="21"/>
                <w:szCs w:val="21"/>
                <w:highlight w:val="none"/>
                <w:lang w:val="en-US" w:eastAsia="zh-CN"/>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.任何一方违反规定的其他义务，除合同另有约定外，违约方按合同总价的5%向对方支付违约金。</w:t>
            </w:r>
          </w:p>
          <w:p w14:paraId="75D852AA">
            <w:pPr>
              <w:keepNext w:val="0"/>
              <w:keepLines w:val="0"/>
              <w:pageBreakBefore w:val="0"/>
              <w:widowControl w:val="0"/>
              <w:kinsoku/>
              <w:wordWrap w:val="0"/>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.以上涉及违约金或罚款的，应先扣除履约保证金，直至履约保证金扣除完后，</w:t>
            </w:r>
            <w:r>
              <w:rPr>
                <w:rFonts w:hint="eastAsia" w:ascii="宋体" w:hAnsi="宋体" w:cs="宋体"/>
                <w:b w:val="0"/>
                <w:color w:val="auto"/>
                <w:sz w:val="21"/>
                <w:szCs w:val="21"/>
                <w:highlight w:val="none"/>
                <w:lang w:val="en-US" w:eastAsia="zh-CN"/>
              </w:rPr>
              <w:t>在进度款中</w:t>
            </w:r>
            <w:r>
              <w:rPr>
                <w:rFonts w:hint="eastAsia" w:ascii="宋体" w:hAnsi="宋体" w:eastAsia="宋体" w:cs="宋体"/>
                <w:b w:val="0"/>
                <w:color w:val="auto"/>
                <w:sz w:val="21"/>
                <w:szCs w:val="21"/>
                <w:highlight w:val="none"/>
              </w:rPr>
              <w:t>扣除。</w:t>
            </w:r>
          </w:p>
          <w:p w14:paraId="59052645">
            <w:pPr>
              <w:keepNext w:val="0"/>
              <w:keepLines w:val="0"/>
              <w:pageBreakBefore w:val="0"/>
              <w:widowControl w:val="0"/>
              <w:kinsoku/>
              <w:wordWrap w:val="0"/>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10.因履行合同而发生的一切安全保障责任、人身伤亡事故及造成的损失均由乙方承担。</w:t>
            </w:r>
          </w:p>
          <w:p w14:paraId="5C35BD19">
            <w:pPr>
              <w:keepNext w:val="0"/>
              <w:keepLines w:val="0"/>
              <w:pageBreakBefore w:val="0"/>
              <w:kinsoku/>
              <w:wordWrap w:val="0"/>
              <w:overflowPunct/>
              <w:topLinePunct w:val="0"/>
              <w:bidi w:val="0"/>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11.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14:paraId="0EF59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70D9DF3">
            <w:pPr>
              <w:pStyle w:val="149"/>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14:paraId="497E31A3">
            <w:pPr>
              <w:pStyle w:val="149"/>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14:paraId="7BD00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6B09350A">
            <w:pPr>
              <w:pStyle w:val="149"/>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14:paraId="383A0BBA">
            <w:pPr>
              <w:pStyle w:val="149"/>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14:paraId="79960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EA00092">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14:paraId="5044782D">
            <w:pPr>
              <w:pStyle w:val="149"/>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14:paraId="3FFE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5B2FC42">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14:paraId="7E3D0D56">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14:paraId="5C85BE45">
            <w:pPr>
              <w:pStyle w:val="149"/>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14:paraId="66F4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42AB2704">
            <w:pPr>
              <w:pStyle w:val="149"/>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14:paraId="45059CC3">
            <w:pPr>
              <w:pStyle w:val="149"/>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1、</w:t>
            </w:r>
            <w:r>
              <w:rPr>
                <w:rFonts w:hint="eastAsia" w:ascii="宋体" w:hAnsi="宋体" w:eastAsia="宋体" w:cs="宋体"/>
                <w:color w:val="auto"/>
                <w:sz w:val="21"/>
                <w:szCs w:val="21"/>
                <w:highlight w:val="none"/>
              </w:rPr>
              <w:t>如中标人提供的产品无法满足</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要求，采购人有权退货、终止合同，并扣除合同总金额的10%。</w:t>
            </w:r>
          </w:p>
          <w:p w14:paraId="1A5B0A56">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hAnsi="宋体" w:cs="宋体"/>
                <w:b w:val="0"/>
                <w:bCs w:val="0"/>
                <w:kern w:val="0"/>
                <w:sz w:val="21"/>
                <w:szCs w:val="21"/>
                <w:highlight w:val="none"/>
                <w:lang w:val="en-US" w:eastAsia="zh-CN" w:bidi="ar-SA"/>
                <w:woUserID w:val="1"/>
              </w:rPr>
              <w:t>2、采购</w:t>
            </w:r>
            <w:r>
              <w:rPr>
                <w:rFonts w:hint="default" w:ascii="宋体" w:hAnsi="宋体" w:eastAsia="宋体" w:cs="宋体"/>
                <w:b w:val="0"/>
                <w:bCs w:val="0"/>
                <w:kern w:val="0"/>
                <w:sz w:val="21"/>
                <w:szCs w:val="21"/>
                <w:highlight w:val="none"/>
                <w:lang w:eastAsia="zh-CN" w:bidi="ar-SA"/>
                <w:woUserID w:val="1"/>
              </w:rPr>
              <w:t>人将到货检测、现场临时抽检、第三方检测单位相结合进行质量的把控，随机抽查到货产品质量。对于任何一次检验不合格的情况均可视为本批次产品质量不合格。对于不合格的产品，该批次货物做退货处理，并有权扣除供货人部分履约担保和低价担保（如有）；对于随机抽取至第三方检测机构进行检测的产品，</w:t>
            </w:r>
            <w:r>
              <w:rPr>
                <w:rFonts w:hint="eastAsia" w:hAnsi="宋体" w:cs="宋体"/>
                <w:b w:val="0"/>
                <w:bCs w:val="0"/>
                <w:kern w:val="0"/>
                <w:sz w:val="21"/>
                <w:szCs w:val="21"/>
                <w:highlight w:val="none"/>
                <w:lang w:val="en-US" w:eastAsia="zh-CN" w:bidi="ar-SA"/>
                <w:woUserID w:val="1"/>
              </w:rPr>
              <w:t>采购</w:t>
            </w:r>
            <w:r>
              <w:rPr>
                <w:rFonts w:hint="default" w:ascii="宋体" w:hAnsi="宋体" w:eastAsia="宋体" w:cs="宋体"/>
                <w:b w:val="0"/>
                <w:bCs w:val="0"/>
                <w:kern w:val="0"/>
                <w:sz w:val="21"/>
                <w:szCs w:val="21"/>
                <w:highlight w:val="none"/>
                <w:lang w:eastAsia="zh-CN" w:bidi="ar-SA"/>
                <w:woUserID w:val="1"/>
              </w:rPr>
              <w:t>人将立即对该批次货物做退货处理，并扣除中标人的履约担保和低价担保（如有），若产品已</w:t>
            </w:r>
            <w:r>
              <w:rPr>
                <w:rFonts w:hint="eastAsia" w:hAnsi="宋体" w:cs="宋体"/>
                <w:b w:val="0"/>
                <w:bCs w:val="0"/>
                <w:kern w:val="0"/>
                <w:sz w:val="21"/>
                <w:szCs w:val="21"/>
                <w:highlight w:val="none"/>
                <w:lang w:val="en-US" w:eastAsia="zh-CN" w:bidi="ar-SA"/>
                <w:woUserID w:val="1"/>
              </w:rPr>
              <w:t>使用</w:t>
            </w:r>
            <w:r>
              <w:rPr>
                <w:rFonts w:hint="default" w:ascii="宋体" w:hAnsi="宋体" w:eastAsia="宋体" w:cs="宋体"/>
                <w:b w:val="0"/>
                <w:bCs w:val="0"/>
                <w:kern w:val="0"/>
                <w:sz w:val="21"/>
                <w:szCs w:val="21"/>
                <w:highlight w:val="none"/>
                <w:lang w:eastAsia="zh-CN" w:bidi="ar-SA"/>
                <w:woUserID w:val="1"/>
              </w:rPr>
              <w:t>，则由中标人赔偿相应损失。</w:t>
            </w:r>
          </w:p>
        </w:tc>
      </w:tr>
      <w:tr w14:paraId="511B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22F427C">
            <w:pPr>
              <w:pStyle w:val="149"/>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14:paraId="795E534D">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14:paraId="7C60AD4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14:paraId="673A690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完全响应竞争性比选文件中的人员要求、机械要求、</w:t>
            </w:r>
            <w:r>
              <w:rPr>
                <w:rFonts w:hint="eastAsia" w:ascii="宋体"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内容要求、报价要求、</w:t>
            </w:r>
            <w:r>
              <w:rPr>
                <w:rFonts w:hint="eastAsia" w:ascii="宋体" w:hAnsi="宋体" w:cs="宋体"/>
                <w:color w:val="auto"/>
                <w:kern w:val="2"/>
                <w:sz w:val="21"/>
                <w:szCs w:val="24"/>
                <w:highlight w:val="none"/>
                <w:lang w:val="en-US" w:eastAsia="zh-CN" w:bidi="ar-SA"/>
              </w:rPr>
              <w:t>交货地点要求</w:t>
            </w:r>
            <w:r>
              <w:rPr>
                <w:rFonts w:hint="eastAsia" w:ascii="宋体" w:hAnsi="宋体" w:cs="宋体"/>
                <w:color w:val="auto"/>
                <w:sz w:val="21"/>
                <w:szCs w:val="21"/>
                <w:highlight w:val="none"/>
                <w:lang w:eastAsia="zh-CN"/>
              </w:rPr>
              <w:t>、</w:t>
            </w:r>
            <w:r>
              <w:rPr>
                <w:rFonts w:hint="eastAsia" w:ascii="宋体" w:hAnsi="宋体" w:eastAsia="宋体" w:cs="宋体"/>
                <w:color w:val="auto"/>
                <w:szCs w:val="21"/>
                <w:highlight w:val="none"/>
              </w:rPr>
              <w:t>交货时间</w:t>
            </w:r>
            <w:r>
              <w:rPr>
                <w:rFonts w:hint="eastAsia" w:ascii="宋体" w:hAnsi="宋体" w:cs="宋体"/>
                <w:color w:val="auto"/>
                <w:kern w:val="2"/>
                <w:sz w:val="21"/>
                <w:szCs w:val="24"/>
                <w:highlight w:val="none"/>
                <w:lang w:val="en-US" w:eastAsia="zh-CN" w:bidi="ar-SA"/>
              </w:rPr>
              <w:t>要求</w:t>
            </w:r>
            <w:r>
              <w:rPr>
                <w:rFonts w:hint="eastAsia" w:ascii="宋体" w:hAnsi="宋体" w:eastAsia="宋体" w:cs="宋体"/>
                <w:color w:val="auto"/>
                <w:sz w:val="21"/>
                <w:szCs w:val="21"/>
                <w:highlight w:val="none"/>
              </w:rPr>
              <w:t>、质量标准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14:paraId="18DCEACB">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14:paraId="389AC577">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报价人凡被列入采购人暂停、终止、永久取消合格供应商资格（列入诚信黑名单）名单内</w:t>
            </w:r>
            <w:r>
              <w:rPr>
                <w:rFonts w:hint="eastAsia" w:ascii="宋体" w:hAnsi="宋体" w:cs="宋体"/>
                <w:b w:val="0"/>
                <w:bCs w:val="0"/>
                <w:color w:val="auto"/>
                <w:sz w:val="21"/>
                <w:szCs w:val="21"/>
                <w:highlight w:val="none"/>
                <w:lang w:val="en-US" w:eastAsia="zh-CN"/>
              </w:rPr>
              <w:t>的</w:t>
            </w:r>
            <w:r>
              <w:rPr>
                <w:rFonts w:hint="eastAsia" w:ascii="宋体" w:hAnsi="宋体" w:eastAsia="宋体" w:cs="宋体"/>
                <w:b w:val="0"/>
                <w:bCs w:val="0"/>
                <w:color w:val="auto"/>
                <w:sz w:val="21"/>
                <w:szCs w:val="21"/>
                <w:highlight w:val="none"/>
                <w:lang w:val="en-US" w:eastAsia="zh-CN"/>
              </w:rPr>
              <w:t>单位，不得参与本次报价。如发现有上述情况，其报价将被作废。</w:t>
            </w:r>
          </w:p>
          <w:p w14:paraId="5415A651">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6.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14:paraId="6665EDDF">
            <w:pPr>
              <w:pStyle w:val="149"/>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14:paraId="6A81598A">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14:paraId="2DFF4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25593A05">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26.6</w:t>
            </w:r>
          </w:p>
        </w:tc>
        <w:tc>
          <w:tcPr>
            <w:tcW w:w="9210" w:type="dxa"/>
            <w:gridSpan w:val="2"/>
            <w:vAlign w:val="center"/>
          </w:tcPr>
          <w:p w14:paraId="0EEE55C9">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tr w14:paraId="12A3F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5E1DE10F">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26.7</w:t>
            </w:r>
          </w:p>
        </w:tc>
        <w:tc>
          <w:tcPr>
            <w:tcW w:w="9210" w:type="dxa"/>
            <w:gridSpan w:val="2"/>
            <w:vAlign w:val="center"/>
          </w:tcPr>
          <w:p w14:paraId="558818F4">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报价</w:t>
            </w:r>
            <w:r>
              <w:rPr>
                <w:rFonts w:hint="eastAsia" w:ascii="宋体" w:hAnsi="宋体" w:eastAsia="宋体" w:cs="宋体"/>
                <w:color w:val="auto"/>
                <w:kern w:val="0"/>
                <w:szCs w:val="21"/>
                <w:highlight w:val="none"/>
              </w:rPr>
              <w:t>有效期</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szCs w:val="21"/>
                <w:highlight w:val="none"/>
                <w:u w:val="single"/>
                <w:lang w:val="en-US" w:eastAsia="zh-CN"/>
              </w:rPr>
              <w:t>45</w:t>
            </w:r>
            <w:r>
              <w:rPr>
                <w:rFonts w:hint="eastAsia" w:ascii="宋体" w:hAnsi="宋体" w:eastAsia="宋体" w:cs="宋体"/>
                <w:color w:val="auto"/>
                <w:szCs w:val="21"/>
                <w:highlight w:val="none"/>
              </w:rPr>
              <w:t>日历天（从提交</w:t>
            </w:r>
            <w:r>
              <w:rPr>
                <w:rFonts w:hint="eastAsia" w:ascii="宋体" w:hAnsi="宋体" w:eastAsia="宋体" w:cs="宋体"/>
                <w:color w:val="auto"/>
                <w:szCs w:val="21"/>
                <w:highlight w:val="none"/>
                <w:lang w:val="en-US" w:eastAsia="zh-CN"/>
              </w:rPr>
              <w:t>竞争性比选响应</w:t>
            </w:r>
            <w:r>
              <w:rPr>
                <w:rFonts w:hint="eastAsia" w:ascii="宋体" w:hAnsi="宋体" w:eastAsia="宋体" w:cs="宋体"/>
                <w:color w:val="auto"/>
                <w:szCs w:val="21"/>
                <w:highlight w:val="none"/>
              </w:rPr>
              <w:t>文件截止日起计算）</w:t>
            </w:r>
          </w:p>
        </w:tc>
      </w:tr>
      <w:tr w14:paraId="14E6B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14:paraId="711837A5">
            <w:pPr>
              <w:pStyle w:val="149"/>
              <w:keepNext w:val="0"/>
              <w:keepLines w:val="0"/>
              <w:pageBreakBefore w:val="0"/>
              <w:kinsoku/>
              <w:wordWrap/>
              <w:overflowPunct/>
              <w:bidi w:val="0"/>
              <w:spacing w:line="400" w:lineRule="exact"/>
              <w:jc w:val="center"/>
              <w:textAlignment w:val="auto"/>
              <w:rPr>
                <w:rFonts w:hint="default"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26.8</w:t>
            </w:r>
          </w:p>
        </w:tc>
        <w:tc>
          <w:tcPr>
            <w:tcW w:w="9210" w:type="dxa"/>
            <w:gridSpan w:val="2"/>
            <w:vAlign w:val="center"/>
          </w:tcPr>
          <w:p w14:paraId="3CD45770">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Cs w:val="21"/>
                <w:highlight w:val="none"/>
                <w:lang w:val="en-US" w:eastAsia="zh-CN"/>
              </w:rPr>
              <w:t>上一年度参与本单位食堂生鲜配送且</w:t>
            </w:r>
            <w:r>
              <w:rPr>
                <w:rFonts w:hint="eastAsia" w:ascii="宋体" w:hAnsi="宋体" w:cs="宋体"/>
                <w:color w:val="auto"/>
                <w:kern w:val="0"/>
                <w:szCs w:val="21"/>
                <w:highlight w:val="none"/>
                <w:lang w:val="en-US" w:eastAsia="zh-CN"/>
              </w:rPr>
              <w:t>经</w:t>
            </w:r>
            <w:r>
              <w:rPr>
                <w:rFonts w:hint="eastAsia" w:ascii="宋体" w:hAnsi="宋体" w:eastAsia="宋体" w:cs="宋体"/>
                <w:color w:val="auto"/>
                <w:kern w:val="0"/>
                <w:szCs w:val="21"/>
                <w:highlight w:val="none"/>
                <w:lang w:val="en-US" w:eastAsia="zh-CN"/>
              </w:rPr>
              <w:t>考核评定为不合格的供应商，不得参与本次采购活动。</w:t>
            </w:r>
          </w:p>
        </w:tc>
      </w:tr>
      <w:bookmarkEnd w:id="108"/>
    </w:tbl>
    <w:p w14:paraId="5A458D23">
      <w:pPr>
        <w:rPr>
          <w:color w:val="auto"/>
          <w:highlight w:val="none"/>
        </w:rPr>
      </w:pPr>
    </w:p>
    <w:p w14:paraId="5725335E">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112" w:name="_Hlt227984024"/>
      <w:bookmarkEnd w:id="112"/>
    </w:p>
    <w:p w14:paraId="77EEE287">
      <w:pPr>
        <w:pStyle w:val="4"/>
        <w:jc w:val="center"/>
        <w:rPr>
          <w:rFonts w:ascii="宋体" w:hAnsi="宋体" w:eastAsia="宋体" w:cs="宋体"/>
          <w:bCs w:val="0"/>
          <w:color w:val="auto"/>
          <w:sz w:val="28"/>
          <w:szCs w:val="28"/>
          <w:highlight w:val="none"/>
        </w:rPr>
      </w:pPr>
      <w:bookmarkStart w:id="113" w:name="_Toc17532"/>
      <w:bookmarkStart w:id="114" w:name="_Toc11284"/>
      <w:bookmarkStart w:id="115" w:name="_Toc30198"/>
      <w:bookmarkStart w:id="116" w:name="_Toc11329222"/>
      <w:bookmarkStart w:id="117" w:name="_Toc6693"/>
      <w:r>
        <w:rPr>
          <w:rFonts w:hint="eastAsia" w:ascii="宋体" w:hAnsi="宋体" w:eastAsia="宋体" w:cs="宋体"/>
          <w:color w:val="auto"/>
          <w:sz w:val="28"/>
          <w:szCs w:val="28"/>
          <w:highlight w:val="none"/>
        </w:rPr>
        <w:t xml:space="preserve">附录1  </w:t>
      </w:r>
      <w:bookmarkEnd w:id="113"/>
      <w:bookmarkEnd w:id="114"/>
      <w:bookmarkEnd w:id="115"/>
      <w:bookmarkEnd w:id="116"/>
      <w:bookmarkStart w:id="118" w:name="_Toc11329226"/>
      <w:bookmarkStart w:id="119" w:name="_Toc25591"/>
      <w:bookmarkStart w:id="120" w:name="_Toc27096"/>
      <w:bookmarkStart w:id="121" w:name="_Toc12773"/>
      <w:r>
        <w:rPr>
          <w:rFonts w:hint="eastAsia" w:ascii="宋体" w:hAnsi="宋体" w:eastAsia="宋体" w:cs="宋体"/>
          <w:bCs w:val="0"/>
          <w:color w:val="auto"/>
          <w:sz w:val="28"/>
          <w:szCs w:val="28"/>
          <w:highlight w:val="none"/>
        </w:rPr>
        <w:t>报价人资格要求</w:t>
      </w:r>
      <w:bookmarkEnd w:id="117"/>
      <w:bookmarkEnd w:id="118"/>
      <w:bookmarkEnd w:id="119"/>
      <w:bookmarkEnd w:id="120"/>
      <w:bookmarkEnd w:id="121"/>
    </w:p>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571"/>
        <w:gridCol w:w="6678"/>
      </w:tblGrid>
      <w:tr w14:paraId="227F0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59662163">
            <w:pPr>
              <w:spacing w:line="400" w:lineRule="exact"/>
              <w:jc w:val="center"/>
              <w:rPr>
                <w:rFonts w:ascii="宋体" w:hAnsi="宋体" w:cs="宋体"/>
                <w:color w:val="auto"/>
                <w:szCs w:val="21"/>
                <w:highlight w:val="none"/>
              </w:rPr>
            </w:pPr>
            <w:bookmarkStart w:id="122" w:name="_Toc388534043"/>
            <w:bookmarkStart w:id="123" w:name="_Toc387234996"/>
            <w:r>
              <w:rPr>
                <w:rFonts w:hint="eastAsia" w:ascii="宋体" w:hAnsi="宋体" w:cs="宋体"/>
                <w:color w:val="auto"/>
                <w:szCs w:val="21"/>
                <w:highlight w:val="none"/>
              </w:rPr>
              <w:t>序号</w:t>
            </w:r>
          </w:p>
        </w:tc>
        <w:tc>
          <w:tcPr>
            <w:tcW w:w="1571" w:type="dxa"/>
            <w:tcBorders>
              <w:top w:val="single" w:color="auto" w:sz="4" w:space="0"/>
              <w:left w:val="single" w:color="auto" w:sz="4" w:space="0"/>
              <w:bottom w:val="single" w:color="auto" w:sz="4" w:space="0"/>
              <w:right w:val="single" w:color="auto" w:sz="4" w:space="0"/>
            </w:tcBorders>
            <w:vAlign w:val="center"/>
          </w:tcPr>
          <w:p w14:paraId="076896C6">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678" w:type="dxa"/>
            <w:tcBorders>
              <w:top w:val="single" w:color="auto" w:sz="4" w:space="0"/>
              <w:left w:val="single" w:color="auto" w:sz="4" w:space="0"/>
              <w:bottom w:val="single" w:color="auto" w:sz="4" w:space="0"/>
              <w:right w:val="single" w:color="auto" w:sz="4" w:space="0"/>
            </w:tcBorders>
            <w:vAlign w:val="center"/>
          </w:tcPr>
          <w:p w14:paraId="17FE000B">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7BA5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14:paraId="57DB7417">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571" w:type="dxa"/>
            <w:tcBorders>
              <w:top w:val="single" w:color="auto" w:sz="4" w:space="0"/>
              <w:left w:val="single" w:color="auto" w:sz="4" w:space="0"/>
              <w:bottom w:val="single" w:color="auto" w:sz="4" w:space="0"/>
              <w:right w:val="single" w:color="auto" w:sz="4" w:space="0"/>
            </w:tcBorders>
            <w:vAlign w:val="center"/>
          </w:tcPr>
          <w:p w14:paraId="2654CCFC">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678" w:type="dxa"/>
            <w:tcBorders>
              <w:top w:val="single" w:color="auto" w:sz="4" w:space="0"/>
              <w:left w:val="single" w:color="auto" w:sz="4" w:space="0"/>
              <w:bottom w:val="single" w:color="auto" w:sz="4" w:space="0"/>
              <w:right w:val="single" w:color="auto" w:sz="4" w:space="0"/>
            </w:tcBorders>
            <w:vAlign w:val="center"/>
          </w:tcPr>
          <w:p w14:paraId="1503A4A0">
            <w:pPr>
              <w:spacing w:line="400" w:lineRule="exact"/>
              <w:rPr>
                <w:rFonts w:ascii="宋体" w:hAnsi="宋体" w:cs="宋体"/>
                <w:color w:val="auto"/>
                <w:szCs w:val="21"/>
                <w:highlight w:val="none"/>
              </w:rPr>
            </w:pPr>
            <w:r>
              <w:rPr>
                <w:rFonts w:hint="eastAsia" w:ascii="宋体" w:hAnsi="宋体" w:eastAsia="宋体" w:cs="宋体"/>
                <w:color w:val="auto"/>
                <w:sz w:val="21"/>
                <w:szCs w:val="21"/>
                <w:highlight w:val="none"/>
              </w:rPr>
              <w:t>（1）报价人具有独立法人资格及有效的营业执照。</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（2）报价人具有有效的《食品生产许可证》或《食品经营许可证》。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（3）报价人具有有效的食品销售或配送业务相关的ISO9001质量管理体系认证证书及ISO45001职业健康安全管理体系认证证书。</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（4）报价人须已投保有效的食品安全责任保险（保单累计责任限额不低于2000万元，每次事故责任限额不低于200万元），且在保险期间内。</w:t>
            </w:r>
          </w:p>
        </w:tc>
      </w:tr>
      <w:tr w14:paraId="16B1B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3C4E80FB">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571" w:type="dxa"/>
            <w:tcBorders>
              <w:top w:val="single" w:color="auto" w:sz="4" w:space="0"/>
              <w:left w:val="single" w:color="auto" w:sz="4" w:space="0"/>
              <w:bottom w:val="single" w:color="auto" w:sz="4" w:space="0"/>
              <w:right w:val="single" w:color="auto" w:sz="4" w:space="0"/>
            </w:tcBorders>
            <w:vAlign w:val="center"/>
          </w:tcPr>
          <w:p w14:paraId="1C1EE7E6">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678" w:type="dxa"/>
            <w:tcBorders>
              <w:top w:val="single" w:color="auto" w:sz="4" w:space="0"/>
              <w:left w:val="single" w:color="auto" w:sz="4" w:space="0"/>
              <w:bottom w:val="single" w:color="auto" w:sz="4" w:space="0"/>
              <w:right w:val="single" w:color="auto" w:sz="4" w:space="0"/>
            </w:tcBorders>
            <w:vAlign w:val="center"/>
          </w:tcPr>
          <w:p w14:paraId="451104A6">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报价人在2023年1月1日至竞争性比选文件发出之日（以合同签订时间为准）至少具有一个合同供货金额5万元及以上的类似生鲜食品配送或销售业绩（需提供合同及合同对应结算发票，结算发票金额不低于5万元，以发票金额为准）。</w:t>
            </w:r>
          </w:p>
        </w:tc>
      </w:tr>
      <w:tr w14:paraId="050B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70A3D2C">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571" w:type="dxa"/>
            <w:tcBorders>
              <w:top w:val="single" w:color="auto" w:sz="4" w:space="0"/>
              <w:left w:val="single" w:color="auto" w:sz="4" w:space="0"/>
              <w:bottom w:val="single" w:color="auto" w:sz="4" w:space="0"/>
              <w:right w:val="single" w:color="auto" w:sz="4" w:space="0"/>
            </w:tcBorders>
            <w:vAlign w:val="center"/>
          </w:tcPr>
          <w:p w14:paraId="608E2063">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678" w:type="dxa"/>
            <w:tcBorders>
              <w:top w:val="single" w:color="auto" w:sz="4" w:space="0"/>
              <w:left w:val="single" w:color="auto" w:sz="4" w:space="0"/>
              <w:bottom w:val="single" w:color="auto" w:sz="4" w:space="0"/>
              <w:right w:val="single" w:color="auto" w:sz="4" w:space="0"/>
            </w:tcBorders>
            <w:vAlign w:val="center"/>
          </w:tcPr>
          <w:p w14:paraId="1CD752AB">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5E073906">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14:paraId="72BF6874">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395E4D0A">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7D7EBB30">
      <w:pPr>
        <w:pStyle w:val="28"/>
        <w:rPr>
          <w:color w:val="auto"/>
          <w:highlight w:val="none"/>
        </w:rPr>
      </w:pPr>
    </w:p>
    <w:bookmarkEnd w:id="122"/>
    <w:bookmarkEnd w:id="123"/>
    <w:p w14:paraId="70D0093D">
      <w:pPr>
        <w:spacing w:line="440" w:lineRule="exact"/>
        <w:ind w:firstLine="210" w:firstLineChars="100"/>
        <w:rPr>
          <w:rFonts w:ascii="宋体" w:hAnsi="宋体" w:cs="宋体"/>
          <w:color w:val="auto"/>
          <w:highlight w:val="none"/>
        </w:rPr>
      </w:pPr>
    </w:p>
    <w:p w14:paraId="3E9C666D">
      <w:pPr>
        <w:pStyle w:val="2"/>
        <w:rPr>
          <w:rFonts w:ascii="宋体" w:hAnsi="宋体" w:cs="宋体"/>
          <w:color w:val="auto"/>
          <w:highlight w:val="none"/>
        </w:rPr>
      </w:pPr>
    </w:p>
    <w:p w14:paraId="6F91CC9F">
      <w:pPr>
        <w:rPr>
          <w:rFonts w:ascii="宋体" w:hAnsi="宋体" w:cs="宋体"/>
          <w:color w:val="auto"/>
          <w:highlight w:val="none"/>
        </w:rPr>
      </w:pPr>
    </w:p>
    <w:p w14:paraId="450A189E">
      <w:pPr>
        <w:pStyle w:val="2"/>
        <w:rPr>
          <w:rFonts w:ascii="宋体" w:hAnsi="宋体" w:cs="宋体"/>
          <w:color w:val="auto"/>
          <w:highlight w:val="none"/>
        </w:rPr>
      </w:pPr>
    </w:p>
    <w:p w14:paraId="0A0ECB79">
      <w:pPr>
        <w:rPr>
          <w:rFonts w:ascii="宋体" w:hAnsi="宋体" w:cs="宋体"/>
          <w:color w:val="auto"/>
          <w:highlight w:val="none"/>
        </w:rPr>
      </w:pPr>
    </w:p>
    <w:p w14:paraId="650699A3">
      <w:pPr>
        <w:rPr>
          <w:rFonts w:ascii="Times New Roman" w:hAnsi="Times New Roman" w:eastAsia="宋体" w:cs="Times New Roman"/>
          <w:kern w:val="2"/>
          <w:sz w:val="21"/>
          <w:szCs w:val="24"/>
          <w:lang w:val="en-US" w:eastAsia="zh-CN" w:bidi="ar-SA"/>
        </w:rPr>
      </w:pPr>
    </w:p>
    <w:p w14:paraId="70C0FC39">
      <w:pPr>
        <w:rPr>
          <w:color w:val="auto"/>
          <w:highlight w:val="none"/>
        </w:rPr>
      </w:pPr>
    </w:p>
    <w:p w14:paraId="1F737C32">
      <w:pPr>
        <w:pStyle w:val="3"/>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24" w:name="_Toc21198"/>
      <w:bookmarkStart w:id="125" w:name="_Toc29226"/>
      <w:r>
        <w:rPr>
          <w:rFonts w:hint="eastAsia" w:ascii="宋体" w:hAnsi="宋体" w:cs="宋体"/>
          <w:color w:val="auto"/>
          <w:highlight w:val="none"/>
        </w:rPr>
        <w:t>评标办法（经评审的最低投标价法）</w:t>
      </w:r>
      <w:bookmarkEnd w:id="124"/>
      <w:bookmarkEnd w:id="125"/>
    </w:p>
    <w:p w14:paraId="23ACF1C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2"/>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6657CF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jc w:val="center"/>
        </w:trPr>
        <w:tc>
          <w:tcPr>
            <w:tcW w:w="2024" w:type="dxa"/>
            <w:gridSpan w:val="2"/>
            <w:tcBorders>
              <w:top w:val="single" w:color="auto" w:sz="4" w:space="0"/>
              <w:bottom w:val="single" w:color="auto" w:sz="4" w:space="0"/>
              <w:right w:val="single" w:color="auto" w:sz="4" w:space="0"/>
            </w:tcBorders>
            <w:vAlign w:val="center"/>
          </w:tcPr>
          <w:p w14:paraId="09ACA65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39E24D6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评审因素</w:t>
            </w:r>
          </w:p>
        </w:tc>
        <w:tc>
          <w:tcPr>
            <w:tcW w:w="5004" w:type="dxa"/>
            <w:tcBorders>
              <w:top w:val="single" w:color="auto" w:sz="4" w:space="0"/>
              <w:left w:val="single" w:color="auto" w:sz="4" w:space="0"/>
              <w:bottom w:val="single" w:color="auto" w:sz="4" w:space="0"/>
            </w:tcBorders>
            <w:vAlign w:val="center"/>
          </w:tcPr>
          <w:p w14:paraId="671714B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b/>
                <w:color w:val="auto"/>
                <w:highlight w:val="none"/>
              </w:rPr>
            </w:pPr>
            <w:r>
              <w:rPr>
                <w:b/>
                <w:color w:val="auto"/>
                <w:highlight w:val="none"/>
              </w:rPr>
              <w:t>评审标准</w:t>
            </w:r>
          </w:p>
        </w:tc>
      </w:tr>
      <w:tr w14:paraId="67C388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restart"/>
            <w:tcBorders>
              <w:top w:val="single" w:color="auto" w:sz="4" w:space="0"/>
              <w:right w:val="single" w:color="auto" w:sz="4" w:space="0"/>
            </w:tcBorders>
            <w:vAlign w:val="center"/>
          </w:tcPr>
          <w:p w14:paraId="1FB6B8F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1</w:t>
            </w:r>
          </w:p>
        </w:tc>
        <w:tc>
          <w:tcPr>
            <w:tcW w:w="1124" w:type="dxa"/>
            <w:vMerge w:val="restart"/>
            <w:tcBorders>
              <w:top w:val="single" w:color="auto" w:sz="4" w:space="0"/>
              <w:left w:val="single" w:color="auto" w:sz="4" w:space="0"/>
              <w:right w:val="single" w:color="auto" w:sz="4" w:space="0"/>
            </w:tcBorders>
            <w:vAlign w:val="center"/>
          </w:tcPr>
          <w:p w14:paraId="7DCDE17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09E3C63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中标候选人排序方法</w:t>
            </w:r>
          </w:p>
        </w:tc>
        <w:tc>
          <w:tcPr>
            <w:tcW w:w="5004" w:type="dxa"/>
            <w:tcBorders>
              <w:top w:val="single" w:color="auto" w:sz="4" w:space="0"/>
              <w:left w:val="single" w:color="auto" w:sz="4" w:space="0"/>
              <w:bottom w:val="single" w:color="auto" w:sz="4" w:space="0"/>
            </w:tcBorders>
          </w:tcPr>
          <w:p w14:paraId="4788C08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如出现报价相等时，评审小组按以下原则确定第一中标候选人：</w:t>
            </w:r>
          </w:p>
          <w:p w14:paraId="2719EB4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以最早提交报价文件的报价人为第一中标候选人</w:t>
            </w:r>
            <w:r>
              <w:rPr>
                <w:color w:val="auto"/>
                <w:highlight w:val="none"/>
              </w:rPr>
              <w:t>。</w:t>
            </w:r>
          </w:p>
        </w:tc>
      </w:tr>
      <w:tr w14:paraId="7FD706F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900" w:type="dxa"/>
            <w:vMerge w:val="continue"/>
            <w:tcBorders>
              <w:right w:val="single" w:color="auto" w:sz="4" w:space="0"/>
            </w:tcBorders>
            <w:vAlign w:val="center"/>
          </w:tcPr>
          <w:p w14:paraId="778485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E2E3EF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7E42A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olor w:val="auto"/>
                <w:kern w:val="0"/>
              </w:rPr>
              <w:t>符合性审查</w:t>
            </w:r>
          </w:p>
        </w:tc>
        <w:tc>
          <w:tcPr>
            <w:tcW w:w="5004" w:type="dxa"/>
            <w:tcBorders>
              <w:top w:val="single" w:color="auto" w:sz="4" w:space="0"/>
              <w:left w:val="single" w:color="auto" w:sz="4" w:space="0"/>
              <w:bottom w:val="single" w:color="auto" w:sz="4" w:space="0"/>
            </w:tcBorders>
            <w:vAlign w:val="center"/>
          </w:tcPr>
          <w:p w14:paraId="56863E0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ascii="宋体" w:hAnsi="宋体"/>
                <w:color w:val="auto"/>
                <w:kern w:val="0"/>
              </w:rPr>
            </w:pPr>
            <w:r>
              <w:rPr>
                <w:rFonts w:hint="eastAsia" w:ascii="宋体" w:hAnsi="宋体"/>
                <w:color w:val="auto"/>
                <w:kern w:val="0"/>
              </w:rPr>
              <w:t>取报价排序前</w:t>
            </w:r>
            <w:r>
              <w:rPr>
                <w:rFonts w:hint="eastAsia" w:ascii="宋体" w:hAnsi="宋体"/>
                <w:color w:val="auto"/>
                <w:kern w:val="0"/>
                <w:highlight w:val="green"/>
                <w:lang w:eastAsia="zh-CN"/>
              </w:rPr>
              <w:t>□</w:t>
            </w:r>
            <w:r>
              <w:rPr>
                <w:rFonts w:hint="eastAsia" w:ascii="宋体" w:hAnsi="宋体"/>
                <w:color w:val="auto"/>
                <w:kern w:val="0"/>
                <w:highlight w:val="green"/>
              </w:rPr>
              <w:t>5</w:t>
            </w:r>
            <w:r>
              <w:rPr>
                <w:rFonts w:hint="eastAsia" w:ascii="宋体" w:hAnsi="宋体"/>
                <w:color w:val="auto"/>
                <w:kern w:val="0"/>
                <w:highlight w:val="green"/>
                <w:lang w:eastAsia="zh-CN"/>
              </w:rPr>
              <w:t>☑</w:t>
            </w:r>
            <w:r>
              <w:rPr>
                <w:rFonts w:hint="eastAsia" w:ascii="宋体" w:hAnsi="宋体"/>
                <w:color w:val="auto"/>
                <w:kern w:val="0"/>
                <w:highlight w:val="green"/>
              </w:rPr>
              <w:t>6□7名</w:t>
            </w:r>
            <w:r>
              <w:rPr>
                <w:rFonts w:hint="eastAsia" w:ascii="宋体" w:hAnsi="宋体"/>
                <w:color w:val="auto"/>
                <w:kern w:val="0"/>
              </w:rPr>
              <w:t>（若实际</w:t>
            </w:r>
            <w:r>
              <w:rPr>
                <w:rFonts w:hint="eastAsia" w:ascii="宋体" w:hAnsi="宋体"/>
                <w:color w:val="auto"/>
                <w:kern w:val="0"/>
                <w:lang w:val="en-US" w:eastAsia="zh-CN"/>
              </w:rPr>
              <w:t>报价</w:t>
            </w:r>
            <w:r>
              <w:rPr>
                <w:rFonts w:hint="eastAsia" w:ascii="宋体" w:hAnsi="宋体"/>
                <w:color w:val="auto"/>
                <w:kern w:val="0"/>
              </w:rPr>
              <w:t>人数量小于勾选数量，</w:t>
            </w:r>
            <w:r>
              <w:rPr>
                <w:rFonts w:hint="eastAsia" w:ascii="宋体" w:hAnsi="宋体"/>
                <w:color w:val="auto"/>
                <w:spacing w:val="4"/>
                <w:kern w:val="0"/>
                <w:szCs w:val="21"/>
              </w:rPr>
              <w:t>则全部纳入）进行符合性审查。符合性审查内容：形式评审、资格评审、响应性评审。符合性审查</w:t>
            </w:r>
            <w:r>
              <w:rPr>
                <w:rFonts w:hint="eastAsia" w:ascii="宋体" w:hAnsi="宋体"/>
                <w:color w:val="auto"/>
                <w:kern w:val="0"/>
              </w:rPr>
              <w:t>合格的</w:t>
            </w:r>
            <w:r>
              <w:rPr>
                <w:rFonts w:hint="eastAsia" w:ascii="宋体" w:hAnsi="宋体"/>
                <w:color w:val="auto"/>
                <w:kern w:val="0"/>
                <w:lang w:val="en-US" w:eastAsia="zh-CN"/>
              </w:rPr>
              <w:t>报价</w:t>
            </w:r>
            <w:r>
              <w:rPr>
                <w:rFonts w:hint="eastAsia" w:ascii="宋体" w:hAnsi="宋体"/>
                <w:color w:val="auto"/>
                <w:kern w:val="0"/>
              </w:rPr>
              <w:t>人中，报价最低的成为第一中标候选人，报价次低的成为第二中标候选人，依次类推。</w:t>
            </w:r>
          </w:p>
          <w:p w14:paraId="16EB79D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left"/>
              <w:textAlignment w:val="auto"/>
              <w:rPr>
                <w:rFonts w:hint="eastAsia"/>
                <w:color w:val="auto"/>
                <w:highlight w:val="none"/>
              </w:rPr>
            </w:pPr>
            <w:r>
              <w:rPr>
                <w:rFonts w:hint="eastAsia" w:ascii="宋体" w:hAnsi="宋体"/>
                <w:color w:val="auto"/>
                <w:kern w:val="0"/>
              </w:rPr>
              <w:t>符合性审查中有任何一项不符合要求，符合性审查不合格，</w:t>
            </w:r>
            <w:r>
              <w:rPr>
                <w:rFonts w:hint="eastAsia" w:ascii="宋体" w:hAnsi="宋体"/>
                <w:color w:val="auto"/>
                <w:kern w:val="0"/>
                <w:lang w:val="en-US" w:eastAsia="zh-CN"/>
              </w:rPr>
              <w:t>其</w:t>
            </w:r>
            <w:r>
              <w:rPr>
                <w:rFonts w:hint="eastAsia" w:ascii="宋体" w:hAnsi="宋体" w:cs="宋体"/>
                <w:color w:val="auto"/>
                <w:sz w:val="21"/>
                <w:szCs w:val="21"/>
                <w:highlight w:val="none"/>
                <w:lang w:eastAsia="zh-CN"/>
              </w:rPr>
              <w:t>竞争性比选响应文件</w:t>
            </w:r>
            <w:r>
              <w:rPr>
                <w:rFonts w:hint="eastAsia" w:ascii="宋体" w:hAnsi="宋体"/>
                <w:color w:val="auto"/>
                <w:kern w:val="0"/>
              </w:rPr>
              <w:t>由评标委员会作否决处理。</w:t>
            </w:r>
          </w:p>
        </w:tc>
      </w:tr>
      <w:tr w14:paraId="70B43E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right w:val="single" w:color="auto" w:sz="4" w:space="0"/>
            </w:tcBorders>
            <w:vAlign w:val="center"/>
          </w:tcPr>
          <w:p w14:paraId="706C024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2</w:t>
            </w:r>
          </w:p>
        </w:tc>
        <w:tc>
          <w:tcPr>
            <w:tcW w:w="1124" w:type="dxa"/>
            <w:vMerge w:val="restart"/>
            <w:tcBorders>
              <w:top w:val="single" w:color="auto" w:sz="4" w:space="0"/>
              <w:left w:val="single" w:color="auto" w:sz="4" w:space="0"/>
              <w:right w:val="single" w:color="auto" w:sz="4" w:space="0"/>
            </w:tcBorders>
            <w:vAlign w:val="center"/>
          </w:tcPr>
          <w:p w14:paraId="1DACD2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428A55D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人名称</w:t>
            </w:r>
          </w:p>
        </w:tc>
        <w:tc>
          <w:tcPr>
            <w:tcW w:w="5004" w:type="dxa"/>
            <w:tcBorders>
              <w:top w:val="single" w:color="auto" w:sz="4" w:space="0"/>
              <w:left w:val="single" w:color="auto" w:sz="4" w:space="0"/>
              <w:bottom w:val="single" w:color="auto" w:sz="4" w:space="0"/>
            </w:tcBorders>
            <w:vAlign w:val="center"/>
          </w:tcPr>
          <w:p w14:paraId="6107EED2">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asciiTheme="minorEastAsia" w:hAnsiTheme="minorEastAsia" w:eastAsiaTheme="minorEastAsia" w:cstheme="minorEastAsia"/>
                <w:color w:val="auto"/>
                <w:szCs w:val="21"/>
                <w:highlight w:val="none"/>
              </w:rPr>
              <w:t>与营业执照、资质证书一致。</w:t>
            </w:r>
          </w:p>
        </w:tc>
      </w:tr>
      <w:tr w14:paraId="142B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30F87E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15240A7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884453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报价</w:t>
            </w:r>
            <w:r>
              <w:rPr>
                <w:color w:val="auto"/>
                <w:highlight w:val="none"/>
              </w:rPr>
              <w:t>函签字盖章</w:t>
            </w:r>
          </w:p>
        </w:tc>
        <w:tc>
          <w:tcPr>
            <w:tcW w:w="5004" w:type="dxa"/>
            <w:tcBorders>
              <w:top w:val="single" w:color="auto" w:sz="4" w:space="0"/>
              <w:left w:val="single" w:color="auto" w:sz="4" w:space="0"/>
              <w:bottom w:val="single" w:color="auto" w:sz="4" w:space="0"/>
            </w:tcBorders>
            <w:vAlign w:val="center"/>
          </w:tcPr>
          <w:p w14:paraId="2CD22597">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有法定代表人或委托代理人签字或加盖单位公章。</w:t>
            </w:r>
          </w:p>
        </w:tc>
      </w:tr>
      <w:tr w14:paraId="6FBEFB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4B13A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03AE9DB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0B54B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竞争性</w:t>
            </w:r>
            <w:r>
              <w:rPr>
                <w:color w:val="auto"/>
                <w:highlight w:val="none"/>
              </w:rPr>
              <w:t>比选</w:t>
            </w:r>
          </w:p>
          <w:p w14:paraId="254706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响应文件格式</w:t>
            </w:r>
          </w:p>
        </w:tc>
        <w:tc>
          <w:tcPr>
            <w:tcW w:w="5004" w:type="dxa"/>
            <w:tcBorders>
              <w:top w:val="single" w:color="auto" w:sz="4" w:space="0"/>
              <w:left w:val="single" w:color="auto" w:sz="4" w:space="0"/>
              <w:bottom w:val="single" w:color="auto" w:sz="4" w:space="0"/>
            </w:tcBorders>
            <w:vAlign w:val="center"/>
          </w:tcPr>
          <w:p w14:paraId="01485D57">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w:t>
            </w:r>
            <w:r>
              <w:rPr>
                <w:rFonts w:hint="eastAsia"/>
                <w:color w:val="auto"/>
                <w:highlight w:val="none"/>
                <w:lang w:val="en-US" w:eastAsia="zh-CN"/>
              </w:rPr>
              <w:t>六</w:t>
            </w:r>
            <w:r>
              <w:rPr>
                <w:color w:val="auto"/>
                <w:highlight w:val="none"/>
              </w:rPr>
              <w:t>章</w:t>
            </w:r>
            <w:r>
              <w:rPr>
                <w:rFonts w:hint="eastAsia"/>
                <w:color w:val="auto"/>
                <w:highlight w:val="none"/>
                <w:lang w:eastAsia="zh-CN"/>
              </w:rPr>
              <w:t>“</w:t>
            </w:r>
            <w:r>
              <w:rPr>
                <w:rFonts w:hint="eastAsia"/>
                <w:color w:val="auto"/>
                <w:highlight w:val="none"/>
              </w:rPr>
              <w:t>竞争性</w:t>
            </w:r>
            <w:r>
              <w:rPr>
                <w:color w:val="auto"/>
                <w:highlight w:val="none"/>
              </w:rPr>
              <w:t>比选响应文件格式</w:t>
            </w:r>
            <w:r>
              <w:rPr>
                <w:rFonts w:hint="eastAsia"/>
                <w:color w:val="auto"/>
                <w:highlight w:val="none"/>
                <w:lang w:eastAsia="zh-CN"/>
              </w:rPr>
              <w:t>”</w:t>
            </w:r>
            <w:r>
              <w:rPr>
                <w:color w:val="auto"/>
                <w:highlight w:val="none"/>
              </w:rPr>
              <w:t>的要求，字迹清晰可辨。</w:t>
            </w:r>
          </w:p>
          <w:p w14:paraId="6ACF5CC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1.</w:t>
            </w:r>
            <w:r>
              <w:rPr>
                <w:rFonts w:hint="eastAsia"/>
                <w:color w:val="auto"/>
                <w:highlight w:val="none"/>
              </w:rPr>
              <w:t>报价</w:t>
            </w:r>
            <w:r>
              <w:rPr>
                <w:color w:val="auto"/>
                <w:highlight w:val="none"/>
              </w:rPr>
              <w:t>函的所有数据均符合</w:t>
            </w:r>
            <w:r>
              <w:rPr>
                <w:rFonts w:hint="eastAsia"/>
                <w:color w:val="auto"/>
                <w:highlight w:val="none"/>
              </w:rPr>
              <w:t>比选</w:t>
            </w:r>
            <w:r>
              <w:rPr>
                <w:color w:val="auto"/>
                <w:highlight w:val="none"/>
              </w:rPr>
              <w:t>文件的规定；</w:t>
            </w:r>
          </w:p>
          <w:p w14:paraId="50407E1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2.</w:t>
            </w:r>
            <w:r>
              <w:rPr>
                <w:rFonts w:hint="eastAsia"/>
                <w:color w:val="auto"/>
                <w:highlight w:val="none"/>
              </w:rPr>
              <w:t>竞争性</w:t>
            </w:r>
            <w:r>
              <w:rPr>
                <w:color w:val="auto"/>
                <w:highlight w:val="none"/>
              </w:rPr>
              <w:t>比选响应文件附表齐全完整，内容均按规定填写；</w:t>
            </w:r>
          </w:p>
        </w:tc>
      </w:tr>
      <w:tr w14:paraId="59F057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1DD41B7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FB4F26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3A67A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报价其它要求</w:t>
            </w:r>
          </w:p>
        </w:tc>
        <w:tc>
          <w:tcPr>
            <w:tcW w:w="5004" w:type="dxa"/>
            <w:tcBorders>
              <w:top w:val="single" w:color="auto" w:sz="4" w:space="0"/>
              <w:left w:val="single" w:color="auto" w:sz="4" w:space="0"/>
              <w:bottom w:val="single" w:color="auto" w:sz="4" w:space="0"/>
            </w:tcBorders>
            <w:vAlign w:val="center"/>
          </w:tcPr>
          <w:p w14:paraId="0306ACA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rFonts w:hint="eastAsia"/>
                <w:color w:val="auto"/>
                <w:highlight w:val="none"/>
              </w:rPr>
              <w:t>竞争性</w:t>
            </w:r>
            <w:r>
              <w:rPr>
                <w:color w:val="auto"/>
                <w:highlight w:val="none"/>
              </w:rPr>
              <w:t>比选响应文件报价表中的报价与</w:t>
            </w:r>
            <w:r>
              <w:rPr>
                <w:rFonts w:hint="eastAsia"/>
                <w:color w:val="auto"/>
                <w:highlight w:val="none"/>
              </w:rPr>
              <w:t>报价</w:t>
            </w:r>
            <w:r>
              <w:rPr>
                <w:color w:val="auto"/>
                <w:highlight w:val="none"/>
              </w:rPr>
              <w:t>书文字报价应保持一致。</w:t>
            </w:r>
          </w:p>
        </w:tc>
      </w:tr>
      <w:tr w14:paraId="35E5D2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right w:val="single" w:color="auto" w:sz="4" w:space="0"/>
            </w:tcBorders>
            <w:vAlign w:val="center"/>
          </w:tcPr>
          <w:p w14:paraId="4BE3B4D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right w:val="single" w:color="auto" w:sz="4" w:space="0"/>
            </w:tcBorders>
            <w:vAlign w:val="center"/>
          </w:tcPr>
          <w:p w14:paraId="3004574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shd w:val="clear" w:color="auto" w:fill="auto"/>
            <w:vAlign w:val="center"/>
          </w:tcPr>
          <w:p w14:paraId="5F2B6F1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shd w:val="clear" w:color="auto" w:fill="auto"/>
            <w:vAlign w:val="center"/>
          </w:tcPr>
          <w:p w14:paraId="05945F69">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color w:val="auto"/>
                <w:highlight w:val="none"/>
              </w:rPr>
              <w:t>竞争性</w:t>
            </w:r>
            <w:r>
              <w:rPr>
                <w:color w:val="auto"/>
                <w:highlight w:val="none"/>
              </w:rPr>
              <w:t>比选响应文件正本中法定代表人或授权代理人签署姓名齐全，符合</w:t>
            </w:r>
            <w:r>
              <w:rPr>
                <w:rFonts w:hint="eastAsia"/>
                <w:color w:val="auto"/>
                <w:highlight w:val="none"/>
              </w:rPr>
              <w:t>比选</w:t>
            </w:r>
            <w:r>
              <w:rPr>
                <w:color w:val="auto"/>
                <w:highlight w:val="none"/>
              </w:rPr>
              <w:t>文件规定；</w:t>
            </w:r>
          </w:p>
        </w:tc>
      </w:tr>
      <w:tr w14:paraId="056AAA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6CC99A8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2F6B34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right w:val="single" w:color="auto" w:sz="4" w:space="0"/>
            </w:tcBorders>
            <w:vAlign w:val="center"/>
          </w:tcPr>
          <w:p w14:paraId="1210247D">
            <w:pPr>
              <w:keepNext w:val="0"/>
              <w:keepLines w:val="0"/>
              <w:pageBreakBefore w:val="0"/>
              <w:widowControl w:val="0"/>
              <w:kinsoku/>
              <w:wordWrap/>
              <w:overflowPunct/>
              <w:topLinePunct w:val="0"/>
              <w:autoSpaceDE/>
              <w:autoSpaceDN/>
              <w:bidi w:val="0"/>
              <w:adjustRightInd/>
              <w:snapToGrid/>
              <w:spacing w:beforeAutospacing="0" w:line="400" w:lineRule="exact"/>
              <w:jc w:val="center"/>
              <w:textAlignment w:val="auto"/>
              <w:rPr>
                <w:color w:val="auto"/>
                <w:highlight w:val="none"/>
              </w:rPr>
            </w:pPr>
            <w:r>
              <w:rPr>
                <w:rFonts w:hint="eastAsia" w:asciiTheme="minorEastAsia" w:hAnsiTheme="minorEastAsia" w:eastAsiaTheme="minorEastAsia" w:cstheme="minorEastAsia"/>
                <w:color w:val="auto"/>
                <w:szCs w:val="21"/>
                <w:highlight w:val="none"/>
              </w:rPr>
              <w:t>其它</w:t>
            </w:r>
          </w:p>
        </w:tc>
        <w:tc>
          <w:tcPr>
            <w:tcW w:w="5004" w:type="dxa"/>
            <w:tcBorders>
              <w:top w:val="single" w:color="auto" w:sz="4" w:space="0"/>
              <w:left w:val="single" w:color="auto" w:sz="4" w:space="0"/>
              <w:bottom w:val="single" w:color="auto" w:sz="4" w:space="0"/>
            </w:tcBorders>
            <w:vAlign w:val="center"/>
          </w:tcPr>
          <w:p w14:paraId="122DAFE2">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color w:val="auto"/>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14:paraId="087717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15C1B1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3AEEEAB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6974744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sz w:val="21"/>
                <w:szCs w:val="21"/>
                <w:highlight w:val="none"/>
                <w:lang w:val="en-US" w:eastAsia="zh-CN"/>
              </w:rPr>
              <w:t>资质要求</w:t>
            </w:r>
          </w:p>
        </w:tc>
        <w:tc>
          <w:tcPr>
            <w:tcW w:w="5004" w:type="dxa"/>
            <w:tcBorders>
              <w:top w:val="single" w:color="auto" w:sz="4" w:space="0"/>
              <w:left w:val="single" w:color="auto" w:sz="4" w:space="0"/>
              <w:bottom w:val="single" w:color="auto" w:sz="4" w:space="0"/>
            </w:tcBorders>
            <w:vAlign w:val="center"/>
          </w:tcPr>
          <w:p w14:paraId="27CDB85F">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74A535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73AFDA8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9B7736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1D0B7B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业绩要求</w:t>
            </w:r>
          </w:p>
        </w:tc>
        <w:tc>
          <w:tcPr>
            <w:tcW w:w="5004" w:type="dxa"/>
            <w:tcBorders>
              <w:top w:val="single" w:color="auto" w:sz="4" w:space="0"/>
              <w:left w:val="single" w:color="auto" w:sz="4" w:space="0"/>
              <w:bottom w:val="single" w:color="auto" w:sz="4" w:space="0"/>
            </w:tcBorders>
            <w:vAlign w:val="center"/>
          </w:tcPr>
          <w:p w14:paraId="62CE6694">
            <w:pPr>
              <w:keepNext w:val="0"/>
              <w:keepLines w:val="0"/>
              <w:pageBreakBefore w:val="0"/>
              <w:widowControl w:val="0"/>
              <w:kinsoku/>
              <w:wordWrap/>
              <w:overflowPunct/>
              <w:topLinePunct w:val="0"/>
              <w:autoSpaceDE/>
              <w:autoSpaceDN/>
              <w:bidi w:val="0"/>
              <w:adjustRightInd/>
              <w:snapToGrid/>
              <w:spacing w:line="400" w:lineRule="exact"/>
              <w:jc w:val="both"/>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32C519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0FA5F36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B9ACCD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3DD1DE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信誉要求</w:t>
            </w:r>
          </w:p>
        </w:tc>
        <w:tc>
          <w:tcPr>
            <w:tcW w:w="5004" w:type="dxa"/>
            <w:tcBorders>
              <w:top w:val="single" w:color="auto" w:sz="4" w:space="0"/>
              <w:left w:val="single" w:color="auto" w:sz="4" w:space="0"/>
              <w:bottom w:val="single" w:color="auto" w:sz="4" w:space="0"/>
            </w:tcBorders>
            <w:vAlign w:val="center"/>
          </w:tcPr>
          <w:p w14:paraId="748A078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rPr>
              <w:t>8</w:t>
            </w:r>
            <w:r>
              <w:rPr>
                <w:color w:val="auto"/>
                <w:highlight w:val="none"/>
              </w:rPr>
              <w:t>项规定</w:t>
            </w:r>
          </w:p>
        </w:tc>
      </w:tr>
      <w:tr w14:paraId="6EBB48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restart"/>
            <w:tcBorders>
              <w:top w:val="single" w:color="auto" w:sz="4" w:space="0"/>
              <w:bottom w:val="single" w:color="auto" w:sz="4" w:space="0"/>
              <w:right w:val="single" w:color="auto" w:sz="4" w:space="0"/>
            </w:tcBorders>
            <w:vAlign w:val="center"/>
          </w:tcPr>
          <w:p w14:paraId="65D80C3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4E7F54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527233E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ascii="宋体" w:hAnsi="宋体" w:cs="宋体"/>
                <w:color w:val="auto"/>
                <w:lang w:val="en-US" w:eastAsia="zh-CN"/>
              </w:rPr>
              <w:t>服务地点</w:t>
            </w:r>
          </w:p>
        </w:tc>
        <w:tc>
          <w:tcPr>
            <w:tcW w:w="5004" w:type="dxa"/>
            <w:tcBorders>
              <w:top w:val="single" w:color="auto" w:sz="4" w:space="0"/>
              <w:left w:val="single" w:color="auto" w:sz="4" w:space="0"/>
              <w:bottom w:val="single" w:color="auto" w:sz="4" w:space="0"/>
            </w:tcBorders>
            <w:vAlign w:val="center"/>
          </w:tcPr>
          <w:p w14:paraId="506E050C">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14:paraId="4159A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312C190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rPr>
            </w:pPr>
          </w:p>
        </w:tc>
        <w:tc>
          <w:tcPr>
            <w:tcW w:w="1124" w:type="dxa"/>
            <w:vMerge w:val="continue"/>
            <w:tcBorders>
              <w:left w:val="single" w:color="auto" w:sz="4" w:space="0"/>
              <w:right w:val="single" w:color="auto" w:sz="4" w:space="0"/>
            </w:tcBorders>
            <w:vAlign w:val="center"/>
          </w:tcPr>
          <w:p w14:paraId="424741F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EA6E83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ascii="宋体" w:hAnsi="宋体" w:cs="宋体"/>
                <w:color w:val="auto"/>
              </w:rPr>
              <w:t>项目规模</w:t>
            </w:r>
          </w:p>
        </w:tc>
        <w:tc>
          <w:tcPr>
            <w:tcW w:w="5004" w:type="dxa"/>
            <w:tcBorders>
              <w:top w:val="single" w:color="auto" w:sz="4" w:space="0"/>
              <w:left w:val="single" w:color="auto" w:sz="4" w:space="0"/>
              <w:bottom w:val="single" w:color="auto" w:sz="4" w:space="0"/>
            </w:tcBorders>
            <w:vAlign w:val="center"/>
          </w:tcPr>
          <w:p w14:paraId="1FE79CA0">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14:paraId="0E7841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5158CE1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77DD6B0B">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97C6FB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eastAsia="宋体"/>
                <w:color w:val="auto"/>
                <w:highlight w:val="none"/>
                <w:lang w:val="en-US" w:eastAsia="zh-CN"/>
              </w:rPr>
            </w:pPr>
            <w:r>
              <w:rPr>
                <w:rFonts w:hint="eastAsia"/>
                <w:color w:val="auto"/>
                <w:highlight w:val="none"/>
                <w:lang w:val="en-US" w:eastAsia="zh-CN"/>
              </w:rPr>
              <w:t>投标内容</w:t>
            </w:r>
          </w:p>
        </w:tc>
        <w:tc>
          <w:tcPr>
            <w:tcW w:w="5004" w:type="dxa"/>
            <w:tcBorders>
              <w:top w:val="single" w:color="auto" w:sz="4" w:space="0"/>
              <w:left w:val="single" w:color="auto" w:sz="4" w:space="0"/>
              <w:bottom w:val="single" w:color="auto" w:sz="4" w:space="0"/>
            </w:tcBorders>
            <w:vAlign w:val="center"/>
          </w:tcPr>
          <w:p w14:paraId="5AF03C37">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14:paraId="0916EA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24DE6C8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530DB40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96E38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Cs w:val="21"/>
                <w:highlight w:val="none"/>
                <w:lang w:val="en-US" w:eastAsia="zh-CN"/>
              </w:rPr>
            </w:pPr>
            <w:r>
              <w:rPr>
                <w:rFonts w:hint="eastAsia" w:ascii="宋体" w:hAnsi="宋体" w:cs="宋体"/>
                <w:color w:val="auto"/>
              </w:rPr>
              <w:t>服务期限</w:t>
            </w:r>
          </w:p>
        </w:tc>
        <w:tc>
          <w:tcPr>
            <w:tcW w:w="5004" w:type="dxa"/>
            <w:tcBorders>
              <w:top w:val="single" w:color="auto" w:sz="4" w:space="0"/>
              <w:left w:val="single" w:color="auto" w:sz="4" w:space="0"/>
              <w:bottom w:val="single" w:color="auto" w:sz="4" w:space="0"/>
            </w:tcBorders>
            <w:vAlign w:val="center"/>
          </w:tcPr>
          <w:p w14:paraId="0F7F3F3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14:paraId="21CF6E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88959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34940CB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AE5E8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color w:val="auto"/>
                <w:highlight w:val="none"/>
                <w:lang w:val="en-US" w:eastAsia="zh-CN"/>
              </w:rPr>
            </w:pPr>
            <w:r>
              <w:rPr>
                <w:rFonts w:hint="eastAsia" w:ascii="宋体" w:hAnsi="宋体" w:cs="宋体"/>
                <w:color w:val="auto"/>
                <w:szCs w:val="21"/>
                <w:highlight w:val="none"/>
                <w:lang w:val="en-US" w:eastAsia="zh-CN"/>
              </w:rPr>
              <w:t>服务要求</w:t>
            </w:r>
          </w:p>
        </w:tc>
        <w:tc>
          <w:tcPr>
            <w:tcW w:w="5004" w:type="dxa"/>
            <w:tcBorders>
              <w:top w:val="single" w:color="auto" w:sz="4" w:space="0"/>
              <w:left w:val="single" w:color="auto" w:sz="4" w:space="0"/>
              <w:bottom w:val="single" w:color="auto" w:sz="4" w:space="0"/>
            </w:tcBorders>
            <w:vAlign w:val="center"/>
          </w:tcPr>
          <w:p w14:paraId="018D6F61">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14:paraId="77F0E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right w:val="single" w:color="auto" w:sz="4" w:space="0"/>
            </w:tcBorders>
            <w:vAlign w:val="center"/>
          </w:tcPr>
          <w:p w14:paraId="0ABAEA97">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left w:val="single" w:color="auto" w:sz="4" w:space="0"/>
              <w:right w:val="single" w:color="auto" w:sz="4" w:space="0"/>
            </w:tcBorders>
            <w:vAlign w:val="center"/>
          </w:tcPr>
          <w:p w14:paraId="68B5B76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255F92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报价</w:t>
            </w:r>
          </w:p>
        </w:tc>
        <w:tc>
          <w:tcPr>
            <w:tcW w:w="5004" w:type="dxa"/>
            <w:tcBorders>
              <w:top w:val="single" w:color="auto" w:sz="4" w:space="0"/>
              <w:left w:val="single" w:color="auto" w:sz="4" w:space="0"/>
              <w:bottom w:val="single" w:color="auto" w:sz="4" w:space="0"/>
            </w:tcBorders>
            <w:vAlign w:val="center"/>
          </w:tcPr>
          <w:p w14:paraId="06345694">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14:paraId="6E008F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5B3B08C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5FE2D3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0D73CC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偏差</w:t>
            </w:r>
          </w:p>
        </w:tc>
        <w:tc>
          <w:tcPr>
            <w:tcW w:w="5004" w:type="dxa"/>
            <w:tcBorders>
              <w:top w:val="single" w:color="auto" w:sz="4" w:space="0"/>
              <w:left w:val="single" w:color="auto" w:sz="4" w:space="0"/>
              <w:bottom w:val="single" w:color="auto" w:sz="4" w:space="0"/>
            </w:tcBorders>
            <w:vAlign w:val="center"/>
          </w:tcPr>
          <w:p w14:paraId="2140180D">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14:paraId="6D4743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vMerge w:val="continue"/>
            <w:tcBorders>
              <w:top w:val="single" w:color="auto" w:sz="4" w:space="0"/>
              <w:bottom w:val="single" w:color="auto" w:sz="4" w:space="0"/>
              <w:right w:val="single" w:color="auto" w:sz="4" w:space="0"/>
            </w:tcBorders>
            <w:vAlign w:val="center"/>
          </w:tcPr>
          <w:p w14:paraId="4F75916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1D5E4144">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45BBE9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宋体"/>
                <w:color w:val="auto"/>
                <w:highlight w:val="none"/>
                <w:lang w:eastAsia="zh-CN"/>
              </w:rPr>
            </w:pPr>
            <w:r>
              <w:rPr>
                <w:rFonts w:hint="eastAsia"/>
                <w:color w:val="auto"/>
                <w:highlight w:val="none"/>
                <w:lang w:val="en-US" w:eastAsia="zh-CN"/>
              </w:rPr>
              <w:t>保证金</w:t>
            </w:r>
          </w:p>
        </w:tc>
        <w:tc>
          <w:tcPr>
            <w:tcW w:w="5004" w:type="dxa"/>
            <w:tcBorders>
              <w:top w:val="single" w:color="auto" w:sz="4" w:space="0"/>
              <w:left w:val="single" w:color="auto" w:sz="4" w:space="0"/>
              <w:bottom w:val="single" w:color="auto" w:sz="4" w:space="0"/>
            </w:tcBorders>
            <w:vAlign w:val="center"/>
          </w:tcPr>
          <w:p w14:paraId="2148F25A">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14:paraId="26C8CD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jc w:val="center"/>
        </w:trPr>
        <w:tc>
          <w:tcPr>
            <w:tcW w:w="900" w:type="dxa"/>
            <w:tcBorders>
              <w:top w:val="single" w:color="auto" w:sz="4" w:space="0"/>
              <w:bottom w:val="single" w:color="auto" w:sz="4" w:space="0"/>
              <w:right w:val="single" w:color="auto" w:sz="4" w:space="0"/>
            </w:tcBorders>
            <w:vAlign w:val="center"/>
          </w:tcPr>
          <w:p w14:paraId="5DA7776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rFonts w:hint="eastAsia"/>
                <w:color w:val="auto"/>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4F2A63F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color w:val="auto"/>
                <w:highlight w:val="none"/>
              </w:rPr>
            </w:pPr>
            <w:r>
              <w:rPr>
                <w:color w:val="auto"/>
                <w:highlight w:val="none"/>
              </w:rPr>
              <w:t>评标结果</w:t>
            </w:r>
          </w:p>
        </w:tc>
        <w:tc>
          <w:tcPr>
            <w:tcW w:w="7121" w:type="dxa"/>
            <w:gridSpan w:val="2"/>
            <w:tcBorders>
              <w:top w:val="single" w:color="auto" w:sz="4" w:space="0"/>
              <w:left w:val="single" w:color="auto" w:sz="4" w:space="0"/>
              <w:bottom w:val="single" w:color="auto" w:sz="4" w:space="0"/>
            </w:tcBorders>
          </w:tcPr>
          <w:p w14:paraId="7E622044">
            <w:pPr>
              <w:keepNext w:val="0"/>
              <w:keepLines w:val="0"/>
              <w:pageBreakBefore w:val="0"/>
              <w:widowControl w:val="0"/>
              <w:kinsoku/>
              <w:wordWrap/>
              <w:overflowPunct/>
              <w:topLinePunct w:val="0"/>
              <w:autoSpaceDE/>
              <w:autoSpaceDN/>
              <w:bidi w:val="0"/>
              <w:adjustRightInd/>
              <w:snapToGrid/>
              <w:spacing w:line="400" w:lineRule="exact"/>
              <w:ind w:firstLine="420"/>
              <w:textAlignment w:val="auto"/>
              <w:rPr>
                <w:color w:val="auto"/>
                <w:highlight w:val="none"/>
              </w:rPr>
            </w:pPr>
            <w:r>
              <w:rPr>
                <w:color w:val="auto"/>
                <w:highlight w:val="none"/>
              </w:rPr>
              <w:t>补充细化：</w:t>
            </w:r>
          </w:p>
          <w:p w14:paraId="28DB1DC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color w:val="auto"/>
                <w:highlight w:val="none"/>
              </w:rPr>
            </w:pPr>
            <w:r>
              <w:rPr>
                <w:color w:val="auto"/>
                <w:highlight w:val="none"/>
              </w:rPr>
              <w:t>本项目评标采用经评审的最低投标价法，对通过初步评审、详细评审的</w:t>
            </w:r>
            <w:r>
              <w:rPr>
                <w:rFonts w:hint="eastAsia"/>
                <w:color w:val="auto"/>
                <w:highlight w:val="none"/>
              </w:rPr>
              <w:t>报价</w:t>
            </w:r>
            <w:r>
              <w:rPr>
                <w:color w:val="auto"/>
                <w:highlight w:val="none"/>
              </w:rPr>
              <w:t>人按照</w:t>
            </w:r>
            <w:r>
              <w:rPr>
                <w:rFonts w:hint="eastAsia"/>
                <w:color w:val="auto"/>
                <w:highlight w:val="none"/>
              </w:rPr>
              <w:t>报</w:t>
            </w:r>
            <w:r>
              <w:rPr>
                <w:color w:val="auto"/>
                <w:highlight w:val="none"/>
              </w:rPr>
              <w:t>价从低到高的先后顺序，推荐</w:t>
            </w:r>
            <w:r>
              <w:rPr>
                <w:rFonts w:hint="eastAsia"/>
                <w:color w:val="auto"/>
                <w:highlight w:val="none"/>
              </w:rPr>
              <w:t>2</w:t>
            </w:r>
            <w:r>
              <w:rPr>
                <w:color w:val="auto"/>
                <w:highlight w:val="none"/>
              </w:rPr>
              <w:t>名中标候选人。</w:t>
            </w:r>
          </w:p>
        </w:tc>
      </w:tr>
    </w:tbl>
    <w:p w14:paraId="17AA3CED">
      <w:pPr>
        <w:rPr>
          <w:color w:val="auto"/>
          <w:highlight w:val="none"/>
        </w:rPr>
      </w:pPr>
    </w:p>
    <w:p w14:paraId="766D30F7">
      <w:pPr>
        <w:rPr>
          <w:rFonts w:hint="eastAsia" w:ascii="宋体" w:hAnsi="宋体" w:cs="宋体"/>
          <w:color w:val="auto"/>
          <w:sz w:val="28"/>
          <w:szCs w:val="28"/>
          <w:highlight w:val="none"/>
        </w:rPr>
      </w:pPr>
      <w:r>
        <w:rPr>
          <w:rFonts w:hint="eastAsia" w:ascii="宋体" w:hAnsi="宋体" w:cs="宋体"/>
          <w:color w:val="auto"/>
          <w:sz w:val="28"/>
          <w:szCs w:val="28"/>
          <w:highlight w:val="none"/>
        </w:rPr>
        <w:br w:type="page"/>
      </w:r>
    </w:p>
    <w:p w14:paraId="431C2C6F">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rPr>
      </w:pPr>
      <w:bookmarkStart w:id="126" w:name="_Toc15534"/>
      <w:bookmarkStart w:id="127" w:name="_Toc1506"/>
      <w:r>
        <w:rPr>
          <w:rFonts w:hint="eastAsia" w:ascii="宋体" w:hAnsi="宋体" w:cs="宋体"/>
          <w:color w:val="auto"/>
          <w:sz w:val="21"/>
          <w:szCs w:val="21"/>
          <w:highlight w:val="none"/>
        </w:rPr>
        <w:t>1. 评标方法</w:t>
      </w:r>
      <w:bookmarkEnd w:id="126"/>
      <w:bookmarkEnd w:id="127"/>
    </w:p>
    <w:p w14:paraId="069E640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9"/>
        <w:rPr>
          <w:rFonts w:ascii="宋体" w:hAnsi="宋体"/>
          <w:color w:val="auto"/>
          <w:sz w:val="21"/>
          <w:szCs w:val="21"/>
          <w:highlight w:val="none"/>
        </w:rPr>
      </w:pPr>
      <w:r>
        <w:rPr>
          <w:rFonts w:hint="eastAsia" w:ascii="宋体" w:hAnsi="宋体"/>
          <w:color w:val="auto"/>
          <w:sz w:val="21"/>
          <w:szCs w:val="21"/>
          <w:highlight w:val="none"/>
        </w:rPr>
        <w:t>本次评标采用经评审的最低投标价法，评标委员会按照本章第2.1款进行报价排序，按照本章第2.2款进行符合性审查，符合性审查合格的</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中按报价由低到高推荐中标候选人，或根据采购人授权直接确定中标人。若出现</w:t>
      </w:r>
      <w:r>
        <w:rPr>
          <w:rFonts w:hint="eastAsia" w:ascii="宋体" w:hAnsi="宋体"/>
          <w:color w:val="auto"/>
          <w:sz w:val="21"/>
          <w:szCs w:val="21"/>
          <w:highlight w:val="none"/>
          <w:lang w:eastAsia="zh-CN"/>
        </w:rPr>
        <w:t>报价人</w:t>
      </w:r>
      <w:r>
        <w:rPr>
          <w:rFonts w:hint="eastAsia" w:ascii="宋体" w:hAnsi="宋体"/>
          <w:color w:val="auto"/>
          <w:sz w:val="21"/>
          <w:szCs w:val="21"/>
          <w:highlight w:val="none"/>
        </w:rPr>
        <w:t>投标报价相同的，以评标办法前附表约定的原则确定排序。</w:t>
      </w:r>
    </w:p>
    <w:p w14:paraId="6F2EF1C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outlineLvl w:val="1"/>
        <w:rPr>
          <w:rFonts w:hint="eastAsia" w:ascii="宋体" w:hAnsi="宋体" w:cs="宋体"/>
          <w:color w:val="auto"/>
          <w:sz w:val="21"/>
          <w:szCs w:val="21"/>
          <w:highlight w:val="none"/>
        </w:rPr>
      </w:pPr>
      <w:bookmarkStart w:id="128" w:name="_Toc4220"/>
      <w:bookmarkStart w:id="129" w:name="_Toc57795919"/>
      <w:bookmarkStart w:id="130" w:name="_Toc2783"/>
      <w:bookmarkStart w:id="131" w:name="_Toc14299"/>
      <w:bookmarkStart w:id="132" w:name="_Toc33106442"/>
      <w:r>
        <w:rPr>
          <w:rFonts w:hint="eastAsia" w:ascii="宋体" w:hAnsi="宋体" w:cs="宋体"/>
          <w:color w:val="auto"/>
          <w:sz w:val="21"/>
          <w:szCs w:val="21"/>
          <w:highlight w:val="none"/>
        </w:rPr>
        <w:t>2. 评审标准</w:t>
      </w:r>
      <w:bookmarkEnd w:id="128"/>
      <w:bookmarkEnd w:id="129"/>
      <w:bookmarkEnd w:id="130"/>
      <w:bookmarkEnd w:id="131"/>
      <w:bookmarkEnd w:id="132"/>
    </w:p>
    <w:p w14:paraId="70625C84">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33" w:name="_Toc33106443"/>
      <w:bookmarkStart w:id="134" w:name="_Toc57795920"/>
      <w:r>
        <w:rPr>
          <w:rFonts w:hint="eastAsia" w:ascii="宋体" w:hAnsi="宋体" w:cs="宋体"/>
          <w:color w:val="auto"/>
          <w:sz w:val="21"/>
          <w:szCs w:val="21"/>
          <w:highlight w:val="none"/>
        </w:rPr>
        <w:t>2.1报价排序</w:t>
      </w:r>
      <w:bookmarkEnd w:id="133"/>
      <w:r>
        <w:rPr>
          <w:rFonts w:hint="eastAsia" w:ascii="宋体" w:hAnsi="宋体" w:cs="宋体"/>
          <w:color w:val="auto"/>
          <w:sz w:val="21"/>
          <w:szCs w:val="21"/>
          <w:highlight w:val="none"/>
        </w:rPr>
        <w:t>标准</w:t>
      </w:r>
      <w:bookmarkEnd w:id="134"/>
    </w:p>
    <w:p w14:paraId="0ED03A6E">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见评标办法前附表。</w:t>
      </w:r>
    </w:p>
    <w:p w14:paraId="12C931D6">
      <w:pPr>
        <w:pageBreakBefore w:val="0"/>
        <w:widowControl w:val="0"/>
        <w:kinsoku/>
        <w:wordWrap/>
        <w:overflowPunct/>
        <w:topLinePunct w:val="0"/>
        <w:bidi w:val="0"/>
        <w:spacing w:before="0" w:after="0" w:line="400" w:lineRule="exact"/>
        <w:textAlignment w:val="auto"/>
        <w:outlineLvl w:val="9"/>
        <w:rPr>
          <w:rFonts w:ascii="宋体" w:hAnsi="宋体" w:cs="宋体"/>
          <w:color w:val="auto"/>
          <w:sz w:val="21"/>
          <w:szCs w:val="21"/>
          <w:highlight w:val="none"/>
        </w:rPr>
      </w:pPr>
      <w:bookmarkStart w:id="135" w:name="_Toc33106444"/>
      <w:bookmarkStart w:id="136" w:name="_Toc57795921"/>
      <w:r>
        <w:rPr>
          <w:rFonts w:ascii="宋体" w:hAnsi="宋体" w:cs="宋体"/>
          <w:color w:val="auto"/>
          <w:sz w:val="21"/>
          <w:szCs w:val="21"/>
          <w:highlight w:val="none"/>
        </w:rPr>
        <w:t>2.</w:t>
      </w:r>
      <w:r>
        <w:rPr>
          <w:rFonts w:hint="eastAsia" w:ascii="宋体" w:hAnsi="宋体" w:cs="宋体"/>
          <w:color w:val="auto"/>
          <w:sz w:val="21"/>
          <w:szCs w:val="21"/>
          <w:highlight w:val="none"/>
        </w:rPr>
        <w:t>2符合性审查</w:t>
      </w:r>
      <w:bookmarkEnd w:id="135"/>
      <w:r>
        <w:rPr>
          <w:rFonts w:hint="eastAsia" w:ascii="宋体" w:hAnsi="宋体" w:cs="宋体"/>
          <w:color w:val="auto"/>
          <w:sz w:val="21"/>
          <w:szCs w:val="21"/>
          <w:highlight w:val="none"/>
        </w:rPr>
        <w:t>标准</w:t>
      </w:r>
      <w:bookmarkEnd w:id="136"/>
    </w:p>
    <w:p w14:paraId="65FE678C">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按评标办法前附表约定的投标单位报价排序数量进行符合性审查</w:t>
      </w:r>
      <w:r>
        <w:rPr>
          <w:rFonts w:hint="eastAsia" w:ascii="宋体" w:hAnsi="宋体"/>
          <w:color w:val="auto"/>
          <w:spacing w:val="4"/>
          <w:kern w:val="0"/>
          <w:sz w:val="21"/>
          <w:szCs w:val="21"/>
          <w:highlight w:val="none"/>
        </w:rPr>
        <w:t>。符合性审查内容：技术方案评审（如有）、形式评审、资格评审、响应性、响应声明书部分及经济部分（如有）评审</w:t>
      </w:r>
      <w:r>
        <w:rPr>
          <w:rFonts w:hint="eastAsia" w:ascii="宋体" w:hAnsi="宋体" w:cs="宋体"/>
          <w:color w:val="auto"/>
          <w:sz w:val="21"/>
          <w:szCs w:val="21"/>
          <w:highlight w:val="none"/>
        </w:rPr>
        <w:t>。</w:t>
      </w:r>
    </w:p>
    <w:p w14:paraId="58707076">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2.2.1  形式评审标准：见评标办法前附表。</w:t>
      </w:r>
    </w:p>
    <w:p w14:paraId="4ADA8C60">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2  资格评审标准：见评标办法前附表。</w:t>
      </w:r>
    </w:p>
    <w:p w14:paraId="3064A10D">
      <w:pPr>
        <w:keepNext w:val="0"/>
        <w:keepLines w:val="0"/>
        <w:pageBreakBefore w:val="0"/>
        <w:widowControl w:val="0"/>
        <w:kinsoku/>
        <w:wordWrap/>
        <w:overflowPunct/>
        <w:topLinePunct w:val="0"/>
        <w:autoSpaceDE w:val="0"/>
        <w:autoSpaceDN w:val="0"/>
        <w:bidi w:val="0"/>
        <w:adjustRightInd w:val="0"/>
        <w:snapToGrid w:val="0"/>
        <w:spacing w:line="400" w:lineRule="exact"/>
        <w:ind w:firstLine="420" w:firstLineChars="200"/>
        <w:jc w:val="left"/>
        <w:textAlignment w:val="auto"/>
        <w:outlineLvl w:val="9"/>
        <w:rPr>
          <w:rFonts w:hint="eastAsia" w:ascii="宋体" w:hAnsi="宋体" w:cs="宋体"/>
          <w:color w:val="auto"/>
          <w:sz w:val="21"/>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2</w:t>
      </w:r>
      <w:r>
        <w:rPr>
          <w:rFonts w:ascii="宋体" w:hAnsi="宋体" w:cs="宋体"/>
          <w:color w:val="auto"/>
          <w:sz w:val="21"/>
          <w:szCs w:val="21"/>
          <w:highlight w:val="none"/>
        </w:rPr>
        <w:t>.</w:t>
      </w:r>
      <w:r>
        <w:rPr>
          <w:rFonts w:hint="eastAsia" w:ascii="宋体" w:hAnsi="宋体" w:cs="宋体"/>
          <w:color w:val="auto"/>
          <w:sz w:val="21"/>
          <w:szCs w:val="21"/>
          <w:highlight w:val="none"/>
        </w:rPr>
        <w:t>3  响应性评审标准：见评标办法前附表。</w:t>
      </w:r>
      <w:bookmarkStart w:id="137" w:name="_Toc8634"/>
      <w:bookmarkStart w:id="138" w:name="_Toc33106445"/>
      <w:bookmarkStart w:id="139" w:name="_Toc57795922"/>
    </w:p>
    <w:p w14:paraId="4D52E134">
      <w:pPr>
        <w:keepNext w:val="0"/>
        <w:keepLines w:val="0"/>
        <w:pageBreakBefore w:val="0"/>
        <w:widowControl w:val="0"/>
        <w:kinsoku/>
        <w:wordWrap/>
        <w:overflowPunct/>
        <w:topLinePunct w:val="0"/>
        <w:autoSpaceDE/>
        <w:autoSpaceDN/>
        <w:bidi w:val="0"/>
        <w:adjustRightInd/>
        <w:snapToGrid/>
        <w:spacing w:line="400" w:lineRule="exact"/>
        <w:ind w:firstLine="413" w:firstLineChars="197"/>
        <w:textAlignment w:val="auto"/>
        <w:outlineLvl w:val="1"/>
        <w:rPr>
          <w:rFonts w:hint="eastAsia" w:ascii="宋体" w:hAnsi="宋体" w:cs="宋体"/>
          <w:color w:val="auto"/>
          <w:sz w:val="21"/>
          <w:szCs w:val="21"/>
          <w:highlight w:val="none"/>
          <w:lang w:val="en-US" w:eastAsia="zh-CN"/>
        </w:rPr>
      </w:pPr>
      <w:bookmarkStart w:id="140" w:name="_Toc30556"/>
      <w:bookmarkStart w:id="141" w:name="_Toc32470"/>
      <w:r>
        <w:rPr>
          <w:rFonts w:hint="eastAsia" w:ascii="宋体" w:hAnsi="宋体" w:cs="宋体"/>
          <w:color w:val="auto"/>
          <w:sz w:val="21"/>
          <w:szCs w:val="21"/>
          <w:highlight w:val="none"/>
          <w:lang w:val="en-US" w:eastAsia="zh-CN"/>
        </w:rPr>
        <w:t>3. 评标程序</w:t>
      </w:r>
      <w:bookmarkEnd w:id="137"/>
      <w:bookmarkEnd w:id="138"/>
      <w:bookmarkEnd w:id="139"/>
      <w:bookmarkEnd w:id="140"/>
      <w:bookmarkEnd w:id="141"/>
      <w:bookmarkStart w:id="142" w:name="_Toc33106446"/>
      <w:bookmarkStart w:id="143" w:name="_Toc57795923"/>
    </w:p>
    <w:p w14:paraId="033D8EB9">
      <w:pPr>
        <w:pageBreakBefore w:val="0"/>
        <w:widowControl w:val="0"/>
        <w:kinsoku/>
        <w:wordWrap/>
        <w:overflowPunct/>
        <w:topLinePunct w:val="0"/>
        <w:bidi w:val="0"/>
        <w:snapToGrid/>
        <w:spacing w:line="400" w:lineRule="exact"/>
        <w:ind w:firstLine="413" w:firstLineChars="197"/>
        <w:textAlignment w:val="auto"/>
        <w:outlineLvl w:val="9"/>
        <w:rPr>
          <w:rFonts w:hint="eastAsia" w:ascii="宋体" w:hAnsi="宋体" w:cs="宋体"/>
          <w:color w:val="auto"/>
          <w:sz w:val="21"/>
          <w:szCs w:val="21"/>
          <w:highlight w:val="none"/>
        </w:rPr>
      </w:pPr>
      <w:r>
        <w:rPr>
          <w:rFonts w:hint="eastAsia" w:ascii="宋体" w:hAnsi="宋体" w:cs="宋体"/>
          <w:color w:val="auto"/>
          <w:sz w:val="21"/>
          <w:szCs w:val="21"/>
          <w:highlight w:val="none"/>
        </w:rPr>
        <w:t>3.1报价排序</w:t>
      </w:r>
      <w:bookmarkEnd w:id="142"/>
      <w:bookmarkEnd w:id="143"/>
    </w:p>
    <w:p w14:paraId="6FF1C643">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对报价不高于最高限价的所有</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，按照报价由低到高的顺序排序。</w:t>
      </w:r>
    </w:p>
    <w:p w14:paraId="54040563">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44" w:name="_Toc57795924"/>
      <w:bookmarkStart w:id="145" w:name="_Toc33106447"/>
      <w:r>
        <w:rPr>
          <w:rFonts w:hint="eastAsia" w:ascii="宋体" w:hAnsi="宋体" w:cs="宋体"/>
          <w:color w:val="auto"/>
          <w:sz w:val="21"/>
          <w:szCs w:val="21"/>
          <w:highlight w:val="none"/>
        </w:rPr>
        <w:t>3.2符合性审查</w:t>
      </w:r>
      <w:bookmarkEnd w:id="144"/>
      <w:bookmarkEnd w:id="145"/>
    </w:p>
    <w:p w14:paraId="32EFCD80">
      <w:pPr>
        <w:pageBreakBefore w:val="0"/>
        <w:widowControl w:val="0"/>
        <w:kinsoku/>
        <w:wordWrap/>
        <w:overflowPunct/>
        <w:topLinePunct w:val="0"/>
        <w:bidi w:val="0"/>
        <w:snapToGrid/>
        <w:spacing w:line="400" w:lineRule="exact"/>
        <w:ind w:firstLine="413" w:firstLineChars="197"/>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.1评标委员会依据本章第2.</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款规定的标准对</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进行符合性审查。符合性审查顺序：形式评审、资格评审、响应性评审。</w:t>
      </w:r>
    </w:p>
    <w:p w14:paraId="30985BC4">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2</w:t>
      </w:r>
      <w:r>
        <w:rPr>
          <w:rFonts w:ascii="宋体" w:hAnsi="宋体" w:cs="宋体"/>
          <w:color w:val="auto"/>
          <w:sz w:val="21"/>
          <w:szCs w:val="21"/>
          <w:highlight w:val="none"/>
        </w:rPr>
        <w:t xml:space="preserve">.2 </w:t>
      </w:r>
      <w:r>
        <w:rPr>
          <w:rFonts w:hint="eastAsia" w:ascii="宋体" w:hAnsi="宋体" w:cs="宋体"/>
          <w:color w:val="auto"/>
          <w:sz w:val="21"/>
          <w:szCs w:val="21"/>
          <w:highlight w:val="none"/>
          <w:lang w:eastAsia="zh-CN"/>
        </w:rPr>
        <w:t>报价人</w:t>
      </w:r>
      <w:r>
        <w:rPr>
          <w:rFonts w:ascii="宋体" w:hAnsi="宋体" w:cs="宋体"/>
          <w:color w:val="auto"/>
          <w:sz w:val="21"/>
          <w:szCs w:val="21"/>
          <w:highlight w:val="none"/>
        </w:rPr>
        <w:t>有以下情形之一的，</w:t>
      </w:r>
      <w:r>
        <w:rPr>
          <w:rFonts w:hint="eastAsia" w:ascii="宋体" w:hAnsi="宋体" w:cs="宋体"/>
          <w:color w:val="auto"/>
          <w:sz w:val="21"/>
          <w:szCs w:val="21"/>
          <w:highlight w:val="none"/>
        </w:rPr>
        <w:t>其</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将被否决：</w:t>
      </w:r>
    </w:p>
    <w:p w14:paraId="088E2A98">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ascii="宋体" w:hAnsi="宋体" w:cs="宋体"/>
          <w:color w:val="auto"/>
          <w:sz w:val="21"/>
          <w:szCs w:val="21"/>
          <w:highlight w:val="none"/>
        </w:rPr>
        <w:t>）</w:t>
      </w:r>
      <w:r>
        <w:rPr>
          <w:rFonts w:hint="eastAsia" w:ascii="宋体" w:hAnsi="宋体" w:cs="宋体"/>
          <w:color w:val="auto"/>
          <w:sz w:val="21"/>
          <w:szCs w:val="21"/>
          <w:highlight w:val="none"/>
        </w:rPr>
        <w:t>本次投标有串通投标、弄虚作假等其他违反招投标相关法律、法规行为的；</w:t>
      </w:r>
    </w:p>
    <w:p w14:paraId="0440E095">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（2）拒绝按评标委员会要求澄清、说明或补正的。</w:t>
      </w:r>
    </w:p>
    <w:p w14:paraId="1B160FFD">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3.2.3 投标报价有算术错误的，评标委员会按以下原则对投标报价进行修正，修正的价格经</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书面确认后具有约束力，修正原则如下：</w:t>
      </w:r>
    </w:p>
    <w:p w14:paraId="40D18EF2">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中的大写金额与小写金额不一致的，以大写金额为准；</w:t>
      </w:r>
    </w:p>
    <w:p w14:paraId="6D027643">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hint="eastAsia" w:ascii="宋体" w:hAnsi="宋体" w:cs="宋体"/>
          <w:color w:val="auto"/>
          <w:sz w:val="21"/>
          <w:szCs w:val="21"/>
          <w:highlight w:val="none"/>
        </w:rPr>
        <w:t>（2）响应声明书中的总报价与已标价采购清单总报价不一致的，由评标委员会作否决投标处理。</w:t>
      </w:r>
    </w:p>
    <w:p w14:paraId="5F9D5F9E">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46" w:name="_Toc57795925"/>
      <w:bookmarkStart w:id="147" w:name="_Toc33106448"/>
      <w:r>
        <w:rPr>
          <w:rFonts w:hint="eastAsia" w:ascii="宋体" w:hAnsi="宋体" w:cs="宋体"/>
          <w:color w:val="auto"/>
          <w:sz w:val="21"/>
          <w:szCs w:val="21"/>
          <w:highlight w:val="none"/>
        </w:rPr>
        <w:t xml:space="preserve">3.3 </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的澄清和补正</w:t>
      </w:r>
      <w:bookmarkEnd w:id="146"/>
      <w:bookmarkEnd w:id="147"/>
    </w:p>
    <w:p w14:paraId="2B0D36F3">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.1 </w:t>
      </w:r>
      <w:r>
        <w:rPr>
          <w:rFonts w:hint="eastAsia" w:ascii="宋体" w:hAnsi="宋体" w:cs="宋体"/>
          <w:color w:val="auto"/>
          <w:sz w:val="21"/>
          <w:szCs w:val="21"/>
          <w:highlight w:val="none"/>
        </w:rPr>
        <w:t>在评标过程中，评标委员会可以书面形式要求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对所提交</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中不明确的内容进行书面澄清或说明，或者对细微偏差进行补正。评标委员会不接受</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主动提出的澄清、说明或补正。</w:t>
      </w:r>
    </w:p>
    <w:p w14:paraId="6D099486">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.2 </w:t>
      </w:r>
      <w:r>
        <w:rPr>
          <w:rFonts w:hint="eastAsia" w:ascii="宋体" w:hAnsi="宋体" w:cs="宋体"/>
          <w:color w:val="auto"/>
          <w:sz w:val="21"/>
          <w:szCs w:val="21"/>
          <w:highlight w:val="none"/>
        </w:rPr>
        <w:t>澄清、说明和补正不得改变</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的实质性内容（算术性错误修正的除外）。</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的书面澄清、说明和补正属于</w:t>
      </w:r>
      <w:r>
        <w:rPr>
          <w:rFonts w:hint="eastAsia" w:ascii="宋体" w:hAnsi="宋体" w:cs="宋体"/>
          <w:color w:val="auto"/>
          <w:sz w:val="21"/>
          <w:szCs w:val="21"/>
          <w:highlight w:val="none"/>
          <w:lang w:eastAsia="zh-CN"/>
        </w:rPr>
        <w:t>竞争性比选响应文件</w:t>
      </w:r>
      <w:r>
        <w:rPr>
          <w:rFonts w:hint="eastAsia" w:ascii="宋体" w:hAnsi="宋体" w:cs="宋体"/>
          <w:color w:val="auto"/>
          <w:sz w:val="21"/>
          <w:szCs w:val="21"/>
          <w:highlight w:val="none"/>
        </w:rPr>
        <w:t>的组成部分。</w:t>
      </w:r>
    </w:p>
    <w:p w14:paraId="559ECEE5">
      <w:pPr>
        <w:pageBreakBefore w:val="0"/>
        <w:widowControl w:val="0"/>
        <w:kinsoku/>
        <w:wordWrap/>
        <w:overflowPunct/>
        <w:topLinePunct w:val="0"/>
        <w:bidi w:val="0"/>
        <w:snapToGrid/>
        <w:spacing w:line="400" w:lineRule="exact"/>
        <w:ind w:firstLine="420" w:firstLineChars="200"/>
        <w:textAlignment w:val="auto"/>
        <w:outlineLvl w:val="9"/>
        <w:rPr>
          <w:rFonts w:ascii="宋体" w:hAnsi="宋体" w:cs="宋体"/>
          <w:color w:val="auto"/>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.3 </w:t>
      </w:r>
      <w:r>
        <w:rPr>
          <w:rFonts w:hint="eastAsia" w:ascii="宋体" w:hAnsi="宋体" w:cs="宋体"/>
          <w:color w:val="auto"/>
          <w:sz w:val="21"/>
          <w:szCs w:val="21"/>
          <w:highlight w:val="none"/>
        </w:rPr>
        <w:t>评标委员会对</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提交的澄清、说明或补正有疑问的，可以要求</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进一步澄清、说明或补正，直至满足评标委员会的要求。</w:t>
      </w:r>
    </w:p>
    <w:p w14:paraId="7B6A93AF">
      <w:pPr>
        <w:pageBreakBefore w:val="0"/>
        <w:widowControl w:val="0"/>
        <w:kinsoku/>
        <w:wordWrap/>
        <w:overflowPunct/>
        <w:topLinePunct w:val="0"/>
        <w:bidi w:val="0"/>
        <w:snapToGrid/>
        <w:spacing w:before="0" w:after="0" w:line="400" w:lineRule="exact"/>
        <w:textAlignment w:val="auto"/>
        <w:outlineLvl w:val="9"/>
        <w:rPr>
          <w:rFonts w:ascii="宋体" w:hAnsi="宋体" w:cs="宋体"/>
          <w:color w:val="auto"/>
          <w:sz w:val="21"/>
          <w:szCs w:val="21"/>
          <w:highlight w:val="none"/>
        </w:rPr>
      </w:pPr>
      <w:bookmarkStart w:id="148" w:name="_Toc479262406"/>
      <w:bookmarkStart w:id="149" w:name="_Toc33106449"/>
      <w:bookmarkStart w:id="150" w:name="_Toc57795926"/>
      <w:bookmarkStart w:id="151" w:name="_Toc484465184"/>
      <w:r>
        <w:rPr>
          <w:rFonts w:hint="eastAsia" w:ascii="宋体" w:hAnsi="宋体" w:cs="宋体"/>
          <w:color w:val="auto"/>
          <w:sz w:val="21"/>
          <w:szCs w:val="21"/>
          <w:highlight w:val="none"/>
        </w:rPr>
        <w:t>3.4 评标结果</w:t>
      </w:r>
      <w:bookmarkEnd w:id="148"/>
      <w:bookmarkEnd w:id="149"/>
      <w:bookmarkEnd w:id="150"/>
      <w:bookmarkEnd w:id="151"/>
    </w:p>
    <w:p w14:paraId="403A3293">
      <w:pPr>
        <w:pageBreakBefore w:val="0"/>
        <w:widowControl w:val="0"/>
        <w:kinsoku/>
        <w:wordWrap/>
        <w:overflowPunct/>
        <w:topLinePunct w:val="0"/>
        <w:autoSpaceDE w:val="0"/>
        <w:autoSpaceDN w:val="0"/>
        <w:bidi w:val="0"/>
        <w:adjustRightInd w:val="0"/>
        <w:snapToGrid/>
        <w:spacing w:line="400" w:lineRule="exact"/>
        <w:ind w:firstLine="420" w:firstLineChars="200"/>
        <w:jc w:val="left"/>
        <w:textAlignment w:val="auto"/>
        <w:outlineLvl w:val="9"/>
        <w:rPr>
          <w:rFonts w:ascii="宋体" w:hAnsi="宋体" w:cs="宋体"/>
          <w:color w:val="auto"/>
          <w:kern w:val="0"/>
          <w:sz w:val="21"/>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.1</w:t>
      </w:r>
      <w:r>
        <w:rPr>
          <w:rFonts w:hint="eastAsia" w:ascii="宋体" w:hAnsi="宋体" w:cs="宋体"/>
          <w:color w:val="auto"/>
          <w:sz w:val="21"/>
          <w:szCs w:val="21"/>
          <w:highlight w:val="none"/>
        </w:rPr>
        <w:t xml:space="preserve"> 除第二章“</w:t>
      </w:r>
      <w:r>
        <w:rPr>
          <w:rFonts w:hint="eastAsia" w:ascii="宋体" w:hAnsi="宋体" w:cs="宋体"/>
          <w:color w:val="auto"/>
          <w:sz w:val="21"/>
          <w:szCs w:val="21"/>
          <w:highlight w:val="none"/>
          <w:lang w:eastAsia="zh-CN"/>
        </w:rPr>
        <w:t>报价人</w:t>
      </w:r>
      <w:r>
        <w:rPr>
          <w:rFonts w:hint="eastAsia" w:ascii="宋体" w:hAnsi="宋体" w:cs="宋体"/>
          <w:color w:val="auto"/>
          <w:sz w:val="21"/>
          <w:szCs w:val="21"/>
          <w:highlight w:val="none"/>
        </w:rPr>
        <w:t>须知”前附表授权直接确定中标人外，评标委员会按经评审的最低投标价法推荐中标候选人。</w:t>
      </w:r>
    </w:p>
    <w:p w14:paraId="373D2A96">
      <w:pPr>
        <w:pageBreakBefore w:val="0"/>
        <w:widowControl w:val="0"/>
        <w:kinsoku/>
        <w:wordWrap/>
        <w:overflowPunct/>
        <w:topLinePunct w:val="0"/>
        <w:bidi w:val="0"/>
        <w:snapToGrid/>
        <w:spacing w:line="400" w:lineRule="exact"/>
        <w:ind w:firstLine="420" w:firstLineChars="200"/>
        <w:jc w:val="left"/>
        <w:textAlignment w:val="auto"/>
        <w:outlineLvl w:val="9"/>
        <w:rPr>
          <w:rFonts w:ascii="宋体" w:hAnsi="宋体" w:cs="宋体"/>
          <w:color w:val="auto"/>
          <w:szCs w:val="21"/>
          <w:highlight w:val="none"/>
        </w:rPr>
      </w:pPr>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.2</w:t>
      </w:r>
      <w:r>
        <w:rPr>
          <w:rFonts w:hint="eastAsia" w:ascii="宋体" w:hAnsi="宋体" w:cs="宋体"/>
          <w:color w:val="auto"/>
          <w:sz w:val="21"/>
          <w:szCs w:val="21"/>
          <w:highlight w:val="none"/>
        </w:rPr>
        <w:t xml:space="preserve"> 评标委员会完成评标后，应当向采购人提交书面评标报告和中标候选人名单。</w:t>
      </w:r>
    </w:p>
    <w:p w14:paraId="4305C413">
      <w:pPr>
        <w:pageBreakBefore w:val="0"/>
        <w:widowControl w:val="0"/>
        <w:kinsoku/>
        <w:wordWrap/>
        <w:overflowPunct/>
        <w:topLinePunct w:val="0"/>
        <w:bidi w:val="0"/>
        <w:snapToGrid/>
        <w:spacing w:line="400" w:lineRule="exact"/>
        <w:ind w:firstLine="420" w:firstLineChars="200"/>
        <w:jc w:val="left"/>
        <w:textAlignment w:val="auto"/>
        <w:rPr>
          <w:rFonts w:ascii="宋体" w:hAnsi="宋体" w:cs="宋体"/>
          <w:color w:val="auto"/>
          <w:szCs w:val="21"/>
          <w:highlight w:val="none"/>
        </w:rPr>
      </w:pPr>
    </w:p>
    <w:p w14:paraId="249C4C3B">
      <w:pPr>
        <w:rPr>
          <w:rStyle w:val="82"/>
          <w:color w:val="auto"/>
          <w:highlight w:val="none"/>
        </w:rPr>
      </w:pPr>
      <w:r>
        <w:rPr>
          <w:rFonts w:hint="eastAsia" w:ascii="宋体" w:hAnsi="宋体" w:cs="宋体"/>
          <w:color w:val="auto"/>
          <w:szCs w:val="21"/>
          <w:highlight w:val="none"/>
        </w:rPr>
        <w:br w:type="page"/>
      </w:r>
    </w:p>
    <w:p w14:paraId="5EB4C415">
      <w:pPr>
        <w:pStyle w:val="3"/>
        <w:spacing w:before="0" w:after="0" w:line="360" w:lineRule="auto"/>
        <w:jc w:val="center"/>
        <w:rPr>
          <w:rFonts w:hint="default" w:ascii="宋体" w:hAnsi="宋体" w:eastAsia="宋体" w:cs="宋体"/>
          <w:color w:val="auto"/>
          <w:highlight w:val="none"/>
          <w:lang w:val="en-US" w:eastAsia="zh-CN"/>
        </w:rPr>
      </w:pPr>
      <w:bookmarkStart w:id="152" w:name="_Toc513633964"/>
      <w:bookmarkStart w:id="153" w:name="_Toc246996353"/>
      <w:bookmarkStart w:id="154" w:name="_Toc152045785"/>
      <w:bookmarkStart w:id="155" w:name="_Toc503951043"/>
      <w:bookmarkStart w:id="156" w:name="_Toc152042574"/>
      <w:bookmarkStart w:id="157" w:name="_Toc179632804"/>
      <w:bookmarkStart w:id="158" w:name="_Toc246997096"/>
      <w:bookmarkStart w:id="159" w:name="_Toc247085870"/>
      <w:bookmarkStart w:id="160" w:name="_Toc447827049"/>
      <w:bookmarkStart w:id="161" w:name="_Toc514858707"/>
      <w:bookmarkStart w:id="162" w:name="_Toc144974854"/>
      <w:bookmarkStart w:id="163" w:name="_Toc2000411"/>
      <w:bookmarkStart w:id="164" w:name="_Toc26193"/>
      <w:bookmarkStart w:id="165" w:name="_Toc144974855"/>
      <w:bookmarkStart w:id="166" w:name="_Toc247085872"/>
      <w:bookmarkStart w:id="167" w:name="_Toc246996354"/>
      <w:bookmarkStart w:id="168" w:name="_Toc179632806"/>
      <w:bookmarkStart w:id="169" w:name="_Toc246997097"/>
      <w:bookmarkStart w:id="170" w:name="_Toc152045786"/>
      <w:bookmarkStart w:id="171" w:name="_Toc152042575"/>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52"/>
      <w:bookmarkEnd w:id="153"/>
      <w:bookmarkEnd w:id="154"/>
      <w:bookmarkEnd w:id="155"/>
      <w:bookmarkEnd w:id="156"/>
      <w:bookmarkEnd w:id="157"/>
      <w:bookmarkEnd w:id="158"/>
      <w:bookmarkEnd w:id="159"/>
      <w:bookmarkEnd w:id="160"/>
      <w:bookmarkEnd w:id="161"/>
      <w:bookmarkEnd w:id="162"/>
      <w:bookmarkEnd w:id="163"/>
      <w:r>
        <w:rPr>
          <w:rFonts w:hint="eastAsia" w:ascii="宋体" w:hAnsi="宋体" w:cs="宋体"/>
          <w:color w:val="auto"/>
          <w:highlight w:val="none"/>
          <w:lang w:val="en-US" w:eastAsia="zh-CN"/>
        </w:rPr>
        <w:t>服务要求</w:t>
      </w:r>
      <w:bookmarkEnd w:id="164"/>
    </w:p>
    <w:bookmarkEnd w:id="165"/>
    <w:bookmarkEnd w:id="166"/>
    <w:bookmarkEnd w:id="167"/>
    <w:bookmarkEnd w:id="168"/>
    <w:bookmarkEnd w:id="169"/>
    <w:bookmarkEnd w:id="170"/>
    <w:bookmarkEnd w:id="171"/>
    <w:p w14:paraId="581508D2">
      <w:pPr>
        <w:pStyle w:val="2"/>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bookmarkStart w:id="172" w:name="_Toc514430114"/>
      <w:bookmarkStart w:id="173" w:name="_Toc514858708"/>
      <w:bookmarkStart w:id="174" w:name="_Toc2000412"/>
      <w:bookmarkStart w:id="175" w:name="_Toc246996355"/>
      <w:bookmarkStart w:id="176" w:name="_Toc152042576"/>
      <w:bookmarkStart w:id="177" w:name="_Toc179632807"/>
      <w:bookmarkStart w:id="178" w:name="_Toc152045787"/>
      <w:bookmarkStart w:id="179" w:name="_Toc507320039"/>
      <w:bookmarkStart w:id="180" w:name="_Toc144974856"/>
      <w:bookmarkStart w:id="181" w:name="_Toc247085873"/>
      <w:bookmarkStart w:id="182" w:name="_Toc246997098"/>
      <w:r>
        <w:rPr>
          <w:rFonts w:hint="eastAsia" w:ascii="宋体" w:hAnsi="宋体" w:cs="宋体"/>
          <w:color w:val="auto"/>
          <w:highlight w:val="none"/>
          <w:lang w:val="en-US" w:eastAsia="zh-CN"/>
        </w:rPr>
        <w:t>详见附件</w:t>
      </w:r>
      <w:r>
        <w:rPr>
          <w:rFonts w:hint="eastAsia" w:ascii="宋体" w:hAnsi="宋体" w:cs="宋体"/>
          <w:color w:val="auto"/>
          <w:highlight w:val="none"/>
        </w:rPr>
        <w:br w:type="page"/>
      </w:r>
      <w:bookmarkStart w:id="183" w:name="_Toc2248"/>
      <w:r>
        <w:rPr>
          <w:rFonts w:hint="eastAsia" w:ascii="宋体" w:hAnsi="宋体" w:eastAsia="宋体" w:cs="宋体"/>
          <w:b/>
          <w:bCs/>
          <w:color w:val="auto"/>
          <w:kern w:val="44"/>
          <w:sz w:val="44"/>
          <w:szCs w:val="44"/>
          <w:highlight w:val="none"/>
          <w:lang w:val="en-US" w:eastAsia="zh-CN" w:bidi="ar-SA"/>
        </w:rPr>
        <w:t xml:space="preserve">第五章  </w:t>
      </w:r>
      <w:bookmarkEnd w:id="172"/>
      <w:bookmarkEnd w:id="173"/>
      <w:bookmarkEnd w:id="174"/>
      <w:r>
        <w:rPr>
          <w:rFonts w:hint="eastAsia" w:ascii="宋体" w:hAnsi="宋体" w:eastAsia="宋体" w:cs="宋体"/>
          <w:b/>
          <w:bCs/>
          <w:color w:val="auto"/>
          <w:kern w:val="44"/>
          <w:sz w:val="44"/>
          <w:szCs w:val="44"/>
          <w:highlight w:val="none"/>
          <w:lang w:val="en-US" w:eastAsia="zh-CN" w:bidi="ar-SA"/>
        </w:rPr>
        <w:t>合同范本</w:t>
      </w:r>
      <w:bookmarkEnd w:id="183"/>
    </w:p>
    <w:p w14:paraId="3FEABCED">
      <w:pPr>
        <w:jc w:val="center"/>
        <w:rPr>
          <w:rFonts w:hint="eastAsia" w:ascii="仿宋" w:hAnsi="仿宋" w:eastAsia="仿宋" w:cs="仿宋"/>
          <w:color w:val="auto"/>
          <w:szCs w:val="21"/>
          <w:highlight w:val="none"/>
          <w:lang w:val="en-US" w:eastAsia="zh-CN"/>
        </w:rPr>
      </w:pPr>
    </w:p>
    <w:p w14:paraId="4847602E">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14:paraId="5B879187">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14:paraId="601DD0DC">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14:paraId="38EF5065">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14:paraId="1D23370A">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14:paraId="3646FEE7">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14:paraId="03C4135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2818C0C4">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14:paraId="02AD3D2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47103F65">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14:paraId="66E4D3C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14:paraId="0C9E36A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14:paraId="39E0C4F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14:paraId="2AF0C461">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14:paraId="28E6A61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14:paraId="7EE7F02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7DE9C29E">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14:paraId="483F432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14:paraId="6D56984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14:paraId="1592B0D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14:paraId="5F9BEF9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14:paraId="57DF37A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14:paraId="340DBCB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A60BFC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14:paraId="75F8347D">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14:paraId="3FDFA0C8">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14:paraId="6E3C8AF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14:paraId="4BA3F542">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14:paraId="43763809">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14:paraId="0020A676">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14:paraId="285D6B29">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14:paraId="3580E436">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14:paraId="7878806A">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14:paraId="511DF77B">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1B92C4DC">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530968F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44AA237F">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14:paraId="5E573921">
      <w:pPr>
        <w:jc w:val="right"/>
        <w:rPr>
          <w:rFonts w:hint="eastAsia" w:ascii="宋体" w:hAnsi="宋体" w:eastAsia="宋体" w:cs="宋体"/>
          <w:color w:val="auto"/>
          <w:kern w:val="2"/>
          <w:sz w:val="21"/>
          <w:szCs w:val="21"/>
          <w:highlight w:val="none"/>
        </w:rPr>
      </w:pPr>
    </w:p>
    <w:p w14:paraId="21E4FC12">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14:paraId="248145A6">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14:paraId="0AFE9CD9">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14:paraId="217F52F6">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14:paraId="2A88745B">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14:paraId="05AEF121">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14:paraId="0BA8143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14:paraId="7E7A2CA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6FBEA28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14:paraId="3BD63D59">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599332C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14:paraId="5034365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14:paraId="27565AE7">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14:paraId="21165A81">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14:paraId="44B3ACF6">
      <w:pPr>
        <w:pStyle w:val="2"/>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14:paraId="59CC52FB">
      <w:pPr>
        <w:pStyle w:val="2"/>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14:paraId="3FA7B0A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46E63E5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14:paraId="7CEAF87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14:paraId="709F82C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14:paraId="3ED839F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14:paraId="6554E7FA">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14:paraId="58269D76">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14:paraId="62EB740C">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14:paraId="0659E18E">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14:paraId="40EC4E26">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14:paraId="697CC881">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14:paraId="7A76EF44">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2467A7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14:paraId="24B160D3">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14:paraId="08748EA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14:paraId="3430301B">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14:paraId="07BC8A6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14:paraId="202E0372">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14:paraId="2C8DC2EA">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14:paraId="6809BA10">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14:paraId="34315DF5">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14:paraId="1B8FF62E">
      <w:pPr>
        <w:jc w:val="center"/>
        <w:rPr>
          <w:rFonts w:hint="eastAsia" w:ascii="仿宋" w:hAnsi="仿宋" w:eastAsia="仿宋" w:cs="仿宋"/>
          <w:b/>
          <w:bCs/>
          <w:color w:val="auto"/>
          <w:szCs w:val="21"/>
          <w:highlight w:val="none"/>
          <w:lang w:val="en-US" w:eastAsia="zh-CN"/>
        </w:rPr>
      </w:pPr>
    </w:p>
    <w:p w14:paraId="66495E4E">
      <w:pPr>
        <w:rPr>
          <w:rFonts w:ascii="宋体" w:hAnsi="宋体" w:cs="宋体"/>
          <w:color w:val="auto"/>
          <w:highlight w:val="none"/>
        </w:rPr>
      </w:pPr>
    </w:p>
    <w:p w14:paraId="5444F844">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84" w:name="_Toc513633965"/>
    </w:p>
    <w:p w14:paraId="79E24965">
      <w:pPr>
        <w:rPr>
          <w:rFonts w:ascii="宋体" w:hAnsi="宋体" w:cs="宋体"/>
          <w:color w:val="auto"/>
          <w:highlight w:val="none"/>
        </w:rPr>
      </w:pPr>
    </w:p>
    <w:p w14:paraId="1B816208">
      <w:pPr>
        <w:pStyle w:val="3"/>
        <w:spacing w:before="0" w:after="0" w:line="360" w:lineRule="auto"/>
        <w:jc w:val="center"/>
        <w:rPr>
          <w:rFonts w:ascii="宋体" w:hAnsi="宋体" w:cs="宋体"/>
          <w:color w:val="auto"/>
          <w:highlight w:val="none"/>
        </w:rPr>
      </w:pPr>
      <w:bookmarkStart w:id="185" w:name="_Toc514858709"/>
      <w:bookmarkStart w:id="186" w:name="_Toc2000413"/>
      <w:bookmarkStart w:id="187" w:name="_Toc11294"/>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84"/>
      <w:bookmarkEnd w:id="185"/>
      <w:bookmarkEnd w:id="186"/>
      <w:bookmarkEnd w:id="187"/>
    </w:p>
    <w:p w14:paraId="24B93E90">
      <w:pPr>
        <w:rPr>
          <w:rFonts w:ascii="宋体" w:hAnsi="宋体" w:cs="宋体"/>
          <w:color w:val="auto"/>
          <w:highlight w:val="none"/>
        </w:rPr>
      </w:pPr>
    </w:p>
    <w:p w14:paraId="1A203029">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14:paraId="6DA98707">
      <w:pPr>
        <w:rPr>
          <w:rFonts w:ascii="宋体" w:hAnsi="宋体" w:cs="宋体"/>
          <w:color w:val="auto"/>
          <w:highlight w:val="none"/>
        </w:rPr>
      </w:pPr>
    </w:p>
    <w:p w14:paraId="0DF6DE81">
      <w:pPr>
        <w:jc w:val="center"/>
        <w:rPr>
          <w:rFonts w:ascii="宋体" w:hAnsi="宋体" w:cs="宋体"/>
          <w:color w:val="auto"/>
          <w:sz w:val="52"/>
          <w:szCs w:val="52"/>
          <w:highlight w:val="none"/>
          <w:u w:val="single"/>
        </w:rPr>
      </w:pPr>
      <w:bookmarkStart w:id="188" w:name="_Toc503971829"/>
      <w:bookmarkStart w:id="189" w:name="_Toc513633967"/>
      <w:bookmarkStart w:id="190" w:name="_Toc513646738"/>
      <w:bookmarkStart w:id="191" w:name="_Toc514858710"/>
      <w:bookmarkStart w:id="192" w:name="_Toc503951046"/>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88"/>
      <w:bookmarkEnd w:id="189"/>
      <w:bookmarkEnd w:id="190"/>
      <w:bookmarkEnd w:id="191"/>
      <w:bookmarkEnd w:id="192"/>
      <w:r>
        <w:rPr>
          <w:rFonts w:hint="eastAsia" w:ascii="宋体" w:hAnsi="宋体" w:cs="宋体"/>
          <w:color w:val="auto"/>
          <w:sz w:val="52"/>
          <w:szCs w:val="52"/>
          <w:highlight w:val="none"/>
          <w:u w:val="single"/>
        </w:rPr>
        <w:t xml:space="preserve"> </w:t>
      </w:r>
    </w:p>
    <w:p w14:paraId="7EA50939">
      <w:pPr>
        <w:rPr>
          <w:rFonts w:ascii="宋体" w:hAnsi="宋体" w:cs="宋体"/>
          <w:color w:val="auto"/>
          <w:sz w:val="20"/>
          <w:szCs w:val="20"/>
          <w:highlight w:val="none"/>
        </w:rPr>
      </w:pPr>
    </w:p>
    <w:p w14:paraId="79ED0A9F">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14:paraId="1BA8287B">
      <w:pPr>
        <w:rPr>
          <w:rFonts w:ascii="宋体" w:hAnsi="宋体" w:cs="宋体"/>
          <w:color w:val="auto"/>
          <w:sz w:val="28"/>
          <w:szCs w:val="28"/>
          <w:highlight w:val="none"/>
        </w:rPr>
      </w:pPr>
    </w:p>
    <w:p w14:paraId="7D968B47">
      <w:pPr>
        <w:rPr>
          <w:rFonts w:ascii="宋体" w:hAnsi="宋体" w:cs="宋体"/>
          <w:color w:val="auto"/>
          <w:sz w:val="28"/>
          <w:szCs w:val="28"/>
          <w:highlight w:val="none"/>
        </w:rPr>
      </w:pPr>
    </w:p>
    <w:p w14:paraId="518650BC">
      <w:pPr>
        <w:rPr>
          <w:rFonts w:ascii="宋体" w:hAnsi="宋体" w:cs="宋体"/>
          <w:color w:val="auto"/>
          <w:sz w:val="28"/>
          <w:szCs w:val="28"/>
          <w:highlight w:val="none"/>
        </w:rPr>
      </w:pPr>
    </w:p>
    <w:p w14:paraId="33067B89">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14:paraId="41B1FE7B">
      <w:pPr>
        <w:jc w:val="center"/>
        <w:rPr>
          <w:rFonts w:ascii="宋体" w:hAnsi="宋体" w:cs="宋体"/>
          <w:b/>
          <w:color w:val="auto"/>
          <w:sz w:val="32"/>
          <w:szCs w:val="32"/>
          <w:highlight w:val="none"/>
        </w:rPr>
      </w:pPr>
    </w:p>
    <w:p w14:paraId="489FD8D3">
      <w:pPr>
        <w:rPr>
          <w:rFonts w:ascii="宋体" w:hAnsi="宋体" w:cs="宋体"/>
          <w:color w:val="auto"/>
          <w:sz w:val="28"/>
          <w:szCs w:val="28"/>
          <w:highlight w:val="none"/>
        </w:rPr>
      </w:pPr>
    </w:p>
    <w:p w14:paraId="1AB0ECD9">
      <w:pPr>
        <w:rPr>
          <w:rFonts w:ascii="宋体" w:hAnsi="宋体" w:cs="宋体"/>
          <w:color w:val="auto"/>
          <w:sz w:val="28"/>
          <w:szCs w:val="28"/>
          <w:highlight w:val="none"/>
        </w:rPr>
      </w:pPr>
    </w:p>
    <w:p w14:paraId="1F24CA4F">
      <w:pPr>
        <w:rPr>
          <w:rFonts w:ascii="宋体" w:hAnsi="宋体" w:cs="宋体"/>
          <w:color w:val="auto"/>
          <w:sz w:val="28"/>
          <w:szCs w:val="28"/>
          <w:highlight w:val="none"/>
        </w:rPr>
      </w:pPr>
    </w:p>
    <w:p w14:paraId="60E13452">
      <w:pPr>
        <w:rPr>
          <w:rFonts w:ascii="宋体" w:hAnsi="宋体" w:cs="宋体"/>
          <w:color w:val="auto"/>
          <w:sz w:val="28"/>
          <w:szCs w:val="28"/>
          <w:highlight w:val="none"/>
        </w:rPr>
      </w:pPr>
    </w:p>
    <w:p w14:paraId="2AC619CE">
      <w:pPr>
        <w:rPr>
          <w:rFonts w:ascii="宋体" w:hAnsi="宋体" w:cs="宋体"/>
          <w:color w:val="auto"/>
          <w:sz w:val="28"/>
          <w:szCs w:val="28"/>
          <w:highlight w:val="none"/>
        </w:rPr>
      </w:pPr>
    </w:p>
    <w:p w14:paraId="6FD62561">
      <w:pPr>
        <w:pStyle w:val="28"/>
        <w:rPr>
          <w:color w:val="auto"/>
          <w:highlight w:val="none"/>
        </w:rPr>
      </w:pPr>
    </w:p>
    <w:p w14:paraId="59D90058">
      <w:pPr>
        <w:rPr>
          <w:color w:val="auto"/>
          <w:highlight w:val="none"/>
        </w:rPr>
      </w:pPr>
    </w:p>
    <w:p w14:paraId="0ECE87FD">
      <w:pPr>
        <w:pStyle w:val="28"/>
        <w:rPr>
          <w:color w:val="auto"/>
          <w:highlight w:val="none"/>
        </w:rPr>
      </w:pPr>
    </w:p>
    <w:p w14:paraId="22458724">
      <w:pPr>
        <w:rPr>
          <w:color w:val="auto"/>
          <w:highlight w:val="none"/>
        </w:rPr>
      </w:pPr>
    </w:p>
    <w:p w14:paraId="58BE1202">
      <w:pPr>
        <w:pStyle w:val="28"/>
        <w:rPr>
          <w:color w:val="auto"/>
          <w:highlight w:val="none"/>
        </w:rPr>
      </w:pPr>
    </w:p>
    <w:p w14:paraId="45231179">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14:paraId="5C409F7D">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14:paraId="0C9B1F8E">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14:paraId="267DC442">
      <w:pPr>
        <w:spacing w:line="400" w:lineRule="exact"/>
        <w:rPr>
          <w:rFonts w:ascii="宋体" w:hAnsi="宋体" w:cs="宋体"/>
          <w:color w:val="auto"/>
          <w:highlight w:val="none"/>
        </w:rPr>
      </w:pPr>
    </w:p>
    <w:p w14:paraId="1A92EBF8">
      <w:pPr>
        <w:spacing w:line="400" w:lineRule="exact"/>
        <w:rPr>
          <w:rFonts w:ascii="宋体" w:hAnsi="宋体" w:cs="宋体"/>
          <w:color w:val="auto"/>
          <w:highlight w:val="none"/>
        </w:rPr>
      </w:pPr>
    </w:p>
    <w:p w14:paraId="595827EB">
      <w:pPr>
        <w:spacing w:line="400" w:lineRule="exact"/>
        <w:rPr>
          <w:rFonts w:ascii="宋体" w:hAnsi="宋体" w:cs="宋体"/>
          <w:color w:val="auto"/>
          <w:highlight w:val="none"/>
        </w:rPr>
      </w:pPr>
    </w:p>
    <w:p w14:paraId="471324EC">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93" w:name="_Toc28780"/>
      <w:bookmarkStart w:id="194" w:name="_Toc5459"/>
      <w:bookmarkStart w:id="195" w:name="_Toc1368"/>
      <w:bookmarkStart w:id="196" w:name="_Toc11329273"/>
      <w:r>
        <w:rPr>
          <w:rFonts w:hint="eastAsia" w:ascii="宋体" w:hAnsi="宋体" w:eastAsia="宋体" w:cs="宋体"/>
          <w:color w:val="auto"/>
          <w:sz w:val="32"/>
          <w:szCs w:val="40"/>
          <w:highlight w:val="none"/>
        </w:rPr>
        <w:t>目    录</w:t>
      </w:r>
      <w:bookmarkEnd w:id="175"/>
      <w:bookmarkEnd w:id="176"/>
      <w:bookmarkEnd w:id="177"/>
      <w:bookmarkEnd w:id="178"/>
      <w:bookmarkEnd w:id="179"/>
      <w:bookmarkEnd w:id="180"/>
      <w:bookmarkEnd w:id="181"/>
      <w:bookmarkEnd w:id="182"/>
      <w:bookmarkEnd w:id="193"/>
      <w:bookmarkEnd w:id="194"/>
      <w:bookmarkEnd w:id="195"/>
      <w:bookmarkEnd w:id="196"/>
    </w:p>
    <w:p w14:paraId="7ED68969">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14:paraId="7D51D8C2">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14:paraId="79D6646B">
      <w:pPr>
        <w:spacing w:line="400" w:lineRule="exact"/>
        <w:rPr>
          <w:rFonts w:ascii="宋体" w:hAnsi="宋体" w:cs="宋体"/>
          <w:color w:val="auto"/>
          <w:highlight w:val="none"/>
        </w:rPr>
      </w:pPr>
      <w:r>
        <w:rPr>
          <w:rFonts w:hint="eastAsia" w:ascii="宋体" w:hAnsi="宋体" w:cs="宋体"/>
          <w:color w:val="auto"/>
          <w:highlight w:val="none"/>
        </w:rPr>
        <w:t>三、报价一览表</w:t>
      </w:r>
    </w:p>
    <w:p w14:paraId="74E9DBC2">
      <w:pPr>
        <w:spacing w:line="400" w:lineRule="exact"/>
        <w:rPr>
          <w:rFonts w:ascii="宋体" w:hAnsi="宋体" w:cs="宋体"/>
          <w:color w:val="auto"/>
          <w:highlight w:val="none"/>
        </w:rPr>
      </w:pPr>
      <w:r>
        <w:rPr>
          <w:rFonts w:hint="eastAsia" w:ascii="宋体" w:hAnsi="宋体" w:cs="宋体"/>
          <w:color w:val="auto"/>
          <w:highlight w:val="none"/>
        </w:rPr>
        <w:t>四、资格审查资料</w:t>
      </w:r>
    </w:p>
    <w:p w14:paraId="6B58962D">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14:paraId="1AADF53A">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14:paraId="020D446A">
      <w:pPr>
        <w:spacing w:line="400" w:lineRule="exact"/>
        <w:rPr>
          <w:rFonts w:ascii="宋体" w:hAnsi="宋体" w:cs="宋体"/>
          <w:color w:val="auto"/>
          <w:highlight w:val="none"/>
        </w:rPr>
      </w:pPr>
    </w:p>
    <w:p w14:paraId="1D614551">
      <w:pPr>
        <w:spacing w:line="400" w:lineRule="exact"/>
        <w:rPr>
          <w:rFonts w:ascii="宋体" w:hAnsi="宋体" w:cs="宋体"/>
          <w:color w:val="auto"/>
          <w:highlight w:val="none"/>
        </w:rPr>
      </w:pPr>
    </w:p>
    <w:p w14:paraId="771D5A69">
      <w:pPr>
        <w:spacing w:line="400" w:lineRule="exact"/>
        <w:rPr>
          <w:rFonts w:ascii="宋体" w:hAnsi="宋体" w:cs="宋体"/>
          <w:color w:val="auto"/>
          <w:highlight w:val="none"/>
        </w:rPr>
      </w:pPr>
    </w:p>
    <w:p w14:paraId="47782A9D">
      <w:pPr>
        <w:spacing w:line="400" w:lineRule="exact"/>
        <w:rPr>
          <w:rFonts w:ascii="宋体" w:hAnsi="宋体" w:cs="宋体"/>
          <w:color w:val="auto"/>
          <w:highlight w:val="none"/>
        </w:rPr>
      </w:pPr>
    </w:p>
    <w:p w14:paraId="2883E862">
      <w:pPr>
        <w:spacing w:line="400" w:lineRule="exact"/>
        <w:rPr>
          <w:rFonts w:ascii="宋体" w:hAnsi="宋体" w:cs="宋体"/>
          <w:color w:val="auto"/>
          <w:highlight w:val="none"/>
        </w:rPr>
      </w:pPr>
    </w:p>
    <w:p w14:paraId="4ED05823">
      <w:pPr>
        <w:spacing w:line="400" w:lineRule="exact"/>
        <w:rPr>
          <w:rFonts w:ascii="宋体" w:hAnsi="宋体" w:cs="宋体"/>
          <w:color w:val="auto"/>
          <w:highlight w:val="none"/>
        </w:rPr>
      </w:pPr>
    </w:p>
    <w:p w14:paraId="7D2B0D18">
      <w:pPr>
        <w:spacing w:line="400" w:lineRule="exact"/>
        <w:rPr>
          <w:rFonts w:ascii="宋体" w:hAnsi="宋体" w:cs="宋体"/>
          <w:color w:val="auto"/>
          <w:highlight w:val="none"/>
        </w:rPr>
      </w:pPr>
    </w:p>
    <w:p w14:paraId="66BC7DC7">
      <w:pPr>
        <w:spacing w:line="400" w:lineRule="exact"/>
        <w:rPr>
          <w:rFonts w:ascii="宋体" w:hAnsi="宋体" w:cs="宋体"/>
          <w:color w:val="auto"/>
          <w:highlight w:val="none"/>
        </w:rPr>
      </w:pPr>
    </w:p>
    <w:p w14:paraId="151EB77B">
      <w:pPr>
        <w:spacing w:line="400" w:lineRule="exact"/>
        <w:rPr>
          <w:rFonts w:ascii="宋体" w:hAnsi="宋体" w:cs="宋体"/>
          <w:color w:val="auto"/>
          <w:highlight w:val="none"/>
        </w:rPr>
      </w:pPr>
    </w:p>
    <w:p w14:paraId="0565D9C2">
      <w:pPr>
        <w:spacing w:line="400" w:lineRule="exact"/>
        <w:rPr>
          <w:rFonts w:ascii="宋体" w:hAnsi="宋体" w:cs="宋体"/>
          <w:color w:val="auto"/>
          <w:highlight w:val="none"/>
        </w:rPr>
      </w:pPr>
    </w:p>
    <w:p w14:paraId="0F64A110">
      <w:pPr>
        <w:spacing w:line="400" w:lineRule="exact"/>
        <w:rPr>
          <w:rFonts w:ascii="宋体" w:hAnsi="宋体" w:cs="宋体"/>
          <w:color w:val="auto"/>
          <w:highlight w:val="none"/>
        </w:rPr>
      </w:pPr>
    </w:p>
    <w:p w14:paraId="0E42D34B">
      <w:pPr>
        <w:spacing w:line="400" w:lineRule="exact"/>
        <w:rPr>
          <w:rFonts w:ascii="宋体" w:hAnsi="宋体" w:cs="宋体"/>
          <w:color w:val="auto"/>
          <w:highlight w:val="none"/>
        </w:rPr>
      </w:pPr>
    </w:p>
    <w:p w14:paraId="1BD74F58">
      <w:pPr>
        <w:spacing w:line="400" w:lineRule="exact"/>
        <w:rPr>
          <w:rFonts w:ascii="宋体" w:hAnsi="宋体" w:cs="宋体"/>
          <w:color w:val="auto"/>
          <w:highlight w:val="none"/>
        </w:rPr>
      </w:pPr>
    </w:p>
    <w:p w14:paraId="2B53E47F">
      <w:pPr>
        <w:spacing w:line="400" w:lineRule="exact"/>
        <w:rPr>
          <w:rFonts w:ascii="宋体" w:hAnsi="宋体" w:cs="宋体"/>
          <w:color w:val="auto"/>
          <w:highlight w:val="none"/>
        </w:rPr>
      </w:pPr>
    </w:p>
    <w:p w14:paraId="1BABA58F">
      <w:pPr>
        <w:spacing w:line="400" w:lineRule="exact"/>
        <w:rPr>
          <w:rFonts w:ascii="宋体" w:hAnsi="宋体" w:cs="宋体"/>
          <w:color w:val="auto"/>
          <w:highlight w:val="none"/>
        </w:rPr>
      </w:pPr>
    </w:p>
    <w:p w14:paraId="0831238E">
      <w:pPr>
        <w:spacing w:line="400" w:lineRule="exact"/>
        <w:rPr>
          <w:rFonts w:ascii="宋体" w:hAnsi="宋体" w:cs="宋体"/>
          <w:color w:val="auto"/>
          <w:highlight w:val="none"/>
        </w:rPr>
      </w:pPr>
    </w:p>
    <w:p w14:paraId="5A0AAF29">
      <w:pPr>
        <w:spacing w:line="400" w:lineRule="exact"/>
        <w:rPr>
          <w:rFonts w:ascii="宋体" w:hAnsi="宋体" w:cs="宋体"/>
          <w:color w:val="auto"/>
          <w:highlight w:val="none"/>
        </w:rPr>
      </w:pPr>
    </w:p>
    <w:p w14:paraId="4AD08A59">
      <w:pPr>
        <w:spacing w:line="400" w:lineRule="exact"/>
        <w:rPr>
          <w:rFonts w:ascii="宋体" w:hAnsi="宋体" w:cs="宋体"/>
          <w:color w:val="auto"/>
          <w:highlight w:val="none"/>
        </w:rPr>
      </w:pPr>
    </w:p>
    <w:p w14:paraId="08C4BA79">
      <w:pPr>
        <w:spacing w:line="400" w:lineRule="exact"/>
        <w:rPr>
          <w:rFonts w:ascii="宋体" w:hAnsi="宋体" w:cs="宋体"/>
          <w:color w:val="auto"/>
          <w:highlight w:val="none"/>
        </w:rPr>
      </w:pPr>
    </w:p>
    <w:p w14:paraId="088F80BA">
      <w:pPr>
        <w:spacing w:line="400" w:lineRule="exact"/>
        <w:rPr>
          <w:rFonts w:ascii="宋体" w:hAnsi="宋体" w:cs="宋体"/>
          <w:color w:val="auto"/>
          <w:highlight w:val="none"/>
        </w:rPr>
      </w:pPr>
    </w:p>
    <w:p w14:paraId="2491AD3D">
      <w:pPr>
        <w:spacing w:line="400" w:lineRule="exact"/>
        <w:rPr>
          <w:rFonts w:ascii="宋体" w:hAnsi="宋体" w:cs="宋体"/>
          <w:color w:val="auto"/>
          <w:highlight w:val="none"/>
        </w:rPr>
      </w:pPr>
      <w:r>
        <w:rPr>
          <w:rFonts w:ascii="宋体" w:hAnsi="宋体" w:cs="宋体"/>
          <w:color w:val="auto"/>
          <w:highlight w:val="none"/>
        </w:rPr>
        <w:br w:type="page"/>
      </w:r>
    </w:p>
    <w:p w14:paraId="2925DD2A">
      <w:pPr>
        <w:pStyle w:val="4"/>
        <w:numPr>
          <w:ilvl w:val="0"/>
          <w:numId w:val="4"/>
        </w:numPr>
        <w:spacing w:before="0" w:after="0" w:line="360" w:lineRule="auto"/>
        <w:jc w:val="center"/>
        <w:rPr>
          <w:rFonts w:ascii="宋体" w:hAnsi="宋体" w:eastAsia="宋体" w:cs="宋体"/>
          <w:color w:val="auto"/>
          <w:sz w:val="28"/>
          <w:highlight w:val="none"/>
        </w:rPr>
      </w:pPr>
      <w:bookmarkStart w:id="197" w:name="_Toc15863"/>
      <w:bookmarkStart w:id="198" w:name="_Toc8599"/>
      <w:bookmarkStart w:id="199" w:name="_Toc25874"/>
      <w:bookmarkStart w:id="200" w:name="_Toc29547"/>
      <w:bookmarkStart w:id="201" w:name="_Toc513633969"/>
      <w:bookmarkStart w:id="202" w:name="_Toc447827053"/>
      <w:bookmarkStart w:id="203" w:name="_Toc503951048"/>
      <w:r>
        <w:rPr>
          <w:rFonts w:hint="eastAsia" w:ascii="宋体" w:hAnsi="宋体" w:eastAsia="宋体" w:cs="宋体"/>
          <w:color w:val="auto"/>
          <w:sz w:val="28"/>
          <w:highlight w:val="none"/>
        </w:rPr>
        <w:t>竞争比选响应声明书</w:t>
      </w:r>
      <w:bookmarkEnd w:id="197"/>
      <w:bookmarkEnd w:id="198"/>
      <w:bookmarkEnd w:id="199"/>
      <w:bookmarkEnd w:id="200"/>
    </w:p>
    <w:p w14:paraId="174C34D5">
      <w:pPr>
        <w:rPr>
          <w:color w:val="auto"/>
          <w:highlight w:val="none"/>
        </w:rPr>
      </w:pPr>
    </w:p>
    <w:p w14:paraId="58C7DDDE">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14:paraId="4434B50C">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bookmarkStart w:id="204" w:name="_Toc27815"/>
      <w:bookmarkStart w:id="205" w:name="_Toc491883232"/>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14:paraId="5DEF526B">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14:paraId="6C82AF60">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14:paraId="79257812">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14:paraId="41A5CBAE">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14:paraId="7D0CD04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14:paraId="134544E5">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14:paraId="6AC1FF13">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14:paraId="4FECC96A">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14:paraId="2A540DE8">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000F6E93">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14:paraId="587E751F">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14:paraId="78C08944">
      <w:pPr>
        <w:keepNext w:val="0"/>
        <w:keepLines w:val="0"/>
        <w:pageBreakBefore w:val="0"/>
        <w:widowControl w:val="0"/>
        <w:tabs>
          <w:tab w:val="left" w:pos="900"/>
        </w:tabs>
        <w:kinsoku/>
        <w:wordWrap/>
        <w:overflowPunct/>
        <w:topLinePunct w:val="0"/>
        <w:autoSpaceDE/>
        <w:autoSpaceDN/>
        <w:bidi w:val="0"/>
        <w:adjustRightInd/>
        <w:snapToGrid/>
        <w:spacing w:before="320" w:beforeLines="100" w:line="480" w:lineRule="auto"/>
        <w:ind w:firstLine="480" w:firstLineChars="200"/>
        <w:textAlignment w:val="auto"/>
        <w:rPr>
          <w:rFonts w:ascii="Arial" w:hAnsi="Arial" w:cs="Arial"/>
          <w:color w:val="auto"/>
          <w:sz w:val="24"/>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p>
    <w:p w14:paraId="3208AECF">
      <w:pPr>
        <w:pStyle w:val="41"/>
        <w:rPr>
          <w:color w:val="auto"/>
          <w:highlight w:val="none"/>
        </w:rPr>
      </w:pPr>
    </w:p>
    <w:p w14:paraId="5BAFCC8D">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76AFDCB8">
      <w:pPr>
        <w:pStyle w:val="4"/>
        <w:numPr>
          <w:ilvl w:val="0"/>
          <w:numId w:val="4"/>
        </w:numPr>
        <w:spacing w:before="0" w:after="0" w:line="360" w:lineRule="auto"/>
        <w:jc w:val="center"/>
        <w:rPr>
          <w:rFonts w:hint="eastAsia" w:ascii="宋体" w:hAnsi="宋体" w:eastAsia="宋体" w:cs="宋体"/>
          <w:color w:val="auto"/>
          <w:sz w:val="28"/>
          <w:highlight w:val="none"/>
        </w:rPr>
      </w:pPr>
      <w:bookmarkStart w:id="206" w:name="_Toc25515"/>
      <w:r>
        <w:rPr>
          <w:rFonts w:hint="eastAsia" w:ascii="宋体" w:hAnsi="宋体" w:eastAsia="宋体" w:cs="宋体"/>
          <w:color w:val="auto"/>
          <w:sz w:val="28"/>
          <w:highlight w:val="none"/>
        </w:rPr>
        <w:t>法定代表人身份证明或法定代表人授权委托书</w:t>
      </w:r>
      <w:bookmarkEnd w:id="204"/>
      <w:bookmarkEnd w:id="206"/>
    </w:p>
    <w:bookmarkEnd w:id="205"/>
    <w:p w14:paraId="5708572D">
      <w:pPr>
        <w:pStyle w:val="4"/>
        <w:spacing w:line="480" w:lineRule="auto"/>
        <w:jc w:val="center"/>
        <w:outlineLvl w:val="2"/>
        <w:rPr>
          <w:rFonts w:ascii="宋体" w:hAnsi="宋体" w:eastAsia="宋体" w:cs="宋体"/>
          <w:color w:val="auto"/>
          <w:sz w:val="24"/>
          <w:szCs w:val="24"/>
          <w:highlight w:val="none"/>
        </w:rPr>
      </w:pPr>
      <w:bookmarkStart w:id="207" w:name="_Toc14141"/>
      <w:bookmarkStart w:id="208" w:name="_Toc20985"/>
      <w:r>
        <w:rPr>
          <w:rFonts w:hint="eastAsia" w:ascii="宋体" w:hAnsi="宋体" w:eastAsia="宋体" w:cs="宋体"/>
          <w:color w:val="auto"/>
          <w:sz w:val="24"/>
          <w:szCs w:val="24"/>
          <w:highlight w:val="none"/>
        </w:rPr>
        <w:t>（一）法定代表人身份证明</w:t>
      </w:r>
      <w:bookmarkEnd w:id="207"/>
      <w:bookmarkEnd w:id="208"/>
    </w:p>
    <w:p w14:paraId="7F1FC157">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14:paraId="6D1E3846">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209" w:name="_Toc27897"/>
      <w:bookmarkStart w:id="210" w:name="_Toc369531698"/>
      <w:bookmarkStart w:id="211" w:name="_Toc352691662"/>
      <w:r>
        <w:rPr>
          <w:rFonts w:ascii="宋体" w:hAnsi="宋体"/>
          <w:color w:val="auto"/>
          <w:highlight w:val="none"/>
          <w:u w:val="single"/>
        </w:rPr>
        <w:t xml:space="preserve">        </w:t>
      </w:r>
      <w:r>
        <w:rPr>
          <w:rFonts w:ascii="宋体" w:hAnsi="宋体"/>
          <w:color w:val="auto"/>
          <w:highlight w:val="none"/>
        </w:rPr>
        <w:t>年</w:t>
      </w:r>
      <w:bookmarkEnd w:id="209"/>
      <w:bookmarkEnd w:id="210"/>
      <w:bookmarkEnd w:id="211"/>
      <w:r>
        <w:rPr>
          <w:rFonts w:ascii="宋体" w:hAnsi="宋体"/>
          <w:color w:val="auto"/>
          <w:highlight w:val="none"/>
        </w:rPr>
        <w:t>龄</w:t>
      </w:r>
      <w:bookmarkStart w:id="212" w:name="_Toc384308377"/>
      <w:bookmarkStart w:id="213" w:name="_Toc247527829"/>
      <w:bookmarkStart w:id="214" w:name="_Toc300835211"/>
      <w:bookmarkStart w:id="215" w:name="_Toc361508754"/>
      <w:bookmarkStart w:id="216" w:name="_Toc144974858"/>
      <w:bookmarkStart w:id="217" w:name="_Toc369531699"/>
      <w:bookmarkStart w:id="218" w:name="_Toc152045789"/>
      <w:bookmarkStart w:id="219" w:name="_Toc247514248"/>
      <w:bookmarkStart w:id="220" w:name="_Toc15573"/>
      <w:bookmarkStart w:id="221" w:name="_Toc152042578"/>
      <w:bookmarkStart w:id="222" w:name="_Toc352691663"/>
      <w:r>
        <w:rPr>
          <w:rFonts w:ascii="宋体" w:hAnsi="宋体"/>
          <w:color w:val="auto"/>
          <w:highlight w:val="none"/>
        </w:rPr>
        <w:t>：</w:t>
      </w:r>
      <w:bookmarkEnd w:id="212"/>
      <w:bookmarkEnd w:id="213"/>
      <w:bookmarkEnd w:id="214"/>
      <w:bookmarkEnd w:id="215"/>
      <w:bookmarkEnd w:id="216"/>
      <w:bookmarkEnd w:id="217"/>
      <w:bookmarkEnd w:id="218"/>
      <w:bookmarkEnd w:id="219"/>
      <w:bookmarkEnd w:id="220"/>
      <w:bookmarkEnd w:id="221"/>
      <w:bookmarkEnd w:id="22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14:paraId="6E9E044D">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14:paraId="7FB4F79D">
      <w:pPr>
        <w:spacing w:line="480" w:lineRule="auto"/>
        <w:ind w:firstLine="420" w:firstLineChars="200"/>
        <w:rPr>
          <w:rFonts w:ascii="宋体" w:hAnsi="宋体"/>
          <w:color w:val="auto"/>
          <w:highlight w:val="none"/>
        </w:rPr>
      </w:pPr>
      <w:r>
        <w:rPr>
          <w:rFonts w:ascii="宋体" w:hAnsi="宋体"/>
          <w:color w:val="auto"/>
          <w:highlight w:val="none"/>
        </w:rPr>
        <w:t>特此证明。</w:t>
      </w:r>
    </w:p>
    <w:p w14:paraId="33DF59F6">
      <w:pPr>
        <w:spacing w:line="480" w:lineRule="auto"/>
        <w:rPr>
          <w:rFonts w:ascii="宋体" w:hAnsi="宋体"/>
          <w:color w:val="auto"/>
          <w:highlight w:val="none"/>
        </w:rPr>
      </w:pPr>
    </w:p>
    <w:p w14:paraId="647089A6">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E38319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22AB2597">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14:paraId="3E38319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22AB2597">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14:paraId="40CCE7A3">
      <w:pPr>
        <w:spacing w:line="480" w:lineRule="auto"/>
        <w:rPr>
          <w:rFonts w:ascii="宋体" w:hAnsi="宋体"/>
          <w:color w:val="auto"/>
          <w:highlight w:val="none"/>
        </w:rPr>
      </w:pPr>
    </w:p>
    <w:p w14:paraId="3F893DF5">
      <w:pPr>
        <w:spacing w:line="440" w:lineRule="exact"/>
        <w:rPr>
          <w:rFonts w:ascii="宋体" w:hAnsi="宋体"/>
          <w:color w:val="auto"/>
          <w:highlight w:val="none"/>
        </w:rPr>
      </w:pPr>
    </w:p>
    <w:p w14:paraId="64E1B449">
      <w:pPr>
        <w:spacing w:line="440" w:lineRule="exact"/>
        <w:rPr>
          <w:rFonts w:ascii="宋体" w:hAnsi="宋体"/>
          <w:color w:val="auto"/>
          <w:highlight w:val="none"/>
        </w:rPr>
      </w:pPr>
    </w:p>
    <w:p w14:paraId="0F1F54F3">
      <w:pPr>
        <w:spacing w:line="440" w:lineRule="exact"/>
        <w:rPr>
          <w:rFonts w:ascii="宋体" w:hAnsi="宋体"/>
          <w:color w:val="auto"/>
          <w:highlight w:val="none"/>
        </w:rPr>
      </w:pPr>
    </w:p>
    <w:p w14:paraId="16502B0D">
      <w:pPr>
        <w:spacing w:line="440" w:lineRule="exact"/>
        <w:rPr>
          <w:rFonts w:ascii="宋体" w:hAnsi="宋体"/>
          <w:color w:val="auto"/>
          <w:highlight w:val="none"/>
        </w:rPr>
      </w:pPr>
    </w:p>
    <w:p w14:paraId="6A4139FC">
      <w:pPr>
        <w:spacing w:line="440" w:lineRule="exact"/>
        <w:rPr>
          <w:rFonts w:ascii="宋体" w:hAnsi="宋体"/>
          <w:color w:val="auto"/>
          <w:highlight w:val="none"/>
        </w:rPr>
      </w:pPr>
    </w:p>
    <w:p w14:paraId="7089D444">
      <w:pPr>
        <w:spacing w:line="440" w:lineRule="exact"/>
        <w:rPr>
          <w:rFonts w:ascii="宋体" w:hAnsi="宋体"/>
          <w:color w:val="auto"/>
          <w:highlight w:val="none"/>
        </w:rPr>
      </w:pPr>
    </w:p>
    <w:p w14:paraId="534E30DC">
      <w:pPr>
        <w:spacing w:line="440" w:lineRule="exact"/>
        <w:rPr>
          <w:rFonts w:ascii="宋体" w:hAnsi="宋体"/>
          <w:color w:val="auto"/>
          <w:highlight w:val="none"/>
        </w:rPr>
      </w:pPr>
    </w:p>
    <w:p w14:paraId="180F1CDB">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7C1F5F09">
      <w:pPr>
        <w:spacing w:line="440" w:lineRule="exact"/>
        <w:rPr>
          <w:rFonts w:ascii="宋体" w:hAnsi="宋体"/>
          <w:color w:val="auto"/>
          <w:highlight w:val="none"/>
        </w:rPr>
      </w:pPr>
    </w:p>
    <w:p w14:paraId="5DD65D2B">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15221347">
      <w:pPr>
        <w:rPr>
          <w:rFonts w:ascii="宋体" w:hAnsi="宋体"/>
          <w:color w:val="auto"/>
          <w:highlight w:val="none"/>
        </w:rPr>
      </w:pPr>
    </w:p>
    <w:p w14:paraId="099D2660">
      <w:pPr>
        <w:rPr>
          <w:rFonts w:ascii="宋体" w:hAnsi="宋体"/>
          <w:color w:val="auto"/>
          <w:highlight w:val="none"/>
        </w:rPr>
      </w:pPr>
    </w:p>
    <w:p w14:paraId="0FCFE64D">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14:paraId="25A26266">
      <w:pPr>
        <w:spacing w:line="440" w:lineRule="exact"/>
        <w:rPr>
          <w:rFonts w:ascii="宋体" w:hAnsi="宋体"/>
          <w:color w:val="auto"/>
          <w:sz w:val="20"/>
          <w:highlight w:val="none"/>
        </w:rPr>
      </w:pPr>
    </w:p>
    <w:p w14:paraId="0C91FD90">
      <w:pPr>
        <w:spacing w:line="20" w:lineRule="exact"/>
        <w:jc w:val="center"/>
        <w:rPr>
          <w:rFonts w:ascii="宋体" w:hAnsi="宋体"/>
          <w:color w:val="auto"/>
          <w:sz w:val="20"/>
          <w:highlight w:val="none"/>
        </w:rPr>
      </w:pPr>
      <w:r>
        <w:rPr>
          <w:rFonts w:ascii="宋体" w:hAnsi="宋体"/>
          <w:color w:val="auto"/>
          <w:sz w:val="20"/>
          <w:highlight w:val="none"/>
        </w:rPr>
        <w:br w:type="page"/>
      </w:r>
    </w:p>
    <w:p w14:paraId="31B891A5">
      <w:pPr>
        <w:pStyle w:val="4"/>
        <w:spacing w:line="480" w:lineRule="auto"/>
        <w:jc w:val="center"/>
        <w:outlineLvl w:val="2"/>
        <w:rPr>
          <w:rFonts w:ascii="宋体" w:hAnsi="宋体"/>
          <w:color w:val="auto"/>
          <w:sz w:val="28"/>
          <w:szCs w:val="28"/>
          <w:highlight w:val="none"/>
        </w:rPr>
      </w:pPr>
      <w:bookmarkStart w:id="223" w:name="_Toc491883233"/>
      <w:bookmarkStart w:id="224" w:name="_Toc58"/>
      <w:bookmarkStart w:id="225" w:name="_Toc3882"/>
      <w:r>
        <w:rPr>
          <w:rFonts w:hint="eastAsia" w:ascii="宋体" w:hAnsi="宋体" w:eastAsia="宋体" w:cs="宋体"/>
          <w:color w:val="auto"/>
          <w:sz w:val="24"/>
          <w:szCs w:val="24"/>
          <w:highlight w:val="none"/>
        </w:rPr>
        <w:t>（二）</w:t>
      </w:r>
      <w:bookmarkEnd w:id="223"/>
      <w:r>
        <w:rPr>
          <w:rFonts w:hint="eastAsia" w:ascii="宋体" w:hAnsi="宋体" w:eastAsia="宋体" w:cs="宋体"/>
          <w:color w:val="auto"/>
          <w:sz w:val="24"/>
          <w:szCs w:val="24"/>
          <w:highlight w:val="none"/>
        </w:rPr>
        <w:t>法定代表人授权委托书</w:t>
      </w:r>
      <w:bookmarkEnd w:id="224"/>
      <w:bookmarkEnd w:id="225"/>
    </w:p>
    <w:p w14:paraId="32BA24A3">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14:paraId="3FE63BF2">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14:paraId="2BE8A174">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14:paraId="12593947">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14:paraId="4D55BCB3">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4EA122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B817746">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14:paraId="64EA1228">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14:paraId="7B817746">
                      <w:pPr>
                        <w:snapToGrid w:val="0"/>
                        <w:spacing w:line="360" w:lineRule="auto"/>
                        <w:rPr>
                          <w:highlight w:val="none"/>
                        </w:rPr>
                      </w:pPr>
                    </w:p>
                  </w:txbxContent>
                </v:textbox>
              </v:shape>
            </w:pict>
          </mc:Fallback>
        </mc:AlternateContent>
      </w:r>
    </w:p>
    <w:p w14:paraId="7DB807A1">
      <w:pPr>
        <w:spacing w:line="440" w:lineRule="exact"/>
        <w:rPr>
          <w:rFonts w:ascii="宋体" w:hAnsi="宋体"/>
          <w:color w:val="auto"/>
          <w:highlight w:val="none"/>
        </w:rPr>
      </w:pPr>
    </w:p>
    <w:p w14:paraId="425131FD">
      <w:pPr>
        <w:spacing w:line="440" w:lineRule="exact"/>
        <w:rPr>
          <w:rFonts w:ascii="宋体" w:hAnsi="宋体"/>
          <w:color w:val="auto"/>
          <w:highlight w:val="none"/>
        </w:rPr>
      </w:pPr>
      <w:r>
        <w:rPr>
          <w:rFonts w:ascii="宋体" w:hAnsi="宋体"/>
          <w:color w:val="auto"/>
          <w:highlight w:val="none"/>
        </w:rPr>
        <w:t>委托代理人身份证复印件</w:t>
      </w:r>
    </w:p>
    <w:p w14:paraId="5F6C56FC">
      <w:pPr>
        <w:spacing w:line="440" w:lineRule="exact"/>
        <w:rPr>
          <w:rFonts w:ascii="宋体" w:hAnsi="宋体"/>
          <w:color w:val="auto"/>
          <w:highlight w:val="none"/>
        </w:rPr>
      </w:pPr>
    </w:p>
    <w:p w14:paraId="26F60D22">
      <w:pPr>
        <w:spacing w:line="440" w:lineRule="exact"/>
        <w:rPr>
          <w:rFonts w:ascii="宋体" w:hAnsi="宋体"/>
          <w:color w:val="auto"/>
          <w:highlight w:val="none"/>
        </w:rPr>
      </w:pPr>
    </w:p>
    <w:p w14:paraId="5AAE05E0">
      <w:pPr>
        <w:spacing w:line="440" w:lineRule="exact"/>
        <w:rPr>
          <w:rFonts w:ascii="宋体" w:hAnsi="宋体"/>
          <w:color w:val="auto"/>
          <w:highlight w:val="none"/>
        </w:rPr>
      </w:pPr>
    </w:p>
    <w:p w14:paraId="32D1B7CE">
      <w:pPr>
        <w:spacing w:line="440" w:lineRule="exact"/>
        <w:rPr>
          <w:rFonts w:ascii="宋体" w:hAnsi="宋体"/>
          <w:color w:val="auto"/>
          <w:highlight w:val="none"/>
        </w:rPr>
      </w:pPr>
    </w:p>
    <w:p w14:paraId="77F302C2">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C73CA90">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1AA8B459">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14:paraId="1C73CA90">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此处粘贴委托代理人身份证复印件（双面）</w:t>
                      </w:r>
                    </w:p>
                    <w:p w14:paraId="1AA8B459">
                      <w:pPr>
                        <w:spacing w:line="360" w:lineRule="auto"/>
                        <w:jc w:val="center"/>
                        <w:rPr>
                          <w:highlight w:val="none"/>
                        </w:rPr>
                      </w:pPr>
                    </w:p>
                  </w:txbxContent>
                </v:textbox>
              </v:shape>
            </w:pict>
          </mc:Fallback>
        </mc:AlternateContent>
      </w:r>
    </w:p>
    <w:p w14:paraId="63AA498E">
      <w:pPr>
        <w:spacing w:line="440" w:lineRule="exact"/>
        <w:ind w:firstLine="2692" w:firstLineChars="1282"/>
        <w:rPr>
          <w:rFonts w:hint="eastAsia" w:ascii="宋体" w:hAnsi="宋体"/>
          <w:color w:val="auto"/>
          <w:highlight w:val="none"/>
        </w:rPr>
      </w:pPr>
    </w:p>
    <w:p w14:paraId="46D31FD4">
      <w:pPr>
        <w:spacing w:line="440" w:lineRule="exact"/>
        <w:ind w:firstLine="2692" w:firstLineChars="1282"/>
        <w:rPr>
          <w:rFonts w:hint="eastAsia" w:ascii="宋体" w:hAnsi="宋体"/>
          <w:color w:val="auto"/>
          <w:highlight w:val="none"/>
        </w:rPr>
      </w:pPr>
    </w:p>
    <w:p w14:paraId="36ABD639">
      <w:pPr>
        <w:spacing w:line="440" w:lineRule="exact"/>
        <w:ind w:firstLine="2692" w:firstLineChars="1282"/>
        <w:rPr>
          <w:rFonts w:hint="eastAsia" w:ascii="宋体" w:hAnsi="宋体"/>
          <w:color w:val="auto"/>
          <w:highlight w:val="none"/>
        </w:rPr>
      </w:pPr>
    </w:p>
    <w:p w14:paraId="0DB68427">
      <w:pPr>
        <w:spacing w:line="440" w:lineRule="exact"/>
        <w:ind w:firstLine="2692" w:firstLineChars="1282"/>
        <w:rPr>
          <w:rFonts w:hint="eastAsia" w:ascii="宋体" w:hAnsi="宋体"/>
          <w:color w:val="auto"/>
          <w:highlight w:val="none"/>
        </w:rPr>
      </w:pPr>
    </w:p>
    <w:p w14:paraId="6C79FB13">
      <w:pPr>
        <w:spacing w:line="440" w:lineRule="exact"/>
        <w:ind w:firstLine="2692" w:firstLineChars="1282"/>
        <w:rPr>
          <w:rFonts w:hint="eastAsia" w:ascii="宋体" w:hAnsi="宋体"/>
          <w:color w:val="auto"/>
          <w:highlight w:val="none"/>
        </w:rPr>
      </w:pPr>
    </w:p>
    <w:p w14:paraId="0D90A042">
      <w:pPr>
        <w:spacing w:line="440" w:lineRule="exact"/>
        <w:ind w:firstLine="2692" w:firstLineChars="1282"/>
        <w:rPr>
          <w:rFonts w:hint="eastAsia" w:ascii="宋体" w:hAnsi="宋体"/>
          <w:color w:val="auto"/>
          <w:highlight w:val="none"/>
        </w:rPr>
      </w:pPr>
    </w:p>
    <w:p w14:paraId="711B5B0E">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14:paraId="1804CC21">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27B50AE6">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2C2B621E">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14:paraId="5E074708">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14:paraId="4AA8DB45">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14:paraId="7D55CB3A">
      <w:pPr>
        <w:rPr>
          <w:rFonts w:ascii="宋体" w:hAnsi="宋体"/>
          <w:color w:val="auto"/>
          <w:highlight w:val="none"/>
        </w:rPr>
      </w:pPr>
    </w:p>
    <w:p w14:paraId="3EE525AB">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14:paraId="3E344A79">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14:paraId="184A1A3E">
      <w:pPr>
        <w:rPr>
          <w:rFonts w:ascii="宋体" w:hAnsi="宋体" w:cs="宋体"/>
          <w:snapToGrid w:val="0"/>
          <w:color w:val="auto"/>
          <w:kern w:val="0"/>
          <w:szCs w:val="21"/>
          <w:highlight w:val="none"/>
        </w:rPr>
      </w:pPr>
    </w:p>
    <w:p w14:paraId="70D0F443">
      <w:pPr>
        <w:pStyle w:val="4"/>
        <w:spacing w:before="0" w:after="0" w:line="360" w:lineRule="auto"/>
        <w:jc w:val="center"/>
        <w:rPr>
          <w:rFonts w:ascii="宋体" w:hAnsi="宋体" w:eastAsia="宋体" w:cs="宋体"/>
          <w:color w:val="auto"/>
          <w:sz w:val="28"/>
          <w:highlight w:val="none"/>
        </w:rPr>
      </w:pPr>
      <w:bookmarkStart w:id="226" w:name="_Toc11329275"/>
      <w:bookmarkStart w:id="227" w:name="_Toc13095"/>
      <w:r>
        <w:rPr>
          <w:rFonts w:hint="eastAsia" w:ascii="宋体" w:hAnsi="宋体" w:eastAsia="宋体" w:cs="宋体"/>
          <w:color w:val="auto"/>
          <w:sz w:val="28"/>
          <w:highlight w:val="none"/>
        </w:rPr>
        <w:t>三、</w:t>
      </w:r>
      <w:bookmarkEnd w:id="201"/>
      <w:bookmarkEnd w:id="202"/>
      <w:bookmarkEnd w:id="203"/>
      <w:bookmarkEnd w:id="226"/>
      <w:r>
        <w:rPr>
          <w:rFonts w:hint="eastAsia" w:ascii="宋体" w:hAnsi="宋体" w:eastAsia="宋体" w:cs="宋体"/>
          <w:color w:val="auto"/>
          <w:sz w:val="28"/>
          <w:highlight w:val="none"/>
        </w:rPr>
        <w:t>报价一览表</w:t>
      </w:r>
      <w:bookmarkEnd w:id="227"/>
    </w:p>
    <w:p w14:paraId="5FCE4DC4">
      <w:pPr>
        <w:ind w:left="765"/>
        <w:jc w:val="center"/>
        <w:rPr>
          <w:rFonts w:ascii="宋体" w:hAnsi="宋体" w:cs="宋体"/>
          <w:color w:val="auto"/>
          <w:szCs w:val="21"/>
          <w:highlight w:val="none"/>
        </w:rPr>
      </w:pPr>
    </w:p>
    <w:p w14:paraId="01CD7DAC">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14:paraId="65E264C8">
      <w:pPr>
        <w:spacing w:line="480" w:lineRule="auto"/>
        <w:ind w:firstLine="420" w:firstLineChars="200"/>
        <w:jc w:val="left"/>
        <w:rPr>
          <w:rFonts w:ascii="宋体" w:hAnsi="宋体"/>
          <w:b/>
          <w:color w:val="auto"/>
          <w:szCs w:val="21"/>
          <w:highlight w:val="none"/>
        </w:rPr>
      </w:pPr>
      <w:bookmarkStart w:id="228" w:name="_Toc513633971"/>
      <w:bookmarkStart w:id="229" w:name="_Toc503951050"/>
      <w:bookmarkStart w:id="230" w:name="_Toc11329278"/>
      <w:bookmarkStart w:id="231" w:name="_Toc247085887"/>
      <w:bookmarkStart w:id="232" w:name="_Toc246996369"/>
      <w:bookmarkStart w:id="233" w:name="_Toc246997112"/>
      <w:bookmarkStart w:id="234" w:name="_Toc447827058"/>
      <w:bookmarkStart w:id="235" w:name="_Toc144974871"/>
      <w:bookmarkStart w:id="236" w:name="_Toc152042592"/>
      <w:bookmarkStart w:id="237" w:name="_Toc179632823"/>
      <w:bookmarkStart w:id="238" w:name="_Toc15204580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Style w:val="42"/>
        <w:tblpPr w:leftFromText="180" w:rightFromText="180" w:vertAnchor="text" w:horzAnchor="page" w:tblpXSpec="center" w:tblpY="958"/>
        <w:tblOverlap w:val="never"/>
        <w:tblW w:w="96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1"/>
        <w:gridCol w:w="1641"/>
        <w:gridCol w:w="1100"/>
        <w:gridCol w:w="2317"/>
        <w:gridCol w:w="1121"/>
        <w:gridCol w:w="1672"/>
        <w:gridCol w:w="1159"/>
      </w:tblGrid>
      <w:tr w14:paraId="2FD86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jc w:val="center"/>
        </w:trPr>
        <w:tc>
          <w:tcPr>
            <w:tcW w:w="651" w:type="dxa"/>
            <w:tcBorders>
              <w:top w:val="single" w:color="auto" w:sz="4" w:space="0"/>
              <w:left w:val="single" w:color="auto" w:sz="4" w:space="0"/>
              <w:bottom w:val="single" w:color="auto" w:sz="4" w:space="0"/>
              <w:right w:val="single" w:color="auto" w:sz="4" w:space="0"/>
            </w:tcBorders>
            <w:vAlign w:val="center"/>
          </w:tcPr>
          <w:p w14:paraId="6C77E783">
            <w:pPr>
              <w:pStyle w:val="18"/>
              <w:spacing w:line="240" w:lineRule="atLeast"/>
              <w:ind w:left="0" w:leftChars="0" w:firstLine="0" w:firstLineChars="0"/>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641" w:type="dxa"/>
            <w:tcBorders>
              <w:top w:val="single" w:color="auto" w:sz="4" w:space="0"/>
              <w:left w:val="single" w:color="auto" w:sz="4" w:space="0"/>
              <w:bottom w:val="single" w:color="auto" w:sz="4" w:space="0"/>
              <w:right w:val="single" w:color="auto" w:sz="4" w:space="0"/>
            </w:tcBorders>
            <w:vAlign w:val="center"/>
          </w:tcPr>
          <w:p w14:paraId="36690440">
            <w:pPr>
              <w:pStyle w:val="18"/>
              <w:spacing w:line="240" w:lineRule="atLeast"/>
              <w:ind w:left="0" w:leftChars="0" w:firstLine="0" w:firstLineChars="0"/>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项目内容</w:t>
            </w:r>
          </w:p>
        </w:tc>
        <w:tc>
          <w:tcPr>
            <w:tcW w:w="1100" w:type="dxa"/>
            <w:tcBorders>
              <w:top w:val="single" w:color="auto" w:sz="4" w:space="0"/>
              <w:left w:val="single" w:color="auto" w:sz="4" w:space="0"/>
              <w:bottom w:val="single" w:color="auto" w:sz="4" w:space="0"/>
              <w:right w:val="single" w:color="auto" w:sz="4" w:space="0"/>
            </w:tcBorders>
            <w:vAlign w:val="center"/>
          </w:tcPr>
          <w:p w14:paraId="5EA87649">
            <w:pPr>
              <w:pStyle w:val="18"/>
              <w:spacing w:line="240" w:lineRule="atLeast"/>
              <w:ind w:left="0" w:leftChars="0" w:firstLine="0" w:firstLineChars="0"/>
              <w:jc w:val="center"/>
              <w:outlineLvl w:val="0"/>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类型</w:t>
            </w:r>
          </w:p>
        </w:tc>
        <w:tc>
          <w:tcPr>
            <w:tcW w:w="2317" w:type="dxa"/>
            <w:tcBorders>
              <w:top w:val="single" w:color="auto" w:sz="4" w:space="0"/>
              <w:left w:val="single" w:color="auto" w:sz="4" w:space="0"/>
              <w:bottom w:val="single" w:color="auto" w:sz="4" w:space="0"/>
              <w:right w:val="single" w:color="auto" w:sz="4" w:space="0"/>
            </w:tcBorders>
            <w:shd w:val="clear" w:color="auto" w:fill="auto"/>
            <w:vAlign w:val="center"/>
          </w:tcPr>
          <w:p w14:paraId="4BE9DEA3">
            <w:pPr>
              <w:pStyle w:val="18"/>
              <w:spacing w:line="240" w:lineRule="atLeast"/>
              <w:ind w:left="0" w:leftChars="0" w:firstLine="0" w:firstLineChars="0"/>
              <w:jc w:val="center"/>
              <w:outlineLvl w:val="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sz w:val="21"/>
                <w:szCs w:val="21"/>
                <w:highlight w:val="none"/>
                <w:lang w:val="en-US" w:eastAsia="zh-CN"/>
              </w:rPr>
              <w:t>分类</w:t>
            </w:r>
          </w:p>
        </w:tc>
        <w:tc>
          <w:tcPr>
            <w:tcW w:w="1121" w:type="dxa"/>
            <w:tcBorders>
              <w:top w:val="single" w:color="auto" w:sz="4" w:space="0"/>
              <w:left w:val="single" w:color="auto" w:sz="4" w:space="0"/>
              <w:bottom w:val="single" w:color="auto" w:sz="4" w:space="0"/>
              <w:right w:val="single" w:color="auto" w:sz="4" w:space="0"/>
            </w:tcBorders>
            <w:vAlign w:val="center"/>
          </w:tcPr>
          <w:p w14:paraId="7A8026FB">
            <w:pPr>
              <w:pStyle w:val="18"/>
              <w:spacing w:line="240" w:lineRule="atLeast"/>
              <w:ind w:left="0" w:leftChars="0" w:firstLine="0" w:firstLineChars="0"/>
              <w:jc w:val="center"/>
              <w:outlineLvl w:val="0"/>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报价权重（W）</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23ADC8A9">
            <w:pPr>
              <w:pStyle w:val="18"/>
              <w:spacing w:line="240" w:lineRule="atLeast"/>
              <w:ind w:left="0" w:leftChars="0" w:firstLine="0" w:firstLineChars="0"/>
              <w:jc w:val="center"/>
              <w:outlineLvl w:val="0"/>
              <w:rPr>
                <w:rFonts w:hint="eastAsia" w:ascii="宋体" w:hAnsi="宋体" w:eastAsia="宋体" w:cs="宋体"/>
                <w:b/>
                <w:color w:val="auto"/>
                <w:kern w:val="0"/>
                <w:sz w:val="21"/>
                <w:szCs w:val="21"/>
                <w:highlight w:val="none"/>
                <w:lang w:val="en-US" w:eastAsia="zh-CN" w:bidi="ar-SA"/>
              </w:rPr>
            </w:pPr>
            <w:r>
              <w:rPr>
                <w:rFonts w:hint="eastAsia" w:ascii="宋体" w:hAnsi="宋体" w:cs="宋体"/>
                <w:b/>
                <w:color w:val="auto"/>
                <w:sz w:val="21"/>
                <w:szCs w:val="21"/>
                <w:highlight w:val="none"/>
                <w:lang w:val="en-US" w:eastAsia="zh-CN"/>
              </w:rPr>
              <w:t>报价</w:t>
            </w:r>
            <w:r>
              <w:rPr>
                <w:rFonts w:hint="eastAsia" w:ascii="宋体" w:hAnsi="宋体" w:eastAsia="宋体" w:cs="宋体"/>
                <w:b/>
                <w:color w:val="auto"/>
                <w:sz w:val="21"/>
                <w:szCs w:val="21"/>
                <w:highlight w:val="none"/>
              </w:rPr>
              <w:t>折扣率</w:t>
            </w:r>
            <w:r>
              <w:rPr>
                <w:rFonts w:hint="eastAsia" w:ascii="宋体" w:hAnsi="宋体" w:eastAsia="宋体" w:cs="宋体"/>
                <w:b/>
                <w:color w:val="auto"/>
                <w:sz w:val="21"/>
                <w:szCs w:val="21"/>
                <w:highlight w:val="none"/>
                <w:lang w:val="en-US" w:eastAsia="zh-CN"/>
              </w:rPr>
              <w:t>（D）</w:t>
            </w:r>
          </w:p>
        </w:tc>
        <w:tc>
          <w:tcPr>
            <w:tcW w:w="1159" w:type="dxa"/>
            <w:tcBorders>
              <w:top w:val="single" w:color="auto" w:sz="4" w:space="0"/>
              <w:left w:val="single" w:color="auto" w:sz="4" w:space="0"/>
              <w:bottom w:val="single" w:color="auto" w:sz="4" w:space="0"/>
              <w:right w:val="single" w:color="auto" w:sz="4" w:space="0"/>
            </w:tcBorders>
            <w:vAlign w:val="center"/>
          </w:tcPr>
          <w:p w14:paraId="07FED8BA">
            <w:pPr>
              <w:pStyle w:val="18"/>
              <w:spacing w:line="240" w:lineRule="atLeast"/>
              <w:ind w:left="0" w:leftChars="0" w:firstLine="0" w:firstLineChars="0"/>
              <w:jc w:val="center"/>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备注</w:t>
            </w:r>
          </w:p>
        </w:tc>
      </w:tr>
      <w:tr w14:paraId="15A6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atLeast"/>
          <w:jc w:val="center"/>
        </w:trPr>
        <w:tc>
          <w:tcPr>
            <w:tcW w:w="651" w:type="dxa"/>
            <w:vMerge w:val="restart"/>
            <w:tcBorders>
              <w:top w:val="single" w:color="auto" w:sz="4" w:space="0"/>
              <w:left w:val="single" w:color="auto" w:sz="4" w:space="0"/>
              <w:right w:val="single" w:color="auto" w:sz="4" w:space="0"/>
            </w:tcBorders>
            <w:vAlign w:val="center"/>
          </w:tcPr>
          <w:p w14:paraId="7C67D86F">
            <w:pPr>
              <w:pStyle w:val="18"/>
              <w:spacing w:line="240" w:lineRule="atLeast"/>
              <w:ind w:left="0" w:leftChars="0" w:firstLine="0" w:firstLineChars="0"/>
              <w:jc w:val="center"/>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w:t>
            </w:r>
          </w:p>
        </w:tc>
        <w:tc>
          <w:tcPr>
            <w:tcW w:w="1641" w:type="dxa"/>
            <w:vMerge w:val="restart"/>
            <w:tcBorders>
              <w:top w:val="single" w:color="auto" w:sz="4" w:space="0"/>
              <w:left w:val="single" w:color="auto" w:sz="4" w:space="0"/>
              <w:right w:val="single" w:color="auto" w:sz="4" w:space="0"/>
            </w:tcBorders>
            <w:vAlign w:val="center"/>
          </w:tcPr>
          <w:p w14:paraId="0BEB8A61">
            <w:pPr>
              <w:pStyle w:val="18"/>
              <w:spacing w:line="240" w:lineRule="atLeast"/>
              <w:ind w:left="0" w:leftChars="0" w:firstLine="0" w:firstLineChars="0"/>
              <w:jc w:val="center"/>
              <w:outlineLvl w:val="0"/>
              <w:rPr>
                <w:rFonts w:hint="eastAsia" w:ascii="宋体" w:hAnsi="宋体" w:eastAsia="宋体" w:cs="宋体"/>
                <w:color w:val="auto"/>
                <w:kern w:val="0"/>
                <w:sz w:val="21"/>
                <w:szCs w:val="21"/>
                <w:highlight w:val="none"/>
              </w:rPr>
            </w:pPr>
            <w:r>
              <w:rPr>
                <w:rFonts w:hint="eastAsia" w:ascii="宋体" w:hAnsi="宋体" w:cs="宋体"/>
                <w:color w:val="auto"/>
                <w:szCs w:val="21"/>
                <w:highlight w:val="none"/>
                <w:u w:val="single"/>
                <w:lang w:val="en-US" w:eastAsia="zh-CN"/>
              </w:rPr>
              <w:t>2026年东北数智运维中心食材配送服务</w:t>
            </w:r>
          </w:p>
        </w:tc>
        <w:tc>
          <w:tcPr>
            <w:tcW w:w="1100" w:type="dxa"/>
            <w:tcBorders>
              <w:top w:val="single" w:color="auto" w:sz="4" w:space="0"/>
              <w:left w:val="single" w:color="auto" w:sz="4" w:space="0"/>
              <w:bottom w:val="single" w:color="auto" w:sz="4" w:space="0"/>
              <w:right w:val="single" w:color="auto" w:sz="4" w:space="0"/>
            </w:tcBorders>
            <w:vAlign w:val="center"/>
          </w:tcPr>
          <w:p w14:paraId="3A045023">
            <w:pPr>
              <w:keepNext w:val="0"/>
              <w:keepLines w:val="0"/>
              <w:widowControl/>
              <w:suppressLineNumbers w:val="0"/>
              <w:jc w:val="center"/>
              <w:textAlignment w:val="center"/>
              <w:rPr>
                <w:rFonts w:hint="default" w:ascii="宋体" w:hAnsi="宋体" w:eastAsia="宋体" w:cs="宋体"/>
                <w:color w:val="auto"/>
                <w:sz w:val="21"/>
                <w:szCs w:val="21"/>
                <w:highlight w:val="none"/>
                <w:lang w:val="en-US"/>
              </w:rPr>
            </w:pPr>
            <w:r>
              <w:rPr>
                <w:rFonts w:hint="eastAsia" w:ascii="宋体" w:hAnsi="宋体" w:eastAsia="宋体" w:cs="宋体"/>
                <w:i w:val="0"/>
                <w:iCs w:val="0"/>
                <w:color w:val="000000"/>
                <w:kern w:val="0"/>
                <w:sz w:val="20"/>
                <w:szCs w:val="20"/>
                <w:highlight w:val="none"/>
                <w:u w:val="none"/>
                <w:lang w:val="en-US" w:eastAsia="zh-CN" w:bidi="ar"/>
              </w:rPr>
              <w:t>分类1</w:t>
            </w:r>
          </w:p>
        </w:tc>
        <w:tc>
          <w:tcPr>
            <w:tcW w:w="2317" w:type="dxa"/>
            <w:tcBorders>
              <w:top w:val="single" w:color="auto" w:sz="4" w:space="0"/>
              <w:left w:val="single" w:color="auto" w:sz="4" w:space="0"/>
              <w:bottom w:val="single" w:color="auto" w:sz="4" w:space="0"/>
              <w:right w:val="single" w:color="auto" w:sz="4" w:space="0"/>
            </w:tcBorders>
            <w:shd w:val="clear" w:color="auto" w:fill="auto"/>
            <w:vAlign w:val="center"/>
          </w:tcPr>
          <w:p w14:paraId="71A48EF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肉类、蛋类、水产类、腊味类、蔬菜类、豆制品类、水果类</w:t>
            </w:r>
            <w:r>
              <w:rPr>
                <w:rFonts w:hint="eastAsia" w:ascii="宋体" w:hAnsi="宋体" w:cs="宋体"/>
                <w:i w:val="0"/>
                <w:iCs w:val="0"/>
                <w:color w:val="000000"/>
                <w:kern w:val="0"/>
                <w:sz w:val="20"/>
                <w:szCs w:val="20"/>
                <w:highlight w:val="none"/>
                <w:u w:val="none"/>
                <w:lang w:val="en-US" w:eastAsia="zh-CN" w:bidi="ar"/>
              </w:rPr>
              <w:t>（含坚果类）</w:t>
            </w:r>
          </w:p>
        </w:tc>
        <w:tc>
          <w:tcPr>
            <w:tcW w:w="1121" w:type="dxa"/>
            <w:tcBorders>
              <w:top w:val="single" w:color="auto" w:sz="4" w:space="0"/>
              <w:left w:val="single" w:color="auto" w:sz="4" w:space="0"/>
              <w:bottom w:val="single" w:color="auto" w:sz="4" w:space="0"/>
              <w:right w:val="single" w:color="auto" w:sz="4" w:space="0"/>
            </w:tcBorders>
            <w:vAlign w:val="center"/>
          </w:tcPr>
          <w:p w14:paraId="62AA0885">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70%</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093BCA70">
            <w:pPr>
              <w:pStyle w:val="18"/>
              <w:spacing w:line="240" w:lineRule="atLeast"/>
              <w:ind w:left="0" w:leftChars="0" w:firstLine="0" w:firstLineChars="0"/>
              <w:jc w:val="center"/>
              <w:outlineLvl w:val="0"/>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
                <w:bCs w:val="0"/>
                <w:i/>
                <w:iCs/>
                <w:color w:val="FF0000"/>
                <w:sz w:val="21"/>
                <w:szCs w:val="21"/>
                <w:highlight w:val="none"/>
                <w:lang w:val="en-US" w:eastAsia="zh-CN"/>
              </w:rPr>
              <w:t>例：</w:t>
            </w:r>
            <w:r>
              <w:rPr>
                <w:rFonts w:hint="eastAsia" w:ascii="宋体" w:hAnsi="宋体" w:cs="宋体"/>
                <w:b/>
                <w:bCs w:val="0"/>
                <w:i/>
                <w:iCs/>
                <w:color w:val="FF0000"/>
                <w:sz w:val="21"/>
                <w:szCs w:val="21"/>
                <w:highlight w:val="none"/>
                <w:u w:val="single"/>
                <w:lang w:val="en-US" w:eastAsia="zh-CN"/>
              </w:rPr>
              <w:t>87.90</w:t>
            </w:r>
            <w:r>
              <w:rPr>
                <w:rFonts w:hint="eastAsia" w:ascii="宋体" w:hAnsi="宋体" w:eastAsia="宋体" w:cs="宋体"/>
                <w:b/>
                <w:bCs w:val="0"/>
                <w:i/>
                <w:iCs/>
                <w:color w:val="FF0000"/>
                <w:sz w:val="21"/>
                <w:szCs w:val="21"/>
                <w:highlight w:val="none"/>
                <w:u w:val="single"/>
                <w:lang w:val="en-US" w:eastAsia="zh-CN"/>
              </w:rPr>
              <w:t>%</w:t>
            </w:r>
          </w:p>
        </w:tc>
        <w:tc>
          <w:tcPr>
            <w:tcW w:w="1159" w:type="dxa"/>
            <w:tcBorders>
              <w:top w:val="single" w:color="auto" w:sz="4" w:space="0"/>
              <w:left w:val="single" w:color="auto" w:sz="4" w:space="0"/>
              <w:bottom w:val="single" w:color="auto" w:sz="4" w:space="0"/>
              <w:right w:val="single" w:color="auto" w:sz="4" w:space="0"/>
            </w:tcBorders>
            <w:vAlign w:val="center"/>
          </w:tcPr>
          <w:p w14:paraId="31B63AB0">
            <w:pPr>
              <w:pStyle w:val="18"/>
              <w:spacing w:line="240" w:lineRule="atLeast"/>
              <w:ind w:left="0"/>
              <w:jc w:val="center"/>
              <w:outlineLvl w:val="0"/>
              <w:rPr>
                <w:rFonts w:hint="eastAsia" w:ascii="宋体" w:hAnsi="宋体" w:eastAsia="宋体" w:cs="宋体"/>
                <w:bCs/>
                <w:color w:val="auto"/>
                <w:sz w:val="21"/>
                <w:szCs w:val="21"/>
                <w:highlight w:val="none"/>
              </w:rPr>
            </w:pPr>
          </w:p>
        </w:tc>
      </w:tr>
      <w:tr w14:paraId="503DC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651" w:type="dxa"/>
            <w:vMerge w:val="continue"/>
            <w:tcBorders>
              <w:left w:val="single" w:color="auto" w:sz="4" w:space="0"/>
              <w:bottom w:val="single" w:color="auto" w:sz="4" w:space="0"/>
              <w:right w:val="single" w:color="auto" w:sz="4" w:space="0"/>
            </w:tcBorders>
            <w:vAlign w:val="center"/>
          </w:tcPr>
          <w:p w14:paraId="629DC035">
            <w:pPr>
              <w:pStyle w:val="18"/>
              <w:spacing w:line="240" w:lineRule="atLeast"/>
              <w:ind w:left="0" w:leftChars="0" w:firstLine="0" w:firstLineChars="0"/>
              <w:jc w:val="center"/>
              <w:outlineLvl w:val="0"/>
              <w:rPr>
                <w:rFonts w:hint="eastAsia" w:ascii="宋体" w:hAnsi="宋体" w:eastAsia="宋体" w:cs="宋体"/>
                <w:bCs/>
                <w:color w:val="auto"/>
                <w:sz w:val="21"/>
                <w:szCs w:val="21"/>
                <w:highlight w:val="none"/>
              </w:rPr>
            </w:pPr>
          </w:p>
        </w:tc>
        <w:tc>
          <w:tcPr>
            <w:tcW w:w="1641" w:type="dxa"/>
            <w:vMerge w:val="continue"/>
            <w:tcBorders>
              <w:left w:val="single" w:color="auto" w:sz="4" w:space="0"/>
              <w:bottom w:val="single" w:color="auto" w:sz="4" w:space="0"/>
              <w:right w:val="single" w:color="auto" w:sz="4" w:space="0"/>
            </w:tcBorders>
            <w:vAlign w:val="center"/>
          </w:tcPr>
          <w:p w14:paraId="1054DB8A">
            <w:pPr>
              <w:pStyle w:val="18"/>
              <w:spacing w:line="240" w:lineRule="atLeast"/>
              <w:ind w:left="0"/>
              <w:jc w:val="center"/>
              <w:outlineLvl w:val="0"/>
              <w:rPr>
                <w:rFonts w:hint="eastAsia" w:ascii="宋体" w:hAnsi="宋体" w:eastAsia="宋体" w:cs="宋体"/>
                <w:color w:val="auto"/>
                <w:sz w:val="21"/>
                <w:szCs w:val="21"/>
                <w:highlight w:val="none"/>
              </w:rPr>
            </w:pPr>
          </w:p>
        </w:tc>
        <w:tc>
          <w:tcPr>
            <w:tcW w:w="1100" w:type="dxa"/>
            <w:tcBorders>
              <w:top w:val="single" w:color="auto" w:sz="4" w:space="0"/>
              <w:left w:val="single" w:color="auto" w:sz="4" w:space="0"/>
              <w:bottom w:val="single" w:color="auto" w:sz="4" w:space="0"/>
              <w:right w:val="single" w:color="auto" w:sz="4" w:space="0"/>
            </w:tcBorders>
            <w:vAlign w:val="center"/>
          </w:tcPr>
          <w:p w14:paraId="4842C191">
            <w:pPr>
              <w:keepNext w:val="0"/>
              <w:keepLines w:val="0"/>
              <w:widowControl/>
              <w:suppressLineNumbers w:val="0"/>
              <w:jc w:val="center"/>
              <w:textAlignment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分类2</w:t>
            </w:r>
          </w:p>
        </w:tc>
        <w:tc>
          <w:tcPr>
            <w:tcW w:w="2317" w:type="dxa"/>
            <w:tcBorders>
              <w:top w:val="single" w:color="auto" w:sz="4" w:space="0"/>
              <w:left w:val="single" w:color="auto" w:sz="4" w:space="0"/>
              <w:bottom w:val="single" w:color="auto" w:sz="4" w:space="0"/>
              <w:right w:val="single" w:color="auto" w:sz="4" w:space="0"/>
            </w:tcBorders>
            <w:shd w:val="clear" w:color="auto" w:fill="auto"/>
            <w:vAlign w:val="center"/>
          </w:tcPr>
          <w:p w14:paraId="0145F00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米面类、粮油干副类、</w:t>
            </w:r>
            <w:r>
              <w:rPr>
                <w:rFonts w:hint="eastAsia" w:ascii="宋体" w:hAnsi="宋体" w:eastAsia="宋体" w:cs="宋体"/>
                <w:bCs/>
                <w:color w:val="auto"/>
                <w:sz w:val="21"/>
                <w:szCs w:val="21"/>
                <w:highlight w:val="none"/>
              </w:rPr>
              <w:t>调料类</w:t>
            </w:r>
            <w:r>
              <w:rPr>
                <w:rFonts w:hint="eastAsia" w:ascii="宋体" w:hAnsi="宋体" w:eastAsia="宋体" w:cs="宋体"/>
                <w:bCs/>
                <w:color w:val="auto"/>
                <w:sz w:val="21"/>
                <w:szCs w:val="21"/>
                <w:highlight w:val="none"/>
                <w:lang w:eastAsia="zh-CN"/>
              </w:rPr>
              <w:t>、</w:t>
            </w:r>
            <w:r>
              <w:rPr>
                <w:rFonts w:hint="eastAsia" w:ascii="宋体" w:hAnsi="宋体" w:eastAsia="宋体" w:cs="宋体"/>
                <w:i w:val="0"/>
                <w:iCs w:val="0"/>
                <w:color w:val="000000"/>
                <w:kern w:val="0"/>
                <w:sz w:val="20"/>
                <w:szCs w:val="20"/>
                <w:highlight w:val="none"/>
                <w:u w:val="none"/>
                <w:lang w:val="en-US" w:eastAsia="zh-CN" w:bidi="ar"/>
              </w:rPr>
              <w:t>奶制品类</w:t>
            </w:r>
          </w:p>
        </w:tc>
        <w:tc>
          <w:tcPr>
            <w:tcW w:w="1121" w:type="dxa"/>
            <w:tcBorders>
              <w:top w:val="single" w:color="auto" w:sz="4" w:space="0"/>
              <w:left w:val="single" w:color="auto" w:sz="4" w:space="0"/>
              <w:bottom w:val="single" w:color="auto" w:sz="4" w:space="0"/>
              <w:right w:val="single" w:color="auto" w:sz="4" w:space="0"/>
            </w:tcBorders>
            <w:vAlign w:val="center"/>
          </w:tcPr>
          <w:p w14:paraId="2E31DD5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30%</w:t>
            </w:r>
          </w:p>
        </w:tc>
        <w:tc>
          <w:tcPr>
            <w:tcW w:w="1672" w:type="dxa"/>
            <w:tcBorders>
              <w:top w:val="single" w:color="auto" w:sz="4" w:space="0"/>
              <w:left w:val="single" w:color="auto" w:sz="4" w:space="0"/>
              <w:bottom w:val="single" w:color="auto" w:sz="4" w:space="0"/>
              <w:right w:val="single" w:color="auto" w:sz="4" w:space="0"/>
            </w:tcBorders>
            <w:shd w:val="clear" w:color="auto" w:fill="auto"/>
            <w:vAlign w:val="center"/>
          </w:tcPr>
          <w:p w14:paraId="0C861EE6">
            <w:pPr>
              <w:pStyle w:val="18"/>
              <w:spacing w:line="240" w:lineRule="atLeast"/>
              <w:ind w:left="0" w:leftChars="0" w:firstLine="0" w:firstLineChars="0"/>
              <w:jc w:val="center"/>
              <w:outlineLvl w:val="0"/>
              <w:rPr>
                <w:rFonts w:hint="eastAsia" w:ascii="宋体" w:hAnsi="宋体" w:eastAsia="宋体" w:cs="宋体"/>
                <w:b/>
                <w:bCs w:val="0"/>
                <w:i/>
                <w:iCs/>
                <w:color w:val="FF0000"/>
                <w:kern w:val="0"/>
                <w:sz w:val="21"/>
                <w:szCs w:val="21"/>
                <w:highlight w:val="none"/>
                <w:lang w:val="en-US" w:eastAsia="zh-CN" w:bidi="ar-SA"/>
              </w:rPr>
            </w:pPr>
            <w:r>
              <w:rPr>
                <w:rFonts w:hint="eastAsia" w:ascii="宋体" w:hAnsi="宋体" w:eastAsia="宋体" w:cs="宋体"/>
                <w:b/>
                <w:bCs w:val="0"/>
                <w:i/>
                <w:iCs/>
                <w:color w:val="FF0000"/>
                <w:sz w:val="21"/>
                <w:szCs w:val="21"/>
                <w:highlight w:val="none"/>
                <w:lang w:val="en-US" w:eastAsia="zh-CN"/>
              </w:rPr>
              <w:t>例：</w:t>
            </w:r>
            <w:r>
              <w:rPr>
                <w:rFonts w:hint="eastAsia" w:ascii="宋体" w:hAnsi="宋体" w:cs="宋体"/>
                <w:b/>
                <w:bCs w:val="0"/>
                <w:i/>
                <w:iCs/>
                <w:color w:val="FF0000"/>
                <w:sz w:val="21"/>
                <w:szCs w:val="21"/>
                <w:highlight w:val="none"/>
                <w:u w:val="single"/>
                <w:lang w:val="en-US" w:eastAsia="zh-CN"/>
              </w:rPr>
              <w:t>87.90</w:t>
            </w:r>
            <w:r>
              <w:rPr>
                <w:rFonts w:hint="eastAsia" w:ascii="宋体" w:hAnsi="宋体" w:eastAsia="宋体" w:cs="宋体"/>
                <w:b/>
                <w:bCs w:val="0"/>
                <w:i/>
                <w:iCs/>
                <w:color w:val="FF0000"/>
                <w:sz w:val="21"/>
                <w:szCs w:val="21"/>
                <w:highlight w:val="none"/>
                <w:u w:val="single"/>
                <w:lang w:val="en-US" w:eastAsia="zh-CN"/>
              </w:rPr>
              <w:t>%</w:t>
            </w:r>
          </w:p>
        </w:tc>
        <w:tc>
          <w:tcPr>
            <w:tcW w:w="1159" w:type="dxa"/>
            <w:tcBorders>
              <w:top w:val="single" w:color="auto" w:sz="4" w:space="0"/>
              <w:left w:val="single" w:color="auto" w:sz="4" w:space="0"/>
              <w:bottom w:val="single" w:color="auto" w:sz="4" w:space="0"/>
              <w:right w:val="single" w:color="auto" w:sz="4" w:space="0"/>
            </w:tcBorders>
            <w:vAlign w:val="center"/>
          </w:tcPr>
          <w:p w14:paraId="591033D8">
            <w:pPr>
              <w:pStyle w:val="18"/>
              <w:spacing w:line="240" w:lineRule="atLeast"/>
              <w:ind w:left="0"/>
              <w:jc w:val="center"/>
              <w:outlineLvl w:val="0"/>
              <w:rPr>
                <w:rFonts w:hint="eastAsia" w:ascii="宋体" w:hAnsi="宋体" w:eastAsia="宋体" w:cs="宋体"/>
                <w:bCs/>
                <w:color w:val="auto"/>
                <w:sz w:val="21"/>
                <w:szCs w:val="21"/>
                <w:highlight w:val="none"/>
              </w:rPr>
            </w:pPr>
          </w:p>
        </w:tc>
      </w:tr>
    </w:tbl>
    <w:p w14:paraId="5F3D36D6">
      <w:pPr>
        <w:spacing w:line="480" w:lineRule="auto"/>
        <w:jc w:val="left"/>
        <w:rPr>
          <w:rFonts w:ascii="宋体" w:hAnsi="宋体"/>
          <w:b/>
          <w:color w:val="auto"/>
          <w:szCs w:val="21"/>
          <w:highlight w:val="none"/>
        </w:rPr>
      </w:pPr>
    </w:p>
    <w:p w14:paraId="12AAE555">
      <w:pPr>
        <w:keepNext w:val="0"/>
        <w:keepLines w:val="0"/>
        <w:pageBreakBefore w:val="0"/>
        <w:widowControl w:val="0"/>
        <w:kinsoku/>
        <w:wordWrap/>
        <w:overflowPunct/>
        <w:topLinePunct w:val="0"/>
        <w:autoSpaceDE/>
        <w:autoSpaceDN/>
        <w:bidi w:val="0"/>
        <w:adjustRightInd/>
        <w:snapToGrid/>
        <w:spacing w:line="480" w:lineRule="auto"/>
        <w:ind w:firstLine="4800" w:firstLineChars="2000"/>
        <w:textAlignment w:val="auto"/>
        <w:rPr>
          <w:rFonts w:hint="eastAsia" w:ascii="宋体" w:hAnsi="宋体"/>
          <w:b w:val="0"/>
          <w:bCs w:val="0"/>
          <w:color w:val="auto"/>
          <w:sz w:val="24"/>
          <w:highlight w:val="none"/>
        </w:rPr>
      </w:pPr>
    </w:p>
    <w:p w14:paraId="656135AF">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14:paraId="48F90BC2">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14:paraId="3181A09A">
      <w:pPr>
        <w:jc w:val="right"/>
        <w:rPr>
          <w:rFonts w:hint="eastAsia" w:ascii="宋体" w:hAnsi="宋体"/>
          <w:b w:val="0"/>
          <w:bCs w:val="0"/>
          <w:color w:val="auto"/>
          <w:kern w:val="0"/>
          <w:szCs w:val="21"/>
          <w:highlight w:val="none"/>
          <w:u w:val="single"/>
        </w:rPr>
      </w:pPr>
    </w:p>
    <w:p w14:paraId="570B9700">
      <w:pPr>
        <w:jc w:val="right"/>
        <w:rPr>
          <w:rFonts w:hint="eastAsia" w:ascii="宋体" w:hAnsi="宋体"/>
          <w:b w:val="0"/>
          <w:bCs w:val="0"/>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14:paraId="50C39515">
      <w:pPr>
        <w:pStyle w:val="4"/>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39" w:name="_Toc12910"/>
      <w:bookmarkStart w:id="240" w:name="_Toc19454"/>
      <w:bookmarkStart w:id="241" w:name="_Toc11961"/>
      <w:bookmarkStart w:id="242" w:name="_Toc18757"/>
      <w:r>
        <w:rPr>
          <w:rFonts w:hint="eastAsia" w:ascii="宋体" w:hAnsi="宋体" w:eastAsia="宋体" w:cs="宋体"/>
          <w:color w:val="auto"/>
          <w:sz w:val="28"/>
          <w:highlight w:val="none"/>
        </w:rPr>
        <w:t>四、资格审查资料</w:t>
      </w:r>
      <w:bookmarkEnd w:id="228"/>
      <w:bookmarkEnd w:id="229"/>
      <w:bookmarkEnd w:id="230"/>
      <w:bookmarkEnd w:id="239"/>
      <w:bookmarkEnd w:id="240"/>
      <w:bookmarkEnd w:id="241"/>
      <w:bookmarkEnd w:id="242"/>
    </w:p>
    <w:p w14:paraId="334CB2F4">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bookmarkEnd w:id="231"/>
    <w:bookmarkEnd w:id="232"/>
    <w:bookmarkEnd w:id="233"/>
    <w:bookmarkEnd w:id="234"/>
    <w:bookmarkEnd w:id="235"/>
    <w:bookmarkEnd w:id="236"/>
    <w:bookmarkEnd w:id="237"/>
    <w:bookmarkEnd w:id="238"/>
    <w:tbl>
      <w:tblPr>
        <w:tblStyle w:val="42"/>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50FBC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7E9BF31E">
            <w:pPr>
              <w:spacing w:line="400" w:lineRule="exact"/>
              <w:jc w:val="center"/>
              <w:rPr>
                <w:rFonts w:ascii="宋体" w:hAnsi="宋体" w:cs="宋体"/>
                <w:color w:val="auto"/>
                <w:szCs w:val="21"/>
                <w:highlight w:val="none"/>
              </w:rPr>
            </w:pPr>
            <w:bookmarkStart w:id="243" w:name="_Toc503951058"/>
            <w:bookmarkStart w:id="244" w:name="_Toc513633974"/>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5A5BA2E">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6F148167">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14:paraId="33C6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14:paraId="0632C2BD">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14:paraId="4E9B5CFB">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14:paraId="16346536">
            <w:pPr>
              <w:spacing w:line="400" w:lineRule="exact"/>
              <w:rPr>
                <w:rFonts w:hint="eastAsia" w:ascii="宋体" w:hAnsi="宋体" w:eastAsia="宋体" w:cs="宋体"/>
                <w:color w:val="auto"/>
                <w:szCs w:val="21"/>
                <w:highlight w:val="none"/>
                <w:lang w:val="en-US" w:eastAsia="zh-CN"/>
              </w:rPr>
            </w:pPr>
            <w:r>
              <w:rPr>
                <w:rFonts w:hint="eastAsia" w:ascii="宋体" w:hAnsi="宋体" w:eastAsia="宋体" w:cs="宋体"/>
                <w:color w:val="auto"/>
                <w:sz w:val="21"/>
                <w:szCs w:val="21"/>
                <w:highlight w:val="none"/>
              </w:rPr>
              <w:t>（1）报价人具有独立法人资格及有效的营业执照。</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（2）报价人具有有效的《食品生产许可证》或《食品经营许可证》。</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（3）报价人具有有效的食品销售或配送业务相关的ISO9001质量管理体系认证证书及ISO45001职业健康安全管理体系认证证书。</w:t>
            </w:r>
            <w:r>
              <w:rPr>
                <w:rFonts w:hint="eastAsia" w:ascii="宋体" w:hAnsi="宋体" w:eastAsia="宋体" w:cs="宋体"/>
                <w:color w:val="auto"/>
                <w:sz w:val="21"/>
                <w:szCs w:val="21"/>
                <w:highlight w:val="none"/>
              </w:rPr>
              <w:br w:type="textWrapping"/>
            </w:r>
            <w:r>
              <w:rPr>
                <w:rFonts w:hint="eastAsia" w:ascii="宋体" w:hAnsi="宋体" w:eastAsia="宋体" w:cs="宋体"/>
                <w:color w:val="auto"/>
                <w:sz w:val="21"/>
                <w:szCs w:val="21"/>
                <w:highlight w:val="none"/>
              </w:rPr>
              <w:t>（4）报价人须已投保有效的食品安全责任保险（保单累计责任限额不低于2000万元，每次事故责任限额不低于200万元），且在保险期间内。</w:t>
            </w:r>
          </w:p>
        </w:tc>
      </w:tr>
      <w:tr w14:paraId="59C89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14:paraId="1C4917F3">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74361ED8">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71DB0D14">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eastAsia="宋体" w:cs="宋体"/>
                <w:color w:val="auto"/>
                <w:sz w:val="21"/>
                <w:szCs w:val="21"/>
                <w:highlight w:val="none"/>
              </w:rPr>
              <w:t>报价人在2023年1月1日至竞争性比选文件发出之日（以合同签订时间为准）至少具有一个合同供货金额5万元及以上的类似生鲜食品配送或销售业绩（需提供合同及合同对应结算发票，结算发票金额不低于5万元，以发票金额为准）。</w:t>
            </w:r>
          </w:p>
        </w:tc>
      </w:tr>
      <w:tr w14:paraId="19AB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515AC35C">
            <w:pPr>
              <w:spacing w:line="400" w:lineRule="exact"/>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64C5D82F">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15C338FD">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14:paraId="72C6BB36">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14:paraId="6202BA16">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14:paraId="6548D6CF">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14:paraId="4AA30DAC">
      <w:pPr>
        <w:rPr>
          <w:color w:val="auto"/>
          <w:highlight w:val="none"/>
        </w:rPr>
      </w:pPr>
    </w:p>
    <w:p w14:paraId="2DCCAF34">
      <w:pPr>
        <w:pStyle w:val="5"/>
        <w:jc w:val="center"/>
        <w:rPr>
          <w:rFonts w:ascii="宋体" w:hAnsi="宋体" w:cs="宋体"/>
          <w:color w:val="auto"/>
          <w:sz w:val="28"/>
          <w:highlight w:val="none"/>
        </w:rPr>
      </w:pPr>
    </w:p>
    <w:p w14:paraId="3D731284">
      <w:pPr>
        <w:rPr>
          <w:rFonts w:ascii="宋体" w:hAnsi="宋体" w:cs="宋体"/>
          <w:color w:val="auto"/>
          <w:sz w:val="28"/>
          <w:highlight w:val="none"/>
        </w:rPr>
      </w:pPr>
    </w:p>
    <w:p w14:paraId="0871AC83">
      <w:pPr>
        <w:pStyle w:val="2"/>
        <w:rPr>
          <w:rFonts w:ascii="宋体" w:hAnsi="宋体" w:cs="宋体"/>
          <w:color w:val="auto"/>
          <w:sz w:val="28"/>
          <w:highlight w:val="none"/>
        </w:rPr>
      </w:pPr>
    </w:p>
    <w:p w14:paraId="3A65F928">
      <w:pPr>
        <w:rPr>
          <w:rFonts w:ascii="宋体" w:hAnsi="宋体" w:cs="宋体"/>
          <w:color w:val="auto"/>
          <w:sz w:val="28"/>
          <w:highlight w:val="none"/>
        </w:rPr>
      </w:pPr>
    </w:p>
    <w:p w14:paraId="69AC52BA">
      <w:pPr>
        <w:pStyle w:val="2"/>
        <w:rPr>
          <w:rFonts w:ascii="宋体" w:hAnsi="宋体" w:cs="宋体"/>
          <w:color w:val="auto"/>
          <w:sz w:val="28"/>
          <w:highlight w:val="none"/>
        </w:rPr>
      </w:pPr>
    </w:p>
    <w:p w14:paraId="721687F2">
      <w:pPr>
        <w:rPr>
          <w:rFonts w:ascii="宋体" w:hAnsi="宋体" w:cs="宋体"/>
          <w:color w:val="auto"/>
          <w:sz w:val="28"/>
          <w:highlight w:val="none"/>
        </w:rPr>
      </w:pPr>
    </w:p>
    <w:p w14:paraId="6AE89484">
      <w:pPr>
        <w:pStyle w:val="2"/>
        <w:rPr>
          <w:rFonts w:ascii="宋体" w:hAnsi="宋体" w:cs="宋体"/>
          <w:color w:val="auto"/>
          <w:sz w:val="28"/>
          <w:highlight w:val="none"/>
        </w:rPr>
      </w:pPr>
    </w:p>
    <w:p w14:paraId="763BBA82">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14:paraId="7112FF30">
      <w:pPr>
        <w:jc w:val="center"/>
        <w:rPr>
          <w:rFonts w:hint="eastAsia" w:ascii="宋体" w:hAnsi="宋体" w:cs="宋体"/>
          <w:b/>
          <w:bCs/>
          <w:color w:val="auto"/>
          <w:kern w:val="0"/>
          <w:sz w:val="28"/>
          <w:szCs w:val="20"/>
          <w:highlight w:val="none"/>
          <w:lang w:eastAsia="zh-CN"/>
        </w:rPr>
      </w:pPr>
    </w:p>
    <w:tbl>
      <w:tblPr>
        <w:tblStyle w:val="42"/>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14:paraId="42BF78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14:paraId="60DF5095">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14:paraId="2CEE1AD6">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14:paraId="6B954807">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14:paraId="727DE0D2">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14:paraId="19367FE9">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14:paraId="592583FC">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14:paraId="4A994630">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14:paraId="4E9E63F2">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14:paraId="1C929380">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14:paraId="561B3D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988D418">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14:paraId="71F5892F">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2F68973">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5A0F8D78">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0B1097AD">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212F0586">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02C5715F">
            <w:pPr>
              <w:jc w:val="center"/>
              <w:rPr>
                <w:rFonts w:hint="eastAsia" w:ascii="宋体" w:hAnsi="宋体"/>
                <w:color w:val="auto"/>
                <w:szCs w:val="21"/>
                <w:highlight w:val="none"/>
              </w:rPr>
            </w:pPr>
          </w:p>
        </w:tc>
      </w:tr>
      <w:tr w14:paraId="54E1BB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7EFA67BC">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14:paraId="7E759532">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5C1D7419">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219DED5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44790FD4">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158D50F1">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66F74142">
            <w:pPr>
              <w:jc w:val="center"/>
              <w:rPr>
                <w:rFonts w:hint="eastAsia" w:ascii="宋体" w:hAnsi="宋体"/>
                <w:color w:val="auto"/>
                <w:szCs w:val="21"/>
                <w:highlight w:val="none"/>
              </w:rPr>
            </w:pPr>
          </w:p>
        </w:tc>
      </w:tr>
      <w:tr w14:paraId="6A09C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377A06A">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14:paraId="6BFB043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3686A74">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3BF88829">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4BFAE84A">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34CE2260">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1F396938">
            <w:pPr>
              <w:jc w:val="center"/>
              <w:rPr>
                <w:rFonts w:hint="eastAsia" w:ascii="宋体" w:hAnsi="宋体"/>
                <w:color w:val="auto"/>
                <w:szCs w:val="21"/>
                <w:highlight w:val="none"/>
              </w:rPr>
            </w:pPr>
          </w:p>
        </w:tc>
      </w:tr>
      <w:tr w14:paraId="0DA722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1AECC80E">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14:paraId="65D13A48">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6D8AA4B7">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005A44FB">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2BBF07B7">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7C5AB58A">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1D50858C">
            <w:pPr>
              <w:jc w:val="center"/>
              <w:rPr>
                <w:rFonts w:hint="eastAsia" w:ascii="宋体" w:hAnsi="宋体"/>
                <w:color w:val="auto"/>
                <w:szCs w:val="21"/>
                <w:highlight w:val="none"/>
              </w:rPr>
            </w:pPr>
          </w:p>
        </w:tc>
      </w:tr>
      <w:tr w14:paraId="59851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14:paraId="013574EC">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14:paraId="7BE7612F">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484CAF62">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14:paraId="4D6E16A6">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14:paraId="576EA922">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14:paraId="4A101012">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14:paraId="4AEEAA6F">
            <w:pPr>
              <w:jc w:val="center"/>
              <w:rPr>
                <w:rFonts w:hint="eastAsia" w:ascii="宋体" w:hAnsi="宋体"/>
                <w:color w:val="auto"/>
                <w:szCs w:val="21"/>
                <w:highlight w:val="none"/>
              </w:rPr>
            </w:pPr>
          </w:p>
        </w:tc>
      </w:tr>
    </w:tbl>
    <w:p w14:paraId="32BFA5F0">
      <w:pPr>
        <w:adjustRightInd w:val="0"/>
        <w:snapToGrid w:val="0"/>
        <w:spacing w:line="460" w:lineRule="exact"/>
        <w:ind w:firstLine="422"/>
        <w:rPr>
          <w:rFonts w:hint="eastAsia" w:ascii="宋体" w:hAnsi="宋体"/>
          <w:b/>
          <w:color w:val="auto"/>
          <w:szCs w:val="21"/>
          <w:highlight w:val="none"/>
        </w:rPr>
      </w:pPr>
    </w:p>
    <w:p w14:paraId="5CD425D3">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14:paraId="0CCDAA2B">
      <w:pPr>
        <w:adjustRightInd w:val="0"/>
        <w:snapToGrid w:val="0"/>
        <w:spacing w:line="460" w:lineRule="exact"/>
        <w:ind w:firstLine="422"/>
        <w:rPr>
          <w:rFonts w:hint="eastAsia" w:ascii="宋体" w:hAnsi="宋体"/>
          <w:b/>
          <w:color w:val="auto"/>
          <w:szCs w:val="21"/>
          <w:highlight w:val="none"/>
        </w:rPr>
      </w:pPr>
    </w:p>
    <w:p w14:paraId="38527CD9">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14:paraId="152A56D8">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14:paraId="09ED818E">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332FFA5C">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14:paraId="435FC83C">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14:paraId="6B740C5D">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14:paraId="2FAD5EC9">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14:paraId="5015C5C2">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14:paraId="744459B5">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14:paraId="6DD13AEC">
      <w:pPr>
        <w:spacing w:line="360" w:lineRule="auto"/>
        <w:jc w:val="left"/>
        <w:rPr>
          <w:rFonts w:ascii="宋体" w:hAnsi="宋体" w:eastAsia="宋体" w:cs="Times New Roman"/>
          <w:color w:val="auto"/>
          <w:szCs w:val="21"/>
          <w:highlight w:val="none"/>
        </w:rPr>
      </w:pPr>
    </w:p>
    <w:tbl>
      <w:tblPr>
        <w:tblStyle w:val="42"/>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14:paraId="773B7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412BE481">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14:paraId="38456199">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14:paraId="6CA65A3F">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14:paraId="72AC7744">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14:paraId="0CDF035C">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14:paraId="3369DC5C">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14:paraId="1A4482C1">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14:paraId="2FE81F2A">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14:paraId="51AF8C7D">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14:paraId="4B88B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1956B962">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14:paraId="619E833B">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0CD3CEB5">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5A67D12E">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2161CACD">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3FBFFF8">
            <w:pPr>
              <w:spacing w:before="312" w:beforeLines="100" w:line="360" w:lineRule="auto"/>
              <w:jc w:val="center"/>
              <w:rPr>
                <w:rFonts w:ascii="宋体" w:hAnsi="宋体" w:eastAsia="宋体" w:cs="Times New Roman"/>
                <w:color w:val="auto"/>
                <w:szCs w:val="21"/>
                <w:highlight w:val="none"/>
              </w:rPr>
            </w:pPr>
          </w:p>
        </w:tc>
      </w:tr>
      <w:tr w14:paraId="0A88B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1D3CDE0">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14:paraId="3714A740">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4F197F38">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3DF55855">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0D7E3024">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1C60B098">
            <w:pPr>
              <w:spacing w:before="312" w:beforeLines="100" w:line="360" w:lineRule="auto"/>
              <w:jc w:val="center"/>
              <w:rPr>
                <w:rFonts w:ascii="宋体" w:hAnsi="宋体" w:eastAsia="宋体" w:cs="Times New Roman"/>
                <w:color w:val="auto"/>
                <w:szCs w:val="21"/>
                <w:highlight w:val="none"/>
              </w:rPr>
            </w:pPr>
          </w:p>
        </w:tc>
      </w:tr>
      <w:tr w14:paraId="755AD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1B4FDFAC">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14:paraId="7A444F64">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78ECF4B5">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3ED7EB8D">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4A84C3A9">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70A168C3">
            <w:pPr>
              <w:spacing w:before="312" w:beforeLines="100" w:line="360" w:lineRule="auto"/>
              <w:jc w:val="center"/>
              <w:rPr>
                <w:rFonts w:ascii="宋体" w:hAnsi="宋体" w:eastAsia="宋体" w:cs="Times New Roman"/>
                <w:color w:val="auto"/>
                <w:szCs w:val="21"/>
                <w:highlight w:val="none"/>
              </w:rPr>
            </w:pPr>
          </w:p>
        </w:tc>
      </w:tr>
      <w:tr w14:paraId="1326A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14:paraId="0094E4AE">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14:paraId="0E2FE340">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14:paraId="54504054">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14:paraId="3190B5BC">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5473B488">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14:paraId="61A51E0F">
            <w:pPr>
              <w:spacing w:before="312" w:beforeLines="100" w:line="360" w:lineRule="auto"/>
              <w:jc w:val="center"/>
              <w:rPr>
                <w:rFonts w:ascii="宋体" w:hAnsi="宋体" w:eastAsia="宋体" w:cs="Times New Roman"/>
                <w:color w:val="auto"/>
                <w:szCs w:val="21"/>
                <w:highlight w:val="none"/>
              </w:rPr>
            </w:pPr>
          </w:p>
        </w:tc>
      </w:tr>
    </w:tbl>
    <w:p w14:paraId="26033CBA">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14:paraId="5B57A983">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14:paraId="0C04F271">
      <w:pPr>
        <w:adjustRightInd w:val="0"/>
        <w:snapToGrid w:val="0"/>
        <w:spacing w:line="460" w:lineRule="exact"/>
        <w:ind w:firstLine="422"/>
        <w:rPr>
          <w:rFonts w:ascii="宋体" w:hAnsi="宋体" w:eastAsia="宋体" w:cs="Times New Roman"/>
          <w:b/>
          <w:color w:val="auto"/>
          <w:szCs w:val="21"/>
          <w:highlight w:val="none"/>
        </w:rPr>
      </w:pPr>
    </w:p>
    <w:p w14:paraId="724C5DF3">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14:paraId="1068606A">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14:paraId="6846E609">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14:paraId="40707BA3">
      <w:pPr>
        <w:pStyle w:val="2"/>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14:paraId="4ED31E6C">
      <w:pPr>
        <w:rPr>
          <w:rFonts w:ascii="宋体" w:hAnsi="宋体" w:cs="宋体"/>
          <w:color w:val="auto"/>
          <w:sz w:val="28"/>
          <w:highlight w:val="none"/>
        </w:rPr>
      </w:pPr>
    </w:p>
    <w:p w14:paraId="5F5753E7">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14:paraId="38032501">
      <w:pPr>
        <w:pStyle w:val="4"/>
        <w:spacing w:before="0" w:after="0" w:line="360" w:lineRule="auto"/>
        <w:jc w:val="center"/>
        <w:rPr>
          <w:rFonts w:ascii="宋体" w:hAnsi="宋体" w:eastAsia="宋体" w:cs="宋体"/>
          <w:color w:val="auto"/>
          <w:sz w:val="28"/>
          <w:highlight w:val="none"/>
        </w:rPr>
      </w:pPr>
      <w:bookmarkStart w:id="245" w:name="_Toc21066"/>
      <w:r>
        <w:rPr>
          <w:rFonts w:hint="eastAsia" w:ascii="宋体" w:hAnsi="宋体" w:eastAsia="宋体" w:cs="宋体"/>
          <w:color w:val="auto"/>
          <w:sz w:val="28"/>
          <w:highlight w:val="none"/>
        </w:rPr>
        <w:t>五、报价人承诺</w:t>
      </w:r>
      <w:bookmarkEnd w:id="245"/>
    </w:p>
    <w:p w14:paraId="5C4F53E5">
      <w:pPr>
        <w:pStyle w:val="2"/>
        <w:rPr>
          <w:color w:val="auto"/>
          <w:highlight w:val="none"/>
        </w:rPr>
      </w:pPr>
    </w:p>
    <w:p w14:paraId="2BE33064">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14:paraId="435273D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14:paraId="3D1610C3">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14:paraId="11F2FF1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14:paraId="737791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14:paraId="1B040C3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14:paraId="13C5E1CD">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14:paraId="1FD6AB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14:paraId="71C2B0C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14:paraId="4AF92B6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14:paraId="0C96ADA5">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yellow"/>
        </w:rPr>
      </w:pPr>
    </w:p>
    <w:p w14:paraId="2792C52E">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14:paraId="52A45354">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14:paraId="759B3865">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14:paraId="08A24E78">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14:paraId="30727043">
      <w:pPr>
        <w:keepNext w:val="0"/>
        <w:keepLines w:val="0"/>
        <w:pageBreakBefore w:val="0"/>
        <w:widowControl w:val="0"/>
        <w:kinsoku/>
        <w:wordWrap/>
        <w:overflowPunct/>
        <w:topLinePunct w:val="0"/>
        <w:bidi w:val="0"/>
        <w:snapToGrid/>
        <w:spacing w:line="400" w:lineRule="exact"/>
        <w:textAlignment w:val="auto"/>
        <w:rPr>
          <w:rFonts w:hint="eastAsia" w:ascii="宋体" w:hAnsi="宋体"/>
          <w:b w:val="0"/>
          <w:bCs w:val="0"/>
          <w:color w:val="auto"/>
          <w:sz w:val="24"/>
          <w:highlight w:val="none"/>
        </w:rPr>
      </w:pPr>
      <w:r>
        <w:rPr>
          <w:rFonts w:hint="eastAsia" w:ascii="宋体" w:hAnsi="宋体"/>
          <w:b w:val="0"/>
          <w:bCs w:val="0"/>
          <w:color w:val="auto"/>
          <w:sz w:val="24"/>
          <w:highlight w:val="none"/>
        </w:rPr>
        <w:br w:type="page"/>
      </w:r>
    </w:p>
    <w:p w14:paraId="2FA21C8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46" w:name="_Toc22750"/>
      <w:r>
        <w:rPr>
          <w:rFonts w:hint="eastAsia" w:ascii="宋体" w:hAnsi="宋体" w:eastAsia="宋体" w:cs="宋体"/>
          <w:b/>
          <w:bCs/>
          <w:color w:val="auto"/>
          <w:kern w:val="0"/>
          <w:sz w:val="28"/>
          <w:szCs w:val="32"/>
          <w:highlight w:val="none"/>
          <w:lang w:val="en-US" w:eastAsia="zh-CN" w:bidi="ar-SA"/>
        </w:rPr>
        <w:t>六、报价人其他资料</w:t>
      </w:r>
      <w:bookmarkEnd w:id="246"/>
    </w:p>
    <w:p w14:paraId="0087B0AC">
      <w:pPr>
        <w:pStyle w:val="2"/>
        <w:rPr>
          <w:rFonts w:ascii="宋体" w:hAnsi="宋体"/>
          <w:color w:val="auto"/>
          <w:sz w:val="24"/>
          <w:highlight w:val="none"/>
        </w:rPr>
      </w:pPr>
    </w:p>
    <w:p w14:paraId="28DF04A6">
      <w:pPr>
        <w:rPr>
          <w:rFonts w:ascii="宋体" w:hAnsi="宋体"/>
          <w:color w:val="auto"/>
          <w:sz w:val="24"/>
          <w:highlight w:val="none"/>
        </w:rPr>
      </w:pPr>
    </w:p>
    <w:p w14:paraId="5881ED3A">
      <w:pPr>
        <w:pStyle w:val="5"/>
        <w:spacing w:before="0" w:after="0" w:line="360" w:lineRule="auto"/>
        <w:jc w:val="center"/>
        <w:rPr>
          <w:color w:val="auto"/>
          <w:sz w:val="28"/>
          <w:szCs w:val="28"/>
          <w:highlight w:val="none"/>
        </w:rPr>
      </w:pPr>
      <w:bookmarkStart w:id="247" w:name="_Toc452107137"/>
      <w:bookmarkStart w:id="248" w:name="_Toc508110857"/>
      <w:bookmarkStart w:id="249" w:name="_Toc4375"/>
      <w:r>
        <w:rPr>
          <w:rFonts w:hint="eastAsia"/>
          <w:color w:val="auto"/>
          <w:sz w:val="28"/>
          <w:szCs w:val="28"/>
          <w:highlight w:val="none"/>
        </w:rPr>
        <w:t>（一）报价人基本信息表</w:t>
      </w:r>
      <w:bookmarkEnd w:id="247"/>
      <w:bookmarkEnd w:id="248"/>
      <w:bookmarkEnd w:id="249"/>
    </w:p>
    <w:p w14:paraId="1ED56CBA">
      <w:pPr>
        <w:pStyle w:val="26"/>
        <w:rPr>
          <w:color w:val="auto"/>
          <w:highlight w:val="none"/>
        </w:rPr>
      </w:pPr>
    </w:p>
    <w:tbl>
      <w:tblPr>
        <w:tblStyle w:val="42"/>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51C17F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3B9564B9">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8F8A7F4">
            <w:pPr>
              <w:topLinePunct/>
              <w:spacing w:line="440" w:lineRule="exact"/>
              <w:jc w:val="center"/>
              <w:rPr>
                <w:rFonts w:ascii="宋体" w:hAnsi="宋体" w:cs="宋体"/>
                <w:color w:val="auto"/>
                <w:szCs w:val="21"/>
                <w:highlight w:val="none"/>
              </w:rPr>
            </w:pPr>
          </w:p>
        </w:tc>
      </w:tr>
      <w:tr w14:paraId="309A57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0213CFA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14:paraId="6950104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383C27DA">
            <w:pPr>
              <w:topLinePunct/>
              <w:spacing w:line="440" w:lineRule="exact"/>
              <w:jc w:val="center"/>
              <w:rPr>
                <w:rFonts w:ascii="宋体" w:hAnsi="宋体" w:cs="宋体"/>
                <w:color w:val="auto"/>
                <w:szCs w:val="21"/>
                <w:highlight w:val="none"/>
              </w:rPr>
            </w:pPr>
          </w:p>
        </w:tc>
      </w:tr>
      <w:tr w14:paraId="452C2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7CF640D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5509C285">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9D6BD9C">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7930A617">
            <w:pPr>
              <w:topLinePunct/>
              <w:spacing w:line="440" w:lineRule="exact"/>
              <w:jc w:val="center"/>
              <w:rPr>
                <w:rFonts w:ascii="宋体" w:hAnsi="宋体" w:cs="宋体"/>
                <w:color w:val="auto"/>
                <w:szCs w:val="21"/>
                <w:highlight w:val="none"/>
              </w:rPr>
            </w:pPr>
          </w:p>
        </w:tc>
      </w:tr>
      <w:tr w14:paraId="6EDC46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17F029D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0444817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21D25F05">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3D968CA6">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344680D1">
            <w:pPr>
              <w:topLinePunct/>
              <w:spacing w:line="440" w:lineRule="exact"/>
              <w:jc w:val="center"/>
              <w:rPr>
                <w:rFonts w:ascii="宋体" w:hAnsi="宋体" w:cs="宋体"/>
                <w:color w:val="auto"/>
                <w:szCs w:val="21"/>
                <w:highlight w:val="none"/>
              </w:rPr>
            </w:pPr>
          </w:p>
        </w:tc>
      </w:tr>
      <w:tr w14:paraId="206601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1563C70">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1332549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1EFBC4D2">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9A15A9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79A2F86">
            <w:pPr>
              <w:topLinePunct/>
              <w:spacing w:line="440" w:lineRule="exact"/>
              <w:jc w:val="center"/>
              <w:rPr>
                <w:rFonts w:ascii="宋体" w:hAnsi="宋体" w:cs="宋体"/>
                <w:color w:val="auto"/>
                <w:szCs w:val="21"/>
                <w:highlight w:val="none"/>
              </w:rPr>
            </w:pPr>
          </w:p>
        </w:tc>
      </w:tr>
      <w:tr w14:paraId="4996BE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37F1E3FE">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0BB9FED">
            <w:pPr>
              <w:topLinePunct/>
              <w:spacing w:line="440" w:lineRule="exact"/>
              <w:jc w:val="center"/>
              <w:rPr>
                <w:rFonts w:ascii="宋体" w:hAnsi="宋体" w:cs="宋体"/>
                <w:color w:val="auto"/>
                <w:szCs w:val="21"/>
                <w:highlight w:val="none"/>
              </w:rPr>
            </w:pPr>
          </w:p>
        </w:tc>
      </w:tr>
      <w:tr w14:paraId="018165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27E61C5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7C83E67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6F7DDA96">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3073107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4223CFB">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20D77D2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6CE60BEB">
            <w:pPr>
              <w:topLinePunct/>
              <w:spacing w:line="440" w:lineRule="exact"/>
              <w:jc w:val="center"/>
              <w:rPr>
                <w:rFonts w:ascii="宋体" w:hAnsi="宋体" w:cs="宋体"/>
                <w:color w:val="auto"/>
                <w:szCs w:val="21"/>
                <w:highlight w:val="none"/>
              </w:rPr>
            </w:pPr>
          </w:p>
        </w:tc>
      </w:tr>
      <w:tr w14:paraId="5288C0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03C00D9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14:paraId="09C4F7E5">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1618F7CB">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718BB8A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7FC3AA5B">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384D0A5D">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3EFDEC8D">
            <w:pPr>
              <w:topLinePunct/>
              <w:spacing w:line="440" w:lineRule="exact"/>
              <w:jc w:val="center"/>
              <w:rPr>
                <w:rFonts w:ascii="宋体" w:hAnsi="宋体" w:cs="宋体"/>
                <w:color w:val="auto"/>
                <w:szCs w:val="21"/>
                <w:highlight w:val="none"/>
              </w:rPr>
            </w:pPr>
          </w:p>
        </w:tc>
      </w:tr>
      <w:tr w14:paraId="515B4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2634FE5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41879721">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05A8744A">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14:paraId="196396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6EF24777">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09820D08">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73E8AF6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13E43E4">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28791A6C">
            <w:pPr>
              <w:topLinePunct/>
              <w:spacing w:line="440" w:lineRule="exact"/>
              <w:jc w:val="center"/>
              <w:rPr>
                <w:rFonts w:ascii="宋体" w:hAnsi="宋体" w:cs="宋体"/>
                <w:color w:val="auto"/>
                <w:szCs w:val="21"/>
                <w:highlight w:val="none"/>
              </w:rPr>
            </w:pPr>
          </w:p>
        </w:tc>
      </w:tr>
      <w:tr w14:paraId="4FEF2E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1A7DDF6B">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E4A8924">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A4AE6A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B648A4A">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0DF9BB3">
            <w:pPr>
              <w:topLinePunct/>
              <w:spacing w:line="440" w:lineRule="exact"/>
              <w:jc w:val="center"/>
              <w:rPr>
                <w:rFonts w:ascii="宋体" w:hAnsi="宋体" w:cs="宋体"/>
                <w:color w:val="auto"/>
                <w:szCs w:val="21"/>
                <w:highlight w:val="none"/>
              </w:rPr>
            </w:pPr>
          </w:p>
        </w:tc>
      </w:tr>
      <w:tr w14:paraId="62E6E05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146F3E9F">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C7B55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46DCBEE">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0F649083">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09178C5">
            <w:pPr>
              <w:topLinePunct/>
              <w:spacing w:line="440" w:lineRule="exact"/>
              <w:jc w:val="center"/>
              <w:rPr>
                <w:rFonts w:ascii="宋体" w:hAnsi="宋体" w:cs="宋体"/>
                <w:color w:val="auto"/>
                <w:szCs w:val="21"/>
                <w:highlight w:val="none"/>
              </w:rPr>
            </w:pPr>
          </w:p>
        </w:tc>
      </w:tr>
      <w:tr w14:paraId="205867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75CB2DB0">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61A2ABD">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E20DF95">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4E2232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FDD7B78">
            <w:pPr>
              <w:topLinePunct/>
              <w:spacing w:line="440" w:lineRule="exact"/>
              <w:jc w:val="center"/>
              <w:rPr>
                <w:rFonts w:ascii="宋体" w:hAnsi="宋体" w:cs="宋体"/>
                <w:color w:val="auto"/>
                <w:szCs w:val="21"/>
                <w:highlight w:val="none"/>
              </w:rPr>
            </w:pPr>
          </w:p>
        </w:tc>
      </w:tr>
      <w:tr w14:paraId="0E46C1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58B06D28">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58270816">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C87654C">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412AD7D7">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211D1A1">
            <w:pPr>
              <w:topLinePunct/>
              <w:spacing w:line="440" w:lineRule="exact"/>
              <w:jc w:val="center"/>
              <w:rPr>
                <w:rFonts w:ascii="宋体" w:hAnsi="宋体" w:cs="宋体"/>
                <w:color w:val="auto"/>
                <w:szCs w:val="21"/>
                <w:highlight w:val="none"/>
              </w:rPr>
            </w:pPr>
          </w:p>
        </w:tc>
      </w:tr>
      <w:tr w14:paraId="6F2AA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50E00BCF">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5E2F2944">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14:paraId="45403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357FF312">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10D44DD6">
            <w:pPr>
              <w:topLinePunct/>
              <w:spacing w:line="440" w:lineRule="exact"/>
              <w:jc w:val="center"/>
              <w:rPr>
                <w:rFonts w:ascii="宋体" w:hAnsi="宋体" w:cs="宋体"/>
                <w:color w:val="auto"/>
                <w:szCs w:val="21"/>
                <w:highlight w:val="none"/>
              </w:rPr>
            </w:pPr>
          </w:p>
        </w:tc>
      </w:tr>
    </w:tbl>
    <w:p w14:paraId="67CE5B58">
      <w:pPr>
        <w:pStyle w:val="2"/>
        <w:rPr>
          <w:rFonts w:hint="eastAsia" w:ascii="宋体" w:hAnsi="宋体" w:cs="宋体"/>
          <w:color w:val="auto"/>
          <w:sz w:val="28"/>
          <w:highlight w:val="none"/>
          <w:lang w:eastAsia="zh-CN"/>
        </w:rPr>
      </w:pPr>
    </w:p>
    <w:p w14:paraId="61B90B5A">
      <w:pPr>
        <w:pStyle w:val="2"/>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二</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14:paraId="6F23054C">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14:paraId="3FCFFB06">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14:paraId="0DBDD035">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14:paraId="5BF1F62B">
      <w:pPr>
        <w:pStyle w:val="2"/>
        <w:rPr>
          <w:rFonts w:ascii="宋体" w:hAnsi="宋体"/>
          <w:color w:val="auto"/>
          <w:sz w:val="24"/>
          <w:highlight w:val="none"/>
        </w:rPr>
      </w:pPr>
    </w:p>
    <w:p w14:paraId="4FE51B6B">
      <w:pPr>
        <w:pStyle w:val="2"/>
        <w:rPr>
          <w:color w:val="auto"/>
          <w:highlight w:val="none"/>
        </w:rPr>
      </w:pPr>
    </w:p>
    <w:p w14:paraId="7CA1EC1F">
      <w:pPr>
        <w:rPr>
          <w:rFonts w:ascii="宋体" w:hAnsi="宋体" w:cs="宋体"/>
          <w:color w:val="auto"/>
          <w:sz w:val="28"/>
          <w:highlight w:val="none"/>
        </w:rPr>
      </w:pPr>
    </w:p>
    <w:bookmarkEnd w:id="243"/>
    <w:bookmarkEnd w:id="244"/>
    <w:p w14:paraId="585DC2BE">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4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A4C5E775-6954-4828-B06C-A3967E1AA05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0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font>
  <w:font w:name="方正小标宋_GBK">
    <w:panose1 w:val="02000000000000000000"/>
    <w:charset w:val="86"/>
    <w:family w:val="script"/>
    <w:pitch w:val="default"/>
    <w:sig w:usb0="A00002BF" w:usb1="38CF7CFA" w:usb2="00082016" w:usb3="00000000" w:csb0="00040001" w:csb1="00000000"/>
    <w:embedRegular r:id="rId2" w:fontKey="{9AECA48D-37A2-44FD-B288-E8B25F8267D5}"/>
  </w:font>
  <w:font w:name="仿宋">
    <w:panose1 w:val="02010609060101010101"/>
    <w:charset w:val="86"/>
    <w:family w:val="modern"/>
    <w:pitch w:val="default"/>
    <w:sig w:usb0="800002BF" w:usb1="38CF7CFA" w:usb2="00000016" w:usb3="00000000" w:csb0="00040001" w:csb1="00000000"/>
    <w:embedRegular r:id="rId3" w:fontKey="{DACDF23F-192C-4562-B626-8BFAAB49BAFC}"/>
  </w:font>
  <w:font w:name="Arial">
    <w:panose1 w:val="020B0604020202020204"/>
    <w:charset w:val="00"/>
    <w:family w:val="auto"/>
    <w:pitch w:val="default"/>
    <w:sig w:usb0="E0002EFF" w:usb1="C000785B" w:usb2="00000009" w:usb3="00000000" w:csb0="400001FF" w:csb1="FFFF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3FF1E">
    <w:pPr>
      <w:pStyle w:val="26"/>
      <w:jc w:val="center"/>
    </w:pPr>
  </w:p>
  <w:p w14:paraId="18126421">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A4E94">
    <w:pPr>
      <w:pStyle w:val="26"/>
      <w:framePr w:wrap="around" w:vAnchor="text" w:hAnchor="margin" w:xAlign="center" w:y="1"/>
      <w:rPr>
        <w:rStyle w:val="46"/>
      </w:rPr>
    </w:pPr>
    <w:r>
      <w:fldChar w:fldCharType="begin"/>
    </w:r>
    <w:r>
      <w:rPr>
        <w:rStyle w:val="46"/>
      </w:rPr>
      <w:instrText xml:space="preserve">PAGE  </w:instrText>
    </w:r>
    <w:r>
      <w:fldChar w:fldCharType="end"/>
    </w:r>
  </w:p>
  <w:p w14:paraId="09B1D7D9">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B8E24">
    <w:pPr>
      <w:pStyle w:val="26"/>
      <w:jc w:val="center"/>
    </w:pPr>
    <w:r>
      <w:fldChar w:fldCharType="begin"/>
    </w:r>
    <w:r>
      <w:instrText xml:space="preserve">PAGE   \* MERGEFORMAT</w:instrText>
    </w:r>
    <w:r>
      <w:fldChar w:fldCharType="separate"/>
    </w:r>
    <w:r>
      <w:rPr>
        <w:lang w:val="zh-CN"/>
      </w:rPr>
      <w:t>79</w:t>
    </w:r>
    <w:r>
      <w:fldChar w:fldCharType="end"/>
    </w:r>
  </w:p>
  <w:p w14:paraId="2B96E352">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CF610">
    <w:pPr>
      <w:pStyle w:val="26"/>
      <w:jc w:val="center"/>
    </w:pPr>
    <w:r>
      <w:fldChar w:fldCharType="begin"/>
    </w:r>
    <w:r>
      <w:instrText xml:space="preserve">PAGE   \* MERGEFORMAT</w:instrText>
    </w:r>
    <w:r>
      <w:fldChar w:fldCharType="separate"/>
    </w:r>
    <w:r>
      <w:rPr>
        <w:lang w:val="zh-CN"/>
      </w:rPr>
      <w:t>35</w:t>
    </w:r>
    <w:r>
      <w:fldChar w:fldCharType="end"/>
    </w:r>
  </w:p>
  <w:p w14:paraId="62047226">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5EAD0">
    <w:pPr>
      <w:pStyle w:val="26"/>
      <w:framePr w:w="520" w:h="235" w:hRule="exact" w:wrap="around" w:vAnchor="text" w:hAnchor="page" w:x="6073" w:y="-2"/>
      <w:rPr>
        <w:rStyle w:val="46"/>
      </w:rPr>
    </w:pPr>
    <w:r>
      <w:fldChar w:fldCharType="begin"/>
    </w:r>
    <w:r>
      <w:rPr>
        <w:rStyle w:val="46"/>
      </w:rPr>
      <w:instrText xml:space="preserve">PAGE  </w:instrText>
    </w:r>
    <w:r>
      <w:fldChar w:fldCharType="separate"/>
    </w:r>
    <w:r>
      <w:rPr>
        <w:rStyle w:val="46"/>
      </w:rPr>
      <w:t>78</w:t>
    </w:r>
    <w:r>
      <w:fldChar w:fldCharType="end"/>
    </w:r>
  </w:p>
  <w:p w14:paraId="599D3461">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2C665">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D5A66E">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14:paraId="05D5A66E">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40D12">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189D7">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14:paraId="3B1189D7">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39EF9">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E559DB2">
                          <w:pPr>
                            <w:pStyle w:val="26"/>
                            <w:rPr>
                              <w:rStyle w:val="46"/>
                            </w:rPr>
                          </w:pPr>
                          <w:r>
                            <w:fldChar w:fldCharType="begin"/>
                          </w:r>
                          <w:r>
                            <w:rPr>
                              <w:rStyle w:val="46"/>
                            </w:rPr>
                            <w:instrText xml:space="preserve">PAGE  </w:instrText>
                          </w:r>
                          <w:r>
                            <w:fldChar w:fldCharType="separate"/>
                          </w:r>
                          <w:r>
                            <w:rPr>
                              <w:rStyle w:val="46"/>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E559DB2">
                    <w:pPr>
                      <w:pStyle w:val="26"/>
                      <w:rPr>
                        <w:rStyle w:val="46"/>
                      </w:rPr>
                    </w:pPr>
                    <w:r>
                      <w:fldChar w:fldCharType="begin"/>
                    </w:r>
                    <w:r>
                      <w:rPr>
                        <w:rStyle w:val="46"/>
                      </w:rPr>
                      <w:instrText xml:space="preserve">PAGE  </w:instrText>
                    </w:r>
                    <w:r>
                      <w:fldChar w:fldCharType="separate"/>
                    </w:r>
                    <w:r>
                      <w:rPr>
                        <w:rStyle w:val="46"/>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B4DCB">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C99210">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6C99210">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754F8">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ED6EF">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0NTM5ZTUxMWVlMGRjMWIxNjJhYzcwYmE2Yjk4YmY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16D"/>
    <w:rsid w:val="004E6A77"/>
    <w:rsid w:val="004F05BD"/>
    <w:rsid w:val="004F5845"/>
    <w:rsid w:val="004F7236"/>
    <w:rsid w:val="005016AD"/>
    <w:rsid w:val="00501C58"/>
    <w:rsid w:val="00502E26"/>
    <w:rsid w:val="00504EDE"/>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16F7"/>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8609A"/>
    <w:rsid w:val="02195A53"/>
    <w:rsid w:val="023B0129"/>
    <w:rsid w:val="027A61A2"/>
    <w:rsid w:val="029D41FE"/>
    <w:rsid w:val="02A800C5"/>
    <w:rsid w:val="02C44496"/>
    <w:rsid w:val="02C6499B"/>
    <w:rsid w:val="02C91CAA"/>
    <w:rsid w:val="037D0CD2"/>
    <w:rsid w:val="038B3366"/>
    <w:rsid w:val="03981B5E"/>
    <w:rsid w:val="03996EAD"/>
    <w:rsid w:val="03F60BFA"/>
    <w:rsid w:val="04023CC8"/>
    <w:rsid w:val="042674F4"/>
    <w:rsid w:val="042D3C13"/>
    <w:rsid w:val="04722D72"/>
    <w:rsid w:val="047A0BBC"/>
    <w:rsid w:val="04C12ED8"/>
    <w:rsid w:val="04DC5749"/>
    <w:rsid w:val="04E26FED"/>
    <w:rsid w:val="04E41F94"/>
    <w:rsid w:val="04FD6633"/>
    <w:rsid w:val="052E2B3B"/>
    <w:rsid w:val="054416D2"/>
    <w:rsid w:val="05507F0F"/>
    <w:rsid w:val="056F72B2"/>
    <w:rsid w:val="057A1FA9"/>
    <w:rsid w:val="05871A0A"/>
    <w:rsid w:val="05A42E7B"/>
    <w:rsid w:val="05A70EA9"/>
    <w:rsid w:val="05D55D36"/>
    <w:rsid w:val="060C2525"/>
    <w:rsid w:val="062756FD"/>
    <w:rsid w:val="065F7A31"/>
    <w:rsid w:val="066C6238"/>
    <w:rsid w:val="067C53E7"/>
    <w:rsid w:val="06820F5E"/>
    <w:rsid w:val="06951992"/>
    <w:rsid w:val="06AE2ABA"/>
    <w:rsid w:val="06C75DF5"/>
    <w:rsid w:val="06DD02BB"/>
    <w:rsid w:val="06E43F57"/>
    <w:rsid w:val="06E71F51"/>
    <w:rsid w:val="06F965AD"/>
    <w:rsid w:val="07050666"/>
    <w:rsid w:val="071C4DB7"/>
    <w:rsid w:val="07362674"/>
    <w:rsid w:val="073B54B2"/>
    <w:rsid w:val="07537EF9"/>
    <w:rsid w:val="07815EE7"/>
    <w:rsid w:val="08170505"/>
    <w:rsid w:val="081748AE"/>
    <w:rsid w:val="08635851"/>
    <w:rsid w:val="08C2359B"/>
    <w:rsid w:val="09041814"/>
    <w:rsid w:val="092D7BDC"/>
    <w:rsid w:val="09332D2B"/>
    <w:rsid w:val="093E2D64"/>
    <w:rsid w:val="09472203"/>
    <w:rsid w:val="098B1DA7"/>
    <w:rsid w:val="09907951"/>
    <w:rsid w:val="099F43E4"/>
    <w:rsid w:val="09A31A61"/>
    <w:rsid w:val="09BA7A85"/>
    <w:rsid w:val="09DE1094"/>
    <w:rsid w:val="09E2475B"/>
    <w:rsid w:val="0A3F34B7"/>
    <w:rsid w:val="0A4B11BE"/>
    <w:rsid w:val="0A7B4003"/>
    <w:rsid w:val="0A8E5B8D"/>
    <w:rsid w:val="0AA240FA"/>
    <w:rsid w:val="0AAC0CBB"/>
    <w:rsid w:val="0ABA5513"/>
    <w:rsid w:val="0AD84BD3"/>
    <w:rsid w:val="0AE941D3"/>
    <w:rsid w:val="0B1061C6"/>
    <w:rsid w:val="0B2B08D5"/>
    <w:rsid w:val="0B6D6042"/>
    <w:rsid w:val="0BA35012"/>
    <w:rsid w:val="0BB825ED"/>
    <w:rsid w:val="0BC0647C"/>
    <w:rsid w:val="0BD7624B"/>
    <w:rsid w:val="0BF26817"/>
    <w:rsid w:val="0C22464A"/>
    <w:rsid w:val="0C2B72AE"/>
    <w:rsid w:val="0C5C6F5A"/>
    <w:rsid w:val="0C623EAC"/>
    <w:rsid w:val="0C946488"/>
    <w:rsid w:val="0CAD24AF"/>
    <w:rsid w:val="0CB27F34"/>
    <w:rsid w:val="0CED1877"/>
    <w:rsid w:val="0D0D3F93"/>
    <w:rsid w:val="0D12389F"/>
    <w:rsid w:val="0D2820B7"/>
    <w:rsid w:val="0D662EE5"/>
    <w:rsid w:val="0D860EC5"/>
    <w:rsid w:val="0D9339BE"/>
    <w:rsid w:val="0D9E6A67"/>
    <w:rsid w:val="0D9F0DC4"/>
    <w:rsid w:val="0DC02AA1"/>
    <w:rsid w:val="0DDE695A"/>
    <w:rsid w:val="0DF73A5B"/>
    <w:rsid w:val="0E164CA8"/>
    <w:rsid w:val="0E231949"/>
    <w:rsid w:val="0E2D072E"/>
    <w:rsid w:val="0E3B295D"/>
    <w:rsid w:val="0E47249B"/>
    <w:rsid w:val="0E551882"/>
    <w:rsid w:val="0E7306EC"/>
    <w:rsid w:val="0EB254B2"/>
    <w:rsid w:val="0EFB3F5D"/>
    <w:rsid w:val="0F041CC7"/>
    <w:rsid w:val="0F042317"/>
    <w:rsid w:val="0F1209F8"/>
    <w:rsid w:val="0F3416B8"/>
    <w:rsid w:val="0F4C19DA"/>
    <w:rsid w:val="0F4C7D05"/>
    <w:rsid w:val="0F4F31AF"/>
    <w:rsid w:val="0F5F17BD"/>
    <w:rsid w:val="0F8E3402"/>
    <w:rsid w:val="0F90531D"/>
    <w:rsid w:val="0FAD64B5"/>
    <w:rsid w:val="0FB21FD4"/>
    <w:rsid w:val="0FC24482"/>
    <w:rsid w:val="0FFF5930"/>
    <w:rsid w:val="10A265EF"/>
    <w:rsid w:val="10DF2B28"/>
    <w:rsid w:val="10EC4A0F"/>
    <w:rsid w:val="11156FC6"/>
    <w:rsid w:val="11485B0D"/>
    <w:rsid w:val="114C7209"/>
    <w:rsid w:val="1154158B"/>
    <w:rsid w:val="117076B2"/>
    <w:rsid w:val="119E6579"/>
    <w:rsid w:val="11C55830"/>
    <w:rsid w:val="11D435DD"/>
    <w:rsid w:val="11DA3C43"/>
    <w:rsid w:val="1220326C"/>
    <w:rsid w:val="123A67B6"/>
    <w:rsid w:val="125670E6"/>
    <w:rsid w:val="125E1A9C"/>
    <w:rsid w:val="1276289F"/>
    <w:rsid w:val="1288522D"/>
    <w:rsid w:val="129D6A95"/>
    <w:rsid w:val="12AF4046"/>
    <w:rsid w:val="12CE506D"/>
    <w:rsid w:val="12F65490"/>
    <w:rsid w:val="12F73D2A"/>
    <w:rsid w:val="12F9698E"/>
    <w:rsid w:val="13112273"/>
    <w:rsid w:val="131C7C5D"/>
    <w:rsid w:val="13377838"/>
    <w:rsid w:val="13511DF6"/>
    <w:rsid w:val="138B4634"/>
    <w:rsid w:val="138F1214"/>
    <w:rsid w:val="13BF412F"/>
    <w:rsid w:val="13D101C7"/>
    <w:rsid w:val="1400440E"/>
    <w:rsid w:val="142669A3"/>
    <w:rsid w:val="143805F9"/>
    <w:rsid w:val="144729D8"/>
    <w:rsid w:val="148E78CB"/>
    <w:rsid w:val="149F4D92"/>
    <w:rsid w:val="14A13E6D"/>
    <w:rsid w:val="14AB614D"/>
    <w:rsid w:val="14B96C2B"/>
    <w:rsid w:val="15436E45"/>
    <w:rsid w:val="15507C7E"/>
    <w:rsid w:val="155D7127"/>
    <w:rsid w:val="15664AEF"/>
    <w:rsid w:val="158E23E1"/>
    <w:rsid w:val="159D7EA6"/>
    <w:rsid w:val="159F1BF9"/>
    <w:rsid w:val="15B71B1D"/>
    <w:rsid w:val="15E63361"/>
    <w:rsid w:val="15FF7D56"/>
    <w:rsid w:val="160B0227"/>
    <w:rsid w:val="16262AA8"/>
    <w:rsid w:val="16864176"/>
    <w:rsid w:val="16866209"/>
    <w:rsid w:val="16E04880"/>
    <w:rsid w:val="16E33BB8"/>
    <w:rsid w:val="16F86032"/>
    <w:rsid w:val="17081A7A"/>
    <w:rsid w:val="17292C0C"/>
    <w:rsid w:val="176F50FE"/>
    <w:rsid w:val="17D10049"/>
    <w:rsid w:val="17DD0B49"/>
    <w:rsid w:val="17F1563C"/>
    <w:rsid w:val="17F23C73"/>
    <w:rsid w:val="180F3B80"/>
    <w:rsid w:val="181B1411"/>
    <w:rsid w:val="181C1400"/>
    <w:rsid w:val="18223BBF"/>
    <w:rsid w:val="18406E44"/>
    <w:rsid w:val="185C1918"/>
    <w:rsid w:val="186039EF"/>
    <w:rsid w:val="1880349D"/>
    <w:rsid w:val="18D435BC"/>
    <w:rsid w:val="18E261BC"/>
    <w:rsid w:val="19193365"/>
    <w:rsid w:val="19261639"/>
    <w:rsid w:val="1935660C"/>
    <w:rsid w:val="195D5C0E"/>
    <w:rsid w:val="19B64CC2"/>
    <w:rsid w:val="19BA69A5"/>
    <w:rsid w:val="19DF6D3F"/>
    <w:rsid w:val="19E24459"/>
    <w:rsid w:val="1A305FF4"/>
    <w:rsid w:val="1A3D7EBE"/>
    <w:rsid w:val="1A4353A0"/>
    <w:rsid w:val="1A557489"/>
    <w:rsid w:val="1ACA018D"/>
    <w:rsid w:val="1AF45443"/>
    <w:rsid w:val="1B075A0C"/>
    <w:rsid w:val="1B13565A"/>
    <w:rsid w:val="1B4A1EFB"/>
    <w:rsid w:val="1B67066F"/>
    <w:rsid w:val="1B7229E4"/>
    <w:rsid w:val="1B7A5EC7"/>
    <w:rsid w:val="1B8E5EC0"/>
    <w:rsid w:val="1BF57E06"/>
    <w:rsid w:val="1C1D35E1"/>
    <w:rsid w:val="1CB33990"/>
    <w:rsid w:val="1CF6260F"/>
    <w:rsid w:val="1CF83AEA"/>
    <w:rsid w:val="1CF911FC"/>
    <w:rsid w:val="1D6914D5"/>
    <w:rsid w:val="1D7C7A22"/>
    <w:rsid w:val="1D7E09CF"/>
    <w:rsid w:val="1D9F1A69"/>
    <w:rsid w:val="1DC81497"/>
    <w:rsid w:val="1DE41480"/>
    <w:rsid w:val="1E2139B7"/>
    <w:rsid w:val="1E6A01BF"/>
    <w:rsid w:val="1E7A14A8"/>
    <w:rsid w:val="1E7F32B0"/>
    <w:rsid w:val="1EBA058B"/>
    <w:rsid w:val="1EBB622E"/>
    <w:rsid w:val="1EEA13A6"/>
    <w:rsid w:val="1EF77A66"/>
    <w:rsid w:val="1EFE64E9"/>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736537"/>
    <w:rsid w:val="21977807"/>
    <w:rsid w:val="219A6D4B"/>
    <w:rsid w:val="21C2735E"/>
    <w:rsid w:val="21E57FA3"/>
    <w:rsid w:val="21FB5A74"/>
    <w:rsid w:val="222E74EE"/>
    <w:rsid w:val="226827C0"/>
    <w:rsid w:val="227C6EFF"/>
    <w:rsid w:val="22942795"/>
    <w:rsid w:val="22A10D06"/>
    <w:rsid w:val="22B665A5"/>
    <w:rsid w:val="22C925E0"/>
    <w:rsid w:val="22E46F4A"/>
    <w:rsid w:val="22F20159"/>
    <w:rsid w:val="23005537"/>
    <w:rsid w:val="233C2C53"/>
    <w:rsid w:val="23486890"/>
    <w:rsid w:val="236F1F61"/>
    <w:rsid w:val="23AB4CDF"/>
    <w:rsid w:val="23C37A75"/>
    <w:rsid w:val="24220F3E"/>
    <w:rsid w:val="2423604B"/>
    <w:rsid w:val="243A3F7E"/>
    <w:rsid w:val="24436391"/>
    <w:rsid w:val="244B651D"/>
    <w:rsid w:val="2450121E"/>
    <w:rsid w:val="2487622C"/>
    <w:rsid w:val="24973094"/>
    <w:rsid w:val="24AD6D9A"/>
    <w:rsid w:val="251418FC"/>
    <w:rsid w:val="256762FD"/>
    <w:rsid w:val="25A845B3"/>
    <w:rsid w:val="25EB71B7"/>
    <w:rsid w:val="26154215"/>
    <w:rsid w:val="261A0BE6"/>
    <w:rsid w:val="263C7691"/>
    <w:rsid w:val="265E2776"/>
    <w:rsid w:val="26666FDC"/>
    <w:rsid w:val="26AB763C"/>
    <w:rsid w:val="26B267E7"/>
    <w:rsid w:val="26F131DC"/>
    <w:rsid w:val="26F65310"/>
    <w:rsid w:val="27052D05"/>
    <w:rsid w:val="27082804"/>
    <w:rsid w:val="270832AE"/>
    <w:rsid w:val="27357F9F"/>
    <w:rsid w:val="27A4553F"/>
    <w:rsid w:val="27D35135"/>
    <w:rsid w:val="27EF1935"/>
    <w:rsid w:val="280A1B75"/>
    <w:rsid w:val="283962F8"/>
    <w:rsid w:val="285F2F19"/>
    <w:rsid w:val="287A36F4"/>
    <w:rsid w:val="288458E7"/>
    <w:rsid w:val="28A33A20"/>
    <w:rsid w:val="28A47F17"/>
    <w:rsid w:val="28BC3B3E"/>
    <w:rsid w:val="290212C1"/>
    <w:rsid w:val="290D5ED8"/>
    <w:rsid w:val="29656DCE"/>
    <w:rsid w:val="296E75F6"/>
    <w:rsid w:val="298B4B23"/>
    <w:rsid w:val="29B71FDB"/>
    <w:rsid w:val="29CF18DD"/>
    <w:rsid w:val="29D65D23"/>
    <w:rsid w:val="29D875FE"/>
    <w:rsid w:val="29E259F5"/>
    <w:rsid w:val="29F232B2"/>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D9207EC"/>
    <w:rsid w:val="2E2F6D2F"/>
    <w:rsid w:val="2E6A704D"/>
    <w:rsid w:val="2E782484"/>
    <w:rsid w:val="2E8A6255"/>
    <w:rsid w:val="2F0B1048"/>
    <w:rsid w:val="2F141AAA"/>
    <w:rsid w:val="2F9A6191"/>
    <w:rsid w:val="2FCA4353"/>
    <w:rsid w:val="2FE55D75"/>
    <w:rsid w:val="2FF23F99"/>
    <w:rsid w:val="300A288E"/>
    <w:rsid w:val="30236367"/>
    <w:rsid w:val="30331BC6"/>
    <w:rsid w:val="303E7E03"/>
    <w:rsid w:val="304A182B"/>
    <w:rsid w:val="30700C52"/>
    <w:rsid w:val="30757C00"/>
    <w:rsid w:val="307D5D65"/>
    <w:rsid w:val="30B34CE3"/>
    <w:rsid w:val="30CB1C83"/>
    <w:rsid w:val="30ED2830"/>
    <w:rsid w:val="316B2857"/>
    <w:rsid w:val="31743902"/>
    <w:rsid w:val="31832D29"/>
    <w:rsid w:val="319D5339"/>
    <w:rsid w:val="319F2F47"/>
    <w:rsid w:val="31A974F8"/>
    <w:rsid w:val="31D20CDE"/>
    <w:rsid w:val="31F37E23"/>
    <w:rsid w:val="31FE689A"/>
    <w:rsid w:val="32223DC6"/>
    <w:rsid w:val="325A02A1"/>
    <w:rsid w:val="329032EF"/>
    <w:rsid w:val="329970EF"/>
    <w:rsid w:val="329A01E8"/>
    <w:rsid w:val="32B35AAA"/>
    <w:rsid w:val="33135210"/>
    <w:rsid w:val="3326373F"/>
    <w:rsid w:val="334459AC"/>
    <w:rsid w:val="33705A64"/>
    <w:rsid w:val="33A055AF"/>
    <w:rsid w:val="33A51E80"/>
    <w:rsid w:val="33EE589E"/>
    <w:rsid w:val="33F03D7B"/>
    <w:rsid w:val="340329A9"/>
    <w:rsid w:val="342645AD"/>
    <w:rsid w:val="342B057B"/>
    <w:rsid w:val="342E1467"/>
    <w:rsid w:val="34335C8F"/>
    <w:rsid w:val="34617CD8"/>
    <w:rsid w:val="34753860"/>
    <w:rsid w:val="34A61339"/>
    <w:rsid w:val="34BE3738"/>
    <w:rsid w:val="34CC3006"/>
    <w:rsid w:val="34F3793E"/>
    <w:rsid w:val="35574E9C"/>
    <w:rsid w:val="35712E34"/>
    <w:rsid w:val="35C10F67"/>
    <w:rsid w:val="35ED793B"/>
    <w:rsid w:val="35F84740"/>
    <w:rsid w:val="361D0A54"/>
    <w:rsid w:val="36240AB2"/>
    <w:rsid w:val="36383125"/>
    <w:rsid w:val="366C082D"/>
    <w:rsid w:val="368C3523"/>
    <w:rsid w:val="368C388A"/>
    <w:rsid w:val="36C90DD1"/>
    <w:rsid w:val="374634AB"/>
    <w:rsid w:val="37704489"/>
    <w:rsid w:val="37710026"/>
    <w:rsid w:val="37925427"/>
    <w:rsid w:val="37A55DCC"/>
    <w:rsid w:val="37CA04FF"/>
    <w:rsid w:val="37D30771"/>
    <w:rsid w:val="37EC0BB8"/>
    <w:rsid w:val="38995839"/>
    <w:rsid w:val="38A65E3F"/>
    <w:rsid w:val="39265074"/>
    <w:rsid w:val="392B274A"/>
    <w:rsid w:val="394C68A5"/>
    <w:rsid w:val="395E479A"/>
    <w:rsid w:val="39675804"/>
    <w:rsid w:val="39A36C2D"/>
    <w:rsid w:val="39AA29B9"/>
    <w:rsid w:val="39E71AEC"/>
    <w:rsid w:val="39F60058"/>
    <w:rsid w:val="3A0948D8"/>
    <w:rsid w:val="3A104089"/>
    <w:rsid w:val="3A8217DE"/>
    <w:rsid w:val="3A822B01"/>
    <w:rsid w:val="3AB8426E"/>
    <w:rsid w:val="3ACF765C"/>
    <w:rsid w:val="3AD278CD"/>
    <w:rsid w:val="3AFA4BE5"/>
    <w:rsid w:val="3B2A44B8"/>
    <w:rsid w:val="3B2B6476"/>
    <w:rsid w:val="3BBC038E"/>
    <w:rsid w:val="3BFE3F02"/>
    <w:rsid w:val="3C2972FD"/>
    <w:rsid w:val="3C5B4444"/>
    <w:rsid w:val="3C7D419A"/>
    <w:rsid w:val="3C852047"/>
    <w:rsid w:val="3CA13116"/>
    <w:rsid w:val="3CA925AE"/>
    <w:rsid w:val="3CF877AB"/>
    <w:rsid w:val="3D306CB2"/>
    <w:rsid w:val="3D32729D"/>
    <w:rsid w:val="3D485E54"/>
    <w:rsid w:val="3D667959"/>
    <w:rsid w:val="3D8230F2"/>
    <w:rsid w:val="3D886E2C"/>
    <w:rsid w:val="3DAA5519"/>
    <w:rsid w:val="3DC413E8"/>
    <w:rsid w:val="3DCA34BB"/>
    <w:rsid w:val="3DD83D60"/>
    <w:rsid w:val="3E044CAE"/>
    <w:rsid w:val="3E12201C"/>
    <w:rsid w:val="3E427218"/>
    <w:rsid w:val="3E817133"/>
    <w:rsid w:val="3EA72ABE"/>
    <w:rsid w:val="3EAD4174"/>
    <w:rsid w:val="3EAD7F9C"/>
    <w:rsid w:val="3EB32892"/>
    <w:rsid w:val="3EBC3336"/>
    <w:rsid w:val="3EDE79C6"/>
    <w:rsid w:val="3EF65530"/>
    <w:rsid w:val="3EF9D3F1"/>
    <w:rsid w:val="3F064AE9"/>
    <w:rsid w:val="3F3B0C43"/>
    <w:rsid w:val="3F431BA8"/>
    <w:rsid w:val="3F4C62B0"/>
    <w:rsid w:val="3F7279F0"/>
    <w:rsid w:val="3F9717D1"/>
    <w:rsid w:val="3FA70E1B"/>
    <w:rsid w:val="3FB2485B"/>
    <w:rsid w:val="3FDD431D"/>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A7627"/>
    <w:rsid w:val="4233112B"/>
    <w:rsid w:val="42401E98"/>
    <w:rsid w:val="42872311"/>
    <w:rsid w:val="428B5762"/>
    <w:rsid w:val="42D47C2B"/>
    <w:rsid w:val="42D8334B"/>
    <w:rsid w:val="42DA32B5"/>
    <w:rsid w:val="433543AC"/>
    <w:rsid w:val="43420FE8"/>
    <w:rsid w:val="434513F0"/>
    <w:rsid w:val="43702851"/>
    <w:rsid w:val="43CA4F48"/>
    <w:rsid w:val="43D1776E"/>
    <w:rsid w:val="4424604A"/>
    <w:rsid w:val="442967DE"/>
    <w:rsid w:val="443F6CBF"/>
    <w:rsid w:val="445014AB"/>
    <w:rsid w:val="44CE660D"/>
    <w:rsid w:val="454F0B76"/>
    <w:rsid w:val="45795008"/>
    <w:rsid w:val="4579514B"/>
    <w:rsid w:val="457E2BBE"/>
    <w:rsid w:val="457F72E8"/>
    <w:rsid w:val="45DE083B"/>
    <w:rsid w:val="45E076C0"/>
    <w:rsid w:val="45F36067"/>
    <w:rsid w:val="460C0745"/>
    <w:rsid w:val="463122D8"/>
    <w:rsid w:val="4632053D"/>
    <w:rsid w:val="46577675"/>
    <w:rsid w:val="4662415A"/>
    <w:rsid w:val="4662498C"/>
    <w:rsid w:val="46A022D9"/>
    <w:rsid w:val="46A9554B"/>
    <w:rsid w:val="46B21457"/>
    <w:rsid w:val="46BE1A6C"/>
    <w:rsid w:val="46BE6647"/>
    <w:rsid w:val="46EE3897"/>
    <w:rsid w:val="471B3499"/>
    <w:rsid w:val="4730142A"/>
    <w:rsid w:val="474608B5"/>
    <w:rsid w:val="478E4BD2"/>
    <w:rsid w:val="47DD756D"/>
    <w:rsid w:val="48037A8A"/>
    <w:rsid w:val="482303E2"/>
    <w:rsid w:val="48377D23"/>
    <w:rsid w:val="486634EE"/>
    <w:rsid w:val="48807890"/>
    <w:rsid w:val="48A64B98"/>
    <w:rsid w:val="48BC156D"/>
    <w:rsid w:val="48F765BE"/>
    <w:rsid w:val="490445F2"/>
    <w:rsid w:val="490935A0"/>
    <w:rsid w:val="49320F23"/>
    <w:rsid w:val="4944230E"/>
    <w:rsid w:val="49DD73AE"/>
    <w:rsid w:val="49F95BD6"/>
    <w:rsid w:val="4A14705F"/>
    <w:rsid w:val="4AA73240"/>
    <w:rsid w:val="4AB72272"/>
    <w:rsid w:val="4AD703A4"/>
    <w:rsid w:val="4B305E1B"/>
    <w:rsid w:val="4B5279C2"/>
    <w:rsid w:val="4BB92D8E"/>
    <w:rsid w:val="4BD07B58"/>
    <w:rsid w:val="4BE87BA5"/>
    <w:rsid w:val="4C3176AB"/>
    <w:rsid w:val="4C415DC1"/>
    <w:rsid w:val="4C6E278E"/>
    <w:rsid w:val="4CFF538B"/>
    <w:rsid w:val="4D4D7800"/>
    <w:rsid w:val="4D7251FF"/>
    <w:rsid w:val="4DE50C0B"/>
    <w:rsid w:val="4E11105D"/>
    <w:rsid w:val="4E16225A"/>
    <w:rsid w:val="4E253AB8"/>
    <w:rsid w:val="4E472C92"/>
    <w:rsid w:val="4E4C60DC"/>
    <w:rsid w:val="4E512ECE"/>
    <w:rsid w:val="4E824D97"/>
    <w:rsid w:val="4E9C3B15"/>
    <w:rsid w:val="4E9D5C2D"/>
    <w:rsid w:val="4EBA57C1"/>
    <w:rsid w:val="4EEA14D6"/>
    <w:rsid w:val="4F047E0A"/>
    <w:rsid w:val="4F477F24"/>
    <w:rsid w:val="4FA91AAC"/>
    <w:rsid w:val="4FAC7D88"/>
    <w:rsid w:val="4FBD0FF5"/>
    <w:rsid w:val="4FC854D7"/>
    <w:rsid w:val="50142DE1"/>
    <w:rsid w:val="5015687B"/>
    <w:rsid w:val="501926CA"/>
    <w:rsid w:val="503109FF"/>
    <w:rsid w:val="505E3D68"/>
    <w:rsid w:val="508F700E"/>
    <w:rsid w:val="50A12709"/>
    <w:rsid w:val="50D13748"/>
    <w:rsid w:val="516A440A"/>
    <w:rsid w:val="51BA5A6F"/>
    <w:rsid w:val="51C42E16"/>
    <w:rsid w:val="525351F4"/>
    <w:rsid w:val="525A6FBC"/>
    <w:rsid w:val="526C0997"/>
    <w:rsid w:val="52855A65"/>
    <w:rsid w:val="53311AB3"/>
    <w:rsid w:val="53317F44"/>
    <w:rsid w:val="533D33D1"/>
    <w:rsid w:val="53511F1B"/>
    <w:rsid w:val="53670B33"/>
    <w:rsid w:val="537735FB"/>
    <w:rsid w:val="53775B6A"/>
    <w:rsid w:val="538F5737"/>
    <w:rsid w:val="53D43855"/>
    <w:rsid w:val="53D6214F"/>
    <w:rsid w:val="53E564F4"/>
    <w:rsid w:val="53EE1101"/>
    <w:rsid w:val="53FC4E8E"/>
    <w:rsid w:val="541717DC"/>
    <w:rsid w:val="54271D5C"/>
    <w:rsid w:val="546535D1"/>
    <w:rsid w:val="54976AA9"/>
    <w:rsid w:val="549A3F89"/>
    <w:rsid w:val="54DE0134"/>
    <w:rsid w:val="553C46BA"/>
    <w:rsid w:val="55494082"/>
    <w:rsid w:val="557D5B60"/>
    <w:rsid w:val="55834A19"/>
    <w:rsid w:val="55F27046"/>
    <w:rsid w:val="55F526C6"/>
    <w:rsid w:val="56066DC9"/>
    <w:rsid w:val="564E1228"/>
    <w:rsid w:val="565F7971"/>
    <w:rsid w:val="567E7990"/>
    <w:rsid w:val="56A6131D"/>
    <w:rsid w:val="56A82B00"/>
    <w:rsid w:val="56BC5AD0"/>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316065"/>
    <w:rsid w:val="58750691"/>
    <w:rsid w:val="58AB575D"/>
    <w:rsid w:val="58BC728D"/>
    <w:rsid w:val="58DD0763"/>
    <w:rsid w:val="59445F91"/>
    <w:rsid w:val="59815208"/>
    <w:rsid w:val="59F001A4"/>
    <w:rsid w:val="5A1E2DE7"/>
    <w:rsid w:val="5A20427A"/>
    <w:rsid w:val="5A345CFC"/>
    <w:rsid w:val="5A395FB6"/>
    <w:rsid w:val="5A436A2D"/>
    <w:rsid w:val="5A714A08"/>
    <w:rsid w:val="5AEB4FF2"/>
    <w:rsid w:val="5B0A066E"/>
    <w:rsid w:val="5B123FA7"/>
    <w:rsid w:val="5B5E18A4"/>
    <w:rsid w:val="5B613C0E"/>
    <w:rsid w:val="5B955E96"/>
    <w:rsid w:val="5B9B3675"/>
    <w:rsid w:val="5BA26571"/>
    <w:rsid w:val="5BCA6564"/>
    <w:rsid w:val="5BD66D67"/>
    <w:rsid w:val="5C107D40"/>
    <w:rsid w:val="5C1E3775"/>
    <w:rsid w:val="5C381264"/>
    <w:rsid w:val="5C672644"/>
    <w:rsid w:val="5C8132C7"/>
    <w:rsid w:val="5CA23A25"/>
    <w:rsid w:val="5CC26330"/>
    <w:rsid w:val="5CD67F41"/>
    <w:rsid w:val="5CDF760E"/>
    <w:rsid w:val="5CF93D1F"/>
    <w:rsid w:val="5D017C51"/>
    <w:rsid w:val="5D4165A3"/>
    <w:rsid w:val="5D463591"/>
    <w:rsid w:val="5D4F2A78"/>
    <w:rsid w:val="5D5A5DCC"/>
    <w:rsid w:val="5D694C73"/>
    <w:rsid w:val="5D706060"/>
    <w:rsid w:val="5D792AE4"/>
    <w:rsid w:val="5DC25C67"/>
    <w:rsid w:val="5DD97571"/>
    <w:rsid w:val="5E2F58D3"/>
    <w:rsid w:val="5E5A06FD"/>
    <w:rsid w:val="5E9342EC"/>
    <w:rsid w:val="5EA27CF7"/>
    <w:rsid w:val="5EBC3C1E"/>
    <w:rsid w:val="5F3815EE"/>
    <w:rsid w:val="5F5C32D6"/>
    <w:rsid w:val="5F5E4E5C"/>
    <w:rsid w:val="5F762886"/>
    <w:rsid w:val="5F853E5C"/>
    <w:rsid w:val="5FA870CA"/>
    <w:rsid w:val="5FA92D9F"/>
    <w:rsid w:val="5FAC2DE4"/>
    <w:rsid w:val="5FB10E83"/>
    <w:rsid w:val="5FB70ABF"/>
    <w:rsid w:val="600E788A"/>
    <w:rsid w:val="6011673F"/>
    <w:rsid w:val="604130CF"/>
    <w:rsid w:val="60663C94"/>
    <w:rsid w:val="60794FD4"/>
    <w:rsid w:val="60814FEF"/>
    <w:rsid w:val="60AE4E89"/>
    <w:rsid w:val="60D23EEC"/>
    <w:rsid w:val="60D32F5A"/>
    <w:rsid w:val="610E2B4C"/>
    <w:rsid w:val="61561E7C"/>
    <w:rsid w:val="619945D7"/>
    <w:rsid w:val="61C24BFD"/>
    <w:rsid w:val="61DE43D4"/>
    <w:rsid w:val="61E06967"/>
    <w:rsid w:val="61ED083B"/>
    <w:rsid w:val="621F1FA5"/>
    <w:rsid w:val="624216A0"/>
    <w:rsid w:val="624D3C1F"/>
    <w:rsid w:val="626343A0"/>
    <w:rsid w:val="62651797"/>
    <w:rsid w:val="626736F9"/>
    <w:rsid w:val="626B4082"/>
    <w:rsid w:val="626B6B00"/>
    <w:rsid w:val="628E1BE9"/>
    <w:rsid w:val="62D06FF9"/>
    <w:rsid w:val="62D366FB"/>
    <w:rsid w:val="62D765EB"/>
    <w:rsid w:val="636B22CC"/>
    <w:rsid w:val="636C198B"/>
    <w:rsid w:val="63B65AC7"/>
    <w:rsid w:val="63D7428B"/>
    <w:rsid w:val="640C4C0D"/>
    <w:rsid w:val="643B5584"/>
    <w:rsid w:val="6456730F"/>
    <w:rsid w:val="645830D7"/>
    <w:rsid w:val="64675414"/>
    <w:rsid w:val="647258C3"/>
    <w:rsid w:val="64AA2E73"/>
    <w:rsid w:val="64B8434A"/>
    <w:rsid w:val="64C5008F"/>
    <w:rsid w:val="64DB7571"/>
    <w:rsid w:val="64E8446E"/>
    <w:rsid w:val="64FD6C64"/>
    <w:rsid w:val="65376B47"/>
    <w:rsid w:val="654042F5"/>
    <w:rsid w:val="65B732B6"/>
    <w:rsid w:val="65C93373"/>
    <w:rsid w:val="65F66C79"/>
    <w:rsid w:val="660447CA"/>
    <w:rsid w:val="6608422E"/>
    <w:rsid w:val="665622BC"/>
    <w:rsid w:val="6660772E"/>
    <w:rsid w:val="66653739"/>
    <w:rsid w:val="666C4EE6"/>
    <w:rsid w:val="66792487"/>
    <w:rsid w:val="66FB0FDC"/>
    <w:rsid w:val="66FC5AFF"/>
    <w:rsid w:val="6709462E"/>
    <w:rsid w:val="6777196F"/>
    <w:rsid w:val="678A1ED0"/>
    <w:rsid w:val="67AB61F8"/>
    <w:rsid w:val="67BA7741"/>
    <w:rsid w:val="67BD2A93"/>
    <w:rsid w:val="67E6170C"/>
    <w:rsid w:val="680D0CA5"/>
    <w:rsid w:val="68A45648"/>
    <w:rsid w:val="68A5668C"/>
    <w:rsid w:val="68B20836"/>
    <w:rsid w:val="68D27297"/>
    <w:rsid w:val="6911241F"/>
    <w:rsid w:val="69B139C4"/>
    <w:rsid w:val="69B67115"/>
    <w:rsid w:val="69B82DF4"/>
    <w:rsid w:val="69EE20B7"/>
    <w:rsid w:val="69EF53B4"/>
    <w:rsid w:val="6A126DD2"/>
    <w:rsid w:val="6A420E56"/>
    <w:rsid w:val="6A924E32"/>
    <w:rsid w:val="6A94008C"/>
    <w:rsid w:val="6AC635A8"/>
    <w:rsid w:val="6AE60947"/>
    <w:rsid w:val="6AEF6EB8"/>
    <w:rsid w:val="6B0B374F"/>
    <w:rsid w:val="6B0E6D92"/>
    <w:rsid w:val="6B17074E"/>
    <w:rsid w:val="6B1F0CCB"/>
    <w:rsid w:val="6B265CE7"/>
    <w:rsid w:val="6B6234E5"/>
    <w:rsid w:val="6B797260"/>
    <w:rsid w:val="6BBD11F5"/>
    <w:rsid w:val="6BCE1834"/>
    <w:rsid w:val="6BD12800"/>
    <w:rsid w:val="6C022DB1"/>
    <w:rsid w:val="6C5E02FC"/>
    <w:rsid w:val="6C721812"/>
    <w:rsid w:val="6C8B0F52"/>
    <w:rsid w:val="6CDD0DD0"/>
    <w:rsid w:val="6CFA7DB1"/>
    <w:rsid w:val="6CFC61C8"/>
    <w:rsid w:val="6D0127E4"/>
    <w:rsid w:val="6D0333AE"/>
    <w:rsid w:val="6D135E16"/>
    <w:rsid w:val="6D1C168A"/>
    <w:rsid w:val="6D347A31"/>
    <w:rsid w:val="6D3668DD"/>
    <w:rsid w:val="6D471CAB"/>
    <w:rsid w:val="6DAC0977"/>
    <w:rsid w:val="6DB941BD"/>
    <w:rsid w:val="6DC60F63"/>
    <w:rsid w:val="6E0E4B39"/>
    <w:rsid w:val="6E151E87"/>
    <w:rsid w:val="6E351C40"/>
    <w:rsid w:val="6E432FEE"/>
    <w:rsid w:val="6E4C770B"/>
    <w:rsid w:val="6E5F1098"/>
    <w:rsid w:val="6E6F2793"/>
    <w:rsid w:val="6E703D8E"/>
    <w:rsid w:val="6E84323D"/>
    <w:rsid w:val="6E942A76"/>
    <w:rsid w:val="6E9D5013"/>
    <w:rsid w:val="6EA41FA2"/>
    <w:rsid w:val="6EB44AD4"/>
    <w:rsid w:val="6EF2F120"/>
    <w:rsid w:val="6F313FE8"/>
    <w:rsid w:val="6F381CAC"/>
    <w:rsid w:val="6F6128C1"/>
    <w:rsid w:val="6F9C6902"/>
    <w:rsid w:val="6FA0729C"/>
    <w:rsid w:val="6FEF4FB0"/>
    <w:rsid w:val="700A492A"/>
    <w:rsid w:val="700A66D9"/>
    <w:rsid w:val="70100CA2"/>
    <w:rsid w:val="70393572"/>
    <w:rsid w:val="707A7026"/>
    <w:rsid w:val="70A24D48"/>
    <w:rsid w:val="70B36D70"/>
    <w:rsid w:val="70BA64EF"/>
    <w:rsid w:val="70C900DF"/>
    <w:rsid w:val="70F80524"/>
    <w:rsid w:val="710A2419"/>
    <w:rsid w:val="71326D32"/>
    <w:rsid w:val="714C2CD0"/>
    <w:rsid w:val="715A596A"/>
    <w:rsid w:val="717C247D"/>
    <w:rsid w:val="717F26E4"/>
    <w:rsid w:val="71816B8E"/>
    <w:rsid w:val="71832D29"/>
    <w:rsid w:val="71907818"/>
    <w:rsid w:val="71B252F9"/>
    <w:rsid w:val="71BE777B"/>
    <w:rsid w:val="71E95916"/>
    <w:rsid w:val="7203413E"/>
    <w:rsid w:val="723914F7"/>
    <w:rsid w:val="7250588C"/>
    <w:rsid w:val="726371AB"/>
    <w:rsid w:val="726F5278"/>
    <w:rsid w:val="727E786A"/>
    <w:rsid w:val="72887FD4"/>
    <w:rsid w:val="72BD0544"/>
    <w:rsid w:val="72C0472D"/>
    <w:rsid w:val="72D11D5C"/>
    <w:rsid w:val="72E85DAD"/>
    <w:rsid w:val="732303D9"/>
    <w:rsid w:val="733F48EB"/>
    <w:rsid w:val="73532CC9"/>
    <w:rsid w:val="73B01775"/>
    <w:rsid w:val="73D37E0A"/>
    <w:rsid w:val="73D73D11"/>
    <w:rsid w:val="73D937EE"/>
    <w:rsid w:val="744975DD"/>
    <w:rsid w:val="746920A5"/>
    <w:rsid w:val="74CB1EDB"/>
    <w:rsid w:val="74DE73F5"/>
    <w:rsid w:val="751E77AF"/>
    <w:rsid w:val="75D07F8B"/>
    <w:rsid w:val="75EE5669"/>
    <w:rsid w:val="76957051"/>
    <w:rsid w:val="76BD4232"/>
    <w:rsid w:val="76C10199"/>
    <w:rsid w:val="76C57BCB"/>
    <w:rsid w:val="76F927CD"/>
    <w:rsid w:val="773B2934"/>
    <w:rsid w:val="773E064E"/>
    <w:rsid w:val="774E1211"/>
    <w:rsid w:val="77585379"/>
    <w:rsid w:val="777B71D8"/>
    <w:rsid w:val="77A54D53"/>
    <w:rsid w:val="77D75F2B"/>
    <w:rsid w:val="77FC6767"/>
    <w:rsid w:val="781A0BEC"/>
    <w:rsid w:val="78202415"/>
    <w:rsid w:val="78213FC9"/>
    <w:rsid w:val="78701D9C"/>
    <w:rsid w:val="789B4D29"/>
    <w:rsid w:val="78FA0671"/>
    <w:rsid w:val="793A634F"/>
    <w:rsid w:val="798635EB"/>
    <w:rsid w:val="79A5750A"/>
    <w:rsid w:val="79F301DD"/>
    <w:rsid w:val="79F87A3D"/>
    <w:rsid w:val="7A0C1011"/>
    <w:rsid w:val="7A0E7A81"/>
    <w:rsid w:val="7A321CDB"/>
    <w:rsid w:val="7A567B6E"/>
    <w:rsid w:val="7A6E32C8"/>
    <w:rsid w:val="7ABE4C8F"/>
    <w:rsid w:val="7AC900CF"/>
    <w:rsid w:val="7B052FBD"/>
    <w:rsid w:val="7B5A5A6C"/>
    <w:rsid w:val="7B5C250E"/>
    <w:rsid w:val="7B6D0F87"/>
    <w:rsid w:val="7B72691F"/>
    <w:rsid w:val="7B783FD8"/>
    <w:rsid w:val="7B9A3DB8"/>
    <w:rsid w:val="7BA113AB"/>
    <w:rsid w:val="7BD52290"/>
    <w:rsid w:val="7BD568A0"/>
    <w:rsid w:val="7BEF4EB5"/>
    <w:rsid w:val="7BF20E1E"/>
    <w:rsid w:val="7C1524F7"/>
    <w:rsid w:val="7C456120"/>
    <w:rsid w:val="7C522F9B"/>
    <w:rsid w:val="7C5728ED"/>
    <w:rsid w:val="7C82779C"/>
    <w:rsid w:val="7C9408F4"/>
    <w:rsid w:val="7C960D30"/>
    <w:rsid w:val="7CB4634A"/>
    <w:rsid w:val="7CB83597"/>
    <w:rsid w:val="7CB90CC2"/>
    <w:rsid w:val="7CF05083"/>
    <w:rsid w:val="7CFB2CE9"/>
    <w:rsid w:val="7D0C34C4"/>
    <w:rsid w:val="7D212CA5"/>
    <w:rsid w:val="7D255EE2"/>
    <w:rsid w:val="7D293184"/>
    <w:rsid w:val="7D4B3EE6"/>
    <w:rsid w:val="7D6112EF"/>
    <w:rsid w:val="7D68620F"/>
    <w:rsid w:val="7D69777E"/>
    <w:rsid w:val="7D927DC0"/>
    <w:rsid w:val="7D971DB1"/>
    <w:rsid w:val="7DB34706"/>
    <w:rsid w:val="7E1A0A9F"/>
    <w:rsid w:val="7E3C401A"/>
    <w:rsid w:val="7E641213"/>
    <w:rsid w:val="7EE33139"/>
    <w:rsid w:val="7EEF21C0"/>
    <w:rsid w:val="7EF34773"/>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4"/>
    <w:qFormat/>
    <w:uiPriority w:val="0"/>
    <w:pPr>
      <w:spacing w:after="120"/>
    </w:pPr>
    <w:rPr>
      <w:kern w:val="0"/>
      <w:sz w:val="20"/>
    </w:rPr>
  </w:style>
  <w:style w:type="paragraph" w:styleId="11">
    <w:name w:val="toc 7"/>
    <w:basedOn w:val="1"/>
    <w:next w:val="1"/>
    <w:qFormat/>
    <w:uiPriority w:val="39"/>
    <w:pPr>
      <w:ind w:left="1260"/>
      <w:jc w:val="left"/>
    </w:pPr>
    <w:rPr>
      <w:rFonts w:ascii="Calibri" w:hAnsi="Calibri"/>
      <w:sz w:val="18"/>
      <w:szCs w:val="18"/>
    </w:rPr>
  </w:style>
  <w:style w:type="paragraph" w:styleId="12">
    <w:name w:val="table of authorities"/>
    <w:basedOn w:val="1"/>
    <w:next w:val="1"/>
    <w:qFormat/>
    <w:uiPriority w:val="99"/>
    <w:pPr>
      <w:ind w:left="420" w:leftChars="200"/>
    </w:pPr>
  </w:style>
  <w:style w:type="paragraph" w:styleId="13">
    <w:name w:val="Normal Indent"/>
    <w:basedOn w:val="14"/>
    <w:link w:val="68"/>
    <w:qFormat/>
    <w:uiPriority w:val="0"/>
    <w:pPr>
      <w:ind w:firstLine="420" w:firstLineChars="200"/>
    </w:pPr>
  </w:style>
  <w:style w:type="paragraph" w:styleId="14">
    <w:name w:val="Balloon Text"/>
    <w:basedOn w:val="1"/>
    <w:link w:val="79"/>
    <w:qFormat/>
    <w:uiPriority w:val="0"/>
    <w:rPr>
      <w:kern w:val="0"/>
      <w:sz w:val="18"/>
      <w:szCs w:val="18"/>
    </w:rPr>
  </w:style>
  <w:style w:type="paragraph" w:styleId="15">
    <w:name w:val="Document Map"/>
    <w:basedOn w:val="1"/>
    <w:link w:val="75"/>
    <w:qFormat/>
    <w:uiPriority w:val="0"/>
    <w:pPr>
      <w:shd w:val="clear" w:color="auto" w:fill="000080"/>
    </w:pPr>
    <w:rPr>
      <w:kern w:val="0"/>
      <w:sz w:val="20"/>
    </w:rPr>
  </w:style>
  <w:style w:type="paragraph" w:styleId="16">
    <w:name w:val="annotation text"/>
    <w:basedOn w:val="1"/>
    <w:link w:val="57"/>
    <w:unhideWhenUsed/>
    <w:qFormat/>
    <w:uiPriority w:val="99"/>
    <w:pPr>
      <w:jc w:val="left"/>
    </w:pPr>
    <w:rPr>
      <w:kern w:val="0"/>
      <w:sz w:val="20"/>
    </w:rPr>
  </w:style>
  <w:style w:type="paragraph" w:styleId="17">
    <w:name w:val="Body Text 3"/>
    <w:basedOn w:val="1"/>
    <w:link w:val="61"/>
    <w:qFormat/>
    <w:uiPriority w:val="0"/>
    <w:rPr>
      <w:rFonts w:ascii="宋体"/>
      <w:kern w:val="0"/>
      <w:sz w:val="24"/>
      <w:szCs w:val="20"/>
    </w:rPr>
  </w:style>
  <w:style w:type="paragraph" w:styleId="18">
    <w:name w:val="Body Text Indent"/>
    <w:basedOn w:val="1"/>
    <w:next w:val="1"/>
    <w:link w:val="74"/>
    <w:qFormat/>
    <w:uiPriority w:val="0"/>
    <w:pPr>
      <w:spacing w:after="120"/>
      <w:ind w:left="420" w:leftChars="200"/>
    </w:pPr>
    <w:rPr>
      <w:kern w:val="0"/>
      <w:sz w:val="20"/>
    </w:r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qFormat/>
    <w:uiPriority w:val="39"/>
    <w:pPr>
      <w:ind w:left="840"/>
      <w:jc w:val="left"/>
    </w:pPr>
    <w:rPr>
      <w:rFonts w:ascii="Calibri" w:hAnsi="Calibri"/>
      <w:sz w:val="18"/>
      <w:szCs w:val="18"/>
    </w:rPr>
  </w:style>
  <w:style w:type="paragraph" w:styleId="21">
    <w:name w:val="toc 3"/>
    <w:basedOn w:val="1"/>
    <w:next w:val="1"/>
    <w:qFormat/>
    <w:uiPriority w:val="39"/>
    <w:pPr>
      <w:ind w:left="420"/>
      <w:jc w:val="left"/>
    </w:pPr>
    <w:rPr>
      <w:rFonts w:ascii="Calibri" w:hAnsi="Calibri"/>
      <w:i/>
      <w:iCs/>
      <w:sz w:val="20"/>
      <w:szCs w:val="20"/>
    </w:rPr>
  </w:style>
  <w:style w:type="paragraph" w:styleId="22">
    <w:name w:val="Plain Text"/>
    <w:basedOn w:val="1"/>
    <w:link w:val="97"/>
    <w:qFormat/>
    <w:uiPriority w:val="99"/>
    <w:rPr>
      <w:rFonts w:ascii="Courier New" w:hAnsi="Courier New"/>
      <w:kern w:val="0"/>
      <w:sz w:val="20"/>
      <w:szCs w:val="20"/>
    </w:rPr>
  </w:style>
  <w:style w:type="paragraph" w:styleId="23">
    <w:name w:val="toc 8"/>
    <w:basedOn w:val="1"/>
    <w:next w:val="1"/>
    <w:qFormat/>
    <w:uiPriority w:val="39"/>
    <w:pPr>
      <w:ind w:left="1470"/>
      <w:jc w:val="left"/>
    </w:pPr>
    <w:rPr>
      <w:rFonts w:ascii="Calibri" w:hAnsi="Calibri"/>
      <w:sz w:val="18"/>
      <w:szCs w:val="18"/>
    </w:rPr>
  </w:style>
  <w:style w:type="paragraph" w:styleId="24">
    <w:name w:val="Date"/>
    <w:basedOn w:val="1"/>
    <w:next w:val="1"/>
    <w:link w:val="81"/>
    <w:qFormat/>
    <w:uiPriority w:val="0"/>
    <w:rPr>
      <w:kern w:val="0"/>
      <w:sz w:val="24"/>
      <w:szCs w:val="20"/>
    </w:rPr>
  </w:style>
  <w:style w:type="paragraph" w:styleId="25">
    <w:name w:val="Body Text Indent 2"/>
    <w:basedOn w:val="1"/>
    <w:qFormat/>
    <w:uiPriority w:val="0"/>
    <w:pPr>
      <w:spacing w:after="120" w:line="480" w:lineRule="auto"/>
      <w:ind w:left="420" w:leftChars="200"/>
    </w:pPr>
  </w:style>
  <w:style w:type="paragraph" w:styleId="26">
    <w:name w:val="footer"/>
    <w:basedOn w:val="1"/>
    <w:link w:val="93"/>
    <w:qFormat/>
    <w:uiPriority w:val="99"/>
    <w:pPr>
      <w:tabs>
        <w:tab w:val="center" w:pos="4153"/>
        <w:tab w:val="right" w:pos="8306"/>
      </w:tabs>
      <w:snapToGrid w:val="0"/>
      <w:jc w:val="left"/>
    </w:pPr>
    <w:rPr>
      <w:kern w:val="0"/>
      <w:sz w:val="18"/>
      <w:szCs w:val="18"/>
    </w:rPr>
  </w:style>
  <w:style w:type="paragraph" w:styleId="27">
    <w:name w:val="header"/>
    <w:basedOn w:val="1"/>
    <w:link w:val="71"/>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spacing w:before="120" w:after="120"/>
      <w:jc w:val="left"/>
    </w:pPr>
    <w:rPr>
      <w:rFonts w:ascii="Calibri" w:hAnsi="Calibri"/>
      <w:b/>
      <w:bCs/>
      <w:caps/>
      <w:sz w:val="20"/>
      <w:szCs w:val="20"/>
    </w:rPr>
  </w:style>
  <w:style w:type="paragraph" w:styleId="29">
    <w:name w:val="toc 4"/>
    <w:basedOn w:val="1"/>
    <w:next w:val="1"/>
    <w:qFormat/>
    <w:uiPriority w:val="39"/>
    <w:pPr>
      <w:ind w:left="630"/>
      <w:jc w:val="left"/>
    </w:pPr>
    <w:rPr>
      <w:rFonts w:ascii="Calibri" w:hAnsi="Calibri"/>
      <w:sz w:val="18"/>
      <w:szCs w:val="18"/>
    </w:rPr>
  </w:style>
  <w:style w:type="paragraph" w:styleId="30">
    <w:name w:val="footnote text"/>
    <w:basedOn w:val="1"/>
    <w:link w:val="65"/>
    <w:qFormat/>
    <w:uiPriority w:val="0"/>
    <w:rPr>
      <w:kern w:val="0"/>
      <w:sz w:val="20"/>
      <w:szCs w:val="20"/>
    </w:rPr>
  </w:style>
  <w:style w:type="paragraph" w:styleId="31">
    <w:name w:val="toc 6"/>
    <w:basedOn w:val="1"/>
    <w:next w:val="1"/>
    <w:qFormat/>
    <w:uiPriority w:val="39"/>
    <w:pPr>
      <w:ind w:left="1050"/>
      <w:jc w:val="left"/>
    </w:pPr>
    <w:rPr>
      <w:rFonts w:ascii="Calibri" w:hAnsi="Calibri"/>
      <w:sz w:val="18"/>
      <w:szCs w:val="18"/>
    </w:rPr>
  </w:style>
  <w:style w:type="paragraph" w:styleId="32">
    <w:name w:val="Body Text Indent 3"/>
    <w:basedOn w:val="1"/>
    <w:link w:val="85"/>
    <w:qFormat/>
    <w:uiPriority w:val="0"/>
    <w:pPr>
      <w:spacing w:after="120"/>
      <w:ind w:left="420" w:leftChars="200"/>
    </w:pPr>
    <w:rPr>
      <w:kern w:val="0"/>
      <w:sz w:val="16"/>
      <w:szCs w:val="16"/>
    </w:rPr>
  </w:style>
  <w:style w:type="paragraph" w:styleId="33">
    <w:name w:val="table of figures"/>
    <w:basedOn w:val="1"/>
    <w:next w:val="1"/>
    <w:qFormat/>
    <w:uiPriority w:val="0"/>
    <w:pPr>
      <w:ind w:left="200" w:leftChars="200" w:hanging="200" w:hangingChars="200"/>
    </w:pPr>
  </w:style>
  <w:style w:type="paragraph" w:styleId="34">
    <w:name w:val="toc 2"/>
    <w:basedOn w:val="1"/>
    <w:next w:val="1"/>
    <w:qFormat/>
    <w:uiPriority w:val="39"/>
    <w:pPr>
      <w:ind w:left="210"/>
      <w:jc w:val="left"/>
    </w:pPr>
    <w:rPr>
      <w:rFonts w:ascii="Calibri" w:hAnsi="Calibri"/>
      <w:smallCaps/>
      <w:sz w:val="20"/>
      <w:szCs w:val="20"/>
    </w:rPr>
  </w:style>
  <w:style w:type="paragraph" w:styleId="35">
    <w:name w:val="toc 9"/>
    <w:basedOn w:val="1"/>
    <w:next w:val="1"/>
    <w:qFormat/>
    <w:uiPriority w:val="39"/>
    <w:pPr>
      <w:ind w:left="1680"/>
      <w:jc w:val="left"/>
    </w:pPr>
    <w:rPr>
      <w:rFonts w:ascii="Calibri" w:hAnsi="Calibri"/>
      <w:sz w:val="18"/>
      <w:szCs w:val="18"/>
    </w:rPr>
  </w:style>
  <w:style w:type="paragraph" w:styleId="36">
    <w:name w:val="HTML Preformatted"/>
    <w:basedOn w:val="1"/>
    <w:link w:val="9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semiHidden/>
    <w:qFormat/>
    <w:uiPriority w:val="0"/>
    <w:pPr>
      <w:spacing w:line="360" w:lineRule="auto"/>
      <w:jc w:val="center"/>
    </w:pPr>
    <w:rPr>
      <w:rFonts w:ascii="宋体" w:hAnsi="Arial" w:cs="Arial"/>
      <w:b/>
      <w:color w:val="000000"/>
      <w:sz w:val="24"/>
    </w:rPr>
  </w:style>
  <w:style w:type="paragraph" w:styleId="39">
    <w:name w:val="Title"/>
    <w:basedOn w:val="1"/>
    <w:link w:val="7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6"/>
    <w:next w:val="16"/>
    <w:link w:val="67"/>
    <w:qFormat/>
    <w:uiPriority w:val="0"/>
    <w:rPr>
      <w:b/>
      <w:bCs/>
    </w:rPr>
  </w:style>
  <w:style w:type="paragraph" w:styleId="41">
    <w:name w:val="Body Text First Indent 2"/>
    <w:basedOn w:val="18"/>
    <w:qFormat/>
    <w:uiPriority w:val="0"/>
    <w:pPr>
      <w:ind w:firstLine="420"/>
    </w:pPr>
    <w:rPr>
      <w:sz w:val="21"/>
    </w:rPr>
  </w:style>
  <w:style w:type="table" w:styleId="43">
    <w:name w:val="Table Grid"/>
    <w:basedOn w:val="42"/>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page number"/>
    <w:qFormat/>
    <w:uiPriority w:val="0"/>
  </w:style>
  <w:style w:type="character" w:styleId="47">
    <w:name w:val="FollowedHyperlink"/>
    <w:basedOn w:val="44"/>
    <w:qFormat/>
    <w:uiPriority w:val="0"/>
    <w:rPr>
      <w:rFonts w:hint="default" w:ascii="Arial" w:hAnsi="Arial" w:eastAsia="Arial" w:cs="Arial"/>
      <w:color w:val="333333"/>
      <w:sz w:val="21"/>
      <w:szCs w:val="21"/>
      <w:u w:val="none"/>
    </w:rPr>
  </w:style>
  <w:style w:type="character" w:styleId="48">
    <w:name w:val="Emphasis"/>
    <w:basedOn w:val="44"/>
    <w:qFormat/>
    <w:uiPriority w:val="20"/>
    <w:rPr>
      <w:i/>
    </w:rPr>
  </w:style>
  <w:style w:type="character" w:styleId="49">
    <w:name w:val="Hyperlink"/>
    <w:basedOn w:val="44"/>
    <w:qFormat/>
    <w:uiPriority w:val="99"/>
    <w:rPr>
      <w:rFonts w:ascii="Arial" w:hAnsi="Arial" w:eastAsia="Arial" w:cs="Arial"/>
      <w:color w:val="333333"/>
      <w:sz w:val="21"/>
      <w:szCs w:val="21"/>
      <w:u w:val="none"/>
    </w:rPr>
  </w:style>
  <w:style w:type="character" w:styleId="50">
    <w:name w:val="annotation reference"/>
    <w:qFormat/>
    <w:uiPriority w:val="0"/>
    <w:rPr>
      <w:sz w:val="21"/>
      <w:szCs w:val="21"/>
    </w:rPr>
  </w:style>
  <w:style w:type="character" w:styleId="51">
    <w:name w:val="footnote reference"/>
    <w:qFormat/>
    <w:uiPriority w:val="0"/>
    <w:rPr>
      <w:vertAlign w:val="superscript"/>
    </w:rPr>
  </w:style>
  <w:style w:type="character" w:customStyle="1" w:styleId="52">
    <w:name w:val="apple-style-span"/>
    <w:qFormat/>
    <w:uiPriority w:val="0"/>
    <w:rPr>
      <w:rFonts w:ascii="Verdana" w:hAnsi="Verdana" w:eastAsia="宋体"/>
      <w:sz w:val="21"/>
      <w:lang w:val="en-US" w:eastAsia="en-US" w:bidi="ar-SA"/>
    </w:rPr>
  </w:style>
  <w:style w:type="character" w:customStyle="1" w:styleId="53">
    <w:name w:val="正文文本 3 Char1"/>
    <w:semiHidden/>
    <w:qFormat/>
    <w:uiPriority w:val="99"/>
    <w:rPr>
      <w:rFonts w:ascii="Times New Roman" w:hAnsi="Times New Roman" w:eastAsia="宋体" w:cs="Times New Roman"/>
      <w:sz w:val="16"/>
      <w:szCs w:val="16"/>
    </w:rPr>
  </w:style>
  <w:style w:type="character" w:customStyle="1" w:styleId="54">
    <w:name w:val="样式 宋体"/>
    <w:qFormat/>
    <w:uiPriority w:val="0"/>
    <w:rPr>
      <w:rFonts w:ascii="Times New Roman" w:hAnsi="Times New Roman" w:eastAsia="宋体"/>
      <w:sz w:val="21"/>
    </w:rPr>
  </w:style>
  <w:style w:type="character" w:customStyle="1" w:styleId="55">
    <w:name w:val="正文文本 (2) + 9.5 pt"/>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6">
    <w:name w:val="标题 3 字符"/>
    <w:link w:val="5"/>
    <w:qFormat/>
    <w:uiPriority w:val="0"/>
    <w:rPr>
      <w:rFonts w:ascii="Times New Roman" w:hAnsi="Times New Roman" w:eastAsia="宋体" w:cs="Times New Roman"/>
      <w:b/>
      <w:bCs/>
      <w:sz w:val="32"/>
      <w:szCs w:val="32"/>
    </w:rPr>
  </w:style>
  <w:style w:type="character" w:customStyle="1" w:styleId="57">
    <w:name w:val="批注文字 字符"/>
    <w:link w:val="16"/>
    <w:semiHidden/>
    <w:qFormat/>
    <w:uiPriority w:val="99"/>
    <w:rPr>
      <w:rFonts w:ascii="Times New Roman" w:hAnsi="Times New Roman" w:eastAsia="宋体" w:cs="Times New Roman"/>
      <w:szCs w:val="24"/>
    </w:rPr>
  </w:style>
  <w:style w:type="character" w:customStyle="1" w:styleId="58">
    <w:name w:val="标题 6 字符"/>
    <w:link w:val="7"/>
    <w:qFormat/>
    <w:uiPriority w:val="0"/>
    <w:rPr>
      <w:rFonts w:ascii="Arial" w:hAnsi="Arial" w:eastAsia="黑体" w:cs="Times New Roman"/>
      <w:b/>
      <w:bCs/>
      <w:kern w:val="0"/>
      <w:sz w:val="24"/>
      <w:szCs w:val="24"/>
    </w:rPr>
  </w:style>
  <w:style w:type="character" w:customStyle="1" w:styleId="59">
    <w:name w:val="Char Char8"/>
    <w:qFormat/>
    <w:uiPriority w:val="0"/>
    <w:rPr>
      <w:rFonts w:ascii="Arial" w:hAnsi="Arial" w:eastAsia="黑体"/>
      <w:b/>
      <w:bCs/>
      <w:kern w:val="2"/>
      <w:sz w:val="32"/>
      <w:szCs w:val="32"/>
      <w:lang w:val="en-US" w:eastAsia="zh-CN" w:bidi="ar-SA"/>
    </w:rPr>
  </w:style>
  <w:style w:type="character" w:customStyle="1" w:styleId="60">
    <w:name w:val="脚注文本 Char1"/>
    <w:semiHidden/>
    <w:qFormat/>
    <w:uiPriority w:val="99"/>
    <w:rPr>
      <w:rFonts w:ascii="Times New Roman" w:hAnsi="Times New Roman" w:eastAsia="宋体" w:cs="Times New Roman"/>
      <w:sz w:val="18"/>
      <w:szCs w:val="18"/>
    </w:rPr>
  </w:style>
  <w:style w:type="character" w:customStyle="1" w:styleId="61">
    <w:name w:val="正文文本 3 字符"/>
    <w:link w:val="17"/>
    <w:qFormat/>
    <w:uiPriority w:val="0"/>
    <w:rPr>
      <w:rFonts w:ascii="宋体"/>
      <w:sz w:val="24"/>
    </w:rPr>
  </w:style>
  <w:style w:type="character" w:customStyle="1" w:styleId="62">
    <w:name w:val="页脚 Char1"/>
    <w:semiHidden/>
    <w:qFormat/>
    <w:uiPriority w:val="99"/>
    <w:rPr>
      <w:rFonts w:ascii="Times New Roman" w:hAnsi="Times New Roman" w:eastAsia="宋体" w:cs="Times New Roman"/>
      <w:sz w:val="18"/>
      <w:szCs w:val="18"/>
    </w:rPr>
  </w:style>
  <w:style w:type="character" w:customStyle="1" w:styleId="63">
    <w:name w:val="标题 Char1"/>
    <w:qFormat/>
    <w:uiPriority w:val="10"/>
    <w:rPr>
      <w:rFonts w:ascii="Calibri Light" w:hAnsi="Calibri Light" w:eastAsia="宋体" w:cs="Times New Roman"/>
      <w:b/>
      <w:bCs/>
      <w:sz w:val="32"/>
      <w:szCs w:val="32"/>
    </w:rPr>
  </w:style>
  <w:style w:type="character" w:customStyle="1" w:styleId="64">
    <w:name w:val="正文文本 字符"/>
    <w:link w:val="2"/>
    <w:qFormat/>
    <w:uiPriority w:val="0"/>
    <w:rPr>
      <w:rFonts w:eastAsia="宋体"/>
      <w:szCs w:val="24"/>
    </w:rPr>
  </w:style>
  <w:style w:type="character" w:customStyle="1" w:styleId="65">
    <w:name w:val="脚注文本 字符"/>
    <w:link w:val="30"/>
    <w:qFormat/>
    <w:uiPriority w:val="0"/>
    <w:rPr>
      <w:rFonts w:eastAsia="宋体"/>
    </w:rPr>
  </w:style>
  <w:style w:type="character" w:customStyle="1" w:styleId="66">
    <w:name w:val="纯文本 Char1"/>
    <w:semiHidden/>
    <w:qFormat/>
    <w:uiPriority w:val="99"/>
    <w:rPr>
      <w:rFonts w:ascii="宋体" w:hAnsi="Courier New" w:eastAsia="宋体" w:cs="Courier New"/>
      <w:szCs w:val="21"/>
    </w:rPr>
  </w:style>
  <w:style w:type="character" w:customStyle="1" w:styleId="67">
    <w:name w:val="批注主题 字符"/>
    <w:link w:val="40"/>
    <w:qFormat/>
    <w:uiPriority w:val="0"/>
    <w:rPr>
      <w:rFonts w:ascii="Times New Roman" w:hAnsi="Times New Roman" w:eastAsia="宋体" w:cs="Times New Roman"/>
      <w:b/>
      <w:bCs/>
      <w:szCs w:val="24"/>
    </w:rPr>
  </w:style>
  <w:style w:type="character" w:customStyle="1" w:styleId="68">
    <w:name w:val="正文缩进 字符"/>
    <w:link w:val="13"/>
    <w:qFormat/>
    <w:locked/>
    <w:uiPriority w:val="0"/>
    <w:rPr>
      <w:kern w:val="2"/>
      <w:sz w:val="21"/>
      <w:szCs w:val="24"/>
    </w:rPr>
  </w:style>
  <w:style w:type="character" w:customStyle="1" w:styleId="69">
    <w:name w:val="font11"/>
    <w:qFormat/>
    <w:uiPriority w:val="0"/>
    <w:rPr>
      <w:rFonts w:hint="default" w:ascii="Times New Roman" w:hAnsi="Times New Roman" w:cs="Times New Roman"/>
      <w:color w:val="000000"/>
      <w:sz w:val="22"/>
      <w:szCs w:val="22"/>
      <w:u w:val="none"/>
    </w:rPr>
  </w:style>
  <w:style w:type="character" w:customStyle="1" w:styleId="70">
    <w:name w:val="font01"/>
    <w:qFormat/>
    <w:uiPriority w:val="0"/>
    <w:rPr>
      <w:rFonts w:hint="eastAsia" w:ascii="宋体" w:hAnsi="宋体" w:eastAsia="宋体" w:cs="宋体"/>
      <w:color w:val="000000"/>
      <w:sz w:val="22"/>
      <w:szCs w:val="22"/>
      <w:u w:val="none"/>
    </w:rPr>
  </w:style>
  <w:style w:type="character" w:customStyle="1" w:styleId="71">
    <w:name w:val="页眉 字符"/>
    <w:link w:val="27"/>
    <w:qFormat/>
    <w:uiPriority w:val="0"/>
    <w:rPr>
      <w:rFonts w:ascii="Times New Roman" w:hAnsi="Times New Roman" w:eastAsia="宋体" w:cs="Times New Roman"/>
      <w:sz w:val="18"/>
      <w:szCs w:val="18"/>
    </w:rPr>
  </w:style>
  <w:style w:type="character" w:customStyle="1" w:styleId="72">
    <w:name w:val="标题 9 字符"/>
    <w:link w:val="10"/>
    <w:qFormat/>
    <w:uiPriority w:val="0"/>
    <w:rPr>
      <w:rFonts w:ascii="Arial" w:hAnsi="Arial" w:eastAsia="黑体" w:cs="Times New Roman"/>
      <w:kern w:val="0"/>
      <w:szCs w:val="21"/>
    </w:rPr>
  </w:style>
  <w:style w:type="character" w:customStyle="1" w:styleId="73">
    <w:name w:val="标题 2 Char1"/>
    <w:qFormat/>
    <w:uiPriority w:val="0"/>
    <w:rPr>
      <w:rFonts w:ascii="Arial" w:hAnsi="Arial" w:eastAsia="黑体" w:cs="Times New Roman"/>
      <w:b/>
      <w:bCs/>
      <w:sz w:val="32"/>
      <w:szCs w:val="32"/>
      <w:lang w:val="en-US" w:eastAsia="en-US" w:bidi="ar-SA"/>
    </w:rPr>
  </w:style>
  <w:style w:type="character" w:customStyle="1" w:styleId="74">
    <w:name w:val="正文文本缩进 字符"/>
    <w:link w:val="18"/>
    <w:qFormat/>
    <w:uiPriority w:val="0"/>
    <w:rPr>
      <w:szCs w:val="24"/>
    </w:rPr>
  </w:style>
  <w:style w:type="character" w:customStyle="1" w:styleId="75">
    <w:name w:val="文档结构图 字符"/>
    <w:link w:val="15"/>
    <w:qFormat/>
    <w:uiPriority w:val="0"/>
    <w:rPr>
      <w:rFonts w:ascii="Times New Roman" w:hAnsi="Times New Roman" w:eastAsia="宋体" w:cs="Times New Roman"/>
      <w:szCs w:val="24"/>
      <w:shd w:val="clear" w:color="auto" w:fill="000080"/>
    </w:rPr>
  </w:style>
  <w:style w:type="character" w:customStyle="1" w:styleId="76">
    <w:name w:val="font161"/>
    <w:qFormat/>
    <w:uiPriority w:val="0"/>
    <w:rPr>
      <w:b/>
      <w:bCs/>
      <w:sz w:val="32"/>
      <w:szCs w:val="32"/>
    </w:rPr>
  </w:style>
  <w:style w:type="character" w:customStyle="1" w:styleId="77">
    <w:name w:val="标题 2 字符"/>
    <w:link w:val="4"/>
    <w:qFormat/>
    <w:uiPriority w:val="0"/>
    <w:rPr>
      <w:rFonts w:ascii="Arial" w:hAnsi="Arial" w:eastAsia="黑体" w:cs="Times New Roman"/>
      <w:b/>
      <w:bCs/>
      <w:sz w:val="32"/>
      <w:szCs w:val="32"/>
    </w:rPr>
  </w:style>
  <w:style w:type="character" w:customStyle="1" w:styleId="78">
    <w:name w:val="标题 字符"/>
    <w:link w:val="39"/>
    <w:qFormat/>
    <w:uiPriority w:val="0"/>
    <w:rPr>
      <w:rFonts w:ascii="Arial" w:hAnsi="Arial"/>
      <w:b/>
      <w:sz w:val="32"/>
    </w:rPr>
  </w:style>
  <w:style w:type="character" w:customStyle="1" w:styleId="79">
    <w:name w:val="批注框文本 字符"/>
    <w:link w:val="14"/>
    <w:qFormat/>
    <w:uiPriority w:val="0"/>
    <w:rPr>
      <w:rFonts w:ascii="Times New Roman" w:hAnsi="Times New Roman" w:eastAsia="宋体" w:cs="Times New Roman"/>
      <w:sz w:val="18"/>
      <w:szCs w:val="18"/>
    </w:rPr>
  </w:style>
  <w:style w:type="character" w:customStyle="1" w:styleId="80">
    <w:name w:val="标题 8 字符"/>
    <w:link w:val="9"/>
    <w:qFormat/>
    <w:uiPriority w:val="0"/>
    <w:rPr>
      <w:rFonts w:ascii="Arial" w:hAnsi="Arial" w:eastAsia="黑体" w:cs="Times New Roman"/>
      <w:kern w:val="0"/>
      <w:sz w:val="24"/>
      <w:szCs w:val="24"/>
    </w:rPr>
  </w:style>
  <w:style w:type="character" w:customStyle="1" w:styleId="81">
    <w:name w:val="日期 字符"/>
    <w:link w:val="24"/>
    <w:qFormat/>
    <w:uiPriority w:val="0"/>
    <w:rPr>
      <w:rFonts w:ascii="Times New Roman" w:hAnsi="Times New Roman" w:eastAsia="宋体" w:cs="Times New Roman"/>
      <w:sz w:val="24"/>
      <w:szCs w:val="20"/>
    </w:rPr>
  </w:style>
  <w:style w:type="character" w:customStyle="1" w:styleId="82">
    <w:name w:val="标题 1 字符"/>
    <w:link w:val="3"/>
    <w:qFormat/>
    <w:uiPriority w:val="0"/>
    <w:rPr>
      <w:rFonts w:ascii="Times New Roman" w:hAnsi="Times New Roman" w:eastAsia="宋体" w:cs="Times New Roman"/>
      <w:b/>
      <w:bCs/>
      <w:kern w:val="44"/>
      <w:sz w:val="44"/>
      <w:szCs w:val="44"/>
    </w:rPr>
  </w:style>
  <w:style w:type="character" w:customStyle="1" w:styleId="83">
    <w:name w:val="招标节 Char"/>
    <w:link w:val="84"/>
    <w:qFormat/>
    <w:locked/>
    <w:uiPriority w:val="0"/>
    <w:rPr>
      <w:b/>
      <w:sz w:val="24"/>
      <w:szCs w:val="24"/>
    </w:rPr>
  </w:style>
  <w:style w:type="paragraph" w:customStyle="1" w:styleId="84">
    <w:name w:val="招标节"/>
    <w:basedOn w:val="1"/>
    <w:next w:val="1"/>
    <w:link w:val="83"/>
    <w:qFormat/>
    <w:uiPriority w:val="0"/>
    <w:pPr>
      <w:spacing w:beforeLines="50" w:afterLines="50"/>
      <w:outlineLvl w:val="1"/>
    </w:pPr>
    <w:rPr>
      <w:b/>
      <w:kern w:val="0"/>
      <w:sz w:val="24"/>
    </w:rPr>
  </w:style>
  <w:style w:type="character" w:customStyle="1" w:styleId="85">
    <w:name w:val="正文文本缩进 3 字符"/>
    <w:link w:val="32"/>
    <w:qFormat/>
    <w:uiPriority w:val="0"/>
    <w:rPr>
      <w:rFonts w:ascii="Times New Roman" w:hAnsi="Times New Roman" w:eastAsia="宋体" w:cs="Times New Roman"/>
      <w:sz w:val="16"/>
      <w:szCs w:val="16"/>
    </w:rPr>
  </w:style>
  <w:style w:type="character" w:customStyle="1" w:styleId="86">
    <w:name w:val="tpc_content1"/>
    <w:qFormat/>
    <w:uiPriority w:val="0"/>
    <w:rPr>
      <w:sz w:val="20"/>
      <w:szCs w:val="20"/>
    </w:rPr>
  </w:style>
  <w:style w:type="character" w:customStyle="1" w:styleId="87">
    <w:name w:val="Char Char"/>
    <w:qFormat/>
    <w:uiPriority w:val="0"/>
    <w:rPr>
      <w:rFonts w:ascii="Arial" w:hAnsi="Arial" w:eastAsia="黑体"/>
      <w:b/>
      <w:bCs/>
      <w:kern w:val="2"/>
      <w:sz w:val="32"/>
      <w:szCs w:val="32"/>
      <w:lang w:val="en-US" w:eastAsia="zh-CN" w:bidi="ar-SA"/>
    </w:rPr>
  </w:style>
  <w:style w:type="character" w:customStyle="1" w:styleId="88">
    <w:name w:val="正文文本 Char1"/>
    <w:semiHidden/>
    <w:qFormat/>
    <w:uiPriority w:val="99"/>
    <w:rPr>
      <w:rFonts w:ascii="Times New Roman" w:hAnsi="Times New Roman" w:eastAsia="宋体" w:cs="Times New Roman"/>
      <w:szCs w:val="24"/>
    </w:rPr>
  </w:style>
  <w:style w:type="character" w:customStyle="1" w:styleId="89">
    <w:name w:val="Char Char2"/>
    <w:qFormat/>
    <w:uiPriority w:val="0"/>
    <w:rPr>
      <w:rFonts w:eastAsia="宋体"/>
      <w:kern w:val="2"/>
      <w:sz w:val="21"/>
      <w:szCs w:val="24"/>
      <w:lang w:val="en-US" w:eastAsia="zh-CN" w:bidi="ar-SA"/>
    </w:rPr>
  </w:style>
  <w:style w:type="character" w:customStyle="1" w:styleId="90">
    <w:name w:val="apple-converted-space"/>
    <w:qFormat/>
    <w:uiPriority w:val="0"/>
  </w:style>
  <w:style w:type="character" w:customStyle="1" w:styleId="91">
    <w:name w:val="标题 4 字符"/>
    <w:link w:val="6"/>
    <w:qFormat/>
    <w:uiPriority w:val="0"/>
    <w:rPr>
      <w:rFonts w:ascii="Arial" w:hAnsi="Arial" w:eastAsia="黑体" w:cs="Times New Roman"/>
      <w:b/>
      <w:bCs/>
      <w:sz w:val="28"/>
      <w:szCs w:val="28"/>
    </w:rPr>
  </w:style>
  <w:style w:type="character" w:customStyle="1" w:styleId="92">
    <w:name w:val="正文文本缩进 Char1"/>
    <w:semiHidden/>
    <w:qFormat/>
    <w:uiPriority w:val="99"/>
    <w:rPr>
      <w:rFonts w:ascii="Times New Roman" w:hAnsi="Times New Roman" w:eastAsia="宋体" w:cs="Times New Roman"/>
      <w:szCs w:val="24"/>
    </w:rPr>
  </w:style>
  <w:style w:type="character" w:customStyle="1" w:styleId="93">
    <w:name w:val="页脚 字符"/>
    <w:link w:val="26"/>
    <w:qFormat/>
    <w:uiPriority w:val="99"/>
    <w:rPr>
      <w:sz w:val="18"/>
      <w:szCs w:val="18"/>
    </w:rPr>
  </w:style>
  <w:style w:type="character" w:customStyle="1" w:styleId="94">
    <w:name w:val="Char Char7"/>
    <w:qFormat/>
    <w:uiPriority w:val="0"/>
    <w:rPr>
      <w:rFonts w:ascii="Arial" w:hAnsi="Arial" w:eastAsia="黑体"/>
      <w:b/>
      <w:bCs/>
      <w:kern w:val="2"/>
      <w:sz w:val="32"/>
      <w:szCs w:val="32"/>
      <w:lang w:val="en-US" w:eastAsia="zh-CN" w:bidi="ar-SA"/>
    </w:rPr>
  </w:style>
  <w:style w:type="character" w:customStyle="1" w:styleId="95">
    <w:name w:val="HTML 预设格式 字符"/>
    <w:link w:val="36"/>
    <w:qFormat/>
    <w:uiPriority w:val="0"/>
    <w:rPr>
      <w:rFonts w:ascii="微软雅黑" w:hAnsi="微软雅黑" w:eastAsia="微软雅黑" w:cs="Times New Roman"/>
      <w:kern w:val="0"/>
      <w:sz w:val="24"/>
      <w:szCs w:val="24"/>
    </w:rPr>
  </w:style>
  <w:style w:type="character" w:customStyle="1" w:styleId="96">
    <w:name w:val="批注文字 Char"/>
    <w:qFormat/>
    <w:uiPriority w:val="0"/>
    <w:rPr>
      <w:rFonts w:eastAsia="宋体"/>
      <w:kern w:val="2"/>
      <w:sz w:val="21"/>
      <w:szCs w:val="24"/>
      <w:lang w:val="en-US" w:eastAsia="zh-CN" w:bidi="ar-SA"/>
    </w:rPr>
  </w:style>
  <w:style w:type="character" w:customStyle="1" w:styleId="97">
    <w:name w:val="纯文本 字符"/>
    <w:link w:val="22"/>
    <w:qFormat/>
    <w:uiPriority w:val="99"/>
    <w:rPr>
      <w:rFonts w:ascii="Courier New" w:hAnsi="Courier New"/>
    </w:rPr>
  </w:style>
  <w:style w:type="character" w:customStyle="1" w:styleId="98">
    <w:name w:val="标题 7 字符"/>
    <w:link w:val="8"/>
    <w:qFormat/>
    <w:uiPriority w:val="0"/>
    <w:rPr>
      <w:rFonts w:ascii="Times New Roman" w:hAnsi="Times New Roman" w:eastAsia="宋体" w:cs="Times New Roman"/>
      <w:b/>
      <w:bCs/>
      <w:kern w:val="0"/>
      <w:sz w:val="24"/>
      <w:szCs w:val="24"/>
    </w:rPr>
  </w:style>
  <w:style w:type="paragraph" w:customStyle="1" w:styleId="99">
    <w:name w:val="样式4"/>
    <w:basedOn w:val="5"/>
    <w:qFormat/>
    <w:uiPriority w:val="0"/>
    <w:rPr>
      <w:rFonts w:eastAsia="Arial"/>
    </w:rPr>
  </w:style>
  <w:style w:type="paragraph" w:customStyle="1" w:styleId="100">
    <w:name w:val="Normal_9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qFormat/>
    <w:uiPriority w:val="0"/>
    <w:pPr>
      <w:widowControl/>
      <w:spacing w:before="100" w:beforeAutospacing="1" w:after="100" w:afterAutospacing="1"/>
      <w:jc w:val="left"/>
    </w:pPr>
    <w:rPr>
      <w:kern w:val="0"/>
      <w:sz w:val="28"/>
      <w:szCs w:val="28"/>
    </w:rPr>
  </w:style>
  <w:style w:type="paragraph" w:customStyle="1" w:styleId="103">
    <w:name w:val="Normal_5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qFormat/>
    <w:uiPriority w:val="0"/>
    <w:rPr>
      <w:rFonts w:eastAsia="Arial"/>
    </w:rPr>
  </w:style>
  <w:style w:type="paragraph" w:customStyle="1" w:styleId="106">
    <w:name w:val="Normal_2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qFormat/>
    <w:uiPriority w:val="0"/>
    <w:pPr>
      <w:tabs>
        <w:tab w:val="left" w:pos="360"/>
      </w:tabs>
    </w:pPr>
    <w:rPr>
      <w:sz w:val="24"/>
    </w:rPr>
  </w:style>
  <w:style w:type="paragraph" w:customStyle="1" w:styleId="109">
    <w:name w:val="Normal_9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qFormat/>
    <w:uiPriority w:val="0"/>
    <w:pPr>
      <w:jc w:val="center"/>
      <w:textAlignment w:val="center"/>
    </w:pPr>
    <w:rPr>
      <w:rFonts w:ascii="华文细黑" w:hAnsi="华文细黑"/>
      <w:kern w:val="0"/>
      <w:szCs w:val="20"/>
    </w:rPr>
  </w:style>
  <w:style w:type="paragraph" w:customStyle="1" w:styleId="111">
    <w:name w:val="Normal_5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qFormat/>
    <w:uiPriority w:val="0"/>
  </w:style>
  <w:style w:type="paragraph" w:customStyle="1" w:styleId="127">
    <w:name w:val="Normal_5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2"/>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2"/>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qFormat/>
    <w:uiPriority w:val="0"/>
    <w:rPr>
      <w:rFonts w:eastAsia="Arial"/>
    </w:rPr>
  </w:style>
  <w:style w:type="paragraph" w:customStyle="1" w:styleId="134">
    <w:name w:val="Normal_96"/>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39">
    <w:name w:val="Normal_9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2">
    <w:name w:val="设计说明2"/>
    <w:basedOn w:val="1"/>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14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1">
    <w:name w:val="内容"/>
    <w:basedOn w:val="1"/>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qFormat/>
    <w:uiPriority w:val="99"/>
    <w:pPr>
      <w:ind w:firstLine="420" w:firstLineChars="200"/>
    </w:pPr>
  </w:style>
  <w:style w:type="paragraph" w:customStyle="1" w:styleId="155">
    <w:name w:val="Normal_47"/>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qFormat/>
    <w:uiPriority w:val="0"/>
    <w:pPr>
      <w:adjustRightInd w:val="0"/>
      <w:spacing w:line="420" w:lineRule="atLeast"/>
      <w:jc w:val="left"/>
      <w:textAlignment w:val="baseline"/>
    </w:pPr>
    <w:rPr>
      <w:kern w:val="0"/>
      <w:szCs w:val="20"/>
    </w:rPr>
  </w:style>
  <w:style w:type="paragraph" w:customStyle="1" w:styleId="157">
    <w:name w:val="须知内容"/>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8">
    <w:name w:val="样式2"/>
    <w:basedOn w:val="5"/>
    <w:qFormat/>
    <w:uiPriority w:val="0"/>
  </w:style>
  <w:style w:type="character" w:customStyle="1" w:styleId="159">
    <w:name w:val="after"/>
    <w:basedOn w:val="44"/>
    <w:qFormat/>
    <w:uiPriority w:val="0"/>
    <w:rPr>
      <w:bdr w:val="dashed" w:color="auto" w:sz="48" w:space="0"/>
    </w:rPr>
  </w:style>
  <w:style w:type="character" w:customStyle="1" w:styleId="160">
    <w:name w:val="before"/>
    <w:basedOn w:val="44"/>
    <w:qFormat/>
    <w:uiPriority w:val="0"/>
    <w:rPr>
      <w:bdr w:val="single" w:color="auto" w:sz="48" w:space="0"/>
    </w:rPr>
  </w:style>
  <w:style w:type="character" w:customStyle="1" w:styleId="161">
    <w:name w:val="hover48"/>
    <w:basedOn w:val="44"/>
    <w:qFormat/>
    <w:uiPriority w:val="0"/>
    <w:rPr>
      <w:shd w:val="clear" w:color="auto" w:fill="346AC3"/>
    </w:rPr>
  </w:style>
  <w:style w:type="character" w:customStyle="1" w:styleId="162">
    <w:name w:val="hover49"/>
    <w:basedOn w:val="44"/>
    <w:qFormat/>
    <w:uiPriority w:val="0"/>
  </w:style>
  <w:style w:type="character" w:customStyle="1" w:styleId="163">
    <w:name w:val="hover50"/>
    <w:basedOn w:val="44"/>
    <w:qFormat/>
    <w:uiPriority w:val="0"/>
    <w:rPr>
      <w:color w:val="4285F4"/>
      <w:u w:val="none"/>
    </w:rPr>
  </w:style>
  <w:style w:type="character" w:customStyle="1" w:styleId="164">
    <w:name w:val="hover51"/>
    <w:basedOn w:val="44"/>
    <w:qFormat/>
    <w:uiPriority w:val="0"/>
    <w:rPr>
      <w:color w:val="4285F4"/>
    </w:rPr>
  </w:style>
  <w:style w:type="character" w:customStyle="1" w:styleId="165">
    <w:name w:val="hover52"/>
    <w:basedOn w:val="44"/>
    <w:qFormat/>
    <w:uiPriority w:val="0"/>
    <w:rPr>
      <w:color w:val="1A85D7"/>
    </w:rPr>
  </w:style>
  <w:style w:type="character" w:customStyle="1" w:styleId="166">
    <w:name w:val="credit"/>
    <w:basedOn w:val="44"/>
    <w:qFormat/>
    <w:uiPriority w:val="0"/>
    <w:rPr>
      <w:sz w:val="18"/>
      <w:szCs w:val="18"/>
    </w:rPr>
  </w:style>
  <w:style w:type="character" w:customStyle="1" w:styleId="167">
    <w:name w:val="first-child"/>
    <w:basedOn w:val="44"/>
    <w:qFormat/>
    <w:uiPriority w:val="0"/>
  </w:style>
  <w:style w:type="paragraph" w:customStyle="1" w:styleId="168">
    <w:name w:val="_Style 6"/>
    <w:basedOn w:val="1"/>
    <w:next w:val="1"/>
    <w:qFormat/>
    <w:uiPriority w:val="39"/>
    <w:pPr>
      <w:tabs>
        <w:tab w:val="left" w:pos="1260"/>
        <w:tab w:val="left" w:pos="1680"/>
        <w:tab w:val="right" w:leader="dot" w:pos="9712"/>
      </w:tabs>
      <w:adjustRightInd w:val="0"/>
      <w:snapToGrid w:val="0"/>
      <w:spacing w:line="312" w:lineRule="auto"/>
    </w:pPr>
    <w:rPr>
      <w:rFonts w:hAnsi="宋体"/>
      <w:b/>
      <w:bCs/>
      <w:sz w:val="32"/>
    </w:rPr>
  </w:style>
  <w:style w:type="paragraph" w:customStyle="1" w:styleId="169">
    <w:name w:val="_Style 2"/>
    <w:basedOn w:val="1"/>
    <w:unhideWhenUsed/>
    <w:qFormat/>
    <w:uiPriority w:val="34"/>
    <w:pPr>
      <w:spacing w:beforeLines="0" w:afterLines="0"/>
      <w:ind w:firstLine="420" w:firstLineChars="200"/>
    </w:pPr>
    <w:rPr>
      <w:rFonts w:hint="default"/>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34</Pages>
  <Words>7753</Words>
  <Characters>8183</Characters>
  <Lines>116</Lines>
  <Paragraphs>32</Paragraphs>
  <TotalTime>4</TotalTime>
  <ScaleCrop>false</ScaleCrop>
  <LinksUpToDate>false</LinksUpToDate>
  <CharactersWithSpaces>8433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2020-04-29T16:16:00Z</dcterms:created>
  <dc:creator>陈桂兰</dc:creator>
  <cp:lastModifiedBy>天涯</cp:lastModifiedBy>
  <cp:lastPrinted>2022-06-07T02:51:00Z</cp:lastPrinted>
  <dcterms:modified xsi:type="dcterms:W3CDTF">2026-04-23T07:27:37Z</dcterms:modified>
  <dc:title>项目名称：2019年重庆市取消高速公路省界收费站项目</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CA9229BF7F204DA08DD95BC61990121B</vt:lpwstr>
  </property>
  <property fmtid="{D5CDD505-2E9C-101B-9397-08002B2CF9AE}" pid="4" name="KSOTemplateDocerSaveRecord">
    <vt:lpwstr>eyJoZGlkIjoiNTE4MzBiNTgwMjYxOWI5YTU3MTk0N2NhOGU2MDI1MTAiLCJ1c2VySWQiOiIzODA0MjI1NzQifQ==</vt:lpwstr>
  </property>
</Properties>
</file>